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3F9E29" w14:textId="1C1A908C" w:rsidR="00E67BBF" w:rsidRPr="00424C5F" w:rsidRDefault="00F97039" w:rsidP="001A62C3">
      <w:pPr>
        <w:pStyle w:val="Title"/>
        <w:spacing w:before="6840"/>
        <w:rPr>
          <w:b/>
          <w:sz w:val="52"/>
          <w:szCs w:val="52"/>
        </w:rPr>
      </w:pPr>
      <w:bookmarkStart w:id="0" w:name="_GoBack"/>
      <w:bookmarkEnd w:id="0"/>
      <w:r w:rsidRPr="001A62C3">
        <w:t>2020</w:t>
      </w:r>
      <w:r w:rsidR="00E30B11" w:rsidRPr="001A62C3">
        <w:t>-</w:t>
      </w:r>
      <w:r w:rsidRPr="001A62C3">
        <w:t xml:space="preserve">21 medium-term </w:t>
      </w:r>
      <w:r w:rsidR="00424C5F" w:rsidRPr="001A62C3">
        <w:br/>
      </w:r>
      <w:r w:rsidRPr="001A62C3">
        <w:t>fiscal projections</w:t>
      </w:r>
    </w:p>
    <w:p w14:paraId="68381E32" w14:textId="77777777" w:rsidR="001A62C3" w:rsidRDefault="00086FD2" w:rsidP="001A62C3">
      <w:pPr>
        <w:pStyle w:val="Title3"/>
        <w:framePr w:w="2451" w:wrap="around" w:x="8154"/>
        <w:spacing w:after="60"/>
        <w:rPr>
          <w:rStyle w:val="Title3Heading"/>
        </w:rPr>
      </w:pPr>
      <w:r w:rsidRPr="001A62C3">
        <w:rPr>
          <w:rStyle w:val="Title3Heading"/>
        </w:rPr>
        <w:t>Report No.</w:t>
      </w:r>
    </w:p>
    <w:p w14:paraId="5BA35406" w14:textId="4BEB4592" w:rsidR="00086FD2" w:rsidRPr="001A62C3" w:rsidRDefault="00B553A6" w:rsidP="001A62C3">
      <w:pPr>
        <w:pStyle w:val="Title3"/>
        <w:framePr w:w="2451" w:wrap="around" w:x="8154"/>
        <w:spacing w:after="60"/>
      </w:pPr>
      <w:r w:rsidRPr="001A62C3">
        <w:t>04/2020</w:t>
      </w:r>
    </w:p>
    <w:p w14:paraId="23DB4ECF" w14:textId="2C66275A" w:rsidR="00C800F2" w:rsidRPr="00EB2092" w:rsidRDefault="00C800F2" w:rsidP="00424C5F">
      <w:pPr>
        <w:pStyle w:val="Title2"/>
        <w:ind w:left="0"/>
      </w:pPr>
    </w:p>
    <w:p w14:paraId="2F6B32DE" w14:textId="77777777" w:rsidR="00086FD2" w:rsidRPr="00EB2092" w:rsidRDefault="00086FD2" w:rsidP="00961DBB">
      <w:pPr>
        <w:sectPr w:rsidR="00086FD2" w:rsidRPr="00EB2092" w:rsidSect="00A16EB0">
          <w:headerReference w:type="even" r:id="rId9"/>
          <w:headerReference w:type="default" r:id="rId10"/>
          <w:headerReference w:type="first" r:id="rId11"/>
          <w:pgSz w:w="11907" w:h="16840" w:code="9"/>
          <w:pgMar w:top="1191" w:right="1418" w:bottom="1021" w:left="1418" w:header="567" w:footer="709" w:gutter="0"/>
          <w:cols w:space="708"/>
          <w:titlePg/>
          <w:docGrid w:linePitch="360"/>
        </w:sectPr>
      </w:pPr>
    </w:p>
    <w:tbl>
      <w:tblPr>
        <w:tblpPr w:leftFromText="181" w:rightFromText="181" w:horzAnchor="margin" w:tblpY="4310"/>
        <w:tblOverlap w:val="never"/>
        <w:tblW w:w="0" w:type="auto"/>
        <w:tblCellMar>
          <w:bottom w:w="57" w:type="dxa"/>
          <w:right w:w="57" w:type="dxa"/>
        </w:tblCellMar>
        <w:tblLook w:val="04A0" w:firstRow="1" w:lastRow="0" w:firstColumn="1" w:lastColumn="0" w:noHBand="0" w:noVBand="1"/>
      </w:tblPr>
      <w:tblGrid>
        <w:gridCol w:w="8220"/>
      </w:tblGrid>
      <w:tr w:rsidR="001830F3" w:rsidRPr="00EB2092" w14:paraId="3F25161D" w14:textId="77777777" w:rsidTr="00CC37CA">
        <w:trPr>
          <w:trHeight w:val="8165"/>
        </w:trPr>
        <w:tc>
          <w:tcPr>
            <w:tcW w:w="8220" w:type="dxa"/>
            <w:vAlign w:val="bottom"/>
          </w:tcPr>
          <w:p w14:paraId="3E8B360E" w14:textId="78D52987" w:rsidR="001830F3" w:rsidRPr="00EB2092" w:rsidRDefault="001830F3" w:rsidP="00CC37CA">
            <w:pPr>
              <w:pStyle w:val="xDisclaimerText2"/>
              <w:framePr w:hSpace="0" w:wrap="auto" w:hAnchor="text" w:yAlign="inline"/>
              <w:suppressOverlap w:val="0"/>
              <w:rPr>
                <w:color w:val="auto"/>
              </w:rPr>
            </w:pPr>
            <w:r w:rsidRPr="00EB2092">
              <w:lastRenderedPageBreak/>
              <w:t>©</w:t>
            </w:r>
            <w:bookmarkStart w:id="1" w:name="_DisclaimerMarker"/>
            <w:bookmarkEnd w:id="1"/>
            <w:r w:rsidRPr="00EB2092">
              <w:t xml:space="preserve"> Commonwealth of </w:t>
            </w:r>
            <w:r w:rsidRPr="00EB2092">
              <w:rPr>
                <w:color w:val="auto"/>
              </w:rPr>
              <w:t xml:space="preserve">Australia </w:t>
            </w:r>
            <w:bookmarkStart w:id="2" w:name="Here"/>
            <w:bookmarkEnd w:id="2"/>
            <w:r w:rsidR="00B553A6" w:rsidRPr="00EB2092">
              <w:rPr>
                <w:color w:val="auto"/>
              </w:rPr>
              <w:t>2020</w:t>
            </w:r>
          </w:p>
          <w:p w14:paraId="7DA594E5" w14:textId="34687245" w:rsidR="001830F3" w:rsidRPr="00EB2092" w:rsidRDefault="00953B47" w:rsidP="00CC37CA">
            <w:pPr>
              <w:pStyle w:val="xDisclaimerText2"/>
              <w:framePr w:hSpace="0" w:wrap="auto" w:hAnchor="text" w:yAlign="inline"/>
              <w:suppressOverlap w:val="0"/>
            </w:pPr>
            <w:r w:rsidRPr="00EB2092">
              <w:t xml:space="preserve">ISBN </w:t>
            </w:r>
            <w:r w:rsidR="0082504D" w:rsidRPr="00EB2092">
              <w:rPr>
                <w:color w:val="auto"/>
              </w:rPr>
              <w:t xml:space="preserve">978-0-6487474-0-6 </w:t>
            </w:r>
            <w:r w:rsidRPr="00EB2092">
              <w:rPr>
                <w:color w:val="auto"/>
              </w:rPr>
              <w:t>(online</w:t>
            </w:r>
            <w:r w:rsidRPr="00EB2092">
              <w:t>)</w:t>
            </w:r>
          </w:p>
          <w:p w14:paraId="544DFEEA" w14:textId="77777777" w:rsidR="008A0A35" w:rsidRPr="00EB2092" w:rsidRDefault="008A0A35" w:rsidP="008A0A35">
            <w:pPr>
              <w:pStyle w:val="xDisclaimerHeading"/>
              <w:framePr w:hSpace="0" w:wrap="auto" w:hAnchor="text" w:yAlign="inline"/>
              <w:suppressOverlap w:val="0"/>
            </w:pPr>
            <w:r w:rsidRPr="00EB2092">
              <w:t>Copyright notice</w:t>
            </w:r>
          </w:p>
          <w:p w14:paraId="4F393C3C" w14:textId="77777777" w:rsidR="001830F3" w:rsidRPr="00EB2092" w:rsidRDefault="001830F3" w:rsidP="00CC37CA">
            <w:pPr>
              <w:pStyle w:val="xDisclaimerText2"/>
              <w:framePr w:hSpace="0" w:wrap="auto" w:hAnchor="text" w:yAlign="inline"/>
              <w:suppressOverlap w:val="0"/>
            </w:pPr>
            <w:r w:rsidRPr="00EB2092">
              <w:t>This work is licensed under the Creative Commons Attribution-</w:t>
            </w:r>
            <w:proofErr w:type="spellStart"/>
            <w:r w:rsidRPr="00EB2092">
              <w:t>NonCommercial</w:t>
            </w:r>
            <w:proofErr w:type="spellEnd"/>
            <w:r w:rsidRPr="00EB2092">
              <w:t>-</w:t>
            </w:r>
            <w:proofErr w:type="spellStart"/>
            <w:r w:rsidRPr="00EB2092">
              <w:t>NoDerivs</w:t>
            </w:r>
            <w:proofErr w:type="spellEnd"/>
            <w:r w:rsidR="00395ABA" w:rsidRPr="00EB2092">
              <w:br/>
            </w:r>
            <w:r w:rsidRPr="00EB2092">
              <w:t>3.0 Australia License</w:t>
            </w:r>
            <w:r w:rsidR="008A0A35" w:rsidRPr="00EB2092">
              <w:t xml:space="preserve"> </w:t>
            </w:r>
            <w:hyperlink r:id="rId12" w:history="1">
              <w:r w:rsidR="008A0A35" w:rsidRPr="00EB2092">
                <w:rPr>
                  <w:rFonts w:ascii="Calibri" w:eastAsia="Calibri" w:hAnsi="Calibri" w:cs="Times New Roman"/>
                  <w:u w:val="single"/>
                </w:rPr>
                <w:t>http://creativecommons.org/licenses/by-nc-nd/3.0/au/</w:t>
              </w:r>
            </w:hyperlink>
          </w:p>
          <w:p w14:paraId="61C8B2D8" w14:textId="77777777" w:rsidR="001830F3" w:rsidRPr="00EB2092" w:rsidRDefault="00395ABA" w:rsidP="00CC37CA">
            <w:pPr>
              <w:pStyle w:val="xDisclaimerText2"/>
              <w:framePr w:hSpace="0" w:wrap="auto" w:hAnchor="text" w:yAlign="inline"/>
              <w:suppressOverlap w:val="0"/>
            </w:pPr>
            <w:r w:rsidRPr="00EB2092">
              <w:rPr>
                <w:rFonts w:ascii="Calibri" w:eastAsia="Calibri" w:hAnsi="Calibri" w:cs="Times New Roman"/>
                <w:noProof/>
                <w:lang w:eastAsia="en-AU"/>
              </w:rPr>
              <w:drawing>
                <wp:inline distT="0" distB="0" distL="0" distR="0" wp14:anchorId="6293DF6E" wp14:editId="5DEF7067">
                  <wp:extent cx="731520" cy="25623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reativ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9523" cy="255539"/>
                          </a:xfrm>
                          <a:prstGeom prst="rect">
                            <a:avLst/>
                          </a:prstGeom>
                        </pic:spPr>
                      </pic:pic>
                    </a:graphicData>
                  </a:graphic>
                </wp:inline>
              </w:drawing>
            </w:r>
          </w:p>
          <w:p w14:paraId="6B81FBA2" w14:textId="77777777" w:rsidR="001830F3" w:rsidRPr="00EB2092" w:rsidRDefault="00395ABA" w:rsidP="00CC37CA">
            <w:pPr>
              <w:pStyle w:val="xDisclaimerHeading"/>
              <w:framePr w:hSpace="0" w:wrap="auto" w:hAnchor="text" w:yAlign="inline"/>
              <w:suppressOverlap w:val="0"/>
            </w:pPr>
            <w:r w:rsidRPr="00EB2092">
              <w:t>Attribution</w:t>
            </w:r>
          </w:p>
          <w:p w14:paraId="749F56A8" w14:textId="37CF8231" w:rsidR="00395ABA" w:rsidRPr="00EB2092" w:rsidRDefault="00395ABA" w:rsidP="00395ABA">
            <w:pPr>
              <w:pStyle w:val="xDisclaimerText"/>
              <w:framePr w:w="0" w:wrap="auto" w:hAnchor="text" w:yAlign="inline"/>
            </w:pPr>
            <w:r w:rsidRPr="00EB2092">
              <w:t xml:space="preserve">This publication should be attributed as follows: Parliamentary Budget Office, </w:t>
            </w:r>
            <w:r w:rsidR="00B553A6" w:rsidRPr="00EB2092">
              <w:t>2020-21 Medium-term fiscal projections.</w:t>
            </w:r>
          </w:p>
          <w:p w14:paraId="1FCC5EF3" w14:textId="77777777" w:rsidR="00395ABA" w:rsidRPr="00EB2092" w:rsidRDefault="00395ABA" w:rsidP="00395ABA">
            <w:pPr>
              <w:pStyle w:val="xDisclaimerHeading"/>
              <w:framePr w:hSpace="0" w:wrap="auto" w:hAnchor="text" w:yAlign="inline"/>
              <w:suppressOverlap w:val="0"/>
            </w:pPr>
            <w:r w:rsidRPr="00EB2092">
              <w:t>Use of the Coat of Arms</w:t>
            </w:r>
          </w:p>
          <w:p w14:paraId="7E6343C0" w14:textId="77777777" w:rsidR="009E2FEF" w:rsidRPr="00EB2092" w:rsidRDefault="00395ABA" w:rsidP="00CC37CA">
            <w:pPr>
              <w:pStyle w:val="xDisclaimerText2"/>
              <w:framePr w:hSpace="0" w:wrap="auto" w:hAnchor="text" w:yAlign="inline"/>
              <w:suppressOverlap w:val="0"/>
              <w:rPr>
                <w:rStyle w:val="Hyperlink"/>
              </w:rPr>
            </w:pPr>
            <w:r w:rsidRPr="00EB2092">
              <w:rPr>
                <w:rFonts w:ascii="Calibri" w:eastAsia="Calibri" w:hAnsi="Calibri" w:cs="Times New Roman"/>
              </w:rPr>
              <w:t xml:space="preserve">The terms under which the Coat of Arms can be used are detailed on the following website: </w:t>
            </w:r>
            <w:hyperlink r:id="rId14" w:history="1">
              <w:r w:rsidR="00E660C0" w:rsidRPr="00EB2092">
                <w:rPr>
                  <w:rStyle w:val="Hyperlink"/>
                </w:rPr>
                <w:t>https://www.pmc.gov.au/government/commonwealth-coat-arms</w:t>
              </w:r>
            </w:hyperlink>
          </w:p>
          <w:p w14:paraId="412B14C9" w14:textId="77777777" w:rsidR="009E2FEF" w:rsidRPr="00EB2092" w:rsidRDefault="009E2FEF" w:rsidP="009E2FEF">
            <w:pPr>
              <w:pStyle w:val="xDisclaimerHeading"/>
              <w:framePr w:hSpace="0" w:wrap="auto" w:hAnchor="text" w:yAlign="inline"/>
              <w:suppressOverlap w:val="0"/>
              <w:rPr>
                <w:rFonts w:ascii="Calibri" w:eastAsia="Calibri" w:hAnsi="Calibri" w:cs="Times New Roman"/>
                <w:u w:val="single"/>
              </w:rPr>
            </w:pPr>
            <w:r w:rsidRPr="00EB2092">
              <w:t>Feedback</w:t>
            </w:r>
          </w:p>
          <w:p w14:paraId="2CC93C8F" w14:textId="77777777" w:rsidR="001830F3" w:rsidRPr="00EB2092" w:rsidRDefault="009E2FEF" w:rsidP="009E2FEF">
            <w:pPr>
              <w:pStyle w:val="xDisclaimerText2"/>
              <w:framePr w:hSpace="0" w:wrap="auto" w:hAnchor="text" w:yAlign="inline"/>
              <w:suppressOverlap w:val="0"/>
            </w:pPr>
            <w:r w:rsidRPr="00EB2092">
              <w:rPr>
                <w:rFonts w:ascii="Calibri" w:eastAsia="Calibri" w:hAnsi="Calibri"/>
              </w:rPr>
              <w:t xml:space="preserve">If you found this report useful, or have suggestions for improvement, please provide feedback to </w:t>
            </w:r>
            <w:hyperlink r:id="rId15" w:history="1">
              <w:r w:rsidRPr="00EB2092">
                <w:rPr>
                  <w:rStyle w:val="Hyperlink"/>
                </w:rPr>
                <w:t>feedback@pbo.gov.au</w:t>
              </w:r>
            </w:hyperlink>
            <w:r w:rsidRPr="00EB2092">
              <w:rPr>
                <w:rStyle w:val="Hyperlink"/>
              </w:rPr>
              <w:t>.</w:t>
            </w:r>
            <w:r w:rsidR="00E660C0" w:rsidRPr="00EB2092">
              <w:t xml:space="preserve"> </w:t>
            </w:r>
          </w:p>
        </w:tc>
      </w:tr>
    </w:tbl>
    <w:p w14:paraId="371824D5" w14:textId="77777777" w:rsidR="001830F3" w:rsidRPr="00EB2092" w:rsidRDefault="001830F3" w:rsidP="001830F3">
      <w:pPr>
        <w:sectPr w:rsidR="001830F3" w:rsidRPr="00EB2092" w:rsidSect="00A16EB0">
          <w:headerReference w:type="even" r:id="rId16"/>
          <w:headerReference w:type="default" r:id="rId17"/>
          <w:footerReference w:type="even" r:id="rId18"/>
          <w:footerReference w:type="default" r:id="rId19"/>
          <w:headerReference w:type="first" r:id="rId20"/>
          <w:footerReference w:type="first" r:id="rId21"/>
          <w:pgSz w:w="11907" w:h="16840" w:code="9"/>
          <w:pgMar w:top="1191" w:right="1418" w:bottom="1021" w:left="1418" w:header="567" w:footer="709" w:gutter="0"/>
          <w:cols w:space="708"/>
          <w:docGrid w:linePitch="360"/>
        </w:sectPr>
      </w:pPr>
    </w:p>
    <w:p w14:paraId="3449D10D" w14:textId="77777777" w:rsidR="00D559DF" w:rsidRPr="00EB2092" w:rsidRDefault="00D559DF" w:rsidP="00536700">
      <w:pPr>
        <w:pStyle w:val="TOCHeading"/>
        <w:spacing w:after="400"/>
      </w:pPr>
      <w:r w:rsidRPr="00EB2092">
        <w:lastRenderedPageBreak/>
        <w:t>Contents</w:t>
      </w:r>
      <w:bookmarkStart w:id="3" w:name="_TOCMarker"/>
      <w:bookmarkEnd w:id="3"/>
    </w:p>
    <w:p w14:paraId="2B400E11" w14:textId="77777777" w:rsidR="00CD64E6" w:rsidRPr="00062869" w:rsidRDefault="00D559DF" w:rsidP="00062869">
      <w:pPr>
        <w:pStyle w:val="TOC1"/>
        <w:spacing w:before="120" w:after="40" w:line="280" w:lineRule="exact"/>
        <w:ind w:right="1985"/>
        <w:rPr>
          <w:rStyle w:val="Hyperlink"/>
          <w:sz w:val="22"/>
        </w:rPr>
      </w:pPr>
      <w:r w:rsidRPr="00EB2092">
        <w:rPr>
          <w:color w:val="9778B4" w:themeColor="text2"/>
        </w:rPr>
        <w:fldChar w:fldCharType="begin"/>
      </w:r>
      <w:r w:rsidRPr="00EB2092">
        <w:instrText xml:space="preserve"> TOC  \h \z \t "Heading 1,1,Heading 1 No Numbering,1,Heading 2,2, Section Heading,5" </w:instrText>
      </w:r>
      <w:r w:rsidRPr="00EB2092">
        <w:rPr>
          <w:color w:val="9778B4" w:themeColor="text2"/>
        </w:rPr>
        <w:fldChar w:fldCharType="separate"/>
      </w:r>
      <w:hyperlink w:anchor="_Toc58271419" w:history="1">
        <w:r w:rsidR="00CD64E6" w:rsidRPr="00536700">
          <w:rPr>
            <w:rStyle w:val="Hyperlink"/>
            <w:sz w:val="22"/>
          </w:rPr>
          <w:t>Overview</w:t>
        </w:r>
        <w:r w:rsidR="00CD64E6" w:rsidRPr="00062869">
          <w:rPr>
            <w:rStyle w:val="Hyperlink"/>
            <w:webHidden/>
            <w:sz w:val="22"/>
          </w:rPr>
          <w:tab/>
        </w:r>
        <w:r w:rsidR="00CD64E6" w:rsidRPr="00062869">
          <w:rPr>
            <w:rStyle w:val="Hyperlink"/>
            <w:webHidden/>
            <w:sz w:val="22"/>
          </w:rPr>
          <w:fldChar w:fldCharType="begin"/>
        </w:r>
        <w:r w:rsidR="00CD64E6" w:rsidRPr="00062869">
          <w:rPr>
            <w:rStyle w:val="Hyperlink"/>
            <w:webHidden/>
            <w:sz w:val="22"/>
          </w:rPr>
          <w:instrText xml:space="preserve"> PAGEREF _Toc58271419 \h </w:instrText>
        </w:r>
        <w:r w:rsidR="00CD64E6" w:rsidRPr="00062869">
          <w:rPr>
            <w:rStyle w:val="Hyperlink"/>
            <w:webHidden/>
            <w:sz w:val="22"/>
          </w:rPr>
        </w:r>
        <w:r w:rsidR="00CD64E6" w:rsidRPr="00062869">
          <w:rPr>
            <w:rStyle w:val="Hyperlink"/>
            <w:webHidden/>
            <w:sz w:val="22"/>
          </w:rPr>
          <w:fldChar w:fldCharType="separate"/>
        </w:r>
        <w:r w:rsidR="00EC234F">
          <w:rPr>
            <w:rStyle w:val="Hyperlink"/>
            <w:webHidden/>
            <w:sz w:val="22"/>
          </w:rPr>
          <w:t>2</w:t>
        </w:r>
        <w:r w:rsidR="00CD64E6" w:rsidRPr="00062869">
          <w:rPr>
            <w:rStyle w:val="Hyperlink"/>
            <w:webHidden/>
            <w:sz w:val="22"/>
          </w:rPr>
          <w:fldChar w:fldCharType="end"/>
        </w:r>
      </w:hyperlink>
    </w:p>
    <w:p w14:paraId="53685F51" w14:textId="77777777" w:rsidR="00CD64E6" w:rsidRPr="00062869" w:rsidRDefault="00D650E3" w:rsidP="00062869">
      <w:pPr>
        <w:pStyle w:val="TOC1"/>
        <w:spacing w:before="120" w:after="40" w:line="280" w:lineRule="exact"/>
        <w:ind w:right="1985"/>
        <w:rPr>
          <w:rStyle w:val="Hyperlink"/>
        </w:rPr>
      </w:pPr>
      <w:hyperlink w:anchor="_Toc58271421" w:history="1">
        <w:r w:rsidR="00CD64E6" w:rsidRPr="00536700">
          <w:rPr>
            <w:rStyle w:val="Hyperlink"/>
            <w:sz w:val="22"/>
          </w:rPr>
          <w:t>1</w:t>
        </w:r>
        <w:r w:rsidR="00CD64E6" w:rsidRPr="00062869">
          <w:rPr>
            <w:rStyle w:val="Hyperlink"/>
          </w:rPr>
          <w:tab/>
        </w:r>
        <w:r w:rsidR="00CD64E6" w:rsidRPr="00536700">
          <w:rPr>
            <w:rStyle w:val="Hyperlink"/>
            <w:sz w:val="22"/>
          </w:rPr>
          <w:t>Projected underlying cash balance</w:t>
        </w:r>
        <w:r w:rsidR="00CD64E6" w:rsidRPr="00062869">
          <w:rPr>
            <w:rStyle w:val="Hyperlink"/>
            <w:webHidden/>
          </w:rPr>
          <w:tab/>
        </w:r>
        <w:r w:rsidR="00CD64E6" w:rsidRPr="00062869">
          <w:rPr>
            <w:rStyle w:val="Hyperlink"/>
            <w:webHidden/>
          </w:rPr>
          <w:fldChar w:fldCharType="begin"/>
        </w:r>
        <w:r w:rsidR="00CD64E6" w:rsidRPr="00062869">
          <w:rPr>
            <w:rStyle w:val="Hyperlink"/>
            <w:webHidden/>
          </w:rPr>
          <w:instrText xml:space="preserve"> PAGEREF _Toc58271421 \h </w:instrText>
        </w:r>
        <w:r w:rsidR="00CD64E6" w:rsidRPr="00062869">
          <w:rPr>
            <w:rStyle w:val="Hyperlink"/>
            <w:webHidden/>
          </w:rPr>
        </w:r>
        <w:r w:rsidR="00CD64E6" w:rsidRPr="00062869">
          <w:rPr>
            <w:rStyle w:val="Hyperlink"/>
            <w:webHidden/>
          </w:rPr>
          <w:fldChar w:fldCharType="separate"/>
        </w:r>
        <w:r w:rsidR="00EC234F">
          <w:rPr>
            <w:rStyle w:val="Hyperlink"/>
            <w:webHidden/>
          </w:rPr>
          <w:t>3</w:t>
        </w:r>
        <w:r w:rsidR="00CD64E6" w:rsidRPr="00062869">
          <w:rPr>
            <w:rStyle w:val="Hyperlink"/>
            <w:webHidden/>
          </w:rPr>
          <w:fldChar w:fldCharType="end"/>
        </w:r>
      </w:hyperlink>
    </w:p>
    <w:p w14:paraId="661D88A8" w14:textId="77777777" w:rsidR="00CD64E6" w:rsidRPr="00536700" w:rsidRDefault="00D650E3" w:rsidP="00062869">
      <w:pPr>
        <w:pStyle w:val="TOC2"/>
        <w:spacing w:after="0" w:line="300" w:lineRule="exact"/>
        <w:ind w:left="1134"/>
        <w:rPr>
          <w:rFonts w:asciiTheme="minorHAnsi" w:hAnsiTheme="minorHAnsi"/>
          <w:color w:val="auto"/>
          <w:sz w:val="22"/>
        </w:rPr>
      </w:pPr>
      <w:hyperlink w:anchor="_Toc58271422" w:history="1">
        <w:r w:rsidR="00CD64E6" w:rsidRPr="00536700">
          <w:rPr>
            <w:rStyle w:val="Hyperlink"/>
            <w:sz w:val="22"/>
          </w:rPr>
          <w:t>1.1</w:t>
        </w:r>
        <w:r w:rsidR="00CD64E6" w:rsidRPr="00536700">
          <w:rPr>
            <w:rFonts w:asciiTheme="minorHAnsi" w:hAnsiTheme="minorHAnsi"/>
            <w:color w:val="auto"/>
            <w:sz w:val="22"/>
          </w:rPr>
          <w:tab/>
        </w:r>
        <w:r w:rsidR="00CD64E6" w:rsidRPr="00536700">
          <w:rPr>
            <w:rStyle w:val="Hyperlink"/>
            <w:sz w:val="22"/>
          </w:rPr>
          <w:t>Underlying cash balance</w:t>
        </w:r>
        <w:r w:rsidR="00CD64E6" w:rsidRPr="00536700">
          <w:rPr>
            <w:webHidden/>
            <w:sz w:val="22"/>
          </w:rPr>
          <w:tab/>
        </w:r>
        <w:r w:rsidR="00CD64E6" w:rsidRPr="00536700">
          <w:rPr>
            <w:webHidden/>
            <w:sz w:val="22"/>
          </w:rPr>
          <w:fldChar w:fldCharType="begin"/>
        </w:r>
        <w:r w:rsidR="00CD64E6" w:rsidRPr="00536700">
          <w:rPr>
            <w:webHidden/>
            <w:sz w:val="22"/>
          </w:rPr>
          <w:instrText xml:space="preserve"> PAGEREF _Toc58271422 \h </w:instrText>
        </w:r>
        <w:r w:rsidR="00CD64E6" w:rsidRPr="00536700">
          <w:rPr>
            <w:webHidden/>
            <w:sz w:val="22"/>
          </w:rPr>
        </w:r>
        <w:r w:rsidR="00CD64E6" w:rsidRPr="00536700">
          <w:rPr>
            <w:webHidden/>
            <w:sz w:val="22"/>
          </w:rPr>
          <w:fldChar w:fldCharType="separate"/>
        </w:r>
        <w:r w:rsidR="00EC234F">
          <w:rPr>
            <w:webHidden/>
            <w:sz w:val="22"/>
          </w:rPr>
          <w:t>3</w:t>
        </w:r>
        <w:r w:rsidR="00CD64E6" w:rsidRPr="00536700">
          <w:rPr>
            <w:webHidden/>
            <w:sz w:val="22"/>
          </w:rPr>
          <w:fldChar w:fldCharType="end"/>
        </w:r>
      </w:hyperlink>
    </w:p>
    <w:p w14:paraId="161073E5" w14:textId="77777777" w:rsidR="00CD64E6" w:rsidRPr="00536700" w:rsidRDefault="00D650E3" w:rsidP="00062869">
      <w:pPr>
        <w:pStyle w:val="TOC2"/>
        <w:spacing w:after="0" w:line="300" w:lineRule="exact"/>
        <w:ind w:left="1134"/>
        <w:rPr>
          <w:rFonts w:asciiTheme="minorHAnsi" w:hAnsiTheme="minorHAnsi"/>
          <w:color w:val="auto"/>
          <w:sz w:val="22"/>
        </w:rPr>
      </w:pPr>
      <w:hyperlink w:anchor="_Toc58271424" w:history="1">
        <w:r w:rsidR="00CD64E6" w:rsidRPr="00536700">
          <w:rPr>
            <w:rStyle w:val="Hyperlink"/>
            <w:sz w:val="22"/>
          </w:rPr>
          <w:t>1.2</w:t>
        </w:r>
        <w:r w:rsidR="00CD64E6" w:rsidRPr="00536700">
          <w:rPr>
            <w:rFonts w:asciiTheme="minorHAnsi" w:hAnsiTheme="minorHAnsi"/>
            <w:color w:val="auto"/>
            <w:sz w:val="22"/>
          </w:rPr>
          <w:tab/>
        </w:r>
        <w:r w:rsidR="00CD64E6" w:rsidRPr="00536700">
          <w:rPr>
            <w:rStyle w:val="Hyperlink"/>
            <w:sz w:val="22"/>
          </w:rPr>
          <w:t>Medium-term fiscal strategy</w:t>
        </w:r>
        <w:r w:rsidR="00CD64E6" w:rsidRPr="00536700">
          <w:rPr>
            <w:webHidden/>
            <w:sz w:val="22"/>
          </w:rPr>
          <w:tab/>
        </w:r>
        <w:r w:rsidR="00CD64E6" w:rsidRPr="00536700">
          <w:rPr>
            <w:webHidden/>
            <w:sz w:val="22"/>
          </w:rPr>
          <w:fldChar w:fldCharType="begin"/>
        </w:r>
        <w:r w:rsidR="00CD64E6" w:rsidRPr="00536700">
          <w:rPr>
            <w:webHidden/>
            <w:sz w:val="22"/>
          </w:rPr>
          <w:instrText xml:space="preserve"> PAGEREF _Toc58271424 \h </w:instrText>
        </w:r>
        <w:r w:rsidR="00CD64E6" w:rsidRPr="00536700">
          <w:rPr>
            <w:webHidden/>
            <w:sz w:val="22"/>
          </w:rPr>
        </w:r>
        <w:r w:rsidR="00CD64E6" w:rsidRPr="00536700">
          <w:rPr>
            <w:webHidden/>
            <w:sz w:val="22"/>
          </w:rPr>
          <w:fldChar w:fldCharType="separate"/>
        </w:r>
        <w:r w:rsidR="00EC234F">
          <w:rPr>
            <w:webHidden/>
            <w:sz w:val="22"/>
          </w:rPr>
          <w:t>5</w:t>
        </w:r>
        <w:r w:rsidR="00CD64E6" w:rsidRPr="00536700">
          <w:rPr>
            <w:webHidden/>
            <w:sz w:val="22"/>
          </w:rPr>
          <w:fldChar w:fldCharType="end"/>
        </w:r>
      </w:hyperlink>
    </w:p>
    <w:p w14:paraId="103ACA06" w14:textId="77777777" w:rsidR="00CD64E6" w:rsidRPr="00536700" w:rsidRDefault="00D650E3" w:rsidP="00062869">
      <w:pPr>
        <w:pStyle w:val="TOC2"/>
        <w:spacing w:after="0" w:line="300" w:lineRule="exact"/>
        <w:ind w:left="1134"/>
        <w:rPr>
          <w:rFonts w:asciiTheme="minorHAnsi" w:hAnsiTheme="minorHAnsi"/>
          <w:color w:val="auto"/>
          <w:sz w:val="22"/>
        </w:rPr>
      </w:pPr>
      <w:hyperlink w:anchor="_Toc58271425" w:history="1">
        <w:r w:rsidR="00CD64E6" w:rsidRPr="00536700">
          <w:rPr>
            <w:rStyle w:val="Hyperlink"/>
            <w:sz w:val="22"/>
          </w:rPr>
          <w:t>1.3</w:t>
        </w:r>
        <w:r w:rsidR="00CD64E6" w:rsidRPr="00536700">
          <w:rPr>
            <w:rFonts w:asciiTheme="minorHAnsi" w:hAnsiTheme="minorHAnsi"/>
            <w:color w:val="auto"/>
            <w:sz w:val="22"/>
          </w:rPr>
          <w:tab/>
        </w:r>
        <w:r w:rsidR="00CD64E6" w:rsidRPr="00536700">
          <w:rPr>
            <w:rStyle w:val="Hyperlink"/>
            <w:sz w:val="22"/>
          </w:rPr>
          <w:t>Changes from the PBO’s 2019-20 Medium-term projections</w:t>
        </w:r>
        <w:r w:rsidR="00CD64E6" w:rsidRPr="00536700">
          <w:rPr>
            <w:webHidden/>
            <w:sz w:val="22"/>
          </w:rPr>
          <w:tab/>
        </w:r>
        <w:r w:rsidR="00CD64E6" w:rsidRPr="00536700">
          <w:rPr>
            <w:webHidden/>
            <w:sz w:val="22"/>
          </w:rPr>
          <w:fldChar w:fldCharType="begin"/>
        </w:r>
        <w:r w:rsidR="00CD64E6" w:rsidRPr="00536700">
          <w:rPr>
            <w:webHidden/>
            <w:sz w:val="22"/>
          </w:rPr>
          <w:instrText xml:space="preserve"> PAGEREF _Toc58271425 \h </w:instrText>
        </w:r>
        <w:r w:rsidR="00CD64E6" w:rsidRPr="00536700">
          <w:rPr>
            <w:webHidden/>
            <w:sz w:val="22"/>
          </w:rPr>
        </w:r>
        <w:r w:rsidR="00CD64E6" w:rsidRPr="00536700">
          <w:rPr>
            <w:webHidden/>
            <w:sz w:val="22"/>
          </w:rPr>
          <w:fldChar w:fldCharType="separate"/>
        </w:r>
        <w:r w:rsidR="00EC234F">
          <w:rPr>
            <w:webHidden/>
            <w:sz w:val="22"/>
          </w:rPr>
          <w:t>6</w:t>
        </w:r>
        <w:r w:rsidR="00CD64E6" w:rsidRPr="00536700">
          <w:rPr>
            <w:webHidden/>
            <w:sz w:val="22"/>
          </w:rPr>
          <w:fldChar w:fldCharType="end"/>
        </w:r>
      </w:hyperlink>
    </w:p>
    <w:p w14:paraId="3A64F3A4" w14:textId="757132C0" w:rsidR="00CD64E6" w:rsidRPr="00062869" w:rsidRDefault="00D650E3" w:rsidP="00062869">
      <w:pPr>
        <w:pStyle w:val="TOC1"/>
        <w:spacing w:before="120" w:after="40" w:line="280" w:lineRule="exact"/>
        <w:ind w:right="1985"/>
        <w:rPr>
          <w:rStyle w:val="Hyperlink"/>
          <w:sz w:val="22"/>
        </w:rPr>
      </w:pPr>
      <w:hyperlink w:anchor="_Toc58271426" w:history="1">
        <w:r w:rsidR="00CD64E6" w:rsidRPr="00536700">
          <w:rPr>
            <w:rStyle w:val="Hyperlink"/>
            <w:sz w:val="22"/>
          </w:rPr>
          <w:t>2</w:t>
        </w:r>
        <w:r w:rsidR="00CD64E6" w:rsidRPr="00062869">
          <w:rPr>
            <w:rStyle w:val="Hyperlink"/>
            <w:sz w:val="22"/>
          </w:rPr>
          <w:tab/>
        </w:r>
        <w:r w:rsidR="00CD64E6" w:rsidRPr="00536700">
          <w:rPr>
            <w:rStyle w:val="Hyperlink"/>
            <w:sz w:val="22"/>
          </w:rPr>
          <w:t>Projected receipts</w:t>
        </w:r>
        <w:r w:rsidR="00CD64E6" w:rsidRPr="00062869">
          <w:rPr>
            <w:rStyle w:val="Hyperlink"/>
            <w:webHidden/>
            <w:sz w:val="22"/>
          </w:rPr>
          <w:tab/>
        </w:r>
        <w:r w:rsidR="00CD64E6" w:rsidRPr="00062869">
          <w:rPr>
            <w:rStyle w:val="Hyperlink"/>
            <w:webHidden/>
            <w:sz w:val="22"/>
          </w:rPr>
          <w:fldChar w:fldCharType="begin"/>
        </w:r>
        <w:r w:rsidR="00CD64E6" w:rsidRPr="00062869">
          <w:rPr>
            <w:rStyle w:val="Hyperlink"/>
            <w:webHidden/>
            <w:sz w:val="22"/>
          </w:rPr>
          <w:instrText xml:space="preserve"> PAGEREF _Toc58271426 \h </w:instrText>
        </w:r>
        <w:r w:rsidR="00CD64E6" w:rsidRPr="00062869">
          <w:rPr>
            <w:rStyle w:val="Hyperlink"/>
            <w:webHidden/>
            <w:sz w:val="22"/>
          </w:rPr>
        </w:r>
        <w:r w:rsidR="00CD64E6" w:rsidRPr="00062869">
          <w:rPr>
            <w:rStyle w:val="Hyperlink"/>
            <w:webHidden/>
            <w:sz w:val="22"/>
          </w:rPr>
          <w:fldChar w:fldCharType="separate"/>
        </w:r>
        <w:r w:rsidR="00EC234F">
          <w:rPr>
            <w:rStyle w:val="Hyperlink"/>
            <w:webHidden/>
            <w:sz w:val="22"/>
          </w:rPr>
          <w:t>10</w:t>
        </w:r>
        <w:r w:rsidR="00CD64E6" w:rsidRPr="00062869">
          <w:rPr>
            <w:rStyle w:val="Hyperlink"/>
            <w:webHidden/>
            <w:sz w:val="22"/>
          </w:rPr>
          <w:fldChar w:fldCharType="end"/>
        </w:r>
      </w:hyperlink>
    </w:p>
    <w:p w14:paraId="4DE39B8A" w14:textId="6382CA9C" w:rsidR="00CD64E6" w:rsidRPr="00536700" w:rsidRDefault="00D650E3" w:rsidP="00062869">
      <w:pPr>
        <w:pStyle w:val="TOC2"/>
        <w:spacing w:after="0" w:line="300" w:lineRule="exact"/>
        <w:ind w:left="1134"/>
        <w:rPr>
          <w:rFonts w:asciiTheme="minorHAnsi" w:hAnsiTheme="minorHAnsi"/>
          <w:color w:val="auto"/>
          <w:sz w:val="22"/>
        </w:rPr>
      </w:pPr>
      <w:hyperlink w:anchor="_Toc58271427" w:history="1">
        <w:r w:rsidR="00CD64E6" w:rsidRPr="00536700">
          <w:rPr>
            <w:rStyle w:val="Hyperlink"/>
            <w:sz w:val="22"/>
          </w:rPr>
          <w:t>2.1</w:t>
        </w:r>
        <w:r w:rsidR="00CD64E6" w:rsidRPr="00536700">
          <w:rPr>
            <w:rFonts w:asciiTheme="minorHAnsi" w:hAnsiTheme="minorHAnsi"/>
            <w:color w:val="auto"/>
            <w:sz w:val="22"/>
          </w:rPr>
          <w:tab/>
        </w:r>
        <w:r w:rsidR="00CD64E6" w:rsidRPr="00536700">
          <w:rPr>
            <w:rStyle w:val="Hyperlink"/>
            <w:sz w:val="22"/>
          </w:rPr>
          <w:t>Total receipts</w:t>
        </w:r>
        <w:r w:rsidR="00CD64E6" w:rsidRPr="00536700">
          <w:rPr>
            <w:webHidden/>
            <w:sz w:val="22"/>
          </w:rPr>
          <w:tab/>
        </w:r>
        <w:r w:rsidR="00CD64E6" w:rsidRPr="00536700">
          <w:rPr>
            <w:webHidden/>
            <w:sz w:val="22"/>
          </w:rPr>
          <w:fldChar w:fldCharType="begin"/>
        </w:r>
        <w:r w:rsidR="00CD64E6" w:rsidRPr="00536700">
          <w:rPr>
            <w:webHidden/>
            <w:sz w:val="22"/>
          </w:rPr>
          <w:instrText xml:space="preserve"> PAGEREF _Toc58271427 \h </w:instrText>
        </w:r>
        <w:r w:rsidR="00CD64E6" w:rsidRPr="00536700">
          <w:rPr>
            <w:webHidden/>
            <w:sz w:val="22"/>
          </w:rPr>
        </w:r>
        <w:r w:rsidR="00CD64E6" w:rsidRPr="00536700">
          <w:rPr>
            <w:webHidden/>
            <w:sz w:val="22"/>
          </w:rPr>
          <w:fldChar w:fldCharType="separate"/>
        </w:r>
        <w:r w:rsidR="00EC234F">
          <w:rPr>
            <w:webHidden/>
            <w:sz w:val="22"/>
          </w:rPr>
          <w:t>10</w:t>
        </w:r>
        <w:r w:rsidR="00CD64E6" w:rsidRPr="00536700">
          <w:rPr>
            <w:webHidden/>
            <w:sz w:val="22"/>
          </w:rPr>
          <w:fldChar w:fldCharType="end"/>
        </w:r>
      </w:hyperlink>
    </w:p>
    <w:p w14:paraId="2FD2E97B" w14:textId="2BA3AFB2" w:rsidR="00CD64E6" w:rsidRPr="00536700" w:rsidRDefault="00D650E3" w:rsidP="00062869">
      <w:pPr>
        <w:pStyle w:val="TOC2"/>
        <w:spacing w:after="0" w:line="300" w:lineRule="exact"/>
        <w:ind w:left="1134"/>
        <w:rPr>
          <w:rFonts w:asciiTheme="minorHAnsi" w:hAnsiTheme="minorHAnsi"/>
          <w:color w:val="auto"/>
          <w:sz w:val="22"/>
        </w:rPr>
      </w:pPr>
      <w:hyperlink w:anchor="_Toc58271428" w:history="1">
        <w:r w:rsidR="00CD64E6" w:rsidRPr="00536700">
          <w:rPr>
            <w:rStyle w:val="Hyperlink"/>
            <w:sz w:val="22"/>
          </w:rPr>
          <w:t>2.2</w:t>
        </w:r>
        <w:r w:rsidR="00CD64E6" w:rsidRPr="00536700">
          <w:rPr>
            <w:rFonts w:asciiTheme="minorHAnsi" w:hAnsiTheme="minorHAnsi"/>
            <w:color w:val="auto"/>
            <w:sz w:val="22"/>
          </w:rPr>
          <w:tab/>
        </w:r>
        <w:r w:rsidR="00CD64E6" w:rsidRPr="00536700">
          <w:rPr>
            <w:rStyle w:val="Hyperlink"/>
            <w:sz w:val="22"/>
          </w:rPr>
          <w:t>Personal income tax</w:t>
        </w:r>
        <w:r w:rsidR="00CD64E6" w:rsidRPr="00536700">
          <w:rPr>
            <w:webHidden/>
            <w:sz w:val="22"/>
          </w:rPr>
          <w:tab/>
        </w:r>
        <w:r w:rsidR="00CD64E6" w:rsidRPr="00536700">
          <w:rPr>
            <w:webHidden/>
            <w:sz w:val="22"/>
          </w:rPr>
          <w:fldChar w:fldCharType="begin"/>
        </w:r>
        <w:r w:rsidR="00CD64E6" w:rsidRPr="00536700">
          <w:rPr>
            <w:webHidden/>
            <w:sz w:val="22"/>
          </w:rPr>
          <w:instrText xml:space="preserve"> PAGEREF _Toc58271428 \h </w:instrText>
        </w:r>
        <w:r w:rsidR="00CD64E6" w:rsidRPr="00536700">
          <w:rPr>
            <w:webHidden/>
            <w:sz w:val="22"/>
          </w:rPr>
        </w:r>
        <w:r w:rsidR="00CD64E6" w:rsidRPr="00536700">
          <w:rPr>
            <w:webHidden/>
            <w:sz w:val="22"/>
          </w:rPr>
          <w:fldChar w:fldCharType="separate"/>
        </w:r>
        <w:r w:rsidR="00EC234F">
          <w:rPr>
            <w:webHidden/>
            <w:sz w:val="22"/>
          </w:rPr>
          <w:t>11</w:t>
        </w:r>
        <w:r w:rsidR="00CD64E6" w:rsidRPr="00536700">
          <w:rPr>
            <w:webHidden/>
            <w:sz w:val="22"/>
          </w:rPr>
          <w:fldChar w:fldCharType="end"/>
        </w:r>
      </w:hyperlink>
    </w:p>
    <w:p w14:paraId="4953E02F" w14:textId="4197FE28" w:rsidR="00CD64E6" w:rsidRPr="00536700" w:rsidRDefault="00D650E3" w:rsidP="00062869">
      <w:pPr>
        <w:pStyle w:val="TOC2"/>
        <w:spacing w:after="0" w:line="300" w:lineRule="exact"/>
        <w:ind w:left="1134"/>
        <w:rPr>
          <w:rFonts w:asciiTheme="minorHAnsi" w:hAnsiTheme="minorHAnsi"/>
          <w:color w:val="auto"/>
          <w:sz w:val="22"/>
        </w:rPr>
      </w:pPr>
      <w:hyperlink w:anchor="_Toc58271429" w:history="1">
        <w:r w:rsidR="00CD64E6" w:rsidRPr="00536700">
          <w:rPr>
            <w:rStyle w:val="Hyperlink"/>
            <w:sz w:val="22"/>
          </w:rPr>
          <w:t>2.3</w:t>
        </w:r>
        <w:r w:rsidR="00CD64E6" w:rsidRPr="00536700">
          <w:rPr>
            <w:rFonts w:asciiTheme="minorHAnsi" w:hAnsiTheme="minorHAnsi"/>
            <w:color w:val="auto"/>
            <w:sz w:val="22"/>
          </w:rPr>
          <w:tab/>
        </w:r>
        <w:r w:rsidR="00CD64E6" w:rsidRPr="00536700">
          <w:rPr>
            <w:rStyle w:val="Hyperlink"/>
            <w:sz w:val="22"/>
          </w:rPr>
          <w:t>Company tax receipts</w:t>
        </w:r>
        <w:r w:rsidR="00CD64E6" w:rsidRPr="00536700">
          <w:rPr>
            <w:webHidden/>
            <w:sz w:val="22"/>
          </w:rPr>
          <w:tab/>
        </w:r>
        <w:r w:rsidR="00CD64E6" w:rsidRPr="00536700">
          <w:rPr>
            <w:webHidden/>
            <w:sz w:val="22"/>
          </w:rPr>
          <w:fldChar w:fldCharType="begin"/>
        </w:r>
        <w:r w:rsidR="00CD64E6" w:rsidRPr="00536700">
          <w:rPr>
            <w:webHidden/>
            <w:sz w:val="22"/>
          </w:rPr>
          <w:instrText xml:space="preserve"> PAGEREF _Toc58271429 \h </w:instrText>
        </w:r>
        <w:r w:rsidR="00CD64E6" w:rsidRPr="00536700">
          <w:rPr>
            <w:webHidden/>
            <w:sz w:val="22"/>
          </w:rPr>
        </w:r>
        <w:r w:rsidR="00CD64E6" w:rsidRPr="00536700">
          <w:rPr>
            <w:webHidden/>
            <w:sz w:val="22"/>
          </w:rPr>
          <w:fldChar w:fldCharType="separate"/>
        </w:r>
        <w:r w:rsidR="00EC234F">
          <w:rPr>
            <w:webHidden/>
            <w:sz w:val="22"/>
          </w:rPr>
          <w:t>14</w:t>
        </w:r>
        <w:r w:rsidR="00CD64E6" w:rsidRPr="00536700">
          <w:rPr>
            <w:webHidden/>
            <w:sz w:val="22"/>
          </w:rPr>
          <w:fldChar w:fldCharType="end"/>
        </w:r>
      </w:hyperlink>
    </w:p>
    <w:p w14:paraId="31CC565F" w14:textId="7EFE0ABC" w:rsidR="00CD64E6" w:rsidRPr="00536700" w:rsidRDefault="00D650E3" w:rsidP="00062869">
      <w:pPr>
        <w:pStyle w:val="TOC2"/>
        <w:spacing w:after="0" w:line="300" w:lineRule="exact"/>
        <w:ind w:left="1134"/>
        <w:rPr>
          <w:rFonts w:asciiTheme="minorHAnsi" w:hAnsiTheme="minorHAnsi"/>
          <w:color w:val="auto"/>
          <w:sz w:val="22"/>
        </w:rPr>
      </w:pPr>
      <w:hyperlink w:anchor="_Toc58271430" w:history="1">
        <w:r w:rsidR="00CD64E6" w:rsidRPr="00536700">
          <w:rPr>
            <w:rStyle w:val="Hyperlink"/>
            <w:sz w:val="22"/>
          </w:rPr>
          <w:t>2.4</w:t>
        </w:r>
        <w:r w:rsidR="00CD64E6" w:rsidRPr="00536700">
          <w:rPr>
            <w:rFonts w:asciiTheme="minorHAnsi" w:hAnsiTheme="minorHAnsi"/>
            <w:color w:val="auto"/>
            <w:sz w:val="22"/>
          </w:rPr>
          <w:tab/>
        </w:r>
        <w:r w:rsidR="00CD64E6" w:rsidRPr="00536700">
          <w:rPr>
            <w:rStyle w:val="Hyperlink"/>
            <w:sz w:val="22"/>
          </w:rPr>
          <w:t>Goods and services tax (GST) receipts</w:t>
        </w:r>
        <w:r w:rsidR="00CD64E6" w:rsidRPr="00536700">
          <w:rPr>
            <w:webHidden/>
            <w:sz w:val="22"/>
          </w:rPr>
          <w:tab/>
        </w:r>
        <w:r w:rsidR="00CD64E6" w:rsidRPr="00536700">
          <w:rPr>
            <w:webHidden/>
            <w:sz w:val="22"/>
          </w:rPr>
          <w:fldChar w:fldCharType="begin"/>
        </w:r>
        <w:r w:rsidR="00CD64E6" w:rsidRPr="00536700">
          <w:rPr>
            <w:webHidden/>
            <w:sz w:val="22"/>
          </w:rPr>
          <w:instrText xml:space="preserve"> PAGEREF _Toc58271430 \h </w:instrText>
        </w:r>
        <w:r w:rsidR="00CD64E6" w:rsidRPr="00536700">
          <w:rPr>
            <w:webHidden/>
            <w:sz w:val="22"/>
          </w:rPr>
        </w:r>
        <w:r w:rsidR="00CD64E6" w:rsidRPr="00536700">
          <w:rPr>
            <w:webHidden/>
            <w:sz w:val="22"/>
          </w:rPr>
          <w:fldChar w:fldCharType="separate"/>
        </w:r>
        <w:r w:rsidR="00EC234F">
          <w:rPr>
            <w:webHidden/>
            <w:sz w:val="22"/>
          </w:rPr>
          <w:t>14</w:t>
        </w:r>
        <w:r w:rsidR="00CD64E6" w:rsidRPr="00536700">
          <w:rPr>
            <w:webHidden/>
            <w:sz w:val="22"/>
          </w:rPr>
          <w:fldChar w:fldCharType="end"/>
        </w:r>
      </w:hyperlink>
    </w:p>
    <w:p w14:paraId="071A588D" w14:textId="72EED610" w:rsidR="00CD64E6" w:rsidRPr="00536700" w:rsidRDefault="00D650E3" w:rsidP="00062869">
      <w:pPr>
        <w:pStyle w:val="TOC2"/>
        <w:spacing w:after="0" w:line="300" w:lineRule="exact"/>
        <w:ind w:left="1134"/>
        <w:rPr>
          <w:rFonts w:asciiTheme="minorHAnsi" w:hAnsiTheme="minorHAnsi"/>
          <w:color w:val="auto"/>
          <w:sz w:val="22"/>
        </w:rPr>
      </w:pPr>
      <w:hyperlink w:anchor="_Toc58271431" w:history="1">
        <w:r w:rsidR="00CD64E6" w:rsidRPr="00536700">
          <w:rPr>
            <w:rStyle w:val="Hyperlink"/>
            <w:sz w:val="22"/>
          </w:rPr>
          <w:t>2.5</w:t>
        </w:r>
        <w:r w:rsidR="00CD64E6" w:rsidRPr="00536700">
          <w:rPr>
            <w:rFonts w:asciiTheme="minorHAnsi" w:hAnsiTheme="minorHAnsi"/>
            <w:color w:val="auto"/>
            <w:sz w:val="22"/>
          </w:rPr>
          <w:tab/>
        </w:r>
        <w:r w:rsidR="00CD64E6" w:rsidRPr="00536700">
          <w:rPr>
            <w:rStyle w:val="Hyperlink"/>
            <w:sz w:val="22"/>
          </w:rPr>
          <w:t>Superannuation fund tax receipts</w:t>
        </w:r>
        <w:r w:rsidR="00CD64E6" w:rsidRPr="00536700">
          <w:rPr>
            <w:webHidden/>
            <w:sz w:val="22"/>
          </w:rPr>
          <w:tab/>
        </w:r>
        <w:r w:rsidR="00CD64E6" w:rsidRPr="00536700">
          <w:rPr>
            <w:webHidden/>
            <w:sz w:val="22"/>
          </w:rPr>
          <w:fldChar w:fldCharType="begin"/>
        </w:r>
        <w:r w:rsidR="00CD64E6" w:rsidRPr="00536700">
          <w:rPr>
            <w:webHidden/>
            <w:sz w:val="22"/>
          </w:rPr>
          <w:instrText xml:space="preserve"> PAGEREF _Toc58271431 \h </w:instrText>
        </w:r>
        <w:r w:rsidR="00CD64E6" w:rsidRPr="00536700">
          <w:rPr>
            <w:webHidden/>
            <w:sz w:val="22"/>
          </w:rPr>
        </w:r>
        <w:r w:rsidR="00CD64E6" w:rsidRPr="00536700">
          <w:rPr>
            <w:webHidden/>
            <w:sz w:val="22"/>
          </w:rPr>
          <w:fldChar w:fldCharType="separate"/>
        </w:r>
        <w:r w:rsidR="00EC234F">
          <w:rPr>
            <w:webHidden/>
            <w:sz w:val="22"/>
          </w:rPr>
          <w:t>14</w:t>
        </w:r>
        <w:r w:rsidR="00CD64E6" w:rsidRPr="00536700">
          <w:rPr>
            <w:webHidden/>
            <w:sz w:val="22"/>
          </w:rPr>
          <w:fldChar w:fldCharType="end"/>
        </w:r>
      </w:hyperlink>
    </w:p>
    <w:p w14:paraId="18C3CB21" w14:textId="4F97291C" w:rsidR="00CD64E6" w:rsidRPr="00536700" w:rsidRDefault="00D650E3" w:rsidP="00062869">
      <w:pPr>
        <w:pStyle w:val="TOC2"/>
        <w:spacing w:after="0" w:line="300" w:lineRule="exact"/>
        <w:ind w:left="1134"/>
        <w:rPr>
          <w:rFonts w:asciiTheme="minorHAnsi" w:hAnsiTheme="minorHAnsi"/>
          <w:color w:val="auto"/>
          <w:sz w:val="22"/>
        </w:rPr>
      </w:pPr>
      <w:hyperlink w:anchor="_Toc58271432" w:history="1">
        <w:r w:rsidR="00CD64E6" w:rsidRPr="00536700">
          <w:rPr>
            <w:rStyle w:val="Hyperlink"/>
            <w:sz w:val="22"/>
          </w:rPr>
          <w:t>2.6</w:t>
        </w:r>
        <w:r w:rsidR="00CD64E6" w:rsidRPr="00536700">
          <w:rPr>
            <w:rFonts w:asciiTheme="minorHAnsi" w:hAnsiTheme="minorHAnsi"/>
            <w:color w:val="auto"/>
            <w:sz w:val="22"/>
          </w:rPr>
          <w:tab/>
        </w:r>
        <w:r w:rsidR="00CD64E6" w:rsidRPr="00536700">
          <w:rPr>
            <w:rStyle w:val="Hyperlink"/>
            <w:sz w:val="22"/>
          </w:rPr>
          <w:t>Other receipts</w:t>
        </w:r>
        <w:r w:rsidR="00CD64E6" w:rsidRPr="00536700">
          <w:rPr>
            <w:webHidden/>
            <w:sz w:val="22"/>
          </w:rPr>
          <w:tab/>
        </w:r>
        <w:r w:rsidR="00CD64E6" w:rsidRPr="00536700">
          <w:rPr>
            <w:webHidden/>
            <w:sz w:val="22"/>
          </w:rPr>
          <w:fldChar w:fldCharType="begin"/>
        </w:r>
        <w:r w:rsidR="00CD64E6" w:rsidRPr="00536700">
          <w:rPr>
            <w:webHidden/>
            <w:sz w:val="22"/>
          </w:rPr>
          <w:instrText xml:space="preserve"> PAGEREF _Toc58271432 \h </w:instrText>
        </w:r>
        <w:r w:rsidR="00CD64E6" w:rsidRPr="00536700">
          <w:rPr>
            <w:webHidden/>
            <w:sz w:val="22"/>
          </w:rPr>
        </w:r>
        <w:r w:rsidR="00CD64E6" w:rsidRPr="00536700">
          <w:rPr>
            <w:webHidden/>
            <w:sz w:val="22"/>
          </w:rPr>
          <w:fldChar w:fldCharType="separate"/>
        </w:r>
        <w:r w:rsidR="00EC234F">
          <w:rPr>
            <w:webHidden/>
            <w:sz w:val="22"/>
          </w:rPr>
          <w:t>14</w:t>
        </w:r>
        <w:r w:rsidR="00CD64E6" w:rsidRPr="00536700">
          <w:rPr>
            <w:webHidden/>
            <w:sz w:val="22"/>
          </w:rPr>
          <w:fldChar w:fldCharType="end"/>
        </w:r>
      </w:hyperlink>
    </w:p>
    <w:p w14:paraId="2A54636B" w14:textId="7510F667" w:rsidR="00CD64E6" w:rsidRPr="00536700" w:rsidRDefault="00D650E3" w:rsidP="00062869">
      <w:pPr>
        <w:pStyle w:val="TOC2"/>
        <w:spacing w:after="0" w:line="300" w:lineRule="exact"/>
        <w:ind w:left="1134"/>
        <w:rPr>
          <w:rFonts w:asciiTheme="minorHAnsi" w:hAnsiTheme="minorHAnsi"/>
          <w:color w:val="auto"/>
          <w:sz w:val="22"/>
        </w:rPr>
      </w:pPr>
      <w:hyperlink w:anchor="_Toc58271433" w:history="1">
        <w:r w:rsidR="00CD64E6" w:rsidRPr="00536700">
          <w:rPr>
            <w:rStyle w:val="Hyperlink"/>
            <w:sz w:val="22"/>
          </w:rPr>
          <w:t>2.7</w:t>
        </w:r>
        <w:r w:rsidR="00CD64E6" w:rsidRPr="00536700">
          <w:rPr>
            <w:rFonts w:asciiTheme="minorHAnsi" w:hAnsiTheme="minorHAnsi"/>
            <w:color w:val="auto"/>
            <w:sz w:val="22"/>
          </w:rPr>
          <w:tab/>
        </w:r>
        <w:r w:rsidR="00CD64E6" w:rsidRPr="00536700">
          <w:rPr>
            <w:rStyle w:val="Hyperlink"/>
            <w:sz w:val="22"/>
          </w:rPr>
          <w:t>Risks around projected receipts</w:t>
        </w:r>
        <w:r w:rsidR="00CD64E6" w:rsidRPr="00536700">
          <w:rPr>
            <w:webHidden/>
            <w:sz w:val="22"/>
          </w:rPr>
          <w:tab/>
        </w:r>
        <w:r w:rsidR="00CD64E6" w:rsidRPr="00536700">
          <w:rPr>
            <w:webHidden/>
            <w:sz w:val="22"/>
          </w:rPr>
          <w:fldChar w:fldCharType="begin"/>
        </w:r>
        <w:r w:rsidR="00CD64E6" w:rsidRPr="00536700">
          <w:rPr>
            <w:webHidden/>
            <w:sz w:val="22"/>
          </w:rPr>
          <w:instrText xml:space="preserve"> PAGEREF _Toc58271433 \h </w:instrText>
        </w:r>
        <w:r w:rsidR="00CD64E6" w:rsidRPr="00536700">
          <w:rPr>
            <w:webHidden/>
            <w:sz w:val="22"/>
          </w:rPr>
        </w:r>
        <w:r w:rsidR="00CD64E6" w:rsidRPr="00536700">
          <w:rPr>
            <w:webHidden/>
            <w:sz w:val="22"/>
          </w:rPr>
          <w:fldChar w:fldCharType="separate"/>
        </w:r>
        <w:r w:rsidR="00EC234F">
          <w:rPr>
            <w:webHidden/>
            <w:sz w:val="22"/>
          </w:rPr>
          <w:t>15</w:t>
        </w:r>
        <w:r w:rsidR="00CD64E6" w:rsidRPr="00536700">
          <w:rPr>
            <w:webHidden/>
            <w:sz w:val="22"/>
          </w:rPr>
          <w:fldChar w:fldCharType="end"/>
        </w:r>
      </w:hyperlink>
    </w:p>
    <w:p w14:paraId="0276BCB8" w14:textId="26C9C874" w:rsidR="00CD64E6" w:rsidRPr="00062869" w:rsidRDefault="00D650E3" w:rsidP="00062869">
      <w:pPr>
        <w:pStyle w:val="TOC1"/>
        <w:spacing w:before="120" w:after="40" w:line="280" w:lineRule="exact"/>
        <w:ind w:right="1985"/>
        <w:rPr>
          <w:rStyle w:val="Hyperlink"/>
          <w:sz w:val="22"/>
        </w:rPr>
      </w:pPr>
      <w:hyperlink w:anchor="_Toc58271434" w:history="1">
        <w:r w:rsidR="00CD64E6" w:rsidRPr="00536700">
          <w:rPr>
            <w:rStyle w:val="Hyperlink"/>
            <w:sz w:val="22"/>
          </w:rPr>
          <w:t>3</w:t>
        </w:r>
        <w:r w:rsidR="00CD64E6" w:rsidRPr="00062869">
          <w:rPr>
            <w:rStyle w:val="Hyperlink"/>
            <w:sz w:val="22"/>
          </w:rPr>
          <w:tab/>
        </w:r>
        <w:r w:rsidR="00CD64E6" w:rsidRPr="00536700">
          <w:rPr>
            <w:rStyle w:val="Hyperlink"/>
            <w:sz w:val="22"/>
          </w:rPr>
          <w:t>Projected payments</w:t>
        </w:r>
        <w:r w:rsidR="00CD64E6" w:rsidRPr="00062869">
          <w:rPr>
            <w:rStyle w:val="Hyperlink"/>
            <w:webHidden/>
            <w:sz w:val="22"/>
          </w:rPr>
          <w:tab/>
        </w:r>
        <w:r w:rsidR="00CD64E6" w:rsidRPr="00062869">
          <w:rPr>
            <w:rStyle w:val="Hyperlink"/>
            <w:webHidden/>
            <w:sz w:val="22"/>
          </w:rPr>
          <w:fldChar w:fldCharType="begin"/>
        </w:r>
        <w:r w:rsidR="00CD64E6" w:rsidRPr="00062869">
          <w:rPr>
            <w:rStyle w:val="Hyperlink"/>
            <w:webHidden/>
            <w:sz w:val="22"/>
          </w:rPr>
          <w:instrText xml:space="preserve"> PAGEREF _Toc58271434 \h </w:instrText>
        </w:r>
        <w:r w:rsidR="00CD64E6" w:rsidRPr="00062869">
          <w:rPr>
            <w:rStyle w:val="Hyperlink"/>
            <w:webHidden/>
            <w:sz w:val="22"/>
          </w:rPr>
        </w:r>
        <w:r w:rsidR="00CD64E6" w:rsidRPr="00062869">
          <w:rPr>
            <w:rStyle w:val="Hyperlink"/>
            <w:webHidden/>
            <w:sz w:val="22"/>
          </w:rPr>
          <w:fldChar w:fldCharType="separate"/>
        </w:r>
        <w:r w:rsidR="00EC234F">
          <w:rPr>
            <w:rStyle w:val="Hyperlink"/>
            <w:webHidden/>
            <w:sz w:val="22"/>
          </w:rPr>
          <w:t>17</w:t>
        </w:r>
        <w:r w:rsidR="00CD64E6" w:rsidRPr="00062869">
          <w:rPr>
            <w:rStyle w:val="Hyperlink"/>
            <w:webHidden/>
            <w:sz w:val="22"/>
          </w:rPr>
          <w:fldChar w:fldCharType="end"/>
        </w:r>
      </w:hyperlink>
    </w:p>
    <w:p w14:paraId="20327ED7" w14:textId="261BC75C" w:rsidR="00CD64E6" w:rsidRPr="00536700" w:rsidRDefault="00D650E3" w:rsidP="00062869">
      <w:pPr>
        <w:pStyle w:val="TOC2"/>
        <w:spacing w:after="0" w:line="300" w:lineRule="exact"/>
        <w:ind w:left="1134"/>
        <w:rPr>
          <w:rFonts w:asciiTheme="minorHAnsi" w:hAnsiTheme="minorHAnsi"/>
          <w:color w:val="auto"/>
          <w:sz w:val="22"/>
        </w:rPr>
      </w:pPr>
      <w:hyperlink w:anchor="_Toc58271435" w:history="1">
        <w:r w:rsidR="00CD64E6" w:rsidRPr="00536700">
          <w:rPr>
            <w:rStyle w:val="Hyperlink"/>
            <w:sz w:val="22"/>
          </w:rPr>
          <w:t>3.1</w:t>
        </w:r>
        <w:r w:rsidR="00CD64E6" w:rsidRPr="00536700">
          <w:rPr>
            <w:rFonts w:asciiTheme="minorHAnsi" w:hAnsiTheme="minorHAnsi"/>
            <w:color w:val="auto"/>
            <w:sz w:val="22"/>
          </w:rPr>
          <w:tab/>
        </w:r>
        <w:r w:rsidR="00CD64E6" w:rsidRPr="00536700">
          <w:rPr>
            <w:rStyle w:val="Hyperlink"/>
            <w:sz w:val="22"/>
          </w:rPr>
          <w:t>Total payments</w:t>
        </w:r>
        <w:r w:rsidR="00CD64E6" w:rsidRPr="00536700">
          <w:rPr>
            <w:webHidden/>
            <w:sz w:val="22"/>
          </w:rPr>
          <w:tab/>
        </w:r>
        <w:r w:rsidR="00CD64E6" w:rsidRPr="00536700">
          <w:rPr>
            <w:webHidden/>
            <w:sz w:val="22"/>
          </w:rPr>
          <w:fldChar w:fldCharType="begin"/>
        </w:r>
        <w:r w:rsidR="00CD64E6" w:rsidRPr="00536700">
          <w:rPr>
            <w:webHidden/>
            <w:sz w:val="22"/>
          </w:rPr>
          <w:instrText xml:space="preserve"> PAGEREF _Toc58271435 \h </w:instrText>
        </w:r>
        <w:r w:rsidR="00CD64E6" w:rsidRPr="00536700">
          <w:rPr>
            <w:webHidden/>
            <w:sz w:val="22"/>
          </w:rPr>
        </w:r>
        <w:r w:rsidR="00CD64E6" w:rsidRPr="00536700">
          <w:rPr>
            <w:webHidden/>
            <w:sz w:val="22"/>
          </w:rPr>
          <w:fldChar w:fldCharType="separate"/>
        </w:r>
        <w:r w:rsidR="00EC234F">
          <w:rPr>
            <w:webHidden/>
            <w:sz w:val="22"/>
          </w:rPr>
          <w:t>17</w:t>
        </w:r>
        <w:r w:rsidR="00CD64E6" w:rsidRPr="00536700">
          <w:rPr>
            <w:webHidden/>
            <w:sz w:val="22"/>
          </w:rPr>
          <w:fldChar w:fldCharType="end"/>
        </w:r>
      </w:hyperlink>
    </w:p>
    <w:p w14:paraId="4C38C716" w14:textId="12BBD743" w:rsidR="00CD64E6" w:rsidRPr="00536700" w:rsidRDefault="00D650E3" w:rsidP="00062869">
      <w:pPr>
        <w:pStyle w:val="TOC2"/>
        <w:spacing w:after="0" w:line="300" w:lineRule="exact"/>
        <w:ind w:left="1134"/>
        <w:rPr>
          <w:rFonts w:asciiTheme="minorHAnsi" w:hAnsiTheme="minorHAnsi"/>
          <w:color w:val="auto"/>
          <w:sz w:val="22"/>
        </w:rPr>
      </w:pPr>
      <w:hyperlink w:anchor="_Toc58271436" w:history="1">
        <w:r w:rsidR="00CD64E6" w:rsidRPr="00536700">
          <w:rPr>
            <w:rStyle w:val="Hyperlink"/>
            <w:sz w:val="22"/>
          </w:rPr>
          <w:t>3.2</w:t>
        </w:r>
        <w:r w:rsidR="00CD64E6" w:rsidRPr="00536700">
          <w:rPr>
            <w:rFonts w:asciiTheme="minorHAnsi" w:hAnsiTheme="minorHAnsi"/>
            <w:color w:val="auto"/>
            <w:sz w:val="22"/>
          </w:rPr>
          <w:tab/>
        </w:r>
        <w:r w:rsidR="00CD64E6" w:rsidRPr="00536700">
          <w:rPr>
            <w:rStyle w:val="Hyperlink"/>
            <w:sz w:val="22"/>
          </w:rPr>
          <w:t>Payments growth by program</w:t>
        </w:r>
        <w:r w:rsidR="00CD64E6" w:rsidRPr="00536700">
          <w:rPr>
            <w:webHidden/>
            <w:sz w:val="22"/>
          </w:rPr>
          <w:tab/>
        </w:r>
        <w:r w:rsidR="00CD64E6" w:rsidRPr="00536700">
          <w:rPr>
            <w:webHidden/>
            <w:sz w:val="22"/>
          </w:rPr>
          <w:fldChar w:fldCharType="begin"/>
        </w:r>
        <w:r w:rsidR="00CD64E6" w:rsidRPr="00536700">
          <w:rPr>
            <w:webHidden/>
            <w:sz w:val="22"/>
          </w:rPr>
          <w:instrText xml:space="preserve"> PAGEREF _Toc58271436 \h </w:instrText>
        </w:r>
        <w:r w:rsidR="00CD64E6" w:rsidRPr="00536700">
          <w:rPr>
            <w:webHidden/>
            <w:sz w:val="22"/>
          </w:rPr>
        </w:r>
        <w:r w:rsidR="00CD64E6" w:rsidRPr="00536700">
          <w:rPr>
            <w:webHidden/>
            <w:sz w:val="22"/>
          </w:rPr>
          <w:fldChar w:fldCharType="separate"/>
        </w:r>
        <w:r w:rsidR="00EC234F">
          <w:rPr>
            <w:webHidden/>
            <w:sz w:val="22"/>
          </w:rPr>
          <w:t>19</w:t>
        </w:r>
        <w:r w:rsidR="00CD64E6" w:rsidRPr="00536700">
          <w:rPr>
            <w:webHidden/>
            <w:sz w:val="22"/>
          </w:rPr>
          <w:fldChar w:fldCharType="end"/>
        </w:r>
      </w:hyperlink>
    </w:p>
    <w:p w14:paraId="393A84B0" w14:textId="4B3DD9B7" w:rsidR="00CD64E6" w:rsidRPr="00536700" w:rsidRDefault="00D650E3" w:rsidP="00062869">
      <w:pPr>
        <w:pStyle w:val="TOC2"/>
        <w:spacing w:after="0" w:line="300" w:lineRule="exact"/>
        <w:ind w:left="1134"/>
        <w:rPr>
          <w:rFonts w:asciiTheme="minorHAnsi" w:hAnsiTheme="minorHAnsi"/>
          <w:color w:val="auto"/>
          <w:sz w:val="22"/>
        </w:rPr>
      </w:pPr>
      <w:hyperlink w:anchor="_Toc58271437" w:history="1">
        <w:r w:rsidR="00CD64E6" w:rsidRPr="00536700">
          <w:rPr>
            <w:rStyle w:val="Hyperlink"/>
            <w:sz w:val="22"/>
          </w:rPr>
          <w:t>3.3</w:t>
        </w:r>
        <w:r w:rsidR="00CD64E6" w:rsidRPr="00536700">
          <w:rPr>
            <w:rFonts w:asciiTheme="minorHAnsi" w:hAnsiTheme="minorHAnsi"/>
            <w:color w:val="auto"/>
            <w:sz w:val="22"/>
          </w:rPr>
          <w:tab/>
        </w:r>
        <w:r w:rsidR="00CD64E6" w:rsidRPr="00536700">
          <w:rPr>
            <w:rStyle w:val="Hyperlink"/>
            <w:sz w:val="22"/>
          </w:rPr>
          <w:t>National Disability Insurance Scheme</w:t>
        </w:r>
        <w:r w:rsidR="00CD64E6" w:rsidRPr="00536700">
          <w:rPr>
            <w:webHidden/>
            <w:sz w:val="22"/>
          </w:rPr>
          <w:tab/>
        </w:r>
        <w:r w:rsidR="00CD64E6" w:rsidRPr="00536700">
          <w:rPr>
            <w:webHidden/>
            <w:sz w:val="22"/>
          </w:rPr>
          <w:fldChar w:fldCharType="begin"/>
        </w:r>
        <w:r w:rsidR="00CD64E6" w:rsidRPr="00536700">
          <w:rPr>
            <w:webHidden/>
            <w:sz w:val="22"/>
          </w:rPr>
          <w:instrText xml:space="preserve"> PAGEREF _Toc58271437 \h </w:instrText>
        </w:r>
        <w:r w:rsidR="00CD64E6" w:rsidRPr="00536700">
          <w:rPr>
            <w:webHidden/>
            <w:sz w:val="22"/>
          </w:rPr>
        </w:r>
        <w:r w:rsidR="00CD64E6" w:rsidRPr="00536700">
          <w:rPr>
            <w:webHidden/>
            <w:sz w:val="22"/>
          </w:rPr>
          <w:fldChar w:fldCharType="separate"/>
        </w:r>
        <w:r w:rsidR="00EC234F">
          <w:rPr>
            <w:webHidden/>
            <w:sz w:val="22"/>
          </w:rPr>
          <w:t>20</w:t>
        </w:r>
        <w:r w:rsidR="00CD64E6" w:rsidRPr="00536700">
          <w:rPr>
            <w:webHidden/>
            <w:sz w:val="22"/>
          </w:rPr>
          <w:fldChar w:fldCharType="end"/>
        </w:r>
      </w:hyperlink>
    </w:p>
    <w:p w14:paraId="15012AC8" w14:textId="1ED61A0C" w:rsidR="00CD64E6" w:rsidRPr="00536700" w:rsidRDefault="00D650E3" w:rsidP="00062869">
      <w:pPr>
        <w:pStyle w:val="TOC2"/>
        <w:spacing w:after="0" w:line="300" w:lineRule="exact"/>
        <w:ind w:left="1134"/>
        <w:rPr>
          <w:rFonts w:asciiTheme="minorHAnsi" w:hAnsiTheme="minorHAnsi"/>
          <w:color w:val="auto"/>
          <w:sz w:val="22"/>
        </w:rPr>
      </w:pPr>
      <w:hyperlink w:anchor="_Toc58271438" w:history="1">
        <w:r w:rsidR="00CD64E6" w:rsidRPr="00536700">
          <w:rPr>
            <w:rStyle w:val="Hyperlink"/>
            <w:sz w:val="22"/>
          </w:rPr>
          <w:t>3.4</w:t>
        </w:r>
        <w:r w:rsidR="00CD64E6" w:rsidRPr="00536700">
          <w:rPr>
            <w:rFonts w:asciiTheme="minorHAnsi" w:hAnsiTheme="minorHAnsi"/>
            <w:color w:val="auto"/>
            <w:sz w:val="22"/>
          </w:rPr>
          <w:tab/>
        </w:r>
        <w:r w:rsidR="00CD64E6" w:rsidRPr="00536700">
          <w:rPr>
            <w:rStyle w:val="Hyperlink"/>
            <w:sz w:val="22"/>
          </w:rPr>
          <w:t>Defence</w:t>
        </w:r>
        <w:r w:rsidR="00CD64E6" w:rsidRPr="00536700">
          <w:rPr>
            <w:webHidden/>
            <w:sz w:val="22"/>
          </w:rPr>
          <w:tab/>
        </w:r>
        <w:r w:rsidR="00CD64E6" w:rsidRPr="00536700">
          <w:rPr>
            <w:webHidden/>
            <w:sz w:val="22"/>
          </w:rPr>
          <w:fldChar w:fldCharType="begin"/>
        </w:r>
        <w:r w:rsidR="00CD64E6" w:rsidRPr="00536700">
          <w:rPr>
            <w:webHidden/>
            <w:sz w:val="22"/>
          </w:rPr>
          <w:instrText xml:space="preserve"> PAGEREF _Toc58271438 \h </w:instrText>
        </w:r>
        <w:r w:rsidR="00CD64E6" w:rsidRPr="00536700">
          <w:rPr>
            <w:webHidden/>
            <w:sz w:val="22"/>
          </w:rPr>
        </w:r>
        <w:r w:rsidR="00CD64E6" w:rsidRPr="00536700">
          <w:rPr>
            <w:webHidden/>
            <w:sz w:val="22"/>
          </w:rPr>
          <w:fldChar w:fldCharType="separate"/>
        </w:r>
        <w:r w:rsidR="00EC234F">
          <w:rPr>
            <w:webHidden/>
            <w:sz w:val="22"/>
          </w:rPr>
          <w:t>20</w:t>
        </w:r>
        <w:r w:rsidR="00CD64E6" w:rsidRPr="00536700">
          <w:rPr>
            <w:webHidden/>
            <w:sz w:val="22"/>
          </w:rPr>
          <w:fldChar w:fldCharType="end"/>
        </w:r>
      </w:hyperlink>
    </w:p>
    <w:p w14:paraId="68D30223" w14:textId="16B20CAA" w:rsidR="00CD64E6" w:rsidRPr="00536700" w:rsidRDefault="00D650E3" w:rsidP="00062869">
      <w:pPr>
        <w:pStyle w:val="TOC2"/>
        <w:spacing w:after="0" w:line="300" w:lineRule="exact"/>
        <w:ind w:left="1134"/>
        <w:rPr>
          <w:rFonts w:asciiTheme="minorHAnsi" w:hAnsiTheme="minorHAnsi"/>
          <w:color w:val="auto"/>
          <w:sz w:val="22"/>
        </w:rPr>
      </w:pPr>
      <w:hyperlink w:anchor="_Toc58271439" w:history="1">
        <w:r w:rsidR="00CD64E6" w:rsidRPr="00536700">
          <w:rPr>
            <w:rStyle w:val="Hyperlink"/>
            <w:sz w:val="22"/>
          </w:rPr>
          <w:t>3.5</w:t>
        </w:r>
        <w:r w:rsidR="00CD64E6" w:rsidRPr="00536700">
          <w:rPr>
            <w:rFonts w:asciiTheme="minorHAnsi" w:hAnsiTheme="minorHAnsi"/>
            <w:color w:val="auto"/>
            <w:sz w:val="22"/>
          </w:rPr>
          <w:tab/>
        </w:r>
        <w:r w:rsidR="00CD64E6" w:rsidRPr="00536700">
          <w:rPr>
            <w:rStyle w:val="Hyperlink"/>
            <w:sz w:val="22"/>
          </w:rPr>
          <w:t>Medicare Benefits Schedule</w:t>
        </w:r>
        <w:r w:rsidR="00CD64E6" w:rsidRPr="00536700">
          <w:rPr>
            <w:webHidden/>
            <w:sz w:val="22"/>
          </w:rPr>
          <w:tab/>
        </w:r>
        <w:r w:rsidR="00CD64E6" w:rsidRPr="00536700">
          <w:rPr>
            <w:webHidden/>
            <w:sz w:val="22"/>
          </w:rPr>
          <w:fldChar w:fldCharType="begin"/>
        </w:r>
        <w:r w:rsidR="00CD64E6" w:rsidRPr="00536700">
          <w:rPr>
            <w:webHidden/>
            <w:sz w:val="22"/>
          </w:rPr>
          <w:instrText xml:space="preserve"> PAGEREF _Toc58271439 \h </w:instrText>
        </w:r>
        <w:r w:rsidR="00CD64E6" w:rsidRPr="00536700">
          <w:rPr>
            <w:webHidden/>
            <w:sz w:val="22"/>
          </w:rPr>
        </w:r>
        <w:r w:rsidR="00CD64E6" w:rsidRPr="00536700">
          <w:rPr>
            <w:webHidden/>
            <w:sz w:val="22"/>
          </w:rPr>
          <w:fldChar w:fldCharType="separate"/>
        </w:r>
        <w:r w:rsidR="00EC234F">
          <w:rPr>
            <w:webHidden/>
            <w:sz w:val="22"/>
          </w:rPr>
          <w:t>20</w:t>
        </w:r>
        <w:r w:rsidR="00CD64E6" w:rsidRPr="00536700">
          <w:rPr>
            <w:webHidden/>
            <w:sz w:val="22"/>
          </w:rPr>
          <w:fldChar w:fldCharType="end"/>
        </w:r>
      </w:hyperlink>
    </w:p>
    <w:p w14:paraId="0205DD7F" w14:textId="479C821D" w:rsidR="00CD64E6" w:rsidRPr="00536700" w:rsidRDefault="00D650E3" w:rsidP="00062869">
      <w:pPr>
        <w:pStyle w:val="TOC2"/>
        <w:spacing w:after="0" w:line="300" w:lineRule="exact"/>
        <w:ind w:left="1134"/>
        <w:rPr>
          <w:rFonts w:asciiTheme="minorHAnsi" w:hAnsiTheme="minorHAnsi"/>
          <w:color w:val="auto"/>
          <w:sz w:val="22"/>
        </w:rPr>
      </w:pPr>
      <w:hyperlink w:anchor="_Toc58271440" w:history="1">
        <w:r w:rsidR="00CD64E6" w:rsidRPr="00536700">
          <w:rPr>
            <w:rStyle w:val="Hyperlink"/>
            <w:sz w:val="22"/>
          </w:rPr>
          <w:t>3.6</w:t>
        </w:r>
        <w:r w:rsidR="00CD64E6" w:rsidRPr="00536700">
          <w:rPr>
            <w:rFonts w:asciiTheme="minorHAnsi" w:hAnsiTheme="minorHAnsi"/>
            <w:color w:val="auto"/>
            <w:sz w:val="22"/>
          </w:rPr>
          <w:tab/>
        </w:r>
        <w:r w:rsidR="00CD64E6" w:rsidRPr="00536700">
          <w:rPr>
            <w:rStyle w:val="Hyperlink"/>
            <w:sz w:val="22"/>
          </w:rPr>
          <w:t>Aged care</w:t>
        </w:r>
        <w:r w:rsidR="00CD64E6" w:rsidRPr="00536700">
          <w:rPr>
            <w:webHidden/>
            <w:sz w:val="22"/>
          </w:rPr>
          <w:tab/>
        </w:r>
        <w:r w:rsidR="00CD64E6" w:rsidRPr="00536700">
          <w:rPr>
            <w:webHidden/>
            <w:sz w:val="22"/>
          </w:rPr>
          <w:fldChar w:fldCharType="begin"/>
        </w:r>
        <w:r w:rsidR="00CD64E6" w:rsidRPr="00536700">
          <w:rPr>
            <w:webHidden/>
            <w:sz w:val="22"/>
          </w:rPr>
          <w:instrText xml:space="preserve"> PAGEREF _Toc58271440 \h </w:instrText>
        </w:r>
        <w:r w:rsidR="00CD64E6" w:rsidRPr="00536700">
          <w:rPr>
            <w:webHidden/>
            <w:sz w:val="22"/>
          </w:rPr>
        </w:r>
        <w:r w:rsidR="00CD64E6" w:rsidRPr="00536700">
          <w:rPr>
            <w:webHidden/>
            <w:sz w:val="22"/>
          </w:rPr>
          <w:fldChar w:fldCharType="separate"/>
        </w:r>
        <w:r w:rsidR="00EC234F">
          <w:rPr>
            <w:webHidden/>
            <w:sz w:val="22"/>
          </w:rPr>
          <w:t>20</w:t>
        </w:r>
        <w:r w:rsidR="00CD64E6" w:rsidRPr="00536700">
          <w:rPr>
            <w:webHidden/>
            <w:sz w:val="22"/>
          </w:rPr>
          <w:fldChar w:fldCharType="end"/>
        </w:r>
      </w:hyperlink>
    </w:p>
    <w:p w14:paraId="360F1061" w14:textId="5A3880C1" w:rsidR="00CD64E6" w:rsidRPr="00536700" w:rsidRDefault="00D650E3" w:rsidP="00062869">
      <w:pPr>
        <w:pStyle w:val="TOC2"/>
        <w:spacing w:after="0" w:line="300" w:lineRule="exact"/>
        <w:ind w:left="1134"/>
        <w:rPr>
          <w:rFonts w:asciiTheme="minorHAnsi" w:hAnsiTheme="minorHAnsi"/>
          <w:color w:val="auto"/>
          <w:sz w:val="22"/>
        </w:rPr>
      </w:pPr>
      <w:hyperlink w:anchor="_Toc58271441" w:history="1">
        <w:r w:rsidR="00CD64E6" w:rsidRPr="00536700">
          <w:rPr>
            <w:rStyle w:val="Hyperlink"/>
            <w:sz w:val="22"/>
          </w:rPr>
          <w:t>3.7</w:t>
        </w:r>
        <w:r w:rsidR="00CD64E6" w:rsidRPr="00536700">
          <w:rPr>
            <w:rFonts w:asciiTheme="minorHAnsi" w:hAnsiTheme="minorHAnsi"/>
            <w:color w:val="auto"/>
            <w:sz w:val="22"/>
          </w:rPr>
          <w:tab/>
        </w:r>
        <w:r w:rsidR="00CD64E6" w:rsidRPr="00536700">
          <w:rPr>
            <w:rStyle w:val="Hyperlink"/>
            <w:sz w:val="22"/>
          </w:rPr>
          <w:t>Schools</w:t>
        </w:r>
        <w:r w:rsidR="00CD64E6" w:rsidRPr="00536700">
          <w:rPr>
            <w:webHidden/>
            <w:sz w:val="22"/>
          </w:rPr>
          <w:tab/>
        </w:r>
        <w:r w:rsidR="00CD64E6" w:rsidRPr="00536700">
          <w:rPr>
            <w:webHidden/>
            <w:sz w:val="22"/>
          </w:rPr>
          <w:fldChar w:fldCharType="begin"/>
        </w:r>
        <w:r w:rsidR="00CD64E6" w:rsidRPr="00536700">
          <w:rPr>
            <w:webHidden/>
            <w:sz w:val="22"/>
          </w:rPr>
          <w:instrText xml:space="preserve"> PAGEREF _Toc58271441 \h </w:instrText>
        </w:r>
        <w:r w:rsidR="00CD64E6" w:rsidRPr="00536700">
          <w:rPr>
            <w:webHidden/>
            <w:sz w:val="22"/>
          </w:rPr>
        </w:r>
        <w:r w:rsidR="00CD64E6" w:rsidRPr="00536700">
          <w:rPr>
            <w:webHidden/>
            <w:sz w:val="22"/>
          </w:rPr>
          <w:fldChar w:fldCharType="separate"/>
        </w:r>
        <w:r w:rsidR="00EC234F">
          <w:rPr>
            <w:webHidden/>
            <w:sz w:val="22"/>
          </w:rPr>
          <w:t>21</w:t>
        </w:r>
        <w:r w:rsidR="00CD64E6" w:rsidRPr="00536700">
          <w:rPr>
            <w:webHidden/>
            <w:sz w:val="22"/>
          </w:rPr>
          <w:fldChar w:fldCharType="end"/>
        </w:r>
      </w:hyperlink>
    </w:p>
    <w:p w14:paraId="7AF41867" w14:textId="44B04D5F" w:rsidR="00CD64E6" w:rsidRPr="00536700" w:rsidRDefault="00D650E3" w:rsidP="00062869">
      <w:pPr>
        <w:pStyle w:val="TOC2"/>
        <w:spacing w:after="0" w:line="300" w:lineRule="exact"/>
        <w:ind w:left="1134"/>
        <w:rPr>
          <w:rFonts w:asciiTheme="minorHAnsi" w:hAnsiTheme="minorHAnsi"/>
          <w:color w:val="auto"/>
          <w:sz w:val="22"/>
        </w:rPr>
      </w:pPr>
      <w:hyperlink w:anchor="_Toc58271442" w:history="1">
        <w:r w:rsidR="00CD64E6" w:rsidRPr="00536700">
          <w:rPr>
            <w:rStyle w:val="Hyperlink"/>
            <w:sz w:val="22"/>
          </w:rPr>
          <w:t>3.8</w:t>
        </w:r>
        <w:r w:rsidR="00CD64E6" w:rsidRPr="00536700">
          <w:rPr>
            <w:rFonts w:asciiTheme="minorHAnsi" w:hAnsiTheme="minorHAnsi"/>
            <w:color w:val="auto"/>
            <w:sz w:val="22"/>
          </w:rPr>
          <w:tab/>
        </w:r>
        <w:r w:rsidR="00CD64E6" w:rsidRPr="00536700">
          <w:rPr>
            <w:rStyle w:val="Hyperlink"/>
            <w:sz w:val="22"/>
          </w:rPr>
          <w:t>Child care</w:t>
        </w:r>
        <w:r w:rsidR="00CD64E6" w:rsidRPr="00536700">
          <w:rPr>
            <w:webHidden/>
            <w:sz w:val="22"/>
          </w:rPr>
          <w:tab/>
        </w:r>
        <w:r w:rsidR="00CD64E6" w:rsidRPr="00536700">
          <w:rPr>
            <w:webHidden/>
            <w:sz w:val="22"/>
          </w:rPr>
          <w:fldChar w:fldCharType="begin"/>
        </w:r>
        <w:r w:rsidR="00CD64E6" w:rsidRPr="00536700">
          <w:rPr>
            <w:webHidden/>
            <w:sz w:val="22"/>
          </w:rPr>
          <w:instrText xml:space="preserve"> PAGEREF _Toc58271442 \h </w:instrText>
        </w:r>
        <w:r w:rsidR="00CD64E6" w:rsidRPr="00536700">
          <w:rPr>
            <w:webHidden/>
            <w:sz w:val="22"/>
          </w:rPr>
        </w:r>
        <w:r w:rsidR="00CD64E6" w:rsidRPr="00536700">
          <w:rPr>
            <w:webHidden/>
            <w:sz w:val="22"/>
          </w:rPr>
          <w:fldChar w:fldCharType="separate"/>
        </w:r>
        <w:r w:rsidR="00EC234F">
          <w:rPr>
            <w:webHidden/>
            <w:sz w:val="22"/>
          </w:rPr>
          <w:t>21</w:t>
        </w:r>
        <w:r w:rsidR="00CD64E6" w:rsidRPr="00536700">
          <w:rPr>
            <w:webHidden/>
            <w:sz w:val="22"/>
          </w:rPr>
          <w:fldChar w:fldCharType="end"/>
        </w:r>
      </w:hyperlink>
    </w:p>
    <w:p w14:paraId="01591CFC" w14:textId="3A950683" w:rsidR="00CD64E6" w:rsidRPr="00536700" w:rsidRDefault="00D650E3" w:rsidP="00062869">
      <w:pPr>
        <w:pStyle w:val="TOC2"/>
        <w:spacing w:after="0" w:line="300" w:lineRule="exact"/>
        <w:ind w:left="1134"/>
        <w:rPr>
          <w:rFonts w:asciiTheme="minorHAnsi" w:hAnsiTheme="minorHAnsi"/>
          <w:color w:val="auto"/>
          <w:sz w:val="22"/>
        </w:rPr>
      </w:pPr>
      <w:hyperlink w:anchor="_Toc58271443" w:history="1">
        <w:r w:rsidR="00CD64E6" w:rsidRPr="00536700">
          <w:rPr>
            <w:rStyle w:val="Hyperlink"/>
            <w:sz w:val="22"/>
          </w:rPr>
          <w:t>3.9</w:t>
        </w:r>
        <w:r w:rsidR="00CD64E6" w:rsidRPr="00536700">
          <w:rPr>
            <w:rFonts w:asciiTheme="minorHAnsi" w:hAnsiTheme="minorHAnsi"/>
            <w:color w:val="auto"/>
            <w:sz w:val="22"/>
          </w:rPr>
          <w:tab/>
        </w:r>
        <w:r w:rsidR="00CD64E6" w:rsidRPr="00536700">
          <w:rPr>
            <w:rStyle w:val="Hyperlink"/>
            <w:sz w:val="22"/>
          </w:rPr>
          <w:t>Income support for the unemployed</w:t>
        </w:r>
        <w:r w:rsidR="00CD64E6" w:rsidRPr="00536700">
          <w:rPr>
            <w:webHidden/>
            <w:sz w:val="22"/>
          </w:rPr>
          <w:tab/>
        </w:r>
        <w:r w:rsidR="00CD64E6" w:rsidRPr="00536700">
          <w:rPr>
            <w:webHidden/>
            <w:sz w:val="22"/>
          </w:rPr>
          <w:fldChar w:fldCharType="begin"/>
        </w:r>
        <w:r w:rsidR="00CD64E6" w:rsidRPr="00536700">
          <w:rPr>
            <w:webHidden/>
            <w:sz w:val="22"/>
          </w:rPr>
          <w:instrText xml:space="preserve"> PAGEREF _Toc58271443 \h </w:instrText>
        </w:r>
        <w:r w:rsidR="00CD64E6" w:rsidRPr="00536700">
          <w:rPr>
            <w:webHidden/>
            <w:sz w:val="22"/>
          </w:rPr>
        </w:r>
        <w:r w:rsidR="00CD64E6" w:rsidRPr="00536700">
          <w:rPr>
            <w:webHidden/>
            <w:sz w:val="22"/>
          </w:rPr>
          <w:fldChar w:fldCharType="separate"/>
        </w:r>
        <w:r w:rsidR="00EC234F">
          <w:rPr>
            <w:webHidden/>
            <w:sz w:val="22"/>
          </w:rPr>
          <w:t>21</w:t>
        </w:r>
        <w:r w:rsidR="00CD64E6" w:rsidRPr="00536700">
          <w:rPr>
            <w:webHidden/>
            <w:sz w:val="22"/>
          </w:rPr>
          <w:fldChar w:fldCharType="end"/>
        </w:r>
      </w:hyperlink>
    </w:p>
    <w:p w14:paraId="52B9A2DF" w14:textId="022790A2" w:rsidR="00CD64E6" w:rsidRPr="00536700" w:rsidRDefault="00D650E3" w:rsidP="00062869">
      <w:pPr>
        <w:pStyle w:val="TOC2"/>
        <w:spacing w:after="0" w:line="300" w:lineRule="exact"/>
        <w:ind w:left="1134"/>
        <w:rPr>
          <w:rFonts w:asciiTheme="minorHAnsi" w:hAnsiTheme="minorHAnsi"/>
          <w:color w:val="auto"/>
          <w:sz w:val="22"/>
        </w:rPr>
      </w:pPr>
      <w:hyperlink w:anchor="_Toc58271444" w:history="1">
        <w:r w:rsidR="00CD64E6" w:rsidRPr="00536700">
          <w:rPr>
            <w:rStyle w:val="Hyperlink"/>
            <w:sz w:val="22"/>
          </w:rPr>
          <w:t>3.10</w:t>
        </w:r>
        <w:r w:rsidR="00CD64E6" w:rsidRPr="00536700">
          <w:rPr>
            <w:rFonts w:asciiTheme="minorHAnsi" w:hAnsiTheme="minorHAnsi"/>
            <w:color w:val="auto"/>
            <w:sz w:val="22"/>
          </w:rPr>
          <w:tab/>
        </w:r>
        <w:r w:rsidR="00CD64E6" w:rsidRPr="00536700">
          <w:rPr>
            <w:rStyle w:val="Hyperlink"/>
            <w:sz w:val="22"/>
          </w:rPr>
          <w:t>Public debt interest</w:t>
        </w:r>
        <w:r w:rsidR="00CD64E6" w:rsidRPr="00536700">
          <w:rPr>
            <w:webHidden/>
            <w:sz w:val="22"/>
          </w:rPr>
          <w:tab/>
        </w:r>
        <w:r w:rsidR="00CD64E6" w:rsidRPr="00536700">
          <w:rPr>
            <w:webHidden/>
            <w:sz w:val="22"/>
          </w:rPr>
          <w:fldChar w:fldCharType="begin"/>
        </w:r>
        <w:r w:rsidR="00CD64E6" w:rsidRPr="00536700">
          <w:rPr>
            <w:webHidden/>
            <w:sz w:val="22"/>
          </w:rPr>
          <w:instrText xml:space="preserve"> PAGEREF _Toc58271444 \h </w:instrText>
        </w:r>
        <w:r w:rsidR="00CD64E6" w:rsidRPr="00536700">
          <w:rPr>
            <w:webHidden/>
            <w:sz w:val="22"/>
          </w:rPr>
        </w:r>
        <w:r w:rsidR="00CD64E6" w:rsidRPr="00536700">
          <w:rPr>
            <w:webHidden/>
            <w:sz w:val="22"/>
          </w:rPr>
          <w:fldChar w:fldCharType="separate"/>
        </w:r>
        <w:r w:rsidR="00EC234F">
          <w:rPr>
            <w:webHidden/>
            <w:sz w:val="22"/>
          </w:rPr>
          <w:t>22</w:t>
        </w:r>
        <w:r w:rsidR="00CD64E6" w:rsidRPr="00536700">
          <w:rPr>
            <w:webHidden/>
            <w:sz w:val="22"/>
          </w:rPr>
          <w:fldChar w:fldCharType="end"/>
        </w:r>
      </w:hyperlink>
    </w:p>
    <w:p w14:paraId="36AA2F1D" w14:textId="4915E06F" w:rsidR="00CD64E6" w:rsidRPr="00536700" w:rsidRDefault="00D650E3" w:rsidP="00062869">
      <w:pPr>
        <w:pStyle w:val="TOC2"/>
        <w:spacing w:after="0" w:line="300" w:lineRule="exact"/>
        <w:ind w:left="1134"/>
        <w:rPr>
          <w:rFonts w:asciiTheme="minorHAnsi" w:hAnsiTheme="minorHAnsi"/>
          <w:color w:val="auto"/>
          <w:sz w:val="22"/>
        </w:rPr>
      </w:pPr>
      <w:hyperlink w:anchor="_Toc58271445" w:history="1">
        <w:r w:rsidR="00CD64E6" w:rsidRPr="00536700">
          <w:rPr>
            <w:rStyle w:val="Hyperlink"/>
            <w:sz w:val="22"/>
          </w:rPr>
          <w:t>3.11</w:t>
        </w:r>
        <w:r w:rsidR="00CD64E6" w:rsidRPr="00536700">
          <w:rPr>
            <w:rFonts w:asciiTheme="minorHAnsi" w:hAnsiTheme="minorHAnsi"/>
            <w:color w:val="auto"/>
            <w:sz w:val="22"/>
          </w:rPr>
          <w:tab/>
        </w:r>
        <w:r w:rsidR="00CD64E6" w:rsidRPr="00536700">
          <w:rPr>
            <w:rStyle w:val="Hyperlink"/>
            <w:sz w:val="22"/>
          </w:rPr>
          <w:t xml:space="preserve">The </w:t>
        </w:r>
        <w:r w:rsidR="00FC29D3" w:rsidRPr="00536700">
          <w:rPr>
            <w:rStyle w:val="Hyperlink"/>
            <w:sz w:val="22"/>
          </w:rPr>
          <w:t>Contingency reserve</w:t>
        </w:r>
        <w:r w:rsidR="00CD64E6" w:rsidRPr="00536700">
          <w:rPr>
            <w:webHidden/>
            <w:sz w:val="22"/>
          </w:rPr>
          <w:tab/>
        </w:r>
        <w:r w:rsidR="00CD64E6" w:rsidRPr="00536700">
          <w:rPr>
            <w:webHidden/>
            <w:sz w:val="22"/>
          </w:rPr>
          <w:fldChar w:fldCharType="begin"/>
        </w:r>
        <w:r w:rsidR="00CD64E6" w:rsidRPr="00536700">
          <w:rPr>
            <w:webHidden/>
            <w:sz w:val="22"/>
          </w:rPr>
          <w:instrText xml:space="preserve"> PAGEREF _Toc58271445 \h </w:instrText>
        </w:r>
        <w:r w:rsidR="00CD64E6" w:rsidRPr="00536700">
          <w:rPr>
            <w:webHidden/>
            <w:sz w:val="22"/>
          </w:rPr>
        </w:r>
        <w:r w:rsidR="00CD64E6" w:rsidRPr="00536700">
          <w:rPr>
            <w:webHidden/>
            <w:sz w:val="22"/>
          </w:rPr>
          <w:fldChar w:fldCharType="separate"/>
        </w:r>
        <w:r w:rsidR="00EC234F">
          <w:rPr>
            <w:webHidden/>
            <w:sz w:val="22"/>
          </w:rPr>
          <w:t>22</w:t>
        </w:r>
        <w:r w:rsidR="00CD64E6" w:rsidRPr="00536700">
          <w:rPr>
            <w:webHidden/>
            <w:sz w:val="22"/>
          </w:rPr>
          <w:fldChar w:fldCharType="end"/>
        </w:r>
      </w:hyperlink>
    </w:p>
    <w:p w14:paraId="39DE3245" w14:textId="674FDEA2" w:rsidR="00CD64E6" w:rsidRPr="00536700" w:rsidRDefault="00D650E3" w:rsidP="00062869">
      <w:pPr>
        <w:pStyle w:val="TOC2"/>
        <w:spacing w:after="0" w:line="300" w:lineRule="exact"/>
        <w:ind w:left="1134"/>
        <w:rPr>
          <w:rFonts w:asciiTheme="minorHAnsi" w:hAnsiTheme="minorHAnsi"/>
          <w:color w:val="auto"/>
          <w:sz w:val="22"/>
        </w:rPr>
      </w:pPr>
      <w:hyperlink w:anchor="_Toc58271446" w:history="1">
        <w:r w:rsidR="00CD64E6" w:rsidRPr="00536700">
          <w:rPr>
            <w:rStyle w:val="Hyperlink"/>
            <w:sz w:val="22"/>
          </w:rPr>
          <w:t>3.12</w:t>
        </w:r>
        <w:r w:rsidR="00CD64E6" w:rsidRPr="00536700">
          <w:rPr>
            <w:rFonts w:asciiTheme="minorHAnsi" w:hAnsiTheme="minorHAnsi"/>
            <w:color w:val="auto"/>
            <w:sz w:val="22"/>
          </w:rPr>
          <w:tab/>
        </w:r>
        <w:r w:rsidR="00CD64E6" w:rsidRPr="00536700">
          <w:rPr>
            <w:rStyle w:val="Hyperlink"/>
            <w:sz w:val="22"/>
          </w:rPr>
          <w:t>Other payments</w:t>
        </w:r>
        <w:r w:rsidR="00CD64E6" w:rsidRPr="00536700">
          <w:rPr>
            <w:webHidden/>
            <w:sz w:val="22"/>
          </w:rPr>
          <w:tab/>
        </w:r>
        <w:r w:rsidR="00CD64E6" w:rsidRPr="00536700">
          <w:rPr>
            <w:webHidden/>
            <w:sz w:val="22"/>
          </w:rPr>
          <w:fldChar w:fldCharType="begin"/>
        </w:r>
        <w:r w:rsidR="00CD64E6" w:rsidRPr="00536700">
          <w:rPr>
            <w:webHidden/>
            <w:sz w:val="22"/>
          </w:rPr>
          <w:instrText xml:space="preserve"> PAGEREF _Toc58271446 \h </w:instrText>
        </w:r>
        <w:r w:rsidR="00CD64E6" w:rsidRPr="00536700">
          <w:rPr>
            <w:webHidden/>
            <w:sz w:val="22"/>
          </w:rPr>
        </w:r>
        <w:r w:rsidR="00CD64E6" w:rsidRPr="00536700">
          <w:rPr>
            <w:webHidden/>
            <w:sz w:val="22"/>
          </w:rPr>
          <w:fldChar w:fldCharType="separate"/>
        </w:r>
        <w:r w:rsidR="00EC234F">
          <w:rPr>
            <w:webHidden/>
            <w:sz w:val="22"/>
          </w:rPr>
          <w:t>23</w:t>
        </w:r>
        <w:r w:rsidR="00CD64E6" w:rsidRPr="00536700">
          <w:rPr>
            <w:webHidden/>
            <w:sz w:val="22"/>
          </w:rPr>
          <w:fldChar w:fldCharType="end"/>
        </w:r>
      </w:hyperlink>
    </w:p>
    <w:p w14:paraId="1C3B4687" w14:textId="7E1CE4A9" w:rsidR="00CD64E6" w:rsidRPr="00536700" w:rsidRDefault="00D650E3" w:rsidP="00062869">
      <w:pPr>
        <w:pStyle w:val="TOC2"/>
        <w:spacing w:after="0" w:line="300" w:lineRule="exact"/>
        <w:ind w:left="1134"/>
        <w:rPr>
          <w:rFonts w:asciiTheme="minorHAnsi" w:hAnsiTheme="minorHAnsi"/>
          <w:color w:val="auto"/>
          <w:sz w:val="22"/>
        </w:rPr>
      </w:pPr>
      <w:hyperlink w:anchor="_Toc58271447" w:history="1">
        <w:r w:rsidR="00CD64E6" w:rsidRPr="00536700">
          <w:rPr>
            <w:rStyle w:val="Hyperlink"/>
            <w:sz w:val="22"/>
          </w:rPr>
          <w:t>3.13</w:t>
        </w:r>
        <w:r w:rsidR="00CD64E6" w:rsidRPr="00536700">
          <w:rPr>
            <w:rFonts w:asciiTheme="minorHAnsi" w:hAnsiTheme="minorHAnsi"/>
            <w:color w:val="auto"/>
            <w:sz w:val="22"/>
          </w:rPr>
          <w:tab/>
        </w:r>
        <w:r w:rsidR="00CD64E6" w:rsidRPr="00536700">
          <w:rPr>
            <w:rStyle w:val="Hyperlink"/>
            <w:sz w:val="22"/>
          </w:rPr>
          <w:t>Risks around expected payments</w:t>
        </w:r>
        <w:r w:rsidR="00CD64E6" w:rsidRPr="00536700">
          <w:rPr>
            <w:webHidden/>
            <w:sz w:val="22"/>
          </w:rPr>
          <w:tab/>
        </w:r>
        <w:r w:rsidR="00CD64E6" w:rsidRPr="00536700">
          <w:rPr>
            <w:webHidden/>
            <w:sz w:val="22"/>
          </w:rPr>
          <w:fldChar w:fldCharType="begin"/>
        </w:r>
        <w:r w:rsidR="00CD64E6" w:rsidRPr="00536700">
          <w:rPr>
            <w:webHidden/>
            <w:sz w:val="22"/>
          </w:rPr>
          <w:instrText xml:space="preserve"> PAGEREF _Toc58271447 \h </w:instrText>
        </w:r>
        <w:r w:rsidR="00CD64E6" w:rsidRPr="00536700">
          <w:rPr>
            <w:webHidden/>
            <w:sz w:val="22"/>
          </w:rPr>
        </w:r>
        <w:r w:rsidR="00CD64E6" w:rsidRPr="00536700">
          <w:rPr>
            <w:webHidden/>
            <w:sz w:val="22"/>
          </w:rPr>
          <w:fldChar w:fldCharType="separate"/>
        </w:r>
        <w:r w:rsidR="00EC234F">
          <w:rPr>
            <w:webHidden/>
            <w:sz w:val="22"/>
          </w:rPr>
          <w:t>23</w:t>
        </w:r>
        <w:r w:rsidR="00CD64E6" w:rsidRPr="00536700">
          <w:rPr>
            <w:webHidden/>
            <w:sz w:val="22"/>
          </w:rPr>
          <w:fldChar w:fldCharType="end"/>
        </w:r>
      </w:hyperlink>
    </w:p>
    <w:p w14:paraId="290D6B22" w14:textId="357D123E" w:rsidR="00CD64E6" w:rsidRPr="00536700" w:rsidRDefault="00D650E3" w:rsidP="00062869">
      <w:pPr>
        <w:pStyle w:val="TOC1"/>
        <w:spacing w:before="120" w:after="40" w:line="280" w:lineRule="exact"/>
        <w:ind w:right="1985"/>
        <w:rPr>
          <w:rStyle w:val="Hyperlink"/>
        </w:rPr>
      </w:pPr>
      <w:hyperlink w:anchor="_Toc58271448" w:history="1">
        <w:r w:rsidR="00CD64E6" w:rsidRPr="00536700">
          <w:rPr>
            <w:rStyle w:val="Hyperlink"/>
            <w:sz w:val="22"/>
          </w:rPr>
          <w:t>4</w:t>
        </w:r>
        <w:r w:rsidR="00CD64E6" w:rsidRPr="00536700">
          <w:rPr>
            <w:rStyle w:val="Hyperlink"/>
          </w:rPr>
          <w:tab/>
        </w:r>
        <w:r w:rsidR="00CD64E6" w:rsidRPr="00536700">
          <w:rPr>
            <w:rStyle w:val="Hyperlink"/>
            <w:sz w:val="22"/>
          </w:rPr>
          <w:t>Projected net debt and net financial worth</w:t>
        </w:r>
        <w:r w:rsidR="00CD64E6" w:rsidRPr="00536700">
          <w:rPr>
            <w:rStyle w:val="Hyperlink"/>
            <w:webHidden/>
          </w:rPr>
          <w:tab/>
        </w:r>
        <w:r w:rsidR="00CD64E6" w:rsidRPr="00536700">
          <w:rPr>
            <w:rStyle w:val="Hyperlink"/>
            <w:webHidden/>
          </w:rPr>
          <w:fldChar w:fldCharType="begin"/>
        </w:r>
        <w:r w:rsidR="00CD64E6" w:rsidRPr="00536700">
          <w:rPr>
            <w:rStyle w:val="Hyperlink"/>
            <w:webHidden/>
          </w:rPr>
          <w:instrText xml:space="preserve"> PAGEREF _Toc58271448 \h </w:instrText>
        </w:r>
        <w:r w:rsidR="00CD64E6" w:rsidRPr="00536700">
          <w:rPr>
            <w:rStyle w:val="Hyperlink"/>
            <w:webHidden/>
          </w:rPr>
        </w:r>
        <w:r w:rsidR="00CD64E6" w:rsidRPr="00536700">
          <w:rPr>
            <w:rStyle w:val="Hyperlink"/>
            <w:webHidden/>
          </w:rPr>
          <w:fldChar w:fldCharType="separate"/>
        </w:r>
        <w:r w:rsidR="00EC234F">
          <w:rPr>
            <w:rStyle w:val="Hyperlink"/>
            <w:webHidden/>
          </w:rPr>
          <w:t>25</w:t>
        </w:r>
        <w:r w:rsidR="00CD64E6" w:rsidRPr="00536700">
          <w:rPr>
            <w:rStyle w:val="Hyperlink"/>
            <w:webHidden/>
          </w:rPr>
          <w:fldChar w:fldCharType="end"/>
        </w:r>
      </w:hyperlink>
    </w:p>
    <w:p w14:paraId="02D3B2C6" w14:textId="1A31AF1D" w:rsidR="00CD64E6" w:rsidRPr="00536700" w:rsidRDefault="00D650E3" w:rsidP="00062869">
      <w:pPr>
        <w:pStyle w:val="TOC2"/>
        <w:spacing w:after="0" w:line="300" w:lineRule="exact"/>
        <w:ind w:left="1134"/>
        <w:rPr>
          <w:rFonts w:asciiTheme="minorHAnsi" w:hAnsiTheme="minorHAnsi"/>
          <w:color w:val="auto"/>
          <w:sz w:val="22"/>
        </w:rPr>
      </w:pPr>
      <w:hyperlink w:anchor="_Toc58271449" w:history="1">
        <w:r w:rsidR="00CD64E6" w:rsidRPr="00536700">
          <w:rPr>
            <w:rStyle w:val="Hyperlink"/>
            <w:sz w:val="22"/>
          </w:rPr>
          <w:t>4.1</w:t>
        </w:r>
        <w:r w:rsidR="00CD64E6" w:rsidRPr="00536700">
          <w:rPr>
            <w:rFonts w:asciiTheme="minorHAnsi" w:hAnsiTheme="minorHAnsi"/>
            <w:color w:val="auto"/>
            <w:sz w:val="22"/>
          </w:rPr>
          <w:tab/>
        </w:r>
        <w:r w:rsidR="00CD64E6" w:rsidRPr="00536700">
          <w:rPr>
            <w:rStyle w:val="Hyperlink"/>
            <w:sz w:val="22"/>
          </w:rPr>
          <w:t>Net debt</w:t>
        </w:r>
        <w:r w:rsidR="00CD64E6" w:rsidRPr="00536700">
          <w:rPr>
            <w:webHidden/>
            <w:sz w:val="22"/>
          </w:rPr>
          <w:tab/>
        </w:r>
        <w:r w:rsidR="00CD64E6" w:rsidRPr="00536700">
          <w:rPr>
            <w:webHidden/>
            <w:sz w:val="22"/>
          </w:rPr>
          <w:fldChar w:fldCharType="begin"/>
        </w:r>
        <w:r w:rsidR="00CD64E6" w:rsidRPr="00536700">
          <w:rPr>
            <w:webHidden/>
            <w:sz w:val="22"/>
          </w:rPr>
          <w:instrText xml:space="preserve"> PAGEREF _Toc58271449 \h </w:instrText>
        </w:r>
        <w:r w:rsidR="00CD64E6" w:rsidRPr="00536700">
          <w:rPr>
            <w:webHidden/>
            <w:sz w:val="22"/>
          </w:rPr>
        </w:r>
        <w:r w:rsidR="00CD64E6" w:rsidRPr="00536700">
          <w:rPr>
            <w:webHidden/>
            <w:sz w:val="22"/>
          </w:rPr>
          <w:fldChar w:fldCharType="separate"/>
        </w:r>
        <w:r w:rsidR="00EC234F">
          <w:rPr>
            <w:webHidden/>
            <w:sz w:val="22"/>
          </w:rPr>
          <w:t>25</w:t>
        </w:r>
        <w:r w:rsidR="00CD64E6" w:rsidRPr="00536700">
          <w:rPr>
            <w:webHidden/>
            <w:sz w:val="22"/>
          </w:rPr>
          <w:fldChar w:fldCharType="end"/>
        </w:r>
      </w:hyperlink>
    </w:p>
    <w:p w14:paraId="0E7E0AFB" w14:textId="7F17B629" w:rsidR="00CD64E6" w:rsidRPr="00536700" w:rsidRDefault="00D650E3" w:rsidP="00062869">
      <w:pPr>
        <w:pStyle w:val="TOC2"/>
        <w:spacing w:after="0" w:line="300" w:lineRule="exact"/>
        <w:ind w:left="1134"/>
        <w:rPr>
          <w:rFonts w:asciiTheme="minorHAnsi" w:hAnsiTheme="minorHAnsi"/>
          <w:color w:val="auto"/>
          <w:sz w:val="22"/>
        </w:rPr>
      </w:pPr>
      <w:hyperlink w:anchor="_Toc58271451" w:history="1">
        <w:r w:rsidR="00CD64E6" w:rsidRPr="00536700">
          <w:rPr>
            <w:rStyle w:val="Hyperlink"/>
            <w:sz w:val="22"/>
          </w:rPr>
          <w:t>4.2</w:t>
        </w:r>
        <w:r w:rsidR="00CD64E6" w:rsidRPr="00536700">
          <w:rPr>
            <w:rFonts w:asciiTheme="minorHAnsi" w:hAnsiTheme="minorHAnsi"/>
            <w:color w:val="auto"/>
            <w:sz w:val="22"/>
          </w:rPr>
          <w:tab/>
        </w:r>
        <w:r w:rsidR="00CD64E6" w:rsidRPr="00536700">
          <w:rPr>
            <w:rStyle w:val="Hyperlink"/>
            <w:sz w:val="22"/>
          </w:rPr>
          <w:t>Debt beyond the medium term</w:t>
        </w:r>
        <w:r w:rsidR="00CD64E6" w:rsidRPr="00536700">
          <w:rPr>
            <w:webHidden/>
            <w:sz w:val="22"/>
          </w:rPr>
          <w:tab/>
        </w:r>
        <w:r w:rsidR="00CD64E6" w:rsidRPr="00536700">
          <w:rPr>
            <w:webHidden/>
            <w:sz w:val="22"/>
          </w:rPr>
          <w:fldChar w:fldCharType="begin"/>
        </w:r>
        <w:r w:rsidR="00CD64E6" w:rsidRPr="00536700">
          <w:rPr>
            <w:webHidden/>
            <w:sz w:val="22"/>
          </w:rPr>
          <w:instrText xml:space="preserve"> PAGEREF _Toc58271451 \h </w:instrText>
        </w:r>
        <w:r w:rsidR="00CD64E6" w:rsidRPr="00536700">
          <w:rPr>
            <w:webHidden/>
            <w:sz w:val="22"/>
          </w:rPr>
        </w:r>
        <w:r w:rsidR="00CD64E6" w:rsidRPr="00536700">
          <w:rPr>
            <w:webHidden/>
            <w:sz w:val="22"/>
          </w:rPr>
          <w:fldChar w:fldCharType="separate"/>
        </w:r>
        <w:r w:rsidR="00EC234F">
          <w:rPr>
            <w:webHidden/>
            <w:sz w:val="22"/>
          </w:rPr>
          <w:t>26</w:t>
        </w:r>
        <w:r w:rsidR="00CD64E6" w:rsidRPr="00536700">
          <w:rPr>
            <w:webHidden/>
            <w:sz w:val="22"/>
          </w:rPr>
          <w:fldChar w:fldCharType="end"/>
        </w:r>
      </w:hyperlink>
    </w:p>
    <w:p w14:paraId="147809BE" w14:textId="4BB43FCD" w:rsidR="00CD64E6" w:rsidRPr="00536700" w:rsidRDefault="00D650E3" w:rsidP="00062869">
      <w:pPr>
        <w:pStyle w:val="TOC2"/>
        <w:spacing w:after="0" w:line="300" w:lineRule="exact"/>
        <w:ind w:left="1134"/>
        <w:rPr>
          <w:rFonts w:asciiTheme="minorHAnsi" w:hAnsiTheme="minorHAnsi"/>
          <w:color w:val="auto"/>
          <w:sz w:val="22"/>
        </w:rPr>
      </w:pPr>
      <w:hyperlink w:anchor="_Toc58271452" w:history="1">
        <w:r w:rsidR="00CD64E6" w:rsidRPr="00536700">
          <w:rPr>
            <w:rStyle w:val="Hyperlink"/>
            <w:sz w:val="22"/>
          </w:rPr>
          <w:t>4.3</w:t>
        </w:r>
        <w:r w:rsidR="00CD64E6" w:rsidRPr="00536700">
          <w:rPr>
            <w:rFonts w:asciiTheme="minorHAnsi" w:hAnsiTheme="minorHAnsi"/>
            <w:color w:val="auto"/>
            <w:sz w:val="22"/>
          </w:rPr>
          <w:tab/>
        </w:r>
        <w:r w:rsidR="00CD64E6" w:rsidRPr="00536700">
          <w:rPr>
            <w:rStyle w:val="Hyperlink"/>
            <w:sz w:val="22"/>
          </w:rPr>
          <w:t>Risks around debt projections</w:t>
        </w:r>
        <w:r w:rsidR="00CD64E6" w:rsidRPr="00536700">
          <w:rPr>
            <w:webHidden/>
            <w:sz w:val="22"/>
          </w:rPr>
          <w:tab/>
        </w:r>
        <w:r w:rsidR="00CD64E6" w:rsidRPr="00536700">
          <w:rPr>
            <w:webHidden/>
            <w:sz w:val="22"/>
          </w:rPr>
          <w:fldChar w:fldCharType="begin"/>
        </w:r>
        <w:r w:rsidR="00CD64E6" w:rsidRPr="00536700">
          <w:rPr>
            <w:webHidden/>
            <w:sz w:val="22"/>
          </w:rPr>
          <w:instrText xml:space="preserve"> PAGEREF _Toc58271452 \h </w:instrText>
        </w:r>
        <w:r w:rsidR="00CD64E6" w:rsidRPr="00536700">
          <w:rPr>
            <w:webHidden/>
            <w:sz w:val="22"/>
          </w:rPr>
        </w:r>
        <w:r w:rsidR="00CD64E6" w:rsidRPr="00536700">
          <w:rPr>
            <w:webHidden/>
            <w:sz w:val="22"/>
          </w:rPr>
          <w:fldChar w:fldCharType="separate"/>
        </w:r>
        <w:r w:rsidR="00EC234F">
          <w:rPr>
            <w:webHidden/>
            <w:sz w:val="22"/>
          </w:rPr>
          <w:t>28</w:t>
        </w:r>
        <w:r w:rsidR="00CD64E6" w:rsidRPr="00536700">
          <w:rPr>
            <w:webHidden/>
            <w:sz w:val="22"/>
          </w:rPr>
          <w:fldChar w:fldCharType="end"/>
        </w:r>
      </w:hyperlink>
    </w:p>
    <w:p w14:paraId="240AABA1" w14:textId="0212922F" w:rsidR="00190116" w:rsidRPr="00536700" w:rsidRDefault="00D650E3" w:rsidP="00062869">
      <w:pPr>
        <w:pStyle w:val="TOC2"/>
        <w:spacing w:after="0" w:line="300" w:lineRule="exact"/>
        <w:ind w:left="1134"/>
        <w:rPr>
          <w:rFonts w:asciiTheme="minorHAnsi" w:hAnsiTheme="minorHAnsi"/>
          <w:color w:val="auto"/>
          <w:sz w:val="22"/>
        </w:rPr>
      </w:pPr>
      <w:hyperlink w:anchor="_Toc58271453" w:history="1">
        <w:r w:rsidR="00CD64E6" w:rsidRPr="00536700">
          <w:rPr>
            <w:rStyle w:val="Hyperlink"/>
            <w:sz w:val="22"/>
          </w:rPr>
          <w:t>4.4</w:t>
        </w:r>
        <w:r w:rsidR="00CD64E6" w:rsidRPr="00536700">
          <w:rPr>
            <w:rFonts w:asciiTheme="minorHAnsi" w:hAnsiTheme="minorHAnsi"/>
            <w:color w:val="auto"/>
            <w:sz w:val="22"/>
          </w:rPr>
          <w:tab/>
        </w:r>
        <w:r w:rsidR="00CD64E6" w:rsidRPr="00536700">
          <w:rPr>
            <w:rStyle w:val="Hyperlink"/>
            <w:sz w:val="22"/>
          </w:rPr>
          <w:t>Net financial worth</w:t>
        </w:r>
        <w:r w:rsidR="00CD64E6" w:rsidRPr="00536700">
          <w:rPr>
            <w:webHidden/>
            <w:sz w:val="22"/>
          </w:rPr>
          <w:tab/>
        </w:r>
        <w:r w:rsidR="00CD64E6" w:rsidRPr="00536700">
          <w:rPr>
            <w:webHidden/>
            <w:sz w:val="22"/>
          </w:rPr>
          <w:fldChar w:fldCharType="begin"/>
        </w:r>
        <w:r w:rsidR="00CD64E6" w:rsidRPr="00536700">
          <w:rPr>
            <w:webHidden/>
            <w:sz w:val="22"/>
          </w:rPr>
          <w:instrText xml:space="preserve"> PAGEREF _Toc58271453 \h </w:instrText>
        </w:r>
        <w:r w:rsidR="00CD64E6" w:rsidRPr="00536700">
          <w:rPr>
            <w:webHidden/>
            <w:sz w:val="22"/>
          </w:rPr>
        </w:r>
        <w:r w:rsidR="00CD64E6" w:rsidRPr="00536700">
          <w:rPr>
            <w:webHidden/>
            <w:sz w:val="22"/>
          </w:rPr>
          <w:fldChar w:fldCharType="separate"/>
        </w:r>
        <w:r w:rsidR="00EC234F">
          <w:rPr>
            <w:webHidden/>
            <w:sz w:val="22"/>
          </w:rPr>
          <w:t>28</w:t>
        </w:r>
        <w:r w:rsidR="00CD64E6" w:rsidRPr="00536700">
          <w:rPr>
            <w:webHidden/>
            <w:sz w:val="22"/>
          </w:rPr>
          <w:fldChar w:fldCharType="end"/>
        </w:r>
      </w:hyperlink>
    </w:p>
    <w:p w14:paraId="7F69B72F" w14:textId="38D6D087" w:rsidR="00CD64E6" w:rsidRPr="00536700" w:rsidRDefault="00D650E3" w:rsidP="00062869">
      <w:pPr>
        <w:pStyle w:val="TOC1"/>
        <w:spacing w:before="120" w:after="0"/>
        <w:ind w:right="1985"/>
        <w:rPr>
          <w:rStyle w:val="Hyperlink"/>
          <w:sz w:val="22"/>
        </w:rPr>
      </w:pPr>
      <w:hyperlink w:anchor="_Toc58271454" w:history="1">
        <w:r w:rsidR="00CD64E6" w:rsidRPr="00536700">
          <w:rPr>
            <w:rStyle w:val="Hyperlink"/>
            <w:sz w:val="22"/>
          </w:rPr>
          <w:t>Appendix A – Trends in projections over the medium term</w:t>
        </w:r>
        <w:r w:rsidR="00CD64E6" w:rsidRPr="00536700">
          <w:rPr>
            <w:rStyle w:val="Hyperlink"/>
            <w:webHidden/>
            <w:sz w:val="22"/>
          </w:rPr>
          <w:tab/>
        </w:r>
        <w:r w:rsidR="00CD64E6" w:rsidRPr="00536700">
          <w:rPr>
            <w:rStyle w:val="Hyperlink"/>
            <w:webHidden/>
            <w:sz w:val="22"/>
          </w:rPr>
          <w:fldChar w:fldCharType="begin"/>
        </w:r>
        <w:r w:rsidR="00CD64E6" w:rsidRPr="00536700">
          <w:rPr>
            <w:rStyle w:val="Hyperlink"/>
            <w:webHidden/>
            <w:sz w:val="22"/>
          </w:rPr>
          <w:instrText xml:space="preserve"> PAGEREF _Toc58271454 \h </w:instrText>
        </w:r>
        <w:r w:rsidR="00CD64E6" w:rsidRPr="00536700">
          <w:rPr>
            <w:rStyle w:val="Hyperlink"/>
            <w:webHidden/>
            <w:sz w:val="22"/>
          </w:rPr>
        </w:r>
        <w:r w:rsidR="00CD64E6" w:rsidRPr="00536700">
          <w:rPr>
            <w:rStyle w:val="Hyperlink"/>
            <w:webHidden/>
            <w:sz w:val="22"/>
          </w:rPr>
          <w:fldChar w:fldCharType="separate"/>
        </w:r>
        <w:r w:rsidR="00EC234F">
          <w:rPr>
            <w:rStyle w:val="Hyperlink"/>
            <w:webHidden/>
            <w:sz w:val="22"/>
          </w:rPr>
          <w:t>30</w:t>
        </w:r>
        <w:r w:rsidR="00CD64E6" w:rsidRPr="00536700">
          <w:rPr>
            <w:rStyle w:val="Hyperlink"/>
            <w:webHidden/>
            <w:sz w:val="22"/>
          </w:rPr>
          <w:fldChar w:fldCharType="end"/>
        </w:r>
      </w:hyperlink>
    </w:p>
    <w:p w14:paraId="15A57BCA" w14:textId="73545E8C" w:rsidR="00CD64E6" w:rsidRPr="00536700" w:rsidRDefault="00D650E3" w:rsidP="00062869">
      <w:pPr>
        <w:pStyle w:val="TOC1"/>
        <w:spacing w:before="120" w:after="0"/>
        <w:ind w:right="1985"/>
        <w:rPr>
          <w:rStyle w:val="Hyperlink"/>
          <w:sz w:val="22"/>
        </w:rPr>
      </w:pPr>
      <w:hyperlink w:anchor="_Toc58271455" w:history="1">
        <w:r w:rsidR="00CD64E6" w:rsidRPr="00536700">
          <w:rPr>
            <w:rStyle w:val="Hyperlink"/>
            <w:sz w:val="22"/>
          </w:rPr>
          <w:t>Appendix B – Changes in the PBO’s projections since the previous report</w:t>
        </w:r>
        <w:r w:rsidR="00CD64E6" w:rsidRPr="00536700">
          <w:rPr>
            <w:rStyle w:val="Hyperlink"/>
            <w:webHidden/>
            <w:sz w:val="22"/>
          </w:rPr>
          <w:tab/>
        </w:r>
        <w:r w:rsidR="00CD64E6" w:rsidRPr="00536700">
          <w:rPr>
            <w:rStyle w:val="Hyperlink"/>
            <w:webHidden/>
            <w:sz w:val="22"/>
          </w:rPr>
          <w:fldChar w:fldCharType="begin"/>
        </w:r>
        <w:r w:rsidR="00CD64E6" w:rsidRPr="00536700">
          <w:rPr>
            <w:rStyle w:val="Hyperlink"/>
            <w:webHidden/>
            <w:sz w:val="22"/>
          </w:rPr>
          <w:instrText xml:space="preserve"> PAGEREF _Toc58271455 \h </w:instrText>
        </w:r>
        <w:r w:rsidR="00CD64E6" w:rsidRPr="00536700">
          <w:rPr>
            <w:rStyle w:val="Hyperlink"/>
            <w:webHidden/>
            <w:sz w:val="22"/>
          </w:rPr>
        </w:r>
        <w:r w:rsidR="00CD64E6" w:rsidRPr="00536700">
          <w:rPr>
            <w:rStyle w:val="Hyperlink"/>
            <w:webHidden/>
            <w:sz w:val="22"/>
          </w:rPr>
          <w:fldChar w:fldCharType="separate"/>
        </w:r>
        <w:r w:rsidR="00EC234F">
          <w:rPr>
            <w:rStyle w:val="Hyperlink"/>
            <w:webHidden/>
            <w:sz w:val="22"/>
          </w:rPr>
          <w:t>32</w:t>
        </w:r>
        <w:r w:rsidR="00CD64E6" w:rsidRPr="00536700">
          <w:rPr>
            <w:rStyle w:val="Hyperlink"/>
            <w:webHidden/>
            <w:sz w:val="22"/>
          </w:rPr>
          <w:fldChar w:fldCharType="end"/>
        </w:r>
      </w:hyperlink>
    </w:p>
    <w:p w14:paraId="088AB5A6" w14:textId="1CC57127" w:rsidR="00CD64E6" w:rsidRPr="00536700" w:rsidRDefault="00D650E3" w:rsidP="00062869">
      <w:pPr>
        <w:pStyle w:val="TOC1"/>
        <w:spacing w:before="120" w:after="0"/>
        <w:ind w:right="1985"/>
        <w:rPr>
          <w:rStyle w:val="Hyperlink"/>
        </w:rPr>
      </w:pPr>
      <w:hyperlink w:anchor="_Toc58271456" w:history="1">
        <w:r w:rsidR="00CD64E6" w:rsidRPr="00536700">
          <w:rPr>
            <w:rStyle w:val="Hyperlink"/>
            <w:sz w:val="22"/>
          </w:rPr>
          <w:t>Appendix C –  Receipt projection methodology</w:t>
        </w:r>
        <w:r w:rsidR="00CD64E6" w:rsidRPr="00536700">
          <w:rPr>
            <w:rStyle w:val="Hyperlink"/>
            <w:webHidden/>
          </w:rPr>
          <w:tab/>
        </w:r>
        <w:r w:rsidR="00CD64E6" w:rsidRPr="00536700">
          <w:rPr>
            <w:rStyle w:val="Hyperlink"/>
            <w:webHidden/>
          </w:rPr>
          <w:fldChar w:fldCharType="begin"/>
        </w:r>
        <w:r w:rsidR="00CD64E6" w:rsidRPr="00536700">
          <w:rPr>
            <w:rStyle w:val="Hyperlink"/>
            <w:webHidden/>
          </w:rPr>
          <w:instrText xml:space="preserve"> PAGEREF _Toc58271456 \h </w:instrText>
        </w:r>
        <w:r w:rsidR="00CD64E6" w:rsidRPr="00536700">
          <w:rPr>
            <w:rStyle w:val="Hyperlink"/>
            <w:webHidden/>
          </w:rPr>
        </w:r>
        <w:r w:rsidR="00CD64E6" w:rsidRPr="00536700">
          <w:rPr>
            <w:rStyle w:val="Hyperlink"/>
            <w:webHidden/>
          </w:rPr>
          <w:fldChar w:fldCharType="separate"/>
        </w:r>
        <w:r w:rsidR="00EC234F">
          <w:rPr>
            <w:rStyle w:val="Hyperlink"/>
            <w:webHidden/>
          </w:rPr>
          <w:t>36</w:t>
        </w:r>
        <w:r w:rsidR="00CD64E6" w:rsidRPr="00536700">
          <w:rPr>
            <w:rStyle w:val="Hyperlink"/>
            <w:webHidden/>
          </w:rPr>
          <w:fldChar w:fldCharType="end"/>
        </w:r>
      </w:hyperlink>
    </w:p>
    <w:p w14:paraId="4C675CCC" w14:textId="5D92A694" w:rsidR="00CD64E6" w:rsidRPr="00536700" w:rsidRDefault="00D650E3" w:rsidP="00062869">
      <w:pPr>
        <w:pStyle w:val="TOC1"/>
        <w:spacing w:before="120" w:after="0"/>
        <w:ind w:right="1985"/>
        <w:rPr>
          <w:rStyle w:val="Hyperlink"/>
        </w:rPr>
      </w:pPr>
      <w:hyperlink w:anchor="_Toc58271457" w:history="1">
        <w:r w:rsidR="00CD64E6" w:rsidRPr="00536700">
          <w:rPr>
            <w:rStyle w:val="Hyperlink"/>
            <w:sz w:val="22"/>
          </w:rPr>
          <w:t>Appendix D – Payments projection methodology</w:t>
        </w:r>
        <w:r w:rsidR="00CD64E6" w:rsidRPr="00536700">
          <w:rPr>
            <w:rStyle w:val="Hyperlink"/>
            <w:webHidden/>
          </w:rPr>
          <w:tab/>
        </w:r>
        <w:r w:rsidR="00CD64E6" w:rsidRPr="00536700">
          <w:rPr>
            <w:rStyle w:val="Hyperlink"/>
            <w:webHidden/>
          </w:rPr>
          <w:fldChar w:fldCharType="begin"/>
        </w:r>
        <w:r w:rsidR="00CD64E6" w:rsidRPr="00536700">
          <w:rPr>
            <w:rStyle w:val="Hyperlink"/>
            <w:webHidden/>
          </w:rPr>
          <w:instrText xml:space="preserve"> PAGEREF _Toc58271457 \h </w:instrText>
        </w:r>
        <w:r w:rsidR="00CD64E6" w:rsidRPr="00536700">
          <w:rPr>
            <w:rStyle w:val="Hyperlink"/>
            <w:webHidden/>
          </w:rPr>
        </w:r>
        <w:r w:rsidR="00CD64E6" w:rsidRPr="00536700">
          <w:rPr>
            <w:rStyle w:val="Hyperlink"/>
            <w:webHidden/>
          </w:rPr>
          <w:fldChar w:fldCharType="separate"/>
        </w:r>
        <w:r w:rsidR="00EC234F">
          <w:rPr>
            <w:rStyle w:val="Hyperlink"/>
            <w:webHidden/>
          </w:rPr>
          <w:t>38</w:t>
        </w:r>
        <w:r w:rsidR="00CD64E6" w:rsidRPr="00536700">
          <w:rPr>
            <w:rStyle w:val="Hyperlink"/>
            <w:webHidden/>
          </w:rPr>
          <w:fldChar w:fldCharType="end"/>
        </w:r>
      </w:hyperlink>
    </w:p>
    <w:p w14:paraId="345FE07E" w14:textId="5E0D6B8F" w:rsidR="00CD64E6" w:rsidRPr="00536700" w:rsidRDefault="00D650E3" w:rsidP="00062869">
      <w:pPr>
        <w:pStyle w:val="TOC1"/>
        <w:spacing w:before="120" w:after="0"/>
        <w:ind w:right="1985"/>
        <w:rPr>
          <w:rStyle w:val="Hyperlink"/>
        </w:rPr>
      </w:pPr>
      <w:hyperlink w:anchor="_Toc58271458" w:history="1">
        <w:r w:rsidR="00CD64E6" w:rsidRPr="00536700">
          <w:rPr>
            <w:rStyle w:val="Hyperlink"/>
            <w:sz w:val="22"/>
          </w:rPr>
          <w:t>Appendix E – Changes in fiscal strategy over time</w:t>
        </w:r>
        <w:r w:rsidR="00CD64E6" w:rsidRPr="00536700">
          <w:rPr>
            <w:rStyle w:val="Hyperlink"/>
            <w:webHidden/>
          </w:rPr>
          <w:tab/>
        </w:r>
        <w:r w:rsidR="00CD64E6" w:rsidRPr="00536700">
          <w:rPr>
            <w:rStyle w:val="Hyperlink"/>
            <w:webHidden/>
          </w:rPr>
          <w:fldChar w:fldCharType="begin"/>
        </w:r>
        <w:r w:rsidR="00CD64E6" w:rsidRPr="00536700">
          <w:rPr>
            <w:rStyle w:val="Hyperlink"/>
            <w:webHidden/>
          </w:rPr>
          <w:instrText xml:space="preserve"> PAGEREF _Toc58271458 \h </w:instrText>
        </w:r>
        <w:r w:rsidR="00CD64E6" w:rsidRPr="00536700">
          <w:rPr>
            <w:rStyle w:val="Hyperlink"/>
            <w:webHidden/>
          </w:rPr>
        </w:r>
        <w:r w:rsidR="00CD64E6" w:rsidRPr="00536700">
          <w:rPr>
            <w:rStyle w:val="Hyperlink"/>
            <w:webHidden/>
          </w:rPr>
          <w:fldChar w:fldCharType="separate"/>
        </w:r>
        <w:r w:rsidR="00EC234F">
          <w:rPr>
            <w:rStyle w:val="Hyperlink"/>
            <w:webHidden/>
          </w:rPr>
          <w:t>45</w:t>
        </w:r>
        <w:r w:rsidR="00CD64E6" w:rsidRPr="00536700">
          <w:rPr>
            <w:rStyle w:val="Hyperlink"/>
            <w:webHidden/>
          </w:rPr>
          <w:fldChar w:fldCharType="end"/>
        </w:r>
      </w:hyperlink>
    </w:p>
    <w:p w14:paraId="5D340834" w14:textId="43E42717" w:rsidR="00CD64E6" w:rsidRPr="00536700" w:rsidRDefault="00D650E3" w:rsidP="00062869">
      <w:pPr>
        <w:pStyle w:val="TOC1"/>
        <w:spacing w:before="120" w:after="0"/>
        <w:ind w:right="1985"/>
        <w:rPr>
          <w:rStyle w:val="Hyperlink"/>
        </w:rPr>
      </w:pPr>
      <w:hyperlink w:anchor="_Toc58271459" w:history="1">
        <w:r w:rsidR="00CD64E6" w:rsidRPr="00536700">
          <w:rPr>
            <w:rStyle w:val="Hyperlink"/>
            <w:sz w:val="22"/>
          </w:rPr>
          <w:t>Appendix F – Glossary</w:t>
        </w:r>
        <w:r w:rsidR="00CD64E6" w:rsidRPr="00536700">
          <w:rPr>
            <w:rStyle w:val="Hyperlink"/>
            <w:webHidden/>
          </w:rPr>
          <w:tab/>
        </w:r>
        <w:r w:rsidR="00CD64E6" w:rsidRPr="00536700">
          <w:rPr>
            <w:rStyle w:val="Hyperlink"/>
            <w:webHidden/>
          </w:rPr>
          <w:fldChar w:fldCharType="begin"/>
        </w:r>
        <w:r w:rsidR="00CD64E6" w:rsidRPr="00536700">
          <w:rPr>
            <w:rStyle w:val="Hyperlink"/>
            <w:webHidden/>
          </w:rPr>
          <w:instrText xml:space="preserve"> PAGEREF _Toc58271459 \h </w:instrText>
        </w:r>
        <w:r w:rsidR="00CD64E6" w:rsidRPr="00536700">
          <w:rPr>
            <w:rStyle w:val="Hyperlink"/>
            <w:webHidden/>
          </w:rPr>
        </w:r>
        <w:r w:rsidR="00CD64E6" w:rsidRPr="00536700">
          <w:rPr>
            <w:rStyle w:val="Hyperlink"/>
            <w:webHidden/>
          </w:rPr>
          <w:fldChar w:fldCharType="separate"/>
        </w:r>
        <w:r w:rsidR="00EC234F">
          <w:rPr>
            <w:rStyle w:val="Hyperlink"/>
            <w:webHidden/>
          </w:rPr>
          <w:t>47</w:t>
        </w:r>
        <w:r w:rsidR="00CD64E6" w:rsidRPr="00536700">
          <w:rPr>
            <w:rStyle w:val="Hyperlink"/>
            <w:webHidden/>
          </w:rPr>
          <w:fldChar w:fldCharType="end"/>
        </w:r>
      </w:hyperlink>
    </w:p>
    <w:p w14:paraId="727A5602" w14:textId="0F93F216" w:rsidR="00152CD1" w:rsidRDefault="00D559DF" w:rsidP="006A588D">
      <w:pPr>
        <w:tabs>
          <w:tab w:val="right" w:pos="8080"/>
        </w:tabs>
        <w:spacing w:before="240" w:line="240" w:lineRule="auto"/>
        <w:rPr>
          <w:sz w:val="18"/>
        </w:rPr>
      </w:pPr>
      <w:r w:rsidRPr="00EB2092">
        <w:fldChar w:fldCharType="end"/>
      </w:r>
      <w:r w:rsidR="009E2FEF" w:rsidRPr="00EB2092">
        <w:rPr>
          <w:sz w:val="18"/>
        </w:rPr>
        <w:t xml:space="preserve">This report was authored by </w:t>
      </w:r>
      <w:r w:rsidR="00A1798C" w:rsidRPr="00EB2092">
        <w:rPr>
          <w:sz w:val="18"/>
        </w:rPr>
        <w:t xml:space="preserve">John Clark and </w:t>
      </w:r>
      <w:r w:rsidR="004C2E20" w:rsidRPr="00EB2092">
        <w:rPr>
          <w:sz w:val="18"/>
        </w:rPr>
        <w:t>Kate Wagner</w:t>
      </w:r>
      <w:r w:rsidR="009E2FEF" w:rsidRPr="00EB2092">
        <w:rPr>
          <w:sz w:val="18"/>
        </w:rPr>
        <w:t xml:space="preserve">, with </w:t>
      </w:r>
      <w:r w:rsidR="004C2E20" w:rsidRPr="00EB2092">
        <w:rPr>
          <w:sz w:val="18"/>
        </w:rPr>
        <w:t>contributions from</w:t>
      </w:r>
      <w:r w:rsidR="00B553A6" w:rsidRPr="00EB2092">
        <w:rPr>
          <w:sz w:val="18"/>
        </w:rPr>
        <w:t xml:space="preserve"> Kathr</w:t>
      </w:r>
      <w:r w:rsidR="006A588D">
        <w:rPr>
          <w:sz w:val="18"/>
        </w:rPr>
        <w:t>yn Smith, Lok Potticary, Anthea </w:t>
      </w:r>
      <w:r w:rsidR="00B553A6" w:rsidRPr="00EB2092">
        <w:rPr>
          <w:sz w:val="18"/>
        </w:rPr>
        <w:t xml:space="preserve">Guthrie, </w:t>
      </w:r>
      <w:r w:rsidR="006A588D">
        <w:rPr>
          <w:sz w:val="18"/>
        </w:rPr>
        <w:t>Binod </w:t>
      </w:r>
      <w:r w:rsidR="008B55C7" w:rsidRPr="00EB2092">
        <w:rPr>
          <w:sz w:val="18"/>
        </w:rPr>
        <w:t xml:space="preserve">Nepal, </w:t>
      </w:r>
      <w:r w:rsidR="00B553A6" w:rsidRPr="00EB2092">
        <w:rPr>
          <w:sz w:val="18"/>
        </w:rPr>
        <w:t>Nicholas Ramirez, Travis Ey</w:t>
      </w:r>
      <w:r w:rsidR="006A588D">
        <w:rPr>
          <w:sz w:val="18"/>
        </w:rPr>
        <w:t>,</w:t>
      </w:r>
      <w:r w:rsidR="00B553A6" w:rsidRPr="00EB2092">
        <w:rPr>
          <w:sz w:val="18"/>
        </w:rPr>
        <w:t xml:space="preserve"> Vijay Murik</w:t>
      </w:r>
      <w:r w:rsidR="00FA7285">
        <w:rPr>
          <w:sz w:val="18"/>
        </w:rPr>
        <w:t>,</w:t>
      </w:r>
      <w:r w:rsidR="006A588D">
        <w:rPr>
          <w:sz w:val="18"/>
        </w:rPr>
        <w:t xml:space="preserve"> and Anderson Cheung</w:t>
      </w:r>
      <w:r w:rsidR="004C2E20" w:rsidRPr="00EB2092">
        <w:rPr>
          <w:sz w:val="18"/>
        </w:rPr>
        <w:t xml:space="preserve"> and </w:t>
      </w:r>
      <w:r w:rsidR="009E2FEF" w:rsidRPr="00EB2092">
        <w:rPr>
          <w:sz w:val="18"/>
        </w:rPr>
        <w:t xml:space="preserve">the benefit of </w:t>
      </w:r>
      <w:r w:rsidR="006A588D">
        <w:rPr>
          <w:sz w:val="18"/>
        </w:rPr>
        <w:br/>
      </w:r>
      <w:r w:rsidR="009E2FEF" w:rsidRPr="00EB2092">
        <w:rPr>
          <w:sz w:val="18"/>
        </w:rPr>
        <w:t xml:space="preserve">comments from </w:t>
      </w:r>
      <w:r w:rsidR="00B553A6" w:rsidRPr="00EB2092">
        <w:rPr>
          <w:sz w:val="18"/>
        </w:rPr>
        <w:t xml:space="preserve">Stein </w:t>
      </w:r>
      <w:proofErr w:type="spellStart"/>
      <w:r w:rsidR="00B553A6" w:rsidRPr="00EB2092">
        <w:rPr>
          <w:sz w:val="18"/>
        </w:rPr>
        <w:t>Helgeby</w:t>
      </w:r>
      <w:proofErr w:type="spellEnd"/>
      <w:r w:rsidR="00B553A6" w:rsidRPr="00EB2092">
        <w:rPr>
          <w:sz w:val="18"/>
        </w:rPr>
        <w:t xml:space="preserve"> and </w:t>
      </w:r>
      <w:r w:rsidR="004C2E20" w:rsidRPr="00EB2092">
        <w:rPr>
          <w:sz w:val="18"/>
        </w:rPr>
        <w:t>Linda Ward</w:t>
      </w:r>
      <w:r w:rsidR="009E2FEF" w:rsidRPr="00EB2092">
        <w:rPr>
          <w:sz w:val="18"/>
        </w:rPr>
        <w:t xml:space="preserve">.  The contents of the report are the sole responsibility of </w:t>
      </w:r>
      <w:r w:rsidR="006A588D">
        <w:rPr>
          <w:sz w:val="18"/>
        </w:rPr>
        <w:br/>
      </w:r>
      <w:r w:rsidR="009E2FEF" w:rsidRPr="00EB2092">
        <w:rPr>
          <w:sz w:val="18"/>
        </w:rPr>
        <w:t>t</w:t>
      </w:r>
      <w:r w:rsidR="00062869">
        <w:rPr>
          <w:sz w:val="18"/>
        </w:rPr>
        <w:t>he Parliamentary Budget Office</w:t>
      </w:r>
      <w:r w:rsidR="006A588D">
        <w:rPr>
          <w:sz w:val="18"/>
        </w:rPr>
        <w:t>.</w:t>
      </w:r>
    </w:p>
    <w:p w14:paraId="71C725CE" w14:textId="77777777" w:rsidR="00152CD1" w:rsidRDefault="00152CD1">
      <w:pPr>
        <w:rPr>
          <w:sz w:val="18"/>
        </w:rPr>
        <w:sectPr w:rsidR="00152CD1" w:rsidSect="00152CD1">
          <w:headerReference w:type="default" r:id="rId22"/>
          <w:footerReference w:type="even" r:id="rId23"/>
          <w:footerReference w:type="default" r:id="rId24"/>
          <w:pgSz w:w="11907" w:h="16840" w:code="9"/>
          <w:pgMar w:top="1191" w:right="1418" w:bottom="1021" w:left="1418" w:header="567" w:footer="709" w:gutter="0"/>
          <w:pgNumType w:fmt="lowerRoman" w:start="1"/>
          <w:cols w:space="708"/>
          <w:docGrid w:linePitch="360"/>
        </w:sectPr>
      </w:pPr>
      <w:r>
        <w:rPr>
          <w:sz w:val="18"/>
        </w:rPr>
        <w:lastRenderedPageBreak/>
        <w:br w:type="page"/>
      </w:r>
    </w:p>
    <w:p w14:paraId="04082EB1" w14:textId="6CB2CC1E" w:rsidR="009E2FEF" w:rsidRPr="00152CD1" w:rsidRDefault="00CC37CA" w:rsidP="00152CD1">
      <w:pPr>
        <w:tabs>
          <w:tab w:val="right" w:pos="8080"/>
        </w:tabs>
        <w:spacing w:before="120" w:line="240" w:lineRule="auto"/>
        <w:rPr>
          <w:sz w:val="18"/>
        </w:rPr>
      </w:pPr>
      <w:bookmarkStart w:id="4" w:name="_ForewordMarker"/>
      <w:bookmarkStart w:id="5" w:name="_Toc396331954"/>
      <w:bookmarkStart w:id="6" w:name="_Toc58271419"/>
      <w:bookmarkEnd w:id="4"/>
      <w:r w:rsidRPr="006B7715">
        <w:rPr>
          <w:rFonts w:ascii="Calibri Light" w:hAnsi="Calibri Light"/>
          <w:bCs/>
          <w:color w:val="3D4D7D" w:themeColor="background2"/>
          <w:kern w:val="32"/>
          <w:sz w:val="52"/>
          <w:szCs w:val="32"/>
        </w:rPr>
        <w:lastRenderedPageBreak/>
        <w:t>Overview</w:t>
      </w:r>
      <w:bookmarkStart w:id="7" w:name="_OverviewMarker"/>
      <w:bookmarkEnd w:id="5"/>
      <w:bookmarkEnd w:id="6"/>
      <w:bookmarkEnd w:id="7"/>
    </w:p>
    <w:p w14:paraId="53F0EE07" w14:textId="289486ED" w:rsidR="009865E6" w:rsidRPr="00502280" w:rsidRDefault="009865E6" w:rsidP="009865E6">
      <w:pPr>
        <w:pStyle w:val="PullOutBoxBodyText"/>
        <w:ind w:left="0"/>
      </w:pPr>
      <w:r w:rsidRPr="00502280">
        <w:t>This is the fifth edition of the Parliamentary Budget Office’s annual medium-term fiscal projections report.</w:t>
      </w:r>
      <w:r w:rsidR="001E59E2" w:rsidRPr="00502280">
        <w:t xml:space="preserve"> </w:t>
      </w:r>
      <w:r w:rsidRPr="00502280">
        <w:t xml:space="preserve"> It</w:t>
      </w:r>
      <w:r w:rsidR="00BD7096" w:rsidRPr="00502280">
        <w:t xml:space="preserve"> </w:t>
      </w:r>
      <w:r w:rsidRPr="00502280">
        <w:t>shows the profound impact that the COVID-19 pandemic will have on Australia’s fiscal position.</w:t>
      </w:r>
    </w:p>
    <w:p w14:paraId="5CE869B8" w14:textId="532B02E9" w:rsidR="009865E6" w:rsidRPr="00D006D1" w:rsidRDefault="009865E6" w:rsidP="009865E6">
      <w:pPr>
        <w:pStyle w:val="ListBullet"/>
        <w:numPr>
          <w:ilvl w:val="0"/>
          <w:numId w:val="0"/>
        </w:numPr>
      </w:pPr>
      <w:proofErr w:type="gramStart"/>
      <w:r w:rsidRPr="00EB2092">
        <w:t xml:space="preserve">The </w:t>
      </w:r>
      <w:r w:rsidR="0037012B">
        <w:t xml:space="preserve">2020-21 Commonwealth </w:t>
      </w:r>
      <w:r w:rsidRPr="00EB2092">
        <w:t>Budget</w:t>
      </w:r>
      <w:proofErr w:type="gramEnd"/>
      <w:r w:rsidRPr="00EB2092">
        <w:t xml:space="preserve"> forecast an underlying cash deficit of $214 billion in 2020-21. </w:t>
      </w:r>
      <w:r w:rsidR="001E59E2">
        <w:t xml:space="preserve"> </w:t>
      </w:r>
      <w:r w:rsidRPr="00EB2092">
        <w:t xml:space="preserve">At </w:t>
      </w:r>
      <w:r w:rsidRPr="00FA7285">
        <w:t>11 per cent of GDP this is ar</w:t>
      </w:r>
      <w:r w:rsidRPr="00D006D1">
        <w:t xml:space="preserve">ound 2.5 times greater than the previous worst deficit of the last </w:t>
      </w:r>
      <w:r w:rsidR="00502280">
        <w:br/>
      </w:r>
      <w:r w:rsidRPr="00D006D1">
        <w:t>fifty years.</w:t>
      </w:r>
    </w:p>
    <w:p w14:paraId="5B2C9641" w14:textId="65090125" w:rsidR="009865E6" w:rsidRPr="00E439C2" w:rsidRDefault="009865E6" w:rsidP="009865E6">
      <w:pPr>
        <w:pStyle w:val="ListBullet"/>
        <w:numPr>
          <w:ilvl w:val="0"/>
          <w:numId w:val="0"/>
        </w:numPr>
      </w:pPr>
      <w:r w:rsidRPr="00E439C2">
        <w:t xml:space="preserve">The financial position </w:t>
      </w:r>
      <w:r w:rsidR="0037012B">
        <w:t>is projected to</w:t>
      </w:r>
      <w:r w:rsidR="0037012B" w:rsidRPr="00E439C2">
        <w:t xml:space="preserve"> </w:t>
      </w:r>
      <w:r w:rsidRPr="00E439C2">
        <w:t>improve over the medium term as a result of the anticipated economic recovery and the winding back of the COVID-19 related policy response.</w:t>
      </w:r>
    </w:p>
    <w:p w14:paraId="588D105B" w14:textId="77777777" w:rsidR="009865E6" w:rsidRPr="00C96029" w:rsidRDefault="009865E6" w:rsidP="009865E6">
      <w:pPr>
        <w:pStyle w:val="ListBullet"/>
        <w:numPr>
          <w:ilvl w:val="0"/>
          <w:numId w:val="0"/>
        </w:numPr>
      </w:pPr>
      <w:r w:rsidRPr="001D1C6B">
        <w:t xml:space="preserve">In this </w:t>
      </w:r>
      <w:r w:rsidRPr="00C96029">
        <w:t>report, the PBO projects the fiscal position will improve over the medium term to an underlying cash deficit of $51 billion, or 1.6 per cent of GDP, in 2030</w:t>
      </w:r>
      <w:r w:rsidRPr="00C96029">
        <w:noBreakHyphen/>
        <w:t xml:space="preserve">31. </w:t>
      </w:r>
    </w:p>
    <w:p w14:paraId="0048E864" w14:textId="257DDA7C" w:rsidR="009865E6" w:rsidRPr="00502280" w:rsidRDefault="0037012B" w:rsidP="009865E6">
      <w:pPr>
        <w:pStyle w:val="PullOutBoxBodyText"/>
        <w:ind w:left="0"/>
      </w:pPr>
      <w:r w:rsidRPr="00502280">
        <w:t>T</w:t>
      </w:r>
      <w:r w:rsidR="009865E6" w:rsidRPr="00502280">
        <w:t>he COVID-19 pandemic will have an enduring effect on public finances…</w:t>
      </w:r>
    </w:p>
    <w:p w14:paraId="0807F915" w14:textId="68338C0E" w:rsidR="009865E6" w:rsidRPr="009A1A17" w:rsidRDefault="009865E6" w:rsidP="009865E6">
      <w:pPr>
        <w:pStyle w:val="ListBullet"/>
        <w:numPr>
          <w:ilvl w:val="0"/>
          <w:numId w:val="0"/>
        </w:numPr>
      </w:pPr>
      <w:r w:rsidRPr="00A42D18">
        <w:t>Net debt is forecast to increase from 19 per cent of GDP in 2018-19 to 44 per cent of GDP in 2023</w:t>
      </w:r>
      <w:r w:rsidRPr="00A42D18">
        <w:noBreakHyphen/>
        <w:t>24.  The PBO projects that net debt will then stabilise and slowly fall to around 41 per cent of GDP by 2030-31.  In last year’s report, net debt was proje</w:t>
      </w:r>
      <w:r w:rsidRPr="009A1A17">
        <w:t xml:space="preserve">cted to be close to zero by </w:t>
      </w:r>
      <w:r w:rsidR="0037012B">
        <w:t>the end of the decade</w:t>
      </w:r>
      <w:r w:rsidRPr="009A1A17">
        <w:t>.</w:t>
      </w:r>
    </w:p>
    <w:p w14:paraId="34EB4950" w14:textId="1A38BBA2" w:rsidR="009865E6" w:rsidRPr="00EB2092" w:rsidRDefault="00502D5C" w:rsidP="004E2250">
      <w:pPr>
        <w:pStyle w:val="ListBullet"/>
        <w:numPr>
          <w:ilvl w:val="0"/>
          <w:numId w:val="0"/>
        </w:numPr>
      </w:pPr>
      <w:r w:rsidRPr="00F852A4">
        <w:t xml:space="preserve">Gross </w:t>
      </w:r>
      <w:r w:rsidR="009865E6" w:rsidRPr="00EB2092">
        <w:t>debt as a share of GDP is expected to reach its highest level since the Second World War, but public debt interest payments are projected to remain lower than for most of the last 75 years</w:t>
      </w:r>
      <w:r w:rsidR="001E59E2">
        <w:t xml:space="preserve"> </w:t>
      </w:r>
      <w:r w:rsidR="001E59E2" w:rsidRPr="00EB2092">
        <w:t xml:space="preserve">(at around 0.9 per cent of GDP) </w:t>
      </w:r>
      <w:r w:rsidR="009865E6" w:rsidRPr="00EB2092">
        <w:t>due to historically low interest rates.</w:t>
      </w:r>
    </w:p>
    <w:p w14:paraId="41684A22" w14:textId="6F14CB62" w:rsidR="009865E6" w:rsidRPr="00EB2092" w:rsidRDefault="009865E6" w:rsidP="009865E6">
      <w:pPr>
        <w:pStyle w:val="PullOutBoxBodyText"/>
        <w:ind w:left="0"/>
      </w:pPr>
      <w:r w:rsidRPr="00EB2092">
        <w:t>…while higher government payments will unwind, lower receipts are projected to continue over the medium term…</w:t>
      </w:r>
    </w:p>
    <w:p w14:paraId="58F0E144" w14:textId="1C90DA17" w:rsidR="009865E6" w:rsidRPr="00FA7285" w:rsidRDefault="009865E6" w:rsidP="009865E6">
      <w:pPr>
        <w:pStyle w:val="ListBullet"/>
        <w:numPr>
          <w:ilvl w:val="0"/>
          <w:numId w:val="0"/>
        </w:numPr>
      </w:pPr>
      <w:r w:rsidRPr="00EB2092">
        <w:t xml:space="preserve">Total payments are forecast </w:t>
      </w:r>
      <w:r w:rsidR="00593D68">
        <w:t xml:space="preserve">in the budget </w:t>
      </w:r>
      <w:r w:rsidRPr="00EB2092">
        <w:t xml:space="preserve">to increase from </w:t>
      </w:r>
      <w:r w:rsidR="00EC63D5" w:rsidRPr="00EB2092">
        <w:t xml:space="preserve">24.5 per cent of GDP </w:t>
      </w:r>
      <w:r w:rsidRPr="00EB2092">
        <w:t xml:space="preserve">in 2018-19 to </w:t>
      </w:r>
      <w:r w:rsidR="00EC63D5" w:rsidRPr="00EB2092">
        <w:t>34.8</w:t>
      </w:r>
      <w:r w:rsidR="00593D68">
        <w:t> </w:t>
      </w:r>
      <w:r w:rsidR="00EC63D5" w:rsidRPr="00EB2092">
        <w:t>per cent of GDP</w:t>
      </w:r>
      <w:r w:rsidRPr="00EB2092">
        <w:t xml:space="preserve"> in 2020-21, </w:t>
      </w:r>
      <w:r w:rsidR="00EC63D5" w:rsidRPr="00EB2092">
        <w:t xml:space="preserve">at </w:t>
      </w:r>
      <w:r w:rsidRPr="00EB2092">
        <w:t xml:space="preserve">the height of pandemic related measures, and </w:t>
      </w:r>
      <w:r w:rsidR="00FA7285">
        <w:t xml:space="preserve">are </w:t>
      </w:r>
      <w:r w:rsidR="00BC4BC2" w:rsidRPr="00FA7285">
        <w:t xml:space="preserve">projected to </w:t>
      </w:r>
      <w:r w:rsidRPr="00FA7285">
        <w:t xml:space="preserve">then fall back to </w:t>
      </w:r>
      <w:r w:rsidR="00EC63D5" w:rsidRPr="00D006D1">
        <w:t>26.1</w:t>
      </w:r>
      <w:r w:rsidR="00643DBC" w:rsidRPr="00E439C2">
        <w:t> </w:t>
      </w:r>
      <w:r w:rsidR="00EC63D5" w:rsidRPr="001D1C6B">
        <w:t>per</w:t>
      </w:r>
      <w:r w:rsidR="00643DBC" w:rsidRPr="00C96029">
        <w:t> </w:t>
      </w:r>
      <w:r w:rsidR="00EC63D5" w:rsidRPr="006F7EB9">
        <w:t>cent of GDP</w:t>
      </w:r>
      <w:r w:rsidRPr="0050447F">
        <w:t xml:space="preserve"> by 2030-31</w:t>
      </w:r>
      <w:r w:rsidR="00EC63D5" w:rsidRPr="00A42D18">
        <w:t xml:space="preserve">, </w:t>
      </w:r>
      <w:r w:rsidRPr="009A1A17">
        <w:t>1.</w:t>
      </w:r>
      <w:r w:rsidR="00AB2BFC" w:rsidRPr="00372C38">
        <w:t>6</w:t>
      </w:r>
      <w:r w:rsidRPr="00F852A4">
        <w:t xml:space="preserve"> percentage points higher than 2018-19.</w:t>
      </w:r>
      <w:r w:rsidR="001E59E2">
        <w:t xml:space="preserve"> </w:t>
      </w:r>
      <w:r w:rsidRPr="00F852A4">
        <w:t xml:space="preserve"> While payments are significantly higher in the short term due to the COVID-19 </w:t>
      </w:r>
      <w:r w:rsidRPr="00EB2092">
        <w:t xml:space="preserve">related policy response, this impact is </w:t>
      </w:r>
      <w:r w:rsidR="00FA7285">
        <w:t xml:space="preserve">projected to be </w:t>
      </w:r>
      <w:r w:rsidRPr="00FA7285">
        <w:t>largely unwound by the end of the forward estimates</w:t>
      </w:r>
      <w:r w:rsidR="00AF5A56" w:rsidRPr="00FA7285">
        <w:t xml:space="preserve"> and medium term</w:t>
      </w:r>
      <w:r w:rsidRPr="00FA7285">
        <w:t>.</w:t>
      </w:r>
    </w:p>
    <w:p w14:paraId="2BFEC6F2" w14:textId="72B10803" w:rsidR="009865E6" w:rsidRPr="00F852A4" w:rsidRDefault="009865E6" w:rsidP="009865E6">
      <w:pPr>
        <w:pStyle w:val="ListBullet"/>
        <w:numPr>
          <w:ilvl w:val="0"/>
          <w:numId w:val="0"/>
        </w:numPr>
      </w:pPr>
      <w:r w:rsidRPr="00D006D1">
        <w:t>Total receipts are projected to reach 24.</w:t>
      </w:r>
      <w:r w:rsidR="00A351DF" w:rsidRPr="00E439C2">
        <w:t>5</w:t>
      </w:r>
      <w:r w:rsidRPr="00C96029">
        <w:t xml:space="preserve"> per cent of GDP by 2030-31 (0.</w:t>
      </w:r>
      <w:r w:rsidR="002C6B6E" w:rsidRPr="0050447F">
        <w:t xml:space="preserve">4 </w:t>
      </w:r>
      <w:r w:rsidRPr="00A42D18">
        <w:t>percentage points below receipts in 2018-19, prior to</w:t>
      </w:r>
      <w:r w:rsidRPr="009A1A17">
        <w:t xml:space="preserve"> COVID-19). </w:t>
      </w:r>
      <w:r w:rsidR="005E73C0" w:rsidRPr="00372C38">
        <w:t xml:space="preserve"> </w:t>
      </w:r>
      <w:r w:rsidRPr="00F852A4">
        <w:t xml:space="preserve">In dollar terms, the impact on receipts is long-lasting due to </w:t>
      </w:r>
      <w:r w:rsidR="001E59E2">
        <w:t xml:space="preserve">the </w:t>
      </w:r>
      <w:r w:rsidRPr="00F852A4">
        <w:t xml:space="preserve">close link between economic activity and tax collections.  </w:t>
      </w:r>
    </w:p>
    <w:p w14:paraId="1777693B" w14:textId="0C8D4F75" w:rsidR="009865E6" w:rsidRPr="00FA7285" w:rsidRDefault="00FA7285" w:rsidP="009865E6">
      <w:pPr>
        <w:pStyle w:val="ListBullet"/>
        <w:numPr>
          <w:ilvl w:val="0"/>
          <w:numId w:val="0"/>
        </w:numPr>
      </w:pPr>
      <w:r>
        <w:t>T</w:t>
      </w:r>
      <w:r w:rsidR="009865E6" w:rsidRPr="00FA7285">
        <w:t>he trends in payments and receipts can be obscured when looking solely at projected receipts and payments as a percentage of GDP, as the level of nominal GDP is permanently lower as a result of this pandemic</w:t>
      </w:r>
      <w:r w:rsidR="009865E6" w:rsidRPr="00FA7285">
        <w:noBreakHyphen/>
        <w:t>induced economic shock.</w:t>
      </w:r>
    </w:p>
    <w:p w14:paraId="5B0CAD6F" w14:textId="7C0B787F" w:rsidR="009865E6" w:rsidRPr="00D006D1" w:rsidRDefault="009865E6" w:rsidP="009865E6">
      <w:pPr>
        <w:pStyle w:val="PullOutBoxBodyText"/>
        <w:ind w:left="0"/>
      </w:pPr>
      <w:r w:rsidRPr="00D006D1">
        <w:t>…</w:t>
      </w:r>
      <w:r w:rsidR="0037012B">
        <w:t xml:space="preserve"> </w:t>
      </w:r>
      <w:proofErr w:type="gramStart"/>
      <w:r w:rsidRPr="00D006D1">
        <w:t>and</w:t>
      </w:r>
      <w:proofErr w:type="gramEnd"/>
      <w:r w:rsidRPr="00D006D1">
        <w:t xml:space="preserve"> considerable risks remain to the fiscal outlook.</w:t>
      </w:r>
    </w:p>
    <w:p w14:paraId="10667396" w14:textId="77777777" w:rsidR="009865E6" w:rsidRPr="001D1C6B" w:rsidRDefault="009865E6" w:rsidP="009865E6">
      <w:pPr>
        <w:pStyle w:val="PullOutBoxBodyText"/>
        <w:ind w:left="0"/>
        <w:rPr>
          <w:b w:val="0"/>
          <w:i w:val="0"/>
          <w:color w:val="auto"/>
        </w:rPr>
      </w:pPr>
      <w:r w:rsidRPr="00E439C2">
        <w:rPr>
          <w:b w:val="0"/>
          <w:i w:val="0"/>
          <w:color w:val="auto"/>
        </w:rPr>
        <w:t>The near future remains highly uncertain, depending on both the health and economic situat</w:t>
      </w:r>
      <w:r w:rsidRPr="001D1C6B">
        <w:rPr>
          <w:b w:val="0"/>
          <w:i w:val="0"/>
          <w:color w:val="auto"/>
        </w:rPr>
        <w:t xml:space="preserve">ion. </w:t>
      </w:r>
    </w:p>
    <w:p w14:paraId="456D096C" w14:textId="526CFEBB" w:rsidR="009865E6" w:rsidRPr="00FA7285" w:rsidRDefault="009865E6" w:rsidP="009865E6">
      <w:pPr>
        <w:pStyle w:val="PullOutBoxBodyText"/>
        <w:ind w:left="0"/>
        <w:rPr>
          <w:b w:val="0"/>
          <w:i w:val="0"/>
          <w:color w:val="auto"/>
        </w:rPr>
      </w:pPr>
      <w:r w:rsidRPr="00C96029">
        <w:rPr>
          <w:b w:val="0"/>
          <w:i w:val="0"/>
          <w:color w:val="auto"/>
        </w:rPr>
        <w:t xml:space="preserve">A slower-than-expected economic recovery or greater government spending associated with additional COVID-19 outbreaks or fiscal stimulus would flow through to slower improvements in receipts and </w:t>
      </w:r>
      <w:r w:rsidR="00FA7285">
        <w:rPr>
          <w:b w:val="0"/>
          <w:i w:val="0"/>
          <w:color w:val="auto"/>
        </w:rPr>
        <w:t xml:space="preserve">to </w:t>
      </w:r>
      <w:r w:rsidRPr="00FA7285">
        <w:rPr>
          <w:b w:val="0"/>
          <w:i w:val="0"/>
          <w:color w:val="auto"/>
        </w:rPr>
        <w:t xml:space="preserve">higher payments. </w:t>
      </w:r>
      <w:r w:rsidR="001E59E2">
        <w:rPr>
          <w:b w:val="0"/>
          <w:i w:val="0"/>
          <w:color w:val="auto"/>
        </w:rPr>
        <w:t xml:space="preserve"> </w:t>
      </w:r>
      <w:r w:rsidRPr="00FA7285">
        <w:rPr>
          <w:b w:val="0"/>
          <w:i w:val="0"/>
          <w:color w:val="auto"/>
        </w:rPr>
        <w:t xml:space="preserve">This would result in higher deficits and government debt. </w:t>
      </w:r>
    </w:p>
    <w:p w14:paraId="5168B420" w14:textId="1297D1FC" w:rsidR="00532C98" w:rsidRDefault="009865E6" w:rsidP="003A56EF">
      <w:pPr>
        <w:pStyle w:val="BodyText"/>
      </w:pPr>
      <w:r w:rsidRPr="00D006D1">
        <w:t>By contrast, if the Australian economy performs strongly, avoiding a prolonged period of weak productivity growth or negligible price growth, then both the budget balance and debt position could improve faster than projected here.</w:t>
      </w:r>
      <w:r w:rsidR="00532C98">
        <w:t xml:space="preserve"> </w:t>
      </w:r>
      <w:r w:rsidR="00532C98">
        <w:br w:type="page"/>
      </w:r>
    </w:p>
    <w:p w14:paraId="57B4F507" w14:textId="77777777" w:rsidR="001D6C52" w:rsidRPr="001D1C6B" w:rsidRDefault="000D2145" w:rsidP="00297971">
      <w:pPr>
        <w:pStyle w:val="Heading1"/>
      </w:pPr>
      <w:bookmarkStart w:id="8" w:name="_Toc58271420"/>
      <w:bookmarkStart w:id="9" w:name="_Toc58271421"/>
      <w:bookmarkEnd w:id="8"/>
      <w:r w:rsidRPr="00D006D1">
        <w:lastRenderedPageBreak/>
        <w:t>Proj</w:t>
      </w:r>
      <w:r w:rsidRPr="00E439C2">
        <w:t>ected underlying cash balance</w:t>
      </w:r>
      <w:bookmarkEnd w:id="9"/>
    </w:p>
    <w:tbl>
      <w:tblPr>
        <w:tblStyle w:val="BoxPlaceholder"/>
        <w:tblW w:w="8789" w:type="dxa"/>
        <w:shd w:val="clear" w:color="auto" w:fill="D3D8E9" w:themeFill="background2" w:themeFillTint="33"/>
        <w:tblLayout w:type="fixed"/>
        <w:tblLook w:val="04A0" w:firstRow="1" w:lastRow="0" w:firstColumn="1" w:lastColumn="0" w:noHBand="0" w:noVBand="1"/>
      </w:tblPr>
      <w:tblGrid>
        <w:gridCol w:w="8789"/>
      </w:tblGrid>
      <w:tr w:rsidR="006679DD" w:rsidRPr="00EB2092" w14:paraId="57AC5FB0" w14:textId="77777777" w:rsidTr="00DF6D33">
        <w:tc>
          <w:tcPr>
            <w:tcW w:w="8789" w:type="dxa"/>
            <w:shd w:val="clear" w:color="auto" w:fill="D3D8E9" w:themeFill="background2" w:themeFillTint="33"/>
          </w:tcPr>
          <w:p w14:paraId="4F3239F6" w14:textId="0168A92B" w:rsidR="006679DD" w:rsidRPr="00C96029" w:rsidRDefault="006679DD" w:rsidP="008C405C">
            <w:pPr>
              <w:pStyle w:val="Heading2NoNumbering"/>
              <w:spacing w:before="120"/>
            </w:pPr>
            <w:r w:rsidRPr="00C96029">
              <w:t>Key points</w:t>
            </w:r>
          </w:p>
          <w:p w14:paraId="4B0F1EF7" w14:textId="4F8EE12D" w:rsidR="006679DD" w:rsidRPr="00EB2092" w:rsidRDefault="008C405C" w:rsidP="00DF6D33">
            <w:pPr>
              <w:pStyle w:val="ListBullet"/>
            </w:pPr>
            <w:r w:rsidRPr="006F7EB9">
              <w:t xml:space="preserve">The </w:t>
            </w:r>
            <w:r w:rsidR="00885EB2" w:rsidRPr="0050447F">
              <w:t>budget</w:t>
            </w:r>
            <w:r w:rsidRPr="00A42D18">
              <w:t xml:space="preserve"> position has </w:t>
            </w:r>
            <w:r w:rsidR="00885EB2" w:rsidRPr="009A1A17">
              <w:t>deteriorated significantly</w:t>
            </w:r>
            <w:r w:rsidRPr="00372C38">
              <w:t xml:space="preserve"> as a result of the COVID-19 pandemic and </w:t>
            </w:r>
            <w:r w:rsidR="004F62CF" w:rsidRPr="00F852A4">
              <w:t xml:space="preserve">the </w:t>
            </w:r>
            <w:r w:rsidRPr="00EB2092">
              <w:t>associated policy response</w:t>
            </w:r>
            <w:r w:rsidR="004F62CF" w:rsidRPr="00EB2092">
              <w:t>.</w:t>
            </w:r>
          </w:p>
          <w:p w14:paraId="3B2479FD" w14:textId="11BA1EE9" w:rsidR="004F62CF" w:rsidRPr="00EB2092" w:rsidRDefault="004F62CF" w:rsidP="00DF6D33">
            <w:pPr>
              <w:pStyle w:val="ListBullet"/>
            </w:pPr>
            <w:r w:rsidRPr="00EB2092">
              <w:t>In 2020</w:t>
            </w:r>
            <w:r w:rsidR="00487A21">
              <w:t>-</w:t>
            </w:r>
            <w:r w:rsidRPr="00EB2092">
              <w:t xml:space="preserve">21, the </w:t>
            </w:r>
            <w:r w:rsidR="00885EB2" w:rsidRPr="00EB2092">
              <w:t xml:space="preserve">budget </w:t>
            </w:r>
            <w:r w:rsidRPr="00EB2092">
              <w:t>forecasts the underlying cash balance to be the biggest deficit since at least 1970</w:t>
            </w:r>
            <w:r w:rsidR="00487A21">
              <w:t>-</w:t>
            </w:r>
            <w:r w:rsidRPr="00EB2092">
              <w:t>71, at $214 billion, or 11.0 per cent of GDP.</w:t>
            </w:r>
          </w:p>
          <w:p w14:paraId="2E4C035C" w14:textId="509CD5DD" w:rsidR="001205E2" w:rsidRPr="001D1C6B" w:rsidRDefault="004F62CF" w:rsidP="00DF6D33">
            <w:pPr>
              <w:pStyle w:val="ListBullet"/>
            </w:pPr>
            <w:r w:rsidRPr="00EB2092">
              <w:t xml:space="preserve">The </w:t>
            </w:r>
            <w:r w:rsidR="001E59E2">
              <w:t>Parliamentary Budget Office (</w:t>
            </w:r>
            <w:r w:rsidRPr="00EB2092">
              <w:t>PBO</w:t>
            </w:r>
            <w:r w:rsidR="001E59E2">
              <w:t>)</w:t>
            </w:r>
            <w:r w:rsidRPr="00EB2092">
              <w:t xml:space="preserve"> projects that </w:t>
            </w:r>
            <w:r w:rsidR="001205E2" w:rsidRPr="00EB2092">
              <w:t xml:space="preserve">the fiscal position will improve </w:t>
            </w:r>
            <w:r w:rsidR="00A63A32" w:rsidRPr="00EB2092">
              <w:t xml:space="preserve">over the medium term but </w:t>
            </w:r>
            <w:r w:rsidR="00FA7285">
              <w:t xml:space="preserve">that </w:t>
            </w:r>
            <w:r w:rsidR="00A63A32" w:rsidRPr="00FA7285">
              <w:t>there will still be a</w:t>
            </w:r>
            <w:r w:rsidR="004E0A8D" w:rsidRPr="00FA7285">
              <w:t xml:space="preserve"> significant</w:t>
            </w:r>
            <w:r w:rsidR="00A63A32" w:rsidRPr="00FA7285">
              <w:t xml:space="preserve"> underlying cash deficit </w:t>
            </w:r>
            <w:r w:rsidR="00885EB2" w:rsidRPr="00FA7285">
              <w:t>of $</w:t>
            </w:r>
            <w:r w:rsidR="00FD21C4" w:rsidRPr="00FA7285">
              <w:t>51 </w:t>
            </w:r>
            <w:r w:rsidR="00885EB2" w:rsidRPr="00FA7285">
              <w:t>billion, or 1.</w:t>
            </w:r>
            <w:r w:rsidR="000D2519" w:rsidRPr="00FA7285">
              <w:t>6</w:t>
            </w:r>
            <w:r w:rsidR="00885EB2" w:rsidRPr="00FA7285">
              <w:t> per cent of GDP, i</w:t>
            </w:r>
            <w:r w:rsidR="00A63A32" w:rsidRPr="00FA7285">
              <w:t xml:space="preserve">n </w:t>
            </w:r>
            <w:r w:rsidR="00A63A32" w:rsidRPr="00D006D1">
              <w:t>20</w:t>
            </w:r>
            <w:r w:rsidR="00A63A32" w:rsidRPr="00E439C2">
              <w:t>30</w:t>
            </w:r>
            <w:r w:rsidR="00487A21">
              <w:t>-</w:t>
            </w:r>
            <w:r w:rsidR="001205E2" w:rsidRPr="001D1C6B">
              <w:t>31.</w:t>
            </w:r>
          </w:p>
          <w:p w14:paraId="5E0096F7" w14:textId="3529AE33" w:rsidR="009959F5" w:rsidRPr="00C96029" w:rsidRDefault="009959F5" w:rsidP="00DF6D33">
            <w:pPr>
              <w:pStyle w:val="ListBullet"/>
            </w:pPr>
            <w:r w:rsidRPr="00C96029">
              <w:t>This deficit reflects a combination of lower receipts and higher payments that will endure across the medium term.</w:t>
            </w:r>
          </w:p>
        </w:tc>
      </w:tr>
    </w:tbl>
    <w:p w14:paraId="5428EC07" w14:textId="788DD197" w:rsidR="00961277" w:rsidRPr="00EB2092" w:rsidRDefault="000D2145" w:rsidP="00044B24">
      <w:pPr>
        <w:pStyle w:val="Heading2"/>
        <w:ind w:left="765"/>
      </w:pPr>
      <w:bookmarkStart w:id="10" w:name="_Toc58271422"/>
      <w:r w:rsidRPr="00EB2092">
        <w:t>Underlying cash balance</w:t>
      </w:r>
      <w:r w:rsidR="00E576CE" w:rsidRPr="007D6E09">
        <w:rPr>
          <w:rStyle w:val="FootnoteReference"/>
          <w:color w:val="3D4D7D" w:themeColor="background2"/>
        </w:rPr>
        <w:footnoteReference w:id="1"/>
      </w:r>
      <w:bookmarkEnd w:id="10"/>
    </w:p>
    <w:p w14:paraId="7ED06E35" w14:textId="0D276A1E" w:rsidR="00412649" w:rsidRPr="00EB2092" w:rsidRDefault="00532255" w:rsidP="00CD7CE1">
      <w:pPr>
        <w:pStyle w:val="ListBullet"/>
        <w:numPr>
          <w:ilvl w:val="0"/>
          <w:numId w:val="0"/>
        </w:numPr>
      </w:pPr>
      <w:bookmarkStart w:id="11" w:name="_Ref530738221"/>
      <w:bookmarkStart w:id="12" w:name="_Ref531183819"/>
      <w:r w:rsidRPr="00EB2092">
        <w:t xml:space="preserve">The </w:t>
      </w:r>
      <w:r w:rsidR="0054349B" w:rsidRPr="00EB2092">
        <w:t>COVID-19</w:t>
      </w:r>
      <w:r w:rsidRPr="00EB2092">
        <w:t xml:space="preserve"> pandemic and associated policy response </w:t>
      </w:r>
      <w:r w:rsidR="006567A4" w:rsidRPr="00EB2092">
        <w:t xml:space="preserve">has </w:t>
      </w:r>
      <w:r w:rsidRPr="00EB2092">
        <w:t xml:space="preserve">led to </w:t>
      </w:r>
      <w:r w:rsidR="00E25E6A" w:rsidRPr="00EB2092">
        <w:t>the largest</w:t>
      </w:r>
      <w:r w:rsidRPr="00EB2092">
        <w:t xml:space="preserve"> deterioration in the </w:t>
      </w:r>
      <w:r w:rsidR="0054349B" w:rsidRPr="00EB2092">
        <w:t xml:space="preserve">Commonwealth </w:t>
      </w:r>
      <w:r w:rsidRPr="00EB2092">
        <w:t>Government’s fiscal position</w:t>
      </w:r>
      <w:r w:rsidR="00E25E6A" w:rsidRPr="00EB2092">
        <w:t xml:space="preserve"> since the </w:t>
      </w:r>
      <w:r w:rsidR="00CD7CE1" w:rsidRPr="00EB2092">
        <w:t>Second World War</w:t>
      </w:r>
      <w:r w:rsidR="00412649" w:rsidRPr="00EB2092">
        <w:t>.</w:t>
      </w:r>
    </w:p>
    <w:p w14:paraId="40F3A441" w14:textId="11E83CED" w:rsidR="00803D8F" w:rsidRPr="00E439C2" w:rsidRDefault="00412649" w:rsidP="00CD7CE1">
      <w:pPr>
        <w:pStyle w:val="ListBullet"/>
        <w:numPr>
          <w:ilvl w:val="0"/>
          <w:numId w:val="0"/>
        </w:numPr>
      </w:pPr>
      <w:r w:rsidRPr="00EB2092">
        <w:t>The 2020</w:t>
      </w:r>
      <w:r w:rsidR="00487A21">
        <w:t>-</w:t>
      </w:r>
      <w:r w:rsidRPr="00EB2092">
        <w:t>21 Budget forecast a historically high underlying cash deficit and net debt over the next few years.</w:t>
      </w:r>
      <w:r w:rsidR="007969C9">
        <w:rPr>
          <w:rStyle w:val="FootnoteReference"/>
        </w:rPr>
        <w:footnoteReference w:id="2"/>
      </w:r>
      <w:r w:rsidR="001E59E2">
        <w:rPr>
          <w:rStyle w:val="FootnoteReference"/>
        </w:rPr>
        <w:t xml:space="preserve">, </w:t>
      </w:r>
      <w:r w:rsidR="001E59E2" w:rsidRPr="00EB2092">
        <w:rPr>
          <w:rStyle w:val="FootnoteReference"/>
        </w:rPr>
        <w:footnoteReference w:id="3"/>
      </w:r>
      <w:r w:rsidRPr="00EB2092">
        <w:t xml:space="preserve"> </w:t>
      </w:r>
      <w:r w:rsidR="00481F39" w:rsidRPr="00EB2092">
        <w:t xml:space="preserve"> </w:t>
      </w:r>
      <w:r w:rsidR="000919C4" w:rsidRPr="00EB2092">
        <w:t>By the end of the decade, the PBO projects that the budget will remain in deficit, with the</w:t>
      </w:r>
      <w:r w:rsidR="00532255" w:rsidRPr="00EB2092">
        <w:t xml:space="preserve"> deterioration</w:t>
      </w:r>
      <w:r w:rsidR="00FA7285">
        <w:t>,</w:t>
      </w:r>
      <w:r w:rsidR="00532255" w:rsidRPr="00FA7285">
        <w:t xml:space="preserve"> </w:t>
      </w:r>
      <w:r w:rsidR="00EE75B7" w:rsidRPr="00FA7285">
        <w:t xml:space="preserve">compared to </w:t>
      </w:r>
      <w:r w:rsidR="006434CA" w:rsidRPr="00FA7285">
        <w:t>2018</w:t>
      </w:r>
      <w:r w:rsidR="00487A21">
        <w:t>-</w:t>
      </w:r>
      <w:r w:rsidR="006434CA" w:rsidRPr="00FA7285">
        <w:t>19</w:t>
      </w:r>
      <w:r w:rsidR="00FA7285">
        <w:t>,</w:t>
      </w:r>
      <w:r w:rsidR="00EE75B7" w:rsidRPr="00FA7285">
        <w:t xml:space="preserve"> </w:t>
      </w:r>
      <w:r w:rsidR="000919C4" w:rsidRPr="00FA7285">
        <w:t>resulting from both</w:t>
      </w:r>
      <w:r w:rsidR="00532255" w:rsidRPr="00FA7285">
        <w:t xml:space="preserve"> increased </w:t>
      </w:r>
      <w:r w:rsidR="00633CF7" w:rsidRPr="00FA7285">
        <w:t>payments</w:t>
      </w:r>
      <w:r w:rsidR="00532255" w:rsidRPr="00FA7285">
        <w:t xml:space="preserve"> </w:t>
      </w:r>
      <w:r w:rsidR="000919C4" w:rsidRPr="00602A7E">
        <w:t xml:space="preserve">and </w:t>
      </w:r>
      <w:r w:rsidR="00A95AE2" w:rsidRPr="00602A7E">
        <w:t>decreased receipts due to a reduction in the level of economic activity</w:t>
      </w:r>
      <w:r w:rsidR="00532255" w:rsidRPr="00D006D1">
        <w:t>.</w:t>
      </w:r>
      <w:r w:rsidR="001E59E2">
        <w:rPr>
          <w:rStyle w:val="FootnoteReference"/>
        </w:rPr>
        <w:footnoteReference w:id="4"/>
      </w:r>
      <w:r w:rsidR="00532255" w:rsidRPr="00D006D1">
        <w:t xml:space="preserve">  </w:t>
      </w:r>
    </w:p>
    <w:p w14:paraId="47EBC7B0" w14:textId="77777777" w:rsidR="00593D68" w:rsidRDefault="0032050B" w:rsidP="006C523C">
      <w:pPr>
        <w:pStyle w:val="ListBullet"/>
        <w:numPr>
          <w:ilvl w:val="0"/>
          <w:numId w:val="0"/>
        </w:numPr>
      </w:pPr>
      <w:r w:rsidRPr="001D1C6B">
        <w:t>After a</w:t>
      </w:r>
      <w:r w:rsidR="00811B25" w:rsidRPr="006F7EB9">
        <w:t xml:space="preserve"> </w:t>
      </w:r>
      <w:r w:rsidRPr="009A1A17">
        <w:t>balanced budget in 2018</w:t>
      </w:r>
      <w:r w:rsidR="00487A21">
        <w:t>-</w:t>
      </w:r>
      <w:r w:rsidRPr="00F852A4">
        <w:t>19, t</w:t>
      </w:r>
      <w:r w:rsidR="00DD5317" w:rsidRPr="00EB2092">
        <w:t>he</w:t>
      </w:r>
      <w:r w:rsidR="00816D41" w:rsidRPr="00EB2092">
        <w:t xml:space="preserve"> underlying cash balance</w:t>
      </w:r>
      <w:r w:rsidR="00DC4500" w:rsidRPr="00EB2092">
        <w:t xml:space="preserve"> (UCB)</w:t>
      </w:r>
      <w:r w:rsidR="00816D41" w:rsidRPr="00EB2092">
        <w:t xml:space="preserve"> for</w:t>
      </w:r>
      <w:r w:rsidR="00DD5317" w:rsidRPr="00EB2092">
        <w:t xml:space="preserve"> 2019</w:t>
      </w:r>
      <w:r w:rsidR="00487A21">
        <w:t>-</w:t>
      </w:r>
      <w:r w:rsidR="00DD5317" w:rsidRPr="00EB2092">
        <w:t xml:space="preserve">20 </w:t>
      </w:r>
      <w:r w:rsidR="00310806" w:rsidRPr="00EB2092">
        <w:t xml:space="preserve">was </w:t>
      </w:r>
      <w:r w:rsidR="00816D41" w:rsidRPr="00EB2092">
        <w:t>a deficit of $85</w:t>
      </w:r>
      <w:r w:rsidR="00310806" w:rsidRPr="00EB2092">
        <w:t> </w:t>
      </w:r>
      <w:r w:rsidR="00816D41" w:rsidRPr="00EB2092">
        <w:t>billion, or 4.3 per cent of GD</w:t>
      </w:r>
      <w:r w:rsidR="00310806" w:rsidRPr="00EB2092">
        <w:t>P,</w:t>
      </w:r>
      <w:r w:rsidR="00816D41" w:rsidRPr="00EB2092">
        <w:t xml:space="preserve"> the biggest deficit </w:t>
      </w:r>
      <w:r w:rsidR="00602A7E">
        <w:t>since</w:t>
      </w:r>
      <w:r w:rsidR="00816D41" w:rsidRPr="00602A7E">
        <w:t xml:space="preserve"> 1970</w:t>
      </w:r>
      <w:r w:rsidR="00487A21">
        <w:t>-</w:t>
      </w:r>
      <w:r w:rsidR="00816D41" w:rsidRPr="00602A7E">
        <w:t>71</w:t>
      </w:r>
      <w:r w:rsidR="00DC4500" w:rsidRPr="00602A7E">
        <w:t xml:space="preserve"> (Figure 1–1)</w:t>
      </w:r>
      <w:r w:rsidR="00816D41" w:rsidRPr="00602A7E">
        <w:t xml:space="preserve">.  </w:t>
      </w:r>
      <w:r w:rsidR="00010CF0" w:rsidRPr="00602A7E">
        <w:t xml:space="preserve">The </w:t>
      </w:r>
      <w:r w:rsidR="0054349B" w:rsidRPr="00602A7E">
        <w:t>g</w:t>
      </w:r>
      <w:r w:rsidR="00010CF0" w:rsidRPr="00602A7E">
        <w:t xml:space="preserve">overnment </w:t>
      </w:r>
      <w:r w:rsidR="00811B25" w:rsidRPr="00602A7E">
        <w:t xml:space="preserve">forecasts </w:t>
      </w:r>
      <w:r w:rsidR="00602A7E">
        <w:t>a</w:t>
      </w:r>
      <w:r w:rsidR="00010CF0" w:rsidRPr="00602A7E">
        <w:t xml:space="preserve"> deficit</w:t>
      </w:r>
      <w:r w:rsidR="00816D41" w:rsidRPr="00602A7E">
        <w:t xml:space="preserve"> of $214 billion, or 11</w:t>
      </w:r>
      <w:r w:rsidR="00481F39" w:rsidRPr="00602A7E">
        <w:t>.0</w:t>
      </w:r>
      <w:r w:rsidR="00816D41" w:rsidRPr="00602A7E">
        <w:t> per cent of GDP,</w:t>
      </w:r>
      <w:r w:rsidR="00010CF0" w:rsidRPr="00D006D1">
        <w:t xml:space="preserve"> in 2020</w:t>
      </w:r>
      <w:r w:rsidR="00487A21">
        <w:t>-</w:t>
      </w:r>
      <w:r w:rsidR="00010CF0" w:rsidRPr="001D1C6B">
        <w:t xml:space="preserve">21, </w:t>
      </w:r>
      <w:r w:rsidR="006B54AD" w:rsidRPr="00C96029">
        <w:t xml:space="preserve">with the deficit </w:t>
      </w:r>
      <w:r w:rsidR="00654141" w:rsidRPr="006F7EB9">
        <w:t xml:space="preserve">then </w:t>
      </w:r>
      <w:r w:rsidR="006B54AD" w:rsidRPr="0050447F">
        <w:t>getting progressiv</w:t>
      </w:r>
      <w:r w:rsidR="006B54AD" w:rsidRPr="00A42D18">
        <w:t xml:space="preserve">ely smaller </w:t>
      </w:r>
      <w:r w:rsidR="00816D41" w:rsidRPr="009A1A17">
        <w:t>over the rest of the forward estimates period</w:t>
      </w:r>
      <w:r w:rsidR="00602A7E">
        <w:t>,</w:t>
      </w:r>
      <w:r w:rsidR="00845E06" w:rsidRPr="00602A7E">
        <w:t xml:space="preserve"> </w:t>
      </w:r>
      <w:r w:rsidR="00F06F1A" w:rsidRPr="00602A7E">
        <w:t>falling to 3.0 per cent of GDP in 2023-24</w:t>
      </w:r>
      <w:r w:rsidR="00602A7E">
        <w:t>.  This change reflects the wind down of</w:t>
      </w:r>
      <w:r w:rsidR="00845E06" w:rsidRPr="00602A7E">
        <w:t xml:space="preserve"> new </w:t>
      </w:r>
      <w:r w:rsidR="00633CF7" w:rsidRPr="00602A7E">
        <w:t>payments</w:t>
      </w:r>
      <w:r w:rsidR="00845E06" w:rsidRPr="00602A7E">
        <w:t xml:space="preserve"> </w:t>
      </w:r>
      <w:r w:rsidR="00602A7E">
        <w:t xml:space="preserve">made </w:t>
      </w:r>
      <w:r w:rsidR="00845E06" w:rsidRPr="00602A7E">
        <w:t>in response to the pandemic</w:t>
      </w:r>
      <w:r w:rsidRPr="00602A7E">
        <w:t xml:space="preserve">.  </w:t>
      </w:r>
      <w:r w:rsidR="006C523C" w:rsidRPr="00602A7E">
        <w:t xml:space="preserve">The PBO projects </w:t>
      </w:r>
      <w:r w:rsidR="00602A7E">
        <w:t xml:space="preserve">that </w:t>
      </w:r>
      <w:r w:rsidR="006C523C" w:rsidRPr="00602A7E">
        <w:t xml:space="preserve">the UCB </w:t>
      </w:r>
      <w:r w:rsidR="00602A7E">
        <w:t>will</w:t>
      </w:r>
      <w:r w:rsidR="00602A7E" w:rsidRPr="00602A7E">
        <w:t xml:space="preserve"> </w:t>
      </w:r>
      <w:r w:rsidR="006C523C" w:rsidRPr="00602A7E">
        <w:t xml:space="preserve">improve gradually over the </w:t>
      </w:r>
      <w:r w:rsidR="009959F5" w:rsidRPr="00602A7E">
        <w:t xml:space="preserve">next decade </w:t>
      </w:r>
      <w:r w:rsidR="006C523C" w:rsidRPr="00602A7E">
        <w:t>to a deficit of $</w:t>
      </w:r>
      <w:r w:rsidR="005E73C0" w:rsidRPr="00602A7E">
        <w:t>51</w:t>
      </w:r>
      <w:r w:rsidR="006434CA" w:rsidRPr="00602A7E">
        <w:t> </w:t>
      </w:r>
      <w:r w:rsidR="006C523C" w:rsidRPr="00602A7E">
        <w:t>billion, or 1.</w:t>
      </w:r>
      <w:r w:rsidR="006434CA" w:rsidRPr="00602A7E">
        <w:t>6</w:t>
      </w:r>
      <w:r w:rsidR="006C523C" w:rsidRPr="00602A7E">
        <w:t> per cent of GDP</w:t>
      </w:r>
      <w:r w:rsidR="008C405C" w:rsidRPr="00602A7E">
        <w:t>, in 2030</w:t>
      </w:r>
      <w:r w:rsidR="00487A21">
        <w:t>-</w:t>
      </w:r>
      <w:r w:rsidR="008C405C" w:rsidRPr="00602A7E">
        <w:t>31</w:t>
      </w:r>
      <w:r w:rsidR="006C523C" w:rsidRPr="00602A7E">
        <w:t xml:space="preserve">. </w:t>
      </w:r>
      <w:r w:rsidR="00D46710">
        <w:t xml:space="preserve"> </w:t>
      </w:r>
    </w:p>
    <w:p w14:paraId="12572C81" w14:textId="51D79CF2" w:rsidR="006C523C" w:rsidRPr="00602A7E" w:rsidRDefault="00D46710" w:rsidP="006C523C">
      <w:pPr>
        <w:pStyle w:val="ListBullet"/>
        <w:numPr>
          <w:ilvl w:val="0"/>
          <w:numId w:val="0"/>
        </w:numPr>
      </w:pPr>
      <w:r w:rsidRPr="00FC29D3">
        <w:t xml:space="preserve">Information on </w:t>
      </w:r>
      <w:r w:rsidR="00593D68" w:rsidRPr="00572B63">
        <w:t>the PBO’s approach to our</w:t>
      </w:r>
      <w:r w:rsidRPr="00FC29D3">
        <w:t xml:space="preserve"> medium</w:t>
      </w:r>
      <w:r w:rsidRPr="00FC29D3">
        <w:noBreakHyphen/>
        <w:t>term fiscal projections report and the assumptions underlying the projections are provided in Box 1.</w:t>
      </w:r>
    </w:p>
    <w:p w14:paraId="09FFBD17" w14:textId="362D05BF" w:rsidR="00654141" w:rsidRPr="0050447F" w:rsidRDefault="00654141" w:rsidP="00044B24">
      <w:pPr>
        <w:pStyle w:val="Caption"/>
        <w:spacing w:before="240"/>
      </w:pPr>
      <w:r w:rsidRPr="00D006D1">
        <w:lastRenderedPageBreak/>
        <w:t>Figure 1–</w:t>
      </w:r>
      <w:r w:rsidR="00F00EF5" w:rsidRPr="00C96029">
        <w:fldChar w:fldCharType="begin"/>
      </w:r>
      <w:r w:rsidR="00F00EF5" w:rsidRPr="00EB2092">
        <w:instrText xml:space="preserve"> SEQ Figure \* ARABIC \s 1 </w:instrText>
      </w:r>
      <w:r w:rsidR="00F00EF5" w:rsidRPr="00C96029">
        <w:fldChar w:fldCharType="separate"/>
      </w:r>
      <w:r w:rsidR="002E6949">
        <w:rPr>
          <w:noProof/>
        </w:rPr>
        <w:t>1</w:t>
      </w:r>
      <w:r w:rsidR="00F00EF5" w:rsidRPr="00C96029">
        <w:rPr>
          <w:noProof/>
        </w:rPr>
        <w:fldChar w:fldCharType="end"/>
      </w:r>
      <w:r w:rsidRPr="00185796">
        <w:t>: Underlying cash balance</w:t>
      </w:r>
      <w:r w:rsidR="00A25C9B" w:rsidRPr="00185796">
        <w:t>, 1970</w:t>
      </w:r>
      <w:r w:rsidR="00487A21">
        <w:t>-</w:t>
      </w:r>
      <w:r w:rsidR="00A25C9B" w:rsidRPr="00185796">
        <w:t>71 to 2030</w:t>
      </w:r>
      <w:r w:rsidR="00487A21">
        <w:t>-</w:t>
      </w:r>
      <w:r w:rsidR="00A25C9B" w:rsidRPr="006F7EB9">
        <w:t>31</w:t>
      </w:r>
    </w:p>
    <w:p w14:paraId="782EDD99" w14:textId="77777777" w:rsidR="008B7C0D" w:rsidRPr="009A1A17" w:rsidRDefault="008B7C0D" w:rsidP="004E2250">
      <w:pPr>
        <w:pStyle w:val="ListBullet"/>
        <w:numPr>
          <w:ilvl w:val="0"/>
          <w:numId w:val="0"/>
        </w:numPr>
        <w:spacing w:before="0"/>
        <w:ind w:left="284" w:hanging="284"/>
        <w:jc w:val="center"/>
        <w:rPr>
          <w:rFonts w:cs="Times New Roman"/>
          <w:color w:val="788184"/>
          <w:sz w:val="18"/>
          <w:szCs w:val="14"/>
        </w:rPr>
      </w:pPr>
      <w:r w:rsidRPr="00A42D18">
        <w:rPr>
          <w:rFonts w:cs="Times New Roman"/>
          <w:noProof/>
          <w:color w:val="788184"/>
          <w:sz w:val="18"/>
          <w:szCs w:val="14"/>
          <w:lang w:eastAsia="en-AU"/>
        </w:rPr>
        <w:drawing>
          <wp:inline distT="0" distB="0" distL="0" distR="0" wp14:anchorId="194D9934" wp14:editId="5C53703D">
            <wp:extent cx="4859020" cy="28835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59020" cy="2883535"/>
                    </a:xfrm>
                    <a:prstGeom prst="rect">
                      <a:avLst/>
                    </a:prstGeom>
                    <a:noFill/>
                  </pic:spPr>
                </pic:pic>
              </a:graphicData>
            </a:graphic>
          </wp:inline>
        </w:drawing>
      </w:r>
    </w:p>
    <w:p w14:paraId="008656EF" w14:textId="784251CA" w:rsidR="00654141" w:rsidRPr="00EB2092" w:rsidRDefault="00654141" w:rsidP="004E2250">
      <w:pPr>
        <w:pStyle w:val="ListBullet"/>
        <w:numPr>
          <w:ilvl w:val="0"/>
          <w:numId w:val="0"/>
        </w:numPr>
        <w:spacing w:before="0"/>
        <w:ind w:left="1276"/>
        <w:rPr>
          <w:rFonts w:cs="Times New Roman"/>
          <w:color w:val="788184"/>
          <w:sz w:val="18"/>
          <w:szCs w:val="14"/>
        </w:rPr>
      </w:pPr>
      <w:r w:rsidRPr="00372C38">
        <w:rPr>
          <w:rFonts w:cs="Times New Roman"/>
          <w:color w:val="788184"/>
          <w:sz w:val="18"/>
          <w:szCs w:val="14"/>
        </w:rPr>
        <w:t>Source: 2020</w:t>
      </w:r>
      <w:r w:rsidR="00487A21">
        <w:rPr>
          <w:rFonts w:cs="Times New Roman"/>
          <w:color w:val="788184"/>
          <w:sz w:val="18"/>
          <w:szCs w:val="14"/>
        </w:rPr>
        <w:t>-</w:t>
      </w:r>
      <w:r w:rsidRPr="00372C38">
        <w:rPr>
          <w:rFonts w:cs="Times New Roman"/>
          <w:color w:val="788184"/>
          <w:sz w:val="18"/>
          <w:szCs w:val="14"/>
        </w:rPr>
        <w:t>21 Budget</w:t>
      </w:r>
      <w:r w:rsidR="00AE4D79" w:rsidRPr="00F852A4">
        <w:rPr>
          <w:rFonts w:cs="Times New Roman"/>
          <w:color w:val="788184"/>
          <w:sz w:val="18"/>
          <w:szCs w:val="14"/>
        </w:rPr>
        <w:t xml:space="preserve"> and PBO</w:t>
      </w:r>
      <w:r w:rsidR="00AE4D79" w:rsidRPr="00EB2092">
        <w:rPr>
          <w:rFonts w:cs="Times New Roman"/>
          <w:color w:val="788184"/>
          <w:sz w:val="18"/>
          <w:szCs w:val="14"/>
        </w:rPr>
        <w:t xml:space="preserve"> analysis</w:t>
      </w:r>
      <w:r w:rsidRPr="00EB2092">
        <w:rPr>
          <w:rFonts w:cs="Times New Roman"/>
          <w:color w:val="788184"/>
          <w:sz w:val="18"/>
          <w:szCs w:val="14"/>
        </w:rPr>
        <w:t>.</w:t>
      </w:r>
    </w:p>
    <w:p w14:paraId="067D3036" w14:textId="7A556F54" w:rsidR="00110501" w:rsidRPr="00EB2092" w:rsidRDefault="00B524E8" w:rsidP="006938F0">
      <w:pPr>
        <w:pStyle w:val="ListBullet"/>
        <w:numPr>
          <w:ilvl w:val="0"/>
          <w:numId w:val="0"/>
        </w:numPr>
      </w:pPr>
      <w:r w:rsidRPr="00EB2092">
        <w:t xml:space="preserve">The improvement </w:t>
      </w:r>
      <w:r w:rsidR="006C523C" w:rsidRPr="00EB2092">
        <w:t>to</w:t>
      </w:r>
      <w:r w:rsidRPr="00EB2092">
        <w:t xml:space="preserve"> the budget balance after the forward estimates period reflects both declining </w:t>
      </w:r>
      <w:r w:rsidR="00633CF7" w:rsidRPr="00EB2092">
        <w:t>payments</w:t>
      </w:r>
      <w:r w:rsidRPr="00EB2092">
        <w:t xml:space="preserve"> </w:t>
      </w:r>
      <w:r w:rsidR="009959F5" w:rsidRPr="00EB2092">
        <w:t xml:space="preserve">as the COVID-related policy response is unwound </w:t>
      </w:r>
      <w:r w:rsidRPr="00EB2092">
        <w:t xml:space="preserve">and improving receipts </w:t>
      </w:r>
      <w:r w:rsidR="009959F5" w:rsidRPr="00EB2092">
        <w:t xml:space="preserve">as the economy recovers </w:t>
      </w:r>
      <w:r w:rsidRPr="00EB2092">
        <w:t>(Figure 1</w:t>
      </w:r>
      <w:r w:rsidR="0078448C" w:rsidRPr="00EB2092">
        <w:t>–</w:t>
      </w:r>
      <w:r w:rsidRPr="00EB2092">
        <w:t xml:space="preserve">2).  </w:t>
      </w:r>
      <w:r w:rsidR="000204F3" w:rsidRPr="00EB2092">
        <w:t xml:space="preserve">Surpluses occur when total receipts are greater than total payments, </w:t>
      </w:r>
      <w:r w:rsidR="006C523C" w:rsidRPr="00EB2092">
        <w:t xml:space="preserve">and deficits occur when total payments are greater than total receipts.  The budget deficit </w:t>
      </w:r>
      <w:r w:rsidR="009959F5" w:rsidRPr="00EB2092">
        <w:t xml:space="preserve">remains </w:t>
      </w:r>
      <w:r w:rsidR="006C523C" w:rsidRPr="00EB2092">
        <w:t>over the medium term</w:t>
      </w:r>
      <w:r w:rsidR="009959F5" w:rsidRPr="00EB2092">
        <w:t>, but falls in size</w:t>
      </w:r>
      <w:r w:rsidR="006C523C" w:rsidRPr="00EB2092">
        <w:t xml:space="preserve"> as </w:t>
      </w:r>
      <w:r w:rsidR="0078448C" w:rsidRPr="00EB2092">
        <w:t xml:space="preserve">the gap between </w:t>
      </w:r>
      <w:r w:rsidR="006C523C" w:rsidRPr="00EB2092">
        <w:t xml:space="preserve">payments and receipts </w:t>
      </w:r>
      <w:r w:rsidR="0078448C" w:rsidRPr="00EB2092">
        <w:t>diminishes.</w:t>
      </w:r>
    </w:p>
    <w:p w14:paraId="0BAF3C72" w14:textId="5A4BA035" w:rsidR="00110501" w:rsidRPr="00EB2092" w:rsidRDefault="00110501" w:rsidP="00044B24">
      <w:pPr>
        <w:pStyle w:val="Caption"/>
        <w:spacing w:before="240"/>
      </w:pPr>
      <w:r w:rsidRPr="00EB2092">
        <w:t>Figure 1–</w:t>
      </w:r>
      <w:r w:rsidR="00F00EF5" w:rsidRPr="007D6E09">
        <w:fldChar w:fldCharType="begin"/>
      </w:r>
      <w:r w:rsidR="00F00EF5" w:rsidRPr="00EB2092">
        <w:instrText xml:space="preserve"> SEQ Figure \* ARABIC \s 1 </w:instrText>
      </w:r>
      <w:r w:rsidR="00F00EF5" w:rsidRPr="007D6E09">
        <w:fldChar w:fldCharType="separate"/>
      </w:r>
      <w:r w:rsidR="002E6949">
        <w:rPr>
          <w:noProof/>
        </w:rPr>
        <w:t>2</w:t>
      </w:r>
      <w:r w:rsidR="00F00EF5" w:rsidRPr="007D6E09">
        <w:rPr>
          <w:noProof/>
        </w:rPr>
        <w:fldChar w:fldCharType="end"/>
      </w:r>
      <w:r w:rsidRPr="00EB2092">
        <w:t xml:space="preserve">: Total receipts and </w:t>
      </w:r>
      <w:r w:rsidR="00633CF7" w:rsidRPr="00EB2092">
        <w:t>payments</w:t>
      </w:r>
      <w:r w:rsidR="00A25C9B" w:rsidRPr="00EB2092">
        <w:t>, 1970</w:t>
      </w:r>
      <w:r w:rsidR="00487A21">
        <w:t>-</w:t>
      </w:r>
      <w:r w:rsidR="00A25C9B" w:rsidRPr="00EB2092">
        <w:t>71 to 2030</w:t>
      </w:r>
      <w:r w:rsidR="00487A21">
        <w:t>-</w:t>
      </w:r>
      <w:r w:rsidR="00A25C9B" w:rsidRPr="00EB2092">
        <w:t>31</w:t>
      </w:r>
    </w:p>
    <w:tbl>
      <w:tblPr>
        <w:tblStyle w:val="TableGrid"/>
        <w:tblW w:w="9791" w:type="dxa"/>
        <w:tblBorders>
          <w:top w:val="none" w:sz="0" w:space="0" w:color="auto"/>
          <w:bottom w:val="none" w:sz="0" w:space="0" w:color="auto"/>
        </w:tblBorders>
        <w:tblLook w:val="04A0" w:firstRow="1" w:lastRow="0" w:firstColumn="1" w:lastColumn="0" w:noHBand="0" w:noVBand="1"/>
      </w:tblPr>
      <w:tblGrid>
        <w:gridCol w:w="720"/>
        <w:gridCol w:w="8351"/>
        <w:gridCol w:w="720"/>
      </w:tblGrid>
      <w:tr w:rsidR="001A77B1" w:rsidRPr="00EB2092" w14:paraId="19477FD8" w14:textId="77777777" w:rsidTr="004A0A0A">
        <w:trPr>
          <w:gridAfter w:val="1"/>
          <w:cnfStyle w:val="100000000000" w:firstRow="1" w:lastRow="0" w:firstColumn="0" w:lastColumn="0" w:oddVBand="0" w:evenVBand="0" w:oddHBand="0" w:evenHBand="0" w:firstRowFirstColumn="0" w:firstRowLastColumn="0" w:lastRowFirstColumn="0" w:lastRowLastColumn="0"/>
          <w:wAfter w:w="720" w:type="dxa"/>
          <w:trHeight w:val="4372"/>
        </w:trPr>
        <w:tc>
          <w:tcPr>
            <w:cnfStyle w:val="000000000100" w:firstRow="0" w:lastRow="0" w:firstColumn="0" w:lastColumn="0" w:oddVBand="0" w:evenVBand="0" w:oddHBand="0" w:evenHBand="0" w:firstRowFirstColumn="1" w:firstRowLastColumn="0" w:lastRowFirstColumn="0" w:lastRowLastColumn="0"/>
            <w:tcW w:w="9071" w:type="dxa"/>
            <w:gridSpan w:val="2"/>
            <w:tcBorders>
              <w:bottom w:val="none" w:sz="0" w:space="0" w:color="auto"/>
            </w:tcBorders>
            <w:shd w:val="clear" w:color="auto" w:fill="auto"/>
          </w:tcPr>
          <w:p w14:paraId="4018FA4F" w14:textId="3A9CE00E" w:rsidR="001A77B1" w:rsidRPr="00EB2092" w:rsidRDefault="00CB4136" w:rsidP="004A0A0A">
            <w:pPr>
              <w:pStyle w:val="BodyText"/>
              <w:jc w:val="center"/>
            </w:pPr>
            <w:r w:rsidRPr="00EB2092">
              <w:t xml:space="preserve"> </w:t>
            </w:r>
            <w:r w:rsidR="00AD5B82" w:rsidRPr="007D6E09">
              <w:rPr>
                <w:noProof/>
                <w:lang w:eastAsia="en-AU"/>
              </w:rPr>
              <w:drawing>
                <wp:inline distT="0" distB="0" distL="0" distR="0" wp14:anchorId="0AC2B0B0" wp14:editId="1DED9A2B">
                  <wp:extent cx="4864735" cy="28835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64735" cy="2883535"/>
                          </a:xfrm>
                          <a:prstGeom prst="rect">
                            <a:avLst/>
                          </a:prstGeom>
                          <a:noFill/>
                        </pic:spPr>
                      </pic:pic>
                    </a:graphicData>
                  </a:graphic>
                </wp:inline>
              </w:drawing>
            </w:r>
          </w:p>
        </w:tc>
      </w:tr>
      <w:tr w:rsidR="000C5D7C" w:rsidRPr="00EB2092" w14:paraId="0F69092A" w14:textId="77777777" w:rsidTr="004A0A0A">
        <w:trPr>
          <w:gridBefore w:val="1"/>
          <w:wBefore w:w="720" w:type="dxa"/>
        </w:trPr>
        <w:tc>
          <w:tcPr>
            <w:tcW w:w="9071" w:type="dxa"/>
            <w:gridSpan w:val="2"/>
            <w:shd w:val="clear" w:color="auto" w:fill="auto"/>
          </w:tcPr>
          <w:p w14:paraId="67003E75" w14:textId="0DAC20DC" w:rsidR="000C5D7C" w:rsidRPr="00EB2092" w:rsidRDefault="000C5D7C" w:rsidP="00185796">
            <w:pPr>
              <w:pStyle w:val="SourceIndent"/>
              <w:tabs>
                <w:tab w:val="clear" w:pos="624"/>
                <w:tab w:val="left" w:pos="8222"/>
              </w:tabs>
              <w:spacing w:before="0"/>
              <w:ind w:left="0" w:right="992"/>
            </w:pPr>
            <w:r w:rsidRPr="00185796">
              <w:t>Note: Net Future Fund earnings are included in the underlying cash balance from 2020</w:t>
            </w:r>
            <w:r w:rsidR="00487A21">
              <w:t>-</w:t>
            </w:r>
            <w:r w:rsidRPr="00185796">
              <w:t>21, consistent with the 2020</w:t>
            </w:r>
            <w:r w:rsidR="00487A21">
              <w:rPr>
                <w:spacing w:val="-3"/>
              </w:rPr>
              <w:t>-</w:t>
            </w:r>
            <w:r w:rsidRPr="0050447F">
              <w:t>21 Budget treatment.</w:t>
            </w:r>
            <w:r w:rsidR="00E739F4" w:rsidRPr="00A42D18">
              <w:t xml:space="preserve">  Net Future Fund earnings contribute 0.2 per cent</w:t>
            </w:r>
            <w:r w:rsidR="00E739F4" w:rsidRPr="009A1A17">
              <w:t xml:space="preserve"> of GDP to the underlying cash balance in 2020</w:t>
            </w:r>
            <w:r w:rsidR="00487A21">
              <w:t>-</w:t>
            </w:r>
            <w:r w:rsidR="00E739F4" w:rsidRPr="009A1A17">
              <w:t xml:space="preserve">21, the first year these earnings become available to meet the </w:t>
            </w:r>
            <w:r w:rsidR="0054349B" w:rsidRPr="00372C38">
              <w:t>g</w:t>
            </w:r>
            <w:r w:rsidR="00E739F4" w:rsidRPr="00F852A4">
              <w:t>overnment’s superannuation liability.</w:t>
            </w:r>
            <w:r w:rsidR="00E8756C" w:rsidRPr="00EB2092">
              <w:t xml:space="preserve">  The shaded areas broadly correspond to a surplus </w:t>
            </w:r>
            <w:r w:rsidR="006641B9" w:rsidRPr="00EB2092">
              <w:t xml:space="preserve">(green) </w:t>
            </w:r>
            <w:r w:rsidR="00E8756C" w:rsidRPr="00EB2092">
              <w:t xml:space="preserve">or deficit </w:t>
            </w:r>
            <w:r w:rsidR="006641B9" w:rsidRPr="00EB2092">
              <w:t xml:space="preserve">(blue) </w:t>
            </w:r>
            <w:r w:rsidR="00E8756C" w:rsidRPr="00EB2092">
              <w:t>by today’s definition of the underlying cash balance.</w:t>
            </w:r>
            <w:r w:rsidRPr="00EB2092">
              <w:br/>
              <w:t>Source: 2020</w:t>
            </w:r>
            <w:r w:rsidR="00487A21">
              <w:rPr>
                <w:spacing w:val="-3"/>
              </w:rPr>
              <w:t>-</w:t>
            </w:r>
            <w:r w:rsidRPr="00EB2092">
              <w:t>21 Budget</w:t>
            </w:r>
            <w:r w:rsidR="00185796">
              <w:t xml:space="preserve"> </w:t>
            </w:r>
            <w:r w:rsidRPr="00EB2092">
              <w:t>and PBO analysis.</w:t>
            </w:r>
          </w:p>
        </w:tc>
      </w:tr>
    </w:tbl>
    <w:p w14:paraId="2BD88FCD" w14:textId="0286C32A" w:rsidR="0022271A" w:rsidRDefault="0022271A" w:rsidP="006679DD">
      <w:pPr>
        <w:pStyle w:val="ListBullet"/>
        <w:numPr>
          <w:ilvl w:val="0"/>
          <w:numId w:val="0"/>
        </w:numPr>
      </w:pPr>
    </w:p>
    <w:p w14:paraId="42AF8B08" w14:textId="7421A9D5" w:rsidR="00250221" w:rsidRPr="00D006D1" w:rsidRDefault="00250221" w:rsidP="00250221">
      <w:pPr>
        <w:pStyle w:val="ListBullet"/>
        <w:numPr>
          <w:ilvl w:val="0"/>
          <w:numId w:val="0"/>
        </w:numPr>
      </w:pPr>
      <w:r w:rsidRPr="00D006D1">
        <w:lastRenderedPageBreak/>
        <w:t>The PBO’s projections over the next decade are broadly consistent with the medium-term budget position presented in the 2020</w:t>
      </w:r>
      <w:r>
        <w:t>-</w:t>
      </w:r>
      <w:r w:rsidR="00F81741">
        <w:t>21 Budget.  The PBO’s projection</w:t>
      </w:r>
      <w:r w:rsidRPr="00D006D1">
        <w:t xml:space="preserve"> for the </w:t>
      </w:r>
      <w:r w:rsidR="00004BDE">
        <w:t>UCB</w:t>
      </w:r>
      <w:r w:rsidRPr="00D006D1">
        <w:t xml:space="preserve"> </w:t>
      </w:r>
      <w:r>
        <w:t>in 2030-31 is not significantly different to that</w:t>
      </w:r>
      <w:r w:rsidRPr="00D006D1">
        <w:t xml:space="preserve"> presented in the budget</w:t>
      </w:r>
      <w:r>
        <w:t>, with the PBO’s lower projected payments</w:t>
      </w:r>
      <w:r w:rsidRPr="00D006D1">
        <w:t xml:space="preserve"> offset by </w:t>
      </w:r>
      <w:r w:rsidR="001B2A60">
        <w:t xml:space="preserve">similarly </w:t>
      </w:r>
      <w:r w:rsidRPr="00D006D1">
        <w:t xml:space="preserve">lower projected receipts. </w:t>
      </w:r>
    </w:p>
    <w:p w14:paraId="617438AF" w14:textId="77777777" w:rsidR="00250221" w:rsidRPr="00EB2092" w:rsidRDefault="00250221" w:rsidP="006679DD">
      <w:pPr>
        <w:pStyle w:val="ListBullet"/>
        <w:numPr>
          <w:ilvl w:val="0"/>
          <w:numId w:val="0"/>
        </w:numPr>
      </w:pPr>
    </w:p>
    <w:tbl>
      <w:tblPr>
        <w:tblStyle w:val="BoxPlaceholder"/>
        <w:tblW w:w="8789" w:type="dxa"/>
        <w:tblLayout w:type="fixed"/>
        <w:tblLook w:val="04A0" w:firstRow="1" w:lastRow="0" w:firstColumn="1" w:lastColumn="0" w:noHBand="0" w:noVBand="1"/>
      </w:tblPr>
      <w:tblGrid>
        <w:gridCol w:w="8789"/>
      </w:tblGrid>
      <w:tr w:rsidR="0022271A" w:rsidRPr="00EB2092" w14:paraId="009D9886" w14:textId="77777777" w:rsidTr="00F00EF5">
        <w:tc>
          <w:tcPr>
            <w:tcW w:w="8789" w:type="dxa"/>
          </w:tcPr>
          <w:p w14:paraId="619A39DD" w14:textId="45CAE6B6" w:rsidR="0022271A" w:rsidRPr="00EB2092" w:rsidRDefault="0022271A" w:rsidP="00F00EF5">
            <w:pPr>
              <w:pStyle w:val="Heading2NoNumbering"/>
              <w:spacing w:before="120"/>
            </w:pPr>
            <w:r w:rsidRPr="00EB2092">
              <w:t xml:space="preserve">Box 1: The </w:t>
            </w:r>
            <w:r w:rsidR="00593D68">
              <w:t>PBO’s medium-term fiscal projections: approach</w:t>
            </w:r>
          </w:p>
          <w:p w14:paraId="05C15A3A" w14:textId="1401AF28" w:rsidR="0022271A" w:rsidRPr="00D006D1" w:rsidRDefault="0022271A" w:rsidP="0022271A">
            <w:pPr>
              <w:pStyle w:val="ListBullet"/>
              <w:numPr>
                <w:ilvl w:val="0"/>
                <w:numId w:val="0"/>
              </w:numPr>
            </w:pPr>
            <w:r w:rsidRPr="00D006D1">
              <w:t>This report provides independent medium-term projections of receipts and payments including detailed components of each, as well as the UCB and debt.  These projections are based on the policy settings, budget estimates and economic parameters at the time of the 2020</w:t>
            </w:r>
            <w:r w:rsidR="00487A21">
              <w:t>-</w:t>
            </w:r>
            <w:r w:rsidRPr="00D006D1">
              <w:t>21 Budget</w:t>
            </w:r>
            <w:r w:rsidR="00D46710">
              <w:t>, which are discussed in Box 2</w:t>
            </w:r>
            <w:r w:rsidRPr="00D006D1">
              <w:t>.</w:t>
            </w:r>
          </w:p>
          <w:p w14:paraId="0B39F0EE" w14:textId="77777777" w:rsidR="0022271A" w:rsidRPr="003A56EF" w:rsidRDefault="0022271A" w:rsidP="0022271A">
            <w:pPr>
              <w:pStyle w:val="BodyText"/>
            </w:pPr>
            <w:r w:rsidRPr="00D006D1">
              <w:t>While the PBO uses the forward estimates as published in the budget in this report, for the medium term we independently model receipts and payments using government data and applying our own professional judgement.  The same economic parameters as the Budget are applied, consistent with our legislation.</w:t>
            </w:r>
          </w:p>
          <w:p w14:paraId="48DC8326" w14:textId="70AA614F" w:rsidR="0022271A" w:rsidRPr="00D006D1" w:rsidRDefault="0022271A" w:rsidP="0022271A">
            <w:pPr>
              <w:pStyle w:val="BodyText"/>
            </w:pPr>
            <w:r w:rsidRPr="00FA7285">
              <w:t>These projections reflect current government policy and do not assume future government decisions, nor do they attempt to ascertain whether additional fiscal</w:t>
            </w:r>
            <w:r w:rsidRPr="00D006D1">
              <w:t xml:space="preserve"> stimulus will be required.  The PBO’s projections provide a reasonable quantitative basis on which to assess the strength and sustainability of the current fiscal position, and provide a baseline </w:t>
            </w:r>
            <w:r w:rsidR="00D006D1">
              <w:t>against</w:t>
            </w:r>
            <w:r w:rsidR="00D006D1" w:rsidRPr="00D006D1">
              <w:t xml:space="preserve"> </w:t>
            </w:r>
            <w:r w:rsidRPr="00D006D1">
              <w:t>which future decisions should be added or subtracted</w:t>
            </w:r>
            <w:r w:rsidR="00D006D1">
              <w:t>.  The PBO does</w:t>
            </w:r>
            <w:r w:rsidRPr="00D006D1">
              <w:t xml:space="preserve"> not attempt to predict the future, or </w:t>
            </w:r>
            <w:r w:rsidR="00D006D1">
              <w:t xml:space="preserve">to anticipate </w:t>
            </w:r>
            <w:r w:rsidRPr="00D006D1">
              <w:t>future policy decisions.</w:t>
            </w:r>
            <w:r w:rsidRPr="00D006D1">
              <w:rPr>
                <w:rStyle w:val="FootnoteReference"/>
              </w:rPr>
              <w:footnoteReference w:id="5"/>
            </w:r>
            <w:r w:rsidRPr="00D006D1">
              <w:t xml:space="preserve">  Where government policy has not been made explicit beyond the forward estimates period, the PBO’s projections broadly assume the continuation of current policy settings and arrangements.</w:t>
            </w:r>
          </w:p>
          <w:p w14:paraId="371375DE" w14:textId="5F3D8842" w:rsidR="0022271A" w:rsidRPr="00E439C2" w:rsidRDefault="0022271A" w:rsidP="00572B63">
            <w:pPr>
              <w:pStyle w:val="ListBullet"/>
              <w:numPr>
                <w:ilvl w:val="0"/>
                <w:numId w:val="0"/>
              </w:numPr>
            </w:pPr>
            <w:r w:rsidRPr="00D006D1">
              <w:t>Due to the health crisis associated with COVID-19, this year’s budget was delayed to 6</w:t>
            </w:r>
            <w:r w:rsidR="007074D3">
              <w:t> </w:t>
            </w:r>
            <w:r w:rsidRPr="00D006D1">
              <w:t>October</w:t>
            </w:r>
            <w:r w:rsidR="007074D3">
              <w:t> </w:t>
            </w:r>
            <w:r w:rsidRPr="00D006D1">
              <w:t xml:space="preserve">2020.  This has </w:t>
            </w:r>
            <w:r w:rsidR="00AB38B0">
              <w:t>meant that the PBO’s own medium-</w:t>
            </w:r>
            <w:r w:rsidRPr="00D006D1">
              <w:t xml:space="preserve">term fiscal projections have been published later than normal this year.  </w:t>
            </w:r>
          </w:p>
        </w:tc>
      </w:tr>
    </w:tbl>
    <w:p w14:paraId="4EE0BBC2" w14:textId="4AE917A4" w:rsidR="003055BA" w:rsidRPr="00EB2092" w:rsidRDefault="00593D68" w:rsidP="00044B24">
      <w:pPr>
        <w:pStyle w:val="Heading2"/>
        <w:ind w:left="765"/>
      </w:pPr>
      <w:bookmarkStart w:id="13" w:name="_Toc58271423"/>
      <w:bookmarkStart w:id="14" w:name="_Toc57809343"/>
      <w:bookmarkStart w:id="15" w:name="_Toc57824661"/>
      <w:bookmarkStart w:id="16" w:name="_Toc57207407"/>
      <w:bookmarkStart w:id="17" w:name="_Toc57207477"/>
      <w:bookmarkStart w:id="18" w:name="_Toc58271424"/>
      <w:bookmarkEnd w:id="13"/>
      <w:bookmarkEnd w:id="14"/>
      <w:bookmarkEnd w:id="15"/>
      <w:bookmarkEnd w:id="16"/>
      <w:bookmarkEnd w:id="17"/>
      <w:r>
        <w:t>The Commonwealth Government’s m</w:t>
      </w:r>
      <w:r w:rsidR="003055BA" w:rsidRPr="00EB2092">
        <w:t>edium-term fiscal strategy</w:t>
      </w:r>
      <w:bookmarkEnd w:id="18"/>
    </w:p>
    <w:p w14:paraId="0CD8D552" w14:textId="1F7DFC85" w:rsidR="003055BA" w:rsidRPr="00D006D1" w:rsidRDefault="00F06F1A" w:rsidP="003055BA">
      <w:pPr>
        <w:pStyle w:val="BodyText"/>
        <w:rPr>
          <w:b/>
          <w:bCs/>
          <w:i/>
          <w:iCs/>
        </w:rPr>
      </w:pPr>
      <w:r w:rsidRPr="00EB2092">
        <w:t xml:space="preserve">The budget sets out the government’s medium-term fiscal strategy.  As the fiscal strategy is part </w:t>
      </w:r>
      <w:r w:rsidR="004F1B4E">
        <w:br/>
      </w:r>
      <w:r w:rsidRPr="00EB2092">
        <w:t>of current gove</w:t>
      </w:r>
      <w:r w:rsidR="00E43DFD">
        <w:t>rnment policy, the PBO’s medium-</w:t>
      </w:r>
      <w:r w:rsidRPr="00EB2092">
        <w:t>term projections</w:t>
      </w:r>
      <w:r w:rsidR="00D006D1">
        <w:t xml:space="preserve"> take the strategy as an </w:t>
      </w:r>
      <w:r w:rsidR="004F1B4E">
        <w:br/>
      </w:r>
      <w:r w:rsidR="00D006D1">
        <w:t>underlying assumption</w:t>
      </w:r>
      <w:r w:rsidRPr="00D006D1">
        <w:t>.</w:t>
      </w:r>
      <w:r w:rsidR="00D006D1">
        <w:rPr>
          <w:rStyle w:val="FootnoteReference"/>
        </w:rPr>
        <w:footnoteReference w:id="6"/>
      </w:r>
      <w:r w:rsidRPr="00D006D1">
        <w:t xml:space="preserve"> </w:t>
      </w:r>
    </w:p>
    <w:p w14:paraId="733308EE" w14:textId="735AF675" w:rsidR="003055BA" w:rsidRPr="00E439C2" w:rsidRDefault="003055BA" w:rsidP="003055BA">
      <w:pPr>
        <w:pStyle w:val="BodyText"/>
      </w:pPr>
      <w:r w:rsidRPr="00D006D1">
        <w:t xml:space="preserve">The </w:t>
      </w:r>
      <w:r w:rsidR="00894136" w:rsidRPr="00D006D1">
        <w:t>g</w:t>
      </w:r>
      <w:r w:rsidR="00451544" w:rsidRPr="00D006D1">
        <w:t>overnment</w:t>
      </w:r>
      <w:r w:rsidRPr="00D006D1">
        <w:t xml:space="preserve"> significantly revised its fiscal strategy in the 2020</w:t>
      </w:r>
      <w:r w:rsidR="00487A21">
        <w:t>-</w:t>
      </w:r>
      <w:r w:rsidRPr="00A6166C">
        <w:t>21 Budget to reflect the economic crisis arising from the COVID-19 pandemic and the need for additional support for the econ</w:t>
      </w:r>
      <w:r w:rsidRPr="00E439C2">
        <w:t>omy over the period ahead.  </w:t>
      </w:r>
    </w:p>
    <w:p w14:paraId="4E828FA1" w14:textId="5898E513" w:rsidR="003055BA" w:rsidRPr="00185796" w:rsidRDefault="003055BA" w:rsidP="003055BA">
      <w:pPr>
        <w:pStyle w:val="BodyText"/>
      </w:pPr>
      <w:r w:rsidRPr="001D1C6B">
        <w:t>The 2019</w:t>
      </w:r>
      <w:r w:rsidR="00487A21">
        <w:t>-</w:t>
      </w:r>
      <w:r w:rsidRPr="00185796">
        <w:t xml:space="preserve">20 MYEFO </w:t>
      </w:r>
      <w:r w:rsidR="00D006D1">
        <w:t xml:space="preserve">strategy, published before the pandemic, </w:t>
      </w:r>
      <w:r w:rsidRPr="00A6166C">
        <w:t>focused on achieving budget surpluses on average over the course of the economic cycle, building on the balanced budget in 2018</w:t>
      </w:r>
      <w:r w:rsidR="00487A21">
        <w:t>-</w:t>
      </w:r>
      <w:r w:rsidRPr="001D1C6B">
        <w:t>19 and the forecast return to surplus in 2019</w:t>
      </w:r>
      <w:r w:rsidR="00487A21">
        <w:t>-</w:t>
      </w:r>
      <w:r w:rsidRPr="00185796">
        <w:t xml:space="preserve">20.  The fiscal strategies before that focused on budget repair.  </w:t>
      </w:r>
    </w:p>
    <w:p w14:paraId="74464ADE" w14:textId="1C1B029A" w:rsidR="00EE75B7" w:rsidRPr="009A1A17" w:rsidRDefault="003055BA" w:rsidP="003055BA">
      <w:pPr>
        <w:pStyle w:val="BodyText"/>
      </w:pPr>
      <w:r w:rsidRPr="006F7EB9">
        <w:lastRenderedPageBreak/>
        <w:t>The revised strategy in the 2020</w:t>
      </w:r>
      <w:r w:rsidR="00487A21">
        <w:t>-</w:t>
      </w:r>
      <w:r w:rsidRPr="00A42D18">
        <w:t>21 Budget has two phases</w:t>
      </w:r>
      <w:r w:rsidR="00A6166C">
        <w:t>:</w:t>
      </w:r>
      <w:r w:rsidR="00A6166C" w:rsidRPr="00A6166C">
        <w:t xml:space="preserve"> </w:t>
      </w:r>
      <w:r w:rsidRPr="00A6166C">
        <w:t>an Economic Reco</w:t>
      </w:r>
      <w:r w:rsidR="00894136" w:rsidRPr="004B1AA3">
        <w:t>very Plan to promote employment</w:t>
      </w:r>
      <w:r w:rsidRPr="00E439C2">
        <w:t xml:space="preserve"> growth and business and consumer confidence until the unemployment rate is ‘comfortably below 6 per cent’</w:t>
      </w:r>
      <w:r w:rsidR="00A6166C">
        <w:t>;</w:t>
      </w:r>
      <w:r w:rsidRPr="00A6166C">
        <w:t xml:space="preserve"> and</w:t>
      </w:r>
      <w:r w:rsidR="00A6166C">
        <w:t>,</w:t>
      </w:r>
      <w:r w:rsidRPr="00A6166C">
        <w:t xml:space="preserve"> </w:t>
      </w:r>
      <w:r w:rsidRPr="004B1AA3">
        <w:t>a medium</w:t>
      </w:r>
      <w:r w:rsidRPr="004B1AA3">
        <w:noBreakHyphen/>
        <w:t>term fiscal strategy focused on economic growth to stabilise and reduce debt.  The strategy includes elements of stabilising and reducing gross and net debt as a share of the economy and ‘targeting a budget balance, on average, over the course of th</w:t>
      </w:r>
      <w:r w:rsidRPr="00E439C2">
        <w:t xml:space="preserve">e </w:t>
      </w:r>
      <w:proofErr w:type="gramStart"/>
      <w:r w:rsidRPr="00E439C2">
        <w:t>cycle, that</w:t>
      </w:r>
      <w:proofErr w:type="gramEnd"/>
      <w:r w:rsidRPr="00E439C2">
        <w:t xml:space="preserve"> is consistent with the debt objective.</w:t>
      </w:r>
      <w:r w:rsidR="006A1A4E" w:rsidRPr="001D1C6B">
        <w:t>’</w:t>
      </w:r>
      <w:r w:rsidRPr="00C96029">
        <w:t xml:space="preserve">  The budget surplus or deficit is </w:t>
      </w:r>
      <w:r w:rsidR="006A1A4E" w:rsidRPr="00715564">
        <w:t xml:space="preserve">a </w:t>
      </w:r>
      <w:r w:rsidRPr="006F7EB9">
        <w:t>means of achieving a debt objective</w:t>
      </w:r>
      <w:r w:rsidRPr="00A42D18">
        <w:t xml:space="preserve">, with the possibility that a budget deficit could still be consistent with stabilising and reducing net debt.  </w:t>
      </w:r>
    </w:p>
    <w:p w14:paraId="4149D5E2" w14:textId="4651FE09" w:rsidR="003055BA" w:rsidRPr="00EB2092" w:rsidRDefault="00EE75B7" w:rsidP="003055BA">
      <w:pPr>
        <w:pStyle w:val="BodyText"/>
      </w:pPr>
      <w:r w:rsidRPr="00372C38">
        <w:t xml:space="preserve">Appendix E provides a summary of </w:t>
      </w:r>
      <w:r w:rsidR="00A74D49" w:rsidRPr="00F852A4">
        <w:t xml:space="preserve">key </w:t>
      </w:r>
      <w:r w:rsidRPr="00EB2092">
        <w:t>changes to the fiscal strategy over time since the 2014</w:t>
      </w:r>
      <w:r w:rsidR="00487A21">
        <w:noBreakHyphen/>
      </w:r>
      <w:r w:rsidRPr="00EB2092">
        <w:t>15</w:t>
      </w:r>
      <w:r w:rsidR="00487A21">
        <w:t> </w:t>
      </w:r>
      <w:r w:rsidRPr="00EB2092">
        <w:t>Budget. </w:t>
      </w:r>
    </w:p>
    <w:p w14:paraId="01CCF353" w14:textId="733ABE0D" w:rsidR="003055BA" w:rsidRPr="00EB2092" w:rsidRDefault="003055BA" w:rsidP="003055BA">
      <w:pPr>
        <w:pStyle w:val="BodyText"/>
      </w:pPr>
      <w:r w:rsidRPr="00EB2092">
        <w:t xml:space="preserve">The </w:t>
      </w:r>
      <w:r w:rsidR="00FB32D8" w:rsidRPr="00EB2092">
        <w:t>PBO</w:t>
      </w:r>
      <w:r w:rsidRPr="00EB2092">
        <w:t xml:space="preserve"> intends to publish analysis on the relationship betwe</w:t>
      </w:r>
      <w:r w:rsidR="006A1A4E" w:rsidRPr="00EB2092">
        <w:t>en budget balances and the path</w:t>
      </w:r>
      <w:r w:rsidRPr="00EB2092">
        <w:t xml:space="preserve"> for debt as part of its forthcoming framework for assessing fiscal sustainability.</w:t>
      </w:r>
    </w:p>
    <w:p w14:paraId="568ED384" w14:textId="528B7CC7" w:rsidR="00905174" w:rsidRPr="001D1C6B" w:rsidRDefault="00905174" w:rsidP="00905174">
      <w:pPr>
        <w:pStyle w:val="Heading2"/>
        <w:ind w:left="765"/>
      </w:pPr>
      <w:bookmarkStart w:id="19" w:name="_Toc58271425"/>
      <w:r w:rsidRPr="00E439C2">
        <w:t xml:space="preserve">Changes </w:t>
      </w:r>
      <w:r w:rsidRPr="001D1C6B">
        <w:t>from the PBO’s 2019</w:t>
      </w:r>
      <w:r>
        <w:t>-</w:t>
      </w:r>
      <w:r w:rsidRPr="001D1C6B">
        <w:t>20 Medium-term projections</w:t>
      </w:r>
      <w:bookmarkEnd w:id="19"/>
    </w:p>
    <w:p w14:paraId="405547E5" w14:textId="18DB4046" w:rsidR="00905174" w:rsidRPr="00EB2092" w:rsidRDefault="00905174" w:rsidP="00905174">
      <w:pPr>
        <w:pStyle w:val="ListBullet"/>
        <w:numPr>
          <w:ilvl w:val="0"/>
          <w:numId w:val="0"/>
        </w:numPr>
      </w:pPr>
      <w:r w:rsidRPr="001D1C6B">
        <w:t>As well as presenting the PBO’s current medium-term projections, this report can be used to analyse how these projections have changed over time.  Figure 1–</w:t>
      </w:r>
      <w:r w:rsidRPr="00C96029">
        <w:t xml:space="preserve">3 shows how projections for total receipts, total </w:t>
      </w:r>
      <w:r w:rsidRPr="006F7EB9">
        <w:t>payments</w:t>
      </w:r>
      <w:r w:rsidRPr="0050447F">
        <w:t xml:space="preserve"> and the </w:t>
      </w:r>
      <w:r w:rsidR="0037012B">
        <w:t>UCB</w:t>
      </w:r>
      <w:r w:rsidRPr="00A42D18">
        <w:t xml:space="preserve"> have changed since the </w:t>
      </w:r>
      <w:r w:rsidRPr="009A1A17">
        <w:t>last year’s</w:t>
      </w:r>
      <w:r w:rsidRPr="00372C38">
        <w:t xml:space="preserve"> projections.</w:t>
      </w:r>
    </w:p>
    <w:p w14:paraId="22B3FDFA" w14:textId="0923A34C" w:rsidR="00905174" w:rsidRPr="001D1C6B" w:rsidRDefault="00905174" w:rsidP="00905174">
      <w:pPr>
        <w:pStyle w:val="ListBullet"/>
        <w:numPr>
          <w:ilvl w:val="0"/>
          <w:numId w:val="0"/>
        </w:numPr>
      </w:pPr>
      <w:r w:rsidRPr="00EB2092">
        <w:t xml:space="preserve">The dramatic changes in the PBO’s projections of the </w:t>
      </w:r>
      <w:r w:rsidR="0037012B">
        <w:t>UCB</w:t>
      </w:r>
      <w:r w:rsidRPr="00EB2092">
        <w:t>, receipts, and payments are largely driven by the COVID-19 pandemic and</w:t>
      </w:r>
      <w:r>
        <w:t xml:space="preserve"> the</w:t>
      </w:r>
      <w:r w:rsidRPr="001D1C6B">
        <w:t xml:space="preserve"> associated policy response.  </w:t>
      </w:r>
    </w:p>
    <w:p w14:paraId="6E2314DE" w14:textId="77777777" w:rsidR="00905174" w:rsidRPr="001D1C6B" w:rsidRDefault="00905174" w:rsidP="00905174">
      <w:pPr>
        <w:pStyle w:val="ListBullet"/>
        <w:numPr>
          <w:ilvl w:val="0"/>
          <w:numId w:val="0"/>
        </w:numPr>
      </w:pPr>
      <w:r w:rsidRPr="001D1C6B">
        <w:t>The ongoing weaker UCB projection compared to the previous report is due to four main factors.  In dollar terms, t</w:t>
      </w:r>
      <w:r w:rsidRPr="001E6B2B">
        <w:t xml:space="preserve">he effect on receipts is likely to be long lasting while the impact on payments will largely be temporary.  </w:t>
      </w:r>
    </w:p>
    <w:p w14:paraId="52E47991" w14:textId="2D33D316" w:rsidR="00905174" w:rsidRPr="00554A75" w:rsidRDefault="00905174" w:rsidP="00905174">
      <w:pPr>
        <w:pStyle w:val="ListBullet"/>
        <w:numPr>
          <w:ilvl w:val="0"/>
          <w:numId w:val="0"/>
        </w:numPr>
      </w:pPr>
      <w:r>
        <w:t>Firstly</w:t>
      </w:r>
      <w:r w:rsidRPr="00554A75">
        <w:t xml:space="preserve">, reduced immigration during the pandemic has contributed to a weaker projected economy in the medium term.  </w:t>
      </w:r>
    </w:p>
    <w:p w14:paraId="22187F54" w14:textId="7E067257" w:rsidR="00905174" w:rsidRPr="001D1C6B" w:rsidRDefault="00905174" w:rsidP="00905174">
      <w:pPr>
        <w:pStyle w:val="ListBullet"/>
        <w:numPr>
          <w:ilvl w:val="0"/>
          <w:numId w:val="0"/>
        </w:numPr>
      </w:pPr>
      <w:r>
        <w:t>Secondly</w:t>
      </w:r>
      <w:r w:rsidRPr="001D1C6B">
        <w:t xml:space="preserve">, </w:t>
      </w:r>
      <w:r>
        <w:t xml:space="preserve">at the time the budget was released, </w:t>
      </w:r>
      <w:r w:rsidRPr="001D1C6B">
        <w:t xml:space="preserve">the pandemic </w:t>
      </w:r>
      <w:r>
        <w:t>was</w:t>
      </w:r>
      <w:r w:rsidRPr="001D1C6B">
        <w:t xml:space="preserve"> expected to have reduced national income by over 7 per cent in the June quarter.</w:t>
      </w:r>
      <w:r>
        <w:rPr>
          <w:rStyle w:val="FootnoteReference"/>
        </w:rPr>
        <w:footnoteReference w:id="7"/>
      </w:r>
      <w:r w:rsidRPr="001D1C6B">
        <w:t xml:space="preserve">  While nominal GDP </w:t>
      </w:r>
      <w:r w:rsidRPr="001D1C6B">
        <w:rPr>
          <w:i/>
        </w:rPr>
        <w:t>growth</w:t>
      </w:r>
      <w:r w:rsidRPr="001D1C6B">
        <w:t xml:space="preserve"> is expected to recover to pre-pandemic rates, the </w:t>
      </w:r>
      <w:r w:rsidRPr="001D1C6B">
        <w:rPr>
          <w:i/>
        </w:rPr>
        <w:t>level</w:t>
      </w:r>
      <w:r w:rsidRPr="001D1C6B">
        <w:t xml:space="preserve"> of GDP is expected to be permanently lower in each year compared to its pre-pandemic projection (see below for further discussion).</w:t>
      </w:r>
      <w:r>
        <w:rPr>
          <w:rStyle w:val="FootnoteReference"/>
        </w:rPr>
        <w:footnoteReference w:id="8"/>
      </w:r>
      <w:r w:rsidRPr="001D1C6B">
        <w:t xml:space="preserve">  Taxes are correspondingly lower throughout the medium term, particularly for personal income tax.  </w:t>
      </w:r>
    </w:p>
    <w:p w14:paraId="20D97037" w14:textId="094194A0" w:rsidR="00905174" w:rsidRPr="001D1C6B" w:rsidRDefault="00905174" w:rsidP="00905174">
      <w:pPr>
        <w:pStyle w:val="ListBullet"/>
        <w:numPr>
          <w:ilvl w:val="0"/>
          <w:numId w:val="0"/>
        </w:numPr>
      </w:pPr>
      <w:r>
        <w:t>Thirdly</w:t>
      </w:r>
      <w:r w:rsidRPr="001D1C6B">
        <w:t xml:space="preserve">, while tax receipts are strongly linked to economic activity, many payments are not as closely linked.  </w:t>
      </w:r>
      <w:r>
        <w:t>Spending on de</w:t>
      </w:r>
      <w:r w:rsidRPr="001D1C6B">
        <w:t>fence, the aged</w:t>
      </w:r>
      <w:r>
        <w:t>,</w:t>
      </w:r>
      <w:r w:rsidRPr="001D1C6B">
        <w:t xml:space="preserve"> the National Disability Insurance Scheme</w:t>
      </w:r>
      <w:r w:rsidRPr="001D1C6B" w:rsidDel="006434CA">
        <w:t xml:space="preserve"> </w:t>
      </w:r>
      <w:r w:rsidRPr="001D1C6B">
        <w:t xml:space="preserve">and health are the most significant components of payments which have not reduced in dollar terms commensurately with the reduced size of the economy.  </w:t>
      </w:r>
    </w:p>
    <w:p w14:paraId="73586F99" w14:textId="33EF78F2" w:rsidR="00905174" w:rsidRPr="001D1C6B" w:rsidRDefault="00905174" w:rsidP="00905174">
      <w:pPr>
        <w:pStyle w:val="ListBullet"/>
        <w:numPr>
          <w:ilvl w:val="0"/>
          <w:numId w:val="0"/>
        </w:numPr>
      </w:pPr>
      <w:r w:rsidRPr="00C96029">
        <w:t>Fourth</w:t>
      </w:r>
      <w:r>
        <w:t>ly</w:t>
      </w:r>
      <w:r w:rsidRPr="001D1C6B">
        <w:t xml:space="preserve">, debt incurred to fund the response to the pandemic results in </w:t>
      </w:r>
      <w:r>
        <w:t xml:space="preserve">modestly </w:t>
      </w:r>
      <w:r w:rsidRPr="001D1C6B">
        <w:t>higher public debt interest payments</w:t>
      </w:r>
      <w:r>
        <w:t xml:space="preserve"> in dollar terms</w:t>
      </w:r>
      <w:r w:rsidRPr="001D1C6B">
        <w:t xml:space="preserve">, </w:t>
      </w:r>
      <w:r>
        <w:t xml:space="preserve">reflecting </w:t>
      </w:r>
      <w:r w:rsidRPr="001D1C6B">
        <w:t>historically low interest rates.</w:t>
      </w:r>
    </w:p>
    <w:p w14:paraId="1755BA82" w14:textId="77777777" w:rsidR="003055BA" w:rsidRPr="00EB2092" w:rsidRDefault="003055BA"/>
    <w:bookmarkEnd w:id="11"/>
    <w:bookmarkEnd w:id="12"/>
    <w:p w14:paraId="0B2802EA" w14:textId="77777777" w:rsidR="008A0498" w:rsidRPr="00E439C2" w:rsidRDefault="008A0498">
      <w:pPr>
        <w:rPr>
          <w:rFonts w:asciiTheme="majorHAnsi" w:hAnsiTheme="majorHAnsi"/>
          <w:b/>
          <w:bCs/>
          <w:iCs/>
          <w:color w:val="3D4D7D" w:themeColor="background2"/>
          <w:kern w:val="20"/>
          <w:sz w:val="28"/>
          <w:szCs w:val="28"/>
        </w:rPr>
      </w:pPr>
      <w:r w:rsidRPr="00E439C2">
        <w:br w:type="page"/>
      </w:r>
    </w:p>
    <w:p w14:paraId="29D3F1B4" w14:textId="6AA09A1A" w:rsidR="0085317A" w:rsidRPr="00185796" w:rsidRDefault="0085317A" w:rsidP="0085317A">
      <w:pPr>
        <w:pStyle w:val="Caption"/>
        <w:spacing w:before="240"/>
      </w:pPr>
      <w:r w:rsidRPr="001D1C6B">
        <w:lastRenderedPageBreak/>
        <w:t>Figure 1–3: Revisions to projections comp</w:t>
      </w:r>
      <w:r w:rsidRPr="00C96029">
        <w:t>ared to the previous report</w:t>
      </w:r>
      <w:r w:rsidR="00A25C9B" w:rsidRPr="00C96029">
        <w:t>, 2019</w:t>
      </w:r>
      <w:r w:rsidR="00487A21">
        <w:t>-</w:t>
      </w:r>
      <w:r w:rsidR="00A25C9B" w:rsidRPr="00185796">
        <w:t>20 to 2029</w:t>
      </w:r>
      <w:r w:rsidR="00487A21">
        <w:t>-</w:t>
      </w:r>
      <w:r w:rsidR="00A25C9B" w:rsidRPr="00185796">
        <w:t>30</w:t>
      </w:r>
    </w:p>
    <w:p w14:paraId="42EC4269" w14:textId="1F79A891" w:rsidR="0085317A" w:rsidRPr="00185796" w:rsidRDefault="00AD5B82" w:rsidP="0085317A">
      <w:pPr>
        <w:pStyle w:val="CaptionDescriptor"/>
      </w:pPr>
      <w:r w:rsidRPr="00185796">
        <w:rPr>
          <w:noProof/>
          <w:lang w:eastAsia="en-AU"/>
        </w:rPr>
        <w:drawing>
          <wp:inline distT="0" distB="0" distL="0" distR="0" wp14:anchorId="2335CAB0" wp14:editId="05C305B9">
            <wp:extent cx="4864735" cy="28835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64735" cy="2883535"/>
                    </a:xfrm>
                    <a:prstGeom prst="rect">
                      <a:avLst/>
                    </a:prstGeom>
                    <a:noFill/>
                  </pic:spPr>
                </pic:pic>
              </a:graphicData>
            </a:graphic>
          </wp:inline>
        </w:drawing>
      </w:r>
    </w:p>
    <w:p w14:paraId="660409B6" w14:textId="1AD9F5A4" w:rsidR="0085317A" w:rsidRPr="006F7EB9" w:rsidRDefault="0085317A" w:rsidP="00044B24">
      <w:pPr>
        <w:pStyle w:val="SourceIndent"/>
        <w:tabs>
          <w:tab w:val="clear" w:pos="624"/>
        </w:tabs>
        <w:spacing w:before="0"/>
        <w:ind w:left="1276" w:right="849"/>
      </w:pPr>
      <w:r w:rsidRPr="006F7EB9">
        <w:t xml:space="preserve">Note: Revisions </w:t>
      </w:r>
      <w:r w:rsidR="00185796">
        <w:t>to</w:t>
      </w:r>
      <w:r w:rsidR="00185796" w:rsidRPr="00185796">
        <w:t xml:space="preserve"> </w:t>
      </w:r>
      <w:r w:rsidRPr="00185796">
        <w:t>Future Fund earnings are included in total receipts in this figure, however they are only included in the underlying cash balance from 2020</w:t>
      </w:r>
      <w:r w:rsidR="00487A21">
        <w:t>-</w:t>
      </w:r>
      <w:r w:rsidRPr="00185796">
        <w:t>21, consistent with the treatment in the 2020</w:t>
      </w:r>
      <w:r w:rsidR="00487A21">
        <w:t>-</w:t>
      </w:r>
      <w:r w:rsidRPr="00185796">
        <w:t>2</w:t>
      </w:r>
      <w:r w:rsidRPr="006F7EB9">
        <w:t>1 Budget.</w:t>
      </w:r>
      <w:r w:rsidRPr="006F7EB9">
        <w:br/>
        <w:t>Source: 2020</w:t>
      </w:r>
      <w:r w:rsidR="00487A21">
        <w:t>-</w:t>
      </w:r>
      <w:r w:rsidRPr="006F7EB9">
        <w:t>21 Budget and PBO analysis.</w:t>
      </w:r>
    </w:p>
    <w:p w14:paraId="1A669F82" w14:textId="36B15F49" w:rsidR="00764874" w:rsidRPr="009A1A17" w:rsidRDefault="00764874" w:rsidP="00764874">
      <w:pPr>
        <w:pStyle w:val="ListBullet"/>
        <w:numPr>
          <w:ilvl w:val="0"/>
          <w:numId w:val="0"/>
        </w:numPr>
      </w:pPr>
      <w:r w:rsidRPr="0050447F">
        <w:t>Receipts are projected to be around $100 billion lower near the end of the medium term when compared to our 2019</w:t>
      </w:r>
      <w:r w:rsidR="00487A21">
        <w:t>-</w:t>
      </w:r>
      <w:r w:rsidRPr="0050447F">
        <w:t>20 projections.  Such a large shortfall a decade later may be surprising, given that key eco</w:t>
      </w:r>
      <w:r w:rsidRPr="00A42D18">
        <w:t>nomic measures are projected to have largely retu</w:t>
      </w:r>
      <w:r w:rsidRPr="009A1A17">
        <w:t>rned to their pre</w:t>
      </w:r>
      <w:r w:rsidRPr="009A1A17">
        <w:noBreakHyphen/>
        <w:t>COVID rates of growth by that time.</w:t>
      </w:r>
    </w:p>
    <w:p w14:paraId="4E7159F1" w14:textId="49FC5119" w:rsidR="00F167FF" w:rsidRDefault="00F167FF" w:rsidP="00CD7CE1">
      <w:pPr>
        <w:pStyle w:val="ListBullet"/>
        <w:numPr>
          <w:ilvl w:val="0"/>
          <w:numId w:val="0"/>
        </w:numPr>
      </w:pPr>
      <w:r w:rsidRPr="00372C38">
        <w:t xml:space="preserve">Nominal GDP is projected to grow at an average </w:t>
      </w:r>
      <w:r w:rsidR="00BE3493" w:rsidRPr="00F852A4">
        <w:t xml:space="preserve">rate </w:t>
      </w:r>
      <w:r w:rsidRPr="00EB2092">
        <w:t>of 5.3 per cent from 2024</w:t>
      </w:r>
      <w:r w:rsidR="00487A21">
        <w:t>-</w:t>
      </w:r>
      <w:r w:rsidRPr="00EB2092">
        <w:t>25 to 2030</w:t>
      </w:r>
      <w:r w:rsidR="00487A21">
        <w:t>-</w:t>
      </w:r>
      <w:r w:rsidRPr="00EB2092">
        <w:t xml:space="preserve">31, almost identical to the growth projected </w:t>
      </w:r>
      <w:r w:rsidR="003A5162" w:rsidRPr="00EB2092">
        <w:t>at the 2019</w:t>
      </w:r>
      <w:r w:rsidR="00487A21">
        <w:t>-</w:t>
      </w:r>
      <w:r w:rsidR="003A5162" w:rsidRPr="00EB2092">
        <w:t xml:space="preserve">20 MYEFO, </w:t>
      </w:r>
      <w:r w:rsidRPr="00EB2092">
        <w:t xml:space="preserve">before the pandemic.  </w:t>
      </w:r>
      <w:r w:rsidR="008204AC" w:rsidRPr="00EB2092">
        <w:t>However, t</w:t>
      </w:r>
      <w:r w:rsidRPr="00EB2092">
        <w:t xml:space="preserve">he reduction in </w:t>
      </w:r>
      <w:r w:rsidR="00BE3493" w:rsidRPr="00EB2092">
        <w:t xml:space="preserve">the </w:t>
      </w:r>
      <w:r w:rsidR="00DF6581" w:rsidRPr="00EB2092">
        <w:t xml:space="preserve">projected </w:t>
      </w:r>
      <w:r w:rsidR="00BE3493" w:rsidRPr="00EB2092">
        <w:t xml:space="preserve">level of </w:t>
      </w:r>
      <w:r w:rsidRPr="00EB2092">
        <w:t xml:space="preserve">nominal GDP </w:t>
      </w:r>
      <w:r w:rsidR="00BE3493" w:rsidRPr="00EB2092">
        <w:t xml:space="preserve">of around $170 billion </w:t>
      </w:r>
      <w:r w:rsidRPr="00EB2092">
        <w:t>by 2023</w:t>
      </w:r>
      <w:r w:rsidR="00487A21">
        <w:t>-</w:t>
      </w:r>
      <w:r w:rsidRPr="00EB2092">
        <w:t xml:space="preserve">24 is </w:t>
      </w:r>
      <w:r w:rsidR="00185796">
        <w:t>not</w:t>
      </w:r>
      <w:r w:rsidR="00185796" w:rsidRPr="00185796">
        <w:t xml:space="preserve"> </w:t>
      </w:r>
      <w:r w:rsidRPr="00185796">
        <w:t>recovered</w:t>
      </w:r>
      <w:r w:rsidR="00185796" w:rsidRPr="004F15DC">
        <w:t>.  As a result,</w:t>
      </w:r>
      <w:r w:rsidRPr="00FF6563">
        <w:t xml:space="preserve"> </w:t>
      </w:r>
      <w:r w:rsidR="00185796" w:rsidRPr="00FF6563">
        <w:t>while nominal GDP growth is projected to have largely recovered by 2023</w:t>
      </w:r>
      <w:r w:rsidR="00487A21" w:rsidRPr="003A56EF">
        <w:t>-</w:t>
      </w:r>
      <w:r w:rsidR="00185796" w:rsidRPr="001407CE">
        <w:t xml:space="preserve">24, </w:t>
      </w:r>
      <w:r w:rsidR="00185796" w:rsidRPr="004F15DC">
        <w:t xml:space="preserve">the </w:t>
      </w:r>
      <w:r w:rsidR="00185796" w:rsidRPr="00FF6563">
        <w:t xml:space="preserve">projected level </w:t>
      </w:r>
      <w:r w:rsidR="004D2642" w:rsidRPr="003A56EF">
        <w:t xml:space="preserve">of </w:t>
      </w:r>
      <w:r w:rsidRPr="001407CE">
        <w:t xml:space="preserve">nominal GDP </w:t>
      </w:r>
      <w:r w:rsidR="00185796" w:rsidRPr="00FF6563">
        <w:t xml:space="preserve">remains </w:t>
      </w:r>
      <w:r w:rsidR="00303C59" w:rsidRPr="00FF6563">
        <w:t>lower in every year</w:t>
      </w:r>
      <w:r w:rsidR="0085317A" w:rsidRPr="00D15212">
        <w:t>, as shown in Figure 1</w:t>
      </w:r>
      <w:r w:rsidR="00764874" w:rsidRPr="00D15212">
        <w:t>–</w:t>
      </w:r>
      <w:r w:rsidR="0085317A" w:rsidRPr="00CF22D1">
        <w:t>4</w:t>
      </w:r>
      <w:r w:rsidR="00303C59" w:rsidRPr="00CF22D1">
        <w:t>.</w:t>
      </w:r>
    </w:p>
    <w:p w14:paraId="1C06C5CD" w14:textId="77777777" w:rsidR="00355BFB" w:rsidRPr="006F7EB9" w:rsidRDefault="00355BFB" w:rsidP="00355BFB">
      <w:pPr>
        <w:pStyle w:val="ListBullet"/>
        <w:numPr>
          <w:ilvl w:val="0"/>
          <w:numId w:val="0"/>
        </w:numPr>
      </w:pPr>
      <w:r w:rsidRPr="00EB2092">
        <w:t xml:space="preserve">The revisions to nominal GDP </w:t>
      </w:r>
      <w:r>
        <w:t>reflect</w:t>
      </w:r>
      <w:r w:rsidRPr="00715564">
        <w:t xml:space="preserve"> </w:t>
      </w:r>
      <w:r>
        <w:t>the very low</w:t>
      </w:r>
      <w:r w:rsidRPr="00715564">
        <w:t xml:space="preserve"> immigration during the pandemic, and lower projected prices and wages</w:t>
      </w:r>
      <w:r w:rsidRPr="006F7EB9">
        <w:t xml:space="preserve">, as well as </w:t>
      </w:r>
      <w:r w:rsidRPr="0050447F">
        <w:t>the government’s</w:t>
      </w:r>
      <w:r w:rsidRPr="00A42D18">
        <w:t xml:space="preserve"> revised </w:t>
      </w:r>
      <w:r w:rsidRPr="009A1A17">
        <w:t xml:space="preserve">projection </w:t>
      </w:r>
      <w:r w:rsidRPr="00372C38">
        <w:t>methodology</w:t>
      </w:r>
      <w:r w:rsidRPr="00F852A4">
        <w:t xml:space="preserve">, as discussed in Box </w:t>
      </w:r>
      <w:r>
        <w:t>2</w:t>
      </w:r>
      <w:r w:rsidRPr="00EB2092">
        <w:t xml:space="preserve">.  Tax receipts are projected to be lower in dollar terms, particularly personal income tax, with lower wage growth </w:t>
      </w:r>
      <w:r>
        <w:t>leading to less bracket creep</w:t>
      </w:r>
      <w:r w:rsidRPr="00715564">
        <w:t>.</w:t>
      </w:r>
    </w:p>
    <w:p w14:paraId="6AA8A4C5" w14:textId="77777777" w:rsidR="00355BFB" w:rsidRPr="00EB2092" w:rsidRDefault="00355BFB" w:rsidP="00355BFB">
      <w:pPr>
        <w:pStyle w:val="ListBullet"/>
        <w:numPr>
          <w:ilvl w:val="0"/>
          <w:numId w:val="0"/>
        </w:numPr>
      </w:pPr>
      <w:r w:rsidRPr="0050447F">
        <w:t xml:space="preserve">Revisions to </w:t>
      </w:r>
      <w:r w:rsidRPr="00A42D18">
        <w:t>g</w:t>
      </w:r>
      <w:r w:rsidRPr="009A1A17">
        <w:t xml:space="preserve">overnment </w:t>
      </w:r>
      <w:r w:rsidRPr="00372C38">
        <w:t>payments</w:t>
      </w:r>
      <w:r w:rsidRPr="00F852A4">
        <w:t xml:space="preserve"> are more complex.  </w:t>
      </w:r>
      <w:r w:rsidRPr="00EB2092">
        <w:t xml:space="preserve">Over the forward estimates period, government payments were forecast in the budget to increase dramatically as result of temporary policy changes to help maintain employment throughout the pandemic, increase payments to people on income support, and build additional infrastructure.  The number of people on income support also increased as unemployment rose and incomes fell.  </w:t>
      </w:r>
    </w:p>
    <w:p w14:paraId="56A1E624" w14:textId="5F5F768A" w:rsidR="00355BFB" w:rsidRPr="00185796" w:rsidRDefault="00355BFB" w:rsidP="00CD7CE1">
      <w:pPr>
        <w:pStyle w:val="ListBullet"/>
        <w:numPr>
          <w:ilvl w:val="0"/>
          <w:numId w:val="0"/>
        </w:numPr>
      </w:pPr>
      <w:r w:rsidRPr="00EB2092">
        <w:t>Between 2024-25 and 2029-30, the PBO projects government payments to be similar overall to the projections in the previous report.</w:t>
      </w:r>
      <w:r w:rsidRPr="0037012B">
        <w:rPr>
          <w:rStyle w:val="FootnoteReference"/>
        </w:rPr>
        <w:t xml:space="preserve"> </w:t>
      </w:r>
      <w:r w:rsidRPr="006F7EB9">
        <w:rPr>
          <w:rStyle w:val="FootnoteReference"/>
        </w:rPr>
        <w:footnoteReference w:id="9"/>
      </w:r>
      <w:r w:rsidRPr="00EB2092">
        <w:t xml:space="preserve">  Policies to assist Australia through the pandemic are designed to be temporary.</w:t>
      </w:r>
    </w:p>
    <w:p w14:paraId="3BF615AA" w14:textId="3EC1CFB8" w:rsidR="00F167FF" w:rsidRDefault="00F167FF" w:rsidP="003A56EF">
      <w:pPr>
        <w:pStyle w:val="Caption"/>
        <w:spacing w:before="120" w:after="0"/>
      </w:pPr>
      <w:r w:rsidRPr="00715564">
        <w:lastRenderedPageBreak/>
        <w:t>Figure 1–</w:t>
      </w:r>
      <w:r w:rsidR="0085317A" w:rsidRPr="006F7EB9">
        <w:t>4</w:t>
      </w:r>
      <w:r w:rsidRPr="0050447F">
        <w:t>: Nominal GDP forecasts and projections</w:t>
      </w:r>
      <w:r w:rsidR="00A25C9B" w:rsidRPr="00A42D18">
        <w:t>, 2018</w:t>
      </w:r>
      <w:r w:rsidR="00487A21">
        <w:t>-</w:t>
      </w:r>
      <w:r w:rsidR="00A25C9B" w:rsidRPr="00372C38">
        <w:t>19 to 2030</w:t>
      </w:r>
      <w:r w:rsidR="00487A21">
        <w:t>-</w:t>
      </w:r>
      <w:r w:rsidR="00A25C9B" w:rsidRPr="00EB2092">
        <w:t>31</w:t>
      </w:r>
    </w:p>
    <w:p w14:paraId="28AB7D0F" w14:textId="55214E2D" w:rsidR="00206F47" w:rsidRPr="00206F47" w:rsidRDefault="00206F47" w:rsidP="00572B63">
      <w:pPr>
        <w:pStyle w:val="CaptionDescriptor"/>
      </w:pPr>
      <w:r>
        <w:rPr>
          <w:noProof/>
          <w:lang w:eastAsia="en-AU"/>
        </w:rPr>
        <w:drawing>
          <wp:inline distT="0" distB="0" distL="0" distR="0" wp14:anchorId="30E8F8A0" wp14:editId="1647A212">
            <wp:extent cx="4864735" cy="28835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64735" cy="2883535"/>
                    </a:xfrm>
                    <a:prstGeom prst="rect">
                      <a:avLst/>
                    </a:prstGeom>
                    <a:noFill/>
                  </pic:spPr>
                </pic:pic>
              </a:graphicData>
            </a:graphic>
          </wp:inline>
        </w:drawing>
      </w:r>
    </w:p>
    <w:p w14:paraId="61738D7C" w14:textId="71BECE5C" w:rsidR="005753B4" w:rsidRPr="00EB2092" w:rsidRDefault="005753B4" w:rsidP="008204AC">
      <w:pPr>
        <w:pStyle w:val="CaptionDescriptor"/>
        <w:ind w:left="1134" w:right="707"/>
        <w:jc w:val="left"/>
        <w:rPr>
          <w:rFonts w:cs="Times New Roman"/>
          <w:color w:val="788184"/>
          <w:sz w:val="18"/>
          <w:szCs w:val="14"/>
        </w:rPr>
      </w:pPr>
      <w:r w:rsidRPr="006F7EB9">
        <w:rPr>
          <w:rFonts w:cs="Times New Roman"/>
          <w:bCs w:val="0"/>
          <w:color w:val="788184"/>
          <w:sz w:val="18"/>
          <w:szCs w:val="14"/>
        </w:rPr>
        <w:t xml:space="preserve">Note: This chart is a simplified version of Chart </w:t>
      </w:r>
      <w:r w:rsidR="0085317A" w:rsidRPr="0050447F">
        <w:rPr>
          <w:rFonts w:cs="Times New Roman"/>
          <w:bCs w:val="0"/>
          <w:color w:val="788184"/>
          <w:sz w:val="18"/>
          <w:szCs w:val="14"/>
        </w:rPr>
        <w:t>14</w:t>
      </w:r>
      <w:r w:rsidRPr="00A42D18">
        <w:rPr>
          <w:rFonts w:cs="Times New Roman"/>
          <w:bCs w:val="0"/>
          <w:color w:val="788184"/>
          <w:sz w:val="18"/>
          <w:szCs w:val="14"/>
        </w:rPr>
        <w:t xml:space="preserve"> </w:t>
      </w:r>
      <w:r w:rsidR="0085317A" w:rsidRPr="009A1A17">
        <w:rPr>
          <w:rFonts w:cs="Times New Roman"/>
          <w:bCs w:val="0"/>
          <w:color w:val="788184"/>
          <w:sz w:val="18"/>
          <w:szCs w:val="14"/>
        </w:rPr>
        <w:t>of Budget P</w:t>
      </w:r>
      <w:r w:rsidR="0085317A" w:rsidRPr="00372C38">
        <w:rPr>
          <w:rFonts w:cs="Times New Roman"/>
          <w:bCs w:val="0"/>
          <w:color w:val="788184"/>
          <w:sz w:val="18"/>
          <w:szCs w:val="14"/>
        </w:rPr>
        <w:t>aper No. 1 in the 2020</w:t>
      </w:r>
      <w:r w:rsidR="0085317A" w:rsidRPr="00372C38">
        <w:rPr>
          <w:rFonts w:cs="Times New Roman"/>
          <w:bCs w:val="0"/>
          <w:color w:val="788184"/>
          <w:sz w:val="18"/>
          <w:szCs w:val="14"/>
        </w:rPr>
        <w:noBreakHyphen/>
      </w:r>
      <w:r w:rsidRPr="00F852A4">
        <w:rPr>
          <w:rFonts w:cs="Times New Roman"/>
          <w:bCs w:val="0"/>
          <w:color w:val="788184"/>
          <w:sz w:val="18"/>
          <w:szCs w:val="14"/>
        </w:rPr>
        <w:t>21 Budget.</w:t>
      </w:r>
    </w:p>
    <w:p w14:paraId="7A61C766" w14:textId="64D29184" w:rsidR="005753B4" w:rsidRPr="00EB2092" w:rsidRDefault="005753B4" w:rsidP="008204AC">
      <w:pPr>
        <w:pStyle w:val="CaptionDescriptor"/>
        <w:ind w:left="1134" w:right="707"/>
        <w:jc w:val="left"/>
        <w:rPr>
          <w:rFonts w:cs="Times New Roman"/>
          <w:color w:val="788184"/>
          <w:sz w:val="18"/>
          <w:szCs w:val="14"/>
        </w:rPr>
      </w:pPr>
      <w:r w:rsidRPr="00EB2092">
        <w:rPr>
          <w:rFonts w:cs="Times New Roman"/>
          <w:bCs w:val="0"/>
          <w:color w:val="788184"/>
          <w:sz w:val="18"/>
          <w:szCs w:val="14"/>
        </w:rPr>
        <w:t xml:space="preserve">Source: 2020-21 </w:t>
      </w:r>
      <w:proofErr w:type="gramStart"/>
      <w:r w:rsidRPr="00EB2092">
        <w:rPr>
          <w:rFonts w:cs="Times New Roman"/>
          <w:bCs w:val="0"/>
          <w:color w:val="788184"/>
          <w:sz w:val="18"/>
          <w:szCs w:val="14"/>
        </w:rPr>
        <w:t>Budget</w:t>
      </w:r>
      <w:proofErr w:type="gramEnd"/>
      <w:r w:rsidRPr="00EB2092">
        <w:rPr>
          <w:rFonts w:cs="Times New Roman"/>
          <w:bCs w:val="0"/>
          <w:color w:val="788184"/>
          <w:sz w:val="18"/>
          <w:szCs w:val="14"/>
        </w:rPr>
        <w:t>.</w:t>
      </w:r>
    </w:p>
    <w:p w14:paraId="648C97C7" w14:textId="7F8C471A" w:rsidR="00F476AE" w:rsidRPr="00EB2092" w:rsidRDefault="00F476AE" w:rsidP="00CD7CE1">
      <w:pPr>
        <w:pStyle w:val="ListBullet"/>
        <w:numPr>
          <w:ilvl w:val="0"/>
          <w:numId w:val="0"/>
        </w:numPr>
      </w:pPr>
      <w:r w:rsidRPr="0050447F">
        <w:t xml:space="preserve">Despite the much larger </w:t>
      </w:r>
      <w:r w:rsidR="0054349B" w:rsidRPr="00A42D18">
        <w:t>g</w:t>
      </w:r>
      <w:r w:rsidRPr="009A1A17">
        <w:t xml:space="preserve">overnment debt, the interest the </w:t>
      </w:r>
      <w:r w:rsidR="0054349B" w:rsidRPr="00372C38">
        <w:t>g</w:t>
      </w:r>
      <w:r w:rsidRPr="00F852A4">
        <w:t>overnment pays on that</w:t>
      </w:r>
      <w:r w:rsidRPr="00EB2092">
        <w:t xml:space="preserve"> debt </w:t>
      </w:r>
      <w:r w:rsidR="00714E4F" w:rsidRPr="00EB2092">
        <w:t>is expected to</w:t>
      </w:r>
      <w:r w:rsidRPr="00EB2092">
        <w:t xml:space="preserve"> </w:t>
      </w:r>
      <w:r w:rsidR="00714E4F" w:rsidRPr="00EB2092">
        <w:t>increase</w:t>
      </w:r>
      <w:r w:rsidR="00DF5E56" w:rsidRPr="00EB2092">
        <w:t xml:space="preserve"> only</w:t>
      </w:r>
      <w:r w:rsidRPr="00EB2092">
        <w:t xml:space="preserve"> modestly over the medium term, as new debt </w:t>
      </w:r>
      <w:r w:rsidR="00714E4F" w:rsidRPr="00EB2092">
        <w:t xml:space="preserve">is being </w:t>
      </w:r>
      <w:r w:rsidRPr="00EB2092">
        <w:t>issued at very low interest rates.</w:t>
      </w:r>
    </w:p>
    <w:p w14:paraId="3DABF167" w14:textId="0EEA44C0" w:rsidR="00FA1A27" w:rsidRPr="00EB2092" w:rsidRDefault="00F476AE" w:rsidP="00CD7CE1">
      <w:pPr>
        <w:pStyle w:val="ListBullet"/>
        <w:numPr>
          <w:ilvl w:val="0"/>
          <w:numId w:val="0"/>
        </w:numPr>
      </w:pPr>
      <w:r w:rsidRPr="00EB2092">
        <w:t xml:space="preserve">Some improvements </w:t>
      </w:r>
      <w:r w:rsidR="00714E4F" w:rsidRPr="00EB2092">
        <w:t>to</w:t>
      </w:r>
      <w:r w:rsidRPr="00EB2092">
        <w:t xml:space="preserve"> PBO modelling, as discussed </w:t>
      </w:r>
      <w:r w:rsidR="00714E4F" w:rsidRPr="00EB2092">
        <w:t>later</w:t>
      </w:r>
      <w:r w:rsidRPr="00EB2092">
        <w:t>, have also resulted in revisions to projections for receipts and payments.</w:t>
      </w:r>
    </w:p>
    <w:p w14:paraId="049008FD" w14:textId="5A4C4AFE" w:rsidR="005E3F17" w:rsidRDefault="005E3F17" w:rsidP="00CD7CE1">
      <w:pPr>
        <w:pStyle w:val="ListBullet"/>
        <w:numPr>
          <w:ilvl w:val="0"/>
          <w:numId w:val="0"/>
        </w:numPr>
      </w:pPr>
      <w:r w:rsidRPr="00EB2092">
        <w:t xml:space="preserve">Although </w:t>
      </w:r>
      <w:r w:rsidR="00714E4F" w:rsidRPr="00EB2092">
        <w:t xml:space="preserve">the dollar value of </w:t>
      </w:r>
      <w:r w:rsidRPr="00EB2092">
        <w:t xml:space="preserve">payments </w:t>
      </w:r>
      <w:r w:rsidR="00714E4F" w:rsidRPr="00EB2092">
        <w:t xml:space="preserve">are </w:t>
      </w:r>
      <w:r w:rsidRPr="00EB2092">
        <w:t>projected to be lower compa</w:t>
      </w:r>
      <w:r w:rsidR="00714E4F" w:rsidRPr="00EB2092">
        <w:t>red to last year’s projections</w:t>
      </w:r>
      <w:r w:rsidRPr="00EB2092">
        <w:t xml:space="preserve">, payments </w:t>
      </w:r>
      <w:r w:rsidR="00714E4F" w:rsidRPr="00EB2092">
        <w:t xml:space="preserve">as a share of GDP </w:t>
      </w:r>
      <w:r w:rsidRPr="00EB2092">
        <w:t xml:space="preserve">are projected to be substantially higher </w:t>
      </w:r>
      <w:r w:rsidR="00E3025D" w:rsidRPr="00EB2092">
        <w:t xml:space="preserve">as the </w:t>
      </w:r>
      <w:r w:rsidR="00EC7AD2">
        <w:t xml:space="preserve">projected </w:t>
      </w:r>
      <w:r w:rsidR="00E3025D" w:rsidRPr="00EB2092">
        <w:t xml:space="preserve">size of the economy has </w:t>
      </w:r>
      <w:r w:rsidR="00EC7AD2">
        <w:t>been revised lower</w:t>
      </w:r>
      <w:r w:rsidRPr="00EB2092">
        <w:t xml:space="preserve">.  This is explained further in Chapter </w:t>
      </w:r>
      <w:r w:rsidR="0085317A" w:rsidRPr="00EB2092">
        <w:t>3</w:t>
      </w:r>
      <w:r w:rsidRPr="00EB2092">
        <w:t>.</w:t>
      </w:r>
    </w:p>
    <w:p w14:paraId="0AD48BAF" w14:textId="77777777" w:rsidR="00355BFB" w:rsidRDefault="00355BFB">
      <w:r>
        <w:rPr>
          <w:b/>
          <w:bCs/>
          <w:iCs/>
        </w:rPr>
        <w:br w:type="page"/>
      </w:r>
    </w:p>
    <w:tbl>
      <w:tblPr>
        <w:tblStyle w:val="BoxPlaceholder"/>
        <w:tblW w:w="8789" w:type="dxa"/>
        <w:tblInd w:w="0" w:type="dxa"/>
        <w:tblLayout w:type="fixed"/>
        <w:tblLook w:val="04A0" w:firstRow="1" w:lastRow="0" w:firstColumn="1" w:lastColumn="0" w:noHBand="0" w:noVBand="1"/>
      </w:tblPr>
      <w:tblGrid>
        <w:gridCol w:w="8789"/>
      </w:tblGrid>
      <w:tr w:rsidR="00355BFB" w:rsidRPr="00EB2092" w14:paraId="4AF0C0E8" w14:textId="77777777" w:rsidTr="00355BFB">
        <w:tc>
          <w:tcPr>
            <w:tcW w:w="8789" w:type="dxa"/>
          </w:tcPr>
          <w:p w14:paraId="2FD98E4D" w14:textId="5FE261F3" w:rsidR="00355BFB" w:rsidRPr="00EB2092" w:rsidRDefault="00355BFB" w:rsidP="00355BFB">
            <w:pPr>
              <w:pStyle w:val="Heading2NoNumbering"/>
              <w:spacing w:before="120"/>
            </w:pPr>
            <w:r w:rsidRPr="00EB2092">
              <w:lastRenderedPageBreak/>
              <w:t>Box 2: Changes to the economic inputs into the PBO’s projections</w:t>
            </w:r>
            <w:r w:rsidRPr="00EB2092" w:rsidDel="006C3DF0">
              <w:t xml:space="preserve"> </w:t>
            </w:r>
          </w:p>
          <w:p w14:paraId="4834EB20" w14:textId="77777777" w:rsidR="00355BFB" w:rsidRPr="00EB2092" w:rsidRDefault="00355BFB" w:rsidP="00355BFB">
            <w:pPr>
              <w:pStyle w:val="BodyText"/>
            </w:pPr>
            <w:r w:rsidRPr="00EB2092">
              <w:t>The budget includes a set of ‘parameters’ that describe how important aspects of the economy, such as GDP and employment, are likely to evolve over time.  The PBO is required, under legislation, to use these parameters when constructing independent medium-term fiscal projections.  The changes to parameters since the previous report are sizeable and reflect both revisions due to COVID</w:t>
            </w:r>
            <w:r w:rsidRPr="00EB2092">
              <w:noBreakHyphen/>
              <w:t>19, and methodological changes in the budget’s approach to modelling the economy over the medium term.</w:t>
            </w:r>
          </w:p>
          <w:p w14:paraId="312D0B95" w14:textId="77777777" w:rsidR="00355BFB" w:rsidRPr="00EB2092" w:rsidRDefault="00355BFB" w:rsidP="00355BFB">
            <w:pPr>
              <w:pStyle w:val="BodyText"/>
            </w:pPr>
            <w:r w:rsidRPr="00EB2092">
              <w:t xml:space="preserve">The budget’s detailed economic forecasts represent the government’s estimate of how the economy will unfold over the next two years (the budget year and the following year).  </w:t>
            </w:r>
          </w:p>
          <w:p w14:paraId="28222E9E" w14:textId="77777777" w:rsidR="00355BFB" w:rsidRPr="00EB2092" w:rsidRDefault="00355BFB" w:rsidP="00355BFB">
            <w:pPr>
              <w:pStyle w:val="BodyText"/>
            </w:pPr>
            <w:r w:rsidRPr="00EB2092">
              <w:t>Over the medium term, the parameters converge to long-run trends based on assumptions for the working-age population, workforce participation and productivity.  Long-run or ‘potential’ GDP is the product of these three factors.  The ‘output gap’—the difference between projected and potential GDP—would be expected to be sizeable during the recovery from an economic downturn.  The assumptions around how big the gap is and how fast it closes are both important for projecting the fiscal impacts of COVID</w:t>
            </w:r>
            <w:r w:rsidRPr="00EB2092">
              <w:noBreakHyphen/>
              <w:t>19.</w:t>
            </w:r>
          </w:p>
          <w:p w14:paraId="426334EC" w14:textId="77777777" w:rsidR="00355BFB" w:rsidRPr="00A6166C" w:rsidRDefault="00355BFB" w:rsidP="00355BFB">
            <w:pPr>
              <w:pStyle w:val="BodyText"/>
            </w:pPr>
            <w:r w:rsidRPr="00EB2092">
              <w:t>The 2020</w:t>
            </w:r>
            <w:r>
              <w:t>-</w:t>
            </w:r>
            <w:r w:rsidRPr="00EB2092">
              <w:t xml:space="preserve">21 Budget included changes to population assumptions, </w:t>
            </w:r>
            <w:r>
              <w:t>including</w:t>
            </w:r>
            <w:r w:rsidRPr="00A6166C">
              <w:t xml:space="preserve"> both lower expected migration owing to the pandemic and revised fertility rates.  Lower migration has a significant and permanent effect on the level of GDP because the reduced population is not </w:t>
            </w:r>
            <w:r>
              <w:t>assumed</w:t>
            </w:r>
            <w:r w:rsidRPr="00A6166C">
              <w:t xml:space="preserve"> to return to previously projected levels in </w:t>
            </w:r>
            <w:r>
              <w:t>the medium term, for example</w:t>
            </w:r>
            <w:r w:rsidRPr="00A6166C">
              <w:t xml:space="preserve"> through higher migration.  The fertility rates</w:t>
            </w:r>
            <w:r>
              <w:t xml:space="preserve">, which were revised before the COVID-19 pandemic, </w:t>
            </w:r>
            <w:r w:rsidRPr="00A6166C">
              <w:t>will affect potential GDP growth beyond the medium term.  This effect is due to a lower working</w:t>
            </w:r>
            <w:r w:rsidRPr="00A6166C">
              <w:noBreakHyphen/>
              <w:t>age population than would have otherwise been the case.</w:t>
            </w:r>
          </w:p>
          <w:p w14:paraId="72F20D2F" w14:textId="77777777" w:rsidR="00355BFB" w:rsidRPr="004B1AA3" w:rsidRDefault="00355BFB" w:rsidP="00355BFB">
            <w:pPr>
              <w:pStyle w:val="BodyText"/>
            </w:pPr>
            <w:r w:rsidRPr="004B1AA3">
              <w:t>In addition to these changes to assumed population, and hence GDP, the 2020</w:t>
            </w:r>
            <w:r>
              <w:t>-</w:t>
            </w:r>
            <w:r w:rsidRPr="004B1AA3">
              <w:t xml:space="preserve">21 Budget also included a new approach to modelling the path from the forecasts of the next two years to the long run.  </w:t>
            </w:r>
            <w:r>
              <w:rPr>
                <w:lang w:eastAsia="en-AU"/>
              </w:rPr>
              <w:t>In the 2020</w:t>
            </w:r>
            <w:r>
              <w:t>-21 Budget</w:t>
            </w:r>
            <w:r w:rsidRPr="004B1AA3">
              <w:rPr>
                <w:lang w:eastAsia="en-AU"/>
              </w:rPr>
              <w:t xml:space="preserve"> both </w:t>
            </w:r>
            <w:r w:rsidRPr="004B1AA3">
              <w:rPr>
                <w:iCs/>
                <w:lang w:eastAsia="en-AU"/>
              </w:rPr>
              <w:t>potential output</w:t>
            </w:r>
            <w:r w:rsidRPr="004B1AA3">
              <w:rPr>
                <w:lang w:eastAsia="en-AU"/>
              </w:rPr>
              <w:t xml:space="preserve"> and the approach to the </w:t>
            </w:r>
            <w:r w:rsidRPr="004B1AA3">
              <w:rPr>
                <w:iCs/>
                <w:lang w:eastAsia="en-AU"/>
              </w:rPr>
              <w:t>closure of the output gap</w:t>
            </w:r>
            <w:r w:rsidRPr="004B1AA3">
              <w:rPr>
                <w:lang w:eastAsia="en-AU"/>
              </w:rPr>
              <w:t xml:space="preserve"> changed</w:t>
            </w:r>
            <w:r>
              <w:rPr>
                <w:lang w:eastAsia="en-AU"/>
              </w:rPr>
              <w:t>, compared to previous budgets</w:t>
            </w:r>
            <w:r w:rsidRPr="004B1AA3">
              <w:rPr>
                <w:lang w:eastAsia="en-AU"/>
              </w:rPr>
              <w:t xml:space="preserve">.  </w:t>
            </w:r>
            <w:r>
              <w:rPr>
                <w:lang w:eastAsia="en-AU"/>
              </w:rPr>
              <w:t>Prior to this budget, it was</w:t>
            </w:r>
            <w:r w:rsidRPr="004B1AA3">
              <w:t xml:space="preserve"> assumed that the output gap would be closed over five years following the two year forecast period. When output is below its potential level, this </w:t>
            </w:r>
            <w:r>
              <w:t xml:space="preserve">method </w:t>
            </w:r>
            <w:r w:rsidRPr="004B1AA3">
              <w:t>led output to grow above its potential rate for a period of time so that full employment is reached and productive equipment is back in use.  In the 2019</w:t>
            </w:r>
            <w:r>
              <w:t>-</w:t>
            </w:r>
            <w:r w:rsidRPr="004B1AA3">
              <w:t>20 Budget this led to projections of 3 per cent growth for several years</w:t>
            </w:r>
            <w:r>
              <w:t>,</w:t>
            </w:r>
            <w:r w:rsidRPr="004B1AA3">
              <w:t xml:space="preserve"> before returning to the sustainable growth rate of 2¾ per cent.  </w:t>
            </w:r>
            <w:r>
              <w:t>Instead of this approach, t</w:t>
            </w:r>
            <w:r w:rsidRPr="004B1AA3">
              <w:t>he 2020</w:t>
            </w:r>
            <w:r>
              <w:t>-</w:t>
            </w:r>
            <w:r w:rsidRPr="004B1AA3">
              <w:t>21 Budget use</w:t>
            </w:r>
            <w:r>
              <w:t>s</w:t>
            </w:r>
            <w:r w:rsidRPr="004B1AA3">
              <w:t xml:space="preserve"> a </w:t>
            </w:r>
            <w:proofErr w:type="spellStart"/>
            <w:r w:rsidRPr="004B1AA3">
              <w:t>macroeconometric</w:t>
            </w:r>
            <w:proofErr w:type="spellEnd"/>
            <w:r w:rsidRPr="004B1AA3">
              <w:t xml:space="preserve"> model of the economy to inform how quickly the output gap is closed.</w:t>
            </w:r>
            <w:r>
              <w:rPr>
                <w:rStyle w:val="FootnoteReference"/>
              </w:rPr>
              <w:footnoteReference w:id="10"/>
            </w:r>
          </w:p>
        </w:tc>
      </w:tr>
    </w:tbl>
    <w:p w14:paraId="50ADAF52" w14:textId="77777777" w:rsidR="00355BFB" w:rsidRPr="00EB2092" w:rsidRDefault="00355BFB" w:rsidP="00CD7CE1">
      <w:pPr>
        <w:pStyle w:val="ListBullet"/>
        <w:numPr>
          <w:ilvl w:val="0"/>
          <w:numId w:val="0"/>
        </w:numPr>
      </w:pPr>
    </w:p>
    <w:p w14:paraId="1954BDD3" w14:textId="77777777" w:rsidR="00722F5A" w:rsidRPr="00EB2092" w:rsidRDefault="00722F5A">
      <w:pPr>
        <w:rPr>
          <w:rFonts w:ascii="Calibri Light" w:hAnsi="Calibri Light"/>
          <w:bCs/>
          <w:color w:val="3D4D7D" w:themeColor="background2"/>
          <w:kern w:val="32"/>
          <w:sz w:val="52"/>
          <w:szCs w:val="32"/>
        </w:rPr>
      </w:pPr>
      <w:r w:rsidRPr="00EB2092">
        <w:br w:type="page"/>
      </w:r>
    </w:p>
    <w:p w14:paraId="6303041E" w14:textId="77777777" w:rsidR="000D2145" w:rsidRPr="00EB2092" w:rsidRDefault="000D2145" w:rsidP="00C464A3">
      <w:pPr>
        <w:pStyle w:val="Heading1"/>
      </w:pPr>
      <w:bookmarkStart w:id="20" w:name="_Toc58271426"/>
      <w:r w:rsidRPr="00EB2092">
        <w:lastRenderedPageBreak/>
        <w:t>Projected receipts</w:t>
      </w:r>
      <w:bookmarkEnd w:id="20"/>
    </w:p>
    <w:tbl>
      <w:tblPr>
        <w:tblStyle w:val="BoxPlaceholder"/>
        <w:tblW w:w="8789" w:type="dxa"/>
        <w:shd w:val="clear" w:color="auto" w:fill="D3D8E9" w:themeFill="background2" w:themeFillTint="33"/>
        <w:tblLayout w:type="fixed"/>
        <w:tblLook w:val="04A0" w:firstRow="1" w:lastRow="0" w:firstColumn="1" w:lastColumn="0" w:noHBand="0" w:noVBand="1"/>
      </w:tblPr>
      <w:tblGrid>
        <w:gridCol w:w="8789"/>
      </w:tblGrid>
      <w:tr w:rsidR="006679DD" w:rsidRPr="00EB2092" w14:paraId="6F04A138" w14:textId="77777777" w:rsidTr="008C405C">
        <w:tc>
          <w:tcPr>
            <w:tcW w:w="8789" w:type="dxa"/>
            <w:shd w:val="clear" w:color="auto" w:fill="D3D8E9" w:themeFill="background2" w:themeFillTint="33"/>
          </w:tcPr>
          <w:p w14:paraId="6D145B17" w14:textId="77777777" w:rsidR="006679DD" w:rsidRPr="00EB2092" w:rsidRDefault="006679DD" w:rsidP="008C405C">
            <w:pPr>
              <w:pStyle w:val="Heading2NoNumbering"/>
              <w:spacing w:before="120"/>
            </w:pPr>
            <w:r w:rsidRPr="00EB2092">
              <w:t>Key points</w:t>
            </w:r>
          </w:p>
          <w:p w14:paraId="090444A3" w14:textId="03B62175" w:rsidR="00432D6A" w:rsidRPr="00EB2092" w:rsidRDefault="00432D6A" w:rsidP="00432D6A">
            <w:pPr>
              <w:pStyle w:val="ListBullet"/>
            </w:pPr>
            <w:r w:rsidRPr="00EB2092">
              <w:t>Receipts dropped substantially as a result of the COVID-19 pandemic, and the government forecasts a partial recovery over the forward estimates period.</w:t>
            </w:r>
          </w:p>
          <w:p w14:paraId="55011187" w14:textId="2877A59D" w:rsidR="00A74D49" w:rsidRPr="00EB2092" w:rsidRDefault="00432D6A" w:rsidP="00A74D49">
            <w:pPr>
              <w:pStyle w:val="ListBullet"/>
            </w:pPr>
            <w:r w:rsidRPr="00EB2092">
              <w:t xml:space="preserve">Beyond the forward estimates, the PBO projects receipts </w:t>
            </w:r>
            <w:r w:rsidR="005B529F" w:rsidRPr="00EB2092">
              <w:t xml:space="preserve">as a percentage of GDP </w:t>
            </w:r>
            <w:r w:rsidRPr="00EB2092">
              <w:t>will improve by 2030</w:t>
            </w:r>
            <w:r w:rsidR="00487A21">
              <w:t>-</w:t>
            </w:r>
            <w:r w:rsidRPr="00EB2092">
              <w:t xml:space="preserve">31 but will </w:t>
            </w:r>
            <w:r w:rsidR="00A73215" w:rsidRPr="00EB2092">
              <w:t xml:space="preserve">still </w:t>
            </w:r>
            <w:r w:rsidRPr="00EB2092">
              <w:t xml:space="preserve">not have recovered to the </w:t>
            </w:r>
            <w:r w:rsidR="005B529F" w:rsidRPr="00EB2092">
              <w:t>2018</w:t>
            </w:r>
            <w:r w:rsidR="00487A21">
              <w:t>-</w:t>
            </w:r>
            <w:r w:rsidR="005B529F" w:rsidRPr="00EB2092">
              <w:t xml:space="preserve">19 </w:t>
            </w:r>
            <w:r w:rsidRPr="00EB2092">
              <w:t>level</w:t>
            </w:r>
            <w:r w:rsidR="00A52C7F" w:rsidRPr="00EB2092">
              <w:t>.</w:t>
            </w:r>
            <w:r w:rsidR="00A74D49" w:rsidRPr="00EB2092">
              <w:t xml:space="preserve">  This reflects </w:t>
            </w:r>
            <w:r w:rsidR="00F876AF">
              <w:br/>
            </w:r>
            <w:r w:rsidR="00A74D49" w:rsidRPr="00EB2092">
              <w:t>the close relationship between tax collections and economic activity.</w:t>
            </w:r>
          </w:p>
          <w:p w14:paraId="40F76C5A" w14:textId="49074899" w:rsidR="006679DD" w:rsidRPr="00EB2092" w:rsidRDefault="00A74D49" w:rsidP="00072A40">
            <w:pPr>
              <w:pStyle w:val="ListBullet"/>
            </w:pPr>
            <w:r w:rsidRPr="00EB2092">
              <w:t xml:space="preserve">In dollar terms, </w:t>
            </w:r>
            <w:r w:rsidRPr="00EB2092">
              <w:rPr>
                <w:lang w:eastAsia="en-AU"/>
              </w:rPr>
              <w:t>total receipts are projected to increase from $485 billion in 2018</w:t>
            </w:r>
            <w:r w:rsidR="00487A21">
              <w:t>-</w:t>
            </w:r>
            <w:r w:rsidRPr="00EB2092">
              <w:rPr>
                <w:lang w:eastAsia="en-AU"/>
              </w:rPr>
              <w:t xml:space="preserve">19 to </w:t>
            </w:r>
            <w:r w:rsidR="00072A40" w:rsidRPr="00EB2092">
              <w:rPr>
                <w:lang w:eastAsia="en-AU"/>
              </w:rPr>
              <w:t>$772</w:t>
            </w:r>
            <w:r w:rsidRPr="00EB2092">
              <w:rPr>
                <w:lang w:eastAsia="en-AU"/>
              </w:rPr>
              <w:t> billion in 2030</w:t>
            </w:r>
            <w:r w:rsidR="00487A21">
              <w:t>-</w:t>
            </w:r>
            <w:r w:rsidRPr="00EB2092">
              <w:rPr>
                <w:lang w:eastAsia="en-AU"/>
              </w:rPr>
              <w:t>31.</w:t>
            </w:r>
          </w:p>
        </w:tc>
      </w:tr>
    </w:tbl>
    <w:p w14:paraId="05C1E325" w14:textId="77777777" w:rsidR="00E63D75" w:rsidRPr="00EB2092" w:rsidRDefault="00E63D75" w:rsidP="00044B24">
      <w:pPr>
        <w:pStyle w:val="Heading2"/>
        <w:ind w:left="765"/>
      </w:pPr>
      <w:bookmarkStart w:id="21" w:name="_Toc57809347"/>
      <w:bookmarkStart w:id="22" w:name="_Toc57824665"/>
      <w:bookmarkStart w:id="23" w:name="_Toc523757308"/>
      <w:bookmarkStart w:id="24" w:name="_Toc19801229"/>
      <w:bookmarkStart w:id="25" w:name="_Toc58271427"/>
      <w:bookmarkEnd w:id="21"/>
      <w:bookmarkEnd w:id="22"/>
      <w:r w:rsidRPr="00EB2092">
        <w:t>Total receipts</w:t>
      </w:r>
      <w:bookmarkEnd w:id="23"/>
      <w:bookmarkEnd w:id="24"/>
      <w:bookmarkEnd w:id="25"/>
    </w:p>
    <w:p w14:paraId="59ECCE06" w14:textId="66CA2514" w:rsidR="00A1798C" w:rsidRPr="00EB2092" w:rsidRDefault="00E63D75" w:rsidP="004A0A0A">
      <w:pPr>
        <w:pStyle w:val="BodyText"/>
        <w:rPr>
          <w:lang w:eastAsia="en-AU"/>
        </w:rPr>
      </w:pPr>
      <w:r w:rsidRPr="00EB2092">
        <w:t xml:space="preserve">Total receipts are expected to be </w:t>
      </w:r>
      <w:r w:rsidR="00076A98" w:rsidRPr="00EB2092">
        <w:t>volatile</w:t>
      </w:r>
      <w:r w:rsidRPr="00EB2092">
        <w:t xml:space="preserve"> over the forward estimates period</w:t>
      </w:r>
      <w:r w:rsidR="00076A98" w:rsidRPr="00EB2092">
        <w:t xml:space="preserve"> as a result of the </w:t>
      </w:r>
      <w:r w:rsidR="004B0150" w:rsidRPr="00EB2092">
        <w:t>COVID</w:t>
      </w:r>
      <w:r w:rsidR="004B0150" w:rsidRPr="00EB2092">
        <w:noBreakHyphen/>
      </w:r>
      <w:r w:rsidR="0054349B" w:rsidRPr="00EB2092">
        <w:t>19</w:t>
      </w:r>
      <w:r w:rsidR="00076A98" w:rsidRPr="00EB2092">
        <w:t xml:space="preserve"> pandemic and associated policy response</w:t>
      </w:r>
      <w:r w:rsidRPr="00EB2092">
        <w:t xml:space="preserve">, </w:t>
      </w:r>
      <w:r w:rsidR="00F03A6C" w:rsidRPr="00EB2092">
        <w:t>as well as the implementation of tax cuts</w:t>
      </w:r>
      <w:r w:rsidR="000F0FA6" w:rsidRPr="00EB2092">
        <w:t>.</w:t>
      </w:r>
      <w:r w:rsidR="00CC656C" w:rsidRPr="00EB2092">
        <w:t xml:space="preserve">  </w:t>
      </w:r>
      <w:r w:rsidR="00D441A7" w:rsidRPr="00EB2092">
        <w:rPr>
          <w:lang w:eastAsia="en-AU"/>
        </w:rPr>
        <w:t>By</w:t>
      </w:r>
      <w:r w:rsidR="000F0FA6" w:rsidRPr="00EB2092">
        <w:rPr>
          <w:lang w:eastAsia="en-AU"/>
        </w:rPr>
        <w:t xml:space="preserve"> the end of the medium term in 2030</w:t>
      </w:r>
      <w:r w:rsidR="00487A21">
        <w:t>-</w:t>
      </w:r>
      <w:r w:rsidR="000F0FA6" w:rsidRPr="00EB2092">
        <w:rPr>
          <w:lang w:eastAsia="en-AU"/>
        </w:rPr>
        <w:t xml:space="preserve">31, total receipts are projected to reach </w:t>
      </w:r>
      <w:r w:rsidR="00144FB0" w:rsidRPr="00EB2092">
        <w:rPr>
          <w:lang w:eastAsia="en-AU"/>
        </w:rPr>
        <w:t>$77</w:t>
      </w:r>
      <w:r w:rsidR="00072A40" w:rsidRPr="00EB2092">
        <w:rPr>
          <w:lang w:eastAsia="en-AU"/>
        </w:rPr>
        <w:t>2</w:t>
      </w:r>
      <w:r w:rsidR="00144FB0" w:rsidRPr="00EB2092">
        <w:rPr>
          <w:lang w:eastAsia="en-AU"/>
        </w:rPr>
        <w:t xml:space="preserve"> billion, or </w:t>
      </w:r>
      <w:r w:rsidR="000F0FA6" w:rsidRPr="00EB2092">
        <w:rPr>
          <w:lang w:eastAsia="en-AU"/>
        </w:rPr>
        <w:t>24.</w:t>
      </w:r>
      <w:r w:rsidR="00072A40" w:rsidRPr="00EB2092">
        <w:rPr>
          <w:lang w:eastAsia="en-AU"/>
        </w:rPr>
        <w:t>5</w:t>
      </w:r>
      <w:r w:rsidR="00144FB0" w:rsidRPr="00EB2092">
        <w:rPr>
          <w:lang w:eastAsia="en-AU"/>
        </w:rPr>
        <w:t> </w:t>
      </w:r>
      <w:r w:rsidR="000F0FA6" w:rsidRPr="00EB2092">
        <w:rPr>
          <w:lang w:eastAsia="en-AU"/>
        </w:rPr>
        <w:t>per</w:t>
      </w:r>
      <w:r w:rsidR="00487A21">
        <w:rPr>
          <w:lang w:eastAsia="en-AU"/>
        </w:rPr>
        <w:t> </w:t>
      </w:r>
      <w:r w:rsidR="000F0FA6" w:rsidRPr="00EB2092">
        <w:rPr>
          <w:lang w:eastAsia="en-AU"/>
        </w:rPr>
        <w:t>cent of GDP</w:t>
      </w:r>
      <w:r w:rsidR="00E137E3">
        <w:rPr>
          <w:lang w:eastAsia="en-AU"/>
        </w:rPr>
        <w:t>.  This is</w:t>
      </w:r>
      <w:r w:rsidR="000F0FA6" w:rsidRPr="00EB2092">
        <w:rPr>
          <w:lang w:eastAsia="en-AU"/>
        </w:rPr>
        <w:t xml:space="preserve"> </w:t>
      </w:r>
      <w:r w:rsidR="002C6B6E" w:rsidRPr="00EB2092">
        <w:rPr>
          <w:lang w:eastAsia="en-AU"/>
        </w:rPr>
        <w:t>0.4</w:t>
      </w:r>
      <w:r w:rsidR="000F0FA6" w:rsidRPr="00EB2092">
        <w:rPr>
          <w:lang w:eastAsia="en-AU"/>
        </w:rPr>
        <w:t xml:space="preserve"> percentage point</w:t>
      </w:r>
      <w:r w:rsidR="002C6B6E" w:rsidRPr="00EB2092">
        <w:rPr>
          <w:lang w:eastAsia="en-AU"/>
        </w:rPr>
        <w:t>s</w:t>
      </w:r>
      <w:r w:rsidR="000F0FA6" w:rsidRPr="00EB2092">
        <w:rPr>
          <w:lang w:eastAsia="en-AU"/>
        </w:rPr>
        <w:t xml:space="preserve"> lower than the pre-</w:t>
      </w:r>
      <w:r w:rsidR="00DF5E56" w:rsidRPr="00EB2092">
        <w:rPr>
          <w:lang w:eastAsia="en-AU"/>
        </w:rPr>
        <w:t xml:space="preserve">pandemic </w:t>
      </w:r>
      <w:r w:rsidR="000F0FA6" w:rsidRPr="00EB2092">
        <w:rPr>
          <w:lang w:eastAsia="en-AU"/>
        </w:rPr>
        <w:t>level of 24.9 per</w:t>
      </w:r>
      <w:r w:rsidR="00E137E3">
        <w:rPr>
          <w:lang w:eastAsia="en-AU"/>
        </w:rPr>
        <w:t> </w:t>
      </w:r>
      <w:r w:rsidR="000F0FA6" w:rsidRPr="00EB2092">
        <w:rPr>
          <w:lang w:eastAsia="en-AU"/>
        </w:rPr>
        <w:t>cent of GDP</w:t>
      </w:r>
      <w:r w:rsidR="00FB3D9E" w:rsidRPr="00EB2092">
        <w:rPr>
          <w:lang w:eastAsia="en-AU"/>
        </w:rPr>
        <w:t xml:space="preserve"> </w:t>
      </w:r>
      <w:r w:rsidR="00144FB0" w:rsidRPr="00EB2092">
        <w:rPr>
          <w:lang w:eastAsia="en-AU"/>
        </w:rPr>
        <w:t xml:space="preserve">($485 billion) </w:t>
      </w:r>
      <w:r w:rsidR="00FB3D9E" w:rsidRPr="00EB2092">
        <w:rPr>
          <w:lang w:eastAsia="en-AU"/>
        </w:rPr>
        <w:t>in 2018</w:t>
      </w:r>
      <w:r w:rsidR="00487A21">
        <w:t>-</w:t>
      </w:r>
      <w:r w:rsidR="00FB3D9E" w:rsidRPr="00EB2092">
        <w:rPr>
          <w:lang w:eastAsia="en-AU"/>
        </w:rPr>
        <w:t>19</w:t>
      </w:r>
      <w:r w:rsidR="00D441A7" w:rsidRPr="00EB2092">
        <w:rPr>
          <w:lang w:eastAsia="en-AU"/>
        </w:rPr>
        <w:t xml:space="preserve">, as shown in </w:t>
      </w:r>
      <w:r w:rsidR="00D441A7" w:rsidRPr="007D6E09">
        <w:rPr>
          <w:lang w:eastAsia="en-AU"/>
        </w:rPr>
        <w:fldChar w:fldCharType="begin"/>
      </w:r>
      <w:r w:rsidR="00D441A7" w:rsidRPr="00EB2092">
        <w:rPr>
          <w:lang w:eastAsia="en-AU"/>
        </w:rPr>
        <w:instrText xml:space="preserve"> REF _Ref523488578 \h  \* MERGEFORMAT </w:instrText>
      </w:r>
      <w:r w:rsidR="00D441A7" w:rsidRPr="007D6E09">
        <w:rPr>
          <w:lang w:eastAsia="en-AU"/>
        </w:rPr>
      </w:r>
      <w:r w:rsidR="00D441A7" w:rsidRPr="007D6E09">
        <w:rPr>
          <w:lang w:eastAsia="en-AU"/>
        </w:rPr>
        <w:fldChar w:fldCharType="separate"/>
      </w:r>
      <w:r w:rsidR="002E6949" w:rsidRPr="00EB2092">
        <w:t xml:space="preserve">Figure </w:t>
      </w:r>
      <w:r w:rsidR="002E6949" w:rsidRPr="00EB2092">
        <w:rPr>
          <w:noProof/>
        </w:rPr>
        <w:t>2</w:t>
      </w:r>
      <w:r w:rsidR="002E6949" w:rsidRPr="00EB2092">
        <w:t>–</w:t>
      </w:r>
      <w:r w:rsidR="002E6949">
        <w:rPr>
          <w:noProof/>
        </w:rPr>
        <w:t>1</w:t>
      </w:r>
      <w:r w:rsidR="00D441A7" w:rsidRPr="007D6E09">
        <w:rPr>
          <w:lang w:eastAsia="en-AU"/>
        </w:rPr>
        <w:fldChar w:fldCharType="end"/>
      </w:r>
      <w:r w:rsidR="000F0FA6" w:rsidRPr="00EB2092">
        <w:rPr>
          <w:lang w:eastAsia="en-AU"/>
        </w:rPr>
        <w:t>.</w:t>
      </w:r>
      <w:r w:rsidR="00D441A7" w:rsidRPr="00EB2092">
        <w:rPr>
          <w:lang w:eastAsia="en-AU"/>
        </w:rPr>
        <w:t xml:space="preserve">  </w:t>
      </w:r>
    </w:p>
    <w:p w14:paraId="6D8704E2" w14:textId="75531F90" w:rsidR="00E63D75" w:rsidRPr="00EB2092" w:rsidRDefault="00E63D75" w:rsidP="00044B24">
      <w:pPr>
        <w:pStyle w:val="Caption"/>
        <w:spacing w:before="240"/>
      </w:pPr>
      <w:bookmarkStart w:id="26" w:name="_Ref520381399"/>
      <w:bookmarkStart w:id="27" w:name="_Ref523488578"/>
      <w:r w:rsidRPr="00EB2092">
        <w:t>Figure 2–</w:t>
      </w:r>
      <w:r w:rsidR="00F00EF5" w:rsidRPr="007D6E09">
        <w:fldChar w:fldCharType="begin"/>
      </w:r>
      <w:r w:rsidR="00F00EF5" w:rsidRPr="00EB2092">
        <w:instrText xml:space="preserve"> SEQ Figure \* ARABIC \s 1 </w:instrText>
      </w:r>
      <w:r w:rsidR="00F00EF5" w:rsidRPr="007D6E09">
        <w:fldChar w:fldCharType="separate"/>
      </w:r>
      <w:r w:rsidR="002E6949">
        <w:rPr>
          <w:noProof/>
        </w:rPr>
        <w:t>1</w:t>
      </w:r>
      <w:r w:rsidR="00F00EF5" w:rsidRPr="007D6E09">
        <w:rPr>
          <w:noProof/>
        </w:rPr>
        <w:fldChar w:fldCharType="end"/>
      </w:r>
      <w:bookmarkEnd w:id="26"/>
      <w:bookmarkEnd w:id="27"/>
      <w:r w:rsidRPr="00EB2092">
        <w:t xml:space="preserve">: </w:t>
      </w:r>
      <w:r w:rsidR="00A25C9B" w:rsidRPr="00EB2092">
        <w:t>Total</w:t>
      </w:r>
      <w:r w:rsidR="00872718">
        <w:t xml:space="preserve"> receipts</w:t>
      </w:r>
      <w:r w:rsidR="00A25C9B" w:rsidRPr="00EB2092">
        <w:t xml:space="preserve"> and tax r</w:t>
      </w:r>
      <w:r w:rsidRPr="00EB2092">
        <w:t>eceipts</w:t>
      </w:r>
      <w:r w:rsidR="00A25C9B" w:rsidRPr="00EB2092">
        <w:t>, 2002</w:t>
      </w:r>
      <w:r w:rsidR="00487A21">
        <w:t>-</w:t>
      </w:r>
      <w:r w:rsidR="00A25C9B" w:rsidRPr="00EB2092">
        <w:t>03 to 2030</w:t>
      </w:r>
      <w:r w:rsidR="00487A21">
        <w:t>-</w:t>
      </w:r>
      <w:r w:rsidR="00A25C9B" w:rsidRPr="00EB2092">
        <w:t>31</w:t>
      </w:r>
    </w:p>
    <w:p w14:paraId="6FD343EA" w14:textId="6F9E1BB9" w:rsidR="00C55A66" w:rsidRPr="00EB2092" w:rsidRDefault="00AD5B82" w:rsidP="00C55A66">
      <w:pPr>
        <w:pStyle w:val="CaptionDescriptor"/>
      </w:pPr>
      <w:r w:rsidRPr="007D6E09">
        <w:rPr>
          <w:noProof/>
          <w:lang w:eastAsia="en-AU"/>
        </w:rPr>
        <w:drawing>
          <wp:inline distT="0" distB="0" distL="0" distR="0" wp14:anchorId="0380B30E" wp14:editId="503E393C">
            <wp:extent cx="4871085" cy="2889885"/>
            <wp:effectExtent l="0" t="0" r="5715"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71085" cy="2889885"/>
                    </a:xfrm>
                    <a:prstGeom prst="rect">
                      <a:avLst/>
                    </a:prstGeom>
                    <a:noFill/>
                  </pic:spPr>
                </pic:pic>
              </a:graphicData>
            </a:graphic>
          </wp:inline>
        </w:drawing>
      </w:r>
    </w:p>
    <w:p w14:paraId="052A2139" w14:textId="773A455D" w:rsidR="00284A3A" w:rsidRPr="00EB2092" w:rsidRDefault="00284A3A" w:rsidP="00284A3A">
      <w:pPr>
        <w:pStyle w:val="SourceIndent"/>
        <w:tabs>
          <w:tab w:val="clear" w:pos="624"/>
        </w:tabs>
        <w:spacing w:after="0"/>
        <w:ind w:left="1134" w:right="992"/>
      </w:pPr>
      <w:r w:rsidRPr="00EB2092">
        <w:t xml:space="preserve">Notes: </w:t>
      </w:r>
      <w:proofErr w:type="gramStart"/>
      <w:r w:rsidRPr="00EB2092">
        <w:t>Total receipts includes</w:t>
      </w:r>
      <w:proofErr w:type="gramEnd"/>
      <w:r w:rsidRPr="00EB2092">
        <w:t xml:space="preserve"> tax and non-tax receipts.  Non-tax receipts include interest and dividend earnings (including Future Fund earnings), NDIS contributions from the states and territories, royalties and the sale of non-financial assets.</w:t>
      </w:r>
      <w:r w:rsidR="00AD5B82" w:rsidRPr="00EB2092">
        <w:t xml:space="preserve">  The dashed horizontal line shows the 2018</w:t>
      </w:r>
      <w:r w:rsidR="00487A21">
        <w:rPr>
          <w:lang w:eastAsia="en-AU"/>
        </w:rPr>
        <w:t>-</w:t>
      </w:r>
      <w:r w:rsidR="00AD5B82" w:rsidRPr="00EB2092">
        <w:t>19 level for comparison.</w:t>
      </w:r>
    </w:p>
    <w:p w14:paraId="16E164EB" w14:textId="10270438" w:rsidR="00E63D75" w:rsidRPr="00EB2092" w:rsidRDefault="00CE04FE" w:rsidP="00284A3A">
      <w:pPr>
        <w:pStyle w:val="SourceIndent"/>
        <w:tabs>
          <w:tab w:val="clear" w:pos="624"/>
        </w:tabs>
        <w:spacing w:after="0"/>
        <w:ind w:left="1134" w:right="992"/>
      </w:pPr>
      <w:r w:rsidRPr="00EB2092">
        <w:t>Source: 2020</w:t>
      </w:r>
      <w:r w:rsidR="00487A21">
        <w:rPr>
          <w:lang w:eastAsia="en-AU"/>
        </w:rPr>
        <w:t>-</w:t>
      </w:r>
      <w:r w:rsidRPr="00EB2092">
        <w:t>21</w:t>
      </w:r>
      <w:r w:rsidR="00E63D75" w:rsidRPr="00EB2092">
        <w:t xml:space="preserve"> Budget and PBO analysis.</w:t>
      </w:r>
    </w:p>
    <w:p w14:paraId="3D42EB59" w14:textId="2A2E88DE" w:rsidR="00144FB0" w:rsidRPr="00715564" w:rsidRDefault="00144FB0" w:rsidP="00144FB0">
      <w:pPr>
        <w:pStyle w:val="BodyText"/>
        <w:rPr>
          <w:lang w:eastAsia="en-AU"/>
        </w:rPr>
      </w:pPr>
      <w:r w:rsidRPr="00EB2092">
        <w:rPr>
          <w:lang w:eastAsia="en-AU"/>
        </w:rPr>
        <w:t>In dollar terms, total receipts are projected to increase by around 59 per cent between 2018</w:t>
      </w:r>
      <w:r w:rsidR="00487A21">
        <w:t>-</w:t>
      </w:r>
      <w:r w:rsidRPr="00EB2092">
        <w:rPr>
          <w:lang w:eastAsia="en-AU"/>
        </w:rPr>
        <w:t>19 and 2030</w:t>
      </w:r>
      <w:r w:rsidR="00487A21">
        <w:t>-</w:t>
      </w:r>
      <w:r w:rsidRPr="00EB2092">
        <w:rPr>
          <w:lang w:eastAsia="en-AU"/>
        </w:rPr>
        <w:t xml:space="preserve">31.  However, nominal GDP is projected to grow by 62 per cent over the same timeframe, meaning that </w:t>
      </w:r>
      <w:r w:rsidR="002864DC" w:rsidRPr="00EB2092">
        <w:t xml:space="preserve">total receipts as a proportion of the overall size of the economy </w:t>
      </w:r>
      <w:r w:rsidR="006669E9" w:rsidRPr="00EB2092">
        <w:t>are</w:t>
      </w:r>
      <w:r w:rsidR="002864DC" w:rsidRPr="00EB2092">
        <w:t xml:space="preserve"> projected to</w:t>
      </w:r>
      <w:r w:rsidR="004F1B4E">
        <w:t xml:space="preserve"> </w:t>
      </w:r>
      <w:r w:rsidR="004F1B4E">
        <w:br/>
      </w:r>
      <w:r w:rsidR="00715564">
        <w:t>be lower</w:t>
      </w:r>
      <w:r w:rsidR="002864DC" w:rsidRPr="00715564">
        <w:t>.</w:t>
      </w:r>
    </w:p>
    <w:p w14:paraId="37D487CA" w14:textId="11194909" w:rsidR="00C8785B" w:rsidRPr="00E439C2" w:rsidRDefault="00C8785B" w:rsidP="00C8785B">
      <w:pPr>
        <w:pStyle w:val="BodyText"/>
        <w:rPr>
          <w:lang w:eastAsia="en-AU"/>
        </w:rPr>
      </w:pPr>
      <w:r w:rsidRPr="006F7EB9">
        <w:rPr>
          <w:lang w:eastAsia="en-AU"/>
        </w:rPr>
        <w:lastRenderedPageBreak/>
        <w:t xml:space="preserve">Projections for personal income tax, company tax and other receipts as a share of GDP are shown </w:t>
      </w:r>
      <w:r w:rsidR="00F876AF">
        <w:rPr>
          <w:lang w:eastAsia="en-AU"/>
        </w:rPr>
        <w:br/>
      </w:r>
      <w:r w:rsidRPr="006F7EB9">
        <w:rPr>
          <w:lang w:eastAsia="en-AU"/>
        </w:rPr>
        <w:t>in Figure 2</w:t>
      </w:r>
      <w:r w:rsidRPr="0050447F">
        <w:t>–</w:t>
      </w:r>
      <w:r w:rsidRPr="00A42D18">
        <w:rPr>
          <w:lang w:eastAsia="en-AU"/>
        </w:rPr>
        <w:t xml:space="preserve">2.  </w:t>
      </w:r>
      <w:r w:rsidR="00144FB0" w:rsidRPr="009A1A17">
        <w:rPr>
          <w:lang w:eastAsia="en-AU"/>
        </w:rPr>
        <w:t>While personal income tax receipts are projected to be</w:t>
      </w:r>
      <w:r w:rsidR="00144FB0" w:rsidRPr="00372C38">
        <w:rPr>
          <w:lang w:eastAsia="en-AU"/>
        </w:rPr>
        <w:t xml:space="preserve"> higher in 2030</w:t>
      </w:r>
      <w:r w:rsidR="00487A21">
        <w:t>-</w:t>
      </w:r>
      <w:r w:rsidR="00144FB0" w:rsidRPr="00EB2092">
        <w:rPr>
          <w:lang w:eastAsia="en-AU"/>
        </w:rPr>
        <w:t>31 than in 201</w:t>
      </w:r>
      <w:r w:rsidR="00487A21">
        <w:rPr>
          <w:lang w:eastAsia="en-AU"/>
        </w:rPr>
        <w:t>8</w:t>
      </w:r>
      <w:r w:rsidR="00487A21">
        <w:rPr>
          <w:lang w:eastAsia="en-AU"/>
        </w:rPr>
        <w:noBreakHyphen/>
      </w:r>
      <w:r w:rsidR="00144FB0" w:rsidRPr="00EB2092">
        <w:rPr>
          <w:lang w:eastAsia="en-AU"/>
        </w:rPr>
        <w:t>19 as a per cent of GDP, company tax receipts and the combination of all other receipts are projected to be lower.</w:t>
      </w:r>
      <w:r w:rsidRPr="00E439C2">
        <w:rPr>
          <w:rStyle w:val="FootnoteReference"/>
        </w:rPr>
        <w:footnoteReference w:id="11"/>
      </w:r>
      <w:r w:rsidRPr="00E439C2">
        <w:rPr>
          <w:lang w:eastAsia="en-AU"/>
        </w:rPr>
        <w:t xml:space="preserve">  </w:t>
      </w:r>
      <w:r w:rsidR="00524711" w:rsidRPr="001407CE">
        <w:t xml:space="preserve">While governments have a high degree of control over their revenue, </w:t>
      </w:r>
      <w:r w:rsidR="00524711" w:rsidRPr="004F15DC">
        <w:t xml:space="preserve">ongoing </w:t>
      </w:r>
      <w:r w:rsidR="00524711" w:rsidRPr="00FF6563">
        <w:t xml:space="preserve">downward trends in indirect tax receipts as a share of GDP mean that income taxes, particularly from individuals, will provide a larger share of government income, under current </w:t>
      </w:r>
      <w:r w:rsidR="004F1B4E">
        <w:br/>
      </w:r>
      <w:r w:rsidR="00524711" w:rsidRPr="00FF6563">
        <w:t>policy settings.</w:t>
      </w:r>
    </w:p>
    <w:p w14:paraId="464E31D3" w14:textId="670504C9" w:rsidR="00144FB0" w:rsidRPr="00C96029" w:rsidRDefault="00144FB0" w:rsidP="00C8785B">
      <w:pPr>
        <w:pStyle w:val="BodyText"/>
      </w:pPr>
      <w:r w:rsidRPr="001D1C6B">
        <w:t>As part of its fiscal strategy, the Government has a commitment to maintaining the ratio of tax receipts to GDP at or below 23.9 per cent of GDP.  The Government’s tax-to-GDP cap of 23.9 per cent of GDP is not expected to be a cons</w:t>
      </w:r>
      <w:r w:rsidRPr="00C96029">
        <w:t>traint over the medium term.</w:t>
      </w:r>
      <w:r w:rsidR="00FB7AFA">
        <w:rPr>
          <w:rStyle w:val="FootnoteReference"/>
        </w:rPr>
        <w:footnoteReference w:id="12"/>
      </w:r>
      <w:r w:rsidRPr="00C96029">
        <w:t xml:space="preserve">  </w:t>
      </w:r>
    </w:p>
    <w:p w14:paraId="2BA915A0" w14:textId="701327D9" w:rsidR="00C55A66" w:rsidRPr="00EB2092" w:rsidRDefault="00C55A66" w:rsidP="00044B24">
      <w:pPr>
        <w:pStyle w:val="Caption"/>
        <w:spacing w:before="240"/>
      </w:pPr>
      <w:r w:rsidRPr="006F7EB9">
        <w:t>Figure 2–</w:t>
      </w:r>
      <w:r w:rsidR="00F00EF5" w:rsidRPr="00A42D18">
        <w:fldChar w:fldCharType="begin"/>
      </w:r>
      <w:r w:rsidR="00F00EF5" w:rsidRPr="00EB2092">
        <w:instrText xml:space="preserve"> SEQ Figure \* ARABIC \s 1 </w:instrText>
      </w:r>
      <w:r w:rsidR="00F00EF5" w:rsidRPr="00A42D18">
        <w:fldChar w:fldCharType="separate"/>
      </w:r>
      <w:r w:rsidR="002E6949">
        <w:rPr>
          <w:noProof/>
        </w:rPr>
        <w:t>2</w:t>
      </w:r>
      <w:r w:rsidR="00F00EF5" w:rsidRPr="00A42D18">
        <w:rPr>
          <w:noProof/>
        </w:rPr>
        <w:fldChar w:fldCharType="end"/>
      </w:r>
      <w:r w:rsidRPr="009A1A17">
        <w:t xml:space="preserve">: </w:t>
      </w:r>
      <w:r w:rsidR="005C1C1B" w:rsidRPr="00372C38">
        <w:t>Breakdown of receipts</w:t>
      </w:r>
      <w:r w:rsidR="00A25C9B" w:rsidRPr="00F852A4">
        <w:t>, 2002-03 to 2030-31</w:t>
      </w:r>
    </w:p>
    <w:p w14:paraId="10AF68C1" w14:textId="163667E3" w:rsidR="00DC38A8" w:rsidRPr="00EB2092" w:rsidRDefault="00C523F6" w:rsidP="00DC38A8">
      <w:pPr>
        <w:pStyle w:val="CaptionDescriptor"/>
      </w:pPr>
      <w:r w:rsidRPr="007D6E09">
        <w:rPr>
          <w:noProof/>
          <w:lang w:eastAsia="en-AU"/>
        </w:rPr>
        <w:drawing>
          <wp:inline distT="0" distB="0" distL="0" distR="0" wp14:anchorId="109F8F1A" wp14:editId="7EB980C4">
            <wp:extent cx="4877435" cy="28289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7435" cy="2828925"/>
                    </a:xfrm>
                    <a:prstGeom prst="rect">
                      <a:avLst/>
                    </a:prstGeom>
                    <a:noFill/>
                  </pic:spPr>
                </pic:pic>
              </a:graphicData>
            </a:graphic>
          </wp:inline>
        </w:drawing>
      </w:r>
    </w:p>
    <w:p w14:paraId="34526E7C" w14:textId="29EC9476" w:rsidR="00E63D75" w:rsidRPr="00EB2092" w:rsidRDefault="00E63D75" w:rsidP="00E63D75">
      <w:pPr>
        <w:pStyle w:val="Sourcenospacing"/>
        <w:tabs>
          <w:tab w:val="clear" w:pos="624"/>
        </w:tabs>
        <w:spacing w:before="120" w:after="240"/>
        <w:ind w:left="1134"/>
      </w:pPr>
      <w:r w:rsidRPr="00EB2092">
        <w:t xml:space="preserve">Note: The breakdown shows the two largest heads of revenue, with all other receipts grouped </w:t>
      </w:r>
      <w:r w:rsidRPr="00EB2092">
        <w:br/>
        <w:t xml:space="preserve">together as ‘other receipts’.  </w:t>
      </w:r>
      <w:r w:rsidR="00182D7C" w:rsidRPr="00EB2092">
        <w:t>The dashed horizontal lines show the 2018-19 levels for comparison.</w:t>
      </w:r>
      <w:r w:rsidRPr="00EB2092">
        <w:br/>
      </w:r>
      <w:r w:rsidR="00CE04FE" w:rsidRPr="00EB2092">
        <w:t>Source: 2020</w:t>
      </w:r>
      <w:r w:rsidR="00487A21">
        <w:rPr>
          <w:rFonts w:cs="Times New Roman (Body CS)"/>
          <w:spacing w:val="-4"/>
        </w:rPr>
        <w:t>-</w:t>
      </w:r>
      <w:r w:rsidR="00CE04FE" w:rsidRPr="00EB2092">
        <w:t>21</w:t>
      </w:r>
      <w:r w:rsidRPr="00EB2092">
        <w:t xml:space="preserve"> Budget and PBO analysis.</w:t>
      </w:r>
    </w:p>
    <w:p w14:paraId="596551A1" w14:textId="77777777" w:rsidR="003705FC" w:rsidRPr="00EB2092" w:rsidRDefault="003705FC" w:rsidP="00044B24">
      <w:pPr>
        <w:pStyle w:val="Heading2"/>
        <w:ind w:left="765"/>
      </w:pPr>
      <w:bookmarkStart w:id="28" w:name="_Toc523757309"/>
      <w:bookmarkStart w:id="29" w:name="_Toc58271428"/>
      <w:bookmarkStart w:id="30" w:name="_Toc19801230"/>
      <w:r w:rsidRPr="00EB2092">
        <w:t xml:space="preserve">Personal income </w:t>
      </w:r>
      <w:bookmarkEnd w:id="28"/>
      <w:r w:rsidRPr="00EB2092">
        <w:t>tax</w:t>
      </w:r>
      <w:bookmarkEnd w:id="29"/>
      <w:r w:rsidRPr="00EB2092">
        <w:t xml:space="preserve"> </w:t>
      </w:r>
      <w:bookmarkEnd w:id="30"/>
    </w:p>
    <w:p w14:paraId="1EF96B60" w14:textId="1183FFA4" w:rsidR="003705FC" w:rsidRPr="006F7EB9" w:rsidRDefault="00FA02D1" w:rsidP="004A0A0A">
      <w:pPr>
        <w:pStyle w:val="BodyText"/>
      </w:pPr>
      <w:r>
        <w:t xml:space="preserve">Following the temporary impact of COVID-19, </w:t>
      </w:r>
      <w:r w:rsidR="003435F9">
        <w:t xml:space="preserve">and the government’s tax cuts, </w:t>
      </w:r>
      <w:r>
        <w:t>p</w:t>
      </w:r>
      <w:r w:rsidR="003705FC" w:rsidRPr="006F7EB9">
        <w:t xml:space="preserve">ersonal income tax receipts are projected to </w:t>
      </w:r>
      <w:r w:rsidR="00DF5E56" w:rsidRPr="0050447F">
        <w:t xml:space="preserve">increase </w:t>
      </w:r>
      <w:r w:rsidR="00A1798C" w:rsidRPr="00372C38">
        <w:t xml:space="preserve">over the medium term, </w:t>
      </w:r>
      <w:r w:rsidR="00DE4B06" w:rsidRPr="00EB2092">
        <w:t>to 11.8 per cent of GDP in 2030</w:t>
      </w:r>
      <w:r w:rsidR="00487A21">
        <w:t>-</w:t>
      </w:r>
      <w:r w:rsidR="00DE4B06" w:rsidRPr="00EB2092">
        <w:t>31</w:t>
      </w:r>
      <w:r>
        <w:t>, 0.3</w:t>
      </w:r>
      <w:r w:rsidR="0006382F">
        <w:t> </w:t>
      </w:r>
      <w:r>
        <w:t>percentage points higher than in 2018</w:t>
      </w:r>
      <w:r w:rsidR="00487A21">
        <w:t>-</w:t>
      </w:r>
      <w:r>
        <w:t>19</w:t>
      </w:r>
      <w:r w:rsidR="00DE4B06" w:rsidRPr="006F7EB9">
        <w:t>.</w:t>
      </w:r>
      <w:r w:rsidR="003705FC" w:rsidRPr="006F7EB9">
        <w:t xml:space="preserve"> </w:t>
      </w:r>
    </w:p>
    <w:p w14:paraId="61990C34" w14:textId="12139F4F" w:rsidR="007735EF" w:rsidRPr="006F7EB9" w:rsidRDefault="007735EF" w:rsidP="004A0A0A">
      <w:pPr>
        <w:pStyle w:val="BodyText"/>
      </w:pPr>
      <w:r w:rsidRPr="0050447F">
        <w:t>Personal income tax receipts are the biggest component of taxation</w:t>
      </w:r>
      <w:r w:rsidR="004713B0" w:rsidRPr="00A42D18">
        <w:t xml:space="preserve"> for the Commonwealth Government</w:t>
      </w:r>
      <w:r w:rsidR="00BA36E4" w:rsidRPr="009A1A17">
        <w:t xml:space="preserve">.  </w:t>
      </w:r>
      <w:r w:rsidR="0068080C" w:rsidRPr="00372C38">
        <w:t>Over the period to 2024</w:t>
      </w:r>
      <w:r w:rsidR="00487A21">
        <w:t>-</w:t>
      </w:r>
      <w:r w:rsidR="0068080C" w:rsidRPr="006F7EB9">
        <w:t xml:space="preserve">25, personal income tax receipts will </w:t>
      </w:r>
      <w:r w:rsidR="00FA02D1">
        <w:t>adjust</w:t>
      </w:r>
      <w:r w:rsidR="0068080C" w:rsidRPr="006F7EB9">
        <w:t xml:space="preserve"> a</w:t>
      </w:r>
      <w:r w:rsidR="00BA36E4" w:rsidRPr="006F7EB9">
        <w:t xml:space="preserve">s the </w:t>
      </w:r>
      <w:r w:rsidR="0054349B" w:rsidRPr="0050447F">
        <w:t>g</w:t>
      </w:r>
      <w:r w:rsidR="00BA36E4" w:rsidRPr="00A42D18">
        <w:t>overnment</w:t>
      </w:r>
      <w:r w:rsidR="0068080C" w:rsidRPr="009A1A17">
        <w:t xml:space="preserve"> implements the later stages of its</w:t>
      </w:r>
      <w:r w:rsidR="00BA36E4" w:rsidRPr="00372C38">
        <w:t xml:space="preserve"> </w:t>
      </w:r>
      <w:r w:rsidR="0068080C" w:rsidRPr="00F852A4">
        <w:t>P</w:t>
      </w:r>
      <w:r w:rsidR="00BA36E4" w:rsidRPr="00EB2092">
        <w:t xml:space="preserve">ersonal </w:t>
      </w:r>
      <w:r w:rsidR="0068080C" w:rsidRPr="00EB2092">
        <w:t>I</w:t>
      </w:r>
      <w:r w:rsidR="00BA36E4" w:rsidRPr="00EB2092">
        <w:t xml:space="preserve">ncome </w:t>
      </w:r>
      <w:r w:rsidR="0068080C" w:rsidRPr="00EB2092">
        <w:t>T</w:t>
      </w:r>
      <w:r w:rsidR="00BA36E4" w:rsidRPr="00EB2092">
        <w:t xml:space="preserve">ax </w:t>
      </w:r>
      <w:r w:rsidR="0068080C" w:rsidRPr="00EB2092">
        <w:t xml:space="preserve">Plan.  Beyond this, personal income tax receipts are projected to trend upwards as bracket creep leads to increasing average </w:t>
      </w:r>
      <w:r w:rsidR="00F876AF">
        <w:br/>
      </w:r>
      <w:r w:rsidR="0068080C" w:rsidRPr="00EB2092">
        <w:t>tax rates</w:t>
      </w:r>
      <w:r w:rsidR="00FA02D1">
        <w:t>, but would have risen higher if not for the pandemic</w:t>
      </w:r>
      <w:r w:rsidRPr="006F7EB9">
        <w:t xml:space="preserve">.  </w:t>
      </w:r>
    </w:p>
    <w:p w14:paraId="56B5D6CB" w14:textId="77777777" w:rsidR="004F1B4E" w:rsidRDefault="004F1B4E">
      <w:pPr>
        <w:rPr>
          <w:rFonts w:cs="Times New Roman"/>
        </w:rPr>
      </w:pPr>
      <w:r>
        <w:br w:type="page"/>
      </w:r>
    </w:p>
    <w:p w14:paraId="161ACB31" w14:textId="422313A7" w:rsidR="00DE4B06" w:rsidRPr="00EB2092" w:rsidRDefault="00DE4B06" w:rsidP="004A0A0A">
      <w:pPr>
        <w:pStyle w:val="BodyText"/>
      </w:pPr>
      <w:r w:rsidRPr="0050447F">
        <w:lastRenderedPageBreak/>
        <w:t>Personal income tax receipts have been revised downward by $147 billion over the four years to 2023</w:t>
      </w:r>
      <w:r w:rsidR="00487A21">
        <w:t>-</w:t>
      </w:r>
      <w:r w:rsidRPr="0050447F">
        <w:t xml:space="preserve">24 compared to the previous report.  This downward revision is mainly due to the weaker wage growth and employment as a result of the </w:t>
      </w:r>
      <w:r w:rsidR="0054349B" w:rsidRPr="00A42D18">
        <w:t>COVID-19</w:t>
      </w:r>
      <w:r w:rsidRPr="009A1A17">
        <w:t xml:space="preserve"> pandemic.  The bring</w:t>
      </w:r>
      <w:r w:rsidRPr="009A1A17">
        <w:noBreakHyphen/>
        <w:t xml:space="preserve">forward of Stage 2 of the </w:t>
      </w:r>
      <w:r w:rsidR="00CF4667" w:rsidRPr="00372C38">
        <w:t>g</w:t>
      </w:r>
      <w:r w:rsidR="00DE6194" w:rsidRPr="00F852A4">
        <w:t xml:space="preserve">overnment’s </w:t>
      </w:r>
      <w:r w:rsidR="00DE6194" w:rsidRPr="00EB2092">
        <w:rPr>
          <w:i/>
        </w:rPr>
        <w:t>P</w:t>
      </w:r>
      <w:r w:rsidRPr="00EB2092">
        <w:rPr>
          <w:i/>
        </w:rPr>
        <w:t xml:space="preserve">ersonal </w:t>
      </w:r>
      <w:r w:rsidR="00DE6194" w:rsidRPr="00EB2092">
        <w:rPr>
          <w:i/>
        </w:rPr>
        <w:t>I</w:t>
      </w:r>
      <w:r w:rsidRPr="00EB2092">
        <w:rPr>
          <w:i/>
        </w:rPr>
        <w:t xml:space="preserve">ncome </w:t>
      </w:r>
      <w:r w:rsidR="00DE6194" w:rsidRPr="00EB2092">
        <w:rPr>
          <w:i/>
        </w:rPr>
        <w:t>T</w:t>
      </w:r>
      <w:r w:rsidRPr="00EB2092">
        <w:rPr>
          <w:i/>
        </w:rPr>
        <w:t xml:space="preserve">ax </w:t>
      </w:r>
      <w:r w:rsidR="00DE6194" w:rsidRPr="00EB2092">
        <w:rPr>
          <w:i/>
        </w:rPr>
        <w:t>Plan</w:t>
      </w:r>
      <w:r w:rsidR="00DE6194" w:rsidRPr="00EB2092">
        <w:t xml:space="preserve"> </w:t>
      </w:r>
      <w:r w:rsidRPr="00EB2092">
        <w:t xml:space="preserve">also contributes to the revision.  </w:t>
      </w:r>
    </w:p>
    <w:p w14:paraId="56589F44" w14:textId="27696E38" w:rsidR="006D6F95" w:rsidRPr="006F7EB9" w:rsidRDefault="006D6F95" w:rsidP="004A0A0A">
      <w:pPr>
        <w:pStyle w:val="BodyText"/>
      </w:pPr>
      <w:r w:rsidRPr="00EB2092">
        <w:t>A longer history of personal income tax receipts and a comparison of this year’s and last year’s projections are shown in Figure 2</w:t>
      </w:r>
      <w:r w:rsidR="00FA02D1" w:rsidRPr="00A75052">
        <w:t>–</w:t>
      </w:r>
      <w:r w:rsidRPr="006F7EB9">
        <w:t xml:space="preserve">3.  </w:t>
      </w:r>
    </w:p>
    <w:p w14:paraId="4E970D25" w14:textId="5FB89592" w:rsidR="00F305CD" w:rsidRPr="00EB2092" w:rsidRDefault="004A0A0A" w:rsidP="00044B24">
      <w:pPr>
        <w:pStyle w:val="Caption"/>
        <w:spacing w:before="240"/>
      </w:pPr>
      <w:r w:rsidRPr="0050447F">
        <w:t xml:space="preserve">Figure </w:t>
      </w:r>
      <w:r w:rsidR="00F305CD" w:rsidRPr="00A42D18">
        <w:t>2–</w:t>
      </w:r>
      <w:r w:rsidR="00DE4B06" w:rsidRPr="009A1A17">
        <w:t>3</w:t>
      </w:r>
      <w:r w:rsidR="00A25C9B" w:rsidRPr="00372C38">
        <w:t>: Personal income tax, 1982-83 to 2030-31</w:t>
      </w:r>
      <w:r w:rsidR="00FB2216" w:rsidRPr="0006382F">
        <w:rPr>
          <w:rStyle w:val="FootnoteReference"/>
          <w:color w:val="3D4D7D" w:themeColor="background2"/>
        </w:rPr>
        <w:footnoteReference w:id="13"/>
      </w:r>
    </w:p>
    <w:p w14:paraId="13E0197D" w14:textId="3BFA9213" w:rsidR="00F0613E" w:rsidRPr="00EB2092" w:rsidRDefault="00C523F6" w:rsidP="00E12696">
      <w:pPr>
        <w:pStyle w:val="CaptionDescriptor"/>
      </w:pPr>
      <w:r w:rsidRPr="007D6E09">
        <w:rPr>
          <w:noProof/>
          <w:lang w:eastAsia="en-AU"/>
        </w:rPr>
        <w:drawing>
          <wp:inline distT="0" distB="0" distL="0" distR="0" wp14:anchorId="7953DA46" wp14:editId="22C8DCD6">
            <wp:extent cx="4852670" cy="2938780"/>
            <wp:effectExtent l="0" t="0" r="508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52670" cy="2938780"/>
                    </a:xfrm>
                    <a:prstGeom prst="rect">
                      <a:avLst/>
                    </a:prstGeom>
                    <a:noFill/>
                  </pic:spPr>
                </pic:pic>
              </a:graphicData>
            </a:graphic>
          </wp:inline>
        </w:drawing>
      </w:r>
    </w:p>
    <w:p w14:paraId="54566E3A" w14:textId="60E9DB87" w:rsidR="009F3C9E" w:rsidRDefault="009F3C9E" w:rsidP="00F305CD">
      <w:pPr>
        <w:pStyle w:val="Sourcenospacing"/>
        <w:tabs>
          <w:tab w:val="clear" w:pos="624"/>
        </w:tabs>
        <w:spacing w:before="120" w:after="240"/>
        <w:ind w:left="1134"/>
        <w:contextualSpacing/>
      </w:pPr>
      <w:r w:rsidRPr="00EB2092">
        <w:t xml:space="preserve">Note: </w:t>
      </w:r>
      <w:r w:rsidRPr="009F3C9E">
        <w:t>'Previous' refers to projections published in last year's report.</w:t>
      </w:r>
    </w:p>
    <w:p w14:paraId="55450267" w14:textId="12CF9BA9" w:rsidR="00F305CD" w:rsidRPr="00EB2092" w:rsidRDefault="00F305CD" w:rsidP="00F305CD">
      <w:pPr>
        <w:pStyle w:val="Sourcenospacing"/>
        <w:tabs>
          <w:tab w:val="clear" w:pos="624"/>
        </w:tabs>
        <w:spacing w:before="120" w:after="240"/>
        <w:ind w:left="1134"/>
        <w:contextualSpacing/>
      </w:pPr>
      <w:r w:rsidRPr="00EB2092">
        <w:t>Source: 2020</w:t>
      </w:r>
      <w:r w:rsidR="00487A21">
        <w:rPr>
          <w:rFonts w:cs="Times New Roman (Body CS)"/>
          <w:spacing w:val="-4"/>
        </w:rPr>
        <w:t>-</w:t>
      </w:r>
      <w:r w:rsidRPr="00EB2092">
        <w:t>21 Budget and PBO analysis.</w:t>
      </w:r>
    </w:p>
    <w:p w14:paraId="30E55009" w14:textId="4FFED5F3" w:rsidR="006F7EB9" w:rsidRDefault="006D6F95" w:rsidP="006D6F95">
      <w:pPr>
        <w:pStyle w:val="BodyText"/>
      </w:pPr>
      <w:r w:rsidRPr="00EB2092">
        <w:t xml:space="preserve">Following the deep recession of the early 1990s and the global financial crisis of 2007-2010, personal income tax increased rapidly as a share of GDP partly from </w:t>
      </w:r>
      <w:r w:rsidR="00C4506B" w:rsidRPr="00EB2092">
        <w:t>‘</w:t>
      </w:r>
      <w:r w:rsidRPr="00EB2092">
        <w:t>bracket creep</w:t>
      </w:r>
      <w:r w:rsidR="00C4506B" w:rsidRPr="00EB2092">
        <w:t>’</w:t>
      </w:r>
      <w:r w:rsidRPr="00EB2092">
        <w:t xml:space="preserve">, a key component of the </w:t>
      </w:r>
      <w:r w:rsidR="0006382F">
        <w:t>longer</w:t>
      </w:r>
      <w:r w:rsidR="0006382F">
        <w:noBreakHyphen/>
        <w:t xml:space="preserve">term </w:t>
      </w:r>
      <w:r w:rsidRPr="00EB2092">
        <w:t xml:space="preserve">improvement in the fiscal position. </w:t>
      </w:r>
    </w:p>
    <w:p w14:paraId="61CBC453" w14:textId="43AE78D8" w:rsidR="006F7EB9" w:rsidRDefault="007072BC" w:rsidP="006D6F95">
      <w:pPr>
        <w:pStyle w:val="BodyText"/>
      </w:pPr>
      <w:r w:rsidRPr="006F7EB9">
        <w:t xml:space="preserve">As the </w:t>
      </w:r>
      <w:r w:rsidR="00C4506B" w:rsidRPr="006F7EB9">
        <w:t xml:space="preserve">personal income tax system is progressive and the thresholds are static, </w:t>
      </w:r>
      <w:r w:rsidR="006F7EB9">
        <w:t>when</w:t>
      </w:r>
      <w:r w:rsidR="006F7EB9" w:rsidRPr="006F7EB9">
        <w:t xml:space="preserve"> </w:t>
      </w:r>
      <w:r w:rsidR="00C4506B" w:rsidRPr="006F7EB9">
        <w:t xml:space="preserve">incomes rise compared to the thresholds, the average personal income tax rate </w:t>
      </w:r>
      <w:r w:rsidR="006F7EB9">
        <w:t xml:space="preserve">paid by </w:t>
      </w:r>
      <w:proofErr w:type="gramStart"/>
      <w:r w:rsidR="00C4506B" w:rsidRPr="006F7EB9">
        <w:t>individuals</w:t>
      </w:r>
      <w:proofErr w:type="gramEnd"/>
      <w:r w:rsidR="00C4506B" w:rsidRPr="006F7EB9">
        <w:t xml:space="preserve"> increases</w:t>
      </w:r>
      <w:r w:rsidR="006F7EB9">
        <w:t xml:space="preserve">.  </w:t>
      </w:r>
      <w:r w:rsidR="00F876AF">
        <w:br/>
      </w:r>
      <w:r w:rsidR="006F7EB9">
        <w:t>T</w:t>
      </w:r>
      <w:r w:rsidR="00C4506B" w:rsidRPr="006F7EB9">
        <w:t xml:space="preserve">his is </w:t>
      </w:r>
      <w:r w:rsidR="006F7EB9">
        <w:t xml:space="preserve">known as </w:t>
      </w:r>
      <w:r w:rsidR="00C4506B" w:rsidRPr="006F7EB9">
        <w:t xml:space="preserve">bracket creep. </w:t>
      </w:r>
    </w:p>
    <w:p w14:paraId="2CA67FE2" w14:textId="76B1A6E2" w:rsidR="006F7EB9" w:rsidRDefault="00C4506B" w:rsidP="006D6F95">
      <w:pPr>
        <w:pStyle w:val="BodyText"/>
      </w:pPr>
      <w:r w:rsidRPr="006F7EB9">
        <w:t xml:space="preserve">If wage and price inflation is relatively low, </w:t>
      </w:r>
      <w:r w:rsidR="002269E9" w:rsidRPr="006F7EB9">
        <w:t xml:space="preserve">incomes do not increase as much compared to the thresholds, leading to less bracket creep and slower growth in personal income tax as a share of GDP.  </w:t>
      </w:r>
    </w:p>
    <w:p w14:paraId="214F7516" w14:textId="0FF2FDFD" w:rsidR="006F7EB9" w:rsidRDefault="002269E9" w:rsidP="006D6F95">
      <w:pPr>
        <w:pStyle w:val="BodyText"/>
      </w:pPr>
      <w:r w:rsidRPr="006F7EB9">
        <w:t xml:space="preserve">The budget’s economic projections </w:t>
      </w:r>
      <w:r w:rsidR="00803796" w:rsidRPr="006F7EB9">
        <w:t>inc</w:t>
      </w:r>
      <w:r w:rsidR="00836664" w:rsidRPr="006F7EB9">
        <w:t>l</w:t>
      </w:r>
      <w:r w:rsidR="00803796" w:rsidRPr="006F7EB9">
        <w:t xml:space="preserve">ude </w:t>
      </w:r>
      <w:r w:rsidRPr="006F7EB9">
        <w:t xml:space="preserve">lower wage and price inflation over the medium term </w:t>
      </w:r>
      <w:r w:rsidRPr="002E6949">
        <w:t xml:space="preserve">than was experienced following previous downturns, resulting in less bracket creep.  The result is that </w:t>
      </w:r>
      <w:r w:rsidRPr="00E44F73">
        <w:t>o</w:t>
      </w:r>
      <w:r w:rsidR="006D6F95" w:rsidRPr="004108E5">
        <w:t>ver the ten years to 2031, personal</w:t>
      </w:r>
      <w:r w:rsidR="006D6F95" w:rsidRPr="0050447F">
        <w:t xml:space="preserve"> income tax is projected to inc</w:t>
      </w:r>
      <w:r w:rsidR="006D6F95" w:rsidRPr="00A42D18">
        <w:t xml:space="preserve">rease relatively slowly as a share of GDP, even abstracting from the legislated tax cuts.  </w:t>
      </w:r>
    </w:p>
    <w:p w14:paraId="7CE2A1F1" w14:textId="3913A039" w:rsidR="006D6F95" w:rsidRPr="00A42D18" w:rsidRDefault="006D6F95" w:rsidP="006D6F95">
      <w:pPr>
        <w:pStyle w:val="BodyText"/>
      </w:pPr>
      <w:r w:rsidRPr="006F7EB9">
        <w:t>Bracket creep is illustrated in Figure 2</w:t>
      </w:r>
      <w:r w:rsidR="00487A21" w:rsidRPr="00A42D18">
        <w:t>–</w:t>
      </w:r>
      <w:r w:rsidRPr="006F7EB9">
        <w:t>3 by the grey arrows, with the projected impact</w:t>
      </w:r>
      <w:r w:rsidR="00E43DFD">
        <w:t xml:space="preserve"> of bracket creep in the medium </w:t>
      </w:r>
      <w:r w:rsidRPr="006F7EB9">
        <w:t>term less steep than for previous episodes.</w:t>
      </w:r>
      <w:r w:rsidRPr="0050447F" w:rsidDel="0069668A">
        <w:rPr>
          <w:rStyle w:val="CommentReference"/>
          <w:rFonts w:cstheme="minorBidi"/>
        </w:rPr>
        <w:t xml:space="preserve"> </w:t>
      </w:r>
    </w:p>
    <w:p w14:paraId="5B2998F1" w14:textId="2175F105" w:rsidR="0068080C" w:rsidRPr="006F7EB9" w:rsidRDefault="0068080C" w:rsidP="004A0A0A">
      <w:pPr>
        <w:pStyle w:val="BodyText"/>
      </w:pPr>
      <w:r w:rsidRPr="009A1A17">
        <w:t xml:space="preserve">The distributional effects of the income tax cuts are discussed in Box </w:t>
      </w:r>
      <w:r w:rsidR="006F7EB9">
        <w:t>3</w:t>
      </w:r>
      <w:r w:rsidRPr="006F7EB9">
        <w:t>.</w:t>
      </w:r>
    </w:p>
    <w:p w14:paraId="716C0197" w14:textId="77777777" w:rsidR="00377345" w:rsidRPr="0050447F" w:rsidRDefault="00377345" w:rsidP="00377345"/>
    <w:tbl>
      <w:tblPr>
        <w:tblStyle w:val="BoxPlaceholder"/>
        <w:tblW w:w="8789" w:type="dxa"/>
        <w:tblLayout w:type="fixed"/>
        <w:tblLook w:val="04A0" w:firstRow="1" w:lastRow="0" w:firstColumn="1" w:lastColumn="0" w:noHBand="0" w:noVBand="1"/>
      </w:tblPr>
      <w:tblGrid>
        <w:gridCol w:w="8789"/>
      </w:tblGrid>
      <w:tr w:rsidR="00377345" w:rsidRPr="00EB2092" w14:paraId="03E3CFA3" w14:textId="77777777" w:rsidTr="008C405C">
        <w:tc>
          <w:tcPr>
            <w:tcW w:w="8789" w:type="dxa"/>
          </w:tcPr>
          <w:p w14:paraId="782FBB48" w14:textId="44AC1E30" w:rsidR="00794249" w:rsidRPr="00F852A4" w:rsidRDefault="00794249" w:rsidP="00794249">
            <w:pPr>
              <w:pStyle w:val="Heading2NoNumbering"/>
              <w:spacing w:before="120"/>
            </w:pPr>
            <w:r w:rsidRPr="00A42D18">
              <w:lastRenderedPageBreak/>
              <w:t xml:space="preserve">Box </w:t>
            </w:r>
            <w:r w:rsidR="0022271A" w:rsidRPr="00372C38">
              <w:t>3</w:t>
            </w:r>
            <w:r w:rsidRPr="00F852A4">
              <w:t>: Distributional effects of personal income tax changes</w:t>
            </w:r>
          </w:p>
          <w:p w14:paraId="011CF6A4" w14:textId="40D93CE7" w:rsidR="00432D6A" w:rsidRPr="00A42D18" w:rsidRDefault="00432D6A" w:rsidP="00432D6A">
            <w:pPr>
              <w:pStyle w:val="BodyText"/>
              <w:rPr>
                <w:lang w:eastAsia="en-AU"/>
              </w:rPr>
            </w:pPr>
            <w:r w:rsidRPr="00EB2092">
              <w:rPr>
                <w:lang w:eastAsia="en-AU"/>
              </w:rPr>
              <w:t xml:space="preserve">As part of the </w:t>
            </w:r>
            <w:r w:rsidR="0006382F">
              <w:rPr>
                <w:lang w:eastAsia="en-AU"/>
              </w:rPr>
              <w:t xml:space="preserve">government’s </w:t>
            </w:r>
            <w:proofErr w:type="spellStart"/>
            <w:r w:rsidRPr="00EB2092">
              <w:rPr>
                <w:lang w:eastAsia="en-AU"/>
              </w:rPr>
              <w:t>JobMaker</w:t>
            </w:r>
            <w:proofErr w:type="spellEnd"/>
            <w:r w:rsidRPr="00EB2092">
              <w:rPr>
                <w:lang w:eastAsia="en-AU"/>
              </w:rPr>
              <w:t xml:space="preserve"> Plan, the 2020</w:t>
            </w:r>
            <w:r w:rsidRPr="00EB2092">
              <w:rPr>
                <w:lang w:eastAsia="en-AU"/>
              </w:rPr>
              <w:noBreakHyphen/>
              <w:t>21 Budget brought forward the second of three stages of substantial personal income tax changes announced in the 2018</w:t>
            </w:r>
            <w:r w:rsidR="00487A21">
              <w:rPr>
                <w:lang w:eastAsia="en-AU"/>
              </w:rPr>
              <w:t>-</w:t>
            </w:r>
            <w:r w:rsidRPr="00EB2092">
              <w:rPr>
                <w:lang w:eastAsia="en-AU"/>
              </w:rPr>
              <w:t>19 and 2019</w:t>
            </w:r>
            <w:r w:rsidRPr="00EB2092">
              <w:rPr>
                <w:lang w:eastAsia="en-AU"/>
              </w:rPr>
              <w:noBreakHyphen/>
              <w:t xml:space="preserve">20 Budgets from 1 July 2022 to 1 July 2020 while retaining the </w:t>
            </w:r>
            <w:r w:rsidR="002E6949">
              <w:rPr>
                <w:lang w:eastAsia="en-AU"/>
              </w:rPr>
              <w:t>l</w:t>
            </w:r>
            <w:r w:rsidRPr="00EB2092">
              <w:rPr>
                <w:lang w:eastAsia="en-AU"/>
              </w:rPr>
              <w:t xml:space="preserve">ow and </w:t>
            </w:r>
            <w:r w:rsidR="0006382F">
              <w:rPr>
                <w:lang w:eastAsia="en-AU"/>
              </w:rPr>
              <w:t>m</w:t>
            </w:r>
            <w:r w:rsidR="0006382F" w:rsidRPr="00EB2092">
              <w:rPr>
                <w:lang w:eastAsia="en-AU"/>
              </w:rPr>
              <w:t xml:space="preserve">iddle </w:t>
            </w:r>
            <w:r w:rsidR="0006382F">
              <w:rPr>
                <w:lang w:eastAsia="en-AU"/>
              </w:rPr>
              <w:t>i</w:t>
            </w:r>
            <w:r w:rsidR="0006382F" w:rsidRPr="00EB2092">
              <w:rPr>
                <w:lang w:eastAsia="en-AU"/>
              </w:rPr>
              <w:t xml:space="preserve">ncome </w:t>
            </w:r>
            <w:r w:rsidR="0006382F">
              <w:rPr>
                <w:lang w:eastAsia="en-AU"/>
              </w:rPr>
              <w:t>t</w:t>
            </w:r>
            <w:r w:rsidR="0006382F" w:rsidRPr="00EB2092">
              <w:rPr>
                <w:lang w:eastAsia="en-AU"/>
              </w:rPr>
              <w:t xml:space="preserve">ax </w:t>
            </w:r>
            <w:r w:rsidR="0006382F">
              <w:rPr>
                <w:lang w:eastAsia="en-AU"/>
              </w:rPr>
              <w:t>o</w:t>
            </w:r>
            <w:r w:rsidR="0006382F" w:rsidRPr="00EB2092">
              <w:rPr>
                <w:lang w:eastAsia="en-AU"/>
              </w:rPr>
              <w:t xml:space="preserve">ffset </w:t>
            </w:r>
            <w:r w:rsidRPr="00EB2092">
              <w:rPr>
                <w:lang w:eastAsia="en-AU"/>
              </w:rPr>
              <w:t>for 2020</w:t>
            </w:r>
            <w:r w:rsidRPr="00EB2092">
              <w:rPr>
                <w:lang w:eastAsia="en-AU"/>
              </w:rPr>
              <w:noBreakHyphen/>
              <w:t>21.  These measures have the effect of decreasing personal income tax rates, with the final stage legislated to come into effect in 2024</w:t>
            </w:r>
            <w:r w:rsidR="00487A21">
              <w:rPr>
                <w:lang w:eastAsia="en-AU"/>
              </w:rPr>
              <w:t>-</w:t>
            </w:r>
            <w:r w:rsidRPr="00EB2092">
              <w:rPr>
                <w:lang w:eastAsia="en-AU"/>
              </w:rPr>
              <w:t>25.</w:t>
            </w:r>
            <w:r w:rsidRPr="00EB2092">
              <w:rPr>
                <w:rStyle w:val="FootnoteReference"/>
                <w:lang w:eastAsia="en-AU"/>
              </w:rPr>
              <w:footnoteReference w:id="14"/>
            </w:r>
            <w:r w:rsidRPr="00EB2092">
              <w:rPr>
                <w:lang w:eastAsia="en-AU"/>
              </w:rPr>
              <w:t xml:space="preserve">  Countering these tax cuts, bracket creep (driven by ongoing growth in wages) </w:t>
            </w:r>
            <w:r w:rsidR="000D45A2" w:rsidRPr="00EB2092">
              <w:rPr>
                <w:lang w:eastAsia="en-AU"/>
              </w:rPr>
              <w:t>will</w:t>
            </w:r>
            <w:r w:rsidRPr="00EB2092">
              <w:rPr>
                <w:lang w:eastAsia="en-AU"/>
              </w:rPr>
              <w:t xml:space="preserve"> have the effect of increasing average personal income tax rates.  The overall change in average tax </w:t>
            </w:r>
            <w:r w:rsidR="0006382F">
              <w:rPr>
                <w:lang w:eastAsia="en-AU"/>
              </w:rPr>
              <w:t xml:space="preserve">rates </w:t>
            </w:r>
            <w:r w:rsidRPr="00EB2092">
              <w:rPr>
                <w:lang w:eastAsia="en-AU"/>
              </w:rPr>
              <w:t>is the combination of both bracket creep and tax cuts.  Figure 2–4 shows the projected change in average tax rates for different taxable income quintiles over the period 2017</w:t>
            </w:r>
            <w:r w:rsidR="00487A21">
              <w:rPr>
                <w:lang w:eastAsia="en-AU"/>
              </w:rPr>
              <w:t>-</w:t>
            </w:r>
            <w:r w:rsidRPr="00EB2092">
              <w:rPr>
                <w:lang w:eastAsia="en-AU"/>
              </w:rPr>
              <w:t>18 to 2030</w:t>
            </w:r>
            <w:r w:rsidR="00487A21">
              <w:rPr>
                <w:lang w:eastAsia="en-AU"/>
              </w:rPr>
              <w:t>-</w:t>
            </w:r>
            <w:r w:rsidRPr="00EB2092">
              <w:rPr>
                <w:lang w:eastAsia="en-AU"/>
              </w:rPr>
              <w:t xml:space="preserve">31.  The fifth quintile, individuals with a taxable income of above $89,000, </w:t>
            </w:r>
            <w:r w:rsidR="006F7EB9">
              <w:rPr>
                <w:lang w:eastAsia="en-AU"/>
              </w:rPr>
              <w:t>is</w:t>
            </w:r>
            <w:r w:rsidR="006F7EB9" w:rsidRPr="0050447F">
              <w:rPr>
                <w:lang w:eastAsia="en-AU"/>
              </w:rPr>
              <w:t xml:space="preserve"> </w:t>
            </w:r>
            <w:r w:rsidRPr="00A42D18">
              <w:rPr>
                <w:lang w:eastAsia="en-AU"/>
              </w:rPr>
              <w:t>projected to have a lower average tax rate in 2030</w:t>
            </w:r>
            <w:r w:rsidR="00487A21">
              <w:rPr>
                <w:lang w:eastAsia="en-AU"/>
              </w:rPr>
              <w:t>-</w:t>
            </w:r>
            <w:r w:rsidRPr="00A42D18">
              <w:rPr>
                <w:lang w:eastAsia="en-AU"/>
              </w:rPr>
              <w:t>31 compared to 2017</w:t>
            </w:r>
            <w:r w:rsidR="00487A21">
              <w:rPr>
                <w:lang w:eastAsia="en-AU"/>
              </w:rPr>
              <w:t>-</w:t>
            </w:r>
            <w:r w:rsidRPr="00A42D18">
              <w:rPr>
                <w:lang w:eastAsia="en-AU"/>
              </w:rPr>
              <w:t>18, while all other quintiles are projected to experience increasing average rates over that time.</w:t>
            </w:r>
          </w:p>
          <w:p w14:paraId="4F2EAA73" w14:textId="2BA00331" w:rsidR="00432D6A" w:rsidRPr="00372C38" w:rsidRDefault="00432D6A" w:rsidP="00432D6A">
            <w:pPr>
              <w:pStyle w:val="CaptionLeft"/>
              <w:spacing w:before="240"/>
              <w:jc w:val="center"/>
            </w:pPr>
            <w:r w:rsidRPr="009A1A17">
              <w:t>Figure 2–4: Change in average tax rates by</w:t>
            </w:r>
            <w:r w:rsidRPr="00372C38">
              <w:t xml:space="preserve"> income, 2017</w:t>
            </w:r>
            <w:r w:rsidR="00487A21">
              <w:t>-</w:t>
            </w:r>
            <w:r w:rsidRPr="00372C38">
              <w:t>18 to 2030</w:t>
            </w:r>
            <w:r w:rsidR="00487A21">
              <w:t>-</w:t>
            </w:r>
            <w:r w:rsidRPr="00372C38">
              <w:t>31</w:t>
            </w:r>
          </w:p>
          <w:p w14:paraId="4C4DD272" w14:textId="77777777" w:rsidR="00432D6A" w:rsidRPr="00EB2092" w:rsidRDefault="00432D6A" w:rsidP="00432D6A">
            <w:pPr>
              <w:pStyle w:val="BodyText"/>
              <w:jc w:val="center"/>
            </w:pPr>
            <w:r w:rsidRPr="00F852A4">
              <w:rPr>
                <w:noProof/>
                <w:lang w:eastAsia="en-AU"/>
              </w:rPr>
              <w:drawing>
                <wp:inline distT="0" distB="0" distL="0" distR="0" wp14:anchorId="47E38CF7" wp14:editId="7FA3CB40">
                  <wp:extent cx="4859020" cy="32435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59020" cy="3243580"/>
                          </a:xfrm>
                          <a:prstGeom prst="rect">
                            <a:avLst/>
                          </a:prstGeom>
                          <a:noFill/>
                        </pic:spPr>
                      </pic:pic>
                    </a:graphicData>
                  </a:graphic>
                </wp:inline>
              </w:drawing>
            </w:r>
          </w:p>
          <w:p w14:paraId="608F4E75" w14:textId="1516D05C" w:rsidR="00432D6A" w:rsidRPr="00EB2092" w:rsidRDefault="00432D6A" w:rsidP="00432D6A">
            <w:pPr>
              <w:pStyle w:val="SourceIndent"/>
              <w:spacing w:after="120"/>
              <w:ind w:right="567"/>
              <w:rPr>
                <w:noProof/>
                <w:lang w:eastAsia="en-AU"/>
              </w:rPr>
            </w:pPr>
            <w:r w:rsidRPr="00EB2092">
              <w:rPr>
                <w:noProof/>
                <w:lang w:eastAsia="en-AU"/>
              </w:rPr>
              <w:t>Note: Analysis comprises individuals who filed a tax return in 2017</w:t>
            </w:r>
            <w:r w:rsidR="00487A21">
              <w:rPr>
                <w:noProof/>
                <w:lang w:eastAsia="en-AU"/>
              </w:rPr>
              <w:t>-</w:t>
            </w:r>
            <w:r w:rsidRPr="00EB2092">
              <w:rPr>
                <w:noProof/>
                <w:lang w:eastAsia="en-AU"/>
              </w:rPr>
              <w:t>18, divided into quintiles according to taxable income.  Taxable income ranges are for 2018</w:t>
            </w:r>
            <w:r w:rsidR="00487A21">
              <w:rPr>
                <w:lang w:eastAsia="en-AU"/>
              </w:rPr>
              <w:t>-</w:t>
            </w:r>
            <w:r w:rsidRPr="00EB2092">
              <w:rPr>
                <w:noProof/>
                <w:lang w:eastAsia="en-AU"/>
              </w:rPr>
              <w:t xml:space="preserve">19.  </w:t>
            </w:r>
            <w:r w:rsidRPr="00EB2092">
              <w:rPr>
                <w:noProof/>
                <w:lang w:eastAsia="en-AU"/>
              </w:rPr>
              <w:br/>
              <w:t>Source: Australian Taxation Office data, parameters underlying the 2020</w:t>
            </w:r>
            <w:r w:rsidR="00487A21">
              <w:rPr>
                <w:noProof/>
                <w:lang w:eastAsia="en-AU"/>
              </w:rPr>
              <w:t>-</w:t>
            </w:r>
            <w:r w:rsidRPr="00EB2092">
              <w:rPr>
                <w:noProof/>
                <w:lang w:eastAsia="en-AU"/>
              </w:rPr>
              <w:t>21 Budget</w:t>
            </w:r>
            <w:r w:rsidR="003B1B58">
              <w:rPr>
                <w:noProof/>
                <w:lang w:eastAsia="en-AU"/>
              </w:rPr>
              <w:t>, and</w:t>
            </w:r>
            <w:r w:rsidR="003B1B58" w:rsidRPr="00EB2092">
              <w:rPr>
                <w:noProof/>
                <w:lang w:eastAsia="en-AU"/>
              </w:rPr>
              <w:t xml:space="preserve"> PBO analysis</w:t>
            </w:r>
            <w:r w:rsidRPr="00EB2092">
              <w:rPr>
                <w:noProof/>
                <w:lang w:eastAsia="en-AU"/>
              </w:rPr>
              <w:t>.</w:t>
            </w:r>
          </w:p>
          <w:p w14:paraId="45EF2ED1" w14:textId="26C5A406" w:rsidR="00377345" w:rsidRPr="00372C38" w:rsidRDefault="00432D6A" w:rsidP="0050447F">
            <w:pPr>
              <w:pStyle w:val="BodyText"/>
              <w:rPr>
                <w:lang w:eastAsia="en-AU"/>
              </w:rPr>
            </w:pPr>
            <w:r w:rsidRPr="00EB2092">
              <w:rPr>
                <w:lang w:eastAsia="en-AU"/>
              </w:rPr>
              <w:t xml:space="preserve">This analysis shows that individuals in the second and third quintiles (together spanning the taxable income range $20,001 to $58,000), are expected to face the largest effects of bracket creep.  As Figure </w:t>
            </w:r>
            <w:r w:rsidR="006F7EB9">
              <w:rPr>
                <w:lang w:eastAsia="en-AU"/>
              </w:rPr>
              <w:t>2</w:t>
            </w:r>
            <w:r w:rsidRPr="00A42D18">
              <w:rPr>
                <w:lang w:eastAsia="en-AU"/>
              </w:rPr>
              <w:t>–</w:t>
            </w:r>
            <w:r w:rsidR="006F7EB9">
              <w:rPr>
                <w:lang w:eastAsia="en-AU"/>
              </w:rPr>
              <w:t>4</w:t>
            </w:r>
            <w:r w:rsidRPr="0050447F">
              <w:rPr>
                <w:lang w:eastAsia="en-AU"/>
              </w:rPr>
              <w:t xml:space="preserve"> shows, the overall impact of the tax cuts up until 2023</w:t>
            </w:r>
            <w:r w:rsidR="00487A21">
              <w:rPr>
                <w:lang w:eastAsia="en-AU"/>
              </w:rPr>
              <w:t>-</w:t>
            </w:r>
            <w:r w:rsidRPr="0050447F">
              <w:rPr>
                <w:lang w:eastAsia="en-AU"/>
              </w:rPr>
              <w:t>24 are mos</w:t>
            </w:r>
            <w:r w:rsidRPr="00A42D18">
              <w:rPr>
                <w:lang w:eastAsia="en-AU"/>
              </w:rPr>
              <w:t>t beneficial to those in the third quintile.  The effects of the stage three tax cuts legislated for 2024</w:t>
            </w:r>
            <w:r w:rsidR="00487A21">
              <w:rPr>
                <w:lang w:eastAsia="en-AU"/>
              </w:rPr>
              <w:t>-</w:t>
            </w:r>
            <w:r w:rsidRPr="00A42D18">
              <w:rPr>
                <w:lang w:eastAsia="en-AU"/>
              </w:rPr>
              <w:t>25 are substantially more beneficial to those in the higher income quintiles, resulting</w:t>
            </w:r>
            <w:r w:rsidRPr="009A1A17">
              <w:rPr>
                <w:lang w:eastAsia="en-AU"/>
              </w:rPr>
              <w:t xml:space="preserve"> in those taxpayers being the largest overall beneficiaries of the tax cuts.</w:t>
            </w:r>
          </w:p>
        </w:tc>
      </w:tr>
    </w:tbl>
    <w:p w14:paraId="0B4627DE" w14:textId="77777777" w:rsidR="003705FC" w:rsidRPr="001D1C6B" w:rsidRDefault="003705FC">
      <w:pPr>
        <w:pStyle w:val="Heading2"/>
        <w:ind w:left="765"/>
      </w:pPr>
      <w:bookmarkStart w:id="31" w:name="_Toc57809350"/>
      <w:bookmarkStart w:id="32" w:name="_Toc57824668"/>
      <w:bookmarkStart w:id="33" w:name="_Toc57809351"/>
      <w:bookmarkStart w:id="34" w:name="_Toc57824669"/>
      <w:bookmarkStart w:id="35" w:name="_Toc57809352"/>
      <w:bookmarkStart w:id="36" w:name="_Toc57824670"/>
      <w:bookmarkStart w:id="37" w:name="_Toc58271429"/>
      <w:bookmarkEnd w:id="31"/>
      <w:bookmarkEnd w:id="32"/>
      <w:bookmarkEnd w:id="33"/>
      <w:bookmarkEnd w:id="34"/>
      <w:bookmarkEnd w:id="35"/>
      <w:bookmarkEnd w:id="36"/>
      <w:r w:rsidRPr="001D1C6B">
        <w:lastRenderedPageBreak/>
        <w:t>Company tax receipts</w:t>
      </w:r>
      <w:bookmarkEnd w:id="37"/>
    </w:p>
    <w:p w14:paraId="1D7423A7" w14:textId="301EC3F1" w:rsidR="00586588" w:rsidRDefault="00586588" w:rsidP="004A0A0A">
      <w:pPr>
        <w:pStyle w:val="BodyText"/>
      </w:pPr>
      <w:r w:rsidRPr="00C96029">
        <w:t xml:space="preserve">After a </w:t>
      </w:r>
      <w:r w:rsidR="0054349B" w:rsidRPr="00715564">
        <w:t>COVID-19</w:t>
      </w:r>
      <w:r w:rsidRPr="006F7EB9">
        <w:t xml:space="preserve"> related dip in the forward estimates period, c</w:t>
      </w:r>
      <w:r w:rsidR="003705FC" w:rsidRPr="0050447F">
        <w:t>ompany tax receipts are projected to remain relatively stable as a share</w:t>
      </w:r>
      <w:r w:rsidRPr="00A42D18">
        <w:t xml:space="preserve"> of GDP over the mediu</w:t>
      </w:r>
      <w:r w:rsidRPr="009A1A17">
        <w:t>m term</w:t>
      </w:r>
      <w:r w:rsidR="003705FC" w:rsidRPr="00372C38">
        <w:t xml:space="preserve">.  </w:t>
      </w:r>
      <w:r w:rsidR="005B5318" w:rsidRPr="00F852A4">
        <w:t xml:space="preserve">However, the level of receipts will remain </w:t>
      </w:r>
      <w:r w:rsidR="008046A6" w:rsidRPr="00EB2092">
        <w:t xml:space="preserve">around </w:t>
      </w:r>
      <w:r w:rsidR="00903AA1" w:rsidRPr="00EB2092">
        <w:t xml:space="preserve">0.6 per cent of GDP </w:t>
      </w:r>
      <w:r w:rsidR="005B5318" w:rsidRPr="00EB2092">
        <w:t>lower than the pre-</w:t>
      </w:r>
      <w:r w:rsidR="008046A6" w:rsidRPr="00EB2092">
        <w:t xml:space="preserve">pandemic </w:t>
      </w:r>
      <w:r w:rsidR="005B5318" w:rsidRPr="00EB2092">
        <w:t xml:space="preserve">level, with company tax receipts at 4.2 per cent of GDP in 2030-31, compared </w:t>
      </w:r>
      <w:r w:rsidR="00111355" w:rsidRPr="00EB2092">
        <w:t xml:space="preserve">to </w:t>
      </w:r>
      <w:r w:rsidR="005B5318" w:rsidRPr="00EB2092">
        <w:t>4.8 per cent of GDP in 2018</w:t>
      </w:r>
      <w:r w:rsidR="00487A21">
        <w:t>-</w:t>
      </w:r>
      <w:r w:rsidR="005B5318" w:rsidRPr="00EB2092">
        <w:t>19.</w:t>
      </w:r>
      <w:r w:rsidR="00903AA1" w:rsidRPr="00EB2092">
        <w:t xml:space="preserve">  </w:t>
      </w:r>
      <w:r w:rsidR="00733A52" w:rsidRPr="00EB2092">
        <w:t>C</w:t>
      </w:r>
      <w:r w:rsidR="00903AA1" w:rsidRPr="00EB2092">
        <w:t xml:space="preserve">ompany tax receipts were particularly strong in the base year </w:t>
      </w:r>
      <w:r w:rsidR="006F7EB9">
        <w:t>for</w:t>
      </w:r>
      <w:r w:rsidR="006F7EB9" w:rsidRPr="0050447F">
        <w:t xml:space="preserve"> </w:t>
      </w:r>
      <w:r w:rsidR="00903AA1" w:rsidRPr="00A42D18">
        <w:t>comparison, 2018</w:t>
      </w:r>
      <w:r w:rsidR="00487A21">
        <w:t>-</w:t>
      </w:r>
      <w:r w:rsidR="00903AA1" w:rsidRPr="00372C38">
        <w:t>19, when they reached their highest rate as a share of GDP since the Global Financial Crisis</w:t>
      </w:r>
      <w:r w:rsidR="0006382F">
        <w:t xml:space="preserve"> (Figure 2</w:t>
      </w:r>
      <w:r w:rsidR="0006382F" w:rsidRPr="00A42D18">
        <w:rPr>
          <w:lang w:eastAsia="en-AU"/>
        </w:rPr>
        <w:t>–</w:t>
      </w:r>
      <w:r w:rsidR="0006382F">
        <w:rPr>
          <w:lang w:eastAsia="en-AU"/>
        </w:rPr>
        <w:t>2), consistent with strong prices for key commodities such as coal and natural gas</w:t>
      </w:r>
      <w:r w:rsidR="00903AA1" w:rsidRPr="00372C38">
        <w:t>.</w:t>
      </w:r>
      <w:r w:rsidR="00310BAF" w:rsidRPr="00F852A4">
        <w:t xml:space="preserve">  Our projection </w:t>
      </w:r>
      <w:r w:rsidR="00111355" w:rsidRPr="00F852A4">
        <w:t xml:space="preserve">for company tax </w:t>
      </w:r>
      <w:r w:rsidR="00310BAF" w:rsidRPr="00EB2092">
        <w:t>is broadly in line with long-run trends.</w:t>
      </w:r>
    </w:p>
    <w:p w14:paraId="46FF8473" w14:textId="3BAB139B" w:rsidR="00634AFD" w:rsidRPr="00EB2092" w:rsidRDefault="00634AFD" w:rsidP="00044B24">
      <w:pPr>
        <w:pStyle w:val="Heading2"/>
        <w:ind w:left="765"/>
      </w:pPr>
      <w:bookmarkStart w:id="38" w:name="_Toc58271430"/>
      <w:r w:rsidRPr="00EB2092">
        <w:t xml:space="preserve">Goods and services tax </w:t>
      </w:r>
      <w:r w:rsidR="00D05756" w:rsidRPr="00EB2092">
        <w:t xml:space="preserve">(GST) </w:t>
      </w:r>
      <w:r w:rsidRPr="00EB2092">
        <w:t>receipts</w:t>
      </w:r>
      <w:bookmarkEnd w:id="38"/>
    </w:p>
    <w:p w14:paraId="2B107CC5" w14:textId="645A29B4" w:rsidR="00D4662D" w:rsidRPr="00EB2092" w:rsidRDefault="005936B8" w:rsidP="004A0A0A">
      <w:pPr>
        <w:pStyle w:val="BodyText"/>
      </w:pPr>
      <w:r w:rsidRPr="00EB2092">
        <w:t>Compared to the previous report, p</w:t>
      </w:r>
      <w:r w:rsidR="00D05756" w:rsidRPr="00EB2092">
        <w:t>rojected GST</w:t>
      </w:r>
      <w:r w:rsidR="00D4662D" w:rsidRPr="00EB2092">
        <w:t xml:space="preserve"> receipts have been revised down $33 billion over the four years to 202</w:t>
      </w:r>
      <w:r w:rsidR="004A0A0A" w:rsidRPr="00EB2092">
        <w:t>3</w:t>
      </w:r>
      <w:r w:rsidR="00487A21">
        <w:t>-</w:t>
      </w:r>
      <w:r w:rsidR="00D4662D" w:rsidRPr="00EB2092">
        <w:t>2</w:t>
      </w:r>
      <w:r w:rsidR="004A0A0A" w:rsidRPr="00EB2092">
        <w:t>4</w:t>
      </w:r>
      <w:r w:rsidR="00C64E81" w:rsidRPr="00EB2092">
        <w:t xml:space="preserve">, due to travel and business restrictions related to the </w:t>
      </w:r>
      <w:r w:rsidR="0054349B" w:rsidRPr="00EB2092">
        <w:t>COVID-19</w:t>
      </w:r>
      <w:r w:rsidR="00C64E81" w:rsidRPr="00EB2092">
        <w:t xml:space="preserve"> pandemic.  </w:t>
      </w:r>
    </w:p>
    <w:p w14:paraId="4F7BCEE1" w14:textId="0EA6B592" w:rsidR="00634AFD" w:rsidRPr="00EB2092" w:rsidRDefault="00C64E81" w:rsidP="004A0A0A">
      <w:pPr>
        <w:pStyle w:val="BodyText"/>
      </w:pPr>
      <w:r w:rsidRPr="00EB2092">
        <w:t xml:space="preserve">Over the medium term, the </w:t>
      </w:r>
      <w:r w:rsidR="00031C48" w:rsidRPr="00EB2092">
        <w:t>PBO projects that GST</w:t>
      </w:r>
      <w:r w:rsidRPr="00EB2092">
        <w:t xml:space="preserve"> </w:t>
      </w:r>
      <w:r w:rsidR="00B00D36" w:rsidRPr="00EB2092">
        <w:t xml:space="preserve">receipts </w:t>
      </w:r>
      <w:r w:rsidR="00031C48" w:rsidRPr="00EB2092">
        <w:t>will be</w:t>
      </w:r>
      <w:r w:rsidRPr="00EB2092">
        <w:t xml:space="preserve"> lower than</w:t>
      </w:r>
      <w:r w:rsidR="00B00D36" w:rsidRPr="00EB2092">
        <w:t xml:space="preserve"> was projected</w:t>
      </w:r>
      <w:r w:rsidRPr="00EB2092">
        <w:t xml:space="preserve"> in the previous report, but as a share of the economy</w:t>
      </w:r>
      <w:r w:rsidR="00B00D36" w:rsidRPr="00EB2092">
        <w:t>, are</w:t>
      </w:r>
      <w:r w:rsidRPr="00EB2092">
        <w:t xml:space="preserve"> likely to </w:t>
      </w:r>
      <w:r w:rsidR="00D05756" w:rsidRPr="00EB2092">
        <w:t>stabilise</w:t>
      </w:r>
      <w:r w:rsidRPr="00EB2092">
        <w:t xml:space="preserve">.  The PBO has revised its methodology for projecting goods and services tax receipts to incorporate the falling share of household consumption subject to GST (see Box </w:t>
      </w:r>
      <w:r w:rsidR="00563E85">
        <w:t>4</w:t>
      </w:r>
      <w:r w:rsidRPr="00A42D18">
        <w:t>).</w:t>
      </w:r>
      <w:r w:rsidR="00A17DCB" w:rsidRPr="009A1A17">
        <w:t xml:space="preserve">  </w:t>
      </w:r>
      <w:r w:rsidRPr="00372C38">
        <w:t xml:space="preserve">This has resulted in lower annual real projected growth for </w:t>
      </w:r>
      <w:r w:rsidR="002B0832" w:rsidRPr="00F852A4">
        <w:t>GST</w:t>
      </w:r>
      <w:r w:rsidRPr="00F852A4">
        <w:t xml:space="preserve"> compared to the previous report.  </w:t>
      </w:r>
    </w:p>
    <w:p w14:paraId="144973A3" w14:textId="5AC97D92" w:rsidR="00A263D1" w:rsidRPr="00EB2092" w:rsidRDefault="00A263D1" w:rsidP="004A0A0A">
      <w:pPr>
        <w:pStyle w:val="BodyText"/>
      </w:pPr>
      <w:r w:rsidRPr="00EB2092">
        <w:t xml:space="preserve">Changes to projections of the GST will not affect the </w:t>
      </w:r>
      <w:r w:rsidR="00234DDC" w:rsidRPr="00EB2092">
        <w:t xml:space="preserve">overall Commonwealth </w:t>
      </w:r>
      <w:r w:rsidRPr="00EB2092">
        <w:t>budget balance</w:t>
      </w:r>
      <w:r w:rsidR="00F142CE" w:rsidRPr="00EB2092">
        <w:t xml:space="preserve">, </w:t>
      </w:r>
      <w:r w:rsidRPr="00EB2092">
        <w:t xml:space="preserve">as the GST is </w:t>
      </w:r>
      <w:r w:rsidR="004D2BE5" w:rsidRPr="00EB2092">
        <w:t xml:space="preserve">entirely </w:t>
      </w:r>
      <w:r w:rsidRPr="00EB2092">
        <w:t xml:space="preserve">paid to the </w:t>
      </w:r>
      <w:r w:rsidR="004713B0" w:rsidRPr="00EB2092">
        <w:t>s</w:t>
      </w:r>
      <w:r w:rsidRPr="00EB2092">
        <w:t xml:space="preserve">tates and </w:t>
      </w:r>
      <w:r w:rsidR="004713B0" w:rsidRPr="00EB2092">
        <w:t>t</w:t>
      </w:r>
      <w:r w:rsidRPr="00EB2092">
        <w:t>erritories.</w:t>
      </w:r>
    </w:p>
    <w:p w14:paraId="7AE42244" w14:textId="1DFC9CBC" w:rsidR="00CF3705" w:rsidRPr="00EB2092" w:rsidRDefault="00CF3705" w:rsidP="00044B24">
      <w:pPr>
        <w:pStyle w:val="Heading2"/>
        <w:ind w:left="765"/>
      </w:pPr>
      <w:bookmarkStart w:id="39" w:name="_Toc58271431"/>
      <w:r w:rsidRPr="00EB2092">
        <w:t xml:space="preserve">Superannuation </w:t>
      </w:r>
      <w:r w:rsidR="00E034FE" w:rsidRPr="00EB2092">
        <w:t xml:space="preserve">fund </w:t>
      </w:r>
      <w:r w:rsidRPr="00EB2092">
        <w:t>tax</w:t>
      </w:r>
      <w:r w:rsidR="00343ABD" w:rsidRPr="00EB2092">
        <w:t xml:space="preserve"> receipts</w:t>
      </w:r>
      <w:bookmarkEnd w:id="39"/>
    </w:p>
    <w:p w14:paraId="2734DD59" w14:textId="24617634" w:rsidR="00F210AD" w:rsidRPr="00EB2092" w:rsidRDefault="00F210AD" w:rsidP="004A0A0A">
      <w:pPr>
        <w:pStyle w:val="BodyText"/>
      </w:pPr>
      <w:r w:rsidRPr="00EB2092">
        <w:t>Superannuation fund tax</w:t>
      </w:r>
      <w:r w:rsidR="00E034FE" w:rsidRPr="00EB2092">
        <w:t xml:space="preserve"> receipts are</w:t>
      </w:r>
      <w:r w:rsidR="00343ABD" w:rsidRPr="00EB2092">
        <w:t xml:space="preserve"> </w:t>
      </w:r>
      <w:r w:rsidRPr="00EB2092">
        <w:t xml:space="preserve">forecast </w:t>
      </w:r>
      <w:r w:rsidR="00513567" w:rsidRPr="00EB2092">
        <w:t xml:space="preserve">by the </w:t>
      </w:r>
      <w:r w:rsidR="0054349B" w:rsidRPr="00EB2092">
        <w:t>g</w:t>
      </w:r>
      <w:r w:rsidR="00513567" w:rsidRPr="00EB2092">
        <w:t xml:space="preserve">overnment </w:t>
      </w:r>
      <w:r w:rsidRPr="00EB2092">
        <w:t xml:space="preserve">to fall as a result of the </w:t>
      </w:r>
      <w:r w:rsidR="00733A52" w:rsidRPr="00EB2092">
        <w:t xml:space="preserve">COVID-19 </w:t>
      </w:r>
      <w:r w:rsidRPr="00EB2092">
        <w:t xml:space="preserve">pandemic, before recovering </w:t>
      </w:r>
      <w:r w:rsidR="00165C69" w:rsidRPr="00EB2092">
        <w:t>within the forward estimates period</w:t>
      </w:r>
      <w:r w:rsidRPr="00EB2092">
        <w:t xml:space="preserve">.  </w:t>
      </w:r>
      <w:r w:rsidR="00165C69" w:rsidRPr="00EB2092">
        <w:t xml:space="preserve">The PBO projects superannuation fund tax to further improve over the medium term, and </w:t>
      </w:r>
      <w:r w:rsidR="006F7EB9">
        <w:t>to be</w:t>
      </w:r>
      <w:r w:rsidR="006F7EB9" w:rsidRPr="0050447F">
        <w:t xml:space="preserve"> </w:t>
      </w:r>
      <w:r w:rsidR="00165C69" w:rsidRPr="00A42D18">
        <w:t xml:space="preserve">0.2 </w:t>
      </w:r>
      <w:r w:rsidR="00853E7B">
        <w:t>percentage points</w:t>
      </w:r>
      <w:r w:rsidR="00165C69" w:rsidRPr="00A42D18">
        <w:t xml:space="preserve"> higher in </w:t>
      </w:r>
      <w:r w:rsidRPr="009A1A17">
        <w:t>2030</w:t>
      </w:r>
      <w:r w:rsidR="00853E7B">
        <w:noBreakHyphen/>
      </w:r>
      <w:r w:rsidRPr="00F852A4">
        <w:t>31</w:t>
      </w:r>
      <w:r w:rsidR="00165C69" w:rsidRPr="00F852A4">
        <w:t xml:space="preserve"> </w:t>
      </w:r>
      <w:r w:rsidRPr="00EB2092">
        <w:t>than in 2018</w:t>
      </w:r>
      <w:r w:rsidR="00487A21">
        <w:t>-</w:t>
      </w:r>
      <w:r w:rsidRPr="00EB2092">
        <w:t>19.</w:t>
      </w:r>
    </w:p>
    <w:p w14:paraId="13A53191" w14:textId="18FDFD85" w:rsidR="000017AC" w:rsidRPr="00EB2092" w:rsidRDefault="00893EB7" w:rsidP="004A0A0A">
      <w:pPr>
        <w:pStyle w:val="BodyText"/>
      </w:pPr>
      <w:r w:rsidRPr="00EB2092">
        <w:t>T</w:t>
      </w:r>
      <w:r w:rsidR="00F210AD" w:rsidRPr="00EB2092">
        <w:t xml:space="preserve">he </w:t>
      </w:r>
      <w:r w:rsidR="0054349B" w:rsidRPr="00EB2092">
        <w:t>COVID-19</w:t>
      </w:r>
      <w:r w:rsidR="00F210AD" w:rsidRPr="00EB2092">
        <w:t xml:space="preserve"> pandemic has affected </w:t>
      </w:r>
      <w:r w:rsidRPr="00EB2092">
        <w:t>superannuation tax in several ways</w:t>
      </w:r>
      <w:r w:rsidR="00343ABD" w:rsidRPr="00EB2092">
        <w:t xml:space="preserve">, through both the </w:t>
      </w:r>
      <w:r w:rsidR="000017AC" w:rsidRPr="00EB2092">
        <w:t xml:space="preserve">contributions made to superannuation accounts and </w:t>
      </w:r>
      <w:r w:rsidR="00343ABD" w:rsidRPr="00EB2092">
        <w:t xml:space="preserve">the </w:t>
      </w:r>
      <w:r w:rsidR="000017AC" w:rsidRPr="00EB2092">
        <w:t xml:space="preserve">earnings made on </w:t>
      </w:r>
      <w:r w:rsidR="0022650A" w:rsidRPr="00EB2092">
        <w:t xml:space="preserve">the assets in </w:t>
      </w:r>
      <w:r w:rsidR="004F1B4E">
        <w:br/>
      </w:r>
      <w:r w:rsidR="0022650A" w:rsidRPr="00EB2092">
        <w:t>these accounts</w:t>
      </w:r>
      <w:r w:rsidR="000017AC" w:rsidRPr="00EB2092">
        <w:t>.</w:t>
      </w:r>
    </w:p>
    <w:p w14:paraId="60C58A2E" w14:textId="61468D78" w:rsidR="000017AC" w:rsidRPr="00EB2092" w:rsidRDefault="00343ABD" w:rsidP="004A0A0A">
      <w:pPr>
        <w:pStyle w:val="BodyText"/>
      </w:pPr>
      <w:r w:rsidRPr="00EB2092">
        <w:t>The pandemic</w:t>
      </w:r>
      <w:r w:rsidR="000017AC" w:rsidRPr="00EB2092">
        <w:t xml:space="preserve"> </w:t>
      </w:r>
      <w:r w:rsidR="00893EB7" w:rsidRPr="00EB2092">
        <w:t xml:space="preserve">has </w:t>
      </w:r>
      <w:r w:rsidR="00733A52" w:rsidRPr="00EB2092">
        <w:t xml:space="preserve">reduced </w:t>
      </w:r>
      <w:r w:rsidR="00893EB7" w:rsidRPr="00EB2092">
        <w:t>contributions</w:t>
      </w:r>
      <w:r w:rsidR="000017AC" w:rsidRPr="00EB2092">
        <w:t xml:space="preserve"> to superannuation</w:t>
      </w:r>
      <w:r w:rsidR="00893EB7" w:rsidRPr="00EB2092">
        <w:t xml:space="preserve"> as unemployment has increased and wages have not grown strongly</w:t>
      </w:r>
      <w:r w:rsidRPr="00EB2092">
        <w:t>, thus</w:t>
      </w:r>
      <w:r w:rsidR="000017AC" w:rsidRPr="00EB2092">
        <w:t xml:space="preserve"> reducing </w:t>
      </w:r>
      <w:r w:rsidRPr="00EB2092">
        <w:t xml:space="preserve">tax on </w:t>
      </w:r>
      <w:r w:rsidR="000017AC" w:rsidRPr="00EB2092">
        <w:t>contributions</w:t>
      </w:r>
      <w:r w:rsidR="00893EB7" w:rsidRPr="00EB2092">
        <w:t xml:space="preserve">.  </w:t>
      </w:r>
    </w:p>
    <w:p w14:paraId="26864CEB" w14:textId="3588F0BF" w:rsidR="00807896" w:rsidRPr="00EB2092" w:rsidRDefault="00A765BC" w:rsidP="004A0A0A">
      <w:pPr>
        <w:pStyle w:val="BodyText"/>
      </w:pPr>
      <w:r w:rsidRPr="00EB2092">
        <w:t xml:space="preserve">The </w:t>
      </w:r>
      <w:r w:rsidR="0022650A" w:rsidRPr="00EB2092">
        <w:t xml:space="preserve">value of many assets, including those held in superannuation accounts, </w:t>
      </w:r>
      <w:r w:rsidR="00807896" w:rsidRPr="00EB2092">
        <w:t>has also been impacted by market turbulence associate with the pandemic, which will in turn affect capital gains tax.</w:t>
      </w:r>
    </w:p>
    <w:p w14:paraId="710C8C93" w14:textId="62F38DA3" w:rsidR="00F210AD" w:rsidRPr="00EB2092" w:rsidRDefault="0022650A" w:rsidP="004A0A0A">
      <w:pPr>
        <w:pStyle w:val="BodyText"/>
      </w:pPr>
      <w:r w:rsidRPr="00EB2092">
        <w:t>In addition,</w:t>
      </w:r>
      <w:r w:rsidR="00A765BC" w:rsidRPr="00EB2092">
        <w:t xml:space="preserve"> </w:t>
      </w:r>
      <w:r w:rsidR="00893EB7" w:rsidRPr="00EB2092">
        <w:t xml:space="preserve">the </w:t>
      </w:r>
      <w:r w:rsidR="0054349B" w:rsidRPr="00EB2092">
        <w:t>g</w:t>
      </w:r>
      <w:r w:rsidR="00893EB7" w:rsidRPr="00EB2092">
        <w:t xml:space="preserve">overnment’s 2020-21 Budget measure </w:t>
      </w:r>
      <w:r w:rsidR="0054349B" w:rsidRPr="00EB2092">
        <w:rPr>
          <w:i/>
        </w:rPr>
        <w:t>COVID-19</w:t>
      </w:r>
      <w:r w:rsidR="00893EB7" w:rsidRPr="00EB2092">
        <w:rPr>
          <w:i/>
        </w:rPr>
        <w:t xml:space="preserve"> Response Package – temporary early access to superannuation</w:t>
      </w:r>
      <w:r w:rsidRPr="00EB2092">
        <w:rPr>
          <w:i/>
        </w:rPr>
        <w:t xml:space="preserve"> </w:t>
      </w:r>
      <w:r w:rsidRPr="00EB2092">
        <w:t xml:space="preserve">has lowered </w:t>
      </w:r>
      <w:r w:rsidR="00343ABD" w:rsidRPr="00EB2092">
        <w:t xml:space="preserve">the </w:t>
      </w:r>
      <w:r w:rsidR="006F7EB9">
        <w:t>total stock</w:t>
      </w:r>
      <w:r w:rsidR="006F7EB9" w:rsidRPr="0050447F">
        <w:t xml:space="preserve"> </w:t>
      </w:r>
      <w:r w:rsidR="00343ABD" w:rsidRPr="00A42D18">
        <w:t xml:space="preserve">of </w:t>
      </w:r>
      <w:r w:rsidRPr="009A1A17">
        <w:t>superannuation assets</w:t>
      </w:r>
      <w:r w:rsidR="00A765BC" w:rsidRPr="00372C38">
        <w:rPr>
          <w:i/>
        </w:rPr>
        <w:t>.</w:t>
      </w:r>
      <w:r w:rsidR="00893EB7" w:rsidRPr="00F852A4">
        <w:rPr>
          <w:i/>
        </w:rPr>
        <w:t xml:space="preserve"> </w:t>
      </w:r>
      <w:r w:rsidR="00A765BC" w:rsidRPr="00F852A4">
        <w:t xml:space="preserve">Lower </w:t>
      </w:r>
      <w:r w:rsidR="004F1B4E">
        <w:br/>
      </w:r>
      <w:r w:rsidR="00A765BC" w:rsidRPr="00F852A4">
        <w:t xml:space="preserve">assets </w:t>
      </w:r>
      <w:r w:rsidR="00234DDC" w:rsidRPr="00EB2092">
        <w:t xml:space="preserve">mean lower </w:t>
      </w:r>
      <w:r w:rsidR="00A765BC" w:rsidRPr="00EB2092">
        <w:t>earnings</w:t>
      </w:r>
      <w:r w:rsidRPr="00EB2092">
        <w:t xml:space="preserve"> on superannuation, and therefore reduce </w:t>
      </w:r>
      <w:r w:rsidR="009A671E" w:rsidRPr="00EB2092">
        <w:t xml:space="preserve">tax collections on </w:t>
      </w:r>
      <w:r w:rsidRPr="00EB2092">
        <w:t>superannuation earnings.</w:t>
      </w:r>
    </w:p>
    <w:p w14:paraId="2F591CA5" w14:textId="79E0411E" w:rsidR="00832EFE" w:rsidRPr="00EB2092" w:rsidRDefault="00832EFE" w:rsidP="00044B24">
      <w:pPr>
        <w:pStyle w:val="Heading2"/>
        <w:ind w:left="765"/>
      </w:pPr>
      <w:bookmarkStart w:id="40" w:name="_Toc58271432"/>
      <w:r w:rsidRPr="00EB2092">
        <w:t>Other receipts</w:t>
      </w:r>
      <w:bookmarkEnd w:id="40"/>
    </w:p>
    <w:p w14:paraId="08ACBF69" w14:textId="7033FC30" w:rsidR="00522E6D" w:rsidRPr="00EB2092" w:rsidRDefault="00F852A4" w:rsidP="00572B63">
      <w:pPr>
        <w:pStyle w:val="BodyText"/>
        <w:spacing w:after="240"/>
      </w:pPr>
      <w:r w:rsidRPr="00A75052">
        <w:t>Table 2–</w:t>
      </w:r>
      <w:r w:rsidR="00C8000E">
        <w:t xml:space="preserve">1 </w:t>
      </w:r>
      <w:r w:rsidR="00E63D75" w:rsidRPr="0050447F">
        <w:t>shows the PBO’s projections of the change in receipts by each major category over the period 2018</w:t>
      </w:r>
      <w:r w:rsidR="00487A21">
        <w:t>-</w:t>
      </w:r>
      <w:r w:rsidR="00E63D75" w:rsidRPr="0050447F">
        <w:t xml:space="preserve">19 to </w:t>
      </w:r>
      <w:r w:rsidR="00F17E36" w:rsidRPr="00A42D18">
        <w:t>2030</w:t>
      </w:r>
      <w:r w:rsidR="00487A21">
        <w:t>-</w:t>
      </w:r>
      <w:r w:rsidR="00E63D75" w:rsidRPr="00372C38">
        <w:t>3</w:t>
      </w:r>
      <w:r w:rsidR="00F17E36" w:rsidRPr="00F852A4">
        <w:t>1</w:t>
      </w:r>
      <w:r w:rsidR="00E63D75" w:rsidRPr="00F852A4">
        <w:t>, their projected contribution to growth in total rece</w:t>
      </w:r>
      <w:r w:rsidR="00E63D75" w:rsidRPr="00EB2092">
        <w:t>ipts</w:t>
      </w:r>
      <w:r w:rsidR="00BB2B44" w:rsidRPr="00EB2092">
        <w:t>, and the main drivers of the trends over the medium term</w:t>
      </w:r>
      <w:r w:rsidR="00E63D75" w:rsidRPr="00EB2092">
        <w:t xml:space="preserve">. </w:t>
      </w:r>
      <w:r w:rsidR="009E0EBE" w:rsidRPr="00EB2092">
        <w:t xml:space="preserve"> Appendix A provides a short description of the drivers of trends between 2018-19 and 2030-31 for all modelled receipts and payments.</w:t>
      </w:r>
    </w:p>
    <w:p w14:paraId="1103541A" w14:textId="2C904B07" w:rsidR="007377A9" w:rsidRPr="00EB2092" w:rsidRDefault="007377A9" w:rsidP="007377A9">
      <w:pPr>
        <w:pStyle w:val="Caption"/>
      </w:pPr>
      <w:r w:rsidRPr="00EB2092">
        <w:lastRenderedPageBreak/>
        <w:t>Table 2–</w:t>
      </w:r>
      <w:r w:rsidRPr="007D6E09">
        <w:rPr>
          <w:bCs w:val="0"/>
        </w:rPr>
        <w:fldChar w:fldCharType="begin"/>
      </w:r>
      <w:r w:rsidRPr="00EB2092">
        <w:rPr>
          <w:bCs w:val="0"/>
        </w:rPr>
        <w:instrText xml:space="preserve"> SEQ Table \* ARABIC \s 1 </w:instrText>
      </w:r>
      <w:r w:rsidRPr="007D6E09">
        <w:rPr>
          <w:bCs w:val="0"/>
        </w:rPr>
        <w:fldChar w:fldCharType="separate"/>
      </w:r>
      <w:r w:rsidR="0021372B">
        <w:rPr>
          <w:bCs w:val="0"/>
          <w:noProof/>
        </w:rPr>
        <w:t>1</w:t>
      </w:r>
      <w:r w:rsidRPr="007D6E09">
        <w:rPr>
          <w:bCs w:val="0"/>
          <w:noProof/>
          <w:color w:val="auto"/>
        </w:rPr>
        <w:fldChar w:fldCharType="end"/>
      </w:r>
      <w:r w:rsidRPr="00EB2092">
        <w:t>: Receipts</w:t>
      </w:r>
    </w:p>
    <w:tbl>
      <w:tblPr>
        <w:tblW w:w="5000" w:type="pct"/>
        <w:tblLook w:val="04A0" w:firstRow="1" w:lastRow="0" w:firstColumn="1" w:lastColumn="0" w:noHBand="0" w:noVBand="1"/>
      </w:tblPr>
      <w:tblGrid>
        <w:gridCol w:w="2549"/>
        <w:gridCol w:w="839"/>
        <w:gridCol w:w="104"/>
        <w:gridCol w:w="730"/>
        <w:gridCol w:w="839"/>
        <w:gridCol w:w="839"/>
        <w:gridCol w:w="1151"/>
        <w:gridCol w:w="1077"/>
        <w:gridCol w:w="1159"/>
      </w:tblGrid>
      <w:tr w:rsidR="007377A9" w:rsidRPr="00EB2092" w14:paraId="53E0D27D" w14:textId="77777777" w:rsidTr="00474A77">
        <w:trPr>
          <w:trHeight w:val="780"/>
        </w:trPr>
        <w:tc>
          <w:tcPr>
            <w:tcW w:w="1376" w:type="pct"/>
            <w:vMerge w:val="restart"/>
            <w:tcBorders>
              <w:top w:val="single" w:sz="4" w:space="0" w:color="auto"/>
              <w:left w:val="single" w:sz="4" w:space="0" w:color="auto"/>
              <w:bottom w:val="nil"/>
              <w:right w:val="single" w:sz="8" w:space="0" w:color="FFFFFF"/>
            </w:tcBorders>
            <w:shd w:val="clear" w:color="000000" w:fill="3D4D7D"/>
            <w:vAlign w:val="center"/>
            <w:hideMark/>
          </w:tcPr>
          <w:p w14:paraId="47BE18A6" w14:textId="77777777" w:rsidR="007377A9" w:rsidRPr="00EB2092" w:rsidRDefault="007377A9" w:rsidP="00474A77">
            <w:pPr>
              <w:spacing w:line="240" w:lineRule="auto"/>
              <w:jc w:val="center"/>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Receipts</w:t>
            </w:r>
          </w:p>
        </w:tc>
        <w:tc>
          <w:tcPr>
            <w:tcW w:w="910" w:type="pct"/>
            <w:gridSpan w:val="3"/>
            <w:tcBorders>
              <w:top w:val="single" w:sz="4" w:space="0" w:color="auto"/>
              <w:left w:val="nil"/>
              <w:bottom w:val="single" w:sz="8" w:space="0" w:color="FFFFFF"/>
              <w:right w:val="single" w:sz="8" w:space="0" w:color="FFFFFF"/>
            </w:tcBorders>
            <w:shd w:val="clear" w:color="000000" w:fill="3D4D7D"/>
            <w:vAlign w:val="center"/>
            <w:hideMark/>
          </w:tcPr>
          <w:p w14:paraId="62C482C7" w14:textId="77777777" w:rsidR="007377A9" w:rsidRPr="0050447F" w:rsidRDefault="007377A9" w:rsidP="00474A77">
            <w:pPr>
              <w:spacing w:line="240" w:lineRule="auto"/>
              <w:jc w:val="center"/>
              <w:rPr>
                <w:rFonts w:ascii="Calibri" w:eastAsia="Times New Roman" w:hAnsi="Calibri" w:cs="Times New Roman"/>
                <w:b/>
                <w:bCs/>
                <w:color w:val="FFFFFF"/>
                <w:sz w:val="20"/>
                <w:szCs w:val="20"/>
                <w:lang w:eastAsia="en-AU"/>
              </w:rPr>
            </w:pPr>
            <w:r w:rsidRPr="0050447F">
              <w:rPr>
                <w:rFonts w:ascii="Calibri" w:eastAsia="Times New Roman" w:hAnsi="Calibri" w:cs="Times New Roman"/>
                <w:b/>
                <w:bCs/>
                <w:color w:val="FFFFFF"/>
                <w:sz w:val="20"/>
                <w:szCs w:val="20"/>
                <w:lang w:eastAsia="en-AU"/>
              </w:rPr>
              <w:t>Nominal receipts</w:t>
            </w:r>
          </w:p>
        </w:tc>
        <w:tc>
          <w:tcPr>
            <w:tcW w:w="910" w:type="pct"/>
            <w:gridSpan w:val="2"/>
            <w:tcBorders>
              <w:top w:val="single" w:sz="4" w:space="0" w:color="auto"/>
              <w:left w:val="nil"/>
              <w:bottom w:val="single" w:sz="8" w:space="0" w:color="FFFFFF"/>
              <w:right w:val="single" w:sz="8" w:space="0" w:color="FFFFFF"/>
            </w:tcBorders>
            <w:shd w:val="clear" w:color="000000" w:fill="3D4D7D"/>
            <w:vAlign w:val="center"/>
            <w:hideMark/>
          </w:tcPr>
          <w:p w14:paraId="27D9EA68" w14:textId="77777777" w:rsidR="007377A9" w:rsidRPr="00A42D18" w:rsidRDefault="007377A9" w:rsidP="00474A77">
            <w:pPr>
              <w:spacing w:line="240" w:lineRule="auto"/>
              <w:jc w:val="center"/>
              <w:rPr>
                <w:rFonts w:ascii="Calibri" w:eastAsia="Times New Roman" w:hAnsi="Calibri" w:cs="Times New Roman"/>
                <w:b/>
                <w:bCs/>
                <w:color w:val="FFFFFF"/>
                <w:sz w:val="20"/>
                <w:szCs w:val="20"/>
                <w:lang w:eastAsia="en-AU"/>
              </w:rPr>
            </w:pPr>
            <w:r w:rsidRPr="00A42D18">
              <w:rPr>
                <w:rFonts w:ascii="Calibri" w:eastAsia="Times New Roman" w:hAnsi="Calibri" w:cs="Times New Roman"/>
                <w:b/>
                <w:bCs/>
                <w:color w:val="FFFFFF"/>
                <w:sz w:val="20"/>
                <w:szCs w:val="20"/>
                <w:lang w:eastAsia="en-AU"/>
              </w:rPr>
              <w:t>Per cent of GDP</w:t>
            </w:r>
          </w:p>
        </w:tc>
        <w:tc>
          <w:tcPr>
            <w:tcW w:w="594" w:type="pct"/>
            <w:tcBorders>
              <w:top w:val="single" w:sz="4" w:space="0" w:color="auto"/>
              <w:left w:val="nil"/>
              <w:bottom w:val="single" w:sz="8" w:space="0" w:color="FFFFFF"/>
              <w:right w:val="single" w:sz="8" w:space="0" w:color="FFFFFF"/>
            </w:tcBorders>
            <w:shd w:val="clear" w:color="000000" w:fill="3D4D7D"/>
            <w:vAlign w:val="center"/>
            <w:hideMark/>
          </w:tcPr>
          <w:p w14:paraId="6E0250A6" w14:textId="6C77911A" w:rsidR="007377A9" w:rsidRPr="009A1A17" w:rsidRDefault="007377A9" w:rsidP="00853E7B">
            <w:pPr>
              <w:spacing w:line="240" w:lineRule="auto"/>
              <w:jc w:val="center"/>
              <w:rPr>
                <w:rFonts w:ascii="Calibri" w:eastAsia="Times New Roman" w:hAnsi="Calibri" w:cs="Times New Roman"/>
                <w:b/>
                <w:bCs/>
                <w:color w:val="FFFFFF"/>
                <w:sz w:val="20"/>
                <w:szCs w:val="20"/>
                <w:lang w:eastAsia="en-AU"/>
              </w:rPr>
            </w:pPr>
            <w:r w:rsidRPr="009A1A17">
              <w:rPr>
                <w:rFonts w:ascii="Calibri" w:eastAsia="Times New Roman" w:hAnsi="Calibri" w:cs="Times New Roman"/>
                <w:b/>
                <w:bCs/>
                <w:color w:val="FFFFFF"/>
                <w:sz w:val="20"/>
                <w:szCs w:val="20"/>
                <w:lang w:eastAsia="en-AU"/>
              </w:rPr>
              <w:t>Change in per</w:t>
            </w:r>
            <w:r w:rsidR="00853E7B">
              <w:rPr>
                <w:rFonts w:ascii="Calibri" w:eastAsia="Times New Roman" w:hAnsi="Calibri" w:cs="Times New Roman"/>
                <w:b/>
                <w:bCs/>
                <w:color w:val="FFFFFF"/>
                <w:sz w:val="20"/>
                <w:szCs w:val="20"/>
                <w:lang w:eastAsia="en-AU"/>
              </w:rPr>
              <w:t>centage points</w:t>
            </w:r>
            <w:r w:rsidRPr="009A1A17">
              <w:rPr>
                <w:rFonts w:ascii="Calibri" w:eastAsia="Times New Roman" w:hAnsi="Calibri" w:cs="Times New Roman"/>
                <w:b/>
                <w:bCs/>
                <w:color w:val="FFFFFF"/>
                <w:sz w:val="20"/>
                <w:szCs w:val="20"/>
                <w:lang w:eastAsia="en-AU"/>
              </w:rPr>
              <w:t xml:space="preserve"> of GDP</w:t>
            </w:r>
          </w:p>
        </w:tc>
        <w:tc>
          <w:tcPr>
            <w:tcW w:w="583" w:type="pct"/>
            <w:tcBorders>
              <w:top w:val="single" w:sz="4" w:space="0" w:color="auto"/>
              <w:left w:val="nil"/>
              <w:bottom w:val="single" w:sz="8" w:space="0" w:color="FFFFFF"/>
              <w:right w:val="single" w:sz="8" w:space="0" w:color="FFFFFF"/>
            </w:tcBorders>
            <w:shd w:val="clear" w:color="000000" w:fill="3D4D7D"/>
            <w:vAlign w:val="center"/>
            <w:hideMark/>
          </w:tcPr>
          <w:p w14:paraId="69DCEB56" w14:textId="77777777" w:rsidR="007377A9" w:rsidRPr="00372C38" w:rsidRDefault="007377A9" w:rsidP="00474A77">
            <w:pPr>
              <w:spacing w:line="240" w:lineRule="auto"/>
              <w:jc w:val="center"/>
              <w:rPr>
                <w:rFonts w:ascii="Calibri" w:eastAsia="Times New Roman" w:hAnsi="Calibri" w:cs="Times New Roman"/>
                <w:b/>
                <w:bCs/>
                <w:color w:val="FFFFFF"/>
                <w:sz w:val="20"/>
                <w:szCs w:val="20"/>
                <w:lang w:eastAsia="en-AU"/>
              </w:rPr>
            </w:pPr>
            <w:r w:rsidRPr="00372C38">
              <w:rPr>
                <w:rFonts w:ascii="Calibri" w:eastAsia="Times New Roman" w:hAnsi="Calibri" w:cs="Times New Roman"/>
                <w:b/>
                <w:bCs/>
                <w:color w:val="FFFFFF"/>
                <w:sz w:val="20"/>
                <w:szCs w:val="20"/>
                <w:lang w:eastAsia="en-AU"/>
              </w:rPr>
              <w:t>Annual real growth</w:t>
            </w:r>
          </w:p>
        </w:tc>
        <w:tc>
          <w:tcPr>
            <w:tcW w:w="627" w:type="pct"/>
            <w:tcBorders>
              <w:top w:val="single" w:sz="4" w:space="0" w:color="auto"/>
              <w:left w:val="nil"/>
              <w:bottom w:val="single" w:sz="8" w:space="0" w:color="FFFFFF"/>
              <w:right w:val="nil"/>
            </w:tcBorders>
            <w:shd w:val="clear" w:color="000000" w:fill="3D4D7D"/>
            <w:vAlign w:val="center"/>
            <w:hideMark/>
          </w:tcPr>
          <w:p w14:paraId="5B3D25D2" w14:textId="77777777" w:rsidR="007377A9" w:rsidRPr="00EB2092" w:rsidRDefault="007377A9" w:rsidP="00474A77">
            <w:pPr>
              <w:spacing w:line="240" w:lineRule="auto"/>
              <w:jc w:val="center"/>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Share of total receipts</w:t>
            </w:r>
          </w:p>
        </w:tc>
      </w:tr>
      <w:tr w:rsidR="007377A9" w:rsidRPr="00EB2092" w14:paraId="719FC828" w14:textId="77777777" w:rsidTr="00474A77">
        <w:trPr>
          <w:trHeight w:val="255"/>
        </w:trPr>
        <w:tc>
          <w:tcPr>
            <w:tcW w:w="1376" w:type="pct"/>
            <w:vMerge/>
            <w:tcBorders>
              <w:top w:val="nil"/>
              <w:left w:val="single" w:sz="4" w:space="0" w:color="auto"/>
              <w:bottom w:val="nil"/>
              <w:right w:val="single" w:sz="8" w:space="0" w:color="FFFFFF"/>
            </w:tcBorders>
            <w:vAlign w:val="center"/>
            <w:hideMark/>
          </w:tcPr>
          <w:p w14:paraId="72F7E025" w14:textId="77777777" w:rsidR="007377A9" w:rsidRPr="00EB2092" w:rsidRDefault="007377A9" w:rsidP="00474A77">
            <w:pPr>
              <w:spacing w:line="240" w:lineRule="auto"/>
              <w:rPr>
                <w:rFonts w:ascii="Calibri" w:eastAsia="Times New Roman" w:hAnsi="Calibri" w:cs="Times New Roman"/>
                <w:b/>
                <w:bCs/>
                <w:color w:val="FFFFFF"/>
                <w:sz w:val="20"/>
                <w:szCs w:val="20"/>
                <w:lang w:eastAsia="en-AU"/>
              </w:rPr>
            </w:pPr>
          </w:p>
        </w:tc>
        <w:tc>
          <w:tcPr>
            <w:tcW w:w="514" w:type="pct"/>
            <w:gridSpan w:val="2"/>
            <w:tcBorders>
              <w:top w:val="nil"/>
              <w:left w:val="nil"/>
              <w:bottom w:val="nil"/>
              <w:right w:val="nil"/>
            </w:tcBorders>
            <w:shd w:val="clear" w:color="000000" w:fill="3D4D7D"/>
            <w:vAlign w:val="center"/>
            <w:hideMark/>
          </w:tcPr>
          <w:p w14:paraId="2A5EEA5F" w14:textId="77777777" w:rsidR="007377A9" w:rsidRPr="00EB2092" w:rsidRDefault="007377A9" w:rsidP="00474A77">
            <w:pPr>
              <w:spacing w:line="240" w:lineRule="auto"/>
              <w:jc w:val="center"/>
              <w:rPr>
                <w:rFonts w:ascii="Calibri" w:eastAsia="Times New Roman" w:hAnsi="Calibri" w:cs="Times New Roman"/>
                <w:b/>
                <w:bCs/>
                <w:color w:val="FFFFFF"/>
                <w:sz w:val="18"/>
                <w:szCs w:val="18"/>
                <w:lang w:eastAsia="en-AU"/>
              </w:rPr>
            </w:pPr>
            <w:r w:rsidRPr="00EB2092">
              <w:rPr>
                <w:rFonts w:ascii="Calibri" w:eastAsia="Times New Roman" w:hAnsi="Calibri" w:cs="Times New Roman"/>
                <w:b/>
                <w:bCs/>
                <w:color w:val="FFFFFF"/>
                <w:sz w:val="18"/>
                <w:szCs w:val="18"/>
                <w:lang w:eastAsia="en-AU"/>
              </w:rPr>
              <w:t>2018-</w:t>
            </w:r>
          </w:p>
          <w:p w14:paraId="16520CD1" w14:textId="77777777" w:rsidR="007377A9" w:rsidRPr="00EB2092" w:rsidRDefault="007377A9" w:rsidP="00474A77">
            <w:pPr>
              <w:spacing w:line="240" w:lineRule="auto"/>
              <w:jc w:val="center"/>
              <w:rPr>
                <w:rFonts w:ascii="Calibri" w:eastAsia="Times New Roman" w:hAnsi="Calibri" w:cs="Times New Roman"/>
                <w:b/>
                <w:bCs/>
                <w:color w:val="FFFFFF"/>
                <w:sz w:val="18"/>
                <w:szCs w:val="18"/>
                <w:lang w:eastAsia="en-AU"/>
              </w:rPr>
            </w:pPr>
            <w:r w:rsidRPr="00EB2092">
              <w:rPr>
                <w:rFonts w:ascii="Calibri" w:eastAsia="Times New Roman" w:hAnsi="Calibri" w:cs="Times New Roman"/>
                <w:b/>
                <w:bCs/>
                <w:color w:val="FFFFFF"/>
                <w:sz w:val="18"/>
                <w:szCs w:val="18"/>
                <w:lang w:eastAsia="en-AU"/>
              </w:rPr>
              <w:t>19</w:t>
            </w:r>
          </w:p>
        </w:tc>
        <w:tc>
          <w:tcPr>
            <w:tcW w:w="396" w:type="pct"/>
            <w:tcBorders>
              <w:top w:val="nil"/>
              <w:left w:val="nil"/>
              <w:bottom w:val="nil"/>
              <w:right w:val="single" w:sz="8" w:space="0" w:color="FFFFFF"/>
            </w:tcBorders>
            <w:shd w:val="clear" w:color="000000" w:fill="3D4D7D"/>
            <w:vAlign w:val="center"/>
            <w:hideMark/>
          </w:tcPr>
          <w:p w14:paraId="64C25A48" w14:textId="77777777" w:rsidR="007377A9" w:rsidRPr="00EB2092" w:rsidRDefault="007377A9" w:rsidP="00474A77">
            <w:pPr>
              <w:spacing w:line="240" w:lineRule="auto"/>
              <w:jc w:val="center"/>
              <w:rPr>
                <w:rFonts w:ascii="Calibri" w:eastAsia="Times New Roman" w:hAnsi="Calibri" w:cs="Times New Roman"/>
                <w:b/>
                <w:bCs/>
                <w:color w:val="FFFFFF"/>
                <w:sz w:val="18"/>
                <w:szCs w:val="18"/>
                <w:lang w:eastAsia="en-AU"/>
              </w:rPr>
            </w:pPr>
            <w:r w:rsidRPr="00EB2092">
              <w:rPr>
                <w:rFonts w:ascii="Calibri" w:eastAsia="Times New Roman" w:hAnsi="Calibri" w:cs="Times New Roman"/>
                <w:b/>
                <w:bCs/>
                <w:color w:val="FFFFFF"/>
                <w:sz w:val="18"/>
                <w:szCs w:val="18"/>
                <w:lang w:eastAsia="en-AU"/>
              </w:rPr>
              <w:t>2030-31</w:t>
            </w:r>
          </w:p>
        </w:tc>
        <w:tc>
          <w:tcPr>
            <w:tcW w:w="455" w:type="pct"/>
            <w:tcBorders>
              <w:top w:val="nil"/>
              <w:left w:val="nil"/>
              <w:bottom w:val="nil"/>
              <w:right w:val="nil"/>
            </w:tcBorders>
            <w:shd w:val="clear" w:color="000000" w:fill="3D4D7D"/>
            <w:vAlign w:val="center"/>
            <w:hideMark/>
          </w:tcPr>
          <w:p w14:paraId="0F0E6A61" w14:textId="77777777" w:rsidR="007377A9" w:rsidRPr="00EB2092" w:rsidRDefault="007377A9" w:rsidP="00474A77">
            <w:pPr>
              <w:spacing w:line="240" w:lineRule="auto"/>
              <w:jc w:val="center"/>
              <w:rPr>
                <w:rFonts w:ascii="Calibri" w:eastAsia="Times New Roman" w:hAnsi="Calibri" w:cs="Times New Roman"/>
                <w:b/>
                <w:bCs/>
                <w:color w:val="FFFFFF"/>
                <w:sz w:val="18"/>
                <w:szCs w:val="18"/>
                <w:lang w:eastAsia="en-AU"/>
              </w:rPr>
            </w:pPr>
            <w:r w:rsidRPr="00EB2092">
              <w:rPr>
                <w:rFonts w:ascii="Calibri" w:eastAsia="Times New Roman" w:hAnsi="Calibri" w:cs="Times New Roman"/>
                <w:b/>
                <w:bCs/>
                <w:color w:val="FFFFFF"/>
                <w:sz w:val="18"/>
                <w:szCs w:val="18"/>
                <w:lang w:eastAsia="en-AU"/>
              </w:rPr>
              <w:t>2018-</w:t>
            </w:r>
          </w:p>
          <w:p w14:paraId="3713C622" w14:textId="77777777" w:rsidR="007377A9" w:rsidRPr="00EB2092" w:rsidRDefault="007377A9" w:rsidP="00474A77">
            <w:pPr>
              <w:spacing w:line="240" w:lineRule="auto"/>
              <w:jc w:val="center"/>
              <w:rPr>
                <w:rFonts w:ascii="Calibri" w:eastAsia="Times New Roman" w:hAnsi="Calibri" w:cs="Times New Roman"/>
                <w:b/>
                <w:bCs/>
                <w:color w:val="FFFFFF"/>
                <w:sz w:val="18"/>
                <w:szCs w:val="18"/>
                <w:lang w:eastAsia="en-AU"/>
              </w:rPr>
            </w:pPr>
            <w:r w:rsidRPr="00EB2092">
              <w:rPr>
                <w:rFonts w:ascii="Calibri" w:eastAsia="Times New Roman" w:hAnsi="Calibri" w:cs="Times New Roman"/>
                <w:b/>
                <w:bCs/>
                <w:color w:val="FFFFFF"/>
                <w:sz w:val="18"/>
                <w:szCs w:val="18"/>
                <w:lang w:eastAsia="en-AU"/>
              </w:rPr>
              <w:t>19</w:t>
            </w:r>
          </w:p>
        </w:tc>
        <w:tc>
          <w:tcPr>
            <w:tcW w:w="455" w:type="pct"/>
            <w:tcBorders>
              <w:top w:val="nil"/>
              <w:left w:val="nil"/>
              <w:bottom w:val="nil"/>
              <w:right w:val="single" w:sz="8" w:space="0" w:color="FFFFFF"/>
            </w:tcBorders>
            <w:shd w:val="clear" w:color="000000" w:fill="3D4D7D"/>
            <w:vAlign w:val="center"/>
            <w:hideMark/>
          </w:tcPr>
          <w:p w14:paraId="0CA4D75A" w14:textId="77777777" w:rsidR="007377A9" w:rsidRPr="00EB2092" w:rsidRDefault="007377A9" w:rsidP="00474A77">
            <w:pPr>
              <w:spacing w:line="240" w:lineRule="auto"/>
              <w:jc w:val="center"/>
              <w:rPr>
                <w:rFonts w:ascii="Calibri" w:eastAsia="Times New Roman" w:hAnsi="Calibri" w:cs="Times New Roman"/>
                <w:b/>
                <w:bCs/>
                <w:color w:val="FFFFFF"/>
                <w:sz w:val="18"/>
                <w:szCs w:val="18"/>
                <w:lang w:eastAsia="en-AU"/>
              </w:rPr>
            </w:pPr>
            <w:r w:rsidRPr="00EB2092">
              <w:rPr>
                <w:rFonts w:ascii="Calibri" w:eastAsia="Times New Roman" w:hAnsi="Calibri" w:cs="Times New Roman"/>
                <w:b/>
                <w:bCs/>
                <w:color w:val="FFFFFF"/>
                <w:sz w:val="18"/>
                <w:szCs w:val="18"/>
                <w:lang w:eastAsia="en-AU"/>
              </w:rPr>
              <w:t>2030-</w:t>
            </w:r>
          </w:p>
          <w:p w14:paraId="2AE658BC" w14:textId="77777777" w:rsidR="007377A9" w:rsidRPr="00EB2092" w:rsidRDefault="007377A9" w:rsidP="00474A77">
            <w:pPr>
              <w:spacing w:line="240" w:lineRule="auto"/>
              <w:jc w:val="center"/>
              <w:rPr>
                <w:rFonts w:ascii="Calibri" w:eastAsia="Times New Roman" w:hAnsi="Calibri" w:cs="Times New Roman"/>
                <w:b/>
                <w:bCs/>
                <w:color w:val="FFFFFF"/>
                <w:sz w:val="18"/>
                <w:szCs w:val="18"/>
                <w:lang w:eastAsia="en-AU"/>
              </w:rPr>
            </w:pPr>
            <w:r w:rsidRPr="00EB2092">
              <w:rPr>
                <w:rFonts w:ascii="Calibri" w:eastAsia="Times New Roman" w:hAnsi="Calibri" w:cs="Times New Roman"/>
                <w:b/>
                <w:bCs/>
                <w:color w:val="FFFFFF"/>
                <w:sz w:val="18"/>
                <w:szCs w:val="18"/>
                <w:lang w:eastAsia="en-AU"/>
              </w:rPr>
              <w:t>31</w:t>
            </w:r>
          </w:p>
        </w:tc>
        <w:tc>
          <w:tcPr>
            <w:tcW w:w="1177" w:type="pct"/>
            <w:gridSpan w:val="2"/>
            <w:tcBorders>
              <w:top w:val="single" w:sz="8" w:space="0" w:color="FFFFFF"/>
              <w:left w:val="nil"/>
              <w:bottom w:val="nil"/>
              <w:right w:val="single" w:sz="8" w:space="0" w:color="FFFFFF"/>
            </w:tcBorders>
            <w:shd w:val="clear" w:color="000000" w:fill="3D4D7D"/>
            <w:vAlign w:val="center"/>
            <w:hideMark/>
          </w:tcPr>
          <w:p w14:paraId="61E6F13F" w14:textId="77777777" w:rsidR="007377A9" w:rsidRPr="00EB2092" w:rsidRDefault="007377A9" w:rsidP="00474A77">
            <w:pPr>
              <w:spacing w:line="240" w:lineRule="auto"/>
              <w:jc w:val="center"/>
              <w:rPr>
                <w:rFonts w:ascii="Calibri" w:eastAsia="Times New Roman" w:hAnsi="Calibri" w:cs="Times New Roman"/>
                <w:b/>
                <w:bCs/>
                <w:color w:val="FFFFFF"/>
                <w:sz w:val="18"/>
                <w:szCs w:val="18"/>
                <w:lang w:eastAsia="en-AU"/>
              </w:rPr>
            </w:pPr>
            <w:r w:rsidRPr="00EB2092">
              <w:rPr>
                <w:rFonts w:ascii="Calibri" w:eastAsia="Times New Roman" w:hAnsi="Calibri" w:cs="Times New Roman"/>
                <w:b/>
                <w:bCs/>
                <w:color w:val="FFFFFF"/>
                <w:sz w:val="18"/>
                <w:szCs w:val="18"/>
                <w:lang w:eastAsia="en-AU"/>
              </w:rPr>
              <w:t>2018-19 to 2030-31</w:t>
            </w:r>
          </w:p>
        </w:tc>
        <w:tc>
          <w:tcPr>
            <w:tcW w:w="627" w:type="pct"/>
            <w:tcBorders>
              <w:top w:val="nil"/>
              <w:left w:val="nil"/>
              <w:bottom w:val="nil"/>
              <w:right w:val="nil"/>
            </w:tcBorders>
            <w:shd w:val="clear" w:color="000000" w:fill="3D4D7D"/>
            <w:vAlign w:val="center"/>
            <w:hideMark/>
          </w:tcPr>
          <w:p w14:paraId="73C1ECA1" w14:textId="77777777" w:rsidR="007377A9" w:rsidRPr="00EB2092" w:rsidRDefault="007377A9" w:rsidP="00474A77">
            <w:pPr>
              <w:spacing w:line="240" w:lineRule="auto"/>
              <w:jc w:val="center"/>
              <w:rPr>
                <w:rFonts w:ascii="Calibri" w:eastAsia="Times New Roman" w:hAnsi="Calibri" w:cs="Times New Roman"/>
                <w:b/>
                <w:bCs/>
                <w:color w:val="FFFFFF"/>
                <w:sz w:val="18"/>
                <w:szCs w:val="18"/>
                <w:lang w:eastAsia="en-AU"/>
              </w:rPr>
            </w:pPr>
            <w:r w:rsidRPr="00EB2092">
              <w:rPr>
                <w:rFonts w:ascii="Calibri" w:eastAsia="Times New Roman" w:hAnsi="Calibri" w:cs="Times New Roman"/>
                <w:b/>
                <w:bCs/>
                <w:color w:val="FFFFFF"/>
                <w:sz w:val="18"/>
                <w:szCs w:val="18"/>
                <w:lang w:eastAsia="en-AU"/>
              </w:rPr>
              <w:t>2030-31</w:t>
            </w:r>
          </w:p>
        </w:tc>
      </w:tr>
      <w:tr w:rsidR="007377A9" w:rsidRPr="00EB2092" w14:paraId="1F5BD522" w14:textId="77777777" w:rsidTr="00474A77">
        <w:trPr>
          <w:trHeight w:val="255"/>
        </w:trPr>
        <w:tc>
          <w:tcPr>
            <w:tcW w:w="1376" w:type="pct"/>
            <w:tcBorders>
              <w:top w:val="nil"/>
              <w:left w:val="single" w:sz="4" w:space="0" w:color="auto"/>
              <w:bottom w:val="nil"/>
              <w:right w:val="single" w:sz="4" w:space="0" w:color="3D4D7D"/>
            </w:tcBorders>
            <w:shd w:val="clear" w:color="000000" w:fill="7C8CBF"/>
            <w:vAlign w:val="center"/>
            <w:hideMark/>
          </w:tcPr>
          <w:p w14:paraId="19CEA77C" w14:textId="77777777" w:rsidR="007377A9" w:rsidRPr="00EB2092" w:rsidRDefault="007377A9" w:rsidP="00474A77">
            <w:pPr>
              <w:spacing w:line="240" w:lineRule="auto"/>
              <w:rPr>
                <w:rFonts w:ascii="Calibri" w:eastAsia="Times New Roman" w:hAnsi="Calibri" w:cs="Times New Roman"/>
                <w:color w:val="000000"/>
                <w:sz w:val="14"/>
                <w:szCs w:val="14"/>
                <w:lang w:eastAsia="en-AU"/>
              </w:rPr>
            </w:pPr>
            <w:r w:rsidRPr="00EB2092">
              <w:rPr>
                <w:rFonts w:ascii="Calibri" w:eastAsia="Times New Roman" w:hAnsi="Calibri" w:cs="Times New Roman"/>
                <w:color w:val="000000"/>
                <w:sz w:val="14"/>
                <w:szCs w:val="14"/>
                <w:lang w:eastAsia="en-AU"/>
              </w:rPr>
              <w:t> </w:t>
            </w:r>
          </w:p>
        </w:tc>
        <w:tc>
          <w:tcPr>
            <w:tcW w:w="910" w:type="pct"/>
            <w:gridSpan w:val="3"/>
            <w:tcBorders>
              <w:top w:val="nil"/>
              <w:left w:val="nil"/>
              <w:bottom w:val="nil"/>
              <w:right w:val="single" w:sz="4" w:space="0" w:color="3D4D7D"/>
            </w:tcBorders>
            <w:shd w:val="clear" w:color="000000" w:fill="7C8CBF"/>
            <w:vAlign w:val="center"/>
            <w:hideMark/>
          </w:tcPr>
          <w:p w14:paraId="27FC0AC1" w14:textId="77777777" w:rsidR="007377A9" w:rsidRPr="00EB2092" w:rsidRDefault="007377A9" w:rsidP="00474A77">
            <w:pPr>
              <w:spacing w:line="240" w:lineRule="auto"/>
              <w:jc w:val="center"/>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$b</w:t>
            </w:r>
          </w:p>
        </w:tc>
        <w:tc>
          <w:tcPr>
            <w:tcW w:w="910" w:type="pct"/>
            <w:gridSpan w:val="2"/>
            <w:tcBorders>
              <w:top w:val="nil"/>
              <w:left w:val="nil"/>
              <w:bottom w:val="nil"/>
              <w:right w:val="single" w:sz="4" w:space="0" w:color="3D4D7D"/>
            </w:tcBorders>
            <w:shd w:val="clear" w:color="000000" w:fill="7C8CBF"/>
            <w:vAlign w:val="center"/>
            <w:hideMark/>
          </w:tcPr>
          <w:p w14:paraId="0B354544" w14:textId="77777777" w:rsidR="007377A9" w:rsidRPr="00EB2092" w:rsidRDefault="007377A9" w:rsidP="00474A77">
            <w:pPr>
              <w:spacing w:line="240" w:lineRule="auto"/>
              <w:jc w:val="center"/>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w:t>
            </w:r>
          </w:p>
        </w:tc>
        <w:tc>
          <w:tcPr>
            <w:tcW w:w="594" w:type="pct"/>
            <w:tcBorders>
              <w:top w:val="nil"/>
              <w:left w:val="nil"/>
              <w:bottom w:val="nil"/>
              <w:right w:val="single" w:sz="4" w:space="0" w:color="3D4D7D"/>
            </w:tcBorders>
            <w:shd w:val="clear" w:color="000000" w:fill="7C8CBF"/>
            <w:vAlign w:val="center"/>
            <w:hideMark/>
          </w:tcPr>
          <w:p w14:paraId="15AEE931" w14:textId="77777777" w:rsidR="007377A9" w:rsidRPr="00EB2092" w:rsidRDefault="007377A9" w:rsidP="00474A77">
            <w:pPr>
              <w:spacing w:line="240" w:lineRule="auto"/>
              <w:jc w:val="center"/>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w:t>
            </w:r>
          </w:p>
        </w:tc>
        <w:tc>
          <w:tcPr>
            <w:tcW w:w="583" w:type="pct"/>
            <w:tcBorders>
              <w:top w:val="nil"/>
              <w:left w:val="nil"/>
              <w:bottom w:val="nil"/>
              <w:right w:val="single" w:sz="4" w:space="0" w:color="3D4D7D"/>
            </w:tcBorders>
            <w:shd w:val="clear" w:color="000000" w:fill="7C8CBF"/>
            <w:vAlign w:val="center"/>
            <w:hideMark/>
          </w:tcPr>
          <w:p w14:paraId="7234CC12" w14:textId="77777777" w:rsidR="007377A9" w:rsidRPr="00EB2092" w:rsidRDefault="007377A9" w:rsidP="00474A77">
            <w:pPr>
              <w:spacing w:line="240" w:lineRule="auto"/>
              <w:jc w:val="center"/>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w:t>
            </w:r>
          </w:p>
        </w:tc>
        <w:tc>
          <w:tcPr>
            <w:tcW w:w="627" w:type="pct"/>
            <w:tcBorders>
              <w:top w:val="nil"/>
              <w:left w:val="nil"/>
              <w:bottom w:val="nil"/>
              <w:right w:val="single" w:sz="4" w:space="0" w:color="3D4D7D"/>
            </w:tcBorders>
            <w:shd w:val="clear" w:color="000000" w:fill="7C8CBF"/>
            <w:vAlign w:val="center"/>
            <w:hideMark/>
          </w:tcPr>
          <w:p w14:paraId="6E85D57B" w14:textId="77777777" w:rsidR="007377A9" w:rsidRPr="00EB2092" w:rsidRDefault="007377A9" w:rsidP="00474A77">
            <w:pPr>
              <w:spacing w:line="240" w:lineRule="auto"/>
              <w:jc w:val="center"/>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w:t>
            </w:r>
          </w:p>
        </w:tc>
      </w:tr>
      <w:tr w:rsidR="007377A9" w:rsidRPr="00EB2092" w14:paraId="1AE087DF" w14:textId="77777777" w:rsidTr="00474A77">
        <w:trPr>
          <w:trHeight w:val="510"/>
        </w:trPr>
        <w:tc>
          <w:tcPr>
            <w:tcW w:w="1376" w:type="pct"/>
            <w:tcBorders>
              <w:top w:val="nil"/>
              <w:left w:val="single" w:sz="4" w:space="0" w:color="auto"/>
              <w:bottom w:val="nil"/>
              <w:right w:val="single" w:sz="4" w:space="0" w:color="3D4D7D"/>
            </w:tcBorders>
            <w:shd w:val="clear" w:color="000000" w:fill="D3D8E9"/>
            <w:vAlign w:val="center"/>
            <w:hideMark/>
          </w:tcPr>
          <w:p w14:paraId="210C4029" w14:textId="77777777" w:rsidR="007377A9" w:rsidRPr="00EB2092" w:rsidRDefault="007377A9" w:rsidP="00474A77">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Individuals and other withholding taxes</w:t>
            </w:r>
          </w:p>
        </w:tc>
        <w:tc>
          <w:tcPr>
            <w:tcW w:w="455" w:type="pct"/>
            <w:tcBorders>
              <w:top w:val="nil"/>
              <w:left w:val="nil"/>
              <w:bottom w:val="nil"/>
              <w:right w:val="nil"/>
            </w:tcBorders>
            <w:shd w:val="clear" w:color="000000" w:fill="D3D8E9"/>
            <w:vAlign w:val="center"/>
            <w:hideMark/>
          </w:tcPr>
          <w:p w14:paraId="6E063152"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224</w:t>
            </w:r>
          </w:p>
        </w:tc>
        <w:tc>
          <w:tcPr>
            <w:tcW w:w="455" w:type="pct"/>
            <w:gridSpan w:val="2"/>
            <w:tcBorders>
              <w:top w:val="nil"/>
              <w:left w:val="nil"/>
              <w:bottom w:val="nil"/>
              <w:right w:val="single" w:sz="4" w:space="0" w:color="3D4D7D"/>
            </w:tcBorders>
            <w:shd w:val="clear" w:color="000000" w:fill="D3D8E9"/>
            <w:vAlign w:val="center"/>
            <w:hideMark/>
          </w:tcPr>
          <w:p w14:paraId="7E9EFB1D"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372</w:t>
            </w:r>
          </w:p>
        </w:tc>
        <w:tc>
          <w:tcPr>
            <w:tcW w:w="455" w:type="pct"/>
            <w:tcBorders>
              <w:top w:val="nil"/>
              <w:left w:val="nil"/>
              <w:bottom w:val="nil"/>
              <w:right w:val="nil"/>
            </w:tcBorders>
            <w:shd w:val="clear" w:color="000000" w:fill="D3D8E9"/>
            <w:vAlign w:val="center"/>
            <w:hideMark/>
          </w:tcPr>
          <w:p w14:paraId="34149021"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11.5</w:t>
            </w:r>
          </w:p>
        </w:tc>
        <w:tc>
          <w:tcPr>
            <w:tcW w:w="455" w:type="pct"/>
            <w:tcBorders>
              <w:top w:val="nil"/>
              <w:left w:val="nil"/>
              <w:bottom w:val="nil"/>
              <w:right w:val="single" w:sz="4" w:space="0" w:color="3D4D7D"/>
            </w:tcBorders>
            <w:shd w:val="clear" w:color="000000" w:fill="D3D8E9"/>
            <w:vAlign w:val="center"/>
            <w:hideMark/>
          </w:tcPr>
          <w:p w14:paraId="13EA20ED"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11.8</w:t>
            </w:r>
          </w:p>
        </w:tc>
        <w:tc>
          <w:tcPr>
            <w:tcW w:w="594" w:type="pct"/>
            <w:tcBorders>
              <w:top w:val="nil"/>
              <w:left w:val="nil"/>
              <w:bottom w:val="nil"/>
              <w:right w:val="single" w:sz="4" w:space="0" w:color="3D4D7D"/>
            </w:tcBorders>
            <w:shd w:val="clear" w:color="000000" w:fill="D3D8E9"/>
            <w:vAlign w:val="center"/>
            <w:hideMark/>
          </w:tcPr>
          <w:p w14:paraId="17FDDCE5"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0.3</w:t>
            </w:r>
          </w:p>
        </w:tc>
        <w:tc>
          <w:tcPr>
            <w:tcW w:w="583" w:type="pct"/>
            <w:tcBorders>
              <w:top w:val="nil"/>
              <w:left w:val="nil"/>
              <w:bottom w:val="nil"/>
              <w:right w:val="single" w:sz="4" w:space="0" w:color="3D4D7D"/>
            </w:tcBorders>
            <w:shd w:val="clear" w:color="000000" w:fill="D3D8E9"/>
            <w:vAlign w:val="center"/>
            <w:hideMark/>
          </w:tcPr>
          <w:p w14:paraId="01100AE5"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2.4</w:t>
            </w:r>
          </w:p>
        </w:tc>
        <w:tc>
          <w:tcPr>
            <w:tcW w:w="627" w:type="pct"/>
            <w:tcBorders>
              <w:top w:val="nil"/>
              <w:left w:val="nil"/>
              <w:bottom w:val="nil"/>
              <w:right w:val="single" w:sz="4" w:space="0" w:color="3D4D7D"/>
            </w:tcBorders>
            <w:shd w:val="clear" w:color="000000" w:fill="D3D8E9"/>
            <w:vAlign w:val="center"/>
            <w:hideMark/>
          </w:tcPr>
          <w:p w14:paraId="5F7EB487"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48.2</w:t>
            </w:r>
          </w:p>
        </w:tc>
      </w:tr>
      <w:tr w:rsidR="007377A9" w:rsidRPr="00EB2092" w14:paraId="24FC9B53" w14:textId="77777777" w:rsidTr="00474A77">
        <w:trPr>
          <w:trHeight w:val="323"/>
        </w:trPr>
        <w:tc>
          <w:tcPr>
            <w:tcW w:w="1376" w:type="pct"/>
            <w:tcBorders>
              <w:top w:val="nil"/>
              <w:left w:val="single" w:sz="4" w:space="0" w:color="auto"/>
              <w:bottom w:val="nil"/>
              <w:right w:val="single" w:sz="4" w:space="0" w:color="3D4D7D"/>
            </w:tcBorders>
            <w:shd w:val="clear" w:color="auto" w:fill="auto"/>
            <w:vAlign w:val="center"/>
            <w:hideMark/>
          </w:tcPr>
          <w:p w14:paraId="32C93960" w14:textId="4952ADDC" w:rsidR="007377A9" w:rsidRPr="00EB2092" w:rsidRDefault="00822BBA" w:rsidP="00474A77">
            <w:pPr>
              <w:spacing w:line="240" w:lineRule="auto"/>
              <w:rPr>
                <w:rFonts w:ascii="Calibri" w:eastAsia="Times New Roman" w:hAnsi="Calibri" w:cs="Times New Roman"/>
                <w:color w:val="000000"/>
                <w:sz w:val="20"/>
                <w:szCs w:val="20"/>
                <w:lang w:eastAsia="en-AU"/>
              </w:rPr>
            </w:pPr>
            <w:r>
              <w:rPr>
                <w:rFonts w:ascii="Calibri" w:eastAsia="Times New Roman" w:hAnsi="Calibri" w:cs="Times New Roman"/>
                <w:color w:val="000000"/>
                <w:sz w:val="20"/>
                <w:szCs w:val="20"/>
                <w:lang w:eastAsia="en-AU"/>
              </w:rPr>
              <w:t>Company tax</w:t>
            </w:r>
          </w:p>
        </w:tc>
        <w:tc>
          <w:tcPr>
            <w:tcW w:w="455" w:type="pct"/>
            <w:tcBorders>
              <w:top w:val="nil"/>
              <w:left w:val="nil"/>
              <w:bottom w:val="nil"/>
              <w:right w:val="nil"/>
            </w:tcBorders>
            <w:shd w:val="clear" w:color="auto" w:fill="auto"/>
            <w:vAlign w:val="center"/>
            <w:hideMark/>
          </w:tcPr>
          <w:p w14:paraId="6CAAD6AA"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94</w:t>
            </w:r>
          </w:p>
        </w:tc>
        <w:tc>
          <w:tcPr>
            <w:tcW w:w="455" w:type="pct"/>
            <w:gridSpan w:val="2"/>
            <w:tcBorders>
              <w:top w:val="nil"/>
              <w:left w:val="nil"/>
              <w:bottom w:val="nil"/>
              <w:right w:val="single" w:sz="4" w:space="0" w:color="3D4D7D"/>
            </w:tcBorders>
            <w:shd w:val="clear" w:color="auto" w:fill="auto"/>
            <w:vAlign w:val="center"/>
            <w:hideMark/>
          </w:tcPr>
          <w:p w14:paraId="70FA19D6"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134</w:t>
            </w:r>
          </w:p>
        </w:tc>
        <w:tc>
          <w:tcPr>
            <w:tcW w:w="455" w:type="pct"/>
            <w:tcBorders>
              <w:top w:val="nil"/>
              <w:left w:val="nil"/>
              <w:bottom w:val="nil"/>
              <w:right w:val="nil"/>
            </w:tcBorders>
            <w:shd w:val="clear" w:color="auto" w:fill="auto"/>
            <w:vAlign w:val="center"/>
            <w:hideMark/>
          </w:tcPr>
          <w:p w14:paraId="45BE1E1A"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4.8</w:t>
            </w:r>
          </w:p>
        </w:tc>
        <w:tc>
          <w:tcPr>
            <w:tcW w:w="455" w:type="pct"/>
            <w:tcBorders>
              <w:top w:val="nil"/>
              <w:left w:val="nil"/>
              <w:bottom w:val="nil"/>
              <w:right w:val="single" w:sz="4" w:space="0" w:color="3D4D7D"/>
            </w:tcBorders>
            <w:shd w:val="clear" w:color="auto" w:fill="auto"/>
            <w:vAlign w:val="center"/>
            <w:hideMark/>
          </w:tcPr>
          <w:p w14:paraId="2995B2EC"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4.2</w:t>
            </w:r>
          </w:p>
        </w:tc>
        <w:tc>
          <w:tcPr>
            <w:tcW w:w="594" w:type="pct"/>
            <w:tcBorders>
              <w:top w:val="nil"/>
              <w:left w:val="nil"/>
              <w:bottom w:val="nil"/>
              <w:right w:val="single" w:sz="4" w:space="0" w:color="3D4D7D"/>
            </w:tcBorders>
            <w:shd w:val="clear" w:color="auto" w:fill="auto"/>
            <w:vAlign w:val="center"/>
            <w:hideMark/>
          </w:tcPr>
          <w:p w14:paraId="6EFDDBA7"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-0.6</w:t>
            </w:r>
          </w:p>
        </w:tc>
        <w:tc>
          <w:tcPr>
            <w:tcW w:w="583" w:type="pct"/>
            <w:tcBorders>
              <w:top w:val="nil"/>
              <w:left w:val="nil"/>
              <w:bottom w:val="nil"/>
              <w:right w:val="single" w:sz="4" w:space="0" w:color="3D4D7D"/>
            </w:tcBorders>
            <w:shd w:val="clear" w:color="auto" w:fill="auto"/>
            <w:vAlign w:val="center"/>
            <w:hideMark/>
          </w:tcPr>
          <w:p w14:paraId="1BE0804B"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1.1</w:t>
            </w:r>
          </w:p>
        </w:tc>
        <w:tc>
          <w:tcPr>
            <w:tcW w:w="627" w:type="pct"/>
            <w:tcBorders>
              <w:top w:val="nil"/>
              <w:left w:val="nil"/>
              <w:bottom w:val="nil"/>
              <w:right w:val="single" w:sz="4" w:space="0" w:color="3D4D7D"/>
            </w:tcBorders>
            <w:shd w:val="clear" w:color="auto" w:fill="auto"/>
            <w:vAlign w:val="center"/>
            <w:hideMark/>
          </w:tcPr>
          <w:p w14:paraId="0EA68302"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17.4</w:t>
            </w:r>
          </w:p>
        </w:tc>
      </w:tr>
      <w:tr w:rsidR="007377A9" w:rsidRPr="00EB2092" w14:paraId="65B2D715" w14:textId="77777777" w:rsidTr="00474A77">
        <w:trPr>
          <w:trHeight w:val="323"/>
        </w:trPr>
        <w:tc>
          <w:tcPr>
            <w:tcW w:w="1376" w:type="pct"/>
            <w:tcBorders>
              <w:top w:val="nil"/>
              <w:left w:val="single" w:sz="4" w:space="0" w:color="auto"/>
              <w:bottom w:val="nil"/>
              <w:right w:val="single" w:sz="4" w:space="0" w:color="3D4D7D"/>
            </w:tcBorders>
            <w:shd w:val="clear" w:color="000000" w:fill="D3D8E9"/>
            <w:vAlign w:val="center"/>
            <w:hideMark/>
          </w:tcPr>
          <w:p w14:paraId="09DF9074" w14:textId="77777777" w:rsidR="007377A9" w:rsidRPr="00EB2092" w:rsidRDefault="007377A9" w:rsidP="00474A77">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Goods and services tax</w:t>
            </w:r>
          </w:p>
        </w:tc>
        <w:tc>
          <w:tcPr>
            <w:tcW w:w="455" w:type="pct"/>
            <w:tcBorders>
              <w:top w:val="nil"/>
              <w:left w:val="nil"/>
              <w:bottom w:val="nil"/>
              <w:right w:val="nil"/>
            </w:tcBorders>
            <w:shd w:val="clear" w:color="000000" w:fill="D3D8E9"/>
            <w:vAlign w:val="center"/>
            <w:hideMark/>
          </w:tcPr>
          <w:p w14:paraId="60B568B0"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65</w:t>
            </w:r>
          </w:p>
        </w:tc>
        <w:tc>
          <w:tcPr>
            <w:tcW w:w="455" w:type="pct"/>
            <w:gridSpan w:val="2"/>
            <w:tcBorders>
              <w:top w:val="nil"/>
              <w:left w:val="nil"/>
              <w:bottom w:val="nil"/>
              <w:right w:val="single" w:sz="4" w:space="0" w:color="3D4D7D"/>
            </w:tcBorders>
            <w:shd w:val="clear" w:color="000000" w:fill="D3D8E9"/>
            <w:vAlign w:val="center"/>
            <w:hideMark/>
          </w:tcPr>
          <w:p w14:paraId="2A7E0AC5"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106</w:t>
            </w:r>
          </w:p>
        </w:tc>
        <w:tc>
          <w:tcPr>
            <w:tcW w:w="455" w:type="pct"/>
            <w:tcBorders>
              <w:top w:val="nil"/>
              <w:left w:val="nil"/>
              <w:bottom w:val="nil"/>
              <w:right w:val="nil"/>
            </w:tcBorders>
            <w:shd w:val="clear" w:color="000000" w:fill="D3D8E9"/>
            <w:vAlign w:val="center"/>
            <w:hideMark/>
          </w:tcPr>
          <w:p w14:paraId="406FF172"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3.3</w:t>
            </w:r>
          </w:p>
        </w:tc>
        <w:tc>
          <w:tcPr>
            <w:tcW w:w="455" w:type="pct"/>
            <w:tcBorders>
              <w:top w:val="nil"/>
              <w:left w:val="nil"/>
              <w:bottom w:val="nil"/>
              <w:right w:val="single" w:sz="4" w:space="0" w:color="3D4D7D"/>
            </w:tcBorders>
            <w:shd w:val="clear" w:color="000000" w:fill="D3D8E9"/>
            <w:vAlign w:val="center"/>
            <w:hideMark/>
          </w:tcPr>
          <w:p w14:paraId="218E8000"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3.3</w:t>
            </w:r>
          </w:p>
        </w:tc>
        <w:tc>
          <w:tcPr>
            <w:tcW w:w="594" w:type="pct"/>
            <w:tcBorders>
              <w:top w:val="nil"/>
              <w:left w:val="nil"/>
              <w:bottom w:val="nil"/>
              <w:right w:val="single" w:sz="4" w:space="0" w:color="3D4D7D"/>
            </w:tcBorders>
            <w:shd w:val="clear" w:color="000000" w:fill="D3D8E9"/>
            <w:vAlign w:val="center"/>
            <w:hideMark/>
          </w:tcPr>
          <w:p w14:paraId="72D154D1"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0.0</w:t>
            </w:r>
          </w:p>
        </w:tc>
        <w:tc>
          <w:tcPr>
            <w:tcW w:w="583" w:type="pct"/>
            <w:tcBorders>
              <w:top w:val="nil"/>
              <w:left w:val="nil"/>
              <w:bottom w:val="nil"/>
              <w:right w:val="single" w:sz="4" w:space="0" w:color="3D4D7D"/>
            </w:tcBorders>
            <w:shd w:val="clear" w:color="000000" w:fill="D3D8E9"/>
            <w:vAlign w:val="center"/>
            <w:hideMark/>
          </w:tcPr>
          <w:p w14:paraId="63AFC771"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2.2</w:t>
            </w:r>
          </w:p>
        </w:tc>
        <w:tc>
          <w:tcPr>
            <w:tcW w:w="627" w:type="pct"/>
            <w:tcBorders>
              <w:top w:val="nil"/>
              <w:left w:val="nil"/>
              <w:bottom w:val="nil"/>
              <w:right w:val="single" w:sz="4" w:space="0" w:color="3D4D7D"/>
            </w:tcBorders>
            <w:shd w:val="clear" w:color="000000" w:fill="D3D8E9"/>
            <w:vAlign w:val="center"/>
            <w:hideMark/>
          </w:tcPr>
          <w:p w14:paraId="69831B15"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13.7</w:t>
            </w:r>
          </w:p>
        </w:tc>
      </w:tr>
      <w:tr w:rsidR="007377A9" w:rsidRPr="00EB2092" w14:paraId="0DE93FF2" w14:textId="77777777" w:rsidTr="00474A77">
        <w:trPr>
          <w:trHeight w:val="323"/>
        </w:trPr>
        <w:tc>
          <w:tcPr>
            <w:tcW w:w="1376" w:type="pct"/>
            <w:tcBorders>
              <w:top w:val="nil"/>
              <w:left w:val="single" w:sz="4" w:space="0" w:color="auto"/>
              <w:bottom w:val="nil"/>
              <w:right w:val="single" w:sz="4" w:space="0" w:color="3D4D7D"/>
            </w:tcBorders>
            <w:shd w:val="clear" w:color="auto" w:fill="auto"/>
            <w:vAlign w:val="center"/>
            <w:hideMark/>
          </w:tcPr>
          <w:p w14:paraId="18F23465" w14:textId="0A7820D5" w:rsidR="007377A9" w:rsidRPr="00EB2092" w:rsidRDefault="007377A9" w:rsidP="00822BBA">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 xml:space="preserve">Excise and </w:t>
            </w:r>
            <w:r w:rsidR="00822BBA">
              <w:rPr>
                <w:rFonts w:ascii="Calibri" w:eastAsia="Times New Roman" w:hAnsi="Calibri" w:cs="Times New Roman"/>
                <w:color w:val="000000"/>
                <w:sz w:val="20"/>
                <w:szCs w:val="20"/>
                <w:lang w:eastAsia="en-AU"/>
              </w:rPr>
              <w:t>c</w:t>
            </w:r>
            <w:r w:rsidRPr="00EB2092">
              <w:rPr>
                <w:rFonts w:ascii="Calibri" w:eastAsia="Times New Roman" w:hAnsi="Calibri" w:cs="Times New Roman"/>
                <w:color w:val="000000"/>
                <w:sz w:val="20"/>
                <w:szCs w:val="20"/>
                <w:lang w:eastAsia="en-AU"/>
              </w:rPr>
              <w:t xml:space="preserve">ustoms </w:t>
            </w:r>
            <w:r w:rsidR="00822BBA">
              <w:rPr>
                <w:rFonts w:ascii="Calibri" w:eastAsia="Times New Roman" w:hAnsi="Calibri" w:cs="Times New Roman"/>
                <w:color w:val="000000"/>
                <w:sz w:val="20"/>
                <w:szCs w:val="20"/>
                <w:lang w:eastAsia="en-AU"/>
              </w:rPr>
              <w:t>d</w:t>
            </w:r>
            <w:r w:rsidRPr="00EB2092">
              <w:rPr>
                <w:rFonts w:ascii="Calibri" w:eastAsia="Times New Roman" w:hAnsi="Calibri" w:cs="Times New Roman"/>
                <w:color w:val="000000"/>
                <w:sz w:val="20"/>
                <w:szCs w:val="20"/>
                <w:lang w:eastAsia="en-AU"/>
              </w:rPr>
              <w:t>uty</w:t>
            </w:r>
          </w:p>
        </w:tc>
        <w:tc>
          <w:tcPr>
            <w:tcW w:w="455" w:type="pct"/>
            <w:tcBorders>
              <w:top w:val="nil"/>
              <w:left w:val="nil"/>
              <w:bottom w:val="nil"/>
              <w:right w:val="nil"/>
            </w:tcBorders>
            <w:shd w:val="clear" w:color="auto" w:fill="auto"/>
            <w:vAlign w:val="center"/>
            <w:hideMark/>
          </w:tcPr>
          <w:p w14:paraId="1ED0D285"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39</w:t>
            </w:r>
          </w:p>
        </w:tc>
        <w:tc>
          <w:tcPr>
            <w:tcW w:w="455" w:type="pct"/>
            <w:gridSpan w:val="2"/>
            <w:tcBorders>
              <w:top w:val="nil"/>
              <w:left w:val="nil"/>
              <w:bottom w:val="nil"/>
              <w:right w:val="single" w:sz="4" w:space="0" w:color="3D4D7D"/>
            </w:tcBorders>
            <w:shd w:val="clear" w:color="auto" w:fill="auto"/>
            <w:vAlign w:val="center"/>
            <w:hideMark/>
          </w:tcPr>
          <w:p w14:paraId="4C290B43"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61</w:t>
            </w:r>
          </w:p>
        </w:tc>
        <w:tc>
          <w:tcPr>
            <w:tcW w:w="455" w:type="pct"/>
            <w:tcBorders>
              <w:top w:val="nil"/>
              <w:left w:val="nil"/>
              <w:bottom w:val="nil"/>
              <w:right w:val="nil"/>
            </w:tcBorders>
            <w:shd w:val="clear" w:color="auto" w:fill="auto"/>
            <w:vAlign w:val="center"/>
            <w:hideMark/>
          </w:tcPr>
          <w:p w14:paraId="5DA1E619"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2.0</w:t>
            </w:r>
          </w:p>
        </w:tc>
        <w:tc>
          <w:tcPr>
            <w:tcW w:w="455" w:type="pct"/>
            <w:tcBorders>
              <w:top w:val="nil"/>
              <w:left w:val="nil"/>
              <w:bottom w:val="nil"/>
              <w:right w:val="single" w:sz="4" w:space="0" w:color="3D4D7D"/>
            </w:tcBorders>
            <w:shd w:val="clear" w:color="auto" w:fill="auto"/>
            <w:vAlign w:val="center"/>
            <w:hideMark/>
          </w:tcPr>
          <w:p w14:paraId="27054857"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1.9</w:t>
            </w:r>
          </w:p>
        </w:tc>
        <w:tc>
          <w:tcPr>
            <w:tcW w:w="594" w:type="pct"/>
            <w:tcBorders>
              <w:top w:val="nil"/>
              <w:left w:val="nil"/>
              <w:bottom w:val="nil"/>
              <w:right w:val="single" w:sz="4" w:space="0" w:color="3D4D7D"/>
            </w:tcBorders>
            <w:shd w:val="clear" w:color="auto" w:fill="auto"/>
            <w:vAlign w:val="center"/>
            <w:hideMark/>
          </w:tcPr>
          <w:p w14:paraId="10B503BB"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-0.1</w:t>
            </w:r>
          </w:p>
        </w:tc>
        <w:tc>
          <w:tcPr>
            <w:tcW w:w="583" w:type="pct"/>
            <w:tcBorders>
              <w:top w:val="nil"/>
              <w:left w:val="nil"/>
              <w:bottom w:val="nil"/>
              <w:right w:val="single" w:sz="4" w:space="0" w:color="3D4D7D"/>
            </w:tcBorders>
            <w:shd w:val="clear" w:color="auto" w:fill="auto"/>
            <w:vAlign w:val="center"/>
            <w:hideMark/>
          </w:tcPr>
          <w:p w14:paraId="0B5CD369"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1.8</w:t>
            </w:r>
          </w:p>
        </w:tc>
        <w:tc>
          <w:tcPr>
            <w:tcW w:w="627" w:type="pct"/>
            <w:tcBorders>
              <w:top w:val="nil"/>
              <w:left w:val="nil"/>
              <w:bottom w:val="nil"/>
              <w:right w:val="single" w:sz="4" w:space="0" w:color="3D4D7D"/>
            </w:tcBorders>
            <w:shd w:val="clear" w:color="auto" w:fill="auto"/>
            <w:vAlign w:val="center"/>
            <w:hideMark/>
          </w:tcPr>
          <w:p w14:paraId="032718A6"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7.9</w:t>
            </w:r>
          </w:p>
        </w:tc>
      </w:tr>
      <w:tr w:rsidR="007377A9" w:rsidRPr="00EB2092" w14:paraId="7FC3419B" w14:textId="77777777" w:rsidTr="00474A77">
        <w:trPr>
          <w:trHeight w:val="323"/>
        </w:trPr>
        <w:tc>
          <w:tcPr>
            <w:tcW w:w="1376" w:type="pct"/>
            <w:tcBorders>
              <w:top w:val="nil"/>
              <w:left w:val="single" w:sz="4" w:space="0" w:color="auto"/>
              <w:bottom w:val="nil"/>
              <w:right w:val="single" w:sz="4" w:space="0" w:color="3D4D7D"/>
            </w:tcBorders>
            <w:shd w:val="clear" w:color="000000" w:fill="D3D8E9"/>
            <w:vAlign w:val="center"/>
            <w:hideMark/>
          </w:tcPr>
          <w:p w14:paraId="4846DDC4" w14:textId="77777777" w:rsidR="007377A9" w:rsidRPr="00EB2092" w:rsidRDefault="007377A9" w:rsidP="00474A77">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Superannuation taxes</w:t>
            </w:r>
          </w:p>
        </w:tc>
        <w:tc>
          <w:tcPr>
            <w:tcW w:w="455" w:type="pct"/>
            <w:tcBorders>
              <w:top w:val="nil"/>
              <w:left w:val="nil"/>
              <w:bottom w:val="nil"/>
              <w:right w:val="nil"/>
            </w:tcBorders>
            <w:shd w:val="clear" w:color="000000" w:fill="D3D8E9"/>
            <w:vAlign w:val="center"/>
            <w:hideMark/>
          </w:tcPr>
          <w:p w14:paraId="61B6712E"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11</w:t>
            </w:r>
          </w:p>
        </w:tc>
        <w:tc>
          <w:tcPr>
            <w:tcW w:w="455" w:type="pct"/>
            <w:gridSpan w:val="2"/>
            <w:tcBorders>
              <w:top w:val="nil"/>
              <w:left w:val="nil"/>
              <w:bottom w:val="nil"/>
              <w:right w:val="single" w:sz="4" w:space="0" w:color="3D4D7D"/>
            </w:tcBorders>
            <w:shd w:val="clear" w:color="000000" w:fill="D3D8E9"/>
            <w:vAlign w:val="center"/>
            <w:hideMark/>
          </w:tcPr>
          <w:p w14:paraId="2F20EEC5"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23</w:t>
            </w:r>
          </w:p>
        </w:tc>
        <w:tc>
          <w:tcPr>
            <w:tcW w:w="455" w:type="pct"/>
            <w:tcBorders>
              <w:top w:val="nil"/>
              <w:left w:val="nil"/>
              <w:bottom w:val="nil"/>
              <w:right w:val="nil"/>
            </w:tcBorders>
            <w:shd w:val="clear" w:color="000000" w:fill="D3D8E9"/>
            <w:vAlign w:val="center"/>
            <w:hideMark/>
          </w:tcPr>
          <w:p w14:paraId="1D74B51D"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0.6</w:t>
            </w:r>
          </w:p>
        </w:tc>
        <w:tc>
          <w:tcPr>
            <w:tcW w:w="455" w:type="pct"/>
            <w:tcBorders>
              <w:top w:val="nil"/>
              <w:left w:val="nil"/>
              <w:bottom w:val="nil"/>
              <w:right w:val="single" w:sz="4" w:space="0" w:color="3D4D7D"/>
            </w:tcBorders>
            <w:shd w:val="clear" w:color="000000" w:fill="D3D8E9"/>
            <w:vAlign w:val="center"/>
            <w:hideMark/>
          </w:tcPr>
          <w:p w14:paraId="2154E032"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0.7</w:t>
            </w:r>
          </w:p>
        </w:tc>
        <w:tc>
          <w:tcPr>
            <w:tcW w:w="594" w:type="pct"/>
            <w:tcBorders>
              <w:top w:val="nil"/>
              <w:left w:val="nil"/>
              <w:bottom w:val="nil"/>
              <w:right w:val="single" w:sz="4" w:space="0" w:color="3D4D7D"/>
            </w:tcBorders>
            <w:shd w:val="clear" w:color="000000" w:fill="D3D8E9"/>
            <w:vAlign w:val="center"/>
            <w:hideMark/>
          </w:tcPr>
          <w:p w14:paraId="50299CA7"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0.2</w:t>
            </w:r>
          </w:p>
        </w:tc>
        <w:tc>
          <w:tcPr>
            <w:tcW w:w="583" w:type="pct"/>
            <w:tcBorders>
              <w:top w:val="nil"/>
              <w:left w:val="nil"/>
              <w:bottom w:val="nil"/>
              <w:right w:val="single" w:sz="4" w:space="0" w:color="3D4D7D"/>
            </w:tcBorders>
            <w:shd w:val="clear" w:color="000000" w:fill="D3D8E9"/>
            <w:vAlign w:val="center"/>
            <w:hideMark/>
          </w:tcPr>
          <w:p w14:paraId="676B9F3D"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4.2</w:t>
            </w:r>
          </w:p>
        </w:tc>
        <w:tc>
          <w:tcPr>
            <w:tcW w:w="627" w:type="pct"/>
            <w:tcBorders>
              <w:top w:val="nil"/>
              <w:left w:val="nil"/>
              <w:bottom w:val="nil"/>
              <w:right w:val="single" w:sz="4" w:space="0" w:color="3D4D7D"/>
            </w:tcBorders>
            <w:shd w:val="clear" w:color="000000" w:fill="D3D8E9"/>
            <w:vAlign w:val="center"/>
            <w:hideMark/>
          </w:tcPr>
          <w:p w14:paraId="26C8C892"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3.0</w:t>
            </w:r>
          </w:p>
        </w:tc>
      </w:tr>
      <w:tr w:rsidR="007377A9" w:rsidRPr="00EB2092" w14:paraId="2BD9E9D0" w14:textId="77777777" w:rsidTr="00474A77">
        <w:trPr>
          <w:trHeight w:val="323"/>
        </w:trPr>
        <w:tc>
          <w:tcPr>
            <w:tcW w:w="1376" w:type="pct"/>
            <w:tcBorders>
              <w:top w:val="nil"/>
              <w:left w:val="single" w:sz="4" w:space="0" w:color="auto"/>
              <w:bottom w:val="nil"/>
              <w:right w:val="single" w:sz="4" w:space="0" w:color="3D4D7D"/>
            </w:tcBorders>
            <w:shd w:val="clear" w:color="auto" w:fill="auto"/>
            <w:vAlign w:val="center"/>
            <w:hideMark/>
          </w:tcPr>
          <w:p w14:paraId="00B8DCD6" w14:textId="75443CD2" w:rsidR="007377A9" w:rsidRPr="00EB2092" w:rsidRDefault="007377A9" w:rsidP="00FC29D3">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 xml:space="preserve">Other </w:t>
            </w:r>
            <w:r w:rsidR="00822BBA">
              <w:rPr>
                <w:rFonts w:ascii="Calibri" w:eastAsia="Times New Roman" w:hAnsi="Calibri" w:cs="Times New Roman"/>
                <w:color w:val="000000"/>
                <w:sz w:val="20"/>
                <w:szCs w:val="20"/>
                <w:lang w:eastAsia="en-AU"/>
              </w:rPr>
              <w:t>t</w:t>
            </w:r>
            <w:r w:rsidRPr="00EB2092">
              <w:rPr>
                <w:rFonts w:ascii="Calibri" w:eastAsia="Times New Roman" w:hAnsi="Calibri" w:cs="Times New Roman"/>
                <w:color w:val="000000"/>
                <w:sz w:val="20"/>
                <w:szCs w:val="20"/>
                <w:lang w:eastAsia="en-AU"/>
              </w:rPr>
              <w:t>axes</w:t>
            </w:r>
            <w:r w:rsidR="00FC29D3">
              <w:rPr>
                <w:rFonts w:ascii="Calibri" w:eastAsia="Times New Roman" w:hAnsi="Calibri" w:cs="Times New Roman"/>
                <w:color w:val="000000"/>
                <w:sz w:val="20"/>
                <w:szCs w:val="20"/>
                <w:lang w:eastAsia="en-AU"/>
              </w:rPr>
              <w:t xml:space="preserve"> and charges</w:t>
            </w:r>
          </w:p>
        </w:tc>
        <w:tc>
          <w:tcPr>
            <w:tcW w:w="455" w:type="pct"/>
            <w:tcBorders>
              <w:top w:val="nil"/>
              <w:left w:val="nil"/>
              <w:bottom w:val="nil"/>
              <w:right w:val="nil"/>
            </w:tcBorders>
            <w:shd w:val="clear" w:color="auto" w:fill="auto"/>
            <w:vAlign w:val="center"/>
            <w:hideMark/>
          </w:tcPr>
          <w:p w14:paraId="4EFCA514"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9</w:t>
            </w:r>
          </w:p>
        </w:tc>
        <w:tc>
          <w:tcPr>
            <w:tcW w:w="455" w:type="pct"/>
            <w:gridSpan w:val="2"/>
            <w:tcBorders>
              <w:top w:val="nil"/>
              <w:left w:val="nil"/>
              <w:bottom w:val="nil"/>
              <w:right w:val="single" w:sz="4" w:space="0" w:color="3D4D7D"/>
            </w:tcBorders>
            <w:shd w:val="clear" w:color="auto" w:fill="auto"/>
            <w:vAlign w:val="center"/>
            <w:hideMark/>
          </w:tcPr>
          <w:p w14:paraId="4D55D7F8"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13</w:t>
            </w:r>
          </w:p>
        </w:tc>
        <w:tc>
          <w:tcPr>
            <w:tcW w:w="455" w:type="pct"/>
            <w:tcBorders>
              <w:top w:val="nil"/>
              <w:left w:val="nil"/>
              <w:bottom w:val="nil"/>
              <w:right w:val="nil"/>
            </w:tcBorders>
            <w:shd w:val="clear" w:color="auto" w:fill="auto"/>
            <w:vAlign w:val="center"/>
            <w:hideMark/>
          </w:tcPr>
          <w:p w14:paraId="714B1304"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0.5</w:t>
            </w:r>
          </w:p>
        </w:tc>
        <w:tc>
          <w:tcPr>
            <w:tcW w:w="455" w:type="pct"/>
            <w:tcBorders>
              <w:top w:val="nil"/>
              <w:left w:val="nil"/>
              <w:bottom w:val="nil"/>
              <w:right w:val="single" w:sz="4" w:space="0" w:color="3D4D7D"/>
            </w:tcBorders>
            <w:shd w:val="clear" w:color="auto" w:fill="auto"/>
            <w:vAlign w:val="center"/>
            <w:hideMark/>
          </w:tcPr>
          <w:p w14:paraId="68257D0F"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0.4</w:t>
            </w:r>
          </w:p>
        </w:tc>
        <w:tc>
          <w:tcPr>
            <w:tcW w:w="594" w:type="pct"/>
            <w:tcBorders>
              <w:top w:val="nil"/>
              <w:left w:val="nil"/>
              <w:bottom w:val="nil"/>
              <w:right w:val="single" w:sz="4" w:space="0" w:color="3D4D7D"/>
            </w:tcBorders>
            <w:shd w:val="clear" w:color="auto" w:fill="auto"/>
            <w:vAlign w:val="center"/>
            <w:hideMark/>
          </w:tcPr>
          <w:p w14:paraId="013B84FD"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0.0</w:t>
            </w:r>
          </w:p>
        </w:tc>
        <w:tc>
          <w:tcPr>
            <w:tcW w:w="583" w:type="pct"/>
            <w:tcBorders>
              <w:top w:val="nil"/>
              <w:left w:val="nil"/>
              <w:bottom w:val="nil"/>
              <w:right w:val="single" w:sz="4" w:space="0" w:color="3D4D7D"/>
            </w:tcBorders>
            <w:shd w:val="clear" w:color="auto" w:fill="auto"/>
            <w:vAlign w:val="center"/>
            <w:hideMark/>
          </w:tcPr>
          <w:p w14:paraId="63699DE6"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1.4</w:t>
            </w:r>
          </w:p>
        </w:tc>
        <w:tc>
          <w:tcPr>
            <w:tcW w:w="627" w:type="pct"/>
            <w:tcBorders>
              <w:top w:val="nil"/>
              <w:left w:val="nil"/>
              <w:bottom w:val="nil"/>
              <w:right w:val="single" w:sz="4" w:space="0" w:color="3D4D7D"/>
            </w:tcBorders>
            <w:shd w:val="clear" w:color="auto" w:fill="auto"/>
            <w:vAlign w:val="center"/>
            <w:hideMark/>
          </w:tcPr>
          <w:p w14:paraId="65DB5F0A"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1.7</w:t>
            </w:r>
          </w:p>
        </w:tc>
      </w:tr>
      <w:tr w:rsidR="007377A9" w:rsidRPr="00EB2092" w14:paraId="262E1763" w14:textId="77777777" w:rsidTr="00474A77">
        <w:trPr>
          <w:trHeight w:val="323"/>
        </w:trPr>
        <w:tc>
          <w:tcPr>
            <w:tcW w:w="1376" w:type="pct"/>
            <w:tcBorders>
              <w:top w:val="nil"/>
              <w:left w:val="single" w:sz="4" w:space="0" w:color="auto"/>
              <w:bottom w:val="nil"/>
              <w:right w:val="single" w:sz="4" w:space="0" w:color="3D4D7D"/>
            </w:tcBorders>
            <w:shd w:val="clear" w:color="000000" w:fill="D3D8E9"/>
            <w:vAlign w:val="center"/>
            <w:hideMark/>
          </w:tcPr>
          <w:p w14:paraId="61EB889B" w14:textId="77777777" w:rsidR="007377A9" w:rsidRPr="00EB2092" w:rsidRDefault="007377A9" w:rsidP="00474A77">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Fringe benefits tax</w:t>
            </w:r>
          </w:p>
        </w:tc>
        <w:tc>
          <w:tcPr>
            <w:tcW w:w="455" w:type="pct"/>
            <w:tcBorders>
              <w:top w:val="nil"/>
              <w:left w:val="nil"/>
              <w:bottom w:val="nil"/>
              <w:right w:val="nil"/>
            </w:tcBorders>
            <w:shd w:val="clear" w:color="000000" w:fill="D3D8E9"/>
            <w:vAlign w:val="center"/>
            <w:hideMark/>
          </w:tcPr>
          <w:p w14:paraId="23E49D6B"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4</w:t>
            </w:r>
          </w:p>
        </w:tc>
        <w:tc>
          <w:tcPr>
            <w:tcW w:w="455" w:type="pct"/>
            <w:gridSpan w:val="2"/>
            <w:tcBorders>
              <w:top w:val="nil"/>
              <w:left w:val="nil"/>
              <w:bottom w:val="nil"/>
              <w:right w:val="single" w:sz="4" w:space="0" w:color="3D4D7D"/>
            </w:tcBorders>
            <w:shd w:val="clear" w:color="000000" w:fill="D3D8E9"/>
            <w:vAlign w:val="center"/>
            <w:hideMark/>
          </w:tcPr>
          <w:p w14:paraId="1477D60F"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6</w:t>
            </w:r>
          </w:p>
        </w:tc>
        <w:tc>
          <w:tcPr>
            <w:tcW w:w="455" w:type="pct"/>
            <w:tcBorders>
              <w:top w:val="nil"/>
              <w:left w:val="nil"/>
              <w:bottom w:val="nil"/>
              <w:right w:val="nil"/>
            </w:tcBorders>
            <w:shd w:val="clear" w:color="000000" w:fill="D3D8E9"/>
            <w:vAlign w:val="center"/>
            <w:hideMark/>
          </w:tcPr>
          <w:p w14:paraId="545BBC2A"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0.2</w:t>
            </w:r>
          </w:p>
        </w:tc>
        <w:tc>
          <w:tcPr>
            <w:tcW w:w="455" w:type="pct"/>
            <w:tcBorders>
              <w:top w:val="nil"/>
              <w:left w:val="nil"/>
              <w:bottom w:val="nil"/>
              <w:right w:val="single" w:sz="4" w:space="0" w:color="3D4D7D"/>
            </w:tcBorders>
            <w:shd w:val="clear" w:color="000000" w:fill="D3D8E9"/>
            <w:vAlign w:val="center"/>
            <w:hideMark/>
          </w:tcPr>
          <w:p w14:paraId="5E4E725E"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0.2</w:t>
            </w:r>
          </w:p>
        </w:tc>
        <w:tc>
          <w:tcPr>
            <w:tcW w:w="594" w:type="pct"/>
            <w:tcBorders>
              <w:top w:val="nil"/>
              <w:left w:val="nil"/>
              <w:bottom w:val="nil"/>
              <w:right w:val="single" w:sz="4" w:space="0" w:color="3D4D7D"/>
            </w:tcBorders>
            <w:shd w:val="clear" w:color="000000" w:fill="D3D8E9"/>
            <w:vAlign w:val="center"/>
            <w:hideMark/>
          </w:tcPr>
          <w:p w14:paraId="02867B8F"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0.0</w:t>
            </w:r>
          </w:p>
        </w:tc>
        <w:tc>
          <w:tcPr>
            <w:tcW w:w="583" w:type="pct"/>
            <w:tcBorders>
              <w:top w:val="nil"/>
              <w:left w:val="nil"/>
              <w:bottom w:val="nil"/>
              <w:right w:val="single" w:sz="4" w:space="0" w:color="3D4D7D"/>
            </w:tcBorders>
            <w:shd w:val="clear" w:color="000000" w:fill="D3D8E9"/>
            <w:vAlign w:val="center"/>
            <w:hideMark/>
          </w:tcPr>
          <w:p w14:paraId="7C3ED6A4"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1.9</w:t>
            </w:r>
          </w:p>
        </w:tc>
        <w:tc>
          <w:tcPr>
            <w:tcW w:w="627" w:type="pct"/>
            <w:tcBorders>
              <w:top w:val="nil"/>
              <w:left w:val="nil"/>
              <w:bottom w:val="nil"/>
              <w:right w:val="single" w:sz="4" w:space="0" w:color="3D4D7D"/>
            </w:tcBorders>
            <w:shd w:val="clear" w:color="000000" w:fill="D3D8E9"/>
            <w:vAlign w:val="center"/>
            <w:hideMark/>
          </w:tcPr>
          <w:p w14:paraId="11BD4C8A"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0.8</w:t>
            </w:r>
          </w:p>
        </w:tc>
      </w:tr>
      <w:tr w:rsidR="007377A9" w:rsidRPr="00EB2092" w14:paraId="27368D64" w14:textId="77777777" w:rsidTr="00474A77">
        <w:trPr>
          <w:trHeight w:val="323"/>
        </w:trPr>
        <w:tc>
          <w:tcPr>
            <w:tcW w:w="1376" w:type="pct"/>
            <w:tcBorders>
              <w:top w:val="nil"/>
              <w:left w:val="single" w:sz="4" w:space="0" w:color="auto"/>
              <w:bottom w:val="nil"/>
              <w:right w:val="single" w:sz="4" w:space="0" w:color="3D4D7D"/>
            </w:tcBorders>
            <w:shd w:val="clear" w:color="auto" w:fill="auto"/>
            <w:vAlign w:val="center"/>
            <w:hideMark/>
          </w:tcPr>
          <w:p w14:paraId="5143EEDB" w14:textId="77777777" w:rsidR="007377A9" w:rsidRPr="00EB2092" w:rsidRDefault="007377A9" w:rsidP="00474A77">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Wine equalisation tax</w:t>
            </w:r>
          </w:p>
        </w:tc>
        <w:tc>
          <w:tcPr>
            <w:tcW w:w="455" w:type="pct"/>
            <w:tcBorders>
              <w:top w:val="nil"/>
              <w:left w:val="nil"/>
              <w:bottom w:val="nil"/>
              <w:right w:val="nil"/>
            </w:tcBorders>
            <w:shd w:val="clear" w:color="auto" w:fill="auto"/>
            <w:vAlign w:val="center"/>
            <w:hideMark/>
          </w:tcPr>
          <w:p w14:paraId="362F22BF"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1</w:t>
            </w:r>
          </w:p>
        </w:tc>
        <w:tc>
          <w:tcPr>
            <w:tcW w:w="455" w:type="pct"/>
            <w:gridSpan w:val="2"/>
            <w:tcBorders>
              <w:top w:val="nil"/>
              <w:left w:val="nil"/>
              <w:bottom w:val="nil"/>
              <w:right w:val="single" w:sz="4" w:space="0" w:color="3D4D7D"/>
            </w:tcBorders>
            <w:shd w:val="clear" w:color="auto" w:fill="auto"/>
            <w:vAlign w:val="center"/>
            <w:hideMark/>
          </w:tcPr>
          <w:p w14:paraId="4954D566"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2</w:t>
            </w:r>
          </w:p>
        </w:tc>
        <w:tc>
          <w:tcPr>
            <w:tcW w:w="455" w:type="pct"/>
            <w:tcBorders>
              <w:top w:val="nil"/>
              <w:left w:val="nil"/>
              <w:bottom w:val="nil"/>
              <w:right w:val="nil"/>
            </w:tcBorders>
            <w:shd w:val="clear" w:color="auto" w:fill="auto"/>
            <w:vAlign w:val="center"/>
            <w:hideMark/>
          </w:tcPr>
          <w:p w14:paraId="568B85FE"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0.1</w:t>
            </w:r>
          </w:p>
        </w:tc>
        <w:tc>
          <w:tcPr>
            <w:tcW w:w="455" w:type="pct"/>
            <w:tcBorders>
              <w:top w:val="nil"/>
              <w:left w:val="nil"/>
              <w:bottom w:val="nil"/>
              <w:right w:val="single" w:sz="4" w:space="0" w:color="3D4D7D"/>
            </w:tcBorders>
            <w:shd w:val="clear" w:color="auto" w:fill="auto"/>
            <w:vAlign w:val="center"/>
            <w:hideMark/>
          </w:tcPr>
          <w:p w14:paraId="41A0363E"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0.0</w:t>
            </w:r>
          </w:p>
        </w:tc>
        <w:tc>
          <w:tcPr>
            <w:tcW w:w="594" w:type="pct"/>
            <w:tcBorders>
              <w:top w:val="nil"/>
              <w:left w:val="nil"/>
              <w:bottom w:val="nil"/>
              <w:right w:val="single" w:sz="4" w:space="0" w:color="3D4D7D"/>
            </w:tcBorders>
            <w:shd w:val="clear" w:color="auto" w:fill="auto"/>
            <w:vAlign w:val="center"/>
            <w:hideMark/>
          </w:tcPr>
          <w:p w14:paraId="3A4DC19D"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0.0</w:t>
            </w:r>
          </w:p>
        </w:tc>
        <w:tc>
          <w:tcPr>
            <w:tcW w:w="583" w:type="pct"/>
            <w:tcBorders>
              <w:top w:val="nil"/>
              <w:left w:val="nil"/>
              <w:bottom w:val="nil"/>
              <w:right w:val="single" w:sz="4" w:space="0" w:color="3D4D7D"/>
            </w:tcBorders>
            <w:shd w:val="clear" w:color="auto" w:fill="auto"/>
            <w:vAlign w:val="center"/>
            <w:hideMark/>
          </w:tcPr>
          <w:p w14:paraId="54097CC0"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1.7</w:t>
            </w:r>
          </w:p>
        </w:tc>
        <w:tc>
          <w:tcPr>
            <w:tcW w:w="627" w:type="pct"/>
            <w:tcBorders>
              <w:top w:val="nil"/>
              <w:left w:val="nil"/>
              <w:bottom w:val="nil"/>
              <w:right w:val="single" w:sz="4" w:space="0" w:color="3D4D7D"/>
            </w:tcBorders>
            <w:shd w:val="clear" w:color="auto" w:fill="auto"/>
            <w:vAlign w:val="center"/>
            <w:hideMark/>
          </w:tcPr>
          <w:p w14:paraId="0B03ADFE"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0.2</w:t>
            </w:r>
          </w:p>
        </w:tc>
      </w:tr>
      <w:tr w:rsidR="007377A9" w:rsidRPr="00EB2092" w14:paraId="161820F8" w14:textId="77777777" w:rsidTr="00474A77">
        <w:trPr>
          <w:trHeight w:val="323"/>
        </w:trPr>
        <w:tc>
          <w:tcPr>
            <w:tcW w:w="1376" w:type="pct"/>
            <w:tcBorders>
              <w:top w:val="nil"/>
              <w:left w:val="single" w:sz="4" w:space="0" w:color="auto"/>
              <w:bottom w:val="nil"/>
              <w:right w:val="single" w:sz="4" w:space="0" w:color="3D4D7D"/>
            </w:tcBorders>
            <w:shd w:val="clear" w:color="000000" w:fill="D3D8E9"/>
            <w:vAlign w:val="center"/>
            <w:hideMark/>
          </w:tcPr>
          <w:p w14:paraId="72DAFDEE" w14:textId="77777777" w:rsidR="007377A9" w:rsidRPr="00EB2092" w:rsidRDefault="007377A9" w:rsidP="00474A77">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Luxury car tax</w:t>
            </w:r>
          </w:p>
        </w:tc>
        <w:tc>
          <w:tcPr>
            <w:tcW w:w="455" w:type="pct"/>
            <w:tcBorders>
              <w:top w:val="nil"/>
              <w:left w:val="nil"/>
              <w:bottom w:val="nil"/>
              <w:right w:val="nil"/>
            </w:tcBorders>
            <w:shd w:val="clear" w:color="000000" w:fill="D3D8E9"/>
            <w:vAlign w:val="center"/>
            <w:hideMark/>
          </w:tcPr>
          <w:p w14:paraId="564C9409"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1</w:t>
            </w:r>
          </w:p>
        </w:tc>
        <w:tc>
          <w:tcPr>
            <w:tcW w:w="455" w:type="pct"/>
            <w:gridSpan w:val="2"/>
            <w:tcBorders>
              <w:top w:val="nil"/>
              <w:left w:val="nil"/>
              <w:bottom w:val="nil"/>
              <w:right w:val="single" w:sz="4" w:space="0" w:color="3D4D7D"/>
            </w:tcBorders>
            <w:shd w:val="clear" w:color="000000" w:fill="D3D8E9"/>
            <w:vAlign w:val="center"/>
            <w:hideMark/>
          </w:tcPr>
          <w:p w14:paraId="52D811C8"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1</w:t>
            </w:r>
          </w:p>
        </w:tc>
        <w:tc>
          <w:tcPr>
            <w:tcW w:w="455" w:type="pct"/>
            <w:tcBorders>
              <w:top w:val="nil"/>
              <w:left w:val="nil"/>
              <w:bottom w:val="nil"/>
              <w:right w:val="nil"/>
            </w:tcBorders>
            <w:shd w:val="clear" w:color="000000" w:fill="D3D8E9"/>
            <w:vAlign w:val="center"/>
            <w:hideMark/>
          </w:tcPr>
          <w:p w14:paraId="462F10CE"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0.0</w:t>
            </w:r>
          </w:p>
        </w:tc>
        <w:tc>
          <w:tcPr>
            <w:tcW w:w="455" w:type="pct"/>
            <w:tcBorders>
              <w:top w:val="nil"/>
              <w:left w:val="nil"/>
              <w:bottom w:val="nil"/>
              <w:right w:val="single" w:sz="4" w:space="0" w:color="3D4D7D"/>
            </w:tcBorders>
            <w:shd w:val="clear" w:color="000000" w:fill="D3D8E9"/>
            <w:vAlign w:val="center"/>
            <w:hideMark/>
          </w:tcPr>
          <w:p w14:paraId="16A47EF0"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0.0</w:t>
            </w:r>
          </w:p>
        </w:tc>
        <w:tc>
          <w:tcPr>
            <w:tcW w:w="594" w:type="pct"/>
            <w:tcBorders>
              <w:top w:val="nil"/>
              <w:left w:val="nil"/>
              <w:bottom w:val="nil"/>
              <w:right w:val="single" w:sz="4" w:space="0" w:color="3D4D7D"/>
            </w:tcBorders>
            <w:shd w:val="clear" w:color="000000" w:fill="D3D8E9"/>
            <w:vAlign w:val="center"/>
            <w:hideMark/>
          </w:tcPr>
          <w:p w14:paraId="3FA67755"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0.0</w:t>
            </w:r>
          </w:p>
        </w:tc>
        <w:tc>
          <w:tcPr>
            <w:tcW w:w="583" w:type="pct"/>
            <w:tcBorders>
              <w:top w:val="nil"/>
              <w:left w:val="nil"/>
              <w:bottom w:val="nil"/>
              <w:right w:val="single" w:sz="4" w:space="0" w:color="3D4D7D"/>
            </w:tcBorders>
            <w:shd w:val="clear" w:color="000000" w:fill="D3D8E9"/>
            <w:vAlign w:val="center"/>
            <w:hideMark/>
          </w:tcPr>
          <w:p w14:paraId="703CCFEB"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-0.2</w:t>
            </w:r>
          </w:p>
        </w:tc>
        <w:tc>
          <w:tcPr>
            <w:tcW w:w="627" w:type="pct"/>
            <w:tcBorders>
              <w:top w:val="nil"/>
              <w:left w:val="nil"/>
              <w:bottom w:val="nil"/>
              <w:right w:val="single" w:sz="4" w:space="0" w:color="3D4D7D"/>
            </w:tcBorders>
            <w:shd w:val="clear" w:color="000000" w:fill="D3D8E9"/>
            <w:vAlign w:val="center"/>
            <w:hideMark/>
          </w:tcPr>
          <w:p w14:paraId="6801549E"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0.1</w:t>
            </w:r>
          </w:p>
        </w:tc>
      </w:tr>
      <w:tr w:rsidR="007377A9" w:rsidRPr="00EB2092" w14:paraId="5BE4AB54" w14:textId="77777777" w:rsidTr="00474A77">
        <w:trPr>
          <w:trHeight w:val="323"/>
        </w:trPr>
        <w:tc>
          <w:tcPr>
            <w:tcW w:w="1376" w:type="pct"/>
            <w:tcBorders>
              <w:top w:val="nil"/>
              <w:left w:val="single" w:sz="4" w:space="0" w:color="auto"/>
              <w:right w:val="single" w:sz="4" w:space="0" w:color="3D4D7D"/>
            </w:tcBorders>
            <w:shd w:val="clear" w:color="auto" w:fill="auto"/>
            <w:vAlign w:val="center"/>
            <w:hideMark/>
          </w:tcPr>
          <w:p w14:paraId="36B58F54" w14:textId="611B2CC1" w:rsidR="007377A9" w:rsidRPr="00EB2092" w:rsidRDefault="00822BBA" w:rsidP="00822BBA">
            <w:pPr>
              <w:spacing w:line="240" w:lineRule="auto"/>
              <w:rPr>
                <w:rFonts w:ascii="Calibri" w:eastAsia="Times New Roman" w:hAnsi="Calibri" w:cs="Times New Roman"/>
                <w:color w:val="000000"/>
                <w:sz w:val="20"/>
                <w:szCs w:val="20"/>
                <w:lang w:eastAsia="en-AU"/>
              </w:rPr>
            </w:pPr>
            <w:r>
              <w:rPr>
                <w:rFonts w:ascii="Calibri" w:eastAsia="Times New Roman" w:hAnsi="Calibri" w:cs="Times New Roman"/>
                <w:color w:val="000000"/>
                <w:sz w:val="20"/>
                <w:szCs w:val="20"/>
                <w:lang w:eastAsia="en-AU"/>
              </w:rPr>
              <w:t>Resource r</w:t>
            </w:r>
            <w:r w:rsidR="007377A9" w:rsidRPr="00EB2092">
              <w:rPr>
                <w:rFonts w:ascii="Calibri" w:eastAsia="Times New Roman" w:hAnsi="Calibri" w:cs="Times New Roman"/>
                <w:color w:val="000000"/>
                <w:sz w:val="20"/>
                <w:szCs w:val="20"/>
                <w:lang w:eastAsia="en-AU"/>
              </w:rPr>
              <w:t xml:space="preserve">ent </w:t>
            </w:r>
            <w:r>
              <w:rPr>
                <w:rFonts w:ascii="Calibri" w:eastAsia="Times New Roman" w:hAnsi="Calibri" w:cs="Times New Roman"/>
                <w:color w:val="000000"/>
                <w:sz w:val="20"/>
                <w:szCs w:val="20"/>
                <w:lang w:eastAsia="en-AU"/>
              </w:rPr>
              <w:t>t</w:t>
            </w:r>
            <w:r w:rsidR="007377A9" w:rsidRPr="00EB2092">
              <w:rPr>
                <w:rFonts w:ascii="Calibri" w:eastAsia="Times New Roman" w:hAnsi="Calibri" w:cs="Times New Roman"/>
                <w:color w:val="000000"/>
                <w:sz w:val="20"/>
                <w:szCs w:val="20"/>
                <w:lang w:eastAsia="en-AU"/>
              </w:rPr>
              <w:t>axes</w:t>
            </w:r>
          </w:p>
        </w:tc>
        <w:tc>
          <w:tcPr>
            <w:tcW w:w="455" w:type="pct"/>
            <w:tcBorders>
              <w:top w:val="nil"/>
              <w:left w:val="nil"/>
              <w:right w:val="nil"/>
            </w:tcBorders>
            <w:shd w:val="clear" w:color="auto" w:fill="auto"/>
            <w:vAlign w:val="center"/>
            <w:hideMark/>
          </w:tcPr>
          <w:p w14:paraId="6E485D0F"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1</w:t>
            </w:r>
          </w:p>
        </w:tc>
        <w:tc>
          <w:tcPr>
            <w:tcW w:w="455" w:type="pct"/>
            <w:gridSpan w:val="2"/>
            <w:tcBorders>
              <w:top w:val="nil"/>
              <w:left w:val="nil"/>
              <w:right w:val="single" w:sz="4" w:space="0" w:color="3D4D7D"/>
            </w:tcBorders>
            <w:shd w:val="clear" w:color="auto" w:fill="auto"/>
            <w:vAlign w:val="center"/>
            <w:hideMark/>
          </w:tcPr>
          <w:p w14:paraId="6926F697"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1</w:t>
            </w:r>
          </w:p>
        </w:tc>
        <w:tc>
          <w:tcPr>
            <w:tcW w:w="455" w:type="pct"/>
            <w:tcBorders>
              <w:top w:val="nil"/>
              <w:left w:val="nil"/>
              <w:right w:val="nil"/>
            </w:tcBorders>
            <w:shd w:val="clear" w:color="auto" w:fill="auto"/>
            <w:vAlign w:val="center"/>
            <w:hideMark/>
          </w:tcPr>
          <w:p w14:paraId="16CEFF83"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0.1</w:t>
            </w:r>
          </w:p>
        </w:tc>
        <w:tc>
          <w:tcPr>
            <w:tcW w:w="455" w:type="pct"/>
            <w:tcBorders>
              <w:top w:val="nil"/>
              <w:left w:val="nil"/>
              <w:right w:val="single" w:sz="4" w:space="0" w:color="3D4D7D"/>
            </w:tcBorders>
            <w:shd w:val="clear" w:color="auto" w:fill="auto"/>
            <w:vAlign w:val="center"/>
            <w:hideMark/>
          </w:tcPr>
          <w:p w14:paraId="1E2CF359"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0.0</w:t>
            </w:r>
          </w:p>
        </w:tc>
        <w:tc>
          <w:tcPr>
            <w:tcW w:w="594" w:type="pct"/>
            <w:tcBorders>
              <w:top w:val="nil"/>
              <w:left w:val="nil"/>
              <w:right w:val="single" w:sz="4" w:space="0" w:color="3D4D7D"/>
            </w:tcBorders>
            <w:shd w:val="clear" w:color="auto" w:fill="auto"/>
            <w:vAlign w:val="center"/>
            <w:hideMark/>
          </w:tcPr>
          <w:p w14:paraId="3D805DFF"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0.0</w:t>
            </w:r>
          </w:p>
        </w:tc>
        <w:tc>
          <w:tcPr>
            <w:tcW w:w="583" w:type="pct"/>
            <w:tcBorders>
              <w:top w:val="nil"/>
              <w:left w:val="nil"/>
              <w:right w:val="single" w:sz="4" w:space="0" w:color="3D4D7D"/>
            </w:tcBorders>
            <w:shd w:val="clear" w:color="auto" w:fill="auto"/>
            <w:vAlign w:val="center"/>
            <w:hideMark/>
          </w:tcPr>
          <w:p w14:paraId="00A2D01D"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-3.9</w:t>
            </w:r>
          </w:p>
        </w:tc>
        <w:tc>
          <w:tcPr>
            <w:tcW w:w="627" w:type="pct"/>
            <w:tcBorders>
              <w:top w:val="nil"/>
              <w:left w:val="nil"/>
              <w:right w:val="single" w:sz="4" w:space="0" w:color="3D4D7D"/>
            </w:tcBorders>
            <w:shd w:val="clear" w:color="auto" w:fill="auto"/>
            <w:vAlign w:val="center"/>
            <w:hideMark/>
          </w:tcPr>
          <w:p w14:paraId="01169F29"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0.1</w:t>
            </w:r>
          </w:p>
        </w:tc>
      </w:tr>
      <w:tr w:rsidR="007377A9" w:rsidRPr="00EB2092" w14:paraId="72B8BC83" w14:textId="77777777" w:rsidTr="00474A77">
        <w:trPr>
          <w:trHeight w:val="323"/>
        </w:trPr>
        <w:tc>
          <w:tcPr>
            <w:tcW w:w="1376" w:type="pct"/>
            <w:tcBorders>
              <w:top w:val="nil"/>
              <w:left w:val="single" w:sz="4" w:space="0" w:color="auto"/>
              <w:right w:val="single" w:sz="4" w:space="0" w:color="3D4D7D"/>
            </w:tcBorders>
            <w:shd w:val="clear" w:color="auto" w:fill="D3D8E9" w:themeFill="background2" w:themeFillTint="33"/>
            <w:vAlign w:val="center"/>
            <w:hideMark/>
          </w:tcPr>
          <w:p w14:paraId="6E8DAD22" w14:textId="77777777" w:rsidR="007377A9" w:rsidRPr="00EB2092" w:rsidRDefault="007377A9" w:rsidP="00474A77">
            <w:pPr>
              <w:spacing w:line="240" w:lineRule="auto"/>
              <w:rPr>
                <w:rFonts w:ascii="Calibri" w:eastAsia="Times New Roman" w:hAnsi="Calibri" w:cs="Times New Roman"/>
                <w:b/>
                <w:color w:val="000000"/>
                <w:sz w:val="20"/>
                <w:szCs w:val="20"/>
                <w:lang w:eastAsia="en-AU"/>
              </w:rPr>
            </w:pPr>
            <w:r w:rsidRPr="00EB2092">
              <w:rPr>
                <w:rFonts w:ascii="Calibri" w:eastAsia="Times New Roman" w:hAnsi="Calibri" w:cs="Times New Roman"/>
                <w:b/>
                <w:color w:val="000000"/>
                <w:sz w:val="20"/>
                <w:szCs w:val="20"/>
                <w:lang w:eastAsia="en-AU"/>
              </w:rPr>
              <w:t>Total tax receipts</w:t>
            </w:r>
          </w:p>
        </w:tc>
        <w:tc>
          <w:tcPr>
            <w:tcW w:w="455" w:type="pct"/>
            <w:tcBorders>
              <w:top w:val="nil"/>
              <w:left w:val="nil"/>
              <w:right w:val="nil"/>
            </w:tcBorders>
            <w:shd w:val="clear" w:color="auto" w:fill="D3D8E9" w:themeFill="background2" w:themeFillTint="33"/>
            <w:vAlign w:val="center"/>
            <w:hideMark/>
          </w:tcPr>
          <w:p w14:paraId="4C37ED5C" w14:textId="77777777" w:rsidR="007377A9" w:rsidRPr="00EB2092" w:rsidRDefault="007377A9" w:rsidP="00474A77">
            <w:pPr>
              <w:spacing w:line="240" w:lineRule="auto"/>
              <w:jc w:val="center"/>
              <w:rPr>
                <w:rFonts w:ascii="Calibri" w:eastAsia="Times New Roman" w:hAnsi="Calibri" w:cs="Times New Roman"/>
                <w:b/>
                <w:color w:val="000000"/>
                <w:sz w:val="20"/>
                <w:szCs w:val="20"/>
                <w:lang w:eastAsia="en-AU"/>
              </w:rPr>
            </w:pPr>
            <w:r w:rsidRPr="00EB2092">
              <w:rPr>
                <w:rFonts w:ascii="Calibri" w:hAnsi="Calibri"/>
                <w:b/>
                <w:bCs/>
                <w:color w:val="000000"/>
                <w:sz w:val="20"/>
                <w:szCs w:val="20"/>
              </w:rPr>
              <w:t>449</w:t>
            </w:r>
          </w:p>
        </w:tc>
        <w:tc>
          <w:tcPr>
            <w:tcW w:w="455" w:type="pct"/>
            <w:gridSpan w:val="2"/>
            <w:tcBorders>
              <w:top w:val="nil"/>
              <w:left w:val="nil"/>
              <w:right w:val="single" w:sz="4" w:space="0" w:color="3D4D7D"/>
            </w:tcBorders>
            <w:shd w:val="clear" w:color="auto" w:fill="D3D8E9" w:themeFill="background2" w:themeFillTint="33"/>
            <w:vAlign w:val="center"/>
            <w:hideMark/>
          </w:tcPr>
          <w:p w14:paraId="1899AD94" w14:textId="77777777" w:rsidR="007377A9" w:rsidRPr="00EB2092" w:rsidRDefault="007377A9" w:rsidP="00474A77">
            <w:pPr>
              <w:spacing w:line="240" w:lineRule="auto"/>
              <w:jc w:val="center"/>
              <w:rPr>
                <w:rFonts w:ascii="Calibri" w:eastAsia="Times New Roman" w:hAnsi="Calibri" w:cs="Times New Roman"/>
                <w:b/>
                <w:color w:val="000000"/>
                <w:sz w:val="20"/>
                <w:szCs w:val="20"/>
                <w:lang w:eastAsia="en-AU"/>
              </w:rPr>
            </w:pPr>
            <w:r w:rsidRPr="00EB2092">
              <w:rPr>
                <w:rFonts w:ascii="Calibri" w:hAnsi="Calibri"/>
                <w:b/>
                <w:bCs/>
                <w:color w:val="000000"/>
                <w:sz w:val="20"/>
                <w:szCs w:val="20"/>
              </w:rPr>
              <w:t>718</w:t>
            </w:r>
          </w:p>
        </w:tc>
        <w:tc>
          <w:tcPr>
            <w:tcW w:w="455" w:type="pct"/>
            <w:tcBorders>
              <w:top w:val="nil"/>
              <w:left w:val="nil"/>
              <w:right w:val="nil"/>
            </w:tcBorders>
            <w:shd w:val="clear" w:color="auto" w:fill="D3D8E9" w:themeFill="background2" w:themeFillTint="33"/>
            <w:vAlign w:val="center"/>
            <w:hideMark/>
          </w:tcPr>
          <w:p w14:paraId="5AA4C15C" w14:textId="77777777" w:rsidR="007377A9" w:rsidRPr="00EB2092" w:rsidRDefault="007377A9" w:rsidP="00474A77">
            <w:pPr>
              <w:spacing w:line="240" w:lineRule="auto"/>
              <w:jc w:val="center"/>
              <w:rPr>
                <w:rFonts w:ascii="Calibri" w:eastAsia="Times New Roman" w:hAnsi="Calibri" w:cs="Times New Roman"/>
                <w:b/>
                <w:color w:val="000000"/>
                <w:sz w:val="20"/>
                <w:szCs w:val="20"/>
                <w:lang w:eastAsia="en-AU"/>
              </w:rPr>
            </w:pPr>
            <w:r w:rsidRPr="00EB2092">
              <w:rPr>
                <w:rFonts w:ascii="Calibri" w:hAnsi="Calibri"/>
                <w:b/>
                <w:bCs/>
                <w:color w:val="000000"/>
                <w:sz w:val="20"/>
                <w:szCs w:val="20"/>
              </w:rPr>
              <w:t>23.0</w:t>
            </w:r>
          </w:p>
        </w:tc>
        <w:tc>
          <w:tcPr>
            <w:tcW w:w="455" w:type="pct"/>
            <w:tcBorders>
              <w:top w:val="nil"/>
              <w:left w:val="nil"/>
              <w:right w:val="single" w:sz="4" w:space="0" w:color="3D4D7D"/>
            </w:tcBorders>
            <w:shd w:val="clear" w:color="auto" w:fill="D3D8E9" w:themeFill="background2" w:themeFillTint="33"/>
            <w:vAlign w:val="center"/>
            <w:hideMark/>
          </w:tcPr>
          <w:p w14:paraId="7D9AC1E8" w14:textId="77777777" w:rsidR="007377A9" w:rsidRPr="00EB2092" w:rsidRDefault="007377A9" w:rsidP="00474A77">
            <w:pPr>
              <w:spacing w:line="240" w:lineRule="auto"/>
              <w:jc w:val="center"/>
              <w:rPr>
                <w:rFonts w:ascii="Calibri" w:eastAsia="Times New Roman" w:hAnsi="Calibri" w:cs="Times New Roman"/>
                <w:b/>
                <w:color w:val="000000"/>
                <w:sz w:val="20"/>
                <w:szCs w:val="20"/>
                <w:lang w:eastAsia="en-AU"/>
              </w:rPr>
            </w:pPr>
            <w:r w:rsidRPr="00EB2092">
              <w:rPr>
                <w:rFonts w:ascii="Calibri" w:hAnsi="Calibri"/>
                <w:b/>
                <w:bCs/>
                <w:color w:val="000000"/>
                <w:sz w:val="20"/>
                <w:szCs w:val="20"/>
              </w:rPr>
              <w:t>22.7</w:t>
            </w:r>
          </w:p>
        </w:tc>
        <w:tc>
          <w:tcPr>
            <w:tcW w:w="594" w:type="pct"/>
            <w:tcBorders>
              <w:top w:val="nil"/>
              <w:left w:val="nil"/>
              <w:right w:val="single" w:sz="4" w:space="0" w:color="3D4D7D"/>
            </w:tcBorders>
            <w:shd w:val="clear" w:color="auto" w:fill="D3D8E9" w:themeFill="background2" w:themeFillTint="33"/>
            <w:vAlign w:val="center"/>
            <w:hideMark/>
          </w:tcPr>
          <w:p w14:paraId="350DD92B" w14:textId="0CCDA41B" w:rsidR="007377A9" w:rsidRPr="00F852A4" w:rsidRDefault="007377A9" w:rsidP="00474A77">
            <w:pPr>
              <w:spacing w:line="240" w:lineRule="auto"/>
              <w:jc w:val="center"/>
              <w:rPr>
                <w:rFonts w:ascii="Calibri" w:eastAsia="Times New Roman" w:hAnsi="Calibri" w:cs="Times New Roman"/>
                <w:b/>
                <w:color w:val="000000"/>
                <w:sz w:val="20"/>
                <w:szCs w:val="20"/>
                <w:lang w:eastAsia="en-AU"/>
              </w:rPr>
            </w:pPr>
            <w:r w:rsidRPr="00EB2092">
              <w:rPr>
                <w:rFonts w:ascii="Calibri" w:hAnsi="Calibri"/>
                <w:b/>
                <w:bCs/>
                <w:color w:val="000000"/>
                <w:sz w:val="20"/>
                <w:szCs w:val="20"/>
              </w:rPr>
              <w:t>-0.</w:t>
            </w:r>
            <w:r w:rsidR="00F852A4">
              <w:rPr>
                <w:rFonts w:ascii="Calibri" w:hAnsi="Calibri"/>
                <w:b/>
                <w:bCs/>
                <w:color w:val="000000"/>
                <w:sz w:val="20"/>
                <w:szCs w:val="20"/>
              </w:rPr>
              <w:t>3</w:t>
            </w:r>
          </w:p>
        </w:tc>
        <w:tc>
          <w:tcPr>
            <w:tcW w:w="583" w:type="pct"/>
            <w:tcBorders>
              <w:top w:val="nil"/>
              <w:left w:val="nil"/>
              <w:right w:val="single" w:sz="4" w:space="0" w:color="3D4D7D"/>
            </w:tcBorders>
            <w:shd w:val="clear" w:color="auto" w:fill="D3D8E9" w:themeFill="background2" w:themeFillTint="33"/>
            <w:vAlign w:val="center"/>
            <w:hideMark/>
          </w:tcPr>
          <w:p w14:paraId="6F511212" w14:textId="73D166D2" w:rsidR="007377A9" w:rsidRPr="00EB2092" w:rsidRDefault="004836EF" w:rsidP="00474A77">
            <w:pPr>
              <w:spacing w:line="240" w:lineRule="auto"/>
              <w:jc w:val="center"/>
              <w:rPr>
                <w:rFonts w:ascii="Calibri" w:eastAsia="Times New Roman" w:hAnsi="Calibri" w:cs="Times New Roman"/>
                <w:b/>
                <w:color w:val="000000"/>
                <w:sz w:val="20"/>
                <w:szCs w:val="20"/>
                <w:lang w:eastAsia="en-AU"/>
              </w:rPr>
            </w:pPr>
            <w:r>
              <w:rPr>
                <w:rFonts w:ascii="Calibri" w:hAnsi="Calibri"/>
                <w:b/>
                <w:bCs/>
                <w:color w:val="000000"/>
                <w:sz w:val="20"/>
                <w:szCs w:val="20"/>
              </w:rPr>
              <w:t>2.1</w:t>
            </w:r>
          </w:p>
        </w:tc>
        <w:tc>
          <w:tcPr>
            <w:tcW w:w="627" w:type="pct"/>
            <w:tcBorders>
              <w:top w:val="nil"/>
              <w:left w:val="nil"/>
              <w:right w:val="single" w:sz="4" w:space="0" w:color="3D4D7D"/>
            </w:tcBorders>
            <w:shd w:val="clear" w:color="auto" w:fill="D3D8E9" w:themeFill="background2" w:themeFillTint="33"/>
            <w:vAlign w:val="center"/>
            <w:hideMark/>
          </w:tcPr>
          <w:p w14:paraId="142F395F" w14:textId="77777777" w:rsidR="007377A9" w:rsidRPr="00EB2092" w:rsidRDefault="007377A9" w:rsidP="00474A77">
            <w:pPr>
              <w:spacing w:line="240" w:lineRule="auto"/>
              <w:jc w:val="center"/>
              <w:rPr>
                <w:rFonts w:ascii="Calibri" w:eastAsia="Times New Roman" w:hAnsi="Calibri" w:cs="Times New Roman"/>
                <w:b/>
                <w:color w:val="000000"/>
                <w:sz w:val="20"/>
                <w:szCs w:val="20"/>
                <w:lang w:eastAsia="en-AU"/>
              </w:rPr>
            </w:pPr>
            <w:r w:rsidRPr="00EB2092">
              <w:rPr>
                <w:rFonts w:ascii="Calibri" w:hAnsi="Calibri"/>
                <w:b/>
                <w:bCs/>
                <w:color w:val="000000"/>
                <w:sz w:val="20"/>
                <w:szCs w:val="20"/>
              </w:rPr>
              <w:t>93.0</w:t>
            </w:r>
          </w:p>
        </w:tc>
      </w:tr>
      <w:tr w:rsidR="007377A9" w:rsidRPr="00EB2092" w14:paraId="7974E97D" w14:textId="77777777" w:rsidTr="00474A77">
        <w:trPr>
          <w:trHeight w:val="323"/>
        </w:trPr>
        <w:tc>
          <w:tcPr>
            <w:tcW w:w="1376" w:type="pct"/>
            <w:tcBorders>
              <w:top w:val="nil"/>
              <w:left w:val="single" w:sz="4" w:space="0" w:color="auto"/>
              <w:bottom w:val="nil"/>
              <w:right w:val="single" w:sz="4" w:space="0" w:color="3D4D7D"/>
            </w:tcBorders>
            <w:shd w:val="clear" w:color="000000" w:fill="auto"/>
            <w:vAlign w:val="center"/>
            <w:hideMark/>
          </w:tcPr>
          <w:p w14:paraId="3424E6FA" w14:textId="77777777" w:rsidR="007377A9" w:rsidRPr="00EB2092" w:rsidRDefault="007377A9" w:rsidP="00474A77">
            <w:pPr>
              <w:spacing w:line="240" w:lineRule="auto"/>
              <w:rPr>
                <w:rFonts w:ascii="Calibri" w:eastAsia="Times New Roman" w:hAnsi="Calibri" w:cs="Times New Roman"/>
                <w:bCs/>
                <w:color w:val="000000"/>
                <w:sz w:val="20"/>
                <w:szCs w:val="20"/>
                <w:lang w:eastAsia="en-AU"/>
              </w:rPr>
            </w:pPr>
            <w:r w:rsidRPr="00EB2092">
              <w:rPr>
                <w:rFonts w:ascii="Calibri" w:eastAsia="Times New Roman" w:hAnsi="Calibri" w:cs="Times New Roman"/>
                <w:bCs/>
                <w:color w:val="000000"/>
                <w:sz w:val="20"/>
                <w:szCs w:val="20"/>
                <w:lang w:eastAsia="en-AU"/>
              </w:rPr>
              <w:t>Non-tax receipts</w:t>
            </w:r>
          </w:p>
        </w:tc>
        <w:tc>
          <w:tcPr>
            <w:tcW w:w="455" w:type="pct"/>
            <w:tcBorders>
              <w:top w:val="nil"/>
              <w:left w:val="nil"/>
              <w:bottom w:val="nil"/>
              <w:right w:val="nil"/>
            </w:tcBorders>
            <w:shd w:val="clear" w:color="000000" w:fill="auto"/>
            <w:vAlign w:val="center"/>
            <w:hideMark/>
          </w:tcPr>
          <w:p w14:paraId="06BDC231" w14:textId="77777777" w:rsidR="007377A9" w:rsidRPr="00EB2092" w:rsidRDefault="007377A9" w:rsidP="00474A77">
            <w:pPr>
              <w:spacing w:line="240" w:lineRule="auto"/>
              <w:jc w:val="center"/>
              <w:rPr>
                <w:rFonts w:ascii="Calibri" w:eastAsia="Times New Roman" w:hAnsi="Calibri" w:cs="Times New Roman"/>
                <w:bCs/>
                <w:color w:val="000000"/>
                <w:sz w:val="20"/>
                <w:szCs w:val="20"/>
                <w:lang w:eastAsia="en-AU"/>
              </w:rPr>
            </w:pPr>
            <w:r w:rsidRPr="00EB2092">
              <w:rPr>
                <w:rFonts w:ascii="Calibri" w:hAnsi="Calibri"/>
                <w:color w:val="000000"/>
                <w:sz w:val="20"/>
                <w:szCs w:val="20"/>
              </w:rPr>
              <w:t>37</w:t>
            </w:r>
          </w:p>
        </w:tc>
        <w:tc>
          <w:tcPr>
            <w:tcW w:w="455" w:type="pct"/>
            <w:gridSpan w:val="2"/>
            <w:tcBorders>
              <w:top w:val="nil"/>
              <w:left w:val="nil"/>
              <w:bottom w:val="nil"/>
              <w:right w:val="single" w:sz="4" w:space="0" w:color="3D4D7D"/>
            </w:tcBorders>
            <w:shd w:val="clear" w:color="000000" w:fill="auto"/>
            <w:vAlign w:val="center"/>
            <w:hideMark/>
          </w:tcPr>
          <w:p w14:paraId="38CF7C36" w14:textId="77777777" w:rsidR="007377A9" w:rsidRPr="00EB2092" w:rsidRDefault="007377A9" w:rsidP="00474A77">
            <w:pPr>
              <w:spacing w:line="240" w:lineRule="auto"/>
              <w:jc w:val="center"/>
              <w:rPr>
                <w:rFonts w:ascii="Calibri" w:eastAsia="Times New Roman" w:hAnsi="Calibri" w:cs="Times New Roman"/>
                <w:bCs/>
                <w:color w:val="000000"/>
                <w:sz w:val="20"/>
                <w:szCs w:val="20"/>
                <w:lang w:eastAsia="en-AU"/>
              </w:rPr>
            </w:pPr>
            <w:r w:rsidRPr="00EB2092">
              <w:rPr>
                <w:rFonts w:ascii="Calibri" w:hAnsi="Calibri"/>
                <w:color w:val="000000"/>
                <w:sz w:val="20"/>
                <w:szCs w:val="20"/>
              </w:rPr>
              <w:t>54</w:t>
            </w:r>
          </w:p>
        </w:tc>
        <w:tc>
          <w:tcPr>
            <w:tcW w:w="455" w:type="pct"/>
            <w:tcBorders>
              <w:top w:val="nil"/>
              <w:left w:val="nil"/>
              <w:bottom w:val="nil"/>
              <w:right w:val="nil"/>
            </w:tcBorders>
            <w:shd w:val="clear" w:color="000000" w:fill="auto"/>
            <w:vAlign w:val="center"/>
            <w:hideMark/>
          </w:tcPr>
          <w:p w14:paraId="0ADCF61E" w14:textId="77777777" w:rsidR="007377A9" w:rsidRPr="00EB2092" w:rsidRDefault="007377A9" w:rsidP="00474A77">
            <w:pPr>
              <w:spacing w:line="240" w:lineRule="auto"/>
              <w:jc w:val="center"/>
              <w:rPr>
                <w:rFonts w:ascii="Calibri" w:eastAsia="Times New Roman" w:hAnsi="Calibri" w:cs="Times New Roman"/>
                <w:bCs/>
                <w:color w:val="000000"/>
                <w:sz w:val="20"/>
                <w:szCs w:val="20"/>
                <w:lang w:eastAsia="en-AU"/>
              </w:rPr>
            </w:pPr>
            <w:r w:rsidRPr="00EB2092">
              <w:rPr>
                <w:rFonts w:ascii="Calibri" w:hAnsi="Calibri"/>
                <w:color w:val="000000"/>
                <w:sz w:val="20"/>
                <w:szCs w:val="20"/>
              </w:rPr>
              <w:t>1.9</w:t>
            </w:r>
          </w:p>
        </w:tc>
        <w:tc>
          <w:tcPr>
            <w:tcW w:w="455" w:type="pct"/>
            <w:tcBorders>
              <w:top w:val="nil"/>
              <w:left w:val="nil"/>
              <w:bottom w:val="nil"/>
              <w:right w:val="single" w:sz="4" w:space="0" w:color="3D4D7D"/>
            </w:tcBorders>
            <w:shd w:val="clear" w:color="000000" w:fill="auto"/>
            <w:vAlign w:val="center"/>
            <w:hideMark/>
          </w:tcPr>
          <w:p w14:paraId="59DA8FD9" w14:textId="77777777" w:rsidR="007377A9" w:rsidRPr="00EB2092" w:rsidRDefault="007377A9" w:rsidP="00474A77">
            <w:pPr>
              <w:spacing w:line="240" w:lineRule="auto"/>
              <w:jc w:val="center"/>
              <w:rPr>
                <w:rFonts w:ascii="Calibri" w:eastAsia="Times New Roman" w:hAnsi="Calibri" w:cs="Times New Roman"/>
                <w:bCs/>
                <w:color w:val="000000"/>
                <w:sz w:val="20"/>
                <w:szCs w:val="20"/>
                <w:lang w:eastAsia="en-AU"/>
              </w:rPr>
            </w:pPr>
            <w:r w:rsidRPr="00EB2092">
              <w:rPr>
                <w:rFonts w:ascii="Calibri" w:hAnsi="Calibri"/>
                <w:color w:val="000000"/>
                <w:sz w:val="20"/>
                <w:szCs w:val="20"/>
              </w:rPr>
              <w:t>1.7</w:t>
            </w:r>
          </w:p>
        </w:tc>
        <w:tc>
          <w:tcPr>
            <w:tcW w:w="594" w:type="pct"/>
            <w:tcBorders>
              <w:top w:val="nil"/>
              <w:left w:val="nil"/>
              <w:bottom w:val="nil"/>
              <w:right w:val="single" w:sz="4" w:space="0" w:color="3D4D7D"/>
            </w:tcBorders>
            <w:shd w:val="clear" w:color="000000" w:fill="auto"/>
            <w:vAlign w:val="center"/>
            <w:hideMark/>
          </w:tcPr>
          <w:p w14:paraId="30CD6574" w14:textId="481D57A1" w:rsidR="007377A9" w:rsidRPr="00F852A4" w:rsidRDefault="007377A9" w:rsidP="00474A77">
            <w:pPr>
              <w:spacing w:line="240" w:lineRule="auto"/>
              <w:jc w:val="center"/>
              <w:rPr>
                <w:rFonts w:ascii="Calibri" w:eastAsia="Times New Roman" w:hAnsi="Calibri" w:cs="Times New Roman"/>
                <w:bCs/>
                <w:color w:val="000000"/>
                <w:sz w:val="20"/>
                <w:szCs w:val="20"/>
                <w:lang w:eastAsia="en-AU"/>
              </w:rPr>
            </w:pPr>
            <w:r w:rsidRPr="00EB2092">
              <w:rPr>
                <w:rFonts w:ascii="Calibri" w:hAnsi="Calibri"/>
                <w:color w:val="000000"/>
                <w:sz w:val="20"/>
                <w:szCs w:val="20"/>
              </w:rPr>
              <w:t>-0.</w:t>
            </w:r>
            <w:r w:rsidR="00F852A4">
              <w:rPr>
                <w:rFonts w:ascii="Calibri" w:hAnsi="Calibri"/>
                <w:color w:val="000000"/>
                <w:sz w:val="20"/>
                <w:szCs w:val="20"/>
              </w:rPr>
              <w:t>2</w:t>
            </w:r>
          </w:p>
        </w:tc>
        <w:tc>
          <w:tcPr>
            <w:tcW w:w="583" w:type="pct"/>
            <w:tcBorders>
              <w:top w:val="nil"/>
              <w:left w:val="nil"/>
              <w:bottom w:val="nil"/>
              <w:right w:val="single" w:sz="4" w:space="0" w:color="3D4D7D"/>
            </w:tcBorders>
            <w:shd w:val="clear" w:color="000000" w:fill="auto"/>
            <w:vAlign w:val="center"/>
            <w:hideMark/>
          </w:tcPr>
          <w:p w14:paraId="52B9E303" w14:textId="5FEDD3C3" w:rsidR="007377A9" w:rsidRPr="00EB2092" w:rsidRDefault="004836EF" w:rsidP="00474A77">
            <w:pPr>
              <w:spacing w:line="240" w:lineRule="auto"/>
              <w:jc w:val="center"/>
              <w:rPr>
                <w:rFonts w:ascii="Calibri" w:eastAsia="Times New Roman" w:hAnsi="Calibri" w:cs="Times New Roman"/>
                <w:bCs/>
                <w:color w:val="000000"/>
                <w:sz w:val="20"/>
                <w:szCs w:val="20"/>
                <w:lang w:eastAsia="en-AU"/>
              </w:rPr>
            </w:pPr>
            <w:r>
              <w:rPr>
                <w:rFonts w:ascii="Calibri" w:hAnsi="Calibri"/>
                <w:color w:val="000000"/>
                <w:sz w:val="20"/>
                <w:szCs w:val="20"/>
              </w:rPr>
              <w:t>1.3</w:t>
            </w:r>
          </w:p>
        </w:tc>
        <w:tc>
          <w:tcPr>
            <w:tcW w:w="627" w:type="pct"/>
            <w:tcBorders>
              <w:top w:val="nil"/>
              <w:left w:val="nil"/>
              <w:bottom w:val="nil"/>
              <w:right w:val="single" w:sz="4" w:space="0" w:color="3D4D7D"/>
            </w:tcBorders>
            <w:shd w:val="clear" w:color="000000" w:fill="auto"/>
            <w:vAlign w:val="center"/>
            <w:hideMark/>
          </w:tcPr>
          <w:p w14:paraId="4046DC0E" w14:textId="77777777" w:rsidR="007377A9" w:rsidRPr="00EB2092" w:rsidRDefault="007377A9" w:rsidP="00474A77">
            <w:pPr>
              <w:spacing w:line="240" w:lineRule="auto"/>
              <w:jc w:val="center"/>
              <w:rPr>
                <w:rFonts w:ascii="Calibri" w:eastAsia="Times New Roman" w:hAnsi="Calibri" w:cs="Times New Roman"/>
                <w:bCs/>
                <w:color w:val="000000"/>
                <w:sz w:val="20"/>
                <w:szCs w:val="20"/>
                <w:lang w:eastAsia="en-AU"/>
              </w:rPr>
            </w:pPr>
            <w:r w:rsidRPr="00EB2092">
              <w:rPr>
                <w:rFonts w:ascii="Calibri" w:hAnsi="Calibri"/>
                <w:color w:val="000000"/>
                <w:sz w:val="20"/>
                <w:szCs w:val="20"/>
              </w:rPr>
              <w:t>7.0</w:t>
            </w:r>
          </w:p>
        </w:tc>
      </w:tr>
      <w:tr w:rsidR="007377A9" w:rsidRPr="00EB2092" w14:paraId="769A326D" w14:textId="77777777" w:rsidTr="00474A77">
        <w:trPr>
          <w:trHeight w:val="323"/>
        </w:trPr>
        <w:tc>
          <w:tcPr>
            <w:tcW w:w="1376" w:type="pct"/>
            <w:tcBorders>
              <w:top w:val="nil"/>
              <w:left w:val="single" w:sz="4" w:space="0" w:color="auto"/>
              <w:bottom w:val="nil"/>
              <w:right w:val="single" w:sz="4" w:space="0" w:color="3D4D7D"/>
            </w:tcBorders>
            <w:shd w:val="clear" w:color="000000" w:fill="3D4D7D"/>
            <w:vAlign w:val="center"/>
            <w:hideMark/>
          </w:tcPr>
          <w:p w14:paraId="152E498A" w14:textId="77777777" w:rsidR="007377A9" w:rsidRPr="00EB2092" w:rsidRDefault="007377A9" w:rsidP="00474A77">
            <w:pPr>
              <w:spacing w:line="240" w:lineRule="auto"/>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Total receipts</w:t>
            </w:r>
          </w:p>
        </w:tc>
        <w:tc>
          <w:tcPr>
            <w:tcW w:w="455" w:type="pct"/>
            <w:tcBorders>
              <w:top w:val="nil"/>
              <w:left w:val="nil"/>
              <w:bottom w:val="nil"/>
              <w:right w:val="nil"/>
            </w:tcBorders>
            <w:shd w:val="clear" w:color="000000" w:fill="3D4D7D"/>
            <w:vAlign w:val="center"/>
            <w:hideMark/>
          </w:tcPr>
          <w:p w14:paraId="2BC7E09E" w14:textId="77777777" w:rsidR="007377A9" w:rsidRPr="00EB2092" w:rsidRDefault="007377A9" w:rsidP="00474A77">
            <w:pPr>
              <w:spacing w:line="240" w:lineRule="auto"/>
              <w:jc w:val="center"/>
              <w:rPr>
                <w:rFonts w:ascii="Calibri" w:eastAsia="Times New Roman" w:hAnsi="Calibri" w:cs="Times New Roman"/>
                <w:b/>
                <w:bCs/>
                <w:color w:val="FFFFFF"/>
                <w:sz w:val="20"/>
                <w:szCs w:val="20"/>
                <w:lang w:eastAsia="en-AU"/>
              </w:rPr>
            </w:pPr>
            <w:r w:rsidRPr="00EB2092">
              <w:rPr>
                <w:rFonts w:ascii="Calibri" w:hAnsi="Calibri"/>
                <w:b/>
                <w:bCs/>
                <w:color w:val="FFFFFF"/>
                <w:sz w:val="20"/>
                <w:szCs w:val="20"/>
              </w:rPr>
              <w:t>485</w:t>
            </w:r>
          </w:p>
        </w:tc>
        <w:tc>
          <w:tcPr>
            <w:tcW w:w="455" w:type="pct"/>
            <w:gridSpan w:val="2"/>
            <w:tcBorders>
              <w:top w:val="nil"/>
              <w:left w:val="nil"/>
              <w:bottom w:val="nil"/>
              <w:right w:val="single" w:sz="4" w:space="0" w:color="3D4D7D"/>
            </w:tcBorders>
            <w:shd w:val="clear" w:color="000000" w:fill="3D4D7D"/>
            <w:vAlign w:val="center"/>
            <w:hideMark/>
          </w:tcPr>
          <w:p w14:paraId="2E00CAB1" w14:textId="77777777" w:rsidR="007377A9" w:rsidRPr="00EB2092" w:rsidRDefault="007377A9" w:rsidP="00474A77">
            <w:pPr>
              <w:spacing w:line="240" w:lineRule="auto"/>
              <w:jc w:val="center"/>
              <w:rPr>
                <w:rFonts w:ascii="Calibri" w:eastAsia="Times New Roman" w:hAnsi="Calibri" w:cs="Times New Roman"/>
                <w:b/>
                <w:bCs/>
                <w:color w:val="FFFFFF"/>
                <w:sz w:val="20"/>
                <w:szCs w:val="20"/>
                <w:lang w:eastAsia="en-AU"/>
              </w:rPr>
            </w:pPr>
            <w:r w:rsidRPr="00EB2092">
              <w:rPr>
                <w:rFonts w:ascii="Calibri" w:hAnsi="Calibri"/>
                <w:b/>
                <w:bCs/>
                <w:color w:val="FFFFFF"/>
                <w:sz w:val="20"/>
                <w:szCs w:val="20"/>
              </w:rPr>
              <w:t>772</w:t>
            </w:r>
          </w:p>
        </w:tc>
        <w:tc>
          <w:tcPr>
            <w:tcW w:w="455" w:type="pct"/>
            <w:tcBorders>
              <w:top w:val="nil"/>
              <w:left w:val="nil"/>
              <w:bottom w:val="nil"/>
              <w:right w:val="nil"/>
            </w:tcBorders>
            <w:shd w:val="clear" w:color="000000" w:fill="3D4D7D"/>
            <w:vAlign w:val="center"/>
            <w:hideMark/>
          </w:tcPr>
          <w:p w14:paraId="6F6CB21A" w14:textId="77777777" w:rsidR="007377A9" w:rsidRPr="00EB2092" w:rsidRDefault="007377A9" w:rsidP="00474A77">
            <w:pPr>
              <w:spacing w:line="240" w:lineRule="auto"/>
              <w:jc w:val="center"/>
              <w:rPr>
                <w:rFonts w:ascii="Calibri" w:eastAsia="Times New Roman" w:hAnsi="Calibri" w:cs="Times New Roman"/>
                <w:b/>
                <w:bCs/>
                <w:color w:val="FFFFFF"/>
                <w:sz w:val="20"/>
                <w:szCs w:val="20"/>
                <w:lang w:eastAsia="en-AU"/>
              </w:rPr>
            </w:pPr>
            <w:r w:rsidRPr="00EB2092">
              <w:rPr>
                <w:rFonts w:ascii="Calibri" w:hAnsi="Calibri"/>
                <w:b/>
                <w:bCs/>
                <w:color w:val="FFFFFF"/>
                <w:sz w:val="20"/>
                <w:szCs w:val="20"/>
              </w:rPr>
              <w:t>24.9</w:t>
            </w:r>
          </w:p>
        </w:tc>
        <w:tc>
          <w:tcPr>
            <w:tcW w:w="455" w:type="pct"/>
            <w:tcBorders>
              <w:top w:val="nil"/>
              <w:left w:val="nil"/>
              <w:bottom w:val="nil"/>
              <w:right w:val="single" w:sz="4" w:space="0" w:color="3D4D7D"/>
            </w:tcBorders>
            <w:shd w:val="clear" w:color="000000" w:fill="3D4D7D"/>
            <w:vAlign w:val="center"/>
            <w:hideMark/>
          </w:tcPr>
          <w:p w14:paraId="37F98C6D" w14:textId="77777777" w:rsidR="007377A9" w:rsidRPr="00EB2092" w:rsidRDefault="007377A9" w:rsidP="00474A77">
            <w:pPr>
              <w:spacing w:line="240" w:lineRule="auto"/>
              <w:jc w:val="center"/>
              <w:rPr>
                <w:rFonts w:ascii="Calibri" w:eastAsia="Times New Roman" w:hAnsi="Calibri" w:cs="Times New Roman"/>
                <w:b/>
                <w:bCs/>
                <w:color w:val="FFFFFF"/>
                <w:sz w:val="20"/>
                <w:szCs w:val="20"/>
                <w:lang w:eastAsia="en-AU"/>
              </w:rPr>
            </w:pPr>
            <w:r w:rsidRPr="00EB2092">
              <w:rPr>
                <w:rFonts w:ascii="Calibri" w:hAnsi="Calibri"/>
                <w:b/>
                <w:bCs/>
                <w:color w:val="FFFFFF"/>
                <w:sz w:val="20"/>
                <w:szCs w:val="20"/>
              </w:rPr>
              <w:t>24.5</w:t>
            </w:r>
          </w:p>
        </w:tc>
        <w:tc>
          <w:tcPr>
            <w:tcW w:w="594" w:type="pct"/>
            <w:tcBorders>
              <w:top w:val="nil"/>
              <w:left w:val="nil"/>
              <w:bottom w:val="nil"/>
              <w:right w:val="single" w:sz="4" w:space="0" w:color="3D4D7D"/>
            </w:tcBorders>
            <w:shd w:val="clear" w:color="000000" w:fill="3D4D7D"/>
            <w:vAlign w:val="center"/>
            <w:hideMark/>
          </w:tcPr>
          <w:p w14:paraId="7B8D0A89" w14:textId="77777777" w:rsidR="007377A9" w:rsidRPr="00EB2092" w:rsidRDefault="007377A9" w:rsidP="00474A77">
            <w:pPr>
              <w:spacing w:line="240" w:lineRule="auto"/>
              <w:jc w:val="center"/>
              <w:rPr>
                <w:rFonts w:ascii="Calibri" w:eastAsia="Times New Roman" w:hAnsi="Calibri" w:cs="Times New Roman"/>
                <w:b/>
                <w:bCs/>
                <w:color w:val="FFFFFF"/>
                <w:sz w:val="20"/>
                <w:szCs w:val="20"/>
                <w:lang w:eastAsia="en-AU"/>
              </w:rPr>
            </w:pPr>
            <w:r w:rsidRPr="00EB2092">
              <w:rPr>
                <w:rFonts w:ascii="Calibri" w:hAnsi="Calibri"/>
                <w:b/>
                <w:bCs/>
                <w:color w:val="FFFFFF"/>
                <w:sz w:val="20"/>
                <w:szCs w:val="20"/>
              </w:rPr>
              <w:t>-0.4</w:t>
            </w:r>
          </w:p>
        </w:tc>
        <w:tc>
          <w:tcPr>
            <w:tcW w:w="583" w:type="pct"/>
            <w:tcBorders>
              <w:top w:val="nil"/>
              <w:left w:val="nil"/>
              <w:bottom w:val="nil"/>
              <w:right w:val="single" w:sz="4" w:space="0" w:color="3D4D7D"/>
            </w:tcBorders>
            <w:shd w:val="clear" w:color="000000" w:fill="3D4D7D"/>
            <w:vAlign w:val="center"/>
            <w:hideMark/>
          </w:tcPr>
          <w:p w14:paraId="6CDA1AE9" w14:textId="77777777" w:rsidR="007377A9" w:rsidRPr="00EB2092" w:rsidRDefault="007377A9" w:rsidP="00474A77">
            <w:pPr>
              <w:spacing w:line="240" w:lineRule="auto"/>
              <w:jc w:val="center"/>
              <w:rPr>
                <w:rFonts w:ascii="Calibri" w:eastAsia="Times New Roman" w:hAnsi="Calibri" w:cs="Times New Roman"/>
                <w:b/>
                <w:bCs/>
                <w:color w:val="FFFFFF"/>
                <w:sz w:val="20"/>
                <w:szCs w:val="20"/>
                <w:lang w:eastAsia="en-AU"/>
              </w:rPr>
            </w:pPr>
            <w:r w:rsidRPr="00EB2092">
              <w:rPr>
                <w:rFonts w:ascii="Calibri" w:hAnsi="Calibri"/>
                <w:b/>
                <w:bCs/>
                <w:color w:val="FFFFFF"/>
                <w:sz w:val="20"/>
                <w:szCs w:val="20"/>
              </w:rPr>
              <w:t>2.0</w:t>
            </w:r>
          </w:p>
        </w:tc>
        <w:tc>
          <w:tcPr>
            <w:tcW w:w="627" w:type="pct"/>
            <w:tcBorders>
              <w:top w:val="nil"/>
              <w:left w:val="nil"/>
              <w:bottom w:val="nil"/>
              <w:right w:val="single" w:sz="4" w:space="0" w:color="3D4D7D"/>
            </w:tcBorders>
            <w:shd w:val="clear" w:color="000000" w:fill="3D4D7D"/>
            <w:vAlign w:val="center"/>
            <w:hideMark/>
          </w:tcPr>
          <w:p w14:paraId="06474121" w14:textId="77777777" w:rsidR="007377A9" w:rsidRPr="00EB2092" w:rsidRDefault="007377A9" w:rsidP="00474A77">
            <w:pPr>
              <w:spacing w:line="240" w:lineRule="auto"/>
              <w:jc w:val="center"/>
              <w:rPr>
                <w:rFonts w:ascii="Calibri" w:eastAsia="Times New Roman" w:hAnsi="Calibri" w:cs="Times New Roman"/>
                <w:b/>
                <w:bCs/>
                <w:color w:val="FFFFFF"/>
                <w:sz w:val="20"/>
                <w:szCs w:val="20"/>
                <w:lang w:eastAsia="en-AU"/>
              </w:rPr>
            </w:pPr>
            <w:r w:rsidRPr="00EB2092">
              <w:rPr>
                <w:rFonts w:ascii="Calibri" w:hAnsi="Calibri"/>
                <w:b/>
                <w:bCs/>
                <w:color w:val="FFFFFF"/>
                <w:sz w:val="20"/>
                <w:szCs w:val="20"/>
              </w:rPr>
              <w:t>100.0</w:t>
            </w:r>
          </w:p>
        </w:tc>
      </w:tr>
      <w:tr w:rsidR="007377A9" w:rsidRPr="00EB2092" w14:paraId="6887830B" w14:textId="77777777" w:rsidTr="00474A77">
        <w:trPr>
          <w:trHeight w:val="323"/>
        </w:trPr>
        <w:tc>
          <w:tcPr>
            <w:tcW w:w="1376" w:type="pct"/>
            <w:tcBorders>
              <w:top w:val="nil"/>
              <w:left w:val="single" w:sz="4" w:space="0" w:color="auto"/>
              <w:bottom w:val="nil"/>
              <w:right w:val="single" w:sz="4" w:space="0" w:color="3D4D7D"/>
            </w:tcBorders>
            <w:shd w:val="clear" w:color="auto" w:fill="auto"/>
            <w:noWrap/>
            <w:vAlign w:val="center"/>
            <w:hideMark/>
          </w:tcPr>
          <w:p w14:paraId="148D7C95" w14:textId="77777777" w:rsidR="007377A9" w:rsidRPr="00EB2092" w:rsidRDefault="007377A9" w:rsidP="00474A77">
            <w:pPr>
              <w:spacing w:line="240" w:lineRule="auto"/>
              <w:rPr>
                <w:rFonts w:ascii="Calibri" w:eastAsia="Times New Roman" w:hAnsi="Calibri" w:cs="Times New Roman"/>
                <w:i/>
                <w:iCs/>
                <w:color w:val="2B3B5F"/>
                <w:sz w:val="20"/>
                <w:szCs w:val="20"/>
                <w:lang w:eastAsia="en-AU"/>
              </w:rPr>
            </w:pPr>
            <w:r w:rsidRPr="00EB2092">
              <w:rPr>
                <w:rFonts w:ascii="Calibri" w:eastAsia="Times New Roman" w:hAnsi="Calibri" w:cs="Times New Roman"/>
                <w:i/>
                <w:iCs/>
                <w:color w:val="2B3B5F"/>
                <w:sz w:val="20"/>
                <w:szCs w:val="20"/>
                <w:lang w:eastAsia="en-AU"/>
              </w:rPr>
              <w:t>Memorandum items:</w:t>
            </w:r>
          </w:p>
        </w:tc>
        <w:tc>
          <w:tcPr>
            <w:tcW w:w="455" w:type="pct"/>
            <w:tcBorders>
              <w:top w:val="nil"/>
              <w:left w:val="nil"/>
              <w:bottom w:val="nil"/>
              <w:right w:val="nil"/>
            </w:tcBorders>
            <w:shd w:val="clear" w:color="auto" w:fill="auto"/>
            <w:hideMark/>
          </w:tcPr>
          <w:p w14:paraId="12F112B5" w14:textId="77777777" w:rsidR="007377A9" w:rsidRPr="00EB2092" w:rsidRDefault="007377A9" w:rsidP="00474A77">
            <w:pPr>
              <w:spacing w:line="240" w:lineRule="auto"/>
              <w:rPr>
                <w:rFonts w:ascii="Calibri" w:eastAsia="Times New Roman" w:hAnsi="Calibri" w:cs="Times New Roman"/>
                <w:color w:val="000000"/>
                <w:sz w:val="20"/>
                <w:szCs w:val="20"/>
                <w:lang w:eastAsia="en-AU"/>
              </w:rPr>
            </w:pPr>
            <w:r w:rsidRPr="00EB2092">
              <w:rPr>
                <w:rFonts w:ascii="Calibri" w:hAnsi="Calibri"/>
                <w:color w:val="000000"/>
                <w:sz w:val="20"/>
                <w:szCs w:val="20"/>
              </w:rPr>
              <w:t> </w:t>
            </w:r>
          </w:p>
        </w:tc>
        <w:tc>
          <w:tcPr>
            <w:tcW w:w="455" w:type="pct"/>
            <w:gridSpan w:val="2"/>
            <w:tcBorders>
              <w:top w:val="nil"/>
              <w:left w:val="nil"/>
              <w:bottom w:val="nil"/>
              <w:right w:val="single" w:sz="4" w:space="0" w:color="3D4D7D"/>
            </w:tcBorders>
            <w:shd w:val="clear" w:color="auto" w:fill="auto"/>
            <w:hideMark/>
          </w:tcPr>
          <w:p w14:paraId="45677488" w14:textId="77777777" w:rsidR="007377A9" w:rsidRPr="00EB2092" w:rsidRDefault="007377A9" w:rsidP="00474A77">
            <w:pPr>
              <w:spacing w:line="240" w:lineRule="auto"/>
              <w:rPr>
                <w:rFonts w:ascii="Calibri" w:eastAsia="Times New Roman" w:hAnsi="Calibri" w:cs="Times New Roman"/>
                <w:color w:val="000000"/>
                <w:sz w:val="20"/>
                <w:szCs w:val="20"/>
                <w:lang w:eastAsia="en-AU"/>
              </w:rPr>
            </w:pPr>
            <w:r w:rsidRPr="00EB2092">
              <w:rPr>
                <w:rFonts w:ascii="Calibri" w:hAnsi="Calibri"/>
                <w:color w:val="000000"/>
                <w:sz w:val="20"/>
                <w:szCs w:val="20"/>
              </w:rPr>
              <w:t> </w:t>
            </w:r>
          </w:p>
        </w:tc>
        <w:tc>
          <w:tcPr>
            <w:tcW w:w="455" w:type="pct"/>
            <w:tcBorders>
              <w:top w:val="nil"/>
              <w:left w:val="nil"/>
              <w:bottom w:val="nil"/>
              <w:right w:val="nil"/>
            </w:tcBorders>
            <w:shd w:val="clear" w:color="auto" w:fill="auto"/>
            <w:hideMark/>
          </w:tcPr>
          <w:p w14:paraId="2CEE69E3" w14:textId="77777777" w:rsidR="007377A9" w:rsidRPr="00EB2092" w:rsidRDefault="007377A9" w:rsidP="00474A77">
            <w:pPr>
              <w:spacing w:line="240" w:lineRule="auto"/>
              <w:rPr>
                <w:rFonts w:ascii="Calibri" w:eastAsia="Times New Roman" w:hAnsi="Calibri" w:cs="Times New Roman"/>
                <w:color w:val="000000"/>
                <w:sz w:val="20"/>
                <w:szCs w:val="20"/>
                <w:lang w:eastAsia="en-AU"/>
              </w:rPr>
            </w:pPr>
            <w:r w:rsidRPr="00EB2092">
              <w:rPr>
                <w:rFonts w:ascii="Calibri" w:hAnsi="Calibri"/>
                <w:color w:val="000000"/>
                <w:sz w:val="20"/>
                <w:szCs w:val="20"/>
              </w:rPr>
              <w:t> </w:t>
            </w:r>
          </w:p>
        </w:tc>
        <w:tc>
          <w:tcPr>
            <w:tcW w:w="455" w:type="pct"/>
            <w:tcBorders>
              <w:top w:val="nil"/>
              <w:left w:val="nil"/>
              <w:bottom w:val="nil"/>
              <w:right w:val="single" w:sz="4" w:space="0" w:color="3D4D7D"/>
            </w:tcBorders>
            <w:shd w:val="clear" w:color="auto" w:fill="auto"/>
            <w:hideMark/>
          </w:tcPr>
          <w:p w14:paraId="5160F332" w14:textId="77777777" w:rsidR="007377A9" w:rsidRPr="00EB2092" w:rsidRDefault="007377A9" w:rsidP="00474A77">
            <w:pPr>
              <w:spacing w:line="240" w:lineRule="auto"/>
              <w:rPr>
                <w:rFonts w:ascii="Calibri" w:eastAsia="Times New Roman" w:hAnsi="Calibri" w:cs="Times New Roman"/>
                <w:color w:val="000000"/>
                <w:sz w:val="20"/>
                <w:szCs w:val="20"/>
                <w:lang w:eastAsia="en-AU"/>
              </w:rPr>
            </w:pPr>
            <w:r w:rsidRPr="00EB2092">
              <w:rPr>
                <w:rFonts w:ascii="Calibri" w:hAnsi="Calibri"/>
                <w:color w:val="000000"/>
                <w:sz w:val="20"/>
                <w:szCs w:val="20"/>
              </w:rPr>
              <w:t> </w:t>
            </w:r>
          </w:p>
        </w:tc>
        <w:tc>
          <w:tcPr>
            <w:tcW w:w="594" w:type="pct"/>
            <w:tcBorders>
              <w:top w:val="nil"/>
              <w:left w:val="nil"/>
              <w:bottom w:val="nil"/>
              <w:right w:val="single" w:sz="4" w:space="0" w:color="3D4D7D"/>
            </w:tcBorders>
            <w:shd w:val="clear" w:color="auto" w:fill="auto"/>
            <w:hideMark/>
          </w:tcPr>
          <w:p w14:paraId="0F5E94D1" w14:textId="77777777" w:rsidR="007377A9" w:rsidRPr="00EB2092" w:rsidRDefault="007377A9" w:rsidP="00474A77">
            <w:pPr>
              <w:spacing w:line="240" w:lineRule="auto"/>
              <w:rPr>
                <w:rFonts w:ascii="Calibri" w:eastAsia="Times New Roman" w:hAnsi="Calibri" w:cs="Times New Roman"/>
                <w:color w:val="000000"/>
                <w:sz w:val="20"/>
                <w:szCs w:val="20"/>
                <w:lang w:eastAsia="en-AU"/>
              </w:rPr>
            </w:pPr>
            <w:r w:rsidRPr="00EB2092">
              <w:rPr>
                <w:rFonts w:ascii="Calibri" w:hAnsi="Calibri"/>
                <w:color w:val="000000"/>
                <w:sz w:val="20"/>
                <w:szCs w:val="20"/>
              </w:rPr>
              <w:t> </w:t>
            </w:r>
          </w:p>
        </w:tc>
        <w:tc>
          <w:tcPr>
            <w:tcW w:w="583" w:type="pct"/>
            <w:tcBorders>
              <w:top w:val="nil"/>
              <w:left w:val="nil"/>
              <w:bottom w:val="nil"/>
              <w:right w:val="single" w:sz="4" w:space="0" w:color="3D4D7D"/>
            </w:tcBorders>
            <w:shd w:val="clear" w:color="auto" w:fill="auto"/>
            <w:hideMark/>
          </w:tcPr>
          <w:p w14:paraId="3A7FCCA0" w14:textId="77777777" w:rsidR="007377A9" w:rsidRPr="00EB2092" w:rsidRDefault="007377A9" w:rsidP="00474A77">
            <w:pPr>
              <w:spacing w:line="240" w:lineRule="auto"/>
              <w:rPr>
                <w:rFonts w:ascii="Calibri" w:eastAsia="Times New Roman" w:hAnsi="Calibri" w:cs="Times New Roman"/>
                <w:color w:val="000000"/>
                <w:sz w:val="20"/>
                <w:szCs w:val="20"/>
                <w:lang w:eastAsia="en-AU"/>
              </w:rPr>
            </w:pPr>
            <w:r w:rsidRPr="00EB2092">
              <w:rPr>
                <w:rFonts w:ascii="Calibri" w:hAnsi="Calibri"/>
                <w:color w:val="000000"/>
                <w:sz w:val="20"/>
                <w:szCs w:val="20"/>
              </w:rPr>
              <w:t> </w:t>
            </w:r>
          </w:p>
        </w:tc>
        <w:tc>
          <w:tcPr>
            <w:tcW w:w="627" w:type="pct"/>
            <w:tcBorders>
              <w:top w:val="nil"/>
              <w:left w:val="nil"/>
              <w:bottom w:val="nil"/>
              <w:right w:val="single" w:sz="4" w:space="0" w:color="3D4D7D"/>
            </w:tcBorders>
            <w:shd w:val="clear" w:color="auto" w:fill="auto"/>
            <w:hideMark/>
          </w:tcPr>
          <w:p w14:paraId="53D9E087" w14:textId="77777777" w:rsidR="007377A9" w:rsidRPr="00EB2092" w:rsidRDefault="007377A9" w:rsidP="00474A77">
            <w:pPr>
              <w:spacing w:line="240" w:lineRule="auto"/>
              <w:rPr>
                <w:rFonts w:ascii="Calibri" w:eastAsia="Times New Roman" w:hAnsi="Calibri" w:cs="Times New Roman"/>
                <w:color w:val="000000"/>
                <w:sz w:val="20"/>
                <w:szCs w:val="20"/>
                <w:lang w:eastAsia="en-AU"/>
              </w:rPr>
            </w:pPr>
            <w:r w:rsidRPr="00EB2092">
              <w:rPr>
                <w:rFonts w:ascii="Calibri" w:hAnsi="Calibri"/>
                <w:color w:val="000000"/>
                <w:sz w:val="20"/>
                <w:szCs w:val="20"/>
              </w:rPr>
              <w:t> </w:t>
            </w:r>
          </w:p>
        </w:tc>
      </w:tr>
      <w:tr w:rsidR="007377A9" w:rsidRPr="00EB2092" w14:paraId="688ACFC9" w14:textId="77777777" w:rsidTr="00474A77">
        <w:trPr>
          <w:trHeight w:val="323"/>
        </w:trPr>
        <w:tc>
          <w:tcPr>
            <w:tcW w:w="1376" w:type="pct"/>
            <w:tcBorders>
              <w:top w:val="nil"/>
              <w:left w:val="single" w:sz="4" w:space="0" w:color="auto"/>
              <w:bottom w:val="single" w:sz="4" w:space="0" w:color="auto"/>
              <w:right w:val="single" w:sz="4" w:space="0" w:color="3D4D7D"/>
            </w:tcBorders>
            <w:shd w:val="clear" w:color="000000" w:fill="D3D8E9"/>
            <w:vAlign w:val="center"/>
            <w:hideMark/>
          </w:tcPr>
          <w:p w14:paraId="31BB1B55" w14:textId="77777777" w:rsidR="007377A9" w:rsidRPr="00EB2092" w:rsidRDefault="007377A9" w:rsidP="00474A77">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Capital gains tax</w:t>
            </w:r>
          </w:p>
        </w:tc>
        <w:tc>
          <w:tcPr>
            <w:tcW w:w="455" w:type="pct"/>
            <w:tcBorders>
              <w:top w:val="nil"/>
              <w:left w:val="nil"/>
              <w:bottom w:val="single" w:sz="4" w:space="0" w:color="auto"/>
              <w:right w:val="nil"/>
            </w:tcBorders>
            <w:shd w:val="clear" w:color="000000" w:fill="D3D8E9"/>
            <w:vAlign w:val="center"/>
            <w:hideMark/>
          </w:tcPr>
          <w:p w14:paraId="721459A7"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18</w:t>
            </w:r>
          </w:p>
        </w:tc>
        <w:tc>
          <w:tcPr>
            <w:tcW w:w="455" w:type="pct"/>
            <w:gridSpan w:val="2"/>
            <w:tcBorders>
              <w:top w:val="nil"/>
              <w:left w:val="nil"/>
              <w:bottom w:val="single" w:sz="4" w:space="0" w:color="auto"/>
              <w:right w:val="single" w:sz="4" w:space="0" w:color="3D4D7D"/>
            </w:tcBorders>
            <w:shd w:val="clear" w:color="000000" w:fill="D3D8E9"/>
            <w:vAlign w:val="center"/>
            <w:hideMark/>
          </w:tcPr>
          <w:p w14:paraId="11C04A57"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24</w:t>
            </w:r>
          </w:p>
        </w:tc>
        <w:tc>
          <w:tcPr>
            <w:tcW w:w="455" w:type="pct"/>
            <w:tcBorders>
              <w:top w:val="nil"/>
              <w:left w:val="nil"/>
              <w:bottom w:val="single" w:sz="4" w:space="0" w:color="auto"/>
              <w:right w:val="nil"/>
            </w:tcBorders>
            <w:shd w:val="clear" w:color="000000" w:fill="D3D8E9"/>
            <w:vAlign w:val="center"/>
            <w:hideMark/>
          </w:tcPr>
          <w:p w14:paraId="18F0AA06"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0.9</w:t>
            </w:r>
          </w:p>
        </w:tc>
        <w:tc>
          <w:tcPr>
            <w:tcW w:w="455" w:type="pct"/>
            <w:tcBorders>
              <w:top w:val="nil"/>
              <w:left w:val="nil"/>
              <w:bottom w:val="single" w:sz="4" w:space="0" w:color="auto"/>
              <w:right w:val="single" w:sz="4" w:space="0" w:color="3D4D7D"/>
            </w:tcBorders>
            <w:shd w:val="clear" w:color="000000" w:fill="D3D8E9"/>
            <w:vAlign w:val="center"/>
            <w:hideMark/>
          </w:tcPr>
          <w:p w14:paraId="63B7676B"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0.7</w:t>
            </w:r>
          </w:p>
        </w:tc>
        <w:tc>
          <w:tcPr>
            <w:tcW w:w="594" w:type="pct"/>
            <w:tcBorders>
              <w:top w:val="nil"/>
              <w:left w:val="nil"/>
              <w:bottom w:val="single" w:sz="4" w:space="0" w:color="auto"/>
              <w:right w:val="single" w:sz="4" w:space="0" w:color="3D4D7D"/>
            </w:tcBorders>
            <w:shd w:val="clear" w:color="000000" w:fill="D3D8E9"/>
            <w:vAlign w:val="center"/>
            <w:hideMark/>
          </w:tcPr>
          <w:p w14:paraId="0E075967"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-0.2</w:t>
            </w:r>
          </w:p>
        </w:tc>
        <w:tc>
          <w:tcPr>
            <w:tcW w:w="583" w:type="pct"/>
            <w:tcBorders>
              <w:top w:val="nil"/>
              <w:left w:val="nil"/>
              <w:bottom w:val="single" w:sz="4" w:space="0" w:color="auto"/>
              <w:right w:val="single" w:sz="4" w:space="0" w:color="3D4D7D"/>
            </w:tcBorders>
            <w:shd w:val="clear" w:color="000000" w:fill="D3D8E9"/>
            <w:vAlign w:val="center"/>
            <w:hideMark/>
          </w:tcPr>
          <w:p w14:paraId="4AFD7C9D"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0.4</w:t>
            </w:r>
          </w:p>
        </w:tc>
        <w:tc>
          <w:tcPr>
            <w:tcW w:w="627" w:type="pct"/>
            <w:tcBorders>
              <w:top w:val="nil"/>
              <w:left w:val="nil"/>
              <w:bottom w:val="single" w:sz="4" w:space="0" w:color="auto"/>
              <w:right w:val="single" w:sz="4" w:space="0" w:color="3D4D7D"/>
            </w:tcBorders>
            <w:shd w:val="clear" w:color="000000" w:fill="D3D8E9"/>
            <w:vAlign w:val="center"/>
            <w:hideMark/>
          </w:tcPr>
          <w:p w14:paraId="79A275B6" w14:textId="77777777" w:rsidR="007377A9" w:rsidRPr="00EB2092" w:rsidRDefault="007377A9" w:rsidP="00474A7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3.1</w:t>
            </w:r>
          </w:p>
        </w:tc>
      </w:tr>
    </w:tbl>
    <w:p w14:paraId="7F0DA664" w14:textId="77777777" w:rsidR="00563E85" w:rsidRDefault="00563E85" w:rsidP="003A56EF">
      <w:pPr>
        <w:pStyle w:val="SourceIndent"/>
        <w:tabs>
          <w:tab w:val="clear" w:pos="624"/>
        </w:tabs>
        <w:spacing w:before="60" w:after="0"/>
        <w:ind w:left="0"/>
      </w:pPr>
      <w:r>
        <w:t>Note: Numbers may not sum due to rounding.</w:t>
      </w:r>
    </w:p>
    <w:p w14:paraId="305237D9" w14:textId="28B7A1B1" w:rsidR="007377A9" w:rsidRPr="009A1A17" w:rsidRDefault="007377A9" w:rsidP="007377A9">
      <w:pPr>
        <w:pStyle w:val="SourceIndent"/>
        <w:tabs>
          <w:tab w:val="clear" w:pos="624"/>
        </w:tabs>
        <w:spacing w:before="60" w:after="120"/>
        <w:ind w:left="0"/>
      </w:pPr>
      <w:r w:rsidRPr="0050447F">
        <w:t>Source: 2020</w:t>
      </w:r>
      <w:r w:rsidR="00487A21">
        <w:rPr>
          <w:rFonts w:cs="Times New Roman (Body CS)"/>
          <w:spacing w:val="-4"/>
        </w:rPr>
        <w:t>-</w:t>
      </w:r>
      <w:r w:rsidRPr="009A1A17">
        <w:t>21 Budget and PBO analysis.</w:t>
      </w:r>
    </w:p>
    <w:p w14:paraId="7163E9EF" w14:textId="77777777" w:rsidR="00DC4500" w:rsidRPr="00F852A4" w:rsidRDefault="00DC4500" w:rsidP="00DC4500">
      <w:pPr>
        <w:pStyle w:val="Heading2"/>
        <w:ind w:left="765"/>
      </w:pPr>
      <w:bookmarkStart w:id="41" w:name="_Toc58271433"/>
      <w:r w:rsidRPr="00F852A4">
        <w:t>Risks around projected receipts</w:t>
      </w:r>
      <w:bookmarkEnd w:id="41"/>
    </w:p>
    <w:p w14:paraId="21127C9F" w14:textId="78460FC9" w:rsidR="00DC4500" w:rsidRPr="00EB2092" w:rsidRDefault="00DC4500" w:rsidP="00DC4500">
      <w:pPr>
        <w:pStyle w:val="BodyText"/>
      </w:pPr>
      <w:r w:rsidRPr="00EB2092">
        <w:t>The PBO’s projections are based on the policy settings underlying the 2020</w:t>
      </w:r>
      <w:r w:rsidR="00487A21">
        <w:t>-</w:t>
      </w:r>
      <w:r w:rsidRPr="00EB2092">
        <w:t xml:space="preserve">21 </w:t>
      </w:r>
      <w:proofErr w:type="gramStart"/>
      <w:r w:rsidRPr="00EB2092">
        <w:t>Budget</w:t>
      </w:r>
      <w:proofErr w:type="gramEnd"/>
      <w:r w:rsidRPr="00EB2092">
        <w:t xml:space="preserve"> and assume no change to these settings over the medium term.  The projections assume no changes to tax rates or thresh</w:t>
      </w:r>
      <w:r w:rsidR="001930C4" w:rsidRPr="00EB2092">
        <w:t>olds beyond those announced by the g</w:t>
      </w:r>
      <w:r w:rsidRPr="00EB2092">
        <w:t>overnment.</w:t>
      </w:r>
    </w:p>
    <w:p w14:paraId="5D43B0E8" w14:textId="5D79625D" w:rsidR="00DC4500" w:rsidRPr="00EB2092" w:rsidRDefault="00DC4500" w:rsidP="00DC4500">
      <w:pPr>
        <w:pStyle w:val="BodyText"/>
      </w:pPr>
      <w:r w:rsidRPr="00EB2092">
        <w:t xml:space="preserve">In the short term the most significant risks to receipts are from </w:t>
      </w:r>
      <w:r w:rsidR="00234DDC" w:rsidRPr="00EB2092">
        <w:t xml:space="preserve">a slower-than-anticipated economic recovery or </w:t>
      </w:r>
      <w:r w:rsidRPr="00EB2092">
        <w:t>further outbreaks of the pandemic, affecting taxes through weaker economic activity and weaker prices.  An extended period of international travel restrictions would further reduce immigration, reducing population and hence the level of GDP.  Receipts wou</w:t>
      </w:r>
      <w:r w:rsidR="00E43DFD">
        <w:t xml:space="preserve">ld be reduced across </w:t>
      </w:r>
      <w:r w:rsidR="00F876AF">
        <w:br/>
      </w:r>
      <w:r w:rsidR="00E43DFD">
        <w:t xml:space="preserve">the medium </w:t>
      </w:r>
      <w:r w:rsidRPr="00EB2092">
        <w:t>term from the permanently lower level of nominal GDP.</w:t>
      </w:r>
    </w:p>
    <w:p w14:paraId="4C50BB39" w14:textId="77777777" w:rsidR="0005563C" w:rsidRPr="00EB2092" w:rsidRDefault="00DC4500" w:rsidP="00DC4500">
      <w:pPr>
        <w:pStyle w:val="BodyText"/>
      </w:pPr>
      <w:r w:rsidRPr="00EB2092">
        <w:t>In the longer term, weaker-than-assumed productivity growth would have a large and compounding effect on tax receipts.</w:t>
      </w:r>
    </w:p>
    <w:p w14:paraId="64BF272E" w14:textId="19B8290B" w:rsidR="004942FE" w:rsidRPr="00EB2092" w:rsidRDefault="00862322" w:rsidP="00CF4667">
      <w:pPr>
        <w:pStyle w:val="BodyText"/>
      </w:pPr>
      <w:r w:rsidRPr="00EB2092">
        <w:t>Th</w:t>
      </w:r>
      <w:r w:rsidR="0005563C" w:rsidRPr="00EB2092">
        <w:t>ese</w:t>
      </w:r>
      <w:r w:rsidRPr="00EB2092">
        <w:t xml:space="preserve"> and other </w:t>
      </w:r>
      <w:r w:rsidR="0005563C" w:rsidRPr="00EB2092">
        <w:t xml:space="preserve">risk </w:t>
      </w:r>
      <w:r w:rsidRPr="00EB2092">
        <w:t xml:space="preserve">factors are discussed further in </w:t>
      </w:r>
      <w:r w:rsidR="00F6770D" w:rsidRPr="00EB2092">
        <w:t>Chapter 4</w:t>
      </w:r>
      <w:r w:rsidRPr="00EB2092">
        <w:t>.</w:t>
      </w:r>
    </w:p>
    <w:p w14:paraId="7D42698C" w14:textId="77D81D10" w:rsidR="0022271A" w:rsidRPr="00EB2092" w:rsidRDefault="0022271A">
      <w:pPr>
        <w:rPr>
          <w:rFonts w:cs="Times New Roman"/>
        </w:rPr>
      </w:pPr>
      <w:r w:rsidRPr="00EB2092">
        <w:br w:type="page"/>
      </w:r>
    </w:p>
    <w:p w14:paraId="15ABE9FD" w14:textId="19C9480F" w:rsidR="00230D3F" w:rsidRPr="003A56EF" w:rsidRDefault="00230D3F" w:rsidP="003A56EF">
      <w:pPr>
        <w:spacing w:line="0" w:lineRule="atLeast"/>
        <w:rPr>
          <w:sz w:val="8"/>
        </w:rPr>
      </w:pPr>
    </w:p>
    <w:tbl>
      <w:tblPr>
        <w:tblStyle w:val="BoxPlaceholder"/>
        <w:tblW w:w="8789" w:type="dxa"/>
        <w:tblLayout w:type="fixed"/>
        <w:tblLook w:val="04A0" w:firstRow="1" w:lastRow="0" w:firstColumn="1" w:lastColumn="0" w:noHBand="0" w:noVBand="1"/>
      </w:tblPr>
      <w:tblGrid>
        <w:gridCol w:w="8789"/>
      </w:tblGrid>
      <w:tr w:rsidR="009A273E" w:rsidRPr="00EB2092" w14:paraId="7F6AA922" w14:textId="77777777" w:rsidTr="009A273E">
        <w:tc>
          <w:tcPr>
            <w:tcW w:w="8789" w:type="dxa"/>
          </w:tcPr>
          <w:p w14:paraId="3A1C3FC0" w14:textId="32D877B3" w:rsidR="009A273E" w:rsidRPr="00E439C2" w:rsidRDefault="009A273E" w:rsidP="007B5134">
            <w:pPr>
              <w:pStyle w:val="CaptionLeft"/>
              <w:keepNext w:val="0"/>
              <w:rPr>
                <w:sz w:val="28"/>
                <w:szCs w:val="28"/>
              </w:rPr>
            </w:pPr>
            <w:r w:rsidRPr="00FA7285">
              <w:rPr>
                <w:sz w:val="28"/>
                <w:szCs w:val="28"/>
              </w:rPr>
              <w:t xml:space="preserve">Box </w:t>
            </w:r>
            <w:r w:rsidR="0022271A" w:rsidRPr="00D006D1">
              <w:rPr>
                <w:sz w:val="28"/>
                <w:szCs w:val="28"/>
              </w:rPr>
              <w:t>4</w:t>
            </w:r>
            <w:r w:rsidRPr="00D006D1">
              <w:rPr>
                <w:sz w:val="28"/>
                <w:szCs w:val="28"/>
              </w:rPr>
              <w:t>: Improvements to the PBO’s medium-t</w:t>
            </w:r>
            <w:r w:rsidRPr="00E439C2">
              <w:rPr>
                <w:sz w:val="28"/>
                <w:szCs w:val="28"/>
              </w:rPr>
              <w:t>erm models</w:t>
            </w:r>
          </w:p>
          <w:p w14:paraId="68C66CB5" w14:textId="77777777" w:rsidR="009A273E" w:rsidRPr="001D1C6B" w:rsidRDefault="009A273E" w:rsidP="007B5134">
            <w:pPr>
              <w:pStyle w:val="BodyText"/>
            </w:pPr>
            <w:r w:rsidRPr="001D1C6B">
              <w:t>The PBO has an ongoing program of analysing longer-term trends in important areas of revenue and expenditure and adjusting our projections approaches in response to our findings.</w:t>
            </w:r>
          </w:p>
          <w:p w14:paraId="1F45524B" w14:textId="3BFA55E4" w:rsidR="009A273E" w:rsidRPr="0050447F" w:rsidRDefault="009A273E" w:rsidP="007B5134">
            <w:pPr>
              <w:pStyle w:val="BodyText"/>
            </w:pPr>
            <w:r w:rsidRPr="00C96029">
              <w:t>As part of this work we have implemented methodologica</w:t>
            </w:r>
            <w:r w:rsidRPr="00715564">
              <w:t xml:space="preserve">l improvements since the previous </w:t>
            </w:r>
            <w:r w:rsidR="00822BBA">
              <w:t>report</w:t>
            </w:r>
            <w:r w:rsidRPr="00715564">
              <w:t xml:space="preserve">.  These improvements have been applied to a number of important areas of revenue and expenditure, including GST receipts, income support to the unemployed and childcare </w:t>
            </w:r>
            <w:r w:rsidRPr="006F7EB9">
              <w:t>payments.</w:t>
            </w:r>
            <w:r w:rsidR="00F66634" w:rsidRPr="0050447F">
              <w:t xml:space="preserve">  The largest impact of these </w:t>
            </w:r>
            <w:r w:rsidR="00BA352A" w:rsidRPr="00A42D18">
              <w:t xml:space="preserve">changes relates </w:t>
            </w:r>
            <w:r w:rsidR="00F66634" w:rsidRPr="009A1A17">
              <w:t>to GST</w:t>
            </w:r>
            <w:r w:rsidR="00DB7F61">
              <w:t>, and therefore do not affect the projections of the Commonwealth Government’s budget position</w:t>
            </w:r>
            <w:r w:rsidR="00F66634" w:rsidRPr="0050447F">
              <w:t>.</w:t>
            </w:r>
          </w:p>
          <w:p w14:paraId="6B7D4557" w14:textId="55DE2ACA" w:rsidR="009A273E" w:rsidRPr="00EB2092" w:rsidRDefault="00F66634" w:rsidP="007B5134">
            <w:pPr>
              <w:pStyle w:val="BodyText"/>
            </w:pPr>
            <w:r w:rsidRPr="00A42D18">
              <w:t>For</w:t>
            </w:r>
            <w:r w:rsidR="009A273E" w:rsidRPr="009A1A17">
              <w:t xml:space="preserve"> this year’s </w:t>
            </w:r>
            <w:r w:rsidR="00EC7AD2">
              <w:t>report</w:t>
            </w:r>
            <w:r w:rsidRPr="00372C38">
              <w:t>, our</w:t>
            </w:r>
            <w:r w:rsidR="009A273E" w:rsidRPr="00F852A4">
              <w:t xml:space="preserve"> </w:t>
            </w:r>
            <w:r w:rsidRPr="00EB2092">
              <w:t>projections for</w:t>
            </w:r>
            <w:r w:rsidR="009A273E" w:rsidRPr="00EB2092">
              <w:t xml:space="preserve"> GST receipts incorporate findings from our recently published research report </w:t>
            </w:r>
            <w:r w:rsidR="009A273E" w:rsidRPr="00EB2092">
              <w:rPr>
                <w:i/>
              </w:rPr>
              <w:t>Structural Trends in GST</w:t>
            </w:r>
            <w:r w:rsidR="009A273E" w:rsidRPr="00EB2092">
              <w:t>.</w:t>
            </w:r>
            <w:r w:rsidR="009A273E" w:rsidRPr="00EB2092">
              <w:rPr>
                <w:rStyle w:val="FootnoteReference"/>
              </w:rPr>
              <w:footnoteReference w:id="15"/>
            </w:r>
            <w:r w:rsidR="009A273E" w:rsidRPr="00EB2092">
              <w:t xml:space="preserve">  The PBO has improved its previous projections approach by incorporating the trend decline in the share of household </w:t>
            </w:r>
            <w:r w:rsidR="00E034FE" w:rsidRPr="00EB2092">
              <w:t xml:space="preserve">spending </w:t>
            </w:r>
            <w:r w:rsidR="009A273E" w:rsidRPr="00EB2092">
              <w:t>subject to GST into our projections of GST receipts.</w:t>
            </w:r>
          </w:p>
          <w:p w14:paraId="3FDA053B" w14:textId="3F4EB803" w:rsidR="009A273E" w:rsidRPr="0050447F" w:rsidRDefault="009A273E" w:rsidP="007B5134">
            <w:pPr>
              <w:pStyle w:val="BodyText"/>
            </w:pPr>
            <w:r w:rsidRPr="00EB2092">
              <w:t xml:space="preserve">The share of household </w:t>
            </w:r>
            <w:r w:rsidR="00633CF7" w:rsidRPr="00EB2092">
              <w:t>payments</w:t>
            </w:r>
            <w:r w:rsidRPr="00EB2092">
              <w:t xml:space="preserve"> subject to the GST has been in </w:t>
            </w:r>
            <w:r w:rsidR="00805DC5">
              <w:t xml:space="preserve">trend </w:t>
            </w:r>
            <w:r w:rsidRPr="0050447F">
              <w:t xml:space="preserve">decline since its introduction, reflecting a combination of changing consumer preferences, unequal price growth and demographic trends.  This includes, for example, continued increases in </w:t>
            </w:r>
            <w:r w:rsidR="00805DC5">
              <w:t>household spending</w:t>
            </w:r>
            <w:r w:rsidR="00805DC5" w:rsidRPr="0050447F">
              <w:t xml:space="preserve"> </w:t>
            </w:r>
            <w:r w:rsidRPr="0050447F">
              <w:t xml:space="preserve">on many GST-free items such rent (both actual and </w:t>
            </w:r>
            <w:r w:rsidR="000D15EA" w:rsidRPr="0050447F">
              <w:t>imputed</w:t>
            </w:r>
            <w:r w:rsidRPr="00A42D18">
              <w:t>), educa</w:t>
            </w:r>
            <w:r w:rsidRPr="009A1A17">
              <w:t xml:space="preserve">tion and health.  At the same time there has been a relative decline in </w:t>
            </w:r>
            <w:r w:rsidR="00805DC5">
              <w:t>spending</w:t>
            </w:r>
            <w:r w:rsidR="00805DC5" w:rsidRPr="0050447F">
              <w:t xml:space="preserve"> </w:t>
            </w:r>
            <w:r w:rsidRPr="0050447F">
              <w:t xml:space="preserve">in areas such as food and drink, tobacco, transport, recreation, hotels and restaurants, and clothing, much of which is subject to GST.  </w:t>
            </w:r>
          </w:p>
          <w:p w14:paraId="2A076E32" w14:textId="471C73CE" w:rsidR="009A273E" w:rsidRPr="00EB2092" w:rsidRDefault="009A273E" w:rsidP="007B5134">
            <w:pPr>
              <w:pStyle w:val="BodyText"/>
            </w:pPr>
            <w:r w:rsidRPr="00A42D18">
              <w:t>With this adjustment, GST re</w:t>
            </w:r>
            <w:r w:rsidRPr="009A1A17">
              <w:t>ceipts are expected to be almost $3 billion lower in 2030</w:t>
            </w:r>
            <w:r w:rsidR="00487A21">
              <w:t>-</w:t>
            </w:r>
            <w:r w:rsidRPr="009A1A17">
              <w:t>31 than under the previous methodology.  This methodological change will not affect the PBO’s projections of the budget balance because there is an equivalent and offsetting impact on GST payments t</w:t>
            </w:r>
            <w:r w:rsidRPr="00372C38">
              <w:t>o the states.  This revenue shortfall is lower than projected in our GST report, due to the significant revisi</w:t>
            </w:r>
            <w:r w:rsidR="008B541E" w:rsidRPr="00F852A4">
              <w:t>ons to the economic parameters</w:t>
            </w:r>
            <w:r w:rsidR="00BA352A" w:rsidRPr="00EB2092">
              <w:t xml:space="preserve"> announced in the 2020-21 Budget</w:t>
            </w:r>
            <w:r w:rsidR="008B541E" w:rsidRPr="00EB2092">
              <w:t>.</w:t>
            </w:r>
            <w:r w:rsidR="00BA352A" w:rsidRPr="00EB2092">
              <w:t xml:space="preserve">  This </w:t>
            </w:r>
            <w:r w:rsidR="007377A9" w:rsidRPr="00EB2092">
              <w:t xml:space="preserve">is </w:t>
            </w:r>
            <w:r w:rsidR="00BA352A" w:rsidRPr="00EB2092">
              <w:t>shown in Fig</w:t>
            </w:r>
            <w:r w:rsidR="00EC7AD2">
              <w:t>ure</w:t>
            </w:r>
            <w:r w:rsidR="00BA352A" w:rsidRPr="00EB2092">
              <w:t xml:space="preserve"> 2</w:t>
            </w:r>
            <w:r w:rsidR="00EC7AD2" w:rsidRPr="00EB2092">
              <w:t>–</w:t>
            </w:r>
            <w:r w:rsidR="00BA352A" w:rsidRPr="00EB2092">
              <w:t>5 below.</w:t>
            </w:r>
          </w:p>
          <w:p w14:paraId="38102E57" w14:textId="60215769" w:rsidR="00913C40" w:rsidRPr="00EB2092" w:rsidRDefault="00913C40" w:rsidP="00913C40">
            <w:pPr>
              <w:pStyle w:val="CaptionLeft"/>
              <w:spacing w:before="120" w:after="0"/>
              <w:jc w:val="center"/>
            </w:pPr>
            <w:r w:rsidRPr="00EB2092">
              <w:t>Figure 2–</w:t>
            </w:r>
            <w:r w:rsidR="00883D7A" w:rsidRPr="00EB2092">
              <w:t>5</w:t>
            </w:r>
            <w:r w:rsidRPr="00EB2092">
              <w:t>: GST as a share of household consumption, dwelling investment and ownership transfer costs</w:t>
            </w:r>
          </w:p>
          <w:p w14:paraId="591797F7" w14:textId="27F7A134" w:rsidR="001930C4" w:rsidRPr="0050447F" w:rsidRDefault="00A4438C" w:rsidP="00913C40">
            <w:pPr>
              <w:pStyle w:val="BodyText"/>
              <w:spacing w:before="0"/>
              <w:jc w:val="center"/>
            </w:pPr>
            <w:r>
              <w:rPr>
                <w:noProof/>
                <w:lang w:eastAsia="en-AU"/>
              </w:rPr>
              <w:drawing>
                <wp:inline distT="0" distB="0" distL="0" distR="0" wp14:anchorId="4C2219F4" wp14:editId="3665B504">
                  <wp:extent cx="4859020" cy="28835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59020" cy="2883535"/>
                          </a:xfrm>
                          <a:prstGeom prst="rect">
                            <a:avLst/>
                          </a:prstGeom>
                          <a:noFill/>
                        </pic:spPr>
                      </pic:pic>
                    </a:graphicData>
                  </a:graphic>
                </wp:inline>
              </w:drawing>
            </w:r>
          </w:p>
          <w:p w14:paraId="7A1B2BC2" w14:textId="61F02028" w:rsidR="009A273E" w:rsidRPr="009A1A17" w:rsidRDefault="00913C40" w:rsidP="00FE75C1">
            <w:pPr>
              <w:pStyle w:val="SourceIndent"/>
              <w:tabs>
                <w:tab w:val="clear" w:pos="624"/>
              </w:tabs>
              <w:spacing w:before="0"/>
              <w:ind w:left="1134"/>
            </w:pPr>
            <w:r w:rsidRPr="00A42D18">
              <w:t>Source: 2020</w:t>
            </w:r>
            <w:r w:rsidR="00487A21">
              <w:t>-</w:t>
            </w:r>
            <w:r w:rsidRPr="00A42D18">
              <w:t>21 Budget and PBO analysis.</w:t>
            </w:r>
          </w:p>
        </w:tc>
      </w:tr>
    </w:tbl>
    <w:p w14:paraId="1FF29B5E" w14:textId="232DD7BA" w:rsidR="000D2145" w:rsidRPr="00D006D1" w:rsidRDefault="000D2145" w:rsidP="000D2145">
      <w:pPr>
        <w:pStyle w:val="Heading1"/>
      </w:pPr>
      <w:bookmarkStart w:id="42" w:name="_Toc58271434"/>
      <w:r w:rsidRPr="00FA7285">
        <w:lastRenderedPageBreak/>
        <w:t xml:space="preserve">Projected </w:t>
      </w:r>
      <w:r w:rsidR="00633CF7" w:rsidRPr="00D006D1">
        <w:t>payments</w:t>
      </w:r>
      <w:bookmarkEnd w:id="42"/>
    </w:p>
    <w:tbl>
      <w:tblPr>
        <w:tblStyle w:val="BoxPlaceholder"/>
        <w:tblW w:w="8789" w:type="dxa"/>
        <w:shd w:val="clear" w:color="auto" w:fill="D3D8E9" w:themeFill="background2" w:themeFillTint="33"/>
        <w:tblLayout w:type="fixed"/>
        <w:tblLook w:val="04A0" w:firstRow="1" w:lastRow="0" w:firstColumn="1" w:lastColumn="0" w:noHBand="0" w:noVBand="1"/>
      </w:tblPr>
      <w:tblGrid>
        <w:gridCol w:w="8789"/>
      </w:tblGrid>
      <w:tr w:rsidR="006679DD" w:rsidRPr="00EB2092" w14:paraId="509D7380" w14:textId="77777777" w:rsidTr="008C405C">
        <w:tc>
          <w:tcPr>
            <w:tcW w:w="8789" w:type="dxa"/>
            <w:shd w:val="clear" w:color="auto" w:fill="D3D8E9" w:themeFill="background2" w:themeFillTint="33"/>
          </w:tcPr>
          <w:p w14:paraId="4D178805" w14:textId="77777777" w:rsidR="006679DD" w:rsidRPr="00E439C2" w:rsidRDefault="006679DD" w:rsidP="008C405C">
            <w:pPr>
              <w:pStyle w:val="Heading2NoNumbering"/>
              <w:spacing w:before="120"/>
            </w:pPr>
            <w:r w:rsidRPr="00E439C2">
              <w:t>Key points</w:t>
            </w:r>
          </w:p>
          <w:p w14:paraId="5CD4A2FC" w14:textId="45505626" w:rsidR="00432D6A" w:rsidRPr="00C96029" w:rsidRDefault="00432D6A" w:rsidP="00432D6A">
            <w:pPr>
              <w:pStyle w:val="ListBullet"/>
            </w:pPr>
            <w:r w:rsidRPr="001D1C6B">
              <w:t xml:space="preserve">Payments increased </w:t>
            </w:r>
            <w:r w:rsidR="0050447F">
              <w:t>significantly</w:t>
            </w:r>
            <w:r w:rsidR="0050447F" w:rsidRPr="001D1C6B">
              <w:t xml:space="preserve"> </w:t>
            </w:r>
            <w:r w:rsidRPr="001D1C6B">
              <w:t>as a result of the COVID-19 pandemic and associated policy response</w:t>
            </w:r>
            <w:r w:rsidR="0050447F">
              <w:t xml:space="preserve">. </w:t>
            </w:r>
            <w:r w:rsidRPr="001D1C6B">
              <w:t xml:space="preserve"> </w:t>
            </w:r>
            <w:r w:rsidR="0050447F">
              <w:t>T</w:t>
            </w:r>
            <w:r w:rsidRPr="001D1C6B">
              <w:t>he government forecas</w:t>
            </w:r>
            <w:r w:rsidRPr="00C96029">
              <w:t>ts payments to fall again over the forward estimates period as the temporary measures come to an end.</w:t>
            </w:r>
          </w:p>
          <w:p w14:paraId="345F55D4" w14:textId="143E5156" w:rsidR="006679DD" w:rsidRPr="00A42D18" w:rsidRDefault="00432D6A" w:rsidP="00CF4667">
            <w:pPr>
              <w:pStyle w:val="ListBullet"/>
            </w:pPr>
            <w:r w:rsidRPr="006F7EB9">
              <w:t xml:space="preserve">Beyond the forward estimates period, the PBO projects payments </w:t>
            </w:r>
            <w:r w:rsidR="008C7FD0" w:rsidRPr="0050447F">
              <w:t xml:space="preserve">as a share of GDP </w:t>
            </w:r>
            <w:r w:rsidRPr="0050447F">
              <w:t xml:space="preserve">will decrease gradually, but will still be considerably higher </w:t>
            </w:r>
            <w:r w:rsidR="0050447F" w:rsidRPr="0050447F">
              <w:t>in 2030</w:t>
            </w:r>
            <w:r w:rsidR="00487A21">
              <w:t>-</w:t>
            </w:r>
            <w:r w:rsidR="0050447F" w:rsidRPr="0050447F">
              <w:t xml:space="preserve">31 </w:t>
            </w:r>
            <w:r w:rsidRPr="0050447F">
              <w:t>than in 2018</w:t>
            </w:r>
            <w:r w:rsidR="00487A21">
              <w:t>-</w:t>
            </w:r>
            <w:r w:rsidRPr="0050447F">
              <w:t>19.</w:t>
            </w:r>
          </w:p>
          <w:p w14:paraId="1AC9F3DF" w14:textId="19A18C84" w:rsidR="00613E2D" w:rsidRPr="00EB2092" w:rsidRDefault="00613E2D" w:rsidP="004D0C63">
            <w:pPr>
              <w:pStyle w:val="ListBullet"/>
            </w:pPr>
            <w:r w:rsidRPr="009A1A17">
              <w:t>These higher payments</w:t>
            </w:r>
            <w:r w:rsidR="0050447F">
              <w:t>,</w:t>
            </w:r>
            <w:r w:rsidRPr="0050447F">
              <w:t xml:space="preserve"> relative to pre-pandemic levels</w:t>
            </w:r>
            <w:r w:rsidR="0050447F">
              <w:t>,</w:t>
            </w:r>
            <w:r w:rsidRPr="0050447F">
              <w:t xml:space="preserve"> reflect the drivers of government spending – population and prices – increasing more </w:t>
            </w:r>
            <w:r w:rsidRPr="009A1A17">
              <w:t xml:space="preserve">than GDP </w:t>
            </w:r>
            <w:proofErr w:type="gramStart"/>
            <w:r w:rsidR="004D0C63" w:rsidRPr="00F852A4">
              <w:t>between 2018</w:t>
            </w:r>
            <w:r w:rsidR="00487A21">
              <w:t>-</w:t>
            </w:r>
            <w:r w:rsidR="004D0C63" w:rsidRPr="00F852A4">
              <w:t>19</w:t>
            </w:r>
            <w:proofErr w:type="gramEnd"/>
            <w:r w:rsidR="004D0C63" w:rsidRPr="00F852A4">
              <w:t xml:space="preserve"> and </w:t>
            </w:r>
            <w:r w:rsidR="004D0C63" w:rsidRPr="00EB2092">
              <w:t>2030</w:t>
            </w:r>
            <w:r w:rsidR="00EC7AD2">
              <w:noBreakHyphen/>
            </w:r>
            <w:r w:rsidR="004D0C63" w:rsidRPr="00EB2092">
              <w:t>31</w:t>
            </w:r>
            <w:r w:rsidRPr="00EB2092">
              <w:t>.</w:t>
            </w:r>
          </w:p>
        </w:tc>
      </w:tr>
    </w:tbl>
    <w:p w14:paraId="393F315A" w14:textId="604DDD66" w:rsidR="00CE04FE" w:rsidRPr="00EB2092" w:rsidRDefault="00CE04FE" w:rsidP="00044B24">
      <w:pPr>
        <w:pStyle w:val="Heading2"/>
        <w:ind w:left="765"/>
      </w:pPr>
      <w:bookmarkStart w:id="43" w:name="_Toc57809359"/>
      <w:bookmarkStart w:id="44" w:name="_Toc57824677"/>
      <w:bookmarkStart w:id="45" w:name="_Toc19801239"/>
      <w:bookmarkStart w:id="46" w:name="_Toc58271435"/>
      <w:bookmarkEnd w:id="43"/>
      <w:bookmarkEnd w:id="44"/>
      <w:r w:rsidRPr="00EB2092">
        <w:t xml:space="preserve">Total </w:t>
      </w:r>
      <w:r w:rsidR="00633CF7" w:rsidRPr="00EB2092">
        <w:t>payments</w:t>
      </w:r>
      <w:bookmarkEnd w:id="45"/>
      <w:bookmarkEnd w:id="46"/>
    </w:p>
    <w:p w14:paraId="0BEAE64C" w14:textId="65985BFF" w:rsidR="00A451E9" w:rsidRPr="00A42D18" w:rsidRDefault="004713B0" w:rsidP="004A0A0A">
      <w:pPr>
        <w:pStyle w:val="BodyText"/>
      </w:pPr>
      <w:r w:rsidRPr="00EB2092">
        <w:t xml:space="preserve">Commonwealth </w:t>
      </w:r>
      <w:r w:rsidR="00245642" w:rsidRPr="00EB2092">
        <w:t xml:space="preserve">Government </w:t>
      </w:r>
      <w:r w:rsidR="00633CF7" w:rsidRPr="00EB2092">
        <w:t>payments</w:t>
      </w:r>
      <w:r w:rsidR="00245642" w:rsidRPr="00EB2092">
        <w:t xml:space="preserve"> increased sharply in 2019</w:t>
      </w:r>
      <w:r w:rsidR="00487A21">
        <w:t>-</w:t>
      </w:r>
      <w:r w:rsidR="00245642" w:rsidRPr="00EB2092">
        <w:t xml:space="preserve">20 </w:t>
      </w:r>
      <w:r w:rsidRPr="00EB2092">
        <w:t>in response</w:t>
      </w:r>
      <w:r w:rsidR="00245642" w:rsidRPr="00EB2092">
        <w:t xml:space="preserve"> to the </w:t>
      </w:r>
      <w:r w:rsidR="0054349B" w:rsidRPr="00EB2092">
        <w:t>COVID-19</w:t>
      </w:r>
      <w:r w:rsidR="00245642" w:rsidRPr="00EB2092">
        <w:t xml:space="preserve"> pandemic.</w:t>
      </w:r>
      <w:r w:rsidR="0052569C" w:rsidRPr="00EB2092">
        <w:t xml:space="preserve">  </w:t>
      </w:r>
      <w:r w:rsidR="00174A6A">
        <w:t>P</w:t>
      </w:r>
      <w:r w:rsidR="00633CF7" w:rsidRPr="00174A6A">
        <w:t>ayments</w:t>
      </w:r>
      <w:r w:rsidR="00245642" w:rsidRPr="00174A6A">
        <w:t xml:space="preserve"> </w:t>
      </w:r>
      <w:r w:rsidR="00174A6A">
        <w:t xml:space="preserve">rose from </w:t>
      </w:r>
      <w:r w:rsidR="00245642" w:rsidRPr="00174A6A">
        <w:t>24.</w:t>
      </w:r>
      <w:r w:rsidR="00370FD3" w:rsidRPr="00174A6A">
        <w:t xml:space="preserve">5 </w:t>
      </w:r>
      <w:r w:rsidR="00245642" w:rsidRPr="00174A6A">
        <w:t>per cent of GDP in 2018</w:t>
      </w:r>
      <w:r w:rsidR="00487A21">
        <w:t>-</w:t>
      </w:r>
      <w:r w:rsidR="00245642" w:rsidRPr="00174A6A">
        <w:t>19 to 27.7 per cent of GDP</w:t>
      </w:r>
      <w:r w:rsidR="000823DF" w:rsidRPr="00174A6A">
        <w:t xml:space="preserve"> in 2019</w:t>
      </w:r>
      <w:r w:rsidR="00174A6A">
        <w:noBreakHyphen/>
      </w:r>
      <w:r w:rsidR="000823DF" w:rsidRPr="00174A6A">
        <w:t>20</w:t>
      </w:r>
      <w:r w:rsidR="00245642" w:rsidRPr="00174A6A">
        <w:t>, an increase of $</w:t>
      </w:r>
      <w:r w:rsidR="00370FD3" w:rsidRPr="00174A6A">
        <w:t xml:space="preserve">72 </w:t>
      </w:r>
      <w:r w:rsidR="00245642" w:rsidRPr="00174A6A">
        <w:t xml:space="preserve">billion.  The budget forecasts </w:t>
      </w:r>
      <w:r w:rsidR="00633CF7" w:rsidRPr="00174A6A">
        <w:t>payments</w:t>
      </w:r>
      <w:r w:rsidR="00245642" w:rsidRPr="00174A6A">
        <w:t xml:space="preserve"> </w:t>
      </w:r>
      <w:r w:rsidR="00722435" w:rsidRPr="00174A6A">
        <w:t xml:space="preserve">as a share of GDP </w:t>
      </w:r>
      <w:r w:rsidR="004554FC" w:rsidRPr="00A42D18">
        <w:t>to increase further to 34.8 per </w:t>
      </w:r>
      <w:r w:rsidR="00245642" w:rsidRPr="009A1A17">
        <w:t xml:space="preserve">cent of GDP </w:t>
      </w:r>
      <w:r w:rsidR="0052569C" w:rsidRPr="00372C38">
        <w:t>in 2020</w:t>
      </w:r>
      <w:r w:rsidR="00487A21">
        <w:t>-</w:t>
      </w:r>
      <w:r w:rsidR="0052569C" w:rsidRPr="00372C38">
        <w:t>21 and to decline sharply thereafter</w:t>
      </w:r>
      <w:r w:rsidR="00174A6A">
        <w:t xml:space="preserve">, reflecting </w:t>
      </w:r>
      <w:r w:rsidR="0052569C" w:rsidRPr="00174A6A">
        <w:t xml:space="preserve">the temporary nature of assistance measures. </w:t>
      </w:r>
      <w:r w:rsidR="00174A6A">
        <w:t xml:space="preserve"> </w:t>
      </w:r>
      <w:r w:rsidR="00A451E9" w:rsidRPr="00174A6A">
        <w:t xml:space="preserve">Under </w:t>
      </w:r>
      <w:r w:rsidR="00174A6A">
        <w:t xml:space="preserve">the </w:t>
      </w:r>
      <w:r w:rsidR="00A451E9" w:rsidRPr="00174A6A">
        <w:t>policy settings at the 2020</w:t>
      </w:r>
      <w:r w:rsidR="00487A21">
        <w:t>-</w:t>
      </w:r>
      <w:r w:rsidR="00A451E9" w:rsidRPr="00174A6A">
        <w:t xml:space="preserve">21 Budget, the PBO projects </w:t>
      </w:r>
      <w:r w:rsidR="00633CF7" w:rsidRPr="00174A6A">
        <w:t>payments</w:t>
      </w:r>
      <w:r w:rsidR="00A451E9" w:rsidRPr="00174A6A">
        <w:t xml:space="preserve"> </w:t>
      </w:r>
      <w:r w:rsidR="0019386F" w:rsidRPr="00174A6A">
        <w:t xml:space="preserve">as a share of GDP </w:t>
      </w:r>
      <w:r w:rsidR="00A451E9" w:rsidRPr="00174A6A">
        <w:t xml:space="preserve">to continue </w:t>
      </w:r>
      <w:r w:rsidR="00613E2D" w:rsidRPr="00174A6A">
        <w:t xml:space="preserve">to </w:t>
      </w:r>
      <w:r w:rsidR="00A451E9" w:rsidRPr="00174A6A">
        <w:t xml:space="preserve">decline over the medium term, reaching </w:t>
      </w:r>
      <w:r w:rsidR="00722435" w:rsidRPr="00174A6A">
        <w:t>26.</w:t>
      </w:r>
      <w:r w:rsidR="00086042" w:rsidRPr="00174A6A">
        <w:t>1</w:t>
      </w:r>
      <w:r w:rsidR="00A451E9" w:rsidRPr="00174A6A">
        <w:t> per cent of GDP by 2030</w:t>
      </w:r>
      <w:r w:rsidR="00B2678D">
        <w:noBreakHyphen/>
      </w:r>
      <w:r w:rsidR="00A451E9" w:rsidRPr="00174A6A">
        <w:t>31 as shown in Figure 3</w:t>
      </w:r>
      <w:r w:rsidR="0052569C" w:rsidRPr="00E7795A">
        <w:t>–</w:t>
      </w:r>
      <w:r w:rsidR="00A451E9" w:rsidRPr="00A42D18">
        <w:t xml:space="preserve">1.  </w:t>
      </w:r>
    </w:p>
    <w:p w14:paraId="71B5051B" w14:textId="4CE6536B" w:rsidR="00A451E9" w:rsidRPr="00EB2092" w:rsidRDefault="00A451E9" w:rsidP="00A451E9">
      <w:pPr>
        <w:pStyle w:val="BodyText"/>
      </w:pPr>
      <w:r w:rsidRPr="009A1A17">
        <w:t xml:space="preserve">Comparing </w:t>
      </w:r>
      <w:r w:rsidR="003B3EC1" w:rsidRPr="00372C38">
        <w:t>pre-</w:t>
      </w:r>
      <w:r w:rsidR="0052569C" w:rsidRPr="00F852A4">
        <w:t>pandemic</w:t>
      </w:r>
      <w:r w:rsidR="003B3EC1" w:rsidRPr="00EB2092">
        <w:t xml:space="preserve"> </w:t>
      </w:r>
      <w:r w:rsidR="00633CF7" w:rsidRPr="00EB2092">
        <w:t>payments</w:t>
      </w:r>
      <w:r w:rsidR="003B3EC1" w:rsidRPr="00EB2092">
        <w:t xml:space="preserve"> in </w:t>
      </w:r>
      <w:r w:rsidRPr="00EB2092">
        <w:t>2018</w:t>
      </w:r>
      <w:r w:rsidR="00487A21">
        <w:t>-</w:t>
      </w:r>
      <w:r w:rsidRPr="00EB2092">
        <w:t xml:space="preserve">19 </w:t>
      </w:r>
      <w:r w:rsidR="003B3EC1" w:rsidRPr="00EB2092">
        <w:t xml:space="preserve">with </w:t>
      </w:r>
      <w:r w:rsidRPr="00EB2092">
        <w:t>2030</w:t>
      </w:r>
      <w:r w:rsidR="00487A21">
        <w:t>-</w:t>
      </w:r>
      <w:r w:rsidRPr="00EB2092">
        <w:t xml:space="preserve">31, </w:t>
      </w:r>
      <w:r w:rsidR="00633CF7" w:rsidRPr="00EB2092">
        <w:t>payments</w:t>
      </w:r>
      <w:r w:rsidRPr="00EB2092">
        <w:t xml:space="preserve"> </w:t>
      </w:r>
      <w:r w:rsidR="0052569C" w:rsidRPr="00EB2092">
        <w:t>are</w:t>
      </w:r>
      <w:r w:rsidRPr="00EB2092">
        <w:t xml:space="preserve"> proj</w:t>
      </w:r>
      <w:r w:rsidR="004554FC" w:rsidRPr="00EB2092">
        <w:t xml:space="preserve">ected to </w:t>
      </w:r>
      <w:r w:rsidR="00E7795A">
        <w:t>be higher</w:t>
      </w:r>
      <w:r w:rsidR="00E7795A" w:rsidRPr="00E7795A">
        <w:t xml:space="preserve"> </w:t>
      </w:r>
      <w:r w:rsidR="004554FC" w:rsidRPr="00A42D18">
        <w:t>overall by 1.</w:t>
      </w:r>
      <w:r w:rsidR="005E71AB" w:rsidRPr="009A1A17">
        <w:t xml:space="preserve">6 </w:t>
      </w:r>
      <w:r w:rsidRPr="00372C38">
        <w:t>per</w:t>
      </w:r>
      <w:r w:rsidR="00853E7B">
        <w:t>centage points</w:t>
      </w:r>
      <w:r w:rsidR="00A67993" w:rsidRPr="00F852A4">
        <w:t>,</w:t>
      </w:r>
      <w:r w:rsidR="009A671E" w:rsidRPr="00EB2092">
        <w:t xml:space="preserve"> mainly reflecting slower growth in GDP</w:t>
      </w:r>
      <w:r w:rsidRPr="00EB2092">
        <w:t xml:space="preserve">.  </w:t>
      </w:r>
    </w:p>
    <w:p w14:paraId="1E9C307B" w14:textId="6AEE0EA5" w:rsidR="00A451E9" w:rsidRPr="00EB2092" w:rsidRDefault="0052569C" w:rsidP="004A0A0A">
      <w:pPr>
        <w:pStyle w:val="BodyText"/>
      </w:pPr>
      <w:r w:rsidRPr="00EB2092">
        <w:t>T</w:t>
      </w:r>
      <w:r w:rsidR="00A451E9" w:rsidRPr="00EB2092">
        <w:t>he economy is expected to have several years of lower growth than had been forecast</w:t>
      </w:r>
      <w:r w:rsidR="000823DF" w:rsidRPr="00EB2092">
        <w:t xml:space="preserve"> prior to the pandemic</w:t>
      </w:r>
      <w:r w:rsidR="00A451E9" w:rsidRPr="00EB2092">
        <w:t>.  This means that the overall level of GDP for each year of the medium term is lower than had previously been projected</w:t>
      </w:r>
      <w:r w:rsidR="00174A6A">
        <w:t>.  As a result</w:t>
      </w:r>
      <w:r w:rsidR="00FF7C39" w:rsidRPr="00E7795A">
        <w:t xml:space="preserve">, </w:t>
      </w:r>
      <w:r w:rsidR="00633CF7" w:rsidRPr="00372C38">
        <w:t>payments</w:t>
      </w:r>
      <w:r w:rsidR="00A451E9" w:rsidRPr="00F852A4">
        <w:t xml:space="preserve"> compared to the overall size of the economy (nominal GDP) </w:t>
      </w:r>
      <w:r w:rsidRPr="00F852A4">
        <w:t>are</w:t>
      </w:r>
      <w:r w:rsidR="00A451E9" w:rsidRPr="00EB2092">
        <w:t xml:space="preserve"> now substantially higher than the PBO previously projected, as shown </w:t>
      </w:r>
      <w:proofErr w:type="gramStart"/>
      <w:r w:rsidR="00A451E9" w:rsidRPr="00EB2092">
        <w:t xml:space="preserve">in </w:t>
      </w:r>
      <w:r w:rsidR="003C323D">
        <w:t xml:space="preserve"> </w:t>
      </w:r>
      <w:r w:rsidR="00A451E9" w:rsidRPr="00EB2092">
        <w:t>Figure</w:t>
      </w:r>
      <w:proofErr w:type="gramEnd"/>
      <w:r w:rsidR="00A451E9" w:rsidRPr="00EB2092">
        <w:t> 3</w:t>
      </w:r>
      <w:r w:rsidRPr="00EB2092">
        <w:t>–</w:t>
      </w:r>
      <w:r w:rsidR="00A451E9" w:rsidRPr="00EB2092">
        <w:t xml:space="preserve">1. </w:t>
      </w:r>
    </w:p>
    <w:p w14:paraId="0A6382D1" w14:textId="350736A1" w:rsidR="00A451E9" w:rsidRPr="00EB2092" w:rsidRDefault="00A451E9" w:rsidP="004A0A0A">
      <w:pPr>
        <w:pStyle w:val="BodyText"/>
      </w:pPr>
      <w:proofErr w:type="gramStart"/>
      <w:r w:rsidRPr="00EB2092">
        <w:t xml:space="preserve">The biggest increases in </w:t>
      </w:r>
      <w:r w:rsidR="00633CF7" w:rsidRPr="00EB2092">
        <w:t>payments</w:t>
      </w:r>
      <w:r w:rsidRPr="00EB2092">
        <w:t xml:space="preserve"> as a share of GDP </w:t>
      </w:r>
      <w:r w:rsidR="002E310A" w:rsidRPr="00EB2092">
        <w:t>between 2018</w:t>
      </w:r>
      <w:r w:rsidR="00487A21">
        <w:t>-</w:t>
      </w:r>
      <w:r w:rsidR="002E310A" w:rsidRPr="00EB2092">
        <w:t>19 and 2030</w:t>
      </w:r>
      <w:r w:rsidR="00487A21">
        <w:t>-</w:t>
      </w:r>
      <w:r w:rsidR="002E310A" w:rsidRPr="00EB2092">
        <w:t xml:space="preserve">31 </w:t>
      </w:r>
      <w:r w:rsidRPr="00EB2092">
        <w:t xml:space="preserve">come from </w:t>
      </w:r>
      <w:r w:rsidR="002E4AA2" w:rsidRPr="00EB2092">
        <w:t>the National Disability Insurance Scheme</w:t>
      </w:r>
      <w:r w:rsidR="00722435" w:rsidRPr="00EB2092">
        <w:t xml:space="preserve"> (NDIS)</w:t>
      </w:r>
      <w:r w:rsidR="00FF7C39" w:rsidRPr="00EB2092">
        <w:t xml:space="preserve">, </w:t>
      </w:r>
      <w:r w:rsidR="0052569C" w:rsidRPr="00EB2092">
        <w:t xml:space="preserve">defence, </w:t>
      </w:r>
      <w:r w:rsidRPr="00EB2092">
        <w:t>and</w:t>
      </w:r>
      <w:r w:rsidR="0052569C" w:rsidRPr="00EB2092">
        <w:t xml:space="preserve"> </w:t>
      </w:r>
      <w:r w:rsidR="00722435" w:rsidRPr="00EB2092">
        <w:t>aged care</w:t>
      </w:r>
      <w:r w:rsidRPr="00EB2092">
        <w:t>.</w:t>
      </w:r>
      <w:proofErr w:type="gramEnd"/>
      <w:r w:rsidRPr="00EB2092">
        <w:t xml:space="preserve">  Partially offsetting these increase</w:t>
      </w:r>
      <w:r w:rsidR="00A67993" w:rsidRPr="00EB2092">
        <w:t>s</w:t>
      </w:r>
      <w:r w:rsidRPr="00EB2092">
        <w:t xml:space="preserve"> are decreases in </w:t>
      </w:r>
      <w:r w:rsidR="0022650A" w:rsidRPr="00EB2092">
        <w:t>f</w:t>
      </w:r>
      <w:r w:rsidRPr="00EB2092">
        <w:t xml:space="preserve">amily </w:t>
      </w:r>
      <w:r w:rsidR="003B3EC1" w:rsidRPr="00EB2092">
        <w:t>t</w:t>
      </w:r>
      <w:r w:rsidRPr="00EB2092">
        <w:t xml:space="preserve">ax </w:t>
      </w:r>
      <w:r w:rsidR="003B3EC1" w:rsidRPr="00EB2092">
        <w:t>b</w:t>
      </w:r>
      <w:r w:rsidRPr="00EB2092">
        <w:t>enefit</w:t>
      </w:r>
      <w:r w:rsidR="0052569C" w:rsidRPr="00EB2092">
        <w:t xml:space="preserve"> and</w:t>
      </w:r>
      <w:r w:rsidRPr="00EB2092">
        <w:t xml:space="preserve"> </w:t>
      </w:r>
      <w:r w:rsidR="003B3EC1" w:rsidRPr="00EB2092">
        <w:t>d</w:t>
      </w:r>
      <w:r w:rsidRPr="00EB2092">
        <w:t xml:space="preserve">isability </w:t>
      </w:r>
      <w:r w:rsidR="003B3EC1" w:rsidRPr="00EB2092">
        <w:t>s</w:t>
      </w:r>
      <w:r w:rsidRPr="00EB2092">
        <w:t xml:space="preserve">upport </w:t>
      </w:r>
      <w:r w:rsidR="003B3EC1" w:rsidRPr="00EB2092">
        <w:t>p</w:t>
      </w:r>
      <w:r w:rsidRPr="00EB2092">
        <w:t>ension.</w:t>
      </w:r>
    </w:p>
    <w:p w14:paraId="7ADE22D7" w14:textId="788ACE29" w:rsidR="00CE04FE" w:rsidRPr="00EB2092" w:rsidRDefault="00CE04FE" w:rsidP="00044B24">
      <w:pPr>
        <w:pStyle w:val="Caption"/>
        <w:spacing w:before="240"/>
      </w:pPr>
      <w:bookmarkStart w:id="47" w:name="_Ref520987330"/>
      <w:r w:rsidRPr="00EB2092">
        <w:lastRenderedPageBreak/>
        <w:t>Figure 3–</w:t>
      </w:r>
      <w:r w:rsidR="00F00EF5" w:rsidRPr="007D6E09">
        <w:fldChar w:fldCharType="begin"/>
      </w:r>
      <w:r w:rsidR="00F00EF5" w:rsidRPr="00EB2092">
        <w:instrText xml:space="preserve"> SEQ Figure \* ARABIC \s 1 </w:instrText>
      </w:r>
      <w:r w:rsidR="00F00EF5" w:rsidRPr="007D6E09">
        <w:fldChar w:fldCharType="separate"/>
      </w:r>
      <w:r w:rsidR="002E6949">
        <w:rPr>
          <w:noProof/>
        </w:rPr>
        <w:t>1</w:t>
      </w:r>
      <w:r w:rsidR="00F00EF5" w:rsidRPr="007D6E09">
        <w:rPr>
          <w:noProof/>
        </w:rPr>
        <w:fldChar w:fldCharType="end"/>
      </w:r>
      <w:bookmarkEnd w:id="47"/>
      <w:r w:rsidRPr="00EB2092">
        <w:t xml:space="preserve">: Total </w:t>
      </w:r>
      <w:r w:rsidR="00633CF7" w:rsidRPr="00EB2092">
        <w:t>payments</w:t>
      </w:r>
      <w:r w:rsidR="00A25C9B" w:rsidRPr="00EB2092">
        <w:t>, 1994</w:t>
      </w:r>
      <w:r w:rsidR="00487A21">
        <w:t>-</w:t>
      </w:r>
      <w:r w:rsidR="00A25C9B" w:rsidRPr="00EB2092">
        <w:t>95 to 2030</w:t>
      </w:r>
      <w:r w:rsidR="00487A21">
        <w:t>-</w:t>
      </w:r>
      <w:r w:rsidR="00A25C9B" w:rsidRPr="00EB2092">
        <w:t>31</w:t>
      </w:r>
    </w:p>
    <w:p w14:paraId="7DBF330D" w14:textId="7C948CB1" w:rsidR="00BA00DD" w:rsidRPr="00EB2092" w:rsidRDefault="00E32A93" w:rsidP="00BA00DD">
      <w:pPr>
        <w:pStyle w:val="CaptionDescriptor"/>
      </w:pPr>
      <w:r w:rsidRPr="00E32A93">
        <w:rPr>
          <w:noProof/>
          <w:lang w:eastAsia="en-AU"/>
        </w:rPr>
        <w:drawing>
          <wp:inline distT="0" distB="0" distL="0" distR="0" wp14:anchorId="1C24FB31" wp14:editId="74D077E5">
            <wp:extent cx="4857750" cy="2889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57750" cy="2889250"/>
                    </a:xfrm>
                    <a:prstGeom prst="rect">
                      <a:avLst/>
                    </a:prstGeom>
                    <a:noFill/>
                    <a:ln>
                      <a:noFill/>
                    </a:ln>
                  </pic:spPr>
                </pic:pic>
              </a:graphicData>
            </a:graphic>
          </wp:inline>
        </w:drawing>
      </w:r>
    </w:p>
    <w:p w14:paraId="664DEDF6" w14:textId="77777777" w:rsidR="009F3C9E" w:rsidRDefault="009F3C9E" w:rsidP="00572B63">
      <w:pPr>
        <w:pStyle w:val="Sourcenospacing"/>
        <w:tabs>
          <w:tab w:val="clear" w:pos="624"/>
        </w:tabs>
        <w:spacing w:before="120" w:after="240"/>
        <w:ind w:left="1134"/>
        <w:contextualSpacing/>
      </w:pPr>
      <w:bookmarkStart w:id="48" w:name="PasteHere"/>
      <w:bookmarkStart w:id="49" w:name="PasteEndHere"/>
      <w:bookmarkEnd w:id="48"/>
      <w:bookmarkEnd w:id="49"/>
      <w:r w:rsidRPr="00EB2092">
        <w:t xml:space="preserve">Note: </w:t>
      </w:r>
      <w:r w:rsidRPr="009F3C9E">
        <w:t>'Previous' refers to projections published in last year's report.</w:t>
      </w:r>
    </w:p>
    <w:p w14:paraId="02E07A7D" w14:textId="56AEED5A" w:rsidR="00CE04FE" w:rsidRPr="00EB2092" w:rsidRDefault="00CE04FE" w:rsidP="00572B63">
      <w:pPr>
        <w:pStyle w:val="Sourcenospacing"/>
        <w:tabs>
          <w:tab w:val="clear" w:pos="624"/>
        </w:tabs>
        <w:spacing w:before="120" w:after="240"/>
        <w:ind w:left="1134"/>
        <w:contextualSpacing/>
      </w:pPr>
      <w:r w:rsidRPr="00EB2092">
        <w:t>Source: 2020</w:t>
      </w:r>
      <w:r w:rsidR="00487A21">
        <w:t>-</w:t>
      </w:r>
      <w:r w:rsidRPr="00EB2092">
        <w:t>21 Budget and PBO analysis.</w:t>
      </w:r>
    </w:p>
    <w:p w14:paraId="11040D5B" w14:textId="14BF67E6" w:rsidR="00245642" w:rsidRPr="00E7795A" w:rsidRDefault="00245642" w:rsidP="004A0A0A">
      <w:pPr>
        <w:pStyle w:val="BodyText"/>
      </w:pPr>
      <w:r w:rsidRPr="00EB2092">
        <w:t xml:space="preserve">As well as </w:t>
      </w:r>
      <w:r w:rsidR="00633CF7" w:rsidRPr="00EB2092">
        <w:t>payments</w:t>
      </w:r>
      <w:r w:rsidRPr="00EB2092">
        <w:t xml:space="preserve"> increasing as a proportion of GDP between 2018-19 and 2030-31, real government </w:t>
      </w:r>
      <w:r w:rsidR="00633CF7" w:rsidRPr="00EB2092">
        <w:t>payments</w:t>
      </w:r>
      <w:r w:rsidRPr="00EB2092">
        <w:t xml:space="preserve"> per </w:t>
      </w:r>
      <w:r w:rsidR="00E7795A">
        <w:t>person</w:t>
      </w:r>
      <w:r w:rsidR="00E7795A" w:rsidRPr="00E7795A">
        <w:t xml:space="preserve"> </w:t>
      </w:r>
      <w:r w:rsidR="00E7795A">
        <w:t>are</w:t>
      </w:r>
      <w:r w:rsidR="00E7795A" w:rsidRPr="00E7795A">
        <w:t xml:space="preserve"> </w:t>
      </w:r>
      <w:r w:rsidRPr="00E7795A">
        <w:t xml:space="preserve">projected to grow over the next decade (see Figure 3–2).  </w:t>
      </w:r>
      <w:r w:rsidR="00F876AF">
        <w:br/>
      </w:r>
      <w:r w:rsidRPr="00E7795A">
        <w:t>This measure adjusts for inflation and population growth.</w:t>
      </w:r>
    </w:p>
    <w:p w14:paraId="62DBD116" w14:textId="1B621EDA" w:rsidR="00CE04FE" w:rsidRPr="00EB2092" w:rsidRDefault="00CE04FE" w:rsidP="00044B24">
      <w:pPr>
        <w:pStyle w:val="Caption"/>
        <w:spacing w:before="240"/>
      </w:pPr>
      <w:r w:rsidRPr="00A42D18">
        <w:t xml:space="preserve">Figure 3–2: Average annual growth in real </w:t>
      </w:r>
      <w:r w:rsidR="00633CF7" w:rsidRPr="009A1A17">
        <w:t>payments</w:t>
      </w:r>
      <w:r w:rsidRPr="00372C38">
        <w:t xml:space="preserve"> per </w:t>
      </w:r>
      <w:r w:rsidR="003B3EC1" w:rsidRPr="00F852A4">
        <w:t>person</w:t>
      </w:r>
      <w:r w:rsidR="00A25C9B" w:rsidRPr="00EB2092">
        <w:t>, 1992</w:t>
      </w:r>
      <w:r w:rsidR="00487A21">
        <w:t>-</w:t>
      </w:r>
      <w:r w:rsidR="00A25C9B" w:rsidRPr="00EB2092">
        <w:t>93 to 2030</w:t>
      </w:r>
      <w:r w:rsidR="00487A21">
        <w:t>-</w:t>
      </w:r>
      <w:r w:rsidR="00A25C9B" w:rsidRPr="00EB2092">
        <w:t>31</w:t>
      </w:r>
    </w:p>
    <w:p w14:paraId="0ECD364B" w14:textId="426D6B05" w:rsidR="00BA00DD" w:rsidRPr="00EB2092" w:rsidRDefault="007F7E63" w:rsidP="00BA00DD">
      <w:pPr>
        <w:pStyle w:val="CaptionDescriptor"/>
      </w:pPr>
      <w:r w:rsidRPr="007D6E09">
        <w:rPr>
          <w:noProof/>
          <w:lang w:eastAsia="en-AU"/>
        </w:rPr>
        <w:drawing>
          <wp:inline distT="0" distB="0" distL="0" distR="0" wp14:anchorId="11BD4B31" wp14:editId="7DE92745">
            <wp:extent cx="4864735" cy="28835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64735" cy="2883535"/>
                    </a:xfrm>
                    <a:prstGeom prst="rect">
                      <a:avLst/>
                    </a:prstGeom>
                    <a:noFill/>
                  </pic:spPr>
                </pic:pic>
              </a:graphicData>
            </a:graphic>
          </wp:inline>
        </w:drawing>
      </w:r>
    </w:p>
    <w:p w14:paraId="4AFBB0B5" w14:textId="1E463FB1" w:rsidR="00CE04FE" w:rsidRPr="00EB2092" w:rsidRDefault="00CE04FE" w:rsidP="00CE04FE">
      <w:pPr>
        <w:pStyle w:val="SourceIndent"/>
        <w:tabs>
          <w:tab w:val="clear" w:pos="624"/>
        </w:tabs>
        <w:ind w:left="1134"/>
        <w:rPr>
          <w:noProof/>
          <w:lang w:eastAsia="en-AU"/>
        </w:rPr>
      </w:pPr>
      <w:r w:rsidRPr="00EB2092">
        <w:t xml:space="preserve">Source: </w:t>
      </w:r>
      <w:r w:rsidRPr="00EB2092">
        <w:rPr>
          <w:noProof/>
          <w:lang w:eastAsia="en-AU"/>
        </w:rPr>
        <w:t>2020</w:t>
      </w:r>
      <w:r w:rsidR="00487A21">
        <w:rPr>
          <w:noProof/>
          <w:lang w:eastAsia="en-AU"/>
        </w:rPr>
        <w:t>-</w:t>
      </w:r>
      <w:r w:rsidRPr="00EB2092">
        <w:rPr>
          <w:noProof/>
          <w:lang w:eastAsia="en-AU"/>
        </w:rPr>
        <w:t>21 Budget and PBO analysis.</w:t>
      </w:r>
    </w:p>
    <w:p w14:paraId="7082A9A0" w14:textId="15587BE5" w:rsidR="00803796" w:rsidRPr="00F852A4" w:rsidRDefault="000823DF" w:rsidP="000823DF">
      <w:pPr>
        <w:pStyle w:val="BodyText"/>
      </w:pPr>
      <w:r w:rsidRPr="00EB2092">
        <w:t xml:space="preserve">Over the forward estimates period, the government projects that real per person </w:t>
      </w:r>
      <w:r w:rsidR="00633CF7" w:rsidRPr="00EB2092">
        <w:t>payments</w:t>
      </w:r>
      <w:r w:rsidRPr="00EB2092">
        <w:t xml:space="preserve"> will increase by </w:t>
      </w:r>
      <w:r w:rsidR="00EC7AD2">
        <w:t xml:space="preserve">an average of </w:t>
      </w:r>
      <w:r w:rsidRPr="00EB2092">
        <w:t>2.</w:t>
      </w:r>
      <w:r w:rsidR="007F7E63" w:rsidRPr="00EB2092">
        <w:t>3 </w:t>
      </w:r>
      <w:r w:rsidRPr="00EB2092">
        <w:t xml:space="preserve">per cent per year.  This is a substantial increase in </w:t>
      </w:r>
      <w:r w:rsidR="00633CF7" w:rsidRPr="00EB2092">
        <w:t>payments</w:t>
      </w:r>
      <w:r w:rsidRPr="00EB2092">
        <w:t xml:space="preserve"> growth compared to the period 2012</w:t>
      </w:r>
      <w:r w:rsidR="00487A21">
        <w:t>-</w:t>
      </w:r>
      <w:r w:rsidRPr="00EB2092">
        <w:t>13 to 2018</w:t>
      </w:r>
      <w:r w:rsidR="00487A21">
        <w:t>-</w:t>
      </w:r>
      <w:r w:rsidRPr="00EB2092">
        <w:t xml:space="preserve">19, with real government </w:t>
      </w:r>
      <w:r w:rsidR="00633CF7" w:rsidRPr="00EB2092">
        <w:t>payments</w:t>
      </w:r>
      <w:r w:rsidRPr="00EB2092">
        <w:t xml:space="preserve"> per person moving above </w:t>
      </w:r>
      <w:r w:rsidR="00E7795A">
        <w:t>their</w:t>
      </w:r>
      <w:r w:rsidR="00E7795A" w:rsidRPr="00E7795A">
        <w:t xml:space="preserve"> </w:t>
      </w:r>
      <w:r w:rsidRPr="00E7795A">
        <w:t>long</w:t>
      </w:r>
      <w:r w:rsidR="00E7795A">
        <w:noBreakHyphen/>
      </w:r>
      <w:r w:rsidRPr="00E7795A">
        <w:t>term growth rate</w:t>
      </w:r>
      <w:r w:rsidR="00E7795A">
        <w:t xml:space="preserve"> as a result of the temporary increase in payments</w:t>
      </w:r>
      <w:r w:rsidRPr="00E7795A">
        <w:t xml:space="preserve">.  Beyond the forward estimates period, the PBO projects that </w:t>
      </w:r>
      <w:r w:rsidR="00E7795A">
        <w:t>real government payments</w:t>
      </w:r>
      <w:r w:rsidR="00E7795A" w:rsidRPr="00E7795A">
        <w:t xml:space="preserve"> </w:t>
      </w:r>
      <w:r w:rsidRPr="00E7795A">
        <w:t xml:space="preserve">will increase by </w:t>
      </w:r>
      <w:r w:rsidR="00E7795A">
        <w:t xml:space="preserve">the lower rate of </w:t>
      </w:r>
      <w:r w:rsidRPr="00E7795A">
        <w:t>0.</w:t>
      </w:r>
      <w:r w:rsidR="0067144A" w:rsidRPr="00E7795A">
        <w:t>9</w:t>
      </w:r>
      <w:r w:rsidRPr="00E7795A">
        <w:t> per cent per year</w:t>
      </w:r>
      <w:r w:rsidR="00613E2D" w:rsidRPr="00E7795A">
        <w:t xml:space="preserve">, as a combination of low indexation of eligibility thresholds for payments and low indexation for the payment rate of some programs </w:t>
      </w:r>
      <w:r w:rsidR="00A00147" w:rsidRPr="00A42D18">
        <w:t xml:space="preserve">puts downward pressure on </w:t>
      </w:r>
      <w:r w:rsidR="00613E2D" w:rsidRPr="009A1A17">
        <w:t>payments as a per cent of GDP</w:t>
      </w:r>
      <w:r w:rsidRPr="00372C38">
        <w:t>.</w:t>
      </w:r>
    </w:p>
    <w:p w14:paraId="392BCC8A" w14:textId="70027144" w:rsidR="000823DF" w:rsidRPr="00EB2092" w:rsidRDefault="00803796" w:rsidP="000823DF">
      <w:pPr>
        <w:pStyle w:val="BodyText"/>
      </w:pPr>
      <w:r w:rsidRPr="00EB2092">
        <w:lastRenderedPageBreak/>
        <w:t xml:space="preserve">Historical growth rates for payments are driven by a combination of economic conditions, social trends </w:t>
      </w:r>
      <w:r w:rsidR="007D264C" w:rsidRPr="00EB2092">
        <w:t>(</w:t>
      </w:r>
      <w:r w:rsidRPr="00EB2092">
        <w:t>including demographic</w:t>
      </w:r>
      <w:r w:rsidR="007D264C" w:rsidRPr="00EB2092">
        <w:t>)</w:t>
      </w:r>
      <w:r w:rsidRPr="00EB2092">
        <w:t>, policy changes</w:t>
      </w:r>
      <w:r w:rsidR="00EC7AD2">
        <w:t>, and other impacts</w:t>
      </w:r>
      <w:r w:rsidRPr="00EB2092">
        <w:t xml:space="preserve">.  These factors may be specific </w:t>
      </w:r>
      <w:r w:rsidR="004F1B4E">
        <w:br/>
      </w:r>
      <w:r w:rsidRPr="00EB2092">
        <w:t>to particular periods such that average historical growth rates may not be a reasonable guide to future trajectories.</w:t>
      </w:r>
      <w:r w:rsidR="000823DF" w:rsidRPr="00EB2092">
        <w:t xml:space="preserve"> </w:t>
      </w:r>
    </w:p>
    <w:p w14:paraId="34B6E639" w14:textId="4F45D04B" w:rsidR="00CE04FE" w:rsidRPr="00EB2092" w:rsidRDefault="00633CF7" w:rsidP="00044B24">
      <w:pPr>
        <w:pStyle w:val="Heading2"/>
        <w:ind w:left="765"/>
      </w:pPr>
      <w:bookmarkStart w:id="50" w:name="_Toc57207419"/>
      <w:bookmarkStart w:id="51" w:name="_Toc57207489"/>
      <w:bookmarkStart w:id="52" w:name="_Toc19801240"/>
      <w:bookmarkStart w:id="53" w:name="_Toc58271436"/>
      <w:bookmarkEnd w:id="50"/>
      <w:bookmarkEnd w:id="51"/>
      <w:r w:rsidRPr="00EB2092">
        <w:t>Payments</w:t>
      </w:r>
      <w:r w:rsidR="00CE04FE" w:rsidRPr="00EB2092">
        <w:t xml:space="preserve"> growth by program</w:t>
      </w:r>
      <w:bookmarkEnd w:id="52"/>
      <w:bookmarkEnd w:id="53"/>
    </w:p>
    <w:p w14:paraId="5F7F3B93" w14:textId="3AD6A392" w:rsidR="00245642" w:rsidRPr="00A42D18" w:rsidRDefault="00245642" w:rsidP="004A0A0A">
      <w:pPr>
        <w:pStyle w:val="BodyText"/>
      </w:pPr>
      <w:r w:rsidRPr="00EB2092">
        <w:t xml:space="preserve">The PBO’s </w:t>
      </w:r>
      <w:r w:rsidR="00633CF7" w:rsidRPr="00EB2092">
        <w:t>payments</w:t>
      </w:r>
      <w:r w:rsidRPr="00EB2092">
        <w:t xml:space="preserve"> projections are based on individual analysis of 23 major program areas.  Projections of </w:t>
      </w:r>
      <w:r w:rsidR="00633CF7" w:rsidRPr="00EB2092">
        <w:t>payments</w:t>
      </w:r>
      <w:r w:rsidRPr="00EB2092">
        <w:t xml:space="preserve"> generally assume policy settings and arrangements as contained in the budget estimates.  </w:t>
      </w:r>
      <w:r w:rsidR="00E7795A">
        <w:t>P</w:t>
      </w:r>
      <w:r w:rsidR="00633CF7" w:rsidRPr="00E7795A">
        <w:t>ayments</w:t>
      </w:r>
      <w:r w:rsidRPr="00E7795A">
        <w:t xml:space="preserve"> outside of the 23 major programs account for around 20</w:t>
      </w:r>
      <w:r w:rsidR="00BA76F0" w:rsidRPr="00E7795A">
        <w:t> </w:t>
      </w:r>
      <w:r w:rsidRPr="00E7795A">
        <w:t xml:space="preserve">per cent of total </w:t>
      </w:r>
      <w:r w:rsidR="00633CF7" w:rsidRPr="00A42D18">
        <w:t>payments</w:t>
      </w:r>
      <w:r w:rsidR="00254117" w:rsidRPr="009A1A17">
        <w:t>, with the exception of 2019</w:t>
      </w:r>
      <w:r w:rsidR="00487A21">
        <w:t>-</w:t>
      </w:r>
      <w:r w:rsidR="00254117" w:rsidRPr="009A1A17">
        <w:t>20 and 2020</w:t>
      </w:r>
      <w:r w:rsidR="00487A21">
        <w:t>-</w:t>
      </w:r>
      <w:r w:rsidR="00254117" w:rsidRPr="009A1A17">
        <w:t xml:space="preserve">21 where many </w:t>
      </w:r>
      <w:r w:rsidR="00CA1F9D" w:rsidRPr="00372C38">
        <w:t xml:space="preserve">payments related to </w:t>
      </w:r>
      <w:r w:rsidR="00254117" w:rsidRPr="00F852A4">
        <w:t>COVID</w:t>
      </w:r>
      <w:r w:rsidR="00EC7AD2">
        <w:noBreakHyphen/>
      </w:r>
      <w:r w:rsidR="00254117" w:rsidRPr="00F852A4">
        <w:t xml:space="preserve">19 </w:t>
      </w:r>
      <w:r w:rsidR="00254117" w:rsidRPr="00EB2092">
        <w:t xml:space="preserve">were </w:t>
      </w:r>
      <w:r w:rsidR="00E7795A">
        <w:t xml:space="preserve">delivered </w:t>
      </w:r>
      <w:r w:rsidR="00254117" w:rsidRPr="00E7795A">
        <w:t xml:space="preserve">outside of </w:t>
      </w:r>
      <w:r w:rsidR="00E7795A">
        <w:t>major ongoing</w:t>
      </w:r>
      <w:r w:rsidR="00E7795A" w:rsidRPr="00E7795A">
        <w:t xml:space="preserve"> </w:t>
      </w:r>
      <w:r w:rsidR="00254117" w:rsidRPr="00E7795A">
        <w:t>programs</w:t>
      </w:r>
      <w:r w:rsidRPr="00E7795A">
        <w:t>.</w:t>
      </w:r>
      <w:r w:rsidR="00A00147" w:rsidRPr="00E7795A">
        <w:t xml:space="preserve">  Appendix D provides detail on the approaches taken to generate the projections for each major program.  </w:t>
      </w:r>
    </w:p>
    <w:p w14:paraId="2F1D6F30" w14:textId="5106204F" w:rsidR="00245642" w:rsidRPr="00EB2092" w:rsidRDefault="008303DE" w:rsidP="004A0A0A">
      <w:pPr>
        <w:pStyle w:val="BodyText"/>
      </w:pPr>
      <w:r w:rsidRPr="009A1A17">
        <w:t xml:space="preserve">The change in projected </w:t>
      </w:r>
      <w:r w:rsidR="00633CF7" w:rsidRPr="00372C38">
        <w:t>payments</w:t>
      </w:r>
      <w:r w:rsidRPr="00F852A4">
        <w:t xml:space="preserve"> between 2018-19 and 2030-31 is shown in Figure 3–3.  </w:t>
      </w:r>
      <w:r w:rsidR="00A00147" w:rsidRPr="00EB2092">
        <w:t xml:space="preserve">Overall, payments are projected to increase as a </w:t>
      </w:r>
      <w:r w:rsidR="00853E7B">
        <w:t>share</w:t>
      </w:r>
      <w:r w:rsidR="00A00147" w:rsidRPr="00EB2092">
        <w:t xml:space="preserve"> of GDP between 2018-19 and 2023-24, and then decrease as a </w:t>
      </w:r>
      <w:r w:rsidR="00853E7B">
        <w:t>share</w:t>
      </w:r>
      <w:r w:rsidR="00A00147" w:rsidRPr="00EB2092">
        <w:t xml:space="preserve"> of GDP between 2023-24 and 2030-31.</w:t>
      </w:r>
    </w:p>
    <w:p w14:paraId="48CD9123" w14:textId="303E1101" w:rsidR="00CE04FE" w:rsidRPr="00EB2092" w:rsidRDefault="00CE04FE" w:rsidP="00044B24">
      <w:pPr>
        <w:pStyle w:val="Caption"/>
        <w:spacing w:before="240"/>
      </w:pPr>
      <w:bookmarkStart w:id="54" w:name="_Ref520987247"/>
      <w:r w:rsidRPr="00EB2092">
        <w:t>Figure 3–</w:t>
      </w:r>
      <w:bookmarkEnd w:id="54"/>
      <w:r w:rsidRPr="00EB2092">
        <w:t xml:space="preserve">3: Projected </w:t>
      </w:r>
      <w:r w:rsidR="00267860" w:rsidRPr="00EB2092">
        <w:t xml:space="preserve">change in </w:t>
      </w:r>
      <w:r w:rsidR="00633CF7" w:rsidRPr="00EB2092">
        <w:t>payments</w:t>
      </w:r>
      <w:r w:rsidR="00267860" w:rsidRPr="00EB2092">
        <w:t xml:space="preserve"> as a share of GDP</w:t>
      </w:r>
      <w:r w:rsidR="00A25C9B" w:rsidRPr="00EB2092">
        <w:t>, 2018-19 to 2030-31</w:t>
      </w:r>
    </w:p>
    <w:p w14:paraId="774E4D14" w14:textId="074BF117" w:rsidR="002D5790" w:rsidRPr="00EB2092" w:rsidRDefault="00CA1F9D">
      <w:pPr>
        <w:pStyle w:val="CaptionDescriptor"/>
      </w:pPr>
      <w:r w:rsidRPr="007D6E09">
        <w:rPr>
          <w:noProof/>
          <w:lang w:eastAsia="en-AU"/>
        </w:rPr>
        <w:drawing>
          <wp:inline distT="0" distB="0" distL="0" distR="0" wp14:anchorId="69D6F45A" wp14:editId="07C3B1B8">
            <wp:extent cx="4877435" cy="32372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77435" cy="3237230"/>
                    </a:xfrm>
                    <a:prstGeom prst="rect">
                      <a:avLst/>
                    </a:prstGeom>
                    <a:noFill/>
                  </pic:spPr>
                </pic:pic>
              </a:graphicData>
            </a:graphic>
          </wp:inline>
        </w:drawing>
      </w:r>
    </w:p>
    <w:p w14:paraId="4C05B280" w14:textId="65F44302" w:rsidR="00CE04FE" w:rsidRPr="00EB2092" w:rsidRDefault="00CE04FE" w:rsidP="00580B2B">
      <w:pPr>
        <w:pStyle w:val="SourceIndent"/>
        <w:tabs>
          <w:tab w:val="clear" w:pos="624"/>
        </w:tabs>
        <w:ind w:left="851"/>
        <w:contextualSpacing/>
        <w:rPr>
          <w:noProof/>
          <w:lang w:eastAsia="en-AU"/>
        </w:rPr>
      </w:pPr>
      <w:r w:rsidRPr="00EB2092">
        <w:rPr>
          <w:noProof/>
          <w:lang w:eastAsia="en-AU"/>
        </w:rPr>
        <w:t xml:space="preserve">Note: </w:t>
      </w:r>
      <w:r w:rsidR="003B3EC1" w:rsidRPr="00EB2092">
        <w:rPr>
          <w:noProof/>
          <w:lang w:eastAsia="en-AU"/>
        </w:rPr>
        <w:t>‘</w:t>
      </w:r>
      <w:r w:rsidRPr="00EB2092">
        <w:rPr>
          <w:noProof/>
          <w:lang w:eastAsia="en-AU"/>
        </w:rPr>
        <w:t xml:space="preserve">All other </w:t>
      </w:r>
      <w:r w:rsidR="003B3EC1" w:rsidRPr="00EB2092">
        <w:rPr>
          <w:noProof/>
          <w:lang w:eastAsia="en-AU"/>
        </w:rPr>
        <w:t xml:space="preserve">payments’ </w:t>
      </w:r>
      <w:r w:rsidRPr="00EB2092">
        <w:rPr>
          <w:noProof/>
          <w:lang w:eastAsia="en-AU"/>
        </w:rPr>
        <w:t xml:space="preserve">includes the total of all </w:t>
      </w:r>
      <w:r w:rsidR="00633CF7" w:rsidRPr="00EB2092">
        <w:rPr>
          <w:noProof/>
          <w:lang w:eastAsia="en-AU"/>
        </w:rPr>
        <w:t>payments</w:t>
      </w:r>
      <w:r w:rsidRPr="00EB2092">
        <w:rPr>
          <w:noProof/>
          <w:lang w:eastAsia="en-AU"/>
        </w:rPr>
        <w:t xml:space="preserve"> programs not separately identified in this chart</w:t>
      </w:r>
      <w:r w:rsidR="00A00147" w:rsidRPr="00EB2092">
        <w:t xml:space="preserve">.  </w:t>
      </w:r>
    </w:p>
    <w:p w14:paraId="119DBCE8" w14:textId="70EA1D7A" w:rsidR="00CE04FE" w:rsidRPr="00EB2092" w:rsidRDefault="00CE04FE" w:rsidP="00580B2B">
      <w:pPr>
        <w:pStyle w:val="SourceIndent"/>
        <w:tabs>
          <w:tab w:val="clear" w:pos="624"/>
        </w:tabs>
        <w:ind w:left="851"/>
        <w:contextualSpacing/>
        <w:rPr>
          <w:noProof/>
          <w:lang w:eastAsia="en-AU"/>
        </w:rPr>
      </w:pPr>
      <w:r w:rsidRPr="00EB2092">
        <w:rPr>
          <w:noProof/>
          <w:lang w:eastAsia="en-AU"/>
        </w:rPr>
        <w:t>Source: 2020</w:t>
      </w:r>
      <w:r w:rsidR="00487A21">
        <w:rPr>
          <w:noProof/>
          <w:lang w:eastAsia="en-AU"/>
        </w:rPr>
        <w:t>-</w:t>
      </w:r>
      <w:r w:rsidRPr="00EB2092">
        <w:rPr>
          <w:noProof/>
          <w:lang w:eastAsia="en-AU"/>
        </w:rPr>
        <w:t>21 Budget and PBO analysis.</w:t>
      </w:r>
    </w:p>
    <w:p w14:paraId="06153DB0" w14:textId="66BB9F22" w:rsidR="00267860" w:rsidRPr="00EB2092" w:rsidRDefault="00261311" w:rsidP="00267860">
      <w:pPr>
        <w:pStyle w:val="BodyText"/>
      </w:pPr>
      <w:r w:rsidRPr="00EB2092">
        <w:t>The largest i</w:t>
      </w:r>
      <w:r w:rsidR="00267860" w:rsidRPr="00EB2092">
        <w:t xml:space="preserve">ncreases in payments </w:t>
      </w:r>
      <w:r w:rsidR="00EC7AD2">
        <w:t xml:space="preserve">as a share of GDP </w:t>
      </w:r>
      <w:r w:rsidR="00267860" w:rsidRPr="00EB2092">
        <w:t xml:space="preserve">are projected for the </w:t>
      </w:r>
      <w:r w:rsidR="001E509E" w:rsidRPr="00EB2092">
        <w:t xml:space="preserve">National Disability Insurance Scheme, </w:t>
      </w:r>
      <w:r w:rsidR="00FC29D3">
        <w:t>Contingency reserve</w:t>
      </w:r>
      <w:r w:rsidR="00CA1F9D" w:rsidRPr="00EB2092">
        <w:t xml:space="preserve"> provision, </w:t>
      </w:r>
      <w:r w:rsidR="001E509E" w:rsidRPr="00EB2092">
        <w:t>d</w:t>
      </w:r>
      <w:r w:rsidR="00267860" w:rsidRPr="00EB2092">
        <w:t>efence, aged care</w:t>
      </w:r>
      <w:r w:rsidR="0039750B" w:rsidRPr="00EB2092">
        <w:t xml:space="preserve"> and</w:t>
      </w:r>
      <w:r w:rsidR="00BC76E1" w:rsidRPr="00EB2092">
        <w:t xml:space="preserve"> </w:t>
      </w:r>
      <w:r w:rsidR="00267860" w:rsidRPr="00EB2092">
        <w:t>public hospitals.</w:t>
      </w:r>
    </w:p>
    <w:p w14:paraId="6B64D30A" w14:textId="053D3B7C" w:rsidR="00CE04FE" w:rsidRPr="008A30E0" w:rsidRDefault="008303DE" w:rsidP="004A0A0A">
      <w:pPr>
        <w:pStyle w:val="BodyText"/>
      </w:pPr>
      <w:r w:rsidRPr="00EB2092">
        <w:t xml:space="preserve">Decreases </w:t>
      </w:r>
      <w:r w:rsidR="00CE04FE" w:rsidRPr="00EB2092">
        <w:t xml:space="preserve">are projected </w:t>
      </w:r>
      <w:r w:rsidR="00E7795A">
        <w:t>for some</w:t>
      </w:r>
      <w:r w:rsidR="00CE04FE" w:rsidRPr="00E7795A">
        <w:t xml:space="preserve"> payment programs</w:t>
      </w:r>
      <w:r w:rsidR="00267860" w:rsidRPr="00E7795A">
        <w:t>.  This</w:t>
      </w:r>
      <w:r w:rsidR="00CE04FE" w:rsidRPr="00E7795A">
        <w:t xml:space="preserve"> </w:t>
      </w:r>
      <w:r w:rsidR="00FC236F" w:rsidRPr="00E7795A">
        <w:t>result</w:t>
      </w:r>
      <w:r w:rsidR="00267860" w:rsidRPr="00E7795A">
        <w:t>s</w:t>
      </w:r>
      <w:r w:rsidR="00FC236F" w:rsidRPr="00E7795A">
        <w:t xml:space="preserve"> </w:t>
      </w:r>
      <w:r w:rsidR="00CA1F9D" w:rsidRPr="00E7795A">
        <w:t xml:space="preserve">from </w:t>
      </w:r>
      <w:r w:rsidR="00FC236F" w:rsidRPr="00E7795A">
        <w:t xml:space="preserve">two </w:t>
      </w:r>
      <w:r w:rsidR="008A30E0">
        <w:t>broad factors</w:t>
      </w:r>
      <w:r w:rsidR="00FC236F" w:rsidRPr="00E7795A">
        <w:t xml:space="preserve">.  Firstly, </w:t>
      </w:r>
      <w:r w:rsidR="00B07919" w:rsidRPr="00E7795A">
        <w:t xml:space="preserve">income </w:t>
      </w:r>
      <w:r w:rsidR="00FC236F" w:rsidRPr="00E7795A">
        <w:t xml:space="preserve">eligibility thresholds for payments often increase at a rate lower than wages growth, reducing the number of eligible recipients of </w:t>
      </w:r>
      <w:r w:rsidR="00E7795A">
        <w:t>some</w:t>
      </w:r>
      <w:r w:rsidR="00CA1F9D" w:rsidRPr="00E7795A">
        <w:t xml:space="preserve"> </w:t>
      </w:r>
      <w:r w:rsidR="00FC236F" w:rsidRPr="00E7795A">
        <w:t>payments.  Secondly</w:t>
      </w:r>
      <w:r w:rsidR="00113A15" w:rsidRPr="00E7795A">
        <w:t>, indexation</w:t>
      </w:r>
      <w:r w:rsidR="005800A2" w:rsidRPr="00E7795A">
        <w:t xml:space="preserve"> for </w:t>
      </w:r>
      <w:r w:rsidR="00B07919" w:rsidRPr="00E7795A">
        <w:t xml:space="preserve">the payment rate of </w:t>
      </w:r>
      <w:r w:rsidR="005800A2" w:rsidRPr="00E7795A">
        <w:t>some programs is</w:t>
      </w:r>
      <w:r w:rsidR="00CA1F9D" w:rsidRPr="00E7795A">
        <w:t xml:space="preserve"> often</w:t>
      </w:r>
      <w:r w:rsidR="005800A2" w:rsidRPr="008A30E0">
        <w:t xml:space="preserve"> lower than GDP</w:t>
      </w:r>
      <w:r w:rsidR="00B07919" w:rsidRPr="008A30E0">
        <w:t xml:space="preserve">, reducing the size of payments as a </w:t>
      </w:r>
      <w:r w:rsidR="00853E7B">
        <w:t>share</w:t>
      </w:r>
      <w:r w:rsidR="00B07919" w:rsidRPr="008A30E0">
        <w:t xml:space="preserve"> of GDP</w:t>
      </w:r>
      <w:r w:rsidR="00CE04FE" w:rsidRPr="008A30E0">
        <w:t xml:space="preserve">.  </w:t>
      </w:r>
      <w:r w:rsidR="00CE04FE" w:rsidRPr="001407CE">
        <w:t xml:space="preserve">The decline in </w:t>
      </w:r>
      <w:r w:rsidR="00633CF7" w:rsidRPr="00A25654">
        <w:t>payments</w:t>
      </w:r>
      <w:r w:rsidR="00A25654">
        <w:t xml:space="preserve"> as a share of GDP</w:t>
      </w:r>
      <w:r w:rsidR="00CE04FE" w:rsidRPr="00A25654">
        <w:t xml:space="preserve"> on government administration over the forward estimates period</w:t>
      </w:r>
      <w:r w:rsidR="007969C9" w:rsidRPr="003A56EF">
        <w:t xml:space="preserve"> is consistent with previous budgets and</w:t>
      </w:r>
      <w:r w:rsidR="008A30E0" w:rsidRPr="001407CE">
        <w:t xml:space="preserve"> </w:t>
      </w:r>
      <w:r w:rsidR="004F15DC">
        <w:t>driven, in part, by the government’s efficiency dividend</w:t>
      </w:r>
      <w:r w:rsidR="008A30E0" w:rsidRPr="00A25654">
        <w:t>.  A</w:t>
      </w:r>
      <w:r w:rsidR="00CE04FE" w:rsidRPr="004F15DC">
        <w:t xml:space="preserve">fter </w:t>
      </w:r>
      <w:r w:rsidR="008A30E0" w:rsidRPr="004F15DC">
        <w:t>the forward estimates period, the PBO assumes that government administration payments will</w:t>
      </w:r>
      <w:r w:rsidR="00CE04FE" w:rsidRPr="004F15DC">
        <w:t xml:space="preserve"> remain stable as a share of GDP for the rest of the decade.</w:t>
      </w:r>
    </w:p>
    <w:p w14:paraId="673E8A4E" w14:textId="5E7A7E7A" w:rsidR="009E42F5" w:rsidRPr="00A42D18" w:rsidRDefault="009E42F5" w:rsidP="00044B24">
      <w:pPr>
        <w:pStyle w:val="Heading2"/>
        <w:ind w:left="765"/>
      </w:pPr>
      <w:bookmarkStart w:id="55" w:name="_Toc58271437"/>
      <w:r w:rsidRPr="00A42D18">
        <w:lastRenderedPageBreak/>
        <w:t>National Disability Insurance Scheme</w:t>
      </w:r>
      <w:bookmarkEnd w:id="55"/>
    </w:p>
    <w:p w14:paraId="3BE1C121" w14:textId="46D4BB69" w:rsidR="008907DC" w:rsidRPr="00EB2092" w:rsidRDefault="00267860" w:rsidP="008907DC">
      <w:pPr>
        <w:pStyle w:val="BodyText"/>
      </w:pPr>
      <w:r w:rsidRPr="009A1A17">
        <w:t>T</w:t>
      </w:r>
      <w:r w:rsidR="008907DC" w:rsidRPr="009A1A17">
        <w:t>he National Disability Insurance Scheme (NDIS)</w:t>
      </w:r>
      <w:r w:rsidRPr="009A1A17">
        <w:t xml:space="preserve"> is </w:t>
      </w:r>
      <w:r w:rsidR="003A4795">
        <w:t xml:space="preserve">the </w:t>
      </w:r>
      <w:r w:rsidRPr="003A4795">
        <w:t>largest single contributor to growth in payments over the next decade.  NDIS payments are</w:t>
      </w:r>
      <w:r w:rsidR="008907DC" w:rsidRPr="003A4795">
        <w:t xml:space="preserve"> projected to increase </w:t>
      </w:r>
      <w:r w:rsidR="003230E6" w:rsidRPr="003A4795">
        <w:t xml:space="preserve">substantially </w:t>
      </w:r>
      <w:r w:rsidR="00CA1F9D" w:rsidRPr="003A4795">
        <w:t xml:space="preserve">from </w:t>
      </w:r>
      <w:r w:rsidR="003230E6" w:rsidRPr="003A4795">
        <w:t>0.6</w:t>
      </w:r>
      <w:r w:rsidR="00A42D18">
        <w:t> </w:t>
      </w:r>
      <w:r w:rsidR="003230E6" w:rsidRPr="003A4795">
        <w:t>per</w:t>
      </w:r>
      <w:r w:rsidR="00A42D18">
        <w:t> </w:t>
      </w:r>
      <w:r w:rsidR="003230E6" w:rsidRPr="003A4795">
        <w:t>cent of GDP in 2018</w:t>
      </w:r>
      <w:r w:rsidR="00EC7AD2">
        <w:noBreakHyphen/>
      </w:r>
      <w:r w:rsidR="003230E6" w:rsidRPr="003A4795">
        <w:t>19 to 1.1 per cent in 2020</w:t>
      </w:r>
      <w:r w:rsidR="003C323D">
        <w:noBreakHyphen/>
      </w:r>
      <w:r w:rsidR="003230E6" w:rsidRPr="003A4795">
        <w:t>21</w:t>
      </w:r>
      <w:r w:rsidR="008907DC" w:rsidRPr="00A42D18">
        <w:t xml:space="preserve">, reflecting </w:t>
      </w:r>
      <w:r w:rsidR="003230E6" w:rsidRPr="009A1A17">
        <w:t xml:space="preserve">the </w:t>
      </w:r>
      <w:r w:rsidR="008907DC" w:rsidRPr="009A1A17">
        <w:t>completion of the Scheme’s geographic r</w:t>
      </w:r>
      <w:r w:rsidR="008907DC" w:rsidRPr="00372C38">
        <w:t>ollout across Australia on 1 July 2020.  From 2022</w:t>
      </w:r>
      <w:r w:rsidR="003C323D">
        <w:noBreakHyphen/>
      </w:r>
      <w:r w:rsidR="008907DC" w:rsidRPr="00EB2092">
        <w:t xml:space="preserve">23, </w:t>
      </w:r>
      <w:r w:rsidR="00A23D3A" w:rsidRPr="00EB2092">
        <w:t xml:space="preserve">these </w:t>
      </w:r>
      <w:r w:rsidR="00633CF7" w:rsidRPr="00EB2092">
        <w:t>payments</w:t>
      </w:r>
      <w:r w:rsidR="00581BFE" w:rsidRPr="00EB2092">
        <w:t xml:space="preserve"> are projected to</w:t>
      </w:r>
      <w:r w:rsidR="008907DC" w:rsidRPr="00EB2092">
        <w:t xml:space="preserve"> remain stable at </w:t>
      </w:r>
      <w:r w:rsidR="00CA1F9D" w:rsidRPr="00EB2092">
        <w:t xml:space="preserve">around </w:t>
      </w:r>
      <w:r w:rsidR="008907DC" w:rsidRPr="00EB2092">
        <w:t xml:space="preserve">1.1 per cent of GDP.  </w:t>
      </w:r>
    </w:p>
    <w:p w14:paraId="03A2E93B" w14:textId="203DF6E0" w:rsidR="009E42F5" w:rsidRPr="00EB2092" w:rsidRDefault="009E42F5" w:rsidP="00044B24">
      <w:pPr>
        <w:pStyle w:val="Heading2"/>
        <w:ind w:left="765"/>
      </w:pPr>
      <w:bookmarkStart w:id="56" w:name="_Toc58271438"/>
      <w:r w:rsidRPr="00EB2092">
        <w:t>Defence</w:t>
      </w:r>
      <w:bookmarkEnd w:id="56"/>
    </w:p>
    <w:p w14:paraId="2EEE3BA4" w14:textId="6A267FBC" w:rsidR="006F123C" w:rsidRPr="00F852A4" w:rsidRDefault="006F123C" w:rsidP="006F123C">
      <w:pPr>
        <w:pStyle w:val="BodyText"/>
      </w:pPr>
      <w:r w:rsidRPr="00EB2092">
        <w:t xml:space="preserve">Defence </w:t>
      </w:r>
      <w:r w:rsidR="00633CF7" w:rsidRPr="00EB2092">
        <w:t>payments</w:t>
      </w:r>
      <w:r w:rsidRPr="00EB2092">
        <w:t xml:space="preserve"> </w:t>
      </w:r>
      <w:r w:rsidR="00A17DCB" w:rsidRPr="00EB2092">
        <w:t xml:space="preserve">are </w:t>
      </w:r>
      <w:r w:rsidRPr="00EB2092">
        <w:t>projected to increase by 0.5 </w:t>
      </w:r>
      <w:r w:rsidR="00A42D18">
        <w:t>percentage points to 2.4 per cent of GDP</w:t>
      </w:r>
      <w:r w:rsidRPr="009A1A17">
        <w:t xml:space="preserve"> </w:t>
      </w:r>
      <w:r w:rsidR="00877CED" w:rsidRPr="009A1A17">
        <w:t>between 2018</w:t>
      </w:r>
      <w:r w:rsidR="003C323D">
        <w:noBreakHyphen/>
      </w:r>
      <w:r w:rsidR="00877CED" w:rsidRPr="009A1A17">
        <w:t>19 and 2030</w:t>
      </w:r>
      <w:r w:rsidR="003C323D">
        <w:noBreakHyphen/>
      </w:r>
      <w:r w:rsidR="00877CED" w:rsidRPr="009A1A17">
        <w:t>31</w:t>
      </w:r>
      <w:r w:rsidRPr="009A1A17">
        <w:t xml:space="preserve">, reflecting the </w:t>
      </w:r>
      <w:r w:rsidR="0054349B" w:rsidRPr="009A1A17">
        <w:t>g</w:t>
      </w:r>
      <w:r w:rsidRPr="009A1A17">
        <w:t xml:space="preserve">overnment’s funding commitments in the </w:t>
      </w:r>
      <w:r w:rsidRPr="009A1A17">
        <w:rPr>
          <w:i/>
        </w:rPr>
        <w:t>2016</w:t>
      </w:r>
      <w:r w:rsidR="00EC7AD2">
        <w:rPr>
          <w:i/>
        </w:rPr>
        <w:t> </w:t>
      </w:r>
      <w:r w:rsidRPr="009A1A17">
        <w:rPr>
          <w:i/>
        </w:rPr>
        <w:t>Defence White Paper</w:t>
      </w:r>
      <w:r w:rsidR="003B3EC1" w:rsidRPr="009A1A17">
        <w:rPr>
          <w:i/>
        </w:rPr>
        <w:t xml:space="preserve"> </w:t>
      </w:r>
      <w:r w:rsidR="003B3EC1" w:rsidRPr="009A1A17">
        <w:t>and the</w:t>
      </w:r>
      <w:r w:rsidR="003B3EC1" w:rsidRPr="009A1A17">
        <w:rPr>
          <w:i/>
        </w:rPr>
        <w:t xml:space="preserve"> 2020</w:t>
      </w:r>
      <w:r w:rsidR="003A4795">
        <w:rPr>
          <w:i/>
        </w:rPr>
        <w:t> </w:t>
      </w:r>
      <w:r w:rsidR="003B3EC1" w:rsidRPr="003A4795">
        <w:rPr>
          <w:i/>
        </w:rPr>
        <w:t>Defence Strategic Update</w:t>
      </w:r>
      <w:r w:rsidRPr="00A42D18">
        <w:t xml:space="preserve">.  </w:t>
      </w:r>
      <w:r w:rsidR="0046436F" w:rsidRPr="009A1A17">
        <w:t>D</w:t>
      </w:r>
      <w:r w:rsidRPr="009A1A17">
        <w:t xml:space="preserve">efence </w:t>
      </w:r>
      <w:r w:rsidR="00633CF7" w:rsidRPr="00372C38">
        <w:t>payments</w:t>
      </w:r>
      <w:r w:rsidRPr="00372C38">
        <w:t xml:space="preserve"> </w:t>
      </w:r>
      <w:r w:rsidR="0046436F" w:rsidRPr="00F852A4">
        <w:t xml:space="preserve">in dollar terms </w:t>
      </w:r>
      <w:r w:rsidRPr="00EB2092">
        <w:t xml:space="preserve">are broadly consistent with projections included in the previous report, but this </w:t>
      </w:r>
      <w:r w:rsidR="00A42D18">
        <w:t>represents</w:t>
      </w:r>
      <w:r w:rsidR="00A42D18" w:rsidRPr="009A1A17">
        <w:t xml:space="preserve"> </w:t>
      </w:r>
      <w:r w:rsidRPr="009A1A17">
        <w:t xml:space="preserve">a larger increase as a percentage of GDP due to </w:t>
      </w:r>
      <w:r w:rsidR="002D5321" w:rsidRPr="009A1A17">
        <w:t>downward revisions to</w:t>
      </w:r>
      <w:r w:rsidR="000823DF" w:rsidRPr="009A1A17">
        <w:t xml:space="preserve"> </w:t>
      </w:r>
      <w:r w:rsidR="002D5321" w:rsidRPr="009A1A17">
        <w:t xml:space="preserve">projected </w:t>
      </w:r>
      <w:r w:rsidRPr="00372C38">
        <w:t>GDP</w:t>
      </w:r>
      <w:r w:rsidR="00581BFE" w:rsidRPr="00372C38">
        <w:t xml:space="preserve"> levels</w:t>
      </w:r>
      <w:r w:rsidRPr="00F852A4">
        <w:t xml:space="preserve">.  </w:t>
      </w:r>
    </w:p>
    <w:p w14:paraId="561244CC" w14:textId="5AEEEBCF" w:rsidR="006F123C" w:rsidRPr="00EB2092" w:rsidRDefault="006F123C" w:rsidP="006F123C">
      <w:pPr>
        <w:pStyle w:val="BodyText"/>
      </w:pPr>
      <w:r w:rsidRPr="00EB2092">
        <w:t xml:space="preserve">There remains uncertainty around the projections in individual years, given that the acquisition of military equipment is inherently ‘lumpy’ in nature and can be subject to changes in the timing </w:t>
      </w:r>
      <w:r w:rsidR="004F1B4E">
        <w:br/>
      </w:r>
      <w:r w:rsidRPr="00EB2092">
        <w:t>of delivery.</w:t>
      </w:r>
    </w:p>
    <w:p w14:paraId="02309452" w14:textId="3D27A16A" w:rsidR="009E42F5" w:rsidRPr="00EB2092" w:rsidRDefault="009E42F5" w:rsidP="00044B24">
      <w:pPr>
        <w:pStyle w:val="Heading2"/>
        <w:ind w:left="765"/>
      </w:pPr>
      <w:bookmarkStart w:id="57" w:name="_Toc58271439"/>
      <w:r w:rsidRPr="00EB2092">
        <w:t>Medicare Benefits Schedule</w:t>
      </w:r>
      <w:bookmarkEnd w:id="57"/>
    </w:p>
    <w:p w14:paraId="5E55B74F" w14:textId="61FF5245" w:rsidR="000609FF" w:rsidRPr="009A1A17" w:rsidRDefault="00633CF7" w:rsidP="000609FF">
      <w:pPr>
        <w:pStyle w:val="BodyText"/>
      </w:pPr>
      <w:r w:rsidRPr="00EB2092">
        <w:t>Payments</w:t>
      </w:r>
      <w:r w:rsidR="00906B15" w:rsidRPr="00EB2092">
        <w:t xml:space="preserve"> on Medicare </w:t>
      </w:r>
      <w:r w:rsidR="0052569C" w:rsidRPr="00EB2092">
        <w:t>are</w:t>
      </w:r>
      <w:r w:rsidR="00906B15" w:rsidRPr="00EB2092">
        <w:t xml:space="preserve"> projected to increase </w:t>
      </w:r>
      <w:r w:rsidR="009A671E" w:rsidRPr="00EB2092">
        <w:t xml:space="preserve">by </w:t>
      </w:r>
      <w:r w:rsidR="00906B15" w:rsidRPr="00EB2092">
        <w:t>0.2 per</w:t>
      </w:r>
      <w:r w:rsidR="00853E7B">
        <w:t>centage points</w:t>
      </w:r>
      <w:r w:rsidR="00906B15" w:rsidRPr="00EB2092">
        <w:t xml:space="preserve"> between 2018</w:t>
      </w:r>
      <w:r w:rsidR="00A42D18">
        <w:noBreakHyphen/>
      </w:r>
      <w:r w:rsidR="00906B15" w:rsidRPr="009A1A17">
        <w:t>19 and</w:t>
      </w:r>
      <w:r w:rsidR="00A42D18">
        <w:t xml:space="preserve"> </w:t>
      </w:r>
      <w:r w:rsidR="00906B15" w:rsidRPr="009A1A17">
        <w:t>2030</w:t>
      </w:r>
      <w:r w:rsidR="00A42D18">
        <w:noBreakHyphen/>
      </w:r>
      <w:r w:rsidR="00906B15" w:rsidRPr="009A1A17">
        <w:t xml:space="preserve">31.  </w:t>
      </w:r>
      <w:r w:rsidR="000609FF" w:rsidRPr="009A1A17">
        <w:t xml:space="preserve">The increase is broadly in line with the </w:t>
      </w:r>
      <w:r w:rsidR="00A42D18">
        <w:t>pattern of</w:t>
      </w:r>
      <w:r w:rsidR="000609FF" w:rsidRPr="009A1A17">
        <w:t xml:space="preserve"> recent years, which is driven by ongoing trends such as techn</w:t>
      </w:r>
      <w:r w:rsidR="000609FF" w:rsidRPr="00372C38">
        <w:t>ological change and consumer preferences.  While older individuals on average requir</w:t>
      </w:r>
      <w:r w:rsidR="00EC7AD2">
        <w:t>e</w:t>
      </w:r>
      <w:r w:rsidR="000609FF" w:rsidRPr="00372C38">
        <w:t xml:space="preserve"> additional health services, ageing is not the princip</w:t>
      </w:r>
      <w:r w:rsidR="00A42D18">
        <w:t>al</w:t>
      </w:r>
      <w:r w:rsidR="000609FF" w:rsidRPr="009A1A17">
        <w:t xml:space="preserve"> driver of projected health costs.  </w:t>
      </w:r>
      <w:r w:rsidR="00A42D18" w:rsidRPr="00AC37CF">
        <w:t>Rather</w:t>
      </w:r>
      <w:r w:rsidR="00AC37CF" w:rsidRPr="003A56EF">
        <w:t xml:space="preserve">, there is a </w:t>
      </w:r>
      <w:r w:rsidR="00A42D18" w:rsidRPr="00AC37CF">
        <w:t xml:space="preserve">trend increase </w:t>
      </w:r>
      <w:r w:rsidR="00A42D18" w:rsidRPr="00FF6563">
        <w:t>in spending on health across all age groups.</w:t>
      </w:r>
      <w:r w:rsidR="00A42D18" w:rsidRPr="003A56EF">
        <w:rPr>
          <w:rStyle w:val="FootnoteReference"/>
        </w:rPr>
        <w:footnoteReference w:id="16"/>
      </w:r>
    </w:p>
    <w:p w14:paraId="081B38B8" w14:textId="77777777" w:rsidR="008501B8" w:rsidRPr="00372C38" w:rsidRDefault="008501B8" w:rsidP="004E2250">
      <w:pPr>
        <w:pStyle w:val="Heading2"/>
        <w:ind w:left="765"/>
      </w:pPr>
      <w:bookmarkStart w:id="58" w:name="_Toc58271440"/>
      <w:r w:rsidRPr="00372C38">
        <w:t>Aged care</w:t>
      </w:r>
      <w:bookmarkEnd w:id="58"/>
    </w:p>
    <w:p w14:paraId="175B9807" w14:textId="587E27D2" w:rsidR="008501B8" w:rsidRPr="00EB2092" w:rsidRDefault="008501B8" w:rsidP="001E59E2">
      <w:pPr>
        <w:pStyle w:val="BodyText"/>
      </w:pPr>
      <w:r w:rsidRPr="00F852A4">
        <w:t xml:space="preserve">Aged care </w:t>
      </w:r>
      <w:r w:rsidR="00633CF7" w:rsidRPr="00EB2092">
        <w:t>payments</w:t>
      </w:r>
      <w:r w:rsidRPr="00EB2092">
        <w:t xml:space="preserve"> </w:t>
      </w:r>
      <w:r w:rsidR="00A17DCB" w:rsidRPr="00EB2092">
        <w:t xml:space="preserve">are </w:t>
      </w:r>
      <w:r w:rsidRPr="00EB2092">
        <w:t>projected to increase by 0.</w:t>
      </w:r>
      <w:r w:rsidR="00880E77" w:rsidRPr="00EB2092">
        <w:t>3 </w:t>
      </w:r>
      <w:r w:rsidRPr="00EB2092">
        <w:t>per</w:t>
      </w:r>
      <w:r w:rsidR="00853E7B">
        <w:t>centage points</w:t>
      </w:r>
      <w:r w:rsidRPr="00EB2092">
        <w:t xml:space="preserve"> </w:t>
      </w:r>
      <w:r w:rsidR="00880E77" w:rsidRPr="00EB2092">
        <w:t>between 2018</w:t>
      </w:r>
      <w:r w:rsidR="003C323D">
        <w:noBreakHyphen/>
      </w:r>
      <w:r w:rsidR="00853E7B">
        <w:t xml:space="preserve">19 and </w:t>
      </w:r>
      <w:r w:rsidR="00880E77" w:rsidRPr="00EB2092">
        <w:t>2030</w:t>
      </w:r>
      <w:r w:rsidR="003C323D">
        <w:noBreakHyphen/>
      </w:r>
      <w:r w:rsidR="00880E77" w:rsidRPr="00EB2092">
        <w:t>31</w:t>
      </w:r>
      <w:r w:rsidRPr="00EB2092">
        <w:t xml:space="preserve">, from 1.0 per cent of GDP </w:t>
      </w:r>
      <w:r w:rsidR="00880E77" w:rsidRPr="00EB2092">
        <w:t xml:space="preserve">to </w:t>
      </w:r>
      <w:r w:rsidRPr="00EB2092">
        <w:t>1.</w:t>
      </w:r>
      <w:r w:rsidR="00822287" w:rsidRPr="00EB2092">
        <w:t>3</w:t>
      </w:r>
      <w:r w:rsidRPr="00EB2092">
        <w:t> per cent</w:t>
      </w:r>
      <w:r w:rsidR="00853E7B">
        <w:t xml:space="preserve"> of GDP</w:t>
      </w:r>
      <w:r w:rsidRPr="00EB2092">
        <w:t xml:space="preserve">, </w:t>
      </w:r>
      <w:r w:rsidR="00880E77" w:rsidRPr="00EB2092">
        <w:t xml:space="preserve">mainly </w:t>
      </w:r>
      <w:r w:rsidRPr="00EB2092">
        <w:t>reflecting the impact of the ageing population on the demand for aged care services.</w:t>
      </w:r>
    </w:p>
    <w:p w14:paraId="311A20BA" w14:textId="5B7C8B14" w:rsidR="00A06BE9" w:rsidRDefault="008501B8">
      <w:pPr>
        <w:pStyle w:val="BodyText"/>
      </w:pPr>
      <w:r w:rsidRPr="00EB2092">
        <w:t xml:space="preserve">Aged care </w:t>
      </w:r>
      <w:r w:rsidR="00580B2B" w:rsidRPr="00EB2092">
        <w:t xml:space="preserve">consists of programs worth more than </w:t>
      </w:r>
      <w:r w:rsidRPr="00EB2092">
        <w:t xml:space="preserve">$20 billion with around </w:t>
      </w:r>
      <w:r w:rsidR="001642AA" w:rsidRPr="00EB2092">
        <w:t>two thirds</w:t>
      </w:r>
      <w:r w:rsidRPr="00EB2092">
        <w:t xml:space="preserve"> of </w:t>
      </w:r>
      <w:r w:rsidR="00633CF7" w:rsidRPr="00EB2092">
        <w:t>payments</w:t>
      </w:r>
      <w:r w:rsidRPr="00EB2092">
        <w:t xml:space="preserve"> devoted to subsidies for residential care places and </w:t>
      </w:r>
      <w:r w:rsidR="00AE7EAA" w:rsidRPr="00EB2092">
        <w:t xml:space="preserve">most of </w:t>
      </w:r>
      <w:r w:rsidRPr="00EB2092">
        <w:t xml:space="preserve">the remainder to the </w:t>
      </w:r>
      <w:r w:rsidR="0054349B" w:rsidRPr="00EB2092">
        <w:t>g</w:t>
      </w:r>
      <w:r w:rsidRPr="00EB2092">
        <w:t>overnment’s two home care programs.</w:t>
      </w:r>
      <w:r w:rsidR="00A06BE9" w:rsidRPr="00EB2092">
        <w:t xml:space="preserve">  In the 2020-21 Budget, the government announced an additional 23,000 home care pa</w:t>
      </w:r>
      <w:r w:rsidR="00AE7EAA" w:rsidRPr="00EB2092">
        <w:t>cka</w:t>
      </w:r>
      <w:r w:rsidR="00A06BE9" w:rsidRPr="00EB2092">
        <w:t>ges as part of aged care, increasing payments over the forward estimates period by $1.6</w:t>
      </w:r>
      <w:r w:rsidR="00AE7EAA" w:rsidRPr="00EB2092">
        <w:t> </w:t>
      </w:r>
      <w:r w:rsidR="00A06BE9" w:rsidRPr="00EB2092">
        <w:t>billion.</w:t>
      </w:r>
      <w:r w:rsidR="00CE661D" w:rsidRPr="00EB2092">
        <w:t xml:space="preserve"> </w:t>
      </w:r>
    </w:p>
    <w:p w14:paraId="2333817F" w14:textId="2EB5B3F9" w:rsidR="00AE7EAA" w:rsidRPr="009A1A17" w:rsidRDefault="009A1A17">
      <w:pPr>
        <w:pStyle w:val="BodyText"/>
      </w:pPr>
      <w:r>
        <w:t xml:space="preserve">The PBO assumes that the nominal value of payments for age care package subsidies grows in line with a combination of wages and other prices growth beyond the forward estimates period.  </w:t>
      </w:r>
      <w:r w:rsidR="00AE7EAA" w:rsidRPr="009A1A17">
        <w:t>This is the same assumption applied to value of NDIS services beyond the forward estimates, reflecting the common cost pressures and related workforces across these sectors.</w:t>
      </w:r>
    </w:p>
    <w:p w14:paraId="11A8DBED" w14:textId="77777777" w:rsidR="004F1B4E" w:rsidRDefault="004F1B4E">
      <w:pPr>
        <w:rPr>
          <w:rFonts w:asciiTheme="majorHAnsi" w:hAnsiTheme="majorHAnsi"/>
          <w:b/>
          <w:bCs/>
          <w:iCs/>
          <w:color w:val="3D4D7D" w:themeColor="background2"/>
          <w:kern w:val="20"/>
          <w:sz w:val="28"/>
          <w:szCs w:val="28"/>
        </w:rPr>
      </w:pPr>
      <w:bookmarkStart w:id="59" w:name="_Toc58271441"/>
      <w:r>
        <w:br w:type="page"/>
      </w:r>
    </w:p>
    <w:p w14:paraId="172D17B1" w14:textId="1C555BA0" w:rsidR="009E42F5" w:rsidRPr="00372C38" w:rsidRDefault="009E42F5" w:rsidP="002300E9">
      <w:pPr>
        <w:pStyle w:val="Heading2"/>
        <w:ind w:left="765"/>
      </w:pPr>
      <w:r w:rsidRPr="00372C38">
        <w:lastRenderedPageBreak/>
        <w:t>Schools</w:t>
      </w:r>
      <w:bookmarkEnd w:id="59"/>
    </w:p>
    <w:p w14:paraId="400669B0" w14:textId="1FBE63CE" w:rsidR="006847F7" w:rsidRPr="00EB2092" w:rsidRDefault="00633CF7">
      <w:pPr>
        <w:pStyle w:val="BodyText"/>
      </w:pPr>
      <w:r w:rsidRPr="00372C38">
        <w:t>Payments</w:t>
      </w:r>
      <w:r w:rsidR="006847F7" w:rsidRPr="00F852A4">
        <w:t xml:space="preserve"> on schools </w:t>
      </w:r>
      <w:r w:rsidR="0052569C" w:rsidRPr="00EB2092">
        <w:t>are</w:t>
      </w:r>
      <w:r w:rsidR="006847F7" w:rsidRPr="00EB2092">
        <w:t xml:space="preserve"> projected to grow </w:t>
      </w:r>
      <w:r w:rsidR="009A1A17">
        <w:t xml:space="preserve">by </w:t>
      </w:r>
      <w:r w:rsidR="006847F7" w:rsidRPr="00372C38">
        <w:t xml:space="preserve">0.1 </w:t>
      </w:r>
      <w:r w:rsidR="009A1A17">
        <w:t>percentage points to 1.1 per cent of GDP</w:t>
      </w:r>
      <w:r w:rsidR="006847F7" w:rsidRPr="00372C38">
        <w:t xml:space="preserve"> between 2018</w:t>
      </w:r>
      <w:r w:rsidR="001E59E2">
        <w:noBreakHyphen/>
      </w:r>
      <w:r w:rsidR="006847F7" w:rsidRPr="00EB2092">
        <w:t>19 and 2030</w:t>
      </w:r>
      <w:r w:rsidR="001E59E2">
        <w:noBreakHyphen/>
      </w:r>
      <w:r w:rsidR="006847F7" w:rsidRPr="00EB2092">
        <w:t xml:space="preserve">31.  For the first few years, the </w:t>
      </w:r>
      <w:r w:rsidR="00B2678D">
        <w:t>b</w:t>
      </w:r>
      <w:r w:rsidR="00C2621E" w:rsidRPr="00EB2092">
        <w:t>udget</w:t>
      </w:r>
      <w:r w:rsidR="006847F7" w:rsidRPr="00EB2092">
        <w:t xml:space="preserve"> forecasts schools </w:t>
      </w:r>
      <w:r w:rsidRPr="00EB2092">
        <w:t>payments</w:t>
      </w:r>
      <w:r w:rsidR="006847F7" w:rsidRPr="00EB2092">
        <w:t xml:space="preserve"> to increase as a share of GDP, consistent with the </w:t>
      </w:r>
      <w:r w:rsidR="0054349B" w:rsidRPr="00EB2092">
        <w:t>g</w:t>
      </w:r>
      <w:r w:rsidR="006847F7" w:rsidRPr="00EB2092">
        <w:t xml:space="preserve">overnment’s commitment to ensuring all schools currently funded below the </w:t>
      </w:r>
      <w:r w:rsidR="000E06BB" w:rsidRPr="00EB2092">
        <w:t xml:space="preserve">Commonwealth share of the </w:t>
      </w:r>
      <w:r w:rsidR="006847F7" w:rsidRPr="00EB2092">
        <w:t xml:space="preserve">Schooling Resource Standard target will reach the target by 2023. The PBO projects schools funding to then decline </w:t>
      </w:r>
      <w:r w:rsidR="008907DC" w:rsidRPr="00EB2092">
        <w:t>gradually</w:t>
      </w:r>
      <w:r w:rsidR="006847F7" w:rsidRPr="00EB2092">
        <w:t xml:space="preserve"> as a share of GDP to the end of the medium term.  </w:t>
      </w:r>
      <w:r w:rsidR="0018387E" w:rsidRPr="00EB2092">
        <w:t xml:space="preserve"> </w:t>
      </w:r>
      <w:r w:rsidR="00581BFE" w:rsidRPr="00EB2092">
        <w:t>This is</w:t>
      </w:r>
      <w:r w:rsidR="0018387E" w:rsidRPr="00EB2092">
        <w:t xml:space="preserve"> because projected nominal GDP growth is higher than the projected growth in schools funding resulting from the legislated indexation factor and the increase in student numbers. </w:t>
      </w:r>
    </w:p>
    <w:p w14:paraId="5676C384" w14:textId="696DFC2C" w:rsidR="008501B8" w:rsidRPr="00372C38" w:rsidRDefault="008501B8" w:rsidP="00044B24">
      <w:pPr>
        <w:pStyle w:val="Heading2"/>
        <w:ind w:left="765"/>
      </w:pPr>
      <w:bookmarkStart w:id="60" w:name="_Toc58271442"/>
      <w:r w:rsidRPr="00EB2092">
        <w:t>Child</w:t>
      </w:r>
      <w:r w:rsidR="009A1A17">
        <w:t xml:space="preserve"> </w:t>
      </w:r>
      <w:r w:rsidRPr="00372C38">
        <w:t>care</w:t>
      </w:r>
      <w:bookmarkEnd w:id="60"/>
    </w:p>
    <w:p w14:paraId="25377499" w14:textId="1B040E64" w:rsidR="008501B8" w:rsidRPr="00EB2092" w:rsidRDefault="00633CF7" w:rsidP="008501B8">
      <w:pPr>
        <w:pStyle w:val="BodyText"/>
      </w:pPr>
      <w:r w:rsidRPr="00372C38">
        <w:t>Payments</w:t>
      </w:r>
      <w:r w:rsidR="008501B8" w:rsidRPr="00F852A4">
        <w:t xml:space="preserve"> </w:t>
      </w:r>
      <w:r w:rsidR="0052569C" w:rsidRPr="00EB2092">
        <w:t>for</w:t>
      </w:r>
      <w:r w:rsidR="008501B8" w:rsidRPr="00EB2092">
        <w:t xml:space="preserve"> child</w:t>
      </w:r>
      <w:r w:rsidR="009A1A17">
        <w:t xml:space="preserve"> </w:t>
      </w:r>
      <w:r w:rsidR="008501B8" w:rsidRPr="00372C38">
        <w:t xml:space="preserve">care </w:t>
      </w:r>
      <w:r w:rsidR="0052569C" w:rsidRPr="00372C38">
        <w:t xml:space="preserve">are </w:t>
      </w:r>
      <w:r w:rsidR="008501B8" w:rsidRPr="00F852A4">
        <w:t xml:space="preserve">projected to increase by 0.1 </w:t>
      </w:r>
      <w:r w:rsidR="00372C38">
        <w:t xml:space="preserve">percentage points </w:t>
      </w:r>
      <w:r w:rsidR="00EC7AD2">
        <w:t xml:space="preserve">of GDP </w:t>
      </w:r>
      <w:r w:rsidR="00822287" w:rsidRPr="00F852A4">
        <w:t>between 2018</w:t>
      </w:r>
      <w:r w:rsidR="001E59E2">
        <w:noBreakHyphen/>
      </w:r>
      <w:r w:rsidR="00822287" w:rsidRPr="00EB2092">
        <w:t>19 and 2030</w:t>
      </w:r>
      <w:r w:rsidR="001E59E2">
        <w:noBreakHyphen/>
      </w:r>
      <w:r w:rsidR="00822287" w:rsidRPr="00EB2092">
        <w:t>31</w:t>
      </w:r>
      <w:r w:rsidR="008501B8" w:rsidRPr="00EB2092">
        <w:t xml:space="preserve">.  The </w:t>
      </w:r>
      <w:r w:rsidR="0054349B" w:rsidRPr="00EB2092">
        <w:t>g</w:t>
      </w:r>
      <w:r w:rsidR="008501B8" w:rsidRPr="00EB2092">
        <w:t xml:space="preserve">overnment forecasts </w:t>
      </w:r>
      <w:r w:rsidRPr="00EB2092">
        <w:t>payments</w:t>
      </w:r>
      <w:r w:rsidR="008501B8" w:rsidRPr="00EB2092">
        <w:t xml:space="preserve"> to increase over the forward estimates period</w:t>
      </w:r>
      <w:r w:rsidR="00822287" w:rsidRPr="00EB2092">
        <w:t>, primarily due to</w:t>
      </w:r>
      <w:r w:rsidR="008501B8" w:rsidRPr="00EB2092">
        <w:t xml:space="preserve"> increasing demand.  </w:t>
      </w:r>
    </w:p>
    <w:p w14:paraId="13FFEE1F" w14:textId="45D99189" w:rsidR="00236449" w:rsidRPr="00EB2092" w:rsidRDefault="008501B8" w:rsidP="00236449">
      <w:pPr>
        <w:spacing w:before="120"/>
        <w:rPr>
          <w:rFonts w:cs="Times New Roman"/>
        </w:rPr>
      </w:pPr>
      <w:r w:rsidRPr="00EB2092">
        <w:t xml:space="preserve">From 2024-25, the PBO projects that child care </w:t>
      </w:r>
      <w:r w:rsidR="00633CF7" w:rsidRPr="00EB2092">
        <w:t>payments</w:t>
      </w:r>
      <w:r w:rsidRPr="00EB2092">
        <w:t xml:space="preserve"> </w:t>
      </w:r>
      <w:r w:rsidR="00A23D3A" w:rsidRPr="00EB2092">
        <w:t xml:space="preserve">as a </w:t>
      </w:r>
      <w:r w:rsidR="00372C38">
        <w:t>share</w:t>
      </w:r>
      <w:r w:rsidR="00A23D3A" w:rsidRPr="00372C38">
        <w:t xml:space="preserve"> of GDP </w:t>
      </w:r>
      <w:r w:rsidRPr="00372C38">
        <w:t xml:space="preserve">will </w:t>
      </w:r>
      <w:r w:rsidRPr="00EB2092">
        <w:t>start to trend downward toward the end of the medium</w:t>
      </w:r>
      <w:r w:rsidR="00EC7AD2">
        <w:t xml:space="preserve"> term</w:t>
      </w:r>
      <w:r w:rsidR="00580B2B" w:rsidRPr="00EB2092">
        <w:t xml:space="preserve">.  </w:t>
      </w:r>
      <w:r w:rsidR="00236449" w:rsidRPr="00EB2092">
        <w:rPr>
          <w:rFonts w:cs="Times New Roman"/>
        </w:rPr>
        <w:t>The subsidy rate for the child care subsidy (CCS) is income tested. As incomes are projected to increase faster than the thresholds, the average subsidy rate for households is expected to slowly decrease over the medium term.</w:t>
      </w:r>
    </w:p>
    <w:p w14:paraId="6A3CC313" w14:textId="77E608CD" w:rsidR="000E06BB" w:rsidRPr="00EB2092" w:rsidRDefault="00053EB9" w:rsidP="004E2250">
      <w:pPr>
        <w:pStyle w:val="Heading2"/>
        <w:ind w:left="765"/>
      </w:pPr>
      <w:bookmarkStart w:id="61" w:name="_Toc58271443"/>
      <w:r w:rsidRPr="00EB2092">
        <w:t>Income support for the unemployed</w:t>
      </w:r>
      <w:bookmarkEnd w:id="61"/>
    </w:p>
    <w:p w14:paraId="090E9784" w14:textId="4F9B32B0" w:rsidR="000E06BB" w:rsidRPr="00EB2092" w:rsidRDefault="00053EB9" w:rsidP="003C048E">
      <w:pPr>
        <w:pStyle w:val="BodyText"/>
      </w:pPr>
      <w:r w:rsidRPr="00EB2092">
        <w:t>Income support for</w:t>
      </w:r>
      <w:r w:rsidR="00F50F5D" w:rsidRPr="00EB2092">
        <w:t xml:space="preserve"> the unemployed, which </w:t>
      </w:r>
      <w:r w:rsidR="00236449" w:rsidRPr="00EB2092">
        <w:t xml:space="preserve">is mostly </w:t>
      </w:r>
      <w:proofErr w:type="spellStart"/>
      <w:r w:rsidR="00471D22" w:rsidRPr="00EB2092">
        <w:t>JobS</w:t>
      </w:r>
      <w:r w:rsidRPr="00EB2092">
        <w:t>eeker</w:t>
      </w:r>
      <w:proofErr w:type="spellEnd"/>
      <w:r w:rsidRPr="00EB2092">
        <w:t xml:space="preserve"> payments and youth allowance (other) payments, is projected to be 0.5 per cent of GDP in both 2018</w:t>
      </w:r>
      <w:r w:rsidR="00487A21">
        <w:t>-</w:t>
      </w:r>
      <w:r w:rsidRPr="00EB2092">
        <w:t>19 and in 20</w:t>
      </w:r>
      <w:r w:rsidR="002E310A" w:rsidRPr="00EB2092">
        <w:t>3</w:t>
      </w:r>
      <w:r w:rsidRPr="00EB2092">
        <w:t>0</w:t>
      </w:r>
      <w:r w:rsidR="00487A21">
        <w:t>-</w:t>
      </w:r>
      <w:r w:rsidR="002E310A" w:rsidRPr="00EB2092">
        <w:t>3</w:t>
      </w:r>
      <w:r w:rsidRPr="00EB2092">
        <w:t xml:space="preserve">1.  </w:t>
      </w:r>
      <w:r w:rsidR="003C048E" w:rsidRPr="00EB2092">
        <w:t>In aggregate, the annual real growth in income support for the unemployed over this time frame is projected to be 1.9 per cent.</w:t>
      </w:r>
    </w:p>
    <w:p w14:paraId="39F17AD2" w14:textId="10A574A1" w:rsidR="009C5756" w:rsidRPr="00EB2092" w:rsidRDefault="009C5756" w:rsidP="003C048E">
      <w:pPr>
        <w:pStyle w:val="BodyText"/>
        <w:rPr>
          <w:i/>
        </w:rPr>
      </w:pPr>
      <w:r w:rsidRPr="00EB2092">
        <w:rPr>
          <w:rStyle w:val="BodyTextChar"/>
        </w:rPr>
        <w:t xml:space="preserve">The PBO has incorporated an adjusted methodology for this year’s projections of income support for the unemployed.  </w:t>
      </w:r>
      <w:r w:rsidR="00053EB9" w:rsidRPr="00EB2092">
        <w:rPr>
          <w:rStyle w:val="BodyTextChar"/>
        </w:rPr>
        <w:t>Our 2019</w:t>
      </w:r>
      <w:r w:rsidR="00B4017E">
        <w:rPr>
          <w:rStyle w:val="BodyTextChar"/>
        </w:rPr>
        <w:noBreakHyphen/>
        <w:t>20</w:t>
      </w:r>
      <w:r w:rsidR="00053EB9" w:rsidRPr="00EB2092">
        <w:rPr>
          <w:rStyle w:val="BodyTextChar"/>
        </w:rPr>
        <w:t xml:space="preserve"> projections</w:t>
      </w:r>
      <w:r w:rsidRPr="00EB2092">
        <w:rPr>
          <w:rStyle w:val="BodyTextChar"/>
        </w:rPr>
        <w:t xml:space="preserve"> </w:t>
      </w:r>
      <w:r w:rsidR="00053EB9" w:rsidRPr="00EB2092">
        <w:rPr>
          <w:rStyle w:val="BodyTextChar"/>
        </w:rPr>
        <w:t>were based on the changes in the aggregate ratio of unemployed people as a share of the working age population.</w:t>
      </w:r>
      <w:r w:rsidRPr="00EB2092">
        <w:rPr>
          <w:rStyle w:val="BodyTextChar"/>
        </w:rPr>
        <w:t xml:space="preserve">  Our revised projections incorporate</w:t>
      </w:r>
      <w:r w:rsidRPr="00EB2092">
        <w:t xml:space="preserve"> age- and gender-specific variations in the tendency to receive </w:t>
      </w:r>
      <w:r w:rsidR="00471D22" w:rsidRPr="00EB2092">
        <w:t>unemployment benefits</w:t>
      </w:r>
      <w:r w:rsidRPr="00EB2092">
        <w:t xml:space="preserve"> by looking at the historical changes in the relationship between unemployed people and </w:t>
      </w:r>
      <w:r w:rsidR="00471D22" w:rsidRPr="00EB2092">
        <w:t xml:space="preserve">benefit </w:t>
      </w:r>
      <w:r w:rsidRPr="00EB2092">
        <w:t xml:space="preserve">recipients by gender and </w:t>
      </w:r>
      <w:r w:rsidR="00236449" w:rsidRPr="00EB2092">
        <w:t>five-</w:t>
      </w:r>
      <w:r w:rsidRPr="00EB2092">
        <w:t>year age groups.</w:t>
      </w:r>
      <w:r w:rsidR="00372C38">
        <w:rPr>
          <w:rStyle w:val="FootnoteReference"/>
        </w:rPr>
        <w:footnoteReference w:id="17"/>
      </w:r>
      <w:r w:rsidRPr="00372C38">
        <w:t xml:space="preserve">  </w:t>
      </w:r>
    </w:p>
    <w:p w14:paraId="48068152" w14:textId="46B110EE" w:rsidR="00053EB9" w:rsidRPr="00EB2092" w:rsidRDefault="00053EB9" w:rsidP="003C048E">
      <w:pPr>
        <w:pStyle w:val="BodyText"/>
      </w:pPr>
      <w:r w:rsidRPr="00EB2092">
        <w:t xml:space="preserve">Incorporating this level of demographic detail means the PBO will be better able to project </w:t>
      </w:r>
      <w:r w:rsidR="00B738E3" w:rsidRPr="00EB2092">
        <w:t xml:space="preserve">the </w:t>
      </w:r>
      <w:r w:rsidRPr="00EB2092">
        <w:t xml:space="preserve">impacts of economic conditions and social welfare policy changes on different groups of </w:t>
      </w:r>
      <w:r w:rsidR="00471D22" w:rsidRPr="00EB2092">
        <w:t xml:space="preserve">unemployment benefit </w:t>
      </w:r>
      <w:r w:rsidRPr="00EB2092">
        <w:t>recipients.</w:t>
      </w:r>
      <w:r w:rsidR="00FB32D8" w:rsidRPr="00EB2092">
        <w:t xml:space="preserve">  </w:t>
      </w:r>
      <w:r w:rsidRPr="00EB2092">
        <w:t>Based on the revised projections, the number of female recipients is expected to overtake the number of male recipients by around the mid</w:t>
      </w:r>
      <w:r w:rsidR="00FB32D8" w:rsidRPr="00EB2092">
        <w:t>-</w:t>
      </w:r>
      <w:r w:rsidRPr="00EB2092">
        <w:t>2020s. This is consistent with the trends observed prior to COVID-19.</w:t>
      </w:r>
      <w:r w:rsidR="00637005" w:rsidRPr="00EB2092">
        <w:t xml:space="preserve">  </w:t>
      </w:r>
    </w:p>
    <w:p w14:paraId="0CB722FA" w14:textId="5B8D03F8" w:rsidR="008B7516" w:rsidRPr="00EB2092" w:rsidRDefault="00053EB9" w:rsidP="008B7516">
      <w:pPr>
        <w:pStyle w:val="BodyText"/>
      </w:pPr>
      <w:r w:rsidRPr="00EB2092">
        <w:t xml:space="preserve">While the longer-term trends identified in the report </w:t>
      </w:r>
      <w:r w:rsidR="00F50F5D" w:rsidRPr="00EB2092">
        <w:t xml:space="preserve">and accounted for in these projections </w:t>
      </w:r>
      <w:r w:rsidRPr="00EB2092">
        <w:t xml:space="preserve">will maintain upward pressure on </w:t>
      </w:r>
      <w:r w:rsidR="00471D22" w:rsidRPr="00EB2092">
        <w:t xml:space="preserve">unemployment benefits </w:t>
      </w:r>
      <w:r w:rsidRPr="00EB2092">
        <w:t xml:space="preserve">into the medium term, </w:t>
      </w:r>
      <w:r w:rsidR="00637005" w:rsidRPr="00EB2092">
        <w:t>in aggregate, the effect of the change to methodology is</w:t>
      </w:r>
      <w:r w:rsidR="00D06157" w:rsidRPr="00EB2092">
        <w:t xml:space="preserve"> less than $1 billion i</w:t>
      </w:r>
      <w:r w:rsidR="00372C38">
        <w:t>n</w:t>
      </w:r>
      <w:r w:rsidR="00D06157" w:rsidRPr="00372C38">
        <w:t xml:space="preserve"> any given year</w:t>
      </w:r>
      <w:r w:rsidR="00637005" w:rsidRPr="00372C38">
        <w:t>.  T</w:t>
      </w:r>
      <w:r w:rsidRPr="00372C38">
        <w:t>he downward revision</w:t>
      </w:r>
      <w:r w:rsidR="008B7516" w:rsidRPr="00F852A4">
        <w:t>s</w:t>
      </w:r>
      <w:r w:rsidRPr="00EB2092">
        <w:t xml:space="preserve"> to </w:t>
      </w:r>
      <w:r w:rsidR="00471D22" w:rsidRPr="00EB2092">
        <w:t>the g</w:t>
      </w:r>
      <w:r w:rsidR="008B7516" w:rsidRPr="00EB2092">
        <w:t>overnment’s projections of the consumer price index (CPI) and population</w:t>
      </w:r>
      <w:r w:rsidRPr="00EB2092">
        <w:t xml:space="preserve"> mean that</w:t>
      </w:r>
      <w:r w:rsidR="00372C38">
        <w:t xml:space="preserve"> </w:t>
      </w:r>
      <w:r w:rsidR="00581BFE" w:rsidRPr="00F852A4">
        <w:t xml:space="preserve">total </w:t>
      </w:r>
      <w:r w:rsidR="00581BFE" w:rsidRPr="00372C38">
        <w:t xml:space="preserve">spending on </w:t>
      </w:r>
      <w:r w:rsidR="00471D22" w:rsidRPr="00F852A4">
        <w:t>income support for the unemployed is</w:t>
      </w:r>
      <w:r w:rsidR="008B7516" w:rsidRPr="00EB2092">
        <w:t xml:space="preserve"> projected to be ar</w:t>
      </w:r>
      <w:r w:rsidR="00471D22" w:rsidRPr="00EB2092">
        <w:t>ound $1.1 billion lower in 2029</w:t>
      </w:r>
      <w:r w:rsidR="00471D22" w:rsidRPr="00EB2092">
        <w:noBreakHyphen/>
      </w:r>
      <w:r w:rsidR="008B7516" w:rsidRPr="00EB2092">
        <w:t xml:space="preserve">30 compared to the </w:t>
      </w:r>
      <w:r w:rsidR="003C048E" w:rsidRPr="00EB2092">
        <w:t xml:space="preserve">projections in the </w:t>
      </w:r>
      <w:r w:rsidR="008B7516" w:rsidRPr="00EB2092">
        <w:t>previous report.</w:t>
      </w:r>
    </w:p>
    <w:p w14:paraId="49329941" w14:textId="576320E2" w:rsidR="00053EB9" w:rsidRPr="00EB2092" w:rsidRDefault="00053EB9" w:rsidP="008B7516">
      <w:pPr>
        <w:pStyle w:val="BodyText"/>
      </w:pPr>
      <w:r w:rsidRPr="00EB2092">
        <w:lastRenderedPageBreak/>
        <w:t xml:space="preserve">While the outlook is highly uncertain, the trajectory for </w:t>
      </w:r>
      <w:r w:rsidR="00471D22" w:rsidRPr="00EB2092">
        <w:t xml:space="preserve">unemployment benefits </w:t>
      </w:r>
      <w:r w:rsidRPr="00EB2092">
        <w:t>will depend in part on the extent and nature of further COVID</w:t>
      </w:r>
      <w:r w:rsidRPr="00EB2092">
        <w:noBreakHyphen/>
        <w:t>19 outbreaks in Australia and how these and the associated response measures affect the economic recovery, as well as broader labour market and population developments over the medium term.</w:t>
      </w:r>
    </w:p>
    <w:p w14:paraId="74DD8458" w14:textId="00420B82" w:rsidR="009E42F5" w:rsidRPr="00EB2092" w:rsidRDefault="009E42F5" w:rsidP="00044B24">
      <w:pPr>
        <w:pStyle w:val="Heading2"/>
        <w:ind w:left="765"/>
      </w:pPr>
      <w:bookmarkStart w:id="62" w:name="_Toc58271444"/>
      <w:r w:rsidRPr="00EB2092">
        <w:t>Public debt interest</w:t>
      </w:r>
      <w:bookmarkEnd w:id="62"/>
    </w:p>
    <w:p w14:paraId="61E5E483" w14:textId="1609BB90" w:rsidR="004211A4" w:rsidRPr="00EB2092" w:rsidRDefault="004211A4" w:rsidP="004A0A0A">
      <w:pPr>
        <w:pStyle w:val="BodyText"/>
      </w:pPr>
      <w:r w:rsidRPr="00EB2092">
        <w:t xml:space="preserve">Public debt interest </w:t>
      </w:r>
      <w:r w:rsidR="00633CF7" w:rsidRPr="00EB2092">
        <w:t>payments</w:t>
      </w:r>
      <w:r w:rsidRPr="00EB2092">
        <w:t xml:space="preserve"> at the end of the medium term </w:t>
      </w:r>
      <w:r w:rsidR="0052569C" w:rsidRPr="00EB2092">
        <w:t>are</w:t>
      </w:r>
      <w:r w:rsidRPr="00EB2092">
        <w:t xml:space="preserve"> projected to be similar to 2018</w:t>
      </w:r>
      <w:r w:rsidR="00487A21">
        <w:t>-</w:t>
      </w:r>
      <w:r w:rsidRPr="00EB2092">
        <w:t xml:space="preserve">19, at around 0.9 per cent of GDP.  While </w:t>
      </w:r>
      <w:r w:rsidR="0054349B" w:rsidRPr="00EB2092">
        <w:t>g</w:t>
      </w:r>
      <w:r w:rsidRPr="00EB2092">
        <w:t xml:space="preserve">overnment debt </w:t>
      </w:r>
      <w:r w:rsidR="00B1538A" w:rsidRPr="00EB2092">
        <w:t xml:space="preserve">is now larger </w:t>
      </w:r>
      <w:r w:rsidRPr="00EB2092">
        <w:t>than in 2018</w:t>
      </w:r>
      <w:r w:rsidR="00487A21">
        <w:t>-</w:t>
      </w:r>
      <w:r w:rsidRPr="00EB2092">
        <w:t xml:space="preserve">19 as a result of the pandemic and associated policy response, interest rates are </w:t>
      </w:r>
      <w:r w:rsidR="003D7E01" w:rsidRPr="00EB2092">
        <w:t xml:space="preserve">historically </w:t>
      </w:r>
      <w:r w:rsidRPr="00EB2092">
        <w:t xml:space="preserve">low, keeping interest </w:t>
      </w:r>
      <w:r w:rsidR="00633CF7" w:rsidRPr="00EB2092">
        <w:t>payments</w:t>
      </w:r>
      <w:r w:rsidRPr="00EB2092">
        <w:t xml:space="preserve"> stable</w:t>
      </w:r>
      <w:r w:rsidR="00DA048D" w:rsidRPr="00EB2092">
        <w:t xml:space="preserve"> as a share of GDP</w:t>
      </w:r>
      <w:r w:rsidRPr="00EB2092">
        <w:t xml:space="preserve">.  </w:t>
      </w:r>
      <w:r w:rsidR="006C2E0E" w:rsidRPr="00EB2092">
        <w:t>Low i</w:t>
      </w:r>
      <w:r w:rsidR="00F2183F" w:rsidRPr="00EB2092">
        <w:t xml:space="preserve">nterest rates </w:t>
      </w:r>
      <w:r w:rsidR="006C2E0E" w:rsidRPr="00EB2092">
        <w:t>reflect the recent weakness in economic and price growth and the</w:t>
      </w:r>
      <w:r w:rsidR="00F2183F" w:rsidRPr="00EB2092">
        <w:t xml:space="preserve"> Reserve Bank of Australia (RBA) seek</w:t>
      </w:r>
      <w:r w:rsidR="006C2E0E" w:rsidRPr="00EB2092">
        <w:t>ing</w:t>
      </w:r>
      <w:r w:rsidR="00F2183F" w:rsidRPr="00EB2092">
        <w:t xml:space="preserve"> to </w:t>
      </w:r>
      <w:r w:rsidR="00C80625">
        <w:t>support the Australian economy</w:t>
      </w:r>
      <w:r w:rsidR="00F2183F" w:rsidRPr="00F852A4">
        <w:t>.</w:t>
      </w:r>
      <w:r w:rsidR="005751AB">
        <w:rPr>
          <w:rStyle w:val="FootnoteReference"/>
        </w:rPr>
        <w:footnoteReference w:id="18"/>
      </w:r>
      <w:r w:rsidR="00F2183F" w:rsidRPr="00F852A4">
        <w:t xml:space="preserve">  </w:t>
      </w:r>
      <w:r w:rsidR="00884985" w:rsidRPr="00EB2092">
        <w:t xml:space="preserve">Other </w:t>
      </w:r>
      <w:r w:rsidR="00C334F1" w:rsidRPr="00EB2092">
        <w:t xml:space="preserve">central </w:t>
      </w:r>
      <w:r w:rsidR="00884985" w:rsidRPr="00EB2092">
        <w:t xml:space="preserve">banks around the world are also setting interest rates low, in part to stimulate </w:t>
      </w:r>
      <w:r w:rsidR="004F1B4E">
        <w:br/>
      </w:r>
      <w:r w:rsidR="00884985" w:rsidRPr="00EB2092">
        <w:t>their economies.</w:t>
      </w:r>
    </w:p>
    <w:p w14:paraId="5F743FC2" w14:textId="4F4C84C1" w:rsidR="00D8162A" w:rsidRPr="00EB2092" w:rsidRDefault="004211A4" w:rsidP="00572B63">
      <w:pPr>
        <w:pStyle w:val="BodyText"/>
        <w:spacing w:after="240"/>
      </w:pPr>
      <w:r w:rsidRPr="00EB2092">
        <w:t xml:space="preserve">Compared to the previous report, </w:t>
      </w:r>
      <w:r w:rsidR="009A671E" w:rsidRPr="00EB2092">
        <w:t xml:space="preserve">which projected a fall in government debt, </w:t>
      </w:r>
      <w:r w:rsidRPr="00EB2092">
        <w:t xml:space="preserve">interest </w:t>
      </w:r>
      <w:r w:rsidR="00633CF7" w:rsidRPr="00EB2092">
        <w:t>payments</w:t>
      </w:r>
      <w:r w:rsidRPr="00EB2092">
        <w:t xml:space="preserve"> </w:t>
      </w:r>
      <w:r w:rsidR="00DA048D" w:rsidRPr="00EB2092">
        <w:t xml:space="preserve">toward </w:t>
      </w:r>
      <w:r w:rsidRPr="00EB2092">
        <w:t xml:space="preserve">the end of the medium term </w:t>
      </w:r>
      <w:r w:rsidR="009A671E" w:rsidRPr="00EB2092">
        <w:t xml:space="preserve">are </w:t>
      </w:r>
      <w:r w:rsidRPr="00EB2092">
        <w:t xml:space="preserve">0.3 </w:t>
      </w:r>
      <w:r w:rsidR="00853E7B">
        <w:t>percentage points</w:t>
      </w:r>
      <w:r w:rsidRPr="00EB2092">
        <w:t xml:space="preserve"> higher</w:t>
      </w:r>
      <w:r w:rsidR="00D8162A" w:rsidRPr="00EB2092">
        <w:t>, as illustrated in Figure 3–4</w:t>
      </w:r>
      <w:r w:rsidR="00DA048D" w:rsidRPr="00EB2092">
        <w:t>, and shown in Appendix B</w:t>
      </w:r>
      <w:r w:rsidR="00D8162A" w:rsidRPr="00EB2092">
        <w:t>.  The small volatility in the projections for public debt interest reflects the maturity dates for the various bond lines requiring re-financing.</w:t>
      </w:r>
    </w:p>
    <w:p w14:paraId="7D9849FC" w14:textId="42A55602" w:rsidR="00E205C9" w:rsidRPr="00EB2092" w:rsidRDefault="00E205C9" w:rsidP="008B7516">
      <w:pPr>
        <w:pStyle w:val="Caption"/>
        <w:spacing w:before="120"/>
      </w:pPr>
      <w:r w:rsidRPr="00EB2092">
        <w:t>Figure 3–4: Public debt interest</w:t>
      </w:r>
    </w:p>
    <w:p w14:paraId="4E13CD67" w14:textId="31AD544B" w:rsidR="00E205C9" w:rsidRPr="00E439C2" w:rsidRDefault="00C523F6" w:rsidP="00E205C9">
      <w:pPr>
        <w:pStyle w:val="BodyText"/>
        <w:jc w:val="center"/>
      </w:pPr>
      <w:r w:rsidRPr="00E439C2">
        <w:rPr>
          <w:noProof/>
          <w:lang w:eastAsia="en-AU"/>
        </w:rPr>
        <w:drawing>
          <wp:inline distT="0" distB="0" distL="0" distR="0" wp14:anchorId="1F31B114" wp14:editId="5D83D5B2">
            <wp:extent cx="4827554" cy="28800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7554" cy="2880000"/>
                    </a:xfrm>
                    <a:prstGeom prst="rect">
                      <a:avLst/>
                    </a:prstGeom>
                    <a:noFill/>
                  </pic:spPr>
                </pic:pic>
              </a:graphicData>
            </a:graphic>
          </wp:inline>
        </w:drawing>
      </w:r>
    </w:p>
    <w:p w14:paraId="02B6EDB8" w14:textId="77777777" w:rsidR="009F3C9E" w:rsidRDefault="009F3C9E" w:rsidP="008B7516">
      <w:pPr>
        <w:pStyle w:val="SourceIndent"/>
        <w:tabs>
          <w:tab w:val="clear" w:pos="624"/>
        </w:tabs>
        <w:ind w:left="851"/>
        <w:contextualSpacing/>
        <w:rPr>
          <w:noProof/>
          <w:lang w:eastAsia="en-AU"/>
        </w:rPr>
      </w:pPr>
      <w:r w:rsidRPr="009F3C9E">
        <w:rPr>
          <w:noProof/>
          <w:lang w:eastAsia="en-AU"/>
        </w:rPr>
        <w:t>Note: 'Previous' refers to projections published in last year's report.</w:t>
      </w:r>
    </w:p>
    <w:p w14:paraId="26D221E1" w14:textId="3ECA6E9B" w:rsidR="008B7516" w:rsidRPr="001D1C6B" w:rsidRDefault="008B7516" w:rsidP="008B7516">
      <w:pPr>
        <w:pStyle w:val="SourceIndent"/>
        <w:tabs>
          <w:tab w:val="clear" w:pos="624"/>
        </w:tabs>
        <w:ind w:left="851"/>
        <w:contextualSpacing/>
        <w:rPr>
          <w:noProof/>
          <w:lang w:eastAsia="en-AU"/>
        </w:rPr>
      </w:pPr>
      <w:r w:rsidRPr="001D1C6B">
        <w:rPr>
          <w:noProof/>
          <w:lang w:eastAsia="en-AU"/>
        </w:rPr>
        <w:t>Source: Final Budget Outcomes, 2020</w:t>
      </w:r>
      <w:r w:rsidR="00487A21">
        <w:rPr>
          <w:noProof/>
          <w:lang w:eastAsia="en-AU"/>
        </w:rPr>
        <w:t>-</w:t>
      </w:r>
      <w:r w:rsidRPr="001D1C6B">
        <w:rPr>
          <w:noProof/>
          <w:lang w:eastAsia="en-AU"/>
        </w:rPr>
        <w:t>21 Budget and PBO analysis.</w:t>
      </w:r>
    </w:p>
    <w:p w14:paraId="17F05D25" w14:textId="4BDE1AEF" w:rsidR="009A671E" w:rsidRPr="00C96029" w:rsidRDefault="009A671E" w:rsidP="004E2250">
      <w:pPr>
        <w:pStyle w:val="Heading2"/>
        <w:ind w:left="765"/>
      </w:pPr>
      <w:bookmarkStart w:id="63" w:name="_Toc58271445"/>
      <w:r w:rsidRPr="00C96029">
        <w:t xml:space="preserve">The </w:t>
      </w:r>
      <w:bookmarkEnd w:id="63"/>
      <w:r w:rsidR="00FC29D3">
        <w:t>Contingency reserve</w:t>
      </w:r>
    </w:p>
    <w:p w14:paraId="7B321D7E" w14:textId="246B2587" w:rsidR="009A671E" w:rsidRPr="00C96029" w:rsidRDefault="009A671E" w:rsidP="009A671E">
      <w:pPr>
        <w:pStyle w:val="BodyText"/>
      </w:pPr>
      <w:r w:rsidRPr="00715564">
        <w:t xml:space="preserve">The </w:t>
      </w:r>
      <w:r w:rsidR="00FC29D3">
        <w:t>Contingency reserve</w:t>
      </w:r>
      <w:r w:rsidRPr="00715564">
        <w:t xml:space="preserve"> is an allowance within the</w:t>
      </w:r>
      <w:r w:rsidRPr="006F7EB9">
        <w:t> </w:t>
      </w:r>
      <w:hyperlink r:id="rId38" w:anchor="budget" w:history="1">
        <w:r w:rsidRPr="001D1C6B">
          <w:t>budget</w:t>
        </w:r>
      </w:hyperlink>
      <w:r w:rsidRPr="00E439C2">
        <w:t> for policy changes or other items that the government expects but cannot allocate to specific governme</w:t>
      </w:r>
      <w:r w:rsidRPr="001D1C6B">
        <w:t>nt </w:t>
      </w:r>
      <w:hyperlink r:id="rId39" w:anchor="program" w:history="1">
        <w:r w:rsidRPr="001D1C6B">
          <w:t>programs</w:t>
        </w:r>
      </w:hyperlink>
      <w:r w:rsidRPr="00E439C2">
        <w:t xml:space="preserve"> or publish separately in the budget.  </w:t>
      </w:r>
    </w:p>
    <w:p w14:paraId="4CA26ECC" w14:textId="4C943C45" w:rsidR="009A671E" w:rsidRPr="009A1A17" w:rsidRDefault="00C80625" w:rsidP="009A671E">
      <w:pPr>
        <w:pStyle w:val="BodyText"/>
      </w:pPr>
      <w:r>
        <w:lastRenderedPageBreak/>
        <w:t>A</w:t>
      </w:r>
      <w:r w:rsidR="009A671E" w:rsidRPr="006F7EB9">
        <w:t xml:space="preserve"> range of </w:t>
      </w:r>
      <w:r w:rsidR="009A671E" w:rsidRPr="0050447F">
        <w:t>items may be put into the contingency reserve, such as the ‘conservative bias allowance’; items that are too sensitive to be disclosed separately</w:t>
      </w:r>
      <w:r>
        <w:t>,</w:t>
      </w:r>
      <w:r w:rsidR="009A671E" w:rsidRPr="0050447F">
        <w:t xml:space="preserve"> such </w:t>
      </w:r>
      <w:r w:rsidR="00D650A6">
        <w:t>as those that are commercial</w:t>
      </w:r>
      <w:r w:rsidR="00D650A6">
        <w:noBreakHyphen/>
        <w:t>in</w:t>
      </w:r>
      <w:r w:rsidR="00D650A6">
        <w:noBreakHyphen/>
      </w:r>
      <w:r w:rsidR="009A671E" w:rsidRPr="0050447F">
        <w:t>confidence or that affect national security; provision for underspen</w:t>
      </w:r>
      <w:r w:rsidR="009A671E" w:rsidRPr="00A42D18">
        <w:t>ds in the current financial year; decisions that are taken by government but were not announced before the budg</w:t>
      </w:r>
      <w:r w:rsidR="009A671E" w:rsidRPr="009A1A17">
        <w:t>et; expenses where the final cost depends on negotiations with another entity such as state and territory governments; and provisions for other specific events and pressures that are expected to affect the budget estimates but have not yet taken place.</w:t>
      </w:r>
    </w:p>
    <w:p w14:paraId="0E8163E6" w14:textId="3D8B7A45" w:rsidR="009A671E" w:rsidRPr="001D1C6B" w:rsidRDefault="009A671E" w:rsidP="009A671E">
      <w:pPr>
        <w:pStyle w:val="BodyText"/>
      </w:pPr>
      <w:r w:rsidRPr="009A1A17">
        <w:t>The</w:t>
      </w:r>
      <w:r w:rsidRPr="00372C38">
        <w:t xml:space="preserve"> conservative bias allowance is typically the largest component of the </w:t>
      </w:r>
      <w:r w:rsidR="00FC29D3">
        <w:t>Contingency reserve</w:t>
      </w:r>
      <w:r w:rsidRPr="00372C38">
        <w:t xml:space="preserve"> and accounts for the tendency for the costs of some existing government programs (particularly </w:t>
      </w:r>
      <w:hyperlink r:id="rId40" w:anchor="demand%20driven%20program" w:history="1">
        <w:r w:rsidRPr="001D1C6B">
          <w:t>demand</w:t>
        </w:r>
        <w:r w:rsidRPr="001D1C6B">
          <w:noBreakHyphen/>
          <w:t>driven programs</w:t>
        </w:r>
      </w:hyperlink>
      <w:r w:rsidRPr="00E439C2">
        <w:t>) to be higher than estimate</w:t>
      </w:r>
      <w:r w:rsidRPr="001D1C6B">
        <w:t>d.</w:t>
      </w:r>
    </w:p>
    <w:p w14:paraId="14E23597" w14:textId="33346844" w:rsidR="009A671E" w:rsidRPr="00715564" w:rsidRDefault="009A671E" w:rsidP="009A671E">
      <w:pPr>
        <w:pStyle w:val="BodyText"/>
      </w:pPr>
      <w:r w:rsidRPr="001D1C6B">
        <w:t>The 2020</w:t>
      </w:r>
      <w:r w:rsidR="00487A21">
        <w:t>-</w:t>
      </w:r>
      <w:r w:rsidRPr="006F7EB9">
        <w:t xml:space="preserve">21 Budget includes additional provisions to the </w:t>
      </w:r>
      <w:r w:rsidR="00FC29D3">
        <w:t>Contingency reserve</w:t>
      </w:r>
      <w:r w:rsidRPr="006F7EB9">
        <w:t xml:space="preserve"> totalling around $10 billion in 2023</w:t>
      </w:r>
      <w:r w:rsidR="00487A21">
        <w:t>-</w:t>
      </w:r>
      <w:r w:rsidRPr="003A4795">
        <w:t>24.</w:t>
      </w:r>
      <w:r w:rsidRPr="00E439C2">
        <w:rPr>
          <w:rStyle w:val="FootnoteReference"/>
        </w:rPr>
        <w:footnoteReference w:id="19"/>
      </w:r>
      <w:r w:rsidRPr="00E439C2">
        <w:t xml:space="preserve">  The PBO’s projections assume that the amounts allocated to the </w:t>
      </w:r>
      <w:r w:rsidR="00FC29D3">
        <w:t>Contingency reserve</w:t>
      </w:r>
      <w:r w:rsidRPr="00C96029">
        <w:t xml:space="preserve">, including the conservative bias allowance and </w:t>
      </w:r>
      <w:r w:rsidRPr="00715564">
        <w:t>the additional provisions, grow with nominal GDP over the medium term.</w:t>
      </w:r>
    </w:p>
    <w:p w14:paraId="7EB10661" w14:textId="262167EE" w:rsidR="000E06BB" w:rsidRPr="008A30E0" w:rsidRDefault="000E06BB" w:rsidP="00044B24">
      <w:pPr>
        <w:pStyle w:val="Heading2"/>
        <w:ind w:left="765"/>
      </w:pPr>
      <w:bookmarkStart w:id="64" w:name="_Toc58271446"/>
      <w:r w:rsidRPr="006F7EB9">
        <w:t xml:space="preserve">Other </w:t>
      </w:r>
      <w:r w:rsidR="00633CF7" w:rsidRPr="0050447F">
        <w:t>payments</w:t>
      </w:r>
      <w:bookmarkEnd w:id="64"/>
    </w:p>
    <w:p w14:paraId="684EA6F4" w14:textId="5F5B0D82" w:rsidR="000E06BB" w:rsidRPr="00F852A4" w:rsidRDefault="000E06BB" w:rsidP="000E06BB">
      <w:pPr>
        <w:pStyle w:val="BodyText"/>
      </w:pPr>
      <w:r w:rsidRPr="00A42D18">
        <w:t>Table 3–1 shows the PBO’s</w:t>
      </w:r>
      <w:r w:rsidRPr="009A1A17">
        <w:t xml:space="preserve"> projections of the change in </w:t>
      </w:r>
      <w:r w:rsidR="00633CF7" w:rsidRPr="00372C38">
        <w:t>payments</w:t>
      </w:r>
      <w:r w:rsidRPr="00F852A4">
        <w:t xml:space="preserve"> by each major program over the period 2018</w:t>
      </w:r>
      <w:r w:rsidR="00487A21">
        <w:t>-</w:t>
      </w:r>
      <w:r w:rsidRPr="00F852A4">
        <w:t>19 to 2030</w:t>
      </w:r>
      <w:r w:rsidR="00487A21">
        <w:t>-</w:t>
      </w:r>
      <w:r w:rsidRPr="00F852A4">
        <w:t xml:space="preserve">31, each program’s projected contribution to growth in total </w:t>
      </w:r>
      <w:r w:rsidR="00633CF7" w:rsidRPr="00EB2092">
        <w:t>payments</w:t>
      </w:r>
      <w:r w:rsidRPr="00EB2092">
        <w:t xml:space="preserve">, and the main drivers of the trends in each category. </w:t>
      </w:r>
      <w:r w:rsidR="009E0EBE" w:rsidRPr="00EB2092">
        <w:t xml:space="preserve"> Appendix A provides a short description of the drivers of trends between 2018</w:t>
      </w:r>
      <w:r w:rsidR="00487A21">
        <w:t>-</w:t>
      </w:r>
      <w:r w:rsidR="009E0EBE" w:rsidRPr="00EB2092">
        <w:t>19 and 2030</w:t>
      </w:r>
      <w:r w:rsidR="00487A21">
        <w:t>-</w:t>
      </w:r>
      <w:r w:rsidR="009E0EBE" w:rsidRPr="00EB2092">
        <w:t>31 for all modelled receipts and payments.</w:t>
      </w:r>
      <w:r w:rsidR="00C80625">
        <w:t xml:space="preserve">  Appendix B provides a description of the drivers of changes since the previous report.</w:t>
      </w:r>
    </w:p>
    <w:p w14:paraId="0051DF74" w14:textId="2DA86ED1" w:rsidR="003942A6" w:rsidRPr="00EB2092" w:rsidRDefault="00DC4500" w:rsidP="00DC4500">
      <w:pPr>
        <w:pStyle w:val="Heading2"/>
        <w:ind w:left="765"/>
      </w:pPr>
      <w:bookmarkStart w:id="65" w:name="_Toc58271447"/>
      <w:r w:rsidRPr="00EB2092">
        <w:t>Risks around expected payments</w:t>
      </w:r>
      <w:bookmarkEnd w:id="65"/>
    </w:p>
    <w:p w14:paraId="1BE81A56" w14:textId="0E655E20" w:rsidR="00DC4500" w:rsidRPr="00EB2092" w:rsidRDefault="00DC4500" w:rsidP="00DC4500">
      <w:pPr>
        <w:pStyle w:val="BodyText"/>
      </w:pPr>
      <w:r w:rsidRPr="00EB2092">
        <w:t>As mentioned earlier, the PBO’s projections are based on the policy settings underlying the</w:t>
      </w:r>
      <w:r w:rsidR="001E59E2">
        <w:t xml:space="preserve"> </w:t>
      </w:r>
      <w:r w:rsidR="00164E9F" w:rsidRPr="00EB2092">
        <w:t>2020</w:t>
      </w:r>
      <w:r w:rsidR="001E59E2">
        <w:noBreakHyphen/>
      </w:r>
      <w:r w:rsidRPr="00EB2092">
        <w:t>2</w:t>
      </w:r>
      <w:r w:rsidR="00164E9F" w:rsidRPr="00EB2092">
        <w:t>1</w:t>
      </w:r>
      <w:r w:rsidRPr="00EB2092">
        <w:t xml:space="preserve"> Budget and assume no change to these settings over the medium term. That is, the projections for </w:t>
      </w:r>
      <w:r w:rsidR="00633CF7" w:rsidRPr="00EB2092">
        <w:t>payments</w:t>
      </w:r>
      <w:r w:rsidRPr="00EB2092">
        <w:t xml:space="preserve"> assume no new </w:t>
      </w:r>
      <w:r w:rsidR="00633CF7" w:rsidRPr="00EB2092">
        <w:t>payments</w:t>
      </w:r>
      <w:r w:rsidRPr="00EB2092">
        <w:t xml:space="preserve"> initiatives beyond those that have been announced by government. </w:t>
      </w:r>
    </w:p>
    <w:p w14:paraId="69741488" w14:textId="5EF7F791" w:rsidR="00DC4500" w:rsidRPr="00EB2092" w:rsidRDefault="00DC4500" w:rsidP="00DC4500">
      <w:pPr>
        <w:pStyle w:val="BodyText"/>
      </w:pPr>
      <w:r w:rsidRPr="00EB2092">
        <w:t xml:space="preserve">The largest risk to payments </w:t>
      </w:r>
      <w:r w:rsidR="00C07954" w:rsidRPr="00EB2092">
        <w:t xml:space="preserve">relates to </w:t>
      </w:r>
      <w:r w:rsidRPr="00EB2092">
        <w:t xml:space="preserve">the </w:t>
      </w:r>
      <w:r w:rsidR="00051FD3" w:rsidRPr="00EB2092">
        <w:t>pandemic</w:t>
      </w:r>
      <w:r w:rsidR="00C07954" w:rsidRPr="00EB2092">
        <w:t xml:space="preserve"> and the economic situation</w:t>
      </w:r>
      <w:r w:rsidRPr="00EB2092">
        <w:t>.  Either future outbreaks of COVID</w:t>
      </w:r>
      <w:r w:rsidRPr="00EB2092">
        <w:noBreakHyphen/>
        <w:t>19, or a weaker</w:t>
      </w:r>
      <w:r w:rsidRPr="00EB2092">
        <w:noBreakHyphen/>
        <w:t>than</w:t>
      </w:r>
      <w:r w:rsidRPr="00EB2092">
        <w:noBreakHyphen/>
        <w:t xml:space="preserve">expected recovery from the </w:t>
      </w:r>
      <w:r w:rsidR="00666510" w:rsidRPr="00EB2092">
        <w:t xml:space="preserve">economic downturn </w:t>
      </w:r>
      <w:r w:rsidRPr="00EB2092">
        <w:t>would be expected to increase payments through both ‘automatic stabilisers’ (for example, higher than expected unemployment benefits due to higher than expected unemployment levels) or the deployment of additional fiscal stimulus.  A related risk is that ongoing weaknesses in GST receipts and other state and territory revenue sources could result in calls for the Commonwealth to provide greater transfer payments to the states and territories.</w:t>
      </w:r>
    </w:p>
    <w:p w14:paraId="2FD1F326" w14:textId="45691C51" w:rsidR="00DC4500" w:rsidRPr="00EB2092" w:rsidRDefault="00DC4500" w:rsidP="00DC4500">
      <w:pPr>
        <w:pStyle w:val="BodyText"/>
      </w:pPr>
      <w:r w:rsidRPr="00EB2092">
        <w:t xml:space="preserve">Another risk around payments is ongoing pressures for increased </w:t>
      </w:r>
      <w:r w:rsidR="00633CF7" w:rsidRPr="00EB2092">
        <w:t>payments</w:t>
      </w:r>
      <w:r w:rsidRPr="00EB2092">
        <w:t xml:space="preserve"> in some </w:t>
      </w:r>
      <w:r w:rsidR="00633CF7" w:rsidRPr="00EB2092">
        <w:t>payments</w:t>
      </w:r>
      <w:r w:rsidRPr="00EB2092">
        <w:t xml:space="preserve"> areas. Many commentators, for example, have identified potential sources of </w:t>
      </w:r>
      <w:r w:rsidR="00633CF7" w:rsidRPr="00EB2092">
        <w:t>payments</w:t>
      </w:r>
      <w:r w:rsidRPr="00EB2092">
        <w:t xml:space="preserve"> pressure, such as in </w:t>
      </w:r>
      <w:proofErr w:type="spellStart"/>
      <w:r w:rsidRPr="00EB2092">
        <w:t>JobSeeker</w:t>
      </w:r>
      <w:proofErr w:type="spellEnd"/>
      <w:r w:rsidRPr="00EB2092">
        <w:t xml:space="preserve"> and aged care, reflecting community expectations around the level of income support and services that the government should provide.  While some of these pressures predated COVID</w:t>
      </w:r>
      <w:r w:rsidRPr="00EB2092">
        <w:noBreakHyphen/>
        <w:t xml:space="preserve">19, in some cases they may have been made more salient by the pandemic.  </w:t>
      </w:r>
    </w:p>
    <w:p w14:paraId="2A929132" w14:textId="77777777" w:rsidR="00AE2E82" w:rsidRDefault="00AE2E82">
      <w:pPr>
        <w:rPr>
          <w:rFonts w:cs="Times New Roman"/>
        </w:rPr>
      </w:pPr>
      <w:bookmarkStart w:id="66" w:name="_Ref520451970"/>
      <w:r>
        <w:br w:type="page"/>
      </w:r>
    </w:p>
    <w:p w14:paraId="7F9D628E" w14:textId="3FE40B4E" w:rsidR="00230D3F" w:rsidRPr="00EB2092" w:rsidRDefault="00C07954" w:rsidP="00572B63">
      <w:pPr>
        <w:pStyle w:val="BodyText"/>
        <w:spacing w:after="120"/>
      </w:pPr>
      <w:r w:rsidRPr="00EB2092">
        <w:lastRenderedPageBreak/>
        <w:t>Some behavioural responses to COVID</w:t>
      </w:r>
      <w:r w:rsidRPr="00EB2092">
        <w:noBreakHyphen/>
        <w:t>19 could be persistent, including for example the balance of office</w:t>
      </w:r>
      <w:r w:rsidRPr="00EB2092">
        <w:noBreakHyphen/>
        <w:t xml:space="preserve"> and home</w:t>
      </w:r>
      <w:r w:rsidRPr="00EB2092">
        <w:noBreakHyphen/>
        <w:t>based work, and the ability to receive more services (such as GP visits) remotely.  While potentially resulting in profound changes in some people’s lives, in many cases the impacts on payments could be limited.  For example, a shift to more home</w:t>
      </w:r>
      <w:r w:rsidRPr="00EB2092">
        <w:noBreakHyphen/>
        <w:t xml:space="preserve">based work in the same occupations would not have any direct impacts on the assistance families receive from government.  In other cases there could be shifts in demand for services such as telehealth.  </w:t>
      </w:r>
      <w:r w:rsidR="00AE2E82">
        <w:br/>
      </w:r>
      <w:r w:rsidRPr="00EB2092">
        <w:t>The size and nature of these kinds of impacts on payments or receipts are highly uncertain and have not been accounted for in this analysis.</w:t>
      </w:r>
    </w:p>
    <w:p w14:paraId="39D0477F" w14:textId="060751DC" w:rsidR="00CE04FE" w:rsidRPr="00E439C2" w:rsidRDefault="00CE04FE" w:rsidP="00CE04FE">
      <w:pPr>
        <w:pStyle w:val="Caption"/>
      </w:pPr>
      <w:r w:rsidRPr="00EB2092">
        <w:t>Table 3–</w:t>
      </w:r>
      <w:r w:rsidR="00C70F6F" w:rsidRPr="00D006D1">
        <w:rPr>
          <w:noProof/>
        </w:rPr>
        <w:fldChar w:fldCharType="begin"/>
      </w:r>
      <w:r w:rsidR="00C70F6F" w:rsidRPr="00EB2092">
        <w:rPr>
          <w:noProof/>
        </w:rPr>
        <w:instrText xml:space="preserve"> SEQ Table \* ARABIC \s 1 </w:instrText>
      </w:r>
      <w:r w:rsidR="00C70F6F" w:rsidRPr="00D006D1">
        <w:rPr>
          <w:noProof/>
        </w:rPr>
        <w:fldChar w:fldCharType="separate"/>
      </w:r>
      <w:r w:rsidR="002E6949">
        <w:rPr>
          <w:noProof/>
        </w:rPr>
        <w:t>1</w:t>
      </w:r>
      <w:r w:rsidR="00C70F6F" w:rsidRPr="00D006D1">
        <w:rPr>
          <w:noProof/>
        </w:rPr>
        <w:fldChar w:fldCharType="end"/>
      </w:r>
      <w:bookmarkEnd w:id="66"/>
      <w:r w:rsidRPr="00FA7285">
        <w:t xml:space="preserve">: </w:t>
      </w:r>
      <w:r w:rsidR="00633CF7" w:rsidRPr="00D006D1">
        <w:t>Payments</w:t>
      </w:r>
      <w:r w:rsidRPr="00D006D1">
        <w:t xml:space="preserve"> by key program area</w:t>
      </w:r>
    </w:p>
    <w:tbl>
      <w:tblPr>
        <w:tblW w:w="9520" w:type="dxa"/>
        <w:tblInd w:w="103" w:type="dxa"/>
        <w:tblLook w:val="04A0" w:firstRow="1" w:lastRow="0" w:firstColumn="1" w:lastColumn="0" w:noHBand="0" w:noVBand="1"/>
      </w:tblPr>
      <w:tblGrid>
        <w:gridCol w:w="3178"/>
        <w:gridCol w:w="820"/>
        <w:gridCol w:w="784"/>
        <w:gridCol w:w="802"/>
        <w:gridCol w:w="802"/>
        <w:gridCol w:w="1151"/>
        <w:gridCol w:w="946"/>
        <w:gridCol w:w="1037"/>
      </w:tblGrid>
      <w:tr w:rsidR="007377A9" w:rsidRPr="00EB2092" w14:paraId="70D9A560" w14:textId="77777777" w:rsidTr="00563E85">
        <w:trPr>
          <w:trHeight w:val="780"/>
        </w:trPr>
        <w:tc>
          <w:tcPr>
            <w:tcW w:w="3309" w:type="dxa"/>
            <w:vMerge w:val="restart"/>
            <w:tcBorders>
              <w:top w:val="nil"/>
              <w:left w:val="single" w:sz="4" w:space="0" w:color="auto"/>
              <w:bottom w:val="nil"/>
              <w:right w:val="single" w:sz="8" w:space="0" w:color="FFFFFF"/>
            </w:tcBorders>
            <w:shd w:val="clear" w:color="000000" w:fill="3D4D7D"/>
            <w:vAlign w:val="center"/>
            <w:hideMark/>
          </w:tcPr>
          <w:p w14:paraId="462D7858" w14:textId="77777777" w:rsidR="007377A9" w:rsidRPr="00A42D18" w:rsidRDefault="007377A9" w:rsidP="007377A9">
            <w:pPr>
              <w:spacing w:line="240" w:lineRule="auto"/>
              <w:jc w:val="center"/>
              <w:rPr>
                <w:rFonts w:ascii="Calibri" w:eastAsia="Times New Roman" w:hAnsi="Calibri" w:cs="Times New Roman"/>
                <w:b/>
                <w:bCs/>
                <w:color w:val="FFFFFF"/>
                <w:sz w:val="20"/>
                <w:szCs w:val="20"/>
                <w:lang w:eastAsia="en-AU"/>
              </w:rPr>
            </w:pPr>
            <w:r w:rsidRPr="00A42D18">
              <w:rPr>
                <w:rFonts w:ascii="Calibri" w:eastAsia="Times New Roman" w:hAnsi="Calibri" w:cs="Times New Roman"/>
                <w:b/>
                <w:bCs/>
                <w:color w:val="FFFFFF"/>
                <w:sz w:val="20"/>
                <w:szCs w:val="20"/>
                <w:lang w:eastAsia="en-AU"/>
              </w:rPr>
              <w:t>Payments</w:t>
            </w:r>
          </w:p>
        </w:tc>
        <w:tc>
          <w:tcPr>
            <w:tcW w:w="1631" w:type="dxa"/>
            <w:gridSpan w:val="2"/>
            <w:tcBorders>
              <w:top w:val="nil"/>
              <w:left w:val="nil"/>
              <w:bottom w:val="single" w:sz="8" w:space="0" w:color="FFFFFF"/>
              <w:right w:val="single" w:sz="8" w:space="0" w:color="FFFFFF"/>
            </w:tcBorders>
            <w:shd w:val="clear" w:color="000000" w:fill="3D4D7D"/>
            <w:vAlign w:val="center"/>
            <w:hideMark/>
          </w:tcPr>
          <w:p w14:paraId="596EA939" w14:textId="77777777" w:rsidR="007377A9" w:rsidRPr="009A1A17" w:rsidRDefault="007377A9" w:rsidP="007377A9">
            <w:pPr>
              <w:spacing w:line="240" w:lineRule="auto"/>
              <w:jc w:val="center"/>
              <w:rPr>
                <w:rFonts w:ascii="Calibri" w:eastAsia="Times New Roman" w:hAnsi="Calibri" w:cs="Times New Roman"/>
                <w:b/>
                <w:bCs/>
                <w:color w:val="FFFFFF"/>
                <w:sz w:val="20"/>
                <w:szCs w:val="20"/>
                <w:lang w:eastAsia="en-AU"/>
              </w:rPr>
            </w:pPr>
            <w:r w:rsidRPr="009A1A17">
              <w:rPr>
                <w:rFonts w:ascii="Calibri" w:eastAsia="Times New Roman" w:hAnsi="Calibri" w:cs="Times New Roman"/>
                <w:b/>
                <w:bCs/>
                <w:color w:val="FFFFFF"/>
                <w:sz w:val="20"/>
                <w:szCs w:val="20"/>
                <w:lang w:eastAsia="en-AU"/>
              </w:rPr>
              <w:t>Nominal payments</w:t>
            </w:r>
          </w:p>
        </w:tc>
        <w:tc>
          <w:tcPr>
            <w:tcW w:w="1630" w:type="dxa"/>
            <w:gridSpan w:val="2"/>
            <w:tcBorders>
              <w:top w:val="nil"/>
              <w:left w:val="nil"/>
              <w:bottom w:val="single" w:sz="8" w:space="0" w:color="FFFFFF"/>
              <w:right w:val="single" w:sz="8" w:space="0" w:color="FFFFFF"/>
            </w:tcBorders>
            <w:shd w:val="clear" w:color="000000" w:fill="3D4D7D"/>
            <w:vAlign w:val="center"/>
            <w:hideMark/>
          </w:tcPr>
          <w:p w14:paraId="055EE712" w14:textId="77777777" w:rsidR="007377A9" w:rsidRPr="00372C38" w:rsidRDefault="007377A9" w:rsidP="007377A9">
            <w:pPr>
              <w:spacing w:line="240" w:lineRule="auto"/>
              <w:jc w:val="center"/>
              <w:rPr>
                <w:rFonts w:ascii="Calibri" w:eastAsia="Times New Roman" w:hAnsi="Calibri" w:cs="Times New Roman"/>
                <w:b/>
                <w:bCs/>
                <w:color w:val="FFFFFF"/>
                <w:sz w:val="20"/>
                <w:szCs w:val="20"/>
                <w:lang w:eastAsia="en-AU"/>
              </w:rPr>
            </w:pPr>
            <w:r w:rsidRPr="00372C38">
              <w:rPr>
                <w:rFonts w:ascii="Calibri" w:eastAsia="Times New Roman" w:hAnsi="Calibri" w:cs="Times New Roman"/>
                <w:b/>
                <w:bCs/>
                <w:color w:val="FFFFFF"/>
                <w:sz w:val="20"/>
                <w:szCs w:val="20"/>
                <w:lang w:eastAsia="en-AU"/>
              </w:rPr>
              <w:t>Per cent of GDP</w:t>
            </w:r>
          </w:p>
        </w:tc>
        <w:tc>
          <w:tcPr>
            <w:tcW w:w="957" w:type="dxa"/>
            <w:tcBorders>
              <w:top w:val="nil"/>
              <w:left w:val="nil"/>
              <w:bottom w:val="single" w:sz="8" w:space="0" w:color="FFFFFF"/>
              <w:right w:val="single" w:sz="8" w:space="0" w:color="FFFFFF"/>
            </w:tcBorders>
            <w:shd w:val="clear" w:color="000000" w:fill="3D4D7D"/>
            <w:vAlign w:val="center"/>
            <w:hideMark/>
          </w:tcPr>
          <w:p w14:paraId="24D35E94" w14:textId="69EFAE21" w:rsidR="007377A9" w:rsidRPr="00F852A4" w:rsidRDefault="00853E7B" w:rsidP="007377A9">
            <w:pPr>
              <w:spacing w:line="240" w:lineRule="auto"/>
              <w:jc w:val="center"/>
              <w:rPr>
                <w:rFonts w:ascii="Calibri" w:eastAsia="Times New Roman" w:hAnsi="Calibri" w:cs="Times New Roman"/>
                <w:b/>
                <w:bCs/>
                <w:color w:val="FFFFFF"/>
                <w:sz w:val="20"/>
                <w:szCs w:val="20"/>
                <w:lang w:eastAsia="en-AU"/>
              </w:rPr>
            </w:pPr>
            <w:r w:rsidRPr="009A1A17">
              <w:rPr>
                <w:rFonts w:ascii="Calibri" w:eastAsia="Times New Roman" w:hAnsi="Calibri" w:cs="Times New Roman"/>
                <w:b/>
                <w:bCs/>
                <w:color w:val="FFFFFF"/>
                <w:sz w:val="20"/>
                <w:szCs w:val="20"/>
                <w:lang w:eastAsia="en-AU"/>
              </w:rPr>
              <w:t>Change in per</w:t>
            </w:r>
            <w:r>
              <w:rPr>
                <w:rFonts w:ascii="Calibri" w:eastAsia="Times New Roman" w:hAnsi="Calibri" w:cs="Times New Roman"/>
                <w:b/>
                <w:bCs/>
                <w:color w:val="FFFFFF"/>
                <w:sz w:val="20"/>
                <w:szCs w:val="20"/>
                <w:lang w:eastAsia="en-AU"/>
              </w:rPr>
              <w:t>centage points</w:t>
            </w:r>
            <w:r w:rsidRPr="009A1A17">
              <w:rPr>
                <w:rFonts w:ascii="Calibri" w:eastAsia="Times New Roman" w:hAnsi="Calibri" w:cs="Times New Roman"/>
                <w:b/>
                <w:bCs/>
                <w:color w:val="FFFFFF"/>
                <w:sz w:val="20"/>
                <w:szCs w:val="20"/>
                <w:lang w:eastAsia="en-AU"/>
              </w:rPr>
              <w:t xml:space="preserve"> of GDP</w:t>
            </w:r>
          </w:p>
        </w:tc>
        <w:tc>
          <w:tcPr>
            <w:tcW w:w="956" w:type="dxa"/>
            <w:tcBorders>
              <w:top w:val="nil"/>
              <w:left w:val="nil"/>
              <w:bottom w:val="single" w:sz="8" w:space="0" w:color="FFFFFF"/>
              <w:right w:val="single" w:sz="8" w:space="0" w:color="FFFFFF"/>
            </w:tcBorders>
            <w:shd w:val="clear" w:color="000000" w:fill="3D4D7D"/>
            <w:vAlign w:val="center"/>
            <w:hideMark/>
          </w:tcPr>
          <w:p w14:paraId="5BE020B7" w14:textId="77777777" w:rsidR="007377A9" w:rsidRPr="00EB2092" w:rsidRDefault="007377A9" w:rsidP="007377A9">
            <w:pPr>
              <w:spacing w:line="240" w:lineRule="auto"/>
              <w:jc w:val="center"/>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Annual real growth</w:t>
            </w:r>
          </w:p>
        </w:tc>
        <w:tc>
          <w:tcPr>
            <w:tcW w:w="1037" w:type="dxa"/>
            <w:tcBorders>
              <w:top w:val="nil"/>
              <w:left w:val="nil"/>
              <w:bottom w:val="single" w:sz="8" w:space="0" w:color="FFFFFF"/>
              <w:right w:val="nil"/>
            </w:tcBorders>
            <w:shd w:val="clear" w:color="000000" w:fill="3D4D7D"/>
            <w:vAlign w:val="center"/>
            <w:hideMark/>
          </w:tcPr>
          <w:p w14:paraId="4053FB3A" w14:textId="77777777" w:rsidR="007377A9" w:rsidRPr="00EB2092" w:rsidRDefault="007377A9" w:rsidP="007377A9">
            <w:pPr>
              <w:spacing w:line="240" w:lineRule="auto"/>
              <w:jc w:val="center"/>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Share of total payments</w:t>
            </w:r>
          </w:p>
        </w:tc>
      </w:tr>
      <w:tr w:rsidR="007377A9" w:rsidRPr="00EB2092" w14:paraId="6168535A" w14:textId="77777777" w:rsidTr="00563E85">
        <w:trPr>
          <w:trHeight w:val="480"/>
        </w:trPr>
        <w:tc>
          <w:tcPr>
            <w:tcW w:w="3309" w:type="dxa"/>
            <w:vMerge/>
            <w:tcBorders>
              <w:top w:val="nil"/>
              <w:left w:val="single" w:sz="4" w:space="0" w:color="auto"/>
              <w:bottom w:val="nil"/>
              <w:right w:val="single" w:sz="8" w:space="0" w:color="FFFFFF"/>
            </w:tcBorders>
            <w:vAlign w:val="center"/>
            <w:hideMark/>
          </w:tcPr>
          <w:p w14:paraId="68AA54C0" w14:textId="77777777" w:rsidR="007377A9" w:rsidRPr="00EB2092" w:rsidRDefault="007377A9" w:rsidP="007377A9">
            <w:pPr>
              <w:spacing w:line="240" w:lineRule="auto"/>
              <w:rPr>
                <w:rFonts w:ascii="Calibri" w:eastAsia="Times New Roman" w:hAnsi="Calibri" w:cs="Times New Roman"/>
                <w:b/>
                <w:bCs/>
                <w:color w:val="FFFFFF"/>
                <w:sz w:val="20"/>
                <w:szCs w:val="20"/>
                <w:lang w:eastAsia="en-AU"/>
              </w:rPr>
            </w:pPr>
          </w:p>
        </w:tc>
        <w:tc>
          <w:tcPr>
            <w:tcW w:w="835" w:type="dxa"/>
            <w:tcBorders>
              <w:top w:val="nil"/>
              <w:left w:val="nil"/>
              <w:bottom w:val="nil"/>
              <w:right w:val="nil"/>
            </w:tcBorders>
            <w:shd w:val="clear" w:color="000000" w:fill="3D4D7D"/>
            <w:vAlign w:val="center"/>
            <w:hideMark/>
          </w:tcPr>
          <w:p w14:paraId="38E19B73" w14:textId="77777777" w:rsidR="007377A9" w:rsidRPr="00EB2092" w:rsidRDefault="007377A9" w:rsidP="007377A9">
            <w:pPr>
              <w:spacing w:line="240" w:lineRule="auto"/>
              <w:jc w:val="center"/>
              <w:rPr>
                <w:rFonts w:ascii="Calibri" w:eastAsia="Times New Roman" w:hAnsi="Calibri" w:cs="Times New Roman"/>
                <w:b/>
                <w:bCs/>
                <w:color w:val="FFFFFF"/>
                <w:sz w:val="18"/>
                <w:szCs w:val="18"/>
                <w:lang w:eastAsia="en-AU"/>
              </w:rPr>
            </w:pPr>
            <w:r w:rsidRPr="00EB2092">
              <w:rPr>
                <w:rFonts w:ascii="Calibri" w:eastAsia="Times New Roman" w:hAnsi="Calibri" w:cs="Times New Roman"/>
                <w:b/>
                <w:bCs/>
                <w:color w:val="FFFFFF"/>
                <w:sz w:val="18"/>
                <w:szCs w:val="18"/>
                <w:lang w:eastAsia="en-AU"/>
              </w:rPr>
              <w:t>2018-</w:t>
            </w:r>
          </w:p>
          <w:p w14:paraId="698233C5" w14:textId="42156285" w:rsidR="007377A9" w:rsidRPr="00EB2092" w:rsidRDefault="007377A9" w:rsidP="007377A9">
            <w:pPr>
              <w:spacing w:line="240" w:lineRule="auto"/>
              <w:jc w:val="center"/>
              <w:rPr>
                <w:rFonts w:ascii="Calibri" w:eastAsia="Times New Roman" w:hAnsi="Calibri" w:cs="Times New Roman"/>
                <w:b/>
                <w:bCs/>
                <w:color w:val="FFFFFF"/>
                <w:sz w:val="18"/>
                <w:szCs w:val="18"/>
                <w:lang w:eastAsia="en-AU"/>
              </w:rPr>
            </w:pPr>
            <w:r w:rsidRPr="00EB2092">
              <w:rPr>
                <w:rFonts w:ascii="Calibri" w:eastAsia="Times New Roman" w:hAnsi="Calibri" w:cs="Times New Roman"/>
                <w:b/>
                <w:bCs/>
                <w:color w:val="FFFFFF"/>
                <w:sz w:val="18"/>
                <w:szCs w:val="18"/>
                <w:lang w:eastAsia="en-AU"/>
              </w:rPr>
              <w:t>19</w:t>
            </w:r>
          </w:p>
        </w:tc>
        <w:tc>
          <w:tcPr>
            <w:tcW w:w="796" w:type="dxa"/>
            <w:tcBorders>
              <w:top w:val="nil"/>
              <w:left w:val="nil"/>
              <w:bottom w:val="nil"/>
              <w:right w:val="single" w:sz="8" w:space="0" w:color="FFFFFF"/>
            </w:tcBorders>
            <w:shd w:val="clear" w:color="000000" w:fill="3D4D7D"/>
            <w:vAlign w:val="center"/>
            <w:hideMark/>
          </w:tcPr>
          <w:p w14:paraId="43090D98" w14:textId="77777777" w:rsidR="007377A9" w:rsidRPr="00EB2092" w:rsidRDefault="007377A9" w:rsidP="007377A9">
            <w:pPr>
              <w:spacing w:line="240" w:lineRule="auto"/>
              <w:jc w:val="center"/>
              <w:rPr>
                <w:rFonts w:ascii="Calibri" w:eastAsia="Times New Roman" w:hAnsi="Calibri" w:cs="Times New Roman"/>
                <w:b/>
                <w:bCs/>
                <w:color w:val="FFFFFF"/>
                <w:sz w:val="18"/>
                <w:szCs w:val="18"/>
                <w:lang w:eastAsia="en-AU"/>
              </w:rPr>
            </w:pPr>
            <w:r w:rsidRPr="00EB2092">
              <w:rPr>
                <w:rFonts w:ascii="Calibri" w:eastAsia="Times New Roman" w:hAnsi="Calibri" w:cs="Times New Roman"/>
                <w:b/>
                <w:bCs/>
                <w:color w:val="FFFFFF"/>
                <w:sz w:val="18"/>
                <w:szCs w:val="18"/>
                <w:lang w:eastAsia="en-AU"/>
              </w:rPr>
              <w:t>2030-31</w:t>
            </w:r>
          </w:p>
        </w:tc>
        <w:tc>
          <w:tcPr>
            <w:tcW w:w="815" w:type="dxa"/>
            <w:tcBorders>
              <w:top w:val="nil"/>
              <w:left w:val="nil"/>
              <w:bottom w:val="nil"/>
              <w:right w:val="nil"/>
            </w:tcBorders>
            <w:shd w:val="clear" w:color="000000" w:fill="3D4D7D"/>
            <w:vAlign w:val="center"/>
            <w:hideMark/>
          </w:tcPr>
          <w:p w14:paraId="4D5B51D1" w14:textId="77777777" w:rsidR="007377A9" w:rsidRPr="00EB2092" w:rsidRDefault="007377A9" w:rsidP="007377A9">
            <w:pPr>
              <w:spacing w:line="240" w:lineRule="auto"/>
              <w:jc w:val="center"/>
              <w:rPr>
                <w:rFonts w:ascii="Calibri" w:eastAsia="Times New Roman" w:hAnsi="Calibri" w:cs="Times New Roman"/>
                <w:b/>
                <w:bCs/>
                <w:color w:val="FFFFFF"/>
                <w:sz w:val="18"/>
                <w:szCs w:val="18"/>
                <w:lang w:eastAsia="en-AU"/>
              </w:rPr>
            </w:pPr>
            <w:r w:rsidRPr="00EB2092">
              <w:rPr>
                <w:rFonts w:ascii="Calibri" w:eastAsia="Times New Roman" w:hAnsi="Calibri" w:cs="Times New Roman"/>
                <w:b/>
                <w:bCs/>
                <w:color w:val="FFFFFF"/>
                <w:sz w:val="18"/>
                <w:szCs w:val="18"/>
                <w:lang w:eastAsia="en-AU"/>
              </w:rPr>
              <w:t>2018-19</w:t>
            </w:r>
          </w:p>
        </w:tc>
        <w:tc>
          <w:tcPr>
            <w:tcW w:w="815" w:type="dxa"/>
            <w:tcBorders>
              <w:top w:val="nil"/>
              <w:left w:val="nil"/>
              <w:bottom w:val="nil"/>
              <w:right w:val="single" w:sz="8" w:space="0" w:color="FFFFFF"/>
            </w:tcBorders>
            <w:shd w:val="clear" w:color="000000" w:fill="3D4D7D"/>
            <w:vAlign w:val="center"/>
            <w:hideMark/>
          </w:tcPr>
          <w:p w14:paraId="435E9159" w14:textId="77777777" w:rsidR="007377A9" w:rsidRPr="00EB2092" w:rsidRDefault="007377A9" w:rsidP="007377A9">
            <w:pPr>
              <w:spacing w:line="240" w:lineRule="auto"/>
              <w:jc w:val="center"/>
              <w:rPr>
                <w:rFonts w:ascii="Calibri" w:eastAsia="Times New Roman" w:hAnsi="Calibri" w:cs="Times New Roman"/>
                <w:b/>
                <w:bCs/>
                <w:color w:val="FFFFFF"/>
                <w:sz w:val="18"/>
                <w:szCs w:val="18"/>
                <w:lang w:eastAsia="en-AU"/>
              </w:rPr>
            </w:pPr>
            <w:r w:rsidRPr="00EB2092">
              <w:rPr>
                <w:rFonts w:ascii="Calibri" w:eastAsia="Times New Roman" w:hAnsi="Calibri" w:cs="Times New Roman"/>
                <w:b/>
                <w:bCs/>
                <w:color w:val="FFFFFF"/>
                <w:sz w:val="18"/>
                <w:szCs w:val="18"/>
                <w:lang w:eastAsia="en-AU"/>
              </w:rPr>
              <w:t>2030-31</w:t>
            </w:r>
          </w:p>
        </w:tc>
        <w:tc>
          <w:tcPr>
            <w:tcW w:w="1913" w:type="dxa"/>
            <w:gridSpan w:val="2"/>
            <w:tcBorders>
              <w:top w:val="single" w:sz="8" w:space="0" w:color="FFFFFF"/>
              <w:left w:val="nil"/>
              <w:bottom w:val="nil"/>
              <w:right w:val="single" w:sz="8" w:space="0" w:color="FFFFFF"/>
            </w:tcBorders>
            <w:shd w:val="clear" w:color="000000" w:fill="3D4D7D"/>
            <w:vAlign w:val="center"/>
            <w:hideMark/>
          </w:tcPr>
          <w:p w14:paraId="1DFAD5AE" w14:textId="5BF82403" w:rsidR="007377A9" w:rsidRPr="00EB2092" w:rsidRDefault="007377A9" w:rsidP="00FC29D3">
            <w:pPr>
              <w:spacing w:line="240" w:lineRule="auto"/>
              <w:jc w:val="center"/>
              <w:rPr>
                <w:rFonts w:ascii="Calibri" w:eastAsia="Times New Roman" w:hAnsi="Calibri" w:cs="Times New Roman"/>
                <w:b/>
                <w:bCs/>
                <w:color w:val="FFFFFF"/>
                <w:sz w:val="18"/>
                <w:szCs w:val="18"/>
                <w:lang w:eastAsia="en-AU"/>
              </w:rPr>
            </w:pPr>
            <w:r w:rsidRPr="00EB2092">
              <w:rPr>
                <w:rFonts w:ascii="Calibri" w:eastAsia="Times New Roman" w:hAnsi="Calibri" w:cs="Times New Roman"/>
                <w:b/>
                <w:bCs/>
                <w:color w:val="FFFFFF"/>
                <w:sz w:val="18"/>
                <w:szCs w:val="18"/>
                <w:lang w:eastAsia="en-AU"/>
              </w:rPr>
              <w:t>2018-</w:t>
            </w:r>
            <w:r w:rsidR="00FC29D3">
              <w:rPr>
                <w:rFonts w:ascii="Calibri" w:eastAsia="Times New Roman" w:hAnsi="Calibri" w:cs="Times New Roman"/>
                <w:b/>
                <w:bCs/>
                <w:color w:val="FFFFFF"/>
                <w:sz w:val="18"/>
                <w:szCs w:val="18"/>
                <w:lang w:eastAsia="en-AU"/>
              </w:rPr>
              <w:t xml:space="preserve">19 </w:t>
            </w:r>
            <w:r w:rsidRPr="00EB2092">
              <w:rPr>
                <w:rFonts w:ascii="Calibri" w:eastAsia="Times New Roman" w:hAnsi="Calibri" w:cs="Times New Roman"/>
                <w:b/>
                <w:bCs/>
                <w:color w:val="FFFFFF"/>
                <w:sz w:val="18"/>
                <w:szCs w:val="18"/>
                <w:lang w:eastAsia="en-AU"/>
              </w:rPr>
              <w:t>to 2030-31</w:t>
            </w:r>
          </w:p>
        </w:tc>
        <w:tc>
          <w:tcPr>
            <w:tcW w:w="1037" w:type="dxa"/>
            <w:tcBorders>
              <w:top w:val="nil"/>
              <w:left w:val="nil"/>
              <w:bottom w:val="nil"/>
              <w:right w:val="nil"/>
            </w:tcBorders>
            <w:shd w:val="clear" w:color="000000" w:fill="3D4D7D"/>
            <w:vAlign w:val="center"/>
            <w:hideMark/>
          </w:tcPr>
          <w:p w14:paraId="3AE43F97" w14:textId="77777777" w:rsidR="007377A9" w:rsidRPr="00EB2092" w:rsidRDefault="007377A9" w:rsidP="007377A9">
            <w:pPr>
              <w:spacing w:line="240" w:lineRule="auto"/>
              <w:jc w:val="center"/>
              <w:rPr>
                <w:rFonts w:ascii="Calibri" w:eastAsia="Times New Roman" w:hAnsi="Calibri" w:cs="Times New Roman"/>
                <w:b/>
                <w:bCs/>
                <w:color w:val="FFFFFF"/>
                <w:sz w:val="18"/>
                <w:szCs w:val="18"/>
                <w:lang w:eastAsia="en-AU"/>
              </w:rPr>
            </w:pPr>
            <w:r w:rsidRPr="00EB2092">
              <w:rPr>
                <w:rFonts w:ascii="Calibri" w:eastAsia="Times New Roman" w:hAnsi="Calibri" w:cs="Times New Roman"/>
                <w:b/>
                <w:bCs/>
                <w:color w:val="FFFFFF"/>
                <w:sz w:val="18"/>
                <w:szCs w:val="18"/>
                <w:lang w:eastAsia="en-AU"/>
              </w:rPr>
              <w:t>2030-31</w:t>
            </w:r>
          </w:p>
        </w:tc>
      </w:tr>
      <w:tr w:rsidR="007377A9" w:rsidRPr="00EB2092" w14:paraId="77976AFC" w14:textId="77777777" w:rsidTr="00563E85">
        <w:trPr>
          <w:trHeight w:val="255"/>
        </w:trPr>
        <w:tc>
          <w:tcPr>
            <w:tcW w:w="3309" w:type="dxa"/>
            <w:tcBorders>
              <w:top w:val="nil"/>
              <w:left w:val="single" w:sz="4" w:space="0" w:color="auto"/>
              <w:bottom w:val="nil"/>
              <w:right w:val="single" w:sz="8" w:space="0" w:color="3D4D7D"/>
            </w:tcBorders>
            <w:shd w:val="clear" w:color="000000" w:fill="7C8CBF"/>
            <w:vAlign w:val="center"/>
            <w:hideMark/>
          </w:tcPr>
          <w:p w14:paraId="7A52992E" w14:textId="77777777" w:rsidR="007377A9" w:rsidRPr="00EB2092" w:rsidRDefault="007377A9" w:rsidP="007377A9">
            <w:pPr>
              <w:spacing w:line="240" w:lineRule="auto"/>
              <w:rPr>
                <w:rFonts w:ascii="Calibri" w:eastAsia="Times New Roman" w:hAnsi="Calibri" w:cs="Times New Roman"/>
                <w:color w:val="000000"/>
                <w:sz w:val="14"/>
                <w:szCs w:val="14"/>
                <w:lang w:eastAsia="en-AU"/>
              </w:rPr>
            </w:pPr>
            <w:r w:rsidRPr="00EB2092">
              <w:rPr>
                <w:rFonts w:ascii="Calibri" w:eastAsia="Times New Roman" w:hAnsi="Calibri" w:cs="Times New Roman"/>
                <w:color w:val="000000"/>
                <w:sz w:val="14"/>
                <w:szCs w:val="14"/>
                <w:lang w:eastAsia="en-AU"/>
              </w:rPr>
              <w:t> </w:t>
            </w:r>
          </w:p>
        </w:tc>
        <w:tc>
          <w:tcPr>
            <w:tcW w:w="1631" w:type="dxa"/>
            <w:gridSpan w:val="2"/>
            <w:tcBorders>
              <w:top w:val="nil"/>
              <w:left w:val="nil"/>
              <w:bottom w:val="nil"/>
              <w:right w:val="single" w:sz="8" w:space="0" w:color="3D4D7D"/>
            </w:tcBorders>
            <w:shd w:val="clear" w:color="000000" w:fill="7C8CBF"/>
            <w:vAlign w:val="center"/>
            <w:hideMark/>
          </w:tcPr>
          <w:p w14:paraId="4DCB72B8" w14:textId="77777777" w:rsidR="007377A9" w:rsidRPr="00EB2092" w:rsidRDefault="007377A9" w:rsidP="007377A9">
            <w:pPr>
              <w:spacing w:line="240" w:lineRule="auto"/>
              <w:jc w:val="center"/>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 billion</w:t>
            </w:r>
          </w:p>
        </w:tc>
        <w:tc>
          <w:tcPr>
            <w:tcW w:w="1630" w:type="dxa"/>
            <w:gridSpan w:val="2"/>
            <w:tcBorders>
              <w:top w:val="nil"/>
              <w:left w:val="nil"/>
              <w:bottom w:val="nil"/>
              <w:right w:val="single" w:sz="8" w:space="0" w:color="3D4D7D"/>
            </w:tcBorders>
            <w:shd w:val="clear" w:color="000000" w:fill="7C8CBF"/>
            <w:vAlign w:val="center"/>
            <w:hideMark/>
          </w:tcPr>
          <w:p w14:paraId="10FCE42C" w14:textId="77777777" w:rsidR="007377A9" w:rsidRPr="00EB2092" w:rsidRDefault="007377A9" w:rsidP="007377A9">
            <w:pPr>
              <w:spacing w:line="240" w:lineRule="auto"/>
              <w:jc w:val="center"/>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w:t>
            </w:r>
          </w:p>
        </w:tc>
        <w:tc>
          <w:tcPr>
            <w:tcW w:w="957" w:type="dxa"/>
            <w:tcBorders>
              <w:top w:val="nil"/>
              <w:left w:val="nil"/>
              <w:bottom w:val="nil"/>
              <w:right w:val="single" w:sz="8" w:space="0" w:color="3D4D7D"/>
            </w:tcBorders>
            <w:shd w:val="clear" w:color="000000" w:fill="7C8CBF"/>
            <w:vAlign w:val="center"/>
            <w:hideMark/>
          </w:tcPr>
          <w:p w14:paraId="50CA31F7" w14:textId="77777777" w:rsidR="007377A9" w:rsidRPr="00EB2092" w:rsidRDefault="007377A9" w:rsidP="007377A9">
            <w:pPr>
              <w:spacing w:line="240" w:lineRule="auto"/>
              <w:jc w:val="center"/>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w:t>
            </w:r>
          </w:p>
        </w:tc>
        <w:tc>
          <w:tcPr>
            <w:tcW w:w="956" w:type="dxa"/>
            <w:tcBorders>
              <w:top w:val="nil"/>
              <w:left w:val="nil"/>
              <w:bottom w:val="nil"/>
              <w:right w:val="single" w:sz="8" w:space="0" w:color="3D4D7D"/>
            </w:tcBorders>
            <w:shd w:val="clear" w:color="000000" w:fill="7C8CBF"/>
            <w:vAlign w:val="center"/>
            <w:hideMark/>
          </w:tcPr>
          <w:p w14:paraId="77EBC398" w14:textId="77777777" w:rsidR="007377A9" w:rsidRPr="00EB2092" w:rsidRDefault="007377A9" w:rsidP="007377A9">
            <w:pPr>
              <w:spacing w:line="240" w:lineRule="auto"/>
              <w:jc w:val="center"/>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w:t>
            </w:r>
          </w:p>
        </w:tc>
        <w:tc>
          <w:tcPr>
            <w:tcW w:w="1037" w:type="dxa"/>
            <w:tcBorders>
              <w:top w:val="nil"/>
              <w:left w:val="nil"/>
              <w:bottom w:val="nil"/>
              <w:right w:val="nil"/>
            </w:tcBorders>
            <w:shd w:val="clear" w:color="000000" w:fill="7C8CBF"/>
            <w:vAlign w:val="center"/>
            <w:hideMark/>
          </w:tcPr>
          <w:p w14:paraId="2ABB8985" w14:textId="77777777" w:rsidR="007377A9" w:rsidRPr="00EB2092" w:rsidRDefault="007377A9" w:rsidP="007377A9">
            <w:pPr>
              <w:spacing w:line="240" w:lineRule="auto"/>
              <w:jc w:val="center"/>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w:t>
            </w:r>
          </w:p>
        </w:tc>
      </w:tr>
      <w:tr w:rsidR="003A56EF" w:rsidRPr="00EB2092" w14:paraId="0621C86C" w14:textId="77777777" w:rsidTr="003A56EF">
        <w:trPr>
          <w:trHeight w:val="323"/>
        </w:trPr>
        <w:tc>
          <w:tcPr>
            <w:tcW w:w="3309" w:type="dxa"/>
            <w:tcBorders>
              <w:top w:val="nil"/>
              <w:left w:val="single" w:sz="4" w:space="0" w:color="auto"/>
              <w:bottom w:val="nil"/>
              <w:right w:val="single" w:sz="4" w:space="0" w:color="auto"/>
            </w:tcBorders>
            <w:shd w:val="clear" w:color="000000" w:fill="D2D9EA"/>
            <w:vAlign w:val="center"/>
            <w:hideMark/>
          </w:tcPr>
          <w:p w14:paraId="06F0442E" w14:textId="77777777" w:rsidR="007377A9" w:rsidRPr="00EB2092" w:rsidRDefault="007377A9" w:rsidP="007377A9">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GST transfers to states</w:t>
            </w:r>
          </w:p>
        </w:tc>
        <w:tc>
          <w:tcPr>
            <w:tcW w:w="835" w:type="dxa"/>
            <w:tcBorders>
              <w:top w:val="nil"/>
              <w:left w:val="nil"/>
              <w:bottom w:val="nil"/>
              <w:right w:val="nil"/>
            </w:tcBorders>
            <w:shd w:val="clear" w:color="000000" w:fill="D2D9EA"/>
            <w:vAlign w:val="center"/>
            <w:hideMark/>
          </w:tcPr>
          <w:p w14:paraId="4A744B23"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66</w:t>
            </w:r>
          </w:p>
        </w:tc>
        <w:tc>
          <w:tcPr>
            <w:tcW w:w="796" w:type="dxa"/>
            <w:tcBorders>
              <w:top w:val="nil"/>
              <w:left w:val="nil"/>
              <w:bottom w:val="nil"/>
              <w:right w:val="nil"/>
            </w:tcBorders>
            <w:shd w:val="clear" w:color="000000" w:fill="D2D9EA"/>
            <w:vAlign w:val="center"/>
            <w:hideMark/>
          </w:tcPr>
          <w:p w14:paraId="6A7360EB"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107</w:t>
            </w:r>
          </w:p>
        </w:tc>
        <w:tc>
          <w:tcPr>
            <w:tcW w:w="815" w:type="dxa"/>
            <w:tcBorders>
              <w:top w:val="nil"/>
              <w:left w:val="single" w:sz="4" w:space="0" w:color="auto"/>
              <w:bottom w:val="nil"/>
              <w:right w:val="nil"/>
            </w:tcBorders>
            <w:shd w:val="clear" w:color="000000" w:fill="D2D9EA"/>
            <w:vAlign w:val="center"/>
            <w:hideMark/>
          </w:tcPr>
          <w:p w14:paraId="675A0417"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3.4</w:t>
            </w:r>
          </w:p>
        </w:tc>
        <w:tc>
          <w:tcPr>
            <w:tcW w:w="815" w:type="dxa"/>
            <w:tcBorders>
              <w:top w:val="nil"/>
              <w:left w:val="nil"/>
              <w:bottom w:val="nil"/>
              <w:right w:val="nil"/>
            </w:tcBorders>
            <w:shd w:val="clear" w:color="000000" w:fill="D2D9EA"/>
            <w:vAlign w:val="center"/>
            <w:hideMark/>
          </w:tcPr>
          <w:p w14:paraId="035BD5B4"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3.4</w:t>
            </w:r>
          </w:p>
        </w:tc>
        <w:tc>
          <w:tcPr>
            <w:tcW w:w="957" w:type="dxa"/>
            <w:tcBorders>
              <w:top w:val="nil"/>
              <w:left w:val="single" w:sz="4" w:space="0" w:color="auto"/>
              <w:bottom w:val="nil"/>
              <w:right w:val="nil"/>
            </w:tcBorders>
            <w:shd w:val="clear" w:color="000000" w:fill="D2D9EA"/>
            <w:vAlign w:val="center"/>
            <w:hideMark/>
          </w:tcPr>
          <w:p w14:paraId="75220AB7"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0.0</w:t>
            </w:r>
          </w:p>
        </w:tc>
        <w:tc>
          <w:tcPr>
            <w:tcW w:w="956" w:type="dxa"/>
            <w:tcBorders>
              <w:top w:val="nil"/>
              <w:left w:val="single" w:sz="4" w:space="0" w:color="auto"/>
              <w:bottom w:val="nil"/>
              <w:right w:val="nil"/>
            </w:tcBorders>
            <w:shd w:val="clear" w:color="000000" w:fill="D2D9EA"/>
            <w:vAlign w:val="center"/>
            <w:hideMark/>
          </w:tcPr>
          <w:p w14:paraId="360214C1"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2.2</w:t>
            </w:r>
          </w:p>
        </w:tc>
        <w:tc>
          <w:tcPr>
            <w:tcW w:w="1037" w:type="dxa"/>
            <w:tcBorders>
              <w:top w:val="nil"/>
              <w:left w:val="single" w:sz="4" w:space="0" w:color="auto"/>
              <w:bottom w:val="nil"/>
              <w:right w:val="single" w:sz="4" w:space="0" w:color="auto"/>
            </w:tcBorders>
            <w:shd w:val="clear" w:color="000000" w:fill="D2D9EA"/>
            <w:vAlign w:val="center"/>
            <w:hideMark/>
          </w:tcPr>
          <w:p w14:paraId="08E2F6C6"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13.0</w:t>
            </w:r>
          </w:p>
        </w:tc>
      </w:tr>
      <w:tr w:rsidR="003A56EF" w:rsidRPr="00EB2092" w14:paraId="25BBFA58" w14:textId="77777777" w:rsidTr="003A56EF">
        <w:trPr>
          <w:trHeight w:val="323"/>
        </w:trPr>
        <w:tc>
          <w:tcPr>
            <w:tcW w:w="3309" w:type="dxa"/>
            <w:tcBorders>
              <w:top w:val="nil"/>
              <w:left w:val="single" w:sz="4" w:space="0" w:color="auto"/>
              <w:bottom w:val="nil"/>
              <w:right w:val="single" w:sz="4" w:space="0" w:color="auto"/>
            </w:tcBorders>
            <w:shd w:val="clear" w:color="auto" w:fill="auto"/>
            <w:vAlign w:val="center"/>
            <w:hideMark/>
          </w:tcPr>
          <w:p w14:paraId="59129D71" w14:textId="77777777" w:rsidR="007377A9" w:rsidRPr="00EB2092" w:rsidRDefault="007377A9" w:rsidP="007377A9">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Age pension</w:t>
            </w:r>
          </w:p>
        </w:tc>
        <w:tc>
          <w:tcPr>
            <w:tcW w:w="835" w:type="dxa"/>
            <w:tcBorders>
              <w:top w:val="nil"/>
              <w:left w:val="nil"/>
              <w:bottom w:val="nil"/>
              <w:right w:val="nil"/>
            </w:tcBorders>
            <w:shd w:val="clear" w:color="auto" w:fill="auto"/>
            <w:vAlign w:val="center"/>
            <w:hideMark/>
          </w:tcPr>
          <w:p w14:paraId="3A2ED975"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47</w:t>
            </w:r>
          </w:p>
        </w:tc>
        <w:tc>
          <w:tcPr>
            <w:tcW w:w="796" w:type="dxa"/>
            <w:tcBorders>
              <w:top w:val="nil"/>
              <w:left w:val="nil"/>
              <w:bottom w:val="nil"/>
              <w:right w:val="nil"/>
            </w:tcBorders>
            <w:shd w:val="clear" w:color="auto" w:fill="auto"/>
            <w:vAlign w:val="center"/>
            <w:hideMark/>
          </w:tcPr>
          <w:p w14:paraId="32593C70"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79</w:t>
            </w:r>
          </w:p>
        </w:tc>
        <w:tc>
          <w:tcPr>
            <w:tcW w:w="815" w:type="dxa"/>
            <w:tcBorders>
              <w:top w:val="nil"/>
              <w:left w:val="single" w:sz="4" w:space="0" w:color="auto"/>
              <w:bottom w:val="nil"/>
              <w:right w:val="nil"/>
            </w:tcBorders>
            <w:shd w:val="clear" w:color="auto" w:fill="auto"/>
            <w:vAlign w:val="center"/>
            <w:hideMark/>
          </w:tcPr>
          <w:p w14:paraId="247073D9"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2.4</w:t>
            </w:r>
          </w:p>
        </w:tc>
        <w:tc>
          <w:tcPr>
            <w:tcW w:w="815" w:type="dxa"/>
            <w:tcBorders>
              <w:top w:val="nil"/>
              <w:left w:val="nil"/>
              <w:bottom w:val="nil"/>
              <w:right w:val="nil"/>
            </w:tcBorders>
            <w:shd w:val="clear" w:color="auto" w:fill="auto"/>
            <w:vAlign w:val="center"/>
            <w:hideMark/>
          </w:tcPr>
          <w:p w14:paraId="09191989"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2.5</w:t>
            </w:r>
          </w:p>
        </w:tc>
        <w:tc>
          <w:tcPr>
            <w:tcW w:w="957" w:type="dxa"/>
            <w:tcBorders>
              <w:top w:val="nil"/>
              <w:left w:val="single" w:sz="4" w:space="0" w:color="auto"/>
              <w:bottom w:val="nil"/>
              <w:right w:val="nil"/>
            </w:tcBorders>
            <w:shd w:val="clear" w:color="auto" w:fill="auto"/>
            <w:vAlign w:val="center"/>
            <w:hideMark/>
          </w:tcPr>
          <w:p w14:paraId="22F55E1C"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0.1</w:t>
            </w:r>
          </w:p>
        </w:tc>
        <w:tc>
          <w:tcPr>
            <w:tcW w:w="956" w:type="dxa"/>
            <w:tcBorders>
              <w:top w:val="nil"/>
              <w:left w:val="single" w:sz="4" w:space="0" w:color="auto"/>
              <w:bottom w:val="nil"/>
              <w:right w:val="nil"/>
            </w:tcBorders>
            <w:shd w:val="clear" w:color="auto" w:fill="auto"/>
            <w:vAlign w:val="center"/>
            <w:hideMark/>
          </w:tcPr>
          <w:p w14:paraId="3A281AA2"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2.6</w:t>
            </w:r>
          </w:p>
        </w:tc>
        <w:tc>
          <w:tcPr>
            <w:tcW w:w="1037" w:type="dxa"/>
            <w:tcBorders>
              <w:top w:val="nil"/>
              <w:left w:val="single" w:sz="4" w:space="0" w:color="auto"/>
              <w:bottom w:val="nil"/>
              <w:right w:val="single" w:sz="4" w:space="0" w:color="auto"/>
            </w:tcBorders>
            <w:shd w:val="clear" w:color="auto" w:fill="auto"/>
            <w:vAlign w:val="center"/>
            <w:hideMark/>
          </w:tcPr>
          <w:p w14:paraId="2F92971D"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9.6</w:t>
            </w:r>
          </w:p>
        </w:tc>
      </w:tr>
      <w:tr w:rsidR="003A56EF" w:rsidRPr="00EB2092" w14:paraId="29ECFBCC" w14:textId="77777777" w:rsidTr="003A56EF">
        <w:trPr>
          <w:trHeight w:val="323"/>
        </w:trPr>
        <w:tc>
          <w:tcPr>
            <w:tcW w:w="3309" w:type="dxa"/>
            <w:tcBorders>
              <w:top w:val="nil"/>
              <w:left w:val="single" w:sz="4" w:space="0" w:color="auto"/>
              <w:bottom w:val="nil"/>
              <w:right w:val="single" w:sz="4" w:space="0" w:color="auto"/>
            </w:tcBorders>
            <w:shd w:val="clear" w:color="000000" w:fill="D2D9EA"/>
            <w:vAlign w:val="center"/>
            <w:hideMark/>
          </w:tcPr>
          <w:p w14:paraId="377FCE65" w14:textId="598A5CBB" w:rsidR="007377A9" w:rsidRPr="00EB2092" w:rsidRDefault="007377A9" w:rsidP="00446D4A">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 xml:space="preserve">Defence </w:t>
            </w:r>
          </w:p>
        </w:tc>
        <w:tc>
          <w:tcPr>
            <w:tcW w:w="835" w:type="dxa"/>
            <w:tcBorders>
              <w:top w:val="nil"/>
              <w:left w:val="nil"/>
              <w:bottom w:val="nil"/>
              <w:right w:val="nil"/>
            </w:tcBorders>
            <w:shd w:val="clear" w:color="000000" w:fill="D2D9EA"/>
            <w:vAlign w:val="center"/>
            <w:hideMark/>
          </w:tcPr>
          <w:p w14:paraId="3D1DDD05"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38</w:t>
            </w:r>
          </w:p>
        </w:tc>
        <w:tc>
          <w:tcPr>
            <w:tcW w:w="796" w:type="dxa"/>
            <w:tcBorders>
              <w:top w:val="nil"/>
              <w:left w:val="nil"/>
              <w:bottom w:val="nil"/>
              <w:right w:val="nil"/>
            </w:tcBorders>
            <w:shd w:val="clear" w:color="000000" w:fill="D2D9EA"/>
            <w:vAlign w:val="center"/>
            <w:hideMark/>
          </w:tcPr>
          <w:p w14:paraId="3DB4EAF9"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76</w:t>
            </w:r>
          </w:p>
        </w:tc>
        <w:tc>
          <w:tcPr>
            <w:tcW w:w="815" w:type="dxa"/>
            <w:tcBorders>
              <w:top w:val="nil"/>
              <w:left w:val="single" w:sz="4" w:space="0" w:color="auto"/>
              <w:bottom w:val="nil"/>
              <w:right w:val="nil"/>
            </w:tcBorders>
            <w:shd w:val="clear" w:color="000000" w:fill="D2D9EA"/>
            <w:vAlign w:val="center"/>
            <w:hideMark/>
          </w:tcPr>
          <w:p w14:paraId="60A72A59"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1.9</w:t>
            </w:r>
          </w:p>
        </w:tc>
        <w:tc>
          <w:tcPr>
            <w:tcW w:w="815" w:type="dxa"/>
            <w:tcBorders>
              <w:top w:val="nil"/>
              <w:left w:val="nil"/>
              <w:bottom w:val="nil"/>
              <w:right w:val="nil"/>
            </w:tcBorders>
            <w:shd w:val="clear" w:color="000000" w:fill="D2D9EA"/>
            <w:vAlign w:val="center"/>
            <w:hideMark/>
          </w:tcPr>
          <w:p w14:paraId="081074A6"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2.4</w:t>
            </w:r>
          </w:p>
        </w:tc>
        <w:tc>
          <w:tcPr>
            <w:tcW w:w="957" w:type="dxa"/>
            <w:tcBorders>
              <w:top w:val="nil"/>
              <w:left w:val="single" w:sz="4" w:space="0" w:color="auto"/>
              <w:bottom w:val="nil"/>
              <w:right w:val="nil"/>
            </w:tcBorders>
            <w:shd w:val="clear" w:color="000000" w:fill="D2D9EA"/>
            <w:vAlign w:val="center"/>
            <w:hideMark/>
          </w:tcPr>
          <w:p w14:paraId="7A57AF63"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0.5</w:t>
            </w:r>
          </w:p>
        </w:tc>
        <w:tc>
          <w:tcPr>
            <w:tcW w:w="956" w:type="dxa"/>
            <w:tcBorders>
              <w:top w:val="nil"/>
              <w:left w:val="single" w:sz="4" w:space="0" w:color="auto"/>
              <w:bottom w:val="nil"/>
              <w:right w:val="nil"/>
            </w:tcBorders>
            <w:shd w:val="clear" w:color="000000" w:fill="D2D9EA"/>
            <w:vAlign w:val="center"/>
            <w:hideMark/>
          </w:tcPr>
          <w:p w14:paraId="10F053D1"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4.0</w:t>
            </w:r>
          </w:p>
        </w:tc>
        <w:tc>
          <w:tcPr>
            <w:tcW w:w="1037" w:type="dxa"/>
            <w:tcBorders>
              <w:top w:val="nil"/>
              <w:left w:val="single" w:sz="4" w:space="0" w:color="auto"/>
              <w:bottom w:val="nil"/>
              <w:right w:val="single" w:sz="4" w:space="0" w:color="auto"/>
            </w:tcBorders>
            <w:shd w:val="clear" w:color="000000" w:fill="D2D9EA"/>
            <w:vAlign w:val="center"/>
            <w:hideMark/>
          </w:tcPr>
          <w:p w14:paraId="6ECC2D26"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9.2</w:t>
            </w:r>
          </w:p>
        </w:tc>
      </w:tr>
      <w:tr w:rsidR="003A56EF" w:rsidRPr="00EB2092" w14:paraId="22B0C025" w14:textId="77777777" w:rsidTr="003A56EF">
        <w:trPr>
          <w:trHeight w:val="323"/>
        </w:trPr>
        <w:tc>
          <w:tcPr>
            <w:tcW w:w="3309" w:type="dxa"/>
            <w:tcBorders>
              <w:top w:val="nil"/>
              <w:left w:val="single" w:sz="4" w:space="0" w:color="auto"/>
              <w:bottom w:val="nil"/>
              <w:right w:val="single" w:sz="4" w:space="0" w:color="auto"/>
            </w:tcBorders>
            <w:shd w:val="clear" w:color="auto" w:fill="auto"/>
            <w:vAlign w:val="center"/>
            <w:hideMark/>
          </w:tcPr>
          <w:p w14:paraId="038497A8" w14:textId="77777777" w:rsidR="007377A9" w:rsidRPr="00EB2092" w:rsidRDefault="007377A9" w:rsidP="007377A9">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Medicare Benefits Schedule</w:t>
            </w:r>
          </w:p>
        </w:tc>
        <w:tc>
          <w:tcPr>
            <w:tcW w:w="835" w:type="dxa"/>
            <w:tcBorders>
              <w:top w:val="nil"/>
              <w:left w:val="nil"/>
              <w:bottom w:val="nil"/>
              <w:right w:val="nil"/>
            </w:tcBorders>
            <w:shd w:val="clear" w:color="auto" w:fill="auto"/>
            <w:vAlign w:val="center"/>
            <w:hideMark/>
          </w:tcPr>
          <w:p w14:paraId="10BAB3A5"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24</w:t>
            </w:r>
          </w:p>
        </w:tc>
        <w:tc>
          <w:tcPr>
            <w:tcW w:w="796" w:type="dxa"/>
            <w:tcBorders>
              <w:top w:val="nil"/>
              <w:left w:val="nil"/>
              <w:bottom w:val="nil"/>
              <w:right w:val="nil"/>
            </w:tcBorders>
            <w:shd w:val="clear" w:color="auto" w:fill="auto"/>
            <w:vAlign w:val="center"/>
            <w:hideMark/>
          </w:tcPr>
          <w:p w14:paraId="658A697A"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45</w:t>
            </w:r>
          </w:p>
        </w:tc>
        <w:tc>
          <w:tcPr>
            <w:tcW w:w="815" w:type="dxa"/>
            <w:tcBorders>
              <w:top w:val="nil"/>
              <w:left w:val="single" w:sz="4" w:space="0" w:color="auto"/>
              <w:bottom w:val="nil"/>
              <w:right w:val="nil"/>
            </w:tcBorders>
            <w:shd w:val="clear" w:color="auto" w:fill="auto"/>
            <w:vAlign w:val="center"/>
            <w:hideMark/>
          </w:tcPr>
          <w:p w14:paraId="09FD516E"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1.2</w:t>
            </w:r>
          </w:p>
        </w:tc>
        <w:tc>
          <w:tcPr>
            <w:tcW w:w="815" w:type="dxa"/>
            <w:tcBorders>
              <w:top w:val="nil"/>
              <w:left w:val="nil"/>
              <w:bottom w:val="nil"/>
              <w:right w:val="nil"/>
            </w:tcBorders>
            <w:shd w:val="clear" w:color="auto" w:fill="auto"/>
            <w:vAlign w:val="center"/>
            <w:hideMark/>
          </w:tcPr>
          <w:p w14:paraId="56298FD9"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1.4</w:t>
            </w:r>
          </w:p>
        </w:tc>
        <w:tc>
          <w:tcPr>
            <w:tcW w:w="957" w:type="dxa"/>
            <w:tcBorders>
              <w:top w:val="nil"/>
              <w:left w:val="single" w:sz="4" w:space="0" w:color="auto"/>
              <w:bottom w:val="nil"/>
              <w:right w:val="nil"/>
            </w:tcBorders>
            <w:shd w:val="clear" w:color="auto" w:fill="auto"/>
            <w:vAlign w:val="center"/>
            <w:hideMark/>
          </w:tcPr>
          <w:p w14:paraId="13805C17"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0.2</w:t>
            </w:r>
          </w:p>
        </w:tc>
        <w:tc>
          <w:tcPr>
            <w:tcW w:w="956" w:type="dxa"/>
            <w:tcBorders>
              <w:top w:val="nil"/>
              <w:left w:val="single" w:sz="4" w:space="0" w:color="auto"/>
              <w:bottom w:val="nil"/>
              <w:right w:val="nil"/>
            </w:tcBorders>
            <w:shd w:val="clear" w:color="auto" w:fill="auto"/>
            <w:vAlign w:val="center"/>
            <w:hideMark/>
          </w:tcPr>
          <w:p w14:paraId="3E59932E"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3.5</w:t>
            </w:r>
          </w:p>
        </w:tc>
        <w:tc>
          <w:tcPr>
            <w:tcW w:w="1037" w:type="dxa"/>
            <w:tcBorders>
              <w:top w:val="nil"/>
              <w:left w:val="single" w:sz="4" w:space="0" w:color="auto"/>
              <w:bottom w:val="nil"/>
              <w:right w:val="single" w:sz="4" w:space="0" w:color="auto"/>
            </w:tcBorders>
            <w:shd w:val="clear" w:color="auto" w:fill="auto"/>
            <w:vAlign w:val="center"/>
            <w:hideMark/>
          </w:tcPr>
          <w:p w14:paraId="0D7027BA"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5.5</w:t>
            </w:r>
          </w:p>
        </w:tc>
      </w:tr>
      <w:tr w:rsidR="003A56EF" w:rsidRPr="00EB2092" w14:paraId="55E83DF2" w14:textId="77777777" w:rsidTr="003A56EF">
        <w:trPr>
          <w:trHeight w:val="323"/>
        </w:trPr>
        <w:tc>
          <w:tcPr>
            <w:tcW w:w="3309" w:type="dxa"/>
            <w:tcBorders>
              <w:top w:val="nil"/>
              <w:left w:val="single" w:sz="4" w:space="0" w:color="auto"/>
              <w:bottom w:val="nil"/>
              <w:right w:val="single" w:sz="4" w:space="0" w:color="auto"/>
            </w:tcBorders>
            <w:shd w:val="clear" w:color="000000" w:fill="D2D9EA"/>
            <w:vAlign w:val="center"/>
            <w:hideMark/>
          </w:tcPr>
          <w:p w14:paraId="71C82068" w14:textId="77777777" w:rsidR="007377A9" w:rsidRPr="00EB2092" w:rsidRDefault="007377A9" w:rsidP="007377A9">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Public hospitals</w:t>
            </w:r>
          </w:p>
        </w:tc>
        <w:tc>
          <w:tcPr>
            <w:tcW w:w="835" w:type="dxa"/>
            <w:tcBorders>
              <w:top w:val="nil"/>
              <w:left w:val="nil"/>
              <w:bottom w:val="nil"/>
              <w:right w:val="nil"/>
            </w:tcBorders>
            <w:shd w:val="clear" w:color="000000" w:fill="D2D9EA"/>
            <w:vAlign w:val="center"/>
            <w:hideMark/>
          </w:tcPr>
          <w:p w14:paraId="2590353C"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22</w:t>
            </w:r>
          </w:p>
        </w:tc>
        <w:tc>
          <w:tcPr>
            <w:tcW w:w="796" w:type="dxa"/>
            <w:tcBorders>
              <w:top w:val="nil"/>
              <w:left w:val="nil"/>
              <w:bottom w:val="nil"/>
              <w:right w:val="nil"/>
            </w:tcBorders>
            <w:shd w:val="clear" w:color="000000" w:fill="D2D9EA"/>
            <w:vAlign w:val="center"/>
            <w:hideMark/>
          </w:tcPr>
          <w:p w14:paraId="28571797"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42</w:t>
            </w:r>
          </w:p>
        </w:tc>
        <w:tc>
          <w:tcPr>
            <w:tcW w:w="815" w:type="dxa"/>
            <w:tcBorders>
              <w:top w:val="nil"/>
              <w:left w:val="single" w:sz="4" w:space="0" w:color="auto"/>
              <w:bottom w:val="nil"/>
              <w:right w:val="nil"/>
            </w:tcBorders>
            <w:shd w:val="clear" w:color="000000" w:fill="D2D9EA"/>
            <w:vAlign w:val="center"/>
            <w:hideMark/>
          </w:tcPr>
          <w:p w14:paraId="3030B8B3"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1.1</w:t>
            </w:r>
          </w:p>
        </w:tc>
        <w:tc>
          <w:tcPr>
            <w:tcW w:w="815" w:type="dxa"/>
            <w:tcBorders>
              <w:top w:val="nil"/>
              <w:left w:val="nil"/>
              <w:bottom w:val="nil"/>
              <w:right w:val="nil"/>
            </w:tcBorders>
            <w:shd w:val="clear" w:color="000000" w:fill="D2D9EA"/>
            <w:vAlign w:val="center"/>
            <w:hideMark/>
          </w:tcPr>
          <w:p w14:paraId="582A7162"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1.3</w:t>
            </w:r>
          </w:p>
        </w:tc>
        <w:tc>
          <w:tcPr>
            <w:tcW w:w="957" w:type="dxa"/>
            <w:tcBorders>
              <w:top w:val="nil"/>
              <w:left w:val="single" w:sz="4" w:space="0" w:color="auto"/>
              <w:bottom w:val="nil"/>
              <w:right w:val="nil"/>
            </w:tcBorders>
            <w:shd w:val="clear" w:color="000000" w:fill="D2D9EA"/>
            <w:vAlign w:val="center"/>
            <w:hideMark/>
          </w:tcPr>
          <w:p w14:paraId="6F4CABF1"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0.2</w:t>
            </w:r>
          </w:p>
        </w:tc>
        <w:tc>
          <w:tcPr>
            <w:tcW w:w="956" w:type="dxa"/>
            <w:tcBorders>
              <w:top w:val="nil"/>
              <w:left w:val="single" w:sz="4" w:space="0" w:color="auto"/>
              <w:bottom w:val="nil"/>
              <w:right w:val="nil"/>
            </w:tcBorders>
            <w:shd w:val="clear" w:color="000000" w:fill="D2D9EA"/>
            <w:vAlign w:val="center"/>
            <w:hideMark/>
          </w:tcPr>
          <w:p w14:paraId="6B6D399B"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3.8</w:t>
            </w:r>
          </w:p>
        </w:tc>
        <w:tc>
          <w:tcPr>
            <w:tcW w:w="1037" w:type="dxa"/>
            <w:tcBorders>
              <w:top w:val="nil"/>
              <w:left w:val="single" w:sz="4" w:space="0" w:color="auto"/>
              <w:bottom w:val="nil"/>
              <w:right w:val="single" w:sz="4" w:space="0" w:color="auto"/>
            </w:tcBorders>
            <w:shd w:val="clear" w:color="000000" w:fill="D2D9EA"/>
            <w:vAlign w:val="center"/>
            <w:hideMark/>
          </w:tcPr>
          <w:p w14:paraId="5847CF4A"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5.1</w:t>
            </w:r>
          </w:p>
        </w:tc>
      </w:tr>
      <w:tr w:rsidR="003A56EF" w:rsidRPr="00EB2092" w14:paraId="0785E3A5" w14:textId="77777777" w:rsidTr="003A56EF">
        <w:trPr>
          <w:trHeight w:val="323"/>
        </w:trPr>
        <w:tc>
          <w:tcPr>
            <w:tcW w:w="3309" w:type="dxa"/>
            <w:tcBorders>
              <w:top w:val="nil"/>
              <w:left w:val="single" w:sz="4" w:space="0" w:color="auto"/>
              <w:bottom w:val="nil"/>
              <w:right w:val="single" w:sz="4" w:space="0" w:color="auto"/>
            </w:tcBorders>
            <w:shd w:val="clear" w:color="auto" w:fill="auto"/>
            <w:vAlign w:val="center"/>
            <w:hideMark/>
          </w:tcPr>
          <w:p w14:paraId="499D549D" w14:textId="77777777" w:rsidR="007377A9" w:rsidRPr="00EB2092" w:rsidRDefault="007377A9" w:rsidP="007377A9">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Aged care</w:t>
            </w:r>
          </w:p>
        </w:tc>
        <w:tc>
          <w:tcPr>
            <w:tcW w:w="835" w:type="dxa"/>
            <w:tcBorders>
              <w:top w:val="nil"/>
              <w:left w:val="nil"/>
              <w:bottom w:val="nil"/>
              <w:right w:val="nil"/>
            </w:tcBorders>
            <w:shd w:val="clear" w:color="auto" w:fill="auto"/>
            <w:vAlign w:val="center"/>
            <w:hideMark/>
          </w:tcPr>
          <w:p w14:paraId="33C3F3DC"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20</w:t>
            </w:r>
          </w:p>
        </w:tc>
        <w:tc>
          <w:tcPr>
            <w:tcW w:w="796" w:type="dxa"/>
            <w:tcBorders>
              <w:top w:val="nil"/>
              <w:left w:val="nil"/>
              <w:bottom w:val="nil"/>
              <w:right w:val="nil"/>
            </w:tcBorders>
            <w:shd w:val="clear" w:color="auto" w:fill="auto"/>
            <w:vAlign w:val="center"/>
            <w:hideMark/>
          </w:tcPr>
          <w:p w14:paraId="7F6F1D2E"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41</w:t>
            </w:r>
          </w:p>
        </w:tc>
        <w:tc>
          <w:tcPr>
            <w:tcW w:w="815" w:type="dxa"/>
            <w:tcBorders>
              <w:top w:val="nil"/>
              <w:left w:val="single" w:sz="4" w:space="0" w:color="auto"/>
              <w:bottom w:val="nil"/>
              <w:right w:val="nil"/>
            </w:tcBorders>
            <w:shd w:val="clear" w:color="auto" w:fill="auto"/>
            <w:vAlign w:val="center"/>
            <w:hideMark/>
          </w:tcPr>
          <w:p w14:paraId="64BF5AE1"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1.0</w:t>
            </w:r>
          </w:p>
        </w:tc>
        <w:tc>
          <w:tcPr>
            <w:tcW w:w="815" w:type="dxa"/>
            <w:tcBorders>
              <w:top w:val="nil"/>
              <w:left w:val="nil"/>
              <w:bottom w:val="nil"/>
              <w:right w:val="nil"/>
            </w:tcBorders>
            <w:shd w:val="clear" w:color="auto" w:fill="auto"/>
            <w:vAlign w:val="center"/>
            <w:hideMark/>
          </w:tcPr>
          <w:p w14:paraId="1C0E5C9B"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1.3</w:t>
            </w:r>
          </w:p>
        </w:tc>
        <w:tc>
          <w:tcPr>
            <w:tcW w:w="957" w:type="dxa"/>
            <w:tcBorders>
              <w:top w:val="nil"/>
              <w:left w:val="single" w:sz="4" w:space="0" w:color="auto"/>
              <w:bottom w:val="nil"/>
              <w:right w:val="nil"/>
            </w:tcBorders>
            <w:shd w:val="clear" w:color="auto" w:fill="auto"/>
            <w:vAlign w:val="center"/>
            <w:hideMark/>
          </w:tcPr>
          <w:p w14:paraId="6E036B3D"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0.3</w:t>
            </w:r>
          </w:p>
        </w:tc>
        <w:tc>
          <w:tcPr>
            <w:tcW w:w="956" w:type="dxa"/>
            <w:tcBorders>
              <w:top w:val="nil"/>
              <w:left w:val="single" w:sz="4" w:space="0" w:color="auto"/>
              <w:bottom w:val="nil"/>
              <w:right w:val="nil"/>
            </w:tcBorders>
            <w:shd w:val="clear" w:color="auto" w:fill="auto"/>
            <w:vAlign w:val="center"/>
            <w:hideMark/>
          </w:tcPr>
          <w:p w14:paraId="14360790"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4.0</w:t>
            </w:r>
          </w:p>
        </w:tc>
        <w:tc>
          <w:tcPr>
            <w:tcW w:w="1037" w:type="dxa"/>
            <w:tcBorders>
              <w:top w:val="nil"/>
              <w:left w:val="single" w:sz="4" w:space="0" w:color="auto"/>
              <w:bottom w:val="nil"/>
              <w:right w:val="single" w:sz="4" w:space="0" w:color="auto"/>
            </w:tcBorders>
            <w:shd w:val="clear" w:color="auto" w:fill="auto"/>
            <w:vAlign w:val="center"/>
            <w:hideMark/>
          </w:tcPr>
          <w:p w14:paraId="77CCD149"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5.0</w:t>
            </w:r>
          </w:p>
        </w:tc>
      </w:tr>
      <w:tr w:rsidR="003A56EF" w:rsidRPr="00EB2092" w14:paraId="23EC10A1" w14:textId="77777777" w:rsidTr="003A56EF">
        <w:trPr>
          <w:trHeight w:val="323"/>
        </w:trPr>
        <w:tc>
          <w:tcPr>
            <w:tcW w:w="3309" w:type="dxa"/>
            <w:tcBorders>
              <w:top w:val="nil"/>
              <w:left w:val="single" w:sz="4" w:space="0" w:color="auto"/>
              <w:bottom w:val="nil"/>
              <w:right w:val="single" w:sz="4" w:space="0" w:color="auto"/>
            </w:tcBorders>
            <w:shd w:val="clear" w:color="000000" w:fill="D2D9EA"/>
            <w:vAlign w:val="center"/>
            <w:hideMark/>
          </w:tcPr>
          <w:p w14:paraId="367AE9AA" w14:textId="77777777" w:rsidR="007377A9" w:rsidRPr="00EB2092" w:rsidRDefault="007377A9" w:rsidP="007377A9">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National Disability Insurance Scheme</w:t>
            </w:r>
          </w:p>
        </w:tc>
        <w:tc>
          <w:tcPr>
            <w:tcW w:w="835" w:type="dxa"/>
            <w:tcBorders>
              <w:top w:val="nil"/>
              <w:left w:val="nil"/>
              <w:bottom w:val="nil"/>
              <w:right w:val="nil"/>
            </w:tcBorders>
            <w:shd w:val="clear" w:color="000000" w:fill="D2D9EA"/>
            <w:vAlign w:val="center"/>
            <w:hideMark/>
          </w:tcPr>
          <w:p w14:paraId="2462E57E"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11</w:t>
            </w:r>
          </w:p>
        </w:tc>
        <w:tc>
          <w:tcPr>
            <w:tcW w:w="796" w:type="dxa"/>
            <w:tcBorders>
              <w:top w:val="nil"/>
              <w:left w:val="nil"/>
              <w:bottom w:val="nil"/>
              <w:right w:val="nil"/>
            </w:tcBorders>
            <w:shd w:val="clear" w:color="000000" w:fill="D2D9EA"/>
            <w:vAlign w:val="center"/>
            <w:hideMark/>
          </w:tcPr>
          <w:p w14:paraId="010AD83C"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36</w:t>
            </w:r>
          </w:p>
        </w:tc>
        <w:tc>
          <w:tcPr>
            <w:tcW w:w="815" w:type="dxa"/>
            <w:tcBorders>
              <w:top w:val="nil"/>
              <w:left w:val="single" w:sz="4" w:space="0" w:color="auto"/>
              <w:bottom w:val="nil"/>
              <w:right w:val="nil"/>
            </w:tcBorders>
            <w:shd w:val="clear" w:color="000000" w:fill="D2D9EA"/>
            <w:vAlign w:val="center"/>
            <w:hideMark/>
          </w:tcPr>
          <w:p w14:paraId="181637E3"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0.6</w:t>
            </w:r>
          </w:p>
        </w:tc>
        <w:tc>
          <w:tcPr>
            <w:tcW w:w="815" w:type="dxa"/>
            <w:tcBorders>
              <w:top w:val="nil"/>
              <w:left w:val="nil"/>
              <w:bottom w:val="nil"/>
              <w:right w:val="nil"/>
            </w:tcBorders>
            <w:shd w:val="clear" w:color="000000" w:fill="D2D9EA"/>
            <w:vAlign w:val="center"/>
            <w:hideMark/>
          </w:tcPr>
          <w:p w14:paraId="276ABAE3"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1.1</w:t>
            </w:r>
          </w:p>
        </w:tc>
        <w:tc>
          <w:tcPr>
            <w:tcW w:w="957" w:type="dxa"/>
            <w:tcBorders>
              <w:top w:val="nil"/>
              <w:left w:val="single" w:sz="4" w:space="0" w:color="auto"/>
              <w:bottom w:val="nil"/>
              <w:right w:val="nil"/>
            </w:tcBorders>
            <w:shd w:val="clear" w:color="000000" w:fill="D2D9EA"/>
            <w:vAlign w:val="center"/>
            <w:hideMark/>
          </w:tcPr>
          <w:p w14:paraId="44905704"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0.6</w:t>
            </w:r>
          </w:p>
        </w:tc>
        <w:tc>
          <w:tcPr>
            <w:tcW w:w="956" w:type="dxa"/>
            <w:tcBorders>
              <w:top w:val="nil"/>
              <w:left w:val="single" w:sz="4" w:space="0" w:color="auto"/>
              <w:bottom w:val="nil"/>
              <w:right w:val="nil"/>
            </w:tcBorders>
            <w:shd w:val="clear" w:color="000000" w:fill="D2D9EA"/>
            <w:vAlign w:val="center"/>
            <w:hideMark/>
          </w:tcPr>
          <w:p w14:paraId="70670DA7"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8.2</w:t>
            </w:r>
          </w:p>
        </w:tc>
        <w:tc>
          <w:tcPr>
            <w:tcW w:w="1037" w:type="dxa"/>
            <w:tcBorders>
              <w:top w:val="nil"/>
              <w:left w:val="single" w:sz="4" w:space="0" w:color="auto"/>
              <w:bottom w:val="nil"/>
              <w:right w:val="single" w:sz="4" w:space="0" w:color="auto"/>
            </w:tcBorders>
            <w:shd w:val="clear" w:color="000000" w:fill="D2D9EA"/>
            <w:vAlign w:val="center"/>
            <w:hideMark/>
          </w:tcPr>
          <w:p w14:paraId="3C83B60E"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4.4</w:t>
            </w:r>
          </w:p>
        </w:tc>
      </w:tr>
      <w:tr w:rsidR="003A56EF" w:rsidRPr="00EB2092" w14:paraId="0A8FF5DF" w14:textId="77777777" w:rsidTr="003A56EF">
        <w:trPr>
          <w:trHeight w:val="323"/>
        </w:trPr>
        <w:tc>
          <w:tcPr>
            <w:tcW w:w="3309" w:type="dxa"/>
            <w:tcBorders>
              <w:top w:val="nil"/>
              <w:left w:val="single" w:sz="4" w:space="0" w:color="auto"/>
              <w:bottom w:val="nil"/>
              <w:right w:val="single" w:sz="4" w:space="0" w:color="auto"/>
            </w:tcBorders>
            <w:shd w:val="clear" w:color="auto" w:fill="auto"/>
            <w:vAlign w:val="center"/>
            <w:hideMark/>
          </w:tcPr>
          <w:p w14:paraId="3246A64A" w14:textId="77777777" w:rsidR="007377A9" w:rsidRPr="00EB2092" w:rsidRDefault="007377A9" w:rsidP="007377A9">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Schools</w:t>
            </w:r>
          </w:p>
        </w:tc>
        <w:tc>
          <w:tcPr>
            <w:tcW w:w="835" w:type="dxa"/>
            <w:tcBorders>
              <w:top w:val="nil"/>
              <w:left w:val="nil"/>
              <w:bottom w:val="nil"/>
              <w:right w:val="nil"/>
            </w:tcBorders>
            <w:shd w:val="clear" w:color="auto" w:fill="auto"/>
            <w:vAlign w:val="center"/>
            <w:hideMark/>
          </w:tcPr>
          <w:p w14:paraId="5B662864"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20</w:t>
            </w:r>
          </w:p>
        </w:tc>
        <w:tc>
          <w:tcPr>
            <w:tcW w:w="796" w:type="dxa"/>
            <w:tcBorders>
              <w:top w:val="nil"/>
              <w:left w:val="nil"/>
              <w:bottom w:val="nil"/>
              <w:right w:val="nil"/>
            </w:tcBorders>
            <w:shd w:val="clear" w:color="auto" w:fill="auto"/>
            <w:vAlign w:val="center"/>
            <w:hideMark/>
          </w:tcPr>
          <w:p w14:paraId="7928776A"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35</w:t>
            </w:r>
          </w:p>
        </w:tc>
        <w:tc>
          <w:tcPr>
            <w:tcW w:w="815" w:type="dxa"/>
            <w:tcBorders>
              <w:top w:val="nil"/>
              <w:left w:val="single" w:sz="4" w:space="0" w:color="auto"/>
              <w:bottom w:val="nil"/>
              <w:right w:val="nil"/>
            </w:tcBorders>
            <w:shd w:val="clear" w:color="auto" w:fill="auto"/>
            <w:vAlign w:val="center"/>
            <w:hideMark/>
          </w:tcPr>
          <w:p w14:paraId="207A1DB6"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1.0</w:t>
            </w:r>
          </w:p>
        </w:tc>
        <w:tc>
          <w:tcPr>
            <w:tcW w:w="815" w:type="dxa"/>
            <w:tcBorders>
              <w:top w:val="nil"/>
              <w:left w:val="nil"/>
              <w:bottom w:val="nil"/>
              <w:right w:val="nil"/>
            </w:tcBorders>
            <w:shd w:val="clear" w:color="auto" w:fill="auto"/>
            <w:vAlign w:val="center"/>
            <w:hideMark/>
          </w:tcPr>
          <w:p w14:paraId="07D2A0DE"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1.1</w:t>
            </w:r>
          </w:p>
        </w:tc>
        <w:tc>
          <w:tcPr>
            <w:tcW w:w="957" w:type="dxa"/>
            <w:tcBorders>
              <w:top w:val="nil"/>
              <w:left w:val="single" w:sz="4" w:space="0" w:color="auto"/>
              <w:bottom w:val="nil"/>
              <w:right w:val="nil"/>
            </w:tcBorders>
            <w:shd w:val="clear" w:color="auto" w:fill="auto"/>
            <w:vAlign w:val="center"/>
            <w:hideMark/>
          </w:tcPr>
          <w:p w14:paraId="36721EA5"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0.1</w:t>
            </w:r>
          </w:p>
        </w:tc>
        <w:tc>
          <w:tcPr>
            <w:tcW w:w="956" w:type="dxa"/>
            <w:tcBorders>
              <w:top w:val="nil"/>
              <w:left w:val="single" w:sz="4" w:space="0" w:color="auto"/>
              <w:bottom w:val="nil"/>
              <w:right w:val="nil"/>
            </w:tcBorders>
            <w:shd w:val="clear" w:color="auto" w:fill="auto"/>
            <w:vAlign w:val="center"/>
            <w:hideMark/>
          </w:tcPr>
          <w:p w14:paraId="530E6A0B"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2.9</w:t>
            </w:r>
          </w:p>
        </w:tc>
        <w:tc>
          <w:tcPr>
            <w:tcW w:w="1037" w:type="dxa"/>
            <w:tcBorders>
              <w:top w:val="nil"/>
              <w:left w:val="single" w:sz="4" w:space="0" w:color="auto"/>
              <w:bottom w:val="nil"/>
              <w:right w:val="single" w:sz="4" w:space="0" w:color="auto"/>
            </w:tcBorders>
            <w:shd w:val="clear" w:color="auto" w:fill="auto"/>
            <w:vAlign w:val="center"/>
            <w:hideMark/>
          </w:tcPr>
          <w:p w14:paraId="6B071A7C"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4.2</w:t>
            </w:r>
          </w:p>
        </w:tc>
      </w:tr>
      <w:tr w:rsidR="003A56EF" w:rsidRPr="00EB2092" w14:paraId="756342B7" w14:textId="77777777" w:rsidTr="003A56EF">
        <w:trPr>
          <w:trHeight w:val="323"/>
        </w:trPr>
        <w:tc>
          <w:tcPr>
            <w:tcW w:w="3309" w:type="dxa"/>
            <w:tcBorders>
              <w:top w:val="nil"/>
              <w:left w:val="single" w:sz="4" w:space="0" w:color="auto"/>
              <w:bottom w:val="nil"/>
              <w:right w:val="single" w:sz="4" w:space="0" w:color="auto"/>
            </w:tcBorders>
            <w:shd w:val="clear" w:color="000000" w:fill="D2D9EA"/>
            <w:vAlign w:val="center"/>
            <w:hideMark/>
          </w:tcPr>
          <w:p w14:paraId="4FD81200" w14:textId="77777777" w:rsidR="007377A9" w:rsidRPr="00EB2092" w:rsidRDefault="007377A9" w:rsidP="007377A9">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Public debt interest</w:t>
            </w:r>
          </w:p>
        </w:tc>
        <w:tc>
          <w:tcPr>
            <w:tcW w:w="835" w:type="dxa"/>
            <w:tcBorders>
              <w:top w:val="nil"/>
              <w:left w:val="nil"/>
              <w:bottom w:val="nil"/>
              <w:right w:val="nil"/>
            </w:tcBorders>
            <w:shd w:val="clear" w:color="000000" w:fill="D2D9EA"/>
            <w:vAlign w:val="center"/>
            <w:hideMark/>
          </w:tcPr>
          <w:p w14:paraId="2F37675D"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17</w:t>
            </w:r>
          </w:p>
        </w:tc>
        <w:tc>
          <w:tcPr>
            <w:tcW w:w="796" w:type="dxa"/>
            <w:tcBorders>
              <w:top w:val="nil"/>
              <w:left w:val="nil"/>
              <w:bottom w:val="nil"/>
              <w:right w:val="nil"/>
            </w:tcBorders>
            <w:shd w:val="clear" w:color="000000" w:fill="D2D9EA"/>
            <w:vAlign w:val="center"/>
            <w:hideMark/>
          </w:tcPr>
          <w:p w14:paraId="7B851AB2"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27</w:t>
            </w:r>
          </w:p>
        </w:tc>
        <w:tc>
          <w:tcPr>
            <w:tcW w:w="815" w:type="dxa"/>
            <w:tcBorders>
              <w:top w:val="nil"/>
              <w:left w:val="single" w:sz="4" w:space="0" w:color="auto"/>
              <w:bottom w:val="nil"/>
              <w:right w:val="nil"/>
            </w:tcBorders>
            <w:shd w:val="clear" w:color="000000" w:fill="D2D9EA"/>
            <w:vAlign w:val="center"/>
            <w:hideMark/>
          </w:tcPr>
          <w:p w14:paraId="3C5E1C8B"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0.9</w:t>
            </w:r>
          </w:p>
        </w:tc>
        <w:tc>
          <w:tcPr>
            <w:tcW w:w="815" w:type="dxa"/>
            <w:tcBorders>
              <w:top w:val="nil"/>
              <w:left w:val="nil"/>
              <w:bottom w:val="nil"/>
              <w:right w:val="nil"/>
            </w:tcBorders>
            <w:shd w:val="clear" w:color="000000" w:fill="D2D9EA"/>
            <w:vAlign w:val="center"/>
            <w:hideMark/>
          </w:tcPr>
          <w:p w14:paraId="0179E055"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0.9</w:t>
            </w:r>
          </w:p>
        </w:tc>
        <w:tc>
          <w:tcPr>
            <w:tcW w:w="957" w:type="dxa"/>
            <w:tcBorders>
              <w:top w:val="nil"/>
              <w:left w:val="single" w:sz="4" w:space="0" w:color="auto"/>
              <w:bottom w:val="nil"/>
              <w:right w:val="nil"/>
            </w:tcBorders>
            <w:shd w:val="clear" w:color="000000" w:fill="D2D9EA"/>
            <w:vAlign w:val="center"/>
            <w:hideMark/>
          </w:tcPr>
          <w:p w14:paraId="3B9FDC92"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0.0</w:t>
            </w:r>
          </w:p>
        </w:tc>
        <w:tc>
          <w:tcPr>
            <w:tcW w:w="956" w:type="dxa"/>
            <w:tcBorders>
              <w:top w:val="nil"/>
              <w:left w:val="single" w:sz="4" w:space="0" w:color="auto"/>
              <w:bottom w:val="nil"/>
              <w:right w:val="nil"/>
            </w:tcBorders>
            <w:shd w:val="clear" w:color="000000" w:fill="D2D9EA"/>
            <w:vAlign w:val="center"/>
            <w:hideMark/>
          </w:tcPr>
          <w:p w14:paraId="7EDD8FA6"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2.0</w:t>
            </w:r>
          </w:p>
        </w:tc>
        <w:tc>
          <w:tcPr>
            <w:tcW w:w="1037" w:type="dxa"/>
            <w:tcBorders>
              <w:top w:val="nil"/>
              <w:left w:val="single" w:sz="4" w:space="0" w:color="auto"/>
              <w:bottom w:val="nil"/>
              <w:right w:val="single" w:sz="4" w:space="0" w:color="auto"/>
            </w:tcBorders>
            <w:shd w:val="clear" w:color="000000" w:fill="D2D9EA"/>
            <w:vAlign w:val="center"/>
            <w:hideMark/>
          </w:tcPr>
          <w:p w14:paraId="14DCCAF8"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3.3</w:t>
            </w:r>
          </w:p>
        </w:tc>
      </w:tr>
      <w:tr w:rsidR="003A56EF" w:rsidRPr="00EB2092" w14:paraId="38AFD362" w14:textId="77777777" w:rsidTr="003A56EF">
        <w:trPr>
          <w:trHeight w:val="323"/>
        </w:trPr>
        <w:tc>
          <w:tcPr>
            <w:tcW w:w="3309" w:type="dxa"/>
            <w:tcBorders>
              <w:top w:val="nil"/>
              <w:left w:val="single" w:sz="4" w:space="0" w:color="auto"/>
              <w:bottom w:val="nil"/>
              <w:right w:val="single" w:sz="4" w:space="0" w:color="auto"/>
            </w:tcBorders>
            <w:shd w:val="clear" w:color="auto" w:fill="auto"/>
            <w:vAlign w:val="center"/>
            <w:hideMark/>
          </w:tcPr>
          <w:p w14:paraId="7C035047" w14:textId="77777777" w:rsidR="007377A9" w:rsidRPr="00EB2092" w:rsidRDefault="007377A9" w:rsidP="007377A9">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Pharmaceutical Benefits Scheme</w:t>
            </w:r>
          </w:p>
        </w:tc>
        <w:tc>
          <w:tcPr>
            <w:tcW w:w="835" w:type="dxa"/>
            <w:tcBorders>
              <w:top w:val="nil"/>
              <w:left w:val="nil"/>
              <w:bottom w:val="nil"/>
              <w:right w:val="nil"/>
            </w:tcBorders>
            <w:shd w:val="clear" w:color="auto" w:fill="auto"/>
            <w:vAlign w:val="center"/>
            <w:hideMark/>
          </w:tcPr>
          <w:p w14:paraId="262B9FEB"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13</w:t>
            </w:r>
          </w:p>
        </w:tc>
        <w:tc>
          <w:tcPr>
            <w:tcW w:w="796" w:type="dxa"/>
            <w:tcBorders>
              <w:top w:val="nil"/>
              <w:left w:val="nil"/>
              <w:bottom w:val="nil"/>
              <w:right w:val="nil"/>
            </w:tcBorders>
            <w:shd w:val="clear" w:color="auto" w:fill="auto"/>
            <w:vAlign w:val="center"/>
            <w:hideMark/>
          </w:tcPr>
          <w:p w14:paraId="72A2B20A"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21</w:t>
            </w:r>
          </w:p>
        </w:tc>
        <w:tc>
          <w:tcPr>
            <w:tcW w:w="815" w:type="dxa"/>
            <w:tcBorders>
              <w:top w:val="nil"/>
              <w:left w:val="single" w:sz="4" w:space="0" w:color="auto"/>
              <w:bottom w:val="nil"/>
              <w:right w:val="nil"/>
            </w:tcBorders>
            <w:shd w:val="clear" w:color="auto" w:fill="auto"/>
            <w:vAlign w:val="center"/>
            <w:hideMark/>
          </w:tcPr>
          <w:p w14:paraId="66952842"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0.7</w:t>
            </w:r>
          </w:p>
        </w:tc>
        <w:tc>
          <w:tcPr>
            <w:tcW w:w="815" w:type="dxa"/>
            <w:tcBorders>
              <w:top w:val="nil"/>
              <w:left w:val="nil"/>
              <w:bottom w:val="nil"/>
              <w:right w:val="nil"/>
            </w:tcBorders>
            <w:shd w:val="clear" w:color="auto" w:fill="auto"/>
            <w:vAlign w:val="center"/>
            <w:hideMark/>
          </w:tcPr>
          <w:p w14:paraId="03366B22"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0.7</w:t>
            </w:r>
          </w:p>
        </w:tc>
        <w:tc>
          <w:tcPr>
            <w:tcW w:w="957" w:type="dxa"/>
            <w:tcBorders>
              <w:top w:val="nil"/>
              <w:left w:val="single" w:sz="4" w:space="0" w:color="auto"/>
              <w:bottom w:val="nil"/>
              <w:right w:val="nil"/>
            </w:tcBorders>
            <w:shd w:val="clear" w:color="auto" w:fill="auto"/>
            <w:vAlign w:val="center"/>
            <w:hideMark/>
          </w:tcPr>
          <w:p w14:paraId="59B8B431"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0.0</w:t>
            </w:r>
          </w:p>
        </w:tc>
        <w:tc>
          <w:tcPr>
            <w:tcW w:w="956" w:type="dxa"/>
            <w:tcBorders>
              <w:top w:val="nil"/>
              <w:left w:val="single" w:sz="4" w:space="0" w:color="auto"/>
              <w:bottom w:val="nil"/>
              <w:right w:val="nil"/>
            </w:tcBorders>
            <w:shd w:val="clear" w:color="auto" w:fill="auto"/>
            <w:vAlign w:val="center"/>
            <w:hideMark/>
          </w:tcPr>
          <w:p w14:paraId="1DE5A887"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2.3</w:t>
            </w:r>
          </w:p>
        </w:tc>
        <w:tc>
          <w:tcPr>
            <w:tcW w:w="1037" w:type="dxa"/>
            <w:tcBorders>
              <w:top w:val="nil"/>
              <w:left w:val="single" w:sz="4" w:space="0" w:color="auto"/>
              <w:bottom w:val="nil"/>
              <w:right w:val="single" w:sz="4" w:space="0" w:color="auto"/>
            </w:tcBorders>
            <w:shd w:val="clear" w:color="auto" w:fill="auto"/>
            <w:vAlign w:val="center"/>
            <w:hideMark/>
          </w:tcPr>
          <w:p w14:paraId="0E7EFCAB"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2.5</w:t>
            </w:r>
          </w:p>
        </w:tc>
      </w:tr>
      <w:tr w:rsidR="003A56EF" w:rsidRPr="00EB2092" w14:paraId="532128E4" w14:textId="77777777" w:rsidTr="003A56EF">
        <w:trPr>
          <w:trHeight w:val="323"/>
        </w:trPr>
        <w:tc>
          <w:tcPr>
            <w:tcW w:w="3309" w:type="dxa"/>
            <w:tcBorders>
              <w:top w:val="nil"/>
              <w:left w:val="single" w:sz="4" w:space="0" w:color="auto"/>
              <w:bottom w:val="nil"/>
              <w:right w:val="single" w:sz="4" w:space="0" w:color="auto"/>
            </w:tcBorders>
            <w:shd w:val="clear" w:color="000000" w:fill="D2D9EA"/>
            <w:vAlign w:val="center"/>
            <w:hideMark/>
          </w:tcPr>
          <w:p w14:paraId="4C4D3755" w14:textId="77777777" w:rsidR="007377A9" w:rsidRPr="00EB2092" w:rsidRDefault="007377A9" w:rsidP="007377A9">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Disability support pension</w:t>
            </w:r>
          </w:p>
        </w:tc>
        <w:tc>
          <w:tcPr>
            <w:tcW w:w="835" w:type="dxa"/>
            <w:tcBorders>
              <w:top w:val="nil"/>
              <w:left w:val="nil"/>
              <w:bottom w:val="nil"/>
              <w:right w:val="nil"/>
            </w:tcBorders>
            <w:shd w:val="clear" w:color="000000" w:fill="D2D9EA"/>
            <w:vAlign w:val="center"/>
            <w:hideMark/>
          </w:tcPr>
          <w:p w14:paraId="4950A4D3"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17</w:t>
            </w:r>
          </w:p>
        </w:tc>
        <w:tc>
          <w:tcPr>
            <w:tcW w:w="796" w:type="dxa"/>
            <w:tcBorders>
              <w:top w:val="nil"/>
              <w:left w:val="nil"/>
              <w:bottom w:val="nil"/>
              <w:right w:val="nil"/>
            </w:tcBorders>
            <w:shd w:val="clear" w:color="000000" w:fill="D2D9EA"/>
            <w:vAlign w:val="center"/>
            <w:hideMark/>
          </w:tcPr>
          <w:p w14:paraId="35D0108A"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20</w:t>
            </w:r>
          </w:p>
        </w:tc>
        <w:tc>
          <w:tcPr>
            <w:tcW w:w="815" w:type="dxa"/>
            <w:tcBorders>
              <w:top w:val="nil"/>
              <w:left w:val="single" w:sz="4" w:space="0" w:color="auto"/>
              <w:bottom w:val="nil"/>
              <w:right w:val="nil"/>
            </w:tcBorders>
            <w:shd w:val="clear" w:color="000000" w:fill="D2D9EA"/>
            <w:vAlign w:val="center"/>
            <w:hideMark/>
          </w:tcPr>
          <w:p w14:paraId="0A174877"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0.9</w:t>
            </w:r>
          </w:p>
        </w:tc>
        <w:tc>
          <w:tcPr>
            <w:tcW w:w="815" w:type="dxa"/>
            <w:tcBorders>
              <w:top w:val="nil"/>
              <w:left w:val="nil"/>
              <w:bottom w:val="nil"/>
              <w:right w:val="nil"/>
            </w:tcBorders>
            <w:shd w:val="clear" w:color="000000" w:fill="D2D9EA"/>
            <w:vAlign w:val="center"/>
            <w:hideMark/>
          </w:tcPr>
          <w:p w14:paraId="3A43B7E6"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0.6</w:t>
            </w:r>
          </w:p>
        </w:tc>
        <w:tc>
          <w:tcPr>
            <w:tcW w:w="957" w:type="dxa"/>
            <w:tcBorders>
              <w:top w:val="nil"/>
              <w:left w:val="single" w:sz="4" w:space="0" w:color="auto"/>
              <w:bottom w:val="nil"/>
              <w:right w:val="nil"/>
            </w:tcBorders>
            <w:shd w:val="clear" w:color="000000" w:fill="D2D9EA"/>
            <w:vAlign w:val="center"/>
            <w:hideMark/>
          </w:tcPr>
          <w:p w14:paraId="52F2D502"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-0.2</w:t>
            </w:r>
          </w:p>
        </w:tc>
        <w:tc>
          <w:tcPr>
            <w:tcW w:w="956" w:type="dxa"/>
            <w:tcBorders>
              <w:top w:val="nil"/>
              <w:left w:val="single" w:sz="4" w:space="0" w:color="auto"/>
              <w:bottom w:val="nil"/>
              <w:right w:val="nil"/>
            </w:tcBorders>
            <w:shd w:val="clear" w:color="000000" w:fill="D2D9EA"/>
            <w:vAlign w:val="center"/>
            <w:hideMark/>
          </w:tcPr>
          <w:p w14:paraId="48E2A17E"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-0.4</w:t>
            </w:r>
          </w:p>
        </w:tc>
        <w:tc>
          <w:tcPr>
            <w:tcW w:w="1037" w:type="dxa"/>
            <w:tcBorders>
              <w:top w:val="nil"/>
              <w:left w:val="single" w:sz="4" w:space="0" w:color="auto"/>
              <w:bottom w:val="nil"/>
              <w:right w:val="single" w:sz="4" w:space="0" w:color="auto"/>
            </w:tcBorders>
            <w:shd w:val="clear" w:color="000000" w:fill="D2D9EA"/>
            <w:vAlign w:val="center"/>
            <w:hideMark/>
          </w:tcPr>
          <w:p w14:paraId="395A2A9A"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2.4</w:t>
            </w:r>
          </w:p>
        </w:tc>
      </w:tr>
      <w:tr w:rsidR="003A56EF" w:rsidRPr="00EB2092" w14:paraId="309BB455" w14:textId="77777777" w:rsidTr="003A56EF">
        <w:trPr>
          <w:trHeight w:val="323"/>
        </w:trPr>
        <w:tc>
          <w:tcPr>
            <w:tcW w:w="3309" w:type="dxa"/>
            <w:tcBorders>
              <w:top w:val="nil"/>
              <w:left w:val="single" w:sz="4" w:space="0" w:color="auto"/>
              <w:bottom w:val="nil"/>
              <w:right w:val="single" w:sz="4" w:space="0" w:color="auto"/>
            </w:tcBorders>
            <w:shd w:val="clear" w:color="auto" w:fill="auto"/>
            <w:vAlign w:val="center"/>
            <w:hideMark/>
          </w:tcPr>
          <w:p w14:paraId="3A2A8F97" w14:textId="77777777" w:rsidR="007377A9" w:rsidRPr="00EB2092" w:rsidRDefault="007377A9" w:rsidP="007377A9">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Family tax benefit</w:t>
            </w:r>
          </w:p>
        </w:tc>
        <w:tc>
          <w:tcPr>
            <w:tcW w:w="835" w:type="dxa"/>
            <w:tcBorders>
              <w:top w:val="nil"/>
              <w:left w:val="nil"/>
              <w:bottom w:val="nil"/>
              <w:right w:val="nil"/>
            </w:tcBorders>
            <w:shd w:val="clear" w:color="auto" w:fill="auto"/>
            <w:vAlign w:val="center"/>
            <w:hideMark/>
          </w:tcPr>
          <w:p w14:paraId="0DD368C1"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18</w:t>
            </w:r>
          </w:p>
        </w:tc>
        <w:tc>
          <w:tcPr>
            <w:tcW w:w="796" w:type="dxa"/>
            <w:tcBorders>
              <w:top w:val="nil"/>
              <w:left w:val="nil"/>
              <w:bottom w:val="nil"/>
              <w:right w:val="nil"/>
            </w:tcBorders>
            <w:shd w:val="clear" w:color="auto" w:fill="auto"/>
            <w:vAlign w:val="center"/>
            <w:hideMark/>
          </w:tcPr>
          <w:p w14:paraId="02665FE0"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20</w:t>
            </w:r>
          </w:p>
        </w:tc>
        <w:tc>
          <w:tcPr>
            <w:tcW w:w="815" w:type="dxa"/>
            <w:tcBorders>
              <w:top w:val="nil"/>
              <w:left w:val="single" w:sz="4" w:space="0" w:color="auto"/>
              <w:bottom w:val="nil"/>
              <w:right w:val="nil"/>
            </w:tcBorders>
            <w:shd w:val="clear" w:color="auto" w:fill="auto"/>
            <w:vAlign w:val="center"/>
            <w:hideMark/>
          </w:tcPr>
          <w:p w14:paraId="2C78CAD9"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0.9</w:t>
            </w:r>
          </w:p>
        </w:tc>
        <w:tc>
          <w:tcPr>
            <w:tcW w:w="815" w:type="dxa"/>
            <w:tcBorders>
              <w:top w:val="nil"/>
              <w:left w:val="nil"/>
              <w:bottom w:val="nil"/>
              <w:right w:val="nil"/>
            </w:tcBorders>
            <w:shd w:val="clear" w:color="auto" w:fill="auto"/>
            <w:vAlign w:val="center"/>
            <w:hideMark/>
          </w:tcPr>
          <w:p w14:paraId="310AC2B3"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0.6</w:t>
            </w:r>
          </w:p>
        </w:tc>
        <w:tc>
          <w:tcPr>
            <w:tcW w:w="957" w:type="dxa"/>
            <w:tcBorders>
              <w:top w:val="nil"/>
              <w:left w:val="single" w:sz="4" w:space="0" w:color="auto"/>
              <w:bottom w:val="nil"/>
              <w:right w:val="nil"/>
            </w:tcBorders>
            <w:shd w:val="clear" w:color="auto" w:fill="auto"/>
            <w:vAlign w:val="center"/>
            <w:hideMark/>
          </w:tcPr>
          <w:p w14:paraId="04DC0BAC"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-0.3</w:t>
            </w:r>
          </w:p>
        </w:tc>
        <w:tc>
          <w:tcPr>
            <w:tcW w:w="956" w:type="dxa"/>
            <w:tcBorders>
              <w:top w:val="nil"/>
              <w:left w:val="single" w:sz="4" w:space="0" w:color="auto"/>
              <w:bottom w:val="nil"/>
              <w:right w:val="nil"/>
            </w:tcBorders>
            <w:shd w:val="clear" w:color="auto" w:fill="auto"/>
            <w:vAlign w:val="center"/>
            <w:hideMark/>
          </w:tcPr>
          <w:p w14:paraId="08B87345"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-1.0</w:t>
            </w:r>
          </w:p>
        </w:tc>
        <w:tc>
          <w:tcPr>
            <w:tcW w:w="1037" w:type="dxa"/>
            <w:tcBorders>
              <w:top w:val="nil"/>
              <w:left w:val="single" w:sz="4" w:space="0" w:color="auto"/>
              <w:bottom w:val="nil"/>
              <w:right w:val="single" w:sz="4" w:space="0" w:color="auto"/>
            </w:tcBorders>
            <w:shd w:val="clear" w:color="auto" w:fill="auto"/>
            <w:vAlign w:val="center"/>
            <w:hideMark/>
          </w:tcPr>
          <w:p w14:paraId="272AD0DF"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2.4</w:t>
            </w:r>
          </w:p>
        </w:tc>
      </w:tr>
      <w:tr w:rsidR="003A56EF" w:rsidRPr="00EB2092" w14:paraId="78D40CCA" w14:textId="77777777" w:rsidTr="003A56EF">
        <w:trPr>
          <w:trHeight w:val="323"/>
        </w:trPr>
        <w:tc>
          <w:tcPr>
            <w:tcW w:w="3309" w:type="dxa"/>
            <w:tcBorders>
              <w:top w:val="nil"/>
              <w:left w:val="single" w:sz="4" w:space="0" w:color="auto"/>
              <w:bottom w:val="nil"/>
              <w:right w:val="single" w:sz="4" w:space="0" w:color="auto"/>
            </w:tcBorders>
            <w:shd w:val="clear" w:color="000000" w:fill="D2D9EA"/>
            <w:vAlign w:val="center"/>
            <w:hideMark/>
          </w:tcPr>
          <w:p w14:paraId="6061F8FE" w14:textId="77777777" w:rsidR="007377A9" w:rsidRPr="00EB2092" w:rsidRDefault="007377A9" w:rsidP="007377A9">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Carer income support</w:t>
            </w:r>
          </w:p>
        </w:tc>
        <w:tc>
          <w:tcPr>
            <w:tcW w:w="835" w:type="dxa"/>
            <w:tcBorders>
              <w:top w:val="nil"/>
              <w:left w:val="nil"/>
              <w:bottom w:val="nil"/>
              <w:right w:val="nil"/>
            </w:tcBorders>
            <w:shd w:val="clear" w:color="000000" w:fill="D2D9EA"/>
            <w:vAlign w:val="center"/>
            <w:hideMark/>
          </w:tcPr>
          <w:p w14:paraId="299A197E"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9</w:t>
            </w:r>
          </w:p>
        </w:tc>
        <w:tc>
          <w:tcPr>
            <w:tcW w:w="796" w:type="dxa"/>
            <w:tcBorders>
              <w:top w:val="nil"/>
              <w:left w:val="nil"/>
              <w:bottom w:val="nil"/>
              <w:right w:val="nil"/>
            </w:tcBorders>
            <w:shd w:val="clear" w:color="000000" w:fill="D2D9EA"/>
            <w:vAlign w:val="center"/>
            <w:hideMark/>
          </w:tcPr>
          <w:p w14:paraId="17D0BBDC"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16</w:t>
            </w:r>
          </w:p>
        </w:tc>
        <w:tc>
          <w:tcPr>
            <w:tcW w:w="815" w:type="dxa"/>
            <w:tcBorders>
              <w:top w:val="nil"/>
              <w:left w:val="single" w:sz="4" w:space="0" w:color="auto"/>
              <w:bottom w:val="nil"/>
              <w:right w:val="nil"/>
            </w:tcBorders>
            <w:shd w:val="clear" w:color="000000" w:fill="D2D9EA"/>
            <w:vAlign w:val="center"/>
            <w:hideMark/>
          </w:tcPr>
          <w:p w14:paraId="3DC3AC88"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0.5</w:t>
            </w:r>
          </w:p>
        </w:tc>
        <w:tc>
          <w:tcPr>
            <w:tcW w:w="815" w:type="dxa"/>
            <w:tcBorders>
              <w:top w:val="nil"/>
              <w:left w:val="nil"/>
              <w:bottom w:val="nil"/>
              <w:right w:val="nil"/>
            </w:tcBorders>
            <w:shd w:val="clear" w:color="000000" w:fill="D2D9EA"/>
            <w:vAlign w:val="center"/>
            <w:hideMark/>
          </w:tcPr>
          <w:p w14:paraId="16BEAD6F"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0.5</w:t>
            </w:r>
          </w:p>
        </w:tc>
        <w:tc>
          <w:tcPr>
            <w:tcW w:w="957" w:type="dxa"/>
            <w:tcBorders>
              <w:top w:val="nil"/>
              <w:left w:val="single" w:sz="4" w:space="0" w:color="auto"/>
              <w:bottom w:val="nil"/>
              <w:right w:val="nil"/>
            </w:tcBorders>
            <w:shd w:val="clear" w:color="000000" w:fill="D2D9EA"/>
            <w:vAlign w:val="center"/>
            <w:hideMark/>
          </w:tcPr>
          <w:p w14:paraId="2C102E80"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0.0</w:t>
            </w:r>
          </w:p>
        </w:tc>
        <w:tc>
          <w:tcPr>
            <w:tcW w:w="956" w:type="dxa"/>
            <w:tcBorders>
              <w:top w:val="nil"/>
              <w:left w:val="single" w:sz="4" w:space="0" w:color="auto"/>
              <w:bottom w:val="nil"/>
              <w:right w:val="nil"/>
            </w:tcBorders>
            <w:shd w:val="clear" w:color="000000" w:fill="D2D9EA"/>
            <w:vAlign w:val="center"/>
            <w:hideMark/>
          </w:tcPr>
          <w:p w14:paraId="03D4C0AA"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3.1</w:t>
            </w:r>
          </w:p>
        </w:tc>
        <w:tc>
          <w:tcPr>
            <w:tcW w:w="1037" w:type="dxa"/>
            <w:tcBorders>
              <w:top w:val="nil"/>
              <w:left w:val="single" w:sz="4" w:space="0" w:color="auto"/>
              <w:bottom w:val="nil"/>
              <w:right w:val="single" w:sz="4" w:space="0" w:color="auto"/>
            </w:tcBorders>
            <w:shd w:val="clear" w:color="000000" w:fill="D2D9EA"/>
            <w:vAlign w:val="center"/>
            <w:hideMark/>
          </w:tcPr>
          <w:p w14:paraId="13EFFD45"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1.9</w:t>
            </w:r>
          </w:p>
        </w:tc>
      </w:tr>
      <w:tr w:rsidR="003A56EF" w:rsidRPr="00EB2092" w14:paraId="047F1AEF" w14:textId="77777777" w:rsidTr="003A56EF">
        <w:trPr>
          <w:trHeight w:val="323"/>
        </w:trPr>
        <w:tc>
          <w:tcPr>
            <w:tcW w:w="3309" w:type="dxa"/>
            <w:tcBorders>
              <w:top w:val="nil"/>
              <w:left w:val="single" w:sz="4" w:space="0" w:color="auto"/>
              <w:bottom w:val="nil"/>
              <w:right w:val="single" w:sz="4" w:space="0" w:color="auto"/>
            </w:tcBorders>
            <w:shd w:val="clear" w:color="auto" w:fill="auto"/>
            <w:vAlign w:val="center"/>
            <w:hideMark/>
          </w:tcPr>
          <w:p w14:paraId="79FBA195" w14:textId="77777777" w:rsidR="007377A9" w:rsidRPr="00EB2092" w:rsidRDefault="007377A9" w:rsidP="007377A9">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Income support for the unemployed</w:t>
            </w:r>
          </w:p>
        </w:tc>
        <w:tc>
          <w:tcPr>
            <w:tcW w:w="835" w:type="dxa"/>
            <w:tcBorders>
              <w:top w:val="nil"/>
              <w:left w:val="nil"/>
              <w:bottom w:val="nil"/>
              <w:right w:val="nil"/>
            </w:tcBorders>
            <w:shd w:val="clear" w:color="auto" w:fill="auto"/>
            <w:vAlign w:val="center"/>
            <w:hideMark/>
          </w:tcPr>
          <w:p w14:paraId="4572C93D"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10</w:t>
            </w:r>
          </w:p>
        </w:tc>
        <w:tc>
          <w:tcPr>
            <w:tcW w:w="796" w:type="dxa"/>
            <w:tcBorders>
              <w:top w:val="nil"/>
              <w:left w:val="nil"/>
              <w:bottom w:val="nil"/>
              <w:right w:val="nil"/>
            </w:tcBorders>
            <w:shd w:val="clear" w:color="auto" w:fill="auto"/>
            <w:vAlign w:val="center"/>
            <w:hideMark/>
          </w:tcPr>
          <w:p w14:paraId="5F9F0997"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15</w:t>
            </w:r>
          </w:p>
        </w:tc>
        <w:tc>
          <w:tcPr>
            <w:tcW w:w="815" w:type="dxa"/>
            <w:tcBorders>
              <w:top w:val="nil"/>
              <w:left w:val="single" w:sz="4" w:space="0" w:color="auto"/>
              <w:bottom w:val="nil"/>
              <w:right w:val="nil"/>
            </w:tcBorders>
            <w:shd w:val="clear" w:color="auto" w:fill="auto"/>
            <w:vAlign w:val="center"/>
            <w:hideMark/>
          </w:tcPr>
          <w:p w14:paraId="733FDD4A"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0.5</w:t>
            </w:r>
          </w:p>
        </w:tc>
        <w:tc>
          <w:tcPr>
            <w:tcW w:w="815" w:type="dxa"/>
            <w:tcBorders>
              <w:top w:val="nil"/>
              <w:left w:val="nil"/>
              <w:bottom w:val="nil"/>
              <w:right w:val="nil"/>
            </w:tcBorders>
            <w:shd w:val="clear" w:color="auto" w:fill="auto"/>
            <w:vAlign w:val="center"/>
            <w:hideMark/>
          </w:tcPr>
          <w:p w14:paraId="74194E40"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0.5</w:t>
            </w:r>
          </w:p>
        </w:tc>
        <w:tc>
          <w:tcPr>
            <w:tcW w:w="957" w:type="dxa"/>
            <w:tcBorders>
              <w:top w:val="nil"/>
              <w:left w:val="single" w:sz="4" w:space="0" w:color="auto"/>
              <w:bottom w:val="nil"/>
              <w:right w:val="nil"/>
            </w:tcBorders>
            <w:shd w:val="clear" w:color="auto" w:fill="auto"/>
            <w:vAlign w:val="center"/>
            <w:hideMark/>
          </w:tcPr>
          <w:p w14:paraId="09DBDC86"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0.0</w:t>
            </w:r>
          </w:p>
        </w:tc>
        <w:tc>
          <w:tcPr>
            <w:tcW w:w="956" w:type="dxa"/>
            <w:tcBorders>
              <w:top w:val="nil"/>
              <w:left w:val="single" w:sz="4" w:space="0" w:color="auto"/>
              <w:bottom w:val="nil"/>
              <w:right w:val="nil"/>
            </w:tcBorders>
            <w:shd w:val="clear" w:color="auto" w:fill="auto"/>
            <w:vAlign w:val="center"/>
            <w:hideMark/>
          </w:tcPr>
          <w:p w14:paraId="52A7AA1D"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1.9</w:t>
            </w:r>
          </w:p>
        </w:tc>
        <w:tc>
          <w:tcPr>
            <w:tcW w:w="1037" w:type="dxa"/>
            <w:tcBorders>
              <w:top w:val="nil"/>
              <w:left w:val="single" w:sz="4" w:space="0" w:color="auto"/>
              <w:bottom w:val="nil"/>
              <w:right w:val="single" w:sz="4" w:space="0" w:color="auto"/>
            </w:tcBorders>
            <w:shd w:val="clear" w:color="auto" w:fill="auto"/>
            <w:vAlign w:val="center"/>
            <w:hideMark/>
          </w:tcPr>
          <w:p w14:paraId="05360589"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1.8</w:t>
            </w:r>
          </w:p>
        </w:tc>
      </w:tr>
      <w:tr w:rsidR="003A56EF" w:rsidRPr="00EB2092" w14:paraId="00AA449F" w14:textId="77777777" w:rsidTr="003A56EF">
        <w:trPr>
          <w:trHeight w:val="323"/>
        </w:trPr>
        <w:tc>
          <w:tcPr>
            <w:tcW w:w="3309" w:type="dxa"/>
            <w:tcBorders>
              <w:top w:val="nil"/>
              <w:left w:val="single" w:sz="4" w:space="0" w:color="auto"/>
              <w:bottom w:val="nil"/>
              <w:right w:val="single" w:sz="4" w:space="0" w:color="auto"/>
            </w:tcBorders>
            <w:shd w:val="clear" w:color="000000" w:fill="D2D9EA"/>
            <w:vAlign w:val="center"/>
            <w:hideMark/>
          </w:tcPr>
          <w:p w14:paraId="1B390537" w14:textId="77777777" w:rsidR="007377A9" w:rsidRPr="00EB2092" w:rsidRDefault="007377A9" w:rsidP="007377A9">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Child care</w:t>
            </w:r>
          </w:p>
        </w:tc>
        <w:tc>
          <w:tcPr>
            <w:tcW w:w="835" w:type="dxa"/>
            <w:tcBorders>
              <w:top w:val="nil"/>
              <w:left w:val="nil"/>
              <w:bottom w:val="nil"/>
              <w:right w:val="nil"/>
            </w:tcBorders>
            <w:shd w:val="clear" w:color="000000" w:fill="D2D9EA"/>
            <w:vAlign w:val="center"/>
            <w:hideMark/>
          </w:tcPr>
          <w:p w14:paraId="7589BFE8"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7</w:t>
            </w:r>
          </w:p>
        </w:tc>
        <w:tc>
          <w:tcPr>
            <w:tcW w:w="796" w:type="dxa"/>
            <w:tcBorders>
              <w:top w:val="nil"/>
              <w:left w:val="nil"/>
              <w:bottom w:val="nil"/>
              <w:right w:val="nil"/>
            </w:tcBorders>
            <w:shd w:val="clear" w:color="000000" w:fill="D2D9EA"/>
            <w:vAlign w:val="center"/>
            <w:hideMark/>
          </w:tcPr>
          <w:p w14:paraId="40941893"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14</w:t>
            </w:r>
          </w:p>
        </w:tc>
        <w:tc>
          <w:tcPr>
            <w:tcW w:w="815" w:type="dxa"/>
            <w:tcBorders>
              <w:top w:val="nil"/>
              <w:left w:val="single" w:sz="4" w:space="0" w:color="auto"/>
              <w:bottom w:val="nil"/>
              <w:right w:val="nil"/>
            </w:tcBorders>
            <w:shd w:val="clear" w:color="000000" w:fill="D2D9EA"/>
            <w:vAlign w:val="center"/>
            <w:hideMark/>
          </w:tcPr>
          <w:p w14:paraId="0C7F8B75"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0.4</w:t>
            </w:r>
          </w:p>
        </w:tc>
        <w:tc>
          <w:tcPr>
            <w:tcW w:w="815" w:type="dxa"/>
            <w:tcBorders>
              <w:top w:val="nil"/>
              <w:left w:val="nil"/>
              <w:bottom w:val="nil"/>
              <w:right w:val="nil"/>
            </w:tcBorders>
            <w:shd w:val="clear" w:color="000000" w:fill="D2D9EA"/>
            <w:vAlign w:val="center"/>
            <w:hideMark/>
          </w:tcPr>
          <w:p w14:paraId="1415C8FF"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0.4</w:t>
            </w:r>
          </w:p>
        </w:tc>
        <w:tc>
          <w:tcPr>
            <w:tcW w:w="957" w:type="dxa"/>
            <w:tcBorders>
              <w:top w:val="nil"/>
              <w:left w:val="single" w:sz="4" w:space="0" w:color="auto"/>
              <w:bottom w:val="nil"/>
              <w:right w:val="nil"/>
            </w:tcBorders>
            <w:shd w:val="clear" w:color="000000" w:fill="D2D9EA"/>
            <w:vAlign w:val="center"/>
            <w:hideMark/>
          </w:tcPr>
          <w:p w14:paraId="22CC88AC"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0.1</w:t>
            </w:r>
          </w:p>
        </w:tc>
        <w:tc>
          <w:tcPr>
            <w:tcW w:w="956" w:type="dxa"/>
            <w:tcBorders>
              <w:top w:val="nil"/>
              <w:left w:val="single" w:sz="4" w:space="0" w:color="auto"/>
              <w:bottom w:val="nil"/>
              <w:right w:val="nil"/>
            </w:tcBorders>
            <w:shd w:val="clear" w:color="000000" w:fill="D2D9EA"/>
            <w:vAlign w:val="center"/>
            <w:hideMark/>
          </w:tcPr>
          <w:p w14:paraId="1BA40481"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3.7</w:t>
            </w:r>
          </w:p>
        </w:tc>
        <w:tc>
          <w:tcPr>
            <w:tcW w:w="1037" w:type="dxa"/>
            <w:tcBorders>
              <w:top w:val="nil"/>
              <w:left w:val="single" w:sz="4" w:space="0" w:color="auto"/>
              <w:bottom w:val="nil"/>
              <w:right w:val="single" w:sz="4" w:space="0" w:color="auto"/>
            </w:tcBorders>
            <w:shd w:val="clear" w:color="000000" w:fill="D2D9EA"/>
            <w:vAlign w:val="center"/>
            <w:hideMark/>
          </w:tcPr>
          <w:p w14:paraId="7E4D906B"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1.7</w:t>
            </w:r>
          </w:p>
        </w:tc>
      </w:tr>
      <w:tr w:rsidR="003A56EF" w:rsidRPr="00EB2092" w14:paraId="36FF6654" w14:textId="77777777" w:rsidTr="003A56EF">
        <w:trPr>
          <w:trHeight w:val="323"/>
        </w:trPr>
        <w:tc>
          <w:tcPr>
            <w:tcW w:w="3309" w:type="dxa"/>
            <w:tcBorders>
              <w:top w:val="nil"/>
              <w:left w:val="single" w:sz="4" w:space="0" w:color="auto"/>
              <w:bottom w:val="nil"/>
              <w:right w:val="single" w:sz="4" w:space="0" w:color="auto"/>
            </w:tcBorders>
            <w:shd w:val="clear" w:color="auto" w:fill="auto"/>
            <w:vAlign w:val="center"/>
            <w:hideMark/>
          </w:tcPr>
          <w:p w14:paraId="1F1742E2" w14:textId="77777777" w:rsidR="007377A9" w:rsidRPr="00EB2092" w:rsidRDefault="007377A9" w:rsidP="007377A9">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Government superannuation</w:t>
            </w:r>
          </w:p>
        </w:tc>
        <w:tc>
          <w:tcPr>
            <w:tcW w:w="835" w:type="dxa"/>
            <w:tcBorders>
              <w:top w:val="nil"/>
              <w:left w:val="nil"/>
              <w:bottom w:val="nil"/>
              <w:right w:val="nil"/>
            </w:tcBorders>
            <w:shd w:val="clear" w:color="auto" w:fill="auto"/>
            <w:vAlign w:val="center"/>
            <w:hideMark/>
          </w:tcPr>
          <w:p w14:paraId="5A6D97A4"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7</w:t>
            </w:r>
          </w:p>
        </w:tc>
        <w:tc>
          <w:tcPr>
            <w:tcW w:w="796" w:type="dxa"/>
            <w:tcBorders>
              <w:top w:val="nil"/>
              <w:left w:val="nil"/>
              <w:bottom w:val="nil"/>
              <w:right w:val="nil"/>
            </w:tcBorders>
            <w:shd w:val="clear" w:color="auto" w:fill="auto"/>
            <w:vAlign w:val="center"/>
            <w:hideMark/>
          </w:tcPr>
          <w:p w14:paraId="395F551E"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13</w:t>
            </w:r>
          </w:p>
        </w:tc>
        <w:tc>
          <w:tcPr>
            <w:tcW w:w="815" w:type="dxa"/>
            <w:tcBorders>
              <w:top w:val="nil"/>
              <w:left w:val="single" w:sz="4" w:space="0" w:color="auto"/>
              <w:bottom w:val="nil"/>
              <w:right w:val="nil"/>
            </w:tcBorders>
            <w:shd w:val="clear" w:color="auto" w:fill="auto"/>
            <w:vAlign w:val="center"/>
            <w:hideMark/>
          </w:tcPr>
          <w:p w14:paraId="19513CAA"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0.4</w:t>
            </w:r>
          </w:p>
        </w:tc>
        <w:tc>
          <w:tcPr>
            <w:tcW w:w="815" w:type="dxa"/>
            <w:tcBorders>
              <w:top w:val="nil"/>
              <w:left w:val="nil"/>
              <w:bottom w:val="nil"/>
              <w:right w:val="nil"/>
            </w:tcBorders>
            <w:shd w:val="clear" w:color="auto" w:fill="auto"/>
            <w:vAlign w:val="center"/>
            <w:hideMark/>
          </w:tcPr>
          <w:p w14:paraId="5C90F449"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0.4</w:t>
            </w:r>
          </w:p>
        </w:tc>
        <w:tc>
          <w:tcPr>
            <w:tcW w:w="957" w:type="dxa"/>
            <w:tcBorders>
              <w:top w:val="nil"/>
              <w:left w:val="single" w:sz="4" w:space="0" w:color="auto"/>
              <w:bottom w:val="nil"/>
              <w:right w:val="nil"/>
            </w:tcBorders>
            <w:shd w:val="clear" w:color="auto" w:fill="auto"/>
            <w:vAlign w:val="center"/>
            <w:hideMark/>
          </w:tcPr>
          <w:p w14:paraId="3FF88D01"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0.0</w:t>
            </w:r>
          </w:p>
        </w:tc>
        <w:tc>
          <w:tcPr>
            <w:tcW w:w="956" w:type="dxa"/>
            <w:tcBorders>
              <w:top w:val="nil"/>
              <w:left w:val="single" w:sz="4" w:space="0" w:color="auto"/>
              <w:bottom w:val="nil"/>
              <w:right w:val="nil"/>
            </w:tcBorders>
            <w:shd w:val="clear" w:color="auto" w:fill="auto"/>
            <w:vAlign w:val="center"/>
            <w:hideMark/>
          </w:tcPr>
          <w:p w14:paraId="3D463C33"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2.8</w:t>
            </w:r>
          </w:p>
        </w:tc>
        <w:tc>
          <w:tcPr>
            <w:tcW w:w="1037" w:type="dxa"/>
            <w:tcBorders>
              <w:top w:val="nil"/>
              <w:left w:val="single" w:sz="4" w:space="0" w:color="auto"/>
              <w:bottom w:val="nil"/>
              <w:right w:val="single" w:sz="4" w:space="0" w:color="auto"/>
            </w:tcBorders>
            <w:shd w:val="clear" w:color="auto" w:fill="auto"/>
            <w:vAlign w:val="center"/>
            <w:hideMark/>
          </w:tcPr>
          <w:p w14:paraId="4A804C64"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1.6</w:t>
            </w:r>
          </w:p>
        </w:tc>
      </w:tr>
      <w:tr w:rsidR="003A56EF" w:rsidRPr="00EB2092" w14:paraId="292828B7" w14:textId="77777777" w:rsidTr="003A56EF">
        <w:trPr>
          <w:trHeight w:val="323"/>
        </w:trPr>
        <w:tc>
          <w:tcPr>
            <w:tcW w:w="3309" w:type="dxa"/>
            <w:tcBorders>
              <w:top w:val="nil"/>
              <w:left w:val="single" w:sz="4" w:space="0" w:color="auto"/>
              <w:bottom w:val="nil"/>
              <w:right w:val="single" w:sz="4" w:space="0" w:color="auto"/>
            </w:tcBorders>
            <w:shd w:val="clear" w:color="000000" w:fill="D2D9EA"/>
            <w:vAlign w:val="center"/>
            <w:hideMark/>
          </w:tcPr>
          <w:p w14:paraId="7F0581B9" w14:textId="77777777" w:rsidR="007377A9" w:rsidRPr="00EB2092" w:rsidRDefault="007377A9" w:rsidP="007377A9">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Fuel Tax Credit Scheme</w:t>
            </w:r>
          </w:p>
        </w:tc>
        <w:tc>
          <w:tcPr>
            <w:tcW w:w="835" w:type="dxa"/>
            <w:tcBorders>
              <w:top w:val="nil"/>
              <w:left w:val="nil"/>
              <w:bottom w:val="nil"/>
              <w:right w:val="nil"/>
            </w:tcBorders>
            <w:shd w:val="clear" w:color="000000" w:fill="D2D9EA"/>
            <w:vAlign w:val="center"/>
            <w:hideMark/>
          </w:tcPr>
          <w:p w14:paraId="114E94EA"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7</w:t>
            </w:r>
          </w:p>
        </w:tc>
        <w:tc>
          <w:tcPr>
            <w:tcW w:w="796" w:type="dxa"/>
            <w:tcBorders>
              <w:top w:val="nil"/>
              <w:left w:val="nil"/>
              <w:bottom w:val="nil"/>
              <w:right w:val="nil"/>
            </w:tcBorders>
            <w:shd w:val="clear" w:color="000000" w:fill="D2D9EA"/>
            <w:vAlign w:val="center"/>
            <w:hideMark/>
          </w:tcPr>
          <w:p w14:paraId="0EB38E7B"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11</w:t>
            </w:r>
          </w:p>
        </w:tc>
        <w:tc>
          <w:tcPr>
            <w:tcW w:w="815" w:type="dxa"/>
            <w:tcBorders>
              <w:top w:val="nil"/>
              <w:left w:val="single" w:sz="4" w:space="0" w:color="auto"/>
              <w:bottom w:val="nil"/>
              <w:right w:val="nil"/>
            </w:tcBorders>
            <w:shd w:val="clear" w:color="000000" w:fill="D2D9EA"/>
            <w:vAlign w:val="center"/>
            <w:hideMark/>
          </w:tcPr>
          <w:p w14:paraId="196DC460"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0.4</w:t>
            </w:r>
          </w:p>
        </w:tc>
        <w:tc>
          <w:tcPr>
            <w:tcW w:w="815" w:type="dxa"/>
            <w:tcBorders>
              <w:top w:val="nil"/>
              <w:left w:val="nil"/>
              <w:bottom w:val="nil"/>
              <w:right w:val="nil"/>
            </w:tcBorders>
            <w:shd w:val="clear" w:color="000000" w:fill="D2D9EA"/>
            <w:vAlign w:val="center"/>
            <w:hideMark/>
          </w:tcPr>
          <w:p w14:paraId="2313597D"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0.3</w:t>
            </w:r>
          </w:p>
        </w:tc>
        <w:tc>
          <w:tcPr>
            <w:tcW w:w="957" w:type="dxa"/>
            <w:tcBorders>
              <w:top w:val="nil"/>
              <w:left w:val="single" w:sz="4" w:space="0" w:color="auto"/>
              <w:bottom w:val="nil"/>
              <w:right w:val="nil"/>
            </w:tcBorders>
            <w:shd w:val="clear" w:color="000000" w:fill="D2D9EA"/>
            <w:vAlign w:val="center"/>
            <w:hideMark/>
          </w:tcPr>
          <w:p w14:paraId="385CD63E"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0.0</w:t>
            </w:r>
          </w:p>
        </w:tc>
        <w:tc>
          <w:tcPr>
            <w:tcW w:w="956" w:type="dxa"/>
            <w:tcBorders>
              <w:top w:val="nil"/>
              <w:left w:val="single" w:sz="4" w:space="0" w:color="auto"/>
              <w:bottom w:val="nil"/>
              <w:right w:val="nil"/>
            </w:tcBorders>
            <w:shd w:val="clear" w:color="000000" w:fill="D2D9EA"/>
            <w:vAlign w:val="center"/>
            <w:hideMark/>
          </w:tcPr>
          <w:p w14:paraId="5C93ED73"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1.6</w:t>
            </w:r>
          </w:p>
        </w:tc>
        <w:tc>
          <w:tcPr>
            <w:tcW w:w="1037" w:type="dxa"/>
            <w:tcBorders>
              <w:top w:val="nil"/>
              <w:left w:val="single" w:sz="4" w:space="0" w:color="auto"/>
              <w:bottom w:val="nil"/>
              <w:right w:val="single" w:sz="4" w:space="0" w:color="auto"/>
            </w:tcBorders>
            <w:shd w:val="clear" w:color="000000" w:fill="D2D9EA"/>
            <w:vAlign w:val="center"/>
            <w:hideMark/>
          </w:tcPr>
          <w:p w14:paraId="32094851"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1.3</w:t>
            </w:r>
          </w:p>
        </w:tc>
      </w:tr>
      <w:tr w:rsidR="003A56EF" w:rsidRPr="00EB2092" w14:paraId="45E75BFD" w14:textId="77777777" w:rsidTr="003A56EF">
        <w:trPr>
          <w:trHeight w:val="323"/>
        </w:trPr>
        <w:tc>
          <w:tcPr>
            <w:tcW w:w="3309" w:type="dxa"/>
            <w:tcBorders>
              <w:top w:val="nil"/>
              <w:left w:val="single" w:sz="4" w:space="0" w:color="auto"/>
              <w:bottom w:val="nil"/>
              <w:right w:val="single" w:sz="4" w:space="0" w:color="auto"/>
            </w:tcBorders>
            <w:shd w:val="clear" w:color="auto" w:fill="auto"/>
            <w:vAlign w:val="center"/>
            <w:hideMark/>
          </w:tcPr>
          <w:p w14:paraId="04AEAD6E" w14:textId="77777777" w:rsidR="007377A9" w:rsidRPr="00EB2092" w:rsidRDefault="007377A9" w:rsidP="007377A9">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Commonwealth Grants Scheme</w:t>
            </w:r>
          </w:p>
        </w:tc>
        <w:tc>
          <w:tcPr>
            <w:tcW w:w="835" w:type="dxa"/>
            <w:tcBorders>
              <w:top w:val="nil"/>
              <w:left w:val="nil"/>
              <w:bottom w:val="nil"/>
              <w:right w:val="nil"/>
            </w:tcBorders>
            <w:shd w:val="clear" w:color="auto" w:fill="auto"/>
            <w:vAlign w:val="center"/>
            <w:hideMark/>
          </w:tcPr>
          <w:p w14:paraId="3C400A3C"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7</w:t>
            </w:r>
          </w:p>
        </w:tc>
        <w:tc>
          <w:tcPr>
            <w:tcW w:w="796" w:type="dxa"/>
            <w:tcBorders>
              <w:top w:val="nil"/>
              <w:left w:val="nil"/>
              <w:bottom w:val="nil"/>
              <w:right w:val="nil"/>
            </w:tcBorders>
            <w:shd w:val="clear" w:color="auto" w:fill="auto"/>
            <w:vAlign w:val="center"/>
            <w:hideMark/>
          </w:tcPr>
          <w:p w14:paraId="7FD57F40"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9</w:t>
            </w:r>
          </w:p>
        </w:tc>
        <w:tc>
          <w:tcPr>
            <w:tcW w:w="815" w:type="dxa"/>
            <w:tcBorders>
              <w:top w:val="nil"/>
              <w:left w:val="single" w:sz="4" w:space="0" w:color="auto"/>
              <w:bottom w:val="nil"/>
              <w:right w:val="nil"/>
            </w:tcBorders>
            <w:shd w:val="clear" w:color="auto" w:fill="auto"/>
            <w:vAlign w:val="center"/>
            <w:hideMark/>
          </w:tcPr>
          <w:p w14:paraId="3C7FCA30"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0.4</w:t>
            </w:r>
          </w:p>
        </w:tc>
        <w:tc>
          <w:tcPr>
            <w:tcW w:w="815" w:type="dxa"/>
            <w:tcBorders>
              <w:top w:val="nil"/>
              <w:left w:val="nil"/>
              <w:bottom w:val="nil"/>
              <w:right w:val="nil"/>
            </w:tcBorders>
            <w:shd w:val="clear" w:color="auto" w:fill="auto"/>
            <w:vAlign w:val="center"/>
            <w:hideMark/>
          </w:tcPr>
          <w:p w14:paraId="0D7C6ABB"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0.3</w:t>
            </w:r>
          </w:p>
        </w:tc>
        <w:tc>
          <w:tcPr>
            <w:tcW w:w="957" w:type="dxa"/>
            <w:tcBorders>
              <w:top w:val="nil"/>
              <w:left w:val="single" w:sz="4" w:space="0" w:color="auto"/>
              <w:bottom w:val="nil"/>
              <w:right w:val="nil"/>
            </w:tcBorders>
            <w:shd w:val="clear" w:color="auto" w:fill="auto"/>
            <w:vAlign w:val="center"/>
            <w:hideMark/>
          </w:tcPr>
          <w:p w14:paraId="791752DC"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-0.1</w:t>
            </w:r>
          </w:p>
        </w:tc>
        <w:tc>
          <w:tcPr>
            <w:tcW w:w="956" w:type="dxa"/>
            <w:tcBorders>
              <w:top w:val="nil"/>
              <w:left w:val="single" w:sz="4" w:space="0" w:color="auto"/>
              <w:bottom w:val="nil"/>
              <w:right w:val="nil"/>
            </w:tcBorders>
            <w:shd w:val="clear" w:color="auto" w:fill="auto"/>
            <w:vAlign w:val="center"/>
            <w:hideMark/>
          </w:tcPr>
          <w:p w14:paraId="0ED2B457"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0.4</w:t>
            </w:r>
          </w:p>
        </w:tc>
        <w:tc>
          <w:tcPr>
            <w:tcW w:w="1037" w:type="dxa"/>
            <w:tcBorders>
              <w:top w:val="nil"/>
              <w:left w:val="single" w:sz="4" w:space="0" w:color="auto"/>
              <w:bottom w:val="nil"/>
              <w:right w:val="single" w:sz="4" w:space="0" w:color="auto"/>
            </w:tcBorders>
            <w:shd w:val="clear" w:color="auto" w:fill="auto"/>
            <w:vAlign w:val="center"/>
            <w:hideMark/>
          </w:tcPr>
          <w:p w14:paraId="445D2F2B"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1.1</w:t>
            </w:r>
          </w:p>
        </w:tc>
      </w:tr>
      <w:tr w:rsidR="003A56EF" w:rsidRPr="00EB2092" w14:paraId="3E6A289B" w14:textId="77777777" w:rsidTr="003A56EF">
        <w:trPr>
          <w:trHeight w:val="323"/>
        </w:trPr>
        <w:tc>
          <w:tcPr>
            <w:tcW w:w="3309" w:type="dxa"/>
            <w:tcBorders>
              <w:top w:val="nil"/>
              <w:left w:val="single" w:sz="4" w:space="0" w:color="auto"/>
              <w:bottom w:val="nil"/>
              <w:right w:val="single" w:sz="4" w:space="0" w:color="auto"/>
            </w:tcBorders>
            <w:shd w:val="clear" w:color="000000" w:fill="D2D9EA"/>
            <w:vAlign w:val="center"/>
            <w:hideMark/>
          </w:tcPr>
          <w:p w14:paraId="57C0CACE" w14:textId="77777777" w:rsidR="007377A9" w:rsidRPr="00EB2092" w:rsidRDefault="007377A9" w:rsidP="007377A9">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Private Health Insurance Rebate</w:t>
            </w:r>
          </w:p>
        </w:tc>
        <w:tc>
          <w:tcPr>
            <w:tcW w:w="835" w:type="dxa"/>
            <w:tcBorders>
              <w:top w:val="nil"/>
              <w:left w:val="nil"/>
              <w:bottom w:val="nil"/>
              <w:right w:val="nil"/>
            </w:tcBorders>
            <w:shd w:val="clear" w:color="000000" w:fill="D2D9EA"/>
            <w:vAlign w:val="center"/>
            <w:hideMark/>
          </w:tcPr>
          <w:p w14:paraId="1A312F22"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6</w:t>
            </w:r>
          </w:p>
        </w:tc>
        <w:tc>
          <w:tcPr>
            <w:tcW w:w="796" w:type="dxa"/>
            <w:tcBorders>
              <w:top w:val="nil"/>
              <w:left w:val="nil"/>
              <w:bottom w:val="nil"/>
              <w:right w:val="nil"/>
            </w:tcBorders>
            <w:shd w:val="clear" w:color="000000" w:fill="D2D9EA"/>
            <w:vAlign w:val="center"/>
            <w:hideMark/>
          </w:tcPr>
          <w:p w14:paraId="6BE9ED36"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9</w:t>
            </w:r>
          </w:p>
        </w:tc>
        <w:tc>
          <w:tcPr>
            <w:tcW w:w="815" w:type="dxa"/>
            <w:tcBorders>
              <w:top w:val="nil"/>
              <w:left w:val="single" w:sz="4" w:space="0" w:color="auto"/>
              <w:bottom w:val="nil"/>
              <w:right w:val="nil"/>
            </w:tcBorders>
            <w:shd w:val="clear" w:color="000000" w:fill="D2D9EA"/>
            <w:vAlign w:val="center"/>
            <w:hideMark/>
          </w:tcPr>
          <w:p w14:paraId="083E23DC"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0.3</w:t>
            </w:r>
          </w:p>
        </w:tc>
        <w:tc>
          <w:tcPr>
            <w:tcW w:w="815" w:type="dxa"/>
            <w:tcBorders>
              <w:top w:val="nil"/>
              <w:left w:val="nil"/>
              <w:bottom w:val="nil"/>
              <w:right w:val="nil"/>
            </w:tcBorders>
            <w:shd w:val="clear" w:color="000000" w:fill="D2D9EA"/>
            <w:vAlign w:val="center"/>
            <w:hideMark/>
          </w:tcPr>
          <w:p w14:paraId="52F27055"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0.3</w:t>
            </w:r>
          </w:p>
        </w:tc>
        <w:tc>
          <w:tcPr>
            <w:tcW w:w="957" w:type="dxa"/>
            <w:tcBorders>
              <w:top w:val="nil"/>
              <w:left w:val="single" w:sz="4" w:space="0" w:color="auto"/>
              <w:bottom w:val="nil"/>
              <w:right w:val="nil"/>
            </w:tcBorders>
            <w:shd w:val="clear" w:color="000000" w:fill="D2D9EA"/>
            <w:vAlign w:val="center"/>
            <w:hideMark/>
          </w:tcPr>
          <w:p w14:paraId="39CC5CAC"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-0.1</w:t>
            </w:r>
          </w:p>
        </w:tc>
        <w:tc>
          <w:tcPr>
            <w:tcW w:w="956" w:type="dxa"/>
            <w:tcBorders>
              <w:top w:val="nil"/>
              <w:left w:val="single" w:sz="4" w:space="0" w:color="auto"/>
              <w:bottom w:val="nil"/>
              <w:right w:val="nil"/>
            </w:tcBorders>
            <w:shd w:val="clear" w:color="000000" w:fill="D2D9EA"/>
            <w:vAlign w:val="center"/>
            <w:hideMark/>
          </w:tcPr>
          <w:p w14:paraId="700C0C9F"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0.8</w:t>
            </w:r>
          </w:p>
        </w:tc>
        <w:tc>
          <w:tcPr>
            <w:tcW w:w="1037" w:type="dxa"/>
            <w:tcBorders>
              <w:top w:val="nil"/>
              <w:left w:val="single" w:sz="4" w:space="0" w:color="auto"/>
              <w:bottom w:val="nil"/>
              <w:right w:val="single" w:sz="4" w:space="0" w:color="auto"/>
            </w:tcBorders>
            <w:shd w:val="clear" w:color="000000" w:fill="D2D9EA"/>
            <w:vAlign w:val="center"/>
            <w:hideMark/>
          </w:tcPr>
          <w:p w14:paraId="194D1D4F"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1.0</w:t>
            </w:r>
          </w:p>
        </w:tc>
      </w:tr>
      <w:tr w:rsidR="003A56EF" w:rsidRPr="00EB2092" w14:paraId="6C89D99D" w14:textId="77777777" w:rsidTr="003A56EF">
        <w:trPr>
          <w:trHeight w:val="323"/>
        </w:trPr>
        <w:tc>
          <w:tcPr>
            <w:tcW w:w="3309" w:type="dxa"/>
            <w:tcBorders>
              <w:top w:val="nil"/>
              <w:left w:val="single" w:sz="4" w:space="0" w:color="auto"/>
              <w:bottom w:val="nil"/>
              <w:right w:val="single" w:sz="4" w:space="0" w:color="auto"/>
            </w:tcBorders>
            <w:shd w:val="clear" w:color="auto" w:fill="auto"/>
            <w:vAlign w:val="center"/>
            <w:hideMark/>
          </w:tcPr>
          <w:p w14:paraId="09A49209" w14:textId="77777777" w:rsidR="007377A9" w:rsidRPr="00EB2092" w:rsidRDefault="007377A9" w:rsidP="007377A9">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Road and rail infrastructure</w:t>
            </w:r>
          </w:p>
        </w:tc>
        <w:tc>
          <w:tcPr>
            <w:tcW w:w="835" w:type="dxa"/>
            <w:tcBorders>
              <w:top w:val="nil"/>
              <w:left w:val="nil"/>
              <w:bottom w:val="nil"/>
              <w:right w:val="nil"/>
            </w:tcBorders>
            <w:shd w:val="clear" w:color="auto" w:fill="auto"/>
            <w:vAlign w:val="center"/>
            <w:hideMark/>
          </w:tcPr>
          <w:p w14:paraId="098320F0"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6</w:t>
            </w:r>
          </w:p>
        </w:tc>
        <w:tc>
          <w:tcPr>
            <w:tcW w:w="796" w:type="dxa"/>
            <w:tcBorders>
              <w:top w:val="nil"/>
              <w:left w:val="nil"/>
              <w:bottom w:val="nil"/>
              <w:right w:val="nil"/>
            </w:tcBorders>
            <w:shd w:val="clear" w:color="auto" w:fill="auto"/>
            <w:vAlign w:val="center"/>
            <w:hideMark/>
          </w:tcPr>
          <w:p w14:paraId="06935D79"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8</w:t>
            </w:r>
          </w:p>
        </w:tc>
        <w:tc>
          <w:tcPr>
            <w:tcW w:w="815" w:type="dxa"/>
            <w:tcBorders>
              <w:top w:val="nil"/>
              <w:left w:val="single" w:sz="4" w:space="0" w:color="auto"/>
              <w:bottom w:val="nil"/>
              <w:right w:val="nil"/>
            </w:tcBorders>
            <w:shd w:val="clear" w:color="auto" w:fill="auto"/>
            <w:vAlign w:val="center"/>
            <w:hideMark/>
          </w:tcPr>
          <w:p w14:paraId="5E75ACF8"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0.3</w:t>
            </w:r>
          </w:p>
        </w:tc>
        <w:tc>
          <w:tcPr>
            <w:tcW w:w="815" w:type="dxa"/>
            <w:tcBorders>
              <w:top w:val="nil"/>
              <w:left w:val="nil"/>
              <w:bottom w:val="nil"/>
              <w:right w:val="nil"/>
            </w:tcBorders>
            <w:shd w:val="clear" w:color="auto" w:fill="auto"/>
            <w:vAlign w:val="center"/>
            <w:hideMark/>
          </w:tcPr>
          <w:p w14:paraId="637980E8"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0.3</w:t>
            </w:r>
          </w:p>
        </w:tc>
        <w:tc>
          <w:tcPr>
            <w:tcW w:w="957" w:type="dxa"/>
            <w:tcBorders>
              <w:top w:val="nil"/>
              <w:left w:val="single" w:sz="4" w:space="0" w:color="auto"/>
              <w:bottom w:val="nil"/>
              <w:right w:val="nil"/>
            </w:tcBorders>
            <w:shd w:val="clear" w:color="auto" w:fill="auto"/>
            <w:vAlign w:val="center"/>
            <w:hideMark/>
          </w:tcPr>
          <w:p w14:paraId="475323D1"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-0.1</w:t>
            </w:r>
          </w:p>
        </w:tc>
        <w:tc>
          <w:tcPr>
            <w:tcW w:w="956" w:type="dxa"/>
            <w:tcBorders>
              <w:top w:val="nil"/>
              <w:left w:val="single" w:sz="4" w:space="0" w:color="auto"/>
              <w:bottom w:val="nil"/>
              <w:right w:val="nil"/>
            </w:tcBorders>
            <w:shd w:val="clear" w:color="auto" w:fill="auto"/>
            <w:vAlign w:val="center"/>
            <w:hideMark/>
          </w:tcPr>
          <w:p w14:paraId="5B91D31A"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2.1</w:t>
            </w:r>
          </w:p>
        </w:tc>
        <w:tc>
          <w:tcPr>
            <w:tcW w:w="1037" w:type="dxa"/>
            <w:tcBorders>
              <w:top w:val="nil"/>
              <w:left w:val="single" w:sz="4" w:space="0" w:color="auto"/>
              <w:bottom w:val="nil"/>
              <w:right w:val="single" w:sz="4" w:space="0" w:color="auto"/>
            </w:tcBorders>
            <w:shd w:val="clear" w:color="auto" w:fill="auto"/>
            <w:vAlign w:val="center"/>
            <w:hideMark/>
          </w:tcPr>
          <w:p w14:paraId="045C85E8"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1.0</w:t>
            </w:r>
          </w:p>
        </w:tc>
      </w:tr>
      <w:tr w:rsidR="003A56EF" w:rsidRPr="00EB2092" w14:paraId="2AC1AF73" w14:textId="77777777" w:rsidTr="003A56EF">
        <w:trPr>
          <w:trHeight w:val="323"/>
        </w:trPr>
        <w:tc>
          <w:tcPr>
            <w:tcW w:w="3309" w:type="dxa"/>
            <w:tcBorders>
              <w:top w:val="nil"/>
              <w:left w:val="single" w:sz="4" w:space="0" w:color="auto"/>
              <w:bottom w:val="nil"/>
              <w:right w:val="single" w:sz="4" w:space="0" w:color="auto"/>
            </w:tcBorders>
            <w:shd w:val="clear" w:color="000000" w:fill="D2D9EA"/>
            <w:vAlign w:val="center"/>
            <w:hideMark/>
          </w:tcPr>
          <w:p w14:paraId="7F6E4F0C" w14:textId="77777777" w:rsidR="007377A9" w:rsidRPr="00EB2092" w:rsidRDefault="007377A9" w:rsidP="007377A9">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Parenting payments</w:t>
            </w:r>
          </w:p>
        </w:tc>
        <w:tc>
          <w:tcPr>
            <w:tcW w:w="835" w:type="dxa"/>
            <w:tcBorders>
              <w:top w:val="nil"/>
              <w:left w:val="nil"/>
              <w:bottom w:val="nil"/>
              <w:right w:val="nil"/>
            </w:tcBorders>
            <w:shd w:val="clear" w:color="000000" w:fill="D2D9EA"/>
            <w:vAlign w:val="center"/>
            <w:hideMark/>
          </w:tcPr>
          <w:p w14:paraId="45DB78AB"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5</w:t>
            </w:r>
          </w:p>
        </w:tc>
        <w:tc>
          <w:tcPr>
            <w:tcW w:w="796" w:type="dxa"/>
            <w:tcBorders>
              <w:top w:val="nil"/>
              <w:left w:val="nil"/>
              <w:bottom w:val="nil"/>
              <w:right w:val="nil"/>
            </w:tcBorders>
            <w:shd w:val="clear" w:color="000000" w:fill="D2D9EA"/>
            <w:vAlign w:val="center"/>
            <w:hideMark/>
          </w:tcPr>
          <w:p w14:paraId="0FB114F6"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6</w:t>
            </w:r>
          </w:p>
        </w:tc>
        <w:tc>
          <w:tcPr>
            <w:tcW w:w="815" w:type="dxa"/>
            <w:tcBorders>
              <w:top w:val="nil"/>
              <w:left w:val="single" w:sz="4" w:space="0" w:color="auto"/>
              <w:bottom w:val="nil"/>
              <w:right w:val="nil"/>
            </w:tcBorders>
            <w:shd w:val="clear" w:color="000000" w:fill="D2D9EA"/>
            <w:vAlign w:val="center"/>
            <w:hideMark/>
          </w:tcPr>
          <w:p w14:paraId="177DD6DE"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0.3</w:t>
            </w:r>
          </w:p>
        </w:tc>
        <w:tc>
          <w:tcPr>
            <w:tcW w:w="815" w:type="dxa"/>
            <w:tcBorders>
              <w:top w:val="nil"/>
              <w:left w:val="nil"/>
              <w:bottom w:val="nil"/>
              <w:right w:val="nil"/>
            </w:tcBorders>
            <w:shd w:val="clear" w:color="000000" w:fill="D2D9EA"/>
            <w:vAlign w:val="center"/>
            <w:hideMark/>
          </w:tcPr>
          <w:p w14:paraId="51A8D0A6"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0.2</w:t>
            </w:r>
          </w:p>
        </w:tc>
        <w:tc>
          <w:tcPr>
            <w:tcW w:w="957" w:type="dxa"/>
            <w:tcBorders>
              <w:top w:val="nil"/>
              <w:left w:val="single" w:sz="4" w:space="0" w:color="auto"/>
              <w:bottom w:val="nil"/>
              <w:right w:val="nil"/>
            </w:tcBorders>
            <w:shd w:val="clear" w:color="000000" w:fill="D2D9EA"/>
            <w:vAlign w:val="center"/>
            <w:hideMark/>
          </w:tcPr>
          <w:p w14:paraId="54594D84"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-0.1</w:t>
            </w:r>
          </w:p>
        </w:tc>
        <w:tc>
          <w:tcPr>
            <w:tcW w:w="956" w:type="dxa"/>
            <w:tcBorders>
              <w:top w:val="nil"/>
              <w:left w:val="single" w:sz="4" w:space="0" w:color="auto"/>
              <w:bottom w:val="nil"/>
              <w:right w:val="nil"/>
            </w:tcBorders>
            <w:shd w:val="clear" w:color="000000" w:fill="D2D9EA"/>
            <w:vAlign w:val="center"/>
            <w:hideMark/>
          </w:tcPr>
          <w:p w14:paraId="00FF994C"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-0.6</w:t>
            </w:r>
          </w:p>
        </w:tc>
        <w:tc>
          <w:tcPr>
            <w:tcW w:w="1037" w:type="dxa"/>
            <w:tcBorders>
              <w:top w:val="nil"/>
              <w:left w:val="single" w:sz="4" w:space="0" w:color="auto"/>
              <w:bottom w:val="nil"/>
              <w:right w:val="single" w:sz="4" w:space="0" w:color="auto"/>
            </w:tcBorders>
            <w:shd w:val="clear" w:color="000000" w:fill="D2D9EA"/>
            <w:vAlign w:val="center"/>
            <w:hideMark/>
          </w:tcPr>
          <w:p w14:paraId="68A8B201"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0.7</w:t>
            </w:r>
          </w:p>
        </w:tc>
      </w:tr>
      <w:tr w:rsidR="003A56EF" w:rsidRPr="00EB2092" w14:paraId="6D347F6F" w14:textId="77777777" w:rsidTr="003A56EF">
        <w:trPr>
          <w:trHeight w:val="323"/>
        </w:trPr>
        <w:tc>
          <w:tcPr>
            <w:tcW w:w="3309" w:type="dxa"/>
            <w:tcBorders>
              <w:top w:val="nil"/>
              <w:left w:val="single" w:sz="4" w:space="0" w:color="auto"/>
              <w:bottom w:val="nil"/>
              <w:right w:val="single" w:sz="4" w:space="0" w:color="auto"/>
            </w:tcBorders>
            <w:shd w:val="clear" w:color="auto" w:fill="auto"/>
            <w:vAlign w:val="center"/>
            <w:hideMark/>
          </w:tcPr>
          <w:p w14:paraId="6374A0F9" w14:textId="77777777" w:rsidR="007377A9" w:rsidRPr="00EB2092" w:rsidRDefault="007377A9" w:rsidP="007377A9">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Official Development Assistance</w:t>
            </w:r>
          </w:p>
        </w:tc>
        <w:tc>
          <w:tcPr>
            <w:tcW w:w="835" w:type="dxa"/>
            <w:tcBorders>
              <w:top w:val="nil"/>
              <w:left w:val="nil"/>
              <w:bottom w:val="nil"/>
              <w:right w:val="nil"/>
            </w:tcBorders>
            <w:shd w:val="clear" w:color="auto" w:fill="auto"/>
            <w:vAlign w:val="center"/>
            <w:hideMark/>
          </w:tcPr>
          <w:p w14:paraId="0C505444"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4</w:t>
            </w:r>
          </w:p>
        </w:tc>
        <w:tc>
          <w:tcPr>
            <w:tcW w:w="796" w:type="dxa"/>
            <w:tcBorders>
              <w:top w:val="nil"/>
              <w:left w:val="nil"/>
              <w:bottom w:val="nil"/>
              <w:right w:val="nil"/>
            </w:tcBorders>
            <w:shd w:val="clear" w:color="auto" w:fill="auto"/>
            <w:vAlign w:val="center"/>
            <w:hideMark/>
          </w:tcPr>
          <w:p w14:paraId="00BD6616"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5</w:t>
            </w:r>
          </w:p>
        </w:tc>
        <w:tc>
          <w:tcPr>
            <w:tcW w:w="815" w:type="dxa"/>
            <w:tcBorders>
              <w:top w:val="nil"/>
              <w:left w:val="single" w:sz="4" w:space="0" w:color="auto"/>
              <w:bottom w:val="nil"/>
              <w:right w:val="nil"/>
            </w:tcBorders>
            <w:shd w:val="clear" w:color="auto" w:fill="auto"/>
            <w:vAlign w:val="center"/>
            <w:hideMark/>
          </w:tcPr>
          <w:p w14:paraId="7D020200"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0.2</w:t>
            </w:r>
          </w:p>
        </w:tc>
        <w:tc>
          <w:tcPr>
            <w:tcW w:w="815" w:type="dxa"/>
            <w:tcBorders>
              <w:top w:val="nil"/>
              <w:left w:val="nil"/>
              <w:bottom w:val="nil"/>
              <w:right w:val="nil"/>
            </w:tcBorders>
            <w:shd w:val="clear" w:color="auto" w:fill="auto"/>
            <w:vAlign w:val="center"/>
            <w:hideMark/>
          </w:tcPr>
          <w:p w14:paraId="5113BA0E"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0.2</w:t>
            </w:r>
          </w:p>
        </w:tc>
        <w:tc>
          <w:tcPr>
            <w:tcW w:w="957" w:type="dxa"/>
            <w:tcBorders>
              <w:top w:val="nil"/>
              <w:left w:val="single" w:sz="4" w:space="0" w:color="auto"/>
              <w:bottom w:val="nil"/>
              <w:right w:val="nil"/>
            </w:tcBorders>
            <w:shd w:val="clear" w:color="auto" w:fill="auto"/>
            <w:vAlign w:val="center"/>
            <w:hideMark/>
          </w:tcPr>
          <w:p w14:paraId="7CD57A48"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0.0</w:t>
            </w:r>
          </w:p>
        </w:tc>
        <w:tc>
          <w:tcPr>
            <w:tcW w:w="956" w:type="dxa"/>
            <w:tcBorders>
              <w:top w:val="nil"/>
              <w:left w:val="single" w:sz="4" w:space="0" w:color="auto"/>
              <w:bottom w:val="nil"/>
              <w:right w:val="nil"/>
            </w:tcBorders>
            <w:shd w:val="clear" w:color="auto" w:fill="auto"/>
            <w:vAlign w:val="center"/>
            <w:hideMark/>
          </w:tcPr>
          <w:p w14:paraId="24C11C23"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0.0</w:t>
            </w:r>
          </w:p>
        </w:tc>
        <w:tc>
          <w:tcPr>
            <w:tcW w:w="1037" w:type="dxa"/>
            <w:tcBorders>
              <w:top w:val="nil"/>
              <w:left w:val="single" w:sz="4" w:space="0" w:color="auto"/>
              <w:bottom w:val="nil"/>
              <w:right w:val="single" w:sz="4" w:space="0" w:color="auto"/>
            </w:tcBorders>
            <w:shd w:val="clear" w:color="auto" w:fill="auto"/>
            <w:vAlign w:val="center"/>
            <w:hideMark/>
          </w:tcPr>
          <w:p w14:paraId="1F61277C"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0.6</w:t>
            </w:r>
          </w:p>
        </w:tc>
      </w:tr>
      <w:tr w:rsidR="003A56EF" w:rsidRPr="00EB2092" w14:paraId="2F809D34" w14:textId="77777777" w:rsidTr="003A56EF">
        <w:trPr>
          <w:trHeight w:val="323"/>
        </w:trPr>
        <w:tc>
          <w:tcPr>
            <w:tcW w:w="3309" w:type="dxa"/>
            <w:tcBorders>
              <w:top w:val="nil"/>
              <w:left w:val="single" w:sz="4" w:space="0" w:color="auto"/>
              <w:bottom w:val="nil"/>
              <w:right w:val="single" w:sz="4" w:space="0" w:color="auto"/>
            </w:tcBorders>
            <w:shd w:val="clear" w:color="000000" w:fill="D2D9EA"/>
            <w:vAlign w:val="center"/>
            <w:hideMark/>
          </w:tcPr>
          <w:p w14:paraId="1209B8CB" w14:textId="77777777" w:rsidR="007377A9" w:rsidRPr="00EB2092" w:rsidRDefault="007377A9" w:rsidP="007377A9">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Veterans support</w:t>
            </w:r>
          </w:p>
        </w:tc>
        <w:tc>
          <w:tcPr>
            <w:tcW w:w="835" w:type="dxa"/>
            <w:tcBorders>
              <w:top w:val="nil"/>
              <w:left w:val="nil"/>
              <w:bottom w:val="nil"/>
              <w:right w:val="nil"/>
            </w:tcBorders>
            <w:shd w:val="clear" w:color="000000" w:fill="D2D9EA"/>
            <w:vAlign w:val="center"/>
            <w:hideMark/>
          </w:tcPr>
          <w:p w14:paraId="1A02F3C7"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6</w:t>
            </w:r>
          </w:p>
        </w:tc>
        <w:tc>
          <w:tcPr>
            <w:tcW w:w="796" w:type="dxa"/>
            <w:tcBorders>
              <w:top w:val="nil"/>
              <w:left w:val="nil"/>
              <w:bottom w:val="nil"/>
              <w:right w:val="nil"/>
            </w:tcBorders>
            <w:shd w:val="clear" w:color="000000" w:fill="D2D9EA"/>
            <w:vAlign w:val="center"/>
            <w:hideMark/>
          </w:tcPr>
          <w:p w14:paraId="7E4EDD53"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4</w:t>
            </w:r>
          </w:p>
        </w:tc>
        <w:tc>
          <w:tcPr>
            <w:tcW w:w="815" w:type="dxa"/>
            <w:tcBorders>
              <w:top w:val="nil"/>
              <w:left w:val="single" w:sz="4" w:space="0" w:color="auto"/>
              <w:bottom w:val="nil"/>
              <w:right w:val="nil"/>
            </w:tcBorders>
            <w:shd w:val="clear" w:color="000000" w:fill="D2D9EA"/>
            <w:vAlign w:val="center"/>
            <w:hideMark/>
          </w:tcPr>
          <w:p w14:paraId="328DB6A9"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0.3</w:t>
            </w:r>
          </w:p>
        </w:tc>
        <w:tc>
          <w:tcPr>
            <w:tcW w:w="815" w:type="dxa"/>
            <w:tcBorders>
              <w:top w:val="nil"/>
              <w:left w:val="nil"/>
              <w:bottom w:val="nil"/>
              <w:right w:val="nil"/>
            </w:tcBorders>
            <w:shd w:val="clear" w:color="000000" w:fill="D2D9EA"/>
            <w:vAlign w:val="center"/>
            <w:hideMark/>
          </w:tcPr>
          <w:p w14:paraId="01A52E77"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0.1</w:t>
            </w:r>
          </w:p>
        </w:tc>
        <w:tc>
          <w:tcPr>
            <w:tcW w:w="957" w:type="dxa"/>
            <w:tcBorders>
              <w:top w:val="nil"/>
              <w:left w:val="single" w:sz="4" w:space="0" w:color="auto"/>
              <w:bottom w:val="nil"/>
              <w:right w:val="nil"/>
            </w:tcBorders>
            <w:shd w:val="clear" w:color="000000" w:fill="D2D9EA"/>
            <w:vAlign w:val="center"/>
            <w:hideMark/>
          </w:tcPr>
          <w:p w14:paraId="38F44021"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-0.2</w:t>
            </w:r>
          </w:p>
        </w:tc>
        <w:tc>
          <w:tcPr>
            <w:tcW w:w="956" w:type="dxa"/>
            <w:tcBorders>
              <w:top w:val="nil"/>
              <w:left w:val="single" w:sz="4" w:space="0" w:color="auto"/>
              <w:bottom w:val="nil"/>
              <w:right w:val="nil"/>
            </w:tcBorders>
            <w:shd w:val="clear" w:color="000000" w:fill="D2D9EA"/>
            <w:vAlign w:val="center"/>
            <w:hideMark/>
          </w:tcPr>
          <w:p w14:paraId="0D4D14F9"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-4.1</w:t>
            </w:r>
          </w:p>
        </w:tc>
        <w:tc>
          <w:tcPr>
            <w:tcW w:w="1037" w:type="dxa"/>
            <w:tcBorders>
              <w:top w:val="nil"/>
              <w:left w:val="single" w:sz="4" w:space="0" w:color="auto"/>
              <w:bottom w:val="nil"/>
              <w:right w:val="single" w:sz="4" w:space="0" w:color="auto"/>
            </w:tcBorders>
            <w:shd w:val="clear" w:color="000000" w:fill="D2D9EA"/>
            <w:vAlign w:val="center"/>
            <w:hideMark/>
          </w:tcPr>
          <w:p w14:paraId="612A515F" w14:textId="77777777" w:rsidR="007377A9" w:rsidRPr="00EB2092" w:rsidRDefault="007377A9" w:rsidP="007377A9">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0.5</w:t>
            </w:r>
          </w:p>
        </w:tc>
      </w:tr>
      <w:tr w:rsidR="003A56EF" w:rsidRPr="00EB2092" w14:paraId="337077A4" w14:textId="77777777" w:rsidTr="003A56EF">
        <w:trPr>
          <w:trHeight w:val="323"/>
        </w:trPr>
        <w:tc>
          <w:tcPr>
            <w:tcW w:w="3309" w:type="dxa"/>
            <w:tcBorders>
              <w:top w:val="nil"/>
              <w:left w:val="single" w:sz="4" w:space="0" w:color="auto"/>
              <w:bottom w:val="nil"/>
              <w:right w:val="single" w:sz="4" w:space="0" w:color="auto"/>
            </w:tcBorders>
            <w:shd w:val="clear" w:color="auto" w:fill="auto"/>
            <w:vAlign w:val="center"/>
            <w:hideMark/>
          </w:tcPr>
          <w:p w14:paraId="741B98BF" w14:textId="667CC660" w:rsidR="007377A9" w:rsidRPr="00EB2092" w:rsidRDefault="007377A9" w:rsidP="00446D4A">
            <w:pPr>
              <w:spacing w:line="240" w:lineRule="auto"/>
              <w:rPr>
                <w:rFonts w:ascii="Calibri" w:eastAsia="Times New Roman" w:hAnsi="Calibri" w:cs="Times New Roman"/>
                <w:b/>
                <w:bCs/>
                <w:sz w:val="20"/>
                <w:szCs w:val="20"/>
                <w:lang w:eastAsia="en-AU"/>
              </w:rPr>
            </w:pPr>
            <w:r w:rsidRPr="00EB2092">
              <w:rPr>
                <w:rFonts w:ascii="Calibri" w:eastAsia="Times New Roman" w:hAnsi="Calibri" w:cs="Times New Roman"/>
                <w:b/>
                <w:bCs/>
                <w:sz w:val="20"/>
                <w:szCs w:val="20"/>
                <w:lang w:eastAsia="en-AU"/>
              </w:rPr>
              <w:t xml:space="preserve">Total modelled </w:t>
            </w:r>
            <w:r w:rsidR="00446D4A">
              <w:rPr>
                <w:rFonts w:ascii="Calibri" w:eastAsia="Times New Roman" w:hAnsi="Calibri" w:cs="Times New Roman"/>
                <w:b/>
                <w:bCs/>
                <w:sz w:val="20"/>
                <w:szCs w:val="20"/>
                <w:lang w:eastAsia="en-AU"/>
              </w:rPr>
              <w:t>payments</w:t>
            </w:r>
          </w:p>
        </w:tc>
        <w:tc>
          <w:tcPr>
            <w:tcW w:w="835" w:type="dxa"/>
            <w:tcBorders>
              <w:top w:val="nil"/>
              <w:left w:val="nil"/>
              <w:bottom w:val="nil"/>
              <w:right w:val="nil"/>
            </w:tcBorders>
            <w:shd w:val="clear" w:color="auto" w:fill="auto"/>
            <w:vAlign w:val="center"/>
            <w:hideMark/>
          </w:tcPr>
          <w:p w14:paraId="61BFD4D1" w14:textId="77777777" w:rsidR="007377A9" w:rsidRPr="00EB2092" w:rsidRDefault="007377A9" w:rsidP="007377A9">
            <w:pPr>
              <w:spacing w:line="240" w:lineRule="auto"/>
              <w:jc w:val="center"/>
              <w:rPr>
                <w:rFonts w:ascii="Calibri" w:eastAsia="Times New Roman" w:hAnsi="Calibri" w:cs="Times New Roman"/>
                <w:b/>
                <w:bCs/>
                <w:sz w:val="20"/>
                <w:szCs w:val="20"/>
                <w:lang w:eastAsia="en-AU"/>
              </w:rPr>
            </w:pPr>
            <w:r w:rsidRPr="00EB2092">
              <w:rPr>
                <w:rFonts w:ascii="Calibri" w:eastAsia="Times New Roman" w:hAnsi="Calibri" w:cs="Times New Roman"/>
                <w:b/>
                <w:bCs/>
                <w:sz w:val="20"/>
                <w:szCs w:val="20"/>
                <w:lang w:eastAsia="en-AU"/>
              </w:rPr>
              <w:t>388</w:t>
            </w:r>
          </w:p>
        </w:tc>
        <w:tc>
          <w:tcPr>
            <w:tcW w:w="796" w:type="dxa"/>
            <w:tcBorders>
              <w:top w:val="nil"/>
              <w:left w:val="nil"/>
              <w:bottom w:val="nil"/>
              <w:right w:val="nil"/>
            </w:tcBorders>
            <w:shd w:val="clear" w:color="auto" w:fill="auto"/>
            <w:vAlign w:val="center"/>
            <w:hideMark/>
          </w:tcPr>
          <w:p w14:paraId="17543251" w14:textId="77777777" w:rsidR="007377A9" w:rsidRPr="00EB2092" w:rsidRDefault="007377A9" w:rsidP="007377A9">
            <w:pPr>
              <w:spacing w:line="240" w:lineRule="auto"/>
              <w:jc w:val="center"/>
              <w:rPr>
                <w:rFonts w:ascii="Calibri" w:eastAsia="Times New Roman" w:hAnsi="Calibri" w:cs="Times New Roman"/>
                <w:b/>
                <w:bCs/>
                <w:sz w:val="20"/>
                <w:szCs w:val="20"/>
                <w:lang w:eastAsia="en-AU"/>
              </w:rPr>
            </w:pPr>
            <w:r w:rsidRPr="00EB2092">
              <w:rPr>
                <w:rFonts w:ascii="Calibri" w:eastAsia="Times New Roman" w:hAnsi="Calibri" w:cs="Times New Roman"/>
                <w:b/>
                <w:bCs/>
                <w:sz w:val="20"/>
                <w:szCs w:val="20"/>
                <w:lang w:eastAsia="en-AU"/>
              </w:rPr>
              <w:t>659</w:t>
            </w:r>
          </w:p>
        </w:tc>
        <w:tc>
          <w:tcPr>
            <w:tcW w:w="815" w:type="dxa"/>
            <w:tcBorders>
              <w:top w:val="nil"/>
              <w:left w:val="single" w:sz="4" w:space="0" w:color="auto"/>
              <w:bottom w:val="nil"/>
              <w:right w:val="nil"/>
            </w:tcBorders>
            <w:shd w:val="clear" w:color="auto" w:fill="auto"/>
            <w:vAlign w:val="center"/>
            <w:hideMark/>
          </w:tcPr>
          <w:p w14:paraId="141AFF7B" w14:textId="77777777" w:rsidR="007377A9" w:rsidRPr="00EB2092" w:rsidRDefault="007377A9" w:rsidP="007377A9">
            <w:pPr>
              <w:spacing w:line="240" w:lineRule="auto"/>
              <w:jc w:val="center"/>
              <w:rPr>
                <w:rFonts w:ascii="Calibri" w:eastAsia="Times New Roman" w:hAnsi="Calibri" w:cs="Times New Roman"/>
                <w:b/>
                <w:bCs/>
                <w:sz w:val="20"/>
                <w:szCs w:val="20"/>
                <w:lang w:eastAsia="en-AU"/>
              </w:rPr>
            </w:pPr>
            <w:r w:rsidRPr="00EB2092">
              <w:rPr>
                <w:rFonts w:ascii="Calibri" w:eastAsia="Times New Roman" w:hAnsi="Calibri" w:cs="Times New Roman"/>
                <w:b/>
                <w:bCs/>
                <w:sz w:val="20"/>
                <w:szCs w:val="20"/>
                <w:lang w:eastAsia="en-AU"/>
              </w:rPr>
              <w:t>19.9</w:t>
            </w:r>
          </w:p>
        </w:tc>
        <w:tc>
          <w:tcPr>
            <w:tcW w:w="815" w:type="dxa"/>
            <w:tcBorders>
              <w:top w:val="nil"/>
              <w:left w:val="nil"/>
              <w:bottom w:val="nil"/>
              <w:right w:val="nil"/>
            </w:tcBorders>
            <w:shd w:val="clear" w:color="auto" w:fill="auto"/>
            <w:vAlign w:val="center"/>
            <w:hideMark/>
          </w:tcPr>
          <w:p w14:paraId="6AC7D20B" w14:textId="77777777" w:rsidR="007377A9" w:rsidRPr="00EB2092" w:rsidRDefault="007377A9" w:rsidP="007377A9">
            <w:pPr>
              <w:spacing w:line="240" w:lineRule="auto"/>
              <w:jc w:val="center"/>
              <w:rPr>
                <w:rFonts w:ascii="Calibri" w:eastAsia="Times New Roman" w:hAnsi="Calibri" w:cs="Times New Roman"/>
                <w:b/>
                <w:bCs/>
                <w:sz w:val="20"/>
                <w:szCs w:val="20"/>
                <w:lang w:eastAsia="en-AU"/>
              </w:rPr>
            </w:pPr>
            <w:r w:rsidRPr="00EB2092">
              <w:rPr>
                <w:rFonts w:ascii="Calibri" w:eastAsia="Times New Roman" w:hAnsi="Calibri" w:cs="Times New Roman"/>
                <w:b/>
                <w:bCs/>
                <w:sz w:val="20"/>
                <w:szCs w:val="20"/>
                <w:lang w:eastAsia="en-AU"/>
              </w:rPr>
              <w:t>20.9</w:t>
            </w:r>
          </w:p>
        </w:tc>
        <w:tc>
          <w:tcPr>
            <w:tcW w:w="957" w:type="dxa"/>
            <w:tcBorders>
              <w:top w:val="nil"/>
              <w:left w:val="single" w:sz="4" w:space="0" w:color="auto"/>
              <w:bottom w:val="nil"/>
              <w:right w:val="nil"/>
            </w:tcBorders>
            <w:shd w:val="clear" w:color="auto" w:fill="auto"/>
            <w:vAlign w:val="center"/>
            <w:hideMark/>
          </w:tcPr>
          <w:p w14:paraId="0ED1F153" w14:textId="77777777" w:rsidR="007377A9" w:rsidRPr="00EB2092" w:rsidRDefault="007377A9" w:rsidP="007377A9">
            <w:pPr>
              <w:spacing w:line="240" w:lineRule="auto"/>
              <w:jc w:val="center"/>
              <w:rPr>
                <w:rFonts w:ascii="Calibri" w:eastAsia="Times New Roman" w:hAnsi="Calibri" w:cs="Times New Roman"/>
                <w:b/>
                <w:bCs/>
                <w:sz w:val="20"/>
                <w:szCs w:val="20"/>
                <w:lang w:eastAsia="en-AU"/>
              </w:rPr>
            </w:pPr>
            <w:r w:rsidRPr="00EB2092">
              <w:rPr>
                <w:rFonts w:ascii="Calibri" w:eastAsia="Times New Roman" w:hAnsi="Calibri" w:cs="Times New Roman"/>
                <w:b/>
                <w:bCs/>
                <w:sz w:val="20"/>
                <w:szCs w:val="20"/>
                <w:lang w:eastAsia="en-AU"/>
              </w:rPr>
              <w:t>1.0</w:t>
            </w:r>
          </w:p>
        </w:tc>
        <w:tc>
          <w:tcPr>
            <w:tcW w:w="956" w:type="dxa"/>
            <w:tcBorders>
              <w:top w:val="nil"/>
              <w:left w:val="single" w:sz="4" w:space="0" w:color="auto"/>
              <w:bottom w:val="nil"/>
              <w:right w:val="nil"/>
            </w:tcBorders>
            <w:shd w:val="clear" w:color="auto" w:fill="auto"/>
            <w:vAlign w:val="center"/>
            <w:hideMark/>
          </w:tcPr>
          <w:p w14:paraId="2723C443" w14:textId="77777777" w:rsidR="007377A9" w:rsidRPr="00EB2092" w:rsidRDefault="007377A9" w:rsidP="007377A9">
            <w:pPr>
              <w:spacing w:line="240" w:lineRule="auto"/>
              <w:jc w:val="center"/>
              <w:rPr>
                <w:rFonts w:ascii="Calibri" w:eastAsia="Times New Roman" w:hAnsi="Calibri" w:cs="Times New Roman"/>
                <w:b/>
                <w:bCs/>
                <w:sz w:val="20"/>
                <w:szCs w:val="20"/>
                <w:lang w:eastAsia="en-AU"/>
              </w:rPr>
            </w:pPr>
            <w:r w:rsidRPr="00EB2092">
              <w:rPr>
                <w:rFonts w:ascii="Calibri" w:eastAsia="Times New Roman" w:hAnsi="Calibri" w:cs="Times New Roman"/>
                <w:b/>
                <w:bCs/>
                <w:sz w:val="20"/>
                <w:szCs w:val="20"/>
                <w:lang w:eastAsia="en-AU"/>
              </w:rPr>
              <w:t>2.6</w:t>
            </w:r>
          </w:p>
        </w:tc>
        <w:tc>
          <w:tcPr>
            <w:tcW w:w="1037" w:type="dxa"/>
            <w:tcBorders>
              <w:top w:val="nil"/>
              <w:left w:val="single" w:sz="4" w:space="0" w:color="auto"/>
              <w:bottom w:val="nil"/>
              <w:right w:val="single" w:sz="4" w:space="0" w:color="auto"/>
            </w:tcBorders>
            <w:shd w:val="clear" w:color="auto" w:fill="auto"/>
            <w:vAlign w:val="center"/>
            <w:hideMark/>
          </w:tcPr>
          <w:p w14:paraId="222D0047" w14:textId="77777777" w:rsidR="007377A9" w:rsidRPr="00EB2092" w:rsidRDefault="007377A9" w:rsidP="007377A9">
            <w:pPr>
              <w:spacing w:line="240" w:lineRule="auto"/>
              <w:jc w:val="center"/>
              <w:rPr>
                <w:rFonts w:ascii="Calibri" w:eastAsia="Times New Roman" w:hAnsi="Calibri" w:cs="Times New Roman"/>
                <w:b/>
                <w:bCs/>
                <w:sz w:val="20"/>
                <w:szCs w:val="20"/>
                <w:lang w:eastAsia="en-AU"/>
              </w:rPr>
            </w:pPr>
            <w:r w:rsidRPr="00EB2092">
              <w:rPr>
                <w:rFonts w:ascii="Calibri" w:eastAsia="Times New Roman" w:hAnsi="Calibri" w:cs="Times New Roman"/>
                <w:b/>
                <w:bCs/>
                <w:sz w:val="20"/>
                <w:szCs w:val="20"/>
                <w:lang w:eastAsia="en-AU"/>
              </w:rPr>
              <w:t>80.1</w:t>
            </w:r>
          </w:p>
        </w:tc>
      </w:tr>
      <w:tr w:rsidR="003A56EF" w:rsidRPr="00EB2092" w14:paraId="0E7ECDE8" w14:textId="77777777" w:rsidTr="003A56EF">
        <w:trPr>
          <w:trHeight w:val="323"/>
        </w:trPr>
        <w:tc>
          <w:tcPr>
            <w:tcW w:w="3309" w:type="dxa"/>
            <w:tcBorders>
              <w:top w:val="nil"/>
              <w:left w:val="single" w:sz="4" w:space="0" w:color="auto"/>
              <w:bottom w:val="nil"/>
              <w:right w:val="single" w:sz="4" w:space="0" w:color="auto"/>
            </w:tcBorders>
            <w:shd w:val="clear" w:color="000000" w:fill="D2D9EA"/>
            <w:vAlign w:val="center"/>
            <w:hideMark/>
          </w:tcPr>
          <w:p w14:paraId="7CAA8BDE" w14:textId="3F1EFAC0" w:rsidR="007377A9" w:rsidRPr="00EB2092" w:rsidRDefault="007377A9" w:rsidP="007377A9">
            <w:pPr>
              <w:spacing w:line="240" w:lineRule="auto"/>
              <w:rPr>
                <w:rFonts w:ascii="Calibri" w:eastAsia="Times New Roman" w:hAnsi="Calibri" w:cs="Times New Roman"/>
                <w:b/>
                <w:bCs/>
                <w:sz w:val="20"/>
                <w:szCs w:val="20"/>
                <w:lang w:eastAsia="en-AU"/>
              </w:rPr>
            </w:pPr>
            <w:r w:rsidRPr="00EB2092">
              <w:rPr>
                <w:rFonts w:ascii="Calibri" w:eastAsia="Times New Roman" w:hAnsi="Calibri" w:cs="Times New Roman"/>
                <w:b/>
                <w:bCs/>
                <w:sz w:val="20"/>
                <w:szCs w:val="20"/>
                <w:lang w:eastAsia="en-AU"/>
              </w:rPr>
              <w:t xml:space="preserve">Other </w:t>
            </w:r>
            <w:r w:rsidR="00446D4A">
              <w:rPr>
                <w:rFonts w:ascii="Calibri" w:eastAsia="Times New Roman" w:hAnsi="Calibri" w:cs="Times New Roman"/>
                <w:b/>
                <w:bCs/>
                <w:sz w:val="20"/>
                <w:szCs w:val="20"/>
                <w:lang w:eastAsia="en-AU"/>
              </w:rPr>
              <w:t>payments</w:t>
            </w:r>
          </w:p>
        </w:tc>
        <w:tc>
          <w:tcPr>
            <w:tcW w:w="835" w:type="dxa"/>
            <w:tcBorders>
              <w:top w:val="nil"/>
              <w:left w:val="nil"/>
              <w:bottom w:val="nil"/>
              <w:right w:val="nil"/>
            </w:tcBorders>
            <w:shd w:val="clear" w:color="000000" w:fill="D2D9EA"/>
            <w:vAlign w:val="center"/>
            <w:hideMark/>
          </w:tcPr>
          <w:p w14:paraId="35C4B3D1" w14:textId="77777777" w:rsidR="007377A9" w:rsidRPr="00EB2092" w:rsidRDefault="007377A9" w:rsidP="007377A9">
            <w:pPr>
              <w:spacing w:line="240" w:lineRule="auto"/>
              <w:jc w:val="center"/>
              <w:rPr>
                <w:rFonts w:ascii="Calibri" w:eastAsia="Times New Roman" w:hAnsi="Calibri" w:cs="Times New Roman"/>
                <w:b/>
                <w:bCs/>
                <w:sz w:val="20"/>
                <w:szCs w:val="20"/>
                <w:lang w:eastAsia="en-AU"/>
              </w:rPr>
            </w:pPr>
            <w:r w:rsidRPr="00EB2092">
              <w:rPr>
                <w:rFonts w:ascii="Calibri" w:eastAsia="Times New Roman" w:hAnsi="Calibri" w:cs="Times New Roman"/>
                <w:b/>
                <w:bCs/>
                <w:sz w:val="20"/>
                <w:szCs w:val="20"/>
                <w:lang w:eastAsia="en-AU"/>
              </w:rPr>
              <w:t>90</w:t>
            </w:r>
          </w:p>
        </w:tc>
        <w:tc>
          <w:tcPr>
            <w:tcW w:w="796" w:type="dxa"/>
            <w:tcBorders>
              <w:top w:val="nil"/>
              <w:left w:val="nil"/>
              <w:bottom w:val="nil"/>
              <w:right w:val="nil"/>
            </w:tcBorders>
            <w:shd w:val="clear" w:color="000000" w:fill="D2D9EA"/>
            <w:vAlign w:val="center"/>
            <w:hideMark/>
          </w:tcPr>
          <w:p w14:paraId="56332F9E" w14:textId="77777777" w:rsidR="007377A9" w:rsidRPr="00EB2092" w:rsidRDefault="007377A9" w:rsidP="007377A9">
            <w:pPr>
              <w:spacing w:line="240" w:lineRule="auto"/>
              <w:jc w:val="center"/>
              <w:rPr>
                <w:rFonts w:ascii="Calibri" w:eastAsia="Times New Roman" w:hAnsi="Calibri" w:cs="Times New Roman"/>
                <w:b/>
                <w:bCs/>
                <w:sz w:val="20"/>
                <w:szCs w:val="20"/>
                <w:lang w:eastAsia="en-AU"/>
              </w:rPr>
            </w:pPr>
            <w:r w:rsidRPr="00EB2092">
              <w:rPr>
                <w:rFonts w:ascii="Calibri" w:eastAsia="Times New Roman" w:hAnsi="Calibri" w:cs="Times New Roman"/>
                <w:b/>
                <w:bCs/>
                <w:sz w:val="20"/>
                <w:szCs w:val="20"/>
                <w:lang w:eastAsia="en-AU"/>
              </w:rPr>
              <w:t>164</w:t>
            </w:r>
          </w:p>
        </w:tc>
        <w:tc>
          <w:tcPr>
            <w:tcW w:w="815" w:type="dxa"/>
            <w:tcBorders>
              <w:top w:val="nil"/>
              <w:left w:val="single" w:sz="4" w:space="0" w:color="auto"/>
              <w:bottom w:val="nil"/>
              <w:right w:val="nil"/>
            </w:tcBorders>
            <w:shd w:val="clear" w:color="000000" w:fill="D2D9EA"/>
            <w:vAlign w:val="center"/>
            <w:hideMark/>
          </w:tcPr>
          <w:p w14:paraId="04B6A050" w14:textId="77777777" w:rsidR="007377A9" w:rsidRPr="00EB2092" w:rsidRDefault="007377A9" w:rsidP="007377A9">
            <w:pPr>
              <w:spacing w:line="240" w:lineRule="auto"/>
              <w:jc w:val="center"/>
              <w:rPr>
                <w:rFonts w:ascii="Calibri" w:eastAsia="Times New Roman" w:hAnsi="Calibri" w:cs="Times New Roman"/>
                <w:b/>
                <w:bCs/>
                <w:sz w:val="20"/>
                <w:szCs w:val="20"/>
                <w:lang w:eastAsia="en-AU"/>
              </w:rPr>
            </w:pPr>
            <w:r w:rsidRPr="00872D58">
              <w:rPr>
                <w:rFonts w:ascii="Calibri" w:eastAsia="Times New Roman" w:hAnsi="Calibri" w:cs="Times New Roman"/>
                <w:b/>
                <w:bCs/>
                <w:sz w:val="20"/>
                <w:szCs w:val="20"/>
                <w:lang w:eastAsia="en-AU"/>
              </w:rPr>
              <w:t>4.6</w:t>
            </w:r>
          </w:p>
        </w:tc>
        <w:tc>
          <w:tcPr>
            <w:tcW w:w="815" w:type="dxa"/>
            <w:tcBorders>
              <w:top w:val="nil"/>
              <w:left w:val="nil"/>
              <w:bottom w:val="nil"/>
              <w:right w:val="nil"/>
            </w:tcBorders>
            <w:shd w:val="clear" w:color="000000" w:fill="D2D9EA"/>
            <w:vAlign w:val="center"/>
            <w:hideMark/>
          </w:tcPr>
          <w:p w14:paraId="6D30BD5B" w14:textId="77777777" w:rsidR="007377A9" w:rsidRPr="00EB2092" w:rsidRDefault="007377A9" w:rsidP="007377A9">
            <w:pPr>
              <w:spacing w:line="240" w:lineRule="auto"/>
              <w:jc w:val="center"/>
              <w:rPr>
                <w:rFonts w:ascii="Calibri" w:eastAsia="Times New Roman" w:hAnsi="Calibri" w:cs="Times New Roman"/>
                <w:b/>
                <w:bCs/>
                <w:sz w:val="20"/>
                <w:szCs w:val="20"/>
                <w:lang w:eastAsia="en-AU"/>
              </w:rPr>
            </w:pPr>
            <w:r w:rsidRPr="00EB2092">
              <w:rPr>
                <w:rFonts w:ascii="Calibri" w:eastAsia="Times New Roman" w:hAnsi="Calibri" w:cs="Times New Roman"/>
                <w:b/>
                <w:bCs/>
                <w:sz w:val="20"/>
                <w:szCs w:val="20"/>
                <w:lang w:eastAsia="en-AU"/>
              </w:rPr>
              <w:t>5.2</w:t>
            </w:r>
          </w:p>
        </w:tc>
        <w:tc>
          <w:tcPr>
            <w:tcW w:w="957" w:type="dxa"/>
            <w:tcBorders>
              <w:top w:val="nil"/>
              <w:left w:val="single" w:sz="4" w:space="0" w:color="auto"/>
              <w:bottom w:val="nil"/>
              <w:right w:val="nil"/>
            </w:tcBorders>
            <w:shd w:val="clear" w:color="000000" w:fill="D2D9EA"/>
            <w:vAlign w:val="center"/>
            <w:hideMark/>
          </w:tcPr>
          <w:p w14:paraId="01DD30EB" w14:textId="77777777" w:rsidR="007377A9" w:rsidRPr="00EB2092" w:rsidRDefault="007377A9" w:rsidP="007377A9">
            <w:pPr>
              <w:spacing w:line="240" w:lineRule="auto"/>
              <w:jc w:val="center"/>
              <w:rPr>
                <w:rFonts w:ascii="Calibri" w:eastAsia="Times New Roman" w:hAnsi="Calibri" w:cs="Times New Roman"/>
                <w:b/>
                <w:bCs/>
                <w:sz w:val="20"/>
                <w:szCs w:val="20"/>
                <w:lang w:eastAsia="en-AU"/>
              </w:rPr>
            </w:pPr>
            <w:r w:rsidRPr="00EB2092">
              <w:rPr>
                <w:rFonts w:ascii="Calibri" w:eastAsia="Times New Roman" w:hAnsi="Calibri" w:cs="Times New Roman"/>
                <w:b/>
                <w:bCs/>
                <w:sz w:val="20"/>
                <w:szCs w:val="20"/>
                <w:lang w:eastAsia="en-AU"/>
              </w:rPr>
              <w:t>0.6</w:t>
            </w:r>
          </w:p>
        </w:tc>
        <w:tc>
          <w:tcPr>
            <w:tcW w:w="956" w:type="dxa"/>
            <w:tcBorders>
              <w:top w:val="nil"/>
              <w:left w:val="single" w:sz="4" w:space="0" w:color="auto"/>
              <w:bottom w:val="nil"/>
              <w:right w:val="nil"/>
            </w:tcBorders>
            <w:shd w:val="clear" w:color="000000" w:fill="D2D9EA"/>
            <w:vAlign w:val="center"/>
            <w:hideMark/>
          </w:tcPr>
          <w:p w14:paraId="1DAA4738" w14:textId="77777777" w:rsidR="007377A9" w:rsidRPr="00EB2092" w:rsidRDefault="007377A9" w:rsidP="007377A9">
            <w:pPr>
              <w:spacing w:line="240" w:lineRule="auto"/>
              <w:jc w:val="center"/>
              <w:rPr>
                <w:rFonts w:ascii="Calibri" w:eastAsia="Times New Roman" w:hAnsi="Calibri" w:cs="Times New Roman"/>
                <w:b/>
                <w:bCs/>
                <w:sz w:val="20"/>
                <w:szCs w:val="20"/>
                <w:lang w:eastAsia="en-AU"/>
              </w:rPr>
            </w:pPr>
            <w:r w:rsidRPr="00EB2092">
              <w:rPr>
                <w:rFonts w:ascii="Calibri" w:eastAsia="Times New Roman" w:hAnsi="Calibri" w:cs="Times New Roman"/>
                <w:b/>
                <w:bCs/>
                <w:sz w:val="20"/>
                <w:szCs w:val="20"/>
                <w:lang w:eastAsia="en-AU"/>
              </w:rPr>
              <w:t>3.2</w:t>
            </w:r>
          </w:p>
        </w:tc>
        <w:tc>
          <w:tcPr>
            <w:tcW w:w="1037" w:type="dxa"/>
            <w:tcBorders>
              <w:top w:val="nil"/>
              <w:left w:val="single" w:sz="4" w:space="0" w:color="auto"/>
              <w:bottom w:val="nil"/>
              <w:right w:val="single" w:sz="4" w:space="0" w:color="auto"/>
            </w:tcBorders>
            <w:shd w:val="clear" w:color="000000" w:fill="D2D9EA"/>
            <w:vAlign w:val="center"/>
            <w:hideMark/>
          </w:tcPr>
          <w:p w14:paraId="287AEA64" w14:textId="77777777" w:rsidR="007377A9" w:rsidRPr="00EB2092" w:rsidRDefault="007377A9" w:rsidP="007377A9">
            <w:pPr>
              <w:spacing w:line="240" w:lineRule="auto"/>
              <w:jc w:val="center"/>
              <w:rPr>
                <w:rFonts w:ascii="Calibri" w:eastAsia="Times New Roman" w:hAnsi="Calibri" w:cs="Times New Roman"/>
                <w:b/>
                <w:bCs/>
                <w:sz w:val="20"/>
                <w:szCs w:val="20"/>
                <w:lang w:eastAsia="en-AU"/>
              </w:rPr>
            </w:pPr>
            <w:r w:rsidRPr="00EB2092">
              <w:rPr>
                <w:rFonts w:ascii="Calibri" w:eastAsia="Times New Roman" w:hAnsi="Calibri" w:cs="Times New Roman"/>
                <w:b/>
                <w:bCs/>
                <w:sz w:val="20"/>
                <w:szCs w:val="20"/>
                <w:lang w:eastAsia="en-AU"/>
              </w:rPr>
              <w:t>19.9</w:t>
            </w:r>
          </w:p>
        </w:tc>
      </w:tr>
      <w:tr w:rsidR="003A56EF" w:rsidRPr="00EB2092" w14:paraId="27463F86" w14:textId="77777777" w:rsidTr="003A56EF">
        <w:trPr>
          <w:trHeight w:val="323"/>
        </w:trPr>
        <w:tc>
          <w:tcPr>
            <w:tcW w:w="3309" w:type="dxa"/>
            <w:tcBorders>
              <w:top w:val="nil"/>
              <w:left w:val="single" w:sz="4" w:space="0" w:color="auto"/>
              <w:bottom w:val="nil"/>
              <w:right w:val="single" w:sz="4" w:space="0" w:color="auto"/>
            </w:tcBorders>
            <w:shd w:val="clear" w:color="auto" w:fill="auto"/>
            <w:vAlign w:val="center"/>
            <w:hideMark/>
          </w:tcPr>
          <w:p w14:paraId="31ADED03" w14:textId="77777777" w:rsidR="007377A9" w:rsidRPr="00EB2092" w:rsidRDefault="007377A9" w:rsidP="007377A9">
            <w:pPr>
              <w:spacing w:line="240" w:lineRule="auto"/>
              <w:rPr>
                <w:rFonts w:ascii="Calibri" w:eastAsia="Times New Roman" w:hAnsi="Calibri" w:cs="Times New Roman"/>
                <w:i/>
                <w:iCs/>
                <w:sz w:val="20"/>
                <w:szCs w:val="20"/>
                <w:lang w:eastAsia="en-AU"/>
              </w:rPr>
            </w:pPr>
            <w:r w:rsidRPr="00EB2092">
              <w:rPr>
                <w:rFonts w:ascii="Calibri" w:eastAsia="Times New Roman" w:hAnsi="Calibri" w:cs="Times New Roman"/>
                <w:i/>
                <w:iCs/>
                <w:sz w:val="20"/>
                <w:szCs w:val="20"/>
                <w:lang w:eastAsia="en-AU"/>
              </w:rPr>
              <w:t>Government administration</w:t>
            </w:r>
          </w:p>
        </w:tc>
        <w:tc>
          <w:tcPr>
            <w:tcW w:w="835" w:type="dxa"/>
            <w:tcBorders>
              <w:top w:val="nil"/>
              <w:left w:val="nil"/>
              <w:bottom w:val="nil"/>
              <w:right w:val="nil"/>
            </w:tcBorders>
            <w:shd w:val="clear" w:color="auto" w:fill="auto"/>
            <w:vAlign w:val="center"/>
            <w:hideMark/>
          </w:tcPr>
          <w:p w14:paraId="786A5A9D" w14:textId="77777777" w:rsidR="007377A9" w:rsidRPr="00EB2092" w:rsidRDefault="007377A9" w:rsidP="007377A9">
            <w:pPr>
              <w:spacing w:line="240" w:lineRule="auto"/>
              <w:jc w:val="center"/>
              <w:rPr>
                <w:rFonts w:ascii="Calibri" w:eastAsia="Times New Roman" w:hAnsi="Calibri" w:cs="Times New Roman"/>
                <w:i/>
                <w:iCs/>
                <w:sz w:val="20"/>
                <w:szCs w:val="20"/>
                <w:lang w:eastAsia="en-AU"/>
              </w:rPr>
            </w:pPr>
            <w:r w:rsidRPr="00EB2092">
              <w:rPr>
                <w:rFonts w:ascii="Calibri" w:eastAsia="Times New Roman" w:hAnsi="Calibri" w:cs="Times New Roman"/>
                <w:i/>
                <w:iCs/>
                <w:sz w:val="20"/>
                <w:szCs w:val="20"/>
                <w:lang w:eastAsia="en-AU"/>
              </w:rPr>
              <w:t>34</w:t>
            </w:r>
          </w:p>
        </w:tc>
        <w:tc>
          <w:tcPr>
            <w:tcW w:w="796" w:type="dxa"/>
            <w:tcBorders>
              <w:top w:val="nil"/>
              <w:left w:val="nil"/>
              <w:bottom w:val="nil"/>
              <w:right w:val="nil"/>
            </w:tcBorders>
            <w:shd w:val="clear" w:color="auto" w:fill="auto"/>
            <w:vAlign w:val="center"/>
            <w:hideMark/>
          </w:tcPr>
          <w:p w14:paraId="232320AA" w14:textId="77777777" w:rsidR="007377A9" w:rsidRPr="00EB2092" w:rsidRDefault="007377A9" w:rsidP="007377A9">
            <w:pPr>
              <w:spacing w:line="240" w:lineRule="auto"/>
              <w:jc w:val="center"/>
              <w:rPr>
                <w:rFonts w:ascii="Calibri" w:eastAsia="Times New Roman" w:hAnsi="Calibri" w:cs="Times New Roman"/>
                <w:i/>
                <w:iCs/>
                <w:sz w:val="20"/>
                <w:szCs w:val="20"/>
                <w:lang w:eastAsia="en-AU"/>
              </w:rPr>
            </w:pPr>
            <w:r w:rsidRPr="00EB2092">
              <w:rPr>
                <w:rFonts w:ascii="Calibri" w:eastAsia="Times New Roman" w:hAnsi="Calibri" w:cs="Times New Roman"/>
                <w:i/>
                <w:iCs/>
                <w:sz w:val="20"/>
                <w:szCs w:val="20"/>
                <w:lang w:eastAsia="en-AU"/>
              </w:rPr>
              <w:t>46</w:t>
            </w:r>
          </w:p>
        </w:tc>
        <w:tc>
          <w:tcPr>
            <w:tcW w:w="815" w:type="dxa"/>
            <w:tcBorders>
              <w:top w:val="nil"/>
              <w:left w:val="single" w:sz="4" w:space="0" w:color="auto"/>
              <w:bottom w:val="nil"/>
              <w:right w:val="nil"/>
            </w:tcBorders>
            <w:shd w:val="clear" w:color="auto" w:fill="auto"/>
            <w:vAlign w:val="center"/>
            <w:hideMark/>
          </w:tcPr>
          <w:p w14:paraId="15A8D554" w14:textId="77777777" w:rsidR="007377A9" w:rsidRPr="00EB2092" w:rsidRDefault="007377A9" w:rsidP="007377A9">
            <w:pPr>
              <w:spacing w:line="240" w:lineRule="auto"/>
              <w:jc w:val="center"/>
              <w:rPr>
                <w:rFonts w:ascii="Calibri" w:eastAsia="Times New Roman" w:hAnsi="Calibri" w:cs="Times New Roman"/>
                <w:i/>
                <w:iCs/>
                <w:sz w:val="20"/>
                <w:szCs w:val="20"/>
                <w:lang w:eastAsia="en-AU"/>
              </w:rPr>
            </w:pPr>
            <w:r w:rsidRPr="00EB2092">
              <w:rPr>
                <w:rFonts w:ascii="Calibri" w:eastAsia="Times New Roman" w:hAnsi="Calibri" w:cs="Times New Roman"/>
                <w:i/>
                <w:iCs/>
                <w:sz w:val="20"/>
                <w:szCs w:val="20"/>
                <w:lang w:eastAsia="en-AU"/>
              </w:rPr>
              <w:t>1.8</w:t>
            </w:r>
          </w:p>
        </w:tc>
        <w:tc>
          <w:tcPr>
            <w:tcW w:w="815" w:type="dxa"/>
            <w:tcBorders>
              <w:top w:val="nil"/>
              <w:left w:val="nil"/>
              <w:bottom w:val="nil"/>
              <w:right w:val="nil"/>
            </w:tcBorders>
            <w:shd w:val="clear" w:color="auto" w:fill="auto"/>
            <w:vAlign w:val="center"/>
            <w:hideMark/>
          </w:tcPr>
          <w:p w14:paraId="090CBA81" w14:textId="77777777" w:rsidR="007377A9" w:rsidRPr="00EB2092" w:rsidRDefault="007377A9" w:rsidP="007377A9">
            <w:pPr>
              <w:spacing w:line="240" w:lineRule="auto"/>
              <w:jc w:val="center"/>
              <w:rPr>
                <w:rFonts w:ascii="Calibri" w:eastAsia="Times New Roman" w:hAnsi="Calibri" w:cs="Times New Roman"/>
                <w:i/>
                <w:iCs/>
                <w:sz w:val="20"/>
                <w:szCs w:val="20"/>
                <w:lang w:eastAsia="en-AU"/>
              </w:rPr>
            </w:pPr>
            <w:r w:rsidRPr="00EB2092">
              <w:rPr>
                <w:rFonts w:ascii="Calibri" w:eastAsia="Times New Roman" w:hAnsi="Calibri" w:cs="Times New Roman"/>
                <w:i/>
                <w:iCs/>
                <w:sz w:val="20"/>
                <w:szCs w:val="20"/>
                <w:lang w:eastAsia="en-AU"/>
              </w:rPr>
              <w:t>1.5</w:t>
            </w:r>
          </w:p>
        </w:tc>
        <w:tc>
          <w:tcPr>
            <w:tcW w:w="957" w:type="dxa"/>
            <w:tcBorders>
              <w:top w:val="nil"/>
              <w:left w:val="single" w:sz="4" w:space="0" w:color="auto"/>
              <w:bottom w:val="nil"/>
              <w:right w:val="nil"/>
            </w:tcBorders>
            <w:shd w:val="clear" w:color="auto" w:fill="auto"/>
            <w:vAlign w:val="center"/>
            <w:hideMark/>
          </w:tcPr>
          <w:p w14:paraId="485BA92D" w14:textId="77777777" w:rsidR="007377A9" w:rsidRPr="00EB2092" w:rsidRDefault="007377A9" w:rsidP="007377A9">
            <w:pPr>
              <w:spacing w:line="240" w:lineRule="auto"/>
              <w:jc w:val="center"/>
              <w:rPr>
                <w:rFonts w:ascii="Calibri" w:eastAsia="Times New Roman" w:hAnsi="Calibri" w:cs="Times New Roman"/>
                <w:i/>
                <w:iCs/>
                <w:sz w:val="20"/>
                <w:szCs w:val="20"/>
                <w:lang w:eastAsia="en-AU"/>
              </w:rPr>
            </w:pPr>
            <w:r w:rsidRPr="00EB2092">
              <w:rPr>
                <w:rFonts w:ascii="Calibri" w:eastAsia="Times New Roman" w:hAnsi="Calibri" w:cs="Times New Roman"/>
                <w:i/>
                <w:iCs/>
                <w:sz w:val="20"/>
                <w:szCs w:val="20"/>
                <w:lang w:eastAsia="en-AU"/>
              </w:rPr>
              <w:t>-0.3</w:t>
            </w:r>
          </w:p>
        </w:tc>
        <w:tc>
          <w:tcPr>
            <w:tcW w:w="956" w:type="dxa"/>
            <w:tcBorders>
              <w:top w:val="nil"/>
              <w:left w:val="single" w:sz="4" w:space="0" w:color="auto"/>
              <w:bottom w:val="nil"/>
              <w:right w:val="nil"/>
            </w:tcBorders>
            <w:shd w:val="clear" w:color="auto" w:fill="auto"/>
            <w:vAlign w:val="center"/>
            <w:hideMark/>
          </w:tcPr>
          <w:p w14:paraId="7F75F3AB" w14:textId="77777777" w:rsidR="007377A9" w:rsidRPr="00EB2092" w:rsidRDefault="007377A9" w:rsidP="007377A9">
            <w:pPr>
              <w:spacing w:line="240" w:lineRule="auto"/>
              <w:jc w:val="center"/>
              <w:rPr>
                <w:rFonts w:ascii="Calibri" w:eastAsia="Times New Roman" w:hAnsi="Calibri" w:cs="Times New Roman"/>
                <w:i/>
                <w:iCs/>
                <w:sz w:val="20"/>
                <w:szCs w:val="20"/>
                <w:lang w:eastAsia="en-AU"/>
              </w:rPr>
            </w:pPr>
            <w:r w:rsidRPr="00EB2092">
              <w:rPr>
                <w:rFonts w:ascii="Calibri" w:eastAsia="Times New Roman" w:hAnsi="Calibri" w:cs="Times New Roman"/>
                <w:i/>
                <w:iCs/>
                <w:sz w:val="20"/>
                <w:szCs w:val="20"/>
                <w:lang w:eastAsia="en-AU"/>
              </w:rPr>
              <w:t>0.6</w:t>
            </w:r>
          </w:p>
        </w:tc>
        <w:tc>
          <w:tcPr>
            <w:tcW w:w="1037" w:type="dxa"/>
            <w:tcBorders>
              <w:top w:val="nil"/>
              <w:left w:val="single" w:sz="4" w:space="0" w:color="auto"/>
              <w:bottom w:val="nil"/>
              <w:right w:val="single" w:sz="4" w:space="0" w:color="auto"/>
            </w:tcBorders>
            <w:shd w:val="clear" w:color="auto" w:fill="auto"/>
            <w:vAlign w:val="center"/>
            <w:hideMark/>
          </w:tcPr>
          <w:p w14:paraId="6B11DC88" w14:textId="77777777" w:rsidR="007377A9" w:rsidRPr="00EB2092" w:rsidRDefault="007377A9" w:rsidP="007377A9">
            <w:pPr>
              <w:spacing w:line="240" w:lineRule="auto"/>
              <w:jc w:val="center"/>
              <w:rPr>
                <w:rFonts w:ascii="Calibri" w:eastAsia="Times New Roman" w:hAnsi="Calibri" w:cs="Times New Roman"/>
                <w:i/>
                <w:iCs/>
                <w:sz w:val="20"/>
                <w:szCs w:val="20"/>
                <w:lang w:eastAsia="en-AU"/>
              </w:rPr>
            </w:pPr>
            <w:r w:rsidRPr="00EB2092">
              <w:rPr>
                <w:rFonts w:ascii="Calibri" w:eastAsia="Times New Roman" w:hAnsi="Calibri" w:cs="Times New Roman"/>
                <w:i/>
                <w:iCs/>
                <w:sz w:val="20"/>
                <w:szCs w:val="20"/>
                <w:lang w:eastAsia="en-AU"/>
              </w:rPr>
              <w:t>5.6</w:t>
            </w:r>
          </w:p>
        </w:tc>
      </w:tr>
      <w:tr w:rsidR="003A56EF" w:rsidRPr="00EB2092" w14:paraId="232D9645" w14:textId="77777777" w:rsidTr="003A56EF">
        <w:trPr>
          <w:trHeight w:val="323"/>
        </w:trPr>
        <w:tc>
          <w:tcPr>
            <w:tcW w:w="3309" w:type="dxa"/>
            <w:tcBorders>
              <w:top w:val="nil"/>
              <w:left w:val="single" w:sz="4" w:space="0" w:color="auto"/>
              <w:bottom w:val="nil"/>
              <w:right w:val="single" w:sz="4" w:space="0" w:color="auto"/>
            </w:tcBorders>
            <w:shd w:val="clear" w:color="000000" w:fill="D2D9EA"/>
            <w:vAlign w:val="center"/>
            <w:hideMark/>
          </w:tcPr>
          <w:p w14:paraId="4CFFC3BB" w14:textId="45621587" w:rsidR="007377A9" w:rsidRPr="00EB2092" w:rsidRDefault="007377A9" w:rsidP="00E44F73">
            <w:pPr>
              <w:spacing w:line="240" w:lineRule="auto"/>
              <w:rPr>
                <w:rFonts w:ascii="Calibri" w:eastAsia="Times New Roman" w:hAnsi="Calibri" w:cs="Times New Roman"/>
                <w:i/>
                <w:iCs/>
                <w:sz w:val="20"/>
                <w:szCs w:val="20"/>
                <w:lang w:eastAsia="en-AU"/>
              </w:rPr>
            </w:pPr>
            <w:r w:rsidRPr="00EB2092">
              <w:rPr>
                <w:rFonts w:ascii="Calibri" w:eastAsia="Times New Roman" w:hAnsi="Calibri" w:cs="Times New Roman"/>
                <w:i/>
                <w:iCs/>
                <w:sz w:val="20"/>
                <w:szCs w:val="20"/>
                <w:lang w:eastAsia="en-AU"/>
              </w:rPr>
              <w:t xml:space="preserve">Contingency </w:t>
            </w:r>
            <w:r w:rsidR="00E44F73">
              <w:rPr>
                <w:rFonts w:ascii="Calibri" w:eastAsia="Times New Roman" w:hAnsi="Calibri" w:cs="Times New Roman"/>
                <w:i/>
                <w:iCs/>
                <w:sz w:val="20"/>
                <w:szCs w:val="20"/>
                <w:lang w:eastAsia="en-AU"/>
              </w:rPr>
              <w:t>r</w:t>
            </w:r>
            <w:r w:rsidRPr="00EB2092">
              <w:rPr>
                <w:rFonts w:ascii="Calibri" w:eastAsia="Times New Roman" w:hAnsi="Calibri" w:cs="Times New Roman"/>
                <w:i/>
                <w:iCs/>
                <w:sz w:val="20"/>
                <w:szCs w:val="20"/>
                <w:lang w:eastAsia="en-AU"/>
              </w:rPr>
              <w:t xml:space="preserve">eserve </w:t>
            </w:r>
            <w:r w:rsidR="00E44F73">
              <w:rPr>
                <w:rFonts w:ascii="Calibri" w:eastAsia="Times New Roman" w:hAnsi="Calibri" w:cs="Times New Roman"/>
                <w:i/>
                <w:iCs/>
                <w:sz w:val="20"/>
                <w:szCs w:val="20"/>
                <w:lang w:eastAsia="en-AU"/>
              </w:rPr>
              <w:t>p</w:t>
            </w:r>
            <w:r w:rsidRPr="00EB2092">
              <w:rPr>
                <w:rFonts w:ascii="Calibri" w:eastAsia="Times New Roman" w:hAnsi="Calibri" w:cs="Times New Roman"/>
                <w:i/>
                <w:iCs/>
                <w:sz w:val="20"/>
                <w:szCs w:val="20"/>
                <w:lang w:eastAsia="en-AU"/>
              </w:rPr>
              <w:t>rovision</w:t>
            </w:r>
          </w:p>
        </w:tc>
        <w:tc>
          <w:tcPr>
            <w:tcW w:w="835" w:type="dxa"/>
            <w:tcBorders>
              <w:top w:val="nil"/>
              <w:left w:val="nil"/>
              <w:bottom w:val="nil"/>
              <w:right w:val="nil"/>
            </w:tcBorders>
            <w:shd w:val="clear" w:color="000000" w:fill="D2D9EA"/>
            <w:vAlign w:val="center"/>
            <w:hideMark/>
          </w:tcPr>
          <w:p w14:paraId="0B04C4CA" w14:textId="77777777" w:rsidR="007377A9" w:rsidRPr="00EB2092" w:rsidRDefault="007377A9" w:rsidP="007377A9">
            <w:pPr>
              <w:spacing w:line="240" w:lineRule="auto"/>
              <w:jc w:val="center"/>
              <w:rPr>
                <w:rFonts w:ascii="Calibri" w:eastAsia="Times New Roman" w:hAnsi="Calibri" w:cs="Times New Roman"/>
                <w:i/>
                <w:iCs/>
                <w:sz w:val="20"/>
                <w:szCs w:val="20"/>
                <w:lang w:eastAsia="en-AU"/>
              </w:rPr>
            </w:pPr>
            <w:r w:rsidRPr="00EB2092">
              <w:rPr>
                <w:rFonts w:ascii="Calibri" w:eastAsia="Times New Roman" w:hAnsi="Calibri" w:cs="Times New Roman"/>
                <w:i/>
                <w:iCs/>
                <w:sz w:val="20"/>
                <w:szCs w:val="20"/>
                <w:lang w:eastAsia="en-AU"/>
              </w:rPr>
              <w:t>0</w:t>
            </w:r>
          </w:p>
        </w:tc>
        <w:tc>
          <w:tcPr>
            <w:tcW w:w="796" w:type="dxa"/>
            <w:tcBorders>
              <w:top w:val="nil"/>
              <w:left w:val="nil"/>
              <w:bottom w:val="nil"/>
              <w:right w:val="nil"/>
            </w:tcBorders>
            <w:shd w:val="clear" w:color="000000" w:fill="D2D9EA"/>
            <w:vAlign w:val="center"/>
            <w:hideMark/>
          </w:tcPr>
          <w:p w14:paraId="50FE236B" w14:textId="77777777" w:rsidR="007377A9" w:rsidRPr="00EB2092" w:rsidRDefault="007377A9" w:rsidP="007377A9">
            <w:pPr>
              <w:spacing w:line="240" w:lineRule="auto"/>
              <w:jc w:val="center"/>
              <w:rPr>
                <w:rFonts w:ascii="Calibri" w:eastAsia="Times New Roman" w:hAnsi="Calibri" w:cs="Times New Roman"/>
                <w:i/>
                <w:iCs/>
                <w:sz w:val="20"/>
                <w:szCs w:val="20"/>
                <w:lang w:eastAsia="en-AU"/>
              </w:rPr>
            </w:pPr>
            <w:r w:rsidRPr="00EB2092">
              <w:rPr>
                <w:rFonts w:ascii="Calibri" w:eastAsia="Times New Roman" w:hAnsi="Calibri" w:cs="Times New Roman"/>
                <w:i/>
                <w:iCs/>
                <w:sz w:val="20"/>
                <w:szCs w:val="20"/>
                <w:lang w:eastAsia="en-AU"/>
              </w:rPr>
              <w:t>14</w:t>
            </w:r>
          </w:p>
        </w:tc>
        <w:tc>
          <w:tcPr>
            <w:tcW w:w="815" w:type="dxa"/>
            <w:tcBorders>
              <w:top w:val="nil"/>
              <w:left w:val="single" w:sz="4" w:space="0" w:color="auto"/>
              <w:bottom w:val="nil"/>
              <w:right w:val="nil"/>
            </w:tcBorders>
            <w:shd w:val="clear" w:color="000000" w:fill="D2D9EA"/>
            <w:vAlign w:val="center"/>
            <w:hideMark/>
          </w:tcPr>
          <w:p w14:paraId="40A195E4" w14:textId="77777777" w:rsidR="007377A9" w:rsidRPr="00EB2092" w:rsidRDefault="007377A9" w:rsidP="007377A9">
            <w:pPr>
              <w:spacing w:line="240" w:lineRule="auto"/>
              <w:jc w:val="center"/>
              <w:rPr>
                <w:rFonts w:ascii="Calibri" w:eastAsia="Times New Roman" w:hAnsi="Calibri" w:cs="Times New Roman"/>
                <w:i/>
                <w:iCs/>
                <w:sz w:val="20"/>
                <w:szCs w:val="20"/>
                <w:lang w:eastAsia="en-AU"/>
              </w:rPr>
            </w:pPr>
            <w:r w:rsidRPr="00EB2092">
              <w:rPr>
                <w:rFonts w:ascii="Calibri" w:eastAsia="Times New Roman" w:hAnsi="Calibri" w:cs="Times New Roman"/>
                <w:i/>
                <w:iCs/>
                <w:sz w:val="20"/>
                <w:szCs w:val="20"/>
                <w:lang w:eastAsia="en-AU"/>
              </w:rPr>
              <w:t>0.0</w:t>
            </w:r>
          </w:p>
        </w:tc>
        <w:tc>
          <w:tcPr>
            <w:tcW w:w="815" w:type="dxa"/>
            <w:tcBorders>
              <w:top w:val="nil"/>
              <w:left w:val="nil"/>
              <w:bottom w:val="nil"/>
              <w:right w:val="nil"/>
            </w:tcBorders>
            <w:shd w:val="clear" w:color="000000" w:fill="D2D9EA"/>
            <w:vAlign w:val="center"/>
            <w:hideMark/>
          </w:tcPr>
          <w:p w14:paraId="12001363" w14:textId="77777777" w:rsidR="007377A9" w:rsidRPr="00EB2092" w:rsidRDefault="007377A9" w:rsidP="007377A9">
            <w:pPr>
              <w:spacing w:line="240" w:lineRule="auto"/>
              <w:jc w:val="center"/>
              <w:rPr>
                <w:rFonts w:ascii="Calibri" w:eastAsia="Times New Roman" w:hAnsi="Calibri" w:cs="Times New Roman"/>
                <w:i/>
                <w:iCs/>
                <w:sz w:val="20"/>
                <w:szCs w:val="20"/>
                <w:lang w:eastAsia="en-AU"/>
              </w:rPr>
            </w:pPr>
            <w:r w:rsidRPr="00EB2092">
              <w:rPr>
                <w:rFonts w:ascii="Calibri" w:eastAsia="Times New Roman" w:hAnsi="Calibri" w:cs="Times New Roman"/>
                <w:i/>
                <w:iCs/>
                <w:sz w:val="20"/>
                <w:szCs w:val="20"/>
                <w:lang w:eastAsia="en-AU"/>
              </w:rPr>
              <w:t>0.5</w:t>
            </w:r>
          </w:p>
        </w:tc>
        <w:tc>
          <w:tcPr>
            <w:tcW w:w="957" w:type="dxa"/>
            <w:tcBorders>
              <w:top w:val="nil"/>
              <w:left w:val="single" w:sz="4" w:space="0" w:color="auto"/>
              <w:bottom w:val="nil"/>
              <w:right w:val="nil"/>
            </w:tcBorders>
            <w:shd w:val="clear" w:color="000000" w:fill="D2D9EA"/>
            <w:vAlign w:val="center"/>
            <w:hideMark/>
          </w:tcPr>
          <w:p w14:paraId="27F4825A" w14:textId="77777777" w:rsidR="007377A9" w:rsidRPr="00EB2092" w:rsidRDefault="007377A9" w:rsidP="007377A9">
            <w:pPr>
              <w:spacing w:line="240" w:lineRule="auto"/>
              <w:jc w:val="center"/>
              <w:rPr>
                <w:rFonts w:ascii="Calibri" w:eastAsia="Times New Roman" w:hAnsi="Calibri" w:cs="Times New Roman"/>
                <w:i/>
                <w:iCs/>
                <w:sz w:val="20"/>
                <w:szCs w:val="20"/>
                <w:lang w:eastAsia="en-AU"/>
              </w:rPr>
            </w:pPr>
            <w:r w:rsidRPr="00EB2092">
              <w:rPr>
                <w:rFonts w:ascii="Calibri" w:eastAsia="Times New Roman" w:hAnsi="Calibri" w:cs="Times New Roman"/>
                <w:i/>
                <w:iCs/>
                <w:sz w:val="20"/>
                <w:szCs w:val="20"/>
                <w:lang w:eastAsia="en-AU"/>
              </w:rPr>
              <w:t>0.5</w:t>
            </w:r>
          </w:p>
        </w:tc>
        <w:tc>
          <w:tcPr>
            <w:tcW w:w="956" w:type="dxa"/>
            <w:tcBorders>
              <w:top w:val="nil"/>
              <w:left w:val="single" w:sz="4" w:space="0" w:color="auto"/>
              <w:bottom w:val="nil"/>
              <w:right w:val="nil"/>
            </w:tcBorders>
            <w:shd w:val="clear" w:color="000000" w:fill="D2D9EA"/>
            <w:vAlign w:val="center"/>
            <w:hideMark/>
          </w:tcPr>
          <w:p w14:paraId="6A3971D0" w14:textId="6444C49C" w:rsidR="007377A9" w:rsidRPr="00EB2092" w:rsidRDefault="0079351F" w:rsidP="007377A9">
            <w:pPr>
              <w:spacing w:line="240" w:lineRule="auto"/>
              <w:jc w:val="center"/>
              <w:rPr>
                <w:rFonts w:ascii="Calibri" w:eastAsia="Times New Roman" w:hAnsi="Calibri" w:cs="Times New Roman"/>
                <w:i/>
                <w:iCs/>
                <w:sz w:val="20"/>
                <w:szCs w:val="20"/>
                <w:lang w:eastAsia="en-AU"/>
              </w:rPr>
            </w:pPr>
            <w:r w:rsidRPr="00EB2092">
              <w:rPr>
                <w:rFonts w:ascii="Calibri" w:eastAsia="Times New Roman" w:hAnsi="Calibri" w:cs="Times New Roman"/>
                <w:i/>
                <w:iCs/>
                <w:sz w:val="20"/>
                <w:szCs w:val="20"/>
                <w:lang w:eastAsia="en-AU"/>
              </w:rPr>
              <w:t>-</w:t>
            </w:r>
            <w:r w:rsidR="007377A9" w:rsidRPr="00EB2092">
              <w:rPr>
                <w:rFonts w:ascii="Calibri" w:eastAsia="Times New Roman" w:hAnsi="Calibri" w:cs="Times New Roman"/>
                <w:i/>
                <w:iCs/>
                <w:sz w:val="20"/>
                <w:szCs w:val="20"/>
                <w:lang w:eastAsia="en-AU"/>
              </w:rPr>
              <w:t> </w:t>
            </w:r>
          </w:p>
        </w:tc>
        <w:tc>
          <w:tcPr>
            <w:tcW w:w="1037" w:type="dxa"/>
            <w:tcBorders>
              <w:top w:val="nil"/>
              <w:left w:val="single" w:sz="4" w:space="0" w:color="auto"/>
              <w:bottom w:val="nil"/>
              <w:right w:val="single" w:sz="4" w:space="0" w:color="auto"/>
            </w:tcBorders>
            <w:shd w:val="clear" w:color="000000" w:fill="D2D9EA"/>
            <w:vAlign w:val="center"/>
            <w:hideMark/>
          </w:tcPr>
          <w:p w14:paraId="38D01E77" w14:textId="77777777" w:rsidR="007377A9" w:rsidRPr="00EB2092" w:rsidRDefault="007377A9" w:rsidP="007377A9">
            <w:pPr>
              <w:spacing w:line="240" w:lineRule="auto"/>
              <w:jc w:val="center"/>
              <w:rPr>
                <w:rFonts w:ascii="Calibri" w:eastAsia="Times New Roman" w:hAnsi="Calibri" w:cs="Times New Roman"/>
                <w:i/>
                <w:iCs/>
                <w:sz w:val="20"/>
                <w:szCs w:val="20"/>
                <w:lang w:eastAsia="en-AU"/>
              </w:rPr>
            </w:pPr>
            <w:r w:rsidRPr="00EB2092">
              <w:rPr>
                <w:rFonts w:ascii="Calibri" w:eastAsia="Times New Roman" w:hAnsi="Calibri" w:cs="Times New Roman"/>
                <w:i/>
                <w:iCs/>
                <w:sz w:val="20"/>
                <w:szCs w:val="20"/>
                <w:lang w:eastAsia="en-AU"/>
              </w:rPr>
              <w:t>1.7</w:t>
            </w:r>
          </w:p>
        </w:tc>
      </w:tr>
      <w:tr w:rsidR="003A56EF" w:rsidRPr="00EB2092" w14:paraId="60E59612" w14:textId="77777777" w:rsidTr="003A56EF">
        <w:trPr>
          <w:trHeight w:val="323"/>
        </w:trPr>
        <w:tc>
          <w:tcPr>
            <w:tcW w:w="3309" w:type="dxa"/>
            <w:tcBorders>
              <w:top w:val="nil"/>
              <w:left w:val="single" w:sz="4" w:space="0" w:color="auto"/>
              <w:bottom w:val="nil"/>
              <w:right w:val="single" w:sz="4" w:space="0" w:color="auto"/>
            </w:tcBorders>
            <w:shd w:val="clear" w:color="auto" w:fill="auto"/>
            <w:vAlign w:val="center"/>
            <w:hideMark/>
          </w:tcPr>
          <w:p w14:paraId="26EAA325" w14:textId="73FD5544" w:rsidR="007377A9" w:rsidRPr="00EB2092" w:rsidRDefault="007377A9" w:rsidP="0031324D">
            <w:pPr>
              <w:spacing w:line="240" w:lineRule="auto"/>
              <w:rPr>
                <w:rFonts w:ascii="Calibri" w:eastAsia="Times New Roman" w:hAnsi="Calibri" w:cs="Times New Roman"/>
                <w:i/>
                <w:iCs/>
                <w:sz w:val="20"/>
                <w:szCs w:val="20"/>
                <w:lang w:eastAsia="en-AU"/>
              </w:rPr>
            </w:pPr>
            <w:r w:rsidRPr="00EB2092">
              <w:rPr>
                <w:rFonts w:ascii="Calibri" w:eastAsia="Times New Roman" w:hAnsi="Calibri" w:cs="Times New Roman"/>
                <w:i/>
                <w:iCs/>
                <w:sz w:val="20"/>
                <w:szCs w:val="20"/>
                <w:lang w:eastAsia="en-AU"/>
              </w:rPr>
              <w:t xml:space="preserve">Remaining </w:t>
            </w:r>
            <w:r w:rsidR="0031324D">
              <w:rPr>
                <w:rFonts w:ascii="Calibri" w:eastAsia="Times New Roman" w:hAnsi="Calibri" w:cs="Times New Roman"/>
                <w:i/>
                <w:iCs/>
                <w:sz w:val="20"/>
                <w:szCs w:val="20"/>
                <w:lang w:eastAsia="en-AU"/>
              </w:rPr>
              <w:t>payments</w:t>
            </w:r>
          </w:p>
        </w:tc>
        <w:tc>
          <w:tcPr>
            <w:tcW w:w="835" w:type="dxa"/>
            <w:tcBorders>
              <w:top w:val="nil"/>
              <w:left w:val="nil"/>
              <w:bottom w:val="nil"/>
              <w:right w:val="nil"/>
            </w:tcBorders>
            <w:shd w:val="clear" w:color="auto" w:fill="auto"/>
            <w:vAlign w:val="center"/>
            <w:hideMark/>
          </w:tcPr>
          <w:p w14:paraId="12818043" w14:textId="77777777" w:rsidR="007377A9" w:rsidRPr="00EB2092" w:rsidRDefault="007377A9" w:rsidP="007377A9">
            <w:pPr>
              <w:spacing w:line="240" w:lineRule="auto"/>
              <w:jc w:val="center"/>
              <w:rPr>
                <w:rFonts w:ascii="Calibri" w:eastAsia="Times New Roman" w:hAnsi="Calibri" w:cs="Times New Roman"/>
                <w:i/>
                <w:iCs/>
                <w:sz w:val="20"/>
                <w:szCs w:val="20"/>
                <w:lang w:eastAsia="en-AU"/>
              </w:rPr>
            </w:pPr>
            <w:r w:rsidRPr="00EB2092">
              <w:rPr>
                <w:rFonts w:ascii="Calibri" w:eastAsia="Times New Roman" w:hAnsi="Calibri" w:cs="Times New Roman"/>
                <w:i/>
                <w:iCs/>
                <w:sz w:val="20"/>
                <w:szCs w:val="20"/>
                <w:lang w:eastAsia="en-AU"/>
              </w:rPr>
              <w:t>56</w:t>
            </w:r>
          </w:p>
        </w:tc>
        <w:tc>
          <w:tcPr>
            <w:tcW w:w="796" w:type="dxa"/>
            <w:tcBorders>
              <w:top w:val="nil"/>
              <w:left w:val="nil"/>
              <w:bottom w:val="nil"/>
              <w:right w:val="nil"/>
            </w:tcBorders>
            <w:shd w:val="clear" w:color="auto" w:fill="auto"/>
            <w:vAlign w:val="center"/>
            <w:hideMark/>
          </w:tcPr>
          <w:p w14:paraId="0D223833" w14:textId="77777777" w:rsidR="007377A9" w:rsidRPr="00EB2092" w:rsidRDefault="007377A9" w:rsidP="007377A9">
            <w:pPr>
              <w:spacing w:line="240" w:lineRule="auto"/>
              <w:jc w:val="center"/>
              <w:rPr>
                <w:rFonts w:ascii="Calibri" w:eastAsia="Times New Roman" w:hAnsi="Calibri" w:cs="Times New Roman"/>
                <w:i/>
                <w:iCs/>
                <w:sz w:val="20"/>
                <w:szCs w:val="20"/>
                <w:lang w:eastAsia="en-AU"/>
              </w:rPr>
            </w:pPr>
            <w:r w:rsidRPr="00EB2092">
              <w:rPr>
                <w:rFonts w:ascii="Calibri" w:eastAsia="Times New Roman" w:hAnsi="Calibri" w:cs="Times New Roman"/>
                <w:i/>
                <w:iCs/>
                <w:sz w:val="20"/>
                <w:szCs w:val="20"/>
                <w:lang w:eastAsia="en-AU"/>
              </w:rPr>
              <w:t>104</w:t>
            </w:r>
          </w:p>
        </w:tc>
        <w:tc>
          <w:tcPr>
            <w:tcW w:w="815" w:type="dxa"/>
            <w:tcBorders>
              <w:top w:val="nil"/>
              <w:left w:val="single" w:sz="4" w:space="0" w:color="auto"/>
              <w:bottom w:val="nil"/>
              <w:right w:val="nil"/>
            </w:tcBorders>
            <w:shd w:val="clear" w:color="auto" w:fill="auto"/>
            <w:vAlign w:val="center"/>
            <w:hideMark/>
          </w:tcPr>
          <w:p w14:paraId="74D2B64B" w14:textId="77777777" w:rsidR="007377A9" w:rsidRPr="00EB2092" w:rsidRDefault="007377A9" w:rsidP="007377A9">
            <w:pPr>
              <w:spacing w:line="240" w:lineRule="auto"/>
              <w:jc w:val="center"/>
              <w:rPr>
                <w:rFonts w:ascii="Calibri" w:eastAsia="Times New Roman" w:hAnsi="Calibri" w:cs="Times New Roman"/>
                <w:i/>
                <w:iCs/>
                <w:sz w:val="20"/>
                <w:szCs w:val="20"/>
                <w:lang w:eastAsia="en-AU"/>
              </w:rPr>
            </w:pPr>
            <w:r w:rsidRPr="00EB2092">
              <w:rPr>
                <w:rFonts w:ascii="Calibri" w:eastAsia="Times New Roman" w:hAnsi="Calibri" w:cs="Times New Roman"/>
                <w:i/>
                <w:iCs/>
                <w:sz w:val="20"/>
                <w:szCs w:val="20"/>
                <w:lang w:eastAsia="en-AU"/>
              </w:rPr>
              <w:t>2.9</w:t>
            </w:r>
          </w:p>
        </w:tc>
        <w:tc>
          <w:tcPr>
            <w:tcW w:w="815" w:type="dxa"/>
            <w:tcBorders>
              <w:top w:val="nil"/>
              <w:left w:val="nil"/>
              <w:bottom w:val="nil"/>
              <w:right w:val="nil"/>
            </w:tcBorders>
            <w:shd w:val="clear" w:color="auto" w:fill="auto"/>
            <w:vAlign w:val="center"/>
            <w:hideMark/>
          </w:tcPr>
          <w:p w14:paraId="52A85D2C" w14:textId="2C146360" w:rsidR="007377A9" w:rsidRPr="00EB2092" w:rsidRDefault="007377A9" w:rsidP="007377A9">
            <w:pPr>
              <w:spacing w:line="240" w:lineRule="auto"/>
              <w:jc w:val="center"/>
              <w:rPr>
                <w:rFonts w:ascii="Calibri" w:eastAsia="Times New Roman" w:hAnsi="Calibri" w:cs="Times New Roman"/>
                <w:i/>
                <w:iCs/>
                <w:sz w:val="20"/>
                <w:szCs w:val="20"/>
                <w:lang w:eastAsia="en-AU"/>
              </w:rPr>
            </w:pPr>
            <w:r w:rsidRPr="00EB2092">
              <w:rPr>
                <w:rFonts w:ascii="Calibri" w:eastAsia="Times New Roman" w:hAnsi="Calibri" w:cs="Times New Roman"/>
                <w:i/>
                <w:iCs/>
                <w:sz w:val="20"/>
                <w:szCs w:val="20"/>
                <w:lang w:eastAsia="en-AU"/>
              </w:rPr>
              <w:t>3.</w:t>
            </w:r>
            <w:r w:rsidR="002B62AD">
              <w:rPr>
                <w:rFonts w:ascii="Calibri" w:eastAsia="Times New Roman" w:hAnsi="Calibri" w:cs="Times New Roman"/>
                <w:i/>
                <w:iCs/>
                <w:sz w:val="20"/>
                <w:szCs w:val="20"/>
                <w:lang w:eastAsia="en-AU"/>
              </w:rPr>
              <w:t>3</w:t>
            </w:r>
          </w:p>
        </w:tc>
        <w:tc>
          <w:tcPr>
            <w:tcW w:w="957" w:type="dxa"/>
            <w:tcBorders>
              <w:top w:val="nil"/>
              <w:left w:val="single" w:sz="4" w:space="0" w:color="auto"/>
              <w:bottom w:val="nil"/>
              <w:right w:val="nil"/>
            </w:tcBorders>
            <w:shd w:val="clear" w:color="auto" w:fill="auto"/>
            <w:vAlign w:val="center"/>
            <w:hideMark/>
          </w:tcPr>
          <w:p w14:paraId="200B397A" w14:textId="253533DE" w:rsidR="007377A9" w:rsidRPr="00EB2092" w:rsidRDefault="007377A9" w:rsidP="002B62AD">
            <w:pPr>
              <w:spacing w:line="240" w:lineRule="auto"/>
              <w:jc w:val="center"/>
              <w:rPr>
                <w:rFonts w:ascii="Calibri" w:eastAsia="Times New Roman" w:hAnsi="Calibri" w:cs="Times New Roman"/>
                <w:i/>
                <w:iCs/>
                <w:sz w:val="20"/>
                <w:szCs w:val="20"/>
                <w:lang w:eastAsia="en-AU"/>
              </w:rPr>
            </w:pPr>
            <w:r w:rsidRPr="00EB2092">
              <w:rPr>
                <w:rFonts w:ascii="Calibri" w:eastAsia="Times New Roman" w:hAnsi="Calibri" w:cs="Times New Roman"/>
                <w:i/>
                <w:iCs/>
                <w:sz w:val="20"/>
                <w:szCs w:val="20"/>
                <w:lang w:eastAsia="en-AU"/>
              </w:rPr>
              <w:t>0.</w:t>
            </w:r>
            <w:r w:rsidR="002B62AD">
              <w:rPr>
                <w:rFonts w:ascii="Calibri" w:eastAsia="Times New Roman" w:hAnsi="Calibri" w:cs="Times New Roman"/>
                <w:i/>
                <w:iCs/>
                <w:sz w:val="20"/>
                <w:szCs w:val="20"/>
                <w:lang w:eastAsia="en-AU"/>
              </w:rPr>
              <w:t>4</w:t>
            </w:r>
          </w:p>
        </w:tc>
        <w:tc>
          <w:tcPr>
            <w:tcW w:w="956" w:type="dxa"/>
            <w:tcBorders>
              <w:top w:val="nil"/>
              <w:left w:val="single" w:sz="4" w:space="0" w:color="auto"/>
              <w:bottom w:val="nil"/>
              <w:right w:val="nil"/>
            </w:tcBorders>
            <w:shd w:val="clear" w:color="auto" w:fill="auto"/>
            <w:vAlign w:val="center"/>
            <w:hideMark/>
          </w:tcPr>
          <w:p w14:paraId="69A8C4A6" w14:textId="051384E6" w:rsidR="007377A9" w:rsidRPr="00EB2092" w:rsidRDefault="00872D58" w:rsidP="007377A9">
            <w:pPr>
              <w:spacing w:line="240" w:lineRule="auto"/>
              <w:jc w:val="center"/>
              <w:rPr>
                <w:rFonts w:ascii="Calibri" w:eastAsia="Times New Roman" w:hAnsi="Calibri" w:cs="Times New Roman"/>
                <w:i/>
                <w:iCs/>
                <w:sz w:val="20"/>
                <w:szCs w:val="20"/>
                <w:lang w:eastAsia="en-AU"/>
              </w:rPr>
            </w:pPr>
            <w:r w:rsidRPr="00872D58">
              <w:rPr>
                <w:rFonts w:ascii="Calibri" w:eastAsia="Times New Roman" w:hAnsi="Calibri" w:cs="Times New Roman"/>
                <w:i/>
                <w:iCs/>
                <w:sz w:val="20"/>
                <w:szCs w:val="20"/>
                <w:lang w:eastAsia="en-AU"/>
              </w:rPr>
              <w:t>3.3</w:t>
            </w:r>
          </w:p>
        </w:tc>
        <w:tc>
          <w:tcPr>
            <w:tcW w:w="1037" w:type="dxa"/>
            <w:tcBorders>
              <w:top w:val="nil"/>
              <w:left w:val="single" w:sz="4" w:space="0" w:color="auto"/>
              <w:bottom w:val="nil"/>
              <w:right w:val="single" w:sz="4" w:space="0" w:color="auto"/>
            </w:tcBorders>
            <w:shd w:val="clear" w:color="auto" w:fill="auto"/>
            <w:vAlign w:val="center"/>
            <w:hideMark/>
          </w:tcPr>
          <w:p w14:paraId="0A8D1183" w14:textId="77777777" w:rsidR="007377A9" w:rsidRPr="00EB2092" w:rsidRDefault="007377A9" w:rsidP="007377A9">
            <w:pPr>
              <w:spacing w:line="240" w:lineRule="auto"/>
              <w:jc w:val="center"/>
              <w:rPr>
                <w:rFonts w:ascii="Calibri" w:eastAsia="Times New Roman" w:hAnsi="Calibri" w:cs="Times New Roman"/>
                <w:i/>
                <w:iCs/>
                <w:sz w:val="20"/>
                <w:szCs w:val="20"/>
                <w:lang w:eastAsia="en-AU"/>
              </w:rPr>
            </w:pPr>
            <w:r w:rsidRPr="00EB2092">
              <w:rPr>
                <w:rFonts w:ascii="Calibri" w:eastAsia="Times New Roman" w:hAnsi="Calibri" w:cs="Times New Roman"/>
                <w:i/>
                <w:iCs/>
                <w:sz w:val="20"/>
                <w:szCs w:val="20"/>
                <w:lang w:eastAsia="en-AU"/>
              </w:rPr>
              <w:t>12.6</w:t>
            </w:r>
          </w:p>
        </w:tc>
      </w:tr>
      <w:tr w:rsidR="003A56EF" w:rsidRPr="00EB2092" w14:paraId="162231EA" w14:textId="77777777" w:rsidTr="003A56EF">
        <w:trPr>
          <w:trHeight w:val="323"/>
        </w:trPr>
        <w:tc>
          <w:tcPr>
            <w:tcW w:w="3309" w:type="dxa"/>
            <w:tcBorders>
              <w:top w:val="nil"/>
              <w:left w:val="single" w:sz="4" w:space="0" w:color="auto"/>
              <w:bottom w:val="single" w:sz="4" w:space="0" w:color="auto"/>
              <w:right w:val="single" w:sz="4" w:space="0" w:color="auto"/>
            </w:tcBorders>
            <w:shd w:val="clear" w:color="000000" w:fill="3D4D7D"/>
            <w:vAlign w:val="center"/>
            <w:hideMark/>
          </w:tcPr>
          <w:p w14:paraId="62BB1551" w14:textId="647C9AF0" w:rsidR="007377A9" w:rsidRPr="00EB2092" w:rsidRDefault="007377A9" w:rsidP="00446D4A">
            <w:pPr>
              <w:spacing w:line="240" w:lineRule="auto"/>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 xml:space="preserve">Total </w:t>
            </w:r>
            <w:r w:rsidR="00446D4A">
              <w:rPr>
                <w:rFonts w:ascii="Calibri" w:eastAsia="Times New Roman" w:hAnsi="Calibri" w:cs="Times New Roman"/>
                <w:b/>
                <w:bCs/>
                <w:color w:val="FFFFFF"/>
                <w:sz w:val="20"/>
                <w:szCs w:val="20"/>
                <w:lang w:eastAsia="en-AU"/>
              </w:rPr>
              <w:t>payments</w:t>
            </w:r>
          </w:p>
        </w:tc>
        <w:tc>
          <w:tcPr>
            <w:tcW w:w="835" w:type="dxa"/>
            <w:tcBorders>
              <w:top w:val="nil"/>
              <w:left w:val="nil"/>
              <w:bottom w:val="single" w:sz="4" w:space="0" w:color="auto"/>
              <w:right w:val="nil"/>
            </w:tcBorders>
            <w:shd w:val="clear" w:color="000000" w:fill="3D4D7D"/>
            <w:vAlign w:val="center"/>
            <w:hideMark/>
          </w:tcPr>
          <w:p w14:paraId="3E2DAA07" w14:textId="77777777" w:rsidR="007377A9" w:rsidRPr="00EB2092" w:rsidRDefault="007377A9" w:rsidP="007377A9">
            <w:pPr>
              <w:spacing w:line="240" w:lineRule="auto"/>
              <w:jc w:val="center"/>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478</w:t>
            </w:r>
          </w:p>
        </w:tc>
        <w:tc>
          <w:tcPr>
            <w:tcW w:w="796" w:type="dxa"/>
            <w:tcBorders>
              <w:top w:val="nil"/>
              <w:left w:val="nil"/>
              <w:bottom w:val="single" w:sz="4" w:space="0" w:color="auto"/>
              <w:right w:val="nil"/>
            </w:tcBorders>
            <w:shd w:val="clear" w:color="000000" w:fill="3D4D7D"/>
            <w:vAlign w:val="center"/>
            <w:hideMark/>
          </w:tcPr>
          <w:p w14:paraId="78E0B411" w14:textId="77777777" w:rsidR="007377A9" w:rsidRPr="00EB2092" w:rsidRDefault="007377A9" w:rsidP="007377A9">
            <w:pPr>
              <w:spacing w:line="240" w:lineRule="auto"/>
              <w:jc w:val="center"/>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823</w:t>
            </w:r>
          </w:p>
        </w:tc>
        <w:tc>
          <w:tcPr>
            <w:tcW w:w="815" w:type="dxa"/>
            <w:tcBorders>
              <w:top w:val="nil"/>
              <w:left w:val="single" w:sz="4" w:space="0" w:color="auto"/>
              <w:bottom w:val="single" w:sz="4" w:space="0" w:color="auto"/>
              <w:right w:val="nil"/>
            </w:tcBorders>
            <w:shd w:val="clear" w:color="000000" w:fill="3D4D7D"/>
            <w:vAlign w:val="center"/>
            <w:hideMark/>
          </w:tcPr>
          <w:p w14:paraId="5F68F519" w14:textId="77777777" w:rsidR="007377A9" w:rsidRPr="00EB2092" w:rsidRDefault="007377A9" w:rsidP="007377A9">
            <w:pPr>
              <w:spacing w:line="240" w:lineRule="auto"/>
              <w:jc w:val="center"/>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24.5</w:t>
            </w:r>
          </w:p>
        </w:tc>
        <w:tc>
          <w:tcPr>
            <w:tcW w:w="815" w:type="dxa"/>
            <w:tcBorders>
              <w:top w:val="nil"/>
              <w:left w:val="nil"/>
              <w:bottom w:val="single" w:sz="4" w:space="0" w:color="auto"/>
              <w:right w:val="nil"/>
            </w:tcBorders>
            <w:shd w:val="clear" w:color="000000" w:fill="3D4D7D"/>
            <w:vAlign w:val="center"/>
            <w:hideMark/>
          </w:tcPr>
          <w:p w14:paraId="588FA2C3" w14:textId="77777777" w:rsidR="007377A9" w:rsidRPr="00EB2092" w:rsidRDefault="007377A9" w:rsidP="007377A9">
            <w:pPr>
              <w:spacing w:line="240" w:lineRule="auto"/>
              <w:jc w:val="center"/>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26.1</w:t>
            </w:r>
          </w:p>
        </w:tc>
        <w:tc>
          <w:tcPr>
            <w:tcW w:w="957" w:type="dxa"/>
            <w:tcBorders>
              <w:top w:val="nil"/>
              <w:left w:val="single" w:sz="4" w:space="0" w:color="auto"/>
              <w:bottom w:val="single" w:sz="4" w:space="0" w:color="auto"/>
              <w:right w:val="nil"/>
            </w:tcBorders>
            <w:shd w:val="clear" w:color="000000" w:fill="3D4D7D"/>
            <w:vAlign w:val="center"/>
            <w:hideMark/>
          </w:tcPr>
          <w:p w14:paraId="1963F526" w14:textId="77777777" w:rsidR="007377A9" w:rsidRPr="00EB2092" w:rsidRDefault="007377A9" w:rsidP="007377A9">
            <w:pPr>
              <w:spacing w:line="240" w:lineRule="auto"/>
              <w:jc w:val="center"/>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1.6</w:t>
            </w:r>
          </w:p>
        </w:tc>
        <w:tc>
          <w:tcPr>
            <w:tcW w:w="956" w:type="dxa"/>
            <w:tcBorders>
              <w:top w:val="single" w:sz="4" w:space="0" w:color="auto"/>
              <w:left w:val="single" w:sz="4" w:space="0" w:color="auto"/>
              <w:bottom w:val="single" w:sz="4" w:space="0" w:color="auto"/>
              <w:right w:val="single" w:sz="4" w:space="0" w:color="auto"/>
            </w:tcBorders>
            <w:shd w:val="clear" w:color="000000" w:fill="3D4D7D"/>
            <w:vAlign w:val="center"/>
            <w:hideMark/>
          </w:tcPr>
          <w:p w14:paraId="2AC07245" w14:textId="77777777" w:rsidR="007377A9" w:rsidRPr="00EB2092" w:rsidRDefault="007377A9" w:rsidP="007377A9">
            <w:pPr>
              <w:spacing w:line="240" w:lineRule="auto"/>
              <w:jc w:val="center"/>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2.7</w:t>
            </w:r>
          </w:p>
        </w:tc>
        <w:tc>
          <w:tcPr>
            <w:tcW w:w="1037" w:type="dxa"/>
            <w:tcBorders>
              <w:top w:val="nil"/>
              <w:left w:val="nil"/>
              <w:bottom w:val="single" w:sz="4" w:space="0" w:color="auto"/>
              <w:right w:val="single" w:sz="4" w:space="0" w:color="auto"/>
            </w:tcBorders>
            <w:shd w:val="clear" w:color="000000" w:fill="3D4D7D"/>
            <w:vAlign w:val="center"/>
            <w:hideMark/>
          </w:tcPr>
          <w:p w14:paraId="33EC9523" w14:textId="77777777" w:rsidR="007377A9" w:rsidRPr="00EB2092" w:rsidRDefault="007377A9" w:rsidP="007377A9">
            <w:pPr>
              <w:spacing w:line="240" w:lineRule="auto"/>
              <w:jc w:val="center"/>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100.0</w:t>
            </w:r>
          </w:p>
        </w:tc>
      </w:tr>
    </w:tbl>
    <w:p w14:paraId="48D93B54" w14:textId="77777777" w:rsidR="00563E85" w:rsidRDefault="00563E85" w:rsidP="00563E85">
      <w:pPr>
        <w:pStyle w:val="SourceIndent"/>
        <w:tabs>
          <w:tab w:val="clear" w:pos="624"/>
        </w:tabs>
        <w:spacing w:before="60" w:after="0"/>
        <w:ind w:left="0"/>
      </w:pPr>
      <w:r>
        <w:t>Note: Numbers may not sum due to rounding.</w:t>
      </w:r>
    </w:p>
    <w:p w14:paraId="771B69A0" w14:textId="5B0BD694" w:rsidR="00230D3F" w:rsidRPr="008A30E0" w:rsidRDefault="00CE04FE" w:rsidP="00572B63">
      <w:pPr>
        <w:pStyle w:val="SourceIndent"/>
        <w:tabs>
          <w:tab w:val="clear" w:pos="624"/>
        </w:tabs>
        <w:spacing w:before="0" w:after="0"/>
        <w:ind w:left="0"/>
      </w:pPr>
      <w:r w:rsidRPr="00D006D1">
        <w:t>Source: 20</w:t>
      </w:r>
      <w:r w:rsidR="007B414E" w:rsidRPr="00D006D1">
        <w:t>20</w:t>
      </w:r>
      <w:r w:rsidR="00487A21">
        <w:t>-</w:t>
      </w:r>
      <w:r w:rsidRPr="00E439C2">
        <w:t>2</w:t>
      </w:r>
      <w:r w:rsidR="007B414E" w:rsidRPr="001D1C6B">
        <w:t>1</w:t>
      </w:r>
      <w:r w:rsidRPr="00C96029">
        <w:t xml:space="preserve"> Budget and PBO</w:t>
      </w:r>
      <w:r w:rsidRPr="00715564">
        <w:t xml:space="preserve"> analysis.</w:t>
      </w:r>
    </w:p>
    <w:p w14:paraId="0578A5BC" w14:textId="67710D62" w:rsidR="000D2145" w:rsidRPr="00A42D18" w:rsidRDefault="000D2145" w:rsidP="00230D3F">
      <w:pPr>
        <w:pStyle w:val="Heading1"/>
      </w:pPr>
      <w:bookmarkStart w:id="67" w:name="_Toc58271448"/>
      <w:r w:rsidRPr="00A42D18">
        <w:lastRenderedPageBreak/>
        <w:t>Projected net debt and net financial worth</w:t>
      </w:r>
      <w:bookmarkEnd w:id="67"/>
    </w:p>
    <w:tbl>
      <w:tblPr>
        <w:tblStyle w:val="BoxPlaceholder"/>
        <w:tblW w:w="8789" w:type="dxa"/>
        <w:shd w:val="clear" w:color="auto" w:fill="D3D8E9" w:themeFill="background2" w:themeFillTint="33"/>
        <w:tblLayout w:type="fixed"/>
        <w:tblLook w:val="04A0" w:firstRow="1" w:lastRow="0" w:firstColumn="1" w:lastColumn="0" w:noHBand="0" w:noVBand="1"/>
      </w:tblPr>
      <w:tblGrid>
        <w:gridCol w:w="8789"/>
      </w:tblGrid>
      <w:tr w:rsidR="006679DD" w:rsidRPr="00EB2092" w14:paraId="3043953C" w14:textId="77777777" w:rsidTr="008C405C">
        <w:tc>
          <w:tcPr>
            <w:tcW w:w="8789" w:type="dxa"/>
            <w:shd w:val="clear" w:color="auto" w:fill="D3D8E9" w:themeFill="background2" w:themeFillTint="33"/>
          </w:tcPr>
          <w:p w14:paraId="4B4F74F5" w14:textId="77777777" w:rsidR="006679DD" w:rsidRPr="009A1A17" w:rsidRDefault="006679DD" w:rsidP="008C405C">
            <w:pPr>
              <w:pStyle w:val="Heading2NoNumbering"/>
              <w:spacing w:before="120"/>
            </w:pPr>
            <w:r w:rsidRPr="009A1A17">
              <w:t>Key points</w:t>
            </w:r>
          </w:p>
          <w:p w14:paraId="6FFB05E5" w14:textId="28A24251" w:rsidR="00113A15" w:rsidRPr="00EB2092" w:rsidRDefault="00113A15" w:rsidP="00113A15">
            <w:pPr>
              <w:pStyle w:val="ListBullet"/>
            </w:pPr>
            <w:r w:rsidRPr="00372C38">
              <w:t>T</w:t>
            </w:r>
            <w:r w:rsidRPr="00F852A4">
              <w:t>he government projects that net debt will rise from 19.2 per cent of GDP ($37</w:t>
            </w:r>
            <w:r w:rsidR="0079351F" w:rsidRPr="00EB2092">
              <w:t>4</w:t>
            </w:r>
            <w:r w:rsidRPr="00EB2092">
              <w:t> billion) in 2018</w:t>
            </w:r>
            <w:r w:rsidR="00487A21">
              <w:t>-</w:t>
            </w:r>
            <w:r w:rsidRPr="00EB2092">
              <w:t>19 to 43.8 per cent of GDP ($966 billion) in 2023</w:t>
            </w:r>
            <w:r w:rsidR="00487A21">
              <w:t>-</w:t>
            </w:r>
            <w:r w:rsidRPr="00EB2092">
              <w:t>24.</w:t>
            </w:r>
          </w:p>
          <w:p w14:paraId="58F69983" w14:textId="73D6F696" w:rsidR="00113A15" w:rsidRPr="00EB2092" w:rsidRDefault="00113A15" w:rsidP="00113A15">
            <w:pPr>
              <w:pStyle w:val="ListBullet"/>
            </w:pPr>
            <w:r w:rsidRPr="00EB2092">
              <w:t>Beyond the forward estimates period, the PBO projects net debt will gradually decrease as a share of GDP</w:t>
            </w:r>
            <w:r w:rsidR="00A9261B" w:rsidRPr="00EB2092">
              <w:t>,</w:t>
            </w:r>
            <w:r w:rsidRPr="00EB2092">
              <w:t xml:space="preserve"> to 40.</w:t>
            </w:r>
            <w:r w:rsidR="00056F14" w:rsidRPr="00EB2092">
              <w:t xml:space="preserve">9 </w:t>
            </w:r>
            <w:r w:rsidRPr="00EB2092">
              <w:t>per cent of GDP</w:t>
            </w:r>
            <w:r w:rsidR="00A9261B" w:rsidRPr="00EB2092">
              <w:t xml:space="preserve"> at the end of 2030</w:t>
            </w:r>
            <w:r w:rsidR="00487A21">
              <w:t>-</w:t>
            </w:r>
            <w:r w:rsidR="00A9261B" w:rsidRPr="00EB2092">
              <w:t>31</w:t>
            </w:r>
            <w:r w:rsidRPr="00EB2092">
              <w:t>.</w:t>
            </w:r>
          </w:p>
          <w:p w14:paraId="4246C6C0" w14:textId="59DAA1A1" w:rsidR="006679DD" w:rsidRPr="00EB2092" w:rsidRDefault="00C07954" w:rsidP="00D04FEB">
            <w:pPr>
              <w:pStyle w:val="ListBullet"/>
            </w:pPr>
            <w:r w:rsidRPr="00EB2092">
              <w:t>Historically low interest rates mean that maintaining interest payments on higher debt levels is manageable</w:t>
            </w:r>
            <w:r w:rsidR="00360696" w:rsidRPr="00EB2092">
              <w:t>,</w:t>
            </w:r>
            <w:r w:rsidRPr="00EB2092">
              <w:t xml:space="preserve"> but </w:t>
            </w:r>
            <w:r w:rsidR="00D04FEB" w:rsidRPr="00EB2092">
              <w:t xml:space="preserve">the long-run </w:t>
            </w:r>
            <w:r w:rsidRPr="00EB2092">
              <w:t xml:space="preserve">improvement to the health of the budget will rely on economic growth.  </w:t>
            </w:r>
          </w:p>
        </w:tc>
      </w:tr>
    </w:tbl>
    <w:p w14:paraId="007AD63F" w14:textId="77777777" w:rsidR="00722B49" w:rsidRPr="00EB2092" w:rsidRDefault="00722B49" w:rsidP="00044B24">
      <w:pPr>
        <w:pStyle w:val="Heading2"/>
        <w:ind w:left="765"/>
      </w:pPr>
      <w:bookmarkStart w:id="68" w:name="_Toc57809373"/>
      <w:bookmarkStart w:id="69" w:name="_Toc57824691"/>
      <w:bookmarkStart w:id="70" w:name="_Toc523757318"/>
      <w:bookmarkStart w:id="71" w:name="_Toc19801254"/>
      <w:bookmarkStart w:id="72" w:name="_Toc58271449"/>
      <w:bookmarkEnd w:id="68"/>
      <w:bookmarkEnd w:id="69"/>
      <w:r w:rsidRPr="00EB2092">
        <w:t>Net debt</w:t>
      </w:r>
      <w:bookmarkEnd w:id="70"/>
      <w:bookmarkEnd w:id="71"/>
      <w:bookmarkEnd w:id="72"/>
    </w:p>
    <w:p w14:paraId="0E4B2299" w14:textId="44E0C501" w:rsidR="00794E65" w:rsidRPr="00EB2092" w:rsidRDefault="00794E65" w:rsidP="003942A6">
      <w:pPr>
        <w:pStyle w:val="ListBullet"/>
        <w:numPr>
          <w:ilvl w:val="0"/>
          <w:numId w:val="0"/>
        </w:numPr>
      </w:pPr>
      <w:r w:rsidRPr="00EB2092">
        <w:t xml:space="preserve">With the </w:t>
      </w:r>
      <w:r w:rsidR="00E932A7" w:rsidRPr="00EB2092">
        <w:t>record</w:t>
      </w:r>
      <w:r w:rsidRPr="00EB2092">
        <w:t xml:space="preserve"> increase in </w:t>
      </w:r>
      <w:r w:rsidR="00633CF7" w:rsidRPr="00EB2092">
        <w:t>payments</w:t>
      </w:r>
      <w:r w:rsidRPr="00EB2092">
        <w:t xml:space="preserve"> </w:t>
      </w:r>
      <w:r w:rsidR="0021104B" w:rsidRPr="00EB2092">
        <w:t xml:space="preserve">combined with the </w:t>
      </w:r>
      <w:r w:rsidRPr="00EB2092">
        <w:t xml:space="preserve">decrease in receipts, it </w:t>
      </w:r>
      <w:r w:rsidR="00C2621E" w:rsidRPr="00EB2092">
        <w:t>follows</w:t>
      </w:r>
      <w:r w:rsidRPr="00EB2092">
        <w:t xml:space="preserve"> that the </w:t>
      </w:r>
      <w:r w:rsidR="006546F5" w:rsidRPr="00EB2092">
        <w:t>2020</w:t>
      </w:r>
      <w:r w:rsidR="00487A21">
        <w:t>-</w:t>
      </w:r>
      <w:r w:rsidR="006546F5" w:rsidRPr="00EB2092">
        <w:t>21 B</w:t>
      </w:r>
      <w:r w:rsidRPr="00EB2092">
        <w:t>udget forecast a</w:t>
      </w:r>
      <w:r w:rsidR="00AA11D5" w:rsidRPr="00EB2092">
        <w:t xml:space="preserve"> large </w:t>
      </w:r>
      <w:r w:rsidRPr="00EB2092">
        <w:t>increase in net debt over of the forward estimates period</w:t>
      </w:r>
      <w:r w:rsidR="006546F5" w:rsidRPr="00EB2092">
        <w:t>,</w:t>
      </w:r>
      <w:r w:rsidRPr="00EB2092">
        <w:t xml:space="preserve"> from 19.2 per cent of GDP ($37</w:t>
      </w:r>
      <w:r w:rsidR="000A192F" w:rsidRPr="00EB2092">
        <w:t>4</w:t>
      </w:r>
      <w:r w:rsidRPr="00EB2092">
        <w:t> billion) in 2018</w:t>
      </w:r>
      <w:r w:rsidR="00487A21">
        <w:t>-</w:t>
      </w:r>
      <w:r w:rsidRPr="00EB2092">
        <w:t>19 to 43.8 per cent of GDP ($966 billion) in 2023</w:t>
      </w:r>
      <w:r w:rsidR="00487A21">
        <w:t>-</w:t>
      </w:r>
      <w:r w:rsidRPr="00EB2092">
        <w:t>24.</w:t>
      </w:r>
    </w:p>
    <w:p w14:paraId="7B6E7FDB" w14:textId="78A1D5FB" w:rsidR="005A4522" w:rsidRPr="00F852A4" w:rsidRDefault="00794E65" w:rsidP="005A4522">
      <w:pPr>
        <w:pStyle w:val="ListBullet"/>
        <w:numPr>
          <w:ilvl w:val="0"/>
          <w:numId w:val="0"/>
        </w:numPr>
      </w:pPr>
      <w:r w:rsidRPr="00EB2092">
        <w:t>Net debt</w:t>
      </w:r>
      <w:r w:rsidR="002F4BDE" w:rsidRPr="00EB2092">
        <w:t xml:space="preserve"> as a share of GDP</w:t>
      </w:r>
      <w:r w:rsidRPr="00EB2092">
        <w:t xml:space="preserve"> is projected to peak in </w:t>
      </w:r>
      <w:r w:rsidR="0021104B" w:rsidRPr="00EB2092">
        <w:t>2024</w:t>
      </w:r>
      <w:r w:rsidR="00487A21">
        <w:t>-</w:t>
      </w:r>
      <w:r w:rsidRPr="00EB2092">
        <w:t>2</w:t>
      </w:r>
      <w:r w:rsidR="0021104B" w:rsidRPr="00EB2092">
        <w:t>5</w:t>
      </w:r>
      <w:r w:rsidR="001B2968" w:rsidRPr="00EB2092">
        <w:t>, then stabilise</w:t>
      </w:r>
      <w:r w:rsidRPr="00EB2092">
        <w:t xml:space="preserve"> and decline in the following years, reflecting decreasing budget deficits as </w:t>
      </w:r>
      <w:r w:rsidR="00633CF7" w:rsidRPr="00EB2092">
        <w:t>payments</w:t>
      </w:r>
      <w:r w:rsidRPr="00EB2092">
        <w:t xml:space="preserve"> decline and receipts continue to recover.  </w:t>
      </w:r>
      <w:r w:rsidR="005A4522" w:rsidRPr="00EB2092">
        <w:t>The PBO projects that net debt will decline to 40.</w:t>
      </w:r>
      <w:r w:rsidR="00056F14" w:rsidRPr="00EB2092">
        <w:t>9 </w:t>
      </w:r>
      <w:r w:rsidR="005A4522" w:rsidRPr="00EB2092">
        <w:t>per cent of GDP ($1,</w:t>
      </w:r>
      <w:r w:rsidR="00522DA2" w:rsidRPr="00EB2092">
        <w:t>2</w:t>
      </w:r>
      <w:r w:rsidR="000A192F" w:rsidRPr="00EB2092">
        <w:t>91</w:t>
      </w:r>
      <w:r w:rsidR="00522DA2" w:rsidRPr="00EB2092">
        <w:t> </w:t>
      </w:r>
      <w:r w:rsidR="005A4522" w:rsidRPr="00EB2092">
        <w:t>billion) by 2030</w:t>
      </w:r>
      <w:r w:rsidR="00487A21">
        <w:t>-</w:t>
      </w:r>
      <w:r w:rsidR="005A4522" w:rsidRPr="00EB2092">
        <w:t>31 (</w:t>
      </w:r>
      <w:r w:rsidR="005A4522" w:rsidRPr="007D6E09">
        <w:fldChar w:fldCharType="begin"/>
      </w:r>
      <w:r w:rsidR="005A4522" w:rsidRPr="00EB2092">
        <w:instrText xml:space="preserve"> REF  _Ref520986428 \h  \* MERGEFORMAT </w:instrText>
      </w:r>
      <w:r w:rsidR="005A4522" w:rsidRPr="007D6E09">
        <w:fldChar w:fldCharType="separate"/>
      </w:r>
      <w:r w:rsidR="002E6949" w:rsidRPr="00EB2092">
        <w:t xml:space="preserve">Figure </w:t>
      </w:r>
      <w:r w:rsidR="002E6949" w:rsidRPr="00EB2092">
        <w:rPr>
          <w:noProof/>
        </w:rPr>
        <w:t>4</w:t>
      </w:r>
      <w:r w:rsidR="002E6949" w:rsidRPr="00EB2092">
        <w:t>–</w:t>
      </w:r>
      <w:r w:rsidR="002E6949">
        <w:rPr>
          <w:noProof/>
        </w:rPr>
        <w:t>1</w:t>
      </w:r>
      <w:r w:rsidR="005A4522" w:rsidRPr="007D6E09">
        <w:fldChar w:fldCharType="end"/>
      </w:r>
      <w:r w:rsidR="005A4522" w:rsidRPr="00EB2092">
        <w:t>)</w:t>
      </w:r>
      <w:r w:rsidR="00C07954" w:rsidRPr="00EB2092">
        <w:t xml:space="preserve">, a significantly different outlook to </w:t>
      </w:r>
      <w:r w:rsidR="0006382F">
        <w:t>the previous</w:t>
      </w:r>
      <w:r w:rsidR="00C07954" w:rsidRPr="00EB2092">
        <w:t xml:space="preserve"> report when net debt was projected to be close to zero by the end of the medium term.</w:t>
      </w:r>
      <w:r w:rsidR="00265D74">
        <w:rPr>
          <w:rStyle w:val="FootnoteReference"/>
        </w:rPr>
        <w:footnoteReference w:id="20"/>
      </w:r>
      <w:r w:rsidR="00C80625" w:rsidRPr="00C80625">
        <w:rPr>
          <w:rStyle w:val="FootnoteReference"/>
        </w:rPr>
        <w:t xml:space="preserve"> </w:t>
      </w:r>
    </w:p>
    <w:p w14:paraId="6A7595E8" w14:textId="642E5D80" w:rsidR="00722B49" w:rsidRPr="00EB2092" w:rsidRDefault="00722B49" w:rsidP="00044B24">
      <w:pPr>
        <w:pStyle w:val="Caption"/>
        <w:spacing w:before="240"/>
      </w:pPr>
      <w:bookmarkStart w:id="73" w:name="_Ref520986428"/>
      <w:r w:rsidRPr="00EB2092">
        <w:t>Figure 4–</w:t>
      </w:r>
      <w:r w:rsidR="00F00EF5" w:rsidRPr="007D6E09">
        <w:fldChar w:fldCharType="begin"/>
      </w:r>
      <w:r w:rsidR="00F00EF5" w:rsidRPr="00EB2092">
        <w:instrText xml:space="preserve"> SEQ Figure \* ARABIC \s 1 </w:instrText>
      </w:r>
      <w:r w:rsidR="00F00EF5" w:rsidRPr="007D6E09">
        <w:fldChar w:fldCharType="separate"/>
      </w:r>
      <w:r w:rsidR="002E6949">
        <w:rPr>
          <w:noProof/>
        </w:rPr>
        <w:t>1</w:t>
      </w:r>
      <w:r w:rsidR="00F00EF5" w:rsidRPr="007D6E09">
        <w:rPr>
          <w:noProof/>
        </w:rPr>
        <w:fldChar w:fldCharType="end"/>
      </w:r>
      <w:bookmarkEnd w:id="73"/>
      <w:r w:rsidRPr="00EB2092">
        <w:t>: Net debt</w:t>
      </w:r>
      <w:r w:rsidR="00A25C9B" w:rsidRPr="00EB2092">
        <w:t>, 1970</w:t>
      </w:r>
      <w:r w:rsidR="00487A21">
        <w:t>-</w:t>
      </w:r>
      <w:r w:rsidR="00A25C9B" w:rsidRPr="00EB2092">
        <w:t>71 to 2030</w:t>
      </w:r>
      <w:r w:rsidR="00487A21">
        <w:t>-</w:t>
      </w:r>
      <w:r w:rsidR="00A25C9B" w:rsidRPr="00EB2092">
        <w:t>31</w:t>
      </w:r>
    </w:p>
    <w:p w14:paraId="3C04D3F3" w14:textId="28239F52" w:rsidR="00C55A66" w:rsidRPr="00EB2092" w:rsidRDefault="00C523F6" w:rsidP="00C55A66">
      <w:pPr>
        <w:pStyle w:val="CaptionDescriptor"/>
      </w:pPr>
      <w:r w:rsidRPr="007D6E09">
        <w:rPr>
          <w:noProof/>
          <w:lang w:eastAsia="en-AU"/>
        </w:rPr>
        <w:drawing>
          <wp:inline distT="0" distB="0" distL="0" distR="0" wp14:anchorId="5F8738F7" wp14:editId="3F38E4CE">
            <wp:extent cx="4871085" cy="2889885"/>
            <wp:effectExtent l="0" t="0" r="5715" b="571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71085" cy="2889885"/>
                    </a:xfrm>
                    <a:prstGeom prst="rect">
                      <a:avLst/>
                    </a:prstGeom>
                    <a:noFill/>
                  </pic:spPr>
                </pic:pic>
              </a:graphicData>
            </a:graphic>
          </wp:inline>
        </w:drawing>
      </w:r>
    </w:p>
    <w:p w14:paraId="6E80E017" w14:textId="77777777" w:rsidR="009F3C9E" w:rsidRDefault="009F3C9E" w:rsidP="00722B49">
      <w:pPr>
        <w:pStyle w:val="SourceIndent"/>
        <w:tabs>
          <w:tab w:val="clear" w:pos="624"/>
        </w:tabs>
        <w:ind w:left="1134"/>
        <w:contextualSpacing/>
      </w:pPr>
      <w:r w:rsidRPr="009F3C9E">
        <w:t>Note: 'Previous' refers to projections published in last year's report.</w:t>
      </w:r>
    </w:p>
    <w:p w14:paraId="2043F5FC" w14:textId="6121BAA7" w:rsidR="00722B49" w:rsidRPr="00EB2092" w:rsidRDefault="00722B49" w:rsidP="00722B49">
      <w:pPr>
        <w:pStyle w:val="SourceIndent"/>
        <w:tabs>
          <w:tab w:val="clear" w:pos="624"/>
        </w:tabs>
        <w:ind w:left="1134"/>
        <w:contextualSpacing/>
      </w:pPr>
      <w:r w:rsidRPr="00EB2092">
        <w:t>Source: 20</w:t>
      </w:r>
      <w:r w:rsidR="00B47AE1" w:rsidRPr="00EB2092">
        <w:t>20</w:t>
      </w:r>
      <w:r w:rsidR="00487A21">
        <w:rPr>
          <w:spacing w:val="-3"/>
        </w:rPr>
        <w:t>-</w:t>
      </w:r>
      <w:r w:rsidRPr="00EB2092">
        <w:t>2</w:t>
      </w:r>
      <w:r w:rsidR="00B47AE1" w:rsidRPr="00EB2092">
        <w:t>1</w:t>
      </w:r>
      <w:r w:rsidRPr="00EB2092">
        <w:t xml:space="preserve"> Budget</w:t>
      </w:r>
      <w:r w:rsidR="00B47AE1" w:rsidRPr="00EB2092">
        <w:t>, 2019</w:t>
      </w:r>
      <w:r w:rsidR="00487A21">
        <w:t>-</w:t>
      </w:r>
      <w:r w:rsidR="00B47AE1" w:rsidRPr="00EB2092">
        <w:t>20</w:t>
      </w:r>
      <w:r w:rsidRPr="00EB2092">
        <w:t xml:space="preserve"> </w:t>
      </w:r>
      <w:r w:rsidR="00B47AE1" w:rsidRPr="00EB2092">
        <w:t xml:space="preserve">Budget </w:t>
      </w:r>
      <w:r w:rsidRPr="00EB2092">
        <w:t>and PBO analysis.</w:t>
      </w:r>
    </w:p>
    <w:p w14:paraId="65C8E124" w14:textId="739AE7E8" w:rsidR="005A4522" w:rsidRPr="00F852A4" w:rsidRDefault="00113F42" w:rsidP="003942A6">
      <w:pPr>
        <w:pStyle w:val="ListBullet"/>
        <w:numPr>
          <w:ilvl w:val="0"/>
          <w:numId w:val="0"/>
        </w:numPr>
      </w:pPr>
      <w:r w:rsidRPr="00EB2092">
        <w:lastRenderedPageBreak/>
        <w:t xml:space="preserve">As the budget is projected to remain in deficit, the gross debt-to-GDP ratio continues to increase over </w:t>
      </w:r>
      <w:r w:rsidR="0006382F">
        <w:t>most</w:t>
      </w:r>
      <w:r w:rsidRPr="00EB2092">
        <w:t xml:space="preserve"> of the decade. The net debt-to-GDP ratio declines over the medium term due to projected increases in asset </w:t>
      </w:r>
      <w:r w:rsidRPr="00AC37CF">
        <w:t>balances</w:t>
      </w:r>
      <w:r w:rsidR="00C80625" w:rsidRPr="00045E77">
        <w:t xml:space="preserve"> </w:t>
      </w:r>
      <w:r w:rsidR="00C80625" w:rsidRPr="009E53DD">
        <w:t xml:space="preserve">(such as </w:t>
      </w:r>
      <w:r w:rsidR="00AC37CF" w:rsidRPr="003A56EF">
        <w:t>those held by the Future Fund</w:t>
      </w:r>
      <w:r w:rsidR="00C80625" w:rsidRPr="00AC37CF">
        <w:t>)</w:t>
      </w:r>
      <w:r w:rsidRPr="00F852A4">
        <w:t xml:space="preserve"> </w:t>
      </w:r>
      <w:r w:rsidRPr="00EB2092">
        <w:t>offset</w:t>
      </w:r>
      <w:r w:rsidR="00C80625">
        <w:t>ting</w:t>
      </w:r>
      <w:r w:rsidRPr="00F852A4">
        <w:t xml:space="preserve"> the extra debt issuance.  </w:t>
      </w:r>
      <w:r w:rsidR="00C80625">
        <w:t>A deficit is more readily managed</w:t>
      </w:r>
      <w:r w:rsidR="00352053" w:rsidRPr="00F852A4">
        <w:t xml:space="preserve"> </w:t>
      </w:r>
      <w:r w:rsidR="001972F1" w:rsidRPr="00EB2092">
        <w:t>when</w:t>
      </w:r>
      <w:r w:rsidR="00352053" w:rsidRPr="00EB2092">
        <w:t xml:space="preserve"> </w:t>
      </w:r>
      <w:r w:rsidR="00C07954" w:rsidRPr="00EB2092">
        <w:t xml:space="preserve">the </w:t>
      </w:r>
      <w:r w:rsidR="00352053" w:rsidRPr="00EB2092">
        <w:t xml:space="preserve">growth </w:t>
      </w:r>
      <w:r w:rsidR="00C80625">
        <w:t xml:space="preserve">of the economy </w:t>
      </w:r>
      <w:r w:rsidR="00352053" w:rsidRPr="00F852A4">
        <w:t xml:space="preserve">is greater than </w:t>
      </w:r>
      <w:r w:rsidR="00C80625">
        <w:t xml:space="preserve">the </w:t>
      </w:r>
      <w:r w:rsidR="00D90B8C" w:rsidRPr="00F852A4">
        <w:t xml:space="preserve">growth in the </w:t>
      </w:r>
      <w:r w:rsidR="00352053" w:rsidRPr="00EB2092">
        <w:t xml:space="preserve">deficit and the interest payments associated with the government’s </w:t>
      </w:r>
      <w:r w:rsidR="001972F1" w:rsidRPr="00EB2092">
        <w:t>debt</w:t>
      </w:r>
      <w:r w:rsidR="00A33546" w:rsidRPr="00EB2092">
        <w:t>.  T</w:t>
      </w:r>
      <w:r w:rsidR="001972F1" w:rsidRPr="00EB2092">
        <w:t>he current low interest rate environment assists with the affordability of debt</w:t>
      </w:r>
      <w:r w:rsidR="005A4522" w:rsidRPr="00EB2092">
        <w:t>.</w:t>
      </w:r>
      <w:r w:rsidR="00C80625">
        <w:rPr>
          <w:rStyle w:val="FootnoteReference"/>
        </w:rPr>
        <w:footnoteReference w:id="21"/>
      </w:r>
    </w:p>
    <w:p w14:paraId="47014793" w14:textId="1CD7D14D" w:rsidR="00722B49" w:rsidRPr="00EB2092" w:rsidRDefault="00164E9F" w:rsidP="003942A6">
      <w:pPr>
        <w:pStyle w:val="ListBullet"/>
        <w:numPr>
          <w:ilvl w:val="0"/>
          <w:numId w:val="0"/>
        </w:numPr>
      </w:pPr>
      <w:r w:rsidRPr="00EB2092">
        <w:t xml:space="preserve">While lower interest rates are favourable for issuing </w:t>
      </w:r>
      <w:r w:rsidR="00774972">
        <w:t>Australian Government Securities (</w:t>
      </w:r>
      <w:r w:rsidRPr="00EB2092">
        <w:t>AGS</w:t>
      </w:r>
      <w:r w:rsidR="00774972">
        <w:t>)</w:t>
      </w:r>
      <w:r w:rsidRPr="00EB2092">
        <w:t xml:space="preserve"> in terms of lower servicing costs, lower interest rates have an adverse effect on the valuation of government debt.</w:t>
      </w:r>
      <w:r w:rsidR="005A4522" w:rsidRPr="00EB2092">
        <w:t xml:space="preserve">  </w:t>
      </w:r>
      <w:r w:rsidRPr="00EB2092">
        <w:t xml:space="preserve"> </w:t>
      </w:r>
      <w:r w:rsidR="00C07954" w:rsidRPr="00EB2092">
        <w:t>Lower future interest rates mean that the existing stock of government bonds already in the market is more attractive for investors, increasing the market value of debt as reported on the government’s balance sheet</w:t>
      </w:r>
      <w:r w:rsidR="008C5D93" w:rsidRPr="00EB2092">
        <w:t>, including the measure of net debt</w:t>
      </w:r>
      <w:r w:rsidR="00C07954" w:rsidRPr="00EB2092">
        <w:t>.</w:t>
      </w:r>
      <w:r w:rsidR="00C07954" w:rsidRPr="00EB2092">
        <w:rPr>
          <w:rStyle w:val="FootnoteReference"/>
        </w:rPr>
        <w:footnoteReference w:id="22"/>
      </w:r>
      <w:r w:rsidR="00C07954" w:rsidRPr="00EB2092">
        <w:t xml:space="preserve">  </w:t>
      </w:r>
      <w:r w:rsidR="008E5E9C" w:rsidRPr="00EB2092">
        <w:t>The money the government needs to pay bond holders on maturity, however, is the face value of the bond, not the market value.</w:t>
      </w:r>
    </w:p>
    <w:p w14:paraId="7007F66F" w14:textId="2E29AE75" w:rsidR="001F771E" w:rsidRPr="00EB2092" w:rsidRDefault="001F771E" w:rsidP="00044B24">
      <w:pPr>
        <w:pStyle w:val="Heading2"/>
        <w:ind w:left="765"/>
      </w:pPr>
      <w:bookmarkStart w:id="74" w:name="_Toc58271450"/>
      <w:bookmarkStart w:id="75" w:name="_Toc57133141"/>
      <w:bookmarkStart w:id="76" w:name="_Toc57207444"/>
      <w:bookmarkStart w:id="77" w:name="_Toc57207514"/>
      <w:bookmarkStart w:id="78" w:name="_Toc57133152"/>
      <w:bookmarkStart w:id="79" w:name="_Toc57207455"/>
      <w:bookmarkStart w:id="80" w:name="_Toc57207525"/>
      <w:bookmarkStart w:id="81" w:name="_Toc57133153"/>
      <w:bookmarkStart w:id="82" w:name="_Toc57207456"/>
      <w:bookmarkStart w:id="83" w:name="_Toc57207526"/>
      <w:bookmarkStart w:id="84" w:name="_Toc57133154"/>
      <w:bookmarkStart w:id="85" w:name="_Toc57207457"/>
      <w:bookmarkStart w:id="86" w:name="_Toc57207527"/>
      <w:bookmarkStart w:id="87" w:name="_Toc57133155"/>
      <w:bookmarkStart w:id="88" w:name="_Toc57207458"/>
      <w:bookmarkStart w:id="89" w:name="_Toc57207528"/>
      <w:bookmarkStart w:id="90" w:name="_Toc57133156"/>
      <w:bookmarkStart w:id="91" w:name="_Toc57207459"/>
      <w:bookmarkStart w:id="92" w:name="_Toc57207529"/>
      <w:bookmarkStart w:id="93" w:name="_Toc57133157"/>
      <w:bookmarkStart w:id="94" w:name="_Toc57207460"/>
      <w:bookmarkStart w:id="95" w:name="_Toc57207530"/>
      <w:bookmarkStart w:id="96" w:name="_Toc57133158"/>
      <w:bookmarkStart w:id="97" w:name="_Toc57207461"/>
      <w:bookmarkStart w:id="98" w:name="_Toc57207531"/>
      <w:bookmarkStart w:id="99" w:name="_Toc57133159"/>
      <w:bookmarkStart w:id="100" w:name="_Toc57207462"/>
      <w:bookmarkStart w:id="101" w:name="_Toc57207532"/>
      <w:bookmarkStart w:id="102" w:name="_Toc57133160"/>
      <w:bookmarkStart w:id="103" w:name="_Toc57207463"/>
      <w:bookmarkStart w:id="104" w:name="_Toc57207533"/>
      <w:bookmarkStart w:id="105" w:name="_Toc57133161"/>
      <w:bookmarkStart w:id="106" w:name="_Toc57207464"/>
      <w:bookmarkStart w:id="107" w:name="_Toc57207534"/>
      <w:bookmarkStart w:id="108" w:name="_Toc57133162"/>
      <w:bookmarkStart w:id="109" w:name="_Toc57207465"/>
      <w:bookmarkStart w:id="110" w:name="_Toc57207535"/>
      <w:bookmarkStart w:id="111" w:name="_Toc57133163"/>
      <w:bookmarkStart w:id="112" w:name="_Toc57207466"/>
      <w:bookmarkStart w:id="113" w:name="_Toc57207536"/>
      <w:bookmarkStart w:id="114" w:name="_Toc58271451"/>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Pr="00EB2092">
        <w:t>Debt beyond the medium term</w:t>
      </w:r>
      <w:bookmarkEnd w:id="114"/>
    </w:p>
    <w:p w14:paraId="2FDA3543" w14:textId="211B6938" w:rsidR="00F9615A" w:rsidRPr="00EB2092" w:rsidRDefault="004106A8" w:rsidP="00722B49">
      <w:pPr>
        <w:pStyle w:val="BodyText"/>
      </w:pPr>
      <w:r w:rsidRPr="00EB2092">
        <w:t>By the end of the medium</w:t>
      </w:r>
      <w:r w:rsidR="00663A55" w:rsidRPr="00EB2092">
        <w:t xml:space="preserve"> </w:t>
      </w:r>
      <w:r w:rsidRPr="00EB2092">
        <w:t xml:space="preserve">term, the PBO projects the budget to remain in deficit and debt to remain high.  </w:t>
      </w:r>
      <w:r w:rsidR="00222CC6" w:rsidRPr="00EB2092">
        <w:t>W</w:t>
      </w:r>
      <w:r w:rsidR="00706CE8" w:rsidRPr="00EB2092">
        <w:t>hile these projections do not extend beyond 2030</w:t>
      </w:r>
      <w:r w:rsidR="00487A21">
        <w:t>-</w:t>
      </w:r>
      <w:r w:rsidR="00706CE8" w:rsidRPr="00EB2092">
        <w:t>31,</w:t>
      </w:r>
      <w:r w:rsidRPr="00EB2092">
        <w:t xml:space="preserve"> </w:t>
      </w:r>
      <w:r w:rsidR="00706CE8" w:rsidRPr="00EB2092">
        <w:t>some of the longer</w:t>
      </w:r>
      <w:r w:rsidR="0079341A" w:rsidRPr="00EB2092">
        <w:noBreakHyphen/>
      </w:r>
      <w:r w:rsidR="00706CE8" w:rsidRPr="00EB2092">
        <w:t>term issues may be considered by comparison with two previous episodes</w:t>
      </w:r>
      <w:r w:rsidRPr="00EB2092">
        <w:t xml:space="preserve">:  the early 1990s recession and the </w:t>
      </w:r>
      <w:r w:rsidR="00C464A3" w:rsidRPr="00EB2092">
        <w:t>Second World War</w:t>
      </w:r>
      <w:r w:rsidRPr="00EB2092">
        <w:t xml:space="preserve">.  </w:t>
      </w:r>
      <w:r w:rsidR="00C07954" w:rsidRPr="00EB2092">
        <w:t xml:space="preserve">As </w:t>
      </w:r>
      <w:r w:rsidRPr="00EB2092">
        <w:t xml:space="preserve">net debt </w:t>
      </w:r>
      <w:r w:rsidR="00C07954" w:rsidRPr="00EB2092">
        <w:t xml:space="preserve">was </w:t>
      </w:r>
      <w:r w:rsidRPr="00EB2092">
        <w:t>not recorded before 1970</w:t>
      </w:r>
      <w:r w:rsidR="00487A21">
        <w:t>-</w:t>
      </w:r>
      <w:r w:rsidRPr="00EB2092">
        <w:t xml:space="preserve">71, </w:t>
      </w:r>
      <w:r w:rsidR="00597FF0" w:rsidRPr="00EB2092">
        <w:t>i</w:t>
      </w:r>
      <w:r w:rsidRPr="00EB2092">
        <w:t>n order to make these historical comparisons gross debt (</w:t>
      </w:r>
      <w:r w:rsidR="00774972">
        <w:t>AGS</w:t>
      </w:r>
      <w:r w:rsidRPr="00EB2092">
        <w:t xml:space="preserve"> on Issue) is used</w:t>
      </w:r>
      <w:r w:rsidR="00A072FA" w:rsidRPr="00EB2092">
        <w:t xml:space="preserve"> (</w:t>
      </w:r>
      <w:r w:rsidR="0079341A" w:rsidRPr="00EB2092">
        <w:t>Figure 4–2</w:t>
      </w:r>
      <w:r w:rsidR="00A072FA" w:rsidRPr="00EB2092">
        <w:t>)</w:t>
      </w:r>
      <w:r w:rsidRPr="00EB2092">
        <w:t>.</w:t>
      </w:r>
    </w:p>
    <w:p w14:paraId="0E276B86" w14:textId="3E079CB6" w:rsidR="004F4BD6" w:rsidRPr="00EB2092" w:rsidRDefault="004F4BD6" w:rsidP="004F4BD6">
      <w:pPr>
        <w:pStyle w:val="BodyText"/>
      </w:pPr>
      <w:r w:rsidRPr="00EB2092">
        <w:t xml:space="preserve">The early 1990s recession resulted in debt increasing to 21 per cent of GDP </w:t>
      </w:r>
      <w:r w:rsidR="00164E9F" w:rsidRPr="00EB2092">
        <w:t xml:space="preserve">but </w:t>
      </w:r>
      <w:r w:rsidR="00B020B3">
        <w:t xml:space="preserve">it </w:t>
      </w:r>
      <w:r w:rsidR="00164E9F" w:rsidRPr="00F852A4">
        <w:t>fell to 5 per cent of GDP less than 15 years later in 2006</w:t>
      </w:r>
      <w:r w:rsidRPr="00EB2092">
        <w:t xml:space="preserve">.  </w:t>
      </w:r>
      <w:r w:rsidR="002B4FEC" w:rsidRPr="00EB2092">
        <w:t>During this time i</w:t>
      </w:r>
      <w:r w:rsidRPr="00EB2092">
        <w:t>ncome taxes recovered well, first through bracket creep and later through the mining boom of the 2000s decade.  In addition, government sales of public assets, particularly Telstra, and cuts to government payments, resulted in debt being reduced more quickly than would have been possible otherwise.</w:t>
      </w:r>
    </w:p>
    <w:p w14:paraId="1954B41F" w14:textId="4513B6C0" w:rsidR="004F4BD6" w:rsidRPr="00EB2092" w:rsidRDefault="004F4BD6" w:rsidP="004F4BD6">
      <w:pPr>
        <w:pStyle w:val="BodyText"/>
      </w:pPr>
      <w:r w:rsidRPr="00EB2092">
        <w:t xml:space="preserve">Going back much </w:t>
      </w:r>
      <w:r w:rsidR="00EB6E71" w:rsidRPr="00EB2092">
        <w:t>earlier</w:t>
      </w:r>
      <w:r w:rsidRPr="00EB2092">
        <w:t xml:space="preserve">, the largest Commonwealth Government debt as a share of GDP in history was a result of the financing of the Second World War, through the </w:t>
      </w:r>
      <w:r w:rsidR="00C07954" w:rsidRPr="00EB2092">
        <w:t xml:space="preserve">issuance </w:t>
      </w:r>
      <w:r w:rsidRPr="00EB2092">
        <w:t>of special War Bonds</w:t>
      </w:r>
      <w:r w:rsidR="00EA102A" w:rsidRPr="00EB2092">
        <w:t>, also used during the First World War</w:t>
      </w:r>
      <w:r w:rsidRPr="00EB2092">
        <w:t>.  This debt reduced rapidly over the next 15 years, primarily as a result of very strong nominal GDP growth, averaging 14 per cent in the decade after the war, driven by high inflation</w:t>
      </w:r>
      <w:r w:rsidR="00B020B3">
        <w:t>,</w:t>
      </w:r>
      <w:r w:rsidRPr="00F852A4">
        <w:t xml:space="preserve"> particularly during the Korean War wool boom in the early 1950s.  With interest payments on</w:t>
      </w:r>
      <w:r w:rsidRPr="00EB2092">
        <w:t xml:space="preserve"> the war bonds already ‘locked in’ at around 3.5 per cent, the real value of interest and debt decreased rapidly.</w:t>
      </w:r>
    </w:p>
    <w:p w14:paraId="528897DC" w14:textId="773A57B5" w:rsidR="004932D8" w:rsidRPr="00EB2092" w:rsidRDefault="00CF7DE8" w:rsidP="004F4BD6">
      <w:pPr>
        <w:pStyle w:val="BodyText"/>
        <w:rPr>
          <w:rFonts w:ascii="Symbol" w:hAnsi="Symbol"/>
        </w:rPr>
      </w:pPr>
      <w:r>
        <w:t>A</w:t>
      </w:r>
      <w:r w:rsidR="004932D8" w:rsidRPr="00EB2092">
        <w:t xml:space="preserve"> primary mechanism for reducing debt in both cases was not paying back the debt, but allowing the economy, and hence government revenue streams, to grow </w:t>
      </w:r>
      <w:r w:rsidR="005E02FE" w:rsidRPr="00EB2092">
        <w:t>naturally and reduce</w:t>
      </w:r>
      <w:r w:rsidR="004932D8" w:rsidRPr="00EB2092">
        <w:t xml:space="preserve"> the relative value of the debt.  </w:t>
      </w:r>
      <w:r w:rsidR="008061E0" w:rsidRPr="00EB2092">
        <w:t>For example</w:t>
      </w:r>
      <w:r w:rsidR="00090DB3" w:rsidRPr="00EB2092">
        <w:t>, in 1945</w:t>
      </w:r>
      <w:r w:rsidR="00487A21">
        <w:t>-</w:t>
      </w:r>
      <w:r w:rsidR="00090DB3" w:rsidRPr="00EB2092">
        <w:t>46</w:t>
      </w:r>
      <w:r w:rsidR="003F0888" w:rsidRPr="00EB2092">
        <w:t xml:space="preserve"> war debt stood at over four</w:t>
      </w:r>
      <w:r w:rsidR="004932D8" w:rsidRPr="00EB2092">
        <w:t xml:space="preserve"> times larger than governme</w:t>
      </w:r>
      <w:r w:rsidR="003F0888" w:rsidRPr="00EB2092">
        <w:t>nt revenue, compared with less than 1.5</w:t>
      </w:r>
      <w:r w:rsidR="004932D8" w:rsidRPr="00EB2092">
        <w:t xml:space="preserve"> times larger in 1955</w:t>
      </w:r>
      <w:r w:rsidR="00487A21">
        <w:t>-</w:t>
      </w:r>
      <w:r w:rsidR="004932D8" w:rsidRPr="00EB2092">
        <w:t xml:space="preserve">56, despite the value of debt remaining almost unchanged at around </w:t>
      </w:r>
      <w:r w:rsidR="008061E0" w:rsidRPr="00EB2092">
        <w:t>£</w:t>
      </w:r>
      <w:r w:rsidR="004932D8" w:rsidRPr="00EB2092">
        <w:t>160 million.</w:t>
      </w:r>
    </w:p>
    <w:p w14:paraId="62FF9535" w14:textId="0F65D878" w:rsidR="004F4BD6" w:rsidRPr="00EB2092" w:rsidRDefault="00D8006B" w:rsidP="004F4BD6">
      <w:pPr>
        <w:pStyle w:val="BodyText"/>
      </w:pPr>
      <w:r w:rsidRPr="00EB2092">
        <w:t xml:space="preserve">In both </w:t>
      </w:r>
      <w:r w:rsidR="00005630" w:rsidRPr="00EB2092">
        <w:t xml:space="preserve">historical </w:t>
      </w:r>
      <w:r w:rsidRPr="00EB2092">
        <w:t>episodes Australia was the beneficiary of price spikes driven by unprecedented foreign demand, for our wool and iron ore, respectively</w:t>
      </w:r>
      <w:r w:rsidR="002B4FEC" w:rsidRPr="00EB2092">
        <w:t xml:space="preserve">. </w:t>
      </w:r>
      <w:r w:rsidR="002D43F0" w:rsidRPr="00EB2092">
        <w:t xml:space="preserve"> </w:t>
      </w:r>
      <w:r w:rsidR="002B4FEC" w:rsidRPr="00EB2092">
        <w:t>T</w:t>
      </w:r>
      <w:r w:rsidR="002D43F0" w:rsidRPr="00EB2092">
        <w:t xml:space="preserve">he Commonwealth </w:t>
      </w:r>
      <w:r w:rsidR="00E44F73">
        <w:t xml:space="preserve">was </w:t>
      </w:r>
      <w:r w:rsidR="00FC29D3" w:rsidRPr="00EB2092">
        <w:t xml:space="preserve">also </w:t>
      </w:r>
      <w:r w:rsidR="00C07954" w:rsidRPr="00EB2092">
        <w:t xml:space="preserve">able to proceed with considerable </w:t>
      </w:r>
      <w:r w:rsidR="002D43F0" w:rsidRPr="00EB2092">
        <w:t>asset</w:t>
      </w:r>
      <w:r w:rsidR="002B4FEC" w:rsidRPr="00EB2092">
        <w:t xml:space="preserve"> sales</w:t>
      </w:r>
      <w:r w:rsidR="002D43F0" w:rsidRPr="00EB2092">
        <w:t xml:space="preserve"> </w:t>
      </w:r>
      <w:r w:rsidR="004119A7">
        <w:t xml:space="preserve">in the 1990s and 2000s </w:t>
      </w:r>
      <w:r w:rsidR="002D43F0" w:rsidRPr="00EB2092">
        <w:t>to assist with paying down debt.</w:t>
      </w:r>
    </w:p>
    <w:p w14:paraId="02B246BB" w14:textId="08FFDAB1" w:rsidR="00C2621E" w:rsidRDefault="00C2621E" w:rsidP="006315F9">
      <w:pPr>
        <w:pStyle w:val="Caption"/>
        <w:spacing w:before="240"/>
      </w:pPr>
      <w:r w:rsidRPr="00EB2092">
        <w:lastRenderedPageBreak/>
        <w:t>Figure 4–</w:t>
      </w:r>
      <w:r w:rsidR="0079341A" w:rsidRPr="00EB2092">
        <w:t>2</w:t>
      </w:r>
      <w:r w:rsidRPr="00EB2092">
        <w:t xml:space="preserve">: </w:t>
      </w:r>
      <w:r w:rsidR="00CF7DE8">
        <w:t>G</w:t>
      </w:r>
      <w:r w:rsidR="0016037A" w:rsidRPr="00EB2092">
        <w:t>ross debt (securities</w:t>
      </w:r>
      <w:r w:rsidRPr="00EB2092">
        <w:t xml:space="preserve"> on </w:t>
      </w:r>
      <w:r w:rsidR="0016037A" w:rsidRPr="00EB2092">
        <w:t>i</w:t>
      </w:r>
      <w:r w:rsidRPr="00EB2092">
        <w:t>ssue</w:t>
      </w:r>
      <w:r w:rsidR="00CF7DE8">
        <w:t>, excluding borrowing on behalf of the states</w:t>
      </w:r>
      <w:r w:rsidR="0016037A" w:rsidRPr="00EB2092">
        <w:t xml:space="preserve">) </w:t>
      </w:r>
      <w:r w:rsidR="00CF7DE8">
        <w:br/>
        <w:t xml:space="preserve">and nominal GDP growth </w:t>
      </w:r>
      <w:r w:rsidR="00E205C9" w:rsidRPr="00EB2092">
        <w:t>191</w:t>
      </w:r>
      <w:r w:rsidR="00A25C9B" w:rsidRPr="00EB2092">
        <w:t>0</w:t>
      </w:r>
      <w:r w:rsidR="00487A21">
        <w:t>-</w:t>
      </w:r>
      <w:r w:rsidR="00E205C9" w:rsidRPr="00EB2092">
        <w:t>1</w:t>
      </w:r>
      <w:r w:rsidR="00A25C9B" w:rsidRPr="00EB2092">
        <w:t>1 to 2030</w:t>
      </w:r>
      <w:r w:rsidR="00487A21">
        <w:t>-</w:t>
      </w:r>
      <w:r w:rsidR="00A25C9B" w:rsidRPr="00EB2092">
        <w:t>31</w:t>
      </w:r>
    </w:p>
    <w:p w14:paraId="0C5019ED" w14:textId="40FBB645" w:rsidR="00C2621E" w:rsidRPr="001D1C6B" w:rsidRDefault="00947B42" w:rsidP="003A56EF">
      <w:pPr>
        <w:pStyle w:val="CaptionDescriptor"/>
      </w:pPr>
      <w:r>
        <w:rPr>
          <w:noProof/>
          <w:lang w:eastAsia="en-AU"/>
        </w:rPr>
        <w:drawing>
          <wp:inline distT="0" distB="0" distL="0" distR="0" wp14:anchorId="2FD9ED07" wp14:editId="3CAE719B">
            <wp:extent cx="4907915" cy="5194300"/>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07915" cy="5194300"/>
                    </a:xfrm>
                    <a:prstGeom prst="rect">
                      <a:avLst/>
                    </a:prstGeom>
                    <a:noFill/>
                  </pic:spPr>
                </pic:pic>
              </a:graphicData>
            </a:graphic>
          </wp:inline>
        </w:drawing>
      </w:r>
    </w:p>
    <w:p w14:paraId="79CE6428" w14:textId="0FDD4A4A" w:rsidR="00A25C9B" w:rsidRPr="00F852A4" w:rsidRDefault="00A25C9B" w:rsidP="00CF4667">
      <w:pPr>
        <w:pStyle w:val="SourceIndent"/>
        <w:keepNext/>
        <w:tabs>
          <w:tab w:val="clear" w:pos="624"/>
        </w:tabs>
        <w:ind w:left="851" w:right="567"/>
        <w:contextualSpacing/>
      </w:pPr>
      <w:r w:rsidRPr="00C96029">
        <w:t xml:space="preserve">Note: </w:t>
      </w:r>
      <w:r w:rsidR="00E205C9" w:rsidRPr="00715564">
        <w:t>Debt was zero from 1900</w:t>
      </w:r>
      <w:r w:rsidR="00487A21">
        <w:t>-</w:t>
      </w:r>
      <w:r w:rsidR="00E205C9" w:rsidRPr="00715564">
        <w:t>01 t</w:t>
      </w:r>
      <w:r w:rsidR="00E205C9" w:rsidRPr="006F7EB9">
        <w:t>o 1910</w:t>
      </w:r>
      <w:r w:rsidR="00487A21">
        <w:t>-</w:t>
      </w:r>
      <w:r w:rsidR="00E205C9" w:rsidRPr="006F7EB9">
        <w:t xml:space="preserve">11. </w:t>
      </w:r>
      <w:r w:rsidR="002D43F0" w:rsidRPr="0050447F">
        <w:t xml:space="preserve"> War debt ceased being separately identified in Budget documents after 1962.</w:t>
      </w:r>
      <w:r w:rsidR="00062127" w:rsidRPr="003A56EF">
        <w:rPr>
          <w:rStyle w:val="FootnoteReference"/>
          <w:color w:val="808080" w:themeColor="background1" w:themeShade="80"/>
        </w:rPr>
        <w:footnoteReference w:id="23"/>
      </w:r>
      <w:r w:rsidR="002D43F0" w:rsidRPr="003A56EF">
        <w:rPr>
          <w:color w:val="808080" w:themeColor="background1" w:themeShade="80"/>
        </w:rPr>
        <w:t xml:space="preserve">  </w:t>
      </w:r>
      <w:r w:rsidR="00E205C9" w:rsidRPr="00372C38">
        <w:t>Debt since COVID</w:t>
      </w:r>
      <w:r w:rsidR="00BB3CF8">
        <w:t>-19</w:t>
      </w:r>
      <w:r w:rsidR="00E205C9" w:rsidRPr="00372C38">
        <w:t xml:space="preserve"> includes all debt incurred since the 2019</w:t>
      </w:r>
      <w:r w:rsidR="00487A21">
        <w:t>-</w:t>
      </w:r>
      <w:r w:rsidR="00E205C9" w:rsidRPr="00372C38">
        <w:t xml:space="preserve">20 MYEFO.  </w:t>
      </w:r>
      <w:r w:rsidRPr="00F852A4">
        <w:t>The figures in this chart differ from those published in Table 5 of Budget Paper 1, Statement 1</w:t>
      </w:r>
      <w:r w:rsidR="00164E9F" w:rsidRPr="00EB2092">
        <w:t>1</w:t>
      </w:r>
      <w:r w:rsidRPr="00EB2092">
        <w:t>.  Until the mid-1990s the Australian Government managed State debt on their behalf.  This debt is included in the historical tables in the Budget Papers</w:t>
      </w:r>
      <w:r w:rsidR="003517E3">
        <w:t>, while F</w:t>
      </w:r>
      <w:r w:rsidR="00D93AAC" w:rsidRPr="00EB2092">
        <w:t xml:space="preserve">igure </w:t>
      </w:r>
      <w:r w:rsidRPr="00EB2092">
        <w:t>4</w:t>
      </w:r>
      <w:r w:rsidR="000A192F" w:rsidRPr="00EB2092">
        <w:t>–</w:t>
      </w:r>
      <w:r w:rsidRPr="00EB2092">
        <w:t xml:space="preserve">2 abstracts from the State debt.  </w:t>
      </w:r>
      <w:r w:rsidR="00EC0099">
        <w:t xml:space="preserve">Consistent with the treatment in the Budget, securities held by government </w:t>
      </w:r>
      <w:r w:rsidR="003517E3">
        <w:t xml:space="preserve">investment </w:t>
      </w:r>
      <w:r w:rsidR="00EC0099">
        <w:t>funds have been netted out (on a pro-rata basis</w:t>
      </w:r>
      <w:r w:rsidR="00B5522E">
        <w:t xml:space="preserve"> </w:t>
      </w:r>
      <w:r w:rsidR="00EC0099">
        <w:t>between Commonwealth non-war debt and State debt</w:t>
      </w:r>
      <w:r w:rsidR="00B5522E">
        <w:t>)</w:t>
      </w:r>
      <w:r w:rsidR="00EC0099">
        <w:t xml:space="preserve">.  </w:t>
      </w:r>
      <w:r w:rsidRPr="00EB2092">
        <w:t>GDP figures before 1959</w:t>
      </w:r>
      <w:r w:rsidR="00487A21">
        <w:t>-</w:t>
      </w:r>
      <w:r w:rsidRPr="00EB2092">
        <w:t xml:space="preserve">60 are based on </w:t>
      </w:r>
      <w:r w:rsidR="00B82755" w:rsidRPr="00EB2092">
        <w:t xml:space="preserve">growth rates </w:t>
      </w:r>
      <w:r w:rsidR="00742BA4" w:rsidRPr="00EB2092">
        <w:t>calculated by</w:t>
      </w:r>
      <w:r w:rsidR="00B82755" w:rsidRPr="00EB2092">
        <w:t xml:space="preserve"> </w:t>
      </w:r>
      <w:r w:rsidRPr="00EB2092">
        <w:t>NG </w:t>
      </w:r>
      <w:proofErr w:type="spellStart"/>
      <w:r w:rsidRPr="00EB2092">
        <w:t>Butlin</w:t>
      </w:r>
      <w:proofErr w:type="spellEnd"/>
      <w:r w:rsidR="00B020B3">
        <w:t xml:space="preserve"> </w:t>
      </w:r>
      <w:r w:rsidR="005F6A2C">
        <w:t xml:space="preserve">for the period to 1949-50 and </w:t>
      </w:r>
      <w:r w:rsidR="00B020B3">
        <w:t xml:space="preserve">from the </w:t>
      </w:r>
      <w:r w:rsidR="005F6A2C">
        <w:t xml:space="preserve">Commonwealth Statistician, as published by the </w:t>
      </w:r>
      <w:r w:rsidR="00B020B3">
        <w:t>Reserve Bank of Australia</w:t>
      </w:r>
      <w:r w:rsidR="005F6A2C">
        <w:t xml:space="preserve"> for the period from 1949-50 to 1958-59.</w:t>
      </w:r>
      <w:r w:rsidR="00E44F73" w:rsidRPr="00522F9C">
        <w:rPr>
          <w:rStyle w:val="FootnoteReference"/>
          <w:color w:val="808080" w:themeColor="background1" w:themeShade="80"/>
        </w:rPr>
        <w:footnoteReference w:id="24"/>
      </w:r>
    </w:p>
    <w:p w14:paraId="77FF5018" w14:textId="6E27E384" w:rsidR="00C2621E" w:rsidRPr="00EB2092" w:rsidRDefault="00C2621E" w:rsidP="00CF4667">
      <w:pPr>
        <w:pStyle w:val="SourceIndent"/>
        <w:tabs>
          <w:tab w:val="clear" w:pos="624"/>
        </w:tabs>
        <w:spacing w:after="0"/>
        <w:ind w:left="851" w:right="567"/>
        <w:contextualSpacing/>
      </w:pPr>
      <w:r w:rsidRPr="00EB2092">
        <w:t>Source:  Budget Papers 1901</w:t>
      </w:r>
      <w:r w:rsidR="00E44F73" w:rsidRPr="00EB2092">
        <w:t>–</w:t>
      </w:r>
      <w:r w:rsidRPr="00EB2092">
        <w:t>2020</w:t>
      </w:r>
      <w:r w:rsidR="00C07954" w:rsidRPr="00EB2092">
        <w:t xml:space="preserve"> and PBO analysis.</w:t>
      </w:r>
    </w:p>
    <w:p w14:paraId="51065E1B" w14:textId="77777777" w:rsidR="00CE718E" w:rsidRPr="00EB2092" w:rsidRDefault="00CE718E" w:rsidP="004E2250"/>
    <w:p w14:paraId="7C8E7D0F" w14:textId="77777777" w:rsidR="009F3C9E" w:rsidRDefault="009F3C9E">
      <w:pPr>
        <w:rPr>
          <w:rFonts w:cs="Times New Roman"/>
        </w:rPr>
      </w:pPr>
      <w:r>
        <w:br w:type="page"/>
      </w:r>
    </w:p>
    <w:p w14:paraId="7D72A18E" w14:textId="7F97C5DC" w:rsidR="00CE718E" w:rsidRPr="00EB2092" w:rsidRDefault="00CE718E" w:rsidP="004E2250">
      <w:pPr>
        <w:pStyle w:val="BodyText"/>
      </w:pPr>
      <w:r w:rsidRPr="00EB2092">
        <w:lastRenderedPageBreak/>
        <w:t xml:space="preserve">There are, however, good reasons </w:t>
      </w:r>
      <w:r w:rsidR="00B020B3">
        <w:t>to consider that the current projected debt levels are similarly manageable</w:t>
      </w:r>
      <w:r w:rsidRPr="00F852A4">
        <w:t xml:space="preserve">.  </w:t>
      </w:r>
      <w:r w:rsidR="00B020B3">
        <w:t>T</w:t>
      </w:r>
      <w:r w:rsidRPr="00F852A4">
        <w:t xml:space="preserve">he government’s fiscal position prior to the pandemic </w:t>
      </w:r>
      <w:r w:rsidR="00B020B3">
        <w:t>was</w:t>
      </w:r>
      <w:r w:rsidR="00B020B3" w:rsidRPr="00F852A4">
        <w:t xml:space="preserve"> </w:t>
      </w:r>
      <w:r w:rsidRPr="00EB2092">
        <w:t xml:space="preserve">comparatively sound by international standards, and </w:t>
      </w:r>
      <w:r w:rsidR="00B020B3">
        <w:t>provided that t</w:t>
      </w:r>
      <w:r w:rsidRPr="00F852A4">
        <w:t xml:space="preserve">he pandemic </w:t>
      </w:r>
      <w:r w:rsidR="00B020B3">
        <w:t>remains</w:t>
      </w:r>
      <w:r w:rsidR="00B020B3" w:rsidRPr="00F852A4">
        <w:t xml:space="preserve"> </w:t>
      </w:r>
      <w:r w:rsidRPr="00F852A4">
        <w:t>relatively controlled in Australia, the fiscal position is well placed to recover</w:t>
      </w:r>
      <w:r w:rsidRPr="00EB2092">
        <w:t xml:space="preserve">.  Interest rates are currently highly favourable and government debt is largely ‘locked in’ at these rates for the next decade.  Provided interest rates on government debt remain on average lower than economic growth then debt will reduce, albeit slowly.  In </w:t>
      </w:r>
      <w:r w:rsidR="00197B51" w:rsidRPr="00EB2092">
        <w:t xml:space="preserve">addition, </w:t>
      </w:r>
      <w:r w:rsidR="00930D0D" w:rsidRPr="00EB2092">
        <w:t xml:space="preserve">productivity </w:t>
      </w:r>
      <w:r w:rsidR="00EB49F3" w:rsidRPr="00EB2092">
        <w:t xml:space="preserve">growth </w:t>
      </w:r>
      <w:r w:rsidR="00930D0D" w:rsidRPr="00EB2092">
        <w:t>increasing</w:t>
      </w:r>
      <w:r w:rsidR="00197B51" w:rsidRPr="00EB2092">
        <w:t xml:space="preserve"> beyond that currently assumed </w:t>
      </w:r>
      <w:r w:rsidR="00930D0D" w:rsidRPr="00EB2092">
        <w:t xml:space="preserve">would </w:t>
      </w:r>
      <w:r w:rsidR="00197B51" w:rsidRPr="00EB2092">
        <w:t>result in a faster reduction in the real value of the COVID-19 related debt.</w:t>
      </w:r>
    </w:p>
    <w:p w14:paraId="0B0D2DC6" w14:textId="77777777" w:rsidR="00665FF7" w:rsidRPr="00EB2092" w:rsidRDefault="00665FF7" w:rsidP="00665FF7">
      <w:pPr>
        <w:pStyle w:val="Heading2"/>
        <w:ind w:left="765"/>
      </w:pPr>
      <w:bookmarkStart w:id="115" w:name="_Toc57809376"/>
      <w:bookmarkStart w:id="116" w:name="_Toc57824694"/>
      <w:bookmarkStart w:id="117" w:name="_Toc57809377"/>
      <w:bookmarkStart w:id="118" w:name="_Toc57824695"/>
      <w:bookmarkStart w:id="119" w:name="_Toc58271452"/>
      <w:bookmarkEnd w:id="115"/>
      <w:bookmarkEnd w:id="116"/>
      <w:bookmarkEnd w:id="117"/>
      <w:bookmarkEnd w:id="118"/>
      <w:r w:rsidRPr="00EB2092">
        <w:t>Risks around debt projections</w:t>
      </w:r>
      <w:bookmarkEnd w:id="119"/>
    </w:p>
    <w:p w14:paraId="13A1C51C" w14:textId="53D8E72E" w:rsidR="00665FF7" w:rsidRPr="00EB2092" w:rsidRDefault="00665FF7" w:rsidP="00665FF7">
      <w:pPr>
        <w:pStyle w:val="BodyText"/>
      </w:pPr>
      <w:r w:rsidRPr="00EB2092">
        <w:t>While government finances will remain capable of withstanding economic cycles of historical magnitudes, more regular or larger disruptions, perhaps exacerbated by more frequent natural disasters, present a greater challenge if debt is already high</w:t>
      </w:r>
      <w:r w:rsidR="00B020B3">
        <w:t>,</w:t>
      </w:r>
      <w:r w:rsidR="00197B51" w:rsidRPr="00F852A4">
        <w:t xml:space="preserve"> even if</w:t>
      </w:r>
      <w:r w:rsidRPr="00EB2092">
        <w:t xml:space="preserve"> interest rates</w:t>
      </w:r>
      <w:r w:rsidR="00197B51" w:rsidRPr="00EB2092">
        <w:t xml:space="preserve"> remain </w:t>
      </w:r>
      <w:r w:rsidR="00AE2E82">
        <w:br/>
      </w:r>
      <w:r w:rsidR="00197B51" w:rsidRPr="00EB2092">
        <w:t>historically low</w:t>
      </w:r>
      <w:r w:rsidRPr="00EB2092">
        <w:t>.</w:t>
      </w:r>
    </w:p>
    <w:p w14:paraId="40137988" w14:textId="4329BC82" w:rsidR="00665FF7" w:rsidRPr="00EB2092" w:rsidRDefault="00665FF7" w:rsidP="00665FF7">
      <w:pPr>
        <w:pStyle w:val="BodyText"/>
      </w:pPr>
      <w:r w:rsidRPr="00EB2092">
        <w:t xml:space="preserve">Many of the risks around the fiscal position, including debt, relate to long-term economic growth prospects.  </w:t>
      </w:r>
      <w:r w:rsidR="00492B39" w:rsidRPr="00EB2092">
        <w:t xml:space="preserve">Strong </w:t>
      </w:r>
      <w:r w:rsidR="0016037A" w:rsidRPr="00EB2092">
        <w:t>nominal GDP growth</w:t>
      </w:r>
      <w:r w:rsidR="00492B39" w:rsidRPr="00EB2092">
        <w:t>,</w:t>
      </w:r>
      <w:r w:rsidR="0016037A" w:rsidRPr="00EB2092">
        <w:t xml:space="preserve"> </w:t>
      </w:r>
      <w:r w:rsidR="00492B39" w:rsidRPr="00EB2092">
        <w:t xml:space="preserve">which </w:t>
      </w:r>
      <w:r w:rsidR="0016037A" w:rsidRPr="00EB2092">
        <w:t>will more rapidly reduce the real value of debt</w:t>
      </w:r>
      <w:r w:rsidR="00492B39" w:rsidRPr="00EB2092">
        <w:t>, will depend on</w:t>
      </w:r>
      <w:r w:rsidRPr="00EB2092">
        <w:t xml:space="preserve"> the four factors of population, workforce participation, productivity and prices.  </w:t>
      </w:r>
      <w:r w:rsidR="0016037A" w:rsidRPr="00EB2092">
        <w:t>The g</w:t>
      </w:r>
      <w:r w:rsidRPr="00EB2092">
        <w:t>overnment will update its long-run view on these in the</w:t>
      </w:r>
      <w:r w:rsidR="00DC7104">
        <w:t xml:space="preserve"> next</w:t>
      </w:r>
      <w:r w:rsidRPr="00EB2092">
        <w:t xml:space="preserve"> </w:t>
      </w:r>
      <w:r w:rsidRPr="00EB2092">
        <w:rPr>
          <w:i/>
          <w:iCs/>
        </w:rPr>
        <w:t>Intergenerational Report</w:t>
      </w:r>
      <w:r w:rsidRPr="00EB2092">
        <w:t xml:space="preserve">, expected </w:t>
      </w:r>
      <w:r w:rsidR="00AE2E82">
        <w:br/>
      </w:r>
      <w:r w:rsidRPr="00EB2092">
        <w:t>in mid</w:t>
      </w:r>
      <w:r w:rsidRPr="00EB2092">
        <w:noBreakHyphen/>
        <w:t>2021.</w:t>
      </w:r>
    </w:p>
    <w:p w14:paraId="462A3AFF" w14:textId="10AAF5D0" w:rsidR="00665FF7" w:rsidRPr="00F852A4" w:rsidRDefault="00665FF7" w:rsidP="00665FF7">
      <w:pPr>
        <w:pStyle w:val="BodyText"/>
      </w:pPr>
      <w:r w:rsidRPr="00EB2092">
        <w:t xml:space="preserve">All four factors present challenges.  </w:t>
      </w:r>
      <w:r w:rsidR="00B020B3">
        <w:t>Firstly, p</w:t>
      </w:r>
      <w:r w:rsidRPr="00F852A4">
        <w:t>rojected fertility rates</w:t>
      </w:r>
      <w:r w:rsidR="0016037A" w:rsidRPr="00EB2092">
        <w:t xml:space="preserve"> </w:t>
      </w:r>
      <w:r w:rsidRPr="00EB2092">
        <w:t>have already been revised down</w:t>
      </w:r>
      <w:r w:rsidR="00197B51" w:rsidRPr="00EB2092">
        <w:t xml:space="preserve"> by the government</w:t>
      </w:r>
      <w:r w:rsidRPr="00EB2092">
        <w:t>, affecting long-run population growth.</w:t>
      </w:r>
      <w:r w:rsidR="00D15C34" w:rsidRPr="00E439C2">
        <w:rPr>
          <w:rStyle w:val="FootnoteReference"/>
        </w:rPr>
        <w:footnoteReference w:id="25"/>
      </w:r>
      <w:r w:rsidR="004F4BD6" w:rsidRPr="00E439C2">
        <w:t xml:space="preserve"> </w:t>
      </w:r>
      <w:r w:rsidRPr="001D1C6B">
        <w:t xml:space="preserve"> </w:t>
      </w:r>
      <w:r w:rsidR="00B020B3">
        <w:t>Secondly, t</w:t>
      </w:r>
      <w:r w:rsidR="004F4BD6" w:rsidRPr="00C96029">
        <w:t>he ageing popu</w:t>
      </w:r>
      <w:r w:rsidR="004F4BD6" w:rsidRPr="00715564">
        <w:t xml:space="preserve">lation </w:t>
      </w:r>
      <w:r w:rsidR="00197B51" w:rsidRPr="006F7EB9">
        <w:t xml:space="preserve">is expected to </w:t>
      </w:r>
      <w:r w:rsidR="004F4BD6" w:rsidRPr="0050447F">
        <w:t xml:space="preserve">constrain workforce participation.  </w:t>
      </w:r>
      <w:r w:rsidR="00B020B3">
        <w:t>Thirdly, p</w:t>
      </w:r>
      <w:r w:rsidR="00820161" w:rsidRPr="009A1A17">
        <w:t>roductivi</w:t>
      </w:r>
      <w:r w:rsidR="00820161" w:rsidRPr="00372C38">
        <w:t xml:space="preserve">ty growth </w:t>
      </w:r>
      <w:r w:rsidR="00D0132F" w:rsidRPr="00F852A4">
        <w:t xml:space="preserve">may remain </w:t>
      </w:r>
      <w:r w:rsidR="004E0A8D" w:rsidRPr="00EB2092">
        <w:t>closer to</w:t>
      </w:r>
      <w:r w:rsidR="00820161" w:rsidRPr="00EB2092">
        <w:t xml:space="preserve"> the trend </w:t>
      </w:r>
      <w:r w:rsidR="004E0A8D" w:rsidRPr="00EB2092">
        <w:t xml:space="preserve">of around 1 per cent </w:t>
      </w:r>
      <w:r w:rsidR="00D0132F" w:rsidRPr="00EB2092">
        <w:t xml:space="preserve">on average </w:t>
      </w:r>
      <w:r w:rsidR="00820161" w:rsidRPr="00EB2092">
        <w:t>since 2005</w:t>
      </w:r>
      <w:r w:rsidR="00692CF9" w:rsidRPr="00EB2092">
        <w:t>, lower than the 1.5 per cent assumed at the 2015</w:t>
      </w:r>
      <w:r w:rsidR="00BA2BF2">
        <w:t> </w:t>
      </w:r>
      <w:r w:rsidR="00692CF9" w:rsidRPr="00EB2092">
        <w:rPr>
          <w:iCs/>
        </w:rPr>
        <w:t>Intergenerational Report</w:t>
      </w:r>
      <w:r w:rsidR="00820161" w:rsidRPr="00EB2092">
        <w:t>.</w:t>
      </w:r>
      <w:r w:rsidR="00820161" w:rsidRPr="00E439C2">
        <w:rPr>
          <w:rStyle w:val="FootnoteReference"/>
        </w:rPr>
        <w:footnoteReference w:id="26"/>
      </w:r>
      <w:r w:rsidR="00820161" w:rsidRPr="00E439C2">
        <w:t xml:space="preserve"> </w:t>
      </w:r>
      <w:r w:rsidR="004F4BD6" w:rsidRPr="001D1C6B">
        <w:t xml:space="preserve"> </w:t>
      </w:r>
      <w:r w:rsidR="00B020B3">
        <w:t>Fourthly, p</w:t>
      </w:r>
      <w:r w:rsidRPr="00C96029">
        <w:t xml:space="preserve">rice growth </w:t>
      </w:r>
      <w:r w:rsidR="0016037A" w:rsidRPr="00715564">
        <w:t>may</w:t>
      </w:r>
      <w:r w:rsidRPr="006F7EB9">
        <w:t xml:space="preserve"> remain low</w:t>
      </w:r>
      <w:r w:rsidR="00E43DFD">
        <w:t xml:space="preserve"> through the medium </w:t>
      </w:r>
      <w:r w:rsidRPr="0050447F">
        <w:t xml:space="preserve">term and beyond in the context of </w:t>
      </w:r>
      <w:r w:rsidR="00B13DED">
        <w:t xml:space="preserve">potential ongoing weakness in the global </w:t>
      </w:r>
      <w:r w:rsidR="00B13DED" w:rsidRPr="00B5522E">
        <w:t>economy</w:t>
      </w:r>
      <w:r w:rsidRPr="009A1A17">
        <w:t>.</w:t>
      </w:r>
      <w:r w:rsidR="004F4BD6" w:rsidRPr="00372C38">
        <w:t xml:space="preserve">  </w:t>
      </w:r>
    </w:p>
    <w:p w14:paraId="5D263009" w14:textId="6641C3A9" w:rsidR="00665FF7" w:rsidRPr="00F852A4" w:rsidRDefault="00665FF7" w:rsidP="00665FF7">
      <w:pPr>
        <w:pStyle w:val="BodyText"/>
      </w:pPr>
      <w:r w:rsidRPr="00EB2092">
        <w:t>An additional key longer-term structural risk may arise from the nature of the current tax bases.  Wh</w:t>
      </w:r>
      <w:r w:rsidR="0016037A" w:rsidRPr="00EB2092">
        <w:t xml:space="preserve">ile </w:t>
      </w:r>
      <w:r w:rsidRPr="00EB2092">
        <w:t xml:space="preserve">governments have a high degree of control </w:t>
      </w:r>
      <w:r w:rsidR="00197B51" w:rsidRPr="00EB2092">
        <w:t xml:space="preserve">over </w:t>
      </w:r>
      <w:r w:rsidRPr="00EB2092">
        <w:t xml:space="preserve">their revenue, </w:t>
      </w:r>
      <w:r w:rsidR="0016037A" w:rsidRPr="00EB2092">
        <w:t>downward trends in</w:t>
      </w:r>
      <w:r w:rsidRPr="00EB2092">
        <w:t xml:space="preserve"> indirect tax bases (fuel, tobacco, alcohol and the GST) mean that income tax</w:t>
      </w:r>
      <w:r w:rsidR="0016037A" w:rsidRPr="00EB2092">
        <w:t>es</w:t>
      </w:r>
      <w:r w:rsidRPr="00EB2092">
        <w:t>, particularly from individuals, will provide a larger share of government income</w:t>
      </w:r>
      <w:r w:rsidR="00B020B3">
        <w:t>,</w:t>
      </w:r>
      <w:r w:rsidR="00B222C8" w:rsidRPr="00F852A4">
        <w:t xml:space="preserve"> </w:t>
      </w:r>
      <w:r w:rsidR="00B020B3">
        <w:t>under current policy settings.</w:t>
      </w:r>
      <w:r w:rsidRPr="00F852A4">
        <w:t xml:space="preserve">  </w:t>
      </w:r>
    </w:p>
    <w:p w14:paraId="1D0DBC96" w14:textId="34CC9B04" w:rsidR="00665FF7" w:rsidRPr="00EB2092" w:rsidRDefault="00665FF7" w:rsidP="00665FF7">
      <w:pPr>
        <w:pStyle w:val="BodyText"/>
      </w:pPr>
      <w:r w:rsidRPr="00EB2092">
        <w:t xml:space="preserve">These are not new risks brought about by the pandemic.  The current level of debt, however, naturally prompts a longer-term view.  Some of these considerations will be examined further in the PBO’s </w:t>
      </w:r>
      <w:r w:rsidR="00197B51" w:rsidRPr="00EB2092">
        <w:t xml:space="preserve">forthcoming </w:t>
      </w:r>
      <w:r w:rsidRPr="00EB2092">
        <w:t>report on fiscal sustainability.</w:t>
      </w:r>
    </w:p>
    <w:p w14:paraId="39E00018" w14:textId="77777777" w:rsidR="002A35F4" w:rsidRDefault="002A35F4">
      <w:pPr>
        <w:rPr>
          <w:rFonts w:asciiTheme="majorHAnsi" w:hAnsiTheme="majorHAnsi"/>
          <w:b/>
          <w:bCs/>
          <w:iCs/>
          <w:color w:val="3D4D7D" w:themeColor="background2"/>
          <w:kern w:val="20"/>
          <w:sz w:val="28"/>
          <w:szCs w:val="28"/>
        </w:rPr>
      </w:pPr>
      <w:bookmarkStart w:id="120" w:name="_Toc58271453"/>
      <w:r>
        <w:br w:type="page"/>
      </w:r>
    </w:p>
    <w:p w14:paraId="245CCF5F" w14:textId="0C4E7B61" w:rsidR="004B0150" w:rsidRPr="00EB2092" w:rsidRDefault="004B0150" w:rsidP="004B0150">
      <w:pPr>
        <w:pStyle w:val="Heading2"/>
        <w:ind w:left="765"/>
      </w:pPr>
      <w:r w:rsidRPr="00EB2092">
        <w:lastRenderedPageBreak/>
        <w:t>Net financial worth</w:t>
      </w:r>
      <w:bookmarkEnd w:id="120"/>
    </w:p>
    <w:p w14:paraId="769450AA" w14:textId="77777777" w:rsidR="004B0150" w:rsidRPr="00EB2092" w:rsidRDefault="004B0150" w:rsidP="003C048E">
      <w:pPr>
        <w:pStyle w:val="BodyTextAfterListTable"/>
      </w:pPr>
      <w:r w:rsidRPr="00EB2092">
        <w:t>Net financial worth is a broader measure of the strength of the government’s balance sheet than net debt as it includes all of the Commonwealth’s financial assets and liabilities, including the unfunded superannuation liability and equity investments.</w:t>
      </w:r>
    </w:p>
    <w:p w14:paraId="32E7865D" w14:textId="66B9B458" w:rsidR="004B0150" w:rsidRPr="00EB2092" w:rsidRDefault="004B0150" w:rsidP="00471D22">
      <w:pPr>
        <w:pStyle w:val="BodyText"/>
      </w:pPr>
      <w:r w:rsidRPr="00EB2092">
        <w:t>Net financial worth shows a sharp deterioration similar to that projected for net debt, with the</w:t>
      </w:r>
      <w:r w:rsidR="001E59E2">
        <w:t xml:space="preserve"> </w:t>
      </w:r>
      <w:r w:rsidR="004F7F5C" w:rsidRPr="00EB2092">
        <w:t>2020</w:t>
      </w:r>
      <w:r w:rsidR="001E59E2">
        <w:noBreakHyphen/>
      </w:r>
      <w:r w:rsidR="004F7F5C" w:rsidRPr="00EB2092">
        <w:t xml:space="preserve">21 </w:t>
      </w:r>
      <w:r w:rsidR="00DB7E30" w:rsidRPr="00EB2092">
        <w:t>B</w:t>
      </w:r>
      <w:r w:rsidRPr="00EB2092">
        <w:t xml:space="preserve">udget forecasting net financial worth to worsen from </w:t>
      </w:r>
      <w:r w:rsidR="000A192F" w:rsidRPr="00EB2092">
        <w:t>-</w:t>
      </w:r>
      <w:r w:rsidR="003D7E01" w:rsidRPr="00EB2092">
        <w:t>3</w:t>
      </w:r>
      <w:r w:rsidR="004D3A2A" w:rsidRPr="00EB2092">
        <w:t>5</w:t>
      </w:r>
      <w:r w:rsidRPr="00EB2092">
        <w:t>.</w:t>
      </w:r>
      <w:r w:rsidR="009125A4" w:rsidRPr="00EB2092">
        <w:t>6</w:t>
      </w:r>
      <w:r w:rsidRPr="00EB2092">
        <w:t> per cent of GDP ($694 billion) in</w:t>
      </w:r>
      <w:r w:rsidR="00471D22" w:rsidRPr="00EB2092">
        <w:t xml:space="preserve"> 2018</w:t>
      </w:r>
      <w:r w:rsidR="00487A21">
        <w:t>-</w:t>
      </w:r>
      <w:r w:rsidRPr="00EB2092">
        <w:t xml:space="preserve">19 to </w:t>
      </w:r>
      <w:r w:rsidRPr="00EB2092">
        <w:noBreakHyphen/>
        <w:t>49.9 per cent of GDP ($1,099 billion) in 2023</w:t>
      </w:r>
      <w:r w:rsidR="00487A21">
        <w:t>-</w:t>
      </w:r>
      <w:r w:rsidRPr="00EB2092">
        <w:t xml:space="preserve">24, as shown in </w:t>
      </w:r>
      <w:r w:rsidR="00C464A3" w:rsidRPr="00EB2092">
        <w:t>Figure 4–3</w:t>
      </w:r>
      <w:r w:rsidRPr="00EB2092">
        <w:t>.</w:t>
      </w:r>
    </w:p>
    <w:p w14:paraId="771A7A52" w14:textId="3D2F9D25" w:rsidR="004B0150" w:rsidRPr="00F852A4" w:rsidRDefault="004B0150" w:rsidP="00471D22">
      <w:pPr>
        <w:pStyle w:val="BodyText"/>
      </w:pPr>
      <w:r w:rsidRPr="00EB2092">
        <w:t>From 2024</w:t>
      </w:r>
      <w:r w:rsidR="00487A21">
        <w:t>-</w:t>
      </w:r>
      <w:r w:rsidRPr="00EB2092">
        <w:t>25 to the end of the medium term, net financial worth is then projected to improve</w:t>
      </w:r>
      <w:r w:rsidR="00B31161" w:rsidRPr="00EB2092">
        <w:t xml:space="preserve"> to</w:t>
      </w:r>
      <w:r w:rsidR="000A192F" w:rsidRPr="00EB2092">
        <w:t xml:space="preserve"> </w:t>
      </w:r>
      <w:r w:rsidR="000A192F" w:rsidRPr="00EB2092">
        <w:noBreakHyphen/>
      </w:r>
      <w:r w:rsidR="00B31161" w:rsidRPr="00EB2092">
        <w:t>43.</w:t>
      </w:r>
      <w:r w:rsidR="004D3A2A" w:rsidRPr="00EB2092">
        <w:t>5 </w:t>
      </w:r>
      <w:r w:rsidR="00B31161" w:rsidRPr="00EB2092">
        <w:t>per cent of GDP</w:t>
      </w:r>
      <w:r w:rsidRPr="00EB2092">
        <w:t>, driven by the same factors driving the reduction in net debt.</w:t>
      </w:r>
      <w:r w:rsidR="00B020B3" w:rsidRPr="00E439C2">
        <w:rPr>
          <w:rStyle w:val="FootnoteReference"/>
        </w:rPr>
        <w:footnoteReference w:id="27"/>
      </w:r>
    </w:p>
    <w:p w14:paraId="46347D90" w14:textId="2902A9B5" w:rsidR="004B0150" w:rsidRPr="00EB2092" w:rsidRDefault="004B0150" w:rsidP="00044B24">
      <w:pPr>
        <w:pStyle w:val="Caption"/>
        <w:spacing w:before="240"/>
      </w:pPr>
      <w:r w:rsidRPr="00EB2092">
        <w:t>Figure 4–</w:t>
      </w:r>
      <w:r w:rsidR="00C464A3" w:rsidRPr="00EB2092">
        <w:t>3</w:t>
      </w:r>
      <w:r w:rsidRPr="00EB2092">
        <w:t>: Net financial worth</w:t>
      </w:r>
    </w:p>
    <w:p w14:paraId="66C1D906" w14:textId="298206FC" w:rsidR="004B0150" w:rsidRPr="00EB2092" w:rsidRDefault="00C523F6" w:rsidP="004B0150">
      <w:pPr>
        <w:pStyle w:val="CaptionDescriptor"/>
      </w:pPr>
      <w:r w:rsidRPr="007D6E09">
        <w:rPr>
          <w:noProof/>
          <w:lang w:eastAsia="en-AU"/>
        </w:rPr>
        <w:drawing>
          <wp:inline distT="0" distB="0" distL="0" distR="0" wp14:anchorId="6E9BCD99" wp14:editId="09B33EF7">
            <wp:extent cx="4852670" cy="2804160"/>
            <wp:effectExtent l="0" t="0" r="508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52670" cy="2804160"/>
                    </a:xfrm>
                    <a:prstGeom prst="rect">
                      <a:avLst/>
                    </a:prstGeom>
                    <a:noFill/>
                  </pic:spPr>
                </pic:pic>
              </a:graphicData>
            </a:graphic>
          </wp:inline>
        </w:drawing>
      </w:r>
    </w:p>
    <w:p w14:paraId="2DD79CC3" w14:textId="7C5F3552" w:rsidR="004B0150" w:rsidRPr="00EB2092" w:rsidRDefault="004B0150" w:rsidP="004B0150">
      <w:pPr>
        <w:pStyle w:val="SourceIndent"/>
        <w:tabs>
          <w:tab w:val="clear" w:pos="624"/>
        </w:tabs>
        <w:ind w:left="1134" w:right="991"/>
        <w:contextualSpacing/>
        <w:rPr>
          <w:noProof/>
          <w:lang w:eastAsia="en-AU"/>
        </w:rPr>
      </w:pPr>
      <w:r w:rsidRPr="00EB2092">
        <w:t>Source: 2020</w:t>
      </w:r>
      <w:r w:rsidR="00487A21">
        <w:t>-</w:t>
      </w:r>
      <w:r w:rsidRPr="00EB2092">
        <w:t>21 Budget, 2019</w:t>
      </w:r>
      <w:r w:rsidR="00487A21">
        <w:t>-</w:t>
      </w:r>
      <w:r w:rsidRPr="00EB2092">
        <w:t>20 Final Budget Outcome and PBO analysis.</w:t>
      </w:r>
    </w:p>
    <w:p w14:paraId="3237DE6D" w14:textId="77777777" w:rsidR="004B0150" w:rsidRPr="00EB2092" w:rsidRDefault="004B0150" w:rsidP="00722B49">
      <w:pPr>
        <w:pStyle w:val="BodyText"/>
        <w:sectPr w:rsidR="004B0150" w:rsidRPr="00EB2092" w:rsidSect="00780054">
          <w:pgSz w:w="11907" w:h="16840" w:code="9"/>
          <w:pgMar w:top="1191" w:right="1418" w:bottom="1021" w:left="1418" w:header="567" w:footer="709" w:gutter="0"/>
          <w:pgNumType w:start="1"/>
          <w:cols w:space="708"/>
          <w:docGrid w:linePitch="360"/>
        </w:sectPr>
      </w:pPr>
    </w:p>
    <w:p w14:paraId="0FD72053" w14:textId="627ABBE9" w:rsidR="00654F08" w:rsidRPr="00EB2092" w:rsidRDefault="00D63B91" w:rsidP="004336B7">
      <w:pPr>
        <w:pStyle w:val="Heading1NoNumbering"/>
        <w:spacing w:after="360"/>
      </w:pPr>
      <w:bookmarkStart w:id="121" w:name="_Toc58271454"/>
      <w:r w:rsidRPr="00EB2092">
        <w:lastRenderedPageBreak/>
        <w:t xml:space="preserve">Appendix </w:t>
      </w:r>
      <w:r w:rsidR="00000C80" w:rsidRPr="00EB2092">
        <w:t xml:space="preserve">A </w:t>
      </w:r>
      <w:r w:rsidRPr="00EB2092">
        <w:t xml:space="preserve">– </w:t>
      </w:r>
      <w:r w:rsidR="004336B7" w:rsidRPr="00EB2092">
        <w:t>Trends</w:t>
      </w:r>
      <w:r w:rsidRPr="00EB2092">
        <w:t xml:space="preserve"> in projections </w:t>
      </w:r>
      <w:r w:rsidR="004336B7" w:rsidRPr="00EB2092">
        <w:t>over the medium term</w:t>
      </w:r>
      <w:bookmarkEnd w:id="121"/>
    </w:p>
    <w:p w14:paraId="0C397D51" w14:textId="6A72AFF1" w:rsidR="00AD02FE" w:rsidRPr="00EB2092" w:rsidRDefault="00AD02FE" w:rsidP="00CF4667">
      <w:pPr>
        <w:pStyle w:val="BodyText"/>
      </w:pPr>
      <w:r w:rsidRPr="00EB2092">
        <w:t xml:space="preserve">This appendix describes the drivers of changes in all modelled receipts and payments </w:t>
      </w:r>
      <w:r w:rsidR="0037292D" w:rsidRPr="00EB2092">
        <w:t>between 2018</w:t>
      </w:r>
      <w:r w:rsidR="0037292D" w:rsidRPr="00EB2092">
        <w:noBreakHyphen/>
        <w:t>19 and 2030-31</w:t>
      </w:r>
      <w:r w:rsidRPr="00EB2092">
        <w:t>.</w:t>
      </w:r>
    </w:p>
    <w:p w14:paraId="29F695DF" w14:textId="77777777" w:rsidR="00AD02FE" w:rsidRPr="00EB2092" w:rsidRDefault="00AD02FE" w:rsidP="00CF4667">
      <w:pPr>
        <w:pStyle w:val="BodyText"/>
      </w:pPr>
    </w:p>
    <w:p w14:paraId="65D5C69B" w14:textId="5430FAB2" w:rsidR="004336B7" w:rsidRPr="00EB2092" w:rsidRDefault="004336B7" w:rsidP="004336B7">
      <w:pPr>
        <w:pStyle w:val="Caption"/>
      </w:pPr>
      <w:r w:rsidRPr="00EB2092">
        <w:t xml:space="preserve">Table A-1: Drivers of changes in receipts over the medium term </w:t>
      </w:r>
    </w:p>
    <w:tbl>
      <w:tblPr>
        <w:tblW w:w="5000" w:type="pct"/>
        <w:tblLayout w:type="fixed"/>
        <w:tblLook w:val="04A0" w:firstRow="1" w:lastRow="0" w:firstColumn="1" w:lastColumn="0" w:noHBand="0" w:noVBand="1"/>
      </w:tblPr>
      <w:tblGrid>
        <w:gridCol w:w="2660"/>
        <w:gridCol w:w="992"/>
        <w:gridCol w:w="141"/>
        <w:gridCol w:w="992"/>
        <w:gridCol w:w="4502"/>
      </w:tblGrid>
      <w:tr w:rsidR="004336B7" w:rsidRPr="00EB2092" w14:paraId="16F41D0B" w14:textId="77777777" w:rsidTr="00CF4667">
        <w:trPr>
          <w:trHeight w:val="780"/>
        </w:trPr>
        <w:tc>
          <w:tcPr>
            <w:tcW w:w="1432" w:type="pct"/>
            <w:vMerge w:val="restart"/>
            <w:tcBorders>
              <w:top w:val="single" w:sz="4" w:space="0" w:color="auto"/>
              <w:left w:val="single" w:sz="4" w:space="0" w:color="auto"/>
              <w:bottom w:val="nil"/>
              <w:right w:val="single" w:sz="8" w:space="0" w:color="FFFFFF"/>
            </w:tcBorders>
            <w:shd w:val="clear" w:color="000000" w:fill="3D4D7D"/>
            <w:vAlign w:val="center"/>
            <w:hideMark/>
          </w:tcPr>
          <w:p w14:paraId="3E0C193E" w14:textId="77777777" w:rsidR="004336B7" w:rsidRPr="00EB2092" w:rsidRDefault="004336B7" w:rsidP="00207AE7">
            <w:pPr>
              <w:spacing w:line="240" w:lineRule="auto"/>
              <w:jc w:val="center"/>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Receipts</w:t>
            </w:r>
          </w:p>
        </w:tc>
        <w:tc>
          <w:tcPr>
            <w:tcW w:w="1144" w:type="pct"/>
            <w:gridSpan w:val="3"/>
            <w:tcBorders>
              <w:top w:val="single" w:sz="4" w:space="0" w:color="auto"/>
              <w:left w:val="nil"/>
              <w:bottom w:val="single" w:sz="8" w:space="0" w:color="FFFFFF"/>
              <w:right w:val="single" w:sz="8" w:space="0" w:color="FFFFFF"/>
            </w:tcBorders>
            <w:shd w:val="clear" w:color="000000" w:fill="3D4D7D"/>
            <w:vAlign w:val="center"/>
            <w:hideMark/>
          </w:tcPr>
          <w:p w14:paraId="71312820" w14:textId="77777777" w:rsidR="004336B7" w:rsidRPr="00EB2092" w:rsidRDefault="004336B7" w:rsidP="00207AE7">
            <w:pPr>
              <w:spacing w:line="240" w:lineRule="auto"/>
              <w:jc w:val="center"/>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Per cent of GDP</w:t>
            </w:r>
          </w:p>
        </w:tc>
        <w:tc>
          <w:tcPr>
            <w:tcW w:w="2424" w:type="pct"/>
            <w:tcBorders>
              <w:top w:val="single" w:sz="4" w:space="0" w:color="auto"/>
              <w:left w:val="single" w:sz="8" w:space="0" w:color="FFFFFF"/>
              <w:bottom w:val="single" w:sz="8" w:space="0" w:color="FFFFFF"/>
              <w:right w:val="single" w:sz="4" w:space="0" w:color="auto"/>
            </w:tcBorders>
            <w:shd w:val="clear" w:color="000000" w:fill="3D4D7D"/>
            <w:vAlign w:val="center"/>
            <w:hideMark/>
          </w:tcPr>
          <w:p w14:paraId="05DD5435" w14:textId="5DF60619" w:rsidR="004336B7" w:rsidRPr="00EB2092" w:rsidRDefault="004336B7" w:rsidP="00853E7B">
            <w:pPr>
              <w:spacing w:line="240" w:lineRule="auto"/>
              <w:jc w:val="center"/>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Drivers of change (</w:t>
            </w:r>
            <w:r w:rsidR="00853E7B">
              <w:rPr>
                <w:rFonts w:ascii="Calibri" w:eastAsia="Times New Roman" w:hAnsi="Calibri" w:cs="Times New Roman"/>
                <w:b/>
                <w:bCs/>
                <w:color w:val="FFFFFF"/>
                <w:sz w:val="20"/>
                <w:szCs w:val="20"/>
                <w:lang w:eastAsia="en-AU"/>
              </w:rPr>
              <w:t>percentage points of</w:t>
            </w:r>
            <w:r w:rsidRPr="00EB2092">
              <w:rPr>
                <w:rFonts w:ascii="Calibri" w:eastAsia="Times New Roman" w:hAnsi="Calibri" w:cs="Times New Roman"/>
                <w:b/>
                <w:bCs/>
                <w:color w:val="FFFFFF"/>
                <w:sz w:val="20"/>
                <w:szCs w:val="20"/>
                <w:lang w:eastAsia="en-AU"/>
              </w:rPr>
              <w:t xml:space="preserve"> GDP) over the medium term</w:t>
            </w:r>
          </w:p>
        </w:tc>
      </w:tr>
      <w:tr w:rsidR="004336B7" w:rsidRPr="00EB2092" w14:paraId="771838B8" w14:textId="77777777" w:rsidTr="00CF4667">
        <w:trPr>
          <w:trHeight w:val="255"/>
        </w:trPr>
        <w:tc>
          <w:tcPr>
            <w:tcW w:w="1432" w:type="pct"/>
            <w:vMerge/>
            <w:tcBorders>
              <w:top w:val="nil"/>
              <w:left w:val="single" w:sz="4" w:space="0" w:color="auto"/>
              <w:bottom w:val="nil"/>
              <w:right w:val="single" w:sz="8" w:space="0" w:color="FFFFFF"/>
            </w:tcBorders>
            <w:vAlign w:val="center"/>
            <w:hideMark/>
          </w:tcPr>
          <w:p w14:paraId="2E0AF3C8" w14:textId="77777777" w:rsidR="004336B7" w:rsidRPr="00EB2092" w:rsidRDefault="004336B7" w:rsidP="00207AE7">
            <w:pPr>
              <w:spacing w:line="240" w:lineRule="auto"/>
              <w:rPr>
                <w:rFonts w:ascii="Calibri" w:eastAsia="Times New Roman" w:hAnsi="Calibri" w:cs="Times New Roman"/>
                <w:b/>
                <w:bCs/>
                <w:color w:val="FFFFFF"/>
                <w:sz w:val="20"/>
                <w:szCs w:val="20"/>
                <w:lang w:eastAsia="en-AU"/>
              </w:rPr>
            </w:pPr>
          </w:p>
        </w:tc>
        <w:tc>
          <w:tcPr>
            <w:tcW w:w="610" w:type="pct"/>
            <w:gridSpan w:val="2"/>
            <w:tcBorders>
              <w:top w:val="nil"/>
              <w:left w:val="nil"/>
              <w:bottom w:val="nil"/>
              <w:right w:val="nil"/>
            </w:tcBorders>
            <w:shd w:val="clear" w:color="000000" w:fill="3D4D7D"/>
            <w:vAlign w:val="center"/>
            <w:hideMark/>
          </w:tcPr>
          <w:p w14:paraId="75370FC0" w14:textId="77777777" w:rsidR="004336B7" w:rsidRPr="00EB2092" w:rsidRDefault="004336B7" w:rsidP="00207AE7">
            <w:pPr>
              <w:spacing w:line="240" w:lineRule="auto"/>
              <w:jc w:val="center"/>
              <w:rPr>
                <w:rFonts w:ascii="Calibri" w:eastAsia="Times New Roman" w:hAnsi="Calibri" w:cs="Times New Roman"/>
                <w:b/>
                <w:bCs/>
                <w:color w:val="FFFFFF"/>
                <w:sz w:val="18"/>
                <w:szCs w:val="18"/>
                <w:lang w:eastAsia="en-AU"/>
              </w:rPr>
            </w:pPr>
            <w:r w:rsidRPr="00EB2092">
              <w:rPr>
                <w:rFonts w:ascii="Calibri" w:eastAsia="Times New Roman" w:hAnsi="Calibri" w:cs="Times New Roman"/>
                <w:b/>
                <w:bCs/>
                <w:color w:val="FFFFFF"/>
                <w:sz w:val="18"/>
                <w:szCs w:val="18"/>
                <w:lang w:eastAsia="en-AU"/>
              </w:rPr>
              <w:t>2018-19</w:t>
            </w:r>
          </w:p>
        </w:tc>
        <w:tc>
          <w:tcPr>
            <w:tcW w:w="534" w:type="pct"/>
            <w:tcBorders>
              <w:top w:val="nil"/>
              <w:left w:val="nil"/>
              <w:bottom w:val="nil"/>
              <w:right w:val="single" w:sz="8" w:space="0" w:color="FFFFFF"/>
            </w:tcBorders>
            <w:shd w:val="clear" w:color="000000" w:fill="3D4D7D"/>
            <w:vAlign w:val="center"/>
            <w:hideMark/>
          </w:tcPr>
          <w:p w14:paraId="5C643F9F" w14:textId="77777777" w:rsidR="004336B7" w:rsidRPr="00EB2092" w:rsidRDefault="004336B7" w:rsidP="00207AE7">
            <w:pPr>
              <w:spacing w:line="240" w:lineRule="auto"/>
              <w:jc w:val="center"/>
              <w:rPr>
                <w:rFonts w:ascii="Calibri" w:eastAsia="Times New Roman" w:hAnsi="Calibri" w:cs="Times New Roman"/>
                <w:b/>
                <w:bCs/>
                <w:color w:val="FFFFFF"/>
                <w:sz w:val="18"/>
                <w:szCs w:val="18"/>
                <w:lang w:eastAsia="en-AU"/>
              </w:rPr>
            </w:pPr>
            <w:r w:rsidRPr="00EB2092">
              <w:rPr>
                <w:rFonts w:ascii="Calibri" w:eastAsia="Times New Roman" w:hAnsi="Calibri" w:cs="Times New Roman"/>
                <w:b/>
                <w:bCs/>
                <w:color w:val="FFFFFF"/>
                <w:sz w:val="18"/>
                <w:szCs w:val="18"/>
                <w:lang w:eastAsia="en-AU"/>
              </w:rPr>
              <w:t>2030-31</w:t>
            </w:r>
          </w:p>
        </w:tc>
        <w:tc>
          <w:tcPr>
            <w:tcW w:w="2424" w:type="pct"/>
            <w:tcBorders>
              <w:top w:val="nil"/>
              <w:left w:val="single" w:sz="8" w:space="0" w:color="FFFFFF"/>
              <w:bottom w:val="nil"/>
              <w:right w:val="single" w:sz="4" w:space="0" w:color="auto"/>
            </w:tcBorders>
            <w:shd w:val="clear" w:color="000000" w:fill="3D4D7D"/>
            <w:vAlign w:val="center"/>
            <w:hideMark/>
          </w:tcPr>
          <w:p w14:paraId="0CE98ECE" w14:textId="77777777" w:rsidR="004336B7" w:rsidRPr="00EB2092" w:rsidRDefault="004336B7" w:rsidP="00207AE7">
            <w:pPr>
              <w:spacing w:line="240" w:lineRule="auto"/>
              <w:jc w:val="center"/>
              <w:rPr>
                <w:rFonts w:ascii="Calibri" w:eastAsia="Times New Roman" w:hAnsi="Calibri" w:cs="Times New Roman"/>
                <w:b/>
                <w:bCs/>
                <w:color w:val="FFFFFF"/>
                <w:sz w:val="18"/>
                <w:szCs w:val="18"/>
                <w:lang w:eastAsia="en-AU"/>
              </w:rPr>
            </w:pPr>
            <w:r w:rsidRPr="00EB2092">
              <w:rPr>
                <w:rFonts w:ascii="Calibri" w:eastAsia="Times New Roman" w:hAnsi="Calibri" w:cs="Times New Roman"/>
                <w:b/>
                <w:bCs/>
                <w:color w:val="FFFFFF"/>
                <w:sz w:val="18"/>
                <w:szCs w:val="18"/>
                <w:lang w:eastAsia="en-AU"/>
              </w:rPr>
              <w:t>2018-19 to 2030-31</w:t>
            </w:r>
          </w:p>
        </w:tc>
      </w:tr>
      <w:tr w:rsidR="004336B7" w:rsidRPr="00EB2092" w14:paraId="5F26EF95" w14:textId="77777777" w:rsidTr="00CF4667">
        <w:trPr>
          <w:trHeight w:val="255"/>
        </w:trPr>
        <w:tc>
          <w:tcPr>
            <w:tcW w:w="1432" w:type="pct"/>
            <w:tcBorders>
              <w:top w:val="nil"/>
              <w:left w:val="single" w:sz="4" w:space="0" w:color="auto"/>
              <w:bottom w:val="nil"/>
              <w:right w:val="single" w:sz="4" w:space="0" w:color="3D4D7D"/>
            </w:tcBorders>
            <w:shd w:val="clear" w:color="000000" w:fill="7C8CBF"/>
            <w:vAlign w:val="center"/>
            <w:hideMark/>
          </w:tcPr>
          <w:p w14:paraId="7744DA69" w14:textId="77777777" w:rsidR="004336B7" w:rsidRPr="00EB2092" w:rsidRDefault="004336B7" w:rsidP="00207AE7">
            <w:pPr>
              <w:spacing w:line="240" w:lineRule="auto"/>
              <w:rPr>
                <w:rFonts w:ascii="Calibri" w:eastAsia="Times New Roman" w:hAnsi="Calibri" w:cs="Times New Roman"/>
                <w:color w:val="000000"/>
                <w:sz w:val="14"/>
                <w:szCs w:val="14"/>
                <w:lang w:eastAsia="en-AU"/>
              </w:rPr>
            </w:pPr>
            <w:r w:rsidRPr="00EB2092">
              <w:rPr>
                <w:rFonts w:ascii="Calibri" w:eastAsia="Times New Roman" w:hAnsi="Calibri" w:cs="Times New Roman"/>
                <w:color w:val="000000"/>
                <w:sz w:val="14"/>
                <w:szCs w:val="14"/>
                <w:lang w:eastAsia="en-AU"/>
              </w:rPr>
              <w:t> </w:t>
            </w:r>
          </w:p>
        </w:tc>
        <w:tc>
          <w:tcPr>
            <w:tcW w:w="1144" w:type="pct"/>
            <w:gridSpan w:val="3"/>
            <w:tcBorders>
              <w:top w:val="nil"/>
              <w:left w:val="nil"/>
              <w:bottom w:val="nil"/>
              <w:right w:val="single" w:sz="4" w:space="0" w:color="3D4D7D"/>
            </w:tcBorders>
            <w:shd w:val="clear" w:color="000000" w:fill="7C8CBF"/>
            <w:vAlign w:val="center"/>
            <w:hideMark/>
          </w:tcPr>
          <w:p w14:paraId="277BD9D1" w14:textId="77777777" w:rsidR="004336B7" w:rsidRPr="00EB2092" w:rsidRDefault="004336B7" w:rsidP="00207AE7">
            <w:pPr>
              <w:spacing w:line="240" w:lineRule="auto"/>
              <w:jc w:val="center"/>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w:t>
            </w:r>
          </w:p>
        </w:tc>
        <w:tc>
          <w:tcPr>
            <w:tcW w:w="2424" w:type="pct"/>
            <w:tcBorders>
              <w:top w:val="nil"/>
              <w:left w:val="nil"/>
              <w:bottom w:val="nil"/>
              <w:right w:val="single" w:sz="4" w:space="0" w:color="auto"/>
            </w:tcBorders>
            <w:shd w:val="clear" w:color="000000" w:fill="7C8CBF"/>
            <w:vAlign w:val="center"/>
            <w:hideMark/>
          </w:tcPr>
          <w:p w14:paraId="55600183" w14:textId="77777777" w:rsidR="004336B7" w:rsidRPr="00EB2092" w:rsidRDefault="004336B7" w:rsidP="00207AE7">
            <w:pPr>
              <w:spacing w:line="240" w:lineRule="auto"/>
              <w:jc w:val="center"/>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 </w:t>
            </w:r>
          </w:p>
        </w:tc>
      </w:tr>
      <w:tr w:rsidR="000A192F" w:rsidRPr="00EB2092" w14:paraId="6778BCCD" w14:textId="77777777" w:rsidTr="00CF4667">
        <w:trPr>
          <w:trHeight w:val="510"/>
        </w:trPr>
        <w:tc>
          <w:tcPr>
            <w:tcW w:w="1432" w:type="pct"/>
            <w:tcBorders>
              <w:top w:val="nil"/>
              <w:left w:val="single" w:sz="4" w:space="0" w:color="auto"/>
              <w:bottom w:val="nil"/>
              <w:right w:val="single" w:sz="4" w:space="0" w:color="3D4D7D"/>
            </w:tcBorders>
            <w:shd w:val="clear" w:color="000000" w:fill="D3D8E9"/>
            <w:vAlign w:val="center"/>
            <w:hideMark/>
          </w:tcPr>
          <w:p w14:paraId="73C1FDAB" w14:textId="77777777" w:rsidR="000A192F" w:rsidRPr="00EB2092" w:rsidRDefault="000A192F" w:rsidP="00207AE7">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Individuals and other withholding taxes</w:t>
            </w:r>
          </w:p>
        </w:tc>
        <w:tc>
          <w:tcPr>
            <w:tcW w:w="534" w:type="pct"/>
            <w:tcBorders>
              <w:top w:val="nil"/>
              <w:left w:val="nil"/>
              <w:bottom w:val="nil"/>
              <w:right w:val="nil"/>
            </w:tcBorders>
            <w:shd w:val="clear" w:color="000000" w:fill="D3D8E9"/>
            <w:vAlign w:val="center"/>
            <w:hideMark/>
          </w:tcPr>
          <w:p w14:paraId="742D8174" w14:textId="756350CD" w:rsidR="000A192F" w:rsidRPr="00EB2092" w:rsidRDefault="000A192F" w:rsidP="00207AE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11.5</w:t>
            </w:r>
          </w:p>
        </w:tc>
        <w:tc>
          <w:tcPr>
            <w:tcW w:w="610" w:type="pct"/>
            <w:gridSpan w:val="2"/>
            <w:tcBorders>
              <w:top w:val="nil"/>
              <w:left w:val="nil"/>
              <w:bottom w:val="nil"/>
              <w:right w:val="single" w:sz="4" w:space="0" w:color="3D4D7D"/>
            </w:tcBorders>
            <w:shd w:val="clear" w:color="000000" w:fill="D3D8E9"/>
            <w:vAlign w:val="center"/>
            <w:hideMark/>
          </w:tcPr>
          <w:p w14:paraId="10CC3468" w14:textId="7E1FC633" w:rsidR="000A192F" w:rsidRPr="00EB2092" w:rsidRDefault="000A192F" w:rsidP="00207AE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11.8</w:t>
            </w:r>
          </w:p>
        </w:tc>
        <w:tc>
          <w:tcPr>
            <w:tcW w:w="2424" w:type="pct"/>
            <w:tcBorders>
              <w:top w:val="nil"/>
              <w:left w:val="nil"/>
              <w:bottom w:val="nil"/>
              <w:right w:val="single" w:sz="4" w:space="0" w:color="auto"/>
            </w:tcBorders>
            <w:shd w:val="clear" w:color="000000" w:fill="D3D8E9"/>
            <w:vAlign w:val="center"/>
            <w:hideMark/>
          </w:tcPr>
          <w:p w14:paraId="0503379A" w14:textId="77777777" w:rsidR="000A192F" w:rsidRPr="00EB2092" w:rsidRDefault="000A192F" w:rsidP="00207AE7">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 xml:space="preserve">Increases due to bracket creep, despite the implementation of Stages 2 and 3 of the government’s personal income tax plan.  </w:t>
            </w:r>
          </w:p>
        </w:tc>
      </w:tr>
      <w:tr w:rsidR="000A192F" w:rsidRPr="00EB2092" w14:paraId="3261A902" w14:textId="77777777" w:rsidTr="00CF4667">
        <w:trPr>
          <w:trHeight w:val="765"/>
        </w:trPr>
        <w:tc>
          <w:tcPr>
            <w:tcW w:w="1432" w:type="pct"/>
            <w:tcBorders>
              <w:top w:val="nil"/>
              <w:left w:val="single" w:sz="4" w:space="0" w:color="auto"/>
              <w:bottom w:val="nil"/>
              <w:right w:val="single" w:sz="4" w:space="0" w:color="3D4D7D"/>
            </w:tcBorders>
            <w:shd w:val="clear" w:color="auto" w:fill="auto"/>
            <w:vAlign w:val="center"/>
            <w:hideMark/>
          </w:tcPr>
          <w:p w14:paraId="1DEFE49C" w14:textId="56BC7254" w:rsidR="000A192F" w:rsidRPr="00EB2092" w:rsidRDefault="000A192F" w:rsidP="00207AE7">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Compan</w:t>
            </w:r>
            <w:r w:rsidR="00FC29D3">
              <w:rPr>
                <w:rFonts w:ascii="Calibri" w:eastAsia="Times New Roman" w:hAnsi="Calibri" w:cs="Times New Roman"/>
                <w:color w:val="000000"/>
                <w:sz w:val="20"/>
                <w:szCs w:val="20"/>
                <w:lang w:eastAsia="en-AU"/>
              </w:rPr>
              <w:t>y tax</w:t>
            </w:r>
          </w:p>
        </w:tc>
        <w:tc>
          <w:tcPr>
            <w:tcW w:w="534" w:type="pct"/>
            <w:tcBorders>
              <w:top w:val="nil"/>
              <w:left w:val="nil"/>
              <w:bottom w:val="nil"/>
              <w:right w:val="nil"/>
            </w:tcBorders>
            <w:shd w:val="clear" w:color="auto" w:fill="auto"/>
            <w:vAlign w:val="center"/>
            <w:hideMark/>
          </w:tcPr>
          <w:p w14:paraId="1721E9E0" w14:textId="24038ACA" w:rsidR="000A192F" w:rsidRPr="00EB2092" w:rsidRDefault="000A192F" w:rsidP="00207AE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4.8</w:t>
            </w:r>
          </w:p>
        </w:tc>
        <w:tc>
          <w:tcPr>
            <w:tcW w:w="610" w:type="pct"/>
            <w:gridSpan w:val="2"/>
            <w:tcBorders>
              <w:top w:val="nil"/>
              <w:left w:val="nil"/>
              <w:bottom w:val="nil"/>
              <w:right w:val="single" w:sz="4" w:space="0" w:color="3D4D7D"/>
            </w:tcBorders>
            <w:shd w:val="clear" w:color="auto" w:fill="auto"/>
            <w:vAlign w:val="center"/>
            <w:hideMark/>
          </w:tcPr>
          <w:p w14:paraId="0B15E881" w14:textId="36F02F64" w:rsidR="000A192F" w:rsidRPr="00EB2092" w:rsidRDefault="000A192F" w:rsidP="00207AE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4.2</w:t>
            </w:r>
          </w:p>
        </w:tc>
        <w:tc>
          <w:tcPr>
            <w:tcW w:w="2424" w:type="pct"/>
            <w:tcBorders>
              <w:top w:val="nil"/>
              <w:left w:val="nil"/>
              <w:bottom w:val="nil"/>
              <w:right w:val="single" w:sz="4" w:space="0" w:color="auto"/>
            </w:tcBorders>
            <w:shd w:val="clear" w:color="auto" w:fill="auto"/>
            <w:vAlign w:val="center"/>
            <w:hideMark/>
          </w:tcPr>
          <w:p w14:paraId="62856431" w14:textId="6CBD962F" w:rsidR="000A192F" w:rsidRPr="00EB2092" w:rsidRDefault="000A192F" w:rsidP="00D34A0C">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Corporate profits were particularly strong in 2018</w:t>
            </w:r>
            <w:r w:rsidR="00FC29D3">
              <w:rPr>
                <w:rFonts w:ascii="Calibri" w:eastAsia="Times New Roman" w:hAnsi="Calibri" w:cs="Times New Roman"/>
                <w:color w:val="000000"/>
                <w:sz w:val="20"/>
                <w:szCs w:val="20"/>
                <w:lang w:eastAsia="en-AU"/>
              </w:rPr>
              <w:noBreakHyphen/>
            </w:r>
            <w:r w:rsidRPr="00EB2092">
              <w:rPr>
                <w:rFonts w:ascii="Calibri" w:eastAsia="Times New Roman" w:hAnsi="Calibri" w:cs="Times New Roman"/>
                <w:color w:val="000000"/>
                <w:sz w:val="20"/>
                <w:szCs w:val="20"/>
                <w:lang w:eastAsia="en-AU"/>
              </w:rPr>
              <w:t>19</w:t>
            </w:r>
            <w:r w:rsidR="00D34A0C">
              <w:rPr>
                <w:rFonts w:ascii="Calibri" w:eastAsia="Times New Roman" w:hAnsi="Calibri" w:cs="Times New Roman"/>
                <w:color w:val="000000"/>
                <w:sz w:val="20"/>
                <w:szCs w:val="20"/>
                <w:lang w:eastAsia="en-AU"/>
              </w:rPr>
              <w:t>, due to high commodity prices</w:t>
            </w:r>
            <w:r w:rsidRPr="00EB2092">
              <w:rPr>
                <w:rFonts w:ascii="Calibri" w:eastAsia="Times New Roman" w:hAnsi="Calibri" w:cs="Times New Roman"/>
                <w:color w:val="000000"/>
                <w:sz w:val="20"/>
                <w:szCs w:val="20"/>
                <w:lang w:eastAsia="en-AU"/>
              </w:rPr>
              <w:t xml:space="preserve">. The medium term </w:t>
            </w:r>
            <w:r w:rsidR="00D34A0C">
              <w:rPr>
                <w:rFonts w:ascii="Calibri" w:eastAsia="Times New Roman" w:hAnsi="Calibri" w:cs="Times New Roman"/>
                <w:color w:val="000000"/>
                <w:sz w:val="20"/>
                <w:szCs w:val="20"/>
                <w:lang w:eastAsia="en-AU"/>
              </w:rPr>
              <w:t>is</w:t>
            </w:r>
            <w:r w:rsidR="00D34A0C" w:rsidRPr="00EB2092">
              <w:rPr>
                <w:rFonts w:ascii="Calibri" w:eastAsia="Times New Roman" w:hAnsi="Calibri" w:cs="Times New Roman"/>
                <w:color w:val="000000"/>
                <w:sz w:val="20"/>
                <w:szCs w:val="20"/>
                <w:lang w:eastAsia="en-AU"/>
              </w:rPr>
              <w:t xml:space="preserve"> </w:t>
            </w:r>
            <w:r w:rsidRPr="00EB2092">
              <w:rPr>
                <w:rFonts w:ascii="Calibri" w:eastAsia="Times New Roman" w:hAnsi="Calibri" w:cs="Times New Roman"/>
                <w:color w:val="000000"/>
                <w:sz w:val="20"/>
                <w:szCs w:val="20"/>
                <w:lang w:eastAsia="en-AU"/>
              </w:rPr>
              <w:t>broadly in line with recent trends.</w:t>
            </w:r>
          </w:p>
        </w:tc>
      </w:tr>
      <w:tr w:rsidR="000A192F" w:rsidRPr="00EB2092" w14:paraId="15CC79C0" w14:textId="77777777" w:rsidTr="00CF4667">
        <w:trPr>
          <w:trHeight w:val="510"/>
        </w:trPr>
        <w:tc>
          <w:tcPr>
            <w:tcW w:w="1432" w:type="pct"/>
            <w:tcBorders>
              <w:top w:val="nil"/>
              <w:left w:val="single" w:sz="4" w:space="0" w:color="auto"/>
              <w:bottom w:val="nil"/>
              <w:right w:val="single" w:sz="4" w:space="0" w:color="3D4D7D"/>
            </w:tcBorders>
            <w:shd w:val="clear" w:color="000000" w:fill="D3D8E9"/>
            <w:vAlign w:val="center"/>
            <w:hideMark/>
          </w:tcPr>
          <w:p w14:paraId="679D7935" w14:textId="77777777" w:rsidR="000A192F" w:rsidRPr="00EB2092" w:rsidRDefault="000A192F" w:rsidP="00207AE7">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Goods and services tax</w:t>
            </w:r>
          </w:p>
        </w:tc>
        <w:tc>
          <w:tcPr>
            <w:tcW w:w="534" w:type="pct"/>
            <w:tcBorders>
              <w:top w:val="nil"/>
              <w:left w:val="nil"/>
              <w:bottom w:val="nil"/>
              <w:right w:val="nil"/>
            </w:tcBorders>
            <w:shd w:val="clear" w:color="000000" w:fill="D3D8E9"/>
            <w:vAlign w:val="center"/>
            <w:hideMark/>
          </w:tcPr>
          <w:p w14:paraId="1F3FCB09" w14:textId="19AF65A7" w:rsidR="000A192F" w:rsidRPr="00EB2092" w:rsidRDefault="000A192F" w:rsidP="00207AE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3.3</w:t>
            </w:r>
          </w:p>
        </w:tc>
        <w:tc>
          <w:tcPr>
            <w:tcW w:w="610" w:type="pct"/>
            <w:gridSpan w:val="2"/>
            <w:tcBorders>
              <w:top w:val="nil"/>
              <w:left w:val="nil"/>
              <w:bottom w:val="nil"/>
              <w:right w:val="single" w:sz="4" w:space="0" w:color="3D4D7D"/>
            </w:tcBorders>
            <w:shd w:val="clear" w:color="000000" w:fill="D3D8E9"/>
            <w:vAlign w:val="center"/>
            <w:hideMark/>
          </w:tcPr>
          <w:p w14:paraId="6D5CD782" w14:textId="78DB7974" w:rsidR="000A192F" w:rsidRPr="00EB2092" w:rsidRDefault="000A192F" w:rsidP="00207AE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3.3</w:t>
            </w:r>
          </w:p>
        </w:tc>
        <w:tc>
          <w:tcPr>
            <w:tcW w:w="2424" w:type="pct"/>
            <w:tcBorders>
              <w:top w:val="nil"/>
              <w:left w:val="nil"/>
              <w:bottom w:val="nil"/>
              <w:right w:val="single" w:sz="4" w:space="0" w:color="auto"/>
            </w:tcBorders>
            <w:shd w:val="clear" w:color="000000" w:fill="D3D8E9"/>
            <w:vAlign w:val="center"/>
            <w:hideMark/>
          </w:tcPr>
          <w:p w14:paraId="1DC47BC2" w14:textId="27A93080" w:rsidR="000A192F" w:rsidRPr="00EB2092" w:rsidRDefault="000A192F" w:rsidP="00207AE7">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 xml:space="preserve">Dip in forward estimates period, but broadly unchanged by </w:t>
            </w:r>
            <w:r w:rsidR="00D34A0C">
              <w:rPr>
                <w:rFonts w:ascii="Calibri" w:eastAsia="Times New Roman" w:hAnsi="Calibri" w:cs="Times New Roman"/>
                <w:color w:val="000000"/>
                <w:sz w:val="20"/>
                <w:szCs w:val="20"/>
                <w:lang w:eastAsia="en-AU"/>
              </w:rPr>
              <w:t xml:space="preserve">the </w:t>
            </w:r>
            <w:r w:rsidRPr="00EB2092">
              <w:rPr>
                <w:rFonts w:ascii="Calibri" w:eastAsia="Times New Roman" w:hAnsi="Calibri" w:cs="Times New Roman"/>
                <w:color w:val="000000"/>
                <w:sz w:val="20"/>
                <w:szCs w:val="20"/>
                <w:lang w:eastAsia="en-AU"/>
              </w:rPr>
              <w:t xml:space="preserve">end of </w:t>
            </w:r>
            <w:r w:rsidR="00D34A0C">
              <w:rPr>
                <w:rFonts w:ascii="Calibri" w:eastAsia="Times New Roman" w:hAnsi="Calibri" w:cs="Times New Roman"/>
                <w:color w:val="000000"/>
                <w:sz w:val="20"/>
                <w:szCs w:val="20"/>
                <w:lang w:eastAsia="en-AU"/>
              </w:rPr>
              <w:t xml:space="preserve">the </w:t>
            </w:r>
            <w:r w:rsidRPr="00EB2092">
              <w:rPr>
                <w:rFonts w:ascii="Calibri" w:eastAsia="Times New Roman" w:hAnsi="Calibri" w:cs="Times New Roman"/>
                <w:color w:val="000000"/>
                <w:sz w:val="20"/>
                <w:szCs w:val="20"/>
                <w:lang w:eastAsia="en-AU"/>
              </w:rPr>
              <w:t>medium term</w:t>
            </w:r>
            <w:r w:rsidR="00B020B3">
              <w:rPr>
                <w:rFonts w:ascii="Calibri" w:eastAsia="Times New Roman" w:hAnsi="Calibri" w:cs="Times New Roman"/>
                <w:color w:val="000000"/>
                <w:sz w:val="20"/>
                <w:szCs w:val="20"/>
                <w:lang w:eastAsia="en-AU"/>
              </w:rPr>
              <w:t>, following the methodology change</w:t>
            </w:r>
            <w:r w:rsidR="00D34A0C">
              <w:rPr>
                <w:rFonts w:ascii="Calibri" w:eastAsia="Times New Roman" w:hAnsi="Calibri" w:cs="Times New Roman"/>
                <w:color w:val="000000"/>
                <w:sz w:val="20"/>
                <w:szCs w:val="20"/>
                <w:lang w:eastAsia="en-AU"/>
              </w:rPr>
              <w:t xml:space="preserve"> (see Box 4)</w:t>
            </w:r>
            <w:r w:rsidR="00B020B3">
              <w:rPr>
                <w:rFonts w:ascii="Calibri" w:eastAsia="Times New Roman" w:hAnsi="Calibri" w:cs="Times New Roman"/>
                <w:color w:val="000000"/>
                <w:sz w:val="20"/>
                <w:szCs w:val="20"/>
                <w:lang w:eastAsia="en-AU"/>
              </w:rPr>
              <w:t>.</w:t>
            </w:r>
          </w:p>
        </w:tc>
      </w:tr>
      <w:tr w:rsidR="000A192F" w:rsidRPr="00EB2092" w14:paraId="3CF024E8" w14:textId="77777777" w:rsidTr="00CF4667">
        <w:trPr>
          <w:trHeight w:val="510"/>
        </w:trPr>
        <w:tc>
          <w:tcPr>
            <w:tcW w:w="1432" w:type="pct"/>
            <w:tcBorders>
              <w:top w:val="nil"/>
              <w:left w:val="single" w:sz="4" w:space="0" w:color="auto"/>
              <w:bottom w:val="nil"/>
              <w:right w:val="single" w:sz="4" w:space="0" w:color="3D4D7D"/>
            </w:tcBorders>
            <w:shd w:val="clear" w:color="auto" w:fill="auto"/>
            <w:vAlign w:val="center"/>
            <w:hideMark/>
          </w:tcPr>
          <w:p w14:paraId="60677E09" w14:textId="2A13A326" w:rsidR="000A192F" w:rsidRPr="00EB2092" w:rsidRDefault="000A192F" w:rsidP="00207AE7">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 xml:space="preserve">Excise and </w:t>
            </w:r>
            <w:r w:rsidR="00FC29D3">
              <w:rPr>
                <w:rFonts w:ascii="Calibri" w:eastAsia="Times New Roman" w:hAnsi="Calibri" w:cs="Times New Roman"/>
                <w:color w:val="000000"/>
                <w:sz w:val="20"/>
                <w:szCs w:val="20"/>
                <w:lang w:eastAsia="en-AU"/>
              </w:rPr>
              <w:t>c</w:t>
            </w:r>
            <w:r w:rsidRPr="00EB2092">
              <w:rPr>
                <w:rFonts w:ascii="Calibri" w:eastAsia="Times New Roman" w:hAnsi="Calibri" w:cs="Times New Roman"/>
                <w:color w:val="000000"/>
                <w:sz w:val="20"/>
                <w:szCs w:val="20"/>
                <w:lang w:eastAsia="en-AU"/>
              </w:rPr>
              <w:t xml:space="preserve">ustoms </w:t>
            </w:r>
            <w:r w:rsidR="00D34A0C">
              <w:rPr>
                <w:rFonts w:ascii="Calibri" w:eastAsia="Times New Roman" w:hAnsi="Calibri" w:cs="Times New Roman"/>
                <w:color w:val="000000"/>
                <w:sz w:val="20"/>
                <w:szCs w:val="20"/>
                <w:lang w:eastAsia="en-AU"/>
              </w:rPr>
              <w:t>d</w:t>
            </w:r>
            <w:r w:rsidRPr="00EB2092">
              <w:rPr>
                <w:rFonts w:ascii="Calibri" w:eastAsia="Times New Roman" w:hAnsi="Calibri" w:cs="Times New Roman"/>
                <w:color w:val="000000"/>
                <w:sz w:val="20"/>
                <w:szCs w:val="20"/>
                <w:lang w:eastAsia="en-AU"/>
              </w:rPr>
              <w:t>uty</w:t>
            </w:r>
          </w:p>
        </w:tc>
        <w:tc>
          <w:tcPr>
            <w:tcW w:w="534" w:type="pct"/>
            <w:tcBorders>
              <w:top w:val="nil"/>
              <w:left w:val="nil"/>
              <w:bottom w:val="nil"/>
              <w:right w:val="nil"/>
            </w:tcBorders>
            <w:shd w:val="clear" w:color="auto" w:fill="auto"/>
            <w:vAlign w:val="center"/>
            <w:hideMark/>
          </w:tcPr>
          <w:p w14:paraId="7D5AFD73" w14:textId="1F9CF1ED" w:rsidR="000A192F" w:rsidRPr="00EB2092" w:rsidRDefault="000A192F" w:rsidP="00207AE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2.0</w:t>
            </w:r>
          </w:p>
        </w:tc>
        <w:tc>
          <w:tcPr>
            <w:tcW w:w="610" w:type="pct"/>
            <w:gridSpan w:val="2"/>
            <w:tcBorders>
              <w:top w:val="nil"/>
              <w:left w:val="nil"/>
              <w:bottom w:val="nil"/>
              <w:right w:val="single" w:sz="4" w:space="0" w:color="3D4D7D"/>
            </w:tcBorders>
            <w:shd w:val="clear" w:color="auto" w:fill="auto"/>
            <w:vAlign w:val="center"/>
            <w:hideMark/>
          </w:tcPr>
          <w:p w14:paraId="26BA3158" w14:textId="62F9C446" w:rsidR="000A192F" w:rsidRPr="00EB2092" w:rsidRDefault="000A192F" w:rsidP="00207AE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1.9</w:t>
            </w:r>
          </w:p>
        </w:tc>
        <w:tc>
          <w:tcPr>
            <w:tcW w:w="2424" w:type="pct"/>
            <w:tcBorders>
              <w:top w:val="nil"/>
              <w:left w:val="nil"/>
              <w:bottom w:val="nil"/>
              <w:right w:val="single" w:sz="4" w:space="0" w:color="auto"/>
            </w:tcBorders>
            <w:shd w:val="clear" w:color="auto" w:fill="auto"/>
            <w:vAlign w:val="center"/>
            <w:hideMark/>
          </w:tcPr>
          <w:p w14:paraId="5003CD84" w14:textId="77777777" w:rsidR="000A192F" w:rsidRPr="00EB2092" w:rsidRDefault="000A192F" w:rsidP="00207AE7">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Decreases due to declining tobacco and alcohol consumption, combined with provisions for free trade agreements.</w:t>
            </w:r>
          </w:p>
        </w:tc>
      </w:tr>
      <w:tr w:rsidR="000A192F" w:rsidRPr="00EB2092" w14:paraId="0A391F50" w14:textId="77777777" w:rsidTr="00CF4667">
        <w:trPr>
          <w:trHeight w:val="375"/>
        </w:trPr>
        <w:tc>
          <w:tcPr>
            <w:tcW w:w="1432" w:type="pct"/>
            <w:tcBorders>
              <w:top w:val="nil"/>
              <w:left w:val="single" w:sz="4" w:space="0" w:color="auto"/>
              <w:bottom w:val="nil"/>
              <w:right w:val="single" w:sz="4" w:space="0" w:color="3D4D7D"/>
            </w:tcBorders>
            <w:shd w:val="clear" w:color="000000" w:fill="D3D8E9"/>
            <w:vAlign w:val="center"/>
            <w:hideMark/>
          </w:tcPr>
          <w:p w14:paraId="63C4BDF5" w14:textId="77777777" w:rsidR="000A192F" w:rsidRPr="00EB2092" w:rsidRDefault="000A192F" w:rsidP="00207AE7">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Superannuation taxes</w:t>
            </w:r>
          </w:p>
        </w:tc>
        <w:tc>
          <w:tcPr>
            <w:tcW w:w="534" w:type="pct"/>
            <w:tcBorders>
              <w:top w:val="nil"/>
              <w:left w:val="nil"/>
              <w:bottom w:val="nil"/>
              <w:right w:val="nil"/>
            </w:tcBorders>
            <w:shd w:val="clear" w:color="000000" w:fill="D3D8E9"/>
            <w:vAlign w:val="center"/>
            <w:hideMark/>
          </w:tcPr>
          <w:p w14:paraId="0DB84C81" w14:textId="22EB8D98" w:rsidR="000A192F" w:rsidRPr="00EB2092" w:rsidRDefault="000A192F" w:rsidP="00207AE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0.6</w:t>
            </w:r>
          </w:p>
        </w:tc>
        <w:tc>
          <w:tcPr>
            <w:tcW w:w="610" w:type="pct"/>
            <w:gridSpan w:val="2"/>
            <w:tcBorders>
              <w:top w:val="nil"/>
              <w:left w:val="nil"/>
              <w:bottom w:val="nil"/>
              <w:right w:val="single" w:sz="4" w:space="0" w:color="3D4D7D"/>
            </w:tcBorders>
            <w:shd w:val="clear" w:color="000000" w:fill="D3D8E9"/>
            <w:vAlign w:val="center"/>
            <w:hideMark/>
          </w:tcPr>
          <w:p w14:paraId="725BA4F0" w14:textId="41A3C3BB" w:rsidR="000A192F" w:rsidRPr="00EB2092" w:rsidRDefault="000A192F" w:rsidP="00207AE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0.7</w:t>
            </w:r>
          </w:p>
        </w:tc>
        <w:tc>
          <w:tcPr>
            <w:tcW w:w="2424" w:type="pct"/>
            <w:tcBorders>
              <w:top w:val="nil"/>
              <w:left w:val="nil"/>
              <w:bottom w:val="nil"/>
              <w:right w:val="single" w:sz="4" w:space="0" w:color="auto"/>
            </w:tcBorders>
            <w:shd w:val="clear" w:color="000000" w:fill="D3D8E9"/>
            <w:vAlign w:val="center"/>
            <w:hideMark/>
          </w:tcPr>
          <w:p w14:paraId="40D36E3E" w14:textId="77777777" w:rsidR="000A192F" w:rsidRPr="00EB2092" w:rsidRDefault="000A192F" w:rsidP="00207AE7">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 xml:space="preserve">Increases as the superannuation system grows faster than GDP.  </w:t>
            </w:r>
          </w:p>
        </w:tc>
      </w:tr>
      <w:tr w:rsidR="000A192F" w:rsidRPr="00EB2092" w14:paraId="7628E8ED" w14:textId="77777777" w:rsidTr="00CF4667">
        <w:trPr>
          <w:trHeight w:val="765"/>
        </w:trPr>
        <w:tc>
          <w:tcPr>
            <w:tcW w:w="1432" w:type="pct"/>
            <w:tcBorders>
              <w:top w:val="nil"/>
              <w:left w:val="single" w:sz="4" w:space="0" w:color="auto"/>
              <w:bottom w:val="nil"/>
              <w:right w:val="single" w:sz="4" w:space="0" w:color="3D4D7D"/>
            </w:tcBorders>
            <w:shd w:val="clear" w:color="auto" w:fill="auto"/>
            <w:vAlign w:val="center"/>
            <w:hideMark/>
          </w:tcPr>
          <w:p w14:paraId="4C72EAEC" w14:textId="4E66BED2" w:rsidR="000A192F" w:rsidRPr="00EB2092" w:rsidRDefault="000A192F" w:rsidP="00FC29D3">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 xml:space="preserve">Other </w:t>
            </w:r>
            <w:r w:rsidR="00FC29D3">
              <w:rPr>
                <w:rFonts w:ascii="Calibri" w:eastAsia="Times New Roman" w:hAnsi="Calibri" w:cs="Times New Roman"/>
                <w:color w:val="000000"/>
                <w:sz w:val="20"/>
                <w:szCs w:val="20"/>
                <w:lang w:eastAsia="en-AU"/>
              </w:rPr>
              <w:t>t</w:t>
            </w:r>
            <w:r w:rsidRPr="00EB2092">
              <w:rPr>
                <w:rFonts w:ascii="Calibri" w:eastAsia="Times New Roman" w:hAnsi="Calibri" w:cs="Times New Roman"/>
                <w:color w:val="000000"/>
                <w:sz w:val="20"/>
                <w:szCs w:val="20"/>
                <w:lang w:eastAsia="en-AU"/>
              </w:rPr>
              <w:t>axes</w:t>
            </w:r>
            <w:r w:rsidR="00FC29D3">
              <w:rPr>
                <w:rFonts w:ascii="Calibri" w:eastAsia="Times New Roman" w:hAnsi="Calibri" w:cs="Times New Roman"/>
                <w:color w:val="000000"/>
                <w:sz w:val="20"/>
                <w:szCs w:val="20"/>
                <w:lang w:eastAsia="en-AU"/>
              </w:rPr>
              <w:t xml:space="preserve"> and charges</w:t>
            </w:r>
          </w:p>
        </w:tc>
        <w:tc>
          <w:tcPr>
            <w:tcW w:w="534" w:type="pct"/>
            <w:tcBorders>
              <w:top w:val="nil"/>
              <w:left w:val="nil"/>
              <w:bottom w:val="nil"/>
              <w:right w:val="nil"/>
            </w:tcBorders>
            <w:shd w:val="clear" w:color="auto" w:fill="auto"/>
            <w:vAlign w:val="center"/>
            <w:hideMark/>
          </w:tcPr>
          <w:p w14:paraId="6FAB35AD" w14:textId="4298A9A9" w:rsidR="000A192F" w:rsidRPr="00EB2092" w:rsidRDefault="000A192F" w:rsidP="00207AE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0.5</w:t>
            </w:r>
          </w:p>
        </w:tc>
        <w:tc>
          <w:tcPr>
            <w:tcW w:w="610" w:type="pct"/>
            <w:gridSpan w:val="2"/>
            <w:tcBorders>
              <w:top w:val="nil"/>
              <w:left w:val="nil"/>
              <w:bottom w:val="nil"/>
              <w:right w:val="single" w:sz="4" w:space="0" w:color="3D4D7D"/>
            </w:tcBorders>
            <w:shd w:val="clear" w:color="auto" w:fill="auto"/>
            <w:vAlign w:val="center"/>
            <w:hideMark/>
          </w:tcPr>
          <w:p w14:paraId="163714CD" w14:textId="75B1923B" w:rsidR="000A192F" w:rsidRPr="00EB2092" w:rsidRDefault="000A192F" w:rsidP="00207AE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0.4</w:t>
            </w:r>
          </w:p>
        </w:tc>
        <w:tc>
          <w:tcPr>
            <w:tcW w:w="2424" w:type="pct"/>
            <w:tcBorders>
              <w:top w:val="nil"/>
              <w:left w:val="nil"/>
              <w:bottom w:val="nil"/>
              <w:right w:val="single" w:sz="4" w:space="0" w:color="auto"/>
            </w:tcBorders>
            <w:shd w:val="clear" w:color="auto" w:fill="auto"/>
            <w:vAlign w:val="center"/>
            <w:hideMark/>
          </w:tcPr>
          <w:p w14:paraId="5A25C5FA" w14:textId="77777777" w:rsidR="000A192F" w:rsidRPr="00EB2092" w:rsidRDefault="000A192F" w:rsidP="00207AE7">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 xml:space="preserve">Broadly unchanged.  Other taxes encompass a range of sources of revenue, including the major bank levy and agricultural levies.  </w:t>
            </w:r>
          </w:p>
        </w:tc>
      </w:tr>
      <w:tr w:rsidR="000A192F" w:rsidRPr="00EB2092" w14:paraId="02D6A498" w14:textId="77777777" w:rsidTr="00CF4667">
        <w:trPr>
          <w:trHeight w:val="323"/>
        </w:trPr>
        <w:tc>
          <w:tcPr>
            <w:tcW w:w="1432" w:type="pct"/>
            <w:tcBorders>
              <w:top w:val="nil"/>
              <w:left w:val="single" w:sz="4" w:space="0" w:color="auto"/>
              <w:bottom w:val="nil"/>
              <w:right w:val="single" w:sz="4" w:space="0" w:color="3D4D7D"/>
            </w:tcBorders>
            <w:shd w:val="clear" w:color="000000" w:fill="D3D8E9"/>
            <w:vAlign w:val="center"/>
            <w:hideMark/>
          </w:tcPr>
          <w:p w14:paraId="1A7CB586" w14:textId="77777777" w:rsidR="000A192F" w:rsidRPr="00EB2092" w:rsidRDefault="000A192F" w:rsidP="00207AE7">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Fringe benefits tax</w:t>
            </w:r>
          </w:p>
        </w:tc>
        <w:tc>
          <w:tcPr>
            <w:tcW w:w="534" w:type="pct"/>
            <w:tcBorders>
              <w:top w:val="nil"/>
              <w:left w:val="nil"/>
              <w:bottom w:val="nil"/>
              <w:right w:val="nil"/>
            </w:tcBorders>
            <w:shd w:val="clear" w:color="000000" w:fill="D3D8E9"/>
            <w:vAlign w:val="center"/>
            <w:hideMark/>
          </w:tcPr>
          <w:p w14:paraId="3D4C9F09" w14:textId="3843D978" w:rsidR="000A192F" w:rsidRPr="00EB2092" w:rsidRDefault="000A192F" w:rsidP="00207AE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0.2</w:t>
            </w:r>
          </w:p>
        </w:tc>
        <w:tc>
          <w:tcPr>
            <w:tcW w:w="610" w:type="pct"/>
            <w:gridSpan w:val="2"/>
            <w:tcBorders>
              <w:top w:val="nil"/>
              <w:left w:val="nil"/>
              <w:bottom w:val="nil"/>
              <w:right w:val="single" w:sz="4" w:space="0" w:color="3D4D7D"/>
            </w:tcBorders>
            <w:shd w:val="clear" w:color="000000" w:fill="D3D8E9"/>
            <w:vAlign w:val="center"/>
            <w:hideMark/>
          </w:tcPr>
          <w:p w14:paraId="3F7DEF71" w14:textId="1DFAA9FC" w:rsidR="000A192F" w:rsidRPr="00EB2092" w:rsidRDefault="000A192F" w:rsidP="00207AE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0.2</w:t>
            </w:r>
          </w:p>
        </w:tc>
        <w:tc>
          <w:tcPr>
            <w:tcW w:w="2424" w:type="pct"/>
            <w:tcBorders>
              <w:top w:val="nil"/>
              <w:left w:val="nil"/>
              <w:bottom w:val="nil"/>
              <w:right w:val="single" w:sz="4" w:space="0" w:color="auto"/>
            </w:tcBorders>
            <w:shd w:val="clear" w:color="000000" w:fill="D3D8E9"/>
            <w:vAlign w:val="center"/>
            <w:hideMark/>
          </w:tcPr>
          <w:p w14:paraId="5D578D5A" w14:textId="77777777" w:rsidR="000A192F" w:rsidRPr="00EB2092" w:rsidRDefault="000A192F" w:rsidP="00207AE7">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Broadly unchanged.</w:t>
            </w:r>
          </w:p>
        </w:tc>
      </w:tr>
      <w:tr w:rsidR="000A192F" w:rsidRPr="00EB2092" w14:paraId="2FEF7617" w14:textId="77777777" w:rsidTr="00CF4667">
        <w:trPr>
          <w:trHeight w:val="323"/>
        </w:trPr>
        <w:tc>
          <w:tcPr>
            <w:tcW w:w="1432" w:type="pct"/>
            <w:tcBorders>
              <w:top w:val="nil"/>
              <w:left w:val="single" w:sz="4" w:space="0" w:color="auto"/>
              <w:bottom w:val="nil"/>
              <w:right w:val="single" w:sz="4" w:space="0" w:color="3D4D7D"/>
            </w:tcBorders>
            <w:shd w:val="clear" w:color="auto" w:fill="auto"/>
            <w:vAlign w:val="center"/>
            <w:hideMark/>
          </w:tcPr>
          <w:p w14:paraId="7F750819" w14:textId="77777777" w:rsidR="000A192F" w:rsidRPr="00EB2092" w:rsidRDefault="000A192F" w:rsidP="00207AE7">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Wine equalisation tax</w:t>
            </w:r>
          </w:p>
        </w:tc>
        <w:tc>
          <w:tcPr>
            <w:tcW w:w="534" w:type="pct"/>
            <w:tcBorders>
              <w:top w:val="nil"/>
              <w:left w:val="nil"/>
              <w:bottom w:val="nil"/>
              <w:right w:val="nil"/>
            </w:tcBorders>
            <w:shd w:val="clear" w:color="auto" w:fill="auto"/>
            <w:vAlign w:val="center"/>
            <w:hideMark/>
          </w:tcPr>
          <w:p w14:paraId="47C49FB8" w14:textId="3457F6C6" w:rsidR="000A192F" w:rsidRPr="00EB2092" w:rsidRDefault="000A192F" w:rsidP="00207AE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0.1</w:t>
            </w:r>
          </w:p>
        </w:tc>
        <w:tc>
          <w:tcPr>
            <w:tcW w:w="610" w:type="pct"/>
            <w:gridSpan w:val="2"/>
            <w:tcBorders>
              <w:top w:val="nil"/>
              <w:left w:val="nil"/>
              <w:bottom w:val="nil"/>
              <w:right w:val="single" w:sz="4" w:space="0" w:color="3D4D7D"/>
            </w:tcBorders>
            <w:shd w:val="clear" w:color="auto" w:fill="auto"/>
            <w:vAlign w:val="center"/>
            <w:hideMark/>
          </w:tcPr>
          <w:p w14:paraId="5D30312E" w14:textId="2DA2D5AF" w:rsidR="000A192F" w:rsidRPr="00EB2092" w:rsidRDefault="000A192F" w:rsidP="00207AE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0.0</w:t>
            </w:r>
          </w:p>
        </w:tc>
        <w:tc>
          <w:tcPr>
            <w:tcW w:w="2424" w:type="pct"/>
            <w:tcBorders>
              <w:top w:val="nil"/>
              <w:left w:val="nil"/>
              <w:bottom w:val="nil"/>
              <w:right w:val="single" w:sz="4" w:space="0" w:color="auto"/>
            </w:tcBorders>
            <w:shd w:val="clear" w:color="auto" w:fill="auto"/>
            <w:vAlign w:val="center"/>
            <w:hideMark/>
          </w:tcPr>
          <w:p w14:paraId="1CDB9BA9" w14:textId="2CB1FFD6" w:rsidR="000A192F" w:rsidRPr="00EB2092" w:rsidRDefault="000A192F" w:rsidP="00207AE7">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Broadly unchanged</w:t>
            </w:r>
            <w:r w:rsidR="00D34A0C">
              <w:rPr>
                <w:rFonts w:ascii="Calibri" w:eastAsia="Times New Roman" w:hAnsi="Calibri" w:cs="Times New Roman"/>
                <w:color w:val="000000"/>
                <w:sz w:val="20"/>
                <w:szCs w:val="20"/>
                <w:lang w:eastAsia="en-AU"/>
              </w:rPr>
              <w:t xml:space="preserve"> at 0.05 per cent of GDP</w:t>
            </w:r>
            <w:r w:rsidRPr="00EB2092">
              <w:rPr>
                <w:rFonts w:ascii="Calibri" w:eastAsia="Times New Roman" w:hAnsi="Calibri" w:cs="Times New Roman"/>
                <w:color w:val="000000"/>
                <w:sz w:val="20"/>
                <w:szCs w:val="20"/>
                <w:lang w:eastAsia="en-AU"/>
              </w:rPr>
              <w:t xml:space="preserve">.  </w:t>
            </w:r>
          </w:p>
        </w:tc>
      </w:tr>
      <w:tr w:rsidR="000A192F" w:rsidRPr="00EB2092" w14:paraId="19549A3A" w14:textId="77777777" w:rsidTr="00CF4667">
        <w:trPr>
          <w:trHeight w:val="510"/>
        </w:trPr>
        <w:tc>
          <w:tcPr>
            <w:tcW w:w="1432" w:type="pct"/>
            <w:tcBorders>
              <w:top w:val="nil"/>
              <w:left w:val="single" w:sz="4" w:space="0" w:color="auto"/>
              <w:bottom w:val="nil"/>
              <w:right w:val="single" w:sz="4" w:space="0" w:color="3D4D7D"/>
            </w:tcBorders>
            <w:shd w:val="clear" w:color="000000" w:fill="D3D8E9"/>
            <w:vAlign w:val="center"/>
            <w:hideMark/>
          </w:tcPr>
          <w:p w14:paraId="10922614" w14:textId="77777777" w:rsidR="000A192F" w:rsidRPr="00EB2092" w:rsidRDefault="000A192F" w:rsidP="00207AE7">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Luxury car tax</w:t>
            </w:r>
          </w:p>
        </w:tc>
        <w:tc>
          <w:tcPr>
            <w:tcW w:w="534" w:type="pct"/>
            <w:tcBorders>
              <w:top w:val="nil"/>
              <w:left w:val="nil"/>
              <w:bottom w:val="nil"/>
              <w:right w:val="nil"/>
            </w:tcBorders>
            <w:shd w:val="clear" w:color="000000" w:fill="D3D8E9"/>
            <w:vAlign w:val="center"/>
            <w:hideMark/>
          </w:tcPr>
          <w:p w14:paraId="51CB78F3" w14:textId="5AEC668D" w:rsidR="000A192F" w:rsidRPr="00EB2092" w:rsidRDefault="000A192F" w:rsidP="00207AE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0.0</w:t>
            </w:r>
          </w:p>
        </w:tc>
        <w:tc>
          <w:tcPr>
            <w:tcW w:w="610" w:type="pct"/>
            <w:gridSpan w:val="2"/>
            <w:tcBorders>
              <w:top w:val="nil"/>
              <w:left w:val="nil"/>
              <w:bottom w:val="nil"/>
              <w:right w:val="single" w:sz="4" w:space="0" w:color="3D4D7D"/>
            </w:tcBorders>
            <w:shd w:val="clear" w:color="000000" w:fill="D3D8E9"/>
            <w:vAlign w:val="center"/>
            <w:hideMark/>
          </w:tcPr>
          <w:p w14:paraId="05EBD826" w14:textId="3A27101B" w:rsidR="000A192F" w:rsidRPr="00EB2092" w:rsidRDefault="000A192F" w:rsidP="00207AE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0.0</w:t>
            </w:r>
          </w:p>
        </w:tc>
        <w:tc>
          <w:tcPr>
            <w:tcW w:w="2424" w:type="pct"/>
            <w:tcBorders>
              <w:top w:val="nil"/>
              <w:left w:val="nil"/>
              <w:bottom w:val="nil"/>
              <w:right w:val="single" w:sz="4" w:space="0" w:color="auto"/>
            </w:tcBorders>
            <w:shd w:val="clear" w:color="000000" w:fill="D3D8E9"/>
            <w:vAlign w:val="center"/>
            <w:hideMark/>
          </w:tcPr>
          <w:p w14:paraId="43CFE36D" w14:textId="56B36C35" w:rsidR="000A192F" w:rsidRPr="00EB2092" w:rsidRDefault="00D34A0C" w:rsidP="00D34A0C">
            <w:pPr>
              <w:spacing w:line="240" w:lineRule="auto"/>
              <w:rPr>
                <w:rFonts w:ascii="Calibri" w:eastAsia="Times New Roman" w:hAnsi="Calibri" w:cs="Times New Roman"/>
                <w:color w:val="000000"/>
                <w:sz w:val="20"/>
                <w:szCs w:val="20"/>
                <w:lang w:eastAsia="en-AU"/>
              </w:rPr>
            </w:pPr>
            <w:r>
              <w:rPr>
                <w:rFonts w:ascii="Calibri" w:eastAsia="Times New Roman" w:hAnsi="Calibri" w:cs="Times New Roman"/>
                <w:color w:val="000000"/>
                <w:sz w:val="20"/>
                <w:szCs w:val="20"/>
                <w:lang w:eastAsia="en-AU"/>
              </w:rPr>
              <w:t>Constant at 0.03 per cent of GDP.</w:t>
            </w:r>
          </w:p>
        </w:tc>
      </w:tr>
      <w:tr w:rsidR="000A192F" w:rsidRPr="00EB2092" w14:paraId="71F7B0F1" w14:textId="77777777" w:rsidTr="00CF4667">
        <w:trPr>
          <w:trHeight w:val="540"/>
        </w:trPr>
        <w:tc>
          <w:tcPr>
            <w:tcW w:w="1432" w:type="pct"/>
            <w:tcBorders>
              <w:top w:val="nil"/>
              <w:left w:val="single" w:sz="4" w:space="0" w:color="auto"/>
              <w:bottom w:val="nil"/>
              <w:right w:val="single" w:sz="4" w:space="0" w:color="3D4D7D"/>
            </w:tcBorders>
            <w:shd w:val="clear" w:color="auto" w:fill="auto"/>
            <w:vAlign w:val="center"/>
            <w:hideMark/>
          </w:tcPr>
          <w:p w14:paraId="5DAD5D70" w14:textId="280AF67C" w:rsidR="000A192F" w:rsidRPr="00EB2092" w:rsidRDefault="000A192F" w:rsidP="00FC29D3">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 xml:space="preserve">Resource </w:t>
            </w:r>
            <w:r w:rsidR="00FC29D3">
              <w:rPr>
                <w:rFonts w:ascii="Calibri" w:eastAsia="Times New Roman" w:hAnsi="Calibri" w:cs="Times New Roman"/>
                <w:color w:val="000000"/>
                <w:sz w:val="20"/>
                <w:szCs w:val="20"/>
                <w:lang w:eastAsia="en-AU"/>
              </w:rPr>
              <w:t>r</w:t>
            </w:r>
            <w:r w:rsidR="00FC29D3" w:rsidRPr="00EB2092">
              <w:rPr>
                <w:rFonts w:ascii="Calibri" w:eastAsia="Times New Roman" w:hAnsi="Calibri" w:cs="Times New Roman"/>
                <w:color w:val="000000"/>
                <w:sz w:val="20"/>
                <w:szCs w:val="20"/>
                <w:lang w:eastAsia="en-AU"/>
              </w:rPr>
              <w:t xml:space="preserve">ent </w:t>
            </w:r>
            <w:r w:rsidR="00FC29D3">
              <w:rPr>
                <w:rFonts w:ascii="Calibri" w:eastAsia="Times New Roman" w:hAnsi="Calibri" w:cs="Times New Roman"/>
                <w:color w:val="000000"/>
                <w:sz w:val="20"/>
                <w:szCs w:val="20"/>
                <w:lang w:eastAsia="en-AU"/>
              </w:rPr>
              <w:t>t</w:t>
            </w:r>
            <w:r w:rsidRPr="00EB2092">
              <w:rPr>
                <w:rFonts w:ascii="Calibri" w:eastAsia="Times New Roman" w:hAnsi="Calibri" w:cs="Times New Roman"/>
                <w:color w:val="000000"/>
                <w:sz w:val="20"/>
                <w:szCs w:val="20"/>
                <w:lang w:eastAsia="en-AU"/>
              </w:rPr>
              <w:t>axes</w:t>
            </w:r>
          </w:p>
        </w:tc>
        <w:tc>
          <w:tcPr>
            <w:tcW w:w="534" w:type="pct"/>
            <w:tcBorders>
              <w:top w:val="nil"/>
              <w:left w:val="nil"/>
              <w:bottom w:val="nil"/>
              <w:right w:val="nil"/>
            </w:tcBorders>
            <w:shd w:val="clear" w:color="auto" w:fill="auto"/>
            <w:vAlign w:val="center"/>
            <w:hideMark/>
          </w:tcPr>
          <w:p w14:paraId="5EE67EA2" w14:textId="07A1B055" w:rsidR="000A192F" w:rsidRPr="00EB2092" w:rsidRDefault="000A192F" w:rsidP="00207AE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0.1</w:t>
            </w:r>
          </w:p>
        </w:tc>
        <w:tc>
          <w:tcPr>
            <w:tcW w:w="610" w:type="pct"/>
            <w:gridSpan w:val="2"/>
            <w:tcBorders>
              <w:top w:val="nil"/>
              <w:left w:val="nil"/>
              <w:bottom w:val="nil"/>
              <w:right w:val="single" w:sz="4" w:space="0" w:color="3D4D7D"/>
            </w:tcBorders>
            <w:shd w:val="clear" w:color="auto" w:fill="auto"/>
            <w:vAlign w:val="center"/>
            <w:hideMark/>
          </w:tcPr>
          <w:p w14:paraId="4B94EABD" w14:textId="60F65C28" w:rsidR="000A192F" w:rsidRPr="00EB2092" w:rsidRDefault="000A192F" w:rsidP="00207AE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0.0</w:t>
            </w:r>
          </w:p>
        </w:tc>
        <w:tc>
          <w:tcPr>
            <w:tcW w:w="2424" w:type="pct"/>
            <w:tcBorders>
              <w:top w:val="nil"/>
              <w:left w:val="nil"/>
              <w:bottom w:val="nil"/>
              <w:right w:val="single" w:sz="4" w:space="0" w:color="auto"/>
            </w:tcBorders>
            <w:shd w:val="clear" w:color="auto" w:fill="auto"/>
            <w:vAlign w:val="center"/>
            <w:hideMark/>
          </w:tcPr>
          <w:p w14:paraId="2AFE1EFE" w14:textId="08E5F91D" w:rsidR="000A192F" w:rsidRPr="00F852A4" w:rsidRDefault="000A192F" w:rsidP="00447E99">
            <w:pPr>
              <w:spacing w:line="240" w:lineRule="auto"/>
              <w:rPr>
                <w:rFonts w:ascii="Calibri" w:eastAsia="Times New Roman" w:hAnsi="Calibri" w:cs="Times New Roman"/>
                <w:color w:val="000000"/>
                <w:sz w:val="20"/>
                <w:szCs w:val="20"/>
                <w:lang w:eastAsia="en-AU"/>
              </w:rPr>
            </w:pPr>
            <w:r w:rsidRPr="00BD5CF7">
              <w:rPr>
                <w:rFonts w:ascii="Calibri" w:eastAsia="Times New Roman" w:hAnsi="Calibri" w:cs="Times New Roman"/>
                <w:color w:val="000000"/>
                <w:sz w:val="20"/>
                <w:szCs w:val="20"/>
                <w:lang w:eastAsia="en-AU"/>
              </w:rPr>
              <w:t>Increases over the period to 2026-27 and then slowly declines by 2030-31</w:t>
            </w:r>
            <w:r w:rsidR="00447E99" w:rsidRPr="003A56EF">
              <w:rPr>
                <w:rFonts w:ascii="Calibri" w:eastAsia="Times New Roman" w:hAnsi="Calibri" w:cs="Times New Roman"/>
                <w:color w:val="000000"/>
                <w:sz w:val="20"/>
                <w:szCs w:val="20"/>
                <w:lang w:eastAsia="en-AU"/>
              </w:rPr>
              <w:t>.</w:t>
            </w:r>
          </w:p>
        </w:tc>
      </w:tr>
      <w:tr w:rsidR="000A192F" w:rsidRPr="00EB2092" w14:paraId="6E9A8B2C" w14:textId="77777777" w:rsidTr="00CF4667">
        <w:trPr>
          <w:trHeight w:val="323"/>
        </w:trPr>
        <w:tc>
          <w:tcPr>
            <w:tcW w:w="1432" w:type="pct"/>
            <w:tcBorders>
              <w:top w:val="nil"/>
              <w:left w:val="single" w:sz="4" w:space="0" w:color="auto"/>
              <w:right w:val="single" w:sz="4" w:space="0" w:color="3D4D7D"/>
            </w:tcBorders>
            <w:shd w:val="clear" w:color="auto" w:fill="D3D8E9" w:themeFill="background2" w:themeFillTint="33"/>
            <w:vAlign w:val="center"/>
            <w:hideMark/>
          </w:tcPr>
          <w:p w14:paraId="5F76AAD2" w14:textId="77777777" w:rsidR="000A192F" w:rsidRPr="00EB2092" w:rsidRDefault="000A192F" w:rsidP="00207AE7">
            <w:pPr>
              <w:spacing w:line="240" w:lineRule="auto"/>
              <w:rPr>
                <w:rFonts w:ascii="Calibri" w:eastAsia="Times New Roman" w:hAnsi="Calibri" w:cs="Times New Roman"/>
                <w:b/>
                <w:color w:val="000000"/>
                <w:sz w:val="20"/>
                <w:szCs w:val="20"/>
                <w:lang w:eastAsia="en-AU"/>
              </w:rPr>
            </w:pPr>
            <w:r w:rsidRPr="00EB2092">
              <w:rPr>
                <w:rFonts w:ascii="Calibri" w:eastAsia="Times New Roman" w:hAnsi="Calibri" w:cs="Times New Roman"/>
                <w:b/>
                <w:color w:val="000000"/>
                <w:sz w:val="20"/>
                <w:szCs w:val="20"/>
                <w:lang w:eastAsia="en-AU"/>
              </w:rPr>
              <w:t>Total tax receipts</w:t>
            </w:r>
          </w:p>
        </w:tc>
        <w:tc>
          <w:tcPr>
            <w:tcW w:w="534" w:type="pct"/>
            <w:tcBorders>
              <w:top w:val="nil"/>
              <w:left w:val="nil"/>
              <w:right w:val="nil"/>
            </w:tcBorders>
            <w:shd w:val="clear" w:color="auto" w:fill="D3D8E9" w:themeFill="background2" w:themeFillTint="33"/>
            <w:vAlign w:val="center"/>
            <w:hideMark/>
          </w:tcPr>
          <w:p w14:paraId="668432C6" w14:textId="663A5BF8" w:rsidR="000A192F" w:rsidRPr="00EB2092" w:rsidRDefault="000A192F" w:rsidP="00207AE7">
            <w:pPr>
              <w:spacing w:line="240" w:lineRule="auto"/>
              <w:jc w:val="center"/>
              <w:rPr>
                <w:rFonts w:ascii="Calibri" w:eastAsia="Times New Roman" w:hAnsi="Calibri" w:cs="Times New Roman"/>
                <w:b/>
                <w:color w:val="000000"/>
                <w:sz w:val="20"/>
                <w:szCs w:val="20"/>
                <w:lang w:eastAsia="en-AU"/>
              </w:rPr>
            </w:pPr>
            <w:r w:rsidRPr="00EB2092">
              <w:rPr>
                <w:rFonts w:ascii="Calibri" w:hAnsi="Calibri"/>
                <w:b/>
                <w:bCs/>
                <w:color w:val="000000"/>
                <w:sz w:val="20"/>
                <w:szCs w:val="20"/>
              </w:rPr>
              <w:t>23.0</w:t>
            </w:r>
          </w:p>
        </w:tc>
        <w:tc>
          <w:tcPr>
            <w:tcW w:w="610" w:type="pct"/>
            <w:gridSpan w:val="2"/>
            <w:tcBorders>
              <w:top w:val="nil"/>
              <w:left w:val="nil"/>
              <w:right w:val="single" w:sz="4" w:space="0" w:color="3D4D7D"/>
            </w:tcBorders>
            <w:shd w:val="clear" w:color="auto" w:fill="D3D8E9" w:themeFill="background2" w:themeFillTint="33"/>
            <w:vAlign w:val="center"/>
            <w:hideMark/>
          </w:tcPr>
          <w:p w14:paraId="789CB2C3" w14:textId="67E73972" w:rsidR="000A192F" w:rsidRPr="00EB2092" w:rsidRDefault="000A192F" w:rsidP="00207AE7">
            <w:pPr>
              <w:spacing w:line="240" w:lineRule="auto"/>
              <w:jc w:val="center"/>
              <w:rPr>
                <w:rFonts w:ascii="Calibri" w:eastAsia="Times New Roman" w:hAnsi="Calibri" w:cs="Times New Roman"/>
                <w:b/>
                <w:color w:val="000000"/>
                <w:sz w:val="20"/>
                <w:szCs w:val="20"/>
                <w:lang w:eastAsia="en-AU"/>
              </w:rPr>
            </w:pPr>
            <w:r w:rsidRPr="00EB2092">
              <w:rPr>
                <w:rFonts w:ascii="Calibri" w:hAnsi="Calibri"/>
                <w:b/>
                <w:bCs/>
                <w:color w:val="000000"/>
                <w:sz w:val="20"/>
                <w:szCs w:val="20"/>
              </w:rPr>
              <w:t>22.7</w:t>
            </w:r>
          </w:p>
        </w:tc>
        <w:tc>
          <w:tcPr>
            <w:tcW w:w="2424" w:type="pct"/>
            <w:tcBorders>
              <w:top w:val="nil"/>
              <w:left w:val="nil"/>
              <w:right w:val="single" w:sz="4" w:space="0" w:color="auto"/>
            </w:tcBorders>
            <w:shd w:val="clear" w:color="auto" w:fill="D3D8E9" w:themeFill="background2" w:themeFillTint="33"/>
            <w:vAlign w:val="center"/>
            <w:hideMark/>
          </w:tcPr>
          <w:p w14:paraId="2E82E511" w14:textId="77777777" w:rsidR="000A192F" w:rsidRPr="00EB2092" w:rsidRDefault="000A192F" w:rsidP="00207AE7">
            <w:pPr>
              <w:spacing w:line="240" w:lineRule="auto"/>
              <w:rPr>
                <w:rFonts w:ascii="Calibri" w:eastAsia="Times New Roman" w:hAnsi="Calibri" w:cs="Times New Roman"/>
                <w:b/>
                <w:color w:val="000000"/>
                <w:sz w:val="20"/>
                <w:szCs w:val="20"/>
                <w:lang w:eastAsia="en-AU"/>
              </w:rPr>
            </w:pPr>
            <w:r w:rsidRPr="00EB2092">
              <w:rPr>
                <w:rFonts w:ascii="Calibri" w:eastAsia="Times New Roman" w:hAnsi="Calibri" w:cs="Times New Roman"/>
                <w:b/>
                <w:color w:val="000000"/>
                <w:sz w:val="20"/>
                <w:szCs w:val="20"/>
                <w:lang w:eastAsia="en-AU"/>
              </w:rPr>
              <w:t> </w:t>
            </w:r>
          </w:p>
        </w:tc>
      </w:tr>
      <w:tr w:rsidR="000A192F" w:rsidRPr="00EB2092" w14:paraId="7BDEC315" w14:textId="77777777" w:rsidTr="00CF4667">
        <w:trPr>
          <w:trHeight w:val="510"/>
        </w:trPr>
        <w:tc>
          <w:tcPr>
            <w:tcW w:w="1432" w:type="pct"/>
            <w:tcBorders>
              <w:top w:val="nil"/>
              <w:left w:val="single" w:sz="4" w:space="0" w:color="auto"/>
              <w:bottom w:val="nil"/>
              <w:right w:val="single" w:sz="4" w:space="0" w:color="3D4D7D"/>
            </w:tcBorders>
            <w:shd w:val="clear" w:color="000000" w:fill="auto"/>
            <w:vAlign w:val="center"/>
            <w:hideMark/>
          </w:tcPr>
          <w:p w14:paraId="3A92E2ED" w14:textId="77777777" w:rsidR="000A192F" w:rsidRPr="00EB2092" w:rsidRDefault="000A192F" w:rsidP="00113A15">
            <w:pPr>
              <w:spacing w:line="240" w:lineRule="auto"/>
              <w:rPr>
                <w:rFonts w:ascii="Calibri" w:eastAsia="Times New Roman" w:hAnsi="Calibri" w:cs="Times New Roman"/>
                <w:bCs/>
                <w:color w:val="000000"/>
                <w:sz w:val="20"/>
                <w:szCs w:val="20"/>
                <w:lang w:eastAsia="en-AU"/>
              </w:rPr>
            </w:pPr>
            <w:r w:rsidRPr="00EB2092">
              <w:rPr>
                <w:rFonts w:ascii="Calibri" w:eastAsia="Times New Roman" w:hAnsi="Calibri" w:cs="Times New Roman"/>
                <w:bCs/>
                <w:color w:val="000000"/>
                <w:sz w:val="20"/>
                <w:szCs w:val="20"/>
                <w:lang w:eastAsia="en-AU"/>
              </w:rPr>
              <w:t>Non-tax receipts</w:t>
            </w:r>
          </w:p>
        </w:tc>
        <w:tc>
          <w:tcPr>
            <w:tcW w:w="534" w:type="pct"/>
            <w:tcBorders>
              <w:top w:val="nil"/>
              <w:left w:val="nil"/>
              <w:bottom w:val="nil"/>
              <w:right w:val="nil"/>
            </w:tcBorders>
            <w:shd w:val="clear" w:color="000000" w:fill="auto"/>
            <w:vAlign w:val="center"/>
            <w:hideMark/>
          </w:tcPr>
          <w:p w14:paraId="301877DD" w14:textId="2C93AA06" w:rsidR="000A192F" w:rsidRPr="00EB2092" w:rsidRDefault="000A192F" w:rsidP="00113A15">
            <w:pPr>
              <w:spacing w:line="240" w:lineRule="auto"/>
              <w:jc w:val="center"/>
              <w:rPr>
                <w:rFonts w:ascii="Calibri" w:eastAsia="Times New Roman" w:hAnsi="Calibri" w:cs="Times New Roman"/>
                <w:bCs/>
                <w:color w:val="000000"/>
                <w:sz w:val="20"/>
                <w:szCs w:val="20"/>
                <w:lang w:eastAsia="en-AU"/>
              </w:rPr>
            </w:pPr>
            <w:r w:rsidRPr="00EB2092">
              <w:rPr>
                <w:rFonts w:ascii="Calibri" w:hAnsi="Calibri"/>
                <w:color w:val="000000"/>
                <w:sz w:val="20"/>
                <w:szCs w:val="20"/>
              </w:rPr>
              <w:t>1.9</w:t>
            </w:r>
          </w:p>
        </w:tc>
        <w:tc>
          <w:tcPr>
            <w:tcW w:w="610" w:type="pct"/>
            <w:gridSpan w:val="2"/>
            <w:tcBorders>
              <w:top w:val="nil"/>
              <w:left w:val="nil"/>
              <w:bottom w:val="nil"/>
              <w:right w:val="single" w:sz="4" w:space="0" w:color="3D4D7D"/>
            </w:tcBorders>
            <w:shd w:val="clear" w:color="000000" w:fill="auto"/>
            <w:vAlign w:val="center"/>
            <w:hideMark/>
          </w:tcPr>
          <w:p w14:paraId="35BB23FD" w14:textId="37EE7954" w:rsidR="000A192F" w:rsidRPr="00EB2092" w:rsidRDefault="000A192F" w:rsidP="00113A15">
            <w:pPr>
              <w:spacing w:line="240" w:lineRule="auto"/>
              <w:jc w:val="center"/>
              <w:rPr>
                <w:rFonts w:ascii="Calibri" w:eastAsia="Times New Roman" w:hAnsi="Calibri" w:cs="Times New Roman"/>
                <w:bCs/>
                <w:color w:val="000000"/>
                <w:sz w:val="20"/>
                <w:szCs w:val="20"/>
                <w:lang w:eastAsia="en-AU"/>
              </w:rPr>
            </w:pPr>
            <w:r w:rsidRPr="00EB2092">
              <w:rPr>
                <w:rFonts w:ascii="Calibri" w:hAnsi="Calibri"/>
                <w:color w:val="000000"/>
                <w:sz w:val="20"/>
                <w:szCs w:val="20"/>
              </w:rPr>
              <w:t>1.7</w:t>
            </w:r>
          </w:p>
        </w:tc>
        <w:tc>
          <w:tcPr>
            <w:tcW w:w="2424" w:type="pct"/>
            <w:tcBorders>
              <w:top w:val="nil"/>
              <w:left w:val="nil"/>
              <w:bottom w:val="nil"/>
              <w:right w:val="single" w:sz="4" w:space="0" w:color="auto"/>
            </w:tcBorders>
            <w:shd w:val="clear" w:color="000000" w:fill="auto"/>
            <w:vAlign w:val="center"/>
            <w:hideMark/>
          </w:tcPr>
          <w:p w14:paraId="67607E6B" w14:textId="659385E5" w:rsidR="000A192F" w:rsidRPr="00EB2092" w:rsidRDefault="000A192F" w:rsidP="00113A15">
            <w:pPr>
              <w:spacing w:line="240" w:lineRule="auto"/>
              <w:rPr>
                <w:rFonts w:ascii="Calibri" w:eastAsia="Times New Roman" w:hAnsi="Calibri" w:cs="Times New Roman"/>
                <w:bCs/>
                <w:color w:val="000000"/>
                <w:sz w:val="20"/>
                <w:szCs w:val="20"/>
                <w:lang w:eastAsia="en-AU"/>
              </w:rPr>
            </w:pPr>
            <w:r w:rsidRPr="00EB2092">
              <w:rPr>
                <w:rFonts w:ascii="Calibri" w:eastAsia="Times New Roman" w:hAnsi="Calibri" w:cs="Times New Roman"/>
                <w:bCs/>
                <w:color w:val="000000"/>
                <w:sz w:val="20"/>
                <w:szCs w:val="20"/>
                <w:lang w:eastAsia="en-AU"/>
              </w:rPr>
              <w:t xml:space="preserve">Decreases due to lower interest receipts, as interest rates </w:t>
            </w:r>
            <w:r w:rsidR="00B15E89">
              <w:rPr>
                <w:rFonts w:ascii="Calibri" w:eastAsia="Times New Roman" w:hAnsi="Calibri" w:cs="Times New Roman"/>
                <w:bCs/>
                <w:color w:val="000000"/>
                <w:sz w:val="20"/>
                <w:szCs w:val="20"/>
                <w:lang w:eastAsia="en-AU"/>
              </w:rPr>
              <w:t xml:space="preserve">are </w:t>
            </w:r>
            <w:r w:rsidRPr="00EB2092">
              <w:rPr>
                <w:rFonts w:ascii="Calibri" w:eastAsia="Times New Roman" w:hAnsi="Calibri" w:cs="Times New Roman"/>
                <w:bCs/>
                <w:color w:val="000000"/>
                <w:sz w:val="20"/>
                <w:szCs w:val="20"/>
                <w:lang w:eastAsia="en-AU"/>
              </w:rPr>
              <w:t>comparatively lower than nominal GDP growth.</w:t>
            </w:r>
          </w:p>
        </w:tc>
      </w:tr>
      <w:tr w:rsidR="000A192F" w:rsidRPr="00EB2092" w14:paraId="42FB687E" w14:textId="77777777" w:rsidTr="00CF4667">
        <w:trPr>
          <w:trHeight w:val="323"/>
        </w:trPr>
        <w:tc>
          <w:tcPr>
            <w:tcW w:w="1432" w:type="pct"/>
            <w:tcBorders>
              <w:top w:val="nil"/>
              <w:left w:val="single" w:sz="4" w:space="0" w:color="auto"/>
              <w:bottom w:val="nil"/>
              <w:right w:val="single" w:sz="4" w:space="0" w:color="3D4D7D"/>
            </w:tcBorders>
            <w:shd w:val="clear" w:color="000000" w:fill="3D4D7D"/>
            <w:vAlign w:val="center"/>
            <w:hideMark/>
          </w:tcPr>
          <w:p w14:paraId="39DA1A8F" w14:textId="77777777" w:rsidR="000A192F" w:rsidRPr="00EB2092" w:rsidRDefault="000A192F" w:rsidP="00207AE7">
            <w:pPr>
              <w:spacing w:line="240" w:lineRule="auto"/>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Total receipts</w:t>
            </w:r>
          </w:p>
        </w:tc>
        <w:tc>
          <w:tcPr>
            <w:tcW w:w="534" w:type="pct"/>
            <w:tcBorders>
              <w:top w:val="nil"/>
              <w:left w:val="nil"/>
              <w:bottom w:val="nil"/>
              <w:right w:val="nil"/>
            </w:tcBorders>
            <w:shd w:val="clear" w:color="000000" w:fill="3D4D7D"/>
            <w:vAlign w:val="center"/>
            <w:hideMark/>
          </w:tcPr>
          <w:p w14:paraId="7F39B849" w14:textId="52B15A7D" w:rsidR="000A192F" w:rsidRPr="00EB2092" w:rsidRDefault="000A192F" w:rsidP="00207AE7">
            <w:pPr>
              <w:spacing w:line="240" w:lineRule="auto"/>
              <w:jc w:val="center"/>
              <w:rPr>
                <w:rFonts w:ascii="Calibri" w:eastAsia="Times New Roman" w:hAnsi="Calibri" w:cs="Times New Roman"/>
                <w:b/>
                <w:bCs/>
                <w:color w:val="FFFFFF"/>
                <w:sz w:val="20"/>
                <w:szCs w:val="20"/>
                <w:lang w:eastAsia="en-AU"/>
              </w:rPr>
            </w:pPr>
            <w:r w:rsidRPr="00EB2092">
              <w:rPr>
                <w:rFonts w:ascii="Calibri" w:hAnsi="Calibri"/>
                <w:b/>
                <w:bCs/>
                <w:color w:val="FFFFFF"/>
                <w:sz w:val="20"/>
                <w:szCs w:val="20"/>
              </w:rPr>
              <w:t>24.9</w:t>
            </w:r>
          </w:p>
        </w:tc>
        <w:tc>
          <w:tcPr>
            <w:tcW w:w="610" w:type="pct"/>
            <w:gridSpan w:val="2"/>
            <w:tcBorders>
              <w:top w:val="nil"/>
              <w:left w:val="nil"/>
              <w:bottom w:val="nil"/>
              <w:right w:val="single" w:sz="4" w:space="0" w:color="3D4D7D"/>
            </w:tcBorders>
            <w:shd w:val="clear" w:color="000000" w:fill="3D4D7D"/>
            <w:vAlign w:val="center"/>
            <w:hideMark/>
          </w:tcPr>
          <w:p w14:paraId="645FCEA4" w14:textId="78E9587B" w:rsidR="000A192F" w:rsidRPr="00EB2092" w:rsidRDefault="000A192F" w:rsidP="00207AE7">
            <w:pPr>
              <w:spacing w:line="240" w:lineRule="auto"/>
              <w:jc w:val="center"/>
              <w:rPr>
                <w:rFonts w:ascii="Calibri" w:eastAsia="Times New Roman" w:hAnsi="Calibri" w:cs="Times New Roman"/>
                <w:b/>
                <w:bCs/>
                <w:color w:val="FFFFFF"/>
                <w:sz w:val="20"/>
                <w:szCs w:val="20"/>
                <w:lang w:eastAsia="en-AU"/>
              </w:rPr>
            </w:pPr>
            <w:r w:rsidRPr="00EB2092">
              <w:rPr>
                <w:rFonts w:ascii="Calibri" w:hAnsi="Calibri"/>
                <w:b/>
                <w:bCs/>
                <w:color w:val="FFFFFF"/>
                <w:sz w:val="20"/>
                <w:szCs w:val="20"/>
              </w:rPr>
              <w:t>24.5</w:t>
            </w:r>
          </w:p>
        </w:tc>
        <w:tc>
          <w:tcPr>
            <w:tcW w:w="2424" w:type="pct"/>
            <w:tcBorders>
              <w:top w:val="nil"/>
              <w:left w:val="nil"/>
              <w:bottom w:val="nil"/>
              <w:right w:val="single" w:sz="4" w:space="0" w:color="auto"/>
            </w:tcBorders>
            <w:shd w:val="clear" w:color="000000" w:fill="3D4D7D"/>
            <w:vAlign w:val="center"/>
            <w:hideMark/>
          </w:tcPr>
          <w:p w14:paraId="4A8748A9" w14:textId="77777777" w:rsidR="000A192F" w:rsidRPr="00EB2092" w:rsidRDefault="000A192F" w:rsidP="00207AE7">
            <w:pPr>
              <w:spacing w:line="240" w:lineRule="auto"/>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 </w:t>
            </w:r>
          </w:p>
        </w:tc>
      </w:tr>
      <w:tr w:rsidR="000A192F" w:rsidRPr="00EB2092" w14:paraId="4C15F861" w14:textId="77777777" w:rsidTr="00CF4667">
        <w:trPr>
          <w:trHeight w:val="255"/>
        </w:trPr>
        <w:tc>
          <w:tcPr>
            <w:tcW w:w="1432" w:type="pct"/>
            <w:tcBorders>
              <w:top w:val="nil"/>
              <w:left w:val="single" w:sz="4" w:space="0" w:color="auto"/>
              <w:bottom w:val="nil"/>
              <w:right w:val="single" w:sz="4" w:space="0" w:color="3D4D7D"/>
            </w:tcBorders>
            <w:shd w:val="clear" w:color="auto" w:fill="auto"/>
            <w:noWrap/>
            <w:vAlign w:val="center"/>
            <w:hideMark/>
          </w:tcPr>
          <w:p w14:paraId="41E46F3B" w14:textId="3FF482D3" w:rsidR="000A192F" w:rsidRPr="00EB2092" w:rsidRDefault="000A192F" w:rsidP="007E22B4">
            <w:pPr>
              <w:spacing w:line="240" w:lineRule="auto"/>
              <w:rPr>
                <w:rFonts w:ascii="Calibri" w:eastAsia="Times New Roman" w:hAnsi="Calibri" w:cs="Times New Roman"/>
                <w:i/>
                <w:iCs/>
                <w:color w:val="2B3B5F"/>
                <w:sz w:val="20"/>
                <w:szCs w:val="20"/>
                <w:lang w:eastAsia="en-AU"/>
              </w:rPr>
            </w:pPr>
            <w:r w:rsidRPr="00EB2092">
              <w:rPr>
                <w:rFonts w:ascii="Calibri" w:eastAsia="Times New Roman" w:hAnsi="Calibri" w:cs="Times New Roman"/>
                <w:i/>
                <w:iCs/>
                <w:color w:val="2B3B5F"/>
                <w:sz w:val="20"/>
                <w:szCs w:val="20"/>
                <w:lang w:eastAsia="en-AU"/>
              </w:rPr>
              <w:t xml:space="preserve">Memorandum items: </w:t>
            </w:r>
          </w:p>
        </w:tc>
        <w:tc>
          <w:tcPr>
            <w:tcW w:w="534" w:type="pct"/>
            <w:tcBorders>
              <w:top w:val="nil"/>
              <w:left w:val="nil"/>
              <w:bottom w:val="nil"/>
              <w:right w:val="nil"/>
            </w:tcBorders>
            <w:shd w:val="clear" w:color="auto" w:fill="auto"/>
            <w:hideMark/>
          </w:tcPr>
          <w:p w14:paraId="738C12E1" w14:textId="2AF4562E" w:rsidR="000A192F" w:rsidRPr="00EB2092" w:rsidRDefault="000A192F" w:rsidP="00207AE7">
            <w:pPr>
              <w:spacing w:line="240" w:lineRule="auto"/>
              <w:rPr>
                <w:rFonts w:ascii="Calibri" w:eastAsia="Times New Roman" w:hAnsi="Calibri" w:cs="Times New Roman"/>
                <w:color w:val="000000"/>
                <w:sz w:val="20"/>
                <w:szCs w:val="20"/>
                <w:lang w:eastAsia="en-AU"/>
              </w:rPr>
            </w:pPr>
            <w:r w:rsidRPr="00EB2092">
              <w:rPr>
                <w:rFonts w:ascii="Calibri" w:hAnsi="Calibri"/>
                <w:color w:val="000000"/>
                <w:sz w:val="20"/>
                <w:szCs w:val="20"/>
              </w:rPr>
              <w:t> </w:t>
            </w:r>
          </w:p>
        </w:tc>
        <w:tc>
          <w:tcPr>
            <w:tcW w:w="610" w:type="pct"/>
            <w:gridSpan w:val="2"/>
            <w:tcBorders>
              <w:top w:val="nil"/>
              <w:left w:val="nil"/>
              <w:bottom w:val="nil"/>
              <w:right w:val="single" w:sz="4" w:space="0" w:color="3D4D7D"/>
            </w:tcBorders>
            <w:shd w:val="clear" w:color="auto" w:fill="auto"/>
            <w:hideMark/>
          </w:tcPr>
          <w:p w14:paraId="5FBD49E2" w14:textId="7A9AE0F9" w:rsidR="000A192F" w:rsidRPr="00EB2092" w:rsidRDefault="000A192F" w:rsidP="00207AE7">
            <w:pPr>
              <w:spacing w:line="240" w:lineRule="auto"/>
              <w:rPr>
                <w:rFonts w:ascii="Calibri" w:eastAsia="Times New Roman" w:hAnsi="Calibri" w:cs="Times New Roman"/>
                <w:color w:val="000000"/>
                <w:sz w:val="20"/>
                <w:szCs w:val="20"/>
                <w:lang w:eastAsia="en-AU"/>
              </w:rPr>
            </w:pPr>
            <w:r w:rsidRPr="00EB2092">
              <w:rPr>
                <w:rFonts w:ascii="Calibri" w:hAnsi="Calibri"/>
                <w:color w:val="000000"/>
                <w:sz w:val="20"/>
                <w:szCs w:val="20"/>
              </w:rPr>
              <w:t> </w:t>
            </w:r>
          </w:p>
        </w:tc>
        <w:tc>
          <w:tcPr>
            <w:tcW w:w="2424" w:type="pct"/>
            <w:tcBorders>
              <w:top w:val="nil"/>
              <w:left w:val="nil"/>
              <w:bottom w:val="nil"/>
              <w:right w:val="single" w:sz="4" w:space="0" w:color="auto"/>
            </w:tcBorders>
            <w:shd w:val="clear" w:color="auto" w:fill="auto"/>
            <w:vAlign w:val="center"/>
            <w:hideMark/>
          </w:tcPr>
          <w:p w14:paraId="7BC83E96" w14:textId="77777777" w:rsidR="000A192F" w:rsidRPr="00EB2092" w:rsidRDefault="000A192F" w:rsidP="00207AE7">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 </w:t>
            </w:r>
          </w:p>
        </w:tc>
      </w:tr>
      <w:tr w:rsidR="000A192F" w:rsidRPr="00EB2092" w14:paraId="4054C78D" w14:textId="77777777" w:rsidTr="00CF4667">
        <w:trPr>
          <w:trHeight w:val="323"/>
        </w:trPr>
        <w:tc>
          <w:tcPr>
            <w:tcW w:w="1432" w:type="pct"/>
            <w:tcBorders>
              <w:top w:val="nil"/>
              <w:left w:val="single" w:sz="4" w:space="0" w:color="auto"/>
              <w:bottom w:val="single" w:sz="4" w:space="0" w:color="auto"/>
              <w:right w:val="single" w:sz="4" w:space="0" w:color="3D4D7D"/>
            </w:tcBorders>
            <w:shd w:val="clear" w:color="000000" w:fill="D3D8E9"/>
            <w:vAlign w:val="center"/>
            <w:hideMark/>
          </w:tcPr>
          <w:p w14:paraId="01E66CB2" w14:textId="224BC1DB" w:rsidR="000A192F" w:rsidRPr="00EB2092" w:rsidRDefault="000A192F" w:rsidP="00207AE7">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i/>
                <w:iCs/>
                <w:color w:val="2B3B5F"/>
                <w:sz w:val="20"/>
                <w:szCs w:val="20"/>
                <w:lang w:eastAsia="en-AU"/>
              </w:rPr>
              <w:t>Capital gains tax</w:t>
            </w:r>
          </w:p>
        </w:tc>
        <w:tc>
          <w:tcPr>
            <w:tcW w:w="534" w:type="pct"/>
            <w:tcBorders>
              <w:top w:val="nil"/>
              <w:left w:val="nil"/>
              <w:bottom w:val="single" w:sz="4" w:space="0" w:color="auto"/>
              <w:right w:val="nil"/>
            </w:tcBorders>
            <w:shd w:val="clear" w:color="000000" w:fill="D3D8E9"/>
            <w:vAlign w:val="center"/>
            <w:hideMark/>
          </w:tcPr>
          <w:p w14:paraId="7FE498C4" w14:textId="22B5AE7D" w:rsidR="000A192F" w:rsidRPr="00EB2092" w:rsidRDefault="000A192F" w:rsidP="00207AE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0.9</w:t>
            </w:r>
          </w:p>
        </w:tc>
        <w:tc>
          <w:tcPr>
            <w:tcW w:w="610" w:type="pct"/>
            <w:gridSpan w:val="2"/>
            <w:tcBorders>
              <w:top w:val="nil"/>
              <w:left w:val="nil"/>
              <w:bottom w:val="single" w:sz="4" w:space="0" w:color="auto"/>
              <w:right w:val="single" w:sz="4" w:space="0" w:color="3D4D7D"/>
            </w:tcBorders>
            <w:shd w:val="clear" w:color="000000" w:fill="D3D8E9"/>
            <w:vAlign w:val="center"/>
            <w:hideMark/>
          </w:tcPr>
          <w:p w14:paraId="7FC58892" w14:textId="2EF3B8D1" w:rsidR="000A192F" w:rsidRPr="00EB2092" w:rsidRDefault="000A192F" w:rsidP="00207AE7">
            <w:pPr>
              <w:spacing w:line="240" w:lineRule="auto"/>
              <w:jc w:val="center"/>
              <w:rPr>
                <w:rFonts w:ascii="Calibri" w:eastAsia="Times New Roman" w:hAnsi="Calibri" w:cs="Times New Roman"/>
                <w:color w:val="000000"/>
                <w:sz w:val="20"/>
                <w:szCs w:val="20"/>
                <w:lang w:eastAsia="en-AU"/>
              </w:rPr>
            </w:pPr>
            <w:r w:rsidRPr="00EB2092">
              <w:rPr>
                <w:rFonts w:ascii="Calibri" w:hAnsi="Calibri"/>
                <w:color w:val="000000"/>
                <w:sz w:val="20"/>
                <w:szCs w:val="20"/>
              </w:rPr>
              <w:t>0.7</w:t>
            </w:r>
          </w:p>
        </w:tc>
        <w:tc>
          <w:tcPr>
            <w:tcW w:w="2424" w:type="pct"/>
            <w:tcBorders>
              <w:top w:val="nil"/>
              <w:left w:val="nil"/>
              <w:bottom w:val="single" w:sz="4" w:space="0" w:color="auto"/>
              <w:right w:val="single" w:sz="4" w:space="0" w:color="auto"/>
            </w:tcBorders>
            <w:shd w:val="clear" w:color="000000" w:fill="D3D8E9"/>
            <w:vAlign w:val="center"/>
            <w:hideMark/>
          </w:tcPr>
          <w:p w14:paraId="58153310" w14:textId="479EB296" w:rsidR="000A192F" w:rsidRPr="00EB2092" w:rsidRDefault="000A192F" w:rsidP="00207AE7">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 xml:space="preserve">Decreases due to weaker </w:t>
            </w:r>
            <w:r w:rsidR="009B1907">
              <w:rPr>
                <w:rFonts w:ascii="Calibri" w:eastAsia="Times New Roman" w:hAnsi="Calibri" w:cs="Times New Roman"/>
                <w:color w:val="000000"/>
                <w:sz w:val="20"/>
                <w:szCs w:val="20"/>
                <w:lang w:eastAsia="en-AU"/>
              </w:rPr>
              <w:t xml:space="preserve">asset </w:t>
            </w:r>
            <w:r w:rsidRPr="00EB2092">
              <w:rPr>
                <w:rFonts w:ascii="Calibri" w:eastAsia="Times New Roman" w:hAnsi="Calibri" w:cs="Times New Roman"/>
                <w:color w:val="000000"/>
                <w:sz w:val="20"/>
                <w:szCs w:val="20"/>
                <w:lang w:eastAsia="en-AU"/>
              </w:rPr>
              <w:t xml:space="preserve">prices from </w:t>
            </w:r>
            <w:r w:rsidR="009B1907">
              <w:rPr>
                <w:rFonts w:ascii="Calibri" w:eastAsia="Times New Roman" w:hAnsi="Calibri" w:cs="Times New Roman"/>
                <w:color w:val="000000"/>
                <w:sz w:val="20"/>
                <w:szCs w:val="20"/>
                <w:lang w:eastAsia="en-AU"/>
              </w:rPr>
              <w:br/>
            </w:r>
            <w:r w:rsidRPr="00EB2092">
              <w:rPr>
                <w:rFonts w:ascii="Calibri" w:eastAsia="Times New Roman" w:hAnsi="Calibri" w:cs="Times New Roman"/>
                <w:color w:val="000000"/>
                <w:sz w:val="20"/>
                <w:szCs w:val="20"/>
                <w:lang w:eastAsia="en-AU"/>
              </w:rPr>
              <w:t>COVID-19.</w:t>
            </w:r>
          </w:p>
        </w:tc>
      </w:tr>
    </w:tbl>
    <w:p w14:paraId="13F3C7B0" w14:textId="0FBB28AB" w:rsidR="004336B7" w:rsidRPr="00EB2092" w:rsidRDefault="00F43713" w:rsidP="00E44F73">
      <w:pPr>
        <w:pStyle w:val="Sourcenospacing"/>
        <w:ind w:left="0"/>
      </w:pPr>
      <w:r w:rsidRPr="00572B63">
        <w:t>Source:</w:t>
      </w:r>
      <w:r w:rsidR="00E44F73" w:rsidRPr="00E44F73">
        <w:t xml:space="preserve"> 2020-21 Budget and PBO analysis.</w:t>
      </w:r>
      <w:r w:rsidR="004336B7" w:rsidRPr="00EB2092">
        <w:br w:type="page"/>
      </w:r>
    </w:p>
    <w:p w14:paraId="2F686FDF" w14:textId="4F58A2EF" w:rsidR="004336B7" w:rsidRPr="00EB2092" w:rsidRDefault="004336B7" w:rsidP="004336B7">
      <w:pPr>
        <w:pStyle w:val="Caption"/>
      </w:pPr>
      <w:r w:rsidRPr="00EB2092">
        <w:lastRenderedPageBreak/>
        <w:t>Table A-</w:t>
      </w:r>
      <w:r w:rsidR="0037292D" w:rsidRPr="00EB2092">
        <w:t>2</w:t>
      </w:r>
      <w:r w:rsidRPr="00EB2092">
        <w:t xml:space="preserve">: Drivers of changes in payments over the medium term </w:t>
      </w:r>
    </w:p>
    <w:tbl>
      <w:tblPr>
        <w:tblW w:w="5000" w:type="pct"/>
        <w:tblLook w:val="04A0" w:firstRow="1" w:lastRow="0" w:firstColumn="1" w:lastColumn="0" w:noHBand="0" w:noVBand="1"/>
      </w:tblPr>
      <w:tblGrid>
        <w:gridCol w:w="2639"/>
        <w:gridCol w:w="1109"/>
        <w:gridCol w:w="1113"/>
        <w:gridCol w:w="4426"/>
      </w:tblGrid>
      <w:tr w:rsidR="004336B7" w:rsidRPr="00EB2092" w14:paraId="487583F7" w14:textId="77777777" w:rsidTr="003A56EF">
        <w:trPr>
          <w:trHeight w:val="780"/>
          <w:tblHeader/>
        </w:trPr>
        <w:tc>
          <w:tcPr>
            <w:tcW w:w="1421" w:type="pct"/>
            <w:vMerge w:val="restart"/>
            <w:tcBorders>
              <w:top w:val="single" w:sz="4" w:space="0" w:color="auto"/>
              <w:left w:val="single" w:sz="4" w:space="0" w:color="auto"/>
              <w:bottom w:val="nil"/>
              <w:right w:val="single" w:sz="8" w:space="0" w:color="FFFFFF"/>
            </w:tcBorders>
            <w:shd w:val="clear" w:color="000000" w:fill="3D4D7D"/>
            <w:vAlign w:val="center"/>
            <w:hideMark/>
          </w:tcPr>
          <w:p w14:paraId="733175E2" w14:textId="77777777" w:rsidR="004336B7" w:rsidRPr="00EB2092" w:rsidRDefault="004336B7" w:rsidP="00207AE7">
            <w:pPr>
              <w:spacing w:line="240" w:lineRule="auto"/>
              <w:jc w:val="center"/>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Payments</w:t>
            </w:r>
          </w:p>
        </w:tc>
        <w:tc>
          <w:tcPr>
            <w:tcW w:w="1196" w:type="pct"/>
            <w:gridSpan w:val="2"/>
            <w:tcBorders>
              <w:top w:val="single" w:sz="4" w:space="0" w:color="auto"/>
              <w:left w:val="nil"/>
              <w:bottom w:val="single" w:sz="8" w:space="0" w:color="FFFFFF"/>
              <w:right w:val="single" w:sz="8" w:space="0" w:color="FFFFFF"/>
            </w:tcBorders>
            <w:shd w:val="clear" w:color="000000" w:fill="3D4D7D"/>
            <w:vAlign w:val="center"/>
            <w:hideMark/>
          </w:tcPr>
          <w:p w14:paraId="3106BC8C" w14:textId="77777777" w:rsidR="004336B7" w:rsidRPr="00EB2092" w:rsidRDefault="004336B7" w:rsidP="00207AE7">
            <w:pPr>
              <w:spacing w:line="240" w:lineRule="auto"/>
              <w:jc w:val="center"/>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Per cent of GDP</w:t>
            </w:r>
          </w:p>
        </w:tc>
        <w:tc>
          <w:tcPr>
            <w:tcW w:w="2383" w:type="pct"/>
            <w:tcBorders>
              <w:top w:val="single" w:sz="4" w:space="0" w:color="auto"/>
              <w:left w:val="single" w:sz="8" w:space="0" w:color="FFFFFF"/>
              <w:bottom w:val="single" w:sz="8" w:space="0" w:color="FFFFFF"/>
              <w:right w:val="single" w:sz="4" w:space="0" w:color="auto"/>
            </w:tcBorders>
            <w:shd w:val="clear" w:color="000000" w:fill="3D4D7D"/>
            <w:vAlign w:val="center"/>
            <w:hideMark/>
          </w:tcPr>
          <w:p w14:paraId="42E78F69" w14:textId="2A4BAFF7" w:rsidR="004336B7" w:rsidRPr="00EB2092" w:rsidRDefault="004336B7" w:rsidP="00853E7B">
            <w:pPr>
              <w:spacing w:line="240" w:lineRule="auto"/>
              <w:jc w:val="center"/>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Drivers of change (</w:t>
            </w:r>
            <w:r w:rsidR="00853E7B">
              <w:rPr>
                <w:rFonts w:ascii="Calibri" w:eastAsia="Times New Roman" w:hAnsi="Calibri" w:cs="Times New Roman"/>
                <w:b/>
                <w:bCs/>
                <w:color w:val="FFFFFF"/>
                <w:sz w:val="20"/>
                <w:szCs w:val="20"/>
                <w:lang w:eastAsia="en-AU"/>
              </w:rPr>
              <w:t>percentage points of</w:t>
            </w:r>
            <w:r w:rsidRPr="00EB2092">
              <w:rPr>
                <w:rFonts w:ascii="Calibri" w:eastAsia="Times New Roman" w:hAnsi="Calibri" w:cs="Times New Roman"/>
                <w:b/>
                <w:bCs/>
                <w:color w:val="FFFFFF"/>
                <w:sz w:val="20"/>
                <w:szCs w:val="20"/>
                <w:lang w:eastAsia="en-AU"/>
              </w:rPr>
              <w:t xml:space="preserve"> GDP) over the medium term</w:t>
            </w:r>
          </w:p>
        </w:tc>
      </w:tr>
      <w:tr w:rsidR="004336B7" w:rsidRPr="00EB2092" w14:paraId="6081DB14" w14:textId="77777777" w:rsidTr="003A56EF">
        <w:trPr>
          <w:trHeight w:val="255"/>
          <w:tblHeader/>
        </w:trPr>
        <w:tc>
          <w:tcPr>
            <w:tcW w:w="1421" w:type="pct"/>
            <w:vMerge/>
            <w:tcBorders>
              <w:top w:val="nil"/>
              <w:left w:val="single" w:sz="4" w:space="0" w:color="auto"/>
              <w:bottom w:val="nil"/>
              <w:right w:val="single" w:sz="8" w:space="0" w:color="FFFFFF"/>
            </w:tcBorders>
            <w:vAlign w:val="center"/>
            <w:hideMark/>
          </w:tcPr>
          <w:p w14:paraId="5F5465E2" w14:textId="77777777" w:rsidR="004336B7" w:rsidRPr="00EB2092" w:rsidRDefault="004336B7" w:rsidP="00207AE7">
            <w:pPr>
              <w:spacing w:line="240" w:lineRule="auto"/>
              <w:rPr>
                <w:rFonts w:ascii="Calibri" w:eastAsia="Times New Roman" w:hAnsi="Calibri" w:cs="Times New Roman"/>
                <w:b/>
                <w:bCs/>
                <w:color w:val="FFFFFF"/>
                <w:sz w:val="20"/>
                <w:szCs w:val="20"/>
                <w:lang w:eastAsia="en-AU"/>
              </w:rPr>
            </w:pPr>
          </w:p>
        </w:tc>
        <w:tc>
          <w:tcPr>
            <w:tcW w:w="597" w:type="pct"/>
            <w:tcBorders>
              <w:top w:val="nil"/>
              <w:left w:val="nil"/>
              <w:bottom w:val="nil"/>
              <w:right w:val="nil"/>
            </w:tcBorders>
            <w:shd w:val="clear" w:color="000000" w:fill="3D4D7D"/>
            <w:vAlign w:val="center"/>
            <w:hideMark/>
          </w:tcPr>
          <w:p w14:paraId="67495391" w14:textId="77777777" w:rsidR="004336B7" w:rsidRPr="00EB2092" w:rsidRDefault="004336B7" w:rsidP="00207AE7">
            <w:pPr>
              <w:spacing w:line="240" w:lineRule="auto"/>
              <w:jc w:val="center"/>
              <w:rPr>
                <w:rFonts w:ascii="Calibri" w:eastAsia="Times New Roman" w:hAnsi="Calibri" w:cs="Times New Roman"/>
                <w:b/>
                <w:bCs/>
                <w:color w:val="FFFFFF"/>
                <w:sz w:val="18"/>
                <w:szCs w:val="18"/>
                <w:lang w:eastAsia="en-AU"/>
              </w:rPr>
            </w:pPr>
            <w:r w:rsidRPr="00EB2092">
              <w:rPr>
                <w:rFonts w:ascii="Calibri" w:eastAsia="Times New Roman" w:hAnsi="Calibri" w:cs="Times New Roman"/>
                <w:b/>
                <w:bCs/>
                <w:color w:val="FFFFFF"/>
                <w:sz w:val="18"/>
                <w:szCs w:val="18"/>
                <w:lang w:eastAsia="en-AU"/>
              </w:rPr>
              <w:t>2018-19</w:t>
            </w:r>
          </w:p>
        </w:tc>
        <w:tc>
          <w:tcPr>
            <w:tcW w:w="599" w:type="pct"/>
            <w:tcBorders>
              <w:top w:val="nil"/>
              <w:left w:val="nil"/>
              <w:bottom w:val="nil"/>
              <w:right w:val="single" w:sz="8" w:space="0" w:color="FFFFFF"/>
            </w:tcBorders>
            <w:shd w:val="clear" w:color="000000" w:fill="3D4D7D"/>
            <w:vAlign w:val="center"/>
            <w:hideMark/>
          </w:tcPr>
          <w:p w14:paraId="0317DE83" w14:textId="77777777" w:rsidR="004336B7" w:rsidRPr="00EB2092" w:rsidRDefault="004336B7" w:rsidP="00207AE7">
            <w:pPr>
              <w:spacing w:line="240" w:lineRule="auto"/>
              <w:jc w:val="center"/>
              <w:rPr>
                <w:rFonts w:ascii="Calibri" w:eastAsia="Times New Roman" w:hAnsi="Calibri" w:cs="Times New Roman"/>
                <w:b/>
                <w:bCs/>
                <w:color w:val="FFFFFF"/>
                <w:sz w:val="18"/>
                <w:szCs w:val="18"/>
                <w:lang w:eastAsia="en-AU"/>
              </w:rPr>
            </w:pPr>
            <w:r w:rsidRPr="00EB2092">
              <w:rPr>
                <w:rFonts w:ascii="Calibri" w:eastAsia="Times New Roman" w:hAnsi="Calibri" w:cs="Times New Roman"/>
                <w:b/>
                <w:bCs/>
                <w:color w:val="FFFFFF"/>
                <w:sz w:val="18"/>
                <w:szCs w:val="18"/>
                <w:lang w:eastAsia="en-AU"/>
              </w:rPr>
              <w:t>2030-31</w:t>
            </w:r>
          </w:p>
        </w:tc>
        <w:tc>
          <w:tcPr>
            <w:tcW w:w="2383" w:type="pct"/>
            <w:tcBorders>
              <w:top w:val="nil"/>
              <w:left w:val="single" w:sz="8" w:space="0" w:color="FFFFFF"/>
              <w:bottom w:val="nil"/>
              <w:right w:val="single" w:sz="4" w:space="0" w:color="auto"/>
            </w:tcBorders>
            <w:shd w:val="clear" w:color="000000" w:fill="3D4D7D"/>
            <w:vAlign w:val="center"/>
            <w:hideMark/>
          </w:tcPr>
          <w:p w14:paraId="32256AE0" w14:textId="77777777" w:rsidR="004336B7" w:rsidRPr="00EB2092" w:rsidRDefault="004336B7" w:rsidP="00207AE7">
            <w:pPr>
              <w:spacing w:line="240" w:lineRule="auto"/>
              <w:jc w:val="center"/>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2019-20 to 2030-31</w:t>
            </w:r>
          </w:p>
        </w:tc>
      </w:tr>
      <w:tr w:rsidR="004336B7" w:rsidRPr="00EB2092" w14:paraId="219B63D9" w14:textId="77777777" w:rsidTr="00572B63">
        <w:trPr>
          <w:trHeight w:val="255"/>
          <w:tblHeader/>
        </w:trPr>
        <w:tc>
          <w:tcPr>
            <w:tcW w:w="1421" w:type="pct"/>
            <w:tcBorders>
              <w:top w:val="nil"/>
              <w:left w:val="single" w:sz="4" w:space="0" w:color="auto"/>
              <w:bottom w:val="nil"/>
              <w:right w:val="single" w:sz="8" w:space="0" w:color="3D4D7D"/>
            </w:tcBorders>
            <w:shd w:val="clear" w:color="000000" w:fill="7C8CBF"/>
            <w:vAlign w:val="center"/>
            <w:hideMark/>
          </w:tcPr>
          <w:p w14:paraId="70BE87F2" w14:textId="77777777" w:rsidR="004336B7" w:rsidRPr="00EB2092" w:rsidRDefault="004336B7" w:rsidP="00207AE7">
            <w:pPr>
              <w:spacing w:line="240" w:lineRule="auto"/>
              <w:rPr>
                <w:rFonts w:ascii="Calibri" w:eastAsia="Times New Roman" w:hAnsi="Calibri" w:cs="Times New Roman"/>
                <w:color w:val="000000"/>
                <w:sz w:val="14"/>
                <w:szCs w:val="14"/>
                <w:lang w:eastAsia="en-AU"/>
              </w:rPr>
            </w:pPr>
            <w:r w:rsidRPr="00EB2092">
              <w:rPr>
                <w:rFonts w:ascii="Calibri" w:eastAsia="Times New Roman" w:hAnsi="Calibri" w:cs="Times New Roman"/>
                <w:color w:val="000000"/>
                <w:sz w:val="14"/>
                <w:szCs w:val="14"/>
                <w:lang w:eastAsia="en-AU"/>
              </w:rPr>
              <w:t> </w:t>
            </w:r>
          </w:p>
        </w:tc>
        <w:tc>
          <w:tcPr>
            <w:tcW w:w="1196" w:type="pct"/>
            <w:gridSpan w:val="2"/>
            <w:tcBorders>
              <w:top w:val="nil"/>
              <w:left w:val="nil"/>
              <w:right w:val="single" w:sz="8" w:space="0" w:color="3D4D7D"/>
            </w:tcBorders>
            <w:shd w:val="clear" w:color="000000" w:fill="7C8CBF"/>
            <w:vAlign w:val="center"/>
            <w:hideMark/>
          </w:tcPr>
          <w:p w14:paraId="343B04AE" w14:textId="77777777" w:rsidR="004336B7" w:rsidRPr="00EB2092" w:rsidRDefault="004336B7" w:rsidP="00207AE7">
            <w:pPr>
              <w:spacing w:line="240" w:lineRule="auto"/>
              <w:jc w:val="center"/>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w:t>
            </w:r>
          </w:p>
        </w:tc>
        <w:tc>
          <w:tcPr>
            <w:tcW w:w="2383" w:type="pct"/>
            <w:tcBorders>
              <w:top w:val="nil"/>
              <w:left w:val="single" w:sz="4" w:space="0" w:color="auto"/>
              <w:right w:val="single" w:sz="4" w:space="0" w:color="auto"/>
            </w:tcBorders>
            <w:shd w:val="clear" w:color="000000" w:fill="7C8CBF"/>
            <w:vAlign w:val="center"/>
            <w:hideMark/>
          </w:tcPr>
          <w:p w14:paraId="591BFBE5" w14:textId="77777777" w:rsidR="004336B7" w:rsidRPr="00EB2092" w:rsidRDefault="004336B7" w:rsidP="00207AE7">
            <w:pPr>
              <w:spacing w:line="240" w:lineRule="auto"/>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 </w:t>
            </w:r>
          </w:p>
        </w:tc>
      </w:tr>
      <w:tr w:rsidR="00BF2AFF" w:rsidRPr="00EB2092" w14:paraId="5E78334A" w14:textId="77777777" w:rsidTr="00572B63">
        <w:trPr>
          <w:trHeight w:val="323"/>
        </w:trPr>
        <w:tc>
          <w:tcPr>
            <w:tcW w:w="1421" w:type="pct"/>
            <w:tcBorders>
              <w:top w:val="nil"/>
              <w:left w:val="single" w:sz="4" w:space="0" w:color="auto"/>
              <w:bottom w:val="nil"/>
              <w:right w:val="single" w:sz="4" w:space="0" w:color="auto"/>
            </w:tcBorders>
            <w:shd w:val="clear" w:color="000000" w:fill="D2D9EA"/>
            <w:vAlign w:val="center"/>
            <w:hideMark/>
          </w:tcPr>
          <w:p w14:paraId="615245A2" w14:textId="77777777" w:rsidR="00BF2AFF" w:rsidRPr="00EB2092" w:rsidRDefault="00BF2AFF" w:rsidP="00207AE7">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GST transfers to states</w:t>
            </w:r>
          </w:p>
        </w:tc>
        <w:tc>
          <w:tcPr>
            <w:tcW w:w="597" w:type="pct"/>
            <w:tcBorders>
              <w:top w:val="nil"/>
              <w:left w:val="single" w:sz="4" w:space="0" w:color="auto"/>
              <w:bottom w:val="nil"/>
              <w:right w:val="nil"/>
            </w:tcBorders>
            <w:shd w:val="clear" w:color="000000" w:fill="D2D9EA"/>
            <w:vAlign w:val="center"/>
            <w:hideMark/>
          </w:tcPr>
          <w:p w14:paraId="7AB03C90" w14:textId="570607BC" w:rsidR="00BF2AFF" w:rsidRPr="00EB2092" w:rsidRDefault="00BF2AFF" w:rsidP="00207AE7">
            <w:pPr>
              <w:spacing w:line="240" w:lineRule="auto"/>
              <w:jc w:val="center"/>
              <w:rPr>
                <w:rFonts w:ascii="Calibri" w:eastAsia="Times New Roman" w:hAnsi="Calibri" w:cs="Times New Roman"/>
                <w:sz w:val="20"/>
                <w:szCs w:val="20"/>
                <w:lang w:eastAsia="en-AU"/>
              </w:rPr>
            </w:pPr>
            <w:r w:rsidRPr="00EB2092">
              <w:rPr>
                <w:rFonts w:ascii="Calibri" w:hAnsi="Calibri"/>
                <w:sz w:val="20"/>
                <w:szCs w:val="20"/>
              </w:rPr>
              <w:t>3.4</w:t>
            </w:r>
          </w:p>
        </w:tc>
        <w:tc>
          <w:tcPr>
            <w:tcW w:w="599" w:type="pct"/>
            <w:tcBorders>
              <w:top w:val="nil"/>
              <w:left w:val="nil"/>
              <w:bottom w:val="nil"/>
              <w:right w:val="single" w:sz="4" w:space="0" w:color="auto"/>
            </w:tcBorders>
            <w:shd w:val="clear" w:color="000000" w:fill="D2D9EA"/>
            <w:vAlign w:val="center"/>
            <w:hideMark/>
          </w:tcPr>
          <w:p w14:paraId="56106B27" w14:textId="1D63A106" w:rsidR="00BF2AFF" w:rsidRPr="00EB2092" w:rsidRDefault="00BF2AFF" w:rsidP="00207AE7">
            <w:pPr>
              <w:spacing w:line="240" w:lineRule="auto"/>
              <w:jc w:val="center"/>
              <w:rPr>
                <w:rFonts w:ascii="Calibri" w:eastAsia="Times New Roman" w:hAnsi="Calibri" w:cs="Times New Roman"/>
                <w:sz w:val="20"/>
                <w:szCs w:val="20"/>
                <w:lang w:eastAsia="en-AU"/>
              </w:rPr>
            </w:pPr>
            <w:r w:rsidRPr="00EB2092">
              <w:rPr>
                <w:rFonts w:ascii="Calibri" w:hAnsi="Calibri"/>
                <w:sz w:val="20"/>
                <w:szCs w:val="20"/>
              </w:rPr>
              <w:t>3.4</w:t>
            </w:r>
          </w:p>
        </w:tc>
        <w:tc>
          <w:tcPr>
            <w:tcW w:w="2383" w:type="pct"/>
            <w:tcBorders>
              <w:top w:val="nil"/>
              <w:left w:val="single" w:sz="4" w:space="0" w:color="auto"/>
              <w:bottom w:val="nil"/>
              <w:right w:val="single" w:sz="4" w:space="0" w:color="auto"/>
            </w:tcBorders>
            <w:shd w:val="clear" w:color="000000" w:fill="D2D9EA"/>
            <w:vAlign w:val="center"/>
            <w:hideMark/>
          </w:tcPr>
          <w:p w14:paraId="5D8BFD10" w14:textId="77777777" w:rsidR="00BF2AFF" w:rsidRPr="00EB2092" w:rsidRDefault="00BF2AFF" w:rsidP="00207AE7">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Unchanged overall, in line with GST receipts. </w:t>
            </w:r>
          </w:p>
        </w:tc>
      </w:tr>
      <w:tr w:rsidR="00BF2AFF" w:rsidRPr="00EB2092" w14:paraId="6D25DB34" w14:textId="77777777" w:rsidTr="00572B63">
        <w:trPr>
          <w:trHeight w:val="510"/>
        </w:trPr>
        <w:tc>
          <w:tcPr>
            <w:tcW w:w="1421" w:type="pct"/>
            <w:tcBorders>
              <w:top w:val="nil"/>
              <w:left w:val="single" w:sz="4" w:space="0" w:color="auto"/>
              <w:bottom w:val="nil"/>
              <w:right w:val="single" w:sz="4" w:space="0" w:color="auto"/>
            </w:tcBorders>
            <w:shd w:val="clear" w:color="auto" w:fill="auto"/>
            <w:vAlign w:val="center"/>
            <w:hideMark/>
          </w:tcPr>
          <w:p w14:paraId="44548DFA" w14:textId="77777777" w:rsidR="00BF2AFF" w:rsidRPr="00EB2092" w:rsidRDefault="00BF2AFF" w:rsidP="00207AE7">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Age pension</w:t>
            </w:r>
          </w:p>
        </w:tc>
        <w:tc>
          <w:tcPr>
            <w:tcW w:w="597" w:type="pct"/>
            <w:tcBorders>
              <w:top w:val="nil"/>
              <w:left w:val="single" w:sz="4" w:space="0" w:color="auto"/>
              <w:bottom w:val="nil"/>
              <w:right w:val="nil"/>
            </w:tcBorders>
            <w:shd w:val="clear" w:color="auto" w:fill="auto"/>
            <w:vAlign w:val="center"/>
            <w:hideMark/>
          </w:tcPr>
          <w:p w14:paraId="5660266F" w14:textId="122521F9" w:rsidR="00BF2AFF" w:rsidRPr="00EB2092" w:rsidRDefault="00BF2AFF" w:rsidP="00207AE7">
            <w:pPr>
              <w:spacing w:line="240" w:lineRule="auto"/>
              <w:jc w:val="center"/>
              <w:rPr>
                <w:rFonts w:ascii="Calibri" w:eastAsia="Times New Roman" w:hAnsi="Calibri" w:cs="Times New Roman"/>
                <w:sz w:val="20"/>
                <w:szCs w:val="20"/>
                <w:lang w:eastAsia="en-AU"/>
              </w:rPr>
            </w:pPr>
            <w:r w:rsidRPr="00EB2092">
              <w:rPr>
                <w:rFonts w:ascii="Calibri" w:hAnsi="Calibri"/>
                <w:sz w:val="20"/>
                <w:szCs w:val="20"/>
              </w:rPr>
              <w:t>2.4</w:t>
            </w:r>
          </w:p>
        </w:tc>
        <w:tc>
          <w:tcPr>
            <w:tcW w:w="599" w:type="pct"/>
            <w:tcBorders>
              <w:top w:val="nil"/>
              <w:left w:val="nil"/>
              <w:bottom w:val="nil"/>
              <w:right w:val="single" w:sz="4" w:space="0" w:color="auto"/>
            </w:tcBorders>
            <w:shd w:val="clear" w:color="auto" w:fill="auto"/>
            <w:vAlign w:val="center"/>
            <w:hideMark/>
          </w:tcPr>
          <w:p w14:paraId="41AF5853" w14:textId="3595092D" w:rsidR="00BF2AFF" w:rsidRPr="00EB2092" w:rsidRDefault="00BF2AFF" w:rsidP="00207AE7">
            <w:pPr>
              <w:spacing w:line="240" w:lineRule="auto"/>
              <w:jc w:val="center"/>
              <w:rPr>
                <w:rFonts w:ascii="Calibri" w:eastAsia="Times New Roman" w:hAnsi="Calibri" w:cs="Times New Roman"/>
                <w:sz w:val="20"/>
                <w:szCs w:val="20"/>
                <w:lang w:eastAsia="en-AU"/>
              </w:rPr>
            </w:pPr>
            <w:r w:rsidRPr="00EB2092">
              <w:rPr>
                <w:rFonts w:ascii="Calibri" w:hAnsi="Calibri"/>
                <w:sz w:val="20"/>
                <w:szCs w:val="20"/>
              </w:rPr>
              <w:t>2.5</w:t>
            </w:r>
          </w:p>
        </w:tc>
        <w:tc>
          <w:tcPr>
            <w:tcW w:w="2383" w:type="pct"/>
            <w:tcBorders>
              <w:top w:val="nil"/>
              <w:left w:val="single" w:sz="4" w:space="0" w:color="auto"/>
              <w:bottom w:val="nil"/>
              <w:right w:val="single" w:sz="4" w:space="0" w:color="auto"/>
            </w:tcBorders>
            <w:shd w:val="clear" w:color="auto" w:fill="auto"/>
            <w:vAlign w:val="center"/>
            <w:hideMark/>
          </w:tcPr>
          <w:p w14:paraId="7645C1B9" w14:textId="77777777" w:rsidR="00BF2AFF" w:rsidRPr="00EB2092" w:rsidRDefault="00BF2AFF" w:rsidP="00207AE7">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Increases slightly as recipients grow with the ageing population.</w:t>
            </w:r>
          </w:p>
        </w:tc>
      </w:tr>
      <w:tr w:rsidR="00BF2AFF" w:rsidRPr="00EB2092" w14:paraId="3A7B1C7A" w14:textId="77777777" w:rsidTr="00572B63">
        <w:trPr>
          <w:trHeight w:val="510"/>
        </w:trPr>
        <w:tc>
          <w:tcPr>
            <w:tcW w:w="1421" w:type="pct"/>
            <w:tcBorders>
              <w:top w:val="nil"/>
              <w:left w:val="single" w:sz="4" w:space="0" w:color="auto"/>
              <w:bottom w:val="nil"/>
              <w:right w:val="single" w:sz="4" w:space="0" w:color="auto"/>
            </w:tcBorders>
            <w:shd w:val="clear" w:color="000000" w:fill="D2D9EA"/>
            <w:vAlign w:val="center"/>
            <w:hideMark/>
          </w:tcPr>
          <w:p w14:paraId="6057439D" w14:textId="2E35FF88" w:rsidR="00BF2AFF" w:rsidRPr="00EB2092" w:rsidRDefault="00BF2AFF" w:rsidP="00446D4A">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 xml:space="preserve">Defence </w:t>
            </w:r>
          </w:p>
        </w:tc>
        <w:tc>
          <w:tcPr>
            <w:tcW w:w="597" w:type="pct"/>
            <w:tcBorders>
              <w:top w:val="nil"/>
              <w:left w:val="single" w:sz="4" w:space="0" w:color="auto"/>
              <w:bottom w:val="nil"/>
              <w:right w:val="nil"/>
            </w:tcBorders>
            <w:shd w:val="clear" w:color="000000" w:fill="D2D9EA"/>
            <w:vAlign w:val="center"/>
            <w:hideMark/>
          </w:tcPr>
          <w:p w14:paraId="68E52B21" w14:textId="318DD445" w:rsidR="00BF2AFF" w:rsidRPr="00EB2092" w:rsidRDefault="00BF2AFF" w:rsidP="00207AE7">
            <w:pPr>
              <w:spacing w:line="240" w:lineRule="auto"/>
              <w:jc w:val="center"/>
              <w:rPr>
                <w:rFonts w:ascii="Calibri" w:eastAsia="Times New Roman" w:hAnsi="Calibri" w:cs="Times New Roman"/>
                <w:sz w:val="20"/>
                <w:szCs w:val="20"/>
                <w:lang w:eastAsia="en-AU"/>
              </w:rPr>
            </w:pPr>
            <w:r w:rsidRPr="00EB2092">
              <w:rPr>
                <w:rFonts w:ascii="Calibri" w:hAnsi="Calibri"/>
                <w:sz w:val="20"/>
                <w:szCs w:val="20"/>
              </w:rPr>
              <w:t>1.9</w:t>
            </w:r>
          </w:p>
        </w:tc>
        <w:tc>
          <w:tcPr>
            <w:tcW w:w="599" w:type="pct"/>
            <w:tcBorders>
              <w:top w:val="nil"/>
              <w:left w:val="nil"/>
              <w:bottom w:val="nil"/>
              <w:right w:val="single" w:sz="4" w:space="0" w:color="auto"/>
            </w:tcBorders>
            <w:shd w:val="clear" w:color="000000" w:fill="D2D9EA"/>
            <w:vAlign w:val="center"/>
            <w:hideMark/>
          </w:tcPr>
          <w:p w14:paraId="3AB471DF" w14:textId="29153B80" w:rsidR="00BF2AFF" w:rsidRPr="00EB2092" w:rsidRDefault="00BF2AFF" w:rsidP="00207AE7">
            <w:pPr>
              <w:spacing w:line="240" w:lineRule="auto"/>
              <w:jc w:val="center"/>
              <w:rPr>
                <w:rFonts w:ascii="Calibri" w:eastAsia="Times New Roman" w:hAnsi="Calibri" w:cs="Times New Roman"/>
                <w:sz w:val="20"/>
                <w:szCs w:val="20"/>
                <w:lang w:eastAsia="en-AU"/>
              </w:rPr>
            </w:pPr>
            <w:r w:rsidRPr="00EB2092">
              <w:rPr>
                <w:rFonts w:ascii="Calibri" w:hAnsi="Calibri"/>
                <w:sz w:val="20"/>
                <w:szCs w:val="20"/>
              </w:rPr>
              <w:t>2.4</w:t>
            </w:r>
          </w:p>
        </w:tc>
        <w:tc>
          <w:tcPr>
            <w:tcW w:w="2383" w:type="pct"/>
            <w:tcBorders>
              <w:top w:val="nil"/>
              <w:left w:val="single" w:sz="4" w:space="0" w:color="auto"/>
              <w:bottom w:val="nil"/>
              <w:right w:val="single" w:sz="4" w:space="0" w:color="auto"/>
            </w:tcBorders>
            <w:shd w:val="clear" w:color="000000" w:fill="D2D9EA"/>
            <w:vAlign w:val="center"/>
            <w:hideMark/>
          </w:tcPr>
          <w:p w14:paraId="3829E676" w14:textId="77777777" w:rsidR="00BF2AFF" w:rsidRPr="00EB2092" w:rsidRDefault="00BF2AFF" w:rsidP="00207AE7">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 xml:space="preserve">Increase reflects the government’s funding commitments in the 2020 Defence Strategic Update.  </w:t>
            </w:r>
          </w:p>
        </w:tc>
      </w:tr>
      <w:tr w:rsidR="00BF2AFF" w:rsidRPr="00EB2092" w14:paraId="46DD9970" w14:textId="77777777" w:rsidTr="00920F4B">
        <w:trPr>
          <w:trHeight w:val="340"/>
        </w:trPr>
        <w:tc>
          <w:tcPr>
            <w:tcW w:w="1421" w:type="pct"/>
            <w:tcBorders>
              <w:top w:val="nil"/>
              <w:left w:val="single" w:sz="4" w:space="0" w:color="auto"/>
              <w:bottom w:val="nil"/>
              <w:right w:val="single" w:sz="4" w:space="0" w:color="auto"/>
            </w:tcBorders>
            <w:shd w:val="clear" w:color="auto" w:fill="auto"/>
            <w:vAlign w:val="center"/>
            <w:hideMark/>
          </w:tcPr>
          <w:p w14:paraId="20004578" w14:textId="77777777" w:rsidR="00BF2AFF" w:rsidRPr="00EB2092" w:rsidRDefault="00BF2AFF" w:rsidP="00207AE7">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Medicare Benefits Schedule</w:t>
            </w:r>
          </w:p>
        </w:tc>
        <w:tc>
          <w:tcPr>
            <w:tcW w:w="597" w:type="pct"/>
            <w:tcBorders>
              <w:top w:val="nil"/>
              <w:left w:val="single" w:sz="4" w:space="0" w:color="auto"/>
              <w:bottom w:val="nil"/>
              <w:right w:val="nil"/>
            </w:tcBorders>
            <w:shd w:val="clear" w:color="auto" w:fill="auto"/>
            <w:vAlign w:val="center"/>
            <w:hideMark/>
          </w:tcPr>
          <w:p w14:paraId="0C7572E2" w14:textId="2E986E93" w:rsidR="00BF2AFF" w:rsidRPr="00EB2092" w:rsidRDefault="00BF2AFF" w:rsidP="00207AE7">
            <w:pPr>
              <w:spacing w:line="240" w:lineRule="auto"/>
              <w:jc w:val="center"/>
              <w:rPr>
                <w:rFonts w:ascii="Calibri" w:eastAsia="Times New Roman" w:hAnsi="Calibri" w:cs="Times New Roman"/>
                <w:sz w:val="20"/>
                <w:szCs w:val="20"/>
                <w:lang w:eastAsia="en-AU"/>
              </w:rPr>
            </w:pPr>
            <w:r w:rsidRPr="00EB2092">
              <w:rPr>
                <w:rFonts w:ascii="Calibri" w:hAnsi="Calibri"/>
                <w:sz w:val="20"/>
                <w:szCs w:val="20"/>
              </w:rPr>
              <w:t>1.2</w:t>
            </w:r>
          </w:p>
        </w:tc>
        <w:tc>
          <w:tcPr>
            <w:tcW w:w="599" w:type="pct"/>
            <w:tcBorders>
              <w:top w:val="nil"/>
              <w:left w:val="nil"/>
              <w:bottom w:val="nil"/>
              <w:right w:val="single" w:sz="4" w:space="0" w:color="auto"/>
            </w:tcBorders>
            <w:shd w:val="clear" w:color="auto" w:fill="auto"/>
            <w:vAlign w:val="center"/>
            <w:hideMark/>
          </w:tcPr>
          <w:p w14:paraId="10C5065F" w14:textId="28D6C569" w:rsidR="00BF2AFF" w:rsidRPr="00EB2092" w:rsidRDefault="00BF2AFF" w:rsidP="00207AE7">
            <w:pPr>
              <w:spacing w:line="240" w:lineRule="auto"/>
              <w:jc w:val="center"/>
              <w:rPr>
                <w:rFonts w:ascii="Calibri" w:eastAsia="Times New Roman" w:hAnsi="Calibri" w:cs="Times New Roman"/>
                <w:sz w:val="20"/>
                <w:szCs w:val="20"/>
                <w:lang w:eastAsia="en-AU"/>
              </w:rPr>
            </w:pPr>
            <w:r w:rsidRPr="00EB2092">
              <w:rPr>
                <w:rFonts w:ascii="Calibri" w:hAnsi="Calibri"/>
                <w:sz w:val="20"/>
                <w:szCs w:val="20"/>
              </w:rPr>
              <w:t>1.4</w:t>
            </w:r>
          </w:p>
        </w:tc>
        <w:tc>
          <w:tcPr>
            <w:tcW w:w="2383" w:type="pct"/>
            <w:tcBorders>
              <w:top w:val="nil"/>
              <w:left w:val="single" w:sz="4" w:space="0" w:color="auto"/>
              <w:bottom w:val="nil"/>
              <w:right w:val="single" w:sz="4" w:space="0" w:color="auto"/>
            </w:tcBorders>
            <w:shd w:val="clear" w:color="auto" w:fill="auto"/>
            <w:vAlign w:val="center"/>
            <w:hideMark/>
          </w:tcPr>
          <w:p w14:paraId="695A4388" w14:textId="6898D27B" w:rsidR="00BF2AFF" w:rsidRPr="00EB2092" w:rsidRDefault="00BF2AFF" w:rsidP="008E2329">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 xml:space="preserve">Increase reflects increases in demand for services.  </w:t>
            </w:r>
          </w:p>
        </w:tc>
      </w:tr>
      <w:tr w:rsidR="00BF2AFF" w:rsidRPr="00EB2092" w14:paraId="50FF7444" w14:textId="77777777" w:rsidTr="00572B63">
        <w:trPr>
          <w:trHeight w:val="1020"/>
        </w:trPr>
        <w:tc>
          <w:tcPr>
            <w:tcW w:w="1421" w:type="pct"/>
            <w:tcBorders>
              <w:top w:val="nil"/>
              <w:left w:val="single" w:sz="4" w:space="0" w:color="auto"/>
              <w:bottom w:val="nil"/>
              <w:right w:val="single" w:sz="4" w:space="0" w:color="auto"/>
            </w:tcBorders>
            <w:shd w:val="clear" w:color="000000" w:fill="D2D9EA"/>
            <w:vAlign w:val="center"/>
            <w:hideMark/>
          </w:tcPr>
          <w:p w14:paraId="3E544025" w14:textId="77777777" w:rsidR="00BF2AFF" w:rsidRPr="00EB2092" w:rsidRDefault="00BF2AFF" w:rsidP="00207AE7">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Public hospitals</w:t>
            </w:r>
          </w:p>
        </w:tc>
        <w:tc>
          <w:tcPr>
            <w:tcW w:w="597" w:type="pct"/>
            <w:tcBorders>
              <w:top w:val="nil"/>
              <w:left w:val="single" w:sz="4" w:space="0" w:color="auto"/>
              <w:bottom w:val="nil"/>
              <w:right w:val="nil"/>
            </w:tcBorders>
            <w:shd w:val="clear" w:color="000000" w:fill="D2D9EA"/>
            <w:vAlign w:val="center"/>
            <w:hideMark/>
          </w:tcPr>
          <w:p w14:paraId="6CC0D08D" w14:textId="526015F9" w:rsidR="00BF2AFF" w:rsidRPr="00EB2092" w:rsidRDefault="00BF2AFF" w:rsidP="00207AE7">
            <w:pPr>
              <w:spacing w:line="240" w:lineRule="auto"/>
              <w:jc w:val="center"/>
              <w:rPr>
                <w:rFonts w:ascii="Calibri" w:eastAsia="Times New Roman" w:hAnsi="Calibri" w:cs="Times New Roman"/>
                <w:sz w:val="20"/>
                <w:szCs w:val="20"/>
                <w:lang w:eastAsia="en-AU"/>
              </w:rPr>
            </w:pPr>
            <w:r w:rsidRPr="00EB2092">
              <w:rPr>
                <w:rFonts w:ascii="Calibri" w:hAnsi="Calibri"/>
                <w:sz w:val="20"/>
                <w:szCs w:val="20"/>
              </w:rPr>
              <w:t>1.1</w:t>
            </w:r>
          </w:p>
        </w:tc>
        <w:tc>
          <w:tcPr>
            <w:tcW w:w="599" w:type="pct"/>
            <w:tcBorders>
              <w:top w:val="nil"/>
              <w:left w:val="nil"/>
              <w:bottom w:val="nil"/>
              <w:right w:val="single" w:sz="4" w:space="0" w:color="auto"/>
            </w:tcBorders>
            <w:shd w:val="clear" w:color="000000" w:fill="D2D9EA"/>
            <w:vAlign w:val="center"/>
            <w:hideMark/>
          </w:tcPr>
          <w:p w14:paraId="3C0DB459" w14:textId="4B37E093" w:rsidR="00BF2AFF" w:rsidRPr="00EB2092" w:rsidRDefault="00BF2AFF" w:rsidP="00207AE7">
            <w:pPr>
              <w:spacing w:line="240" w:lineRule="auto"/>
              <w:jc w:val="center"/>
              <w:rPr>
                <w:rFonts w:ascii="Calibri" w:eastAsia="Times New Roman" w:hAnsi="Calibri" w:cs="Times New Roman"/>
                <w:sz w:val="20"/>
                <w:szCs w:val="20"/>
                <w:lang w:eastAsia="en-AU"/>
              </w:rPr>
            </w:pPr>
            <w:r w:rsidRPr="00EB2092">
              <w:rPr>
                <w:rFonts w:ascii="Calibri" w:hAnsi="Calibri"/>
                <w:sz w:val="20"/>
                <w:szCs w:val="20"/>
              </w:rPr>
              <w:t>1.3</w:t>
            </w:r>
          </w:p>
        </w:tc>
        <w:tc>
          <w:tcPr>
            <w:tcW w:w="2383" w:type="pct"/>
            <w:tcBorders>
              <w:top w:val="nil"/>
              <w:left w:val="single" w:sz="4" w:space="0" w:color="auto"/>
              <w:bottom w:val="nil"/>
              <w:right w:val="single" w:sz="4" w:space="0" w:color="auto"/>
            </w:tcBorders>
            <w:shd w:val="clear" w:color="000000" w:fill="D2D9EA"/>
            <w:vAlign w:val="center"/>
            <w:hideMark/>
          </w:tcPr>
          <w:p w14:paraId="4885D314" w14:textId="77777777" w:rsidR="00BF2AFF" w:rsidRPr="00EB2092" w:rsidRDefault="00BF2AFF" w:rsidP="00207AE7">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Increases reflecting the government’s previous commitment to the states and territories for the Commonwealth to fund 45 per cent of the efficient growth in activity based services for public hospitals. </w:t>
            </w:r>
          </w:p>
        </w:tc>
      </w:tr>
      <w:tr w:rsidR="00BF2AFF" w:rsidRPr="00EB2092" w14:paraId="126F34DE" w14:textId="77777777" w:rsidTr="00572B63">
        <w:trPr>
          <w:trHeight w:val="510"/>
        </w:trPr>
        <w:tc>
          <w:tcPr>
            <w:tcW w:w="1421" w:type="pct"/>
            <w:tcBorders>
              <w:top w:val="nil"/>
              <w:left w:val="single" w:sz="4" w:space="0" w:color="auto"/>
              <w:bottom w:val="nil"/>
              <w:right w:val="single" w:sz="4" w:space="0" w:color="auto"/>
            </w:tcBorders>
            <w:shd w:val="clear" w:color="auto" w:fill="auto"/>
            <w:vAlign w:val="center"/>
            <w:hideMark/>
          </w:tcPr>
          <w:p w14:paraId="731C31E9" w14:textId="77777777" w:rsidR="00BF2AFF" w:rsidRPr="00EB2092" w:rsidRDefault="00BF2AFF" w:rsidP="00207AE7">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Aged care</w:t>
            </w:r>
          </w:p>
        </w:tc>
        <w:tc>
          <w:tcPr>
            <w:tcW w:w="597" w:type="pct"/>
            <w:tcBorders>
              <w:top w:val="nil"/>
              <w:left w:val="single" w:sz="4" w:space="0" w:color="auto"/>
              <w:bottom w:val="nil"/>
              <w:right w:val="nil"/>
            </w:tcBorders>
            <w:shd w:val="clear" w:color="auto" w:fill="auto"/>
            <w:vAlign w:val="center"/>
            <w:hideMark/>
          </w:tcPr>
          <w:p w14:paraId="0F14B550" w14:textId="39AF4F8E" w:rsidR="00BF2AFF" w:rsidRPr="00EB2092" w:rsidRDefault="00BF2AFF" w:rsidP="00207AE7">
            <w:pPr>
              <w:spacing w:line="240" w:lineRule="auto"/>
              <w:jc w:val="center"/>
              <w:rPr>
                <w:rFonts w:ascii="Calibri" w:eastAsia="Times New Roman" w:hAnsi="Calibri" w:cs="Times New Roman"/>
                <w:sz w:val="20"/>
                <w:szCs w:val="20"/>
                <w:lang w:eastAsia="en-AU"/>
              </w:rPr>
            </w:pPr>
            <w:r w:rsidRPr="00EB2092">
              <w:rPr>
                <w:rFonts w:ascii="Calibri" w:hAnsi="Calibri"/>
                <w:sz w:val="20"/>
                <w:szCs w:val="20"/>
              </w:rPr>
              <w:t>1.0</w:t>
            </w:r>
          </w:p>
        </w:tc>
        <w:tc>
          <w:tcPr>
            <w:tcW w:w="599" w:type="pct"/>
            <w:tcBorders>
              <w:top w:val="nil"/>
              <w:left w:val="nil"/>
              <w:bottom w:val="nil"/>
              <w:right w:val="single" w:sz="4" w:space="0" w:color="auto"/>
            </w:tcBorders>
            <w:shd w:val="clear" w:color="auto" w:fill="auto"/>
            <w:vAlign w:val="center"/>
            <w:hideMark/>
          </w:tcPr>
          <w:p w14:paraId="287C80AD" w14:textId="158BC07F" w:rsidR="00BF2AFF" w:rsidRPr="00EB2092" w:rsidRDefault="00BF2AFF" w:rsidP="00207AE7">
            <w:pPr>
              <w:spacing w:line="240" w:lineRule="auto"/>
              <w:jc w:val="center"/>
              <w:rPr>
                <w:rFonts w:ascii="Calibri" w:eastAsia="Times New Roman" w:hAnsi="Calibri" w:cs="Times New Roman"/>
                <w:sz w:val="20"/>
                <w:szCs w:val="20"/>
                <w:lang w:eastAsia="en-AU"/>
              </w:rPr>
            </w:pPr>
            <w:r w:rsidRPr="00EB2092">
              <w:rPr>
                <w:rFonts w:ascii="Calibri" w:hAnsi="Calibri"/>
                <w:sz w:val="20"/>
                <w:szCs w:val="20"/>
              </w:rPr>
              <w:t>1.3</w:t>
            </w:r>
          </w:p>
        </w:tc>
        <w:tc>
          <w:tcPr>
            <w:tcW w:w="2383" w:type="pct"/>
            <w:tcBorders>
              <w:top w:val="nil"/>
              <w:left w:val="single" w:sz="4" w:space="0" w:color="auto"/>
              <w:bottom w:val="nil"/>
              <w:right w:val="single" w:sz="4" w:space="0" w:color="auto"/>
            </w:tcBorders>
            <w:shd w:val="clear" w:color="auto" w:fill="auto"/>
            <w:vAlign w:val="center"/>
            <w:hideMark/>
          </w:tcPr>
          <w:p w14:paraId="60C576E6" w14:textId="77777777" w:rsidR="00BF2AFF" w:rsidRPr="00EB2092" w:rsidRDefault="00BF2AFF" w:rsidP="00207AE7">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Increase reflects the increasing demand for aged care services as the population ages.   </w:t>
            </w:r>
          </w:p>
        </w:tc>
      </w:tr>
      <w:tr w:rsidR="00BF2AFF" w:rsidRPr="00EB2092" w14:paraId="55D10E72" w14:textId="77777777" w:rsidTr="00572B63">
        <w:trPr>
          <w:trHeight w:val="1020"/>
        </w:trPr>
        <w:tc>
          <w:tcPr>
            <w:tcW w:w="1421" w:type="pct"/>
            <w:tcBorders>
              <w:top w:val="nil"/>
              <w:left w:val="single" w:sz="4" w:space="0" w:color="auto"/>
              <w:bottom w:val="nil"/>
              <w:right w:val="single" w:sz="4" w:space="0" w:color="auto"/>
            </w:tcBorders>
            <w:shd w:val="clear" w:color="000000" w:fill="D2D9EA"/>
            <w:vAlign w:val="center"/>
            <w:hideMark/>
          </w:tcPr>
          <w:p w14:paraId="4F4BEC4F" w14:textId="77777777" w:rsidR="00BF2AFF" w:rsidRPr="00EB2092" w:rsidRDefault="00BF2AFF" w:rsidP="00207AE7">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Schools</w:t>
            </w:r>
          </w:p>
        </w:tc>
        <w:tc>
          <w:tcPr>
            <w:tcW w:w="597" w:type="pct"/>
            <w:tcBorders>
              <w:top w:val="nil"/>
              <w:left w:val="single" w:sz="4" w:space="0" w:color="auto"/>
              <w:bottom w:val="nil"/>
              <w:right w:val="nil"/>
            </w:tcBorders>
            <w:shd w:val="clear" w:color="000000" w:fill="D2D9EA"/>
            <w:vAlign w:val="center"/>
            <w:hideMark/>
          </w:tcPr>
          <w:p w14:paraId="5D653405" w14:textId="2D648DAC" w:rsidR="00BF2AFF" w:rsidRPr="00EB2092" w:rsidRDefault="00911F54" w:rsidP="00207AE7">
            <w:pPr>
              <w:spacing w:line="240" w:lineRule="auto"/>
              <w:jc w:val="center"/>
              <w:rPr>
                <w:rFonts w:ascii="Calibri" w:eastAsia="Times New Roman" w:hAnsi="Calibri" w:cs="Times New Roman"/>
                <w:sz w:val="20"/>
                <w:szCs w:val="20"/>
                <w:lang w:eastAsia="en-AU"/>
              </w:rPr>
            </w:pPr>
            <w:r>
              <w:rPr>
                <w:rFonts w:ascii="Calibri" w:hAnsi="Calibri"/>
                <w:sz w:val="20"/>
                <w:szCs w:val="20"/>
              </w:rPr>
              <w:t>1.0</w:t>
            </w:r>
          </w:p>
        </w:tc>
        <w:tc>
          <w:tcPr>
            <w:tcW w:w="599" w:type="pct"/>
            <w:tcBorders>
              <w:top w:val="nil"/>
              <w:left w:val="nil"/>
              <w:bottom w:val="nil"/>
              <w:right w:val="single" w:sz="4" w:space="0" w:color="auto"/>
            </w:tcBorders>
            <w:shd w:val="clear" w:color="000000" w:fill="D2D9EA"/>
            <w:vAlign w:val="center"/>
            <w:hideMark/>
          </w:tcPr>
          <w:p w14:paraId="0E899C88" w14:textId="059BC88B" w:rsidR="00BF2AFF" w:rsidRPr="00EB2092" w:rsidRDefault="00BF2AFF" w:rsidP="00207AE7">
            <w:pPr>
              <w:spacing w:line="240" w:lineRule="auto"/>
              <w:jc w:val="center"/>
              <w:rPr>
                <w:rFonts w:ascii="Calibri" w:eastAsia="Times New Roman" w:hAnsi="Calibri" w:cs="Times New Roman"/>
                <w:sz w:val="20"/>
                <w:szCs w:val="20"/>
                <w:lang w:eastAsia="en-AU"/>
              </w:rPr>
            </w:pPr>
            <w:r w:rsidRPr="00EB2092">
              <w:rPr>
                <w:rFonts w:ascii="Calibri" w:hAnsi="Calibri"/>
                <w:sz w:val="20"/>
                <w:szCs w:val="20"/>
              </w:rPr>
              <w:t>1.1</w:t>
            </w:r>
          </w:p>
        </w:tc>
        <w:tc>
          <w:tcPr>
            <w:tcW w:w="2383" w:type="pct"/>
            <w:tcBorders>
              <w:top w:val="nil"/>
              <w:left w:val="single" w:sz="4" w:space="0" w:color="auto"/>
              <w:bottom w:val="nil"/>
              <w:right w:val="single" w:sz="4" w:space="0" w:color="auto"/>
            </w:tcBorders>
            <w:shd w:val="clear" w:color="000000" w:fill="D2D9EA"/>
            <w:vAlign w:val="center"/>
            <w:hideMark/>
          </w:tcPr>
          <w:p w14:paraId="3C9907E7" w14:textId="4AC21186" w:rsidR="00BF2AFF" w:rsidRPr="00EB2092" w:rsidRDefault="00BF2AFF" w:rsidP="008E2329">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Increases in line with the government’s commitment to ensuring all schools currently funded below the Commonwealth share of the Schooling Resource Standard target will reach the target by 2023</w:t>
            </w:r>
            <w:r w:rsidR="008E2329">
              <w:rPr>
                <w:rFonts w:ascii="Calibri" w:eastAsia="Times New Roman" w:hAnsi="Calibri" w:cs="Times New Roman"/>
                <w:color w:val="000000"/>
                <w:sz w:val="20"/>
                <w:szCs w:val="20"/>
                <w:lang w:eastAsia="en-AU"/>
              </w:rPr>
              <w:t>, then declines marginally as a share of GDP</w:t>
            </w:r>
            <w:r w:rsidRPr="00EB2092">
              <w:rPr>
                <w:rFonts w:ascii="Calibri" w:eastAsia="Times New Roman" w:hAnsi="Calibri" w:cs="Times New Roman"/>
                <w:color w:val="000000"/>
                <w:sz w:val="20"/>
                <w:szCs w:val="20"/>
                <w:lang w:eastAsia="en-AU"/>
              </w:rPr>
              <w:t>. </w:t>
            </w:r>
          </w:p>
        </w:tc>
      </w:tr>
      <w:tr w:rsidR="00BF2AFF" w:rsidRPr="00EB2092" w14:paraId="2975CF5E" w14:textId="77777777" w:rsidTr="00572B63">
        <w:trPr>
          <w:trHeight w:val="323"/>
        </w:trPr>
        <w:tc>
          <w:tcPr>
            <w:tcW w:w="1421" w:type="pct"/>
            <w:tcBorders>
              <w:top w:val="nil"/>
              <w:left w:val="single" w:sz="4" w:space="0" w:color="auto"/>
              <w:bottom w:val="nil"/>
              <w:right w:val="single" w:sz="4" w:space="0" w:color="auto"/>
            </w:tcBorders>
            <w:shd w:val="clear" w:color="auto" w:fill="auto"/>
            <w:vAlign w:val="center"/>
            <w:hideMark/>
          </w:tcPr>
          <w:p w14:paraId="502409F9" w14:textId="77777777" w:rsidR="00BF2AFF" w:rsidRPr="00EB2092" w:rsidRDefault="00BF2AFF" w:rsidP="00207AE7">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National Disability Insurance Scheme</w:t>
            </w:r>
          </w:p>
        </w:tc>
        <w:tc>
          <w:tcPr>
            <w:tcW w:w="597" w:type="pct"/>
            <w:tcBorders>
              <w:top w:val="nil"/>
              <w:left w:val="single" w:sz="4" w:space="0" w:color="auto"/>
              <w:bottom w:val="nil"/>
              <w:right w:val="nil"/>
            </w:tcBorders>
            <w:shd w:val="clear" w:color="auto" w:fill="auto"/>
            <w:vAlign w:val="center"/>
            <w:hideMark/>
          </w:tcPr>
          <w:p w14:paraId="3B56DAA5" w14:textId="446933CB" w:rsidR="00BF2AFF" w:rsidRPr="00EB2092" w:rsidRDefault="00911F54" w:rsidP="00207AE7">
            <w:pPr>
              <w:spacing w:line="240" w:lineRule="auto"/>
              <w:jc w:val="center"/>
              <w:rPr>
                <w:rFonts w:ascii="Calibri" w:eastAsia="Times New Roman" w:hAnsi="Calibri" w:cs="Times New Roman"/>
                <w:sz w:val="20"/>
                <w:szCs w:val="20"/>
                <w:lang w:eastAsia="en-AU"/>
              </w:rPr>
            </w:pPr>
            <w:r>
              <w:rPr>
                <w:rFonts w:ascii="Calibri" w:hAnsi="Calibri"/>
                <w:sz w:val="20"/>
                <w:szCs w:val="20"/>
              </w:rPr>
              <w:t>0.6</w:t>
            </w:r>
          </w:p>
        </w:tc>
        <w:tc>
          <w:tcPr>
            <w:tcW w:w="599" w:type="pct"/>
            <w:tcBorders>
              <w:top w:val="nil"/>
              <w:left w:val="nil"/>
              <w:bottom w:val="nil"/>
              <w:right w:val="single" w:sz="4" w:space="0" w:color="auto"/>
            </w:tcBorders>
            <w:shd w:val="clear" w:color="auto" w:fill="auto"/>
            <w:vAlign w:val="center"/>
            <w:hideMark/>
          </w:tcPr>
          <w:p w14:paraId="0E0EC004" w14:textId="12F4CE89" w:rsidR="00BF2AFF" w:rsidRPr="00EB2092" w:rsidRDefault="00BF2AFF" w:rsidP="00207AE7">
            <w:pPr>
              <w:spacing w:line="240" w:lineRule="auto"/>
              <w:jc w:val="center"/>
              <w:rPr>
                <w:rFonts w:ascii="Calibri" w:eastAsia="Times New Roman" w:hAnsi="Calibri" w:cs="Times New Roman"/>
                <w:sz w:val="20"/>
                <w:szCs w:val="20"/>
                <w:lang w:eastAsia="en-AU"/>
              </w:rPr>
            </w:pPr>
            <w:r w:rsidRPr="00EB2092">
              <w:rPr>
                <w:rFonts w:ascii="Calibri" w:hAnsi="Calibri"/>
                <w:sz w:val="20"/>
                <w:szCs w:val="20"/>
              </w:rPr>
              <w:t>1.1</w:t>
            </w:r>
          </w:p>
        </w:tc>
        <w:tc>
          <w:tcPr>
            <w:tcW w:w="2383" w:type="pct"/>
            <w:tcBorders>
              <w:top w:val="nil"/>
              <w:left w:val="single" w:sz="4" w:space="0" w:color="auto"/>
              <w:bottom w:val="nil"/>
              <w:right w:val="single" w:sz="4" w:space="0" w:color="auto"/>
            </w:tcBorders>
            <w:shd w:val="clear" w:color="auto" w:fill="auto"/>
            <w:vAlign w:val="center"/>
            <w:hideMark/>
          </w:tcPr>
          <w:p w14:paraId="6A967790" w14:textId="0A9E6850" w:rsidR="00BF2AFF" w:rsidRPr="00EB2092" w:rsidRDefault="00BF2AFF" w:rsidP="00207AE7">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Increases as the system expands to national coverage</w:t>
            </w:r>
            <w:r w:rsidR="00D316BF">
              <w:rPr>
                <w:rFonts w:ascii="Calibri" w:eastAsia="Times New Roman" w:hAnsi="Calibri" w:cs="Times New Roman"/>
                <w:color w:val="000000"/>
                <w:sz w:val="20"/>
                <w:szCs w:val="20"/>
                <w:lang w:eastAsia="en-AU"/>
              </w:rPr>
              <w:t>, then remains stable at 1.1 per cent of GDP from 2022</w:t>
            </w:r>
            <w:r w:rsidR="00D316BF">
              <w:rPr>
                <w:rFonts w:ascii="Calibri" w:eastAsia="Times New Roman" w:hAnsi="Calibri" w:cs="Times New Roman"/>
                <w:color w:val="000000"/>
                <w:sz w:val="20"/>
                <w:szCs w:val="20"/>
                <w:lang w:eastAsia="en-AU"/>
              </w:rPr>
              <w:noBreakHyphen/>
              <w:t>23</w:t>
            </w:r>
            <w:r w:rsidRPr="00EB2092">
              <w:rPr>
                <w:rFonts w:ascii="Calibri" w:eastAsia="Times New Roman" w:hAnsi="Calibri" w:cs="Times New Roman"/>
                <w:color w:val="000000"/>
                <w:sz w:val="20"/>
                <w:szCs w:val="20"/>
                <w:lang w:eastAsia="en-AU"/>
              </w:rPr>
              <w:t xml:space="preserve">.  </w:t>
            </w:r>
          </w:p>
        </w:tc>
      </w:tr>
      <w:tr w:rsidR="00BF2AFF" w:rsidRPr="00EB2092" w14:paraId="75EBE1D5" w14:textId="77777777" w:rsidTr="00572B63">
        <w:trPr>
          <w:trHeight w:val="323"/>
        </w:trPr>
        <w:tc>
          <w:tcPr>
            <w:tcW w:w="1421" w:type="pct"/>
            <w:tcBorders>
              <w:top w:val="nil"/>
              <w:left w:val="single" w:sz="4" w:space="0" w:color="auto"/>
              <w:bottom w:val="nil"/>
              <w:right w:val="single" w:sz="4" w:space="0" w:color="auto"/>
            </w:tcBorders>
            <w:shd w:val="clear" w:color="000000" w:fill="D2D9EA"/>
            <w:vAlign w:val="center"/>
            <w:hideMark/>
          </w:tcPr>
          <w:p w14:paraId="27A10CE3" w14:textId="77777777" w:rsidR="00BF2AFF" w:rsidRPr="00EB2092" w:rsidRDefault="00BF2AFF" w:rsidP="00207AE7">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Public debt interest</w:t>
            </w:r>
          </w:p>
        </w:tc>
        <w:tc>
          <w:tcPr>
            <w:tcW w:w="597" w:type="pct"/>
            <w:tcBorders>
              <w:top w:val="nil"/>
              <w:left w:val="single" w:sz="4" w:space="0" w:color="auto"/>
              <w:bottom w:val="nil"/>
              <w:right w:val="nil"/>
            </w:tcBorders>
            <w:shd w:val="clear" w:color="000000" w:fill="D2D9EA"/>
            <w:vAlign w:val="center"/>
            <w:hideMark/>
          </w:tcPr>
          <w:p w14:paraId="653F26B9" w14:textId="54A424CD" w:rsidR="00BF2AFF" w:rsidRPr="00EB2092" w:rsidRDefault="00BF2AFF" w:rsidP="00207AE7">
            <w:pPr>
              <w:spacing w:line="240" w:lineRule="auto"/>
              <w:jc w:val="center"/>
              <w:rPr>
                <w:rFonts w:ascii="Calibri" w:eastAsia="Times New Roman" w:hAnsi="Calibri" w:cs="Times New Roman"/>
                <w:sz w:val="20"/>
                <w:szCs w:val="20"/>
                <w:lang w:eastAsia="en-AU"/>
              </w:rPr>
            </w:pPr>
            <w:r w:rsidRPr="00EB2092">
              <w:rPr>
                <w:rFonts w:ascii="Calibri" w:hAnsi="Calibri"/>
                <w:sz w:val="20"/>
                <w:szCs w:val="20"/>
              </w:rPr>
              <w:t>0.9</w:t>
            </w:r>
          </w:p>
        </w:tc>
        <w:tc>
          <w:tcPr>
            <w:tcW w:w="599" w:type="pct"/>
            <w:tcBorders>
              <w:top w:val="nil"/>
              <w:left w:val="nil"/>
              <w:bottom w:val="nil"/>
              <w:right w:val="single" w:sz="4" w:space="0" w:color="auto"/>
            </w:tcBorders>
            <w:shd w:val="clear" w:color="000000" w:fill="D2D9EA"/>
            <w:vAlign w:val="center"/>
            <w:hideMark/>
          </w:tcPr>
          <w:p w14:paraId="42BD7C65" w14:textId="3824ADCE" w:rsidR="00BF2AFF" w:rsidRPr="00EB2092" w:rsidRDefault="00BF2AFF" w:rsidP="00207AE7">
            <w:pPr>
              <w:spacing w:line="240" w:lineRule="auto"/>
              <w:jc w:val="center"/>
              <w:rPr>
                <w:rFonts w:ascii="Calibri" w:eastAsia="Times New Roman" w:hAnsi="Calibri" w:cs="Times New Roman"/>
                <w:sz w:val="20"/>
                <w:szCs w:val="20"/>
                <w:lang w:eastAsia="en-AU"/>
              </w:rPr>
            </w:pPr>
            <w:r w:rsidRPr="00EB2092">
              <w:rPr>
                <w:rFonts w:ascii="Calibri" w:hAnsi="Calibri"/>
                <w:sz w:val="20"/>
                <w:szCs w:val="20"/>
              </w:rPr>
              <w:t>0.9</w:t>
            </w:r>
          </w:p>
        </w:tc>
        <w:tc>
          <w:tcPr>
            <w:tcW w:w="2383" w:type="pct"/>
            <w:tcBorders>
              <w:top w:val="nil"/>
              <w:left w:val="single" w:sz="4" w:space="0" w:color="auto"/>
              <w:bottom w:val="nil"/>
              <w:right w:val="single" w:sz="4" w:space="0" w:color="auto"/>
            </w:tcBorders>
            <w:shd w:val="clear" w:color="000000" w:fill="D2D9EA"/>
            <w:vAlign w:val="center"/>
            <w:hideMark/>
          </w:tcPr>
          <w:p w14:paraId="09CF6F42" w14:textId="3CC19E81" w:rsidR="00BF2AFF" w:rsidRPr="00EB2092" w:rsidRDefault="00D316BF" w:rsidP="00207AE7">
            <w:pPr>
              <w:spacing w:line="240" w:lineRule="auto"/>
              <w:rPr>
                <w:rFonts w:ascii="Calibri" w:eastAsia="Times New Roman" w:hAnsi="Calibri" w:cs="Times New Roman"/>
                <w:color w:val="000000"/>
                <w:sz w:val="20"/>
                <w:szCs w:val="20"/>
                <w:lang w:eastAsia="en-AU"/>
              </w:rPr>
            </w:pPr>
            <w:r>
              <w:rPr>
                <w:rFonts w:ascii="Calibri" w:eastAsia="Times New Roman" w:hAnsi="Calibri" w:cs="Times New Roman"/>
                <w:color w:val="000000"/>
                <w:sz w:val="20"/>
                <w:szCs w:val="20"/>
                <w:lang w:eastAsia="en-AU"/>
              </w:rPr>
              <w:t>Broadly unchanged</w:t>
            </w:r>
            <w:r w:rsidR="00BF2AFF" w:rsidRPr="00EB2092">
              <w:rPr>
                <w:rFonts w:ascii="Calibri" w:eastAsia="Times New Roman" w:hAnsi="Calibri" w:cs="Times New Roman"/>
                <w:color w:val="000000"/>
                <w:sz w:val="20"/>
                <w:szCs w:val="20"/>
                <w:lang w:eastAsia="en-AU"/>
              </w:rPr>
              <w:t xml:space="preserve">.  </w:t>
            </w:r>
          </w:p>
        </w:tc>
      </w:tr>
      <w:tr w:rsidR="00BF2AFF" w:rsidRPr="00EB2092" w14:paraId="122E276F" w14:textId="77777777" w:rsidTr="00572B63">
        <w:trPr>
          <w:trHeight w:val="323"/>
        </w:trPr>
        <w:tc>
          <w:tcPr>
            <w:tcW w:w="1421" w:type="pct"/>
            <w:tcBorders>
              <w:top w:val="nil"/>
              <w:left w:val="single" w:sz="4" w:space="0" w:color="auto"/>
              <w:bottom w:val="nil"/>
              <w:right w:val="single" w:sz="4" w:space="0" w:color="auto"/>
            </w:tcBorders>
            <w:shd w:val="clear" w:color="auto" w:fill="auto"/>
            <w:vAlign w:val="center"/>
            <w:hideMark/>
          </w:tcPr>
          <w:p w14:paraId="7543A4AF" w14:textId="77777777" w:rsidR="00BF2AFF" w:rsidRPr="00EB2092" w:rsidRDefault="00BF2AFF" w:rsidP="00207AE7">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Pharmaceutical Benefits Scheme</w:t>
            </w:r>
          </w:p>
        </w:tc>
        <w:tc>
          <w:tcPr>
            <w:tcW w:w="597" w:type="pct"/>
            <w:tcBorders>
              <w:top w:val="nil"/>
              <w:left w:val="single" w:sz="4" w:space="0" w:color="auto"/>
              <w:bottom w:val="nil"/>
              <w:right w:val="nil"/>
            </w:tcBorders>
            <w:shd w:val="clear" w:color="auto" w:fill="auto"/>
            <w:vAlign w:val="center"/>
            <w:hideMark/>
          </w:tcPr>
          <w:p w14:paraId="2DCBEDBB" w14:textId="722C8FCD" w:rsidR="00BF2AFF" w:rsidRPr="00EB2092" w:rsidRDefault="00BF2AFF" w:rsidP="00207AE7">
            <w:pPr>
              <w:spacing w:line="240" w:lineRule="auto"/>
              <w:jc w:val="center"/>
              <w:rPr>
                <w:rFonts w:ascii="Calibri" w:eastAsia="Times New Roman" w:hAnsi="Calibri" w:cs="Times New Roman"/>
                <w:sz w:val="20"/>
                <w:szCs w:val="20"/>
                <w:lang w:eastAsia="en-AU"/>
              </w:rPr>
            </w:pPr>
            <w:r w:rsidRPr="00EB2092">
              <w:rPr>
                <w:rFonts w:ascii="Calibri" w:hAnsi="Calibri"/>
                <w:sz w:val="20"/>
                <w:szCs w:val="20"/>
              </w:rPr>
              <w:t>0.7</w:t>
            </w:r>
          </w:p>
        </w:tc>
        <w:tc>
          <w:tcPr>
            <w:tcW w:w="599" w:type="pct"/>
            <w:tcBorders>
              <w:top w:val="nil"/>
              <w:left w:val="nil"/>
              <w:bottom w:val="nil"/>
              <w:right w:val="single" w:sz="4" w:space="0" w:color="auto"/>
            </w:tcBorders>
            <w:shd w:val="clear" w:color="auto" w:fill="auto"/>
            <w:vAlign w:val="center"/>
            <w:hideMark/>
          </w:tcPr>
          <w:p w14:paraId="036BDE41" w14:textId="32958EC1" w:rsidR="00BF2AFF" w:rsidRPr="00EB2092" w:rsidRDefault="00BF2AFF" w:rsidP="00207AE7">
            <w:pPr>
              <w:spacing w:line="240" w:lineRule="auto"/>
              <w:jc w:val="center"/>
              <w:rPr>
                <w:rFonts w:ascii="Calibri" w:eastAsia="Times New Roman" w:hAnsi="Calibri" w:cs="Times New Roman"/>
                <w:sz w:val="20"/>
                <w:szCs w:val="20"/>
                <w:lang w:eastAsia="en-AU"/>
              </w:rPr>
            </w:pPr>
            <w:r w:rsidRPr="00EB2092">
              <w:rPr>
                <w:rFonts w:ascii="Calibri" w:hAnsi="Calibri"/>
                <w:sz w:val="20"/>
                <w:szCs w:val="20"/>
              </w:rPr>
              <w:t>0.7</w:t>
            </w:r>
          </w:p>
        </w:tc>
        <w:tc>
          <w:tcPr>
            <w:tcW w:w="2383" w:type="pct"/>
            <w:tcBorders>
              <w:top w:val="nil"/>
              <w:left w:val="single" w:sz="4" w:space="0" w:color="auto"/>
              <w:bottom w:val="nil"/>
              <w:right w:val="single" w:sz="4" w:space="0" w:color="auto"/>
            </w:tcBorders>
            <w:shd w:val="clear" w:color="auto" w:fill="auto"/>
            <w:vAlign w:val="center"/>
            <w:hideMark/>
          </w:tcPr>
          <w:p w14:paraId="3DE841B9" w14:textId="77777777" w:rsidR="00BF2AFF" w:rsidRPr="00EB2092" w:rsidRDefault="00BF2AFF" w:rsidP="00207AE7">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Broadly unchanged.</w:t>
            </w:r>
          </w:p>
        </w:tc>
      </w:tr>
      <w:tr w:rsidR="00BF2AFF" w:rsidRPr="00EB2092" w14:paraId="283F680E" w14:textId="77777777" w:rsidTr="00572B63">
        <w:trPr>
          <w:trHeight w:val="510"/>
        </w:trPr>
        <w:tc>
          <w:tcPr>
            <w:tcW w:w="1421" w:type="pct"/>
            <w:tcBorders>
              <w:top w:val="nil"/>
              <w:left w:val="single" w:sz="4" w:space="0" w:color="auto"/>
              <w:bottom w:val="nil"/>
              <w:right w:val="single" w:sz="4" w:space="0" w:color="auto"/>
            </w:tcBorders>
            <w:shd w:val="clear" w:color="000000" w:fill="D2D9EA"/>
            <w:vAlign w:val="center"/>
            <w:hideMark/>
          </w:tcPr>
          <w:p w14:paraId="0FAB7CE8" w14:textId="77777777" w:rsidR="00BF2AFF" w:rsidRPr="00EB2092" w:rsidRDefault="00BF2AFF" w:rsidP="00207AE7">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Disability support pension</w:t>
            </w:r>
          </w:p>
        </w:tc>
        <w:tc>
          <w:tcPr>
            <w:tcW w:w="597" w:type="pct"/>
            <w:tcBorders>
              <w:top w:val="nil"/>
              <w:left w:val="single" w:sz="4" w:space="0" w:color="auto"/>
              <w:bottom w:val="nil"/>
              <w:right w:val="nil"/>
            </w:tcBorders>
            <w:shd w:val="clear" w:color="000000" w:fill="D2D9EA"/>
            <w:vAlign w:val="center"/>
            <w:hideMark/>
          </w:tcPr>
          <w:p w14:paraId="3A9D9D10" w14:textId="2E924F84" w:rsidR="00BF2AFF" w:rsidRPr="00EB2092" w:rsidRDefault="00BF2AFF" w:rsidP="00207AE7">
            <w:pPr>
              <w:spacing w:line="240" w:lineRule="auto"/>
              <w:jc w:val="center"/>
              <w:rPr>
                <w:rFonts w:ascii="Calibri" w:eastAsia="Times New Roman" w:hAnsi="Calibri" w:cs="Times New Roman"/>
                <w:sz w:val="20"/>
                <w:szCs w:val="20"/>
                <w:lang w:eastAsia="en-AU"/>
              </w:rPr>
            </w:pPr>
            <w:r w:rsidRPr="00EB2092">
              <w:rPr>
                <w:rFonts w:ascii="Calibri" w:hAnsi="Calibri"/>
                <w:sz w:val="20"/>
                <w:szCs w:val="20"/>
              </w:rPr>
              <w:t>0.9</w:t>
            </w:r>
          </w:p>
        </w:tc>
        <w:tc>
          <w:tcPr>
            <w:tcW w:w="599" w:type="pct"/>
            <w:tcBorders>
              <w:top w:val="nil"/>
              <w:left w:val="nil"/>
              <w:bottom w:val="nil"/>
              <w:right w:val="single" w:sz="4" w:space="0" w:color="auto"/>
            </w:tcBorders>
            <w:shd w:val="clear" w:color="000000" w:fill="D2D9EA"/>
            <w:vAlign w:val="center"/>
            <w:hideMark/>
          </w:tcPr>
          <w:p w14:paraId="4B9F31DF" w14:textId="3E0146C8" w:rsidR="00BF2AFF" w:rsidRPr="00EB2092" w:rsidRDefault="00BF2AFF" w:rsidP="00207AE7">
            <w:pPr>
              <w:spacing w:line="240" w:lineRule="auto"/>
              <w:jc w:val="center"/>
              <w:rPr>
                <w:rFonts w:ascii="Calibri" w:eastAsia="Times New Roman" w:hAnsi="Calibri" w:cs="Times New Roman"/>
                <w:sz w:val="20"/>
                <w:szCs w:val="20"/>
                <w:lang w:eastAsia="en-AU"/>
              </w:rPr>
            </w:pPr>
            <w:r w:rsidRPr="00EB2092">
              <w:rPr>
                <w:rFonts w:ascii="Calibri" w:hAnsi="Calibri"/>
                <w:sz w:val="20"/>
                <w:szCs w:val="20"/>
              </w:rPr>
              <w:t>0.6</w:t>
            </w:r>
          </w:p>
        </w:tc>
        <w:tc>
          <w:tcPr>
            <w:tcW w:w="2383" w:type="pct"/>
            <w:tcBorders>
              <w:top w:val="nil"/>
              <w:left w:val="single" w:sz="4" w:space="0" w:color="auto"/>
              <w:bottom w:val="nil"/>
              <w:right w:val="single" w:sz="4" w:space="0" w:color="auto"/>
            </w:tcBorders>
            <w:shd w:val="clear" w:color="000000" w:fill="D2D9EA"/>
            <w:vAlign w:val="center"/>
            <w:hideMark/>
          </w:tcPr>
          <w:p w14:paraId="24FA0FDD" w14:textId="6AEA9AFE" w:rsidR="00BF2AFF" w:rsidRPr="00EB2092" w:rsidRDefault="00BF2AFF" w:rsidP="00207AE7">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 xml:space="preserve">Decreases overall, due to </w:t>
            </w:r>
            <w:r w:rsidR="00D316BF">
              <w:rPr>
                <w:rFonts w:ascii="Calibri" w:eastAsia="Times New Roman" w:hAnsi="Calibri" w:cs="Times New Roman"/>
                <w:color w:val="000000"/>
                <w:sz w:val="20"/>
                <w:szCs w:val="20"/>
                <w:lang w:eastAsia="en-AU"/>
              </w:rPr>
              <w:t xml:space="preserve">the </w:t>
            </w:r>
            <w:r w:rsidR="00D316BF" w:rsidRPr="008803F7">
              <w:rPr>
                <w:rFonts w:ascii="Calibri" w:eastAsia="Times New Roman" w:hAnsi="Calibri" w:cs="Times New Roman"/>
                <w:color w:val="000000"/>
                <w:sz w:val="20"/>
                <w:szCs w:val="20"/>
                <w:lang w:eastAsia="en-AU"/>
              </w:rPr>
              <w:t xml:space="preserve">assumed continuation of </w:t>
            </w:r>
            <w:r w:rsidR="00D316BF">
              <w:rPr>
                <w:rFonts w:ascii="Calibri" w:eastAsia="Times New Roman" w:hAnsi="Calibri" w:cs="Times New Roman"/>
                <w:color w:val="000000"/>
                <w:sz w:val="20"/>
                <w:szCs w:val="20"/>
                <w:lang w:eastAsia="en-AU"/>
              </w:rPr>
              <w:t xml:space="preserve">the </w:t>
            </w:r>
            <w:r w:rsidR="00D316BF" w:rsidRPr="008803F7">
              <w:rPr>
                <w:rFonts w:ascii="Calibri" w:eastAsia="Times New Roman" w:hAnsi="Calibri" w:cs="Times New Roman"/>
                <w:color w:val="000000"/>
                <w:sz w:val="20"/>
                <w:szCs w:val="20"/>
                <w:lang w:eastAsia="en-AU"/>
              </w:rPr>
              <w:t xml:space="preserve">trend decline in </w:t>
            </w:r>
            <w:r w:rsidR="00D316BF">
              <w:rPr>
                <w:rFonts w:ascii="Calibri" w:eastAsia="Times New Roman" w:hAnsi="Calibri" w:cs="Times New Roman"/>
                <w:color w:val="000000"/>
                <w:sz w:val="20"/>
                <w:szCs w:val="20"/>
                <w:lang w:eastAsia="en-AU"/>
              </w:rPr>
              <w:t xml:space="preserve">the </w:t>
            </w:r>
            <w:r w:rsidR="00D316BF" w:rsidRPr="008803F7">
              <w:rPr>
                <w:rFonts w:ascii="Calibri" w:eastAsia="Times New Roman" w:hAnsi="Calibri" w:cs="Times New Roman"/>
                <w:color w:val="000000"/>
                <w:sz w:val="20"/>
                <w:szCs w:val="20"/>
                <w:lang w:eastAsia="en-AU"/>
              </w:rPr>
              <w:t>use of this payment</w:t>
            </w:r>
            <w:r w:rsidRPr="00EB2092">
              <w:rPr>
                <w:rFonts w:ascii="Calibri" w:eastAsia="Times New Roman" w:hAnsi="Calibri" w:cs="Times New Roman"/>
                <w:color w:val="000000"/>
                <w:sz w:val="20"/>
                <w:szCs w:val="20"/>
                <w:lang w:eastAsia="en-AU"/>
              </w:rPr>
              <w:t>.</w:t>
            </w:r>
          </w:p>
        </w:tc>
      </w:tr>
      <w:tr w:rsidR="00BF2AFF" w:rsidRPr="00EB2092" w14:paraId="451C59C9" w14:textId="77777777" w:rsidTr="00572B63">
        <w:trPr>
          <w:trHeight w:val="323"/>
        </w:trPr>
        <w:tc>
          <w:tcPr>
            <w:tcW w:w="1421" w:type="pct"/>
            <w:tcBorders>
              <w:top w:val="nil"/>
              <w:left w:val="single" w:sz="4" w:space="0" w:color="auto"/>
              <w:bottom w:val="nil"/>
              <w:right w:val="single" w:sz="4" w:space="0" w:color="auto"/>
            </w:tcBorders>
            <w:shd w:val="clear" w:color="auto" w:fill="auto"/>
            <w:vAlign w:val="center"/>
            <w:hideMark/>
          </w:tcPr>
          <w:p w14:paraId="2387A19A" w14:textId="77777777" w:rsidR="00BF2AFF" w:rsidRPr="00EB2092" w:rsidRDefault="00BF2AFF" w:rsidP="00207AE7">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Family tax benefit</w:t>
            </w:r>
          </w:p>
        </w:tc>
        <w:tc>
          <w:tcPr>
            <w:tcW w:w="597" w:type="pct"/>
            <w:tcBorders>
              <w:top w:val="nil"/>
              <w:left w:val="single" w:sz="4" w:space="0" w:color="auto"/>
              <w:bottom w:val="nil"/>
              <w:right w:val="nil"/>
            </w:tcBorders>
            <w:shd w:val="clear" w:color="auto" w:fill="auto"/>
            <w:vAlign w:val="center"/>
            <w:hideMark/>
          </w:tcPr>
          <w:p w14:paraId="647225B1" w14:textId="5205399A" w:rsidR="00BF2AFF" w:rsidRPr="00EB2092" w:rsidRDefault="00BF2AFF" w:rsidP="00207AE7">
            <w:pPr>
              <w:spacing w:line="240" w:lineRule="auto"/>
              <w:jc w:val="center"/>
              <w:rPr>
                <w:rFonts w:ascii="Calibri" w:eastAsia="Times New Roman" w:hAnsi="Calibri" w:cs="Times New Roman"/>
                <w:sz w:val="20"/>
                <w:szCs w:val="20"/>
                <w:lang w:eastAsia="en-AU"/>
              </w:rPr>
            </w:pPr>
            <w:r w:rsidRPr="00EB2092">
              <w:rPr>
                <w:rFonts w:ascii="Calibri" w:hAnsi="Calibri"/>
                <w:sz w:val="20"/>
                <w:szCs w:val="20"/>
              </w:rPr>
              <w:t>0.9</w:t>
            </w:r>
          </w:p>
        </w:tc>
        <w:tc>
          <w:tcPr>
            <w:tcW w:w="599" w:type="pct"/>
            <w:tcBorders>
              <w:top w:val="nil"/>
              <w:left w:val="nil"/>
              <w:bottom w:val="nil"/>
              <w:right w:val="single" w:sz="4" w:space="0" w:color="auto"/>
            </w:tcBorders>
            <w:shd w:val="clear" w:color="auto" w:fill="auto"/>
            <w:vAlign w:val="center"/>
            <w:hideMark/>
          </w:tcPr>
          <w:p w14:paraId="0A1CEA78" w14:textId="2D7FA5B5" w:rsidR="00BF2AFF" w:rsidRPr="00EB2092" w:rsidRDefault="00BF2AFF" w:rsidP="00207AE7">
            <w:pPr>
              <w:spacing w:line="240" w:lineRule="auto"/>
              <w:jc w:val="center"/>
              <w:rPr>
                <w:rFonts w:ascii="Calibri" w:eastAsia="Times New Roman" w:hAnsi="Calibri" w:cs="Times New Roman"/>
                <w:sz w:val="20"/>
                <w:szCs w:val="20"/>
                <w:lang w:eastAsia="en-AU"/>
              </w:rPr>
            </w:pPr>
            <w:r w:rsidRPr="00EB2092">
              <w:rPr>
                <w:rFonts w:ascii="Calibri" w:hAnsi="Calibri"/>
                <w:sz w:val="20"/>
                <w:szCs w:val="20"/>
              </w:rPr>
              <w:t>0.6</w:t>
            </w:r>
          </w:p>
        </w:tc>
        <w:tc>
          <w:tcPr>
            <w:tcW w:w="2383" w:type="pct"/>
            <w:tcBorders>
              <w:top w:val="nil"/>
              <w:left w:val="single" w:sz="4" w:space="0" w:color="auto"/>
              <w:bottom w:val="nil"/>
              <w:right w:val="single" w:sz="4" w:space="0" w:color="auto"/>
            </w:tcBorders>
            <w:shd w:val="clear" w:color="auto" w:fill="auto"/>
            <w:vAlign w:val="center"/>
            <w:hideMark/>
          </w:tcPr>
          <w:p w14:paraId="50DCE3CF" w14:textId="77777777" w:rsidR="00BF2AFF" w:rsidRPr="00EB2092" w:rsidRDefault="00BF2AFF" w:rsidP="00207AE7">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Decreases in line with historical decrease due to bracket creep</w:t>
            </w:r>
          </w:p>
        </w:tc>
      </w:tr>
      <w:tr w:rsidR="00BF2AFF" w:rsidRPr="00EB2092" w14:paraId="4509E253" w14:textId="77777777" w:rsidTr="00572B63">
        <w:trPr>
          <w:trHeight w:val="323"/>
        </w:trPr>
        <w:tc>
          <w:tcPr>
            <w:tcW w:w="1421" w:type="pct"/>
            <w:tcBorders>
              <w:top w:val="nil"/>
              <w:left w:val="single" w:sz="4" w:space="0" w:color="auto"/>
              <w:bottom w:val="nil"/>
              <w:right w:val="single" w:sz="4" w:space="0" w:color="auto"/>
            </w:tcBorders>
            <w:shd w:val="clear" w:color="000000" w:fill="D2D9EA"/>
            <w:vAlign w:val="center"/>
            <w:hideMark/>
          </w:tcPr>
          <w:p w14:paraId="6BAD48D6" w14:textId="77777777" w:rsidR="00BF2AFF" w:rsidRPr="00EB2092" w:rsidRDefault="00BF2AFF" w:rsidP="00207AE7">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Carer income support</w:t>
            </w:r>
          </w:p>
        </w:tc>
        <w:tc>
          <w:tcPr>
            <w:tcW w:w="597" w:type="pct"/>
            <w:tcBorders>
              <w:top w:val="nil"/>
              <w:left w:val="single" w:sz="4" w:space="0" w:color="auto"/>
              <w:bottom w:val="nil"/>
              <w:right w:val="nil"/>
            </w:tcBorders>
            <w:shd w:val="clear" w:color="000000" w:fill="D2D9EA"/>
            <w:vAlign w:val="center"/>
            <w:hideMark/>
          </w:tcPr>
          <w:p w14:paraId="74C18341" w14:textId="1504E5A7" w:rsidR="00BF2AFF" w:rsidRPr="00EB2092" w:rsidRDefault="00BF2AFF" w:rsidP="00207AE7">
            <w:pPr>
              <w:spacing w:line="240" w:lineRule="auto"/>
              <w:jc w:val="center"/>
              <w:rPr>
                <w:rFonts w:ascii="Calibri" w:eastAsia="Times New Roman" w:hAnsi="Calibri" w:cs="Times New Roman"/>
                <w:sz w:val="20"/>
                <w:szCs w:val="20"/>
                <w:lang w:eastAsia="en-AU"/>
              </w:rPr>
            </w:pPr>
            <w:r w:rsidRPr="00EB2092">
              <w:rPr>
                <w:rFonts w:ascii="Calibri" w:hAnsi="Calibri"/>
                <w:sz w:val="20"/>
                <w:szCs w:val="20"/>
              </w:rPr>
              <w:t>0.5</w:t>
            </w:r>
          </w:p>
        </w:tc>
        <w:tc>
          <w:tcPr>
            <w:tcW w:w="599" w:type="pct"/>
            <w:tcBorders>
              <w:top w:val="nil"/>
              <w:left w:val="nil"/>
              <w:bottom w:val="nil"/>
              <w:right w:val="single" w:sz="4" w:space="0" w:color="auto"/>
            </w:tcBorders>
            <w:shd w:val="clear" w:color="000000" w:fill="D2D9EA"/>
            <w:vAlign w:val="center"/>
            <w:hideMark/>
          </w:tcPr>
          <w:p w14:paraId="3ED54F59" w14:textId="77EAE36C" w:rsidR="00BF2AFF" w:rsidRPr="00EB2092" w:rsidRDefault="00BF2AFF" w:rsidP="00207AE7">
            <w:pPr>
              <w:spacing w:line="240" w:lineRule="auto"/>
              <w:jc w:val="center"/>
              <w:rPr>
                <w:rFonts w:ascii="Calibri" w:eastAsia="Times New Roman" w:hAnsi="Calibri" w:cs="Times New Roman"/>
                <w:sz w:val="20"/>
                <w:szCs w:val="20"/>
                <w:lang w:eastAsia="en-AU"/>
              </w:rPr>
            </w:pPr>
            <w:r w:rsidRPr="00EB2092">
              <w:rPr>
                <w:rFonts w:ascii="Calibri" w:hAnsi="Calibri"/>
                <w:sz w:val="20"/>
                <w:szCs w:val="20"/>
              </w:rPr>
              <w:t>0.5</w:t>
            </w:r>
          </w:p>
        </w:tc>
        <w:tc>
          <w:tcPr>
            <w:tcW w:w="2383" w:type="pct"/>
            <w:tcBorders>
              <w:top w:val="nil"/>
              <w:left w:val="single" w:sz="4" w:space="0" w:color="auto"/>
              <w:bottom w:val="nil"/>
              <w:right w:val="single" w:sz="4" w:space="0" w:color="auto"/>
            </w:tcBorders>
            <w:shd w:val="clear" w:color="000000" w:fill="D2D9EA"/>
            <w:vAlign w:val="center"/>
            <w:hideMark/>
          </w:tcPr>
          <w:p w14:paraId="78613A63" w14:textId="45490433" w:rsidR="00BF2AFF" w:rsidRPr="00EB2092" w:rsidRDefault="00D316BF" w:rsidP="00207AE7">
            <w:pPr>
              <w:spacing w:line="240" w:lineRule="auto"/>
              <w:rPr>
                <w:rFonts w:ascii="Calibri" w:eastAsia="Times New Roman" w:hAnsi="Calibri" w:cs="Times New Roman"/>
                <w:color w:val="000000"/>
                <w:sz w:val="20"/>
                <w:szCs w:val="20"/>
                <w:lang w:eastAsia="en-AU"/>
              </w:rPr>
            </w:pPr>
            <w:r>
              <w:rPr>
                <w:rFonts w:ascii="Calibri" w:eastAsia="Times New Roman" w:hAnsi="Calibri" w:cs="Times New Roman"/>
                <w:color w:val="000000"/>
                <w:sz w:val="20"/>
                <w:szCs w:val="20"/>
                <w:lang w:eastAsia="en-AU"/>
              </w:rPr>
              <w:t>Broadly unchanged.</w:t>
            </w:r>
          </w:p>
        </w:tc>
      </w:tr>
      <w:tr w:rsidR="00BF2AFF" w:rsidRPr="00EB2092" w14:paraId="5DD3038B" w14:textId="77777777" w:rsidTr="00572B63">
        <w:trPr>
          <w:trHeight w:val="323"/>
        </w:trPr>
        <w:tc>
          <w:tcPr>
            <w:tcW w:w="1421" w:type="pct"/>
            <w:tcBorders>
              <w:top w:val="nil"/>
              <w:left w:val="single" w:sz="4" w:space="0" w:color="auto"/>
              <w:bottom w:val="nil"/>
              <w:right w:val="single" w:sz="4" w:space="0" w:color="auto"/>
            </w:tcBorders>
            <w:shd w:val="clear" w:color="auto" w:fill="auto"/>
            <w:vAlign w:val="center"/>
            <w:hideMark/>
          </w:tcPr>
          <w:p w14:paraId="273C5575" w14:textId="77777777" w:rsidR="00BF2AFF" w:rsidRPr="00EB2092" w:rsidRDefault="00BF2AFF" w:rsidP="00207AE7">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Income support for the unemployed</w:t>
            </w:r>
          </w:p>
        </w:tc>
        <w:tc>
          <w:tcPr>
            <w:tcW w:w="597" w:type="pct"/>
            <w:tcBorders>
              <w:top w:val="nil"/>
              <w:left w:val="single" w:sz="4" w:space="0" w:color="auto"/>
              <w:bottom w:val="nil"/>
              <w:right w:val="nil"/>
            </w:tcBorders>
            <w:shd w:val="clear" w:color="auto" w:fill="auto"/>
            <w:vAlign w:val="center"/>
            <w:hideMark/>
          </w:tcPr>
          <w:p w14:paraId="1AFED83A" w14:textId="0923A970" w:rsidR="00BF2AFF" w:rsidRPr="00EB2092" w:rsidRDefault="00BF2AFF" w:rsidP="00207AE7">
            <w:pPr>
              <w:spacing w:line="240" w:lineRule="auto"/>
              <w:jc w:val="center"/>
              <w:rPr>
                <w:rFonts w:ascii="Calibri" w:eastAsia="Times New Roman" w:hAnsi="Calibri" w:cs="Times New Roman"/>
                <w:sz w:val="20"/>
                <w:szCs w:val="20"/>
                <w:lang w:eastAsia="en-AU"/>
              </w:rPr>
            </w:pPr>
            <w:r w:rsidRPr="00EB2092">
              <w:rPr>
                <w:rFonts w:ascii="Calibri" w:hAnsi="Calibri"/>
                <w:sz w:val="20"/>
                <w:szCs w:val="20"/>
              </w:rPr>
              <w:t>0.5</w:t>
            </w:r>
          </w:p>
        </w:tc>
        <w:tc>
          <w:tcPr>
            <w:tcW w:w="599" w:type="pct"/>
            <w:tcBorders>
              <w:top w:val="nil"/>
              <w:left w:val="nil"/>
              <w:bottom w:val="nil"/>
              <w:right w:val="single" w:sz="4" w:space="0" w:color="auto"/>
            </w:tcBorders>
            <w:shd w:val="clear" w:color="auto" w:fill="auto"/>
            <w:vAlign w:val="center"/>
            <w:hideMark/>
          </w:tcPr>
          <w:p w14:paraId="3DB9ED7B" w14:textId="3827E343" w:rsidR="00BF2AFF" w:rsidRPr="00EB2092" w:rsidRDefault="00BF2AFF" w:rsidP="00207AE7">
            <w:pPr>
              <w:spacing w:line="240" w:lineRule="auto"/>
              <w:jc w:val="center"/>
              <w:rPr>
                <w:rFonts w:ascii="Calibri" w:eastAsia="Times New Roman" w:hAnsi="Calibri" w:cs="Times New Roman"/>
                <w:sz w:val="20"/>
                <w:szCs w:val="20"/>
                <w:lang w:eastAsia="en-AU"/>
              </w:rPr>
            </w:pPr>
            <w:r w:rsidRPr="00EB2092">
              <w:rPr>
                <w:rFonts w:ascii="Calibri" w:hAnsi="Calibri"/>
                <w:sz w:val="20"/>
                <w:szCs w:val="20"/>
              </w:rPr>
              <w:t>0.5</w:t>
            </w:r>
          </w:p>
        </w:tc>
        <w:tc>
          <w:tcPr>
            <w:tcW w:w="2383" w:type="pct"/>
            <w:tcBorders>
              <w:top w:val="nil"/>
              <w:left w:val="single" w:sz="4" w:space="0" w:color="auto"/>
              <w:bottom w:val="nil"/>
              <w:right w:val="single" w:sz="4" w:space="0" w:color="auto"/>
            </w:tcBorders>
            <w:shd w:val="clear" w:color="auto" w:fill="auto"/>
            <w:vAlign w:val="center"/>
            <w:hideMark/>
          </w:tcPr>
          <w:p w14:paraId="1E4BD264" w14:textId="77777777" w:rsidR="00BF2AFF" w:rsidRPr="00EB2092" w:rsidRDefault="00BF2AFF" w:rsidP="00207AE7">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Broadly unchanged.</w:t>
            </w:r>
          </w:p>
        </w:tc>
      </w:tr>
      <w:tr w:rsidR="00BF2AFF" w:rsidRPr="00EB2092" w14:paraId="1FD65670" w14:textId="77777777" w:rsidTr="00572B63">
        <w:trPr>
          <w:trHeight w:val="510"/>
        </w:trPr>
        <w:tc>
          <w:tcPr>
            <w:tcW w:w="1421" w:type="pct"/>
            <w:tcBorders>
              <w:top w:val="nil"/>
              <w:left w:val="single" w:sz="4" w:space="0" w:color="auto"/>
              <w:bottom w:val="nil"/>
              <w:right w:val="single" w:sz="4" w:space="0" w:color="auto"/>
            </w:tcBorders>
            <w:shd w:val="clear" w:color="000000" w:fill="D2D9EA"/>
            <w:vAlign w:val="center"/>
            <w:hideMark/>
          </w:tcPr>
          <w:p w14:paraId="033BD4B3" w14:textId="77777777" w:rsidR="00BF2AFF" w:rsidRPr="00EB2092" w:rsidRDefault="00BF2AFF" w:rsidP="00207AE7">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Child care</w:t>
            </w:r>
          </w:p>
        </w:tc>
        <w:tc>
          <w:tcPr>
            <w:tcW w:w="597" w:type="pct"/>
            <w:tcBorders>
              <w:top w:val="nil"/>
              <w:left w:val="single" w:sz="4" w:space="0" w:color="auto"/>
              <w:bottom w:val="nil"/>
              <w:right w:val="nil"/>
            </w:tcBorders>
            <w:shd w:val="clear" w:color="000000" w:fill="D2D9EA"/>
            <w:vAlign w:val="center"/>
            <w:hideMark/>
          </w:tcPr>
          <w:p w14:paraId="6A8196D9" w14:textId="6D46564E" w:rsidR="00BF2AFF" w:rsidRPr="00EB2092" w:rsidRDefault="00BF2AFF" w:rsidP="00207AE7">
            <w:pPr>
              <w:spacing w:line="240" w:lineRule="auto"/>
              <w:jc w:val="center"/>
              <w:rPr>
                <w:rFonts w:ascii="Calibri" w:eastAsia="Times New Roman" w:hAnsi="Calibri" w:cs="Times New Roman"/>
                <w:sz w:val="20"/>
                <w:szCs w:val="20"/>
                <w:lang w:eastAsia="en-AU"/>
              </w:rPr>
            </w:pPr>
            <w:r w:rsidRPr="00EB2092">
              <w:rPr>
                <w:rFonts w:ascii="Calibri" w:hAnsi="Calibri"/>
                <w:sz w:val="20"/>
                <w:szCs w:val="20"/>
              </w:rPr>
              <w:t>0.4</w:t>
            </w:r>
          </w:p>
        </w:tc>
        <w:tc>
          <w:tcPr>
            <w:tcW w:w="599" w:type="pct"/>
            <w:tcBorders>
              <w:top w:val="nil"/>
              <w:left w:val="nil"/>
              <w:bottom w:val="nil"/>
              <w:right w:val="single" w:sz="4" w:space="0" w:color="auto"/>
            </w:tcBorders>
            <w:shd w:val="clear" w:color="000000" w:fill="D2D9EA"/>
            <w:vAlign w:val="center"/>
            <w:hideMark/>
          </w:tcPr>
          <w:p w14:paraId="0884F2DB" w14:textId="3E69EDCA" w:rsidR="00BF2AFF" w:rsidRPr="00EB2092" w:rsidRDefault="00BF2AFF" w:rsidP="00207AE7">
            <w:pPr>
              <w:spacing w:line="240" w:lineRule="auto"/>
              <w:jc w:val="center"/>
              <w:rPr>
                <w:rFonts w:ascii="Calibri" w:eastAsia="Times New Roman" w:hAnsi="Calibri" w:cs="Times New Roman"/>
                <w:sz w:val="20"/>
                <w:szCs w:val="20"/>
                <w:lang w:eastAsia="en-AU"/>
              </w:rPr>
            </w:pPr>
            <w:r w:rsidRPr="00EB2092">
              <w:rPr>
                <w:rFonts w:ascii="Calibri" w:hAnsi="Calibri"/>
                <w:sz w:val="20"/>
                <w:szCs w:val="20"/>
              </w:rPr>
              <w:t>0.4</w:t>
            </w:r>
          </w:p>
        </w:tc>
        <w:tc>
          <w:tcPr>
            <w:tcW w:w="2383" w:type="pct"/>
            <w:tcBorders>
              <w:top w:val="nil"/>
              <w:left w:val="single" w:sz="4" w:space="0" w:color="auto"/>
              <w:bottom w:val="nil"/>
              <w:right w:val="single" w:sz="4" w:space="0" w:color="auto"/>
            </w:tcBorders>
            <w:shd w:val="clear" w:color="000000" w:fill="D2D9EA"/>
            <w:vAlign w:val="center"/>
            <w:hideMark/>
          </w:tcPr>
          <w:p w14:paraId="3F119037" w14:textId="1D32F105" w:rsidR="00BF2AFF" w:rsidRPr="00EB2092" w:rsidRDefault="00D316BF" w:rsidP="00207AE7">
            <w:pPr>
              <w:spacing w:line="240" w:lineRule="auto"/>
              <w:rPr>
                <w:rFonts w:ascii="Calibri" w:eastAsia="Times New Roman" w:hAnsi="Calibri" w:cs="Times New Roman"/>
                <w:color w:val="000000"/>
                <w:sz w:val="20"/>
                <w:szCs w:val="20"/>
                <w:lang w:eastAsia="en-AU"/>
              </w:rPr>
            </w:pPr>
            <w:r>
              <w:rPr>
                <w:rFonts w:ascii="Calibri" w:eastAsia="Times New Roman" w:hAnsi="Calibri" w:cs="Times New Roman"/>
                <w:color w:val="000000"/>
                <w:sz w:val="20"/>
                <w:szCs w:val="20"/>
                <w:lang w:eastAsia="en-AU"/>
              </w:rPr>
              <w:t>Broadly unchanged.</w:t>
            </w:r>
            <w:r w:rsidR="00BF2AFF" w:rsidRPr="00EB2092">
              <w:rPr>
                <w:rFonts w:ascii="Calibri" w:eastAsia="Times New Roman" w:hAnsi="Calibri" w:cs="Times New Roman"/>
                <w:color w:val="000000"/>
                <w:sz w:val="20"/>
                <w:szCs w:val="20"/>
                <w:lang w:eastAsia="en-AU"/>
              </w:rPr>
              <w:t> </w:t>
            </w:r>
          </w:p>
        </w:tc>
      </w:tr>
      <w:tr w:rsidR="00BF2AFF" w:rsidRPr="00EB2092" w14:paraId="0144610B" w14:textId="77777777" w:rsidTr="00572B63">
        <w:trPr>
          <w:trHeight w:val="323"/>
        </w:trPr>
        <w:tc>
          <w:tcPr>
            <w:tcW w:w="1421" w:type="pct"/>
            <w:tcBorders>
              <w:top w:val="nil"/>
              <w:left w:val="single" w:sz="4" w:space="0" w:color="auto"/>
              <w:bottom w:val="nil"/>
              <w:right w:val="single" w:sz="4" w:space="0" w:color="auto"/>
            </w:tcBorders>
            <w:shd w:val="clear" w:color="auto" w:fill="auto"/>
            <w:vAlign w:val="center"/>
            <w:hideMark/>
          </w:tcPr>
          <w:p w14:paraId="7CBED2F6" w14:textId="77777777" w:rsidR="00BF2AFF" w:rsidRPr="00EB2092" w:rsidRDefault="00BF2AFF" w:rsidP="00207AE7">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Government superannuation</w:t>
            </w:r>
          </w:p>
        </w:tc>
        <w:tc>
          <w:tcPr>
            <w:tcW w:w="597" w:type="pct"/>
            <w:tcBorders>
              <w:top w:val="nil"/>
              <w:left w:val="single" w:sz="4" w:space="0" w:color="auto"/>
              <w:bottom w:val="nil"/>
              <w:right w:val="nil"/>
            </w:tcBorders>
            <w:shd w:val="clear" w:color="auto" w:fill="auto"/>
            <w:vAlign w:val="center"/>
            <w:hideMark/>
          </w:tcPr>
          <w:p w14:paraId="73A44167" w14:textId="00D4372D" w:rsidR="00BF2AFF" w:rsidRPr="00EB2092" w:rsidRDefault="00BF2AFF" w:rsidP="00207AE7">
            <w:pPr>
              <w:spacing w:line="240" w:lineRule="auto"/>
              <w:jc w:val="center"/>
              <w:rPr>
                <w:rFonts w:ascii="Calibri" w:eastAsia="Times New Roman" w:hAnsi="Calibri" w:cs="Times New Roman"/>
                <w:sz w:val="20"/>
                <w:szCs w:val="20"/>
                <w:lang w:eastAsia="en-AU"/>
              </w:rPr>
            </w:pPr>
            <w:r w:rsidRPr="00EB2092">
              <w:rPr>
                <w:rFonts w:ascii="Calibri" w:hAnsi="Calibri"/>
                <w:sz w:val="20"/>
                <w:szCs w:val="20"/>
              </w:rPr>
              <w:t>0.4</w:t>
            </w:r>
          </w:p>
        </w:tc>
        <w:tc>
          <w:tcPr>
            <w:tcW w:w="599" w:type="pct"/>
            <w:tcBorders>
              <w:top w:val="nil"/>
              <w:left w:val="nil"/>
              <w:bottom w:val="nil"/>
              <w:right w:val="single" w:sz="4" w:space="0" w:color="auto"/>
            </w:tcBorders>
            <w:shd w:val="clear" w:color="auto" w:fill="auto"/>
            <w:vAlign w:val="center"/>
            <w:hideMark/>
          </w:tcPr>
          <w:p w14:paraId="7F6E1203" w14:textId="68557630" w:rsidR="00BF2AFF" w:rsidRPr="00EB2092" w:rsidRDefault="00BF2AFF" w:rsidP="00207AE7">
            <w:pPr>
              <w:spacing w:line="240" w:lineRule="auto"/>
              <w:jc w:val="center"/>
              <w:rPr>
                <w:rFonts w:ascii="Calibri" w:eastAsia="Times New Roman" w:hAnsi="Calibri" w:cs="Times New Roman"/>
                <w:sz w:val="20"/>
                <w:szCs w:val="20"/>
                <w:lang w:eastAsia="en-AU"/>
              </w:rPr>
            </w:pPr>
            <w:r w:rsidRPr="00EB2092">
              <w:rPr>
                <w:rFonts w:ascii="Calibri" w:hAnsi="Calibri"/>
                <w:sz w:val="20"/>
                <w:szCs w:val="20"/>
              </w:rPr>
              <w:t>0.4</w:t>
            </w:r>
          </w:p>
        </w:tc>
        <w:tc>
          <w:tcPr>
            <w:tcW w:w="2383" w:type="pct"/>
            <w:tcBorders>
              <w:top w:val="nil"/>
              <w:left w:val="single" w:sz="4" w:space="0" w:color="auto"/>
              <w:bottom w:val="nil"/>
              <w:right w:val="single" w:sz="4" w:space="0" w:color="auto"/>
            </w:tcBorders>
            <w:shd w:val="clear" w:color="auto" w:fill="auto"/>
            <w:vAlign w:val="center"/>
            <w:hideMark/>
          </w:tcPr>
          <w:p w14:paraId="0A6FE22C" w14:textId="77777777" w:rsidR="00BF2AFF" w:rsidRPr="00EB2092" w:rsidRDefault="00BF2AFF" w:rsidP="00207AE7">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Broadly unchanged.</w:t>
            </w:r>
          </w:p>
        </w:tc>
      </w:tr>
      <w:tr w:rsidR="00BF2AFF" w:rsidRPr="00EB2092" w14:paraId="3998C01C" w14:textId="77777777" w:rsidTr="00572B63">
        <w:trPr>
          <w:trHeight w:val="323"/>
        </w:trPr>
        <w:tc>
          <w:tcPr>
            <w:tcW w:w="1421" w:type="pct"/>
            <w:tcBorders>
              <w:top w:val="nil"/>
              <w:left w:val="single" w:sz="4" w:space="0" w:color="auto"/>
              <w:bottom w:val="nil"/>
              <w:right w:val="single" w:sz="4" w:space="0" w:color="auto"/>
            </w:tcBorders>
            <w:shd w:val="clear" w:color="000000" w:fill="D2D9EA"/>
            <w:vAlign w:val="center"/>
            <w:hideMark/>
          </w:tcPr>
          <w:p w14:paraId="374B992C" w14:textId="77777777" w:rsidR="00BF2AFF" w:rsidRPr="00EB2092" w:rsidRDefault="00BF2AFF" w:rsidP="00207AE7">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Fuel Tax Credit Scheme</w:t>
            </w:r>
          </w:p>
        </w:tc>
        <w:tc>
          <w:tcPr>
            <w:tcW w:w="597" w:type="pct"/>
            <w:tcBorders>
              <w:top w:val="nil"/>
              <w:left w:val="single" w:sz="4" w:space="0" w:color="auto"/>
              <w:bottom w:val="nil"/>
              <w:right w:val="nil"/>
            </w:tcBorders>
            <w:shd w:val="clear" w:color="000000" w:fill="D2D9EA"/>
            <w:vAlign w:val="center"/>
            <w:hideMark/>
          </w:tcPr>
          <w:p w14:paraId="2263C77A" w14:textId="31A3FC29" w:rsidR="00BF2AFF" w:rsidRPr="00EB2092" w:rsidRDefault="00BF2AFF" w:rsidP="00207AE7">
            <w:pPr>
              <w:spacing w:line="240" w:lineRule="auto"/>
              <w:jc w:val="center"/>
              <w:rPr>
                <w:rFonts w:ascii="Calibri" w:eastAsia="Times New Roman" w:hAnsi="Calibri" w:cs="Times New Roman"/>
                <w:sz w:val="20"/>
                <w:szCs w:val="20"/>
                <w:lang w:eastAsia="en-AU"/>
              </w:rPr>
            </w:pPr>
            <w:r w:rsidRPr="00EB2092">
              <w:rPr>
                <w:rFonts w:ascii="Calibri" w:hAnsi="Calibri"/>
                <w:sz w:val="20"/>
                <w:szCs w:val="20"/>
              </w:rPr>
              <w:t>0.4</w:t>
            </w:r>
          </w:p>
        </w:tc>
        <w:tc>
          <w:tcPr>
            <w:tcW w:w="599" w:type="pct"/>
            <w:tcBorders>
              <w:top w:val="nil"/>
              <w:left w:val="nil"/>
              <w:bottom w:val="nil"/>
              <w:right w:val="single" w:sz="4" w:space="0" w:color="auto"/>
            </w:tcBorders>
            <w:shd w:val="clear" w:color="000000" w:fill="D2D9EA"/>
            <w:vAlign w:val="center"/>
            <w:hideMark/>
          </w:tcPr>
          <w:p w14:paraId="68E86909" w14:textId="7B0D8556" w:rsidR="00BF2AFF" w:rsidRPr="00EB2092" w:rsidRDefault="00BF2AFF" w:rsidP="00207AE7">
            <w:pPr>
              <w:spacing w:line="240" w:lineRule="auto"/>
              <w:jc w:val="center"/>
              <w:rPr>
                <w:rFonts w:ascii="Calibri" w:eastAsia="Times New Roman" w:hAnsi="Calibri" w:cs="Times New Roman"/>
                <w:sz w:val="20"/>
                <w:szCs w:val="20"/>
                <w:lang w:eastAsia="en-AU"/>
              </w:rPr>
            </w:pPr>
            <w:r w:rsidRPr="00EB2092">
              <w:rPr>
                <w:rFonts w:ascii="Calibri" w:hAnsi="Calibri"/>
                <w:sz w:val="20"/>
                <w:szCs w:val="20"/>
              </w:rPr>
              <w:t>0.3</w:t>
            </w:r>
          </w:p>
        </w:tc>
        <w:tc>
          <w:tcPr>
            <w:tcW w:w="2383" w:type="pct"/>
            <w:tcBorders>
              <w:top w:val="nil"/>
              <w:left w:val="single" w:sz="4" w:space="0" w:color="auto"/>
              <w:bottom w:val="nil"/>
              <w:right w:val="single" w:sz="4" w:space="0" w:color="auto"/>
            </w:tcBorders>
            <w:shd w:val="clear" w:color="000000" w:fill="D2D9EA"/>
            <w:vAlign w:val="center"/>
            <w:hideMark/>
          </w:tcPr>
          <w:p w14:paraId="6F12A6E0" w14:textId="77777777" w:rsidR="00BF2AFF" w:rsidRPr="00EB2092" w:rsidRDefault="00BF2AFF" w:rsidP="00207AE7">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Broadly unchanged.</w:t>
            </w:r>
          </w:p>
        </w:tc>
      </w:tr>
      <w:tr w:rsidR="00BF2AFF" w:rsidRPr="00EB2092" w14:paraId="6654AA53" w14:textId="77777777" w:rsidTr="00572B63">
        <w:trPr>
          <w:trHeight w:val="510"/>
        </w:trPr>
        <w:tc>
          <w:tcPr>
            <w:tcW w:w="1421" w:type="pct"/>
            <w:tcBorders>
              <w:top w:val="nil"/>
              <w:left w:val="single" w:sz="4" w:space="0" w:color="auto"/>
              <w:bottom w:val="nil"/>
              <w:right w:val="single" w:sz="4" w:space="0" w:color="auto"/>
            </w:tcBorders>
            <w:shd w:val="clear" w:color="auto" w:fill="auto"/>
            <w:vAlign w:val="center"/>
            <w:hideMark/>
          </w:tcPr>
          <w:p w14:paraId="340EB8D5" w14:textId="77777777" w:rsidR="00BF2AFF" w:rsidRPr="00EB2092" w:rsidRDefault="00BF2AFF" w:rsidP="00207AE7">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Commonwealth Grants Scheme</w:t>
            </w:r>
          </w:p>
        </w:tc>
        <w:tc>
          <w:tcPr>
            <w:tcW w:w="597" w:type="pct"/>
            <w:tcBorders>
              <w:top w:val="nil"/>
              <w:left w:val="single" w:sz="4" w:space="0" w:color="auto"/>
              <w:bottom w:val="nil"/>
              <w:right w:val="nil"/>
            </w:tcBorders>
            <w:shd w:val="clear" w:color="auto" w:fill="auto"/>
            <w:vAlign w:val="center"/>
            <w:hideMark/>
          </w:tcPr>
          <w:p w14:paraId="68025BC0" w14:textId="50C12948" w:rsidR="00BF2AFF" w:rsidRPr="00EB2092" w:rsidRDefault="00BF2AFF" w:rsidP="00207AE7">
            <w:pPr>
              <w:spacing w:line="240" w:lineRule="auto"/>
              <w:jc w:val="center"/>
              <w:rPr>
                <w:rFonts w:ascii="Calibri" w:eastAsia="Times New Roman" w:hAnsi="Calibri" w:cs="Times New Roman"/>
                <w:sz w:val="20"/>
                <w:szCs w:val="20"/>
                <w:lang w:eastAsia="en-AU"/>
              </w:rPr>
            </w:pPr>
            <w:r w:rsidRPr="00EB2092">
              <w:rPr>
                <w:rFonts w:ascii="Calibri" w:hAnsi="Calibri"/>
                <w:sz w:val="20"/>
                <w:szCs w:val="20"/>
              </w:rPr>
              <w:t>0.4</w:t>
            </w:r>
          </w:p>
        </w:tc>
        <w:tc>
          <w:tcPr>
            <w:tcW w:w="599" w:type="pct"/>
            <w:tcBorders>
              <w:top w:val="nil"/>
              <w:left w:val="nil"/>
              <w:bottom w:val="nil"/>
              <w:right w:val="single" w:sz="4" w:space="0" w:color="auto"/>
            </w:tcBorders>
            <w:shd w:val="clear" w:color="auto" w:fill="auto"/>
            <w:vAlign w:val="center"/>
            <w:hideMark/>
          </w:tcPr>
          <w:p w14:paraId="3D86B3AF" w14:textId="1D597E5C" w:rsidR="00BF2AFF" w:rsidRPr="00EB2092" w:rsidRDefault="00BF2AFF" w:rsidP="00207AE7">
            <w:pPr>
              <w:spacing w:line="240" w:lineRule="auto"/>
              <w:jc w:val="center"/>
              <w:rPr>
                <w:rFonts w:ascii="Calibri" w:eastAsia="Times New Roman" w:hAnsi="Calibri" w:cs="Times New Roman"/>
                <w:sz w:val="20"/>
                <w:szCs w:val="20"/>
                <w:lang w:eastAsia="en-AU"/>
              </w:rPr>
            </w:pPr>
            <w:r w:rsidRPr="00EB2092">
              <w:rPr>
                <w:rFonts w:ascii="Calibri" w:hAnsi="Calibri"/>
                <w:sz w:val="20"/>
                <w:szCs w:val="20"/>
              </w:rPr>
              <w:t>0.3</w:t>
            </w:r>
          </w:p>
        </w:tc>
        <w:tc>
          <w:tcPr>
            <w:tcW w:w="2383" w:type="pct"/>
            <w:tcBorders>
              <w:top w:val="nil"/>
              <w:left w:val="single" w:sz="4" w:space="0" w:color="auto"/>
              <w:bottom w:val="nil"/>
              <w:right w:val="single" w:sz="4" w:space="0" w:color="auto"/>
            </w:tcBorders>
            <w:shd w:val="clear" w:color="auto" w:fill="auto"/>
            <w:vAlign w:val="center"/>
            <w:hideMark/>
          </w:tcPr>
          <w:p w14:paraId="14A3ADF1" w14:textId="77777777" w:rsidR="00BF2AFF" w:rsidRPr="00EB2092" w:rsidRDefault="00BF2AFF" w:rsidP="00207AE7">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Decreases slightly over the medium term as funding is indexed to growth in the CPI, which is lower than growth in GDP.</w:t>
            </w:r>
          </w:p>
        </w:tc>
      </w:tr>
      <w:tr w:rsidR="00BF2AFF" w:rsidRPr="00EB2092" w14:paraId="0D1D53A4" w14:textId="77777777" w:rsidTr="00572B63">
        <w:trPr>
          <w:trHeight w:val="510"/>
        </w:trPr>
        <w:tc>
          <w:tcPr>
            <w:tcW w:w="1421" w:type="pct"/>
            <w:tcBorders>
              <w:top w:val="nil"/>
              <w:left w:val="single" w:sz="4" w:space="0" w:color="auto"/>
              <w:bottom w:val="nil"/>
              <w:right w:val="single" w:sz="4" w:space="0" w:color="auto"/>
            </w:tcBorders>
            <w:shd w:val="clear" w:color="000000" w:fill="D2D9EA"/>
            <w:vAlign w:val="center"/>
            <w:hideMark/>
          </w:tcPr>
          <w:p w14:paraId="59171FB2" w14:textId="77777777" w:rsidR="00BF2AFF" w:rsidRPr="00EB2092" w:rsidRDefault="00BF2AFF" w:rsidP="00207AE7">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Private Health Insurance Rebate</w:t>
            </w:r>
          </w:p>
        </w:tc>
        <w:tc>
          <w:tcPr>
            <w:tcW w:w="597" w:type="pct"/>
            <w:tcBorders>
              <w:top w:val="nil"/>
              <w:left w:val="single" w:sz="4" w:space="0" w:color="auto"/>
              <w:bottom w:val="nil"/>
              <w:right w:val="nil"/>
            </w:tcBorders>
            <w:shd w:val="clear" w:color="000000" w:fill="D2D9EA"/>
            <w:vAlign w:val="center"/>
            <w:hideMark/>
          </w:tcPr>
          <w:p w14:paraId="42BF4CE4" w14:textId="0D5142AD" w:rsidR="00BF2AFF" w:rsidRPr="00EB2092" w:rsidRDefault="00BF2AFF" w:rsidP="00207AE7">
            <w:pPr>
              <w:spacing w:line="240" w:lineRule="auto"/>
              <w:jc w:val="center"/>
              <w:rPr>
                <w:rFonts w:ascii="Calibri" w:eastAsia="Times New Roman" w:hAnsi="Calibri" w:cs="Times New Roman"/>
                <w:sz w:val="20"/>
                <w:szCs w:val="20"/>
                <w:lang w:eastAsia="en-AU"/>
              </w:rPr>
            </w:pPr>
            <w:r w:rsidRPr="00EB2092">
              <w:rPr>
                <w:rFonts w:ascii="Calibri" w:hAnsi="Calibri"/>
                <w:sz w:val="20"/>
                <w:szCs w:val="20"/>
              </w:rPr>
              <w:t>0.3</w:t>
            </w:r>
          </w:p>
        </w:tc>
        <w:tc>
          <w:tcPr>
            <w:tcW w:w="599" w:type="pct"/>
            <w:tcBorders>
              <w:top w:val="nil"/>
              <w:left w:val="nil"/>
              <w:bottom w:val="nil"/>
              <w:right w:val="single" w:sz="4" w:space="0" w:color="auto"/>
            </w:tcBorders>
            <w:shd w:val="clear" w:color="000000" w:fill="D2D9EA"/>
            <w:vAlign w:val="center"/>
            <w:hideMark/>
          </w:tcPr>
          <w:p w14:paraId="3FF58D30" w14:textId="0177A39E" w:rsidR="00BF2AFF" w:rsidRPr="00EB2092" w:rsidRDefault="00BF2AFF" w:rsidP="00207AE7">
            <w:pPr>
              <w:spacing w:line="240" w:lineRule="auto"/>
              <w:jc w:val="center"/>
              <w:rPr>
                <w:rFonts w:ascii="Calibri" w:eastAsia="Times New Roman" w:hAnsi="Calibri" w:cs="Times New Roman"/>
                <w:sz w:val="20"/>
                <w:szCs w:val="20"/>
                <w:lang w:eastAsia="en-AU"/>
              </w:rPr>
            </w:pPr>
            <w:r w:rsidRPr="00EB2092">
              <w:rPr>
                <w:rFonts w:ascii="Calibri" w:hAnsi="Calibri"/>
                <w:sz w:val="20"/>
                <w:szCs w:val="20"/>
              </w:rPr>
              <w:t>0.3</w:t>
            </w:r>
          </w:p>
        </w:tc>
        <w:tc>
          <w:tcPr>
            <w:tcW w:w="2383" w:type="pct"/>
            <w:tcBorders>
              <w:top w:val="nil"/>
              <w:left w:val="single" w:sz="4" w:space="0" w:color="auto"/>
              <w:bottom w:val="nil"/>
              <w:right w:val="single" w:sz="4" w:space="0" w:color="auto"/>
            </w:tcBorders>
            <w:shd w:val="clear" w:color="000000" w:fill="D2D9EA"/>
            <w:vAlign w:val="center"/>
            <w:hideMark/>
          </w:tcPr>
          <w:p w14:paraId="63068B5D" w14:textId="46551426" w:rsidR="00BF2AFF" w:rsidRPr="00EB2092" w:rsidRDefault="00BF2AFF" w:rsidP="00207AE7">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 xml:space="preserve">Decreases slightly overall, due to the </w:t>
            </w:r>
            <w:r w:rsidR="00D316BF">
              <w:rPr>
                <w:rFonts w:ascii="Calibri" w:eastAsia="Times New Roman" w:hAnsi="Calibri" w:cs="Times New Roman"/>
                <w:color w:val="000000"/>
                <w:sz w:val="20"/>
                <w:szCs w:val="20"/>
                <w:lang w:eastAsia="en-AU"/>
              </w:rPr>
              <w:t xml:space="preserve">assumed continuation of the </w:t>
            </w:r>
            <w:r w:rsidRPr="00EB2092">
              <w:rPr>
                <w:rFonts w:ascii="Calibri" w:eastAsia="Times New Roman" w:hAnsi="Calibri" w:cs="Times New Roman"/>
                <w:color w:val="000000"/>
                <w:sz w:val="20"/>
                <w:szCs w:val="20"/>
                <w:lang w:eastAsia="en-AU"/>
              </w:rPr>
              <w:t xml:space="preserve">slight </w:t>
            </w:r>
            <w:r w:rsidR="00D316BF">
              <w:rPr>
                <w:rFonts w:ascii="Calibri" w:eastAsia="Times New Roman" w:hAnsi="Calibri" w:cs="Times New Roman"/>
                <w:color w:val="000000"/>
                <w:sz w:val="20"/>
                <w:szCs w:val="20"/>
                <w:lang w:eastAsia="en-AU"/>
              </w:rPr>
              <w:t xml:space="preserve">historical </w:t>
            </w:r>
            <w:r w:rsidRPr="00EB2092">
              <w:rPr>
                <w:rFonts w:ascii="Calibri" w:eastAsia="Times New Roman" w:hAnsi="Calibri" w:cs="Times New Roman"/>
                <w:color w:val="000000"/>
                <w:sz w:val="20"/>
                <w:szCs w:val="20"/>
                <w:lang w:eastAsia="en-AU"/>
              </w:rPr>
              <w:t xml:space="preserve">trend decline in </w:t>
            </w:r>
            <w:r w:rsidR="00D316BF">
              <w:rPr>
                <w:rFonts w:ascii="Calibri" w:eastAsia="Times New Roman" w:hAnsi="Calibri" w:cs="Times New Roman"/>
                <w:color w:val="000000"/>
                <w:sz w:val="20"/>
                <w:szCs w:val="20"/>
                <w:lang w:eastAsia="en-AU"/>
              </w:rPr>
              <w:t xml:space="preserve">the </w:t>
            </w:r>
            <w:r w:rsidRPr="00EB2092">
              <w:rPr>
                <w:rFonts w:ascii="Calibri" w:eastAsia="Times New Roman" w:hAnsi="Calibri" w:cs="Times New Roman"/>
                <w:color w:val="000000"/>
                <w:sz w:val="20"/>
                <w:szCs w:val="20"/>
                <w:lang w:eastAsia="en-AU"/>
              </w:rPr>
              <w:t xml:space="preserve">coverage ratio </w:t>
            </w:r>
            <w:r w:rsidR="00D316BF">
              <w:rPr>
                <w:rFonts w:ascii="Calibri" w:eastAsia="Times New Roman" w:hAnsi="Calibri" w:cs="Times New Roman"/>
                <w:color w:val="000000"/>
                <w:sz w:val="20"/>
                <w:szCs w:val="20"/>
                <w:lang w:eastAsia="en-AU"/>
              </w:rPr>
              <w:t>over</w:t>
            </w:r>
            <w:r w:rsidRPr="00EB2092">
              <w:rPr>
                <w:rFonts w:ascii="Calibri" w:eastAsia="Times New Roman" w:hAnsi="Calibri" w:cs="Times New Roman"/>
                <w:color w:val="000000"/>
                <w:sz w:val="20"/>
                <w:szCs w:val="20"/>
                <w:lang w:eastAsia="en-AU"/>
              </w:rPr>
              <w:t xml:space="preserve"> the last 10 years. </w:t>
            </w:r>
          </w:p>
        </w:tc>
      </w:tr>
      <w:tr w:rsidR="00BF2AFF" w:rsidRPr="00EB2092" w14:paraId="0B121BD5" w14:textId="77777777" w:rsidTr="00572B63">
        <w:trPr>
          <w:trHeight w:val="323"/>
        </w:trPr>
        <w:tc>
          <w:tcPr>
            <w:tcW w:w="1421" w:type="pct"/>
            <w:tcBorders>
              <w:top w:val="nil"/>
              <w:left w:val="single" w:sz="4" w:space="0" w:color="auto"/>
              <w:bottom w:val="nil"/>
              <w:right w:val="single" w:sz="4" w:space="0" w:color="auto"/>
            </w:tcBorders>
            <w:shd w:val="clear" w:color="auto" w:fill="auto"/>
            <w:vAlign w:val="center"/>
            <w:hideMark/>
          </w:tcPr>
          <w:p w14:paraId="391E80C9" w14:textId="77777777" w:rsidR="00BF2AFF" w:rsidRPr="00EB2092" w:rsidRDefault="00BF2AFF" w:rsidP="00207AE7">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Road and rail infrastructure</w:t>
            </w:r>
          </w:p>
        </w:tc>
        <w:tc>
          <w:tcPr>
            <w:tcW w:w="597" w:type="pct"/>
            <w:tcBorders>
              <w:top w:val="nil"/>
              <w:left w:val="single" w:sz="4" w:space="0" w:color="auto"/>
              <w:bottom w:val="nil"/>
              <w:right w:val="nil"/>
            </w:tcBorders>
            <w:shd w:val="clear" w:color="auto" w:fill="auto"/>
            <w:vAlign w:val="center"/>
            <w:hideMark/>
          </w:tcPr>
          <w:p w14:paraId="4FD0A491" w14:textId="65CCA3C9" w:rsidR="00BF2AFF" w:rsidRPr="00EB2092" w:rsidRDefault="00BF2AFF" w:rsidP="00207AE7">
            <w:pPr>
              <w:spacing w:line="240" w:lineRule="auto"/>
              <w:jc w:val="center"/>
              <w:rPr>
                <w:rFonts w:ascii="Calibri" w:eastAsia="Times New Roman" w:hAnsi="Calibri" w:cs="Times New Roman"/>
                <w:sz w:val="20"/>
                <w:szCs w:val="20"/>
                <w:lang w:eastAsia="en-AU"/>
              </w:rPr>
            </w:pPr>
            <w:r w:rsidRPr="00EB2092">
              <w:rPr>
                <w:rFonts w:ascii="Calibri" w:hAnsi="Calibri"/>
                <w:sz w:val="20"/>
                <w:szCs w:val="20"/>
              </w:rPr>
              <w:t>0.3</w:t>
            </w:r>
          </w:p>
        </w:tc>
        <w:tc>
          <w:tcPr>
            <w:tcW w:w="599" w:type="pct"/>
            <w:tcBorders>
              <w:top w:val="nil"/>
              <w:left w:val="nil"/>
              <w:bottom w:val="nil"/>
              <w:right w:val="single" w:sz="4" w:space="0" w:color="auto"/>
            </w:tcBorders>
            <w:shd w:val="clear" w:color="auto" w:fill="auto"/>
            <w:vAlign w:val="center"/>
            <w:hideMark/>
          </w:tcPr>
          <w:p w14:paraId="12461C61" w14:textId="76B4497B" w:rsidR="00BF2AFF" w:rsidRPr="00EB2092" w:rsidRDefault="00BF2AFF" w:rsidP="00207AE7">
            <w:pPr>
              <w:spacing w:line="240" w:lineRule="auto"/>
              <w:jc w:val="center"/>
              <w:rPr>
                <w:rFonts w:ascii="Calibri" w:eastAsia="Times New Roman" w:hAnsi="Calibri" w:cs="Times New Roman"/>
                <w:sz w:val="20"/>
                <w:szCs w:val="20"/>
                <w:lang w:eastAsia="en-AU"/>
              </w:rPr>
            </w:pPr>
            <w:r w:rsidRPr="00EB2092">
              <w:rPr>
                <w:rFonts w:ascii="Calibri" w:hAnsi="Calibri"/>
                <w:sz w:val="20"/>
                <w:szCs w:val="20"/>
              </w:rPr>
              <w:t>0.3</w:t>
            </w:r>
          </w:p>
        </w:tc>
        <w:tc>
          <w:tcPr>
            <w:tcW w:w="2383" w:type="pct"/>
            <w:tcBorders>
              <w:top w:val="nil"/>
              <w:left w:val="single" w:sz="4" w:space="0" w:color="auto"/>
              <w:bottom w:val="nil"/>
              <w:right w:val="single" w:sz="4" w:space="0" w:color="auto"/>
            </w:tcBorders>
            <w:shd w:val="clear" w:color="auto" w:fill="auto"/>
            <w:vAlign w:val="center"/>
            <w:hideMark/>
          </w:tcPr>
          <w:p w14:paraId="46A034B0" w14:textId="77777777" w:rsidR="00BF2AFF" w:rsidRPr="00EB2092" w:rsidRDefault="00BF2AFF" w:rsidP="00207AE7">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Broadly unchanged.</w:t>
            </w:r>
          </w:p>
        </w:tc>
      </w:tr>
      <w:tr w:rsidR="00BF2AFF" w:rsidRPr="00EB2092" w14:paraId="0D493C2C" w14:textId="77777777" w:rsidTr="00920F4B">
        <w:trPr>
          <w:trHeight w:val="755"/>
        </w:trPr>
        <w:tc>
          <w:tcPr>
            <w:tcW w:w="1421" w:type="pct"/>
            <w:tcBorders>
              <w:top w:val="nil"/>
              <w:left w:val="single" w:sz="4" w:space="0" w:color="auto"/>
              <w:right w:val="single" w:sz="4" w:space="0" w:color="auto"/>
            </w:tcBorders>
            <w:shd w:val="clear" w:color="000000" w:fill="D2D9EA"/>
            <w:vAlign w:val="center"/>
            <w:hideMark/>
          </w:tcPr>
          <w:p w14:paraId="50C27054" w14:textId="77777777" w:rsidR="00BF2AFF" w:rsidRPr="00EB2092" w:rsidRDefault="00BF2AFF" w:rsidP="00207AE7">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Parenting payments</w:t>
            </w:r>
          </w:p>
        </w:tc>
        <w:tc>
          <w:tcPr>
            <w:tcW w:w="597" w:type="pct"/>
            <w:tcBorders>
              <w:top w:val="nil"/>
              <w:left w:val="single" w:sz="4" w:space="0" w:color="auto"/>
              <w:right w:val="nil"/>
            </w:tcBorders>
            <w:shd w:val="clear" w:color="000000" w:fill="D2D9EA"/>
            <w:vAlign w:val="center"/>
            <w:hideMark/>
          </w:tcPr>
          <w:p w14:paraId="0C23CF92" w14:textId="7D73FBD3" w:rsidR="00BF2AFF" w:rsidRPr="00EB2092" w:rsidRDefault="00BF2AFF" w:rsidP="00207AE7">
            <w:pPr>
              <w:spacing w:line="240" w:lineRule="auto"/>
              <w:jc w:val="center"/>
              <w:rPr>
                <w:rFonts w:ascii="Calibri" w:eastAsia="Times New Roman" w:hAnsi="Calibri" w:cs="Times New Roman"/>
                <w:sz w:val="20"/>
                <w:szCs w:val="20"/>
                <w:lang w:eastAsia="en-AU"/>
              </w:rPr>
            </w:pPr>
            <w:r w:rsidRPr="00EB2092">
              <w:rPr>
                <w:rFonts w:ascii="Calibri" w:hAnsi="Calibri"/>
                <w:sz w:val="20"/>
                <w:szCs w:val="20"/>
              </w:rPr>
              <w:t>0.3</w:t>
            </w:r>
          </w:p>
        </w:tc>
        <w:tc>
          <w:tcPr>
            <w:tcW w:w="599" w:type="pct"/>
            <w:tcBorders>
              <w:top w:val="nil"/>
              <w:left w:val="nil"/>
              <w:right w:val="single" w:sz="4" w:space="0" w:color="auto"/>
            </w:tcBorders>
            <w:shd w:val="clear" w:color="000000" w:fill="D2D9EA"/>
            <w:vAlign w:val="center"/>
            <w:hideMark/>
          </w:tcPr>
          <w:p w14:paraId="54DEDEAB" w14:textId="6590CF80" w:rsidR="00BF2AFF" w:rsidRPr="00EB2092" w:rsidRDefault="00BF2AFF" w:rsidP="00207AE7">
            <w:pPr>
              <w:spacing w:line="240" w:lineRule="auto"/>
              <w:jc w:val="center"/>
              <w:rPr>
                <w:rFonts w:ascii="Calibri" w:eastAsia="Times New Roman" w:hAnsi="Calibri" w:cs="Times New Roman"/>
                <w:sz w:val="20"/>
                <w:szCs w:val="20"/>
                <w:lang w:eastAsia="en-AU"/>
              </w:rPr>
            </w:pPr>
            <w:r w:rsidRPr="00EB2092">
              <w:rPr>
                <w:rFonts w:ascii="Calibri" w:hAnsi="Calibri"/>
                <w:sz w:val="20"/>
                <w:szCs w:val="20"/>
              </w:rPr>
              <w:t>0.2</w:t>
            </w:r>
          </w:p>
        </w:tc>
        <w:tc>
          <w:tcPr>
            <w:tcW w:w="2383" w:type="pct"/>
            <w:tcBorders>
              <w:top w:val="nil"/>
              <w:left w:val="single" w:sz="4" w:space="0" w:color="auto"/>
              <w:right w:val="single" w:sz="4" w:space="0" w:color="auto"/>
            </w:tcBorders>
            <w:shd w:val="clear" w:color="000000" w:fill="D2D9EA"/>
            <w:vAlign w:val="center"/>
            <w:hideMark/>
          </w:tcPr>
          <w:p w14:paraId="1F1F428F" w14:textId="49E0DACC" w:rsidR="00BF2AFF" w:rsidRPr="00EB2092" w:rsidRDefault="00BF2AFF" w:rsidP="00D316BF">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Decreases slightly overall, reflecting</w:t>
            </w:r>
            <w:r w:rsidR="00D316BF">
              <w:rPr>
                <w:color w:val="000000"/>
                <w:sz w:val="20"/>
                <w:szCs w:val="20"/>
                <w:lang w:eastAsia="en-AU"/>
              </w:rPr>
              <w:t xml:space="preserve"> continuation of historical trend decline in </w:t>
            </w:r>
            <w:proofErr w:type="gramStart"/>
            <w:r w:rsidR="00D316BF">
              <w:rPr>
                <w:color w:val="000000"/>
                <w:sz w:val="20"/>
                <w:szCs w:val="20"/>
                <w:lang w:eastAsia="en-AU"/>
              </w:rPr>
              <w:t xml:space="preserve">uptake </w:t>
            </w:r>
            <w:r w:rsidRPr="00EB2092">
              <w:rPr>
                <w:rFonts w:ascii="Calibri" w:eastAsia="Times New Roman" w:hAnsi="Calibri" w:cs="Times New Roman"/>
                <w:color w:val="000000"/>
                <w:sz w:val="20"/>
                <w:szCs w:val="20"/>
                <w:lang w:eastAsia="en-AU"/>
              </w:rPr>
              <w:t xml:space="preserve"> and</w:t>
            </w:r>
            <w:proofErr w:type="gramEnd"/>
            <w:r w:rsidRPr="00EB2092">
              <w:rPr>
                <w:rFonts w:ascii="Calibri" w:eastAsia="Times New Roman" w:hAnsi="Calibri" w:cs="Times New Roman"/>
                <w:color w:val="000000"/>
                <w:sz w:val="20"/>
                <w:szCs w:val="20"/>
                <w:lang w:eastAsia="en-AU"/>
              </w:rPr>
              <w:t xml:space="preserve"> lower expected population growth. </w:t>
            </w:r>
          </w:p>
        </w:tc>
      </w:tr>
      <w:tr w:rsidR="00BF2AFF" w:rsidRPr="00EB2092" w14:paraId="5306F13A" w14:textId="77777777" w:rsidTr="00572B63">
        <w:trPr>
          <w:trHeight w:val="510"/>
        </w:trPr>
        <w:tc>
          <w:tcPr>
            <w:tcW w:w="1421" w:type="pct"/>
            <w:tcBorders>
              <w:top w:val="nil"/>
              <w:left w:val="single" w:sz="4" w:space="0" w:color="auto"/>
              <w:bottom w:val="single" w:sz="4" w:space="0" w:color="auto"/>
              <w:right w:val="single" w:sz="4" w:space="0" w:color="auto"/>
            </w:tcBorders>
            <w:shd w:val="clear" w:color="auto" w:fill="auto"/>
            <w:vAlign w:val="center"/>
            <w:hideMark/>
          </w:tcPr>
          <w:p w14:paraId="4D961DC1" w14:textId="77777777" w:rsidR="00BF2AFF" w:rsidRPr="00EB2092" w:rsidRDefault="00BF2AFF" w:rsidP="00207AE7">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Official Development Assistance</w:t>
            </w:r>
          </w:p>
        </w:tc>
        <w:tc>
          <w:tcPr>
            <w:tcW w:w="597" w:type="pct"/>
            <w:tcBorders>
              <w:top w:val="nil"/>
              <w:left w:val="single" w:sz="4" w:space="0" w:color="auto"/>
              <w:bottom w:val="single" w:sz="4" w:space="0" w:color="auto"/>
              <w:right w:val="nil"/>
            </w:tcBorders>
            <w:shd w:val="clear" w:color="auto" w:fill="auto"/>
            <w:vAlign w:val="center"/>
            <w:hideMark/>
          </w:tcPr>
          <w:p w14:paraId="0FBC31F1" w14:textId="7F755975" w:rsidR="00BF2AFF" w:rsidRPr="00EB2092" w:rsidRDefault="00BF2AFF" w:rsidP="00207AE7">
            <w:pPr>
              <w:spacing w:line="240" w:lineRule="auto"/>
              <w:jc w:val="center"/>
              <w:rPr>
                <w:rFonts w:ascii="Calibri" w:eastAsia="Times New Roman" w:hAnsi="Calibri" w:cs="Times New Roman"/>
                <w:sz w:val="20"/>
                <w:szCs w:val="20"/>
                <w:lang w:eastAsia="en-AU"/>
              </w:rPr>
            </w:pPr>
            <w:r w:rsidRPr="00EB2092">
              <w:rPr>
                <w:rFonts w:ascii="Calibri" w:hAnsi="Calibri"/>
                <w:sz w:val="20"/>
                <w:szCs w:val="20"/>
              </w:rPr>
              <w:t>0.2</w:t>
            </w:r>
          </w:p>
        </w:tc>
        <w:tc>
          <w:tcPr>
            <w:tcW w:w="599" w:type="pct"/>
            <w:tcBorders>
              <w:top w:val="nil"/>
              <w:left w:val="nil"/>
              <w:bottom w:val="single" w:sz="4" w:space="0" w:color="auto"/>
              <w:right w:val="single" w:sz="4" w:space="0" w:color="auto"/>
            </w:tcBorders>
            <w:shd w:val="clear" w:color="auto" w:fill="auto"/>
            <w:vAlign w:val="center"/>
            <w:hideMark/>
          </w:tcPr>
          <w:p w14:paraId="41D49B08" w14:textId="53F5D64A" w:rsidR="00BF2AFF" w:rsidRPr="00EB2092" w:rsidRDefault="00BF2AFF" w:rsidP="00207AE7">
            <w:pPr>
              <w:spacing w:line="240" w:lineRule="auto"/>
              <w:jc w:val="center"/>
              <w:rPr>
                <w:rFonts w:ascii="Calibri" w:eastAsia="Times New Roman" w:hAnsi="Calibri" w:cs="Times New Roman"/>
                <w:sz w:val="20"/>
                <w:szCs w:val="20"/>
                <w:lang w:eastAsia="en-AU"/>
              </w:rPr>
            </w:pPr>
            <w:r w:rsidRPr="00EB2092">
              <w:rPr>
                <w:rFonts w:ascii="Calibri" w:hAnsi="Calibri"/>
                <w:sz w:val="20"/>
                <w:szCs w:val="20"/>
              </w:rPr>
              <w:t>0.2</w:t>
            </w:r>
          </w:p>
        </w:tc>
        <w:tc>
          <w:tcPr>
            <w:tcW w:w="2383" w:type="pct"/>
            <w:tcBorders>
              <w:top w:val="nil"/>
              <w:left w:val="single" w:sz="4" w:space="0" w:color="auto"/>
              <w:bottom w:val="single" w:sz="4" w:space="0" w:color="auto"/>
              <w:right w:val="single" w:sz="4" w:space="0" w:color="auto"/>
            </w:tcBorders>
            <w:shd w:val="clear" w:color="auto" w:fill="auto"/>
            <w:vAlign w:val="center"/>
            <w:hideMark/>
          </w:tcPr>
          <w:p w14:paraId="4DBC7CA7" w14:textId="161990A6" w:rsidR="00BF2AFF" w:rsidRPr="00EB2092" w:rsidRDefault="00D316BF" w:rsidP="00207AE7">
            <w:pPr>
              <w:spacing w:line="240" w:lineRule="auto"/>
              <w:rPr>
                <w:rFonts w:ascii="Calibri" w:eastAsia="Times New Roman" w:hAnsi="Calibri" w:cs="Times New Roman"/>
                <w:color w:val="000000"/>
                <w:sz w:val="20"/>
                <w:szCs w:val="20"/>
                <w:lang w:eastAsia="en-AU"/>
              </w:rPr>
            </w:pPr>
            <w:r>
              <w:rPr>
                <w:rFonts w:ascii="Calibri" w:eastAsia="Times New Roman" w:hAnsi="Calibri" w:cs="Times New Roman"/>
                <w:color w:val="000000"/>
                <w:sz w:val="20"/>
                <w:szCs w:val="20"/>
                <w:lang w:eastAsia="en-AU"/>
              </w:rPr>
              <w:t>Broadly unchanged.</w:t>
            </w:r>
            <w:r w:rsidR="00BF2AFF" w:rsidRPr="00EB2092">
              <w:rPr>
                <w:rFonts w:ascii="Calibri" w:eastAsia="Times New Roman" w:hAnsi="Calibri" w:cs="Times New Roman"/>
                <w:color w:val="000000"/>
                <w:sz w:val="20"/>
                <w:szCs w:val="20"/>
                <w:lang w:eastAsia="en-AU"/>
              </w:rPr>
              <w:t xml:space="preserve"> </w:t>
            </w:r>
          </w:p>
        </w:tc>
      </w:tr>
      <w:tr w:rsidR="00BF2AFF" w:rsidRPr="00EB2092" w14:paraId="7DCC999E" w14:textId="77777777" w:rsidTr="00572B63">
        <w:trPr>
          <w:trHeight w:val="510"/>
        </w:trPr>
        <w:tc>
          <w:tcPr>
            <w:tcW w:w="1421" w:type="pct"/>
            <w:tcBorders>
              <w:top w:val="single" w:sz="4" w:space="0" w:color="auto"/>
              <w:left w:val="single" w:sz="4" w:space="0" w:color="auto"/>
              <w:bottom w:val="nil"/>
              <w:right w:val="single" w:sz="4" w:space="0" w:color="auto"/>
            </w:tcBorders>
            <w:shd w:val="clear" w:color="000000" w:fill="D2D9EA"/>
            <w:vAlign w:val="center"/>
            <w:hideMark/>
          </w:tcPr>
          <w:p w14:paraId="4C6120C0" w14:textId="77777777" w:rsidR="00BF2AFF" w:rsidRPr="00EB2092" w:rsidRDefault="00BF2AFF" w:rsidP="00207AE7">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lastRenderedPageBreak/>
              <w:t>Veterans support</w:t>
            </w:r>
          </w:p>
        </w:tc>
        <w:tc>
          <w:tcPr>
            <w:tcW w:w="597" w:type="pct"/>
            <w:tcBorders>
              <w:top w:val="single" w:sz="4" w:space="0" w:color="auto"/>
              <w:left w:val="single" w:sz="4" w:space="0" w:color="auto"/>
              <w:bottom w:val="nil"/>
              <w:right w:val="nil"/>
            </w:tcBorders>
            <w:shd w:val="clear" w:color="000000" w:fill="D2D9EA"/>
            <w:vAlign w:val="center"/>
            <w:hideMark/>
          </w:tcPr>
          <w:p w14:paraId="54F8B314" w14:textId="192AA73B" w:rsidR="00BF2AFF" w:rsidRPr="00EB2092" w:rsidRDefault="00BF2AFF" w:rsidP="00207AE7">
            <w:pPr>
              <w:spacing w:line="240" w:lineRule="auto"/>
              <w:jc w:val="center"/>
              <w:rPr>
                <w:rFonts w:ascii="Calibri" w:eastAsia="Times New Roman" w:hAnsi="Calibri" w:cs="Times New Roman"/>
                <w:sz w:val="20"/>
                <w:szCs w:val="20"/>
                <w:lang w:eastAsia="en-AU"/>
              </w:rPr>
            </w:pPr>
            <w:r w:rsidRPr="00EB2092">
              <w:rPr>
                <w:rFonts w:ascii="Calibri" w:hAnsi="Calibri"/>
                <w:sz w:val="20"/>
                <w:szCs w:val="20"/>
              </w:rPr>
              <w:t>0.3</w:t>
            </w:r>
          </w:p>
        </w:tc>
        <w:tc>
          <w:tcPr>
            <w:tcW w:w="599" w:type="pct"/>
            <w:tcBorders>
              <w:top w:val="single" w:sz="4" w:space="0" w:color="auto"/>
              <w:left w:val="nil"/>
              <w:bottom w:val="nil"/>
              <w:right w:val="single" w:sz="4" w:space="0" w:color="auto"/>
            </w:tcBorders>
            <w:shd w:val="clear" w:color="000000" w:fill="D2D9EA"/>
            <w:vAlign w:val="center"/>
            <w:hideMark/>
          </w:tcPr>
          <w:p w14:paraId="63FAD876" w14:textId="145E4DD0" w:rsidR="00BF2AFF" w:rsidRPr="00EB2092" w:rsidRDefault="00BF2AFF" w:rsidP="00207AE7">
            <w:pPr>
              <w:spacing w:line="240" w:lineRule="auto"/>
              <w:jc w:val="center"/>
              <w:rPr>
                <w:rFonts w:ascii="Calibri" w:eastAsia="Times New Roman" w:hAnsi="Calibri" w:cs="Times New Roman"/>
                <w:sz w:val="20"/>
                <w:szCs w:val="20"/>
                <w:lang w:eastAsia="en-AU"/>
              </w:rPr>
            </w:pPr>
            <w:r w:rsidRPr="00EB2092">
              <w:rPr>
                <w:rFonts w:ascii="Calibri" w:hAnsi="Calibri"/>
                <w:sz w:val="20"/>
                <w:szCs w:val="20"/>
              </w:rPr>
              <w:t>0.1</w:t>
            </w:r>
          </w:p>
        </w:tc>
        <w:tc>
          <w:tcPr>
            <w:tcW w:w="2383" w:type="pct"/>
            <w:tcBorders>
              <w:top w:val="single" w:sz="4" w:space="0" w:color="auto"/>
              <w:left w:val="single" w:sz="4" w:space="0" w:color="auto"/>
              <w:bottom w:val="nil"/>
              <w:right w:val="single" w:sz="4" w:space="0" w:color="auto"/>
            </w:tcBorders>
            <w:shd w:val="clear" w:color="000000" w:fill="D2D9EA"/>
            <w:vAlign w:val="center"/>
            <w:hideMark/>
          </w:tcPr>
          <w:p w14:paraId="251A521B" w14:textId="6DCEE880" w:rsidR="00BF2AFF" w:rsidRPr="00EB2092" w:rsidRDefault="00BF2AFF" w:rsidP="00D316BF">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Decreases over the medium term due to decline in recipients.</w:t>
            </w:r>
          </w:p>
        </w:tc>
      </w:tr>
      <w:tr w:rsidR="00BF2AFF" w:rsidRPr="00EB2092" w14:paraId="66993CDC" w14:textId="77777777" w:rsidTr="00572B63">
        <w:trPr>
          <w:trHeight w:val="323"/>
        </w:trPr>
        <w:tc>
          <w:tcPr>
            <w:tcW w:w="1421" w:type="pct"/>
            <w:tcBorders>
              <w:top w:val="nil"/>
              <w:left w:val="single" w:sz="4" w:space="0" w:color="auto"/>
              <w:bottom w:val="nil"/>
              <w:right w:val="single" w:sz="4" w:space="0" w:color="auto"/>
            </w:tcBorders>
            <w:shd w:val="clear" w:color="auto" w:fill="auto"/>
            <w:vAlign w:val="center"/>
            <w:hideMark/>
          </w:tcPr>
          <w:p w14:paraId="2D2E2B00" w14:textId="00DBF411" w:rsidR="00BF2AFF" w:rsidRPr="00EB2092" w:rsidRDefault="00BF2AFF">
            <w:pPr>
              <w:spacing w:line="240" w:lineRule="auto"/>
              <w:rPr>
                <w:rFonts w:ascii="Calibri" w:eastAsia="Times New Roman" w:hAnsi="Calibri" w:cs="Times New Roman"/>
                <w:b/>
                <w:bCs/>
                <w:sz w:val="20"/>
                <w:szCs w:val="20"/>
                <w:lang w:eastAsia="en-AU"/>
              </w:rPr>
            </w:pPr>
            <w:r w:rsidRPr="00EB2092">
              <w:rPr>
                <w:rFonts w:ascii="Calibri" w:eastAsia="Times New Roman" w:hAnsi="Calibri" w:cs="Times New Roman"/>
                <w:b/>
                <w:bCs/>
                <w:sz w:val="20"/>
                <w:szCs w:val="20"/>
                <w:lang w:eastAsia="en-AU"/>
              </w:rPr>
              <w:t>Total modelled payments</w:t>
            </w:r>
          </w:p>
        </w:tc>
        <w:tc>
          <w:tcPr>
            <w:tcW w:w="597" w:type="pct"/>
            <w:tcBorders>
              <w:top w:val="nil"/>
              <w:left w:val="single" w:sz="4" w:space="0" w:color="auto"/>
              <w:bottom w:val="nil"/>
              <w:right w:val="nil"/>
            </w:tcBorders>
            <w:shd w:val="clear" w:color="auto" w:fill="auto"/>
            <w:vAlign w:val="center"/>
            <w:hideMark/>
          </w:tcPr>
          <w:p w14:paraId="6A2428BC" w14:textId="112ED8F1" w:rsidR="00BF2AFF" w:rsidRPr="00EB2092" w:rsidRDefault="00BF2AFF" w:rsidP="00207AE7">
            <w:pPr>
              <w:spacing w:line="240" w:lineRule="auto"/>
              <w:jc w:val="center"/>
              <w:rPr>
                <w:rFonts w:ascii="Calibri" w:eastAsia="Times New Roman" w:hAnsi="Calibri" w:cs="Times New Roman"/>
                <w:b/>
                <w:bCs/>
                <w:sz w:val="20"/>
                <w:szCs w:val="20"/>
                <w:lang w:eastAsia="en-AU"/>
              </w:rPr>
            </w:pPr>
            <w:r w:rsidRPr="00EB2092">
              <w:rPr>
                <w:rFonts w:ascii="Calibri" w:hAnsi="Calibri"/>
                <w:b/>
                <w:bCs/>
                <w:sz w:val="20"/>
                <w:szCs w:val="20"/>
              </w:rPr>
              <w:t>19.9</w:t>
            </w:r>
          </w:p>
        </w:tc>
        <w:tc>
          <w:tcPr>
            <w:tcW w:w="599" w:type="pct"/>
            <w:tcBorders>
              <w:top w:val="nil"/>
              <w:left w:val="nil"/>
              <w:bottom w:val="nil"/>
              <w:right w:val="single" w:sz="4" w:space="0" w:color="auto"/>
            </w:tcBorders>
            <w:shd w:val="clear" w:color="auto" w:fill="auto"/>
            <w:vAlign w:val="center"/>
            <w:hideMark/>
          </w:tcPr>
          <w:p w14:paraId="083BA345" w14:textId="4D4541D6" w:rsidR="00BF2AFF" w:rsidRPr="00EB2092" w:rsidRDefault="00BF2AFF" w:rsidP="00207AE7">
            <w:pPr>
              <w:spacing w:line="240" w:lineRule="auto"/>
              <w:jc w:val="center"/>
              <w:rPr>
                <w:rFonts w:ascii="Calibri" w:eastAsia="Times New Roman" w:hAnsi="Calibri" w:cs="Times New Roman"/>
                <w:b/>
                <w:bCs/>
                <w:sz w:val="20"/>
                <w:szCs w:val="20"/>
                <w:lang w:eastAsia="en-AU"/>
              </w:rPr>
            </w:pPr>
            <w:r w:rsidRPr="00EB2092">
              <w:rPr>
                <w:rFonts w:ascii="Calibri" w:hAnsi="Calibri"/>
                <w:b/>
                <w:bCs/>
                <w:sz w:val="20"/>
                <w:szCs w:val="20"/>
              </w:rPr>
              <w:t>20.9</w:t>
            </w:r>
          </w:p>
        </w:tc>
        <w:tc>
          <w:tcPr>
            <w:tcW w:w="2383" w:type="pct"/>
            <w:tcBorders>
              <w:top w:val="nil"/>
              <w:left w:val="single" w:sz="4" w:space="0" w:color="auto"/>
              <w:bottom w:val="nil"/>
              <w:right w:val="single" w:sz="4" w:space="0" w:color="auto"/>
            </w:tcBorders>
            <w:shd w:val="clear" w:color="auto" w:fill="auto"/>
            <w:vAlign w:val="center"/>
            <w:hideMark/>
          </w:tcPr>
          <w:p w14:paraId="3A338C46" w14:textId="77777777" w:rsidR="00BF2AFF" w:rsidRPr="00EB2092" w:rsidRDefault="00BF2AFF" w:rsidP="00207AE7">
            <w:pPr>
              <w:spacing w:line="240" w:lineRule="auto"/>
              <w:rPr>
                <w:rFonts w:ascii="Calibri" w:eastAsia="Times New Roman" w:hAnsi="Calibri" w:cs="Times New Roman"/>
                <w:b/>
                <w:bCs/>
                <w:color w:val="000000"/>
                <w:sz w:val="20"/>
                <w:szCs w:val="20"/>
                <w:lang w:eastAsia="en-AU"/>
              </w:rPr>
            </w:pPr>
            <w:r w:rsidRPr="00EB2092">
              <w:rPr>
                <w:rFonts w:ascii="Calibri" w:eastAsia="Times New Roman" w:hAnsi="Calibri" w:cs="Times New Roman"/>
                <w:b/>
                <w:bCs/>
                <w:color w:val="000000"/>
                <w:sz w:val="20"/>
                <w:szCs w:val="20"/>
                <w:lang w:eastAsia="en-AU"/>
              </w:rPr>
              <w:t> </w:t>
            </w:r>
          </w:p>
        </w:tc>
      </w:tr>
      <w:tr w:rsidR="00BF2AFF" w:rsidRPr="00EB2092" w14:paraId="3E14A220" w14:textId="77777777" w:rsidTr="00572B63">
        <w:trPr>
          <w:trHeight w:val="323"/>
        </w:trPr>
        <w:tc>
          <w:tcPr>
            <w:tcW w:w="1421" w:type="pct"/>
            <w:tcBorders>
              <w:top w:val="nil"/>
              <w:left w:val="single" w:sz="4" w:space="0" w:color="auto"/>
              <w:bottom w:val="nil"/>
              <w:right w:val="single" w:sz="4" w:space="0" w:color="auto"/>
            </w:tcBorders>
            <w:shd w:val="clear" w:color="000000" w:fill="D2D9EA"/>
            <w:vAlign w:val="center"/>
            <w:hideMark/>
          </w:tcPr>
          <w:p w14:paraId="1FC09F30" w14:textId="74FB7B21" w:rsidR="00BF2AFF" w:rsidRPr="00EB2092" w:rsidRDefault="00BF2AFF">
            <w:pPr>
              <w:spacing w:line="240" w:lineRule="auto"/>
              <w:rPr>
                <w:rFonts w:ascii="Calibri" w:eastAsia="Times New Roman" w:hAnsi="Calibri" w:cs="Times New Roman"/>
                <w:b/>
                <w:bCs/>
                <w:sz w:val="20"/>
                <w:szCs w:val="20"/>
                <w:lang w:eastAsia="en-AU"/>
              </w:rPr>
            </w:pPr>
            <w:r w:rsidRPr="00EB2092">
              <w:rPr>
                <w:rFonts w:ascii="Calibri" w:eastAsia="Times New Roman" w:hAnsi="Calibri" w:cs="Times New Roman"/>
                <w:b/>
                <w:bCs/>
                <w:sz w:val="20"/>
                <w:szCs w:val="20"/>
                <w:lang w:eastAsia="en-AU"/>
              </w:rPr>
              <w:t>Other payments</w:t>
            </w:r>
          </w:p>
        </w:tc>
        <w:tc>
          <w:tcPr>
            <w:tcW w:w="597" w:type="pct"/>
            <w:tcBorders>
              <w:top w:val="nil"/>
              <w:left w:val="single" w:sz="4" w:space="0" w:color="auto"/>
              <w:bottom w:val="nil"/>
              <w:right w:val="nil"/>
            </w:tcBorders>
            <w:shd w:val="clear" w:color="000000" w:fill="D2D9EA"/>
            <w:vAlign w:val="center"/>
            <w:hideMark/>
          </w:tcPr>
          <w:p w14:paraId="5A939C43" w14:textId="6EAF950D" w:rsidR="00BF2AFF" w:rsidRPr="00EB2092" w:rsidRDefault="00BF2AFF" w:rsidP="00207AE7">
            <w:pPr>
              <w:spacing w:line="240" w:lineRule="auto"/>
              <w:jc w:val="center"/>
              <w:rPr>
                <w:rFonts w:ascii="Calibri" w:eastAsia="Times New Roman" w:hAnsi="Calibri" w:cs="Times New Roman"/>
                <w:b/>
                <w:bCs/>
                <w:sz w:val="20"/>
                <w:szCs w:val="20"/>
                <w:lang w:eastAsia="en-AU"/>
              </w:rPr>
            </w:pPr>
            <w:r w:rsidRPr="00EB2092">
              <w:rPr>
                <w:rFonts w:ascii="Calibri" w:hAnsi="Calibri"/>
                <w:b/>
                <w:bCs/>
                <w:sz w:val="20"/>
                <w:szCs w:val="20"/>
              </w:rPr>
              <w:t>4.6</w:t>
            </w:r>
          </w:p>
        </w:tc>
        <w:tc>
          <w:tcPr>
            <w:tcW w:w="599" w:type="pct"/>
            <w:tcBorders>
              <w:top w:val="nil"/>
              <w:left w:val="nil"/>
              <w:bottom w:val="nil"/>
              <w:right w:val="single" w:sz="4" w:space="0" w:color="auto"/>
            </w:tcBorders>
            <w:shd w:val="clear" w:color="000000" w:fill="D2D9EA"/>
            <w:vAlign w:val="center"/>
            <w:hideMark/>
          </w:tcPr>
          <w:p w14:paraId="6BDE8BE8" w14:textId="60F5FB7F" w:rsidR="00BF2AFF" w:rsidRPr="00EB2092" w:rsidRDefault="00BF2AFF" w:rsidP="00207AE7">
            <w:pPr>
              <w:spacing w:line="240" w:lineRule="auto"/>
              <w:jc w:val="center"/>
              <w:rPr>
                <w:rFonts w:ascii="Calibri" w:eastAsia="Times New Roman" w:hAnsi="Calibri" w:cs="Times New Roman"/>
                <w:b/>
                <w:bCs/>
                <w:sz w:val="20"/>
                <w:szCs w:val="20"/>
                <w:lang w:eastAsia="en-AU"/>
              </w:rPr>
            </w:pPr>
            <w:r w:rsidRPr="00EB2092">
              <w:rPr>
                <w:rFonts w:ascii="Calibri" w:hAnsi="Calibri"/>
                <w:b/>
                <w:bCs/>
                <w:sz w:val="20"/>
                <w:szCs w:val="20"/>
              </w:rPr>
              <w:t>5.2</w:t>
            </w:r>
          </w:p>
        </w:tc>
        <w:tc>
          <w:tcPr>
            <w:tcW w:w="2383" w:type="pct"/>
            <w:tcBorders>
              <w:top w:val="nil"/>
              <w:left w:val="single" w:sz="4" w:space="0" w:color="auto"/>
              <w:bottom w:val="nil"/>
              <w:right w:val="single" w:sz="4" w:space="0" w:color="auto"/>
            </w:tcBorders>
            <w:shd w:val="clear" w:color="000000" w:fill="D2D9EA"/>
            <w:vAlign w:val="center"/>
            <w:hideMark/>
          </w:tcPr>
          <w:p w14:paraId="1E40FC1D" w14:textId="77777777" w:rsidR="00BF2AFF" w:rsidRPr="00EB2092" w:rsidRDefault="00BF2AFF" w:rsidP="00207AE7">
            <w:pPr>
              <w:spacing w:line="240" w:lineRule="auto"/>
              <w:rPr>
                <w:rFonts w:ascii="Calibri" w:eastAsia="Times New Roman" w:hAnsi="Calibri" w:cs="Times New Roman"/>
                <w:b/>
                <w:bCs/>
                <w:color w:val="000000"/>
                <w:sz w:val="20"/>
                <w:szCs w:val="20"/>
                <w:lang w:eastAsia="en-AU"/>
              </w:rPr>
            </w:pPr>
            <w:r w:rsidRPr="00EB2092">
              <w:rPr>
                <w:rFonts w:ascii="Calibri" w:eastAsia="Times New Roman" w:hAnsi="Calibri" w:cs="Times New Roman"/>
                <w:b/>
                <w:bCs/>
                <w:color w:val="000000"/>
                <w:sz w:val="20"/>
                <w:szCs w:val="20"/>
                <w:lang w:eastAsia="en-AU"/>
              </w:rPr>
              <w:t> </w:t>
            </w:r>
          </w:p>
        </w:tc>
      </w:tr>
      <w:tr w:rsidR="00BF2AFF" w:rsidRPr="00EB2092" w14:paraId="723C6CE5" w14:textId="77777777" w:rsidTr="00572B63">
        <w:trPr>
          <w:trHeight w:val="510"/>
        </w:trPr>
        <w:tc>
          <w:tcPr>
            <w:tcW w:w="1421" w:type="pct"/>
            <w:tcBorders>
              <w:top w:val="nil"/>
              <w:left w:val="single" w:sz="4" w:space="0" w:color="auto"/>
              <w:bottom w:val="nil"/>
              <w:right w:val="single" w:sz="4" w:space="0" w:color="auto"/>
            </w:tcBorders>
            <w:shd w:val="clear" w:color="auto" w:fill="auto"/>
            <w:vAlign w:val="center"/>
            <w:hideMark/>
          </w:tcPr>
          <w:p w14:paraId="389C8B4E" w14:textId="0CEE5819" w:rsidR="00BF2AFF" w:rsidRPr="00EB2092" w:rsidRDefault="00BF2AFF" w:rsidP="00832983">
            <w:pPr>
              <w:spacing w:line="240" w:lineRule="auto"/>
              <w:rPr>
                <w:rFonts w:ascii="Calibri" w:eastAsia="Times New Roman" w:hAnsi="Calibri" w:cs="Times New Roman"/>
                <w:i/>
                <w:iCs/>
                <w:sz w:val="20"/>
                <w:szCs w:val="20"/>
                <w:lang w:eastAsia="en-AU"/>
              </w:rPr>
            </w:pPr>
            <w:r w:rsidRPr="00EB2092">
              <w:rPr>
                <w:rFonts w:ascii="Calibri" w:eastAsia="Times New Roman" w:hAnsi="Calibri" w:cs="Times New Roman"/>
                <w:i/>
                <w:iCs/>
                <w:sz w:val="20"/>
                <w:szCs w:val="20"/>
                <w:lang w:eastAsia="en-AU"/>
              </w:rPr>
              <w:t>Government administration</w:t>
            </w:r>
          </w:p>
        </w:tc>
        <w:tc>
          <w:tcPr>
            <w:tcW w:w="597" w:type="pct"/>
            <w:tcBorders>
              <w:top w:val="nil"/>
              <w:left w:val="single" w:sz="4" w:space="0" w:color="auto"/>
              <w:bottom w:val="nil"/>
              <w:right w:val="nil"/>
            </w:tcBorders>
            <w:shd w:val="clear" w:color="auto" w:fill="auto"/>
            <w:vAlign w:val="center"/>
            <w:hideMark/>
          </w:tcPr>
          <w:p w14:paraId="60FF30F6" w14:textId="57BE2701" w:rsidR="00BF2AFF" w:rsidRPr="00EB2092" w:rsidRDefault="00BF2AFF" w:rsidP="00207AE7">
            <w:pPr>
              <w:spacing w:line="240" w:lineRule="auto"/>
              <w:jc w:val="center"/>
              <w:rPr>
                <w:rFonts w:ascii="Calibri" w:eastAsia="Times New Roman" w:hAnsi="Calibri" w:cs="Times New Roman"/>
                <w:i/>
                <w:iCs/>
                <w:sz w:val="20"/>
                <w:szCs w:val="20"/>
                <w:lang w:eastAsia="en-AU"/>
              </w:rPr>
            </w:pPr>
            <w:r w:rsidRPr="00EB2092">
              <w:rPr>
                <w:rFonts w:ascii="Calibri" w:hAnsi="Calibri"/>
                <w:i/>
                <w:iCs/>
                <w:sz w:val="20"/>
                <w:szCs w:val="20"/>
              </w:rPr>
              <w:t>1.8</w:t>
            </w:r>
          </w:p>
        </w:tc>
        <w:tc>
          <w:tcPr>
            <w:tcW w:w="599" w:type="pct"/>
            <w:tcBorders>
              <w:top w:val="nil"/>
              <w:left w:val="nil"/>
              <w:bottom w:val="nil"/>
              <w:right w:val="single" w:sz="4" w:space="0" w:color="auto"/>
            </w:tcBorders>
            <w:shd w:val="clear" w:color="auto" w:fill="auto"/>
            <w:vAlign w:val="center"/>
            <w:hideMark/>
          </w:tcPr>
          <w:p w14:paraId="39062C27" w14:textId="34EB3279" w:rsidR="00BF2AFF" w:rsidRPr="00EB2092" w:rsidRDefault="00BF2AFF" w:rsidP="00207AE7">
            <w:pPr>
              <w:spacing w:line="240" w:lineRule="auto"/>
              <w:jc w:val="center"/>
              <w:rPr>
                <w:rFonts w:ascii="Calibri" w:eastAsia="Times New Roman" w:hAnsi="Calibri" w:cs="Times New Roman"/>
                <w:i/>
                <w:iCs/>
                <w:sz w:val="20"/>
                <w:szCs w:val="20"/>
                <w:lang w:eastAsia="en-AU"/>
              </w:rPr>
            </w:pPr>
            <w:r w:rsidRPr="00EB2092">
              <w:rPr>
                <w:rFonts w:ascii="Calibri" w:hAnsi="Calibri"/>
                <w:i/>
                <w:iCs/>
                <w:sz w:val="20"/>
                <w:szCs w:val="20"/>
              </w:rPr>
              <w:t>1.5</w:t>
            </w:r>
          </w:p>
        </w:tc>
        <w:tc>
          <w:tcPr>
            <w:tcW w:w="2383" w:type="pct"/>
            <w:tcBorders>
              <w:top w:val="nil"/>
              <w:left w:val="single" w:sz="4" w:space="0" w:color="auto"/>
              <w:bottom w:val="nil"/>
              <w:right w:val="single" w:sz="4" w:space="0" w:color="auto"/>
            </w:tcBorders>
            <w:shd w:val="clear" w:color="auto" w:fill="auto"/>
            <w:vAlign w:val="center"/>
            <w:hideMark/>
          </w:tcPr>
          <w:p w14:paraId="56B82A52" w14:textId="3688125C" w:rsidR="00BF2AFF" w:rsidRPr="00EB2092" w:rsidRDefault="00BF2AFF" w:rsidP="00207AE7">
            <w:pPr>
              <w:spacing w:line="240" w:lineRule="auto"/>
              <w:rPr>
                <w:rFonts w:ascii="Calibri" w:eastAsia="Times New Roman" w:hAnsi="Calibri" w:cs="Times New Roman"/>
                <w:i/>
                <w:iCs/>
                <w:color w:val="000000"/>
                <w:sz w:val="20"/>
                <w:szCs w:val="20"/>
                <w:lang w:eastAsia="en-AU"/>
              </w:rPr>
            </w:pPr>
            <w:r w:rsidRPr="00EB2092">
              <w:rPr>
                <w:rFonts w:ascii="Calibri" w:eastAsia="Times New Roman" w:hAnsi="Calibri" w:cs="Times New Roman"/>
                <w:i/>
                <w:iCs/>
                <w:color w:val="000000"/>
                <w:sz w:val="20"/>
                <w:szCs w:val="20"/>
                <w:lang w:eastAsia="en-AU"/>
              </w:rPr>
              <w:t>Reduced spending (excluding NDIS and Defence) over the forward estimates extends into the medium</w:t>
            </w:r>
            <w:r w:rsidR="001F39DB">
              <w:rPr>
                <w:rFonts w:ascii="Calibri" w:eastAsia="Times New Roman" w:hAnsi="Calibri" w:cs="Times New Roman"/>
                <w:i/>
                <w:iCs/>
                <w:color w:val="000000"/>
                <w:sz w:val="20"/>
                <w:szCs w:val="20"/>
                <w:lang w:eastAsia="en-AU"/>
              </w:rPr>
              <w:t xml:space="preserve"> </w:t>
            </w:r>
            <w:r w:rsidRPr="00EB2092">
              <w:rPr>
                <w:rFonts w:ascii="Calibri" w:eastAsia="Times New Roman" w:hAnsi="Calibri" w:cs="Times New Roman"/>
                <w:i/>
                <w:iCs/>
                <w:color w:val="000000"/>
                <w:sz w:val="20"/>
                <w:szCs w:val="20"/>
                <w:lang w:eastAsia="en-AU"/>
              </w:rPr>
              <w:t>term.</w:t>
            </w:r>
          </w:p>
        </w:tc>
      </w:tr>
      <w:tr w:rsidR="00BF2AFF" w:rsidRPr="00EB2092" w14:paraId="69A87CC4" w14:textId="77777777" w:rsidTr="00572B63">
        <w:trPr>
          <w:trHeight w:val="510"/>
        </w:trPr>
        <w:tc>
          <w:tcPr>
            <w:tcW w:w="1421" w:type="pct"/>
            <w:tcBorders>
              <w:top w:val="nil"/>
              <w:left w:val="single" w:sz="4" w:space="0" w:color="auto"/>
              <w:right w:val="single" w:sz="4" w:space="0" w:color="auto"/>
            </w:tcBorders>
            <w:shd w:val="clear" w:color="000000" w:fill="D2D9EA"/>
            <w:vAlign w:val="center"/>
          </w:tcPr>
          <w:p w14:paraId="68A406DA" w14:textId="48FC1C17" w:rsidR="00BF2AFF" w:rsidRPr="00715564" w:rsidRDefault="00BF2AFF" w:rsidP="00FC29D3">
            <w:pPr>
              <w:spacing w:line="240" w:lineRule="auto"/>
              <w:rPr>
                <w:rFonts w:ascii="Calibri" w:eastAsia="Times New Roman" w:hAnsi="Calibri" w:cs="Times New Roman"/>
                <w:i/>
                <w:iCs/>
                <w:sz w:val="20"/>
                <w:szCs w:val="20"/>
                <w:lang w:eastAsia="en-AU"/>
              </w:rPr>
            </w:pPr>
            <w:r w:rsidRPr="00715564">
              <w:rPr>
                <w:rFonts w:ascii="Calibri" w:eastAsia="Times New Roman" w:hAnsi="Calibri" w:cs="Times New Roman"/>
                <w:i/>
                <w:iCs/>
                <w:sz w:val="20"/>
                <w:szCs w:val="20"/>
                <w:lang w:eastAsia="en-AU"/>
              </w:rPr>
              <w:t xml:space="preserve">Contingency </w:t>
            </w:r>
            <w:r w:rsidR="00FC29D3">
              <w:rPr>
                <w:rFonts w:ascii="Calibri" w:eastAsia="Times New Roman" w:hAnsi="Calibri" w:cs="Times New Roman"/>
                <w:i/>
                <w:iCs/>
                <w:sz w:val="20"/>
                <w:szCs w:val="20"/>
                <w:lang w:eastAsia="en-AU"/>
              </w:rPr>
              <w:t>r</w:t>
            </w:r>
            <w:r w:rsidR="00FC29D3" w:rsidRPr="00715564">
              <w:rPr>
                <w:rFonts w:ascii="Calibri" w:eastAsia="Times New Roman" w:hAnsi="Calibri" w:cs="Times New Roman"/>
                <w:i/>
                <w:iCs/>
                <w:sz w:val="20"/>
                <w:szCs w:val="20"/>
                <w:lang w:eastAsia="en-AU"/>
              </w:rPr>
              <w:t xml:space="preserve">eserve </w:t>
            </w:r>
            <w:r w:rsidR="00FC29D3">
              <w:rPr>
                <w:rFonts w:ascii="Calibri" w:eastAsia="Times New Roman" w:hAnsi="Calibri" w:cs="Times New Roman"/>
                <w:i/>
                <w:iCs/>
                <w:sz w:val="20"/>
                <w:szCs w:val="20"/>
                <w:lang w:eastAsia="en-AU"/>
              </w:rPr>
              <w:t>p</w:t>
            </w:r>
            <w:r w:rsidR="00FC29D3" w:rsidRPr="00715564">
              <w:rPr>
                <w:rFonts w:ascii="Calibri" w:eastAsia="Times New Roman" w:hAnsi="Calibri" w:cs="Times New Roman"/>
                <w:i/>
                <w:iCs/>
                <w:sz w:val="20"/>
                <w:szCs w:val="20"/>
                <w:lang w:eastAsia="en-AU"/>
              </w:rPr>
              <w:t>rovision</w:t>
            </w:r>
          </w:p>
        </w:tc>
        <w:tc>
          <w:tcPr>
            <w:tcW w:w="597" w:type="pct"/>
            <w:tcBorders>
              <w:top w:val="nil"/>
              <w:left w:val="single" w:sz="4" w:space="0" w:color="auto"/>
              <w:right w:val="nil"/>
            </w:tcBorders>
            <w:shd w:val="clear" w:color="000000" w:fill="D2D9EA"/>
            <w:vAlign w:val="center"/>
          </w:tcPr>
          <w:p w14:paraId="77A7DA38" w14:textId="1E5CC2B3" w:rsidR="00BF2AFF" w:rsidRPr="0050447F" w:rsidRDefault="000C5BCA" w:rsidP="00207AE7">
            <w:pPr>
              <w:spacing w:line="240" w:lineRule="auto"/>
              <w:jc w:val="center"/>
              <w:rPr>
                <w:rFonts w:ascii="Calibri" w:hAnsi="Calibri"/>
                <w:i/>
                <w:iCs/>
                <w:sz w:val="20"/>
                <w:szCs w:val="20"/>
              </w:rPr>
            </w:pPr>
            <w:r>
              <w:rPr>
                <w:rFonts w:ascii="Calibri" w:hAnsi="Calibri"/>
                <w:sz w:val="20"/>
                <w:szCs w:val="20"/>
              </w:rPr>
              <w:t>0.0</w:t>
            </w:r>
          </w:p>
        </w:tc>
        <w:tc>
          <w:tcPr>
            <w:tcW w:w="599" w:type="pct"/>
            <w:tcBorders>
              <w:top w:val="nil"/>
              <w:left w:val="nil"/>
              <w:right w:val="single" w:sz="4" w:space="0" w:color="auto"/>
            </w:tcBorders>
            <w:shd w:val="clear" w:color="000000" w:fill="D2D9EA"/>
            <w:vAlign w:val="center"/>
          </w:tcPr>
          <w:p w14:paraId="7D6B8E4D" w14:textId="32076818" w:rsidR="00BF2AFF" w:rsidRPr="009A1A17" w:rsidRDefault="000C5BCA" w:rsidP="00207AE7">
            <w:pPr>
              <w:spacing w:line="240" w:lineRule="auto"/>
              <w:jc w:val="center"/>
              <w:rPr>
                <w:rFonts w:ascii="Calibri" w:hAnsi="Calibri"/>
                <w:i/>
                <w:iCs/>
                <w:sz w:val="20"/>
                <w:szCs w:val="20"/>
              </w:rPr>
            </w:pPr>
            <w:r>
              <w:rPr>
                <w:rFonts w:ascii="Calibri" w:hAnsi="Calibri"/>
                <w:sz w:val="20"/>
                <w:szCs w:val="20"/>
              </w:rPr>
              <w:t>0.5</w:t>
            </w:r>
          </w:p>
        </w:tc>
        <w:tc>
          <w:tcPr>
            <w:tcW w:w="2383" w:type="pct"/>
            <w:tcBorders>
              <w:top w:val="nil"/>
              <w:left w:val="single" w:sz="4" w:space="0" w:color="auto"/>
              <w:right w:val="single" w:sz="4" w:space="0" w:color="auto"/>
            </w:tcBorders>
            <w:shd w:val="clear" w:color="000000" w:fill="D2D9EA"/>
            <w:vAlign w:val="center"/>
          </w:tcPr>
          <w:p w14:paraId="223F18D6" w14:textId="0ACE8B28" w:rsidR="00BF2AFF" w:rsidRPr="00372C38" w:rsidRDefault="00AE5FC4" w:rsidP="00FC29D3">
            <w:pPr>
              <w:spacing w:line="240" w:lineRule="auto"/>
              <w:rPr>
                <w:rFonts w:ascii="Calibri" w:eastAsia="Times New Roman" w:hAnsi="Calibri" w:cs="Times New Roman"/>
                <w:i/>
                <w:iCs/>
                <w:color w:val="000000"/>
                <w:sz w:val="20"/>
                <w:szCs w:val="20"/>
                <w:lang w:eastAsia="en-AU"/>
              </w:rPr>
            </w:pPr>
            <w:r w:rsidRPr="001F39DB">
              <w:rPr>
                <w:rFonts w:ascii="Calibri" w:eastAsia="Times New Roman" w:hAnsi="Calibri" w:cs="Times New Roman"/>
                <w:i/>
                <w:iCs/>
                <w:color w:val="000000"/>
                <w:sz w:val="20"/>
                <w:szCs w:val="20"/>
                <w:lang w:eastAsia="en-AU"/>
              </w:rPr>
              <w:t>Increases over the forward estimates but r</w:t>
            </w:r>
            <w:r w:rsidR="00852850" w:rsidRPr="001F39DB">
              <w:rPr>
                <w:rFonts w:ascii="Calibri" w:eastAsia="Times New Roman" w:hAnsi="Calibri" w:cs="Times New Roman"/>
                <w:i/>
                <w:iCs/>
                <w:color w:val="000000"/>
                <w:sz w:val="20"/>
                <w:szCs w:val="20"/>
                <w:lang w:eastAsia="en-AU"/>
              </w:rPr>
              <w:t xml:space="preserve">emains steady </w:t>
            </w:r>
            <w:r w:rsidRPr="001F39DB">
              <w:rPr>
                <w:rFonts w:ascii="Calibri" w:eastAsia="Times New Roman" w:hAnsi="Calibri" w:cs="Times New Roman"/>
                <w:i/>
                <w:iCs/>
                <w:color w:val="000000"/>
                <w:sz w:val="20"/>
                <w:szCs w:val="20"/>
                <w:lang w:eastAsia="en-AU"/>
              </w:rPr>
              <w:t xml:space="preserve">in the medium term </w:t>
            </w:r>
            <w:r w:rsidR="00852850" w:rsidRPr="001F39DB">
              <w:rPr>
                <w:rFonts w:ascii="Calibri" w:eastAsia="Times New Roman" w:hAnsi="Calibri" w:cs="Times New Roman"/>
                <w:i/>
                <w:iCs/>
                <w:color w:val="000000"/>
                <w:sz w:val="20"/>
                <w:szCs w:val="20"/>
                <w:lang w:eastAsia="en-AU"/>
              </w:rPr>
              <w:t xml:space="preserve">as the PBO’s projections assume that the Contingency </w:t>
            </w:r>
            <w:r w:rsidR="00FC29D3">
              <w:rPr>
                <w:rFonts w:ascii="Calibri" w:eastAsia="Times New Roman" w:hAnsi="Calibri" w:cs="Times New Roman"/>
                <w:i/>
                <w:iCs/>
                <w:color w:val="000000"/>
                <w:sz w:val="20"/>
                <w:szCs w:val="20"/>
                <w:lang w:eastAsia="en-AU"/>
              </w:rPr>
              <w:t>r</w:t>
            </w:r>
            <w:r w:rsidR="00FC29D3" w:rsidRPr="001F39DB">
              <w:rPr>
                <w:rFonts w:ascii="Calibri" w:eastAsia="Times New Roman" w:hAnsi="Calibri" w:cs="Times New Roman"/>
                <w:i/>
                <w:iCs/>
                <w:color w:val="000000"/>
                <w:sz w:val="20"/>
                <w:szCs w:val="20"/>
                <w:lang w:eastAsia="en-AU"/>
              </w:rPr>
              <w:t xml:space="preserve">eserve </w:t>
            </w:r>
            <w:r w:rsidR="00852850" w:rsidRPr="001F39DB">
              <w:rPr>
                <w:rFonts w:ascii="Calibri" w:eastAsia="Times New Roman" w:hAnsi="Calibri" w:cs="Times New Roman"/>
                <w:i/>
                <w:iCs/>
                <w:color w:val="000000"/>
                <w:sz w:val="20"/>
                <w:szCs w:val="20"/>
                <w:lang w:eastAsia="en-AU"/>
              </w:rPr>
              <w:t>grow</w:t>
            </w:r>
            <w:r w:rsidR="001F39DB" w:rsidRPr="003A56EF">
              <w:rPr>
                <w:rFonts w:ascii="Calibri" w:eastAsia="Times New Roman" w:hAnsi="Calibri" w:cs="Times New Roman"/>
                <w:i/>
                <w:iCs/>
                <w:color w:val="000000"/>
                <w:sz w:val="20"/>
                <w:szCs w:val="20"/>
                <w:lang w:eastAsia="en-AU"/>
              </w:rPr>
              <w:t>s</w:t>
            </w:r>
            <w:r w:rsidR="00852850" w:rsidRPr="001F39DB">
              <w:rPr>
                <w:rFonts w:ascii="Calibri" w:eastAsia="Times New Roman" w:hAnsi="Calibri" w:cs="Times New Roman"/>
                <w:i/>
                <w:iCs/>
                <w:color w:val="000000"/>
                <w:sz w:val="20"/>
                <w:szCs w:val="20"/>
                <w:lang w:eastAsia="en-AU"/>
              </w:rPr>
              <w:t xml:space="preserve"> with nominal GDP.</w:t>
            </w:r>
          </w:p>
        </w:tc>
      </w:tr>
      <w:tr w:rsidR="00BF2AFF" w:rsidRPr="00EB2092" w14:paraId="6D4A6C43" w14:textId="77777777" w:rsidTr="00572B63">
        <w:trPr>
          <w:trHeight w:val="510"/>
        </w:trPr>
        <w:tc>
          <w:tcPr>
            <w:tcW w:w="1421" w:type="pct"/>
            <w:tcBorders>
              <w:top w:val="nil"/>
              <w:left w:val="single" w:sz="4" w:space="0" w:color="auto"/>
              <w:bottom w:val="nil"/>
              <w:right w:val="single" w:sz="4" w:space="0" w:color="auto"/>
            </w:tcBorders>
            <w:shd w:val="clear" w:color="000000" w:fill="auto"/>
            <w:vAlign w:val="center"/>
            <w:hideMark/>
          </w:tcPr>
          <w:p w14:paraId="132A769E" w14:textId="3DFC0F05" w:rsidR="00BF2AFF" w:rsidRPr="00EB2092" w:rsidRDefault="00BF2AFF">
            <w:pPr>
              <w:spacing w:line="240" w:lineRule="auto"/>
              <w:rPr>
                <w:rFonts w:ascii="Calibri" w:eastAsia="Times New Roman" w:hAnsi="Calibri" w:cs="Times New Roman"/>
                <w:i/>
                <w:iCs/>
                <w:sz w:val="20"/>
                <w:szCs w:val="20"/>
                <w:lang w:eastAsia="en-AU"/>
              </w:rPr>
            </w:pPr>
            <w:r w:rsidRPr="00EB2092">
              <w:rPr>
                <w:rFonts w:ascii="Calibri" w:eastAsia="Times New Roman" w:hAnsi="Calibri" w:cs="Times New Roman"/>
                <w:i/>
                <w:iCs/>
                <w:sz w:val="20"/>
                <w:szCs w:val="20"/>
                <w:lang w:eastAsia="en-AU"/>
              </w:rPr>
              <w:t>Remaining payments</w:t>
            </w:r>
          </w:p>
        </w:tc>
        <w:tc>
          <w:tcPr>
            <w:tcW w:w="597" w:type="pct"/>
            <w:tcBorders>
              <w:top w:val="nil"/>
              <w:left w:val="single" w:sz="4" w:space="0" w:color="auto"/>
              <w:bottom w:val="nil"/>
              <w:right w:val="nil"/>
            </w:tcBorders>
            <w:shd w:val="clear" w:color="000000" w:fill="auto"/>
            <w:vAlign w:val="center"/>
            <w:hideMark/>
          </w:tcPr>
          <w:p w14:paraId="3E5F12D3" w14:textId="09D8FC1A" w:rsidR="00BF2AFF" w:rsidRPr="00EB2092" w:rsidRDefault="000C5BCA" w:rsidP="00207AE7">
            <w:pPr>
              <w:spacing w:line="240" w:lineRule="auto"/>
              <w:jc w:val="center"/>
              <w:rPr>
                <w:rFonts w:ascii="Calibri" w:eastAsia="Times New Roman" w:hAnsi="Calibri" w:cs="Times New Roman"/>
                <w:i/>
                <w:iCs/>
                <w:sz w:val="20"/>
                <w:szCs w:val="20"/>
                <w:lang w:eastAsia="en-AU"/>
              </w:rPr>
            </w:pPr>
            <w:r>
              <w:rPr>
                <w:rFonts w:ascii="Calibri" w:hAnsi="Calibri"/>
                <w:sz w:val="20"/>
                <w:szCs w:val="20"/>
              </w:rPr>
              <w:t>2.9</w:t>
            </w:r>
          </w:p>
        </w:tc>
        <w:tc>
          <w:tcPr>
            <w:tcW w:w="599" w:type="pct"/>
            <w:tcBorders>
              <w:top w:val="nil"/>
              <w:left w:val="nil"/>
              <w:bottom w:val="nil"/>
              <w:right w:val="single" w:sz="4" w:space="0" w:color="auto"/>
            </w:tcBorders>
            <w:shd w:val="clear" w:color="000000" w:fill="auto"/>
            <w:vAlign w:val="center"/>
            <w:hideMark/>
          </w:tcPr>
          <w:p w14:paraId="6061F12E" w14:textId="644C1748" w:rsidR="00BF2AFF" w:rsidRPr="00EB2092" w:rsidRDefault="000C5BCA" w:rsidP="00207AE7">
            <w:pPr>
              <w:spacing w:line="240" w:lineRule="auto"/>
              <w:jc w:val="center"/>
              <w:rPr>
                <w:rFonts w:ascii="Calibri" w:eastAsia="Times New Roman" w:hAnsi="Calibri" w:cs="Times New Roman"/>
                <w:i/>
                <w:iCs/>
                <w:sz w:val="20"/>
                <w:szCs w:val="20"/>
                <w:lang w:eastAsia="en-AU"/>
              </w:rPr>
            </w:pPr>
            <w:r>
              <w:rPr>
                <w:rFonts w:ascii="Calibri" w:hAnsi="Calibri"/>
                <w:sz w:val="20"/>
                <w:szCs w:val="20"/>
              </w:rPr>
              <w:t>3.3</w:t>
            </w:r>
          </w:p>
        </w:tc>
        <w:tc>
          <w:tcPr>
            <w:tcW w:w="2383" w:type="pct"/>
            <w:tcBorders>
              <w:top w:val="nil"/>
              <w:left w:val="single" w:sz="4" w:space="0" w:color="auto"/>
              <w:bottom w:val="nil"/>
              <w:right w:val="single" w:sz="4" w:space="0" w:color="auto"/>
            </w:tcBorders>
            <w:shd w:val="clear" w:color="000000" w:fill="auto"/>
            <w:vAlign w:val="center"/>
            <w:hideMark/>
          </w:tcPr>
          <w:p w14:paraId="22F6B354" w14:textId="77777777" w:rsidR="00BF2AFF" w:rsidRPr="003A56EF" w:rsidRDefault="00BF2AFF" w:rsidP="00207AE7">
            <w:pPr>
              <w:spacing w:line="240" w:lineRule="auto"/>
              <w:rPr>
                <w:rFonts w:ascii="Calibri" w:eastAsia="Times New Roman" w:hAnsi="Calibri" w:cs="Times New Roman"/>
                <w:i/>
                <w:iCs/>
                <w:sz w:val="20"/>
                <w:szCs w:val="20"/>
                <w:lang w:eastAsia="en-AU"/>
              </w:rPr>
            </w:pPr>
            <w:r w:rsidRPr="003A56EF">
              <w:rPr>
                <w:rFonts w:ascii="Calibri" w:eastAsia="Times New Roman" w:hAnsi="Calibri" w:cs="Times New Roman"/>
                <w:i/>
                <w:iCs/>
                <w:sz w:val="20"/>
                <w:szCs w:val="20"/>
                <w:lang w:eastAsia="en-AU"/>
              </w:rPr>
              <w:t>Increases, largely owing to the government's conservative bias allowance adjustment over the forward estimates</w:t>
            </w:r>
          </w:p>
        </w:tc>
      </w:tr>
      <w:tr w:rsidR="00BF2AFF" w:rsidRPr="00EB2092" w14:paraId="20D22B41" w14:textId="77777777" w:rsidTr="00446D4A">
        <w:trPr>
          <w:trHeight w:val="270"/>
        </w:trPr>
        <w:tc>
          <w:tcPr>
            <w:tcW w:w="1421" w:type="pct"/>
            <w:tcBorders>
              <w:top w:val="nil"/>
              <w:left w:val="single" w:sz="4" w:space="0" w:color="auto"/>
              <w:bottom w:val="single" w:sz="4" w:space="0" w:color="auto"/>
              <w:right w:val="single" w:sz="4" w:space="0" w:color="auto"/>
            </w:tcBorders>
            <w:shd w:val="clear" w:color="000000" w:fill="3D4D7D"/>
            <w:vAlign w:val="center"/>
            <w:hideMark/>
          </w:tcPr>
          <w:p w14:paraId="5B2842DF" w14:textId="11625F9A" w:rsidR="00BF2AFF" w:rsidRPr="003A56EF" w:rsidRDefault="00BF2AFF" w:rsidP="00446D4A">
            <w:pPr>
              <w:spacing w:line="240" w:lineRule="auto"/>
              <w:rPr>
                <w:rFonts w:ascii="Calibri" w:eastAsia="Times New Roman" w:hAnsi="Calibri" w:cs="Times New Roman"/>
                <w:b/>
                <w:iCs/>
                <w:color w:val="FFFFFF" w:themeColor="background1"/>
                <w:sz w:val="20"/>
                <w:szCs w:val="20"/>
                <w:lang w:eastAsia="en-AU"/>
              </w:rPr>
            </w:pPr>
            <w:r w:rsidRPr="003A56EF">
              <w:rPr>
                <w:rFonts w:ascii="Calibri" w:eastAsia="Times New Roman" w:hAnsi="Calibri" w:cs="Times New Roman"/>
                <w:b/>
                <w:iCs/>
                <w:color w:val="FFFFFF" w:themeColor="background1"/>
                <w:sz w:val="20"/>
                <w:szCs w:val="20"/>
                <w:lang w:eastAsia="en-AU"/>
              </w:rPr>
              <w:t xml:space="preserve">Total </w:t>
            </w:r>
            <w:r w:rsidR="00446D4A">
              <w:rPr>
                <w:rFonts w:ascii="Calibri" w:eastAsia="Times New Roman" w:hAnsi="Calibri" w:cs="Times New Roman"/>
                <w:b/>
                <w:iCs/>
                <w:color w:val="FFFFFF" w:themeColor="background1"/>
                <w:sz w:val="20"/>
                <w:szCs w:val="20"/>
                <w:lang w:eastAsia="en-AU"/>
              </w:rPr>
              <w:t>payments</w:t>
            </w:r>
          </w:p>
        </w:tc>
        <w:tc>
          <w:tcPr>
            <w:tcW w:w="597" w:type="pct"/>
            <w:tcBorders>
              <w:top w:val="nil"/>
              <w:left w:val="single" w:sz="4" w:space="0" w:color="auto"/>
              <w:bottom w:val="single" w:sz="4" w:space="0" w:color="auto"/>
              <w:right w:val="nil"/>
            </w:tcBorders>
            <w:shd w:val="clear" w:color="000000" w:fill="3D4D7D"/>
            <w:vAlign w:val="center"/>
            <w:hideMark/>
          </w:tcPr>
          <w:p w14:paraId="1C08DA62" w14:textId="56261AF1" w:rsidR="00BF2AFF" w:rsidRPr="003A56EF" w:rsidRDefault="00BF2AFF" w:rsidP="00207AE7">
            <w:pPr>
              <w:spacing w:line="240" w:lineRule="auto"/>
              <w:jc w:val="center"/>
              <w:rPr>
                <w:rFonts w:ascii="Calibri" w:eastAsia="Times New Roman" w:hAnsi="Calibri" w:cs="Times New Roman"/>
                <w:iCs/>
                <w:color w:val="FFFFFF" w:themeColor="background1"/>
                <w:sz w:val="20"/>
                <w:szCs w:val="20"/>
                <w:lang w:eastAsia="en-AU"/>
              </w:rPr>
            </w:pPr>
            <w:r w:rsidRPr="003A56EF">
              <w:rPr>
                <w:rFonts w:ascii="Calibri" w:hAnsi="Calibri"/>
                <w:b/>
                <w:bCs/>
                <w:color w:val="FFFFFF" w:themeColor="background1"/>
                <w:sz w:val="20"/>
                <w:szCs w:val="20"/>
              </w:rPr>
              <w:t>24.5</w:t>
            </w:r>
          </w:p>
        </w:tc>
        <w:tc>
          <w:tcPr>
            <w:tcW w:w="599" w:type="pct"/>
            <w:tcBorders>
              <w:top w:val="nil"/>
              <w:left w:val="nil"/>
              <w:bottom w:val="single" w:sz="4" w:space="0" w:color="auto"/>
              <w:right w:val="single" w:sz="4" w:space="0" w:color="auto"/>
            </w:tcBorders>
            <w:shd w:val="clear" w:color="000000" w:fill="3D4D7D"/>
            <w:vAlign w:val="center"/>
            <w:hideMark/>
          </w:tcPr>
          <w:p w14:paraId="1AAE9A1A" w14:textId="0EE47E13" w:rsidR="00BF2AFF" w:rsidRPr="003A56EF" w:rsidRDefault="00BF2AFF" w:rsidP="00207AE7">
            <w:pPr>
              <w:spacing w:line="240" w:lineRule="auto"/>
              <w:jc w:val="center"/>
              <w:rPr>
                <w:rFonts w:ascii="Calibri" w:eastAsia="Times New Roman" w:hAnsi="Calibri" w:cs="Times New Roman"/>
                <w:iCs/>
                <w:color w:val="FFFFFF" w:themeColor="background1"/>
                <w:sz w:val="20"/>
                <w:szCs w:val="20"/>
                <w:lang w:eastAsia="en-AU"/>
              </w:rPr>
            </w:pPr>
            <w:r w:rsidRPr="003A56EF">
              <w:rPr>
                <w:rFonts w:ascii="Calibri" w:hAnsi="Calibri"/>
                <w:b/>
                <w:bCs/>
                <w:color w:val="FFFFFF" w:themeColor="background1"/>
                <w:sz w:val="20"/>
                <w:szCs w:val="20"/>
              </w:rPr>
              <w:t>26.1</w:t>
            </w:r>
          </w:p>
        </w:tc>
        <w:tc>
          <w:tcPr>
            <w:tcW w:w="2383" w:type="pct"/>
            <w:tcBorders>
              <w:top w:val="nil"/>
              <w:left w:val="single" w:sz="4" w:space="0" w:color="auto"/>
              <w:bottom w:val="single" w:sz="4" w:space="0" w:color="auto"/>
              <w:right w:val="single" w:sz="4" w:space="0" w:color="auto"/>
            </w:tcBorders>
            <w:shd w:val="clear" w:color="000000" w:fill="3D4D7D"/>
            <w:vAlign w:val="center"/>
            <w:hideMark/>
          </w:tcPr>
          <w:p w14:paraId="6F6F6DBF" w14:textId="77777777" w:rsidR="00BF2AFF" w:rsidRPr="003A56EF" w:rsidRDefault="00BF2AFF" w:rsidP="00207AE7">
            <w:pPr>
              <w:spacing w:line="240" w:lineRule="auto"/>
              <w:rPr>
                <w:rFonts w:ascii="Calibri" w:eastAsia="Times New Roman" w:hAnsi="Calibri" w:cs="Times New Roman"/>
                <w:iCs/>
                <w:color w:val="FFFFFF" w:themeColor="background1"/>
                <w:sz w:val="20"/>
                <w:szCs w:val="20"/>
                <w:lang w:eastAsia="en-AU"/>
              </w:rPr>
            </w:pPr>
            <w:r w:rsidRPr="003A56EF">
              <w:rPr>
                <w:rFonts w:ascii="Calibri" w:eastAsia="Times New Roman" w:hAnsi="Calibri" w:cs="Times New Roman"/>
                <w:iCs/>
                <w:color w:val="FFFFFF" w:themeColor="background1"/>
                <w:sz w:val="20"/>
                <w:szCs w:val="20"/>
                <w:lang w:eastAsia="en-AU"/>
              </w:rPr>
              <w:t> </w:t>
            </w:r>
          </w:p>
        </w:tc>
      </w:tr>
    </w:tbl>
    <w:p w14:paraId="42AF261A" w14:textId="77777777" w:rsidR="00E44F73" w:rsidRPr="00EB2092" w:rsidRDefault="00E44F73" w:rsidP="00E44F73">
      <w:pPr>
        <w:pStyle w:val="Sourcenospacing"/>
        <w:ind w:left="0"/>
      </w:pPr>
      <w:bookmarkStart w:id="122" w:name="_Toc58271455"/>
      <w:r w:rsidRPr="00572B63">
        <w:t>Source:</w:t>
      </w:r>
      <w:r w:rsidRPr="00E44F73">
        <w:t xml:space="preserve"> 2020-21 Budget and PBO analysis.</w:t>
      </w:r>
      <w:r w:rsidRPr="00EB2092">
        <w:br w:type="page"/>
      </w:r>
    </w:p>
    <w:p w14:paraId="5C0A09DC" w14:textId="36A0AD56" w:rsidR="00AD02FE" w:rsidRPr="00EB2092" w:rsidRDefault="00AD02FE" w:rsidP="00AD02FE">
      <w:pPr>
        <w:pStyle w:val="Heading1NoNumbering"/>
        <w:spacing w:after="360"/>
      </w:pPr>
      <w:r w:rsidRPr="00EB2092">
        <w:lastRenderedPageBreak/>
        <w:t>Appendix B – Changes in the PBO’s projections since the previous report</w:t>
      </w:r>
      <w:bookmarkEnd w:id="122"/>
    </w:p>
    <w:p w14:paraId="3416AD24" w14:textId="0D4407DE" w:rsidR="00AD02FE" w:rsidRPr="00EB2092" w:rsidRDefault="00AD02FE" w:rsidP="00AD02FE">
      <w:pPr>
        <w:pStyle w:val="BodyText"/>
      </w:pPr>
      <w:r w:rsidRPr="00EB2092">
        <w:t xml:space="preserve">This appendix describes the reasons for changes in modelled receipts and payments </w:t>
      </w:r>
      <w:r w:rsidR="00656031" w:rsidRPr="00EB2092">
        <w:t xml:space="preserve">as a per cent of GDP </w:t>
      </w:r>
      <w:r w:rsidR="00595EB2" w:rsidRPr="00EB2092">
        <w:t xml:space="preserve">in this report </w:t>
      </w:r>
      <w:r w:rsidRPr="00EB2092">
        <w:t>compared to the previous report.</w:t>
      </w:r>
      <w:r w:rsidR="00656031" w:rsidRPr="00EB2092">
        <w:t xml:space="preserve">  </w:t>
      </w:r>
    </w:p>
    <w:p w14:paraId="0A992C28" w14:textId="77777777" w:rsidR="00D82819" w:rsidRPr="00EB2092" w:rsidRDefault="00D82819" w:rsidP="00AD02FE">
      <w:pPr>
        <w:pStyle w:val="BodyText"/>
      </w:pPr>
    </w:p>
    <w:p w14:paraId="6A23C9EA" w14:textId="166F8364" w:rsidR="00654F08" w:rsidRPr="00EB2092" w:rsidRDefault="00595EB2" w:rsidP="003942A6">
      <w:pPr>
        <w:pStyle w:val="Caption"/>
      </w:pPr>
      <w:r w:rsidRPr="00EB2092">
        <w:t xml:space="preserve">Table B-1: </w:t>
      </w:r>
      <w:r w:rsidR="00654F08" w:rsidRPr="00EB2092">
        <w:t>Changes i</w:t>
      </w:r>
      <w:r w:rsidR="00D52C57" w:rsidRPr="00EB2092">
        <w:t>n</w:t>
      </w:r>
      <w:r w:rsidR="00654F08" w:rsidRPr="00EB2092">
        <w:t xml:space="preserve"> receipts projections</w:t>
      </w:r>
    </w:p>
    <w:tbl>
      <w:tblPr>
        <w:tblW w:w="5000" w:type="pct"/>
        <w:tblLayout w:type="fixed"/>
        <w:tblLook w:val="04A0" w:firstRow="1" w:lastRow="0" w:firstColumn="1" w:lastColumn="0" w:noHBand="0" w:noVBand="1"/>
      </w:tblPr>
      <w:tblGrid>
        <w:gridCol w:w="2659"/>
        <w:gridCol w:w="994"/>
        <w:gridCol w:w="994"/>
        <w:gridCol w:w="4640"/>
      </w:tblGrid>
      <w:tr w:rsidR="00450D28" w:rsidRPr="00EB2092" w14:paraId="613971B1" w14:textId="77777777" w:rsidTr="00572B63">
        <w:trPr>
          <w:trHeight w:val="780"/>
        </w:trPr>
        <w:tc>
          <w:tcPr>
            <w:tcW w:w="1432" w:type="pct"/>
            <w:vMerge w:val="restart"/>
            <w:tcBorders>
              <w:top w:val="single" w:sz="4" w:space="0" w:color="auto"/>
              <w:left w:val="single" w:sz="4" w:space="0" w:color="auto"/>
              <w:bottom w:val="nil"/>
              <w:right w:val="single" w:sz="8" w:space="0" w:color="FFFFFF"/>
            </w:tcBorders>
            <w:shd w:val="clear" w:color="000000" w:fill="3D4D7D"/>
            <w:vAlign w:val="center"/>
            <w:hideMark/>
          </w:tcPr>
          <w:p w14:paraId="5229C2C3" w14:textId="77777777" w:rsidR="00E3482B" w:rsidRPr="00EB2092" w:rsidRDefault="00E3482B" w:rsidP="00D82819">
            <w:pPr>
              <w:spacing w:line="240" w:lineRule="auto"/>
              <w:jc w:val="center"/>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Receipts</w:t>
            </w:r>
          </w:p>
        </w:tc>
        <w:tc>
          <w:tcPr>
            <w:tcW w:w="1069" w:type="pct"/>
            <w:gridSpan w:val="2"/>
            <w:tcBorders>
              <w:top w:val="single" w:sz="4" w:space="0" w:color="auto"/>
              <w:left w:val="single" w:sz="8" w:space="0" w:color="FFFFFF"/>
              <w:bottom w:val="single" w:sz="8" w:space="0" w:color="FFFFFF"/>
              <w:right w:val="single" w:sz="8" w:space="0" w:color="FFFFFF"/>
            </w:tcBorders>
            <w:shd w:val="clear" w:color="000000" w:fill="3D4D7D"/>
            <w:vAlign w:val="center"/>
            <w:hideMark/>
          </w:tcPr>
          <w:p w14:paraId="27218710" w14:textId="77777777" w:rsidR="00E3482B" w:rsidRPr="00EB2092" w:rsidRDefault="00E3482B" w:rsidP="00D82819">
            <w:pPr>
              <w:spacing w:line="240" w:lineRule="auto"/>
              <w:jc w:val="center"/>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Per cent of GDP, 2029-30</w:t>
            </w:r>
          </w:p>
        </w:tc>
        <w:tc>
          <w:tcPr>
            <w:tcW w:w="2499" w:type="pct"/>
            <w:vMerge w:val="restart"/>
            <w:tcBorders>
              <w:top w:val="single" w:sz="4" w:space="0" w:color="auto"/>
              <w:left w:val="nil"/>
              <w:right w:val="single" w:sz="4" w:space="0" w:color="auto"/>
            </w:tcBorders>
            <w:shd w:val="clear" w:color="000000" w:fill="3D4D7D"/>
            <w:vAlign w:val="center"/>
            <w:hideMark/>
          </w:tcPr>
          <w:p w14:paraId="4C472A95" w14:textId="30BD271E" w:rsidR="00E3482B" w:rsidRPr="00EB2092" w:rsidRDefault="00E3482B" w:rsidP="00B97799">
            <w:pPr>
              <w:spacing w:line="240" w:lineRule="auto"/>
              <w:jc w:val="center"/>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 xml:space="preserve">Drivers of difference from previous report </w:t>
            </w:r>
            <w:r>
              <w:rPr>
                <w:rFonts w:ascii="Calibri" w:eastAsia="Times New Roman" w:hAnsi="Calibri" w:cs="Times New Roman"/>
                <w:b/>
                <w:bCs/>
                <w:color w:val="FFFFFF"/>
                <w:sz w:val="20"/>
                <w:szCs w:val="20"/>
                <w:lang w:eastAsia="en-AU"/>
              </w:rPr>
              <w:br/>
            </w:r>
            <w:r w:rsidRPr="00EB2092">
              <w:rPr>
                <w:rFonts w:ascii="Calibri" w:eastAsia="Times New Roman" w:hAnsi="Calibri" w:cs="Times New Roman"/>
                <w:b/>
                <w:bCs/>
                <w:color w:val="FFFFFF"/>
                <w:sz w:val="20"/>
                <w:szCs w:val="20"/>
                <w:lang w:eastAsia="en-AU"/>
              </w:rPr>
              <w:t>(per</w:t>
            </w:r>
            <w:r>
              <w:rPr>
                <w:rFonts w:ascii="Calibri" w:eastAsia="Times New Roman" w:hAnsi="Calibri" w:cs="Times New Roman"/>
                <w:b/>
                <w:bCs/>
                <w:color w:val="FFFFFF"/>
                <w:sz w:val="20"/>
                <w:szCs w:val="20"/>
                <w:lang w:eastAsia="en-AU"/>
              </w:rPr>
              <w:t>centage points</w:t>
            </w:r>
            <w:r w:rsidRPr="00EB2092">
              <w:rPr>
                <w:rFonts w:ascii="Calibri" w:eastAsia="Times New Roman" w:hAnsi="Calibri" w:cs="Times New Roman"/>
                <w:b/>
                <w:bCs/>
                <w:color w:val="FFFFFF"/>
                <w:sz w:val="20"/>
                <w:szCs w:val="20"/>
                <w:lang w:eastAsia="en-AU"/>
              </w:rPr>
              <w:t xml:space="preserve"> of GDP)</w:t>
            </w:r>
            <w:r w:rsidRPr="00EB2092">
              <w:rPr>
                <w:rFonts w:ascii="Calibri" w:eastAsia="Times New Roman" w:hAnsi="Calibri" w:cs="Times New Roman"/>
                <w:b/>
                <w:bCs/>
                <w:color w:val="FFFFFF"/>
                <w:sz w:val="18"/>
                <w:szCs w:val="18"/>
                <w:lang w:eastAsia="en-AU"/>
              </w:rPr>
              <w:t> </w:t>
            </w:r>
          </w:p>
        </w:tc>
      </w:tr>
      <w:tr w:rsidR="00450D28" w:rsidRPr="00EB2092" w14:paraId="2182C073" w14:textId="77777777" w:rsidTr="00572B63">
        <w:trPr>
          <w:trHeight w:val="255"/>
        </w:trPr>
        <w:tc>
          <w:tcPr>
            <w:tcW w:w="1432" w:type="pct"/>
            <w:vMerge/>
            <w:tcBorders>
              <w:top w:val="nil"/>
              <w:left w:val="single" w:sz="4" w:space="0" w:color="auto"/>
              <w:bottom w:val="nil"/>
              <w:right w:val="single" w:sz="8" w:space="0" w:color="FFFFFF"/>
            </w:tcBorders>
            <w:vAlign w:val="center"/>
            <w:hideMark/>
          </w:tcPr>
          <w:p w14:paraId="73CB6BCA" w14:textId="77777777" w:rsidR="00E3482B" w:rsidRPr="00EB2092" w:rsidRDefault="00E3482B" w:rsidP="00D82819">
            <w:pPr>
              <w:spacing w:line="240" w:lineRule="auto"/>
              <w:rPr>
                <w:rFonts w:ascii="Calibri" w:eastAsia="Times New Roman" w:hAnsi="Calibri" w:cs="Times New Roman"/>
                <w:b/>
                <w:bCs/>
                <w:color w:val="FFFFFF"/>
                <w:sz w:val="20"/>
                <w:szCs w:val="20"/>
                <w:lang w:eastAsia="en-AU"/>
              </w:rPr>
            </w:pPr>
          </w:p>
        </w:tc>
        <w:tc>
          <w:tcPr>
            <w:tcW w:w="535" w:type="pct"/>
            <w:tcBorders>
              <w:top w:val="nil"/>
              <w:left w:val="nil"/>
              <w:bottom w:val="nil"/>
              <w:right w:val="nil"/>
            </w:tcBorders>
            <w:shd w:val="clear" w:color="000000" w:fill="3D4D7D"/>
            <w:vAlign w:val="center"/>
            <w:hideMark/>
          </w:tcPr>
          <w:p w14:paraId="5DF31214" w14:textId="77777777" w:rsidR="00E3482B" w:rsidRPr="00EB2092" w:rsidRDefault="00E3482B" w:rsidP="00D82819">
            <w:pPr>
              <w:spacing w:line="240" w:lineRule="auto"/>
              <w:jc w:val="center"/>
              <w:rPr>
                <w:rFonts w:ascii="Calibri" w:eastAsia="Times New Roman" w:hAnsi="Calibri" w:cs="Times New Roman"/>
                <w:b/>
                <w:bCs/>
                <w:color w:val="FFFFFF"/>
                <w:sz w:val="18"/>
                <w:szCs w:val="18"/>
                <w:lang w:eastAsia="en-AU"/>
              </w:rPr>
            </w:pPr>
            <w:r w:rsidRPr="00EB2092">
              <w:rPr>
                <w:rFonts w:ascii="Calibri" w:eastAsia="Times New Roman" w:hAnsi="Calibri" w:cs="Times New Roman"/>
                <w:b/>
                <w:bCs/>
                <w:color w:val="FFFFFF"/>
                <w:sz w:val="18"/>
                <w:szCs w:val="18"/>
                <w:lang w:eastAsia="en-AU"/>
              </w:rPr>
              <w:t>Previous report</w:t>
            </w:r>
          </w:p>
        </w:tc>
        <w:tc>
          <w:tcPr>
            <w:tcW w:w="534" w:type="pct"/>
            <w:tcBorders>
              <w:top w:val="nil"/>
              <w:left w:val="nil"/>
              <w:bottom w:val="nil"/>
              <w:right w:val="single" w:sz="8" w:space="0" w:color="FFFFFF"/>
            </w:tcBorders>
            <w:shd w:val="clear" w:color="000000" w:fill="3D4D7D"/>
            <w:vAlign w:val="center"/>
            <w:hideMark/>
          </w:tcPr>
          <w:p w14:paraId="5109601B" w14:textId="77777777" w:rsidR="00E3482B" w:rsidRPr="00EB2092" w:rsidRDefault="00E3482B" w:rsidP="00D82819">
            <w:pPr>
              <w:spacing w:line="240" w:lineRule="auto"/>
              <w:jc w:val="center"/>
              <w:rPr>
                <w:rFonts w:ascii="Calibri" w:eastAsia="Times New Roman" w:hAnsi="Calibri" w:cs="Times New Roman"/>
                <w:b/>
                <w:bCs/>
                <w:color w:val="FFFFFF"/>
                <w:sz w:val="18"/>
                <w:szCs w:val="18"/>
                <w:lang w:eastAsia="en-AU"/>
              </w:rPr>
            </w:pPr>
            <w:r w:rsidRPr="00EB2092">
              <w:rPr>
                <w:rFonts w:ascii="Calibri" w:eastAsia="Times New Roman" w:hAnsi="Calibri" w:cs="Times New Roman"/>
                <w:b/>
                <w:bCs/>
                <w:color w:val="FFFFFF"/>
                <w:sz w:val="18"/>
                <w:szCs w:val="18"/>
                <w:lang w:eastAsia="en-AU"/>
              </w:rPr>
              <w:t>Current report</w:t>
            </w:r>
          </w:p>
        </w:tc>
        <w:tc>
          <w:tcPr>
            <w:tcW w:w="2499" w:type="pct"/>
            <w:vMerge/>
            <w:tcBorders>
              <w:left w:val="nil"/>
              <w:bottom w:val="nil"/>
              <w:right w:val="single" w:sz="4" w:space="0" w:color="auto"/>
            </w:tcBorders>
            <w:shd w:val="clear" w:color="000000" w:fill="3D4D7D"/>
            <w:vAlign w:val="center"/>
            <w:hideMark/>
          </w:tcPr>
          <w:p w14:paraId="6FB8D9A7" w14:textId="31D8A628" w:rsidR="00E3482B" w:rsidRPr="00EB2092" w:rsidRDefault="00E3482B" w:rsidP="00D82819">
            <w:pPr>
              <w:spacing w:line="240" w:lineRule="auto"/>
              <w:jc w:val="center"/>
              <w:rPr>
                <w:rFonts w:ascii="Calibri" w:eastAsia="Times New Roman" w:hAnsi="Calibri" w:cs="Times New Roman"/>
                <w:b/>
                <w:bCs/>
                <w:color w:val="FFFFFF"/>
                <w:sz w:val="18"/>
                <w:szCs w:val="18"/>
                <w:lang w:eastAsia="en-AU"/>
              </w:rPr>
            </w:pPr>
          </w:p>
        </w:tc>
      </w:tr>
      <w:tr w:rsidR="00450D28" w:rsidRPr="00EB2092" w14:paraId="7F58EFFA" w14:textId="77777777" w:rsidTr="00572B63">
        <w:trPr>
          <w:trHeight w:val="255"/>
        </w:trPr>
        <w:tc>
          <w:tcPr>
            <w:tcW w:w="1432" w:type="pct"/>
            <w:tcBorders>
              <w:top w:val="nil"/>
              <w:left w:val="single" w:sz="4" w:space="0" w:color="auto"/>
              <w:bottom w:val="nil"/>
              <w:right w:val="single" w:sz="4" w:space="0" w:color="3D4D7D"/>
            </w:tcBorders>
            <w:shd w:val="clear" w:color="000000" w:fill="7C8CBF"/>
            <w:vAlign w:val="center"/>
            <w:hideMark/>
          </w:tcPr>
          <w:p w14:paraId="301DBB18" w14:textId="77777777" w:rsidR="00D82819" w:rsidRPr="00EB2092" w:rsidRDefault="00D82819" w:rsidP="00D82819">
            <w:pPr>
              <w:spacing w:line="240" w:lineRule="auto"/>
              <w:rPr>
                <w:rFonts w:ascii="Calibri" w:eastAsia="Times New Roman" w:hAnsi="Calibri" w:cs="Times New Roman"/>
                <w:color w:val="000000"/>
                <w:sz w:val="14"/>
                <w:szCs w:val="14"/>
                <w:lang w:eastAsia="en-AU"/>
              </w:rPr>
            </w:pPr>
            <w:r w:rsidRPr="00EB2092">
              <w:rPr>
                <w:rFonts w:ascii="Calibri" w:eastAsia="Times New Roman" w:hAnsi="Calibri" w:cs="Times New Roman"/>
                <w:color w:val="000000"/>
                <w:sz w:val="14"/>
                <w:szCs w:val="14"/>
                <w:lang w:eastAsia="en-AU"/>
              </w:rPr>
              <w:t> </w:t>
            </w:r>
          </w:p>
        </w:tc>
        <w:tc>
          <w:tcPr>
            <w:tcW w:w="1069" w:type="pct"/>
            <w:gridSpan w:val="2"/>
            <w:tcBorders>
              <w:top w:val="nil"/>
              <w:left w:val="nil"/>
              <w:bottom w:val="nil"/>
              <w:right w:val="single" w:sz="8" w:space="0" w:color="3D4D7D"/>
            </w:tcBorders>
            <w:shd w:val="clear" w:color="000000" w:fill="7C8CBF"/>
            <w:vAlign w:val="center"/>
            <w:hideMark/>
          </w:tcPr>
          <w:p w14:paraId="7F9F4DD9" w14:textId="77777777" w:rsidR="00D82819" w:rsidRPr="00EB2092" w:rsidRDefault="00D82819" w:rsidP="00D82819">
            <w:pPr>
              <w:spacing w:line="240" w:lineRule="auto"/>
              <w:jc w:val="center"/>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w:t>
            </w:r>
          </w:p>
        </w:tc>
        <w:tc>
          <w:tcPr>
            <w:tcW w:w="2499" w:type="pct"/>
            <w:tcBorders>
              <w:top w:val="nil"/>
              <w:left w:val="nil"/>
              <w:bottom w:val="nil"/>
              <w:right w:val="single" w:sz="4" w:space="0" w:color="auto"/>
            </w:tcBorders>
            <w:shd w:val="clear" w:color="000000" w:fill="7C8CBF"/>
            <w:vAlign w:val="center"/>
            <w:hideMark/>
          </w:tcPr>
          <w:p w14:paraId="1D7A7EA3" w14:textId="77777777" w:rsidR="00D82819" w:rsidRPr="00EB2092" w:rsidRDefault="00D82819" w:rsidP="00D82819">
            <w:pPr>
              <w:spacing w:line="240" w:lineRule="auto"/>
              <w:jc w:val="center"/>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 </w:t>
            </w:r>
          </w:p>
        </w:tc>
      </w:tr>
      <w:tr w:rsidR="00450D28" w:rsidRPr="00EB2092" w14:paraId="5AE9EB44" w14:textId="77777777" w:rsidTr="00572B63">
        <w:trPr>
          <w:trHeight w:val="510"/>
        </w:trPr>
        <w:tc>
          <w:tcPr>
            <w:tcW w:w="1432" w:type="pct"/>
            <w:tcBorders>
              <w:top w:val="nil"/>
              <w:left w:val="single" w:sz="4" w:space="0" w:color="auto"/>
              <w:bottom w:val="nil"/>
              <w:right w:val="single" w:sz="4" w:space="0" w:color="3D4D7D"/>
            </w:tcBorders>
            <w:shd w:val="clear" w:color="000000" w:fill="D3D8E9"/>
            <w:vAlign w:val="center"/>
            <w:hideMark/>
          </w:tcPr>
          <w:p w14:paraId="11FB55F0" w14:textId="77777777" w:rsidR="00D82819" w:rsidRPr="00EB2092" w:rsidRDefault="00D82819" w:rsidP="00D82819">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Individuals and other withholding taxes</w:t>
            </w:r>
          </w:p>
        </w:tc>
        <w:tc>
          <w:tcPr>
            <w:tcW w:w="535" w:type="pct"/>
            <w:tcBorders>
              <w:top w:val="nil"/>
              <w:left w:val="nil"/>
              <w:bottom w:val="nil"/>
              <w:right w:val="nil"/>
            </w:tcBorders>
            <w:shd w:val="clear" w:color="000000" w:fill="D3D8E9"/>
            <w:vAlign w:val="center"/>
            <w:hideMark/>
          </w:tcPr>
          <w:p w14:paraId="721CA549" w14:textId="77777777" w:rsidR="00D82819" w:rsidRPr="00EB2092" w:rsidRDefault="00D82819" w:rsidP="00D82819">
            <w:pPr>
              <w:spacing w:line="240" w:lineRule="auto"/>
              <w:jc w:val="center"/>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12.0</w:t>
            </w:r>
          </w:p>
        </w:tc>
        <w:tc>
          <w:tcPr>
            <w:tcW w:w="535" w:type="pct"/>
            <w:tcBorders>
              <w:top w:val="nil"/>
              <w:left w:val="nil"/>
              <w:bottom w:val="nil"/>
              <w:right w:val="single" w:sz="4" w:space="0" w:color="3D4D7D"/>
            </w:tcBorders>
            <w:shd w:val="clear" w:color="000000" w:fill="D3D8E9"/>
            <w:vAlign w:val="center"/>
            <w:hideMark/>
          </w:tcPr>
          <w:p w14:paraId="4FFDDE33" w14:textId="77777777" w:rsidR="00D82819" w:rsidRPr="00EB2092" w:rsidRDefault="00D82819" w:rsidP="00D82819">
            <w:pPr>
              <w:spacing w:line="240" w:lineRule="auto"/>
              <w:jc w:val="center"/>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11.6</w:t>
            </w:r>
          </w:p>
        </w:tc>
        <w:tc>
          <w:tcPr>
            <w:tcW w:w="2499" w:type="pct"/>
            <w:tcBorders>
              <w:top w:val="nil"/>
              <w:left w:val="nil"/>
              <w:bottom w:val="nil"/>
              <w:right w:val="single" w:sz="4" w:space="0" w:color="auto"/>
            </w:tcBorders>
            <w:shd w:val="clear" w:color="000000" w:fill="D3D8E9"/>
            <w:vAlign w:val="center"/>
            <w:hideMark/>
          </w:tcPr>
          <w:p w14:paraId="59422DF5" w14:textId="77777777" w:rsidR="00D82819" w:rsidRPr="00EB2092" w:rsidRDefault="00D82819" w:rsidP="00D82819">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 xml:space="preserve">Downward revision driven by lower wages levels.  </w:t>
            </w:r>
          </w:p>
        </w:tc>
      </w:tr>
      <w:tr w:rsidR="00450D28" w:rsidRPr="00EB2092" w14:paraId="780B0931" w14:textId="77777777" w:rsidTr="00572B63">
        <w:trPr>
          <w:trHeight w:val="621"/>
        </w:trPr>
        <w:tc>
          <w:tcPr>
            <w:tcW w:w="1432" w:type="pct"/>
            <w:tcBorders>
              <w:top w:val="nil"/>
              <w:left w:val="single" w:sz="4" w:space="0" w:color="auto"/>
              <w:bottom w:val="nil"/>
              <w:right w:val="single" w:sz="4" w:space="0" w:color="3D4D7D"/>
            </w:tcBorders>
            <w:shd w:val="clear" w:color="auto" w:fill="auto"/>
            <w:vAlign w:val="center"/>
            <w:hideMark/>
          </w:tcPr>
          <w:p w14:paraId="5AF372AF" w14:textId="77777777" w:rsidR="00D82819" w:rsidRPr="00EB2092" w:rsidRDefault="00D82819" w:rsidP="00D82819">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Company tax</w:t>
            </w:r>
          </w:p>
        </w:tc>
        <w:tc>
          <w:tcPr>
            <w:tcW w:w="535" w:type="pct"/>
            <w:tcBorders>
              <w:top w:val="nil"/>
              <w:left w:val="nil"/>
              <w:bottom w:val="nil"/>
              <w:right w:val="nil"/>
            </w:tcBorders>
            <w:shd w:val="clear" w:color="auto" w:fill="auto"/>
            <w:vAlign w:val="center"/>
            <w:hideMark/>
          </w:tcPr>
          <w:p w14:paraId="48837B64" w14:textId="77777777" w:rsidR="00D82819" w:rsidRPr="00EB2092" w:rsidRDefault="00D82819" w:rsidP="00D82819">
            <w:pPr>
              <w:spacing w:line="240" w:lineRule="auto"/>
              <w:jc w:val="center"/>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4.9</w:t>
            </w:r>
          </w:p>
        </w:tc>
        <w:tc>
          <w:tcPr>
            <w:tcW w:w="535" w:type="pct"/>
            <w:tcBorders>
              <w:top w:val="nil"/>
              <w:left w:val="nil"/>
              <w:bottom w:val="nil"/>
              <w:right w:val="single" w:sz="4" w:space="0" w:color="3D4D7D"/>
            </w:tcBorders>
            <w:shd w:val="clear" w:color="auto" w:fill="auto"/>
            <w:vAlign w:val="center"/>
            <w:hideMark/>
          </w:tcPr>
          <w:p w14:paraId="772180AB" w14:textId="77777777" w:rsidR="00D82819" w:rsidRPr="00EB2092" w:rsidRDefault="00D82819" w:rsidP="00D82819">
            <w:pPr>
              <w:spacing w:line="240" w:lineRule="auto"/>
              <w:jc w:val="center"/>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4.3</w:t>
            </w:r>
          </w:p>
        </w:tc>
        <w:tc>
          <w:tcPr>
            <w:tcW w:w="2499" w:type="pct"/>
            <w:tcBorders>
              <w:top w:val="nil"/>
              <w:left w:val="nil"/>
              <w:bottom w:val="nil"/>
              <w:right w:val="single" w:sz="4" w:space="0" w:color="auto"/>
            </w:tcBorders>
            <w:shd w:val="clear" w:color="auto" w:fill="auto"/>
            <w:vAlign w:val="center"/>
            <w:hideMark/>
          </w:tcPr>
          <w:p w14:paraId="5B521C0D" w14:textId="5292635C" w:rsidR="00D82819" w:rsidRPr="00EB2092" w:rsidRDefault="00D82819" w:rsidP="00D82819">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 xml:space="preserve">Downward revision since previous report, resulting from weaker company tax receipts due to the </w:t>
            </w:r>
            <w:r w:rsidR="00450D28">
              <w:rPr>
                <w:rFonts w:ascii="Calibri" w:eastAsia="Times New Roman" w:hAnsi="Calibri" w:cs="Times New Roman"/>
                <w:color w:val="000000"/>
                <w:sz w:val="20"/>
                <w:szCs w:val="20"/>
                <w:lang w:eastAsia="en-AU"/>
              </w:rPr>
              <w:br/>
            </w:r>
            <w:r w:rsidRPr="00EB2092">
              <w:rPr>
                <w:rFonts w:ascii="Calibri" w:eastAsia="Times New Roman" w:hAnsi="Calibri" w:cs="Times New Roman"/>
                <w:color w:val="000000"/>
                <w:sz w:val="20"/>
                <w:szCs w:val="20"/>
                <w:lang w:eastAsia="en-AU"/>
              </w:rPr>
              <w:t>COVID-19 pandemic.</w:t>
            </w:r>
          </w:p>
        </w:tc>
      </w:tr>
      <w:tr w:rsidR="00450D28" w:rsidRPr="00EB2092" w14:paraId="589BD78C" w14:textId="77777777" w:rsidTr="00572B63">
        <w:trPr>
          <w:trHeight w:val="510"/>
        </w:trPr>
        <w:tc>
          <w:tcPr>
            <w:tcW w:w="1432" w:type="pct"/>
            <w:tcBorders>
              <w:top w:val="nil"/>
              <w:left w:val="single" w:sz="4" w:space="0" w:color="auto"/>
              <w:bottom w:val="nil"/>
              <w:right w:val="single" w:sz="4" w:space="0" w:color="3D4D7D"/>
            </w:tcBorders>
            <w:shd w:val="clear" w:color="000000" w:fill="D3D8E9"/>
            <w:vAlign w:val="center"/>
            <w:hideMark/>
          </w:tcPr>
          <w:p w14:paraId="5A6CA146" w14:textId="77777777" w:rsidR="00D82819" w:rsidRPr="00EB2092" w:rsidRDefault="00D82819" w:rsidP="00D82819">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Goods and services tax</w:t>
            </w:r>
          </w:p>
        </w:tc>
        <w:tc>
          <w:tcPr>
            <w:tcW w:w="535" w:type="pct"/>
            <w:tcBorders>
              <w:top w:val="nil"/>
              <w:left w:val="nil"/>
              <w:bottom w:val="nil"/>
              <w:right w:val="nil"/>
            </w:tcBorders>
            <w:shd w:val="clear" w:color="000000" w:fill="D3D8E9"/>
            <w:vAlign w:val="center"/>
            <w:hideMark/>
          </w:tcPr>
          <w:p w14:paraId="1473D9AB" w14:textId="77777777" w:rsidR="00D82819" w:rsidRPr="00EB2092" w:rsidRDefault="00D82819" w:rsidP="00D82819">
            <w:pPr>
              <w:spacing w:line="240" w:lineRule="auto"/>
              <w:jc w:val="center"/>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3.4</w:t>
            </w:r>
          </w:p>
        </w:tc>
        <w:tc>
          <w:tcPr>
            <w:tcW w:w="535" w:type="pct"/>
            <w:tcBorders>
              <w:top w:val="nil"/>
              <w:left w:val="nil"/>
              <w:bottom w:val="nil"/>
              <w:right w:val="single" w:sz="4" w:space="0" w:color="3D4D7D"/>
            </w:tcBorders>
            <w:shd w:val="clear" w:color="000000" w:fill="D3D8E9"/>
            <w:vAlign w:val="center"/>
            <w:hideMark/>
          </w:tcPr>
          <w:p w14:paraId="3B72236D" w14:textId="77777777" w:rsidR="00D82819" w:rsidRPr="00EB2092" w:rsidRDefault="00D82819" w:rsidP="00D82819">
            <w:pPr>
              <w:spacing w:line="240" w:lineRule="auto"/>
              <w:jc w:val="center"/>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3.3</w:t>
            </w:r>
          </w:p>
        </w:tc>
        <w:tc>
          <w:tcPr>
            <w:tcW w:w="2499" w:type="pct"/>
            <w:tcBorders>
              <w:top w:val="nil"/>
              <w:left w:val="nil"/>
              <w:bottom w:val="nil"/>
              <w:right w:val="single" w:sz="4" w:space="0" w:color="auto"/>
            </w:tcBorders>
            <w:shd w:val="clear" w:color="000000" w:fill="D3D8E9"/>
            <w:vAlign w:val="center"/>
            <w:hideMark/>
          </w:tcPr>
          <w:p w14:paraId="24C5F02E" w14:textId="6A2156E7" w:rsidR="00D82819" w:rsidRPr="00EB2092" w:rsidRDefault="00D82819" w:rsidP="00B97799">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Broadly unchanged overall, but affected by revised methodology</w:t>
            </w:r>
            <w:r w:rsidR="00B97799">
              <w:rPr>
                <w:rFonts w:ascii="Calibri" w:eastAsia="Times New Roman" w:hAnsi="Calibri" w:cs="Times New Roman"/>
                <w:color w:val="000000"/>
                <w:sz w:val="20"/>
                <w:szCs w:val="20"/>
                <w:lang w:eastAsia="en-AU"/>
              </w:rPr>
              <w:t xml:space="preserve"> (see Box 4)</w:t>
            </w:r>
            <w:r w:rsidRPr="00EB2092">
              <w:rPr>
                <w:rFonts w:ascii="Calibri" w:eastAsia="Times New Roman" w:hAnsi="Calibri" w:cs="Times New Roman"/>
                <w:color w:val="000000"/>
                <w:sz w:val="20"/>
                <w:szCs w:val="20"/>
                <w:lang w:eastAsia="en-AU"/>
              </w:rPr>
              <w:t>.</w:t>
            </w:r>
          </w:p>
        </w:tc>
      </w:tr>
      <w:tr w:rsidR="00450D28" w:rsidRPr="00EB2092" w14:paraId="071B1D44" w14:textId="77777777" w:rsidTr="00572B63">
        <w:trPr>
          <w:trHeight w:val="510"/>
        </w:trPr>
        <w:tc>
          <w:tcPr>
            <w:tcW w:w="1432" w:type="pct"/>
            <w:tcBorders>
              <w:top w:val="nil"/>
              <w:left w:val="single" w:sz="4" w:space="0" w:color="auto"/>
              <w:bottom w:val="nil"/>
              <w:right w:val="single" w:sz="4" w:space="0" w:color="3D4D7D"/>
            </w:tcBorders>
            <w:shd w:val="clear" w:color="auto" w:fill="auto"/>
            <w:vAlign w:val="center"/>
            <w:hideMark/>
          </w:tcPr>
          <w:p w14:paraId="6DA8F098" w14:textId="25F85465" w:rsidR="00D82819" w:rsidRPr="00EB2092" w:rsidRDefault="00D82819" w:rsidP="00D82819">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 xml:space="preserve">Excise and </w:t>
            </w:r>
            <w:r w:rsidR="00FC29D3">
              <w:rPr>
                <w:rFonts w:ascii="Calibri" w:eastAsia="Times New Roman" w:hAnsi="Calibri" w:cs="Times New Roman"/>
                <w:color w:val="000000"/>
                <w:sz w:val="20"/>
                <w:szCs w:val="20"/>
                <w:lang w:eastAsia="en-AU"/>
              </w:rPr>
              <w:t>c</w:t>
            </w:r>
            <w:r w:rsidRPr="00EB2092">
              <w:rPr>
                <w:rFonts w:ascii="Calibri" w:eastAsia="Times New Roman" w:hAnsi="Calibri" w:cs="Times New Roman"/>
                <w:color w:val="000000"/>
                <w:sz w:val="20"/>
                <w:szCs w:val="20"/>
                <w:lang w:eastAsia="en-AU"/>
              </w:rPr>
              <w:t xml:space="preserve">ustoms </w:t>
            </w:r>
            <w:r w:rsidR="0064042C">
              <w:rPr>
                <w:rFonts w:ascii="Calibri" w:eastAsia="Times New Roman" w:hAnsi="Calibri" w:cs="Times New Roman"/>
                <w:color w:val="000000"/>
                <w:sz w:val="20"/>
                <w:szCs w:val="20"/>
                <w:lang w:eastAsia="en-AU"/>
              </w:rPr>
              <w:t>d</w:t>
            </w:r>
            <w:r w:rsidRPr="00EB2092">
              <w:rPr>
                <w:rFonts w:ascii="Calibri" w:eastAsia="Times New Roman" w:hAnsi="Calibri" w:cs="Times New Roman"/>
                <w:color w:val="000000"/>
                <w:sz w:val="20"/>
                <w:szCs w:val="20"/>
                <w:lang w:eastAsia="en-AU"/>
              </w:rPr>
              <w:t>uty</w:t>
            </w:r>
          </w:p>
        </w:tc>
        <w:tc>
          <w:tcPr>
            <w:tcW w:w="535" w:type="pct"/>
            <w:tcBorders>
              <w:top w:val="nil"/>
              <w:left w:val="nil"/>
              <w:bottom w:val="nil"/>
              <w:right w:val="nil"/>
            </w:tcBorders>
            <w:shd w:val="clear" w:color="auto" w:fill="auto"/>
            <w:vAlign w:val="center"/>
            <w:hideMark/>
          </w:tcPr>
          <w:p w14:paraId="0522F627" w14:textId="77777777" w:rsidR="00D82819" w:rsidRPr="00EB2092" w:rsidRDefault="00D82819" w:rsidP="00D82819">
            <w:pPr>
              <w:spacing w:line="240" w:lineRule="auto"/>
              <w:jc w:val="center"/>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2.1</w:t>
            </w:r>
          </w:p>
        </w:tc>
        <w:tc>
          <w:tcPr>
            <w:tcW w:w="535" w:type="pct"/>
            <w:tcBorders>
              <w:top w:val="nil"/>
              <w:left w:val="nil"/>
              <w:bottom w:val="nil"/>
              <w:right w:val="single" w:sz="4" w:space="0" w:color="3D4D7D"/>
            </w:tcBorders>
            <w:shd w:val="clear" w:color="auto" w:fill="auto"/>
            <w:vAlign w:val="center"/>
            <w:hideMark/>
          </w:tcPr>
          <w:p w14:paraId="2949DE1B" w14:textId="77777777" w:rsidR="00D82819" w:rsidRPr="00EB2092" w:rsidRDefault="00D82819" w:rsidP="00D82819">
            <w:pPr>
              <w:spacing w:line="240" w:lineRule="auto"/>
              <w:jc w:val="center"/>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1.9</w:t>
            </w:r>
          </w:p>
        </w:tc>
        <w:tc>
          <w:tcPr>
            <w:tcW w:w="2499" w:type="pct"/>
            <w:tcBorders>
              <w:top w:val="nil"/>
              <w:left w:val="nil"/>
              <w:bottom w:val="nil"/>
              <w:right w:val="single" w:sz="4" w:space="0" w:color="auto"/>
            </w:tcBorders>
            <w:shd w:val="clear" w:color="auto" w:fill="auto"/>
            <w:vAlign w:val="center"/>
            <w:hideMark/>
          </w:tcPr>
          <w:p w14:paraId="11DA8488" w14:textId="7462626B" w:rsidR="00D82819" w:rsidRPr="00EB2092" w:rsidRDefault="003B5AF1" w:rsidP="008335F9">
            <w:pPr>
              <w:spacing w:line="240" w:lineRule="auto"/>
              <w:rPr>
                <w:rFonts w:ascii="Calibri" w:eastAsia="Times New Roman" w:hAnsi="Calibri" w:cs="Times New Roman"/>
                <w:color w:val="000000"/>
                <w:sz w:val="20"/>
                <w:szCs w:val="20"/>
                <w:lang w:eastAsia="en-AU"/>
              </w:rPr>
            </w:pPr>
            <w:r>
              <w:rPr>
                <w:rFonts w:ascii="Calibri" w:eastAsia="Times New Roman" w:hAnsi="Calibri" w:cs="Times New Roman"/>
                <w:color w:val="000000"/>
                <w:sz w:val="20"/>
                <w:szCs w:val="20"/>
                <w:lang w:eastAsia="en-AU"/>
              </w:rPr>
              <w:t>L</w:t>
            </w:r>
            <w:r w:rsidR="00D82819" w:rsidRPr="00EB2092">
              <w:rPr>
                <w:rFonts w:ascii="Calibri" w:eastAsia="Times New Roman" w:hAnsi="Calibri" w:cs="Times New Roman"/>
                <w:color w:val="000000"/>
                <w:sz w:val="20"/>
                <w:szCs w:val="20"/>
                <w:lang w:eastAsia="en-AU"/>
              </w:rPr>
              <w:t xml:space="preserve">ower CPI </w:t>
            </w:r>
            <w:r w:rsidR="008335F9">
              <w:rPr>
                <w:rFonts w:ascii="Calibri" w:eastAsia="Times New Roman" w:hAnsi="Calibri" w:cs="Times New Roman"/>
                <w:color w:val="000000"/>
                <w:sz w:val="20"/>
                <w:szCs w:val="20"/>
                <w:lang w:eastAsia="en-AU"/>
              </w:rPr>
              <w:t>and wage projections, affecting indexation rates</w:t>
            </w:r>
            <w:r w:rsidR="00D82819" w:rsidRPr="00EB2092">
              <w:rPr>
                <w:rFonts w:ascii="Calibri" w:eastAsia="Times New Roman" w:hAnsi="Calibri" w:cs="Times New Roman"/>
                <w:color w:val="000000"/>
                <w:sz w:val="20"/>
                <w:szCs w:val="20"/>
                <w:lang w:eastAsia="en-AU"/>
              </w:rPr>
              <w:t xml:space="preserve">. </w:t>
            </w:r>
          </w:p>
        </w:tc>
      </w:tr>
      <w:tr w:rsidR="00450D28" w:rsidRPr="00EB2092" w14:paraId="242C3CC9" w14:textId="77777777" w:rsidTr="00572B63">
        <w:trPr>
          <w:trHeight w:val="340"/>
        </w:trPr>
        <w:tc>
          <w:tcPr>
            <w:tcW w:w="1432" w:type="pct"/>
            <w:tcBorders>
              <w:top w:val="nil"/>
              <w:left w:val="single" w:sz="4" w:space="0" w:color="auto"/>
              <w:bottom w:val="nil"/>
              <w:right w:val="single" w:sz="4" w:space="0" w:color="3D4D7D"/>
            </w:tcBorders>
            <w:shd w:val="clear" w:color="000000" w:fill="D3D8E9"/>
            <w:vAlign w:val="center"/>
            <w:hideMark/>
          </w:tcPr>
          <w:p w14:paraId="363E7499" w14:textId="77777777" w:rsidR="00D82819" w:rsidRPr="00EB2092" w:rsidRDefault="00D82819" w:rsidP="00D82819">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Superannuation fund taxes</w:t>
            </w:r>
          </w:p>
        </w:tc>
        <w:tc>
          <w:tcPr>
            <w:tcW w:w="535" w:type="pct"/>
            <w:tcBorders>
              <w:top w:val="nil"/>
              <w:left w:val="nil"/>
              <w:bottom w:val="nil"/>
              <w:right w:val="nil"/>
            </w:tcBorders>
            <w:shd w:val="clear" w:color="000000" w:fill="D3D8E9"/>
            <w:vAlign w:val="center"/>
            <w:hideMark/>
          </w:tcPr>
          <w:p w14:paraId="150BE295" w14:textId="77777777" w:rsidR="00D82819" w:rsidRPr="00EB2092" w:rsidRDefault="00D82819" w:rsidP="00D82819">
            <w:pPr>
              <w:spacing w:line="240" w:lineRule="auto"/>
              <w:jc w:val="center"/>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0.7</w:t>
            </w:r>
          </w:p>
        </w:tc>
        <w:tc>
          <w:tcPr>
            <w:tcW w:w="535" w:type="pct"/>
            <w:tcBorders>
              <w:top w:val="nil"/>
              <w:left w:val="nil"/>
              <w:bottom w:val="nil"/>
              <w:right w:val="single" w:sz="4" w:space="0" w:color="3D4D7D"/>
            </w:tcBorders>
            <w:shd w:val="clear" w:color="000000" w:fill="D3D8E9"/>
            <w:vAlign w:val="center"/>
            <w:hideMark/>
          </w:tcPr>
          <w:p w14:paraId="04002F2C" w14:textId="77777777" w:rsidR="00D82819" w:rsidRPr="00EB2092" w:rsidRDefault="00D82819" w:rsidP="00D82819">
            <w:pPr>
              <w:spacing w:line="240" w:lineRule="auto"/>
              <w:jc w:val="center"/>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0.7</w:t>
            </w:r>
          </w:p>
        </w:tc>
        <w:tc>
          <w:tcPr>
            <w:tcW w:w="2499" w:type="pct"/>
            <w:tcBorders>
              <w:top w:val="nil"/>
              <w:left w:val="nil"/>
              <w:bottom w:val="nil"/>
              <w:right w:val="single" w:sz="4" w:space="0" w:color="auto"/>
            </w:tcBorders>
            <w:shd w:val="clear" w:color="000000" w:fill="D3D8E9"/>
            <w:vAlign w:val="center"/>
            <w:hideMark/>
          </w:tcPr>
          <w:p w14:paraId="161E5193" w14:textId="64882D49" w:rsidR="00D82819" w:rsidRPr="00EB2092" w:rsidRDefault="008335F9" w:rsidP="00D82819">
            <w:pPr>
              <w:spacing w:line="240" w:lineRule="auto"/>
              <w:rPr>
                <w:rFonts w:ascii="Calibri" w:eastAsia="Times New Roman" w:hAnsi="Calibri" w:cs="Times New Roman"/>
                <w:color w:val="000000"/>
                <w:sz w:val="20"/>
                <w:szCs w:val="20"/>
                <w:lang w:eastAsia="en-AU"/>
              </w:rPr>
            </w:pPr>
            <w:r>
              <w:rPr>
                <w:rFonts w:ascii="Calibri" w:eastAsia="Times New Roman" w:hAnsi="Calibri" w:cs="Times New Roman"/>
                <w:color w:val="000000"/>
                <w:sz w:val="20"/>
                <w:szCs w:val="20"/>
                <w:lang w:eastAsia="en-AU"/>
              </w:rPr>
              <w:t>Broadly unchanged.</w:t>
            </w:r>
          </w:p>
        </w:tc>
      </w:tr>
      <w:tr w:rsidR="00450D28" w:rsidRPr="00EB2092" w14:paraId="6AE70733" w14:textId="77777777" w:rsidTr="00572B63">
        <w:trPr>
          <w:trHeight w:val="340"/>
        </w:trPr>
        <w:tc>
          <w:tcPr>
            <w:tcW w:w="1432" w:type="pct"/>
            <w:tcBorders>
              <w:top w:val="nil"/>
              <w:left w:val="single" w:sz="4" w:space="0" w:color="auto"/>
              <w:bottom w:val="nil"/>
              <w:right w:val="single" w:sz="4" w:space="0" w:color="3D4D7D"/>
            </w:tcBorders>
            <w:shd w:val="clear" w:color="auto" w:fill="auto"/>
            <w:vAlign w:val="center"/>
            <w:hideMark/>
          </w:tcPr>
          <w:p w14:paraId="5024B054" w14:textId="77777777" w:rsidR="00D82819" w:rsidRPr="00EB2092" w:rsidRDefault="00D82819" w:rsidP="00D82819">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Other taxes and charges</w:t>
            </w:r>
          </w:p>
        </w:tc>
        <w:tc>
          <w:tcPr>
            <w:tcW w:w="535" w:type="pct"/>
            <w:tcBorders>
              <w:top w:val="nil"/>
              <w:left w:val="nil"/>
              <w:bottom w:val="nil"/>
              <w:right w:val="nil"/>
            </w:tcBorders>
            <w:shd w:val="clear" w:color="auto" w:fill="auto"/>
            <w:vAlign w:val="center"/>
            <w:hideMark/>
          </w:tcPr>
          <w:p w14:paraId="2A8D6108" w14:textId="77777777" w:rsidR="00D82819" w:rsidRPr="00EB2092" w:rsidRDefault="00D82819" w:rsidP="00D82819">
            <w:pPr>
              <w:spacing w:line="240" w:lineRule="auto"/>
              <w:jc w:val="center"/>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0.4</w:t>
            </w:r>
          </w:p>
        </w:tc>
        <w:tc>
          <w:tcPr>
            <w:tcW w:w="535" w:type="pct"/>
            <w:tcBorders>
              <w:top w:val="nil"/>
              <w:left w:val="nil"/>
              <w:bottom w:val="nil"/>
              <w:right w:val="single" w:sz="4" w:space="0" w:color="3D4D7D"/>
            </w:tcBorders>
            <w:shd w:val="clear" w:color="auto" w:fill="auto"/>
            <w:vAlign w:val="center"/>
            <w:hideMark/>
          </w:tcPr>
          <w:p w14:paraId="0CD03392" w14:textId="77777777" w:rsidR="00D82819" w:rsidRPr="00EB2092" w:rsidRDefault="00D82819" w:rsidP="00D82819">
            <w:pPr>
              <w:spacing w:line="240" w:lineRule="auto"/>
              <w:jc w:val="center"/>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0.4</w:t>
            </w:r>
          </w:p>
        </w:tc>
        <w:tc>
          <w:tcPr>
            <w:tcW w:w="2499" w:type="pct"/>
            <w:tcBorders>
              <w:top w:val="nil"/>
              <w:left w:val="nil"/>
              <w:bottom w:val="nil"/>
              <w:right w:val="single" w:sz="4" w:space="0" w:color="auto"/>
            </w:tcBorders>
            <w:shd w:val="clear" w:color="auto" w:fill="auto"/>
            <w:vAlign w:val="center"/>
            <w:hideMark/>
          </w:tcPr>
          <w:p w14:paraId="2A571C57" w14:textId="573E4394" w:rsidR="00D82819" w:rsidRPr="00EB2092" w:rsidRDefault="008335F9" w:rsidP="00D82819">
            <w:pPr>
              <w:spacing w:line="240" w:lineRule="auto"/>
              <w:rPr>
                <w:rFonts w:ascii="Calibri" w:eastAsia="Times New Roman" w:hAnsi="Calibri" w:cs="Times New Roman"/>
                <w:color w:val="000000"/>
                <w:sz w:val="20"/>
                <w:szCs w:val="20"/>
                <w:lang w:eastAsia="en-AU"/>
              </w:rPr>
            </w:pPr>
            <w:r>
              <w:rPr>
                <w:rFonts w:ascii="Calibri" w:eastAsia="Times New Roman" w:hAnsi="Calibri" w:cs="Times New Roman"/>
                <w:color w:val="000000"/>
                <w:sz w:val="20"/>
                <w:szCs w:val="20"/>
                <w:lang w:eastAsia="en-AU"/>
              </w:rPr>
              <w:t>Broadly unchanged.</w:t>
            </w:r>
          </w:p>
        </w:tc>
      </w:tr>
      <w:tr w:rsidR="00450D28" w:rsidRPr="00EB2092" w14:paraId="5A2839D5" w14:textId="77777777" w:rsidTr="00572B63">
        <w:trPr>
          <w:trHeight w:val="340"/>
        </w:trPr>
        <w:tc>
          <w:tcPr>
            <w:tcW w:w="1432" w:type="pct"/>
            <w:tcBorders>
              <w:top w:val="nil"/>
              <w:left w:val="single" w:sz="4" w:space="0" w:color="auto"/>
              <w:bottom w:val="nil"/>
              <w:right w:val="single" w:sz="4" w:space="0" w:color="3D4D7D"/>
            </w:tcBorders>
            <w:shd w:val="clear" w:color="000000" w:fill="D3D8E9"/>
            <w:vAlign w:val="center"/>
            <w:hideMark/>
          </w:tcPr>
          <w:p w14:paraId="3C0C2850" w14:textId="77777777" w:rsidR="00D82819" w:rsidRPr="00EB2092" w:rsidRDefault="00D82819" w:rsidP="00D82819">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Fringe benefits tax</w:t>
            </w:r>
          </w:p>
        </w:tc>
        <w:tc>
          <w:tcPr>
            <w:tcW w:w="535" w:type="pct"/>
            <w:tcBorders>
              <w:top w:val="nil"/>
              <w:left w:val="nil"/>
              <w:bottom w:val="nil"/>
              <w:right w:val="nil"/>
            </w:tcBorders>
            <w:shd w:val="clear" w:color="000000" w:fill="D3D8E9"/>
            <w:vAlign w:val="center"/>
            <w:hideMark/>
          </w:tcPr>
          <w:p w14:paraId="39735769" w14:textId="77777777" w:rsidR="00D82819" w:rsidRPr="00EB2092" w:rsidRDefault="00D82819" w:rsidP="00D82819">
            <w:pPr>
              <w:spacing w:line="240" w:lineRule="auto"/>
              <w:jc w:val="center"/>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0.2</w:t>
            </w:r>
          </w:p>
        </w:tc>
        <w:tc>
          <w:tcPr>
            <w:tcW w:w="535" w:type="pct"/>
            <w:tcBorders>
              <w:top w:val="nil"/>
              <w:left w:val="nil"/>
              <w:bottom w:val="nil"/>
              <w:right w:val="single" w:sz="4" w:space="0" w:color="3D4D7D"/>
            </w:tcBorders>
            <w:shd w:val="clear" w:color="000000" w:fill="D3D8E9"/>
            <w:vAlign w:val="center"/>
            <w:hideMark/>
          </w:tcPr>
          <w:p w14:paraId="18ED2286" w14:textId="77777777" w:rsidR="00D82819" w:rsidRPr="00EB2092" w:rsidRDefault="00D82819" w:rsidP="00D82819">
            <w:pPr>
              <w:spacing w:line="240" w:lineRule="auto"/>
              <w:jc w:val="center"/>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0.2</w:t>
            </w:r>
          </w:p>
        </w:tc>
        <w:tc>
          <w:tcPr>
            <w:tcW w:w="2499" w:type="pct"/>
            <w:tcBorders>
              <w:top w:val="nil"/>
              <w:left w:val="nil"/>
              <w:bottom w:val="nil"/>
              <w:right w:val="single" w:sz="4" w:space="0" w:color="auto"/>
            </w:tcBorders>
            <w:shd w:val="clear" w:color="000000" w:fill="D3D8E9"/>
            <w:vAlign w:val="center"/>
            <w:hideMark/>
          </w:tcPr>
          <w:p w14:paraId="5C523E2D" w14:textId="0AB35A7D" w:rsidR="00D82819" w:rsidRPr="00EB2092" w:rsidRDefault="008335F9" w:rsidP="008335F9">
            <w:pPr>
              <w:spacing w:line="240" w:lineRule="auto"/>
              <w:rPr>
                <w:rFonts w:ascii="Calibri" w:eastAsia="Times New Roman" w:hAnsi="Calibri" w:cs="Times New Roman"/>
                <w:color w:val="000000"/>
                <w:sz w:val="20"/>
                <w:szCs w:val="20"/>
                <w:lang w:eastAsia="en-AU"/>
              </w:rPr>
            </w:pPr>
            <w:r>
              <w:rPr>
                <w:rFonts w:ascii="Calibri" w:eastAsia="Times New Roman" w:hAnsi="Calibri" w:cs="Times New Roman"/>
                <w:color w:val="000000"/>
                <w:sz w:val="20"/>
                <w:szCs w:val="20"/>
                <w:lang w:eastAsia="en-AU"/>
              </w:rPr>
              <w:t>Broadly unchanged.</w:t>
            </w:r>
          </w:p>
        </w:tc>
      </w:tr>
      <w:tr w:rsidR="00450D28" w:rsidRPr="00EB2092" w14:paraId="5AB197EB" w14:textId="77777777" w:rsidTr="00572B63">
        <w:trPr>
          <w:trHeight w:val="340"/>
        </w:trPr>
        <w:tc>
          <w:tcPr>
            <w:tcW w:w="1432" w:type="pct"/>
            <w:tcBorders>
              <w:top w:val="nil"/>
              <w:left w:val="single" w:sz="4" w:space="0" w:color="auto"/>
              <w:bottom w:val="nil"/>
              <w:right w:val="single" w:sz="4" w:space="0" w:color="3D4D7D"/>
            </w:tcBorders>
            <w:shd w:val="clear" w:color="auto" w:fill="auto"/>
            <w:vAlign w:val="center"/>
            <w:hideMark/>
          </w:tcPr>
          <w:p w14:paraId="543F9963" w14:textId="77777777" w:rsidR="00D82819" w:rsidRPr="00EB2092" w:rsidRDefault="00D82819" w:rsidP="00D82819">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Wine equalisation tax</w:t>
            </w:r>
          </w:p>
        </w:tc>
        <w:tc>
          <w:tcPr>
            <w:tcW w:w="535" w:type="pct"/>
            <w:tcBorders>
              <w:top w:val="nil"/>
              <w:left w:val="nil"/>
              <w:bottom w:val="nil"/>
              <w:right w:val="nil"/>
            </w:tcBorders>
            <w:shd w:val="clear" w:color="auto" w:fill="auto"/>
            <w:vAlign w:val="center"/>
            <w:hideMark/>
          </w:tcPr>
          <w:p w14:paraId="26EC5238" w14:textId="77777777" w:rsidR="00D82819" w:rsidRPr="00EB2092" w:rsidRDefault="00D82819" w:rsidP="00D82819">
            <w:pPr>
              <w:spacing w:line="240" w:lineRule="auto"/>
              <w:jc w:val="center"/>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0.1</w:t>
            </w:r>
          </w:p>
        </w:tc>
        <w:tc>
          <w:tcPr>
            <w:tcW w:w="535" w:type="pct"/>
            <w:tcBorders>
              <w:top w:val="nil"/>
              <w:left w:val="nil"/>
              <w:bottom w:val="nil"/>
              <w:right w:val="single" w:sz="4" w:space="0" w:color="3D4D7D"/>
            </w:tcBorders>
            <w:shd w:val="clear" w:color="auto" w:fill="auto"/>
            <w:vAlign w:val="center"/>
            <w:hideMark/>
          </w:tcPr>
          <w:p w14:paraId="531AED5C" w14:textId="77777777" w:rsidR="00D82819" w:rsidRPr="00EB2092" w:rsidRDefault="00D82819" w:rsidP="00D82819">
            <w:pPr>
              <w:spacing w:line="240" w:lineRule="auto"/>
              <w:jc w:val="center"/>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0.0</w:t>
            </w:r>
          </w:p>
        </w:tc>
        <w:tc>
          <w:tcPr>
            <w:tcW w:w="2499" w:type="pct"/>
            <w:tcBorders>
              <w:top w:val="nil"/>
              <w:left w:val="nil"/>
              <w:bottom w:val="nil"/>
              <w:right w:val="single" w:sz="4" w:space="0" w:color="auto"/>
            </w:tcBorders>
            <w:shd w:val="clear" w:color="auto" w:fill="auto"/>
            <w:vAlign w:val="center"/>
            <w:hideMark/>
          </w:tcPr>
          <w:p w14:paraId="4B10B30B" w14:textId="15068397" w:rsidR="00D82819" w:rsidRPr="00EB2092" w:rsidRDefault="008335F9">
            <w:pPr>
              <w:spacing w:line="240" w:lineRule="auto"/>
              <w:rPr>
                <w:rFonts w:ascii="Calibri" w:eastAsia="Times New Roman" w:hAnsi="Calibri" w:cs="Times New Roman"/>
                <w:color w:val="000000"/>
                <w:sz w:val="20"/>
                <w:szCs w:val="20"/>
                <w:lang w:eastAsia="en-AU"/>
              </w:rPr>
            </w:pPr>
            <w:r>
              <w:rPr>
                <w:rFonts w:ascii="Calibri" w:eastAsia="Times New Roman" w:hAnsi="Calibri" w:cs="Times New Roman"/>
                <w:color w:val="000000"/>
                <w:sz w:val="20"/>
                <w:szCs w:val="20"/>
                <w:lang w:eastAsia="en-AU"/>
              </w:rPr>
              <w:t>Broadly unchanged at 0.05 per cent of GDP.</w:t>
            </w:r>
            <w:r w:rsidRPr="00EB2092" w:rsidDel="008335F9">
              <w:rPr>
                <w:rFonts w:ascii="Calibri" w:eastAsia="Times New Roman" w:hAnsi="Calibri" w:cs="Times New Roman"/>
                <w:color w:val="000000"/>
                <w:sz w:val="20"/>
                <w:szCs w:val="20"/>
                <w:lang w:eastAsia="en-AU"/>
              </w:rPr>
              <w:t xml:space="preserve"> </w:t>
            </w:r>
          </w:p>
        </w:tc>
      </w:tr>
      <w:tr w:rsidR="00450D28" w:rsidRPr="00EB2092" w14:paraId="294287CB" w14:textId="77777777" w:rsidTr="00572B63">
        <w:trPr>
          <w:trHeight w:val="340"/>
        </w:trPr>
        <w:tc>
          <w:tcPr>
            <w:tcW w:w="1432" w:type="pct"/>
            <w:tcBorders>
              <w:top w:val="nil"/>
              <w:left w:val="single" w:sz="4" w:space="0" w:color="auto"/>
              <w:bottom w:val="nil"/>
              <w:right w:val="single" w:sz="4" w:space="0" w:color="3D4D7D"/>
            </w:tcBorders>
            <w:shd w:val="clear" w:color="000000" w:fill="D3D8E9"/>
            <w:vAlign w:val="center"/>
            <w:hideMark/>
          </w:tcPr>
          <w:p w14:paraId="6A1DF3ED" w14:textId="77777777" w:rsidR="00D82819" w:rsidRPr="00EB2092" w:rsidRDefault="00D82819" w:rsidP="00D82819">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Luxury car tax</w:t>
            </w:r>
          </w:p>
        </w:tc>
        <w:tc>
          <w:tcPr>
            <w:tcW w:w="535" w:type="pct"/>
            <w:tcBorders>
              <w:top w:val="nil"/>
              <w:left w:val="nil"/>
              <w:bottom w:val="nil"/>
              <w:right w:val="nil"/>
            </w:tcBorders>
            <w:shd w:val="clear" w:color="000000" w:fill="D3D8E9"/>
            <w:vAlign w:val="center"/>
            <w:hideMark/>
          </w:tcPr>
          <w:p w14:paraId="1A23B7F9" w14:textId="77777777" w:rsidR="00D82819" w:rsidRPr="00EB2092" w:rsidRDefault="00D82819" w:rsidP="00D82819">
            <w:pPr>
              <w:spacing w:line="240" w:lineRule="auto"/>
              <w:jc w:val="center"/>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0.0</w:t>
            </w:r>
          </w:p>
        </w:tc>
        <w:tc>
          <w:tcPr>
            <w:tcW w:w="535" w:type="pct"/>
            <w:tcBorders>
              <w:top w:val="nil"/>
              <w:left w:val="nil"/>
              <w:bottom w:val="nil"/>
              <w:right w:val="single" w:sz="4" w:space="0" w:color="3D4D7D"/>
            </w:tcBorders>
            <w:shd w:val="clear" w:color="000000" w:fill="D3D8E9"/>
            <w:vAlign w:val="center"/>
            <w:hideMark/>
          </w:tcPr>
          <w:p w14:paraId="67557C02" w14:textId="77777777" w:rsidR="00D82819" w:rsidRPr="00EB2092" w:rsidRDefault="00D82819" w:rsidP="00D82819">
            <w:pPr>
              <w:spacing w:line="240" w:lineRule="auto"/>
              <w:jc w:val="center"/>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0.0</w:t>
            </w:r>
          </w:p>
        </w:tc>
        <w:tc>
          <w:tcPr>
            <w:tcW w:w="2499" w:type="pct"/>
            <w:tcBorders>
              <w:top w:val="nil"/>
              <w:left w:val="nil"/>
              <w:bottom w:val="nil"/>
              <w:right w:val="single" w:sz="4" w:space="0" w:color="auto"/>
            </w:tcBorders>
            <w:shd w:val="clear" w:color="000000" w:fill="D3D8E9"/>
            <w:vAlign w:val="center"/>
            <w:hideMark/>
          </w:tcPr>
          <w:p w14:paraId="55834D8A" w14:textId="35F2F17A" w:rsidR="00D82819" w:rsidRPr="00EB2092" w:rsidRDefault="005F1F07" w:rsidP="00D82819">
            <w:pPr>
              <w:spacing w:line="240" w:lineRule="auto"/>
              <w:rPr>
                <w:rFonts w:ascii="Calibri" w:eastAsia="Times New Roman" w:hAnsi="Calibri" w:cs="Times New Roman"/>
                <w:color w:val="000000"/>
                <w:sz w:val="20"/>
                <w:szCs w:val="20"/>
                <w:lang w:eastAsia="en-AU"/>
              </w:rPr>
            </w:pPr>
            <w:r>
              <w:rPr>
                <w:rFonts w:ascii="Calibri" w:eastAsia="Times New Roman" w:hAnsi="Calibri" w:cs="Times New Roman"/>
                <w:color w:val="000000"/>
                <w:sz w:val="20"/>
                <w:szCs w:val="20"/>
                <w:lang w:eastAsia="en-AU"/>
              </w:rPr>
              <w:t>Broadly unchanged at 0.03 per cent of GDP.</w:t>
            </w:r>
            <w:r w:rsidRPr="00EB2092" w:rsidDel="008335F9">
              <w:rPr>
                <w:rFonts w:ascii="Calibri" w:eastAsia="Times New Roman" w:hAnsi="Calibri" w:cs="Times New Roman"/>
                <w:color w:val="000000"/>
                <w:sz w:val="20"/>
                <w:szCs w:val="20"/>
                <w:lang w:eastAsia="en-AU"/>
              </w:rPr>
              <w:t xml:space="preserve"> </w:t>
            </w:r>
          </w:p>
        </w:tc>
      </w:tr>
      <w:tr w:rsidR="00450D28" w:rsidRPr="00EB2092" w14:paraId="053C0004" w14:textId="77777777" w:rsidTr="00572B63">
        <w:trPr>
          <w:trHeight w:val="340"/>
        </w:trPr>
        <w:tc>
          <w:tcPr>
            <w:tcW w:w="1432" w:type="pct"/>
            <w:tcBorders>
              <w:top w:val="nil"/>
              <w:left w:val="single" w:sz="4" w:space="0" w:color="auto"/>
              <w:bottom w:val="nil"/>
              <w:right w:val="single" w:sz="4" w:space="0" w:color="3D4D7D"/>
            </w:tcBorders>
            <w:shd w:val="clear" w:color="auto" w:fill="auto"/>
            <w:vAlign w:val="center"/>
            <w:hideMark/>
          </w:tcPr>
          <w:p w14:paraId="7860365B" w14:textId="1945FEA6" w:rsidR="00D82819" w:rsidRPr="00EB2092" w:rsidRDefault="00D82819" w:rsidP="00FC29D3">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 xml:space="preserve">Resource </w:t>
            </w:r>
            <w:r w:rsidR="00FC29D3">
              <w:rPr>
                <w:rFonts w:ascii="Calibri" w:eastAsia="Times New Roman" w:hAnsi="Calibri" w:cs="Times New Roman"/>
                <w:color w:val="000000"/>
                <w:sz w:val="20"/>
                <w:szCs w:val="20"/>
                <w:lang w:eastAsia="en-AU"/>
              </w:rPr>
              <w:t>r</w:t>
            </w:r>
            <w:r w:rsidR="00FC29D3" w:rsidRPr="00EB2092">
              <w:rPr>
                <w:rFonts w:ascii="Calibri" w:eastAsia="Times New Roman" w:hAnsi="Calibri" w:cs="Times New Roman"/>
                <w:color w:val="000000"/>
                <w:sz w:val="20"/>
                <w:szCs w:val="20"/>
                <w:lang w:eastAsia="en-AU"/>
              </w:rPr>
              <w:t xml:space="preserve">ent </w:t>
            </w:r>
            <w:r w:rsidR="00FC29D3">
              <w:rPr>
                <w:rFonts w:ascii="Calibri" w:eastAsia="Times New Roman" w:hAnsi="Calibri" w:cs="Times New Roman"/>
                <w:color w:val="000000"/>
                <w:sz w:val="20"/>
                <w:szCs w:val="20"/>
                <w:lang w:eastAsia="en-AU"/>
              </w:rPr>
              <w:t>t</w:t>
            </w:r>
            <w:r w:rsidR="00FC29D3" w:rsidRPr="00EB2092">
              <w:rPr>
                <w:rFonts w:ascii="Calibri" w:eastAsia="Times New Roman" w:hAnsi="Calibri" w:cs="Times New Roman"/>
                <w:color w:val="000000"/>
                <w:sz w:val="20"/>
                <w:szCs w:val="20"/>
                <w:lang w:eastAsia="en-AU"/>
              </w:rPr>
              <w:t>axes</w:t>
            </w:r>
          </w:p>
        </w:tc>
        <w:tc>
          <w:tcPr>
            <w:tcW w:w="535" w:type="pct"/>
            <w:tcBorders>
              <w:top w:val="nil"/>
              <w:left w:val="nil"/>
              <w:bottom w:val="nil"/>
              <w:right w:val="nil"/>
            </w:tcBorders>
            <w:shd w:val="clear" w:color="auto" w:fill="auto"/>
            <w:vAlign w:val="center"/>
            <w:hideMark/>
          </w:tcPr>
          <w:p w14:paraId="1E12496E" w14:textId="77777777" w:rsidR="00D82819" w:rsidRPr="00EB2092" w:rsidRDefault="00D82819" w:rsidP="00D82819">
            <w:pPr>
              <w:spacing w:line="240" w:lineRule="auto"/>
              <w:jc w:val="center"/>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0.0</w:t>
            </w:r>
          </w:p>
        </w:tc>
        <w:tc>
          <w:tcPr>
            <w:tcW w:w="535" w:type="pct"/>
            <w:tcBorders>
              <w:top w:val="nil"/>
              <w:left w:val="nil"/>
              <w:bottom w:val="nil"/>
              <w:right w:val="single" w:sz="4" w:space="0" w:color="3D4D7D"/>
            </w:tcBorders>
            <w:shd w:val="clear" w:color="auto" w:fill="auto"/>
            <w:vAlign w:val="center"/>
            <w:hideMark/>
          </w:tcPr>
          <w:p w14:paraId="3E97CAEA" w14:textId="77777777" w:rsidR="00D82819" w:rsidRPr="00EB2092" w:rsidRDefault="00D82819" w:rsidP="00D82819">
            <w:pPr>
              <w:spacing w:line="240" w:lineRule="auto"/>
              <w:jc w:val="center"/>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0.0</w:t>
            </w:r>
          </w:p>
        </w:tc>
        <w:tc>
          <w:tcPr>
            <w:tcW w:w="2499" w:type="pct"/>
            <w:tcBorders>
              <w:top w:val="nil"/>
              <w:left w:val="nil"/>
              <w:bottom w:val="nil"/>
              <w:right w:val="single" w:sz="4" w:space="0" w:color="auto"/>
            </w:tcBorders>
            <w:shd w:val="clear" w:color="auto" w:fill="auto"/>
            <w:vAlign w:val="center"/>
            <w:hideMark/>
          </w:tcPr>
          <w:p w14:paraId="6050578F" w14:textId="14FA9E5A" w:rsidR="00D82819" w:rsidRPr="00EB2092" w:rsidRDefault="00252E08" w:rsidP="003F1311">
            <w:pPr>
              <w:spacing w:line="240" w:lineRule="auto"/>
              <w:rPr>
                <w:rFonts w:ascii="Calibri" w:eastAsia="Times New Roman" w:hAnsi="Calibri" w:cs="Times New Roman"/>
                <w:color w:val="000000"/>
                <w:sz w:val="20"/>
                <w:szCs w:val="20"/>
                <w:lang w:eastAsia="en-AU"/>
              </w:rPr>
            </w:pPr>
            <w:r>
              <w:rPr>
                <w:rFonts w:ascii="Calibri" w:eastAsia="Times New Roman" w:hAnsi="Calibri" w:cs="Times New Roman"/>
                <w:color w:val="000000"/>
                <w:sz w:val="20"/>
                <w:szCs w:val="20"/>
                <w:lang w:eastAsia="en-AU"/>
              </w:rPr>
              <w:t>Broadly unchanged at 0.03 per cent of GDP.</w:t>
            </w:r>
            <w:r w:rsidRPr="00EB2092" w:rsidDel="008335F9">
              <w:rPr>
                <w:rFonts w:ascii="Calibri" w:eastAsia="Times New Roman" w:hAnsi="Calibri" w:cs="Times New Roman"/>
                <w:color w:val="000000"/>
                <w:sz w:val="20"/>
                <w:szCs w:val="20"/>
                <w:lang w:eastAsia="en-AU"/>
              </w:rPr>
              <w:t xml:space="preserve"> </w:t>
            </w:r>
          </w:p>
        </w:tc>
      </w:tr>
      <w:tr w:rsidR="00450D28" w:rsidRPr="00EB2092" w14:paraId="6B6F2F86" w14:textId="77777777" w:rsidTr="00572B63">
        <w:trPr>
          <w:trHeight w:val="340"/>
        </w:trPr>
        <w:tc>
          <w:tcPr>
            <w:tcW w:w="1432" w:type="pct"/>
            <w:tcBorders>
              <w:top w:val="nil"/>
              <w:left w:val="single" w:sz="4" w:space="0" w:color="auto"/>
              <w:bottom w:val="nil"/>
              <w:right w:val="single" w:sz="4" w:space="0" w:color="3D4D7D"/>
            </w:tcBorders>
            <w:shd w:val="clear" w:color="000000" w:fill="D3D8E9"/>
            <w:vAlign w:val="center"/>
            <w:hideMark/>
          </w:tcPr>
          <w:p w14:paraId="69D93E9E" w14:textId="77777777" w:rsidR="00D82819" w:rsidRPr="00EB2092" w:rsidRDefault="00D82819" w:rsidP="00D82819">
            <w:pPr>
              <w:spacing w:line="240" w:lineRule="auto"/>
              <w:rPr>
                <w:rFonts w:ascii="Calibri" w:eastAsia="Times New Roman" w:hAnsi="Calibri" w:cs="Times New Roman"/>
                <w:b/>
                <w:bCs/>
                <w:color w:val="000000"/>
                <w:sz w:val="20"/>
                <w:szCs w:val="20"/>
                <w:lang w:eastAsia="en-AU"/>
              </w:rPr>
            </w:pPr>
            <w:r w:rsidRPr="00EB2092">
              <w:rPr>
                <w:rFonts w:ascii="Calibri" w:eastAsia="Times New Roman" w:hAnsi="Calibri" w:cs="Times New Roman"/>
                <w:b/>
                <w:bCs/>
                <w:color w:val="000000"/>
                <w:sz w:val="20"/>
                <w:szCs w:val="20"/>
                <w:lang w:eastAsia="en-AU"/>
              </w:rPr>
              <w:t>Total tax receipts</w:t>
            </w:r>
          </w:p>
        </w:tc>
        <w:tc>
          <w:tcPr>
            <w:tcW w:w="535" w:type="pct"/>
            <w:tcBorders>
              <w:top w:val="nil"/>
              <w:left w:val="nil"/>
              <w:bottom w:val="nil"/>
              <w:right w:val="nil"/>
            </w:tcBorders>
            <w:shd w:val="clear" w:color="000000" w:fill="D3D8E9"/>
            <w:vAlign w:val="center"/>
            <w:hideMark/>
          </w:tcPr>
          <w:p w14:paraId="4E4410D5" w14:textId="77777777" w:rsidR="00D82819" w:rsidRPr="00EB2092" w:rsidRDefault="00D82819" w:rsidP="00D82819">
            <w:pPr>
              <w:spacing w:line="240" w:lineRule="auto"/>
              <w:jc w:val="center"/>
              <w:rPr>
                <w:rFonts w:ascii="Calibri" w:eastAsia="Times New Roman" w:hAnsi="Calibri" w:cs="Times New Roman"/>
                <w:b/>
                <w:bCs/>
                <w:color w:val="000000"/>
                <w:sz w:val="20"/>
                <w:szCs w:val="20"/>
                <w:lang w:eastAsia="en-AU"/>
              </w:rPr>
            </w:pPr>
            <w:r w:rsidRPr="00EB2092">
              <w:rPr>
                <w:rFonts w:ascii="Calibri" w:eastAsia="Times New Roman" w:hAnsi="Calibri" w:cs="Times New Roman"/>
                <w:b/>
                <w:bCs/>
                <w:color w:val="000000"/>
                <w:sz w:val="20"/>
                <w:szCs w:val="20"/>
                <w:lang w:eastAsia="en-AU"/>
              </w:rPr>
              <w:t>23.9</w:t>
            </w:r>
          </w:p>
        </w:tc>
        <w:tc>
          <w:tcPr>
            <w:tcW w:w="535" w:type="pct"/>
            <w:tcBorders>
              <w:top w:val="nil"/>
              <w:left w:val="nil"/>
              <w:bottom w:val="nil"/>
              <w:right w:val="single" w:sz="4" w:space="0" w:color="3D4D7D"/>
            </w:tcBorders>
            <w:shd w:val="clear" w:color="000000" w:fill="D3D8E9"/>
            <w:vAlign w:val="center"/>
            <w:hideMark/>
          </w:tcPr>
          <w:p w14:paraId="2446A8A0" w14:textId="77777777" w:rsidR="00D82819" w:rsidRPr="00EB2092" w:rsidRDefault="00D82819" w:rsidP="00D82819">
            <w:pPr>
              <w:spacing w:line="240" w:lineRule="auto"/>
              <w:jc w:val="center"/>
              <w:rPr>
                <w:rFonts w:ascii="Calibri" w:eastAsia="Times New Roman" w:hAnsi="Calibri" w:cs="Times New Roman"/>
                <w:b/>
                <w:bCs/>
                <w:color w:val="000000"/>
                <w:sz w:val="20"/>
                <w:szCs w:val="20"/>
                <w:lang w:eastAsia="en-AU"/>
              </w:rPr>
            </w:pPr>
            <w:r w:rsidRPr="00EB2092">
              <w:rPr>
                <w:rFonts w:ascii="Calibri" w:eastAsia="Times New Roman" w:hAnsi="Calibri" w:cs="Times New Roman"/>
                <w:b/>
                <w:bCs/>
                <w:color w:val="000000"/>
                <w:sz w:val="20"/>
                <w:szCs w:val="20"/>
                <w:lang w:eastAsia="en-AU"/>
              </w:rPr>
              <w:t>22.6</w:t>
            </w:r>
          </w:p>
        </w:tc>
        <w:tc>
          <w:tcPr>
            <w:tcW w:w="2499" w:type="pct"/>
            <w:tcBorders>
              <w:top w:val="nil"/>
              <w:left w:val="nil"/>
              <w:bottom w:val="nil"/>
              <w:right w:val="single" w:sz="4" w:space="0" w:color="auto"/>
            </w:tcBorders>
            <w:shd w:val="clear" w:color="000000" w:fill="D3D8E9"/>
            <w:vAlign w:val="center"/>
            <w:hideMark/>
          </w:tcPr>
          <w:p w14:paraId="45BFD585" w14:textId="77777777" w:rsidR="00D82819" w:rsidRPr="00EB2092" w:rsidRDefault="00D82819" w:rsidP="00D82819">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 </w:t>
            </w:r>
          </w:p>
        </w:tc>
      </w:tr>
      <w:tr w:rsidR="00450D28" w:rsidRPr="00EB2092" w14:paraId="23EEF64A" w14:textId="77777777" w:rsidTr="00572B63">
        <w:trPr>
          <w:trHeight w:val="340"/>
        </w:trPr>
        <w:tc>
          <w:tcPr>
            <w:tcW w:w="1432" w:type="pct"/>
            <w:tcBorders>
              <w:top w:val="nil"/>
              <w:left w:val="single" w:sz="4" w:space="0" w:color="auto"/>
              <w:bottom w:val="nil"/>
              <w:right w:val="single" w:sz="4" w:space="0" w:color="3D4D7D"/>
            </w:tcBorders>
            <w:shd w:val="clear" w:color="auto" w:fill="auto"/>
            <w:vAlign w:val="center"/>
            <w:hideMark/>
          </w:tcPr>
          <w:p w14:paraId="237F0A36" w14:textId="77777777" w:rsidR="00D82819" w:rsidRPr="00EB2092" w:rsidRDefault="00D82819" w:rsidP="00D82819">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Non-tax receipts</w:t>
            </w:r>
          </w:p>
        </w:tc>
        <w:tc>
          <w:tcPr>
            <w:tcW w:w="535" w:type="pct"/>
            <w:tcBorders>
              <w:top w:val="nil"/>
              <w:left w:val="nil"/>
              <w:bottom w:val="nil"/>
              <w:right w:val="nil"/>
            </w:tcBorders>
            <w:shd w:val="clear" w:color="auto" w:fill="auto"/>
            <w:vAlign w:val="center"/>
            <w:hideMark/>
          </w:tcPr>
          <w:p w14:paraId="5BB78E0F" w14:textId="77777777" w:rsidR="00D82819" w:rsidRPr="00EB2092" w:rsidRDefault="00D82819" w:rsidP="00D82819">
            <w:pPr>
              <w:spacing w:line="240" w:lineRule="auto"/>
              <w:jc w:val="center"/>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1.6</w:t>
            </w:r>
          </w:p>
        </w:tc>
        <w:tc>
          <w:tcPr>
            <w:tcW w:w="535" w:type="pct"/>
            <w:tcBorders>
              <w:top w:val="nil"/>
              <w:left w:val="nil"/>
              <w:bottom w:val="nil"/>
              <w:right w:val="single" w:sz="4" w:space="0" w:color="3D4D7D"/>
            </w:tcBorders>
            <w:shd w:val="clear" w:color="auto" w:fill="auto"/>
            <w:vAlign w:val="center"/>
            <w:hideMark/>
          </w:tcPr>
          <w:p w14:paraId="2BD1CA7D" w14:textId="77777777" w:rsidR="00D82819" w:rsidRPr="00EB2092" w:rsidRDefault="00D82819" w:rsidP="00D82819">
            <w:pPr>
              <w:spacing w:line="240" w:lineRule="auto"/>
              <w:jc w:val="center"/>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1.7</w:t>
            </w:r>
          </w:p>
        </w:tc>
        <w:tc>
          <w:tcPr>
            <w:tcW w:w="2499" w:type="pct"/>
            <w:tcBorders>
              <w:top w:val="nil"/>
              <w:left w:val="nil"/>
              <w:bottom w:val="nil"/>
              <w:right w:val="single" w:sz="4" w:space="0" w:color="auto"/>
            </w:tcBorders>
            <w:shd w:val="clear" w:color="auto" w:fill="auto"/>
            <w:vAlign w:val="center"/>
            <w:hideMark/>
          </w:tcPr>
          <w:p w14:paraId="2A51EC9C" w14:textId="6D99AD06" w:rsidR="00D82819" w:rsidRPr="00EB2092" w:rsidRDefault="003F1311" w:rsidP="00363ECA">
            <w:pPr>
              <w:spacing w:line="240" w:lineRule="auto"/>
              <w:rPr>
                <w:rFonts w:ascii="Calibri" w:eastAsia="Times New Roman" w:hAnsi="Calibri" w:cs="Times New Roman"/>
                <w:color w:val="000000"/>
                <w:sz w:val="20"/>
                <w:szCs w:val="20"/>
                <w:lang w:eastAsia="en-AU"/>
              </w:rPr>
            </w:pPr>
            <w:r>
              <w:rPr>
                <w:rFonts w:ascii="Calibri" w:eastAsia="Times New Roman" w:hAnsi="Calibri" w:cs="Times New Roman"/>
                <w:color w:val="000000"/>
                <w:sz w:val="20"/>
                <w:szCs w:val="20"/>
                <w:lang w:eastAsia="en-AU"/>
              </w:rPr>
              <w:t>Broadly unchanged.</w:t>
            </w:r>
            <w:r w:rsidR="00FF02E3">
              <w:rPr>
                <w:rFonts w:ascii="Calibri" w:eastAsia="Times New Roman" w:hAnsi="Calibri" w:cs="Times New Roman"/>
                <w:color w:val="000000"/>
                <w:sz w:val="20"/>
                <w:szCs w:val="20"/>
                <w:lang w:eastAsia="en-AU"/>
              </w:rPr>
              <w:t xml:space="preserve"> </w:t>
            </w:r>
          </w:p>
        </w:tc>
      </w:tr>
      <w:tr w:rsidR="00450D28" w:rsidRPr="00EB2092" w14:paraId="15759791" w14:textId="77777777" w:rsidTr="00572B63">
        <w:trPr>
          <w:trHeight w:val="255"/>
        </w:trPr>
        <w:tc>
          <w:tcPr>
            <w:tcW w:w="1432" w:type="pct"/>
            <w:tcBorders>
              <w:top w:val="nil"/>
              <w:left w:val="single" w:sz="4" w:space="0" w:color="auto"/>
              <w:bottom w:val="single" w:sz="4" w:space="0" w:color="auto"/>
              <w:right w:val="single" w:sz="4" w:space="0" w:color="3D4D7D"/>
            </w:tcBorders>
            <w:shd w:val="clear" w:color="000000" w:fill="3D4D7D"/>
            <w:vAlign w:val="center"/>
            <w:hideMark/>
          </w:tcPr>
          <w:p w14:paraId="216B31A7" w14:textId="77777777" w:rsidR="00D82819" w:rsidRPr="00EB2092" w:rsidRDefault="00D82819" w:rsidP="00D82819">
            <w:pPr>
              <w:spacing w:line="240" w:lineRule="auto"/>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Total receipts</w:t>
            </w:r>
          </w:p>
        </w:tc>
        <w:tc>
          <w:tcPr>
            <w:tcW w:w="535" w:type="pct"/>
            <w:tcBorders>
              <w:top w:val="nil"/>
              <w:left w:val="nil"/>
              <w:bottom w:val="single" w:sz="4" w:space="0" w:color="auto"/>
              <w:right w:val="nil"/>
            </w:tcBorders>
            <w:shd w:val="clear" w:color="000000" w:fill="3D4D7D"/>
            <w:vAlign w:val="center"/>
            <w:hideMark/>
          </w:tcPr>
          <w:p w14:paraId="285C930F" w14:textId="77777777" w:rsidR="00D82819" w:rsidRPr="00EB2092" w:rsidRDefault="00D82819" w:rsidP="00D82819">
            <w:pPr>
              <w:spacing w:line="240" w:lineRule="auto"/>
              <w:jc w:val="center"/>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25.5</w:t>
            </w:r>
          </w:p>
        </w:tc>
        <w:tc>
          <w:tcPr>
            <w:tcW w:w="535" w:type="pct"/>
            <w:tcBorders>
              <w:top w:val="nil"/>
              <w:left w:val="nil"/>
              <w:bottom w:val="single" w:sz="4" w:space="0" w:color="auto"/>
              <w:right w:val="single" w:sz="4" w:space="0" w:color="3D4D7D"/>
            </w:tcBorders>
            <w:shd w:val="clear" w:color="000000" w:fill="3D4D7D"/>
            <w:vAlign w:val="center"/>
            <w:hideMark/>
          </w:tcPr>
          <w:p w14:paraId="0282738E" w14:textId="77777777" w:rsidR="00D82819" w:rsidRPr="00EB2092" w:rsidRDefault="00D82819" w:rsidP="00D82819">
            <w:pPr>
              <w:spacing w:line="240" w:lineRule="auto"/>
              <w:jc w:val="center"/>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24.3</w:t>
            </w:r>
          </w:p>
        </w:tc>
        <w:tc>
          <w:tcPr>
            <w:tcW w:w="2499" w:type="pct"/>
            <w:tcBorders>
              <w:top w:val="nil"/>
              <w:left w:val="nil"/>
              <w:bottom w:val="single" w:sz="4" w:space="0" w:color="auto"/>
              <w:right w:val="single" w:sz="4" w:space="0" w:color="auto"/>
            </w:tcBorders>
            <w:shd w:val="clear" w:color="000000" w:fill="3D4D7D"/>
            <w:vAlign w:val="center"/>
            <w:hideMark/>
          </w:tcPr>
          <w:p w14:paraId="6197BE8A" w14:textId="77777777" w:rsidR="00D82819" w:rsidRPr="00EB2092" w:rsidRDefault="00D82819" w:rsidP="00D82819">
            <w:pPr>
              <w:spacing w:line="240" w:lineRule="auto"/>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 </w:t>
            </w:r>
          </w:p>
        </w:tc>
      </w:tr>
    </w:tbl>
    <w:p w14:paraId="54558BDC" w14:textId="7613B9F4" w:rsidR="00E44F73" w:rsidRPr="00EB2092" w:rsidRDefault="00A352A4" w:rsidP="00E44F73">
      <w:pPr>
        <w:pStyle w:val="Sourcenospacing"/>
        <w:ind w:left="0"/>
      </w:pPr>
      <w:r w:rsidRPr="00FC29D3">
        <w:t>Source:</w:t>
      </w:r>
      <w:r w:rsidRPr="00E44F73">
        <w:t xml:space="preserve"> PBO analysis.</w:t>
      </w:r>
      <w:r w:rsidR="00E44F73" w:rsidRPr="00EB2092">
        <w:br w:type="page"/>
      </w:r>
    </w:p>
    <w:p w14:paraId="4944D01D" w14:textId="6539D70A" w:rsidR="00F6717E" w:rsidRPr="00EB2092" w:rsidRDefault="00595EB2" w:rsidP="00193485">
      <w:pPr>
        <w:pStyle w:val="Caption"/>
      </w:pPr>
      <w:r w:rsidRPr="00EB2092">
        <w:lastRenderedPageBreak/>
        <w:t xml:space="preserve">Table B-2: </w:t>
      </w:r>
      <w:r w:rsidR="00654F08" w:rsidRPr="00EB2092">
        <w:t>Changes in payments projections</w:t>
      </w:r>
    </w:p>
    <w:tbl>
      <w:tblPr>
        <w:tblW w:w="5000" w:type="pct"/>
        <w:tblLook w:val="04A0" w:firstRow="1" w:lastRow="0" w:firstColumn="1" w:lastColumn="0" w:noHBand="0" w:noVBand="1"/>
      </w:tblPr>
      <w:tblGrid>
        <w:gridCol w:w="2269"/>
        <w:gridCol w:w="862"/>
        <w:gridCol w:w="786"/>
        <w:gridCol w:w="5370"/>
      </w:tblGrid>
      <w:tr w:rsidR="00193485" w:rsidRPr="00EB2092" w14:paraId="0245D5AD" w14:textId="77777777" w:rsidTr="00E44F73">
        <w:trPr>
          <w:trHeight w:val="780"/>
          <w:tblHeader/>
        </w:trPr>
        <w:tc>
          <w:tcPr>
            <w:tcW w:w="1222" w:type="pct"/>
            <w:vMerge w:val="restart"/>
            <w:tcBorders>
              <w:top w:val="nil"/>
              <w:left w:val="single" w:sz="4" w:space="0" w:color="auto"/>
              <w:bottom w:val="nil"/>
              <w:right w:val="single" w:sz="8" w:space="0" w:color="FFFFFF"/>
            </w:tcBorders>
            <w:shd w:val="clear" w:color="000000" w:fill="3D4D7D"/>
            <w:vAlign w:val="center"/>
            <w:hideMark/>
          </w:tcPr>
          <w:p w14:paraId="63A85FB6" w14:textId="77777777" w:rsidR="00193485" w:rsidRPr="00EB2092" w:rsidRDefault="00193485" w:rsidP="00193485">
            <w:pPr>
              <w:spacing w:line="240" w:lineRule="auto"/>
              <w:jc w:val="center"/>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Payments</w:t>
            </w:r>
          </w:p>
        </w:tc>
        <w:tc>
          <w:tcPr>
            <w:tcW w:w="887" w:type="pct"/>
            <w:gridSpan w:val="2"/>
            <w:tcBorders>
              <w:top w:val="nil"/>
              <w:left w:val="single" w:sz="8" w:space="0" w:color="FFFFFF"/>
              <w:bottom w:val="single" w:sz="8" w:space="0" w:color="FFFFFF"/>
              <w:right w:val="single" w:sz="8" w:space="0" w:color="FFFFFF"/>
            </w:tcBorders>
            <w:shd w:val="clear" w:color="000000" w:fill="3D4D7D"/>
            <w:vAlign w:val="center"/>
            <w:hideMark/>
          </w:tcPr>
          <w:p w14:paraId="4D6CBEC1" w14:textId="77777777" w:rsidR="00193485" w:rsidRPr="00EB2092" w:rsidRDefault="00193485" w:rsidP="00193485">
            <w:pPr>
              <w:spacing w:line="240" w:lineRule="auto"/>
              <w:jc w:val="center"/>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Per cent of GDP, 2029-30</w:t>
            </w:r>
          </w:p>
        </w:tc>
        <w:tc>
          <w:tcPr>
            <w:tcW w:w="2891" w:type="pct"/>
            <w:tcBorders>
              <w:top w:val="nil"/>
              <w:left w:val="nil"/>
              <w:bottom w:val="nil"/>
              <w:right w:val="nil"/>
            </w:tcBorders>
            <w:shd w:val="clear" w:color="000000" w:fill="3D4D7D"/>
            <w:vAlign w:val="center"/>
            <w:hideMark/>
          </w:tcPr>
          <w:p w14:paraId="5FDED2B2" w14:textId="5447A891" w:rsidR="00193485" w:rsidRPr="00EB2092" w:rsidRDefault="00193485" w:rsidP="00853E7B">
            <w:pPr>
              <w:spacing w:line="240" w:lineRule="auto"/>
              <w:jc w:val="center"/>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Differences from last year's projections (per</w:t>
            </w:r>
            <w:r w:rsidR="00853E7B">
              <w:rPr>
                <w:rFonts w:ascii="Calibri" w:eastAsia="Times New Roman" w:hAnsi="Calibri" w:cs="Times New Roman"/>
                <w:b/>
                <w:bCs/>
                <w:color w:val="FFFFFF"/>
                <w:sz w:val="20"/>
                <w:szCs w:val="20"/>
                <w:lang w:eastAsia="en-AU"/>
              </w:rPr>
              <w:t>centage points</w:t>
            </w:r>
            <w:r w:rsidRPr="00EB2092">
              <w:rPr>
                <w:rFonts w:ascii="Calibri" w:eastAsia="Times New Roman" w:hAnsi="Calibri" w:cs="Times New Roman"/>
                <w:b/>
                <w:bCs/>
                <w:color w:val="FFFFFF"/>
                <w:sz w:val="20"/>
                <w:szCs w:val="20"/>
                <w:lang w:eastAsia="en-AU"/>
              </w:rPr>
              <w:t xml:space="preserve"> of GDP)</w:t>
            </w:r>
          </w:p>
        </w:tc>
      </w:tr>
      <w:tr w:rsidR="00193485" w:rsidRPr="00EB2092" w14:paraId="77CBBD68" w14:textId="77777777" w:rsidTr="00E44F73">
        <w:trPr>
          <w:trHeight w:val="480"/>
          <w:tblHeader/>
        </w:trPr>
        <w:tc>
          <w:tcPr>
            <w:tcW w:w="1222" w:type="pct"/>
            <w:vMerge/>
            <w:tcBorders>
              <w:top w:val="nil"/>
              <w:left w:val="single" w:sz="4" w:space="0" w:color="auto"/>
              <w:bottom w:val="nil"/>
              <w:right w:val="single" w:sz="8" w:space="0" w:color="FFFFFF"/>
            </w:tcBorders>
            <w:vAlign w:val="center"/>
            <w:hideMark/>
          </w:tcPr>
          <w:p w14:paraId="4C230D9C" w14:textId="77777777" w:rsidR="00193485" w:rsidRPr="00EB2092" w:rsidRDefault="00193485" w:rsidP="00193485">
            <w:pPr>
              <w:spacing w:line="240" w:lineRule="auto"/>
              <w:rPr>
                <w:rFonts w:ascii="Calibri" w:eastAsia="Times New Roman" w:hAnsi="Calibri" w:cs="Times New Roman"/>
                <w:b/>
                <w:bCs/>
                <w:color w:val="FFFFFF"/>
                <w:sz w:val="20"/>
                <w:szCs w:val="20"/>
                <w:lang w:eastAsia="en-AU"/>
              </w:rPr>
            </w:pPr>
          </w:p>
        </w:tc>
        <w:tc>
          <w:tcPr>
            <w:tcW w:w="464" w:type="pct"/>
            <w:tcBorders>
              <w:top w:val="nil"/>
              <w:left w:val="nil"/>
              <w:bottom w:val="nil"/>
              <w:right w:val="nil"/>
            </w:tcBorders>
            <w:shd w:val="clear" w:color="000000" w:fill="3D4D7D"/>
            <w:vAlign w:val="center"/>
            <w:hideMark/>
          </w:tcPr>
          <w:p w14:paraId="77CE099D" w14:textId="77777777" w:rsidR="00193485" w:rsidRPr="00EB2092" w:rsidRDefault="00193485" w:rsidP="00193485">
            <w:pPr>
              <w:spacing w:line="240" w:lineRule="auto"/>
              <w:jc w:val="center"/>
              <w:rPr>
                <w:rFonts w:ascii="Calibri" w:eastAsia="Times New Roman" w:hAnsi="Calibri" w:cs="Times New Roman"/>
                <w:b/>
                <w:bCs/>
                <w:color w:val="FFFFFF"/>
                <w:sz w:val="18"/>
                <w:szCs w:val="18"/>
                <w:lang w:eastAsia="en-AU"/>
              </w:rPr>
            </w:pPr>
            <w:r w:rsidRPr="00EB2092">
              <w:rPr>
                <w:rFonts w:ascii="Calibri" w:eastAsia="Times New Roman" w:hAnsi="Calibri" w:cs="Times New Roman"/>
                <w:b/>
                <w:bCs/>
                <w:color w:val="FFFFFF"/>
                <w:sz w:val="18"/>
                <w:szCs w:val="18"/>
                <w:lang w:eastAsia="en-AU"/>
              </w:rPr>
              <w:t>Previous report</w:t>
            </w:r>
          </w:p>
        </w:tc>
        <w:tc>
          <w:tcPr>
            <w:tcW w:w="423" w:type="pct"/>
            <w:tcBorders>
              <w:top w:val="nil"/>
              <w:left w:val="nil"/>
              <w:bottom w:val="nil"/>
              <w:right w:val="single" w:sz="8" w:space="0" w:color="FFFFFF"/>
            </w:tcBorders>
            <w:shd w:val="clear" w:color="000000" w:fill="3D4D7D"/>
            <w:vAlign w:val="center"/>
            <w:hideMark/>
          </w:tcPr>
          <w:p w14:paraId="3653CB1D" w14:textId="77777777" w:rsidR="00193485" w:rsidRPr="00EB2092" w:rsidRDefault="00193485" w:rsidP="00193485">
            <w:pPr>
              <w:spacing w:line="240" w:lineRule="auto"/>
              <w:jc w:val="center"/>
              <w:rPr>
                <w:rFonts w:ascii="Calibri" w:eastAsia="Times New Roman" w:hAnsi="Calibri" w:cs="Times New Roman"/>
                <w:b/>
                <w:bCs/>
                <w:color w:val="FFFFFF"/>
                <w:sz w:val="18"/>
                <w:szCs w:val="18"/>
                <w:lang w:eastAsia="en-AU"/>
              </w:rPr>
            </w:pPr>
            <w:r w:rsidRPr="00EB2092">
              <w:rPr>
                <w:rFonts w:ascii="Calibri" w:eastAsia="Times New Roman" w:hAnsi="Calibri" w:cs="Times New Roman"/>
                <w:b/>
                <w:bCs/>
                <w:color w:val="FFFFFF"/>
                <w:sz w:val="18"/>
                <w:szCs w:val="18"/>
                <w:lang w:eastAsia="en-AU"/>
              </w:rPr>
              <w:t>Current report</w:t>
            </w:r>
          </w:p>
        </w:tc>
        <w:tc>
          <w:tcPr>
            <w:tcW w:w="2891" w:type="pct"/>
            <w:tcBorders>
              <w:top w:val="nil"/>
              <w:left w:val="nil"/>
              <w:bottom w:val="nil"/>
              <w:right w:val="nil"/>
            </w:tcBorders>
            <w:shd w:val="clear" w:color="000000" w:fill="3D4D7D"/>
            <w:vAlign w:val="center"/>
            <w:hideMark/>
          </w:tcPr>
          <w:p w14:paraId="47A3F3C6" w14:textId="77777777" w:rsidR="00193485" w:rsidRPr="00EB2092" w:rsidRDefault="00193485" w:rsidP="00193485">
            <w:pPr>
              <w:spacing w:line="240" w:lineRule="auto"/>
              <w:jc w:val="center"/>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 </w:t>
            </w:r>
          </w:p>
        </w:tc>
      </w:tr>
      <w:tr w:rsidR="00193485" w:rsidRPr="00EB2092" w14:paraId="2BB7EFC4" w14:textId="77777777" w:rsidTr="00E44F73">
        <w:trPr>
          <w:trHeight w:val="255"/>
        </w:trPr>
        <w:tc>
          <w:tcPr>
            <w:tcW w:w="1222" w:type="pct"/>
            <w:tcBorders>
              <w:top w:val="nil"/>
              <w:left w:val="single" w:sz="4" w:space="0" w:color="auto"/>
              <w:bottom w:val="nil"/>
              <w:right w:val="single" w:sz="8" w:space="0" w:color="3D4D7D"/>
            </w:tcBorders>
            <w:shd w:val="clear" w:color="000000" w:fill="7C8CBF"/>
            <w:vAlign w:val="center"/>
            <w:hideMark/>
          </w:tcPr>
          <w:p w14:paraId="5E2E2DC0" w14:textId="77777777" w:rsidR="00193485" w:rsidRPr="00EB2092" w:rsidRDefault="00193485" w:rsidP="00193485">
            <w:pPr>
              <w:spacing w:line="240" w:lineRule="auto"/>
              <w:rPr>
                <w:rFonts w:ascii="Calibri" w:eastAsia="Times New Roman" w:hAnsi="Calibri" w:cs="Times New Roman"/>
                <w:color w:val="000000"/>
                <w:sz w:val="14"/>
                <w:szCs w:val="14"/>
                <w:lang w:eastAsia="en-AU"/>
              </w:rPr>
            </w:pPr>
            <w:r w:rsidRPr="00EB2092">
              <w:rPr>
                <w:rFonts w:ascii="Calibri" w:eastAsia="Times New Roman" w:hAnsi="Calibri" w:cs="Times New Roman"/>
                <w:color w:val="000000"/>
                <w:sz w:val="14"/>
                <w:szCs w:val="14"/>
                <w:lang w:eastAsia="en-AU"/>
              </w:rPr>
              <w:t> </w:t>
            </w:r>
          </w:p>
        </w:tc>
        <w:tc>
          <w:tcPr>
            <w:tcW w:w="464" w:type="pct"/>
            <w:tcBorders>
              <w:top w:val="nil"/>
              <w:left w:val="nil"/>
              <w:bottom w:val="nil"/>
              <w:right w:val="nil"/>
            </w:tcBorders>
            <w:shd w:val="clear" w:color="000000" w:fill="7C8CBF"/>
            <w:vAlign w:val="center"/>
            <w:hideMark/>
          </w:tcPr>
          <w:p w14:paraId="2C9DF90A" w14:textId="77777777" w:rsidR="00193485" w:rsidRPr="00EB2092" w:rsidRDefault="00193485" w:rsidP="00193485">
            <w:pPr>
              <w:spacing w:line="240" w:lineRule="auto"/>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 </w:t>
            </w:r>
          </w:p>
        </w:tc>
        <w:tc>
          <w:tcPr>
            <w:tcW w:w="423" w:type="pct"/>
            <w:tcBorders>
              <w:top w:val="nil"/>
              <w:left w:val="single" w:sz="4" w:space="0" w:color="D2D9EA"/>
              <w:bottom w:val="nil"/>
              <w:right w:val="single" w:sz="4" w:space="0" w:color="auto"/>
            </w:tcBorders>
            <w:shd w:val="clear" w:color="000000" w:fill="7C8CBF"/>
            <w:vAlign w:val="center"/>
            <w:hideMark/>
          </w:tcPr>
          <w:p w14:paraId="4367C9C0" w14:textId="77777777" w:rsidR="00193485" w:rsidRPr="00EB2092" w:rsidRDefault="00193485" w:rsidP="00193485">
            <w:pPr>
              <w:spacing w:line="240" w:lineRule="auto"/>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 </w:t>
            </w:r>
          </w:p>
        </w:tc>
        <w:tc>
          <w:tcPr>
            <w:tcW w:w="2891" w:type="pct"/>
            <w:tcBorders>
              <w:top w:val="nil"/>
              <w:left w:val="nil"/>
              <w:bottom w:val="nil"/>
              <w:right w:val="single" w:sz="4" w:space="0" w:color="auto"/>
            </w:tcBorders>
            <w:shd w:val="clear" w:color="000000" w:fill="7C8CBF"/>
            <w:vAlign w:val="center"/>
            <w:hideMark/>
          </w:tcPr>
          <w:p w14:paraId="7FB3B1C6" w14:textId="77777777" w:rsidR="00193485" w:rsidRPr="00EB2092" w:rsidRDefault="00193485" w:rsidP="00193485">
            <w:pPr>
              <w:spacing w:line="240" w:lineRule="auto"/>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 </w:t>
            </w:r>
          </w:p>
        </w:tc>
      </w:tr>
      <w:tr w:rsidR="00193485" w:rsidRPr="00EB2092" w14:paraId="0ECFE62E" w14:textId="77777777" w:rsidTr="00E44F73">
        <w:trPr>
          <w:trHeight w:val="255"/>
        </w:trPr>
        <w:tc>
          <w:tcPr>
            <w:tcW w:w="1222" w:type="pct"/>
            <w:tcBorders>
              <w:top w:val="nil"/>
              <w:left w:val="single" w:sz="4" w:space="0" w:color="auto"/>
              <w:bottom w:val="nil"/>
              <w:right w:val="single" w:sz="4" w:space="0" w:color="auto"/>
            </w:tcBorders>
            <w:shd w:val="clear" w:color="000000" w:fill="D2D9EA"/>
            <w:vAlign w:val="center"/>
            <w:hideMark/>
          </w:tcPr>
          <w:p w14:paraId="4A760F30" w14:textId="77777777" w:rsidR="00193485" w:rsidRPr="00EB2092" w:rsidRDefault="00193485" w:rsidP="00193485">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GST transfers to states</w:t>
            </w:r>
          </w:p>
        </w:tc>
        <w:tc>
          <w:tcPr>
            <w:tcW w:w="464" w:type="pct"/>
            <w:tcBorders>
              <w:top w:val="nil"/>
              <w:left w:val="single" w:sz="4" w:space="0" w:color="auto"/>
              <w:bottom w:val="nil"/>
              <w:right w:val="nil"/>
            </w:tcBorders>
            <w:shd w:val="clear" w:color="000000" w:fill="D2D9EA"/>
            <w:vAlign w:val="center"/>
            <w:hideMark/>
          </w:tcPr>
          <w:p w14:paraId="2E318E3D" w14:textId="77777777" w:rsidR="00193485" w:rsidRPr="00EB2092" w:rsidRDefault="00193485" w:rsidP="00193485">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3.4</w:t>
            </w:r>
          </w:p>
        </w:tc>
        <w:tc>
          <w:tcPr>
            <w:tcW w:w="423" w:type="pct"/>
            <w:tcBorders>
              <w:top w:val="nil"/>
              <w:left w:val="nil"/>
              <w:bottom w:val="nil"/>
              <w:right w:val="nil"/>
            </w:tcBorders>
            <w:shd w:val="clear" w:color="000000" w:fill="D2D9EA"/>
            <w:vAlign w:val="center"/>
            <w:hideMark/>
          </w:tcPr>
          <w:p w14:paraId="3E2A7FEB" w14:textId="77777777" w:rsidR="00193485" w:rsidRPr="00EB2092" w:rsidRDefault="00193485" w:rsidP="00193485">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3.4</w:t>
            </w:r>
          </w:p>
        </w:tc>
        <w:tc>
          <w:tcPr>
            <w:tcW w:w="2891" w:type="pct"/>
            <w:tcBorders>
              <w:top w:val="nil"/>
              <w:left w:val="single" w:sz="4" w:space="0" w:color="auto"/>
              <w:bottom w:val="nil"/>
              <w:right w:val="single" w:sz="4" w:space="0" w:color="auto"/>
            </w:tcBorders>
            <w:shd w:val="clear" w:color="000000" w:fill="D2D9EA"/>
            <w:vAlign w:val="center"/>
            <w:hideMark/>
          </w:tcPr>
          <w:p w14:paraId="7F7A3854" w14:textId="77777777" w:rsidR="00193485" w:rsidRPr="00EB2092" w:rsidRDefault="00193485" w:rsidP="00193485">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Broadly unchanged overall, but affected by revised methodology and lower parameters.</w:t>
            </w:r>
          </w:p>
        </w:tc>
      </w:tr>
      <w:tr w:rsidR="00193485" w:rsidRPr="00EB2092" w14:paraId="09522163" w14:textId="77777777" w:rsidTr="00E44F73">
        <w:trPr>
          <w:trHeight w:val="510"/>
        </w:trPr>
        <w:tc>
          <w:tcPr>
            <w:tcW w:w="1222" w:type="pct"/>
            <w:tcBorders>
              <w:top w:val="nil"/>
              <w:left w:val="single" w:sz="4" w:space="0" w:color="auto"/>
              <w:bottom w:val="nil"/>
              <w:right w:val="single" w:sz="4" w:space="0" w:color="auto"/>
            </w:tcBorders>
            <w:shd w:val="clear" w:color="auto" w:fill="auto"/>
            <w:vAlign w:val="center"/>
            <w:hideMark/>
          </w:tcPr>
          <w:p w14:paraId="58BE2955" w14:textId="77777777" w:rsidR="00193485" w:rsidRPr="00EB2092" w:rsidRDefault="00193485" w:rsidP="00193485">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Age pension</w:t>
            </w:r>
          </w:p>
        </w:tc>
        <w:tc>
          <w:tcPr>
            <w:tcW w:w="464" w:type="pct"/>
            <w:tcBorders>
              <w:top w:val="nil"/>
              <w:left w:val="single" w:sz="4" w:space="0" w:color="auto"/>
              <w:bottom w:val="nil"/>
              <w:right w:val="nil"/>
            </w:tcBorders>
            <w:shd w:val="clear" w:color="auto" w:fill="auto"/>
            <w:vAlign w:val="center"/>
            <w:hideMark/>
          </w:tcPr>
          <w:p w14:paraId="12448BAE" w14:textId="77777777" w:rsidR="00193485" w:rsidRPr="00EB2092" w:rsidRDefault="00193485" w:rsidP="00193485">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2.4</w:t>
            </w:r>
          </w:p>
        </w:tc>
        <w:tc>
          <w:tcPr>
            <w:tcW w:w="423" w:type="pct"/>
            <w:tcBorders>
              <w:top w:val="nil"/>
              <w:left w:val="nil"/>
              <w:bottom w:val="nil"/>
              <w:right w:val="nil"/>
            </w:tcBorders>
            <w:shd w:val="clear" w:color="auto" w:fill="auto"/>
            <w:vAlign w:val="center"/>
            <w:hideMark/>
          </w:tcPr>
          <w:p w14:paraId="6AAF57F8" w14:textId="77777777" w:rsidR="00193485" w:rsidRPr="00EB2092" w:rsidRDefault="00193485" w:rsidP="00193485">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2.5</w:t>
            </w:r>
          </w:p>
        </w:tc>
        <w:tc>
          <w:tcPr>
            <w:tcW w:w="2891" w:type="pct"/>
            <w:tcBorders>
              <w:top w:val="nil"/>
              <w:left w:val="single" w:sz="4" w:space="0" w:color="auto"/>
              <w:bottom w:val="nil"/>
              <w:right w:val="single" w:sz="4" w:space="0" w:color="auto"/>
            </w:tcBorders>
            <w:shd w:val="clear" w:color="auto" w:fill="auto"/>
            <w:vAlign w:val="center"/>
            <w:hideMark/>
          </w:tcPr>
          <w:p w14:paraId="63CEA30D" w14:textId="77777777" w:rsidR="00193485" w:rsidRPr="00EB2092" w:rsidRDefault="00193485" w:rsidP="00193485">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Higher due to an increase in the number of age pension customers and a lower level of GDP, partially offset by lower prices growth.</w:t>
            </w:r>
          </w:p>
        </w:tc>
      </w:tr>
      <w:tr w:rsidR="00193485" w:rsidRPr="00EB2092" w14:paraId="43C30615" w14:textId="77777777" w:rsidTr="00E44F73">
        <w:trPr>
          <w:trHeight w:val="510"/>
        </w:trPr>
        <w:tc>
          <w:tcPr>
            <w:tcW w:w="1222" w:type="pct"/>
            <w:tcBorders>
              <w:top w:val="nil"/>
              <w:left w:val="single" w:sz="4" w:space="0" w:color="auto"/>
              <w:bottom w:val="nil"/>
              <w:right w:val="single" w:sz="4" w:space="0" w:color="auto"/>
            </w:tcBorders>
            <w:shd w:val="clear" w:color="000000" w:fill="D2D9EA"/>
            <w:vAlign w:val="center"/>
            <w:hideMark/>
          </w:tcPr>
          <w:p w14:paraId="2ED78984" w14:textId="63927C78" w:rsidR="00193485" w:rsidRPr="00EB2092" w:rsidRDefault="00193485" w:rsidP="00446D4A">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 xml:space="preserve">Defence </w:t>
            </w:r>
          </w:p>
        </w:tc>
        <w:tc>
          <w:tcPr>
            <w:tcW w:w="464" w:type="pct"/>
            <w:tcBorders>
              <w:top w:val="nil"/>
              <w:left w:val="single" w:sz="4" w:space="0" w:color="auto"/>
              <w:bottom w:val="nil"/>
              <w:right w:val="nil"/>
            </w:tcBorders>
            <w:shd w:val="clear" w:color="000000" w:fill="D2D9EA"/>
            <w:vAlign w:val="center"/>
            <w:hideMark/>
          </w:tcPr>
          <w:p w14:paraId="1DC3496C" w14:textId="77777777" w:rsidR="00193485" w:rsidRPr="00EB2092" w:rsidRDefault="00193485" w:rsidP="00193485">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2.2</w:t>
            </w:r>
          </w:p>
        </w:tc>
        <w:tc>
          <w:tcPr>
            <w:tcW w:w="423" w:type="pct"/>
            <w:tcBorders>
              <w:top w:val="nil"/>
              <w:left w:val="nil"/>
              <w:bottom w:val="nil"/>
              <w:right w:val="nil"/>
            </w:tcBorders>
            <w:shd w:val="clear" w:color="000000" w:fill="D2D9EA"/>
            <w:vAlign w:val="center"/>
            <w:hideMark/>
          </w:tcPr>
          <w:p w14:paraId="67E47E1D" w14:textId="77777777" w:rsidR="00193485" w:rsidRPr="00EB2092" w:rsidRDefault="00193485" w:rsidP="00193485">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2.4</w:t>
            </w:r>
          </w:p>
        </w:tc>
        <w:tc>
          <w:tcPr>
            <w:tcW w:w="2891" w:type="pct"/>
            <w:tcBorders>
              <w:top w:val="nil"/>
              <w:left w:val="single" w:sz="4" w:space="0" w:color="auto"/>
              <w:bottom w:val="nil"/>
              <w:right w:val="single" w:sz="4" w:space="0" w:color="auto"/>
            </w:tcBorders>
            <w:shd w:val="clear" w:color="000000" w:fill="D2D9EA"/>
            <w:vAlign w:val="center"/>
            <w:hideMark/>
          </w:tcPr>
          <w:p w14:paraId="43C6FC1F" w14:textId="5145CA4C" w:rsidR="00193485" w:rsidRPr="00EB2092" w:rsidRDefault="00193485" w:rsidP="008E2329">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 xml:space="preserve">Higher as a share of GDP due to </w:t>
            </w:r>
            <w:r w:rsidR="008E2329" w:rsidRPr="00EB2092">
              <w:rPr>
                <w:rFonts w:ascii="Calibri" w:eastAsia="Times New Roman" w:hAnsi="Calibri" w:cs="Times New Roman"/>
                <w:color w:val="000000"/>
                <w:sz w:val="20"/>
                <w:szCs w:val="20"/>
                <w:lang w:eastAsia="en-AU"/>
              </w:rPr>
              <w:t>the government’s funding commitments in the 2020 Defence Strategic Update</w:t>
            </w:r>
            <w:r w:rsidR="008E2329">
              <w:rPr>
                <w:rFonts w:ascii="Calibri" w:eastAsia="Times New Roman" w:hAnsi="Calibri" w:cs="Times New Roman"/>
                <w:color w:val="000000"/>
                <w:sz w:val="20"/>
                <w:szCs w:val="20"/>
                <w:lang w:eastAsia="en-AU"/>
              </w:rPr>
              <w:t xml:space="preserve"> and </w:t>
            </w:r>
            <w:r w:rsidRPr="00EB2092">
              <w:rPr>
                <w:rFonts w:ascii="Calibri" w:eastAsia="Times New Roman" w:hAnsi="Calibri" w:cs="Times New Roman"/>
                <w:color w:val="000000"/>
                <w:sz w:val="20"/>
                <w:szCs w:val="20"/>
                <w:lang w:eastAsia="en-AU"/>
              </w:rPr>
              <w:t>the lower level of nominal GDP.</w:t>
            </w:r>
          </w:p>
        </w:tc>
      </w:tr>
      <w:tr w:rsidR="00193485" w:rsidRPr="00EB2092" w14:paraId="07FFB138" w14:textId="77777777" w:rsidTr="00E44F73">
        <w:trPr>
          <w:trHeight w:val="510"/>
        </w:trPr>
        <w:tc>
          <w:tcPr>
            <w:tcW w:w="1222" w:type="pct"/>
            <w:tcBorders>
              <w:top w:val="nil"/>
              <w:left w:val="single" w:sz="4" w:space="0" w:color="auto"/>
              <w:bottom w:val="nil"/>
              <w:right w:val="single" w:sz="4" w:space="0" w:color="auto"/>
            </w:tcBorders>
            <w:shd w:val="clear" w:color="auto" w:fill="auto"/>
            <w:vAlign w:val="center"/>
            <w:hideMark/>
          </w:tcPr>
          <w:p w14:paraId="2BCD1EC9" w14:textId="77777777" w:rsidR="00193485" w:rsidRPr="00EB2092" w:rsidRDefault="00193485" w:rsidP="00193485">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Medicare Benefits Schedule</w:t>
            </w:r>
          </w:p>
        </w:tc>
        <w:tc>
          <w:tcPr>
            <w:tcW w:w="464" w:type="pct"/>
            <w:tcBorders>
              <w:top w:val="nil"/>
              <w:left w:val="single" w:sz="4" w:space="0" w:color="auto"/>
              <w:bottom w:val="nil"/>
              <w:right w:val="nil"/>
            </w:tcBorders>
            <w:shd w:val="clear" w:color="auto" w:fill="auto"/>
            <w:vAlign w:val="center"/>
            <w:hideMark/>
          </w:tcPr>
          <w:p w14:paraId="7722BF9C" w14:textId="77777777" w:rsidR="00193485" w:rsidRPr="00EB2092" w:rsidRDefault="00193485" w:rsidP="00193485">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1.4</w:t>
            </w:r>
          </w:p>
        </w:tc>
        <w:tc>
          <w:tcPr>
            <w:tcW w:w="423" w:type="pct"/>
            <w:tcBorders>
              <w:top w:val="nil"/>
              <w:left w:val="nil"/>
              <w:bottom w:val="nil"/>
              <w:right w:val="nil"/>
            </w:tcBorders>
            <w:shd w:val="clear" w:color="auto" w:fill="auto"/>
            <w:vAlign w:val="center"/>
            <w:hideMark/>
          </w:tcPr>
          <w:p w14:paraId="0B1DC587" w14:textId="77777777" w:rsidR="00193485" w:rsidRPr="00EB2092" w:rsidRDefault="00193485" w:rsidP="00193485">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1.4</w:t>
            </w:r>
          </w:p>
        </w:tc>
        <w:tc>
          <w:tcPr>
            <w:tcW w:w="2891" w:type="pct"/>
            <w:tcBorders>
              <w:top w:val="nil"/>
              <w:left w:val="single" w:sz="4" w:space="0" w:color="auto"/>
              <w:bottom w:val="nil"/>
              <w:right w:val="single" w:sz="4" w:space="0" w:color="auto"/>
            </w:tcBorders>
            <w:shd w:val="clear" w:color="auto" w:fill="auto"/>
            <w:vAlign w:val="center"/>
            <w:hideMark/>
          </w:tcPr>
          <w:p w14:paraId="102F7748" w14:textId="1A9E7CFA" w:rsidR="00193485" w:rsidRPr="00EB2092" w:rsidRDefault="00F43713" w:rsidP="00193485">
            <w:pPr>
              <w:spacing w:line="240" w:lineRule="auto"/>
              <w:rPr>
                <w:rFonts w:ascii="Calibri" w:eastAsia="Times New Roman" w:hAnsi="Calibri" w:cs="Times New Roman"/>
                <w:color w:val="000000"/>
                <w:sz w:val="20"/>
                <w:szCs w:val="20"/>
                <w:lang w:eastAsia="en-AU"/>
              </w:rPr>
            </w:pPr>
            <w:r>
              <w:rPr>
                <w:rFonts w:ascii="Calibri" w:eastAsia="Times New Roman" w:hAnsi="Calibri" w:cs="Times New Roman"/>
                <w:color w:val="000000"/>
                <w:sz w:val="20"/>
                <w:szCs w:val="20"/>
                <w:lang w:eastAsia="en-AU"/>
              </w:rPr>
              <w:t>Little change.</w:t>
            </w:r>
          </w:p>
        </w:tc>
      </w:tr>
      <w:tr w:rsidR="00193485" w:rsidRPr="00EB2092" w14:paraId="3140FB3F" w14:textId="77777777" w:rsidTr="00E44F73">
        <w:trPr>
          <w:trHeight w:val="1020"/>
        </w:trPr>
        <w:tc>
          <w:tcPr>
            <w:tcW w:w="1222" w:type="pct"/>
            <w:tcBorders>
              <w:top w:val="nil"/>
              <w:left w:val="single" w:sz="4" w:space="0" w:color="auto"/>
              <w:bottom w:val="nil"/>
              <w:right w:val="single" w:sz="4" w:space="0" w:color="auto"/>
            </w:tcBorders>
            <w:shd w:val="clear" w:color="000000" w:fill="D2D9EA"/>
            <w:vAlign w:val="center"/>
            <w:hideMark/>
          </w:tcPr>
          <w:p w14:paraId="773E5D53" w14:textId="77777777" w:rsidR="00193485" w:rsidRPr="00EB2092" w:rsidRDefault="00193485" w:rsidP="00193485">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Public hospitals</w:t>
            </w:r>
          </w:p>
        </w:tc>
        <w:tc>
          <w:tcPr>
            <w:tcW w:w="464" w:type="pct"/>
            <w:tcBorders>
              <w:top w:val="nil"/>
              <w:left w:val="single" w:sz="4" w:space="0" w:color="auto"/>
              <w:bottom w:val="nil"/>
              <w:right w:val="nil"/>
            </w:tcBorders>
            <w:shd w:val="clear" w:color="000000" w:fill="D2D9EA"/>
            <w:vAlign w:val="center"/>
            <w:hideMark/>
          </w:tcPr>
          <w:p w14:paraId="2E8F2AE5" w14:textId="77777777" w:rsidR="00193485" w:rsidRPr="00EB2092" w:rsidRDefault="00193485" w:rsidP="00193485">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1.2</w:t>
            </w:r>
          </w:p>
        </w:tc>
        <w:tc>
          <w:tcPr>
            <w:tcW w:w="423" w:type="pct"/>
            <w:tcBorders>
              <w:top w:val="nil"/>
              <w:left w:val="nil"/>
              <w:bottom w:val="nil"/>
              <w:right w:val="nil"/>
            </w:tcBorders>
            <w:shd w:val="clear" w:color="000000" w:fill="D2D9EA"/>
            <w:vAlign w:val="center"/>
            <w:hideMark/>
          </w:tcPr>
          <w:p w14:paraId="456D62B1" w14:textId="77777777" w:rsidR="00193485" w:rsidRPr="00EB2092" w:rsidRDefault="00193485" w:rsidP="00193485">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1.3</w:t>
            </w:r>
          </w:p>
        </w:tc>
        <w:tc>
          <w:tcPr>
            <w:tcW w:w="2891" w:type="pct"/>
            <w:tcBorders>
              <w:top w:val="nil"/>
              <w:left w:val="single" w:sz="4" w:space="0" w:color="auto"/>
              <w:bottom w:val="nil"/>
              <w:right w:val="single" w:sz="4" w:space="0" w:color="auto"/>
            </w:tcBorders>
            <w:shd w:val="clear" w:color="000000" w:fill="D2D9EA"/>
            <w:vAlign w:val="center"/>
            <w:hideMark/>
          </w:tcPr>
          <w:p w14:paraId="106FEF6E" w14:textId="77777777" w:rsidR="00193485" w:rsidRPr="00EB2092" w:rsidRDefault="00193485" w:rsidP="00193485">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 xml:space="preserve">Higher as a share of GDP due to a higher assumed national efficient price for services and the level of nominal GDP being lower than last year’s projections. </w:t>
            </w:r>
          </w:p>
        </w:tc>
      </w:tr>
      <w:tr w:rsidR="00193485" w:rsidRPr="00EB2092" w14:paraId="261C5FAD" w14:textId="77777777" w:rsidTr="00E44F73">
        <w:trPr>
          <w:trHeight w:val="510"/>
        </w:trPr>
        <w:tc>
          <w:tcPr>
            <w:tcW w:w="1222" w:type="pct"/>
            <w:tcBorders>
              <w:top w:val="nil"/>
              <w:left w:val="single" w:sz="4" w:space="0" w:color="auto"/>
              <w:bottom w:val="nil"/>
              <w:right w:val="single" w:sz="4" w:space="0" w:color="auto"/>
            </w:tcBorders>
            <w:shd w:val="clear" w:color="auto" w:fill="auto"/>
            <w:vAlign w:val="center"/>
            <w:hideMark/>
          </w:tcPr>
          <w:p w14:paraId="24F360C7" w14:textId="77777777" w:rsidR="00193485" w:rsidRPr="00EB2092" w:rsidRDefault="00193485" w:rsidP="00193485">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Aged care</w:t>
            </w:r>
          </w:p>
        </w:tc>
        <w:tc>
          <w:tcPr>
            <w:tcW w:w="464" w:type="pct"/>
            <w:tcBorders>
              <w:top w:val="nil"/>
              <w:left w:val="single" w:sz="4" w:space="0" w:color="auto"/>
              <w:bottom w:val="nil"/>
              <w:right w:val="nil"/>
            </w:tcBorders>
            <w:shd w:val="clear" w:color="auto" w:fill="auto"/>
            <w:vAlign w:val="center"/>
            <w:hideMark/>
          </w:tcPr>
          <w:p w14:paraId="27D4714F" w14:textId="77777777" w:rsidR="00193485" w:rsidRPr="00EB2092" w:rsidRDefault="00193485" w:rsidP="00193485">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1.3</w:t>
            </w:r>
          </w:p>
        </w:tc>
        <w:tc>
          <w:tcPr>
            <w:tcW w:w="423" w:type="pct"/>
            <w:tcBorders>
              <w:top w:val="nil"/>
              <w:left w:val="nil"/>
              <w:bottom w:val="nil"/>
              <w:right w:val="nil"/>
            </w:tcBorders>
            <w:shd w:val="clear" w:color="auto" w:fill="auto"/>
            <w:vAlign w:val="center"/>
            <w:hideMark/>
          </w:tcPr>
          <w:p w14:paraId="1C0BB453" w14:textId="77777777" w:rsidR="00193485" w:rsidRPr="00EB2092" w:rsidRDefault="00193485" w:rsidP="00193485">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1.3</w:t>
            </w:r>
          </w:p>
        </w:tc>
        <w:tc>
          <w:tcPr>
            <w:tcW w:w="2891" w:type="pct"/>
            <w:tcBorders>
              <w:top w:val="nil"/>
              <w:left w:val="single" w:sz="4" w:space="0" w:color="auto"/>
              <w:bottom w:val="nil"/>
              <w:right w:val="single" w:sz="4" w:space="0" w:color="auto"/>
            </w:tcBorders>
            <w:shd w:val="clear" w:color="auto" w:fill="auto"/>
            <w:vAlign w:val="center"/>
            <w:hideMark/>
          </w:tcPr>
          <w:p w14:paraId="081198B7" w14:textId="4D2D5491" w:rsidR="00193485" w:rsidRPr="00EB2092" w:rsidRDefault="00F43713" w:rsidP="00193485">
            <w:pPr>
              <w:spacing w:line="240" w:lineRule="auto"/>
              <w:rPr>
                <w:rFonts w:ascii="Calibri" w:eastAsia="Times New Roman" w:hAnsi="Calibri" w:cs="Times New Roman"/>
                <w:color w:val="000000"/>
                <w:sz w:val="20"/>
                <w:szCs w:val="20"/>
                <w:lang w:eastAsia="en-AU"/>
              </w:rPr>
            </w:pPr>
            <w:r>
              <w:rPr>
                <w:rFonts w:ascii="Calibri" w:eastAsia="Times New Roman" w:hAnsi="Calibri" w:cs="Times New Roman"/>
                <w:color w:val="000000"/>
                <w:sz w:val="20"/>
                <w:szCs w:val="20"/>
                <w:lang w:eastAsia="en-AU"/>
              </w:rPr>
              <w:t>Little change.</w:t>
            </w:r>
          </w:p>
        </w:tc>
      </w:tr>
      <w:tr w:rsidR="00193485" w:rsidRPr="00EB2092" w14:paraId="14DF1A0F" w14:textId="77777777" w:rsidTr="00E44F73">
        <w:trPr>
          <w:trHeight w:val="255"/>
        </w:trPr>
        <w:tc>
          <w:tcPr>
            <w:tcW w:w="1222" w:type="pct"/>
            <w:tcBorders>
              <w:top w:val="nil"/>
              <w:left w:val="single" w:sz="4" w:space="0" w:color="auto"/>
              <w:bottom w:val="nil"/>
              <w:right w:val="single" w:sz="4" w:space="0" w:color="auto"/>
            </w:tcBorders>
            <w:shd w:val="clear" w:color="000000" w:fill="D2D9EA"/>
            <w:vAlign w:val="center"/>
            <w:hideMark/>
          </w:tcPr>
          <w:p w14:paraId="298F365B" w14:textId="77777777" w:rsidR="00193485" w:rsidRPr="00EB2092" w:rsidRDefault="00193485" w:rsidP="00193485">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National Disability Insurance Scheme</w:t>
            </w:r>
          </w:p>
        </w:tc>
        <w:tc>
          <w:tcPr>
            <w:tcW w:w="464" w:type="pct"/>
            <w:tcBorders>
              <w:top w:val="nil"/>
              <w:left w:val="single" w:sz="4" w:space="0" w:color="auto"/>
              <w:bottom w:val="nil"/>
              <w:right w:val="nil"/>
            </w:tcBorders>
            <w:shd w:val="clear" w:color="000000" w:fill="D2D9EA"/>
            <w:vAlign w:val="center"/>
            <w:hideMark/>
          </w:tcPr>
          <w:p w14:paraId="762517F9" w14:textId="77777777" w:rsidR="00193485" w:rsidRPr="00EB2092" w:rsidRDefault="00193485" w:rsidP="00193485">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1.0</w:t>
            </w:r>
          </w:p>
        </w:tc>
        <w:tc>
          <w:tcPr>
            <w:tcW w:w="423" w:type="pct"/>
            <w:tcBorders>
              <w:top w:val="nil"/>
              <w:left w:val="nil"/>
              <w:bottom w:val="nil"/>
              <w:right w:val="nil"/>
            </w:tcBorders>
            <w:shd w:val="clear" w:color="000000" w:fill="D2D9EA"/>
            <w:vAlign w:val="center"/>
            <w:hideMark/>
          </w:tcPr>
          <w:p w14:paraId="0815A046" w14:textId="77777777" w:rsidR="00193485" w:rsidRPr="00EB2092" w:rsidRDefault="00193485" w:rsidP="00193485">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1.2</w:t>
            </w:r>
          </w:p>
        </w:tc>
        <w:tc>
          <w:tcPr>
            <w:tcW w:w="2891" w:type="pct"/>
            <w:tcBorders>
              <w:top w:val="nil"/>
              <w:left w:val="single" w:sz="4" w:space="0" w:color="auto"/>
              <w:bottom w:val="nil"/>
              <w:right w:val="single" w:sz="4" w:space="0" w:color="auto"/>
            </w:tcBorders>
            <w:shd w:val="clear" w:color="000000" w:fill="D2D9EA"/>
            <w:vAlign w:val="center"/>
            <w:hideMark/>
          </w:tcPr>
          <w:p w14:paraId="40B257CD" w14:textId="77777777" w:rsidR="00193485" w:rsidRPr="00EB2092" w:rsidRDefault="00193485" w:rsidP="00193485">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Higher due to an increase in participants and average client costs. </w:t>
            </w:r>
          </w:p>
        </w:tc>
      </w:tr>
      <w:tr w:rsidR="00193485" w:rsidRPr="00EB2092" w14:paraId="02F67D1E" w14:textId="77777777" w:rsidTr="00B42E22">
        <w:trPr>
          <w:trHeight w:val="566"/>
        </w:trPr>
        <w:tc>
          <w:tcPr>
            <w:tcW w:w="1222" w:type="pct"/>
            <w:tcBorders>
              <w:top w:val="nil"/>
              <w:left w:val="single" w:sz="4" w:space="0" w:color="auto"/>
              <w:bottom w:val="nil"/>
              <w:right w:val="single" w:sz="4" w:space="0" w:color="auto"/>
            </w:tcBorders>
            <w:shd w:val="clear" w:color="auto" w:fill="auto"/>
            <w:vAlign w:val="center"/>
            <w:hideMark/>
          </w:tcPr>
          <w:p w14:paraId="4DF768F8" w14:textId="77777777" w:rsidR="00193485" w:rsidRPr="00EB2092" w:rsidRDefault="00193485" w:rsidP="00193485">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Schools</w:t>
            </w:r>
          </w:p>
        </w:tc>
        <w:tc>
          <w:tcPr>
            <w:tcW w:w="464" w:type="pct"/>
            <w:tcBorders>
              <w:top w:val="nil"/>
              <w:left w:val="single" w:sz="4" w:space="0" w:color="auto"/>
              <w:bottom w:val="nil"/>
              <w:right w:val="nil"/>
            </w:tcBorders>
            <w:shd w:val="clear" w:color="auto" w:fill="auto"/>
            <w:vAlign w:val="center"/>
            <w:hideMark/>
          </w:tcPr>
          <w:p w14:paraId="2782E2CA" w14:textId="77777777" w:rsidR="00193485" w:rsidRPr="00EB2092" w:rsidRDefault="00193485" w:rsidP="00193485">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1.0</w:t>
            </w:r>
          </w:p>
        </w:tc>
        <w:tc>
          <w:tcPr>
            <w:tcW w:w="423" w:type="pct"/>
            <w:tcBorders>
              <w:top w:val="nil"/>
              <w:left w:val="nil"/>
              <w:bottom w:val="nil"/>
              <w:right w:val="nil"/>
            </w:tcBorders>
            <w:shd w:val="clear" w:color="auto" w:fill="auto"/>
            <w:vAlign w:val="center"/>
            <w:hideMark/>
          </w:tcPr>
          <w:p w14:paraId="63431A0D" w14:textId="77777777" w:rsidR="00193485" w:rsidRPr="00EB2092" w:rsidRDefault="00193485" w:rsidP="00193485">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1.1</w:t>
            </w:r>
          </w:p>
        </w:tc>
        <w:tc>
          <w:tcPr>
            <w:tcW w:w="2891" w:type="pct"/>
            <w:tcBorders>
              <w:top w:val="nil"/>
              <w:left w:val="single" w:sz="4" w:space="0" w:color="auto"/>
              <w:bottom w:val="nil"/>
              <w:right w:val="single" w:sz="4" w:space="0" w:color="auto"/>
            </w:tcBorders>
            <w:shd w:val="clear" w:color="auto" w:fill="auto"/>
            <w:vAlign w:val="center"/>
            <w:hideMark/>
          </w:tcPr>
          <w:p w14:paraId="204B472E" w14:textId="77777777" w:rsidR="00193485" w:rsidRPr="00EB2092" w:rsidRDefault="00193485" w:rsidP="00193485">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Higher as a share of GDP due to the lower level of nominal GDP.</w:t>
            </w:r>
          </w:p>
        </w:tc>
      </w:tr>
      <w:tr w:rsidR="00193485" w:rsidRPr="00EB2092" w14:paraId="3F947281" w14:textId="77777777" w:rsidTr="00E44F73">
        <w:trPr>
          <w:trHeight w:val="255"/>
        </w:trPr>
        <w:tc>
          <w:tcPr>
            <w:tcW w:w="1222" w:type="pct"/>
            <w:tcBorders>
              <w:top w:val="nil"/>
              <w:left w:val="single" w:sz="4" w:space="0" w:color="auto"/>
              <w:bottom w:val="nil"/>
              <w:right w:val="single" w:sz="4" w:space="0" w:color="auto"/>
            </w:tcBorders>
            <w:shd w:val="clear" w:color="000000" w:fill="D2D9EA"/>
            <w:vAlign w:val="center"/>
            <w:hideMark/>
          </w:tcPr>
          <w:p w14:paraId="452A8D5D" w14:textId="77777777" w:rsidR="00193485" w:rsidRPr="00EB2092" w:rsidRDefault="00193485" w:rsidP="00193485">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Public debt interest</w:t>
            </w:r>
          </w:p>
        </w:tc>
        <w:tc>
          <w:tcPr>
            <w:tcW w:w="464" w:type="pct"/>
            <w:tcBorders>
              <w:top w:val="nil"/>
              <w:left w:val="single" w:sz="4" w:space="0" w:color="auto"/>
              <w:bottom w:val="nil"/>
              <w:right w:val="nil"/>
            </w:tcBorders>
            <w:shd w:val="clear" w:color="000000" w:fill="D2D9EA"/>
            <w:vAlign w:val="center"/>
            <w:hideMark/>
          </w:tcPr>
          <w:p w14:paraId="0C7DFBBD" w14:textId="77777777" w:rsidR="00193485" w:rsidRPr="00EB2092" w:rsidRDefault="00193485" w:rsidP="00193485">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0.4</w:t>
            </w:r>
          </w:p>
        </w:tc>
        <w:tc>
          <w:tcPr>
            <w:tcW w:w="423" w:type="pct"/>
            <w:tcBorders>
              <w:top w:val="nil"/>
              <w:left w:val="nil"/>
              <w:bottom w:val="nil"/>
              <w:right w:val="nil"/>
            </w:tcBorders>
            <w:shd w:val="clear" w:color="000000" w:fill="D2D9EA"/>
            <w:vAlign w:val="center"/>
            <w:hideMark/>
          </w:tcPr>
          <w:p w14:paraId="582F28B2" w14:textId="77777777" w:rsidR="00193485" w:rsidRPr="00EB2092" w:rsidRDefault="00193485" w:rsidP="00193485">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0.8</w:t>
            </w:r>
          </w:p>
        </w:tc>
        <w:tc>
          <w:tcPr>
            <w:tcW w:w="2891" w:type="pct"/>
            <w:tcBorders>
              <w:top w:val="nil"/>
              <w:left w:val="single" w:sz="4" w:space="0" w:color="auto"/>
              <w:bottom w:val="nil"/>
              <w:right w:val="single" w:sz="4" w:space="0" w:color="auto"/>
            </w:tcBorders>
            <w:shd w:val="clear" w:color="000000" w:fill="D2D9EA"/>
            <w:vAlign w:val="center"/>
            <w:hideMark/>
          </w:tcPr>
          <w:p w14:paraId="243926DB" w14:textId="77777777" w:rsidR="00193485" w:rsidRPr="00EB2092" w:rsidRDefault="00193485" w:rsidP="00193485">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Higher as a share of GDP due to the increase in debt.</w:t>
            </w:r>
          </w:p>
        </w:tc>
      </w:tr>
      <w:tr w:rsidR="00193485" w:rsidRPr="00EB2092" w14:paraId="278B350B" w14:textId="77777777" w:rsidTr="00E44F73">
        <w:trPr>
          <w:trHeight w:val="765"/>
        </w:trPr>
        <w:tc>
          <w:tcPr>
            <w:tcW w:w="1222" w:type="pct"/>
            <w:tcBorders>
              <w:top w:val="nil"/>
              <w:left w:val="single" w:sz="4" w:space="0" w:color="auto"/>
              <w:bottom w:val="nil"/>
              <w:right w:val="single" w:sz="4" w:space="0" w:color="auto"/>
            </w:tcBorders>
            <w:shd w:val="clear" w:color="auto" w:fill="auto"/>
            <w:vAlign w:val="center"/>
            <w:hideMark/>
          </w:tcPr>
          <w:p w14:paraId="3CF99BA0" w14:textId="77777777" w:rsidR="00193485" w:rsidRPr="00EB2092" w:rsidRDefault="00193485" w:rsidP="00193485">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Pharmaceutical Benefits Scheme</w:t>
            </w:r>
          </w:p>
        </w:tc>
        <w:tc>
          <w:tcPr>
            <w:tcW w:w="464" w:type="pct"/>
            <w:tcBorders>
              <w:top w:val="nil"/>
              <w:left w:val="single" w:sz="4" w:space="0" w:color="auto"/>
              <w:bottom w:val="nil"/>
              <w:right w:val="nil"/>
            </w:tcBorders>
            <w:shd w:val="clear" w:color="auto" w:fill="auto"/>
            <w:vAlign w:val="center"/>
            <w:hideMark/>
          </w:tcPr>
          <w:p w14:paraId="4ED41E05" w14:textId="77777777" w:rsidR="00193485" w:rsidRPr="00EB2092" w:rsidRDefault="00193485" w:rsidP="00193485">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0.5</w:t>
            </w:r>
          </w:p>
        </w:tc>
        <w:tc>
          <w:tcPr>
            <w:tcW w:w="423" w:type="pct"/>
            <w:tcBorders>
              <w:top w:val="nil"/>
              <w:left w:val="nil"/>
              <w:bottom w:val="nil"/>
              <w:right w:val="nil"/>
            </w:tcBorders>
            <w:shd w:val="clear" w:color="auto" w:fill="auto"/>
            <w:vAlign w:val="center"/>
            <w:hideMark/>
          </w:tcPr>
          <w:p w14:paraId="3A9077F0" w14:textId="77777777" w:rsidR="00193485" w:rsidRPr="00EB2092" w:rsidRDefault="00193485" w:rsidP="00193485">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0.7</w:t>
            </w:r>
          </w:p>
        </w:tc>
        <w:tc>
          <w:tcPr>
            <w:tcW w:w="2891" w:type="pct"/>
            <w:tcBorders>
              <w:top w:val="nil"/>
              <w:left w:val="single" w:sz="4" w:space="0" w:color="auto"/>
              <w:bottom w:val="nil"/>
              <w:right w:val="single" w:sz="4" w:space="0" w:color="auto"/>
            </w:tcBorders>
            <w:shd w:val="clear" w:color="auto" w:fill="auto"/>
            <w:vAlign w:val="center"/>
            <w:hideMark/>
          </w:tcPr>
          <w:p w14:paraId="53560F06" w14:textId="552339B4" w:rsidR="00193485" w:rsidRPr="00EB2092" w:rsidRDefault="00193485" w:rsidP="00193485">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 xml:space="preserve">Higher due to a change in the way payments are administered, but this is not a real increase </w:t>
            </w:r>
            <w:r w:rsidR="00F43713">
              <w:rPr>
                <w:rFonts w:ascii="Calibri" w:eastAsia="Times New Roman" w:hAnsi="Calibri" w:cs="Times New Roman"/>
                <w:color w:val="000000"/>
                <w:sz w:val="20"/>
                <w:szCs w:val="20"/>
                <w:lang w:eastAsia="en-AU"/>
              </w:rPr>
              <w:t xml:space="preserve">in net payments </w:t>
            </w:r>
            <w:r w:rsidRPr="00EB2092">
              <w:rPr>
                <w:rFonts w:ascii="Calibri" w:eastAsia="Times New Roman" w:hAnsi="Calibri" w:cs="Times New Roman"/>
                <w:color w:val="000000"/>
                <w:sz w:val="20"/>
                <w:szCs w:val="20"/>
                <w:lang w:eastAsia="en-AU"/>
              </w:rPr>
              <w:t>as a commensurate increase is seen in non-tax receipts.  Growth is lower due to lower population and CPI forecasts.</w:t>
            </w:r>
          </w:p>
        </w:tc>
      </w:tr>
      <w:tr w:rsidR="00193485" w:rsidRPr="00EB2092" w14:paraId="47E3CB0E" w14:textId="77777777" w:rsidTr="00E44F73">
        <w:trPr>
          <w:trHeight w:val="510"/>
        </w:trPr>
        <w:tc>
          <w:tcPr>
            <w:tcW w:w="1222" w:type="pct"/>
            <w:tcBorders>
              <w:top w:val="nil"/>
              <w:left w:val="single" w:sz="4" w:space="0" w:color="auto"/>
              <w:bottom w:val="nil"/>
              <w:right w:val="single" w:sz="4" w:space="0" w:color="auto"/>
            </w:tcBorders>
            <w:shd w:val="clear" w:color="000000" w:fill="D2D9EA"/>
            <w:vAlign w:val="center"/>
            <w:hideMark/>
          </w:tcPr>
          <w:p w14:paraId="227EB500" w14:textId="77777777" w:rsidR="00193485" w:rsidRPr="00EB2092" w:rsidRDefault="00193485" w:rsidP="00193485">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Disability support pension</w:t>
            </w:r>
          </w:p>
        </w:tc>
        <w:tc>
          <w:tcPr>
            <w:tcW w:w="464" w:type="pct"/>
            <w:tcBorders>
              <w:top w:val="nil"/>
              <w:left w:val="single" w:sz="4" w:space="0" w:color="auto"/>
              <w:bottom w:val="nil"/>
              <w:right w:val="nil"/>
            </w:tcBorders>
            <w:shd w:val="clear" w:color="000000" w:fill="D2D9EA"/>
            <w:vAlign w:val="center"/>
            <w:hideMark/>
          </w:tcPr>
          <w:p w14:paraId="71F277D8" w14:textId="77777777" w:rsidR="00193485" w:rsidRPr="00EB2092" w:rsidRDefault="00193485" w:rsidP="00193485">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0.7</w:t>
            </w:r>
          </w:p>
        </w:tc>
        <w:tc>
          <w:tcPr>
            <w:tcW w:w="423" w:type="pct"/>
            <w:tcBorders>
              <w:top w:val="nil"/>
              <w:left w:val="nil"/>
              <w:bottom w:val="nil"/>
              <w:right w:val="nil"/>
            </w:tcBorders>
            <w:shd w:val="clear" w:color="000000" w:fill="D2D9EA"/>
            <w:vAlign w:val="center"/>
            <w:hideMark/>
          </w:tcPr>
          <w:p w14:paraId="7DEC982B" w14:textId="77777777" w:rsidR="00193485" w:rsidRPr="00EB2092" w:rsidRDefault="00193485" w:rsidP="00193485">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0.7</w:t>
            </w:r>
          </w:p>
        </w:tc>
        <w:tc>
          <w:tcPr>
            <w:tcW w:w="2891" w:type="pct"/>
            <w:tcBorders>
              <w:top w:val="nil"/>
              <w:left w:val="single" w:sz="4" w:space="0" w:color="auto"/>
              <w:bottom w:val="nil"/>
              <w:right w:val="single" w:sz="4" w:space="0" w:color="auto"/>
            </w:tcBorders>
            <w:shd w:val="clear" w:color="000000" w:fill="D2D9EA"/>
            <w:vAlign w:val="center"/>
            <w:hideMark/>
          </w:tcPr>
          <w:p w14:paraId="7896AFD1" w14:textId="77777777" w:rsidR="00193485" w:rsidRPr="00EB2092" w:rsidRDefault="00193485" w:rsidP="00193485">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Little change.</w:t>
            </w:r>
          </w:p>
        </w:tc>
      </w:tr>
      <w:tr w:rsidR="00193485" w:rsidRPr="00EB2092" w14:paraId="00A7347D" w14:textId="77777777" w:rsidTr="00B42E22">
        <w:trPr>
          <w:trHeight w:val="372"/>
        </w:trPr>
        <w:tc>
          <w:tcPr>
            <w:tcW w:w="1222" w:type="pct"/>
            <w:tcBorders>
              <w:top w:val="nil"/>
              <w:left w:val="single" w:sz="4" w:space="0" w:color="auto"/>
              <w:bottom w:val="nil"/>
              <w:right w:val="single" w:sz="4" w:space="0" w:color="auto"/>
            </w:tcBorders>
            <w:shd w:val="clear" w:color="auto" w:fill="auto"/>
            <w:vAlign w:val="center"/>
            <w:hideMark/>
          </w:tcPr>
          <w:p w14:paraId="08F1A1BE" w14:textId="77777777" w:rsidR="00193485" w:rsidRPr="00EB2092" w:rsidRDefault="00193485" w:rsidP="00193485">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Family tax benefit</w:t>
            </w:r>
          </w:p>
        </w:tc>
        <w:tc>
          <w:tcPr>
            <w:tcW w:w="464" w:type="pct"/>
            <w:tcBorders>
              <w:top w:val="nil"/>
              <w:left w:val="single" w:sz="4" w:space="0" w:color="auto"/>
              <w:bottom w:val="nil"/>
              <w:right w:val="nil"/>
            </w:tcBorders>
            <w:shd w:val="clear" w:color="auto" w:fill="auto"/>
            <w:vAlign w:val="center"/>
            <w:hideMark/>
          </w:tcPr>
          <w:p w14:paraId="38D6BEB4" w14:textId="77777777" w:rsidR="00193485" w:rsidRPr="00EB2092" w:rsidRDefault="00193485" w:rsidP="00193485">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0.7</w:t>
            </w:r>
          </w:p>
        </w:tc>
        <w:tc>
          <w:tcPr>
            <w:tcW w:w="423" w:type="pct"/>
            <w:tcBorders>
              <w:top w:val="nil"/>
              <w:left w:val="nil"/>
              <w:bottom w:val="nil"/>
              <w:right w:val="nil"/>
            </w:tcBorders>
            <w:shd w:val="clear" w:color="auto" w:fill="auto"/>
            <w:vAlign w:val="center"/>
            <w:hideMark/>
          </w:tcPr>
          <w:p w14:paraId="215EE093" w14:textId="77777777" w:rsidR="00193485" w:rsidRPr="00EB2092" w:rsidRDefault="00193485" w:rsidP="00193485">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0.7</w:t>
            </w:r>
          </w:p>
        </w:tc>
        <w:tc>
          <w:tcPr>
            <w:tcW w:w="2891" w:type="pct"/>
            <w:tcBorders>
              <w:top w:val="nil"/>
              <w:left w:val="single" w:sz="4" w:space="0" w:color="auto"/>
              <w:bottom w:val="nil"/>
              <w:right w:val="single" w:sz="4" w:space="0" w:color="auto"/>
            </w:tcBorders>
            <w:shd w:val="clear" w:color="auto" w:fill="auto"/>
            <w:vAlign w:val="center"/>
            <w:hideMark/>
          </w:tcPr>
          <w:p w14:paraId="4FDA316E" w14:textId="553D665F" w:rsidR="00193485" w:rsidRPr="00EB2092" w:rsidRDefault="00F43713" w:rsidP="00193485">
            <w:pPr>
              <w:spacing w:line="240" w:lineRule="auto"/>
              <w:rPr>
                <w:rFonts w:ascii="Calibri" w:eastAsia="Times New Roman" w:hAnsi="Calibri" w:cs="Times New Roman"/>
                <w:color w:val="000000"/>
                <w:sz w:val="20"/>
                <w:szCs w:val="20"/>
                <w:lang w:eastAsia="en-AU"/>
              </w:rPr>
            </w:pPr>
            <w:r>
              <w:rPr>
                <w:rFonts w:ascii="Calibri" w:eastAsia="Times New Roman" w:hAnsi="Calibri" w:cs="Times New Roman"/>
                <w:color w:val="000000"/>
                <w:sz w:val="20"/>
                <w:szCs w:val="20"/>
                <w:lang w:eastAsia="en-AU"/>
              </w:rPr>
              <w:t>Little change.</w:t>
            </w:r>
          </w:p>
        </w:tc>
      </w:tr>
      <w:tr w:rsidR="00193485" w:rsidRPr="00EB2092" w14:paraId="477B54DD" w14:textId="77777777" w:rsidTr="00B42E22">
        <w:trPr>
          <w:trHeight w:val="292"/>
        </w:trPr>
        <w:tc>
          <w:tcPr>
            <w:tcW w:w="1222" w:type="pct"/>
            <w:tcBorders>
              <w:top w:val="nil"/>
              <w:left w:val="single" w:sz="4" w:space="0" w:color="auto"/>
              <w:bottom w:val="nil"/>
              <w:right w:val="single" w:sz="4" w:space="0" w:color="auto"/>
            </w:tcBorders>
            <w:shd w:val="clear" w:color="000000" w:fill="D2D9EA"/>
            <w:vAlign w:val="center"/>
            <w:hideMark/>
          </w:tcPr>
          <w:p w14:paraId="299545A0" w14:textId="77777777" w:rsidR="00193485" w:rsidRPr="00EB2092" w:rsidRDefault="00193485" w:rsidP="00193485">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Carer income support</w:t>
            </w:r>
          </w:p>
        </w:tc>
        <w:tc>
          <w:tcPr>
            <w:tcW w:w="464" w:type="pct"/>
            <w:tcBorders>
              <w:top w:val="nil"/>
              <w:left w:val="single" w:sz="4" w:space="0" w:color="auto"/>
              <w:bottom w:val="nil"/>
              <w:right w:val="nil"/>
            </w:tcBorders>
            <w:shd w:val="clear" w:color="000000" w:fill="D2D9EA"/>
            <w:vAlign w:val="center"/>
            <w:hideMark/>
          </w:tcPr>
          <w:p w14:paraId="5E9CD707" w14:textId="77777777" w:rsidR="00193485" w:rsidRPr="00EB2092" w:rsidRDefault="00193485" w:rsidP="00193485">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0.5</w:t>
            </w:r>
          </w:p>
        </w:tc>
        <w:tc>
          <w:tcPr>
            <w:tcW w:w="423" w:type="pct"/>
            <w:tcBorders>
              <w:top w:val="nil"/>
              <w:left w:val="nil"/>
              <w:bottom w:val="nil"/>
              <w:right w:val="nil"/>
            </w:tcBorders>
            <w:shd w:val="clear" w:color="000000" w:fill="D2D9EA"/>
            <w:vAlign w:val="center"/>
            <w:hideMark/>
          </w:tcPr>
          <w:p w14:paraId="41F20CF5" w14:textId="77777777" w:rsidR="00193485" w:rsidRPr="00EB2092" w:rsidRDefault="00193485" w:rsidP="00193485">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0.5</w:t>
            </w:r>
          </w:p>
        </w:tc>
        <w:tc>
          <w:tcPr>
            <w:tcW w:w="2891" w:type="pct"/>
            <w:tcBorders>
              <w:top w:val="nil"/>
              <w:left w:val="single" w:sz="4" w:space="0" w:color="auto"/>
              <w:bottom w:val="nil"/>
              <w:right w:val="single" w:sz="4" w:space="0" w:color="auto"/>
            </w:tcBorders>
            <w:shd w:val="clear" w:color="000000" w:fill="D2D9EA"/>
            <w:vAlign w:val="center"/>
            <w:hideMark/>
          </w:tcPr>
          <w:p w14:paraId="7DE7FA54" w14:textId="2F8D3D01" w:rsidR="00193485" w:rsidRPr="00EB2092" w:rsidRDefault="00F43713" w:rsidP="00193485">
            <w:pPr>
              <w:spacing w:line="240" w:lineRule="auto"/>
              <w:rPr>
                <w:rFonts w:ascii="Calibri" w:eastAsia="Times New Roman" w:hAnsi="Calibri" w:cs="Times New Roman"/>
                <w:color w:val="000000"/>
                <w:sz w:val="20"/>
                <w:szCs w:val="20"/>
                <w:lang w:eastAsia="en-AU"/>
              </w:rPr>
            </w:pPr>
            <w:r>
              <w:rPr>
                <w:rFonts w:ascii="Calibri" w:eastAsia="Times New Roman" w:hAnsi="Calibri" w:cs="Times New Roman"/>
                <w:color w:val="000000"/>
                <w:sz w:val="20"/>
                <w:szCs w:val="20"/>
                <w:lang w:eastAsia="en-AU"/>
              </w:rPr>
              <w:t>Little change.</w:t>
            </w:r>
          </w:p>
        </w:tc>
      </w:tr>
      <w:tr w:rsidR="00193485" w:rsidRPr="00EB2092" w14:paraId="1EB7C525" w14:textId="77777777" w:rsidTr="00E44F73">
        <w:trPr>
          <w:trHeight w:val="510"/>
        </w:trPr>
        <w:tc>
          <w:tcPr>
            <w:tcW w:w="1222" w:type="pct"/>
            <w:tcBorders>
              <w:top w:val="nil"/>
              <w:left w:val="single" w:sz="4" w:space="0" w:color="auto"/>
              <w:bottom w:val="nil"/>
              <w:right w:val="single" w:sz="4" w:space="0" w:color="auto"/>
            </w:tcBorders>
            <w:shd w:val="clear" w:color="auto" w:fill="auto"/>
            <w:vAlign w:val="center"/>
            <w:hideMark/>
          </w:tcPr>
          <w:p w14:paraId="61736EC9" w14:textId="77777777" w:rsidR="00193485" w:rsidRPr="00EB2092" w:rsidRDefault="00193485" w:rsidP="00193485">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Income support for the unemployed</w:t>
            </w:r>
          </w:p>
        </w:tc>
        <w:tc>
          <w:tcPr>
            <w:tcW w:w="464" w:type="pct"/>
            <w:tcBorders>
              <w:top w:val="nil"/>
              <w:left w:val="single" w:sz="4" w:space="0" w:color="auto"/>
              <w:bottom w:val="nil"/>
              <w:right w:val="nil"/>
            </w:tcBorders>
            <w:shd w:val="clear" w:color="auto" w:fill="auto"/>
            <w:vAlign w:val="center"/>
            <w:hideMark/>
          </w:tcPr>
          <w:p w14:paraId="246E0052" w14:textId="77777777" w:rsidR="00193485" w:rsidRPr="00EB2092" w:rsidRDefault="00193485" w:rsidP="00193485">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0.5</w:t>
            </w:r>
          </w:p>
        </w:tc>
        <w:tc>
          <w:tcPr>
            <w:tcW w:w="423" w:type="pct"/>
            <w:tcBorders>
              <w:top w:val="nil"/>
              <w:left w:val="nil"/>
              <w:bottom w:val="nil"/>
              <w:right w:val="nil"/>
            </w:tcBorders>
            <w:shd w:val="clear" w:color="auto" w:fill="auto"/>
            <w:vAlign w:val="center"/>
            <w:hideMark/>
          </w:tcPr>
          <w:p w14:paraId="2B0F0176" w14:textId="77777777" w:rsidR="00193485" w:rsidRPr="00EB2092" w:rsidRDefault="00193485" w:rsidP="00193485">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0.5</w:t>
            </w:r>
          </w:p>
        </w:tc>
        <w:tc>
          <w:tcPr>
            <w:tcW w:w="2891" w:type="pct"/>
            <w:tcBorders>
              <w:top w:val="nil"/>
              <w:left w:val="single" w:sz="4" w:space="0" w:color="auto"/>
              <w:bottom w:val="nil"/>
              <w:right w:val="single" w:sz="4" w:space="0" w:color="auto"/>
            </w:tcBorders>
            <w:shd w:val="clear" w:color="auto" w:fill="auto"/>
            <w:vAlign w:val="center"/>
            <w:hideMark/>
          </w:tcPr>
          <w:p w14:paraId="79B7E421" w14:textId="79209F90" w:rsidR="00193485" w:rsidRPr="00EB2092" w:rsidRDefault="00193485" w:rsidP="0006382F">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 xml:space="preserve">Slightly higher, due to the PBO incorporating </w:t>
            </w:r>
            <w:proofErr w:type="gramStart"/>
            <w:r w:rsidRPr="00EB2092">
              <w:rPr>
                <w:rFonts w:ascii="Calibri" w:eastAsia="Times New Roman" w:hAnsi="Calibri" w:cs="Times New Roman"/>
                <w:color w:val="000000"/>
                <w:sz w:val="20"/>
                <w:szCs w:val="20"/>
                <w:lang w:eastAsia="en-AU"/>
              </w:rPr>
              <w:t>a demographic</w:t>
            </w:r>
            <w:proofErr w:type="gramEnd"/>
            <w:r w:rsidR="00F43713">
              <w:rPr>
                <w:rFonts w:ascii="Calibri" w:eastAsia="Times New Roman" w:hAnsi="Calibri" w:cs="Times New Roman"/>
                <w:color w:val="000000"/>
                <w:sz w:val="20"/>
                <w:szCs w:val="20"/>
                <w:lang w:eastAsia="en-AU"/>
              </w:rPr>
              <w:noBreakHyphen/>
            </w:r>
            <w:r w:rsidRPr="00EB2092">
              <w:rPr>
                <w:rFonts w:ascii="Calibri" w:eastAsia="Times New Roman" w:hAnsi="Calibri" w:cs="Times New Roman"/>
                <w:color w:val="000000"/>
                <w:sz w:val="20"/>
                <w:szCs w:val="20"/>
                <w:lang w:eastAsia="en-AU"/>
              </w:rPr>
              <w:t>based sensitivity to unemployment.</w:t>
            </w:r>
          </w:p>
        </w:tc>
      </w:tr>
      <w:tr w:rsidR="00193485" w:rsidRPr="00EB2092" w14:paraId="7A647AEA" w14:textId="77777777" w:rsidTr="00E44F73">
        <w:trPr>
          <w:trHeight w:val="765"/>
        </w:trPr>
        <w:tc>
          <w:tcPr>
            <w:tcW w:w="1222" w:type="pct"/>
            <w:tcBorders>
              <w:top w:val="nil"/>
              <w:left w:val="single" w:sz="4" w:space="0" w:color="auto"/>
              <w:bottom w:val="nil"/>
              <w:right w:val="single" w:sz="4" w:space="0" w:color="auto"/>
            </w:tcBorders>
            <w:shd w:val="clear" w:color="000000" w:fill="D2D9EA"/>
            <w:vAlign w:val="center"/>
            <w:hideMark/>
          </w:tcPr>
          <w:p w14:paraId="0B12D95D" w14:textId="77777777" w:rsidR="00193485" w:rsidRPr="00EB2092" w:rsidRDefault="00193485" w:rsidP="00193485">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Child care</w:t>
            </w:r>
          </w:p>
        </w:tc>
        <w:tc>
          <w:tcPr>
            <w:tcW w:w="464" w:type="pct"/>
            <w:tcBorders>
              <w:top w:val="nil"/>
              <w:left w:val="single" w:sz="4" w:space="0" w:color="auto"/>
              <w:bottom w:val="nil"/>
              <w:right w:val="nil"/>
            </w:tcBorders>
            <w:shd w:val="clear" w:color="000000" w:fill="D2D9EA"/>
            <w:vAlign w:val="center"/>
            <w:hideMark/>
          </w:tcPr>
          <w:p w14:paraId="6D296BBF" w14:textId="77777777" w:rsidR="00193485" w:rsidRPr="00EB2092" w:rsidRDefault="00193485" w:rsidP="00193485">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0.5</w:t>
            </w:r>
          </w:p>
        </w:tc>
        <w:tc>
          <w:tcPr>
            <w:tcW w:w="423" w:type="pct"/>
            <w:tcBorders>
              <w:top w:val="nil"/>
              <w:left w:val="nil"/>
              <w:bottom w:val="nil"/>
              <w:right w:val="nil"/>
            </w:tcBorders>
            <w:shd w:val="clear" w:color="000000" w:fill="D2D9EA"/>
            <w:vAlign w:val="center"/>
            <w:hideMark/>
          </w:tcPr>
          <w:p w14:paraId="6917699B" w14:textId="77777777" w:rsidR="00193485" w:rsidRPr="00EB2092" w:rsidRDefault="00193485" w:rsidP="00193485">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0.4</w:t>
            </w:r>
          </w:p>
        </w:tc>
        <w:tc>
          <w:tcPr>
            <w:tcW w:w="2891" w:type="pct"/>
            <w:tcBorders>
              <w:top w:val="nil"/>
              <w:left w:val="single" w:sz="4" w:space="0" w:color="auto"/>
              <w:bottom w:val="nil"/>
              <w:right w:val="single" w:sz="4" w:space="0" w:color="auto"/>
            </w:tcBorders>
            <w:shd w:val="clear" w:color="000000" w:fill="D2D9EA"/>
            <w:vAlign w:val="center"/>
            <w:hideMark/>
          </w:tcPr>
          <w:p w14:paraId="423B5CD0" w14:textId="77777777" w:rsidR="00193485" w:rsidRPr="00EB2092" w:rsidRDefault="00193485" w:rsidP="00193485">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Slightly lower by the end of the medium term reflecting changes in the methodology.  Slightly higher for much of the rest of the medium term due to higher demand and the lower level of nominal GDP.</w:t>
            </w:r>
          </w:p>
        </w:tc>
      </w:tr>
      <w:tr w:rsidR="00193485" w:rsidRPr="00EB2092" w14:paraId="06F08093" w14:textId="77777777" w:rsidTr="00E44F73">
        <w:trPr>
          <w:trHeight w:val="255"/>
        </w:trPr>
        <w:tc>
          <w:tcPr>
            <w:tcW w:w="1222" w:type="pct"/>
            <w:tcBorders>
              <w:top w:val="nil"/>
              <w:left w:val="single" w:sz="4" w:space="0" w:color="auto"/>
              <w:bottom w:val="nil"/>
              <w:right w:val="single" w:sz="4" w:space="0" w:color="auto"/>
            </w:tcBorders>
            <w:shd w:val="clear" w:color="auto" w:fill="auto"/>
            <w:vAlign w:val="center"/>
            <w:hideMark/>
          </w:tcPr>
          <w:p w14:paraId="7BCC5DA9" w14:textId="77777777" w:rsidR="00193485" w:rsidRPr="00EB2092" w:rsidRDefault="00193485" w:rsidP="00193485">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Government superannuation</w:t>
            </w:r>
          </w:p>
        </w:tc>
        <w:tc>
          <w:tcPr>
            <w:tcW w:w="464" w:type="pct"/>
            <w:tcBorders>
              <w:top w:val="nil"/>
              <w:left w:val="single" w:sz="4" w:space="0" w:color="auto"/>
              <w:bottom w:val="nil"/>
              <w:right w:val="nil"/>
            </w:tcBorders>
            <w:shd w:val="clear" w:color="auto" w:fill="auto"/>
            <w:vAlign w:val="center"/>
            <w:hideMark/>
          </w:tcPr>
          <w:p w14:paraId="6A3229EF" w14:textId="77777777" w:rsidR="00193485" w:rsidRPr="00EB2092" w:rsidRDefault="00193485" w:rsidP="00193485">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0.4</w:t>
            </w:r>
          </w:p>
        </w:tc>
        <w:tc>
          <w:tcPr>
            <w:tcW w:w="423" w:type="pct"/>
            <w:tcBorders>
              <w:top w:val="nil"/>
              <w:left w:val="nil"/>
              <w:bottom w:val="nil"/>
              <w:right w:val="nil"/>
            </w:tcBorders>
            <w:shd w:val="clear" w:color="auto" w:fill="auto"/>
            <w:vAlign w:val="center"/>
            <w:hideMark/>
          </w:tcPr>
          <w:p w14:paraId="217F9450" w14:textId="77777777" w:rsidR="00193485" w:rsidRPr="00EB2092" w:rsidRDefault="00193485" w:rsidP="00193485">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0.4</w:t>
            </w:r>
          </w:p>
        </w:tc>
        <w:tc>
          <w:tcPr>
            <w:tcW w:w="2891" w:type="pct"/>
            <w:tcBorders>
              <w:top w:val="nil"/>
              <w:left w:val="single" w:sz="4" w:space="0" w:color="auto"/>
              <w:bottom w:val="nil"/>
              <w:right w:val="single" w:sz="4" w:space="0" w:color="auto"/>
            </w:tcBorders>
            <w:shd w:val="clear" w:color="auto" w:fill="auto"/>
            <w:vAlign w:val="center"/>
            <w:hideMark/>
          </w:tcPr>
          <w:p w14:paraId="3669766A" w14:textId="73965411" w:rsidR="00193485" w:rsidRPr="00EB2092" w:rsidRDefault="00F43713" w:rsidP="00193485">
            <w:pPr>
              <w:spacing w:line="240" w:lineRule="auto"/>
              <w:rPr>
                <w:rFonts w:ascii="Calibri" w:eastAsia="Times New Roman" w:hAnsi="Calibri" w:cs="Times New Roman"/>
                <w:color w:val="000000"/>
                <w:sz w:val="20"/>
                <w:szCs w:val="20"/>
                <w:lang w:eastAsia="en-AU"/>
              </w:rPr>
            </w:pPr>
            <w:r>
              <w:rPr>
                <w:rFonts w:ascii="Calibri" w:eastAsia="Times New Roman" w:hAnsi="Calibri" w:cs="Times New Roman"/>
                <w:color w:val="000000"/>
                <w:sz w:val="20"/>
                <w:szCs w:val="20"/>
                <w:lang w:eastAsia="en-AU"/>
              </w:rPr>
              <w:t>Little change.</w:t>
            </w:r>
          </w:p>
        </w:tc>
      </w:tr>
      <w:tr w:rsidR="00193485" w:rsidRPr="00EB2092" w14:paraId="33884D96" w14:textId="77777777" w:rsidTr="00E44F73">
        <w:trPr>
          <w:trHeight w:val="510"/>
        </w:trPr>
        <w:tc>
          <w:tcPr>
            <w:tcW w:w="1222" w:type="pct"/>
            <w:tcBorders>
              <w:top w:val="nil"/>
              <w:left w:val="single" w:sz="4" w:space="0" w:color="auto"/>
              <w:bottom w:val="nil"/>
              <w:right w:val="single" w:sz="4" w:space="0" w:color="auto"/>
            </w:tcBorders>
            <w:shd w:val="clear" w:color="000000" w:fill="D2D9EA"/>
            <w:vAlign w:val="center"/>
            <w:hideMark/>
          </w:tcPr>
          <w:p w14:paraId="5381467E" w14:textId="77777777" w:rsidR="00193485" w:rsidRPr="00EB2092" w:rsidRDefault="00193485" w:rsidP="00193485">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Fuel Tax Credit Scheme</w:t>
            </w:r>
          </w:p>
        </w:tc>
        <w:tc>
          <w:tcPr>
            <w:tcW w:w="464" w:type="pct"/>
            <w:tcBorders>
              <w:top w:val="nil"/>
              <w:left w:val="single" w:sz="4" w:space="0" w:color="auto"/>
              <w:bottom w:val="nil"/>
              <w:right w:val="nil"/>
            </w:tcBorders>
            <w:shd w:val="clear" w:color="000000" w:fill="D2D9EA"/>
            <w:vAlign w:val="center"/>
            <w:hideMark/>
          </w:tcPr>
          <w:p w14:paraId="217A275E" w14:textId="77777777" w:rsidR="00193485" w:rsidRPr="00EB2092" w:rsidRDefault="00193485" w:rsidP="00193485">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0.4</w:t>
            </w:r>
          </w:p>
        </w:tc>
        <w:tc>
          <w:tcPr>
            <w:tcW w:w="423" w:type="pct"/>
            <w:tcBorders>
              <w:top w:val="nil"/>
              <w:left w:val="nil"/>
              <w:bottom w:val="nil"/>
              <w:right w:val="nil"/>
            </w:tcBorders>
            <w:shd w:val="clear" w:color="000000" w:fill="D2D9EA"/>
            <w:vAlign w:val="center"/>
            <w:hideMark/>
          </w:tcPr>
          <w:p w14:paraId="66450196" w14:textId="77777777" w:rsidR="00193485" w:rsidRPr="00EB2092" w:rsidRDefault="00193485" w:rsidP="00193485">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0.3</w:t>
            </w:r>
          </w:p>
        </w:tc>
        <w:tc>
          <w:tcPr>
            <w:tcW w:w="2891" w:type="pct"/>
            <w:tcBorders>
              <w:top w:val="nil"/>
              <w:left w:val="single" w:sz="4" w:space="0" w:color="auto"/>
              <w:bottom w:val="nil"/>
              <w:right w:val="single" w:sz="4" w:space="0" w:color="auto"/>
            </w:tcBorders>
            <w:shd w:val="clear" w:color="000000" w:fill="D2D9EA"/>
            <w:vAlign w:val="center"/>
            <w:hideMark/>
          </w:tcPr>
          <w:p w14:paraId="005AB96D" w14:textId="77777777" w:rsidR="00193485" w:rsidRPr="00EB2092" w:rsidRDefault="00193485" w:rsidP="00193485">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 xml:space="preserve">Revised down in line with fuel excise, due to lower expectations for consumption over the medium term. </w:t>
            </w:r>
          </w:p>
        </w:tc>
      </w:tr>
      <w:tr w:rsidR="00193485" w:rsidRPr="00EB2092" w14:paraId="27E9A12A" w14:textId="77777777" w:rsidTr="00E44F73">
        <w:trPr>
          <w:trHeight w:val="510"/>
        </w:trPr>
        <w:tc>
          <w:tcPr>
            <w:tcW w:w="1222" w:type="pct"/>
            <w:tcBorders>
              <w:top w:val="nil"/>
              <w:left w:val="single" w:sz="4" w:space="0" w:color="auto"/>
              <w:bottom w:val="nil"/>
              <w:right w:val="single" w:sz="4" w:space="0" w:color="auto"/>
            </w:tcBorders>
            <w:shd w:val="clear" w:color="auto" w:fill="auto"/>
            <w:vAlign w:val="center"/>
            <w:hideMark/>
          </w:tcPr>
          <w:p w14:paraId="0F1535CF" w14:textId="77777777" w:rsidR="00193485" w:rsidRPr="00EB2092" w:rsidRDefault="00193485" w:rsidP="00193485">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Commonwealth Grants Scheme</w:t>
            </w:r>
          </w:p>
        </w:tc>
        <w:tc>
          <w:tcPr>
            <w:tcW w:w="464" w:type="pct"/>
            <w:tcBorders>
              <w:top w:val="nil"/>
              <w:left w:val="single" w:sz="4" w:space="0" w:color="auto"/>
              <w:bottom w:val="nil"/>
              <w:right w:val="nil"/>
            </w:tcBorders>
            <w:shd w:val="clear" w:color="auto" w:fill="auto"/>
            <w:vAlign w:val="center"/>
            <w:hideMark/>
          </w:tcPr>
          <w:p w14:paraId="3BBDFE8C" w14:textId="77777777" w:rsidR="00193485" w:rsidRPr="00EB2092" w:rsidRDefault="00193485" w:rsidP="00193485">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0.3</w:t>
            </w:r>
          </w:p>
        </w:tc>
        <w:tc>
          <w:tcPr>
            <w:tcW w:w="423" w:type="pct"/>
            <w:tcBorders>
              <w:top w:val="nil"/>
              <w:left w:val="nil"/>
              <w:bottom w:val="nil"/>
              <w:right w:val="nil"/>
            </w:tcBorders>
            <w:shd w:val="clear" w:color="auto" w:fill="auto"/>
            <w:vAlign w:val="center"/>
            <w:hideMark/>
          </w:tcPr>
          <w:p w14:paraId="02DB0B1E" w14:textId="77777777" w:rsidR="00193485" w:rsidRPr="00EB2092" w:rsidRDefault="00193485" w:rsidP="00193485">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0.3</w:t>
            </w:r>
          </w:p>
        </w:tc>
        <w:tc>
          <w:tcPr>
            <w:tcW w:w="2891" w:type="pct"/>
            <w:tcBorders>
              <w:top w:val="nil"/>
              <w:left w:val="single" w:sz="4" w:space="0" w:color="auto"/>
              <w:bottom w:val="nil"/>
              <w:right w:val="single" w:sz="4" w:space="0" w:color="auto"/>
            </w:tcBorders>
            <w:shd w:val="clear" w:color="auto" w:fill="auto"/>
            <w:vAlign w:val="center"/>
            <w:hideMark/>
          </w:tcPr>
          <w:p w14:paraId="2846319A" w14:textId="77777777" w:rsidR="00193485" w:rsidRPr="00EB2092" w:rsidRDefault="00193485" w:rsidP="00193485">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Little change.</w:t>
            </w:r>
          </w:p>
        </w:tc>
      </w:tr>
      <w:tr w:rsidR="00193485" w:rsidRPr="00EB2092" w14:paraId="2DCC615E" w14:textId="77777777" w:rsidTr="00E44F73">
        <w:trPr>
          <w:trHeight w:val="510"/>
        </w:trPr>
        <w:tc>
          <w:tcPr>
            <w:tcW w:w="1222" w:type="pct"/>
            <w:tcBorders>
              <w:top w:val="nil"/>
              <w:left w:val="single" w:sz="4" w:space="0" w:color="auto"/>
              <w:right w:val="single" w:sz="4" w:space="0" w:color="auto"/>
            </w:tcBorders>
            <w:shd w:val="clear" w:color="000000" w:fill="D2D9EA"/>
            <w:vAlign w:val="center"/>
            <w:hideMark/>
          </w:tcPr>
          <w:p w14:paraId="48D885EC" w14:textId="77777777" w:rsidR="00193485" w:rsidRPr="00EB2092" w:rsidRDefault="00193485" w:rsidP="00193485">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Private Health Insurance Rebate</w:t>
            </w:r>
          </w:p>
        </w:tc>
        <w:tc>
          <w:tcPr>
            <w:tcW w:w="464" w:type="pct"/>
            <w:tcBorders>
              <w:top w:val="nil"/>
              <w:left w:val="single" w:sz="4" w:space="0" w:color="auto"/>
              <w:right w:val="nil"/>
            </w:tcBorders>
            <w:shd w:val="clear" w:color="000000" w:fill="D2D9EA"/>
            <w:vAlign w:val="center"/>
            <w:hideMark/>
          </w:tcPr>
          <w:p w14:paraId="35969B62" w14:textId="77777777" w:rsidR="00193485" w:rsidRPr="00EB2092" w:rsidRDefault="00193485" w:rsidP="00193485">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0.3</w:t>
            </w:r>
          </w:p>
        </w:tc>
        <w:tc>
          <w:tcPr>
            <w:tcW w:w="423" w:type="pct"/>
            <w:tcBorders>
              <w:top w:val="nil"/>
              <w:left w:val="nil"/>
              <w:right w:val="nil"/>
            </w:tcBorders>
            <w:shd w:val="clear" w:color="000000" w:fill="D2D9EA"/>
            <w:vAlign w:val="center"/>
            <w:hideMark/>
          </w:tcPr>
          <w:p w14:paraId="6DD3C09C" w14:textId="77777777" w:rsidR="00193485" w:rsidRPr="00EB2092" w:rsidRDefault="00193485" w:rsidP="00193485">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0.3</w:t>
            </w:r>
          </w:p>
        </w:tc>
        <w:tc>
          <w:tcPr>
            <w:tcW w:w="2891" w:type="pct"/>
            <w:tcBorders>
              <w:top w:val="nil"/>
              <w:left w:val="single" w:sz="4" w:space="0" w:color="auto"/>
              <w:right w:val="single" w:sz="4" w:space="0" w:color="auto"/>
            </w:tcBorders>
            <w:shd w:val="clear" w:color="000000" w:fill="D2D9EA"/>
            <w:vAlign w:val="center"/>
            <w:hideMark/>
          </w:tcPr>
          <w:p w14:paraId="6F9121D8" w14:textId="77777777" w:rsidR="00193485" w:rsidRPr="00EB2092" w:rsidRDefault="00193485" w:rsidP="00193485">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Little change</w:t>
            </w:r>
          </w:p>
        </w:tc>
      </w:tr>
      <w:tr w:rsidR="00193485" w:rsidRPr="00F43713" w14:paraId="56C3D77F" w14:textId="77777777" w:rsidTr="00E44F73">
        <w:trPr>
          <w:trHeight w:val="255"/>
        </w:trPr>
        <w:tc>
          <w:tcPr>
            <w:tcW w:w="1222" w:type="pct"/>
            <w:tcBorders>
              <w:top w:val="nil"/>
              <w:left w:val="single" w:sz="4" w:space="0" w:color="auto"/>
              <w:right w:val="single" w:sz="4" w:space="0" w:color="auto"/>
            </w:tcBorders>
            <w:shd w:val="clear" w:color="auto" w:fill="auto"/>
            <w:vAlign w:val="center"/>
            <w:hideMark/>
          </w:tcPr>
          <w:p w14:paraId="14C01D68" w14:textId="77777777" w:rsidR="00193485" w:rsidRPr="004108E5" w:rsidRDefault="00193485" w:rsidP="00193485">
            <w:pPr>
              <w:spacing w:line="240" w:lineRule="auto"/>
              <w:rPr>
                <w:rFonts w:ascii="Calibri" w:eastAsia="Times New Roman" w:hAnsi="Calibri" w:cs="Times New Roman"/>
                <w:sz w:val="20"/>
                <w:szCs w:val="20"/>
                <w:lang w:eastAsia="en-AU"/>
              </w:rPr>
            </w:pPr>
            <w:r w:rsidRPr="004108E5">
              <w:rPr>
                <w:rFonts w:ascii="Calibri" w:eastAsia="Times New Roman" w:hAnsi="Calibri" w:cs="Times New Roman"/>
                <w:sz w:val="20"/>
                <w:szCs w:val="20"/>
                <w:lang w:eastAsia="en-AU"/>
              </w:rPr>
              <w:t>Road and rail infrastructure</w:t>
            </w:r>
          </w:p>
        </w:tc>
        <w:tc>
          <w:tcPr>
            <w:tcW w:w="464" w:type="pct"/>
            <w:tcBorders>
              <w:top w:val="nil"/>
              <w:left w:val="single" w:sz="4" w:space="0" w:color="auto"/>
              <w:right w:val="nil"/>
            </w:tcBorders>
            <w:shd w:val="clear" w:color="auto" w:fill="auto"/>
            <w:vAlign w:val="center"/>
            <w:hideMark/>
          </w:tcPr>
          <w:p w14:paraId="2934D27C" w14:textId="77777777" w:rsidR="00193485" w:rsidRPr="004108E5" w:rsidRDefault="00193485" w:rsidP="00193485">
            <w:pPr>
              <w:spacing w:line="240" w:lineRule="auto"/>
              <w:jc w:val="center"/>
              <w:rPr>
                <w:rFonts w:ascii="Calibri" w:eastAsia="Times New Roman" w:hAnsi="Calibri" w:cs="Times New Roman"/>
                <w:sz w:val="20"/>
                <w:szCs w:val="20"/>
                <w:lang w:eastAsia="en-AU"/>
              </w:rPr>
            </w:pPr>
            <w:r w:rsidRPr="004108E5">
              <w:rPr>
                <w:rFonts w:ascii="Calibri" w:eastAsia="Times New Roman" w:hAnsi="Calibri" w:cs="Times New Roman"/>
                <w:sz w:val="20"/>
                <w:szCs w:val="20"/>
                <w:lang w:eastAsia="en-AU"/>
              </w:rPr>
              <w:t>0.2</w:t>
            </w:r>
          </w:p>
        </w:tc>
        <w:tc>
          <w:tcPr>
            <w:tcW w:w="423" w:type="pct"/>
            <w:tcBorders>
              <w:top w:val="nil"/>
              <w:left w:val="nil"/>
              <w:right w:val="nil"/>
            </w:tcBorders>
            <w:shd w:val="clear" w:color="auto" w:fill="auto"/>
            <w:vAlign w:val="center"/>
            <w:hideMark/>
          </w:tcPr>
          <w:p w14:paraId="6A7B9F42" w14:textId="77777777" w:rsidR="00193485" w:rsidRPr="004108E5" w:rsidRDefault="00193485" w:rsidP="00193485">
            <w:pPr>
              <w:spacing w:line="240" w:lineRule="auto"/>
              <w:jc w:val="center"/>
              <w:rPr>
                <w:rFonts w:ascii="Calibri" w:eastAsia="Times New Roman" w:hAnsi="Calibri" w:cs="Times New Roman"/>
                <w:sz w:val="20"/>
                <w:szCs w:val="20"/>
                <w:lang w:eastAsia="en-AU"/>
              </w:rPr>
            </w:pPr>
            <w:r w:rsidRPr="004108E5">
              <w:rPr>
                <w:rFonts w:ascii="Calibri" w:eastAsia="Times New Roman" w:hAnsi="Calibri" w:cs="Times New Roman"/>
                <w:sz w:val="20"/>
                <w:szCs w:val="20"/>
                <w:lang w:eastAsia="en-AU"/>
              </w:rPr>
              <w:t>0.3</w:t>
            </w:r>
          </w:p>
        </w:tc>
        <w:tc>
          <w:tcPr>
            <w:tcW w:w="2891" w:type="pct"/>
            <w:tcBorders>
              <w:top w:val="nil"/>
              <w:left w:val="single" w:sz="4" w:space="0" w:color="auto"/>
              <w:right w:val="single" w:sz="4" w:space="0" w:color="auto"/>
            </w:tcBorders>
            <w:shd w:val="clear" w:color="auto" w:fill="auto"/>
            <w:vAlign w:val="center"/>
            <w:hideMark/>
          </w:tcPr>
          <w:p w14:paraId="23999A5E" w14:textId="77777777" w:rsidR="00193485" w:rsidRPr="004108E5" w:rsidRDefault="00193485" w:rsidP="00193485">
            <w:pPr>
              <w:spacing w:line="240" w:lineRule="auto"/>
              <w:rPr>
                <w:rFonts w:ascii="Calibri" w:eastAsia="Times New Roman" w:hAnsi="Calibri" w:cs="Times New Roman"/>
                <w:color w:val="000000"/>
                <w:sz w:val="20"/>
                <w:szCs w:val="20"/>
                <w:lang w:eastAsia="en-AU"/>
              </w:rPr>
            </w:pPr>
            <w:r w:rsidRPr="004108E5">
              <w:rPr>
                <w:rFonts w:ascii="Calibri" w:eastAsia="Times New Roman" w:hAnsi="Calibri" w:cs="Times New Roman"/>
                <w:color w:val="000000"/>
                <w:sz w:val="20"/>
                <w:szCs w:val="20"/>
                <w:lang w:eastAsia="en-AU"/>
              </w:rPr>
              <w:t>Higher due to an increase in announced spending over the period 2020-21 to 2029-30.</w:t>
            </w:r>
          </w:p>
        </w:tc>
      </w:tr>
      <w:tr w:rsidR="00193485" w:rsidRPr="00EB2092" w14:paraId="49B36153" w14:textId="77777777" w:rsidTr="00920F4B">
        <w:trPr>
          <w:trHeight w:val="456"/>
        </w:trPr>
        <w:tc>
          <w:tcPr>
            <w:tcW w:w="1222" w:type="pct"/>
            <w:tcBorders>
              <w:left w:val="single" w:sz="4" w:space="0" w:color="auto"/>
              <w:right w:val="single" w:sz="4" w:space="0" w:color="auto"/>
            </w:tcBorders>
            <w:shd w:val="clear" w:color="000000" w:fill="D2D9EA"/>
            <w:vAlign w:val="center"/>
            <w:hideMark/>
          </w:tcPr>
          <w:p w14:paraId="322F0AB0" w14:textId="77777777" w:rsidR="00193485" w:rsidRPr="004108E5" w:rsidRDefault="00193485" w:rsidP="00193485">
            <w:pPr>
              <w:spacing w:line="240" w:lineRule="auto"/>
              <w:rPr>
                <w:rFonts w:ascii="Calibri" w:eastAsia="Times New Roman" w:hAnsi="Calibri" w:cs="Times New Roman"/>
                <w:sz w:val="20"/>
                <w:szCs w:val="20"/>
                <w:lang w:eastAsia="en-AU"/>
              </w:rPr>
            </w:pPr>
            <w:r w:rsidRPr="004108E5">
              <w:rPr>
                <w:rFonts w:ascii="Calibri" w:eastAsia="Times New Roman" w:hAnsi="Calibri" w:cs="Times New Roman"/>
                <w:sz w:val="20"/>
                <w:szCs w:val="20"/>
                <w:lang w:eastAsia="en-AU"/>
              </w:rPr>
              <w:t>Parenting payments</w:t>
            </w:r>
          </w:p>
        </w:tc>
        <w:tc>
          <w:tcPr>
            <w:tcW w:w="464" w:type="pct"/>
            <w:tcBorders>
              <w:left w:val="single" w:sz="4" w:space="0" w:color="auto"/>
              <w:right w:val="nil"/>
            </w:tcBorders>
            <w:shd w:val="clear" w:color="000000" w:fill="D2D9EA"/>
            <w:vAlign w:val="center"/>
            <w:hideMark/>
          </w:tcPr>
          <w:p w14:paraId="51B9DCD3" w14:textId="77777777" w:rsidR="00193485" w:rsidRPr="004108E5" w:rsidRDefault="00193485" w:rsidP="00193485">
            <w:pPr>
              <w:spacing w:line="240" w:lineRule="auto"/>
              <w:jc w:val="center"/>
              <w:rPr>
                <w:rFonts w:ascii="Calibri" w:eastAsia="Times New Roman" w:hAnsi="Calibri" w:cs="Times New Roman"/>
                <w:sz w:val="20"/>
                <w:szCs w:val="20"/>
                <w:lang w:eastAsia="en-AU"/>
              </w:rPr>
            </w:pPr>
            <w:r w:rsidRPr="004108E5">
              <w:rPr>
                <w:rFonts w:ascii="Calibri" w:eastAsia="Times New Roman" w:hAnsi="Calibri" w:cs="Times New Roman"/>
                <w:sz w:val="20"/>
                <w:szCs w:val="20"/>
                <w:lang w:eastAsia="en-AU"/>
              </w:rPr>
              <w:t>0.2</w:t>
            </w:r>
          </w:p>
        </w:tc>
        <w:tc>
          <w:tcPr>
            <w:tcW w:w="423" w:type="pct"/>
            <w:tcBorders>
              <w:left w:val="nil"/>
              <w:right w:val="nil"/>
            </w:tcBorders>
            <w:shd w:val="clear" w:color="000000" w:fill="D2D9EA"/>
            <w:vAlign w:val="center"/>
            <w:hideMark/>
          </w:tcPr>
          <w:p w14:paraId="62597127" w14:textId="77777777" w:rsidR="00193485" w:rsidRPr="004108E5" w:rsidRDefault="00193485" w:rsidP="00193485">
            <w:pPr>
              <w:spacing w:line="240" w:lineRule="auto"/>
              <w:jc w:val="center"/>
              <w:rPr>
                <w:rFonts w:ascii="Calibri" w:eastAsia="Times New Roman" w:hAnsi="Calibri" w:cs="Times New Roman"/>
                <w:sz w:val="20"/>
                <w:szCs w:val="20"/>
                <w:lang w:eastAsia="en-AU"/>
              </w:rPr>
            </w:pPr>
            <w:r w:rsidRPr="004108E5">
              <w:rPr>
                <w:rFonts w:ascii="Calibri" w:eastAsia="Times New Roman" w:hAnsi="Calibri" w:cs="Times New Roman"/>
                <w:sz w:val="20"/>
                <w:szCs w:val="20"/>
                <w:lang w:eastAsia="en-AU"/>
              </w:rPr>
              <w:t>0.2</w:t>
            </w:r>
          </w:p>
        </w:tc>
        <w:tc>
          <w:tcPr>
            <w:tcW w:w="2891" w:type="pct"/>
            <w:tcBorders>
              <w:left w:val="single" w:sz="4" w:space="0" w:color="auto"/>
              <w:right w:val="single" w:sz="4" w:space="0" w:color="auto"/>
            </w:tcBorders>
            <w:shd w:val="clear" w:color="000000" w:fill="D2D9EA"/>
            <w:vAlign w:val="center"/>
            <w:hideMark/>
          </w:tcPr>
          <w:p w14:paraId="1C56D197" w14:textId="2453907E" w:rsidR="00193485" w:rsidRPr="00E44F73" w:rsidRDefault="00F43713" w:rsidP="00193485">
            <w:pPr>
              <w:spacing w:line="240" w:lineRule="auto"/>
              <w:rPr>
                <w:rFonts w:ascii="Calibri" w:eastAsia="Times New Roman" w:hAnsi="Calibri" w:cs="Times New Roman"/>
                <w:color w:val="000000"/>
                <w:sz w:val="20"/>
                <w:szCs w:val="20"/>
                <w:lang w:eastAsia="en-AU"/>
              </w:rPr>
            </w:pPr>
            <w:r w:rsidRPr="004108E5">
              <w:rPr>
                <w:rFonts w:ascii="Calibri" w:eastAsia="Times New Roman" w:hAnsi="Calibri" w:cs="Times New Roman"/>
                <w:color w:val="000000"/>
                <w:sz w:val="20"/>
                <w:szCs w:val="20"/>
                <w:lang w:eastAsia="en-AU"/>
              </w:rPr>
              <w:t>Little change.</w:t>
            </w:r>
          </w:p>
        </w:tc>
      </w:tr>
      <w:tr w:rsidR="00193485" w:rsidRPr="00EB2092" w14:paraId="7D5941F5" w14:textId="77777777" w:rsidTr="00E44F73">
        <w:trPr>
          <w:trHeight w:val="510"/>
        </w:trPr>
        <w:tc>
          <w:tcPr>
            <w:tcW w:w="1222" w:type="pct"/>
            <w:tcBorders>
              <w:top w:val="nil"/>
              <w:left w:val="single" w:sz="4" w:space="0" w:color="auto"/>
              <w:bottom w:val="single" w:sz="4" w:space="0" w:color="auto"/>
              <w:right w:val="single" w:sz="4" w:space="0" w:color="auto"/>
            </w:tcBorders>
            <w:shd w:val="clear" w:color="auto" w:fill="auto"/>
            <w:vAlign w:val="center"/>
            <w:hideMark/>
          </w:tcPr>
          <w:p w14:paraId="01A99455" w14:textId="77777777" w:rsidR="00193485" w:rsidRPr="00EB2092" w:rsidRDefault="00193485" w:rsidP="00193485">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Official Development Assistance</w:t>
            </w:r>
          </w:p>
        </w:tc>
        <w:tc>
          <w:tcPr>
            <w:tcW w:w="464" w:type="pct"/>
            <w:tcBorders>
              <w:top w:val="nil"/>
              <w:left w:val="single" w:sz="4" w:space="0" w:color="auto"/>
              <w:bottom w:val="single" w:sz="4" w:space="0" w:color="auto"/>
              <w:right w:val="nil"/>
            </w:tcBorders>
            <w:shd w:val="clear" w:color="auto" w:fill="auto"/>
            <w:vAlign w:val="center"/>
            <w:hideMark/>
          </w:tcPr>
          <w:p w14:paraId="61AC38EC" w14:textId="77777777" w:rsidR="00193485" w:rsidRPr="00EB2092" w:rsidRDefault="00193485" w:rsidP="00193485">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0.1</w:t>
            </w:r>
          </w:p>
        </w:tc>
        <w:tc>
          <w:tcPr>
            <w:tcW w:w="423" w:type="pct"/>
            <w:tcBorders>
              <w:top w:val="nil"/>
              <w:left w:val="nil"/>
              <w:bottom w:val="single" w:sz="4" w:space="0" w:color="auto"/>
              <w:right w:val="nil"/>
            </w:tcBorders>
            <w:shd w:val="clear" w:color="auto" w:fill="auto"/>
            <w:vAlign w:val="center"/>
            <w:hideMark/>
          </w:tcPr>
          <w:p w14:paraId="2710B0D8" w14:textId="77777777" w:rsidR="00193485" w:rsidRPr="00EB2092" w:rsidRDefault="00193485" w:rsidP="00193485">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0.2</w:t>
            </w:r>
          </w:p>
        </w:tc>
        <w:tc>
          <w:tcPr>
            <w:tcW w:w="2891" w:type="pct"/>
            <w:tcBorders>
              <w:top w:val="nil"/>
              <w:left w:val="single" w:sz="4" w:space="0" w:color="auto"/>
              <w:bottom w:val="single" w:sz="4" w:space="0" w:color="auto"/>
              <w:right w:val="single" w:sz="4" w:space="0" w:color="auto"/>
            </w:tcBorders>
            <w:shd w:val="clear" w:color="auto" w:fill="auto"/>
            <w:vAlign w:val="center"/>
            <w:hideMark/>
          </w:tcPr>
          <w:p w14:paraId="465D1E1E" w14:textId="77777777" w:rsidR="00193485" w:rsidRPr="00EB2092" w:rsidRDefault="00193485" w:rsidP="00193485">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Higher as a share of GDP due to the lower level of nominal GDP.</w:t>
            </w:r>
          </w:p>
        </w:tc>
      </w:tr>
      <w:tr w:rsidR="00193485" w:rsidRPr="00EB2092" w14:paraId="40FD6328" w14:textId="77777777" w:rsidTr="00E44F73">
        <w:trPr>
          <w:trHeight w:val="510"/>
        </w:trPr>
        <w:tc>
          <w:tcPr>
            <w:tcW w:w="1222" w:type="pct"/>
            <w:tcBorders>
              <w:top w:val="single" w:sz="4" w:space="0" w:color="auto"/>
              <w:left w:val="single" w:sz="4" w:space="0" w:color="auto"/>
              <w:bottom w:val="nil"/>
              <w:right w:val="single" w:sz="4" w:space="0" w:color="auto"/>
            </w:tcBorders>
            <w:shd w:val="clear" w:color="000000" w:fill="D2D9EA"/>
            <w:vAlign w:val="center"/>
            <w:hideMark/>
          </w:tcPr>
          <w:p w14:paraId="644444C5" w14:textId="77777777" w:rsidR="00193485" w:rsidRPr="00EB2092" w:rsidRDefault="00193485" w:rsidP="00193485">
            <w:pPr>
              <w:spacing w:line="240" w:lineRule="auto"/>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lastRenderedPageBreak/>
              <w:t>Veterans support</w:t>
            </w:r>
          </w:p>
        </w:tc>
        <w:tc>
          <w:tcPr>
            <w:tcW w:w="464" w:type="pct"/>
            <w:tcBorders>
              <w:top w:val="single" w:sz="4" w:space="0" w:color="auto"/>
              <w:left w:val="single" w:sz="4" w:space="0" w:color="auto"/>
              <w:bottom w:val="nil"/>
              <w:right w:val="nil"/>
            </w:tcBorders>
            <w:shd w:val="clear" w:color="000000" w:fill="D2D9EA"/>
            <w:vAlign w:val="center"/>
            <w:hideMark/>
          </w:tcPr>
          <w:p w14:paraId="2A0F21A5" w14:textId="77777777" w:rsidR="00193485" w:rsidRPr="00EB2092" w:rsidRDefault="00193485" w:rsidP="00193485">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0.1</w:t>
            </w:r>
          </w:p>
        </w:tc>
        <w:tc>
          <w:tcPr>
            <w:tcW w:w="423" w:type="pct"/>
            <w:tcBorders>
              <w:top w:val="single" w:sz="4" w:space="0" w:color="auto"/>
              <w:left w:val="nil"/>
              <w:bottom w:val="nil"/>
              <w:right w:val="nil"/>
            </w:tcBorders>
            <w:shd w:val="clear" w:color="000000" w:fill="D2D9EA"/>
            <w:vAlign w:val="center"/>
            <w:hideMark/>
          </w:tcPr>
          <w:p w14:paraId="218A75E2" w14:textId="77777777" w:rsidR="00193485" w:rsidRPr="00EB2092" w:rsidRDefault="00193485" w:rsidP="00193485">
            <w:pPr>
              <w:spacing w:line="240" w:lineRule="auto"/>
              <w:jc w:val="center"/>
              <w:rPr>
                <w:rFonts w:ascii="Calibri" w:eastAsia="Times New Roman" w:hAnsi="Calibri" w:cs="Times New Roman"/>
                <w:sz w:val="20"/>
                <w:szCs w:val="20"/>
                <w:lang w:eastAsia="en-AU"/>
              </w:rPr>
            </w:pPr>
            <w:r w:rsidRPr="00EB2092">
              <w:rPr>
                <w:rFonts w:ascii="Calibri" w:eastAsia="Times New Roman" w:hAnsi="Calibri" w:cs="Times New Roman"/>
                <w:sz w:val="20"/>
                <w:szCs w:val="20"/>
                <w:lang w:eastAsia="en-AU"/>
              </w:rPr>
              <w:t>0.1</w:t>
            </w:r>
          </w:p>
        </w:tc>
        <w:tc>
          <w:tcPr>
            <w:tcW w:w="2891" w:type="pct"/>
            <w:tcBorders>
              <w:top w:val="single" w:sz="4" w:space="0" w:color="auto"/>
              <w:left w:val="single" w:sz="4" w:space="0" w:color="auto"/>
              <w:bottom w:val="nil"/>
              <w:right w:val="single" w:sz="4" w:space="0" w:color="auto"/>
            </w:tcBorders>
            <w:shd w:val="clear" w:color="000000" w:fill="D2D9EA"/>
            <w:vAlign w:val="center"/>
            <w:hideMark/>
          </w:tcPr>
          <w:p w14:paraId="57D928C1" w14:textId="55C5C6A2" w:rsidR="00193485" w:rsidRPr="00EB2092" w:rsidRDefault="00193485" w:rsidP="00193485">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Little change</w:t>
            </w:r>
            <w:r w:rsidR="00F43713">
              <w:rPr>
                <w:rFonts w:ascii="Calibri" w:eastAsia="Times New Roman" w:hAnsi="Calibri" w:cs="Times New Roman"/>
                <w:color w:val="000000"/>
                <w:sz w:val="20"/>
                <w:szCs w:val="20"/>
                <w:lang w:eastAsia="en-AU"/>
              </w:rPr>
              <w:t>.</w:t>
            </w:r>
          </w:p>
        </w:tc>
      </w:tr>
      <w:tr w:rsidR="00193485" w:rsidRPr="00EB2092" w14:paraId="0600466C" w14:textId="77777777" w:rsidTr="00E44F73">
        <w:trPr>
          <w:trHeight w:val="356"/>
        </w:trPr>
        <w:tc>
          <w:tcPr>
            <w:tcW w:w="1222" w:type="pct"/>
            <w:tcBorders>
              <w:top w:val="nil"/>
              <w:left w:val="single" w:sz="4" w:space="0" w:color="auto"/>
              <w:bottom w:val="nil"/>
              <w:right w:val="single" w:sz="4" w:space="0" w:color="auto"/>
            </w:tcBorders>
            <w:shd w:val="clear" w:color="auto" w:fill="auto"/>
            <w:vAlign w:val="center"/>
            <w:hideMark/>
          </w:tcPr>
          <w:p w14:paraId="53D1D6B6" w14:textId="05BDE7E1" w:rsidR="00193485" w:rsidRPr="00EB2092" w:rsidRDefault="00193485" w:rsidP="00FC29D3">
            <w:pPr>
              <w:spacing w:line="240" w:lineRule="auto"/>
              <w:rPr>
                <w:rFonts w:ascii="Calibri" w:eastAsia="Times New Roman" w:hAnsi="Calibri" w:cs="Times New Roman"/>
                <w:b/>
                <w:bCs/>
                <w:sz w:val="20"/>
                <w:szCs w:val="20"/>
                <w:lang w:eastAsia="en-AU"/>
              </w:rPr>
            </w:pPr>
            <w:r w:rsidRPr="00EB2092">
              <w:rPr>
                <w:rFonts w:ascii="Calibri" w:eastAsia="Times New Roman" w:hAnsi="Calibri" w:cs="Times New Roman"/>
                <w:b/>
                <w:bCs/>
                <w:sz w:val="20"/>
                <w:szCs w:val="20"/>
                <w:lang w:eastAsia="en-AU"/>
              </w:rPr>
              <w:t xml:space="preserve">Total modelled </w:t>
            </w:r>
            <w:r w:rsidR="00FC29D3">
              <w:rPr>
                <w:rFonts w:ascii="Calibri" w:eastAsia="Times New Roman" w:hAnsi="Calibri" w:cs="Times New Roman"/>
                <w:b/>
                <w:bCs/>
                <w:sz w:val="20"/>
                <w:szCs w:val="20"/>
                <w:lang w:eastAsia="en-AU"/>
              </w:rPr>
              <w:t>payments</w:t>
            </w:r>
          </w:p>
        </w:tc>
        <w:tc>
          <w:tcPr>
            <w:tcW w:w="464" w:type="pct"/>
            <w:tcBorders>
              <w:top w:val="nil"/>
              <w:left w:val="single" w:sz="4" w:space="0" w:color="auto"/>
              <w:bottom w:val="nil"/>
              <w:right w:val="nil"/>
            </w:tcBorders>
            <w:shd w:val="clear" w:color="auto" w:fill="auto"/>
            <w:vAlign w:val="center"/>
            <w:hideMark/>
          </w:tcPr>
          <w:p w14:paraId="3426F483" w14:textId="77777777" w:rsidR="00193485" w:rsidRPr="00EB2092" w:rsidRDefault="00193485" w:rsidP="00193485">
            <w:pPr>
              <w:spacing w:line="240" w:lineRule="auto"/>
              <w:jc w:val="center"/>
              <w:rPr>
                <w:rFonts w:ascii="Calibri" w:eastAsia="Times New Roman" w:hAnsi="Calibri" w:cs="Times New Roman"/>
                <w:b/>
                <w:bCs/>
                <w:sz w:val="20"/>
                <w:szCs w:val="20"/>
                <w:lang w:eastAsia="en-AU"/>
              </w:rPr>
            </w:pPr>
            <w:r w:rsidRPr="00EB2092">
              <w:rPr>
                <w:rFonts w:ascii="Calibri" w:eastAsia="Times New Roman" w:hAnsi="Calibri" w:cs="Times New Roman"/>
                <w:b/>
                <w:bCs/>
                <w:sz w:val="20"/>
                <w:szCs w:val="20"/>
                <w:lang w:eastAsia="en-AU"/>
              </w:rPr>
              <w:t>19.6</w:t>
            </w:r>
          </w:p>
        </w:tc>
        <w:tc>
          <w:tcPr>
            <w:tcW w:w="423" w:type="pct"/>
            <w:tcBorders>
              <w:top w:val="nil"/>
              <w:left w:val="nil"/>
              <w:bottom w:val="nil"/>
              <w:right w:val="nil"/>
            </w:tcBorders>
            <w:shd w:val="clear" w:color="auto" w:fill="auto"/>
            <w:vAlign w:val="center"/>
            <w:hideMark/>
          </w:tcPr>
          <w:p w14:paraId="557F0ABF" w14:textId="734A1BC1" w:rsidR="00193485" w:rsidRPr="00EB2092" w:rsidRDefault="00193485" w:rsidP="00193485">
            <w:pPr>
              <w:spacing w:line="240" w:lineRule="auto"/>
              <w:jc w:val="center"/>
              <w:rPr>
                <w:rFonts w:ascii="Calibri" w:eastAsia="Times New Roman" w:hAnsi="Calibri" w:cs="Times New Roman"/>
                <w:b/>
                <w:bCs/>
                <w:sz w:val="20"/>
                <w:szCs w:val="20"/>
                <w:lang w:eastAsia="en-AU"/>
              </w:rPr>
            </w:pPr>
            <w:r w:rsidRPr="00EB2092">
              <w:rPr>
                <w:rFonts w:ascii="Calibri" w:eastAsia="Times New Roman" w:hAnsi="Calibri" w:cs="Times New Roman"/>
                <w:b/>
                <w:bCs/>
                <w:sz w:val="20"/>
                <w:szCs w:val="20"/>
                <w:lang w:eastAsia="en-AU"/>
              </w:rPr>
              <w:t>20.9</w:t>
            </w:r>
          </w:p>
        </w:tc>
        <w:tc>
          <w:tcPr>
            <w:tcW w:w="2891" w:type="pct"/>
            <w:tcBorders>
              <w:top w:val="nil"/>
              <w:left w:val="single" w:sz="4" w:space="0" w:color="auto"/>
              <w:bottom w:val="nil"/>
              <w:right w:val="single" w:sz="4" w:space="0" w:color="auto"/>
            </w:tcBorders>
            <w:shd w:val="clear" w:color="auto" w:fill="auto"/>
            <w:vAlign w:val="center"/>
            <w:hideMark/>
          </w:tcPr>
          <w:p w14:paraId="05CC3455" w14:textId="77777777" w:rsidR="00193485" w:rsidRPr="00EB2092" w:rsidRDefault="00193485" w:rsidP="00193485">
            <w:pPr>
              <w:spacing w:line="240" w:lineRule="auto"/>
              <w:rPr>
                <w:rFonts w:ascii="Calibri" w:eastAsia="Times New Roman" w:hAnsi="Calibri" w:cs="Times New Roman"/>
                <w:b/>
                <w:bCs/>
                <w:color w:val="000000"/>
                <w:sz w:val="20"/>
                <w:szCs w:val="20"/>
                <w:lang w:eastAsia="en-AU"/>
              </w:rPr>
            </w:pPr>
            <w:r w:rsidRPr="00EB2092">
              <w:rPr>
                <w:rFonts w:ascii="Calibri" w:eastAsia="Times New Roman" w:hAnsi="Calibri" w:cs="Times New Roman"/>
                <w:b/>
                <w:bCs/>
                <w:color w:val="000000"/>
                <w:sz w:val="20"/>
                <w:szCs w:val="20"/>
                <w:lang w:eastAsia="en-AU"/>
              </w:rPr>
              <w:t> </w:t>
            </w:r>
          </w:p>
        </w:tc>
      </w:tr>
      <w:tr w:rsidR="00193485" w:rsidRPr="00EB2092" w14:paraId="002A44A8" w14:textId="77777777" w:rsidTr="00E44F73">
        <w:trPr>
          <w:trHeight w:val="389"/>
        </w:trPr>
        <w:tc>
          <w:tcPr>
            <w:tcW w:w="1222" w:type="pct"/>
            <w:tcBorders>
              <w:top w:val="nil"/>
              <w:left w:val="single" w:sz="4" w:space="0" w:color="auto"/>
              <w:bottom w:val="nil"/>
              <w:right w:val="single" w:sz="4" w:space="0" w:color="auto"/>
            </w:tcBorders>
            <w:shd w:val="clear" w:color="000000" w:fill="D2D9EA"/>
            <w:vAlign w:val="center"/>
            <w:hideMark/>
          </w:tcPr>
          <w:p w14:paraId="539A50C9" w14:textId="617565DF" w:rsidR="00193485" w:rsidRPr="00EB2092" w:rsidRDefault="00193485" w:rsidP="00FC29D3">
            <w:pPr>
              <w:spacing w:line="240" w:lineRule="auto"/>
              <w:rPr>
                <w:rFonts w:ascii="Calibri" w:eastAsia="Times New Roman" w:hAnsi="Calibri" w:cs="Times New Roman"/>
                <w:b/>
                <w:bCs/>
                <w:sz w:val="20"/>
                <w:szCs w:val="20"/>
                <w:lang w:eastAsia="en-AU"/>
              </w:rPr>
            </w:pPr>
            <w:r w:rsidRPr="00EB2092">
              <w:rPr>
                <w:rFonts w:ascii="Calibri" w:eastAsia="Times New Roman" w:hAnsi="Calibri" w:cs="Times New Roman"/>
                <w:b/>
                <w:bCs/>
                <w:sz w:val="20"/>
                <w:szCs w:val="20"/>
                <w:lang w:eastAsia="en-AU"/>
              </w:rPr>
              <w:t xml:space="preserve">Other </w:t>
            </w:r>
            <w:r w:rsidR="00FC29D3">
              <w:rPr>
                <w:rFonts w:ascii="Calibri" w:eastAsia="Times New Roman" w:hAnsi="Calibri" w:cs="Times New Roman"/>
                <w:b/>
                <w:bCs/>
                <w:sz w:val="20"/>
                <w:szCs w:val="20"/>
                <w:lang w:eastAsia="en-AU"/>
              </w:rPr>
              <w:t>payments</w:t>
            </w:r>
          </w:p>
        </w:tc>
        <w:tc>
          <w:tcPr>
            <w:tcW w:w="464" w:type="pct"/>
            <w:tcBorders>
              <w:top w:val="nil"/>
              <w:left w:val="single" w:sz="4" w:space="0" w:color="auto"/>
              <w:bottom w:val="nil"/>
              <w:right w:val="nil"/>
            </w:tcBorders>
            <w:shd w:val="clear" w:color="000000" w:fill="D2D9EA"/>
            <w:vAlign w:val="center"/>
            <w:hideMark/>
          </w:tcPr>
          <w:p w14:paraId="621A07A8" w14:textId="77777777" w:rsidR="00193485" w:rsidRPr="00EB2092" w:rsidRDefault="00193485" w:rsidP="00193485">
            <w:pPr>
              <w:spacing w:line="240" w:lineRule="auto"/>
              <w:jc w:val="center"/>
              <w:rPr>
                <w:rFonts w:ascii="Calibri" w:eastAsia="Times New Roman" w:hAnsi="Calibri" w:cs="Times New Roman"/>
                <w:b/>
                <w:bCs/>
                <w:sz w:val="20"/>
                <w:szCs w:val="20"/>
                <w:lang w:eastAsia="en-AU"/>
              </w:rPr>
            </w:pPr>
            <w:r w:rsidRPr="00EB2092">
              <w:rPr>
                <w:rFonts w:ascii="Calibri" w:eastAsia="Times New Roman" w:hAnsi="Calibri" w:cs="Times New Roman"/>
                <w:b/>
                <w:bCs/>
                <w:sz w:val="20"/>
                <w:szCs w:val="20"/>
                <w:lang w:eastAsia="en-AU"/>
              </w:rPr>
              <w:t>4.3</w:t>
            </w:r>
          </w:p>
        </w:tc>
        <w:tc>
          <w:tcPr>
            <w:tcW w:w="423" w:type="pct"/>
            <w:tcBorders>
              <w:top w:val="nil"/>
              <w:left w:val="nil"/>
              <w:bottom w:val="nil"/>
              <w:right w:val="nil"/>
            </w:tcBorders>
            <w:shd w:val="clear" w:color="000000" w:fill="D2D9EA"/>
            <w:vAlign w:val="center"/>
            <w:hideMark/>
          </w:tcPr>
          <w:p w14:paraId="1BA4B3AA" w14:textId="77777777" w:rsidR="00193485" w:rsidRPr="00EB2092" w:rsidRDefault="00193485" w:rsidP="00193485">
            <w:pPr>
              <w:spacing w:line="240" w:lineRule="auto"/>
              <w:jc w:val="center"/>
              <w:rPr>
                <w:rFonts w:ascii="Calibri" w:eastAsia="Times New Roman" w:hAnsi="Calibri" w:cs="Times New Roman"/>
                <w:b/>
                <w:bCs/>
                <w:sz w:val="20"/>
                <w:szCs w:val="20"/>
                <w:lang w:eastAsia="en-AU"/>
              </w:rPr>
            </w:pPr>
            <w:r w:rsidRPr="00EB2092">
              <w:rPr>
                <w:rFonts w:ascii="Calibri" w:eastAsia="Times New Roman" w:hAnsi="Calibri" w:cs="Times New Roman"/>
                <w:b/>
                <w:bCs/>
                <w:sz w:val="20"/>
                <w:szCs w:val="20"/>
                <w:lang w:eastAsia="en-AU"/>
              </w:rPr>
              <w:t>5.2</w:t>
            </w:r>
          </w:p>
        </w:tc>
        <w:tc>
          <w:tcPr>
            <w:tcW w:w="2891" w:type="pct"/>
            <w:tcBorders>
              <w:top w:val="nil"/>
              <w:left w:val="single" w:sz="4" w:space="0" w:color="auto"/>
              <w:bottom w:val="nil"/>
              <w:right w:val="single" w:sz="4" w:space="0" w:color="auto"/>
            </w:tcBorders>
            <w:shd w:val="clear" w:color="000000" w:fill="D2D9EA"/>
            <w:vAlign w:val="center"/>
            <w:hideMark/>
          </w:tcPr>
          <w:p w14:paraId="188D4F5C" w14:textId="77777777" w:rsidR="00193485" w:rsidRPr="00EB2092" w:rsidRDefault="00193485" w:rsidP="00193485">
            <w:pPr>
              <w:spacing w:line="240" w:lineRule="auto"/>
              <w:rPr>
                <w:rFonts w:ascii="Calibri" w:eastAsia="Times New Roman" w:hAnsi="Calibri" w:cs="Times New Roman"/>
                <w:b/>
                <w:bCs/>
                <w:color w:val="000000"/>
                <w:sz w:val="20"/>
                <w:szCs w:val="20"/>
                <w:lang w:eastAsia="en-AU"/>
              </w:rPr>
            </w:pPr>
            <w:r w:rsidRPr="00EB2092">
              <w:rPr>
                <w:rFonts w:ascii="Calibri" w:eastAsia="Times New Roman" w:hAnsi="Calibri" w:cs="Times New Roman"/>
                <w:b/>
                <w:bCs/>
                <w:color w:val="000000"/>
                <w:sz w:val="20"/>
                <w:szCs w:val="20"/>
                <w:lang w:eastAsia="en-AU"/>
              </w:rPr>
              <w:t> </w:t>
            </w:r>
          </w:p>
        </w:tc>
      </w:tr>
      <w:tr w:rsidR="00193485" w:rsidRPr="00EB2092" w14:paraId="7F610506" w14:textId="77777777" w:rsidTr="00E44F73">
        <w:trPr>
          <w:trHeight w:val="510"/>
        </w:trPr>
        <w:tc>
          <w:tcPr>
            <w:tcW w:w="1222" w:type="pct"/>
            <w:tcBorders>
              <w:top w:val="nil"/>
              <w:left w:val="single" w:sz="4" w:space="0" w:color="auto"/>
              <w:bottom w:val="nil"/>
              <w:right w:val="single" w:sz="4" w:space="0" w:color="auto"/>
            </w:tcBorders>
            <w:shd w:val="clear" w:color="auto" w:fill="auto"/>
            <w:vAlign w:val="center"/>
            <w:hideMark/>
          </w:tcPr>
          <w:p w14:paraId="70989867" w14:textId="77777777" w:rsidR="00193485" w:rsidRPr="00EB2092" w:rsidRDefault="00193485" w:rsidP="00193485">
            <w:pPr>
              <w:spacing w:line="240" w:lineRule="auto"/>
              <w:rPr>
                <w:rFonts w:ascii="Calibri" w:eastAsia="Times New Roman" w:hAnsi="Calibri" w:cs="Times New Roman"/>
                <w:i/>
                <w:iCs/>
                <w:sz w:val="20"/>
                <w:szCs w:val="20"/>
                <w:lang w:eastAsia="en-AU"/>
              </w:rPr>
            </w:pPr>
            <w:r w:rsidRPr="00EB2092">
              <w:rPr>
                <w:rFonts w:ascii="Calibri" w:eastAsia="Times New Roman" w:hAnsi="Calibri" w:cs="Times New Roman"/>
                <w:i/>
                <w:iCs/>
                <w:sz w:val="20"/>
                <w:szCs w:val="20"/>
                <w:lang w:eastAsia="en-AU"/>
              </w:rPr>
              <w:t>Government administration</w:t>
            </w:r>
          </w:p>
        </w:tc>
        <w:tc>
          <w:tcPr>
            <w:tcW w:w="464" w:type="pct"/>
            <w:tcBorders>
              <w:top w:val="nil"/>
              <w:left w:val="single" w:sz="4" w:space="0" w:color="auto"/>
              <w:bottom w:val="nil"/>
              <w:right w:val="nil"/>
            </w:tcBorders>
            <w:shd w:val="clear" w:color="auto" w:fill="auto"/>
            <w:vAlign w:val="center"/>
            <w:hideMark/>
          </w:tcPr>
          <w:p w14:paraId="291B8A2D" w14:textId="77777777" w:rsidR="00193485" w:rsidRPr="00EB2092" w:rsidRDefault="00193485" w:rsidP="00193485">
            <w:pPr>
              <w:spacing w:line="240" w:lineRule="auto"/>
              <w:jc w:val="center"/>
              <w:rPr>
                <w:rFonts w:ascii="Calibri" w:eastAsia="Times New Roman" w:hAnsi="Calibri" w:cs="Times New Roman"/>
                <w:i/>
                <w:iCs/>
                <w:sz w:val="20"/>
                <w:szCs w:val="20"/>
                <w:lang w:eastAsia="en-AU"/>
              </w:rPr>
            </w:pPr>
            <w:r w:rsidRPr="00EB2092">
              <w:rPr>
                <w:rFonts w:ascii="Calibri" w:eastAsia="Times New Roman" w:hAnsi="Calibri" w:cs="Times New Roman"/>
                <w:i/>
                <w:iCs/>
                <w:sz w:val="20"/>
                <w:szCs w:val="20"/>
                <w:lang w:eastAsia="en-AU"/>
              </w:rPr>
              <w:t>1.5</w:t>
            </w:r>
          </w:p>
        </w:tc>
        <w:tc>
          <w:tcPr>
            <w:tcW w:w="423" w:type="pct"/>
            <w:tcBorders>
              <w:top w:val="nil"/>
              <w:left w:val="nil"/>
              <w:bottom w:val="nil"/>
              <w:right w:val="nil"/>
            </w:tcBorders>
            <w:shd w:val="clear" w:color="auto" w:fill="auto"/>
            <w:vAlign w:val="center"/>
            <w:hideMark/>
          </w:tcPr>
          <w:p w14:paraId="2090B1A6" w14:textId="77777777" w:rsidR="00193485" w:rsidRPr="00EB2092" w:rsidRDefault="00193485" w:rsidP="00193485">
            <w:pPr>
              <w:spacing w:line="240" w:lineRule="auto"/>
              <w:jc w:val="center"/>
              <w:rPr>
                <w:rFonts w:ascii="Calibri" w:eastAsia="Times New Roman" w:hAnsi="Calibri" w:cs="Times New Roman"/>
                <w:i/>
                <w:iCs/>
                <w:sz w:val="20"/>
                <w:szCs w:val="20"/>
                <w:lang w:eastAsia="en-AU"/>
              </w:rPr>
            </w:pPr>
            <w:r w:rsidRPr="00EB2092">
              <w:rPr>
                <w:rFonts w:ascii="Calibri" w:eastAsia="Times New Roman" w:hAnsi="Calibri" w:cs="Times New Roman"/>
                <w:i/>
                <w:iCs/>
                <w:sz w:val="20"/>
                <w:szCs w:val="20"/>
                <w:lang w:eastAsia="en-AU"/>
              </w:rPr>
              <w:t>1.5</w:t>
            </w:r>
          </w:p>
        </w:tc>
        <w:tc>
          <w:tcPr>
            <w:tcW w:w="2891" w:type="pct"/>
            <w:tcBorders>
              <w:top w:val="nil"/>
              <w:left w:val="single" w:sz="4" w:space="0" w:color="auto"/>
              <w:bottom w:val="nil"/>
              <w:right w:val="single" w:sz="4" w:space="0" w:color="auto"/>
            </w:tcBorders>
            <w:shd w:val="clear" w:color="auto" w:fill="auto"/>
            <w:vAlign w:val="center"/>
            <w:hideMark/>
          </w:tcPr>
          <w:p w14:paraId="69FBE3DA" w14:textId="69214C34" w:rsidR="00193485" w:rsidRPr="002E6949" w:rsidRDefault="00F43713" w:rsidP="00193485">
            <w:pPr>
              <w:spacing w:line="240" w:lineRule="auto"/>
              <w:rPr>
                <w:rFonts w:ascii="Calibri" w:eastAsia="Times New Roman" w:hAnsi="Calibri" w:cs="Times New Roman"/>
                <w:i/>
                <w:iCs/>
                <w:color w:val="000000"/>
                <w:sz w:val="20"/>
                <w:szCs w:val="20"/>
                <w:lang w:eastAsia="en-AU"/>
              </w:rPr>
            </w:pPr>
            <w:r w:rsidRPr="00572B63">
              <w:rPr>
                <w:rFonts w:ascii="Calibri" w:eastAsia="Times New Roman" w:hAnsi="Calibri" w:cs="Times New Roman"/>
                <w:i/>
                <w:color w:val="000000"/>
                <w:sz w:val="20"/>
                <w:szCs w:val="20"/>
                <w:lang w:eastAsia="en-AU"/>
              </w:rPr>
              <w:t>Little change.</w:t>
            </w:r>
          </w:p>
        </w:tc>
      </w:tr>
      <w:tr w:rsidR="00193485" w:rsidRPr="00EB2092" w14:paraId="0A49421D" w14:textId="77777777" w:rsidTr="00E44F73">
        <w:trPr>
          <w:trHeight w:val="255"/>
        </w:trPr>
        <w:tc>
          <w:tcPr>
            <w:tcW w:w="1222" w:type="pct"/>
            <w:tcBorders>
              <w:top w:val="nil"/>
              <w:left w:val="single" w:sz="4" w:space="0" w:color="auto"/>
              <w:bottom w:val="nil"/>
              <w:right w:val="single" w:sz="4" w:space="0" w:color="auto"/>
            </w:tcBorders>
            <w:shd w:val="clear" w:color="000000" w:fill="D2D9EA"/>
            <w:vAlign w:val="center"/>
            <w:hideMark/>
          </w:tcPr>
          <w:p w14:paraId="480AA76C" w14:textId="5A7FA6B8" w:rsidR="00193485" w:rsidRPr="00EB2092" w:rsidRDefault="00193485" w:rsidP="00FC29D3">
            <w:pPr>
              <w:spacing w:line="240" w:lineRule="auto"/>
              <w:rPr>
                <w:rFonts w:ascii="Calibri" w:eastAsia="Times New Roman" w:hAnsi="Calibri" w:cs="Times New Roman"/>
                <w:i/>
                <w:iCs/>
                <w:sz w:val="20"/>
                <w:szCs w:val="20"/>
                <w:lang w:eastAsia="en-AU"/>
              </w:rPr>
            </w:pPr>
            <w:r w:rsidRPr="00EB2092">
              <w:rPr>
                <w:rFonts w:ascii="Calibri" w:eastAsia="Times New Roman" w:hAnsi="Calibri" w:cs="Times New Roman"/>
                <w:i/>
                <w:iCs/>
                <w:sz w:val="20"/>
                <w:szCs w:val="20"/>
                <w:lang w:eastAsia="en-AU"/>
              </w:rPr>
              <w:t xml:space="preserve">Contingency </w:t>
            </w:r>
            <w:r w:rsidR="00FC29D3">
              <w:rPr>
                <w:rFonts w:ascii="Calibri" w:eastAsia="Times New Roman" w:hAnsi="Calibri" w:cs="Times New Roman"/>
                <w:i/>
                <w:iCs/>
                <w:sz w:val="20"/>
                <w:szCs w:val="20"/>
                <w:lang w:eastAsia="en-AU"/>
              </w:rPr>
              <w:t>r</w:t>
            </w:r>
            <w:r w:rsidRPr="00EB2092">
              <w:rPr>
                <w:rFonts w:ascii="Calibri" w:eastAsia="Times New Roman" w:hAnsi="Calibri" w:cs="Times New Roman"/>
                <w:i/>
                <w:iCs/>
                <w:sz w:val="20"/>
                <w:szCs w:val="20"/>
                <w:lang w:eastAsia="en-AU"/>
              </w:rPr>
              <w:t xml:space="preserve">eserve </w:t>
            </w:r>
            <w:r w:rsidR="00FC29D3">
              <w:rPr>
                <w:rFonts w:ascii="Calibri" w:eastAsia="Times New Roman" w:hAnsi="Calibri" w:cs="Times New Roman"/>
                <w:i/>
                <w:iCs/>
                <w:sz w:val="20"/>
                <w:szCs w:val="20"/>
                <w:lang w:eastAsia="en-AU"/>
              </w:rPr>
              <w:t>p</w:t>
            </w:r>
            <w:r w:rsidRPr="00EB2092">
              <w:rPr>
                <w:rFonts w:ascii="Calibri" w:eastAsia="Times New Roman" w:hAnsi="Calibri" w:cs="Times New Roman"/>
                <w:i/>
                <w:iCs/>
                <w:sz w:val="20"/>
                <w:szCs w:val="20"/>
                <w:lang w:eastAsia="en-AU"/>
              </w:rPr>
              <w:t>rovision</w:t>
            </w:r>
          </w:p>
        </w:tc>
        <w:tc>
          <w:tcPr>
            <w:tcW w:w="464" w:type="pct"/>
            <w:tcBorders>
              <w:top w:val="nil"/>
              <w:left w:val="single" w:sz="4" w:space="0" w:color="auto"/>
              <w:bottom w:val="nil"/>
              <w:right w:val="nil"/>
            </w:tcBorders>
            <w:shd w:val="clear" w:color="000000" w:fill="D2D9EA"/>
            <w:vAlign w:val="center"/>
            <w:hideMark/>
          </w:tcPr>
          <w:p w14:paraId="5BC5B7D2" w14:textId="77777777" w:rsidR="00193485" w:rsidRPr="00EB2092" w:rsidRDefault="00193485" w:rsidP="00193485">
            <w:pPr>
              <w:spacing w:line="240" w:lineRule="auto"/>
              <w:jc w:val="center"/>
              <w:rPr>
                <w:rFonts w:ascii="Calibri" w:eastAsia="Times New Roman" w:hAnsi="Calibri" w:cs="Times New Roman"/>
                <w:i/>
                <w:iCs/>
                <w:sz w:val="20"/>
                <w:szCs w:val="20"/>
                <w:lang w:eastAsia="en-AU"/>
              </w:rPr>
            </w:pPr>
            <w:r w:rsidRPr="00EB2092">
              <w:rPr>
                <w:rFonts w:ascii="Calibri" w:eastAsia="Times New Roman" w:hAnsi="Calibri" w:cs="Times New Roman"/>
                <w:i/>
                <w:iCs/>
                <w:sz w:val="20"/>
                <w:szCs w:val="20"/>
                <w:lang w:eastAsia="en-AU"/>
              </w:rPr>
              <w:t>0.0</w:t>
            </w:r>
          </w:p>
        </w:tc>
        <w:tc>
          <w:tcPr>
            <w:tcW w:w="423" w:type="pct"/>
            <w:tcBorders>
              <w:top w:val="nil"/>
              <w:left w:val="nil"/>
              <w:bottom w:val="nil"/>
              <w:right w:val="nil"/>
            </w:tcBorders>
            <w:shd w:val="clear" w:color="000000" w:fill="D2D9EA"/>
            <w:vAlign w:val="center"/>
            <w:hideMark/>
          </w:tcPr>
          <w:p w14:paraId="4B29C81C" w14:textId="77777777" w:rsidR="00193485" w:rsidRPr="00EB2092" w:rsidRDefault="00193485" w:rsidP="00193485">
            <w:pPr>
              <w:spacing w:line="240" w:lineRule="auto"/>
              <w:jc w:val="center"/>
              <w:rPr>
                <w:rFonts w:ascii="Calibri" w:eastAsia="Times New Roman" w:hAnsi="Calibri" w:cs="Times New Roman"/>
                <w:i/>
                <w:iCs/>
                <w:sz w:val="20"/>
                <w:szCs w:val="20"/>
                <w:lang w:eastAsia="en-AU"/>
              </w:rPr>
            </w:pPr>
            <w:r w:rsidRPr="00EB2092">
              <w:rPr>
                <w:rFonts w:ascii="Calibri" w:eastAsia="Times New Roman" w:hAnsi="Calibri" w:cs="Times New Roman"/>
                <w:i/>
                <w:iCs/>
                <w:sz w:val="20"/>
                <w:szCs w:val="20"/>
                <w:lang w:eastAsia="en-AU"/>
              </w:rPr>
              <w:t>0.5</w:t>
            </w:r>
          </w:p>
        </w:tc>
        <w:tc>
          <w:tcPr>
            <w:tcW w:w="2891" w:type="pct"/>
            <w:tcBorders>
              <w:top w:val="nil"/>
              <w:left w:val="single" w:sz="4" w:space="0" w:color="auto"/>
              <w:bottom w:val="nil"/>
              <w:right w:val="single" w:sz="4" w:space="0" w:color="auto"/>
            </w:tcBorders>
            <w:shd w:val="clear" w:color="000000" w:fill="D2D9EA"/>
            <w:vAlign w:val="center"/>
            <w:hideMark/>
          </w:tcPr>
          <w:p w14:paraId="1CEEA554" w14:textId="6E2BC95E" w:rsidR="00193485" w:rsidRPr="00F852A4" w:rsidRDefault="00852850" w:rsidP="00193485">
            <w:pPr>
              <w:spacing w:line="240" w:lineRule="auto"/>
              <w:rPr>
                <w:rFonts w:ascii="Calibri" w:eastAsia="Times New Roman" w:hAnsi="Calibri" w:cs="Times New Roman"/>
                <w:i/>
                <w:iCs/>
                <w:color w:val="000000"/>
                <w:sz w:val="20"/>
                <w:szCs w:val="20"/>
                <w:lang w:eastAsia="en-AU"/>
              </w:rPr>
            </w:pPr>
            <w:r w:rsidRPr="00852850">
              <w:rPr>
                <w:rFonts w:ascii="Calibri" w:eastAsia="Times New Roman" w:hAnsi="Calibri" w:cs="Times New Roman"/>
                <w:i/>
                <w:iCs/>
                <w:color w:val="000000"/>
                <w:sz w:val="20"/>
                <w:szCs w:val="20"/>
                <w:lang w:eastAsia="en-AU"/>
              </w:rPr>
              <w:t xml:space="preserve">Revised up due to additional provisions to the </w:t>
            </w:r>
            <w:r w:rsidR="00FC29D3">
              <w:rPr>
                <w:rFonts w:ascii="Calibri" w:eastAsia="Times New Roman" w:hAnsi="Calibri" w:cs="Times New Roman"/>
                <w:i/>
                <w:iCs/>
                <w:color w:val="000000"/>
                <w:sz w:val="20"/>
                <w:szCs w:val="20"/>
                <w:lang w:eastAsia="en-AU"/>
              </w:rPr>
              <w:t>Contingency reserve</w:t>
            </w:r>
            <w:r w:rsidRPr="00852850">
              <w:rPr>
                <w:rFonts w:ascii="Calibri" w:eastAsia="Times New Roman" w:hAnsi="Calibri" w:cs="Times New Roman"/>
                <w:i/>
                <w:iCs/>
                <w:color w:val="000000"/>
                <w:sz w:val="20"/>
                <w:szCs w:val="20"/>
                <w:lang w:eastAsia="en-AU"/>
              </w:rPr>
              <w:t xml:space="preserve"> in the 2020</w:t>
            </w:r>
            <w:r w:rsidR="00487A21">
              <w:rPr>
                <w:rFonts w:ascii="Calibri" w:eastAsia="Times New Roman" w:hAnsi="Calibri" w:cs="Times New Roman"/>
                <w:i/>
                <w:iCs/>
                <w:color w:val="000000"/>
                <w:sz w:val="20"/>
                <w:szCs w:val="20"/>
                <w:lang w:eastAsia="en-AU"/>
              </w:rPr>
              <w:t>-</w:t>
            </w:r>
            <w:r w:rsidRPr="00852850">
              <w:rPr>
                <w:rFonts w:ascii="Calibri" w:eastAsia="Times New Roman" w:hAnsi="Calibri" w:cs="Times New Roman"/>
                <w:i/>
                <w:iCs/>
                <w:color w:val="000000"/>
                <w:sz w:val="20"/>
                <w:szCs w:val="20"/>
                <w:lang w:eastAsia="en-AU"/>
              </w:rPr>
              <w:t>21 Budget.</w:t>
            </w:r>
          </w:p>
        </w:tc>
      </w:tr>
      <w:tr w:rsidR="00193485" w:rsidRPr="00EB2092" w14:paraId="1F10EE45" w14:textId="77777777" w:rsidTr="00E44F73">
        <w:trPr>
          <w:trHeight w:val="510"/>
        </w:trPr>
        <w:tc>
          <w:tcPr>
            <w:tcW w:w="1222" w:type="pct"/>
            <w:tcBorders>
              <w:top w:val="nil"/>
              <w:left w:val="single" w:sz="4" w:space="0" w:color="auto"/>
              <w:bottom w:val="nil"/>
              <w:right w:val="single" w:sz="4" w:space="0" w:color="auto"/>
            </w:tcBorders>
            <w:shd w:val="clear" w:color="auto" w:fill="auto"/>
            <w:vAlign w:val="center"/>
            <w:hideMark/>
          </w:tcPr>
          <w:p w14:paraId="377A07A9" w14:textId="20D903E7" w:rsidR="00193485" w:rsidRPr="00EB2092" w:rsidRDefault="00193485" w:rsidP="00FC29D3">
            <w:pPr>
              <w:spacing w:line="240" w:lineRule="auto"/>
              <w:rPr>
                <w:rFonts w:ascii="Calibri" w:eastAsia="Times New Roman" w:hAnsi="Calibri" w:cs="Times New Roman"/>
                <w:i/>
                <w:iCs/>
                <w:sz w:val="20"/>
                <w:szCs w:val="20"/>
                <w:lang w:eastAsia="en-AU"/>
              </w:rPr>
            </w:pPr>
            <w:r w:rsidRPr="00EB2092">
              <w:rPr>
                <w:rFonts w:ascii="Calibri" w:eastAsia="Times New Roman" w:hAnsi="Calibri" w:cs="Times New Roman"/>
                <w:i/>
                <w:iCs/>
                <w:sz w:val="20"/>
                <w:szCs w:val="20"/>
                <w:lang w:eastAsia="en-AU"/>
              </w:rPr>
              <w:t xml:space="preserve">Remaining </w:t>
            </w:r>
            <w:r w:rsidR="00FC29D3">
              <w:rPr>
                <w:rFonts w:ascii="Calibri" w:eastAsia="Times New Roman" w:hAnsi="Calibri" w:cs="Times New Roman"/>
                <w:i/>
                <w:iCs/>
                <w:sz w:val="20"/>
                <w:szCs w:val="20"/>
                <w:lang w:eastAsia="en-AU"/>
              </w:rPr>
              <w:t>payments</w:t>
            </w:r>
          </w:p>
        </w:tc>
        <w:tc>
          <w:tcPr>
            <w:tcW w:w="464" w:type="pct"/>
            <w:tcBorders>
              <w:top w:val="nil"/>
              <w:left w:val="single" w:sz="4" w:space="0" w:color="auto"/>
              <w:bottom w:val="nil"/>
              <w:right w:val="nil"/>
            </w:tcBorders>
            <w:shd w:val="clear" w:color="auto" w:fill="auto"/>
            <w:vAlign w:val="center"/>
            <w:hideMark/>
          </w:tcPr>
          <w:p w14:paraId="5F84AFEA" w14:textId="77777777" w:rsidR="00193485" w:rsidRPr="00EB2092" w:rsidRDefault="00193485" w:rsidP="00193485">
            <w:pPr>
              <w:spacing w:line="240" w:lineRule="auto"/>
              <w:jc w:val="center"/>
              <w:rPr>
                <w:rFonts w:ascii="Calibri" w:eastAsia="Times New Roman" w:hAnsi="Calibri" w:cs="Times New Roman"/>
                <w:i/>
                <w:iCs/>
                <w:sz w:val="20"/>
                <w:szCs w:val="20"/>
                <w:lang w:eastAsia="en-AU"/>
              </w:rPr>
            </w:pPr>
            <w:r w:rsidRPr="00EB2092">
              <w:rPr>
                <w:rFonts w:ascii="Calibri" w:eastAsia="Times New Roman" w:hAnsi="Calibri" w:cs="Times New Roman"/>
                <w:i/>
                <w:iCs/>
                <w:sz w:val="20"/>
                <w:szCs w:val="20"/>
                <w:lang w:eastAsia="en-AU"/>
              </w:rPr>
              <w:t>2.8</w:t>
            </w:r>
          </w:p>
        </w:tc>
        <w:tc>
          <w:tcPr>
            <w:tcW w:w="423" w:type="pct"/>
            <w:tcBorders>
              <w:top w:val="nil"/>
              <w:left w:val="nil"/>
              <w:bottom w:val="nil"/>
              <w:right w:val="nil"/>
            </w:tcBorders>
            <w:shd w:val="clear" w:color="auto" w:fill="auto"/>
            <w:vAlign w:val="center"/>
            <w:hideMark/>
          </w:tcPr>
          <w:p w14:paraId="005D95D4" w14:textId="7D17B89D" w:rsidR="00193485" w:rsidRPr="00EB2092" w:rsidRDefault="00193485" w:rsidP="000D3E1E">
            <w:pPr>
              <w:spacing w:line="240" w:lineRule="auto"/>
              <w:jc w:val="center"/>
              <w:rPr>
                <w:rFonts w:ascii="Calibri" w:eastAsia="Times New Roman" w:hAnsi="Calibri" w:cs="Times New Roman"/>
                <w:i/>
                <w:iCs/>
                <w:sz w:val="20"/>
                <w:szCs w:val="20"/>
                <w:lang w:eastAsia="en-AU"/>
              </w:rPr>
            </w:pPr>
            <w:r w:rsidRPr="00EB2092">
              <w:rPr>
                <w:rFonts w:ascii="Calibri" w:eastAsia="Times New Roman" w:hAnsi="Calibri" w:cs="Times New Roman"/>
                <w:i/>
                <w:iCs/>
                <w:sz w:val="20"/>
                <w:szCs w:val="20"/>
                <w:lang w:eastAsia="en-AU"/>
              </w:rPr>
              <w:t>3.</w:t>
            </w:r>
            <w:r w:rsidR="000C0896">
              <w:rPr>
                <w:rFonts w:ascii="Calibri" w:eastAsia="Times New Roman" w:hAnsi="Calibri" w:cs="Times New Roman"/>
                <w:i/>
                <w:iCs/>
                <w:sz w:val="20"/>
                <w:szCs w:val="20"/>
                <w:lang w:eastAsia="en-AU"/>
              </w:rPr>
              <w:t>3</w:t>
            </w:r>
          </w:p>
        </w:tc>
        <w:tc>
          <w:tcPr>
            <w:tcW w:w="2891" w:type="pct"/>
            <w:tcBorders>
              <w:top w:val="nil"/>
              <w:left w:val="single" w:sz="4" w:space="0" w:color="auto"/>
              <w:bottom w:val="nil"/>
              <w:right w:val="single" w:sz="4" w:space="0" w:color="auto"/>
            </w:tcBorders>
            <w:shd w:val="clear" w:color="auto" w:fill="auto"/>
            <w:vAlign w:val="center"/>
            <w:hideMark/>
          </w:tcPr>
          <w:p w14:paraId="2149961F" w14:textId="77777777" w:rsidR="00193485" w:rsidRPr="00EB2092" w:rsidRDefault="00193485" w:rsidP="00193485">
            <w:pPr>
              <w:spacing w:line="240" w:lineRule="auto"/>
              <w:rPr>
                <w:rFonts w:ascii="Calibri" w:eastAsia="Times New Roman" w:hAnsi="Calibri" w:cs="Times New Roman"/>
                <w:i/>
                <w:iCs/>
                <w:color w:val="000000"/>
                <w:sz w:val="20"/>
                <w:szCs w:val="20"/>
                <w:lang w:eastAsia="en-AU"/>
              </w:rPr>
            </w:pPr>
            <w:r w:rsidRPr="00EB2092">
              <w:rPr>
                <w:rFonts w:ascii="Calibri" w:eastAsia="Times New Roman" w:hAnsi="Calibri" w:cs="Times New Roman"/>
                <w:i/>
                <w:iCs/>
                <w:color w:val="000000"/>
                <w:sz w:val="20"/>
                <w:szCs w:val="20"/>
                <w:lang w:eastAsia="en-AU"/>
              </w:rPr>
              <w:t>Revised in line with changing economic and fiscal conditions</w:t>
            </w:r>
          </w:p>
        </w:tc>
      </w:tr>
      <w:tr w:rsidR="00193485" w:rsidRPr="00EB2092" w14:paraId="352B2573" w14:textId="77777777" w:rsidTr="00E44F73">
        <w:trPr>
          <w:trHeight w:val="270"/>
        </w:trPr>
        <w:tc>
          <w:tcPr>
            <w:tcW w:w="1222" w:type="pct"/>
            <w:tcBorders>
              <w:top w:val="nil"/>
              <w:left w:val="single" w:sz="4" w:space="0" w:color="auto"/>
              <w:bottom w:val="single" w:sz="4" w:space="0" w:color="auto"/>
              <w:right w:val="single" w:sz="4" w:space="0" w:color="auto"/>
            </w:tcBorders>
            <w:shd w:val="clear" w:color="000000" w:fill="3D4D7D"/>
            <w:vAlign w:val="center"/>
            <w:hideMark/>
          </w:tcPr>
          <w:p w14:paraId="6791881C" w14:textId="407765D9" w:rsidR="00193485" w:rsidRPr="00EB2092" w:rsidRDefault="00193485" w:rsidP="00446D4A">
            <w:pPr>
              <w:spacing w:line="240" w:lineRule="auto"/>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 xml:space="preserve">Total </w:t>
            </w:r>
            <w:r w:rsidR="00446D4A">
              <w:rPr>
                <w:rFonts w:ascii="Calibri" w:eastAsia="Times New Roman" w:hAnsi="Calibri" w:cs="Times New Roman"/>
                <w:b/>
                <w:bCs/>
                <w:color w:val="FFFFFF"/>
                <w:sz w:val="20"/>
                <w:szCs w:val="20"/>
                <w:lang w:eastAsia="en-AU"/>
              </w:rPr>
              <w:t>payments</w:t>
            </w:r>
          </w:p>
        </w:tc>
        <w:tc>
          <w:tcPr>
            <w:tcW w:w="464" w:type="pct"/>
            <w:tcBorders>
              <w:top w:val="nil"/>
              <w:left w:val="single" w:sz="4" w:space="0" w:color="auto"/>
              <w:bottom w:val="single" w:sz="4" w:space="0" w:color="auto"/>
              <w:right w:val="nil"/>
            </w:tcBorders>
            <w:shd w:val="clear" w:color="000000" w:fill="3D4D7D"/>
            <w:vAlign w:val="center"/>
            <w:hideMark/>
          </w:tcPr>
          <w:p w14:paraId="551F791B" w14:textId="77777777" w:rsidR="00193485" w:rsidRPr="00EB2092" w:rsidRDefault="00193485" w:rsidP="00193485">
            <w:pPr>
              <w:spacing w:line="240" w:lineRule="auto"/>
              <w:jc w:val="center"/>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23.9</w:t>
            </w:r>
          </w:p>
        </w:tc>
        <w:tc>
          <w:tcPr>
            <w:tcW w:w="423" w:type="pct"/>
            <w:tcBorders>
              <w:top w:val="nil"/>
              <w:left w:val="nil"/>
              <w:bottom w:val="single" w:sz="4" w:space="0" w:color="auto"/>
              <w:right w:val="nil"/>
            </w:tcBorders>
            <w:shd w:val="clear" w:color="000000" w:fill="3D4D7D"/>
            <w:vAlign w:val="center"/>
            <w:hideMark/>
          </w:tcPr>
          <w:p w14:paraId="3375DFF8" w14:textId="77777777" w:rsidR="00193485" w:rsidRPr="00EB2092" w:rsidRDefault="00193485" w:rsidP="00193485">
            <w:pPr>
              <w:spacing w:line="240" w:lineRule="auto"/>
              <w:jc w:val="center"/>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26.1</w:t>
            </w:r>
          </w:p>
        </w:tc>
        <w:tc>
          <w:tcPr>
            <w:tcW w:w="2891" w:type="pct"/>
            <w:tcBorders>
              <w:top w:val="nil"/>
              <w:left w:val="single" w:sz="4" w:space="0" w:color="auto"/>
              <w:bottom w:val="single" w:sz="4" w:space="0" w:color="auto"/>
              <w:right w:val="single" w:sz="4" w:space="0" w:color="auto"/>
            </w:tcBorders>
            <w:shd w:val="clear" w:color="000000" w:fill="3D4D7D"/>
            <w:vAlign w:val="center"/>
            <w:hideMark/>
          </w:tcPr>
          <w:p w14:paraId="4C1DFACB" w14:textId="77777777" w:rsidR="00193485" w:rsidRPr="00EB2092" w:rsidRDefault="00193485" w:rsidP="00193485">
            <w:pPr>
              <w:spacing w:line="240" w:lineRule="auto"/>
              <w:rPr>
                <w:rFonts w:ascii="Calibri" w:eastAsia="Times New Roman" w:hAnsi="Calibri" w:cs="Times New Roman"/>
                <w:b/>
                <w:bCs/>
                <w:color w:val="FFFFFF"/>
                <w:sz w:val="20"/>
                <w:szCs w:val="20"/>
                <w:lang w:eastAsia="en-AU"/>
              </w:rPr>
            </w:pPr>
            <w:r w:rsidRPr="00EB2092">
              <w:rPr>
                <w:rFonts w:ascii="Calibri" w:eastAsia="Times New Roman" w:hAnsi="Calibri" w:cs="Times New Roman"/>
                <w:b/>
                <w:bCs/>
                <w:color w:val="FFFFFF"/>
                <w:sz w:val="20"/>
                <w:szCs w:val="20"/>
                <w:lang w:eastAsia="en-AU"/>
              </w:rPr>
              <w:t> </w:t>
            </w:r>
          </w:p>
        </w:tc>
      </w:tr>
    </w:tbl>
    <w:p w14:paraId="72BB122C" w14:textId="49BE7BFC" w:rsidR="00E44F73" w:rsidRPr="00EB2092" w:rsidRDefault="004108E5" w:rsidP="00E44F73">
      <w:pPr>
        <w:pStyle w:val="Sourcenospacing"/>
        <w:ind w:left="0"/>
      </w:pPr>
      <w:r w:rsidRPr="00572B63">
        <w:t>Source:</w:t>
      </w:r>
      <w:r w:rsidRPr="00E44F73">
        <w:t xml:space="preserve"> PBO analysis.</w:t>
      </w:r>
      <w:r w:rsidR="00E44F73" w:rsidRPr="00EB2092">
        <w:br w:type="page"/>
      </w:r>
    </w:p>
    <w:p w14:paraId="1A3298D0" w14:textId="7D569DE7" w:rsidR="00F62D55" w:rsidRPr="00EB2092" w:rsidRDefault="00F62D55" w:rsidP="00F62D55">
      <w:pPr>
        <w:pStyle w:val="Heading1NoNumbering"/>
      </w:pPr>
      <w:bookmarkStart w:id="123" w:name="_Toc523757320"/>
      <w:bookmarkStart w:id="124" w:name="_Toc19801256"/>
      <w:bookmarkStart w:id="125" w:name="_Toc58271456"/>
      <w:bookmarkStart w:id="126" w:name="ReturnHere"/>
      <w:r w:rsidRPr="00EB2092">
        <w:lastRenderedPageBreak/>
        <w:t xml:space="preserve">Appendix </w:t>
      </w:r>
      <w:r w:rsidR="00595EB2" w:rsidRPr="00EB2092">
        <w:t xml:space="preserve">C </w:t>
      </w:r>
      <w:r w:rsidRPr="00EB2092">
        <w:t>–</w:t>
      </w:r>
      <w:r w:rsidR="00BA2818">
        <w:t xml:space="preserve"> </w:t>
      </w:r>
      <w:r w:rsidRPr="00EB2092">
        <w:t>Receipt projection methodology</w:t>
      </w:r>
      <w:bookmarkEnd w:id="123"/>
      <w:bookmarkEnd w:id="124"/>
      <w:bookmarkEnd w:id="125"/>
    </w:p>
    <w:bookmarkEnd w:id="126"/>
    <w:p w14:paraId="221D2B92" w14:textId="1F10F4C3" w:rsidR="00F62D55" w:rsidRPr="00EB2092" w:rsidRDefault="00F62D55" w:rsidP="00F62D55">
      <w:pPr>
        <w:pStyle w:val="BodyText"/>
      </w:pPr>
      <w:r w:rsidRPr="00EB2092">
        <w:t xml:space="preserve">The PBO’s projections comprise individual receipt projections of all of the Commonwealth </w:t>
      </w:r>
      <w:r w:rsidR="0054349B" w:rsidRPr="00EB2092">
        <w:t>g</w:t>
      </w:r>
      <w:r w:rsidRPr="00EB2092">
        <w:t>overnment’s major heads of revenue.</w:t>
      </w:r>
    </w:p>
    <w:p w14:paraId="541D48DE" w14:textId="2EABE298" w:rsidR="00F62D55" w:rsidRPr="00EB2092" w:rsidRDefault="00F62D55" w:rsidP="00F62D55">
      <w:pPr>
        <w:pStyle w:val="BodyText"/>
      </w:pPr>
      <w:r w:rsidRPr="00EB2092">
        <w:t xml:space="preserve">The PBO’s projections of receipts are generally prepared using a base-plus-growth methodology.  Economic parameters are used to estimate growth rates, which are then applied to the relevant </w:t>
      </w:r>
      <w:r w:rsidRPr="00EB2092">
        <w:br/>
        <w:t xml:space="preserve">base.  The economic parameters used to estimate growth rates in this report are the same as </w:t>
      </w:r>
      <w:r w:rsidRPr="00EB2092">
        <w:br/>
        <w:t>those underpinning the 2020</w:t>
      </w:r>
      <w:r w:rsidR="00487A21">
        <w:t>-</w:t>
      </w:r>
      <w:r w:rsidRPr="00EB2092">
        <w:t>21 Budget, as required by the PBO’s legislation.</w:t>
      </w:r>
    </w:p>
    <w:p w14:paraId="02815BC5" w14:textId="77777777" w:rsidR="00F62D55" w:rsidRPr="00EB2092" w:rsidRDefault="00F62D55" w:rsidP="00F62D55">
      <w:pPr>
        <w:pStyle w:val="BodyText"/>
      </w:pPr>
      <w:r w:rsidRPr="00EB2092">
        <w:t>For policy decisions where the impact is not already factored into the base-year data or the economic parameters, the projected impact of these measures are added to the base projections.</w:t>
      </w:r>
    </w:p>
    <w:p w14:paraId="37AA565B" w14:textId="3331972D" w:rsidR="00F62D55" w:rsidRPr="00EB2092" w:rsidRDefault="00F62D55" w:rsidP="00F62D55">
      <w:pPr>
        <w:pStyle w:val="BodyText"/>
      </w:pPr>
      <w:r w:rsidRPr="00EB2092">
        <w:t xml:space="preserve">In order to incorporate the impact of recent trends in tax collection, the PBO uses the </w:t>
      </w:r>
      <w:r w:rsidRPr="00EB2092">
        <w:br/>
        <w:t>2020</w:t>
      </w:r>
      <w:r w:rsidR="00487A21">
        <w:t>-</w:t>
      </w:r>
      <w:r w:rsidRPr="00EB2092">
        <w:t>21 Budget receipt forecasts for 2020</w:t>
      </w:r>
      <w:r w:rsidR="00487A21">
        <w:t>-</w:t>
      </w:r>
      <w:r w:rsidRPr="00EB2092">
        <w:t>21, 2021</w:t>
      </w:r>
      <w:r w:rsidR="00487A21">
        <w:t>-</w:t>
      </w:r>
      <w:r w:rsidRPr="00EB2092">
        <w:t>22, 2022</w:t>
      </w:r>
      <w:r w:rsidR="00487A21">
        <w:t>-</w:t>
      </w:r>
      <w:r w:rsidRPr="00EB2092">
        <w:t>23 and 2023</w:t>
      </w:r>
      <w:r w:rsidR="00487A21">
        <w:t>-</w:t>
      </w:r>
      <w:r w:rsidRPr="00EB2092">
        <w:t xml:space="preserve">24 as the base years for </w:t>
      </w:r>
      <w:r w:rsidR="00AE2E82">
        <w:br/>
      </w:r>
      <w:r w:rsidRPr="00EB2092">
        <w:t>its projections.</w:t>
      </w:r>
    </w:p>
    <w:p w14:paraId="1CBFA6F9" w14:textId="77777777" w:rsidR="00F62D55" w:rsidRPr="00EB2092" w:rsidRDefault="00F62D55" w:rsidP="00F62D55">
      <w:pPr>
        <w:pStyle w:val="BodyText"/>
      </w:pPr>
      <w:r w:rsidRPr="00EB2092">
        <w:t xml:space="preserve">Details of the methodology used to arrive at projections for the heads of revenue are outlined </w:t>
      </w:r>
      <w:r w:rsidRPr="00EB2092">
        <w:br/>
        <w:t>in the table below.</w:t>
      </w:r>
    </w:p>
    <w:p w14:paraId="7F7554A0" w14:textId="77777777" w:rsidR="00F62D55" w:rsidRPr="00EB2092" w:rsidRDefault="00F62D55" w:rsidP="00F62D55">
      <w:pPr>
        <w:pStyle w:val="CaptionDescriptor"/>
      </w:pPr>
    </w:p>
    <w:tbl>
      <w:tblPr>
        <w:tblStyle w:val="TableGrid"/>
        <w:tblW w:w="5000" w:type="pct"/>
        <w:tblBorders>
          <w:top w:val="none" w:sz="0" w:space="0" w:color="auto"/>
          <w:bottom w:val="none" w:sz="0" w:space="0" w:color="auto"/>
        </w:tblBorders>
        <w:tblLook w:val="04A0" w:firstRow="1" w:lastRow="0" w:firstColumn="1" w:lastColumn="0" w:noHBand="0" w:noVBand="1"/>
      </w:tblPr>
      <w:tblGrid>
        <w:gridCol w:w="1965"/>
        <w:gridCol w:w="2937"/>
        <w:gridCol w:w="4169"/>
      </w:tblGrid>
      <w:tr w:rsidR="00F62D55" w:rsidRPr="00EB2092" w14:paraId="6F11A51A" w14:textId="77777777" w:rsidTr="004A0A0A">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083" w:type="pct"/>
            <w:tcBorders>
              <w:bottom w:val="none" w:sz="0" w:space="0" w:color="auto"/>
            </w:tcBorders>
            <w:shd w:val="clear" w:color="auto" w:fill="3D4D7D" w:themeFill="background2"/>
            <w:hideMark/>
          </w:tcPr>
          <w:p w14:paraId="533C8AD7" w14:textId="77777777" w:rsidR="00F62D55" w:rsidRPr="00EB2092" w:rsidRDefault="00F62D55" w:rsidP="004A0A0A">
            <w:pPr>
              <w:pStyle w:val="TableHeading"/>
              <w:rPr>
                <w:szCs w:val="20"/>
              </w:rPr>
            </w:pPr>
            <w:r w:rsidRPr="00EB2092">
              <w:rPr>
                <w:szCs w:val="20"/>
              </w:rPr>
              <w:t xml:space="preserve">Model </w:t>
            </w:r>
          </w:p>
        </w:tc>
        <w:tc>
          <w:tcPr>
            <w:tcW w:w="1619" w:type="pct"/>
            <w:tcBorders>
              <w:bottom w:val="none" w:sz="0" w:space="0" w:color="auto"/>
            </w:tcBorders>
            <w:shd w:val="clear" w:color="auto" w:fill="3D4D7D" w:themeFill="background2"/>
            <w:hideMark/>
          </w:tcPr>
          <w:p w14:paraId="54A73897" w14:textId="77777777" w:rsidR="00F62D55" w:rsidRPr="00EB2092" w:rsidRDefault="00F62D55" w:rsidP="004A0A0A">
            <w:pPr>
              <w:pStyle w:val="TableHeading"/>
              <w:cnfStyle w:val="100000000000" w:firstRow="1" w:lastRow="0" w:firstColumn="0" w:lastColumn="0" w:oddVBand="0" w:evenVBand="0" w:oddHBand="0" w:evenHBand="0" w:firstRowFirstColumn="0" w:firstRowLastColumn="0" w:lastRowFirstColumn="0" w:lastRowLastColumn="0"/>
              <w:rPr>
                <w:szCs w:val="20"/>
              </w:rPr>
            </w:pPr>
            <w:r w:rsidRPr="00EB2092">
              <w:rPr>
                <w:szCs w:val="20"/>
              </w:rPr>
              <w:t xml:space="preserve">Description </w:t>
            </w:r>
          </w:p>
        </w:tc>
        <w:tc>
          <w:tcPr>
            <w:tcW w:w="2298" w:type="pct"/>
            <w:tcBorders>
              <w:bottom w:val="none" w:sz="0" w:space="0" w:color="auto"/>
            </w:tcBorders>
            <w:shd w:val="clear" w:color="auto" w:fill="3D4D7D" w:themeFill="background2"/>
            <w:hideMark/>
          </w:tcPr>
          <w:p w14:paraId="2E32D492" w14:textId="77777777" w:rsidR="00F62D55" w:rsidRPr="00EB2092" w:rsidRDefault="00F62D55" w:rsidP="004A0A0A">
            <w:pPr>
              <w:pStyle w:val="TableHeading"/>
              <w:cnfStyle w:val="100000000000" w:firstRow="1" w:lastRow="0" w:firstColumn="0" w:lastColumn="0" w:oddVBand="0" w:evenVBand="0" w:oddHBand="0" w:evenHBand="0" w:firstRowFirstColumn="0" w:firstRowLastColumn="0" w:lastRowFirstColumn="0" w:lastRowLastColumn="0"/>
              <w:rPr>
                <w:szCs w:val="20"/>
              </w:rPr>
            </w:pPr>
            <w:r w:rsidRPr="00EB2092">
              <w:rPr>
                <w:szCs w:val="20"/>
              </w:rPr>
              <w:t>Methodology</w:t>
            </w:r>
          </w:p>
        </w:tc>
      </w:tr>
      <w:tr w:rsidR="00F62D55" w:rsidRPr="00EB2092" w14:paraId="0CBBE752" w14:textId="77777777" w:rsidTr="00446D4A">
        <w:trPr>
          <w:trHeight w:val="3325"/>
        </w:trPr>
        <w:tc>
          <w:tcPr>
            <w:tcW w:w="1083" w:type="pct"/>
            <w:shd w:val="clear" w:color="auto" w:fill="auto"/>
            <w:hideMark/>
          </w:tcPr>
          <w:p w14:paraId="12F7BBE7" w14:textId="77777777" w:rsidR="00F62D55" w:rsidRPr="00EB2092" w:rsidRDefault="00F62D55" w:rsidP="004A0A0A">
            <w:pPr>
              <w:pStyle w:val="TableSubheading"/>
            </w:pPr>
            <w:r w:rsidRPr="00EB2092">
              <w:t>Gross income tax withholding and gross other individuals and refunds</w:t>
            </w:r>
          </w:p>
        </w:tc>
        <w:tc>
          <w:tcPr>
            <w:tcW w:w="1619" w:type="pct"/>
            <w:shd w:val="clear" w:color="auto" w:fill="auto"/>
            <w:hideMark/>
          </w:tcPr>
          <w:p w14:paraId="44F03E25" w14:textId="77777777" w:rsidR="00F62D55" w:rsidRPr="00EB2092" w:rsidRDefault="00F62D55" w:rsidP="004A0A0A">
            <w:pPr>
              <w:rPr>
                <w:color w:val="FF0000"/>
                <w:szCs w:val="20"/>
              </w:rPr>
            </w:pPr>
            <w:r w:rsidRPr="00EB2092">
              <w:rPr>
                <w:szCs w:val="20"/>
              </w:rPr>
              <w:t>These heads of revenue broadly cover all personal income tax, including revenue from salary and wages, the Medicare Levy and Medicare Levy Surcharge, personal income tax offsets, income from profits from unincorporated businesses, primary production and investment activities, as well as capital gains.</w:t>
            </w:r>
          </w:p>
        </w:tc>
        <w:tc>
          <w:tcPr>
            <w:tcW w:w="2298" w:type="pct"/>
            <w:shd w:val="clear" w:color="auto" w:fill="auto"/>
            <w:hideMark/>
          </w:tcPr>
          <w:p w14:paraId="4F8CF83E" w14:textId="77777777" w:rsidR="00F62D55" w:rsidRPr="00EB2092" w:rsidRDefault="00F62D55" w:rsidP="004A0A0A">
            <w:pPr>
              <w:pStyle w:val="TableText"/>
              <w:rPr>
                <w:rFonts w:cs="Times New Roman (Body CS)"/>
                <w:szCs w:val="20"/>
              </w:rPr>
            </w:pPr>
            <w:r w:rsidRPr="00EB2092">
              <w:rPr>
                <w:rFonts w:cs="Times New Roman (Body CS)"/>
                <w:szCs w:val="20"/>
              </w:rPr>
              <w:t xml:space="preserve">The aggregate taxable income for individuals over the medium term is calculated by growing individual income items from the Australian Taxation Office’s Taxation Statistics data by the relevant economic parameters, most notably compensation of employees.  </w:t>
            </w:r>
          </w:p>
          <w:p w14:paraId="6E1C4474" w14:textId="0C925DE0" w:rsidR="00F62D55" w:rsidRPr="00EB2092" w:rsidRDefault="00F62D55" w:rsidP="004A0A0A">
            <w:pPr>
              <w:pStyle w:val="TableText"/>
              <w:rPr>
                <w:szCs w:val="20"/>
              </w:rPr>
            </w:pPr>
            <w:r w:rsidRPr="00EB2092">
              <w:rPr>
                <w:szCs w:val="20"/>
              </w:rPr>
              <w:t xml:space="preserve">For each year, an average gross tax rate is applied, reflecting the policy settings and the economic parameters at the time of the </w:t>
            </w:r>
            <w:r w:rsidRPr="00EB2092">
              <w:rPr>
                <w:szCs w:val="20"/>
              </w:rPr>
              <w:br/>
              <w:t>2020</w:t>
            </w:r>
            <w:r w:rsidR="00487A21">
              <w:rPr>
                <w:szCs w:val="20"/>
              </w:rPr>
              <w:t>-</w:t>
            </w:r>
            <w:r w:rsidRPr="00EB2092">
              <w:rPr>
                <w:szCs w:val="20"/>
              </w:rPr>
              <w:t xml:space="preserve">21 Budget.  </w:t>
            </w:r>
          </w:p>
          <w:p w14:paraId="02A84717" w14:textId="41A9B142" w:rsidR="00F62D55" w:rsidRPr="00446D4A" w:rsidRDefault="00F62D55" w:rsidP="00446D4A">
            <w:pPr>
              <w:pStyle w:val="TableText"/>
              <w:rPr>
                <w:szCs w:val="20"/>
              </w:rPr>
            </w:pPr>
            <w:r w:rsidRPr="00EB2092">
              <w:rPr>
                <w:szCs w:val="20"/>
              </w:rPr>
              <w:t xml:space="preserve">Projected tax offsets are applied and the timing of tax collections is taken into account to arrive at the receipts projections.  </w:t>
            </w:r>
          </w:p>
        </w:tc>
      </w:tr>
      <w:tr w:rsidR="00F62D55" w:rsidRPr="00EB2092" w14:paraId="39260679" w14:textId="77777777" w:rsidTr="00446D4A">
        <w:trPr>
          <w:cnfStyle w:val="000000010000" w:firstRow="0" w:lastRow="0" w:firstColumn="0" w:lastColumn="0" w:oddVBand="0" w:evenVBand="0" w:oddHBand="0" w:evenHBand="1" w:firstRowFirstColumn="0" w:firstRowLastColumn="0" w:lastRowFirstColumn="0" w:lastRowLastColumn="0"/>
          <w:trHeight w:val="500"/>
        </w:trPr>
        <w:tc>
          <w:tcPr>
            <w:tcW w:w="1083" w:type="pct"/>
            <w:hideMark/>
          </w:tcPr>
          <w:p w14:paraId="1FA5DD7B" w14:textId="77777777" w:rsidR="00F62D55" w:rsidRPr="00EB2092" w:rsidRDefault="00F62D55" w:rsidP="004A0A0A">
            <w:pPr>
              <w:pStyle w:val="TableSubheading"/>
            </w:pPr>
            <w:r w:rsidRPr="00EB2092">
              <w:t>Company tax</w:t>
            </w:r>
          </w:p>
        </w:tc>
        <w:tc>
          <w:tcPr>
            <w:tcW w:w="1619" w:type="pct"/>
            <w:hideMark/>
          </w:tcPr>
          <w:p w14:paraId="392E73FE" w14:textId="77777777" w:rsidR="00F62D55" w:rsidRPr="00EB2092" w:rsidRDefault="00F62D55" w:rsidP="004A0A0A">
            <w:pPr>
              <w:spacing w:after="720"/>
              <w:rPr>
                <w:color w:val="FF0000"/>
                <w:szCs w:val="20"/>
              </w:rPr>
            </w:pPr>
            <w:r w:rsidRPr="00EB2092">
              <w:rPr>
                <w:szCs w:val="20"/>
              </w:rPr>
              <w:t>Tax on profits, including capital gains, of incorporated businesses.</w:t>
            </w:r>
          </w:p>
        </w:tc>
        <w:tc>
          <w:tcPr>
            <w:tcW w:w="2298" w:type="pct"/>
            <w:hideMark/>
          </w:tcPr>
          <w:p w14:paraId="4624AA55" w14:textId="10816BEC" w:rsidR="00F62D55" w:rsidRPr="00EB2092" w:rsidRDefault="00F62D55" w:rsidP="004A0A0A">
            <w:pPr>
              <w:rPr>
                <w:szCs w:val="20"/>
              </w:rPr>
            </w:pPr>
            <w:r w:rsidRPr="00EB2092">
              <w:rPr>
                <w:szCs w:val="20"/>
              </w:rPr>
              <w:t>The projections are based on an approach whereby company tax revenue is recognised at the point that a company-tax-payable liability arises for a company from its underlying economic activity.  Three industry groupings – Mining, Finance and all Other companies – are utilised in the projection modelling, to reflect structural differences in companies from different industries.</w:t>
            </w:r>
            <w:r w:rsidRPr="00EB2092">
              <w:rPr>
                <w:szCs w:val="20"/>
              </w:rPr>
              <w:br/>
            </w:r>
            <w:r w:rsidRPr="00EB2092">
              <w:rPr>
                <w:rFonts w:cs="Times New Roman (Body CS)"/>
                <w:szCs w:val="20"/>
              </w:rPr>
              <w:t xml:space="preserve">The tax base across the three sector groupings </w:t>
            </w:r>
            <w:r w:rsidRPr="00EB2092">
              <w:rPr>
                <w:rFonts w:cs="Times New Roman (Body CS)"/>
                <w:szCs w:val="20"/>
              </w:rPr>
              <w:br/>
              <w:t xml:space="preserve">is grown with the Gross Operating Surplus economic parameter corresponding to the relevant industry grouping.  Adjustments are made to capture depreciation and net </w:t>
            </w:r>
            <w:r w:rsidR="00AE2E82">
              <w:rPr>
                <w:rFonts w:cs="Times New Roman (Body CS)"/>
                <w:szCs w:val="20"/>
              </w:rPr>
              <w:br/>
            </w:r>
            <w:r w:rsidRPr="00EB2092">
              <w:rPr>
                <w:rFonts w:cs="Times New Roman (Body CS)"/>
                <w:szCs w:val="20"/>
              </w:rPr>
              <w:t>capital gains.</w:t>
            </w:r>
            <w:r w:rsidRPr="00EB2092">
              <w:rPr>
                <w:szCs w:val="20"/>
              </w:rPr>
              <w:t xml:space="preserve"> </w:t>
            </w:r>
          </w:p>
          <w:p w14:paraId="07A752F4" w14:textId="77777777" w:rsidR="00F62D55" w:rsidRPr="003A56EF" w:rsidRDefault="00F62D55" w:rsidP="004A0A0A">
            <w:pPr>
              <w:rPr>
                <w:color w:val="FF0000"/>
                <w:szCs w:val="20"/>
              </w:rPr>
            </w:pPr>
            <w:r w:rsidRPr="00EB2092">
              <w:rPr>
                <w:szCs w:val="20"/>
              </w:rPr>
              <w:t xml:space="preserve">Adjustments are made to account for other elements (principally the research and </w:t>
            </w:r>
            <w:r w:rsidRPr="00EB2092">
              <w:rPr>
                <w:szCs w:val="20"/>
              </w:rPr>
              <w:lastRenderedPageBreak/>
              <w:t xml:space="preserve">development tax offset) that are reported </w:t>
            </w:r>
            <w:r w:rsidRPr="008A30E0">
              <w:rPr>
                <w:szCs w:val="20"/>
              </w:rPr>
              <w:t xml:space="preserve">against company tax receipts. </w:t>
            </w:r>
          </w:p>
        </w:tc>
      </w:tr>
      <w:tr w:rsidR="00446D4A" w:rsidRPr="00EB2092" w14:paraId="3D22027A" w14:textId="77777777" w:rsidTr="00446D4A">
        <w:tc>
          <w:tcPr>
            <w:tcW w:w="1083" w:type="pct"/>
            <w:hideMark/>
          </w:tcPr>
          <w:p w14:paraId="48EBD19E" w14:textId="77777777" w:rsidR="00446D4A" w:rsidRPr="00EB2092" w:rsidRDefault="00446D4A" w:rsidP="00446D4A">
            <w:pPr>
              <w:pStyle w:val="TableSubheading"/>
            </w:pPr>
            <w:r w:rsidRPr="00EB2092">
              <w:lastRenderedPageBreak/>
              <w:t>Goods and services tax (GST)</w:t>
            </w:r>
          </w:p>
        </w:tc>
        <w:tc>
          <w:tcPr>
            <w:tcW w:w="1619" w:type="pct"/>
            <w:hideMark/>
          </w:tcPr>
          <w:p w14:paraId="19D57A9C" w14:textId="77777777" w:rsidR="00446D4A" w:rsidRPr="00EB2092" w:rsidRDefault="00446D4A" w:rsidP="00446D4A">
            <w:pPr>
              <w:rPr>
                <w:szCs w:val="20"/>
              </w:rPr>
            </w:pPr>
            <w:r w:rsidRPr="00EB2092">
              <w:rPr>
                <w:szCs w:val="20"/>
              </w:rPr>
              <w:t>Indirect tax on the consumption of certain goods and services.</w:t>
            </w:r>
          </w:p>
        </w:tc>
        <w:tc>
          <w:tcPr>
            <w:tcW w:w="2298" w:type="pct"/>
            <w:hideMark/>
          </w:tcPr>
          <w:p w14:paraId="2DCD6ED7" w14:textId="77777777" w:rsidR="00446D4A" w:rsidRPr="00EB2092" w:rsidRDefault="00446D4A" w:rsidP="00446D4A">
            <w:pPr>
              <w:rPr>
                <w:szCs w:val="20"/>
              </w:rPr>
            </w:pPr>
            <w:r w:rsidRPr="00EB2092">
              <w:rPr>
                <w:szCs w:val="20"/>
              </w:rPr>
              <w:t>GST receipts are projected based on the growth in consumption, private dwelling investment, and ownership transfer costs.  Growth is tapered to account for the declining trend in household consumption subject to GST.</w:t>
            </w:r>
          </w:p>
        </w:tc>
      </w:tr>
      <w:tr w:rsidR="00446D4A" w:rsidRPr="00EB2092" w14:paraId="065127A3" w14:textId="77777777" w:rsidTr="00446D4A">
        <w:trPr>
          <w:cnfStyle w:val="000000010000" w:firstRow="0" w:lastRow="0" w:firstColumn="0" w:lastColumn="0" w:oddVBand="0" w:evenVBand="0" w:oddHBand="0" w:evenHBand="1" w:firstRowFirstColumn="0" w:firstRowLastColumn="0" w:lastRowFirstColumn="0" w:lastRowLastColumn="0"/>
          <w:trHeight w:val="866"/>
        </w:trPr>
        <w:tc>
          <w:tcPr>
            <w:tcW w:w="1083" w:type="pct"/>
            <w:hideMark/>
          </w:tcPr>
          <w:p w14:paraId="7B39B9E8" w14:textId="77777777" w:rsidR="00446D4A" w:rsidRPr="00EB2092" w:rsidRDefault="00446D4A" w:rsidP="00446D4A">
            <w:pPr>
              <w:pStyle w:val="TableSubheading"/>
            </w:pPr>
            <w:r w:rsidRPr="00EB2092">
              <w:t>Customs and excise</w:t>
            </w:r>
          </w:p>
        </w:tc>
        <w:tc>
          <w:tcPr>
            <w:tcW w:w="1619" w:type="pct"/>
            <w:hideMark/>
          </w:tcPr>
          <w:p w14:paraId="709DFC1A" w14:textId="77777777" w:rsidR="00446D4A" w:rsidRPr="00EB2092" w:rsidRDefault="00446D4A" w:rsidP="00446D4A">
            <w:pPr>
              <w:rPr>
                <w:szCs w:val="20"/>
              </w:rPr>
            </w:pPr>
            <w:r w:rsidRPr="00EB2092">
              <w:rPr>
                <w:szCs w:val="20"/>
              </w:rPr>
              <w:t>Includes customs duties on textiles, clothing and footwear, passenger motor vehicles and other imports, excise on fuel, and excise and customs duties on tobacco and alcohol (except wine, for which WET applies).</w:t>
            </w:r>
          </w:p>
        </w:tc>
        <w:tc>
          <w:tcPr>
            <w:tcW w:w="2298" w:type="pct"/>
            <w:hideMark/>
          </w:tcPr>
          <w:p w14:paraId="77DD7730" w14:textId="77777777" w:rsidR="00446D4A" w:rsidRPr="00EB2092" w:rsidRDefault="00446D4A" w:rsidP="00446D4A">
            <w:pPr>
              <w:rPr>
                <w:szCs w:val="20"/>
              </w:rPr>
            </w:pPr>
            <w:r w:rsidRPr="00EB2092">
              <w:rPr>
                <w:szCs w:val="20"/>
              </w:rPr>
              <w:t xml:space="preserve">Receipts from each category of excise and customs duty are projected in a similar way: </w:t>
            </w:r>
            <w:r w:rsidRPr="00EB2092">
              <w:rPr>
                <w:szCs w:val="20"/>
              </w:rPr>
              <w:br/>
              <w:t>a growth rate is determined using a quantity parameter, and where appropriate, prices are grown using the appropriate price parameter.</w:t>
            </w:r>
          </w:p>
          <w:p w14:paraId="0632757C" w14:textId="77777777" w:rsidR="00446D4A" w:rsidRPr="00EB2092" w:rsidRDefault="00446D4A" w:rsidP="00446D4A">
            <w:pPr>
              <w:rPr>
                <w:szCs w:val="20"/>
              </w:rPr>
            </w:pPr>
            <w:r w:rsidRPr="00EB2092">
              <w:rPr>
                <w:szCs w:val="20"/>
              </w:rPr>
              <w:t>The relevant parameters are:</w:t>
            </w:r>
          </w:p>
          <w:p w14:paraId="58D1D210" w14:textId="77777777" w:rsidR="00446D4A" w:rsidRPr="00EB2092" w:rsidRDefault="00446D4A" w:rsidP="00446D4A">
            <w:pPr>
              <w:pStyle w:val="TableTextBullet"/>
              <w:numPr>
                <w:ilvl w:val="0"/>
                <w:numId w:val="36"/>
              </w:numPr>
              <w:rPr>
                <w:szCs w:val="20"/>
              </w:rPr>
            </w:pPr>
            <w:r w:rsidRPr="00EB2092">
              <w:rPr>
                <w:szCs w:val="20"/>
              </w:rPr>
              <w:t>fuel—private consumption of fuel, real GDP and the CPI</w:t>
            </w:r>
          </w:p>
          <w:p w14:paraId="04749C9D" w14:textId="77777777" w:rsidR="00446D4A" w:rsidRPr="00EB2092" w:rsidRDefault="00446D4A" w:rsidP="00446D4A">
            <w:pPr>
              <w:pStyle w:val="TableTextBullet"/>
              <w:numPr>
                <w:ilvl w:val="0"/>
                <w:numId w:val="36"/>
              </w:numPr>
              <w:rPr>
                <w:szCs w:val="20"/>
              </w:rPr>
            </w:pPr>
            <w:r w:rsidRPr="00EB2092">
              <w:rPr>
                <w:szCs w:val="20"/>
              </w:rPr>
              <w:t>textile, clothing and footwear—imports of textiles, clothing and footwear</w:t>
            </w:r>
          </w:p>
          <w:p w14:paraId="08A8DCA0" w14:textId="77777777" w:rsidR="00446D4A" w:rsidRPr="00EB2092" w:rsidRDefault="00446D4A" w:rsidP="00446D4A">
            <w:pPr>
              <w:pStyle w:val="TableTextBullet"/>
              <w:numPr>
                <w:ilvl w:val="0"/>
                <w:numId w:val="36"/>
              </w:numPr>
              <w:rPr>
                <w:szCs w:val="20"/>
              </w:rPr>
            </w:pPr>
            <w:r w:rsidRPr="00EB2092">
              <w:rPr>
                <w:szCs w:val="20"/>
              </w:rPr>
              <w:t>passenger motor vehicles—imports of non-industrial transport equipment</w:t>
            </w:r>
          </w:p>
          <w:p w14:paraId="51249255" w14:textId="77777777" w:rsidR="00446D4A" w:rsidRPr="00EB2092" w:rsidRDefault="00446D4A" w:rsidP="00446D4A">
            <w:pPr>
              <w:pStyle w:val="TableTextBullet"/>
              <w:numPr>
                <w:ilvl w:val="0"/>
                <w:numId w:val="36"/>
              </w:numPr>
              <w:rPr>
                <w:rFonts w:cs="Times New Roman (Body CS)"/>
                <w:szCs w:val="20"/>
              </w:rPr>
            </w:pPr>
            <w:r w:rsidRPr="00EB2092">
              <w:rPr>
                <w:szCs w:val="20"/>
              </w:rPr>
              <w:t>o</w:t>
            </w:r>
            <w:r w:rsidRPr="00EB2092">
              <w:rPr>
                <w:rFonts w:cs="Times New Roman (Body CS)"/>
                <w:szCs w:val="20"/>
              </w:rPr>
              <w:t>ther imports—imports of endogenous goods less imports of non-industrial transport equipment, textiles, clothing and footwear</w:t>
            </w:r>
          </w:p>
          <w:p w14:paraId="030EA72A" w14:textId="77777777" w:rsidR="00446D4A" w:rsidRPr="00EB2092" w:rsidRDefault="00446D4A" w:rsidP="00446D4A">
            <w:pPr>
              <w:pStyle w:val="TableTextBullet"/>
              <w:numPr>
                <w:ilvl w:val="0"/>
                <w:numId w:val="36"/>
              </w:numPr>
              <w:rPr>
                <w:szCs w:val="20"/>
              </w:rPr>
            </w:pPr>
            <w:r w:rsidRPr="00EB2092">
              <w:rPr>
                <w:szCs w:val="20"/>
              </w:rPr>
              <w:t>tobacco—private consumption of cigarettes and Average Weekly Ordinary Time Earnings</w:t>
            </w:r>
          </w:p>
          <w:p w14:paraId="642FB964" w14:textId="77777777" w:rsidR="00446D4A" w:rsidRPr="00EB2092" w:rsidRDefault="00446D4A" w:rsidP="00446D4A">
            <w:pPr>
              <w:pStyle w:val="TableTextBullet"/>
              <w:numPr>
                <w:ilvl w:val="0"/>
                <w:numId w:val="36"/>
              </w:numPr>
              <w:rPr>
                <w:szCs w:val="20"/>
              </w:rPr>
            </w:pPr>
            <w:proofErr w:type="gramStart"/>
            <w:r w:rsidRPr="00EB2092">
              <w:rPr>
                <w:szCs w:val="20"/>
              </w:rPr>
              <w:t>alcohol—</w:t>
            </w:r>
            <w:proofErr w:type="gramEnd"/>
            <w:r w:rsidRPr="00EB2092">
              <w:rPr>
                <w:szCs w:val="20"/>
              </w:rPr>
              <w:t>private consumption of alcohol and the CPI.</w:t>
            </w:r>
          </w:p>
          <w:p w14:paraId="15E827F2" w14:textId="77777777" w:rsidR="00446D4A" w:rsidRPr="00EB2092" w:rsidRDefault="00446D4A" w:rsidP="00446D4A">
            <w:pPr>
              <w:pStyle w:val="TableTextBullet"/>
              <w:numPr>
                <w:ilvl w:val="0"/>
                <w:numId w:val="0"/>
              </w:numPr>
              <w:ind w:left="85"/>
              <w:rPr>
                <w:szCs w:val="20"/>
              </w:rPr>
            </w:pPr>
            <w:r w:rsidRPr="00EB2092">
              <w:rPr>
                <w:szCs w:val="20"/>
              </w:rPr>
              <w:t>Provisions for free trade agreements are also applied, consistent with budget estimates.</w:t>
            </w:r>
          </w:p>
        </w:tc>
      </w:tr>
      <w:tr w:rsidR="00F62D55" w:rsidRPr="00EB2092" w14:paraId="2F7ECBF7" w14:textId="77777777" w:rsidTr="004A0A0A">
        <w:trPr>
          <w:trHeight w:val="3564"/>
        </w:trPr>
        <w:tc>
          <w:tcPr>
            <w:tcW w:w="1083" w:type="pct"/>
            <w:shd w:val="clear" w:color="auto" w:fill="auto"/>
            <w:hideMark/>
          </w:tcPr>
          <w:p w14:paraId="02D333C4" w14:textId="77777777" w:rsidR="00F62D55" w:rsidRPr="00EB2092" w:rsidRDefault="00F62D55" w:rsidP="004A0A0A">
            <w:pPr>
              <w:pStyle w:val="TableSubheading"/>
            </w:pPr>
            <w:r w:rsidRPr="00EB2092">
              <w:t xml:space="preserve">Superannuation </w:t>
            </w:r>
            <w:r w:rsidRPr="00EB2092">
              <w:br/>
              <w:t>fund taxes</w:t>
            </w:r>
          </w:p>
        </w:tc>
        <w:tc>
          <w:tcPr>
            <w:tcW w:w="1619" w:type="pct"/>
            <w:shd w:val="clear" w:color="auto" w:fill="auto"/>
            <w:hideMark/>
          </w:tcPr>
          <w:p w14:paraId="7B759794" w14:textId="77777777" w:rsidR="00F62D55" w:rsidRPr="00EB2092" w:rsidRDefault="00F62D55" w:rsidP="004A0A0A">
            <w:pPr>
              <w:rPr>
                <w:szCs w:val="20"/>
              </w:rPr>
            </w:pPr>
            <w:r w:rsidRPr="00EB2092">
              <w:rPr>
                <w:szCs w:val="20"/>
              </w:rPr>
              <w:t>Tax on superannuation fund contributions and investment earnings, including capital gains, of Australian Prudential Regulation Authority (APRA) funds and self-managed super funds.</w:t>
            </w:r>
          </w:p>
        </w:tc>
        <w:tc>
          <w:tcPr>
            <w:tcW w:w="2298" w:type="pct"/>
            <w:shd w:val="clear" w:color="auto" w:fill="auto"/>
            <w:hideMark/>
          </w:tcPr>
          <w:p w14:paraId="6944FD81" w14:textId="5435C90B" w:rsidR="00F62D55" w:rsidRPr="00EB2092" w:rsidRDefault="00F62D55" w:rsidP="004A0A0A">
            <w:pPr>
              <w:rPr>
                <w:rFonts w:cs="Times New Roman (Body CS)"/>
                <w:szCs w:val="20"/>
              </w:rPr>
            </w:pPr>
            <w:r w:rsidRPr="00EB2092">
              <w:rPr>
                <w:rFonts w:cs="Times New Roman (Body CS)"/>
                <w:szCs w:val="20"/>
              </w:rPr>
              <w:t xml:space="preserve">Projections for the taxable income of </w:t>
            </w:r>
            <w:r w:rsidRPr="00EB2092">
              <w:rPr>
                <w:rFonts w:cs="Times New Roman (Body CS)"/>
                <w:szCs w:val="20"/>
              </w:rPr>
              <w:br/>
              <w:t xml:space="preserve">APRA-regulated superannuation funds and </w:t>
            </w:r>
            <w:r w:rsidRPr="00EB2092">
              <w:rPr>
                <w:rFonts w:cs="Times New Roman (Body CS)"/>
                <w:szCs w:val="20"/>
              </w:rPr>
              <w:br/>
              <w:t xml:space="preserve">self-managed superannuation funds are based on the structure of a superannuation fund’s </w:t>
            </w:r>
            <w:r w:rsidR="009E7E94">
              <w:rPr>
                <w:rFonts w:cs="Times New Roman (Body CS)"/>
                <w:szCs w:val="20"/>
              </w:rPr>
              <w:br/>
            </w:r>
            <w:r w:rsidRPr="00EB2092">
              <w:rPr>
                <w:rFonts w:cs="Times New Roman (Body CS)"/>
                <w:szCs w:val="20"/>
              </w:rPr>
              <w:t xml:space="preserve">tax return.  </w:t>
            </w:r>
          </w:p>
          <w:p w14:paraId="16BE2E7C" w14:textId="77777777" w:rsidR="00F62D55" w:rsidRPr="00EB2092" w:rsidRDefault="00F62D55" w:rsidP="004A0A0A">
            <w:pPr>
              <w:rPr>
                <w:szCs w:val="20"/>
              </w:rPr>
            </w:pPr>
            <w:r w:rsidRPr="00EB2092">
              <w:rPr>
                <w:szCs w:val="20"/>
              </w:rPr>
              <w:t xml:space="preserve">Historical data from APRA’s Annual Superannuation Bulletin and the Australian Taxation Office’s Taxation Statistics data are grown by relevant economic parameters for projections of taxable income.  Statutory tax rates are then applied to the projections of taxable income.  </w:t>
            </w:r>
          </w:p>
          <w:p w14:paraId="1909FEC0" w14:textId="77777777" w:rsidR="00F62D55" w:rsidRPr="00EB2092" w:rsidRDefault="00F62D55" w:rsidP="004A0A0A">
            <w:pPr>
              <w:rPr>
                <w:szCs w:val="20"/>
              </w:rPr>
            </w:pPr>
            <w:r w:rsidRPr="00EB2092">
              <w:rPr>
                <w:szCs w:val="20"/>
              </w:rPr>
              <w:t xml:space="preserve">Projected tax offsets are applied and the timing of tax collections is taken into account to arrive at the receipts’ projections.  </w:t>
            </w:r>
          </w:p>
        </w:tc>
      </w:tr>
      <w:tr w:rsidR="006975C8" w:rsidRPr="00EB2092" w14:paraId="7581E7E2" w14:textId="77777777" w:rsidTr="000D3E1E">
        <w:trPr>
          <w:cnfStyle w:val="000000010000" w:firstRow="0" w:lastRow="0" w:firstColumn="0" w:lastColumn="0" w:oddVBand="0" w:evenVBand="0" w:oddHBand="0" w:evenHBand="1" w:firstRowFirstColumn="0" w:firstRowLastColumn="0" w:lastRowFirstColumn="0" w:lastRowLastColumn="0"/>
        </w:trPr>
        <w:tc>
          <w:tcPr>
            <w:tcW w:w="1083" w:type="pct"/>
          </w:tcPr>
          <w:p w14:paraId="0E503F9A" w14:textId="77777777" w:rsidR="006975C8" w:rsidRPr="003A56EF" w:rsidRDefault="006975C8" w:rsidP="000D3E1E">
            <w:pPr>
              <w:pStyle w:val="TableSubheading"/>
            </w:pPr>
            <w:r w:rsidRPr="00EB2092">
              <w:t>Other taxes and charges</w:t>
            </w:r>
          </w:p>
        </w:tc>
        <w:tc>
          <w:tcPr>
            <w:tcW w:w="1619" w:type="pct"/>
          </w:tcPr>
          <w:p w14:paraId="37A4C193" w14:textId="77777777" w:rsidR="006975C8" w:rsidRPr="003A56EF" w:rsidRDefault="006975C8" w:rsidP="000D3E1E">
            <w:pPr>
              <w:rPr>
                <w:szCs w:val="20"/>
              </w:rPr>
            </w:pPr>
            <w:r w:rsidRPr="00FA7285">
              <w:rPr>
                <w:szCs w:val="20"/>
              </w:rPr>
              <w:t>Other indirect taxes and levies, including the major bank levy and agricultural levies.</w:t>
            </w:r>
          </w:p>
        </w:tc>
        <w:tc>
          <w:tcPr>
            <w:tcW w:w="2298" w:type="pct"/>
          </w:tcPr>
          <w:p w14:paraId="46A2FAF2" w14:textId="77777777" w:rsidR="006975C8" w:rsidRPr="00D006D1" w:rsidRDefault="006975C8" w:rsidP="000D3E1E">
            <w:pPr>
              <w:rPr>
                <w:szCs w:val="20"/>
              </w:rPr>
            </w:pPr>
            <w:r w:rsidRPr="00FA7285">
              <w:rPr>
                <w:szCs w:val="20"/>
              </w:rPr>
              <w:t>Other taxes and charges are projected</w:t>
            </w:r>
            <w:r w:rsidRPr="00D006D1">
              <w:rPr>
                <w:szCs w:val="20"/>
              </w:rPr>
              <w:t xml:space="preserve"> based on the growth in nominal GDP.</w:t>
            </w:r>
          </w:p>
        </w:tc>
      </w:tr>
      <w:tr w:rsidR="006975C8" w:rsidRPr="00EB2092" w14:paraId="1EB39E48" w14:textId="77777777" w:rsidTr="000D3E1E">
        <w:tc>
          <w:tcPr>
            <w:tcW w:w="1083" w:type="pct"/>
          </w:tcPr>
          <w:p w14:paraId="5A4185C8" w14:textId="77777777" w:rsidR="006975C8" w:rsidRPr="00EB2092" w:rsidRDefault="006975C8" w:rsidP="000D3E1E">
            <w:pPr>
              <w:pStyle w:val="TableSubheading"/>
            </w:pPr>
            <w:r w:rsidRPr="00EB2092">
              <w:t>Fringe benefits tax (FBT)</w:t>
            </w:r>
          </w:p>
        </w:tc>
        <w:tc>
          <w:tcPr>
            <w:tcW w:w="1619" w:type="pct"/>
          </w:tcPr>
          <w:p w14:paraId="1EB62931" w14:textId="77777777" w:rsidR="006975C8" w:rsidRPr="00EB2092" w:rsidRDefault="006975C8" w:rsidP="000D3E1E">
            <w:pPr>
              <w:rPr>
                <w:szCs w:val="20"/>
              </w:rPr>
            </w:pPr>
            <w:r w:rsidRPr="00EB2092">
              <w:rPr>
                <w:szCs w:val="20"/>
              </w:rPr>
              <w:t>FBT is separate to income tax and is paid by employers, based on the taxable value of the fringe benefit provided to employees.</w:t>
            </w:r>
          </w:p>
        </w:tc>
        <w:tc>
          <w:tcPr>
            <w:tcW w:w="2298" w:type="pct"/>
          </w:tcPr>
          <w:p w14:paraId="4D5706FB" w14:textId="77777777" w:rsidR="006975C8" w:rsidRPr="00EB2092" w:rsidRDefault="006975C8" w:rsidP="000D3E1E">
            <w:pPr>
              <w:rPr>
                <w:szCs w:val="20"/>
              </w:rPr>
            </w:pPr>
            <w:r w:rsidRPr="00EB2092">
              <w:rPr>
                <w:szCs w:val="20"/>
              </w:rPr>
              <w:t xml:space="preserve">FBT receipts are projected based on the compensation of </w:t>
            </w:r>
            <w:proofErr w:type="gramStart"/>
            <w:r w:rsidRPr="00EB2092">
              <w:rPr>
                <w:szCs w:val="20"/>
              </w:rPr>
              <w:t>employees</w:t>
            </w:r>
            <w:proofErr w:type="gramEnd"/>
            <w:r w:rsidRPr="00EB2092">
              <w:rPr>
                <w:szCs w:val="20"/>
              </w:rPr>
              <w:t xml:space="preserve"> parameter.</w:t>
            </w:r>
          </w:p>
        </w:tc>
      </w:tr>
      <w:tr w:rsidR="006975C8" w:rsidRPr="00EB2092" w14:paraId="2116164D" w14:textId="77777777" w:rsidTr="006975C8">
        <w:trPr>
          <w:cnfStyle w:val="000000010000" w:firstRow="0" w:lastRow="0" w:firstColumn="0" w:lastColumn="0" w:oddVBand="0" w:evenVBand="0" w:oddHBand="0" w:evenHBand="1" w:firstRowFirstColumn="0" w:firstRowLastColumn="0" w:lastRowFirstColumn="0" w:lastRowLastColumn="0"/>
        </w:trPr>
        <w:tc>
          <w:tcPr>
            <w:tcW w:w="1083" w:type="pct"/>
            <w:hideMark/>
          </w:tcPr>
          <w:p w14:paraId="614307DE" w14:textId="77777777" w:rsidR="006975C8" w:rsidRPr="00EB2092" w:rsidRDefault="006975C8" w:rsidP="000D3E1E">
            <w:pPr>
              <w:pStyle w:val="TableSubheading"/>
            </w:pPr>
            <w:r w:rsidRPr="00EB2092">
              <w:lastRenderedPageBreak/>
              <w:t>Wine equalisation tax (WET)</w:t>
            </w:r>
          </w:p>
        </w:tc>
        <w:tc>
          <w:tcPr>
            <w:tcW w:w="1619" w:type="pct"/>
            <w:hideMark/>
          </w:tcPr>
          <w:p w14:paraId="6391C822" w14:textId="77777777" w:rsidR="006975C8" w:rsidRPr="00EB2092" w:rsidRDefault="006975C8" w:rsidP="000D3E1E">
            <w:pPr>
              <w:rPr>
                <w:szCs w:val="20"/>
              </w:rPr>
            </w:pPr>
            <w:r w:rsidRPr="00EB2092">
              <w:rPr>
                <w:szCs w:val="20"/>
              </w:rPr>
              <w:t>A value-based tax on wine consumed in Australia.</w:t>
            </w:r>
          </w:p>
        </w:tc>
        <w:tc>
          <w:tcPr>
            <w:tcW w:w="2298" w:type="pct"/>
            <w:hideMark/>
          </w:tcPr>
          <w:p w14:paraId="6AB79D2F" w14:textId="77777777" w:rsidR="006975C8" w:rsidRPr="00EB2092" w:rsidRDefault="006975C8" w:rsidP="000D3E1E">
            <w:pPr>
              <w:rPr>
                <w:szCs w:val="20"/>
              </w:rPr>
            </w:pPr>
            <w:r w:rsidRPr="00EB2092">
              <w:rPr>
                <w:szCs w:val="20"/>
              </w:rPr>
              <w:t>WET receipts are projected based on the growth in private consumption of alcohol.</w:t>
            </w:r>
          </w:p>
        </w:tc>
      </w:tr>
      <w:tr w:rsidR="006975C8" w:rsidRPr="00EB2092" w14:paraId="1584A9B2" w14:textId="77777777" w:rsidTr="000D3E1E">
        <w:tc>
          <w:tcPr>
            <w:tcW w:w="1083" w:type="pct"/>
            <w:hideMark/>
          </w:tcPr>
          <w:p w14:paraId="27BBED36" w14:textId="77777777" w:rsidR="006975C8" w:rsidRPr="00EB2092" w:rsidRDefault="006975C8" w:rsidP="000D3E1E">
            <w:pPr>
              <w:pStyle w:val="TableSubheading"/>
            </w:pPr>
            <w:r w:rsidRPr="00EB2092">
              <w:t>Luxury car tax (LCT)</w:t>
            </w:r>
          </w:p>
        </w:tc>
        <w:tc>
          <w:tcPr>
            <w:tcW w:w="1619" w:type="pct"/>
            <w:hideMark/>
          </w:tcPr>
          <w:p w14:paraId="6F87F759" w14:textId="77777777" w:rsidR="006975C8" w:rsidRPr="00EB2092" w:rsidRDefault="006975C8" w:rsidP="000D3E1E">
            <w:pPr>
              <w:rPr>
                <w:szCs w:val="20"/>
              </w:rPr>
            </w:pPr>
            <w:r w:rsidRPr="00EB2092">
              <w:rPr>
                <w:szCs w:val="20"/>
              </w:rPr>
              <w:t>A tax on luxury cars sold or imported, where their value exceeds a threshold.</w:t>
            </w:r>
          </w:p>
        </w:tc>
        <w:tc>
          <w:tcPr>
            <w:tcW w:w="2298" w:type="pct"/>
            <w:hideMark/>
          </w:tcPr>
          <w:p w14:paraId="4E28FD27" w14:textId="77777777" w:rsidR="006975C8" w:rsidRPr="00EB2092" w:rsidRDefault="006975C8" w:rsidP="000D3E1E">
            <w:pPr>
              <w:rPr>
                <w:szCs w:val="20"/>
              </w:rPr>
            </w:pPr>
            <w:r w:rsidRPr="00EB2092">
              <w:rPr>
                <w:szCs w:val="20"/>
              </w:rPr>
              <w:t>LCT receipts are projected based on the growth in sales of cars, and the motor vehicle price indicator.</w:t>
            </w:r>
          </w:p>
        </w:tc>
      </w:tr>
      <w:tr w:rsidR="00F62D55" w:rsidRPr="00EB2092" w14:paraId="7FBC22C9" w14:textId="77777777" w:rsidTr="006975C8">
        <w:trPr>
          <w:cnfStyle w:val="000000010000" w:firstRow="0" w:lastRow="0" w:firstColumn="0" w:lastColumn="0" w:oddVBand="0" w:evenVBand="0" w:oddHBand="0" w:evenHBand="1" w:firstRowFirstColumn="0" w:firstRowLastColumn="0" w:lastRowFirstColumn="0" w:lastRowLastColumn="0"/>
        </w:trPr>
        <w:tc>
          <w:tcPr>
            <w:tcW w:w="1083" w:type="pct"/>
            <w:hideMark/>
          </w:tcPr>
          <w:p w14:paraId="1E2BFE88" w14:textId="77777777" w:rsidR="00F62D55" w:rsidRPr="00EB2092" w:rsidRDefault="00F62D55" w:rsidP="004A0A0A">
            <w:pPr>
              <w:pStyle w:val="TableSubheading"/>
            </w:pPr>
            <w:r w:rsidRPr="00EB2092">
              <w:t>Petroleum Resources Rent Tax (PRRT)</w:t>
            </w:r>
          </w:p>
        </w:tc>
        <w:tc>
          <w:tcPr>
            <w:tcW w:w="1619" w:type="pct"/>
            <w:hideMark/>
          </w:tcPr>
          <w:p w14:paraId="18D07CD4" w14:textId="77777777" w:rsidR="00F62D55" w:rsidRPr="00EB2092" w:rsidRDefault="00F62D55" w:rsidP="004A0A0A">
            <w:pPr>
              <w:rPr>
                <w:szCs w:val="20"/>
              </w:rPr>
            </w:pPr>
            <w:r w:rsidRPr="00EB2092">
              <w:rPr>
                <w:szCs w:val="20"/>
              </w:rPr>
              <w:t>Tax on profits from sales of petroleum products.</w:t>
            </w:r>
          </w:p>
        </w:tc>
        <w:tc>
          <w:tcPr>
            <w:tcW w:w="2298" w:type="pct"/>
            <w:hideMark/>
          </w:tcPr>
          <w:p w14:paraId="11518731" w14:textId="66281378" w:rsidR="00F62D55" w:rsidRPr="00EB2092" w:rsidRDefault="00284A3A" w:rsidP="001E59E2">
            <w:pPr>
              <w:rPr>
                <w:color w:val="FF0000"/>
                <w:szCs w:val="20"/>
              </w:rPr>
            </w:pPr>
            <w:r w:rsidRPr="00EB2092">
              <w:rPr>
                <w:szCs w:val="20"/>
              </w:rPr>
              <w:t>PRRT receipts are calculated on a project-by-project basis using expenditure and output data and the oil price parameter underpinning the 2020</w:t>
            </w:r>
            <w:r w:rsidR="00487A21">
              <w:rPr>
                <w:szCs w:val="20"/>
              </w:rPr>
              <w:t>-</w:t>
            </w:r>
            <w:r w:rsidRPr="00EB2092">
              <w:rPr>
                <w:szCs w:val="20"/>
              </w:rPr>
              <w:t xml:space="preserve">21 </w:t>
            </w:r>
            <w:proofErr w:type="gramStart"/>
            <w:r w:rsidRPr="00EB2092">
              <w:rPr>
                <w:szCs w:val="20"/>
              </w:rPr>
              <w:t>Budget</w:t>
            </w:r>
            <w:proofErr w:type="gramEnd"/>
            <w:r w:rsidRPr="00EB2092">
              <w:rPr>
                <w:szCs w:val="20"/>
              </w:rPr>
              <w:t>, which is grown by CPI beyond the forward estimates period.</w:t>
            </w:r>
          </w:p>
        </w:tc>
      </w:tr>
      <w:tr w:rsidR="00F62D55" w:rsidRPr="00EB2092" w14:paraId="0FC3D83D" w14:textId="77777777" w:rsidTr="004A0A0A">
        <w:tc>
          <w:tcPr>
            <w:tcW w:w="1083" w:type="pct"/>
            <w:hideMark/>
          </w:tcPr>
          <w:p w14:paraId="0FC62A24" w14:textId="77777777" w:rsidR="00F62D55" w:rsidRPr="00EB2092" w:rsidRDefault="00F62D55" w:rsidP="004A0A0A">
            <w:pPr>
              <w:pStyle w:val="TableSubheading"/>
            </w:pPr>
            <w:r w:rsidRPr="00EB2092">
              <w:t>Non-tax receipts</w:t>
            </w:r>
          </w:p>
        </w:tc>
        <w:tc>
          <w:tcPr>
            <w:tcW w:w="1619" w:type="pct"/>
            <w:hideMark/>
          </w:tcPr>
          <w:p w14:paraId="404B583B" w14:textId="77777777" w:rsidR="00F62D55" w:rsidRPr="00EB2092" w:rsidRDefault="00F62D55" w:rsidP="004A0A0A">
            <w:pPr>
              <w:rPr>
                <w:szCs w:val="20"/>
              </w:rPr>
            </w:pPr>
            <w:r w:rsidRPr="00EB2092">
              <w:rPr>
                <w:szCs w:val="20"/>
              </w:rPr>
              <w:t xml:space="preserve">Includes interest and dividend earnings (including Future Fund earnings), NDIS contributions from the states and territories, sale of non-financial assets, and other non-tax receipts. </w:t>
            </w:r>
          </w:p>
        </w:tc>
        <w:tc>
          <w:tcPr>
            <w:tcW w:w="2298" w:type="pct"/>
            <w:hideMark/>
          </w:tcPr>
          <w:p w14:paraId="2584AF45" w14:textId="77777777" w:rsidR="00F62D55" w:rsidRPr="00EB2092" w:rsidRDefault="00F62D55" w:rsidP="004A0A0A">
            <w:pPr>
              <w:rPr>
                <w:szCs w:val="20"/>
              </w:rPr>
            </w:pPr>
            <w:r w:rsidRPr="00EB2092">
              <w:rPr>
                <w:szCs w:val="20"/>
              </w:rPr>
              <w:t xml:space="preserve">The largest component of receipts from the sales of goods and services are NDIS contributions from the states and territories, which are consistent with the PBO’s profile of NDIS expenditure over the medium term.  </w:t>
            </w:r>
          </w:p>
          <w:p w14:paraId="6E44A9C1" w14:textId="54BE79CF" w:rsidR="00F62D55" w:rsidRPr="00EB2092" w:rsidRDefault="00F62D55" w:rsidP="004A0A0A">
            <w:pPr>
              <w:pStyle w:val="TableText"/>
              <w:rPr>
                <w:szCs w:val="20"/>
              </w:rPr>
            </w:pPr>
            <w:r w:rsidRPr="00EB2092">
              <w:rPr>
                <w:szCs w:val="20"/>
              </w:rPr>
              <w:t xml:space="preserve">Future Fund earnings are projected over the medium term using the projection methodology from PBO Report no. 01/2017 </w:t>
            </w:r>
            <w:r w:rsidRPr="00EB2092">
              <w:rPr>
                <w:i/>
                <w:szCs w:val="20"/>
              </w:rPr>
              <w:t>Future Fund drawdown scenarios: Budget implications</w:t>
            </w:r>
            <w:r w:rsidRPr="00EB2092">
              <w:rPr>
                <w:szCs w:val="20"/>
              </w:rPr>
              <w:t xml:space="preserve">.  Reflecting the </w:t>
            </w:r>
            <w:r w:rsidR="0054349B" w:rsidRPr="00EB2092">
              <w:rPr>
                <w:szCs w:val="20"/>
              </w:rPr>
              <w:t>g</w:t>
            </w:r>
            <w:r w:rsidRPr="00EB2092">
              <w:rPr>
                <w:szCs w:val="20"/>
              </w:rPr>
              <w:t>overnment’s decision to delay the drawdown of the Future Fund and to reduce its target return to at least the CPI plus 4 to 5 per cent, drawdowns are assumed to occur in 2030</w:t>
            </w:r>
            <w:r w:rsidR="00487A21">
              <w:rPr>
                <w:szCs w:val="20"/>
              </w:rPr>
              <w:t>-</w:t>
            </w:r>
            <w:r w:rsidR="00CE40E7" w:rsidRPr="00EB2092">
              <w:rPr>
                <w:szCs w:val="20"/>
              </w:rPr>
              <w:t>3</w:t>
            </w:r>
            <w:r w:rsidRPr="00EB2092">
              <w:rPr>
                <w:szCs w:val="20"/>
              </w:rPr>
              <w:t xml:space="preserve">1.  Assumed asset allocations and benchmark returns are used to project future earnings and balances for the Future Fund.  Under the </w:t>
            </w:r>
            <w:r w:rsidRPr="00EB2092">
              <w:rPr>
                <w:i/>
                <w:szCs w:val="20"/>
              </w:rPr>
              <w:t>Future Fund Act 2006</w:t>
            </w:r>
            <w:r w:rsidRPr="00EB2092">
              <w:rPr>
                <w:szCs w:val="20"/>
              </w:rPr>
              <w:t xml:space="preserve">, net Future Fund earnings will be available to meet the </w:t>
            </w:r>
            <w:r w:rsidR="0054349B" w:rsidRPr="00EB2092">
              <w:rPr>
                <w:szCs w:val="20"/>
              </w:rPr>
              <w:t>g</w:t>
            </w:r>
            <w:r w:rsidRPr="00EB2092">
              <w:rPr>
                <w:szCs w:val="20"/>
              </w:rPr>
              <w:t>overnment superannuation liability in 2020</w:t>
            </w:r>
            <w:r w:rsidR="00487A21">
              <w:rPr>
                <w:szCs w:val="20"/>
              </w:rPr>
              <w:t>-</w:t>
            </w:r>
            <w:r w:rsidRPr="00EB2092">
              <w:rPr>
                <w:szCs w:val="20"/>
              </w:rPr>
              <w:t>21.  Consistent with the 2020</w:t>
            </w:r>
            <w:r w:rsidR="00487A21">
              <w:rPr>
                <w:szCs w:val="20"/>
              </w:rPr>
              <w:t>-</w:t>
            </w:r>
            <w:r w:rsidRPr="00EB2092">
              <w:rPr>
                <w:szCs w:val="20"/>
              </w:rPr>
              <w:t>21 Budget assumption, the underlying cash balance includes expected net Future Fund earnings from 2020</w:t>
            </w:r>
            <w:r w:rsidR="00487A21">
              <w:rPr>
                <w:szCs w:val="20"/>
              </w:rPr>
              <w:t>-</w:t>
            </w:r>
            <w:r w:rsidRPr="00EB2092">
              <w:rPr>
                <w:szCs w:val="20"/>
              </w:rPr>
              <w:t>21.</w:t>
            </w:r>
          </w:p>
          <w:p w14:paraId="0A8E4A44" w14:textId="52ECBD5D" w:rsidR="00F62D55" w:rsidRPr="00EB2092" w:rsidRDefault="00F62D55" w:rsidP="004A0A0A">
            <w:pPr>
              <w:rPr>
                <w:szCs w:val="20"/>
              </w:rPr>
            </w:pPr>
            <w:r w:rsidRPr="00EB2092">
              <w:rPr>
                <w:szCs w:val="20"/>
              </w:rPr>
              <w:t>The remainder of non-tax receipts are consistent with the 2020</w:t>
            </w:r>
            <w:r w:rsidR="00487A21">
              <w:rPr>
                <w:szCs w:val="20"/>
              </w:rPr>
              <w:t>-</w:t>
            </w:r>
            <w:r w:rsidRPr="00EB2092">
              <w:rPr>
                <w:szCs w:val="20"/>
              </w:rPr>
              <w:t>21 Budget forward estimates period and then assumed to remain as a constant share of nominal GDP over the medium term.</w:t>
            </w:r>
          </w:p>
        </w:tc>
      </w:tr>
    </w:tbl>
    <w:p w14:paraId="674B6537" w14:textId="5CD61ED1" w:rsidR="00FE6E1D" w:rsidRDefault="00FE6E1D" w:rsidP="00F62D55">
      <w:pPr>
        <w:pStyle w:val="BodyText"/>
      </w:pPr>
    </w:p>
    <w:p w14:paraId="27300266" w14:textId="60C5CF0E" w:rsidR="00FE6E1D" w:rsidRDefault="00A352A4" w:rsidP="00572B63">
      <w:pPr>
        <w:pStyle w:val="Sourcenospacing"/>
        <w:ind w:left="0"/>
      </w:pPr>
      <w:bookmarkStart w:id="127" w:name="_Toc523757321"/>
      <w:bookmarkStart w:id="128" w:name="_Toc19801257"/>
      <w:bookmarkStart w:id="129" w:name="_Toc58271457"/>
      <w:r w:rsidRPr="00050C94">
        <w:t>Source:</w:t>
      </w:r>
      <w:r w:rsidRPr="00E44F73">
        <w:t xml:space="preserve"> PBO analysis.</w:t>
      </w:r>
      <w:r w:rsidR="00FE6E1D" w:rsidRPr="002B62AD">
        <w:br w:type="page"/>
      </w:r>
    </w:p>
    <w:p w14:paraId="5276CCA4" w14:textId="5DBC1A96" w:rsidR="00F62D55" w:rsidRPr="00EB2092" w:rsidRDefault="00F62D55" w:rsidP="00F62D55">
      <w:pPr>
        <w:pStyle w:val="Heading1NoNumbering"/>
      </w:pPr>
      <w:r w:rsidRPr="00EB2092">
        <w:lastRenderedPageBreak/>
        <w:t xml:space="preserve">Appendix </w:t>
      </w:r>
      <w:r w:rsidR="00595EB2" w:rsidRPr="00EB2092">
        <w:t xml:space="preserve">D </w:t>
      </w:r>
      <w:r w:rsidRPr="00EB2092">
        <w:t>–</w:t>
      </w:r>
      <w:r w:rsidR="0083519E">
        <w:t xml:space="preserve"> </w:t>
      </w:r>
      <w:r w:rsidR="00633CF7" w:rsidRPr="00EB2092">
        <w:t>Payments</w:t>
      </w:r>
      <w:r w:rsidRPr="00EB2092">
        <w:t xml:space="preserve"> projection methodology</w:t>
      </w:r>
      <w:bookmarkEnd w:id="127"/>
      <w:bookmarkEnd w:id="128"/>
      <w:bookmarkEnd w:id="129"/>
    </w:p>
    <w:p w14:paraId="32958B5E" w14:textId="314AB731" w:rsidR="00F62D55" w:rsidRPr="00EB2092" w:rsidRDefault="00F62D55" w:rsidP="00F62D55">
      <w:pPr>
        <w:pStyle w:val="BodyText"/>
      </w:pPr>
      <w:r w:rsidRPr="00EB2092">
        <w:t xml:space="preserve">The PBO’s </w:t>
      </w:r>
      <w:r w:rsidR="00633CF7" w:rsidRPr="00EB2092">
        <w:t>payments</w:t>
      </w:r>
      <w:r w:rsidRPr="00EB2092">
        <w:t xml:space="preserve"> projections comprise 23 individual projections of key </w:t>
      </w:r>
      <w:r w:rsidR="0054349B" w:rsidRPr="00EB2092">
        <w:t>g</w:t>
      </w:r>
      <w:r w:rsidRPr="00EB2092">
        <w:t xml:space="preserve">overnment payments, which in total comprise approximately 80 per cent of total government </w:t>
      </w:r>
      <w:r w:rsidR="00633CF7" w:rsidRPr="00EB2092">
        <w:t>payments</w:t>
      </w:r>
      <w:r w:rsidRPr="00EB2092">
        <w:t xml:space="preserve">. </w:t>
      </w:r>
    </w:p>
    <w:p w14:paraId="2E105C2F" w14:textId="52A904E4" w:rsidR="00F62D55" w:rsidRPr="00EB2092" w:rsidRDefault="00F62D55" w:rsidP="00F62D55">
      <w:pPr>
        <w:pStyle w:val="BodyText"/>
      </w:pPr>
      <w:r w:rsidRPr="00EB2092">
        <w:t xml:space="preserve">Up to </w:t>
      </w:r>
      <w:r w:rsidR="00A352A4" w:rsidRPr="00EB2092">
        <w:t>202</w:t>
      </w:r>
      <w:r w:rsidR="00A352A4">
        <w:t>3</w:t>
      </w:r>
      <w:r w:rsidR="00487A21">
        <w:t>-</w:t>
      </w:r>
      <w:r w:rsidR="00A352A4" w:rsidRPr="00EB2092">
        <w:t>2</w:t>
      </w:r>
      <w:r w:rsidR="00A352A4">
        <w:t>4</w:t>
      </w:r>
      <w:r w:rsidRPr="00EB2092">
        <w:t xml:space="preserve">, the PBO’s </w:t>
      </w:r>
      <w:r w:rsidR="00633CF7" w:rsidRPr="00EB2092">
        <w:t>payments</w:t>
      </w:r>
      <w:r w:rsidRPr="00EB2092">
        <w:t xml:space="preserve"> projections are consistent with the 20</w:t>
      </w:r>
      <w:r w:rsidR="0086079A" w:rsidRPr="00EB2092">
        <w:t>20</w:t>
      </w:r>
      <w:r w:rsidR="00487A21">
        <w:t>-</w:t>
      </w:r>
      <w:r w:rsidRPr="00EB2092">
        <w:t>2</w:t>
      </w:r>
      <w:r w:rsidR="0086079A" w:rsidRPr="00EB2092">
        <w:t>1</w:t>
      </w:r>
      <w:r w:rsidRPr="00EB2092">
        <w:t xml:space="preserve"> Budget forward estimates period and are used as the base for projecting expenditure over the medium term. </w:t>
      </w:r>
    </w:p>
    <w:p w14:paraId="44AD320B" w14:textId="2294919C" w:rsidR="00F62D55" w:rsidRPr="00EB2092" w:rsidRDefault="00F62D55" w:rsidP="00F62D55">
      <w:pPr>
        <w:pStyle w:val="BodyText"/>
      </w:pPr>
      <w:r w:rsidRPr="00EB2092">
        <w:t xml:space="preserve">Projected levels of </w:t>
      </w:r>
      <w:r w:rsidR="00633CF7" w:rsidRPr="00EB2092">
        <w:t>payments</w:t>
      </w:r>
      <w:r w:rsidRPr="00EB2092">
        <w:t xml:space="preserve"> beyond </w:t>
      </w:r>
      <w:r w:rsidR="00A352A4" w:rsidRPr="00EB2092">
        <w:t>202</w:t>
      </w:r>
      <w:r w:rsidR="00A352A4">
        <w:t>3</w:t>
      </w:r>
      <w:r w:rsidR="00487A21">
        <w:t>-</w:t>
      </w:r>
      <w:r w:rsidR="00A352A4" w:rsidRPr="00EB2092">
        <w:t>2</w:t>
      </w:r>
      <w:r w:rsidR="00A352A4">
        <w:t>4</w:t>
      </w:r>
      <w:r w:rsidR="00A352A4" w:rsidRPr="00EB2092">
        <w:t xml:space="preserve"> </w:t>
      </w:r>
      <w:r w:rsidRPr="00EB2092">
        <w:t>have been prepared using a range of PBO models based on information provided by government agencies, which take account of population growth, the age structure of the population, estimates of trends in the demand for government services, and program indexation arrangements.</w:t>
      </w:r>
    </w:p>
    <w:p w14:paraId="4365A7F6" w14:textId="26694B4E" w:rsidR="00F62D55" w:rsidRPr="00EB2092" w:rsidRDefault="00F62D55" w:rsidP="00F62D55">
      <w:pPr>
        <w:pStyle w:val="BodyText"/>
      </w:pPr>
      <w:r w:rsidRPr="00EB2092">
        <w:t xml:space="preserve">The PBO’s projections are based on the policy settings underlying the </w:t>
      </w:r>
      <w:r w:rsidR="0086079A" w:rsidRPr="00EB2092">
        <w:t>2020</w:t>
      </w:r>
      <w:r w:rsidR="00487A21">
        <w:t>-</w:t>
      </w:r>
      <w:r w:rsidRPr="00EB2092">
        <w:t>2</w:t>
      </w:r>
      <w:r w:rsidR="0086079A" w:rsidRPr="00EB2092">
        <w:t>1</w:t>
      </w:r>
      <w:r w:rsidRPr="00EB2092">
        <w:t xml:space="preserve"> </w:t>
      </w:r>
      <w:proofErr w:type="gramStart"/>
      <w:r w:rsidRPr="00EB2092">
        <w:t>Budget</w:t>
      </w:r>
      <w:proofErr w:type="gramEnd"/>
      <w:r w:rsidRPr="00EB2092">
        <w:t xml:space="preserve"> and assume no change to these settings over the medium term.  Where government policy has not been made explicit beyond the forward estimates period, the PBO’s projections assume the continuation of the current policy settings.</w:t>
      </w:r>
    </w:p>
    <w:p w14:paraId="2DE96BA6" w14:textId="787B01AB" w:rsidR="00F62D55" w:rsidRPr="00EB2092" w:rsidRDefault="00F62D55" w:rsidP="00F62D55">
      <w:pPr>
        <w:pStyle w:val="BodyText"/>
      </w:pPr>
      <w:r w:rsidRPr="00EB2092">
        <w:t xml:space="preserve">The main exception to this is the projection for </w:t>
      </w:r>
      <w:r w:rsidR="00633CF7" w:rsidRPr="00EB2092">
        <w:t>payments</w:t>
      </w:r>
      <w:r w:rsidRPr="00EB2092">
        <w:t xml:space="preserve"> on pharmaceutical benefits, which is inextricably linked to decisions of government.  To not factor in any policy decisions would result in implausibly low estimates of </w:t>
      </w:r>
      <w:r w:rsidR="00633CF7" w:rsidRPr="00EB2092">
        <w:t>payments</w:t>
      </w:r>
      <w:r w:rsidRPr="00EB2092">
        <w:t xml:space="preserve"> over the next decade.  </w:t>
      </w:r>
    </w:p>
    <w:p w14:paraId="6ED38CA1" w14:textId="57E230F9" w:rsidR="00F62D55" w:rsidRPr="00EB2092" w:rsidRDefault="00F62D55" w:rsidP="00F62D55">
      <w:pPr>
        <w:pStyle w:val="BodyText"/>
      </w:pPr>
      <w:r w:rsidRPr="00EB2092">
        <w:t xml:space="preserve">Departmental expenses have been excluded from modelled programs, except in the cases of defence </w:t>
      </w:r>
      <w:r w:rsidR="00633CF7" w:rsidRPr="00EB2092">
        <w:t>payments</w:t>
      </w:r>
      <w:r w:rsidRPr="00EB2092">
        <w:t xml:space="preserve"> and the NDIS where departmental costs are an integral part of the program.</w:t>
      </w:r>
    </w:p>
    <w:p w14:paraId="44C6E7B6" w14:textId="77777777" w:rsidR="00F62D55" w:rsidRPr="00EB2092" w:rsidRDefault="00F62D55" w:rsidP="00F62D55">
      <w:pPr>
        <w:pStyle w:val="BodyText"/>
      </w:pPr>
      <w:r w:rsidRPr="00EB2092">
        <w:t>Details of the methodology used to arrive at projections for individual programs are outlined in the table below.</w:t>
      </w:r>
    </w:p>
    <w:p w14:paraId="1DB40843" w14:textId="77777777" w:rsidR="00F62D55" w:rsidRPr="00EB2092" w:rsidRDefault="00F62D55" w:rsidP="00F62D55">
      <w:pPr>
        <w:pStyle w:val="BodyText"/>
      </w:pPr>
    </w:p>
    <w:tbl>
      <w:tblPr>
        <w:tblStyle w:val="TableGrid"/>
        <w:tblW w:w="5000" w:type="pct"/>
        <w:tblBorders>
          <w:top w:val="none" w:sz="0" w:space="0" w:color="auto"/>
          <w:bottom w:val="none" w:sz="0" w:space="0" w:color="auto"/>
        </w:tblBorders>
        <w:tblLayout w:type="fixed"/>
        <w:tblLook w:val="04A0" w:firstRow="1" w:lastRow="0" w:firstColumn="1" w:lastColumn="0" w:noHBand="0" w:noVBand="1"/>
      </w:tblPr>
      <w:tblGrid>
        <w:gridCol w:w="1560"/>
        <w:gridCol w:w="3119"/>
        <w:gridCol w:w="4392"/>
      </w:tblGrid>
      <w:tr w:rsidR="00F62D55" w:rsidRPr="00EB2092" w14:paraId="333B8A6F" w14:textId="77777777" w:rsidTr="003A56EF">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860" w:type="pct"/>
            <w:tcBorders>
              <w:bottom w:val="none" w:sz="0" w:space="0" w:color="auto"/>
            </w:tcBorders>
            <w:shd w:val="clear" w:color="auto" w:fill="3D4D7D" w:themeFill="background2"/>
            <w:hideMark/>
          </w:tcPr>
          <w:p w14:paraId="1EADAF55" w14:textId="77777777" w:rsidR="00F62D55" w:rsidRPr="00EB2092" w:rsidRDefault="00F62D55" w:rsidP="004A0A0A">
            <w:pPr>
              <w:pStyle w:val="TableHeading"/>
              <w:rPr>
                <w:szCs w:val="20"/>
              </w:rPr>
            </w:pPr>
            <w:r w:rsidRPr="00EB2092">
              <w:rPr>
                <w:szCs w:val="20"/>
              </w:rPr>
              <w:t xml:space="preserve">Model </w:t>
            </w:r>
          </w:p>
        </w:tc>
        <w:tc>
          <w:tcPr>
            <w:tcW w:w="1719" w:type="pct"/>
            <w:tcBorders>
              <w:bottom w:val="none" w:sz="0" w:space="0" w:color="auto"/>
            </w:tcBorders>
            <w:shd w:val="clear" w:color="auto" w:fill="3D4D7D" w:themeFill="background2"/>
            <w:hideMark/>
          </w:tcPr>
          <w:p w14:paraId="082C242D" w14:textId="77777777" w:rsidR="00F62D55" w:rsidRPr="00EB2092" w:rsidRDefault="00F62D55" w:rsidP="004A0A0A">
            <w:pPr>
              <w:pStyle w:val="TableHeading"/>
              <w:cnfStyle w:val="100000000000" w:firstRow="1" w:lastRow="0" w:firstColumn="0" w:lastColumn="0" w:oddVBand="0" w:evenVBand="0" w:oddHBand="0" w:evenHBand="0" w:firstRowFirstColumn="0" w:firstRowLastColumn="0" w:lastRowFirstColumn="0" w:lastRowLastColumn="0"/>
              <w:rPr>
                <w:szCs w:val="20"/>
              </w:rPr>
            </w:pPr>
            <w:r w:rsidRPr="00EB2092">
              <w:rPr>
                <w:szCs w:val="20"/>
              </w:rPr>
              <w:t xml:space="preserve">Description </w:t>
            </w:r>
          </w:p>
        </w:tc>
        <w:tc>
          <w:tcPr>
            <w:tcW w:w="2421" w:type="pct"/>
            <w:tcBorders>
              <w:bottom w:val="none" w:sz="0" w:space="0" w:color="auto"/>
            </w:tcBorders>
            <w:shd w:val="clear" w:color="auto" w:fill="3D4D7D" w:themeFill="background2"/>
            <w:hideMark/>
          </w:tcPr>
          <w:p w14:paraId="20749317" w14:textId="77777777" w:rsidR="00F62D55" w:rsidRPr="00EB2092" w:rsidRDefault="00F62D55" w:rsidP="004A0A0A">
            <w:pPr>
              <w:pStyle w:val="TableHeading"/>
              <w:cnfStyle w:val="100000000000" w:firstRow="1" w:lastRow="0" w:firstColumn="0" w:lastColumn="0" w:oddVBand="0" w:evenVBand="0" w:oddHBand="0" w:evenHBand="0" w:firstRowFirstColumn="0" w:firstRowLastColumn="0" w:lastRowFirstColumn="0" w:lastRowLastColumn="0"/>
              <w:rPr>
                <w:szCs w:val="20"/>
              </w:rPr>
            </w:pPr>
            <w:r w:rsidRPr="00EB2092">
              <w:rPr>
                <w:szCs w:val="20"/>
              </w:rPr>
              <w:t>Methodology</w:t>
            </w:r>
          </w:p>
        </w:tc>
      </w:tr>
      <w:tr w:rsidR="00225E60" w:rsidRPr="00EB2092" w14:paraId="048C4CC4" w14:textId="77777777" w:rsidTr="000D3E1E">
        <w:trPr>
          <w:cantSplit/>
          <w:trHeight w:val="544"/>
        </w:trPr>
        <w:tc>
          <w:tcPr>
            <w:tcW w:w="860" w:type="pct"/>
          </w:tcPr>
          <w:p w14:paraId="7A119C32" w14:textId="77777777" w:rsidR="00225E60" w:rsidRPr="00EB2092" w:rsidRDefault="00225E60" w:rsidP="000D3E1E">
            <w:pPr>
              <w:pStyle w:val="TableSubheading"/>
            </w:pPr>
            <w:r w:rsidRPr="00EB2092">
              <w:t>GST transfers to states</w:t>
            </w:r>
          </w:p>
        </w:tc>
        <w:tc>
          <w:tcPr>
            <w:tcW w:w="1719" w:type="pct"/>
          </w:tcPr>
          <w:p w14:paraId="10A23289" w14:textId="77777777" w:rsidR="00225E60" w:rsidRPr="00EB2092" w:rsidRDefault="00225E60" w:rsidP="000D3E1E">
            <w:pPr>
              <w:rPr>
                <w:szCs w:val="20"/>
              </w:rPr>
            </w:pPr>
            <w:r w:rsidRPr="00EB2092">
              <w:rPr>
                <w:szCs w:val="20"/>
              </w:rPr>
              <w:t xml:space="preserve">GST receipts less non-general interest charge penalties collected. </w:t>
            </w:r>
          </w:p>
        </w:tc>
        <w:tc>
          <w:tcPr>
            <w:tcW w:w="2421" w:type="pct"/>
          </w:tcPr>
          <w:p w14:paraId="39797BB9" w14:textId="77777777" w:rsidR="00225E60" w:rsidRPr="00EB2092" w:rsidRDefault="00225E60" w:rsidP="000D3E1E">
            <w:pPr>
              <w:rPr>
                <w:rFonts w:cs="Times New Roman (Body CS)"/>
                <w:szCs w:val="20"/>
              </w:rPr>
            </w:pPr>
            <w:r w:rsidRPr="00EB2092">
              <w:rPr>
                <w:rFonts w:cs="Times New Roman (Body CS)"/>
                <w:szCs w:val="20"/>
              </w:rPr>
              <w:t>See Appendix C – Receipts projection methodology, GST receipts.</w:t>
            </w:r>
          </w:p>
        </w:tc>
      </w:tr>
      <w:tr w:rsidR="002678CF" w:rsidRPr="00EB2092" w14:paraId="295DE4E0" w14:textId="77777777" w:rsidTr="000D3E1E">
        <w:trPr>
          <w:cnfStyle w:val="000000010000" w:firstRow="0" w:lastRow="0" w:firstColumn="0" w:lastColumn="0" w:oddVBand="0" w:evenVBand="0" w:oddHBand="0" w:evenHBand="1" w:firstRowFirstColumn="0" w:firstRowLastColumn="0" w:lastRowFirstColumn="0" w:lastRowLastColumn="0"/>
          <w:cantSplit/>
        </w:trPr>
        <w:tc>
          <w:tcPr>
            <w:tcW w:w="860" w:type="pct"/>
          </w:tcPr>
          <w:p w14:paraId="42B24382" w14:textId="77777777" w:rsidR="002678CF" w:rsidRPr="00EB2092" w:rsidRDefault="002678CF" w:rsidP="000D3E1E">
            <w:pPr>
              <w:pStyle w:val="TableSubheading"/>
            </w:pPr>
            <w:r w:rsidRPr="00EB2092">
              <w:t>Age pension</w:t>
            </w:r>
          </w:p>
        </w:tc>
        <w:tc>
          <w:tcPr>
            <w:tcW w:w="1719" w:type="pct"/>
          </w:tcPr>
          <w:p w14:paraId="4BD4B030" w14:textId="0E01A6E5" w:rsidR="002678CF" w:rsidRPr="00EB2092" w:rsidRDefault="002678CF" w:rsidP="000D3E1E">
            <w:pPr>
              <w:rPr>
                <w:color w:val="FF0000"/>
                <w:szCs w:val="20"/>
              </w:rPr>
            </w:pPr>
            <w:r w:rsidRPr="00EB2092">
              <w:rPr>
                <w:szCs w:val="20"/>
              </w:rPr>
              <w:t xml:space="preserve">Includes the age pension under </w:t>
            </w:r>
            <w:r w:rsidR="00F876AF">
              <w:rPr>
                <w:szCs w:val="20"/>
              </w:rPr>
              <w:br/>
            </w:r>
            <w:r w:rsidRPr="00EB2092">
              <w:rPr>
                <w:szCs w:val="20"/>
              </w:rPr>
              <w:t xml:space="preserve">the Income Support for Seniors program. </w:t>
            </w:r>
          </w:p>
        </w:tc>
        <w:tc>
          <w:tcPr>
            <w:tcW w:w="2421" w:type="pct"/>
          </w:tcPr>
          <w:p w14:paraId="3977F2BC" w14:textId="77777777" w:rsidR="002678CF" w:rsidRPr="00EB2092" w:rsidRDefault="002678CF" w:rsidP="000D3E1E">
            <w:pPr>
              <w:pStyle w:val="TableText"/>
              <w:rPr>
                <w:szCs w:val="20"/>
              </w:rPr>
            </w:pPr>
            <w:r w:rsidRPr="00EB2092">
              <w:rPr>
                <w:szCs w:val="20"/>
              </w:rPr>
              <w:t>Projected expenditure for the age pension is calculated as projected recipients multiplied by the average payment rate.</w:t>
            </w:r>
          </w:p>
          <w:p w14:paraId="49A7F335" w14:textId="38A2E3B1" w:rsidR="002678CF" w:rsidRPr="00EB2092" w:rsidRDefault="002678CF" w:rsidP="000D3E1E">
            <w:pPr>
              <w:pStyle w:val="TableText"/>
              <w:rPr>
                <w:szCs w:val="20"/>
              </w:rPr>
            </w:pPr>
            <w:r w:rsidRPr="00EB2092">
              <w:rPr>
                <w:szCs w:val="20"/>
              </w:rPr>
              <w:t>Age pension recipients are projected by applying a trend of age pension recipients to the Australian population of age pension age over the medium</w:t>
            </w:r>
            <w:r>
              <w:rPr>
                <w:szCs w:val="20"/>
              </w:rPr>
              <w:t xml:space="preserve"> </w:t>
            </w:r>
            <w:r w:rsidRPr="00EB2092">
              <w:rPr>
                <w:szCs w:val="20"/>
              </w:rPr>
              <w:t>term, adjusted for changes in the age pension eligibility age.</w:t>
            </w:r>
          </w:p>
          <w:p w14:paraId="4B2A1B15" w14:textId="5C05C4DB" w:rsidR="002678CF" w:rsidRPr="00EB2092" w:rsidRDefault="002678CF" w:rsidP="000D3E1E">
            <w:pPr>
              <w:pStyle w:val="TableText"/>
              <w:rPr>
                <w:color w:val="FF0000"/>
                <w:szCs w:val="20"/>
              </w:rPr>
            </w:pPr>
            <w:r w:rsidRPr="00EB2092">
              <w:rPr>
                <w:szCs w:val="20"/>
              </w:rPr>
              <w:t xml:space="preserve">The projected average rate of payment is based on projections of Male Total Average Weekly Earnings, CPI, and Pensioner and Beneficiary Cost of Living Index, and the proportions of full-rate and part-rate age </w:t>
            </w:r>
            <w:r>
              <w:rPr>
                <w:szCs w:val="20"/>
              </w:rPr>
              <w:t>p</w:t>
            </w:r>
            <w:r w:rsidRPr="00EB2092">
              <w:rPr>
                <w:szCs w:val="20"/>
              </w:rPr>
              <w:t xml:space="preserve">ension recipients. </w:t>
            </w:r>
          </w:p>
        </w:tc>
      </w:tr>
      <w:tr w:rsidR="002678CF" w:rsidRPr="00EB2092" w14:paraId="0751D6E5" w14:textId="77777777" w:rsidTr="000D3E1E">
        <w:trPr>
          <w:cantSplit/>
        </w:trPr>
        <w:tc>
          <w:tcPr>
            <w:tcW w:w="860" w:type="pct"/>
          </w:tcPr>
          <w:p w14:paraId="13522026" w14:textId="77777777" w:rsidR="002678CF" w:rsidRPr="00EB2092" w:rsidRDefault="002678CF" w:rsidP="000D3E1E">
            <w:pPr>
              <w:pStyle w:val="TableSubheading"/>
            </w:pPr>
            <w:r w:rsidRPr="00EB2092">
              <w:lastRenderedPageBreak/>
              <w:t xml:space="preserve">Defence </w:t>
            </w:r>
          </w:p>
        </w:tc>
        <w:tc>
          <w:tcPr>
            <w:tcW w:w="1719" w:type="pct"/>
          </w:tcPr>
          <w:p w14:paraId="50A81D42" w14:textId="77777777" w:rsidR="002678CF" w:rsidRPr="00EB2092" w:rsidRDefault="002678CF" w:rsidP="000D3E1E">
            <w:pPr>
              <w:rPr>
                <w:color w:val="FF0000"/>
                <w:szCs w:val="20"/>
              </w:rPr>
            </w:pPr>
            <w:r w:rsidRPr="00EB2092">
              <w:rPr>
                <w:szCs w:val="20"/>
              </w:rPr>
              <w:t>The net cost of service for the Department of Defence (including the Australian Signals Directorate), including employee costs, supplies, and purchases of capital including specialist military equipment.</w:t>
            </w:r>
          </w:p>
        </w:tc>
        <w:tc>
          <w:tcPr>
            <w:tcW w:w="2421" w:type="pct"/>
          </w:tcPr>
          <w:p w14:paraId="5C774371" w14:textId="77777777" w:rsidR="002678CF" w:rsidRPr="00EB2092" w:rsidRDefault="002678CF" w:rsidP="000D3E1E">
            <w:pPr>
              <w:rPr>
                <w:szCs w:val="20"/>
              </w:rPr>
            </w:pPr>
            <w:r w:rsidRPr="00EB2092">
              <w:rPr>
                <w:szCs w:val="20"/>
              </w:rPr>
              <w:t xml:space="preserve">Projections of defence spending over the medium term are based on long-term funding commitments made in the 2020 Defence Strategic Update, updated for developments in the 2020-21 Budget. </w:t>
            </w:r>
          </w:p>
          <w:p w14:paraId="6663376A" w14:textId="2E6E8D3A" w:rsidR="002678CF" w:rsidRPr="00EB2092" w:rsidRDefault="002678CF" w:rsidP="000D3E1E">
            <w:pPr>
              <w:rPr>
                <w:color w:val="FF0000"/>
                <w:szCs w:val="20"/>
              </w:rPr>
            </w:pPr>
            <w:r>
              <w:rPr>
                <w:szCs w:val="20"/>
              </w:rPr>
              <w:t>For</w:t>
            </w:r>
            <w:r w:rsidRPr="00EB2092">
              <w:rPr>
                <w:szCs w:val="20"/>
              </w:rPr>
              <w:t xml:space="preserve"> 2030</w:t>
            </w:r>
            <w:r>
              <w:rPr>
                <w:szCs w:val="20"/>
              </w:rPr>
              <w:t>-</w:t>
            </w:r>
            <w:r w:rsidRPr="00EB2092">
              <w:rPr>
                <w:szCs w:val="20"/>
              </w:rPr>
              <w:t xml:space="preserve">31 the PBO has assumed growth in defence spending is maintained at the </w:t>
            </w:r>
            <w:r w:rsidR="009E7E94">
              <w:rPr>
                <w:szCs w:val="20"/>
              </w:rPr>
              <w:br/>
            </w:r>
            <w:r w:rsidRPr="00EB2092">
              <w:rPr>
                <w:szCs w:val="20"/>
              </w:rPr>
              <w:t>2029</w:t>
            </w:r>
            <w:r>
              <w:rPr>
                <w:szCs w:val="20"/>
              </w:rPr>
              <w:t>-</w:t>
            </w:r>
            <w:r w:rsidRPr="00EB2092">
              <w:rPr>
                <w:szCs w:val="20"/>
              </w:rPr>
              <w:t xml:space="preserve">30 </w:t>
            </w:r>
            <w:proofErr w:type="gramStart"/>
            <w:r w:rsidRPr="00EB2092">
              <w:rPr>
                <w:szCs w:val="20"/>
              </w:rPr>
              <w:t>rate</w:t>
            </w:r>
            <w:proofErr w:type="gramEnd"/>
            <w:r w:rsidRPr="00EB2092">
              <w:rPr>
                <w:szCs w:val="20"/>
              </w:rPr>
              <w:t>.</w:t>
            </w:r>
          </w:p>
        </w:tc>
      </w:tr>
      <w:tr w:rsidR="002678CF" w:rsidRPr="00EB2092" w14:paraId="10D91449" w14:textId="77777777" w:rsidTr="000D3E1E">
        <w:trPr>
          <w:cnfStyle w:val="000000010000" w:firstRow="0" w:lastRow="0" w:firstColumn="0" w:lastColumn="0" w:oddVBand="0" w:evenVBand="0" w:oddHBand="0" w:evenHBand="1" w:firstRowFirstColumn="0" w:firstRowLastColumn="0" w:lastRowFirstColumn="0" w:lastRowLastColumn="0"/>
          <w:cantSplit/>
          <w:trHeight w:val="1597"/>
        </w:trPr>
        <w:tc>
          <w:tcPr>
            <w:tcW w:w="860" w:type="pct"/>
          </w:tcPr>
          <w:p w14:paraId="6E521602" w14:textId="77777777" w:rsidR="002678CF" w:rsidRPr="00EB2092" w:rsidRDefault="002678CF" w:rsidP="000D3E1E">
            <w:pPr>
              <w:pStyle w:val="TableSubheading"/>
            </w:pPr>
            <w:r w:rsidRPr="00EB2092">
              <w:t>Medicare Benefits Schedule (MBS)</w:t>
            </w:r>
          </w:p>
        </w:tc>
        <w:tc>
          <w:tcPr>
            <w:tcW w:w="1719" w:type="pct"/>
          </w:tcPr>
          <w:p w14:paraId="5E2340F6" w14:textId="77777777" w:rsidR="002678CF" w:rsidRPr="00EB2092" w:rsidRDefault="002678CF" w:rsidP="000D3E1E">
            <w:pPr>
              <w:rPr>
                <w:color w:val="FF0000"/>
                <w:szCs w:val="20"/>
              </w:rPr>
            </w:pPr>
            <w:r w:rsidRPr="00EB2092">
              <w:rPr>
                <w:szCs w:val="20"/>
              </w:rPr>
              <w:t>Comprises Department of Health related payments under the Medicare Benefits Schedule.</w:t>
            </w:r>
          </w:p>
        </w:tc>
        <w:tc>
          <w:tcPr>
            <w:tcW w:w="2421" w:type="pct"/>
          </w:tcPr>
          <w:p w14:paraId="09800F56" w14:textId="77777777" w:rsidR="002678CF" w:rsidRPr="00EB2092" w:rsidRDefault="002678CF" w:rsidP="000D3E1E">
            <w:pPr>
              <w:rPr>
                <w:rFonts w:cs="Times New Roman (Body CS)"/>
                <w:color w:val="FF0000"/>
                <w:szCs w:val="20"/>
              </w:rPr>
            </w:pPr>
            <w:r w:rsidRPr="00EB2092">
              <w:rPr>
                <w:rFonts w:cs="Times New Roman (Body CS)"/>
                <w:szCs w:val="20"/>
              </w:rPr>
              <w:t>Detailed historical data is used to model payments by age, gender and service type (</w:t>
            </w:r>
            <w:proofErr w:type="spellStart"/>
            <w:r w:rsidRPr="00EB2092">
              <w:rPr>
                <w:rFonts w:cs="Times New Roman (Body CS)"/>
                <w:szCs w:val="20"/>
              </w:rPr>
              <w:t>eg</w:t>
            </w:r>
            <w:proofErr w:type="spellEnd"/>
            <w:r w:rsidRPr="00EB2092">
              <w:rPr>
                <w:rFonts w:cs="Times New Roman (Body CS)"/>
                <w:szCs w:val="20"/>
              </w:rPr>
              <w:t xml:space="preserve"> general practitioner services, allied health, </w:t>
            </w:r>
            <w:proofErr w:type="spellStart"/>
            <w:r w:rsidRPr="00EB2092">
              <w:rPr>
                <w:rFonts w:cs="Times New Roman (Body CS)"/>
                <w:szCs w:val="20"/>
              </w:rPr>
              <w:t>etc</w:t>
            </w:r>
            <w:proofErr w:type="spellEnd"/>
            <w:r w:rsidRPr="00EB2092">
              <w:rPr>
                <w:rFonts w:cs="Times New Roman (Body CS)"/>
                <w:szCs w:val="20"/>
              </w:rPr>
              <w:t>).  Historical average levels in services per capita and real benefits per service are used to project total payments.  Methodology is based on PBO research and is described in more detail in Appendix C – Technical notes and sources of the PBO Report no. 04/2015</w:t>
            </w:r>
            <w:r w:rsidRPr="00EB2092">
              <w:rPr>
                <w:rFonts w:cs="Times New Roman (Body CS)"/>
                <w:i/>
                <w:szCs w:val="20"/>
              </w:rPr>
              <w:t xml:space="preserve"> Medicare Benefits Schedule: Payments trends and projections</w:t>
            </w:r>
            <w:r w:rsidRPr="00EB2092">
              <w:rPr>
                <w:rFonts w:cs="Times New Roman (Body CS)"/>
                <w:szCs w:val="20"/>
              </w:rPr>
              <w:t>.</w:t>
            </w:r>
          </w:p>
        </w:tc>
      </w:tr>
      <w:tr w:rsidR="002678CF" w:rsidRPr="00EB2092" w14:paraId="5B06A118" w14:textId="77777777" w:rsidTr="000D3E1E">
        <w:trPr>
          <w:cantSplit/>
        </w:trPr>
        <w:tc>
          <w:tcPr>
            <w:tcW w:w="860" w:type="pct"/>
          </w:tcPr>
          <w:p w14:paraId="3ADFB2A3" w14:textId="77777777" w:rsidR="002678CF" w:rsidRPr="00EB2092" w:rsidRDefault="002678CF" w:rsidP="000D3E1E">
            <w:pPr>
              <w:pStyle w:val="TableSubheading"/>
            </w:pPr>
            <w:r w:rsidRPr="00EB2092">
              <w:t>Public hospitals</w:t>
            </w:r>
          </w:p>
        </w:tc>
        <w:tc>
          <w:tcPr>
            <w:tcW w:w="1719" w:type="pct"/>
          </w:tcPr>
          <w:p w14:paraId="32D4F28E" w14:textId="77777777" w:rsidR="002678CF" w:rsidRPr="00EB2092" w:rsidRDefault="002678CF" w:rsidP="000D3E1E">
            <w:pPr>
              <w:rPr>
                <w:color w:val="FF0000"/>
                <w:szCs w:val="20"/>
              </w:rPr>
            </w:pPr>
            <w:r w:rsidRPr="00EB2092">
              <w:rPr>
                <w:szCs w:val="20"/>
              </w:rPr>
              <w:t xml:space="preserve">Commonwealth funding of </w:t>
            </w:r>
            <w:r w:rsidRPr="00EB2092">
              <w:rPr>
                <w:szCs w:val="20"/>
              </w:rPr>
              <w:br/>
              <w:t>public hospitals</w:t>
            </w:r>
          </w:p>
        </w:tc>
        <w:tc>
          <w:tcPr>
            <w:tcW w:w="2421" w:type="pct"/>
          </w:tcPr>
          <w:p w14:paraId="2E69F52C" w14:textId="77777777" w:rsidR="002678CF" w:rsidRPr="00EB2092" w:rsidRDefault="002678CF" w:rsidP="000D3E1E">
            <w:pPr>
              <w:rPr>
                <w:szCs w:val="20"/>
              </w:rPr>
            </w:pPr>
            <w:r w:rsidRPr="00EB2092">
              <w:rPr>
                <w:szCs w:val="20"/>
              </w:rPr>
              <w:t>Projected Commonwealth funding for public hospitals over the medium term is set with reference to the annual determination of the National Efficient Price (NEP).</w:t>
            </w:r>
          </w:p>
          <w:p w14:paraId="31EF6CAE" w14:textId="77777777" w:rsidR="002678CF" w:rsidRPr="00EB2092" w:rsidRDefault="002678CF" w:rsidP="000D3E1E">
            <w:pPr>
              <w:rPr>
                <w:szCs w:val="20"/>
              </w:rPr>
            </w:pPr>
            <w:r w:rsidRPr="00EB2092">
              <w:rPr>
                <w:szCs w:val="20"/>
              </w:rPr>
              <w:t>This funding profile is based on the 2020-2025 National Health Reform Agreement.  The PBO assumes that the funding arrangement will continue over the projection period.</w:t>
            </w:r>
          </w:p>
          <w:p w14:paraId="492924EE" w14:textId="77777777" w:rsidR="002678CF" w:rsidRPr="00EB2092" w:rsidRDefault="002678CF" w:rsidP="000D3E1E">
            <w:pPr>
              <w:rPr>
                <w:szCs w:val="20"/>
              </w:rPr>
            </w:pPr>
            <w:r w:rsidRPr="00EB2092">
              <w:rPr>
                <w:szCs w:val="20"/>
              </w:rPr>
              <w:t>The projection of price growth in providing hospital services is based on the indexation rate in the latest NEP determination.</w:t>
            </w:r>
          </w:p>
          <w:p w14:paraId="4A7A9082" w14:textId="77777777" w:rsidR="002678CF" w:rsidRPr="00EB2092" w:rsidRDefault="002678CF" w:rsidP="000D3E1E">
            <w:pPr>
              <w:rPr>
                <w:color w:val="FF0000"/>
                <w:szCs w:val="20"/>
              </w:rPr>
            </w:pPr>
            <w:r w:rsidRPr="00EB2092">
              <w:rPr>
                <w:szCs w:val="20"/>
              </w:rPr>
              <w:t>Growth in the number of patient services is projected based on the trend of historical number of services provided annually.</w:t>
            </w:r>
          </w:p>
        </w:tc>
      </w:tr>
      <w:tr w:rsidR="002678CF" w:rsidRPr="00EB2092" w14:paraId="30E59505" w14:textId="77777777" w:rsidTr="000D3E1E">
        <w:trPr>
          <w:cnfStyle w:val="000000010000" w:firstRow="0" w:lastRow="0" w:firstColumn="0" w:lastColumn="0" w:oddVBand="0" w:evenVBand="0" w:oddHBand="0" w:evenHBand="1" w:firstRowFirstColumn="0" w:firstRowLastColumn="0" w:lastRowFirstColumn="0" w:lastRowLastColumn="0"/>
          <w:cantSplit/>
        </w:trPr>
        <w:tc>
          <w:tcPr>
            <w:tcW w:w="860" w:type="pct"/>
          </w:tcPr>
          <w:p w14:paraId="091D67B5" w14:textId="77777777" w:rsidR="002678CF" w:rsidRPr="00EB2092" w:rsidRDefault="002678CF" w:rsidP="000D3E1E">
            <w:pPr>
              <w:pStyle w:val="TableSubheading"/>
            </w:pPr>
            <w:r w:rsidRPr="00EB2092">
              <w:t>Aged care</w:t>
            </w:r>
          </w:p>
        </w:tc>
        <w:tc>
          <w:tcPr>
            <w:tcW w:w="1719" w:type="pct"/>
          </w:tcPr>
          <w:p w14:paraId="48202EB8" w14:textId="77777777" w:rsidR="002678CF" w:rsidRPr="00EB2092" w:rsidRDefault="002678CF" w:rsidP="000D3E1E">
            <w:pPr>
              <w:rPr>
                <w:szCs w:val="20"/>
              </w:rPr>
            </w:pPr>
            <w:r w:rsidRPr="00EB2092">
              <w:rPr>
                <w:szCs w:val="20"/>
              </w:rPr>
              <w:t>Consists of subsidies for residential care, the Commonwealth Home Support Program, and subsidies for Home Care Packages.</w:t>
            </w:r>
          </w:p>
        </w:tc>
        <w:tc>
          <w:tcPr>
            <w:tcW w:w="2421" w:type="pct"/>
          </w:tcPr>
          <w:p w14:paraId="15AD3561" w14:textId="6B252AA6" w:rsidR="002678CF" w:rsidRPr="00EB2092" w:rsidRDefault="002678CF" w:rsidP="0003293A">
            <w:pPr>
              <w:rPr>
                <w:szCs w:val="20"/>
              </w:rPr>
            </w:pPr>
            <w:r w:rsidRPr="00EB2092">
              <w:rPr>
                <w:szCs w:val="20"/>
              </w:rPr>
              <w:t>The number of subsidised aged care places reflects government policy to provide 80 residential and restorative aged care places per 1,000 persons aged 70 years</w:t>
            </w:r>
            <w:r w:rsidR="0003293A">
              <w:rPr>
                <w:szCs w:val="20"/>
              </w:rPr>
              <w:t xml:space="preserve"> and over</w:t>
            </w:r>
            <w:r w:rsidRPr="00EB2092">
              <w:rPr>
                <w:szCs w:val="20"/>
              </w:rPr>
              <w:t xml:space="preserve"> and also includes the increased number of home care packages announced in the 2020</w:t>
            </w:r>
            <w:r>
              <w:rPr>
                <w:szCs w:val="20"/>
              </w:rPr>
              <w:t>-</w:t>
            </w:r>
            <w:r w:rsidRPr="00EB2092">
              <w:rPr>
                <w:szCs w:val="20"/>
              </w:rPr>
              <w:t>21 Budget.</w:t>
            </w:r>
            <w:r w:rsidRPr="00EB2092">
              <w:rPr>
                <w:szCs w:val="20"/>
              </w:rPr>
              <w:br/>
              <w:t xml:space="preserve">The average value of aged care package subsidies is assumed, by the PBO, to grow by a composite index consisting of 75 per cent wages and 25 per cent </w:t>
            </w:r>
            <w:r>
              <w:rPr>
                <w:szCs w:val="20"/>
              </w:rPr>
              <w:t>CPI</w:t>
            </w:r>
            <w:r w:rsidRPr="00EB2092">
              <w:rPr>
                <w:szCs w:val="20"/>
              </w:rPr>
              <w:t>.  The Commonwealth Home Support Program is an annual appropriation projected to grow at a wage cost index plus 3.5 per cent (in line with the aged care measure announced in the 2014</w:t>
            </w:r>
            <w:r>
              <w:rPr>
                <w:szCs w:val="20"/>
              </w:rPr>
              <w:t>-</w:t>
            </w:r>
            <w:r w:rsidRPr="00EB2092">
              <w:rPr>
                <w:szCs w:val="20"/>
              </w:rPr>
              <w:t>15 Budget).</w:t>
            </w:r>
          </w:p>
        </w:tc>
      </w:tr>
      <w:tr w:rsidR="00F62D55" w:rsidRPr="00EB2092" w14:paraId="1321EB1C" w14:textId="77777777" w:rsidTr="003A56EF">
        <w:trPr>
          <w:cantSplit/>
        </w:trPr>
        <w:tc>
          <w:tcPr>
            <w:tcW w:w="860" w:type="pct"/>
          </w:tcPr>
          <w:p w14:paraId="0E3A9D31" w14:textId="77777777" w:rsidR="00F62D55" w:rsidRPr="00EB2092" w:rsidRDefault="00F62D55" w:rsidP="004A0A0A">
            <w:pPr>
              <w:pStyle w:val="TableSubheading"/>
            </w:pPr>
            <w:r w:rsidRPr="00EB2092">
              <w:lastRenderedPageBreak/>
              <w:t>National Disability Insurance Scheme (NDIS)</w:t>
            </w:r>
          </w:p>
        </w:tc>
        <w:tc>
          <w:tcPr>
            <w:tcW w:w="1719" w:type="pct"/>
          </w:tcPr>
          <w:p w14:paraId="79AD249C" w14:textId="407A9A68" w:rsidR="00F62D55" w:rsidRPr="00EB2092" w:rsidRDefault="00F62D55" w:rsidP="004A0A0A">
            <w:pPr>
              <w:rPr>
                <w:color w:val="FF0000"/>
                <w:szCs w:val="20"/>
              </w:rPr>
            </w:pPr>
            <w:r w:rsidRPr="00EB2092">
              <w:rPr>
                <w:szCs w:val="20"/>
              </w:rPr>
              <w:t xml:space="preserve">The coverage of the NDIS projections is the administered and departmental </w:t>
            </w:r>
            <w:r w:rsidR="00633CF7" w:rsidRPr="00EB2092">
              <w:rPr>
                <w:szCs w:val="20"/>
              </w:rPr>
              <w:t>payments</w:t>
            </w:r>
            <w:r w:rsidRPr="00EB2092">
              <w:rPr>
                <w:szCs w:val="20"/>
              </w:rPr>
              <w:t xml:space="preserve"> of the National Disability Insurance Agency (NDIA).</w:t>
            </w:r>
          </w:p>
        </w:tc>
        <w:tc>
          <w:tcPr>
            <w:tcW w:w="2421" w:type="pct"/>
          </w:tcPr>
          <w:p w14:paraId="7D0A5871" w14:textId="77777777" w:rsidR="0065467C" w:rsidRPr="00EB2092" w:rsidRDefault="0065467C" w:rsidP="0065467C">
            <w:pPr>
              <w:pStyle w:val="TableText"/>
            </w:pPr>
            <w:r w:rsidRPr="00EB2092">
              <w:t>Expenditure projections (in accrual terms) of recipients’ care and support are based on projections of the number of recipients of two cohorts, aged 0–64 years and aged 65 years and over, and the average disability package costs.  Beyond the forward estimates period, the PBO assumes that average disability package costs are grown annually by a combination of wage growth (75 per cent weighting) and the change in the CPI (25 per cent weighting). The number of recipients is assumed to grow in line with population growth.</w:t>
            </w:r>
          </w:p>
          <w:p w14:paraId="10EFE096" w14:textId="77777777" w:rsidR="0065467C" w:rsidRPr="00EB2092" w:rsidRDefault="0065467C" w:rsidP="0065467C">
            <w:pPr>
              <w:pStyle w:val="TableText"/>
            </w:pPr>
            <w:r w:rsidRPr="00EB2092">
              <w:t xml:space="preserve">Spending projections (in cash terms) are calculated by applying a ratio of payments to expenses.  From around 97 per cent by the end of the forward estimates period, this ratio increases to 100 per cent by the end of the medium term, largely reflecting a reduction of in-kind payment arrangements between states and territories and the Commonwealth.  </w:t>
            </w:r>
          </w:p>
          <w:p w14:paraId="47E76531" w14:textId="29A81704" w:rsidR="00F62D55" w:rsidRPr="00EB2092" w:rsidRDefault="0065467C" w:rsidP="004A0A0A">
            <w:pPr>
              <w:pStyle w:val="TableText"/>
              <w:rPr>
                <w:color w:val="FF0000"/>
                <w:szCs w:val="20"/>
              </w:rPr>
            </w:pPr>
            <w:r w:rsidRPr="00EB2092">
              <w:t>The departmental spending of the NDIA is assumed to grow in line with overall administered NDIS spending beyond the forward estimates period.</w:t>
            </w:r>
          </w:p>
        </w:tc>
      </w:tr>
      <w:tr w:rsidR="002678CF" w:rsidRPr="00EB2092" w14:paraId="63787270" w14:textId="77777777" w:rsidTr="000D3E1E">
        <w:trPr>
          <w:cnfStyle w:val="000000010000" w:firstRow="0" w:lastRow="0" w:firstColumn="0" w:lastColumn="0" w:oddVBand="0" w:evenVBand="0" w:oddHBand="0" w:evenHBand="1" w:firstRowFirstColumn="0" w:firstRowLastColumn="0" w:lastRowFirstColumn="0" w:lastRowLastColumn="0"/>
          <w:cantSplit/>
        </w:trPr>
        <w:tc>
          <w:tcPr>
            <w:tcW w:w="860" w:type="pct"/>
          </w:tcPr>
          <w:p w14:paraId="1D49466E" w14:textId="77777777" w:rsidR="002678CF" w:rsidRPr="00EB2092" w:rsidRDefault="002678CF" w:rsidP="000D3E1E">
            <w:pPr>
              <w:pStyle w:val="TableSubheading"/>
            </w:pPr>
            <w:r w:rsidRPr="00EB2092">
              <w:t>Schools</w:t>
            </w:r>
          </w:p>
        </w:tc>
        <w:tc>
          <w:tcPr>
            <w:tcW w:w="1719" w:type="pct"/>
          </w:tcPr>
          <w:p w14:paraId="1F1F9ECA" w14:textId="5E6C4E6E" w:rsidR="002678CF" w:rsidRPr="00A43EF7" w:rsidRDefault="002678CF" w:rsidP="00A43EF7">
            <w:pPr>
              <w:rPr>
                <w:szCs w:val="20"/>
              </w:rPr>
            </w:pPr>
            <w:r w:rsidRPr="00EB2092">
              <w:rPr>
                <w:szCs w:val="20"/>
              </w:rPr>
              <w:t>Comprises the Quality Schools National Specific Purpose Payment from the Commonwe</w:t>
            </w:r>
            <w:r w:rsidR="00B848C3">
              <w:rPr>
                <w:szCs w:val="20"/>
              </w:rPr>
              <w:t xml:space="preserve">alth to states </w:t>
            </w:r>
            <w:r w:rsidR="00B848C3">
              <w:rPr>
                <w:szCs w:val="20"/>
              </w:rPr>
              <w:br/>
              <w:t>and territories</w:t>
            </w:r>
            <w:r w:rsidR="00A43EF7">
              <w:rPr>
                <w:szCs w:val="20"/>
              </w:rPr>
              <w:t xml:space="preserve"> </w:t>
            </w:r>
            <w:r w:rsidRPr="00EB2092">
              <w:rPr>
                <w:szCs w:val="20"/>
              </w:rPr>
              <w:t xml:space="preserve">for government and </w:t>
            </w:r>
            <w:r w:rsidRPr="00EB2092">
              <w:rPr>
                <w:szCs w:val="20"/>
              </w:rPr>
              <w:br/>
              <w:t>non</w:t>
            </w:r>
            <w:r w:rsidRPr="00EB2092">
              <w:rPr>
                <w:szCs w:val="20"/>
              </w:rPr>
              <w:noBreakHyphen/>
              <w:t>government schools.</w:t>
            </w:r>
          </w:p>
        </w:tc>
        <w:tc>
          <w:tcPr>
            <w:tcW w:w="2421" w:type="pct"/>
          </w:tcPr>
          <w:p w14:paraId="1B1B6109" w14:textId="77777777" w:rsidR="002678CF" w:rsidRPr="00EB2092" w:rsidRDefault="002678CF" w:rsidP="000D3E1E">
            <w:pPr>
              <w:rPr>
                <w:szCs w:val="20"/>
              </w:rPr>
            </w:pPr>
            <w:r w:rsidRPr="00EB2092">
              <w:rPr>
                <w:szCs w:val="20"/>
              </w:rPr>
              <w:t xml:space="preserve">Projections are based on the Quality Schools policy as legislated under the </w:t>
            </w:r>
            <w:r w:rsidRPr="00EB2092">
              <w:rPr>
                <w:i/>
                <w:iCs/>
                <w:szCs w:val="20"/>
              </w:rPr>
              <w:t>Australian Education Act 2013</w:t>
            </w:r>
            <w:r w:rsidRPr="00EB2092">
              <w:rPr>
                <w:szCs w:val="20"/>
              </w:rPr>
              <w:t xml:space="preserve">.  This was further enhanced through the legislation of the </w:t>
            </w:r>
            <w:r w:rsidRPr="00EB2092">
              <w:rPr>
                <w:i/>
                <w:iCs/>
                <w:szCs w:val="20"/>
              </w:rPr>
              <w:t>Australian Education Amendment Act 2017</w:t>
            </w:r>
            <w:r w:rsidRPr="00EB2092">
              <w:rPr>
                <w:szCs w:val="20"/>
              </w:rPr>
              <w:t xml:space="preserve">, which introduced, amongst other reform measures, a new method for calculating a school communities’ capacity to contribute based on a direct measure of income and additional funding to assist transition for non-government schools.  Schools are funded by a per-student amount based on the Schooling Resource Standard and additional amounts for six loadings that reflect the student profile, location and size of the school. </w:t>
            </w:r>
          </w:p>
          <w:p w14:paraId="04664BD9" w14:textId="77777777" w:rsidR="002678CF" w:rsidRPr="00EB2092" w:rsidRDefault="002678CF" w:rsidP="000D3E1E">
            <w:pPr>
              <w:rPr>
                <w:color w:val="FF0000"/>
                <w:szCs w:val="20"/>
              </w:rPr>
            </w:pPr>
            <w:r w:rsidRPr="00EB2092">
              <w:rPr>
                <w:szCs w:val="20"/>
              </w:rPr>
              <w:t>Schools expenditure over the medium term is calculated based on achieving target levels of the funding as a share of the Schooling Resource Standard by 2029.  The target for non-government schools (Catholic and independent) is 80 per cent.  The target for government schools is 20 per cent.  Schools funded below the target will transition by 2023, while those above the target will transition by 2029.</w:t>
            </w:r>
          </w:p>
        </w:tc>
      </w:tr>
      <w:tr w:rsidR="002678CF" w:rsidRPr="00EB2092" w14:paraId="03F9F39F" w14:textId="77777777" w:rsidTr="000D3E1E">
        <w:trPr>
          <w:cantSplit/>
        </w:trPr>
        <w:tc>
          <w:tcPr>
            <w:tcW w:w="860" w:type="pct"/>
          </w:tcPr>
          <w:p w14:paraId="303E5018" w14:textId="3EB549D6" w:rsidR="002678CF" w:rsidRPr="00EB2092" w:rsidRDefault="002678CF" w:rsidP="000D3E1E">
            <w:pPr>
              <w:pStyle w:val="TableSubheading"/>
            </w:pPr>
            <w:r w:rsidRPr="00EB2092">
              <w:t>Public debt interest (PDI)</w:t>
            </w:r>
          </w:p>
        </w:tc>
        <w:tc>
          <w:tcPr>
            <w:tcW w:w="1719" w:type="pct"/>
          </w:tcPr>
          <w:p w14:paraId="61937ECF" w14:textId="77777777" w:rsidR="002678CF" w:rsidRPr="00EB2092" w:rsidRDefault="002678CF" w:rsidP="000D3E1E">
            <w:pPr>
              <w:rPr>
                <w:szCs w:val="20"/>
              </w:rPr>
            </w:pPr>
            <w:r w:rsidRPr="00EB2092">
              <w:rPr>
                <w:szCs w:val="20"/>
              </w:rPr>
              <w:t>Interest paid on Australian Government Securities on issue.</w:t>
            </w:r>
          </w:p>
        </w:tc>
        <w:tc>
          <w:tcPr>
            <w:tcW w:w="2421" w:type="pct"/>
          </w:tcPr>
          <w:p w14:paraId="7274C016" w14:textId="77777777" w:rsidR="002678CF" w:rsidRPr="00EB2092" w:rsidRDefault="002678CF" w:rsidP="000D3E1E">
            <w:pPr>
              <w:rPr>
                <w:szCs w:val="20"/>
              </w:rPr>
            </w:pPr>
            <w:r w:rsidRPr="00EB2092">
              <w:rPr>
                <w:szCs w:val="20"/>
              </w:rPr>
              <w:t>Public debt interest payments are projected based on the financing task implied by PBO projections of receipts and all other payments (excluding PDI payments), and adopt the same assumptions regarding interest rates on Australian Government Securities as the 2020</w:t>
            </w:r>
            <w:r w:rsidRPr="00EB2092">
              <w:rPr>
                <w:szCs w:val="20"/>
              </w:rPr>
              <w:noBreakHyphen/>
              <w:t xml:space="preserve">21 Budget.  </w:t>
            </w:r>
          </w:p>
        </w:tc>
      </w:tr>
      <w:tr w:rsidR="002678CF" w:rsidRPr="00EB2092" w14:paraId="4801DF2E" w14:textId="77777777" w:rsidTr="000D3E1E">
        <w:trPr>
          <w:cnfStyle w:val="000000010000" w:firstRow="0" w:lastRow="0" w:firstColumn="0" w:lastColumn="0" w:oddVBand="0" w:evenVBand="0" w:oddHBand="0" w:evenHBand="1" w:firstRowFirstColumn="0" w:firstRowLastColumn="0" w:lastRowFirstColumn="0" w:lastRowLastColumn="0"/>
          <w:cantSplit/>
        </w:trPr>
        <w:tc>
          <w:tcPr>
            <w:tcW w:w="860" w:type="pct"/>
          </w:tcPr>
          <w:p w14:paraId="6C651559" w14:textId="3D4F1A8E" w:rsidR="002678CF" w:rsidRPr="00EB2092" w:rsidRDefault="002678CF" w:rsidP="002678CF">
            <w:pPr>
              <w:pStyle w:val="TableSubheading"/>
            </w:pPr>
            <w:r w:rsidRPr="00EB2092">
              <w:lastRenderedPageBreak/>
              <w:t xml:space="preserve">Pharmaceutical </w:t>
            </w:r>
            <w:r>
              <w:t>B</w:t>
            </w:r>
            <w:r w:rsidRPr="00EB2092">
              <w:t xml:space="preserve">enefits </w:t>
            </w:r>
            <w:r>
              <w:t>Scheme</w:t>
            </w:r>
          </w:p>
        </w:tc>
        <w:tc>
          <w:tcPr>
            <w:tcW w:w="1719" w:type="pct"/>
          </w:tcPr>
          <w:p w14:paraId="7CF0E95F" w14:textId="77777777" w:rsidR="002678CF" w:rsidRPr="00EB2092" w:rsidRDefault="002678CF" w:rsidP="000D3E1E">
            <w:pPr>
              <w:rPr>
                <w:color w:val="FF0000"/>
                <w:szCs w:val="20"/>
              </w:rPr>
            </w:pPr>
            <w:r w:rsidRPr="00EB2092">
              <w:rPr>
                <w:szCs w:val="20"/>
              </w:rPr>
              <w:t>Comprises the special appropriation of the Pharmaceutical Benefits Scheme.</w:t>
            </w:r>
          </w:p>
        </w:tc>
        <w:tc>
          <w:tcPr>
            <w:tcW w:w="2421" w:type="pct"/>
          </w:tcPr>
          <w:p w14:paraId="4135CCE2" w14:textId="1EBA99A5" w:rsidR="002678CF" w:rsidRPr="00EB2092" w:rsidRDefault="002678CF" w:rsidP="000D3E1E">
            <w:pPr>
              <w:keepLines/>
              <w:pageBreakBefore/>
              <w:rPr>
                <w:color w:val="FF0000"/>
                <w:szCs w:val="20"/>
              </w:rPr>
            </w:pPr>
            <w:r w:rsidRPr="00EB2092">
              <w:rPr>
                <w:szCs w:val="20"/>
              </w:rPr>
              <w:t>Pharmaceutical benefit projections are calculated by taking historical expenditure data, grouped by age and gender cohorts, and calculating the historical per</w:t>
            </w:r>
            <w:r>
              <w:rPr>
                <w:szCs w:val="20"/>
              </w:rPr>
              <w:t xml:space="preserve"> </w:t>
            </w:r>
            <w:r w:rsidRPr="00EB2092">
              <w:rPr>
                <w:szCs w:val="20"/>
              </w:rPr>
              <w:t>capita growth in expenditure.  This is then used to derive a trend growth for pharmaceutical benefits payments per capita over the medium term.</w:t>
            </w:r>
          </w:p>
        </w:tc>
      </w:tr>
      <w:tr w:rsidR="002678CF" w:rsidRPr="00EB2092" w14:paraId="502BCA4E" w14:textId="77777777" w:rsidTr="000D3E1E">
        <w:trPr>
          <w:cantSplit/>
          <w:trHeight w:val="3428"/>
        </w:trPr>
        <w:tc>
          <w:tcPr>
            <w:tcW w:w="860" w:type="pct"/>
          </w:tcPr>
          <w:p w14:paraId="2CDB6327" w14:textId="77777777" w:rsidR="002678CF" w:rsidRPr="00EB2092" w:rsidRDefault="002678CF" w:rsidP="000D3E1E">
            <w:pPr>
              <w:pStyle w:val="TableSubheading"/>
            </w:pPr>
            <w:r w:rsidRPr="00EB2092">
              <w:t>Payments to individuals</w:t>
            </w:r>
          </w:p>
        </w:tc>
        <w:tc>
          <w:tcPr>
            <w:tcW w:w="1719" w:type="pct"/>
          </w:tcPr>
          <w:p w14:paraId="7777AC73" w14:textId="15511B62" w:rsidR="002678CF" w:rsidRPr="00EB2092" w:rsidRDefault="002678CF" w:rsidP="000D3E1E">
            <w:pPr>
              <w:rPr>
                <w:color w:val="FF0000"/>
                <w:szCs w:val="20"/>
              </w:rPr>
            </w:pPr>
            <w:r w:rsidRPr="00EB2092">
              <w:rPr>
                <w:szCs w:val="20"/>
              </w:rPr>
              <w:t xml:space="preserve">Social security payments including the Family Tax Benefit; Disability Support Pension; Carer income support (primarily Carer Payment and Carer Allowance); Parenting Payments (Single and Partnered); and </w:t>
            </w:r>
            <w:r>
              <w:rPr>
                <w:szCs w:val="20"/>
              </w:rPr>
              <w:t>income support for the unemployed</w:t>
            </w:r>
            <w:r w:rsidRPr="00EB2092">
              <w:rPr>
                <w:szCs w:val="20"/>
              </w:rPr>
              <w:t xml:space="preserve"> (includes </w:t>
            </w:r>
            <w:proofErr w:type="spellStart"/>
            <w:r w:rsidRPr="00EB2092">
              <w:rPr>
                <w:szCs w:val="20"/>
              </w:rPr>
              <w:t>JobSeeker</w:t>
            </w:r>
            <w:proofErr w:type="spellEnd"/>
            <w:r w:rsidRPr="00EB2092">
              <w:rPr>
                <w:szCs w:val="20"/>
              </w:rPr>
              <w:t xml:space="preserve"> payment and Youth Allowance (Other), as well as Sickness Allowance and </w:t>
            </w:r>
            <w:proofErr w:type="spellStart"/>
            <w:r w:rsidRPr="00EB2092">
              <w:rPr>
                <w:szCs w:val="20"/>
              </w:rPr>
              <w:t>Newstart</w:t>
            </w:r>
            <w:proofErr w:type="spellEnd"/>
            <w:r w:rsidRPr="00EB2092">
              <w:rPr>
                <w:szCs w:val="20"/>
              </w:rPr>
              <w:t xml:space="preserve"> historically).</w:t>
            </w:r>
          </w:p>
        </w:tc>
        <w:tc>
          <w:tcPr>
            <w:tcW w:w="2421" w:type="pct"/>
          </w:tcPr>
          <w:p w14:paraId="451FBD73" w14:textId="77777777" w:rsidR="002678CF" w:rsidRPr="00EB2092" w:rsidRDefault="002678CF" w:rsidP="000D3E1E">
            <w:pPr>
              <w:pStyle w:val="TableText"/>
              <w:rPr>
                <w:szCs w:val="20"/>
              </w:rPr>
            </w:pPr>
            <w:r w:rsidRPr="00EB2092">
              <w:rPr>
                <w:szCs w:val="20"/>
              </w:rPr>
              <w:t>Projected expenditure on these payments is calculated as projected recipients multiplied by the average payment rate.</w:t>
            </w:r>
          </w:p>
          <w:p w14:paraId="6DB3C06A" w14:textId="15A98C01" w:rsidR="002678CF" w:rsidRPr="00EB2092" w:rsidRDefault="002678CF" w:rsidP="000D3E1E">
            <w:pPr>
              <w:pStyle w:val="TableText"/>
              <w:rPr>
                <w:szCs w:val="20"/>
              </w:rPr>
            </w:pPr>
            <w:r w:rsidRPr="00EB2092">
              <w:rPr>
                <w:szCs w:val="20"/>
              </w:rPr>
              <w:t xml:space="preserve">Recipient numbers </w:t>
            </w:r>
            <w:r>
              <w:rPr>
                <w:szCs w:val="20"/>
              </w:rPr>
              <w:t xml:space="preserve">for each payment </w:t>
            </w:r>
            <w:r w:rsidRPr="00EB2092">
              <w:rPr>
                <w:szCs w:val="20"/>
              </w:rPr>
              <w:t xml:space="preserve">are projected by applying </w:t>
            </w:r>
            <w:r>
              <w:rPr>
                <w:szCs w:val="20"/>
              </w:rPr>
              <w:t xml:space="preserve">historical </w:t>
            </w:r>
            <w:r w:rsidRPr="00EB2092">
              <w:rPr>
                <w:szCs w:val="20"/>
              </w:rPr>
              <w:t>trend</w:t>
            </w:r>
            <w:r>
              <w:rPr>
                <w:szCs w:val="20"/>
              </w:rPr>
              <w:t>s</w:t>
            </w:r>
            <w:r w:rsidR="00E43DFD">
              <w:rPr>
                <w:szCs w:val="20"/>
              </w:rPr>
              <w:t xml:space="preserve"> in</w:t>
            </w:r>
            <w:r w:rsidRPr="00EB2092">
              <w:rPr>
                <w:szCs w:val="20"/>
              </w:rPr>
              <w:t xml:space="preserve"> take-up </w:t>
            </w:r>
            <w:r>
              <w:rPr>
                <w:szCs w:val="20"/>
              </w:rPr>
              <w:t xml:space="preserve">rates </w:t>
            </w:r>
            <w:r w:rsidRPr="00EB2092">
              <w:rPr>
                <w:szCs w:val="20"/>
              </w:rPr>
              <w:t xml:space="preserve">(by age and gender cohorts) to medium-term population projections.  </w:t>
            </w:r>
            <w:r>
              <w:rPr>
                <w:szCs w:val="20"/>
              </w:rPr>
              <w:t>I</w:t>
            </w:r>
            <w:r w:rsidRPr="00EB2092">
              <w:rPr>
                <w:szCs w:val="20"/>
              </w:rPr>
              <w:t xml:space="preserve">ncome support payments </w:t>
            </w:r>
            <w:r>
              <w:rPr>
                <w:szCs w:val="20"/>
              </w:rPr>
              <w:t xml:space="preserve">for the unemployed </w:t>
            </w:r>
            <w:r w:rsidRPr="00EB2092">
              <w:rPr>
                <w:szCs w:val="20"/>
              </w:rPr>
              <w:t>are also adjusted for projected changes in unemployment and sensitivity to the unemployment rate by age and gender cohorts.  Some working age payments are also adjusted to reflect the increase in the age pension eligibility age from 65 to 67 by 2023-24.</w:t>
            </w:r>
          </w:p>
          <w:p w14:paraId="23E981F8" w14:textId="07C8F533" w:rsidR="002678CF" w:rsidRPr="00EB2092" w:rsidRDefault="002678CF" w:rsidP="000D3E1E">
            <w:pPr>
              <w:pStyle w:val="TableText"/>
              <w:rPr>
                <w:color w:val="FF0000"/>
                <w:szCs w:val="20"/>
              </w:rPr>
            </w:pPr>
            <w:r w:rsidRPr="00EB2092">
              <w:rPr>
                <w:szCs w:val="20"/>
              </w:rPr>
              <w:t>The average rate of payment is grown by the respective legislated indexation factor (</w:t>
            </w:r>
            <w:r>
              <w:rPr>
                <w:szCs w:val="20"/>
              </w:rPr>
              <w:t>for example the</w:t>
            </w:r>
            <w:r w:rsidRPr="00EB2092">
              <w:rPr>
                <w:szCs w:val="20"/>
              </w:rPr>
              <w:t xml:space="preserve"> CPI).</w:t>
            </w:r>
          </w:p>
        </w:tc>
      </w:tr>
      <w:tr w:rsidR="002678CF" w:rsidRPr="00EB2092" w14:paraId="344CA07A" w14:textId="77777777" w:rsidTr="003A56EF">
        <w:trPr>
          <w:cnfStyle w:val="000000010000" w:firstRow="0" w:lastRow="0" w:firstColumn="0" w:lastColumn="0" w:oddVBand="0" w:evenVBand="0" w:oddHBand="0" w:evenHBand="1" w:firstRowFirstColumn="0" w:firstRowLastColumn="0" w:lastRowFirstColumn="0" w:lastRowLastColumn="0"/>
          <w:cantSplit/>
        </w:trPr>
        <w:tc>
          <w:tcPr>
            <w:tcW w:w="860" w:type="pct"/>
          </w:tcPr>
          <w:p w14:paraId="1AC6BF43" w14:textId="77777777" w:rsidR="00F62D55" w:rsidRPr="00EB2092" w:rsidRDefault="00F62D55" w:rsidP="004A0A0A">
            <w:pPr>
              <w:pStyle w:val="TableSubheading"/>
            </w:pPr>
            <w:r w:rsidRPr="00EB2092">
              <w:t>Child care</w:t>
            </w:r>
          </w:p>
        </w:tc>
        <w:tc>
          <w:tcPr>
            <w:tcW w:w="1719" w:type="pct"/>
          </w:tcPr>
          <w:p w14:paraId="55A43BB7" w14:textId="4595B847" w:rsidR="00F62D55" w:rsidRPr="00EB2092" w:rsidRDefault="00F62D55" w:rsidP="004A0A0A">
            <w:pPr>
              <w:rPr>
                <w:color w:val="FF0000"/>
                <w:szCs w:val="20"/>
              </w:rPr>
            </w:pPr>
            <w:r w:rsidRPr="00EB2092">
              <w:rPr>
                <w:szCs w:val="20"/>
              </w:rPr>
              <w:t>Child Care Subsidy</w:t>
            </w:r>
          </w:p>
        </w:tc>
        <w:tc>
          <w:tcPr>
            <w:tcW w:w="2421" w:type="pct"/>
          </w:tcPr>
          <w:p w14:paraId="1893B52C" w14:textId="77777777" w:rsidR="00F62D55" w:rsidRPr="00EB2092" w:rsidRDefault="00F62D55" w:rsidP="004A0A0A">
            <w:pPr>
              <w:rPr>
                <w:rFonts w:cs="Times New Roman (Body CS)"/>
                <w:szCs w:val="20"/>
              </w:rPr>
            </w:pPr>
            <w:r w:rsidRPr="00EB2092">
              <w:rPr>
                <w:rFonts w:cs="Times New Roman (Body CS)"/>
                <w:szCs w:val="20"/>
              </w:rPr>
              <w:t xml:space="preserve">The number of recipients of the CCS is projected based on the rate of population growth of young children plus an additional growth factor (based on historical data) to account for usage growing faster than the eligible population.  </w:t>
            </w:r>
          </w:p>
          <w:p w14:paraId="633C328A" w14:textId="77777777" w:rsidR="00F62D55" w:rsidRPr="00EB2092" w:rsidRDefault="00F62D55" w:rsidP="004A0A0A">
            <w:pPr>
              <w:rPr>
                <w:rFonts w:cs="Times New Roman (Body CS)"/>
                <w:szCs w:val="20"/>
              </w:rPr>
            </w:pPr>
            <w:r w:rsidRPr="00EB2092">
              <w:rPr>
                <w:rFonts w:cs="Times New Roman (Body CS)"/>
                <w:szCs w:val="20"/>
              </w:rPr>
              <w:t>Child care prices are projected to grow in line with recent historical trends in child care fees, adjusted to account for the impact of the fee cap.</w:t>
            </w:r>
          </w:p>
          <w:p w14:paraId="759A1CB7" w14:textId="555D155B" w:rsidR="00F62D55" w:rsidRPr="00EB2092" w:rsidRDefault="00F62D55" w:rsidP="003005D3">
            <w:pPr>
              <w:rPr>
                <w:rFonts w:cs="Times New Roman (Body CS)"/>
                <w:color w:val="FF0000"/>
                <w:szCs w:val="20"/>
              </w:rPr>
            </w:pPr>
            <w:r w:rsidRPr="00EB2092">
              <w:rPr>
                <w:rFonts w:cs="Times New Roman (Body CS)"/>
                <w:szCs w:val="20"/>
              </w:rPr>
              <w:t>The average subsidy rate is calculated based on the projected thresholds for the income tests in each future year</w:t>
            </w:r>
            <w:r w:rsidR="007377A9" w:rsidRPr="00EB2092">
              <w:rPr>
                <w:rFonts w:cs="Times New Roman (Body CS)"/>
                <w:szCs w:val="20"/>
              </w:rPr>
              <w:t>.</w:t>
            </w:r>
          </w:p>
        </w:tc>
      </w:tr>
      <w:tr w:rsidR="002678CF" w:rsidRPr="00EB2092" w14:paraId="0AAAA880" w14:textId="77777777" w:rsidTr="000D3E1E">
        <w:trPr>
          <w:cantSplit/>
        </w:trPr>
        <w:tc>
          <w:tcPr>
            <w:tcW w:w="860" w:type="pct"/>
          </w:tcPr>
          <w:p w14:paraId="3832E1A8" w14:textId="77777777" w:rsidR="002678CF" w:rsidRPr="00EB2092" w:rsidRDefault="002678CF" w:rsidP="000D3E1E">
            <w:pPr>
              <w:pStyle w:val="TableSubheading"/>
            </w:pPr>
            <w:r w:rsidRPr="00EB2092">
              <w:t>Government superannuation</w:t>
            </w:r>
          </w:p>
        </w:tc>
        <w:tc>
          <w:tcPr>
            <w:tcW w:w="1719" w:type="pct"/>
          </w:tcPr>
          <w:p w14:paraId="1307C79F" w14:textId="77777777" w:rsidR="002678CF" w:rsidRPr="00EB2092" w:rsidRDefault="002678CF" w:rsidP="000D3E1E">
            <w:pPr>
              <w:rPr>
                <w:szCs w:val="20"/>
              </w:rPr>
            </w:pPr>
            <w:r w:rsidRPr="00EB2092">
              <w:rPr>
                <w:szCs w:val="20"/>
              </w:rPr>
              <w:t xml:space="preserve">Cash payments associated with the unfunded civilian and military schemes. </w:t>
            </w:r>
          </w:p>
        </w:tc>
        <w:tc>
          <w:tcPr>
            <w:tcW w:w="2421" w:type="pct"/>
          </w:tcPr>
          <w:p w14:paraId="2C81CD38" w14:textId="77777777" w:rsidR="002678CF" w:rsidRPr="00EB2092" w:rsidRDefault="002678CF" w:rsidP="000D3E1E">
            <w:pPr>
              <w:rPr>
                <w:szCs w:val="20"/>
              </w:rPr>
            </w:pPr>
            <w:r w:rsidRPr="00EB2092">
              <w:rPr>
                <w:szCs w:val="20"/>
              </w:rPr>
              <w:t xml:space="preserve">Projections are based on the </w:t>
            </w:r>
            <w:r w:rsidRPr="00EB2092">
              <w:rPr>
                <w:i/>
                <w:szCs w:val="20"/>
              </w:rPr>
              <w:t>Long Term Cost Reports</w:t>
            </w:r>
            <w:r w:rsidRPr="00EB2092">
              <w:rPr>
                <w:szCs w:val="20"/>
              </w:rPr>
              <w:t xml:space="preserve"> updated for developments in subsequent budgets.</w:t>
            </w:r>
          </w:p>
        </w:tc>
      </w:tr>
      <w:tr w:rsidR="002678CF" w:rsidRPr="00EB2092" w14:paraId="3DC440DB" w14:textId="77777777" w:rsidTr="003A56EF">
        <w:trPr>
          <w:cnfStyle w:val="000000010000" w:firstRow="0" w:lastRow="0" w:firstColumn="0" w:lastColumn="0" w:oddVBand="0" w:evenVBand="0" w:oddHBand="0" w:evenHBand="1" w:firstRowFirstColumn="0" w:firstRowLastColumn="0" w:lastRowFirstColumn="0" w:lastRowLastColumn="0"/>
          <w:cantSplit/>
        </w:trPr>
        <w:tc>
          <w:tcPr>
            <w:tcW w:w="860" w:type="pct"/>
          </w:tcPr>
          <w:p w14:paraId="1471209E" w14:textId="77777777" w:rsidR="00F62D55" w:rsidRPr="00EB2092" w:rsidRDefault="00F62D55" w:rsidP="004A0A0A">
            <w:pPr>
              <w:pStyle w:val="TableSubheading"/>
            </w:pPr>
            <w:r w:rsidRPr="00EB2092">
              <w:t>Fuel tax credit scheme</w:t>
            </w:r>
          </w:p>
        </w:tc>
        <w:tc>
          <w:tcPr>
            <w:tcW w:w="1719" w:type="pct"/>
          </w:tcPr>
          <w:p w14:paraId="52FCF735" w14:textId="77777777" w:rsidR="00F62D55" w:rsidRPr="00EB2092" w:rsidRDefault="00F62D55" w:rsidP="004A0A0A">
            <w:pPr>
              <w:rPr>
                <w:szCs w:val="20"/>
              </w:rPr>
            </w:pPr>
            <w:r w:rsidRPr="00EB2092">
              <w:rPr>
                <w:szCs w:val="20"/>
              </w:rPr>
              <w:t>Credits for the excise or customs duty on fuel a business uses in machinery, plant, equipment, heavy vehicles and light vehicles travelling off public roads or on private roads.</w:t>
            </w:r>
          </w:p>
        </w:tc>
        <w:tc>
          <w:tcPr>
            <w:tcW w:w="2421" w:type="pct"/>
          </w:tcPr>
          <w:p w14:paraId="4DA493BB" w14:textId="3131C79A" w:rsidR="00F62D55" w:rsidRPr="00EB2092" w:rsidRDefault="00F62D55" w:rsidP="00CE40E7">
            <w:pPr>
              <w:rPr>
                <w:szCs w:val="20"/>
              </w:rPr>
            </w:pPr>
            <w:r w:rsidRPr="00EB2092">
              <w:rPr>
                <w:szCs w:val="20"/>
              </w:rPr>
              <w:t>Fuel Tax Credit Scheme expenditure is calculated by applying credit scheme rates on projected fuel excise and customs duty revenue collections (see Appendix </w:t>
            </w:r>
            <w:r w:rsidR="00595EB2" w:rsidRPr="00EB2092">
              <w:rPr>
                <w:szCs w:val="20"/>
              </w:rPr>
              <w:t>C</w:t>
            </w:r>
            <w:r w:rsidRPr="00EB2092">
              <w:rPr>
                <w:szCs w:val="20"/>
              </w:rPr>
              <w:t xml:space="preserve"> </w:t>
            </w:r>
            <w:r w:rsidRPr="00EB2092">
              <w:rPr>
                <w:rFonts w:cs="Times New Roman (Body CS)"/>
                <w:szCs w:val="20"/>
              </w:rPr>
              <w:t xml:space="preserve">– </w:t>
            </w:r>
            <w:r w:rsidRPr="00EB2092">
              <w:rPr>
                <w:szCs w:val="20"/>
              </w:rPr>
              <w:t>Receipts projection methodology, Customs and excise).  Credit scheme rates are projected by indexing them in line with the CPI.</w:t>
            </w:r>
          </w:p>
        </w:tc>
      </w:tr>
      <w:tr w:rsidR="002678CF" w:rsidRPr="00EB2092" w14:paraId="3E4BD7DA" w14:textId="77777777" w:rsidTr="000D3E1E">
        <w:trPr>
          <w:cantSplit/>
        </w:trPr>
        <w:tc>
          <w:tcPr>
            <w:tcW w:w="860" w:type="pct"/>
          </w:tcPr>
          <w:p w14:paraId="006D7FA1" w14:textId="77777777" w:rsidR="002678CF" w:rsidRPr="00EB2092" w:rsidRDefault="002678CF" w:rsidP="000D3E1E">
            <w:pPr>
              <w:pStyle w:val="TableSubheading"/>
            </w:pPr>
            <w:r w:rsidRPr="00EB2092">
              <w:t>Commonwealth Grant Scheme (CGS)</w:t>
            </w:r>
          </w:p>
        </w:tc>
        <w:tc>
          <w:tcPr>
            <w:tcW w:w="1719" w:type="pct"/>
          </w:tcPr>
          <w:p w14:paraId="03C5ED01" w14:textId="77777777" w:rsidR="002678CF" w:rsidRPr="00EB2092" w:rsidRDefault="002678CF" w:rsidP="000D3E1E">
            <w:pPr>
              <w:rPr>
                <w:color w:val="FF0000"/>
                <w:szCs w:val="20"/>
              </w:rPr>
            </w:pPr>
            <w:r w:rsidRPr="00EB2092">
              <w:rPr>
                <w:szCs w:val="20"/>
              </w:rPr>
              <w:t xml:space="preserve">Grant funding to higher education providers for students enrolled in a Commonwealth Supported Place (CSP) at the institution. </w:t>
            </w:r>
          </w:p>
        </w:tc>
        <w:tc>
          <w:tcPr>
            <w:tcW w:w="2421" w:type="pct"/>
          </w:tcPr>
          <w:p w14:paraId="5B21E49A" w14:textId="77777777" w:rsidR="002678CF" w:rsidRPr="00EB2092" w:rsidRDefault="002678CF" w:rsidP="000D3E1E">
            <w:pPr>
              <w:rPr>
                <w:rFonts w:cs="Times New Roman (Body CS)"/>
                <w:color w:val="FF0000"/>
                <w:szCs w:val="20"/>
              </w:rPr>
            </w:pPr>
            <w:r w:rsidRPr="00EB2092">
              <w:rPr>
                <w:szCs w:val="20"/>
              </w:rPr>
              <w:t xml:space="preserve">CGS expenditure is calculated based </w:t>
            </w:r>
            <w:r w:rsidRPr="00EB2092">
              <w:t>on the arrangements announced as part of the Government’s Job-ready Graduates package</w:t>
            </w:r>
            <w:r>
              <w:t>, and incorporates CSP student enrolment projections across subject bands, with varying per-student amounts for areas of study.</w:t>
            </w:r>
          </w:p>
        </w:tc>
      </w:tr>
      <w:tr w:rsidR="002678CF" w:rsidRPr="00EB2092" w14:paraId="76CFD7A5" w14:textId="77777777" w:rsidTr="003A56EF">
        <w:trPr>
          <w:cnfStyle w:val="000000010000" w:firstRow="0" w:lastRow="0" w:firstColumn="0" w:lastColumn="0" w:oddVBand="0" w:evenVBand="0" w:oddHBand="0" w:evenHBand="1" w:firstRowFirstColumn="0" w:firstRowLastColumn="0" w:lastRowFirstColumn="0" w:lastRowLastColumn="0"/>
          <w:cantSplit/>
        </w:trPr>
        <w:tc>
          <w:tcPr>
            <w:tcW w:w="860" w:type="pct"/>
          </w:tcPr>
          <w:p w14:paraId="2AFC67C7" w14:textId="77777777" w:rsidR="00F62D55" w:rsidRPr="00EB2092" w:rsidRDefault="00F62D55" w:rsidP="004A0A0A">
            <w:pPr>
              <w:pStyle w:val="TableSubheading"/>
            </w:pPr>
            <w:r w:rsidRPr="00EB2092">
              <w:lastRenderedPageBreak/>
              <w:t>Private health insurance (PHI) rebate</w:t>
            </w:r>
          </w:p>
        </w:tc>
        <w:tc>
          <w:tcPr>
            <w:tcW w:w="1719" w:type="pct"/>
          </w:tcPr>
          <w:p w14:paraId="3025F99D" w14:textId="77777777" w:rsidR="00F62D55" w:rsidRPr="00EB2092" w:rsidRDefault="00F62D55" w:rsidP="004A0A0A">
            <w:pPr>
              <w:rPr>
                <w:color w:val="FF0000"/>
                <w:szCs w:val="20"/>
              </w:rPr>
            </w:pPr>
            <w:r w:rsidRPr="00EB2092">
              <w:rPr>
                <w:szCs w:val="20"/>
              </w:rPr>
              <w:t xml:space="preserve">Department of Health and Australian Taxation Office payments related to the </w:t>
            </w:r>
            <w:r w:rsidRPr="00EB2092">
              <w:rPr>
                <w:szCs w:val="20"/>
              </w:rPr>
              <w:br/>
              <w:t>PHI rebate.</w:t>
            </w:r>
          </w:p>
        </w:tc>
        <w:tc>
          <w:tcPr>
            <w:tcW w:w="2421" w:type="pct"/>
          </w:tcPr>
          <w:p w14:paraId="3BE5B7FA" w14:textId="77777777" w:rsidR="00F62D55" w:rsidRPr="00EB2092" w:rsidRDefault="00F62D55" w:rsidP="004A0A0A">
            <w:pPr>
              <w:rPr>
                <w:rFonts w:cs="Times New Roman (Body CS)"/>
                <w:color w:val="FF0000"/>
                <w:szCs w:val="20"/>
              </w:rPr>
            </w:pPr>
            <w:r w:rsidRPr="00EB2092">
              <w:rPr>
                <w:rFonts w:cs="Times New Roman (Body CS)"/>
                <w:szCs w:val="20"/>
              </w:rPr>
              <w:t>Expenditure on PHI is projected to grow in line with the population, CPI, and coverage ratio. The coverage ratio has been modelled based on recent historical trends.</w:t>
            </w:r>
          </w:p>
        </w:tc>
      </w:tr>
      <w:tr w:rsidR="00307EDA" w:rsidRPr="00EB2092" w14:paraId="2B43E20A" w14:textId="77777777" w:rsidTr="000D3E1E">
        <w:trPr>
          <w:cantSplit/>
        </w:trPr>
        <w:tc>
          <w:tcPr>
            <w:tcW w:w="860" w:type="pct"/>
          </w:tcPr>
          <w:p w14:paraId="188C7D8C" w14:textId="77777777" w:rsidR="00307EDA" w:rsidRPr="00EB2092" w:rsidRDefault="00307EDA" w:rsidP="000D3E1E">
            <w:pPr>
              <w:pStyle w:val="TableSubheading"/>
            </w:pPr>
            <w:r w:rsidRPr="00EB2092">
              <w:t>Road and rail Infrastructure</w:t>
            </w:r>
          </w:p>
        </w:tc>
        <w:tc>
          <w:tcPr>
            <w:tcW w:w="1719" w:type="pct"/>
          </w:tcPr>
          <w:p w14:paraId="60B91E74" w14:textId="77777777" w:rsidR="00307EDA" w:rsidRPr="00EB2092" w:rsidRDefault="00307EDA" w:rsidP="000D3E1E">
            <w:pPr>
              <w:rPr>
                <w:szCs w:val="20"/>
              </w:rPr>
            </w:pPr>
            <w:r w:rsidRPr="00EB2092">
              <w:rPr>
                <w:szCs w:val="20"/>
              </w:rPr>
              <w:t xml:space="preserve">Comprises payments for road and rail projects. </w:t>
            </w:r>
          </w:p>
        </w:tc>
        <w:tc>
          <w:tcPr>
            <w:tcW w:w="2421" w:type="pct"/>
          </w:tcPr>
          <w:p w14:paraId="38D223A1" w14:textId="77777777" w:rsidR="00307EDA" w:rsidRPr="00EB2092" w:rsidRDefault="00307EDA" w:rsidP="000D3E1E">
            <w:pPr>
              <w:rPr>
                <w:szCs w:val="20"/>
              </w:rPr>
            </w:pPr>
            <w:r w:rsidRPr="00EB2092">
              <w:rPr>
                <w:szCs w:val="20"/>
              </w:rPr>
              <w:t xml:space="preserve">The PBO projection accounts for all announced projects.  </w:t>
            </w:r>
          </w:p>
          <w:p w14:paraId="70ADA902" w14:textId="77777777" w:rsidR="00307EDA" w:rsidRPr="00EB2092" w:rsidRDefault="00307EDA" w:rsidP="000D3E1E">
            <w:pPr>
              <w:rPr>
                <w:szCs w:val="20"/>
                <w:lang w:eastAsia="en-AU"/>
              </w:rPr>
            </w:pPr>
            <w:r w:rsidRPr="00EB2092">
              <w:rPr>
                <w:szCs w:val="20"/>
              </w:rPr>
              <w:t>Expenditure from 2020</w:t>
            </w:r>
            <w:r>
              <w:rPr>
                <w:szCs w:val="20"/>
              </w:rPr>
              <w:t>-</w:t>
            </w:r>
            <w:r w:rsidRPr="00EB2092">
              <w:rPr>
                <w:szCs w:val="20"/>
              </w:rPr>
              <w:t>21 to 2030</w:t>
            </w:r>
            <w:r>
              <w:rPr>
                <w:szCs w:val="20"/>
              </w:rPr>
              <w:t>-</w:t>
            </w:r>
            <w:r w:rsidRPr="00EB2092">
              <w:rPr>
                <w:szCs w:val="20"/>
              </w:rPr>
              <w:t xml:space="preserve">31 reflects the </w:t>
            </w:r>
            <w:r w:rsidRPr="00EB2092">
              <w:rPr>
                <w:szCs w:val="20"/>
                <w:lang w:eastAsia="en-AU"/>
              </w:rPr>
              <w:t>PBO’s projected profile of spending on currently agreed road and rail infrastructure projects included in the 2020</w:t>
            </w:r>
            <w:r>
              <w:rPr>
                <w:szCs w:val="20"/>
                <w:lang w:eastAsia="en-AU"/>
              </w:rPr>
              <w:t>-</w:t>
            </w:r>
            <w:r w:rsidRPr="00EB2092">
              <w:rPr>
                <w:szCs w:val="20"/>
                <w:lang w:eastAsia="en-AU"/>
              </w:rPr>
              <w:t>21 Budget.</w:t>
            </w:r>
          </w:p>
          <w:p w14:paraId="5139A38B" w14:textId="3A78150E" w:rsidR="00307EDA" w:rsidRPr="00EB2092" w:rsidRDefault="00307EDA" w:rsidP="003232FA">
            <w:pPr>
              <w:rPr>
                <w:szCs w:val="20"/>
              </w:rPr>
            </w:pPr>
            <w:r w:rsidRPr="00EB2092">
              <w:rPr>
                <w:szCs w:val="20"/>
              </w:rPr>
              <w:t xml:space="preserve">The PBO projection is lower than total Commonwealth infrastructure investment as it does not include infrastructure investment funded through equity injections into public non-financial corporations such as the Australian Rail Track Corporation or concessional loans such as the loan to the New South Wales Government for the </w:t>
            </w:r>
            <w:proofErr w:type="spellStart"/>
            <w:r w:rsidRPr="00EB2092">
              <w:rPr>
                <w:szCs w:val="20"/>
              </w:rPr>
              <w:t>WestConnex</w:t>
            </w:r>
            <w:proofErr w:type="spellEnd"/>
            <w:r w:rsidRPr="00EB2092">
              <w:rPr>
                <w:szCs w:val="20"/>
              </w:rPr>
              <w:t xml:space="preserve"> project.</w:t>
            </w:r>
          </w:p>
        </w:tc>
      </w:tr>
      <w:tr w:rsidR="002678CF" w:rsidRPr="00EB2092" w14:paraId="01112DB7" w14:textId="77777777" w:rsidTr="003A56EF">
        <w:trPr>
          <w:cnfStyle w:val="000000010000" w:firstRow="0" w:lastRow="0" w:firstColumn="0" w:lastColumn="0" w:oddVBand="0" w:evenVBand="0" w:oddHBand="0" w:evenHBand="1" w:firstRowFirstColumn="0" w:firstRowLastColumn="0" w:lastRowFirstColumn="0" w:lastRowLastColumn="0"/>
          <w:cantSplit/>
          <w:trHeight w:val="1510"/>
        </w:trPr>
        <w:tc>
          <w:tcPr>
            <w:tcW w:w="860" w:type="pct"/>
          </w:tcPr>
          <w:p w14:paraId="1E90CF60" w14:textId="77777777" w:rsidR="00CE40E7" w:rsidRPr="00EB2092" w:rsidRDefault="00CE40E7" w:rsidP="004A0A0A">
            <w:pPr>
              <w:pStyle w:val="TableSubheading"/>
            </w:pPr>
            <w:r w:rsidRPr="00EB2092">
              <w:t>Official Development Assistance</w:t>
            </w:r>
          </w:p>
        </w:tc>
        <w:tc>
          <w:tcPr>
            <w:tcW w:w="1719" w:type="pct"/>
          </w:tcPr>
          <w:p w14:paraId="34706813" w14:textId="789F9A6A" w:rsidR="00CE40E7" w:rsidRPr="00EB2092" w:rsidRDefault="00CE40E7" w:rsidP="004A0A0A">
            <w:pPr>
              <w:rPr>
                <w:color w:val="FF0000"/>
                <w:szCs w:val="20"/>
              </w:rPr>
            </w:pPr>
            <w:r w:rsidRPr="00EB2092">
              <w:rPr>
                <w:szCs w:val="20"/>
              </w:rPr>
              <w:t>Comprises expenditure on foreign aid administered by the Department of Foreign Affairs and Trade, and a small component for associated spending in other departments.</w:t>
            </w:r>
          </w:p>
        </w:tc>
        <w:tc>
          <w:tcPr>
            <w:tcW w:w="2421" w:type="pct"/>
          </w:tcPr>
          <w:p w14:paraId="57555E58" w14:textId="2BCC8670" w:rsidR="00CE40E7" w:rsidRPr="00EB2092" w:rsidRDefault="00CE40E7" w:rsidP="004A0A0A">
            <w:pPr>
              <w:rPr>
                <w:color w:val="FF0000"/>
                <w:szCs w:val="20"/>
              </w:rPr>
            </w:pPr>
            <w:r w:rsidRPr="00EB2092">
              <w:rPr>
                <w:szCs w:val="20"/>
                <w:lang w:eastAsia="en-AU"/>
              </w:rPr>
              <w:t>After an indexation freeze introduced in the 2017</w:t>
            </w:r>
            <w:r w:rsidR="00F82250">
              <w:rPr>
                <w:szCs w:val="20"/>
                <w:lang w:eastAsia="en-AU"/>
              </w:rPr>
              <w:noBreakHyphen/>
            </w:r>
            <w:r w:rsidRPr="00EB2092">
              <w:rPr>
                <w:szCs w:val="20"/>
                <w:lang w:eastAsia="en-AU"/>
              </w:rPr>
              <w:t>18 Budget, Official Development Assistance has been capped at $4.0 billion to 2021</w:t>
            </w:r>
            <w:r w:rsidR="00487A21">
              <w:rPr>
                <w:szCs w:val="20"/>
                <w:lang w:eastAsia="en-AU"/>
              </w:rPr>
              <w:t>-</w:t>
            </w:r>
            <w:r w:rsidRPr="00EB2092">
              <w:rPr>
                <w:szCs w:val="20"/>
                <w:lang w:eastAsia="en-AU"/>
              </w:rPr>
              <w:t>22 before indexation recommences.  Expenditure beyond the forward estimates is projected by indexing the payment to growth in the CPI.</w:t>
            </w:r>
          </w:p>
        </w:tc>
      </w:tr>
      <w:tr w:rsidR="002678CF" w:rsidRPr="00EB2092" w14:paraId="361B0B75" w14:textId="77777777" w:rsidTr="003A56EF">
        <w:trPr>
          <w:cantSplit/>
        </w:trPr>
        <w:tc>
          <w:tcPr>
            <w:tcW w:w="860" w:type="pct"/>
          </w:tcPr>
          <w:p w14:paraId="0A979741" w14:textId="77777777" w:rsidR="00F62D55" w:rsidRPr="00EB2092" w:rsidRDefault="00F62D55" w:rsidP="004A0A0A">
            <w:pPr>
              <w:pStyle w:val="TableSubheading"/>
            </w:pPr>
            <w:r w:rsidRPr="00EB2092">
              <w:t>Veterans’ support</w:t>
            </w:r>
          </w:p>
        </w:tc>
        <w:tc>
          <w:tcPr>
            <w:tcW w:w="1719" w:type="pct"/>
          </w:tcPr>
          <w:p w14:paraId="749242F2" w14:textId="77777777" w:rsidR="00F62D55" w:rsidRPr="00EB2092" w:rsidRDefault="00F62D55" w:rsidP="004A0A0A">
            <w:pPr>
              <w:rPr>
                <w:color w:val="FF0000"/>
                <w:szCs w:val="20"/>
              </w:rPr>
            </w:pPr>
            <w:r w:rsidRPr="00EB2092">
              <w:rPr>
                <w:szCs w:val="20"/>
              </w:rPr>
              <w:t>Comprises expenditure on income support and health programs for veterans, widowers and dependents.</w:t>
            </w:r>
          </w:p>
        </w:tc>
        <w:tc>
          <w:tcPr>
            <w:tcW w:w="2421" w:type="pct"/>
          </w:tcPr>
          <w:p w14:paraId="2A1F2FCF" w14:textId="77777777" w:rsidR="00F62D55" w:rsidRPr="00EB2092" w:rsidRDefault="00F62D55" w:rsidP="004A0A0A">
            <w:pPr>
              <w:pStyle w:val="TableText"/>
              <w:rPr>
                <w:szCs w:val="20"/>
              </w:rPr>
            </w:pPr>
            <w:r w:rsidRPr="00EB2092">
              <w:rPr>
                <w:szCs w:val="20"/>
              </w:rPr>
              <w:t>Projections of expenditure on veterans’ support are based on projected growth in recipient numbers and the average payment for the service provided.</w:t>
            </w:r>
          </w:p>
          <w:p w14:paraId="0979CF46" w14:textId="77777777" w:rsidR="00F62D55" w:rsidRPr="00EB2092" w:rsidRDefault="00F62D55" w:rsidP="004A0A0A">
            <w:pPr>
              <w:pStyle w:val="TableText"/>
              <w:rPr>
                <w:szCs w:val="20"/>
              </w:rPr>
            </w:pPr>
            <w:r w:rsidRPr="00EB2092">
              <w:rPr>
                <w:szCs w:val="20"/>
              </w:rPr>
              <w:t xml:space="preserve">Recipient projections are based on 10-year Pensioner Beneficiary Statistics prepared by </w:t>
            </w:r>
            <w:r w:rsidRPr="00EB2092">
              <w:rPr>
                <w:szCs w:val="20"/>
              </w:rPr>
              <w:br/>
              <w:t xml:space="preserve">the Department of Veterans’ Affairs. </w:t>
            </w:r>
          </w:p>
          <w:p w14:paraId="21117750" w14:textId="4263AAAC" w:rsidR="00F62D55" w:rsidRPr="00EB2092" w:rsidRDefault="00F62D55" w:rsidP="004A0A0A">
            <w:pPr>
              <w:pStyle w:val="TableText"/>
              <w:rPr>
                <w:color w:val="FF0000"/>
                <w:szCs w:val="20"/>
              </w:rPr>
            </w:pPr>
            <w:r w:rsidRPr="00EB2092">
              <w:rPr>
                <w:szCs w:val="20"/>
              </w:rPr>
              <w:t>The average rate of payment is grown by the relevant indexation factor for that program</w:t>
            </w:r>
            <w:r w:rsidR="004B6277">
              <w:rPr>
                <w:szCs w:val="20"/>
              </w:rPr>
              <w:t>, adjusted for historical trends in payment rates for those payments which are income tested</w:t>
            </w:r>
            <w:r w:rsidRPr="00EB2092">
              <w:rPr>
                <w:szCs w:val="20"/>
              </w:rPr>
              <w:t>.</w:t>
            </w:r>
          </w:p>
        </w:tc>
      </w:tr>
      <w:tr w:rsidR="002678CF" w:rsidRPr="002A041F" w14:paraId="3AB6E861" w14:textId="77777777" w:rsidTr="003A56EF">
        <w:trPr>
          <w:cnfStyle w:val="000000010000" w:firstRow="0" w:lastRow="0" w:firstColumn="0" w:lastColumn="0" w:oddVBand="0" w:evenVBand="0" w:oddHBand="0" w:evenHBand="1" w:firstRowFirstColumn="0" w:firstRowLastColumn="0" w:lastRowFirstColumn="0" w:lastRowLastColumn="0"/>
          <w:cantSplit/>
          <w:trHeight w:val="2305"/>
        </w:trPr>
        <w:tc>
          <w:tcPr>
            <w:tcW w:w="860" w:type="pct"/>
          </w:tcPr>
          <w:p w14:paraId="312A4759" w14:textId="604E540C" w:rsidR="00920F84" w:rsidRPr="002A041F" w:rsidRDefault="00FC29D3" w:rsidP="007D3A56">
            <w:pPr>
              <w:pStyle w:val="TableSubheading"/>
            </w:pPr>
            <w:r>
              <w:lastRenderedPageBreak/>
              <w:t>Contingency reserve</w:t>
            </w:r>
          </w:p>
        </w:tc>
        <w:tc>
          <w:tcPr>
            <w:tcW w:w="1719" w:type="pct"/>
          </w:tcPr>
          <w:p w14:paraId="3DFFE6A4" w14:textId="3B6BE2BB" w:rsidR="00920F84" w:rsidRPr="002D0E3C" w:rsidRDefault="00920F84" w:rsidP="007D3A56">
            <w:pPr>
              <w:rPr>
                <w:szCs w:val="20"/>
              </w:rPr>
            </w:pPr>
            <w:r w:rsidRPr="00F11045">
              <w:rPr>
                <w:szCs w:val="20"/>
              </w:rPr>
              <w:t xml:space="preserve">The </w:t>
            </w:r>
            <w:r w:rsidR="00FC29D3">
              <w:rPr>
                <w:szCs w:val="20"/>
              </w:rPr>
              <w:t>Contingency reserve</w:t>
            </w:r>
            <w:r w:rsidRPr="00F11045">
              <w:rPr>
                <w:szCs w:val="20"/>
              </w:rPr>
              <w:t xml:space="preserve"> is an allowance within the budget for policy changes or other items that the government expects but cannot allocate to specific government programs or publish separately in the budget.  </w:t>
            </w:r>
            <w:r>
              <w:rPr>
                <w:szCs w:val="20"/>
              </w:rPr>
              <w:t xml:space="preserve">The </w:t>
            </w:r>
            <w:r w:rsidR="00FC29D3">
              <w:rPr>
                <w:szCs w:val="20"/>
              </w:rPr>
              <w:t>Contingency reserve</w:t>
            </w:r>
            <w:r>
              <w:rPr>
                <w:szCs w:val="20"/>
              </w:rPr>
              <w:t xml:space="preserve"> may include a range of</w:t>
            </w:r>
            <w:r w:rsidRPr="00F11045">
              <w:rPr>
                <w:szCs w:val="20"/>
              </w:rPr>
              <w:t xml:space="preserve"> items, such as the ‘conservative bias allowance’; items that are too sensitive to be disclosed separately such as those that are commercial in-confidence or that affect national security; provision for underspends in the current financial year; decisions that are taken by government but were not announced before the budget; expenses where the final cost depends on negotiations with another entity such as state and territory governments; and provisions for other specific events and pressures that are expected to affect the budget estimates but have not yet taken place.</w:t>
            </w:r>
          </w:p>
        </w:tc>
        <w:tc>
          <w:tcPr>
            <w:tcW w:w="2421" w:type="pct"/>
          </w:tcPr>
          <w:p w14:paraId="1D3FFC18" w14:textId="34E5FFC5" w:rsidR="00920F84" w:rsidRPr="002D0E3C" w:rsidRDefault="00920F84" w:rsidP="007D3A56">
            <w:pPr>
              <w:rPr>
                <w:szCs w:val="20"/>
              </w:rPr>
            </w:pPr>
            <w:r>
              <w:rPr>
                <w:szCs w:val="20"/>
              </w:rPr>
              <w:t>A</w:t>
            </w:r>
            <w:r w:rsidRPr="00F11045">
              <w:rPr>
                <w:szCs w:val="20"/>
              </w:rPr>
              <w:t xml:space="preserve">mounts allocated to the </w:t>
            </w:r>
            <w:r w:rsidR="00FC29D3">
              <w:rPr>
                <w:szCs w:val="20"/>
              </w:rPr>
              <w:t>Contingency reserve</w:t>
            </w:r>
            <w:r w:rsidRPr="00F11045">
              <w:rPr>
                <w:szCs w:val="20"/>
              </w:rPr>
              <w:t>, including the conservative bias allowance and the additional provisions, are grown</w:t>
            </w:r>
            <w:r>
              <w:rPr>
                <w:szCs w:val="20"/>
              </w:rPr>
              <w:t xml:space="preserve"> </w:t>
            </w:r>
            <w:r w:rsidRPr="00F11045">
              <w:rPr>
                <w:szCs w:val="20"/>
              </w:rPr>
              <w:t>by the growth rate of nominal GDP over the medium term.</w:t>
            </w:r>
          </w:p>
        </w:tc>
      </w:tr>
      <w:tr w:rsidR="002678CF" w:rsidRPr="00EB2092" w14:paraId="4C107C69" w14:textId="77777777" w:rsidTr="00A352A4">
        <w:trPr>
          <w:cantSplit/>
          <w:trHeight w:val="1930"/>
        </w:trPr>
        <w:tc>
          <w:tcPr>
            <w:tcW w:w="860" w:type="pct"/>
          </w:tcPr>
          <w:p w14:paraId="6CC94D73" w14:textId="77777777" w:rsidR="00F62D55" w:rsidRPr="00EB2092" w:rsidRDefault="00F62D55" w:rsidP="004A0A0A">
            <w:pPr>
              <w:pStyle w:val="TableSubheading"/>
            </w:pPr>
            <w:r w:rsidRPr="00EB2092">
              <w:t>Other payments</w:t>
            </w:r>
          </w:p>
        </w:tc>
        <w:tc>
          <w:tcPr>
            <w:tcW w:w="1719" w:type="pct"/>
          </w:tcPr>
          <w:p w14:paraId="01AD2D0B" w14:textId="591BF186" w:rsidR="00F62D55" w:rsidRPr="00EB2092" w:rsidRDefault="00F62D55">
            <w:pPr>
              <w:rPr>
                <w:szCs w:val="20"/>
              </w:rPr>
            </w:pPr>
            <w:r w:rsidRPr="00EB2092">
              <w:rPr>
                <w:szCs w:val="20"/>
              </w:rPr>
              <w:t xml:space="preserve">Other payments include payments that are not modelled by the PBO.  This covers government administration, a range of small grant and subsidy programs, </w:t>
            </w:r>
            <w:r w:rsidR="00920F84">
              <w:rPr>
                <w:szCs w:val="20"/>
              </w:rPr>
              <w:t xml:space="preserve">and </w:t>
            </w:r>
            <w:r w:rsidRPr="00EB2092">
              <w:rPr>
                <w:szCs w:val="20"/>
              </w:rPr>
              <w:t>smaller specific purpose payments to the states (</w:t>
            </w:r>
            <w:proofErr w:type="spellStart"/>
            <w:r w:rsidRPr="00EB2092">
              <w:rPr>
                <w:szCs w:val="20"/>
              </w:rPr>
              <w:t>ie</w:t>
            </w:r>
            <w:proofErr w:type="spellEnd"/>
            <w:r w:rsidRPr="00EB2092">
              <w:rPr>
                <w:szCs w:val="20"/>
              </w:rPr>
              <w:t> other than health, education and infrastructure</w:t>
            </w:r>
            <w:r w:rsidR="00920F84">
              <w:rPr>
                <w:szCs w:val="20"/>
              </w:rPr>
              <w:t>)</w:t>
            </w:r>
            <w:r w:rsidRPr="00EB2092">
              <w:rPr>
                <w:szCs w:val="20"/>
              </w:rPr>
              <w:t>.</w:t>
            </w:r>
          </w:p>
        </w:tc>
        <w:tc>
          <w:tcPr>
            <w:tcW w:w="2421" w:type="pct"/>
          </w:tcPr>
          <w:p w14:paraId="6BA5A0A3" w14:textId="77777777" w:rsidR="00F62D55" w:rsidRPr="00EB2092" w:rsidRDefault="00F62D55" w:rsidP="004A0A0A">
            <w:pPr>
              <w:rPr>
                <w:szCs w:val="20"/>
              </w:rPr>
            </w:pPr>
            <w:r w:rsidRPr="00EB2092">
              <w:rPr>
                <w:szCs w:val="20"/>
              </w:rPr>
              <w:t>Payments not modelled by the PBO are grown</w:t>
            </w:r>
            <w:r w:rsidRPr="00EB2092">
              <w:rPr>
                <w:szCs w:val="20"/>
              </w:rPr>
              <w:br/>
              <w:t xml:space="preserve">by the growth rate of nominal GDP over the medium term. </w:t>
            </w:r>
          </w:p>
        </w:tc>
      </w:tr>
    </w:tbl>
    <w:p w14:paraId="2F81A7D4" w14:textId="7AD2E67D" w:rsidR="00F62D55" w:rsidRPr="00EB2092" w:rsidRDefault="00F62D55" w:rsidP="00284A3A">
      <w:pPr>
        <w:pStyle w:val="BodyText"/>
        <w:spacing w:before="0"/>
        <w:rPr>
          <w:sz w:val="2"/>
        </w:rPr>
      </w:pPr>
    </w:p>
    <w:p w14:paraId="1C104822" w14:textId="2BEE0E26" w:rsidR="00F62D55" w:rsidRPr="00EC0099" w:rsidRDefault="00A352A4" w:rsidP="00572B63">
      <w:pPr>
        <w:pStyle w:val="Sourcenospacing"/>
        <w:ind w:left="0"/>
      </w:pPr>
      <w:r w:rsidRPr="002B62AD">
        <w:t>Source: PBO analysis.</w:t>
      </w:r>
    </w:p>
    <w:p w14:paraId="588A314E" w14:textId="5B77F95A" w:rsidR="00E26543" w:rsidRPr="00572B63" w:rsidRDefault="00E26543" w:rsidP="00572B63">
      <w:pPr>
        <w:pStyle w:val="Sourcenospacing"/>
        <w:ind w:left="0"/>
        <w:sectPr w:rsidR="00E26543" w:rsidRPr="00572B63" w:rsidSect="00FE6E1D">
          <w:headerReference w:type="even" r:id="rId44"/>
          <w:headerReference w:type="default" r:id="rId45"/>
          <w:footerReference w:type="even" r:id="rId46"/>
          <w:footerReference w:type="default" r:id="rId47"/>
          <w:headerReference w:type="first" r:id="rId48"/>
          <w:pgSz w:w="11907" w:h="16840" w:code="9"/>
          <w:pgMar w:top="1191" w:right="1418" w:bottom="1021" w:left="1418" w:header="567" w:footer="709" w:gutter="0"/>
          <w:cols w:space="708"/>
          <w:docGrid w:linePitch="360"/>
        </w:sectPr>
      </w:pPr>
    </w:p>
    <w:p w14:paraId="289B0064" w14:textId="63F10731" w:rsidR="008502DC" w:rsidRPr="00EB2092" w:rsidRDefault="008502DC" w:rsidP="008502DC">
      <w:pPr>
        <w:pStyle w:val="Heading1NoNumbering"/>
        <w:spacing w:after="360"/>
      </w:pPr>
      <w:bookmarkStart w:id="130" w:name="_Toc58271458"/>
      <w:r w:rsidRPr="00EB2092">
        <w:lastRenderedPageBreak/>
        <w:t xml:space="preserve">Appendix </w:t>
      </w:r>
      <w:r w:rsidR="00595EB2" w:rsidRPr="00EB2092">
        <w:t>E</w:t>
      </w:r>
      <w:r w:rsidR="00B6713F" w:rsidRPr="00EB2092">
        <w:t xml:space="preserve"> – </w:t>
      </w:r>
      <w:r w:rsidRPr="00EB2092">
        <w:t>Changes in fiscal strategy over time</w:t>
      </w:r>
      <w:bookmarkEnd w:id="130"/>
    </w:p>
    <w:tbl>
      <w:tblPr>
        <w:tblW w:w="5000" w:type="pct"/>
        <w:tblLook w:val="04A0" w:firstRow="1" w:lastRow="0" w:firstColumn="1" w:lastColumn="0" w:noHBand="0" w:noVBand="1"/>
      </w:tblPr>
      <w:tblGrid>
        <w:gridCol w:w="1524"/>
        <w:gridCol w:w="1007"/>
        <w:gridCol w:w="3673"/>
        <w:gridCol w:w="4110"/>
        <w:gridCol w:w="1134"/>
        <w:gridCol w:w="2155"/>
        <w:gridCol w:w="1241"/>
      </w:tblGrid>
      <w:tr w:rsidR="00DB63AE" w:rsidRPr="00EB2092" w14:paraId="5FE1FC9D" w14:textId="77777777" w:rsidTr="00942DBA">
        <w:trPr>
          <w:trHeight w:val="510"/>
          <w:tblHeader/>
        </w:trPr>
        <w:tc>
          <w:tcPr>
            <w:tcW w:w="513" w:type="pct"/>
            <w:tcBorders>
              <w:top w:val="single" w:sz="4" w:space="0" w:color="auto"/>
              <w:left w:val="nil"/>
              <w:bottom w:val="single" w:sz="4" w:space="0" w:color="auto"/>
              <w:right w:val="nil"/>
            </w:tcBorders>
            <w:shd w:val="clear" w:color="auto" w:fill="3D4D7D" w:themeFill="background2"/>
            <w:vAlign w:val="bottom"/>
            <w:hideMark/>
          </w:tcPr>
          <w:p w14:paraId="5D6AC216" w14:textId="77777777" w:rsidR="008502DC" w:rsidRPr="00EB2092" w:rsidRDefault="008502DC" w:rsidP="00854550">
            <w:pPr>
              <w:spacing w:line="240" w:lineRule="auto"/>
              <w:rPr>
                <w:rFonts w:ascii="Calibri" w:eastAsia="Times New Roman" w:hAnsi="Calibri" w:cs="Times New Roman"/>
                <w:b/>
                <w:bCs/>
                <w:color w:val="FFFFFF" w:themeColor="background1"/>
                <w:sz w:val="20"/>
                <w:szCs w:val="20"/>
                <w:lang w:eastAsia="en-AU"/>
              </w:rPr>
            </w:pPr>
            <w:r w:rsidRPr="00EB2092">
              <w:rPr>
                <w:rFonts w:ascii="Calibri" w:eastAsia="Times New Roman" w:hAnsi="Calibri" w:cs="Times New Roman"/>
                <w:b/>
                <w:bCs/>
                <w:color w:val="FFFFFF" w:themeColor="background1"/>
                <w:sz w:val="20"/>
                <w:szCs w:val="20"/>
                <w:lang w:eastAsia="en-AU"/>
              </w:rPr>
              <w:t>Budget update</w:t>
            </w:r>
          </w:p>
        </w:tc>
        <w:tc>
          <w:tcPr>
            <w:tcW w:w="339" w:type="pct"/>
            <w:tcBorders>
              <w:top w:val="single" w:sz="4" w:space="0" w:color="auto"/>
              <w:left w:val="nil"/>
              <w:bottom w:val="single" w:sz="4" w:space="0" w:color="auto"/>
              <w:right w:val="nil"/>
            </w:tcBorders>
            <w:shd w:val="clear" w:color="auto" w:fill="3D4D7D" w:themeFill="background2"/>
            <w:vAlign w:val="bottom"/>
            <w:hideMark/>
          </w:tcPr>
          <w:p w14:paraId="63A4A3F3" w14:textId="77777777" w:rsidR="008502DC" w:rsidRPr="00EB2092" w:rsidRDefault="008502DC" w:rsidP="00854550">
            <w:pPr>
              <w:spacing w:line="240" w:lineRule="auto"/>
              <w:rPr>
                <w:rFonts w:ascii="Calibri" w:eastAsia="Times New Roman" w:hAnsi="Calibri" w:cs="Times New Roman"/>
                <w:b/>
                <w:bCs/>
                <w:color w:val="FFFFFF" w:themeColor="background1"/>
                <w:sz w:val="20"/>
                <w:szCs w:val="20"/>
                <w:lang w:eastAsia="en-AU"/>
              </w:rPr>
            </w:pPr>
            <w:r w:rsidRPr="00EB2092">
              <w:rPr>
                <w:rFonts w:ascii="Calibri" w:eastAsia="Times New Roman" w:hAnsi="Calibri" w:cs="Times New Roman"/>
                <w:b/>
                <w:bCs/>
                <w:color w:val="FFFFFF" w:themeColor="background1"/>
                <w:sz w:val="20"/>
                <w:szCs w:val="20"/>
                <w:lang w:eastAsia="en-AU"/>
              </w:rPr>
              <w:t>Strategic focus</w:t>
            </w:r>
          </w:p>
        </w:tc>
        <w:tc>
          <w:tcPr>
            <w:tcW w:w="1237" w:type="pct"/>
            <w:tcBorders>
              <w:top w:val="single" w:sz="4" w:space="0" w:color="auto"/>
              <w:left w:val="nil"/>
              <w:bottom w:val="single" w:sz="4" w:space="0" w:color="auto"/>
              <w:right w:val="nil"/>
            </w:tcBorders>
            <w:shd w:val="clear" w:color="auto" w:fill="3D4D7D" w:themeFill="background2"/>
            <w:vAlign w:val="bottom"/>
            <w:hideMark/>
          </w:tcPr>
          <w:p w14:paraId="3E3298F0" w14:textId="77777777" w:rsidR="008502DC" w:rsidRPr="00EB2092" w:rsidRDefault="008502DC" w:rsidP="00854550">
            <w:pPr>
              <w:spacing w:line="240" w:lineRule="auto"/>
              <w:rPr>
                <w:rFonts w:ascii="Calibri" w:eastAsia="Times New Roman" w:hAnsi="Calibri" w:cs="Times New Roman"/>
                <w:b/>
                <w:bCs/>
                <w:color w:val="FFFFFF" w:themeColor="background1"/>
                <w:sz w:val="20"/>
                <w:szCs w:val="20"/>
                <w:lang w:eastAsia="en-AU"/>
              </w:rPr>
            </w:pPr>
            <w:r w:rsidRPr="00EB2092">
              <w:rPr>
                <w:rFonts w:ascii="Calibri" w:eastAsia="Times New Roman" w:hAnsi="Calibri" w:cs="Times New Roman"/>
                <w:b/>
                <w:bCs/>
                <w:color w:val="FFFFFF" w:themeColor="background1"/>
                <w:sz w:val="20"/>
                <w:szCs w:val="20"/>
                <w:lang w:eastAsia="en-AU"/>
              </w:rPr>
              <w:t xml:space="preserve">Medium term strategy </w:t>
            </w:r>
          </w:p>
        </w:tc>
        <w:tc>
          <w:tcPr>
            <w:tcW w:w="1384" w:type="pct"/>
            <w:tcBorders>
              <w:top w:val="single" w:sz="4" w:space="0" w:color="auto"/>
              <w:left w:val="nil"/>
              <w:bottom w:val="single" w:sz="4" w:space="0" w:color="auto"/>
              <w:right w:val="nil"/>
            </w:tcBorders>
            <w:shd w:val="clear" w:color="auto" w:fill="3D4D7D" w:themeFill="background2"/>
            <w:vAlign w:val="bottom"/>
            <w:hideMark/>
          </w:tcPr>
          <w:p w14:paraId="36220C19" w14:textId="77777777" w:rsidR="008502DC" w:rsidRPr="00EB2092" w:rsidRDefault="008502DC" w:rsidP="00854550">
            <w:pPr>
              <w:spacing w:line="240" w:lineRule="auto"/>
              <w:rPr>
                <w:rFonts w:ascii="Calibri" w:eastAsia="Times New Roman" w:hAnsi="Calibri" w:cs="Times New Roman"/>
                <w:b/>
                <w:bCs/>
                <w:color w:val="FFFFFF" w:themeColor="background1"/>
                <w:sz w:val="20"/>
                <w:szCs w:val="20"/>
                <w:lang w:eastAsia="en-AU"/>
              </w:rPr>
            </w:pPr>
            <w:r w:rsidRPr="00EB2092">
              <w:rPr>
                <w:rFonts w:ascii="Calibri" w:eastAsia="Times New Roman" w:hAnsi="Calibri" w:cs="Times New Roman"/>
                <w:b/>
                <w:bCs/>
                <w:color w:val="FFFFFF" w:themeColor="background1"/>
                <w:sz w:val="20"/>
                <w:szCs w:val="20"/>
                <w:lang w:eastAsia="en-AU"/>
              </w:rPr>
              <w:t>Goal</w:t>
            </w:r>
          </w:p>
        </w:tc>
        <w:tc>
          <w:tcPr>
            <w:tcW w:w="382" w:type="pct"/>
            <w:tcBorders>
              <w:top w:val="single" w:sz="4" w:space="0" w:color="auto"/>
              <w:left w:val="nil"/>
              <w:bottom w:val="single" w:sz="4" w:space="0" w:color="auto"/>
              <w:right w:val="nil"/>
            </w:tcBorders>
            <w:shd w:val="clear" w:color="auto" w:fill="3D4D7D" w:themeFill="background2"/>
            <w:vAlign w:val="bottom"/>
            <w:hideMark/>
          </w:tcPr>
          <w:p w14:paraId="5336FDE9" w14:textId="77777777" w:rsidR="008502DC" w:rsidRPr="00EB2092" w:rsidRDefault="008502DC" w:rsidP="00854550">
            <w:pPr>
              <w:spacing w:line="240" w:lineRule="auto"/>
              <w:rPr>
                <w:rFonts w:ascii="Calibri" w:eastAsia="Times New Roman" w:hAnsi="Calibri" w:cs="Times New Roman"/>
                <w:b/>
                <w:bCs/>
                <w:color w:val="FFFFFF" w:themeColor="background1"/>
                <w:sz w:val="20"/>
                <w:szCs w:val="20"/>
                <w:lang w:eastAsia="en-AU"/>
              </w:rPr>
            </w:pPr>
            <w:r w:rsidRPr="00EB2092">
              <w:rPr>
                <w:rFonts w:ascii="Calibri" w:eastAsia="Times New Roman" w:hAnsi="Calibri" w:cs="Times New Roman"/>
                <w:b/>
                <w:bCs/>
                <w:color w:val="FFFFFF" w:themeColor="background1"/>
                <w:sz w:val="20"/>
                <w:szCs w:val="20"/>
                <w:lang w:eastAsia="en-AU"/>
              </w:rPr>
              <w:t>Metric</w:t>
            </w:r>
          </w:p>
        </w:tc>
        <w:tc>
          <w:tcPr>
            <w:tcW w:w="726" w:type="pct"/>
            <w:tcBorders>
              <w:top w:val="single" w:sz="4" w:space="0" w:color="auto"/>
              <w:left w:val="nil"/>
              <w:bottom w:val="single" w:sz="4" w:space="0" w:color="auto"/>
              <w:right w:val="nil"/>
            </w:tcBorders>
            <w:shd w:val="clear" w:color="auto" w:fill="3D4D7D" w:themeFill="background2"/>
            <w:vAlign w:val="bottom"/>
            <w:hideMark/>
          </w:tcPr>
          <w:p w14:paraId="7FB7C3E2" w14:textId="77777777" w:rsidR="008502DC" w:rsidRPr="00EB2092" w:rsidRDefault="008502DC" w:rsidP="00854550">
            <w:pPr>
              <w:spacing w:line="240" w:lineRule="auto"/>
              <w:rPr>
                <w:rFonts w:ascii="Calibri" w:eastAsia="Times New Roman" w:hAnsi="Calibri" w:cs="Times New Roman"/>
                <w:b/>
                <w:bCs/>
                <w:color w:val="FFFFFF" w:themeColor="background1"/>
                <w:sz w:val="20"/>
                <w:szCs w:val="20"/>
                <w:lang w:eastAsia="en-AU"/>
              </w:rPr>
            </w:pPr>
            <w:r w:rsidRPr="00EB2092">
              <w:rPr>
                <w:rFonts w:ascii="Calibri" w:eastAsia="Times New Roman" w:hAnsi="Calibri" w:cs="Times New Roman"/>
                <w:b/>
                <w:bCs/>
                <w:color w:val="FFFFFF" w:themeColor="background1"/>
                <w:sz w:val="20"/>
                <w:szCs w:val="20"/>
                <w:lang w:eastAsia="en-AU"/>
              </w:rPr>
              <w:t>Note</w:t>
            </w:r>
          </w:p>
        </w:tc>
        <w:tc>
          <w:tcPr>
            <w:tcW w:w="418" w:type="pct"/>
            <w:tcBorders>
              <w:top w:val="single" w:sz="4" w:space="0" w:color="auto"/>
              <w:left w:val="nil"/>
              <w:bottom w:val="single" w:sz="4" w:space="0" w:color="auto"/>
              <w:right w:val="nil"/>
            </w:tcBorders>
            <w:shd w:val="clear" w:color="auto" w:fill="3D4D7D" w:themeFill="background2"/>
            <w:vAlign w:val="bottom"/>
            <w:hideMark/>
          </w:tcPr>
          <w:p w14:paraId="47E2B90D" w14:textId="77777777" w:rsidR="008502DC" w:rsidRPr="00EB2092" w:rsidRDefault="008502DC" w:rsidP="00854550">
            <w:pPr>
              <w:spacing w:line="240" w:lineRule="auto"/>
              <w:rPr>
                <w:rFonts w:ascii="Calibri" w:eastAsia="Times New Roman" w:hAnsi="Calibri" w:cs="Times New Roman"/>
                <w:b/>
                <w:bCs/>
                <w:color w:val="FFFFFF" w:themeColor="background1"/>
                <w:sz w:val="20"/>
                <w:szCs w:val="20"/>
                <w:lang w:eastAsia="en-AU"/>
              </w:rPr>
            </w:pPr>
            <w:r w:rsidRPr="00EB2092">
              <w:rPr>
                <w:rFonts w:ascii="Calibri" w:eastAsia="Times New Roman" w:hAnsi="Calibri" w:cs="Times New Roman"/>
                <w:b/>
                <w:bCs/>
                <w:color w:val="FFFFFF" w:themeColor="background1"/>
                <w:sz w:val="20"/>
                <w:szCs w:val="20"/>
                <w:lang w:eastAsia="en-AU"/>
              </w:rPr>
              <w:t>Source</w:t>
            </w:r>
          </w:p>
        </w:tc>
      </w:tr>
      <w:tr w:rsidR="00DB63AE" w:rsidRPr="00EB2092" w14:paraId="6802443D" w14:textId="77777777" w:rsidTr="00942DBA">
        <w:trPr>
          <w:trHeight w:val="699"/>
        </w:trPr>
        <w:tc>
          <w:tcPr>
            <w:tcW w:w="513" w:type="pct"/>
            <w:tcBorders>
              <w:top w:val="nil"/>
              <w:left w:val="nil"/>
              <w:bottom w:val="single" w:sz="4" w:space="0" w:color="auto"/>
              <w:right w:val="nil"/>
            </w:tcBorders>
            <w:shd w:val="clear" w:color="auto" w:fill="auto"/>
            <w:vAlign w:val="center"/>
            <w:hideMark/>
          </w:tcPr>
          <w:p w14:paraId="7BA50B84" w14:textId="77777777"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2014-15 Budget</w:t>
            </w:r>
          </w:p>
        </w:tc>
        <w:tc>
          <w:tcPr>
            <w:tcW w:w="339" w:type="pct"/>
            <w:tcBorders>
              <w:top w:val="nil"/>
              <w:left w:val="nil"/>
              <w:bottom w:val="single" w:sz="4" w:space="0" w:color="auto"/>
              <w:right w:val="nil"/>
            </w:tcBorders>
            <w:shd w:val="clear" w:color="auto" w:fill="auto"/>
            <w:vAlign w:val="center"/>
            <w:hideMark/>
          </w:tcPr>
          <w:p w14:paraId="05B7CA28" w14:textId="77777777"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Budget repair</w:t>
            </w:r>
          </w:p>
        </w:tc>
        <w:tc>
          <w:tcPr>
            <w:tcW w:w="1237" w:type="pct"/>
            <w:tcBorders>
              <w:top w:val="nil"/>
              <w:left w:val="nil"/>
              <w:bottom w:val="single" w:sz="4" w:space="0" w:color="auto"/>
              <w:right w:val="nil"/>
            </w:tcBorders>
            <w:shd w:val="clear" w:color="auto" w:fill="auto"/>
            <w:vAlign w:val="center"/>
            <w:hideMark/>
          </w:tcPr>
          <w:p w14:paraId="76D3161A" w14:textId="7D84A292"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Medium term fiscal strategy is to achieve budget surpluses, on average, over the course of the economic cycle</w:t>
            </w:r>
          </w:p>
        </w:tc>
        <w:tc>
          <w:tcPr>
            <w:tcW w:w="1384" w:type="pct"/>
            <w:tcBorders>
              <w:top w:val="nil"/>
              <w:left w:val="nil"/>
              <w:bottom w:val="single" w:sz="4" w:space="0" w:color="auto"/>
              <w:right w:val="nil"/>
            </w:tcBorders>
            <w:shd w:val="clear" w:color="auto" w:fill="auto"/>
            <w:vAlign w:val="center"/>
            <w:hideMark/>
          </w:tcPr>
          <w:p w14:paraId="1B03DEC8" w14:textId="77777777"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To deliver budget surpluses building to at least 1 per cent of GDP by 2023-24</w:t>
            </w:r>
          </w:p>
        </w:tc>
        <w:tc>
          <w:tcPr>
            <w:tcW w:w="382" w:type="pct"/>
            <w:tcBorders>
              <w:top w:val="nil"/>
              <w:left w:val="nil"/>
              <w:bottom w:val="single" w:sz="4" w:space="0" w:color="auto"/>
              <w:right w:val="nil"/>
            </w:tcBorders>
            <w:shd w:val="clear" w:color="auto" w:fill="auto"/>
            <w:vAlign w:val="center"/>
            <w:hideMark/>
          </w:tcPr>
          <w:p w14:paraId="7E865161" w14:textId="77777777"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Surplus as % of GDP</w:t>
            </w:r>
          </w:p>
        </w:tc>
        <w:tc>
          <w:tcPr>
            <w:tcW w:w="726" w:type="pct"/>
            <w:tcBorders>
              <w:top w:val="nil"/>
              <w:left w:val="nil"/>
              <w:bottom w:val="single" w:sz="4" w:space="0" w:color="auto"/>
              <w:right w:val="nil"/>
            </w:tcBorders>
            <w:shd w:val="clear" w:color="auto" w:fill="auto"/>
            <w:vAlign w:val="center"/>
            <w:hideMark/>
          </w:tcPr>
          <w:p w14:paraId="01ECF552" w14:textId="77777777"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Target date of 2023-24, end of MT</w:t>
            </w:r>
          </w:p>
        </w:tc>
        <w:tc>
          <w:tcPr>
            <w:tcW w:w="418" w:type="pct"/>
            <w:tcBorders>
              <w:top w:val="nil"/>
              <w:left w:val="nil"/>
              <w:bottom w:val="single" w:sz="4" w:space="0" w:color="auto"/>
              <w:right w:val="nil"/>
            </w:tcBorders>
            <w:shd w:val="clear" w:color="auto" w:fill="auto"/>
            <w:vAlign w:val="center"/>
            <w:hideMark/>
          </w:tcPr>
          <w:p w14:paraId="7A8C00A9" w14:textId="5687EE96"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 xml:space="preserve"> BP 1, p. 3</w:t>
            </w:r>
            <w:r w:rsidR="00451BC5">
              <w:rPr>
                <w:rFonts w:ascii="Calibri" w:eastAsia="Times New Roman" w:hAnsi="Calibri" w:cs="Times New Roman"/>
                <w:color w:val="000000"/>
                <w:sz w:val="20"/>
                <w:szCs w:val="20"/>
                <w:lang w:eastAsia="en-AU"/>
              </w:rPr>
              <w:noBreakHyphen/>
            </w:r>
            <w:r w:rsidRPr="00EB2092">
              <w:rPr>
                <w:rFonts w:ascii="Calibri" w:eastAsia="Times New Roman" w:hAnsi="Calibri" w:cs="Times New Roman"/>
                <w:color w:val="000000"/>
                <w:sz w:val="20"/>
                <w:szCs w:val="20"/>
                <w:lang w:eastAsia="en-AU"/>
              </w:rPr>
              <w:t>7 (Box 1)</w:t>
            </w:r>
          </w:p>
        </w:tc>
      </w:tr>
      <w:tr w:rsidR="00DB63AE" w:rsidRPr="00EB2092" w14:paraId="1B941D90" w14:textId="77777777" w:rsidTr="00942DBA">
        <w:trPr>
          <w:trHeight w:val="624"/>
        </w:trPr>
        <w:tc>
          <w:tcPr>
            <w:tcW w:w="513" w:type="pct"/>
            <w:tcBorders>
              <w:top w:val="nil"/>
              <w:left w:val="nil"/>
              <w:bottom w:val="single" w:sz="4" w:space="0" w:color="auto"/>
              <w:right w:val="nil"/>
            </w:tcBorders>
            <w:shd w:val="clear" w:color="auto" w:fill="auto"/>
            <w:vAlign w:val="center"/>
            <w:hideMark/>
          </w:tcPr>
          <w:p w14:paraId="3A00B7B2" w14:textId="77777777"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2015-16 Budget</w:t>
            </w:r>
          </w:p>
        </w:tc>
        <w:tc>
          <w:tcPr>
            <w:tcW w:w="339" w:type="pct"/>
            <w:tcBorders>
              <w:top w:val="nil"/>
              <w:left w:val="nil"/>
              <w:bottom w:val="single" w:sz="4" w:space="0" w:color="auto"/>
              <w:right w:val="nil"/>
            </w:tcBorders>
            <w:shd w:val="clear" w:color="auto" w:fill="auto"/>
            <w:vAlign w:val="center"/>
            <w:hideMark/>
          </w:tcPr>
          <w:p w14:paraId="4893F1D8" w14:textId="77777777"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Budget repair</w:t>
            </w:r>
          </w:p>
        </w:tc>
        <w:tc>
          <w:tcPr>
            <w:tcW w:w="1237" w:type="pct"/>
            <w:tcBorders>
              <w:top w:val="nil"/>
              <w:left w:val="nil"/>
              <w:bottom w:val="single" w:sz="4" w:space="0" w:color="auto"/>
              <w:right w:val="nil"/>
            </w:tcBorders>
            <w:shd w:val="clear" w:color="auto" w:fill="auto"/>
            <w:vAlign w:val="center"/>
            <w:hideMark/>
          </w:tcPr>
          <w:p w14:paraId="6EB1BE90" w14:textId="15CD3C07"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Medium term fiscal strategy is to achieve budget surpluses, on average, over the course of the economic cycle</w:t>
            </w:r>
          </w:p>
        </w:tc>
        <w:tc>
          <w:tcPr>
            <w:tcW w:w="1384" w:type="pct"/>
            <w:tcBorders>
              <w:top w:val="nil"/>
              <w:left w:val="nil"/>
              <w:bottom w:val="single" w:sz="4" w:space="0" w:color="auto"/>
              <w:right w:val="nil"/>
            </w:tcBorders>
            <w:shd w:val="clear" w:color="auto" w:fill="auto"/>
            <w:vAlign w:val="center"/>
            <w:hideMark/>
          </w:tcPr>
          <w:p w14:paraId="33E88503" w14:textId="77777777"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To deliver budget surpluses building to at least 1 per cent of GDP by 2023-24</w:t>
            </w:r>
          </w:p>
        </w:tc>
        <w:tc>
          <w:tcPr>
            <w:tcW w:w="382" w:type="pct"/>
            <w:tcBorders>
              <w:top w:val="nil"/>
              <w:left w:val="nil"/>
              <w:bottom w:val="single" w:sz="4" w:space="0" w:color="auto"/>
              <w:right w:val="nil"/>
            </w:tcBorders>
            <w:shd w:val="clear" w:color="auto" w:fill="auto"/>
            <w:vAlign w:val="center"/>
            <w:hideMark/>
          </w:tcPr>
          <w:p w14:paraId="7A4390BD" w14:textId="77777777"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Surplus as % of GDP</w:t>
            </w:r>
          </w:p>
        </w:tc>
        <w:tc>
          <w:tcPr>
            <w:tcW w:w="726" w:type="pct"/>
            <w:tcBorders>
              <w:top w:val="nil"/>
              <w:left w:val="nil"/>
              <w:bottom w:val="single" w:sz="4" w:space="0" w:color="auto"/>
              <w:right w:val="nil"/>
            </w:tcBorders>
            <w:shd w:val="clear" w:color="auto" w:fill="auto"/>
            <w:vAlign w:val="center"/>
            <w:hideMark/>
          </w:tcPr>
          <w:p w14:paraId="0D149BE6" w14:textId="77777777"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Target date of 2023-24, end of MT</w:t>
            </w:r>
          </w:p>
        </w:tc>
        <w:tc>
          <w:tcPr>
            <w:tcW w:w="418" w:type="pct"/>
            <w:tcBorders>
              <w:top w:val="nil"/>
              <w:left w:val="nil"/>
              <w:bottom w:val="single" w:sz="4" w:space="0" w:color="auto"/>
              <w:right w:val="nil"/>
            </w:tcBorders>
            <w:shd w:val="clear" w:color="auto" w:fill="auto"/>
            <w:vAlign w:val="center"/>
            <w:hideMark/>
          </w:tcPr>
          <w:p w14:paraId="6AAD75FB" w14:textId="37D8DCC4"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BP 1, p. 3</w:t>
            </w:r>
            <w:r w:rsidR="00451BC5">
              <w:rPr>
                <w:rFonts w:ascii="Calibri" w:eastAsia="Times New Roman" w:hAnsi="Calibri" w:cs="Times New Roman"/>
                <w:color w:val="000000"/>
                <w:sz w:val="20"/>
                <w:szCs w:val="20"/>
                <w:lang w:eastAsia="en-AU"/>
              </w:rPr>
              <w:noBreakHyphen/>
            </w:r>
            <w:r w:rsidRPr="00EB2092">
              <w:rPr>
                <w:rFonts w:ascii="Calibri" w:eastAsia="Times New Roman" w:hAnsi="Calibri" w:cs="Times New Roman"/>
                <w:color w:val="000000"/>
                <w:sz w:val="20"/>
                <w:szCs w:val="20"/>
                <w:lang w:eastAsia="en-AU"/>
              </w:rPr>
              <w:t>4 (Box 1)</w:t>
            </w:r>
          </w:p>
        </w:tc>
      </w:tr>
      <w:tr w:rsidR="00DB63AE" w:rsidRPr="00EB2092" w14:paraId="414288E9" w14:textId="77777777" w:rsidTr="00942DBA">
        <w:trPr>
          <w:trHeight w:val="765"/>
        </w:trPr>
        <w:tc>
          <w:tcPr>
            <w:tcW w:w="513" w:type="pct"/>
            <w:tcBorders>
              <w:top w:val="nil"/>
              <w:left w:val="nil"/>
              <w:bottom w:val="single" w:sz="4" w:space="0" w:color="auto"/>
              <w:right w:val="nil"/>
            </w:tcBorders>
            <w:shd w:val="clear" w:color="auto" w:fill="auto"/>
            <w:noWrap/>
            <w:vAlign w:val="center"/>
            <w:hideMark/>
          </w:tcPr>
          <w:p w14:paraId="1C3EEF10" w14:textId="77777777"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2015-16 MYEFO</w:t>
            </w:r>
          </w:p>
        </w:tc>
        <w:tc>
          <w:tcPr>
            <w:tcW w:w="339" w:type="pct"/>
            <w:tcBorders>
              <w:top w:val="nil"/>
              <w:left w:val="nil"/>
              <w:bottom w:val="single" w:sz="4" w:space="0" w:color="auto"/>
              <w:right w:val="nil"/>
            </w:tcBorders>
            <w:shd w:val="clear" w:color="auto" w:fill="auto"/>
            <w:vAlign w:val="center"/>
            <w:hideMark/>
          </w:tcPr>
          <w:p w14:paraId="3565F2CF" w14:textId="77777777"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Budget repair</w:t>
            </w:r>
          </w:p>
        </w:tc>
        <w:tc>
          <w:tcPr>
            <w:tcW w:w="1237" w:type="pct"/>
            <w:tcBorders>
              <w:top w:val="nil"/>
              <w:left w:val="nil"/>
              <w:bottom w:val="single" w:sz="4" w:space="0" w:color="auto"/>
              <w:right w:val="nil"/>
            </w:tcBorders>
            <w:shd w:val="clear" w:color="auto" w:fill="auto"/>
            <w:vAlign w:val="center"/>
            <w:hideMark/>
          </w:tcPr>
          <w:p w14:paraId="2320B94E" w14:textId="685B68B8"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Medium term fiscal strategy is to achieve budget surpluses, on average, over the course of the economic cycle</w:t>
            </w:r>
          </w:p>
        </w:tc>
        <w:tc>
          <w:tcPr>
            <w:tcW w:w="1384" w:type="pct"/>
            <w:tcBorders>
              <w:top w:val="nil"/>
              <w:left w:val="nil"/>
              <w:bottom w:val="single" w:sz="4" w:space="0" w:color="auto"/>
              <w:right w:val="nil"/>
            </w:tcBorders>
            <w:shd w:val="clear" w:color="auto" w:fill="auto"/>
            <w:vAlign w:val="center"/>
            <w:hideMark/>
          </w:tcPr>
          <w:p w14:paraId="3971B177" w14:textId="77777777"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To deliver budget surpluses building to at least 1 per cent of GDP as soon as possible</w:t>
            </w:r>
          </w:p>
        </w:tc>
        <w:tc>
          <w:tcPr>
            <w:tcW w:w="382" w:type="pct"/>
            <w:tcBorders>
              <w:top w:val="nil"/>
              <w:left w:val="nil"/>
              <w:bottom w:val="single" w:sz="4" w:space="0" w:color="auto"/>
              <w:right w:val="nil"/>
            </w:tcBorders>
            <w:shd w:val="clear" w:color="auto" w:fill="auto"/>
            <w:vAlign w:val="center"/>
            <w:hideMark/>
          </w:tcPr>
          <w:p w14:paraId="59B1EAAF" w14:textId="77777777"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Surplus as % of GDP</w:t>
            </w:r>
          </w:p>
        </w:tc>
        <w:tc>
          <w:tcPr>
            <w:tcW w:w="726" w:type="pct"/>
            <w:tcBorders>
              <w:top w:val="nil"/>
              <w:left w:val="nil"/>
              <w:bottom w:val="single" w:sz="4" w:space="0" w:color="auto"/>
              <w:right w:val="nil"/>
            </w:tcBorders>
            <w:shd w:val="clear" w:color="auto" w:fill="auto"/>
            <w:vAlign w:val="center"/>
            <w:hideMark/>
          </w:tcPr>
          <w:p w14:paraId="19852E38" w14:textId="77777777"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 xml:space="preserve">No target date </w:t>
            </w:r>
          </w:p>
        </w:tc>
        <w:tc>
          <w:tcPr>
            <w:tcW w:w="418" w:type="pct"/>
            <w:tcBorders>
              <w:top w:val="nil"/>
              <w:left w:val="nil"/>
              <w:bottom w:val="single" w:sz="4" w:space="0" w:color="auto"/>
              <w:right w:val="nil"/>
            </w:tcBorders>
            <w:shd w:val="clear" w:color="auto" w:fill="auto"/>
            <w:vAlign w:val="center"/>
            <w:hideMark/>
          </w:tcPr>
          <w:p w14:paraId="254ACA60" w14:textId="4FA463B8"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 xml:space="preserve">MYEFO, </w:t>
            </w:r>
            <w:r w:rsidR="00942DBA">
              <w:rPr>
                <w:rFonts w:ascii="Calibri" w:eastAsia="Times New Roman" w:hAnsi="Calibri" w:cs="Times New Roman"/>
                <w:color w:val="000000"/>
                <w:sz w:val="20"/>
                <w:szCs w:val="20"/>
                <w:lang w:eastAsia="en-AU"/>
              </w:rPr>
              <w:br/>
            </w:r>
            <w:r w:rsidRPr="00EB2092">
              <w:rPr>
                <w:rFonts w:ascii="Calibri" w:eastAsia="Times New Roman" w:hAnsi="Calibri" w:cs="Times New Roman"/>
                <w:color w:val="000000"/>
                <w:sz w:val="20"/>
                <w:szCs w:val="20"/>
                <w:lang w:eastAsia="en-AU"/>
              </w:rPr>
              <w:t>p. 18.</w:t>
            </w:r>
          </w:p>
        </w:tc>
      </w:tr>
      <w:tr w:rsidR="00DB63AE" w:rsidRPr="00EB2092" w14:paraId="53E0C658" w14:textId="77777777" w:rsidTr="00942DBA">
        <w:trPr>
          <w:trHeight w:val="633"/>
        </w:trPr>
        <w:tc>
          <w:tcPr>
            <w:tcW w:w="513" w:type="pct"/>
            <w:tcBorders>
              <w:top w:val="nil"/>
              <w:left w:val="nil"/>
              <w:bottom w:val="single" w:sz="4" w:space="0" w:color="auto"/>
              <w:right w:val="nil"/>
            </w:tcBorders>
            <w:shd w:val="clear" w:color="auto" w:fill="auto"/>
            <w:vAlign w:val="center"/>
            <w:hideMark/>
          </w:tcPr>
          <w:p w14:paraId="308B29CA" w14:textId="77777777"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2016-17 Budget</w:t>
            </w:r>
          </w:p>
        </w:tc>
        <w:tc>
          <w:tcPr>
            <w:tcW w:w="339" w:type="pct"/>
            <w:tcBorders>
              <w:top w:val="nil"/>
              <w:left w:val="nil"/>
              <w:bottom w:val="single" w:sz="4" w:space="0" w:color="auto"/>
              <w:right w:val="nil"/>
            </w:tcBorders>
            <w:shd w:val="clear" w:color="auto" w:fill="auto"/>
            <w:vAlign w:val="center"/>
            <w:hideMark/>
          </w:tcPr>
          <w:p w14:paraId="65CEE75F" w14:textId="77777777"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Budget repair</w:t>
            </w:r>
          </w:p>
        </w:tc>
        <w:tc>
          <w:tcPr>
            <w:tcW w:w="1237" w:type="pct"/>
            <w:tcBorders>
              <w:top w:val="nil"/>
              <w:left w:val="nil"/>
              <w:bottom w:val="single" w:sz="4" w:space="0" w:color="auto"/>
              <w:right w:val="nil"/>
            </w:tcBorders>
            <w:shd w:val="clear" w:color="auto" w:fill="auto"/>
            <w:vAlign w:val="center"/>
            <w:hideMark/>
          </w:tcPr>
          <w:p w14:paraId="4D8F222B" w14:textId="645DA68F"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Medium term fiscal strategy is to achieve budget surpluses, on average, over the course of the economic cycle</w:t>
            </w:r>
          </w:p>
        </w:tc>
        <w:tc>
          <w:tcPr>
            <w:tcW w:w="1384" w:type="pct"/>
            <w:tcBorders>
              <w:top w:val="nil"/>
              <w:left w:val="nil"/>
              <w:bottom w:val="single" w:sz="4" w:space="0" w:color="auto"/>
              <w:right w:val="nil"/>
            </w:tcBorders>
            <w:shd w:val="clear" w:color="auto" w:fill="auto"/>
            <w:vAlign w:val="center"/>
            <w:hideMark/>
          </w:tcPr>
          <w:p w14:paraId="071EB2BA" w14:textId="77777777"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To deliver budget surpluses building to at least 1 per cent of GDP as soon as possible</w:t>
            </w:r>
          </w:p>
        </w:tc>
        <w:tc>
          <w:tcPr>
            <w:tcW w:w="382" w:type="pct"/>
            <w:tcBorders>
              <w:top w:val="nil"/>
              <w:left w:val="nil"/>
              <w:bottom w:val="single" w:sz="4" w:space="0" w:color="auto"/>
              <w:right w:val="nil"/>
            </w:tcBorders>
            <w:shd w:val="clear" w:color="auto" w:fill="auto"/>
            <w:vAlign w:val="center"/>
            <w:hideMark/>
          </w:tcPr>
          <w:p w14:paraId="3FBB3AA6" w14:textId="77777777"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Surplus as % of GDP</w:t>
            </w:r>
          </w:p>
        </w:tc>
        <w:tc>
          <w:tcPr>
            <w:tcW w:w="726" w:type="pct"/>
            <w:tcBorders>
              <w:top w:val="nil"/>
              <w:left w:val="nil"/>
              <w:bottom w:val="single" w:sz="4" w:space="0" w:color="auto"/>
              <w:right w:val="nil"/>
            </w:tcBorders>
            <w:shd w:val="clear" w:color="auto" w:fill="auto"/>
            <w:vAlign w:val="center"/>
            <w:hideMark/>
          </w:tcPr>
          <w:p w14:paraId="0CC5CB2C" w14:textId="77777777"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 xml:space="preserve">No target date </w:t>
            </w:r>
          </w:p>
        </w:tc>
        <w:tc>
          <w:tcPr>
            <w:tcW w:w="418" w:type="pct"/>
            <w:tcBorders>
              <w:top w:val="nil"/>
              <w:left w:val="nil"/>
              <w:bottom w:val="single" w:sz="4" w:space="0" w:color="auto"/>
              <w:right w:val="nil"/>
            </w:tcBorders>
            <w:shd w:val="clear" w:color="auto" w:fill="auto"/>
            <w:vAlign w:val="center"/>
            <w:hideMark/>
          </w:tcPr>
          <w:p w14:paraId="1B101ACC" w14:textId="77777777"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BP1, p. 3-7 (Box 1)</w:t>
            </w:r>
          </w:p>
        </w:tc>
      </w:tr>
      <w:tr w:rsidR="00DB63AE" w:rsidRPr="00EB2092" w14:paraId="742E09D2" w14:textId="77777777" w:rsidTr="00942DBA">
        <w:trPr>
          <w:trHeight w:val="765"/>
        </w:trPr>
        <w:tc>
          <w:tcPr>
            <w:tcW w:w="513" w:type="pct"/>
            <w:tcBorders>
              <w:top w:val="nil"/>
              <w:left w:val="nil"/>
              <w:bottom w:val="single" w:sz="4" w:space="0" w:color="auto"/>
              <w:right w:val="nil"/>
            </w:tcBorders>
            <w:shd w:val="clear" w:color="auto" w:fill="auto"/>
            <w:vAlign w:val="center"/>
            <w:hideMark/>
          </w:tcPr>
          <w:p w14:paraId="71260DAF" w14:textId="77777777"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2017-18 Budget</w:t>
            </w:r>
          </w:p>
        </w:tc>
        <w:tc>
          <w:tcPr>
            <w:tcW w:w="339" w:type="pct"/>
            <w:tcBorders>
              <w:top w:val="nil"/>
              <w:left w:val="nil"/>
              <w:bottom w:val="single" w:sz="4" w:space="0" w:color="auto"/>
              <w:right w:val="nil"/>
            </w:tcBorders>
            <w:shd w:val="clear" w:color="auto" w:fill="auto"/>
            <w:vAlign w:val="center"/>
            <w:hideMark/>
          </w:tcPr>
          <w:p w14:paraId="5BE7EC1B" w14:textId="77777777"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Budget repair</w:t>
            </w:r>
          </w:p>
        </w:tc>
        <w:tc>
          <w:tcPr>
            <w:tcW w:w="1237" w:type="pct"/>
            <w:tcBorders>
              <w:top w:val="nil"/>
              <w:left w:val="nil"/>
              <w:bottom w:val="single" w:sz="4" w:space="0" w:color="auto"/>
              <w:right w:val="nil"/>
            </w:tcBorders>
            <w:shd w:val="clear" w:color="auto" w:fill="auto"/>
            <w:vAlign w:val="center"/>
            <w:hideMark/>
          </w:tcPr>
          <w:p w14:paraId="6B59B979" w14:textId="77CBAEF6"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Medium term fiscal strategy is to achieve budget surpluses, on average, over the course of the economic cycle</w:t>
            </w:r>
          </w:p>
        </w:tc>
        <w:tc>
          <w:tcPr>
            <w:tcW w:w="1384" w:type="pct"/>
            <w:tcBorders>
              <w:top w:val="nil"/>
              <w:left w:val="nil"/>
              <w:bottom w:val="single" w:sz="4" w:space="0" w:color="auto"/>
              <w:right w:val="nil"/>
            </w:tcBorders>
            <w:shd w:val="clear" w:color="auto" w:fill="auto"/>
            <w:vAlign w:val="center"/>
            <w:hideMark/>
          </w:tcPr>
          <w:p w14:paraId="6C2D45D9" w14:textId="77777777"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To deliver budget surpluses building to at least 1 per cent of GDP as soon as possible</w:t>
            </w:r>
          </w:p>
        </w:tc>
        <w:tc>
          <w:tcPr>
            <w:tcW w:w="382" w:type="pct"/>
            <w:tcBorders>
              <w:top w:val="nil"/>
              <w:left w:val="nil"/>
              <w:bottom w:val="single" w:sz="4" w:space="0" w:color="auto"/>
              <w:right w:val="nil"/>
            </w:tcBorders>
            <w:shd w:val="clear" w:color="auto" w:fill="auto"/>
            <w:vAlign w:val="center"/>
            <w:hideMark/>
          </w:tcPr>
          <w:p w14:paraId="1FDD8F71" w14:textId="77777777"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Surplus as % of GDP</w:t>
            </w:r>
          </w:p>
        </w:tc>
        <w:tc>
          <w:tcPr>
            <w:tcW w:w="726" w:type="pct"/>
            <w:tcBorders>
              <w:top w:val="nil"/>
              <w:left w:val="nil"/>
              <w:bottom w:val="single" w:sz="4" w:space="0" w:color="auto"/>
              <w:right w:val="nil"/>
            </w:tcBorders>
            <w:shd w:val="clear" w:color="auto" w:fill="auto"/>
            <w:vAlign w:val="center"/>
            <w:hideMark/>
          </w:tcPr>
          <w:p w14:paraId="11D4B466" w14:textId="77777777"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 xml:space="preserve">No target date </w:t>
            </w:r>
          </w:p>
        </w:tc>
        <w:tc>
          <w:tcPr>
            <w:tcW w:w="418" w:type="pct"/>
            <w:tcBorders>
              <w:top w:val="nil"/>
              <w:left w:val="nil"/>
              <w:bottom w:val="single" w:sz="4" w:space="0" w:color="auto"/>
              <w:right w:val="nil"/>
            </w:tcBorders>
            <w:shd w:val="clear" w:color="auto" w:fill="auto"/>
            <w:vAlign w:val="center"/>
            <w:hideMark/>
          </w:tcPr>
          <w:p w14:paraId="2819786F" w14:textId="77777777"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BP1, p. 3-7 (Box 1)</w:t>
            </w:r>
          </w:p>
        </w:tc>
      </w:tr>
      <w:tr w:rsidR="00DB63AE" w:rsidRPr="00EB2092" w14:paraId="568F02BD" w14:textId="77777777" w:rsidTr="00942DBA">
        <w:trPr>
          <w:trHeight w:val="654"/>
        </w:trPr>
        <w:tc>
          <w:tcPr>
            <w:tcW w:w="513" w:type="pct"/>
            <w:tcBorders>
              <w:top w:val="nil"/>
              <w:left w:val="nil"/>
              <w:bottom w:val="single" w:sz="4" w:space="0" w:color="auto"/>
              <w:right w:val="nil"/>
            </w:tcBorders>
            <w:shd w:val="clear" w:color="auto" w:fill="auto"/>
            <w:vAlign w:val="center"/>
            <w:hideMark/>
          </w:tcPr>
          <w:p w14:paraId="253BB2C7" w14:textId="77777777"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2018-19 Budget</w:t>
            </w:r>
          </w:p>
        </w:tc>
        <w:tc>
          <w:tcPr>
            <w:tcW w:w="339" w:type="pct"/>
            <w:tcBorders>
              <w:top w:val="nil"/>
              <w:left w:val="nil"/>
              <w:bottom w:val="single" w:sz="4" w:space="0" w:color="auto"/>
              <w:right w:val="nil"/>
            </w:tcBorders>
            <w:shd w:val="clear" w:color="auto" w:fill="auto"/>
            <w:vAlign w:val="center"/>
            <w:hideMark/>
          </w:tcPr>
          <w:p w14:paraId="7E464EEF" w14:textId="77777777"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Budget repair</w:t>
            </w:r>
          </w:p>
        </w:tc>
        <w:tc>
          <w:tcPr>
            <w:tcW w:w="1237" w:type="pct"/>
            <w:tcBorders>
              <w:top w:val="nil"/>
              <w:left w:val="nil"/>
              <w:bottom w:val="single" w:sz="4" w:space="0" w:color="auto"/>
              <w:right w:val="nil"/>
            </w:tcBorders>
            <w:shd w:val="clear" w:color="auto" w:fill="auto"/>
            <w:vAlign w:val="center"/>
            <w:hideMark/>
          </w:tcPr>
          <w:p w14:paraId="6A4F3470" w14:textId="4331CB92"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Medium term fiscal strategy is to achieve budget surpluses, on average, over the course of the economic cycle</w:t>
            </w:r>
          </w:p>
        </w:tc>
        <w:tc>
          <w:tcPr>
            <w:tcW w:w="1384" w:type="pct"/>
            <w:tcBorders>
              <w:top w:val="nil"/>
              <w:left w:val="nil"/>
              <w:bottom w:val="single" w:sz="4" w:space="0" w:color="auto"/>
              <w:right w:val="nil"/>
            </w:tcBorders>
            <w:shd w:val="clear" w:color="auto" w:fill="auto"/>
            <w:vAlign w:val="center"/>
            <w:hideMark/>
          </w:tcPr>
          <w:p w14:paraId="7B9B9210" w14:textId="143073C0"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To deliver budget surpluses building to at least 1 per cent of GDP as soon as possible</w:t>
            </w:r>
            <w:r w:rsidR="00CE4631">
              <w:rPr>
                <w:rFonts w:ascii="Calibri" w:eastAsia="Times New Roman" w:hAnsi="Calibri" w:cs="Times New Roman"/>
                <w:color w:val="000000"/>
                <w:sz w:val="20"/>
                <w:szCs w:val="20"/>
                <w:lang w:eastAsia="en-AU"/>
              </w:rPr>
              <w:t>.  M</w:t>
            </w:r>
            <w:r w:rsidR="00CE4631" w:rsidRPr="00BD320B">
              <w:rPr>
                <w:rFonts w:ascii="Calibri" w:eastAsia="Times New Roman" w:hAnsi="Calibri" w:cs="Times New Roman"/>
                <w:color w:val="000000"/>
                <w:sz w:val="20"/>
                <w:szCs w:val="20"/>
                <w:lang w:eastAsia="en-AU"/>
              </w:rPr>
              <w:t>aintaining the tax-to-GDP ratio at or below</w:t>
            </w:r>
            <w:r w:rsidR="00CE4631">
              <w:rPr>
                <w:rFonts w:ascii="Calibri" w:eastAsia="Times New Roman" w:hAnsi="Calibri" w:cs="Times New Roman"/>
                <w:color w:val="000000"/>
                <w:sz w:val="20"/>
                <w:szCs w:val="20"/>
                <w:lang w:eastAsia="en-AU"/>
              </w:rPr>
              <w:t xml:space="preserve"> </w:t>
            </w:r>
            <w:r w:rsidR="00CE4631" w:rsidRPr="00BD320B">
              <w:rPr>
                <w:rFonts w:ascii="Calibri" w:eastAsia="Times New Roman" w:hAnsi="Calibri" w:cs="Times New Roman"/>
                <w:color w:val="000000"/>
                <w:sz w:val="20"/>
                <w:szCs w:val="20"/>
                <w:lang w:eastAsia="en-AU"/>
              </w:rPr>
              <w:t>23.9 per cent of GDP</w:t>
            </w:r>
            <w:r w:rsidR="00CE4631">
              <w:t>.</w:t>
            </w:r>
            <w:r w:rsidR="00CE4631">
              <w:rPr>
                <w:rStyle w:val="FootnoteReference"/>
                <w:rFonts w:eastAsia="Times New Roman" w:cs="Times New Roman"/>
                <w:sz w:val="20"/>
                <w:szCs w:val="20"/>
                <w:lang w:eastAsia="en-AU"/>
              </w:rPr>
              <w:footnoteReference w:id="28"/>
            </w:r>
          </w:p>
        </w:tc>
        <w:tc>
          <w:tcPr>
            <w:tcW w:w="382" w:type="pct"/>
            <w:tcBorders>
              <w:top w:val="nil"/>
              <w:left w:val="nil"/>
              <w:bottom w:val="single" w:sz="4" w:space="0" w:color="auto"/>
              <w:right w:val="nil"/>
            </w:tcBorders>
            <w:shd w:val="clear" w:color="auto" w:fill="auto"/>
            <w:vAlign w:val="center"/>
            <w:hideMark/>
          </w:tcPr>
          <w:p w14:paraId="1A3F66CD" w14:textId="77777777"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Surplus as % of GDP</w:t>
            </w:r>
          </w:p>
        </w:tc>
        <w:tc>
          <w:tcPr>
            <w:tcW w:w="726" w:type="pct"/>
            <w:tcBorders>
              <w:top w:val="nil"/>
              <w:left w:val="nil"/>
              <w:bottom w:val="single" w:sz="4" w:space="0" w:color="auto"/>
              <w:right w:val="nil"/>
            </w:tcBorders>
            <w:shd w:val="clear" w:color="auto" w:fill="auto"/>
            <w:vAlign w:val="center"/>
            <w:hideMark/>
          </w:tcPr>
          <w:p w14:paraId="0D578B09" w14:textId="77777777"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 xml:space="preserve">No target date </w:t>
            </w:r>
          </w:p>
        </w:tc>
        <w:tc>
          <w:tcPr>
            <w:tcW w:w="418" w:type="pct"/>
            <w:tcBorders>
              <w:top w:val="nil"/>
              <w:left w:val="nil"/>
              <w:bottom w:val="single" w:sz="4" w:space="0" w:color="auto"/>
              <w:right w:val="nil"/>
            </w:tcBorders>
            <w:shd w:val="clear" w:color="auto" w:fill="auto"/>
            <w:vAlign w:val="center"/>
            <w:hideMark/>
          </w:tcPr>
          <w:p w14:paraId="727D9376" w14:textId="77777777"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BP1, p. 3-7 (Box 1)</w:t>
            </w:r>
          </w:p>
        </w:tc>
      </w:tr>
      <w:tr w:rsidR="00DB63AE" w:rsidRPr="00EB2092" w14:paraId="3058EAE7" w14:textId="77777777" w:rsidTr="00942DBA">
        <w:trPr>
          <w:trHeight w:val="623"/>
        </w:trPr>
        <w:tc>
          <w:tcPr>
            <w:tcW w:w="513" w:type="pct"/>
            <w:tcBorders>
              <w:top w:val="nil"/>
              <w:left w:val="nil"/>
              <w:bottom w:val="single" w:sz="4" w:space="0" w:color="auto"/>
              <w:right w:val="nil"/>
            </w:tcBorders>
            <w:shd w:val="clear" w:color="auto" w:fill="auto"/>
            <w:vAlign w:val="center"/>
            <w:hideMark/>
          </w:tcPr>
          <w:p w14:paraId="4768E3A7" w14:textId="77777777"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2019-20 Budget</w:t>
            </w:r>
          </w:p>
        </w:tc>
        <w:tc>
          <w:tcPr>
            <w:tcW w:w="339" w:type="pct"/>
            <w:tcBorders>
              <w:top w:val="nil"/>
              <w:left w:val="nil"/>
              <w:bottom w:val="single" w:sz="4" w:space="0" w:color="auto"/>
              <w:right w:val="nil"/>
            </w:tcBorders>
            <w:shd w:val="clear" w:color="auto" w:fill="auto"/>
            <w:vAlign w:val="center"/>
            <w:hideMark/>
          </w:tcPr>
          <w:p w14:paraId="1DF25317" w14:textId="706E2CB4" w:rsidR="008502DC" w:rsidRPr="00EB2092" w:rsidRDefault="003F35D2"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Budget repair &amp; balanced budget</w:t>
            </w:r>
          </w:p>
        </w:tc>
        <w:tc>
          <w:tcPr>
            <w:tcW w:w="1237" w:type="pct"/>
            <w:tcBorders>
              <w:top w:val="nil"/>
              <w:left w:val="nil"/>
              <w:bottom w:val="single" w:sz="4" w:space="0" w:color="auto"/>
              <w:right w:val="nil"/>
            </w:tcBorders>
            <w:shd w:val="clear" w:color="auto" w:fill="auto"/>
            <w:vAlign w:val="center"/>
            <w:hideMark/>
          </w:tcPr>
          <w:p w14:paraId="746A4F87" w14:textId="6ABBD6F1"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Medium term fiscal strategy is to achieve budget surpluses, on average, over the course of the economic cycle</w:t>
            </w:r>
          </w:p>
        </w:tc>
        <w:tc>
          <w:tcPr>
            <w:tcW w:w="1384" w:type="pct"/>
            <w:tcBorders>
              <w:top w:val="nil"/>
              <w:left w:val="nil"/>
              <w:bottom w:val="single" w:sz="4" w:space="0" w:color="auto"/>
              <w:right w:val="nil"/>
            </w:tcBorders>
            <w:shd w:val="clear" w:color="auto" w:fill="auto"/>
            <w:vAlign w:val="center"/>
            <w:hideMark/>
          </w:tcPr>
          <w:p w14:paraId="2D79D465" w14:textId="6AF26F8D"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To deliver budget surpluses building to at least 1 per cent of GDP as soon as possible</w:t>
            </w:r>
            <w:r w:rsidR="00CE4631">
              <w:rPr>
                <w:rFonts w:ascii="Calibri" w:eastAsia="Times New Roman" w:hAnsi="Calibri" w:cs="Times New Roman"/>
                <w:color w:val="000000"/>
                <w:sz w:val="20"/>
                <w:szCs w:val="20"/>
                <w:lang w:eastAsia="en-AU"/>
              </w:rPr>
              <w:t>.  M</w:t>
            </w:r>
            <w:r w:rsidR="00CE4631" w:rsidRPr="00BD320B">
              <w:rPr>
                <w:rFonts w:ascii="Calibri" w:eastAsia="Times New Roman" w:hAnsi="Calibri" w:cs="Times New Roman"/>
                <w:color w:val="000000"/>
                <w:sz w:val="20"/>
                <w:szCs w:val="20"/>
                <w:lang w:eastAsia="en-AU"/>
              </w:rPr>
              <w:t>aintaining the tax-to-GDP ratio at or below</w:t>
            </w:r>
            <w:r w:rsidR="00CE4631">
              <w:rPr>
                <w:rFonts w:ascii="Calibri" w:eastAsia="Times New Roman" w:hAnsi="Calibri" w:cs="Times New Roman"/>
                <w:color w:val="000000"/>
                <w:sz w:val="20"/>
                <w:szCs w:val="20"/>
                <w:lang w:eastAsia="en-AU"/>
              </w:rPr>
              <w:t xml:space="preserve"> </w:t>
            </w:r>
            <w:r w:rsidR="00CE4631" w:rsidRPr="00BD320B">
              <w:rPr>
                <w:rFonts w:ascii="Calibri" w:eastAsia="Times New Roman" w:hAnsi="Calibri" w:cs="Times New Roman"/>
                <w:color w:val="000000"/>
                <w:sz w:val="20"/>
                <w:szCs w:val="20"/>
                <w:lang w:eastAsia="en-AU"/>
              </w:rPr>
              <w:t>23.9 per cent of GDP</w:t>
            </w:r>
            <w:r w:rsidR="00CE4631">
              <w:t>.</w:t>
            </w:r>
          </w:p>
        </w:tc>
        <w:tc>
          <w:tcPr>
            <w:tcW w:w="382" w:type="pct"/>
            <w:tcBorders>
              <w:top w:val="nil"/>
              <w:left w:val="nil"/>
              <w:bottom w:val="single" w:sz="4" w:space="0" w:color="auto"/>
              <w:right w:val="nil"/>
            </w:tcBorders>
            <w:shd w:val="clear" w:color="auto" w:fill="auto"/>
            <w:vAlign w:val="center"/>
            <w:hideMark/>
          </w:tcPr>
          <w:p w14:paraId="35D6052D" w14:textId="77777777"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Surplus as % of GDP</w:t>
            </w:r>
          </w:p>
        </w:tc>
        <w:tc>
          <w:tcPr>
            <w:tcW w:w="726" w:type="pct"/>
            <w:tcBorders>
              <w:top w:val="nil"/>
              <w:left w:val="nil"/>
              <w:bottom w:val="single" w:sz="4" w:space="0" w:color="auto"/>
              <w:right w:val="nil"/>
            </w:tcBorders>
            <w:shd w:val="clear" w:color="auto" w:fill="auto"/>
            <w:vAlign w:val="center"/>
            <w:hideMark/>
          </w:tcPr>
          <w:p w14:paraId="6E916B0F" w14:textId="77777777"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 xml:space="preserve">No target date </w:t>
            </w:r>
          </w:p>
        </w:tc>
        <w:tc>
          <w:tcPr>
            <w:tcW w:w="418" w:type="pct"/>
            <w:tcBorders>
              <w:top w:val="nil"/>
              <w:left w:val="nil"/>
              <w:bottom w:val="single" w:sz="4" w:space="0" w:color="auto"/>
              <w:right w:val="nil"/>
            </w:tcBorders>
            <w:shd w:val="clear" w:color="auto" w:fill="auto"/>
            <w:vAlign w:val="center"/>
            <w:hideMark/>
          </w:tcPr>
          <w:p w14:paraId="5BC504E0" w14:textId="159A10BD"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BP 1, p. 3</w:t>
            </w:r>
            <w:r w:rsidR="00451BC5">
              <w:rPr>
                <w:rFonts w:ascii="Calibri" w:eastAsia="Times New Roman" w:hAnsi="Calibri" w:cs="Times New Roman"/>
                <w:color w:val="000000"/>
                <w:sz w:val="20"/>
                <w:szCs w:val="20"/>
                <w:lang w:eastAsia="en-AU"/>
              </w:rPr>
              <w:noBreakHyphen/>
            </w:r>
            <w:r w:rsidRPr="00EB2092">
              <w:rPr>
                <w:rFonts w:ascii="Calibri" w:eastAsia="Times New Roman" w:hAnsi="Calibri" w:cs="Times New Roman"/>
                <w:color w:val="000000"/>
                <w:sz w:val="20"/>
                <w:szCs w:val="20"/>
                <w:lang w:eastAsia="en-AU"/>
              </w:rPr>
              <w:t>8 (Box 1)</w:t>
            </w:r>
          </w:p>
        </w:tc>
      </w:tr>
      <w:tr w:rsidR="00DB63AE" w:rsidRPr="00EB2092" w14:paraId="6E009679" w14:textId="77777777" w:rsidTr="00942DBA">
        <w:trPr>
          <w:trHeight w:val="977"/>
        </w:trPr>
        <w:tc>
          <w:tcPr>
            <w:tcW w:w="513" w:type="pct"/>
            <w:tcBorders>
              <w:top w:val="nil"/>
              <w:left w:val="nil"/>
              <w:bottom w:val="single" w:sz="4" w:space="0" w:color="auto"/>
              <w:right w:val="nil"/>
            </w:tcBorders>
            <w:shd w:val="clear" w:color="auto" w:fill="auto"/>
            <w:vAlign w:val="center"/>
            <w:hideMark/>
          </w:tcPr>
          <w:p w14:paraId="5E387E7A" w14:textId="77777777"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lastRenderedPageBreak/>
              <w:t>2019-20 MYEFO</w:t>
            </w:r>
          </w:p>
        </w:tc>
        <w:tc>
          <w:tcPr>
            <w:tcW w:w="339" w:type="pct"/>
            <w:tcBorders>
              <w:top w:val="nil"/>
              <w:left w:val="nil"/>
              <w:bottom w:val="single" w:sz="4" w:space="0" w:color="auto"/>
              <w:right w:val="nil"/>
            </w:tcBorders>
            <w:shd w:val="clear" w:color="auto" w:fill="auto"/>
            <w:vAlign w:val="center"/>
            <w:hideMark/>
          </w:tcPr>
          <w:p w14:paraId="3858F100" w14:textId="77777777"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Balanced budget</w:t>
            </w:r>
          </w:p>
        </w:tc>
        <w:tc>
          <w:tcPr>
            <w:tcW w:w="1237" w:type="pct"/>
            <w:tcBorders>
              <w:top w:val="nil"/>
              <w:left w:val="nil"/>
              <w:bottom w:val="single" w:sz="4" w:space="0" w:color="auto"/>
              <w:right w:val="nil"/>
            </w:tcBorders>
            <w:shd w:val="clear" w:color="auto" w:fill="auto"/>
            <w:vAlign w:val="center"/>
            <w:hideMark/>
          </w:tcPr>
          <w:p w14:paraId="47226F4E" w14:textId="77777777"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Fiscal strategy is to achieve budget surpluses, on average, over the course of the economic cycle.</w:t>
            </w:r>
          </w:p>
        </w:tc>
        <w:tc>
          <w:tcPr>
            <w:tcW w:w="1384" w:type="pct"/>
            <w:tcBorders>
              <w:top w:val="nil"/>
              <w:left w:val="nil"/>
              <w:bottom w:val="single" w:sz="4" w:space="0" w:color="auto"/>
              <w:right w:val="nil"/>
            </w:tcBorders>
            <w:shd w:val="clear" w:color="auto" w:fill="auto"/>
            <w:vAlign w:val="center"/>
            <w:hideMark/>
          </w:tcPr>
          <w:p w14:paraId="0F14E92B" w14:textId="4A6805C8"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Building sustainable budget surpluses of at least 1 per cent of GDP when economic circumstances permit to build resilience and support fiscal flexibility</w:t>
            </w:r>
            <w:r w:rsidR="00CE4631">
              <w:rPr>
                <w:rFonts w:ascii="Calibri" w:eastAsia="Times New Roman" w:hAnsi="Calibri" w:cs="Times New Roman"/>
                <w:color w:val="000000"/>
                <w:sz w:val="20"/>
                <w:szCs w:val="20"/>
                <w:lang w:eastAsia="en-AU"/>
              </w:rPr>
              <w:t>. M</w:t>
            </w:r>
            <w:r w:rsidR="00CE4631" w:rsidRPr="00BD320B">
              <w:rPr>
                <w:rFonts w:ascii="Calibri" w:eastAsia="Times New Roman" w:hAnsi="Calibri" w:cs="Times New Roman"/>
                <w:color w:val="000000"/>
                <w:sz w:val="20"/>
                <w:szCs w:val="20"/>
                <w:lang w:eastAsia="en-AU"/>
              </w:rPr>
              <w:t>aintaining the tax-to-GDP ratio at or below</w:t>
            </w:r>
            <w:r w:rsidR="00CE4631">
              <w:rPr>
                <w:rFonts w:ascii="Calibri" w:eastAsia="Times New Roman" w:hAnsi="Calibri" w:cs="Times New Roman"/>
                <w:color w:val="000000"/>
                <w:sz w:val="20"/>
                <w:szCs w:val="20"/>
                <w:lang w:eastAsia="en-AU"/>
              </w:rPr>
              <w:t xml:space="preserve"> </w:t>
            </w:r>
            <w:r w:rsidR="00CE4631" w:rsidRPr="00BD320B">
              <w:rPr>
                <w:rFonts w:ascii="Calibri" w:eastAsia="Times New Roman" w:hAnsi="Calibri" w:cs="Times New Roman"/>
                <w:color w:val="000000"/>
                <w:sz w:val="20"/>
                <w:szCs w:val="20"/>
                <w:lang w:eastAsia="en-AU"/>
              </w:rPr>
              <w:t>23.9 per cent of GDP</w:t>
            </w:r>
            <w:r w:rsidR="00CE4631">
              <w:t>.</w:t>
            </w:r>
          </w:p>
        </w:tc>
        <w:tc>
          <w:tcPr>
            <w:tcW w:w="382" w:type="pct"/>
            <w:tcBorders>
              <w:top w:val="nil"/>
              <w:left w:val="nil"/>
              <w:bottom w:val="single" w:sz="4" w:space="0" w:color="auto"/>
              <w:right w:val="nil"/>
            </w:tcBorders>
            <w:shd w:val="clear" w:color="auto" w:fill="auto"/>
            <w:vAlign w:val="center"/>
            <w:hideMark/>
          </w:tcPr>
          <w:p w14:paraId="3041C454" w14:textId="77777777"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Surplus as % of GDP</w:t>
            </w:r>
          </w:p>
        </w:tc>
        <w:tc>
          <w:tcPr>
            <w:tcW w:w="726" w:type="pct"/>
            <w:tcBorders>
              <w:top w:val="nil"/>
              <w:left w:val="nil"/>
              <w:bottom w:val="single" w:sz="4" w:space="0" w:color="auto"/>
              <w:right w:val="nil"/>
            </w:tcBorders>
            <w:shd w:val="clear" w:color="auto" w:fill="auto"/>
            <w:vAlign w:val="center"/>
            <w:hideMark/>
          </w:tcPr>
          <w:p w14:paraId="66159CB6" w14:textId="77777777"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 xml:space="preserve">No target date </w:t>
            </w:r>
          </w:p>
        </w:tc>
        <w:tc>
          <w:tcPr>
            <w:tcW w:w="418" w:type="pct"/>
            <w:tcBorders>
              <w:top w:val="nil"/>
              <w:left w:val="nil"/>
              <w:bottom w:val="single" w:sz="4" w:space="0" w:color="auto"/>
              <w:right w:val="nil"/>
            </w:tcBorders>
            <w:shd w:val="clear" w:color="auto" w:fill="auto"/>
            <w:vAlign w:val="center"/>
            <w:hideMark/>
          </w:tcPr>
          <w:p w14:paraId="6629D5EB" w14:textId="3E5CBBD6" w:rsidR="008502DC" w:rsidRPr="00EB2092" w:rsidRDefault="00CE4631">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M</w:t>
            </w:r>
            <w:r>
              <w:rPr>
                <w:rFonts w:ascii="Calibri" w:eastAsia="Times New Roman" w:hAnsi="Calibri" w:cs="Times New Roman"/>
                <w:color w:val="000000"/>
                <w:sz w:val="20"/>
                <w:szCs w:val="20"/>
                <w:lang w:eastAsia="en-AU"/>
              </w:rPr>
              <w:t>Y</w:t>
            </w:r>
            <w:r w:rsidRPr="00EB2092">
              <w:rPr>
                <w:rFonts w:ascii="Calibri" w:eastAsia="Times New Roman" w:hAnsi="Calibri" w:cs="Times New Roman"/>
                <w:color w:val="000000"/>
                <w:sz w:val="20"/>
                <w:szCs w:val="20"/>
                <w:lang w:eastAsia="en-AU"/>
              </w:rPr>
              <w:t>EFO</w:t>
            </w:r>
            <w:r w:rsidR="008502DC" w:rsidRPr="00EB2092">
              <w:rPr>
                <w:rFonts w:ascii="Calibri" w:eastAsia="Times New Roman" w:hAnsi="Calibri" w:cs="Times New Roman"/>
                <w:color w:val="000000"/>
                <w:sz w:val="20"/>
                <w:szCs w:val="20"/>
                <w:lang w:eastAsia="en-AU"/>
              </w:rPr>
              <w:t xml:space="preserve">, </w:t>
            </w:r>
            <w:r w:rsidR="00942DBA">
              <w:rPr>
                <w:rFonts w:ascii="Calibri" w:eastAsia="Times New Roman" w:hAnsi="Calibri" w:cs="Times New Roman"/>
                <w:color w:val="000000"/>
                <w:sz w:val="20"/>
                <w:szCs w:val="20"/>
                <w:lang w:eastAsia="en-AU"/>
              </w:rPr>
              <w:br/>
            </w:r>
            <w:r w:rsidR="008502DC" w:rsidRPr="00EB2092">
              <w:rPr>
                <w:rFonts w:ascii="Calibri" w:eastAsia="Times New Roman" w:hAnsi="Calibri" w:cs="Times New Roman"/>
                <w:color w:val="000000"/>
                <w:sz w:val="20"/>
                <w:szCs w:val="20"/>
                <w:lang w:eastAsia="en-AU"/>
              </w:rPr>
              <w:t xml:space="preserve">p. 31 </w:t>
            </w:r>
            <w:r w:rsidR="00942DBA">
              <w:rPr>
                <w:rFonts w:ascii="Calibri" w:eastAsia="Times New Roman" w:hAnsi="Calibri" w:cs="Times New Roman"/>
                <w:color w:val="000000"/>
                <w:sz w:val="20"/>
                <w:szCs w:val="20"/>
                <w:lang w:eastAsia="en-AU"/>
              </w:rPr>
              <w:br/>
            </w:r>
            <w:r w:rsidR="008502DC" w:rsidRPr="00EB2092">
              <w:rPr>
                <w:rFonts w:ascii="Calibri" w:eastAsia="Times New Roman" w:hAnsi="Calibri" w:cs="Times New Roman"/>
                <w:color w:val="000000"/>
                <w:sz w:val="20"/>
                <w:szCs w:val="20"/>
                <w:lang w:eastAsia="en-AU"/>
              </w:rPr>
              <w:t>(Box A)</w:t>
            </w:r>
          </w:p>
        </w:tc>
      </w:tr>
      <w:tr w:rsidR="00DB63AE" w:rsidRPr="00EB2092" w14:paraId="4B189E89" w14:textId="77777777" w:rsidTr="00942DBA">
        <w:trPr>
          <w:trHeight w:val="1035"/>
        </w:trPr>
        <w:tc>
          <w:tcPr>
            <w:tcW w:w="513" w:type="pct"/>
            <w:tcBorders>
              <w:top w:val="nil"/>
              <w:left w:val="nil"/>
              <w:bottom w:val="single" w:sz="4" w:space="0" w:color="auto"/>
              <w:right w:val="nil"/>
            </w:tcBorders>
            <w:shd w:val="clear" w:color="auto" w:fill="auto"/>
            <w:vAlign w:val="center"/>
            <w:hideMark/>
          </w:tcPr>
          <w:p w14:paraId="279994B2" w14:textId="77777777"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2020-21 Budget</w:t>
            </w:r>
          </w:p>
        </w:tc>
        <w:tc>
          <w:tcPr>
            <w:tcW w:w="339" w:type="pct"/>
            <w:tcBorders>
              <w:top w:val="nil"/>
              <w:left w:val="nil"/>
              <w:bottom w:val="single" w:sz="4" w:space="0" w:color="auto"/>
              <w:right w:val="nil"/>
            </w:tcBorders>
            <w:shd w:val="clear" w:color="auto" w:fill="auto"/>
            <w:vAlign w:val="center"/>
            <w:hideMark/>
          </w:tcPr>
          <w:p w14:paraId="49EA4A5A" w14:textId="77777777"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Economic recovery</w:t>
            </w:r>
          </w:p>
        </w:tc>
        <w:tc>
          <w:tcPr>
            <w:tcW w:w="1237" w:type="pct"/>
            <w:tcBorders>
              <w:top w:val="nil"/>
              <w:left w:val="nil"/>
              <w:bottom w:val="single" w:sz="4" w:space="0" w:color="auto"/>
              <w:right w:val="nil"/>
            </w:tcBorders>
            <w:shd w:val="clear" w:color="auto" w:fill="auto"/>
            <w:vAlign w:val="center"/>
            <w:hideMark/>
          </w:tcPr>
          <w:p w14:paraId="3C3348CB" w14:textId="77777777"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Medium term fiscal strategy is to grow the economy in order to stabilise and reduce debt.</w:t>
            </w:r>
          </w:p>
        </w:tc>
        <w:tc>
          <w:tcPr>
            <w:tcW w:w="1384" w:type="pct"/>
            <w:tcBorders>
              <w:top w:val="nil"/>
              <w:left w:val="nil"/>
              <w:bottom w:val="single" w:sz="4" w:space="0" w:color="auto"/>
              <w:right w:val="nil"/>
            </w:tcBorders>
            <w:shd w:val="clear" w:color="auto" w:fill="auto"/>
            <w:vAlign w:val="center"/>
            <w:hideMark/>
          </w:tcPr>
          <w:p w14:paraId="167C7561" w14:textId="3C3329EF" w:rsidR="008502DC" w:rsidRPr="00EB2092" w:rsidRDefault="0086079A">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b/>
                <w:bCs/>
                <w:color w:val="000000"/>
                <w:sz w:val="20"/>
                <w:szCs w:val="20"/>
                <w:lang w:eastAsia="en-AU"/>
              </w:rPr>
              <w:t>Phase 1</w:t>
            </w:r>
            <w:r w:rsidRPr="00EB2092">
              <w:rPr>
                <w:rFonts w:ascii="Calibri" w:eastAsia="Times New Roman" w:hAnsi="Calibri" w:cs="Times New Roman"/>
                <w:color w:val="000000"/>
                <w:sz w:val="20"/>
                <w:szCs w:val="20"/>
                <w:lang w:eastAsia="en-AU"/>
              </w:rPr>
              <w:t xml:space="preserve">: Promote employment, growth and business and consumer confidence; </w:t>
            </w:r>
            <w:r w:rsidRPr="00EB2092">
              <w:rPr>
                <w:rFonts w:ascii="Calibri" w:eastAsia="Times New Roman" w:hAnsi="Calibri" w:cs="Times New Roman"/>
                <w:b/>
                <w:bCs/>
                <w:color w:val="000000"/>
                <w:sz w:val="20"/>
                <w:szCs w:val="20"/>
                <w:lang w:eastAsia="en-AU"/>
              </w:rPr>
              <w:t>Phase 2</w:t>
            </w:r>
            <w:r w:rsidRPr="00EB2092">
              <w:rPr>
                <w:rFonts w:ascii="Calibri" w:eastAsia="Times New Roman" w:hAnsi="Calibri" w:cs="Times New Roman"/>
                <w:color w:val="000000"/>
                <w:sz w:val="20"/>
                <w:szCs w:val="20"/>
                <w:lang w:eastAsia="en-AU"/>
              </w:rPr>
              <w:t>: stabilise and then reduce gross and net debt as a share of the economy.</w:t>
            </w:r>
            <w:r w:rsidR="00CE4631">
              <w:rPr>
                <w:rFonts w:ascii="Calibri" w:eastAsia="Times New Roman" w:hAnsi="Calibri" w:cs="Times New Roman"/>
                <w:color w:val="000000"/>
                <w:sz w:val="20"/>
                <w:szCs w:val="20"/>
                <w:lang w:eastAsia="en-AU"/>
              </w:rPr>
              <w:t xml:space="preserve">  M</w:t>
            </w:r>
            <w:r w:rsidR="00CE4631" w:rsidRPr="00BD320B">
              <w:rPr>
                <w:rFonts w:ascii="Calibri" w:eastAsia="Times New Roman" w:hAnsi="Calibri" w:cs="Times New Roman"/>
                <w:color w:val="000000"/>
                <w:sz w:val="20"/>
                <w:szCs w:val="20"/>
                <w:lang w:eastAsia="en-AU"/>
              </w:rPr>
              <w:t>aintaining the tax-to-GDP ratio at or below</w:t>
            </w:r>
            <w:r w:rsidR="00CE4631">
              <w:rPr>
                <w:rFonts w:ascii="Calibri" w:eastAsia="Times New Roman" w:hAnsi="Calibri" w:cs="Times New Roman"/>
                <w:color w:val="000000"/>
                <w:sz w:val="20"/>
                <w:szCs w:val="20"/>
                <w:lang w:eastAsia="en-AU"/>
              </w:rPr>
              <w:t xml:space="preserve"> </w:t>
            </w:r>
            <w:r w:rsidR="00CE4631" w:rsidRPr="00BD320B">
              <w:rPr>
                <w:rFonts w:ascii="Calibri" w:eastAsia="Times New Roman" w:hAnsi="Calibri" w:cs="Times New Roman"/>
                <w:color w:val="000000"/>
                <w:sz w:val="20"/>
                <w:szCs w:val="20"/>
                <w:lang w:eastAsia="en-AU"/>
              </w:rPr>
              <w:t>23.9 per cent of GDP</w:t>
            </w:r>
            <w:r w:rsidR="00CE4631">
              <w:t>.</w:t>
            </w:r>
          </w:p>
        </w:tc>
        <w:tc>
          <w:tcPr>
            <w:tcW w:w="382" w:type="pct"/>
            <w:tcBorders>
              <w:top w:val="nil"/>
              <w:left w:val="nil"/>
              <w:bottom w:val="single" w:sz="4" w:space="0" w:color="auto"/>
              <w:right w:val="nil"/>
            </w:tcBorders>
            <w:shd w:val="clear" w:color="auto" w:fill="auto"/>
            <w:vAlign w:val="center"/>
            <w:hideMark/>
          </w:tcPr>
          <w:p w14:paraId="3FAFD7B7" w14:textId="648C6ACE" w:rsidR="008502DC" w:rsidRPr="00EB2092" w:rsidRDefault="0086079A"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Gross and net debt</w:t>
            </w:r>
          </w:p>
        </w:tc>
        <w:tc>
          <w:tcPr>
            <w:tcW w:w="726" w:type="pct"/>
            <w:tcBorders>
              <w:top w:val="nil"/>
              <w:left w:val="nil"/>
              <w:bottom w:val="single" w:sz="4" w:space="0" w:color="auto"/>
              <w:right w:val="nil"/>
            </w:tcBorders>
            <w:shd w:val="clear" w:color="auto" w:fill="auto"/>
            <w:vAlign w:val="center"/>
            <w:hideMark/>
          </w:tcPr>
          <w:p w14:paraId="2811B013" w14:textId="41FD5B55" w:rsidR="0086079A" w:rsidRPr="00EB2092" w:rsidRDefault="0086079A" w:rsidP="0086079A">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 xml:space="preserve">Phase 1: Unemployment rate comfortably below 6 per cent </w:t>
            </w:r>
          </w:p>
          <w:p w14:paraId="57F35A46" w14:textId="79EA4743" w:rsidR="008502DC" w:rsidRPr="00EB2092" w:rsidRDefault="0086079A" w:rsidP="0086079A">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Phase 2:  No target date</w:t>
            </w:r>
          </w:p>
        </w:tc>
        <w:tc>
          <w:tcPr>
            <w:tcW w:w="418" w:type="pct"/>
            <w:tcBorders>
              <w:top w:val="nil"/>
              <w:left w:val="nil"/>
              <w:bottom w:val="single" w:sz="4" w:space="0" w:color="auto"/>
              <w:right w:val="nil"/>
            </w:tcBorders>
            <w:shd w:val="clear" w:color="auto" w:fill="auto"/>
            <w:vAlign w:val="center"/>
            <w:hideMark/>
          </w:tcPr>
          <w:p w14:paraId="2DDB249E" w14:textId="5280EBB7" w:rsidR="008502DC" w:rsidRPr="00EB2092" w:rsidRDefault="008502DC" w:rsidP="00854550">
            <w:pPr>
              <w:spacing w:line="240" w:lineRule="auto"/>
              <w:rPr>
                <w:rFonts w:ascii="Calibri" w:eastAsia="Times New Roman" w:hAnsi="Calibri" w:cs="Times New Roman"/>
                <w:color w:val="000000"/>
                <w:sz w:val="20"/>
                <w:szCs w:val="20"/>
                <w:lang w:eastAsia="en-AU"/>
              </w:rPr>
            </w:pPr>
            <w:r w:rsidRPr="00EB2092">
              <w:rPr>
                <w:rFonts w:ascii="Calibri" w:eastAsia="Times New Roman" w:hAnsi="Calibri" w:cs="Times New Roman"/>
                <w:color w:val="000000"/>
                <w:sz w:val="20"/>
                <w:szCs w:val="20"/>
                <w:lang w:eastAsia="en-AU"/>
              </w:rPr>
              <w:t>BP 1, p. 3</w:t>
            </w:r>
            <w:r w:rsidR="00451BC5">
              <w:rPr>
                <w:rFonts w:ascii="Calibri" w:eastAsia="Times New Roman" w:hAnsi="Calibri" w:cs="Times New Roman"/>
                <w:color w:val="000000"/>
                <w:sz w:val="20"/>
                <w:szCs w:val="20"/>
                <w:lang w:eastAsia="en-AU"/>
              </w:rPr>
              <w:noBreakHyphen/>
            </w:r>
            <w:r w:rsidRPr="00EB2092">
              <w:rPr>
                <w:rFonts w:ascii="Calibri" w:eastAsia="Times New Roman" w:hAnsi="Calibri" w:cs="Times New Roman"/>
                <w:color w:val="000000"/>
                <w:sz w:val="20"/>
                <w:szCs w:val="20"/>
                <w:lang w:eastAsia="en-AU"/>
              </w:rPr>
              <w:t>8 (Box 1)</w:t>
            </w:r>
          </w:p>
        </w:tc>
      </w:tr>
    </w:tbl>
    <w:p w14:paraId="38DD2AE5" w14:textId="66436B9A" w:rsidR="00A352A4" w:rsidRDefault="00A352A4" w:rsidP="00A352A4">
      <w:pPr>
        <w:pStyle w:val="Sourcenospacing"/>
        <w:ind w:left="0"/>
      </w:pPr>
      <w:r w:rsidRPr="00050C94">
        <w:t>Source:</w:t>
      </w:r>
      <w:r w:rsidRPr="00E44F73">
        <w:t xml:space="preserve"> </w:t>
      </w:r>
      <w:r>
        <w:t>Budget papers</w:t>
      </w:r>
      <w:r w:rsidRPr="00E44F73">
        <w:t>.</w:t>
      </w:r>
    </w:p>
    <w:p w14:paraId="22D16121" w14:textId="77777777" w:rsidR="00FE6E1D" w:rsidRPr="00FE6E1D" w:rsidRDefault="00FE6E1D" w:rsidP="00FE6E1D"/>
    <w:p w14:paraId="593B7E93" w14:textId="77777777" w:rsidR="00FE6E1D" w:rsidRPr="00FE6E1D" w:rsidRDefault="00FE6E1D" w:rsidP="00FE6E1D"/>
    <w:p w14:paraId="22344394" w14:textId="77777777" w:rsidR="00FE6E1D" w:rsidRPr="00FE6E1D" w:rsidRDefault="00FE6E1D" w:rsidP="00FE6E1D"/>
    <w:p w14:paraId="118AB57E" w14:textId="77777777" w:rsidR="00FE6E1D" w:rsidRPr="00FE6E1D" w:rsidRDefault="00FE6E1D" w:rsidP="00FE6E1D"/>
    <w:p w14:paraId="5E92A2C8" w14:textId="77777777" w:rsidR="00FE6E1D" w:rsidRPr="00FE6E1D" w:rsidRDefault="00FE6E1D" w:rsidP="00FE6E1D"/>
    <w:p w14:paraId="38BFF157" w14:textId="77777777" w:rsidR="00FE6E1D" w:rsidRPr="00FE6E1D" w:rsidRDefault="00FE6E1D" w:rsidP="00FE6E1D"/>
    <w:p w14:paraId="3AC134C1" w14:textId="75EB2961" w:rsidR="003005D3" w:rsidRPr="00FE6E1D" w:rsidRDefault="003005D3" w:rsidP="00FE6E1D">
      <w:pPr>
        <w:sectPr w:rsidR="003005D3" w:rsidRPr="00FE6E1D" w:rsidSect="00A71628">
          <w:pgSz w:w="16840" w:h="11907" w:orient="landscape" w:code="9"/>
          <w:pgMar w:top="1418" w:right="1021" w:bottom="1418" w:left="1191" w:header="567" w:footer="709" w:gutter="0"/>
          <w:cols w:space="708"/>
          <w:docGrid w:linePitch="360"/>
        </w:sectPr>
      </w:pPr>
    </w:p>
    <w:p w14:paraId="2039C052" w14:textId="57262A24" w:rsidR="009E2FEF" w:rsidRPr="00EB2092" w:rsidRDefault="00DB203D" w:rsidP="00780054">
      <w:pPr>
        <w:pStyle w:val="Heading1NoNumbering"/>
        <w:spacing w:after="360"/>
      </w:pPr>
      <w:bookmarkStart w:id="131" w:name="_Toc58271459"/>
      <w:r w:rsidRPr="00EB2092">
        <w:lastRenderedPageBreak/>
        <w:t xml:space="preserve">Appendix </w:t>
      </w:r>
      <w:r w:rsidR="00595EB2" w:rsidRPr="00EB2092">
        <w:t xml:space="preserve">F </w:t>
      </w:r>
      <w:r w:rsidRPr="00EB2092">
        <w:t>– Glossary</w:t>
      </w:r>
      <w:bookmarkEnd w:id="131"/>
      <w:r w:rsidRPr="00EB2092">
        <w:t xml:space="preserve"> </w:t>
      </w:r>
    </w:p>
    <w:tbl>
      <w:tblPr>
        <w:tblStyle w:val="TableGrid"/>
        <w:tblW w:w="0" w:type="auto"/>
        <w:tblBorders>
          <w:top w:val="none" w:sz="0" w:space="0" w:color="auto"/>
          <w:bottom w:val="none" w:sz="0" w:space="0" w:color="auto"/>
        </w:tblBorders>
        <w:tblLook w:val="04A0" w:firstRow="1" w:lastRow="0" w:firstColumn="1" w:lastColumn="0" w:noHBand="0" w:noVBand="1"/>
      </w:tblPr>
      <w:tblGrid>
        <w:gridCol w:w="1418"/>
        <w:gridCol w:w="7653"/>
      </w:tblGrid>
      <w:tr w:rsidR="00BE712C" w:rsidRPr="00EB2092" w14:paraId="674109B2" w14:textId="77777777" w:rsidTr="002103F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418" w:type="dxa"/>
            <w:tcBorders>
              <w:bottom w:val="none" w:sz="0" w:space="0" w:color="auto"/>
            </w:tcBorders>
            <w:shd w:val="clear" w:color="auto" w:fill="auto"/>
          </w:tcPr>
          <w:p w14:paraId="7A80ABEB" w14:textId="77777777" w:rsidR="00BE712C" w:rsidRPr="00EB2092" w:rsidRDefault="00BE712C" w:rsidP="00BE712C">
            <w:pPr>
              <w:pStyle w:val="BodyText"/>
              <w:rPr>
                <w:sz w:val="2"/>
              </w:rPr>
            </w:pPr>
          </w:p>
        </w:tc>
        <w:tc>
          <w:tcPr>
            <w:tcW w:w="7653" w:type="dxa"/>
            <w:tcBorders>
              <w:bottom w:val="none" w:sz="0" w:space="0" w:color="auto"/>
            </w:tcBorders>
            <w:shd w:val="clear" w:color="auto" w:fill="auto"/>
          </w:tcPr>
          <w:p w14:paraId="35505E5E" w14:textId="77777777" w:rsidR="00BE712C" w:rsidRPr="00EB2092" w:rsidRDefault="00BE712C" w:rsidP="00BE712C">
            <w:pPr>
              <w:pStyle w:val="BodyText"/>
              <w:cnfStyle w:val="100000000000" w:firstRow="1" w:lastRow="0" w:firstColumn="0" w:lastColumn="0" w:oddVBand="0" w:evenVBand="0" w:oddHBand="0" w:evenHBand="0" w:firstRowFirstColumn="0" w:firstRowLastColumn="0" w:lastRowFirstColumn="0" w:lastRowLastColumn="0"/>
              <w:rPr>
                <w:b w:val="0"/>
                <w:sz w:val="2"/>
              </w:rPr>
            </w:pPr>
          </w:p>
        </w:tc>
      </w:tr>
      <w:tr w:rsidR="00BE712C" w:rsidRPr="00EB2092" w14:paraId="52A25C7E" w14:textId="77777777" w:rsidTr="002103F0">
        <w:tc>
          <w:tcPr>
            <w:tcW w:w="1418" w:type="dxa"/>
            <w:shd w:val="clear" w:color="auto" w:fill="auto"/>
          </w:tcPr>
          <w:p w14:paraId="6C0D4D26" w14:textId="4828101A" w:rsidR="00BE712C" w:rsidRPr="00EB2092" w:rsidRDefault="00BE712C" w:rsidP="002103F0">
            <w:pPr>
              <w:pStyle w:val="BodyText"/>
              <w:rPr>
                <w:b/>
              </w:rPr>
            </w:pPr>
            <w:r w:rsidRPr="00EB2092">
              <w:rPr>
                <w:b/>
              </w:rPr>
              <w:t>Accrual accounting</w:t>
            </w:r>
          </w:p>
        </w:tc>
        <w:tc>
          <w:tcPr>
            <w:tcW w:w="7653" w:type="dxa"/>
            <w:shd w:val="clear" w:color="auto" w:fill="auto"/>
          </w:tcPr>
          <w:p w14:paraId="5555AB88" w14:textId="0780F1B9" w:rsidR="00BE712C" w:rsidRPr="00EB2092" w:rsidRDefault="00BE712C" w:rsidP="002103F0">
            <w:pPr>
              <w:pStyle w:val="BodyText"/>
            </w:pPr>
            <w:r w:rsidRPr="00EB2092">
              <w:t>Accrual accounting records income when it is earned, and records costs when they are incurred, regardless of when the related cash is received or paid. Under accrual accountin</w:t>
            </w:r>
            <w:r w:rsidR="00942DBA">
              <w:t>g, government income is called ‘revenue’</w:t>
            </w:r>
            <w:r w:rsidRPr="00EB2092">
              <w:t xml:space="preserve"> </w:t>
            </w:r>
            <w:r w:rsidR="00942DBA">
              <w:t>and costs are generally called ‘expenses’</w:t>
            </w:r>
            <w:r w:rsidRPr="00EB2092">
              <w:t>.  As an example, under accrual accounting, goods and services tax revenue is recorded in the financial year that the goods and services are purchased, even though the government may not receive the related tax amounts until the following financial year.</w:t>
            </w:r>
          </w:p>
        </w:tc>
      </w:tr>
      <w:tr w:rsidR="00BE712C" w:rsidRPr="00EB2092" w14:paraId="02B89CEB" w14:textId="77777777" w:rsidTr="002103F0">
        <w:trPr>
          <w:cnfStyle w:val="000000010000" w:firstRow="0" w:lastRow="0" w:firstColumn="0" w:lastColumn="0" w:oddVBand="0" w:evenVBand="0" w:oddHBand="0" w:evenHBand="1" w:firstRowFirstColumn="0" w:firstRowLastColumn="0" w:lastRowFirstColumn="0" w:lastRowLastColumn="0"/>
        </w:trPr>
        <w:tc>
          <w:tcPr>
            <w:tcW w:w="1418" w:type="dxa"/>
            <w:shd w:val="clear" w:color="auto" w:fill="auto"/>
          </w:tcPr>
          <w:p w14:paraId="39C330AE" w14:textId="43FE9FB2" w:rsidR="00BE712C" w:rsidRPr="00EB2092" w:rsidRDefault="00BE712C" w:rsidP="002103F0">
            <w:pPr>
              <w:pStyle w:val="BodyText"/>
              <w:rPr>
                <w:b/>
              </w:rPr>
            </w:pPr>
            <w:r w:rsidRPr="00EB2092">
              <w:rPr>
                <w:b/>
              </w:rPr>
              <w:t>Cash accounting</w:t>
            </w:r>
          </w:p>
        </w:tc>
        <w:tc>
          <w:tcPr>
            <w:tcW w:w="7653" w:type="dxa"/>
            <w:shd w:val="clear" w:color="auto" w:fill="auto"/>
          </w:tcPr>
          <w:p w14:paraId="102F5410" w14:textId="5CCBBAB9" w:rsidR="00BE712C" w:rsidRPr="00EB2092" w:rsidRDefault="00BE712C" w:rsidP="002103F0">
            <w:pPr>
              <w:pStyle w:val="BodyText"/>
            </w:pPr>
            <w:r w:rsidRPr="00EB2092">
              <w:t>Cash accounting records income when cash is received, and records costs when cash is paid out, regardless of when those amounts are earned or incurred.  For example, under cash accounting, goods and services tax receipts are recorded in the financial year they are received, even though those tax amounts may relate to goods and services purchased in the previous financial year.  Under cash accountin</w:t>
            </w:r>
            <w:r w:rsidR="00942DBA">
              <w:t>g, government income is called ‘receipts’ and costs are called ‘payments’</w:t>
            </w:r>
            <w:r w:rsidRPr="00EB2092">
              <w:t>.</w:t>
            </w:r>
          </w:p>
        </w:tc>
      </w:tr>
      <w:tr w:rsidR="00BE712C" w:rsidRPr="00EB2092" w14:paraId="2A2AA3F6" w14:textId="77777777" w:rsidTr="002103F0">
        <w:tc>
          <w:tcPr>
            <w:tcW w:w="1418" w:type="dxa"/>
            <w:shd w:val="clear" w:color="auto" w:fill="auto"/>
          </w:tcPr>
          <w:p w14:paraId="7F689233" w14:textId="1A4138DF" w:rsidR="00BE712C" w:rsidRPr="00EB2092" w:rsidRDefault="00BE712C" w:rsidP="002103F0">
            <w:pPr>
              <w:pStyle w:val="BodyText"/>
              <w:rPr>
                <w:b/>
              </w:rPr>
            </w:pPr>
            <w:r w:rsidRPr="00EB2092">
              <w:rPr>
                <w:b/>
              </w:rPr>
              <w:t>Net debt</w:t>
            </w:r>
          </w:p>
        </w:tc>
        <w:tc>
          <w:tcPr>
            <w:tcW w:w="7653" w:type="dxa"/>
            <w:shd w:val="clear" w:color="auto" w:fill="auto"/>
          </w:tcPr>
          <w:p w14:paraId="69BD9C86" w14:textId="1973CEF6" w:rsidR="00BE712C" w:rsidRPr="00EB2092" w:rsidRDefault="00BE712C" w:rsidP="002103F0">
            <w:pPr>
              <w:pStyle w:val="BodyText"/>
            </w:pPr>
            <w:r w:rsidRPr="00EB2092">
              <w:t>Net debt is the sum of selected financial liabilities (deposits held, advances received, government securities, loans and other borrowings) less the sum of selected financial assets (cash and deposits, advances paid, and investments, loans and placements).  It is a common measure of the strength of a government’s financial position.</w:t>
            </w:r>
          </w:p>
        </w:tc>
      </w:tr>
      <w:tr w:rsidR="00BE712C" w:rsidRPr="00EB2092" w14:paraId="28E8A1C0" w14:textId="77777777" w:rsidTr="002103F0">
        <w:trPr>
          <w:cnfStyle w:val="000000010000" w:firstRow="0" w:lastRow="0" w:firstColumn="0" w:lastColumn="0" w:oddVBand="0" w:evenVBand="0" w:oddHBand="0" w:evenHBand="1" w:firstRowFirstColumn="0" w:firstRowLastColumn="0" w:lastRowFirstColumn="0" w:lastRowLastColumn="0"/>
        </w:trPr>
        <w:tc>
          <w:tcPr>
            <w:tcW w:w="1418" w:type="dxa"/>
            <w:shd w:val="clear" w:color="auto" w:fill="auto"/>
          </w:tcPr>
          <w:p w14:paraId="40E0E1B2" w14:textId="532F883F" w:rsidR="00BE712C" w:rsidRPr="00EB2092" w:rsidRDefault="00BE712C" w:rsidP="002103F0">
            <w:pPr>
              <w:pStyle w:val="BodyText"/>
              <w:rPr>
                <w:b/>
              </w:rPr>
            </w:pPr>
            <w:r w:rsidRPr="00EB2092">
              <w:rPr>
                <w:b/>
              </w:rPr>
              <w:t>Net financial worth</w:t>
            </w:r>
          </w:p>
        </w:tc>
        <w:tc>
          <w:tcPr>
            <w:tcW w:w="7653" w:type="dxa"/>
            <w:shd w:val="clear" w:color="auto" w:fill="auto"/>
          </w:tcPr>
          <w:p w14:paraId="0E3F2E87" w14:textId="0AD77C6D" w:rsidR="00BE712C" w:rsidRPr="00EB2092" w:rsidRDefault="00BE712C" w:rsidP="002103F0">
            <w:pPr>
              <w:pStyle w:val="BodyText"/>
            </w:pPr>
            <w:r w:rsidRPr="00EB2092">
              <w:t>Net financial worth measures the total financial assets (such as cash or shares in a company) held by a person or organisation at a fixed point in time, minus the value of any liabilities, such as outstanding debts.</w:t>
            </w:r>
          </w:p>
        </w:tc>
      </w:tr>
      <w:tr w:rsidR="00BE712C" w:rsidRPr="00EB2092" w14:paraId="3ED7C2B2" w14:textId="77777777" w:rsidTr="002103F0">
        <w:tc>
          <w:tcPr>
            <w:tcW w:w="1418" w:type="dxa"/>
            <w:shd w:val="clear" w:color="auto" w:fill="auto"/>
          </w:tcPr>
          <w:p w14:paraId="7F91F8C5" w14:textId="618AAC6E" w:rsidR="00BE712C" w:rsidRPr="00EB2092" w:rsidRDefault="00BE712C" w:rsidP="002103F0">
            <w:pPr>
              <w:pStyle w:val="BodyText"/>
              <w:rPr>
                <w:b/>
              </w:rPr>
            </w:pPr>
            <w:r w:rsidRPr="00EB2092">
              <w:rPr>
                <w:b/>
              </w:rPr>
              <w:t>Payments</w:t>
            </w:r>
          </w:p>
        </w:tc>
        <w:tc>
          <w:tcPr>
            <w:tcW w:w="7653" w:type="dxa"/>
            <w:shd w:val="clear" w:color="auto" w:fill="auto"/>
          </w:tcPr>
          <w:p w14:paraId="1E019C59" w14:textId="00A83150" w:rsidR="00BE712C" w:rsidRPr="00EB2092" w:rsidRDefault="00BE712C" w:rsidP="002103F0">
            <w:pPr>
              <w:pStyle w:val="BodyText"/>
            </w:pPr>
            <w:r w:rsidRPr="00EB2092">
              <w:t xml:space="preserve">Payments capture all outgoing cash transactions from the Commonwealth Government to individuals, organisations or other levels of government.  In the Commonwealth budget context, payments are those that affect the underlying cash balance and comprise cash transactions for operating activities and the purchase of non-financial assets.  Examples include an age pension payment, a Medicare rebate for a doctor's visit, and the wages of </w:t>
            </w:r>
            <w:r w:rsidR="00AB38B0">
              <w:br/>
            </w:r>
            <w:r w:rsidRPr="00EB2092">
              <w:t>a Centrelink employee.</w:t>
            </w:r>
          </w:p>
        </w:tc>
      </w:tr>
      <w:tr w:rsidR="00BE712C" w:rsidRPr="00EB2092" w14:paraId="5B506398" w14:textId="77777777" w:rsidTr="002103F0">
        <w:trPr>
          <w:cnfStyle w:val="000000010000" w:firstRow="0" w:lastRow="0" w:firstColumn="0" w:lastColumn="0" w:oddVBand="0" w:evenVBand="0" w:oddHBand="0" w:evenHBand="1" w:firstRowFirstColumn="0" w:firstRowLastColumn="0" w:lastRowFirstColumn="0" w:lastRowLastColumn="0"/>
        </w:trPr>
        <w:tc>
          <w:tcPr>
            <w:tcW w:w="1418" w:type="dxa"/>
            <w:shd w:val="clear" w:color="auto" w:fill="auto"/>
          </w:tcPr>
          <w:p w14:paraId="765501A0" w14:textId="2005E61C" w:rsidR="00BE712C" w:rsidRPr="00EB2092" w:rsidRDefault="00BE712C" w:rsidP="002103F0">
            <w:pPr>
              <w:pStyle w:val="BodyText"/>
              <w:rPr>
                <w:b/>
              </w:rPr>
            </w:pPr>
            <w:r w:rsidRPr="00EB2092">
              <w:rPr>
                <w:b/>
              </w:rPr>
              <w:t>Public debt interest</w:t>
            </w:r>
          </w:p>
        </w:tc>
        <w:tc>
          <w:tcPr>
            <w:tcW w:w="7653" w:type="dxa"/>
            <w:shd w:val="clear" w:color="auto" w:fill="auto"/>
          </w:tcPr>
          <w:p w14:paraId="362C4499" w14:textId="6240E4FA" w:rsidR="00BE712C" w:rsidRPr="00EB2092" w:rsidRDefault="00BE712C" w:rsidP="002103F0">
            <w:pPr>
              <w:pStyle w:val="BodyText"/>
            </w:pPr>
            <w:r w:rsidRPr="00EB2092">
              <w:t>Public debt interest (PDI) is the borrowing costs of the government, mainly incurred through issuing and servicing government debt, and recorded as a cost to government in the budget.  In 2018</w:t>
            </w:r>
            <w:r w:rsidRPr="00EB2092">
              <w:rPr>
                <w:rFonts w:ascii="MS Gothic" w:eastAsia="MS Gothic" w:hAnsi="MS Gothic" w:cs="MS Gothic"/>
              </w:rPr>
              <w:t>‑</w:t>
            </w:r>
            <w:r w:rsidRPr="00EB2092">
              <w:t>19, public debt interest expenses were around $17 billion, about the same size as expenditure on the Family Tax Benefit.</w:t>
            </w:r>
          </w:p>
        </w:tc>
      </w:tr>
      <w:tr w:rsidR="00BE712C" w:rsidRPr="00EB2092" w14:paraId="3064643B" w14:textId="77777777" w:rsidTr="002103F0">
        <w:tc>
          <w:tcPr>
            <w:tcW w:w="1418" w:type="dxa"/>
            <w:shd w:val="clear" w:color="auto" w:fill="auto"/>
          </w:tcPr>
          <w:p w14:paraId="36099908" w14:textId="1D59741A" w:rsidR="00BE712C" w:rsidRPr="00EB2092" w:rsidRDefault="00BE712C" w:rsidP="002103F0">
            <w:pPr>
              <w:pStyle w:val="BodyText"/>
              <w:rPr>
                <w:b/>
              </w:rPr>
            </w:pPr>
            <w:r w:rsidRPr="00EB2092">
              <w:rPr>
                <w:b/>
              </w:rPr>
              <w:t>Receipts</w:t>
            </w:r>
          </w:p>
        </w:tc>
        <w:tc>
          <w:tcPr>
            <w:tcW w:w="7653" w:type="dxa"/>
            <w:shd w:val="clear" w:color="auto" w:fill="auto"/>
          </w:tcPr>
          <w:p w14:paraId="2940A771" w14:textId="3DA9584B" w:rsidR="00BE712C" w:rsidRPr="00EB2092" w:rsidRDefault="00BE712C" w:rsidP="002103F0">
            <w:pPr>
              <w:pStyle w:val="BodyText"/>
            </w:pPr>
            <w:r w:rsidRPr="00EB2092">
              <w:t>Receipts are the government's income, recorded at the time they are received as</w:t>
            </w:r>
            <w:r w:rsidR="00942DBA">
              <w:t xml:space="preserve"> reported on a ‘cash accounting’</w:t>
            </w:r>
            <w:r w:rsidRPr="00EB2092">
              <w:t xml:space="preserve"> basis.  In the Commonwealth budget context, receipts are those that affect the underlying cash balance, so exclude the repayment of loans and other cash flows relating to the exchange of financial assets.  The majority of government receipts are tax receipts, such as company tax, personal income tax, and goods and services tax.  The government also receives non-tax receipts, such as interest earned on government loans and dividends from government investments.</w:t>
            </w:r>
          </w:p>
        </w:tc>
      </w:tr>
      <w:tr w:rsidR="00BE712C" w14:paraId="464C24AD" w14:textId="77777777" w:rsidTr="002103F0">
        <w:trPr>
          <w:cnfStyle w:val="000000010000" w:firstRow="0" w:lastRow="0" w:firstColumn="0" w:lastColumn="0" w:oddVBand="0" w:evenVBand="0" w:oddHBand="0" w:evenHBand="1" w:firstRowFirstColumn="0" w:firstRowLastColumn="0" w:lastRowFirstColumn="0" w:lastRowLastColumn="0"/>
        </w:trPr>
        <w:tc>
          <w:tcPr>
            <w:tcW w:w="1418" w:type="dxa"/>
            <w:shd w:val="clear" w:color="auto" w:fill="auto"/>
          </w:tcPr>
          <w:p w14:paraId="1665FE88" w14:textId="0BC7B834" w:rsidR="00BE712C" w:rsidRPr="00EB2092" w:rsidRDefault="00BE712C" w:rsidP="002103F0">
            <w:pPr>
              <w:pStyle w:val="BodyText"/>
              <w:rPr>
                <w:b/>
              </w:rPr>
            </w:pPr>
            <w:r w:rsidRPr="00EB2092">
              <w:rPr>
                <w:b/>
              </w:rPr>
              <w:t>Underlying cash balance</w:t>
            </w:r>
          </w:p>
        </w:tc>
        <w:tc>
          <w:tcPr>
            <w:tcW w:w="7653" w:type="dxa"/>
            <w:shd w:val="clear" w:color="auto" w:fill="auto"/>
          </w:tcPr>
          <w:p w14:paraId="61E26BBD" w14:textId="312E9442" w:rsidR="00BE712C" w:rsidRPr="002103F0" w:rsidRDefault="00BE712C" w:rsidP="002103F0">
            <w:pPr>
              <w:pStyle w:val="BodyText"/>
            </w:pPr>
            <w:r w:rsidRPr="00EB2092">
              <w:t>The underlying cash balance (UCB) is the difference between the government's receipts and its payments.  It is one</w:t>
            </w:r>
            <w:r w:rsidR="00942DBA">
              <w:t xml:space="preserve"> of several indicators known as ‘</w:t>
            </w:r>
            <w:r w:rsidRPr="00EB2092">
              <w:t>budget aggregates</w:t>
            </w:r>
            <w:r w:rsidR="0016653D" w:rsidRPr="00EB2092">
              <w:t>’</w:t>
            </w:r>
            <w:r w:rsidRPr="00EB2092">
              <w:t xml:space="preserve"> that measure the impact of the government's budget on the economy.  When the government or the media say the budget is in surplus or deficit, they are generally referring to the underlying cash balance, or sometimes the net operating balance or fiscal balance.</w:t>
            </w:r>
            <w:r w:rsidRPr="002103F0">
              <w:rPr>
                <w:sz w:val="22"/>
              </w:rPr>
              <w:t xml:space="preserve"> </w:t>
            </w:r>
          </w:p>
        </w:tc>
      </w:tr>
    </w:tbl>
    <w:p w14:paraId="75154DE7" w14:textId="5BE3E7AA" w:rsidR="00744F45" w:rsidRDefault="00BE712C">
      <w:pPr>
        <w:pStyle w:val="BodyText"/>
      </w:pPr>
      <w:r w:rsidDel="00BE712C">
        <w:t xml:space="preserve"> </w:t>
      </w:r>
    </w:p>
    <w:sectPr w:rsidR="00744F45" w:rsidSect="00FE6E1D">
      <w:pgSz w:w="11907" w:h="16840" w:code="9"/>
      <w:pgMar w:top="1191" w:right="1418" w:bottom="1021" w:left="1418"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86350D" w14:textId="77777777" w:rsidR="00355BFB" w:rsidRDefault="00355BFB" w:rsidP="00A20802">
      <w:pPr>
        <w:spacing w:line="240" w:lineRule="auto"/>
      </w:pPr>
      <w:r>
        <w:separator/>
      </w:r>
    </w:p>
    <w:p w14:paraId="0BAE205F" w14:textId="77777777" w:rsidR="00355BFB" w:rsidRDefault="00355BFB"/>
    <w:p w14:paraId="321C9E86" w14:textId="77777777" w:rsidR="00355BFB" w:rsidRDefault="00355BFB"/>
  </w:endnote>
  <w:endnote w:type="continuationSeparator" w:id="0">
    <w:p w14:paraId="34AEA24F" w14:textId="77777777" w:rsidR="00355BFB" w:rsidRDefault="00355BFB" w:rsidP="00A20802">
      <w:pPr>
        <w:spacing w:line="240" w:lineRule="auto"/>
      </w:pPr>
      <w:r>
        <w:continuationSeparator/>
      </w:r>
    </w:p>
    <w:p w14:paraId="2A957AE1" w14:textId="77777777" w:rsidR="00355BFB" w:rsidRDefault="00355BFB"/>
    <w:p w14:paraId="4397DCD5" w14:textId="77777777" w:rsidR="00355BFB" w:rsidRDefault="00355B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ada Grotesk">
    <w:panose1 w:val="00000000000000000000"/>
    <w:charset w:val="00"/>
    <w:family w:val="swiss"/>
    <w:notTrueType/>
    <w:pitch w:val="variable"/>
    <w:sig w:usb0="A00000AF" w:usb1="4000206A" w:usb2="00000000" w:usb3="00000000" w:csb0="0000009B"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charset w:val="00"/>
    <w:family w:val="roman"/>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99C6D" w14:textId="77777777" w:rsidR="00355BFB" w:rsidRDefault="00355BF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34EAA" w14:textId="77777777" w:rsidR="00355BFB" w:rsidRDefault="00355BF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98466" w14:textId="77777777" w:rsidR="00355BFB" w:rsidRDefault="00355BF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3942358"/>
      <w:docPartObj>
        <w:docPartGallery w:val="Page Numbers (Bottom of Page)"/>
        <w:docPartUnique/>
      </w:docPartObj>
    </w:sdtPr>
    <w:sdtEndPr>
      <w:rPr>
        <w:b/>
        <w:noProof/>
      </w:rPr>
    </w:sdtEndPr>
    <w:sdtContent>
      <w:p w14:paraId="3F32E3F8" w14:textId="790ECA0A" w:rsidR="00355BFB" w:rsidRPr="00EC234F" w:rsidRDefault="00355BFB">
        <w:pPr>
          <w:pStyle w:val="Footer"/>
          <w:rPr>
            <w:b/>
          </w:rPr>
        </w:pPr>
        <w:r w:rsidRPr="006A588D">
          <w:rPr>
            <w:b/>
            <w:caps w:val="0"/>
          </w:rPr>
          <w:fldChar w:fldCharType="begin"/>
        </w:r>
        <w:r w:rsidRPr="006A588D">
          <w:rPr>
            <w:b/>
            <w:caps w:val="0"/>
          </w:rPr>
          <w:instrText xml:space="preserve"> PAGE   \* MERGEFORMAT </w:instrText>
        </w:r>
        <w:r w:rsidRPr="006A588D">
          <w:rPr>
            <w:b/>
            <w:caps w:val="0"/>
          </w:rPr>
          <w:fldChar w:fldCharType="separate"/>
        </w:r>
        <w:r w:rsidR="00D650E3">
          <w:rPr>
            <w:b/>
            <w:caps w:val="0"/>
            <w:noProof/>
          </w:rPr>
          <w:t>28</w:t>
        </w:r>
        <w:r w:rsidRPr="006A588D">
          <w:rPr>
            <w:b/>
            <w:caps w:val="0"/>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3" w:vertAnchor="page" w:horzAnchor="page" w:tblpXSpec="right" w:tblpYSpec="bottom"/>
      <w:tblW w:w="9921" w:type="dxa"/>
      <w:tblLayout w:type="fixed"/>
      <w:tblLook w:val="04A0" w:firstRow="1" w:lastRow="0" w:firstColumn="1" w:lastColumn="0" w:noHBand="0" w:noVBand="1"/>
    </w:tblPr>
    <w:tblGrid>
      <w:gridCol w:w="8504"/>
      <w:gridCol w:w="1417"/>
    </w:tblGrid>
    <w:tr w:rsidR="00355BFB" w:rsidRPr="00BA1E8D" w14:paraId="12BFB398" w14:textId="77777777" w:rsidTr="004A2651">
      <w:trPr>
        <w:trHeight w:val="879"/>
      </w:trPr>
      <w:tc>
        <w:tcPr>
          <w:tcW w:w="8504" w:type="dxa"/>
        </w:tcPr>
        <w:p w14:paraId="0C964914" w14:textId="2FA598AF" w:rsidR="00355BFB" w:rsidRPr="00BA1E8D" w:rsidRDefault="00355BFB" w:rsidP="009C28A6">
          <w:pPr>
            <w:pStyle w:val="FooterRight"/>
          </w:pPr>
          <w:r>
            <w:t xml:space="preserve">2020-21 Medium-term FISCAL </w:t>
          </w:r>
          <w:r w:rsidRPr="00AB1ED5">
            <w:t>projections</w:t>
          </w:r>
        </w:p>
      </w:tc>
      <w:tc>
        <w:tcPr>
          <w:tcW w:w="1417" w:type="dxa"/>
        </w:tcPr>
        <w:p w14:paraId="7C7E423A" w14:textId="2198F8F8" w:rsidR="00355BFB" w:rsidRPr="00F24BF6" w:rsidRDefault="00355BFB" w:rsidP="004A2651">
          <w:pPr>
            <w:pStyle w:val="FooterRightPageNumber"/>
          </w:pPr>
          <w:r w:rsidRPr="00F24BF6">
            <w:fldChar w:fldCharType="begin"/>
          </w:r>
          <w:r w:rsidRPr="00F24BF6">
            <w:instrText xml:space="preserve"> PAGE   \* MERGEFORMAT </w:instrText>
          </w:r>
          <w:r w:rsidRPr="00F24BF6">
            <w:fldChar w:fldCharType="separate"/>
          </w:r>
          <w:r w:rsidR="00D650E3">
            <w:t>27</w:t>
          </w:r>
          <w:r w:rsidRPr="00F24BF6">
            <w:fldChar w:fldCharType="end"/>
          </w:r>
        </w:p>
      </w:tc>
    </w:tr>
  </w:tbl>
  <w:p w14:paraId="5F597FBF" w14:textId="77777777" w:rsidR="00355BFB" w:rsidRDefault="00355BF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4886866"/>
      <w:docPartObj>
        <w:docPartGallery w:val="Page Numbers (Bottom of Page)"/>
        <w:docPartUnique/>
      </w:docPartObj>
    </w:sdtPr>
    <w:sdtEndPr>
      <w:rPr>
        <w:b/>
        <w:noProof/>
      </w:rPr>
    </w:sdtEndPr>
    <w:sdtContent>
      <w:p w14:paraId="59A2AD39" w14:textId="61B39532" w:rsidR="00355BFB" w:rsidRPr="00EC234F" w:rsidRDefault="00355BFB" w:rsidP="004A0A0A">
        <w:pPr>
          <w:pStyle w:val="Footer"/>
          <w:rPr>
            <w:b/>
          </w:rPr>
        </w:pPr>
        <w:r w:rsidRPr="00EC234F">
          <w:rPr>
            <w:b/>
          </w:rPr>
          <w:fldChar w:fldCharType="begin"/>
        </w:r>
        <w:r w:rsidRPr="00EC234F">
          <w:rPr>
            <w:b/>
          </w:rPr>
          <w:instrText xml:space="preserve"> PAGE   \* MERGEFORMAT </w:instrText>
        </w:r>
        <w:r w:rsidRPr="00EC234F">
          <w:rPr>
            <w:b/>
          </w:rPr>
          <w:fldChar w:fldCharType="separate"/>
        </w:r>
        <w:r w:rsidR="00D650E3">
          <w:rPr>
            <w:b/>
            <w:noProof/>
          </w:rPr>
          <w:t>46</w:t>
        </w:r>
        <w:r w:rsidRPr="00EC234F">
          <w:rPr>
            <w:b/>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3" w:vertAnchor="page" w:horzAnchor="page" w:tblpXSpec="right" w:tblpYSpec="bottom"/>
      <w:tblW w:w="9921" w:type="dxa"/>
      <w:tblLayout w:type="fixed"/>
      <w:tblLook w:val="04A0" w:firstRow="1" w:lastRow="0" w:firstColumn="1" w:lastColumn="0" w:noHBand="0" w:noVBand="1"/>
    </w:tblPr>
    <w:tblGrid>
      <w:gridCol w:w="8504"/>
      <w:gridCol w:w="1417"/>
    </w:tblGrid>
    <w:tr w:rsidR="00355BFB" w:rsidRPr="00BA1E8D" w14:paraId="5EFFDFA1" w14:textId="77777777" w:rsidTr="004A0A0A">
      <w:trPr>
        <w:trHeight w:val="879"/>
      </w:trPr>
      <w:tc>
        <w:tcPr>
          <w:tcW w:w="8504" w:type="dxa"/>
        </w:tcPr>
        <w:p w14:paraId="30A44252" w14:textId="77777777" w:rsidR="00355BFB" w:rsidRPr="00BA1E8D" w:rsidRDefault="00355BFB" w:rsidP="004A0A0A">
          <w:pPr>
            <w:pStyle w:val="FooterRight"/>
          </w:pPr>
          <w:r>
            <w:t xml:space="preserve">2020–21 Medium-term FISCAL </w:t>
          </w:r>
          <w:r w:rsidRPr="00AB1ED5">
            <w:t>projections</w:t>
          </w:r>
        </w:p>
      </w:tc>
      <w:tc>
        <w:tcPr>
          <w:tcW w:w="1417" w:type="dxa"/>
        </w:tcPr>
        <w:p w14:paraId="28910880" w14:textId="77777777" w:rsidR="00355BFB" w:rsidRPr="00F24BF6" w:rsidRDefault="00355BFB" w:rsidP="004A0A0A">
          <w:pPr>
            <w:pStyle w:val="FooterRightPageNumber"/>
          </w:pPr>
          <w:r w:rsidRPr="00F24BF6">
            <w:fldChar w:fldCharType="begin"/>
          </w:r>
          <w:r w:rsidRPr="00F24BF6">
            <w:instrText xml:space="preserve"> PAGE   \* MERGEFORMAT </w:instrText>
          </w:r>
          <w:r w:rsidRPr="00F24BF6">
            <w:fldChar w:fldCharType="separate"/>
          </w:r>
          <w:r w:rsidR="00D650E3">
            <w:t>45</w:t>
          </w:r>
          <w:r w:rsidRPr="00F24BF6">
            <w:fldChar w:fldCharType="end"/>
          </w:r>
        </w:p>
      </w:tc>
    </w:tr>
  </w:tbl>
  <w:p w14:paraId="1933081F" w14:textId="77777777" w:rsidR="00355BFB" w:rsidRDefault="00355BF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65DF01" w14:textId="77777777" w:rsidR="00355BFB" w:rsidRPr="000557A7" w:rsidRDefault="00355BFB" w:rsidP="008D5A11">
      <w:pPr>
        <w:pBdr>
          <w:top w:val="single" w:sz="4" w:space="1" w:color="auto"/>
        </w:pBdr>
        <w:spacing w:before="240" w:line="60" w:lineRule="exact"/>
        <w:rPr>
          <w:sz w:val="16"/>
          <w:szCs w:val="16"/>
        </w:rPr>
      </w:pPr>
    </w:p>
    <w:p w14:paraId="13291124" w14:textId="77777777" w:rsidR="00355BFB" w:rsidRDefault="00355BFB"/>
  </w:footnote>
  <w:footnote w:type="continuationSeparator" w:id="0">
    <w:p w14:paraId="2F5A645E" w14:textId="77777777" w:rsidR="00355BFB" w:rsidRDefault="00355BFB" w:rsidP="00A20802">
      <w:pPr>
        <w:spacing w:line="240" w:lineRule="auto"/>
      </w:pPr>
      <w:r>
        <w:continuationSeparator/>
      </w:r>
    </w:p>
    <w:p w14:paraId="39C93155" w14:textId="77777777" w:rsidR="00355BFB" w:rsidRDefault="00355BFB"/>
    <w:p w14:paraId="767652C8" w14:textId="77777777" w:rsidR="00355BFB" w:rsidRDefault="00355BFB"/>
  </w:footnote>
  <w:footnote w:id="1">
    <w:p w14:paraId="43DECBFF" w14:textId="7DEE1F94" w:rsidR="00355BFB" w:rsidRPr="00653195" w:rsidRDefault="00355BFB">
      <w:pPr>
        <w:pStyle w:val="FootnoteText"/>
      </w:pPr>
      <w:r w:rsidRPr="003A56EF">
        <w:rPr>
          <w:rStyle w:val="FootnoteReference"/>
        </w:rPr>
        <w:footnoteRef/>
      </w:r>
      <w:r>
        <w:t xml:space="preserve"> </w:t>
      </w:r>
      <w:r w:rsidRPr="007D6E09">
        <w:t xml:space="preserve">The budget balance is a key driver of the change in net debt from year to year.  The </w:t>
      </w:r>
      <w:r w:rsidRPr="00265D74">
        <w:t>underlying cash balance (UCB) is commonly referred to in public discussion about the budget balance, but is a cash concept while net debt is an accrual concept.  In this respect, the two are not directly related within government financial statements.  The next edition of the PBO’s medium-te</w:t>
      </w:r>
      <w:r w:rsidRPr="00653195">
        <w:t>rm projections will incorporate projections on an accrual basis, including the fiscal balance, to show the connections between the fiscal stocks and flows.</w:t>
      </w:r>
    </w:p>
  </w:footnote>
  <w:footnote w:id="2">
    <w:p w14:paraId="337DB18E" w14:textId="667FC045" w:rsidR="00355BFB" w:rsidRDefault="00355BFB">
      <w:pPr>
        <w:pStyle w:val="FootnoteText"/>
      </w:pPr>
      <w:r w:rsidRPr="004D2642">
        <w:rPr>
          <w:rStyle w:val="FootnoteReference"/>
        </w:rPr>
        <w:footnoteRef/>
      </w:r>
      <w:r w:rsidRPr="004F15DC">
        <w:t xml:space="preserve"> </w:t>
      </w:r>
      <w:r w:rsidRPr="00FF6563">
        <w:t>The UCB is only available back to 1970</w:t>
      </w:r>
      <w:r w:rsidRPr="00FF6563">
        <w:noBreakHyphen/>
        <w:t>71, and is included in the 2020</w:t>
      </w:r>
      <w:r w:rsidRPr="00FF6563">
        <w:noBreakHyphen/>
        <w:t>21 Budget Paper no. 1, Statement 11.</w:t>
      </w:r>
      <w:r>
        <w:t xml:space="preserve"> </w:t>
      </w:r>
    </w:p>
  </w:footnote>
  <w:footnote w:id="3">
    <w:p w14:paraId="5CA2A7C2" w14:textId="29FD536C" w:rsidR="00355BFB" w:rsidRPr="005A1175" w:rsidRDefault="00355BFB" w:rsidP="001E59E2">
      <w:pPr>
        <w:pStyle w:val="FootnoteText"/>
        <w:rPr>
          <w:rStyle w:val="FootnoteReference"/>
        </w:rPr>
      </w:pPr>
      <w:r w:rsidRPr="005A1175">
        <w:rPr>
          <w:rStyle w:val="FootnoteReference"/>
        </w:rPr>
        <w:footnoteRef/>
      </w:r>
      <w:r>
        <w:t xml:space="preserve"> </w:t>
      </w:r>
      <w:r w:rsidRPr="007D6E09">
        <w:t xml:space="preserve">See Appendix F for a brief glossary defining underlying cash balance and other budget terms and the PBO’s </w:t>
      </w:r>
      <w:hyperlink r:id="rId1" w:history="1">
        <w:r w:rsidRPr="00780E7B">
          <w:rPr>
            <w:rStyle w:val="Hyperlink"/>
          </w:rPr>
          <w:t>online budget glossary</w:t>
        </w:r>
      </w:hyperlink>
      <w:r w:rsidRPr="007D6E09">
        <w:t xml:space="preserve"> for further information.</w:t>
      </w:r>
    </w:p>
  </w:footnote>
  <w:footnote w:id="4">
    <w:p w14:paraId="06A11A7E" w14:textId="72AFFCAD" w:rsidR="00355BFB" w:rsidRDefault="00355BFB" w:rsidP="001E59E2">
      <w:pPr>
        <w:pStyle w:val="FootnoteText"/>
      </w:pPr>
      <w:r>
        <w:rPr>
          <w:rStyle w:val="FootnoteReference"/>
        </w:rPr>
        <w:footnoteRef/>
      </w:r>
      <w:r>
        <w:t xml:space="preserve"> </w:t>
      </w:r>
      <w:r w:rsidRPr="003942A6">
        <w:t>In previous medium</w:t>
      </w:r>
      <w:r>
        <w:t>-</w:t>
      </w:r>
      <w:r w:rsidRPr="003942A6">
        <w:t xml:space="preserve">term fiscal projections report, the base year of comparison has been the year </w:t>
      </w:r>
      <w:r>
        <w:t>prior to the budget year, which for this report would be 2019</w:t>
      </w:r>
      <w:r>
        <w:noBreakHyphen/>
        <w:t>20.  However, 2019</w:t>
      </w:r>
      <w:r>
        <w:noBreakHyphen/>
        <w:t>20 was unusual due to the COVID-19 pandemic and associated policy response.  In order to focus on the longer</w:t>
      </w:r>
      <w:r>
        <w:noBreakHyphen/>
        <w:t>term effects of the pandemic on the budget, this report instead uses 2018</w:t>
      </w:r>
      <w:r w:rsidRPr="006C523C">
        <w:t>–</w:t>
      </w:r>
      <w:r>
        <w:t>19 as the comparison year.</w:t>
      </w:r>
    </w:p>
  </w:footnote>
  <w:footnote w:id="5">
    <w:p w14:paraId="6E3E9E0E" w14:textId="3DB92C8A" w:rsidR="00355BFB" w:rsidRPr="00265D74" w:rsidRDefault="00355BFB" w:rsidP="0022271A">
      <w:pPr>
        <w:pStyle w:val="FootnoteText"/>
      </w:pPr>
      <w:r w:rsidRPr="003A56EF">
        <w:rPr>
          <w:rStyle w:val="FootnoteReference"/>
        </w:rPr>
        <w:footnoteRef/>
      </w:r>
      <w:r>
        <w:t xml:space="preserve"> </w:t>
      </w:r>
      <w:r w:rsidRPr="00265D74">
        <w:t xml:space="preserve">For further information on the difference between projections and predictions, see Box 1 </w:t>
      </w:r>
      <w:r>
        <w:t>in</w:t>
      </w:r>
      <w:r w:rsidRPr="001E59E2">
        <w:t xml:space="preserve"> PBO Report no. 03/2019 </w:t>
      </w:r>
      <w:r w:rsidRPr="003A56EF">
        <w:rPr>
          <w:i/>
        </w:rPr>
        <w:t>2019–20 Medium-term fiscal projections</w:t>
      </w:r>
      <w:r w:rsidRPr="001E59E2">
        <w:t xml:space="preserve"> </w:t>
      </w:r>
      <w:r w:rsidRPr="00653195">
        <w:t>(hereafter referred to as ‘the previous report’).</w:t>
      </w:r>
    </w:p>
  </w:footnote>
  <w:footnote w:id="6">
    <w:p w14:paraId="54ACC7FA" w14:textId="4B9DAED0" w:rsidR="00355BFB" w:rsidRDefault="00355BFB">
      <w:pPr>
        <w:pStyle w:val="FootnoteText"/>
      </w:pPr>
      <w:r>
        <w:rPr>
          <w:rStyle w:val="FootnoteReference"/>
        </w:rPr>
        <w:footnoteRef/>
      </w:r>
      <w:r>
        <w:t xml:space="preserve"> </w:t>
      </w:r>
      <w:r w:rsidRPr="00D006D1">
        <w:t xml:space="preserve">The requirement for publishing a fiscal strategy is set out in the </w:t>
      </w:r>
      <w:r w:rsidRPr="00A75052">
        <w:rPr>
          <w:i/>
          <w:iCs/>
        </w:rPr>
        <w:t>Charter of Budget Honesty Act 1998</w:t>
      </w:r>
      <w:r w:rsidRPr="00A75052">
        <w:t xml:space="preserve"> (the Charter) which provides the legal foundation for Commonwealth fiscal policy.  The Charter’s framework and principles are deliberately broad, giving government</w:t>
      </w:r>
      <w:r>
        <w:t>s</w:t>
      </w:r>
      <w:r w:rsidRPr="00D006D1">
        <w:t xml:space="preserve"> scope and flexibility to set out a strategy that focuses on matters of importance given the economic situation and the</w:t>
      </w:r>
      <w:r>
        <w:t>ir</w:t>
      </w:r>
      <w:r w:rsidRPr="00D006D1">
        <w:t xml:space="preserve"> </w:t>
      </w:r>
      <w:r>
        <w:t>particular</w:t>
      </w:r>
      <w:r w:rsidRPr="00D006D1">
        <w:t xml:space="preserve"> priorities</w:t>
      </w:r>
      <w:r>
        <w:t>,</w:t>
      </w:r>
      <w:r w:rsidRPr="00D006D1">
        <w:t xml:space="preserve"> while remaining consistent with the principles of sound fiscal management set out in legislation.</w:t>
      </w:r>
    </w:p>
  </w:footnote>
  <w:footnote w:id="7">
    <w:p w14:paraId="7874A901" w14:textId="45E3C01C" w:rsidR="00355BFB" w:rsidRDefault="00355BFB" w:rsidP="00905174">
      <w:pPr>
        <w:pStyle w:val="FootnoteText"/>
      </w:pPr>
      <w:r>
        <w:rPr>
          <w:rStyle w:val="FootnoteReference"/>
        </w:rPr>
        <w:footnoteRef/>
      </w:r>
      <w:r>
        <w:t xml:space="preserve"> The June quarter 2020 saw a six per cent decrease in gross national income, followed by a four per cent recovery in the September quarter 2020. </w:t>
      </w:r>
    </w:p>
  </w:footnote>
  <w:footnote w:id="8">
    <w:p w14:paraId="2E848101" w14:textId="03EE6E06" w:rsidR="00355BFB" w:rsidRDefault="00355BFB" w:rsidP="00905174">
      <w:pPr>
        <w:pStyle w:val="FootnoteText"/>
      </w:pPr>
      <w:r>
        <w:rPr>
          <w:rStyle w:val="FootnoteReference"/>
        </w:rPr>
        <w:footnoteRef/>
      </w:r>
      <w:r>
        <w:t xml:space="preserve"> Further discussion on the effect of the pandemic on GDP can be found in the Reserve Bank of Australia’s </w:t>
      </w:r>
      <w:r w:rsidRPr="007D6E09">
        <w:rPr>
          <w:i/>
        </w:rPr>
        <w:t>Statement o</w:t>
      </w:r>
      <w:r>
        <w:rPr>
          <w:i/>
        </w:rPr>
        <w:t xml:space="preserve">n </w:t>
      </w:r>
      <w:r w:rsidRPr="007D6E09">
        <w:rPr>
          <w:i/>
        </w:rPr>
        <w:t>Monetary Policy</w:t>
      </w:r>
      <w:r>
        <w:t>, November 2020.</w:t>
      </w:r>
    </w:p>
  </w:footnote>
  <w:footnote w:id="9">
    <w:p w14:paraId="3A2810A5" w14:textId="77777777" w:rsidR="00355BFB" w:rsidRPr="003A56EF" w:rsidRDefault="00355BFB" w:rsidP="00355BFB">
      <w:pPr>
        <w:pStyle w:val="FootnoteText"/>
        <w:rPr>
          <w:rStyle w:val="FootnoteReference"/>
        </w:rPr>
      </w:pPr>
      <w:r w:rsidRPr="003A56EF">
        <w:rPr>
          <w:rStyle w:val="FootnoteReference"/>
        </w:rPr>
        <w:footnoteRef/>
      </w:r>
      <w:r>
        <w:t xml:space="preserve"> </w:t>
      </w:r>
      <w:r w:rsidRPr="001E59E2">
        <w:t>For a s</w:t>
      </w:r>
      <w:r w:rsidRPr="00303015">
        <w:t xml:space="preserve">hort description of the drivers of difference between the PBO’s projections for specific receipts and payments in the previous report </w:t>
      </w:r>
      <w:r>
        <w:t xml:space="preserve">and </w:t>
      </w:r>
      <w:r w:rsidRPr="00303015">
        <w:t>the current report, see Appendix B.</w:t>
      </w:r>
    </w:p>
  </w:footnote>
  <w:footnote w:id="10">
    <w:p w14:paraId="11254F4A" w14:textId="77777777" w:rsidR="00355BFB" w:rsidRDefault="00355BFB" w:rsidP="00355BFB">
      <w:pPr>
        <w:pStyle w:val="FootnoteText"/>
      </w:pPr>
      <w:r>
        <w:rPr>
          <w:rStyle w:val="FootnoteReference"/>
        </w:rPr>
        <w:footnoteRef/>
      </w:r>
      <w:r>
        <w:t xml:space="preserve"> See 2020</w:t>
      </w:r>
      <w:r>
        <w:noBreakHyphen/>
        <w:t xml:space="preserve">21 Budget Paper no. 1, p. 2-32. </w:t>
      </w:r>
    </w:p>
  </w:footnote>
  <w:footnote w:id="11">
    <w:p w14:paraId="372AA135" w14:textId="358BB91E" w:rsidR="00355BFB" w:rsidRPr="003A56EF" w:rsidRDefault="00355BFB" w:rsidP="00C8785B">
      <w:pPr>
        <w:pStyle w:val="FootnoteText"/>
        <w:rPr>
          <w:rStyle w:val="FootnoteReference"/>
        </w:rPr>
      </w:pPr>
      <w:r w:rsidRPr="003A56EF">
        <w:rPr>
          <w:rStyle w:val="FootnoteReference"/>
        </w:rPr>
        <w:footnoteRef/>
      </w:r>
      <w:r>
        <w:t xml:space="preserve"> </w:t>
      </w:r>
      <w:r w:rsidRPr="003A56EF">
        <w:t>Appendix C describes the methodology used to generate projections for different taxes and other receipts.</w:t>
      </w:r>
      <w:r w:rsidRPr="00C8785B">
        <w:rPr>
          <w:rStyle w:val="FootnoteReference"/>
        </w:rPr>
        <w:t xml:space="preserve"> </w:t>
      </w:r>
    </w:p>
  </w:footnote>
  <w:footnote w:id="12">
    <w:p w14:paraId="29BC0B4E" w14:textId="51E4BDBB" w:rsidR="00355BFB" w:rsidRDefault="00355BFB">
      <w:pPr>
        <w:pStyle w:val="FootnoteText"/>
      </w:pPr>
      <w:r>
        <w:rPr>
          <w:rStyle w:val="FootnoteReference"/>
        </w:rPr>
        <w:footnoteRef/>
      </w:r>
      <w:r>
        <w:t xml:space="preserve"> </w:t>
      </w:r>
      <w:r w:rsidRPr="00C96029">
        <w:t>Total receipts are equal to tax receipts plus non-tax receipts.  The tax cap does not apply to non-tax receipts.</w:t>
      </w:r>
    </w:p>
  </w:footnote>
  <w:footnote w:id="13">
    <w:p w14:paraId="474EDD00" w14:textId="74A5794E" w:rsidR="00355BFB" w:rsidRDefault="00355BFB">
      <w:pPr>
        <w:pStyle w:val="FootnoteText"/>
      </w:pPr>
      <w:r>
        <w:rPr>
          <w:rStyle w:val="FootnoteReference"/>
        </w:rPr>
        <w:footnoteRef/>
      </w:r>
      <w:r>
        <w:t xml:space="preserve"> Smaller tax cuts, such as those through 2003 to 2006, are not separately identified.</w:t>
      </w:r>
    </w:p>
  </w:footnote>
  <w:footnote w:id="14">
    <w:p w14:paraId="49B94931" w14:textId="76F54E4E" w:rsidR="00355BFB" w:rsidRPr="003A56EF" w:rsidRDefault="00355BFB" w:rsidP="00432D6A">
      <w:pPr>
        <w:pStyle w:val="FootnoteText"/>
        <w:rPr>
          <w:rStyle w:val="FootnoteReference"/>
        </w:rPr>
      </w:pPr>
      <w:r w:rsidRPr="003A56EF">
        <w:rPr>
          <w:rStyle w:val="FootnoteReference"/>
        </w:rPr>
        <w:footnoteRef/>
      </w:r>
      <w:r>
        <w:t xml:space="preserve"> </w:t>
      </w:r>
      <w:r w:rsidRPr="001E59E2">
        <w:t>The 2018</w:t>
      </w:r>
      <w:r>
        <w:noBreakHyphen/>
      </w:r>
      <w:r w:rsidRPr="001E59E2">
        <w:t>19 Budge</w:t>
      </w:r>
      <w:r w:rsidRPr="00303015">
        <w:t xml:space="preserve">t included the Government’s </w:t>
      </w:r>
      <w:r w:rsidRPr="00303015">
        <w:rPr>
          <w:i/>
        </w:rPr>
        <w:t>Personal Income Tax Plan</w:t>
      </w:r>
      <w:r w:rsidRPr="00303015">
        <w:t>, and the 2019</w:t>
      </w:r>
      <w:r>
        <w:noBreakHyphen/>
      </w:r>
      <w:r w:rsidRPr="00303015">
        <w:t xml:space="preserve">20 Budget included </w:t>
      </w:r>
      <w:r w:rsidRPr="00303015">
        <w:rPr>
          <w:i/>
        </w:rPr>
        <w:t>Lower taxes for hard-working Australians: Building on the Personal Income Tax Plan</w:t>
      </w:r>
      <w:r w:rsidRPr="00303015">
        <w:t>.  The 2020</w:t>
      </w:r>
      <w:r>
        <w:noBreakHyphen/>
      </w:r>
      <w:r w:rsidRPr="00303015">
        <w:t xml:space="preserve">21 Budget adjusted the tax plan timing with the measure </w:t>
      </w:r>
      <w:proofErr w:type="spellStart"/>
      <w:r w:rsidRPr="00303015">
        <w:rPr>
          <w:i/>
        </w:rPr>
        <w:t>JobMaker</w:t>
      </w:r>
      <w:proofErr w:type="spellEnd"/>
      <w:r w:rsidRPr="00303015">
        <w:rPr>
          <w:i/>
        </w:rPr>
        <w:t xml:space="preserve"> Plan — bringing forward the Personal Income Tax Plan and retaining the low and middle income tax offset</w:t>
      </w:r>
      <w:r w:rsidRPr="003A56EF">
        <w:t>.</w:t>
      </w:r>
    </w:p>
  </w:footnote>
  <w:footnote w:id="15">
    <w:p w14:paraId="34EF5CB6" w14:textId="2A7325D7" w:rsidR="00355BFB" w:rsidRPr="00284A3A" w:rsidRDefault="00355BFB" w:rsidP="00913C40">
      <w:pPr>
        <w:pStyle w:val="FootnoteText"/>
        <w:spacing w:before="0"/>
      </w:pPr>
      <w:r w:rsidRPr="00822BBA">
        <w:rPr>
          <w:rStyle w:val="FootnoteReference"/>
        </w:rPr>
        <w:footnoteRef/>
      </w:r>
      <w:r>
        <w:rPr>
          <w:rStyle w:val="FootnoteReference"/>
        </w:rPr>
        <w:t xml:space="preserve"> </w:t>
      </w:r>
      <w:r w:rsidRPr="009C31B2">
        <w:t xml:space="preserve">PBO report no. </w:t>
      </w:r>
      <w:r w:rsidRPr="00284A3A">
        <w:t xml:space="preserve">02/2020 </w:t>
      </w:r>
      <w:r w:rsidRPr="00572B63">
        <w:rPr>
          <w:i/>
        </w:rPr>
        <w:t>Structural trends in GST</w:t>
      </w:r>
      <w:r>
        <w:t>.</w:t>
      </w:r>
    </w:p>
  </w:footnote>
  <w:footnote w:id="16">
    <w:p w14:paraId="43B355BE" w14:textId="73BAA0CB" w:rsidR="00355BFB" w:rsidRDefault="00355BFB">
      <w:pPr>
        <w:pStyle w:val="FootnoteText"/>
      </w:pPr>
      <w:r>
        <w:rPr>
          <w:rStyle w:val="FootnoteReference"/>
        </w:rPr>
        <w:footnoteRef/>
      </w:r>
      <w:r>
        <w:t xml:space="preserve"> See discussion in </w:t>
      </w:r>
      <w:r w:rsidRPr="00A75052">
        <w:t xml:space="preserve">PBO report no. 02/2020 </w:t>
      </w:r>
      <w:r w:rsidRPr="00A75052">
        <w:rPr>
          <w:i/>
        </w:rPr>
        <w:t>Structural trends in GST</w:t>
      </w:r>
      <w:r>
        <w:rPr>
          <w:i/>
        </w:rPr>
        <w:t>.</w:t>
      </w:r>
    </w:p>
  </w:footnote>
  <w:footnote w:id="17">
    <w:p w14:paraId="052677B1" w14:textId="0E8DCE84" w:rsidR="00355BFB" w:rsidRDefault="00355BFB">
      <w:pPr>
        <w:pStyle w:val="FootnoteText"/>
      </w:pPr>
      <w:r>
        <w:rPr>
          <w:rStyle w:val="FootnoteReference"/>
        </w:rPr>
        <w:footnoteRef/>
      </w:r>
      <w:r>
        <w:t xml:space="preserve"> </w:t>
      </w:r>
      <w:r w:rsidRPr="00A75052">
        <w:t xml:space="preserve">This revision to methodology was foreshadowed in the recent PBO report 03/2020 </w:t>
      </w:r>
      <w:proofErr w:type="spellStart"/>
      <w:r w:rsidRPr="00A75052">
        <w:rPr>
          <w:i/>
        </w:rPr>
        <w:t>JobSeeker</w:t>
      </w:r>
      <w:proofErr w:type="spellEnd"/>
      <w:r w:rsidRPr="00A75052">
        <w:rPr>
          <w:i/>
        </w:rPr>
        <w:t xml:space="preserve"> Payment: Understanding economic and policy trends affecting Commonwealth expenditure.</w:t>
      </w:r>
    </w:p>
  </w:footnote>
  <w:footnote w:id="18">
    <w:p w14:paraId="669A79DA" w14:textId="44D575D5" w:rsidR="00355BFB" w:rsidRDefault="00355BFB">
      <w:pPr>
        <w:pStyle w:val="FootnoteText"/>
      </w:pPr>
      <w:r w:rsidRPr="008B79CA">
        <w:rPr>
          <w:rStyle w:val="FootnoteReference"/>
        </w:rPr>
        <w:footnoteRef/>
      </w:r>
      <w:r w:rsidRPr="00572B63">
        <w:t xml:space="preserve"> In a recent speech (</w:t>
      </w:r>
      <w:r w:rsidRPr="00572B63">
        <w:rPr>
          <w:i/>
        </w:rPr>
        <w:t>Monetary Policy in 2020</w:t>
      </w:r>
      <w:r w:rsidRPr="00572B63">
        <w:t>, Australian Business Economists Webinar, 24 November 2020), D</w:t>
      </w:r>
      <w:r>
        <w:t>eputy </w:t>
      </w:r>
      <w:r w:rsidRPr="00572B63">
        <w:t xml:space="preserve">Governor Guy </w:t>
      </w:r>
      <w:proofErr w:type="spellStart"/>
      <w:r w:rsidRPr="00572B63">
        <w:t>Debelle</w:t>
      </w:r>
      <w:proofErr w:type="spellEnd"/>
      <w:r w:rsidRPr="00572B63">
        <w:t xml:space="preserve"> outlined how the RBA has taken several actions to support the economy including a reduction in the cash rate target.</w:t>
      </w:r>
    </w:p>
  </w:footnote>
  <w:footnote w:id="19">
    <w:p w14:paraId="452E9CD3" w14:textId="10666192" w:rsidR="00355BFB" w:rsidRPr="008E4435" w:rsidRDefault="00355BFB" w:rsidP="009A671E">
      <w:pPr>
        <w:pStyle w:val="FootnoteText"/>
      </w:pPr>
      <w:r w:rsidRPr="003A56EF">
        <w:rPr>
          <w:rStyle w:val="FootnoteReference"/>
        </w:rPr>
        <w:footnoteRef/>
      </w:r>
      <w:r w:rsidRPr="003A56EF">
        <w:rPr>
          <w:rStyle w:val="FootnoteReference"/>
        </w:rPr>
        <w:t xml:space="preserve">  </w:t>
      </w:r>
      <w:r w:rsidRPr="008E4435">
        <w:t>2020</w:t>
      </w:r>
      <w:r>
        <w:noBreakHyphen/>
      </w:r>
      <w:r w:rsidRPr="008E4435">
        <w:t xml:space="preserve">21 Budget Paper </w:t>
      </w:r>
      <w:r>
        <w:t xml:space="preserve">no. </w:t>
      </w:r>
      <w:r w:rsidRPr="008E4435">
        <w:t>1, p</w:t>
      </w:r>
      <w:r>
        <w:t>.</w:t>
      </w:r>
      <w:r w:rsidRPr="008E4435">
        <w:t xml:space="preserve"> 6-45.  The total Contingency </w:t>
      </w:r>
      <w:r>
        <w:t>r</w:t>
      </w:r>
      <w:r w:rsidRPr="008E4435">
        <w:t>eserve expense in 2023</w:t>
      </w:r>
      <w:r>
        <w:noBreakHyphen/>
      </w:r>
      <w:r w:rsidRPr="008E4435">
        <w:t xml:space="preserve">24 is forecast to be $21.6 billion, of which around $10 billion is from the </w:t>
      </w:r>
      <w:r>
        <w:t>c</w:t>
      </w:r>
      <w:r w:rsidRPr="008E4435">
        <w:t xml:space="preserve">onservative </w:t>
      </w:r>
      <w:r>
        <w:t>b</w:t>
      </w:r>
      <w:r w:rsidRPr="001E59E2">
        <w:t xml:space="preserve">ias </w:t>
      </w:r>
      <w:r>
        <w:t>a</w:t>
      </w:r>
      <w:r w:rsidRPr="001E59E2">
        <w:t xml:space="preserve">llowance and around $1 billion from decisions taken by not yet announced (Budget Paper </w:t>
      </w:r>
      <w:r>
        <w:t xml:space="preserve">no. </w:t>
      </w:r>
      <w:r w:rsidRPr="001E59E2">
        <w:t>2, p</w:t>
      </w:r>
      <w:r>
        <w:t>p.</w:t>
      </w:r>
      <w:r w:rsidRPr="001E59E2">
        <w:t xml:space="preserve"> 45 and 174).</w:t>
      </w:r>
    </w:p>
  </w:footnote>
  <w:footnote w:id="20">
    <w:p w14:paraId="48575ED1" w14:textId="548E0090" w:rsidR="00355BFB" w:rsidRDefault="00355BFB">
      <w:pPr>
        <w:pStyle w:val="FootnoteText"/>
      </w:pPr>
      <w:r>
        <w:rPr>
          <w:rStyle w:val="FootnoteReference"/>
        </w:rPr>
        <w:footnoteRef/>
      </w:r>
      <w:r>
        <w:t xml:space="preserve"> This compares with the budget’s projection of net debt reaching 39.6 per cent of GDP by the end of the medium term.</w:t>
      </w:r>
    </w:p>
  </w:footnote>
  <w:footnote w:id="21">
    <w:p w14:paraId="0918FFD2" w14:textId="77777777" w:rsidR="00355BFB" w:rsidRDefault="00355BFB" w:rsidP="00C80625">
      <w:pPr>
        <w:pStyle w:val="FootnoteText"/>
      </w:pPr>
      <w:r>
        <w:rPr>
          <w:rStyle w:val="FootnoteReference"/>
        </w:rPr>
        <w:footnoteRef/>
      </w:r>
      <w:r>
        <w:t xml:space="preserve"> The net debt position is a consequence of the accumulated receipt and payments flows discussed in previous chapters, as well as revaluations of some government assets.  Should these flows change from those projected in this report, this would also change the projected level of net debt.</w:t>
      </w:r>
    </w:p>
  </w:footnote>
  <w:footnote w:id="22">
    <w:p w14:paraId="3CCE0030" w14:textId="42B9DABB" w:rsidR="00355BFB" w:rsidRPr="003A56EF" w:rsidRDefault="00355BFB" w:rsidP="00C07954">
      <w:pPr>
        <w:pStyle w:val="FootnoteText"/>
        <w:rPr>
          <w:rStyle w:val="FootnoteReference"/>
        </w:rPr>
      </w:pPr>
      <w:r w:rsidRPr="003A56EF">
        <w:rPr>
          <w:rStyle w:val="FootnoteReference"/>
        </w:rPr>
        <w:footnoteRef/>
      </w:r>
      <w:r>
        <w:t xml:space="preserve"> </w:t>
      </w:r>
      <w:r w:rsidRPr="00653195">
        <w:t xml:space="preserve">PBO Report no. 05/2017 </w:t>
      </w:r>
      <w:r w:rsidRPr="00572B63">
        <w:rPr>
          <w:i/>
        </w:rPr>
        <w:t>2017</w:t>
      </w:r>
      <w:r>
        <w:rPr>
          <w:i/>
        </w:rPr>
        <w:noBreakHyphen/>
      </w:r>
      <w:r w:rsidRPr="00572B63">
        <w:rPr>
          <w:i/>
        </w:rPr>
        <w:t>18</w:t>
      </w:r>
      <w:r w:rsidRPr="00653195">
        <w:t xml:space="preserve"> </w:t>
      </w:r>
      <w:r w:rsidRPr="003A56EF">
        <w:rPr>
          <w:i/>
        </w:rPr>
        <w:t>Budget medium-term projections: economic scenario analysis</w:t>
      </w:r>
      <w:r w:rsidRPr="00653195">
        <w:t>.</w:t>
      </w:r>
    </w:p>
  </w:footnote>
  <w:footnote w:id="23">
    <w:p w14:paraId="63541D5C" w14:textId="64B2D2D5" w:rsidR="00355BFB" w:rsidRPr="003A56EF" w:rsidRDefault="00355BFB" w:rsidP="00062127">
      <w:pPr>
        <w:pStyle w:val="FootnoteText"/>
        <w:rPr>
          <w:rStyle w:val="FootnoteReference"/>
        </w:rPr>
      </w:pPr>
      <w:r w:rsidRPr="003A56EF">
        <w:rPr>
          <w:rStyle w:val="FootnoteReference"/>
        </w:rPr>
        <w:footnoteRef/>
      </w:r>
      <w:r>
        <w:t xml:space="preserve"> </w:t>
      </w:r>
      <w:r w:rsidRPr="00653195">
        <w:t xml:space="preserve">Although official </w:t>
      </w:r>
      <w:r w:rsidRPr="001E59E2">
        <w:t>documents report figures regarding war debt as being ‘no longer available’ after 1962 (</w:t>
      </w:r>
      <w:proofErr w:type="spellStart"/>
      <w:r>
        <w:t>eg</w:t>
      </w:r>
      <w:proofErr w:type="spellEnd"/>
      <w:r w:rsidRPr="001E59E2">
        <w:t> Commonwealth Grants Commission 34</w:t>
      </w:r>
      <w:r w:rsidRPr="00653195">
        <w:t>th Report, 1967</w:t>
      </w:r>
      <w:r>
        <w:t>, p. 167</w:t>
      </w:r>
      <w:r w:rsidRPr="00653195">
        <w:t>), Parliamentary Hansard reports ‘</w:t>
      </w:r>
      <w:proofErr w:type="spellStart"/>
      <w:r w:rsidRPr="00653195">
        <w:t>unacquired</w:t>
      </w:r>
      <w:proofErr w:type="spellEnd"/>
      <w:r w:rsidRPr="00653195">
        <w:t xml:space="preserve"> war debt’ of over $1 billion (4 per cent of GDP) still outstanding as at 30 June 1968 (Question Upon Notice No. 951, from </w:t>
      </w:r>
      <w:r w:rsidR="006A588D">
        <w:br/>
      </w:r>
      <w:r w:rsidRPr="00653195">
        <w:t>Mr Hayden to then Treasurer McMahon, answered 26 November 1968).</w:t>
      </w:r>
    </w:p>
  </w:footnote>
  <w:footnote w:id="24">
    <w:p w14:paraId="45326DA3" w14:textId="77777777" w:rsidR="00355BFB" w:rsidRDefault="00355BFB" w:rsidP="00E44F73">
      <w:pPr>
        <w:pStyle w:val="FootnoteText"/>
      </w:pPr>
      <w:r>
        <w:rPr>
          <w:rStyle w:val="FootnoteReference"/>
        </w:rPr>
        <w:footnoteRef/>
      </w:r>
      <w:r>
        <w:t xml:space="preserve"> </w:t>
      </w:r>
      <w:r w:rsidRPr="00780054">
        <w:rPr>
          <w:i/>
        </w:rPr>
        <w:t>The Australians:  Historical Statistics Chapter 8 – Australian National Accounts</w:t>
      </w:r>
      <w:r>
        <w:t xml:space="preserve"> (1987), accessed at:  socialsciences.org.au</w:t>
      </w:r>
    </w:p>
  </w:footnote>
  <w:footnote w:id="25">
    <w:p w14:paraId="6F608549" w14:textId="0BAFDCE4" w:rsidR="00355BFB" w:rsidRDefault="00355BFB">
      <w:pPr>
        <w:pStyle w:val="FootnoteText"/>
      </w:pPr>
      <w:r>
        <w:rPr>
          <w:rStyle w:val="FootnoteReference"/>
        </w:rPr>
        <w:footnoteRef/>
      </w:r>
      <w:r>
        <w:t xml:space="preserve"> Centre for Population, </w:t>
      </w:r>
      <w:r w:rsidRPr="00780054">
        <w:rPr>
          <w:i/>
        </w:rPr>
        <w:t>A projection of Australia’s future fertility rates</w:t>
      </w:r>
      <w:r>
        <w:t xml:space="preserve"> (2020).</w:t>
      </w:r>
    </w:p>
  </w:footnote>
  <w:footnote w:id="26">
    <w:p w14:paraId="6B5B2B48" w14:textId="1BA6BC3F" w:rsidR="00355BFB" w:rsidRDefault="00355BFB">
      <w:pPr>
        <w:pStyle w:val="FootnoteText"/>
      </w:pPr>
      <w:r>
        <w:rPr>
          <w:rStyle w:val="FootnoteReference"/>
        </w:rPr>
        <w:footnoteRef/>
      </w:r>
      <w:r>
        <w:t xml:space="preserve"> Productivity Commission, </w:t>
      </w:r>
      <w:r w:rsidRPr="00780054">
        <w:rPr>
          <w:i/>
        </w:rPr>
        <w:t>PC Productivity Insights: Recent Productivity Trends</w:t>
      </w:r>
      <w:r>
        <w:t xml:space="preserve"> (2020).</w:t>
      </w:r>
    </w:p>
  </w:footnote>
  <w:footnote w:id="27">
    <w:p w14:paraId="44EBBAC0" w14:textId="35355193" w:rsidR="00355BFB" w:rsidRPr="003A56EF" w:rsidRDefault="00355BFB" w:rsidP="00B020B3">
      <w:pPr>
        <w:pStyle w:val="FootnoteText"/>
        <w:rPr>
          <w:rStyle w:val="FootnoteReference"/>
        </w:rPr>
      </w:pPr>
      <w:r w:rsidRPr="003A56EF">
        <w:rPr>
          <w:rStyle w:val="FootnoteReference"/>
        </w:rPr>
        <w:footnoteRef/>
      </w:r>
      <w:r w:rsidRPr="003A56EF">
        <w:rPr>
          <w:rStyle w:val="FootnoteReference"/>
        </w:rPr>
        <w:tab/>
      </w:r>
      <w:r>
        <w:t>H</w:t>
      </w:r>
      <w:r w:rsidRPr="001E59E2">
        <w:t>istorical net financ</w:t>
      </w:r>
      <w:r w:rsidRPr="008E4435">
        <w:t>ial worth</w:t>
      </w:r>
      <w:r>
        <w:t xml:space="preserve"> data,</w:t>
      </w:r>
      <w:r w:rsidRPr="008E4435">
        <w:t xml:space="preserve"> </w:t>
      </w:r>
      <w:r>
        <w:t>published in</w:t>
      </w:r>
      <w:r w:rsidRPr="008E4435">
        <w:t xml:space="preserve"> Final Budget Outcome documents</w:t>
      </w:r>
      <w:r>
        <w:t>,</w:t>
      </w:r>
      <w:r w:rsidRPr="008E4435">
        <w:t xml:space="preserve"> have recently been much larger than estimated in budget documents.  These revisions largely reflect differing valuations for the government’s defined benefit superannuation liability, due to differences between budget and accounting methodologies.  At the 2020</w:t>
      </w:r>
      <w:r>
        <w:noBreakHyphen/>
      </w:r>
      <w:r w:rsidRPr="008E4435">
        <w:t>21 Budget, defined benefit superannuation liabilities were valued using a discount rate of 5.0 per cent per year, which is an average annual rate estimated to apply over the remainder of the term to maturity.  For the Final Budget Outcome, Australian Accounting Standards require the use of the current long-term government bond rate, which for 2019</w:t>
      </w:r>
      <w:r>
        <w:noBreakHyphen/>
      </w:r>
      <w:r w:rsidRPr="008E4435">
        <w:t>20 was between 1.0 and 1.7 per cent per year (depending on the scheme).  See the 2019</w:t>
      </w:r>
      <w:r>
        <w:noBreakHyphen/>
      </w:r>
      <w:r w:rsidRPr="008E4435">
        <w:t>20 Final Budget Outcome, p</w:t>
      </w:r>
      <w:r>
        <w:t>.</w:t>
      </w:r>
      <w:r w:rsidRPr="008E4435">
        <w:t xml:space="preserve"> 45.</w:t>
      </w:r>
      <w:r w:rsidRPr="003A56EF">
        <w:rPr>
          <w:rStyle w:val="FootnoteReference"/>
        </w:rPr>
        <w:t xml:space="preserve"> </w:t>
      </w:r>
    </w:p>
  </w:footnote>
  <w:footnote w:id="28">
    <w:p w14:paraId="330CFC1B" w14:textId="34C649BC" w:rsidR="00355BFB" w:rsidRDefault="00355BFB" w:rsidP="00CE4631">
      <w:pPr>
        <w:pStyle w:val="FootnoteText"/>
        <w:spacing w:before="0"/>
      </w:pPr>
      <w:r>
        <w:rPr>
          <w:rStyle w:val="FootnoteReference"/>
        </w:rPr>
        <w:footnoteRef/>
      </w:r>
      <w:r>
        <w:t xml:space="preserve"> </w:t>
      </w:r>
      <w:r w:rsidRPr="003F6503">
        <w:t xml:space="preserve"> </w:t>
      </w:r>
      <w:r>
        <w:t>Before the 2014</w:t>
      </w:r>
      <w:r>
        <w:noBreakHyphen/>
        <w:t>15 Budget, the tax element of the fiscal strategy was to keep taxes</w:t>
      </w:r>
      <w:r w:rsidRPr="003F6503">
        <w:t xml:space="preserve"> as a share of GDP on a</w:t>
      </w:r>
      <w:r>
        <w:t>verage below the level for 2007</w:t>
      </w:r>
      <w:r>
        <w:noBreakHyphen/>
      </w:r>
      <w:r w:rsidRPr="003F6503">
        <w:t>08</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545EA" w14:textId="77777777" w:rsidR="00355BFB" w:rsidRDefault="00355BFB">
    <w:pPr>
      <w:pStyle w:val="Header"/>
    </w:pPr>
    <w:r>
      <w:rPr>
        <w:noProof/>
        <w:lang w:eastAsia="en-AU"/>
      </w:rPr>
      <mc:AlternateContent>
        <mc:Choice Requires="wps">
          <w:drawing>
            <wp:anchor distT="0" distB="0" distL="114300" distR="114300" simplePos="0" relativeHeight="251646976" behindDoc="1" locked="1" layoutInCell="1" allowOverlap="1" wp14:anchorId="5689AA46" wp14:editId="7A5633F1">
              <wp:simplePos x="0" y="0"/>
              <wp:positionH relativeFrom="page">
                <wp:align>center</wp:align>
              </wp:positionH>
              <wp:positionV relativeFrom="page">
                <wp:align>center</wp:align>
              </wp:positionV>
              <wp:extent cx="7560000" cy="1796400"/>
              <wp:effectExtent l="0" t="0" r="0" b="0"/>
              <wp:wrapNone/>
              <wp:docPr id="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365B7" w14:textId="77777777" w:rsidR="00355BFB" w:rsidRPr="0001226A" w:rsidRDefault="00355BFB"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26" type="#_x0000_t202" style="position:absolute;margin-left:0;margin-top:0;width:595.3pt;height:141.45pt;z-index:-2516695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IOtgIAALw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" filled="f" stroked="f">
              <v:textbox>
                <w:txbxContent>
                  <w:p w14:paraId="077365B7" w14:textId="77777777" w:rsidR="00355BFB" w:rsidRPr="0001226A" w:rsidRDefault="00355BFB" w:rsidP="00F45442">
                    <w:pPr>
                      <w:pStyle w:val="xStatus"/>
                      <w:rPr>
                        <w:szCs w:val="120"/>
                      </w:rPr>
                    </w:pPr>
                  </w:p>
                </w:txbxContent>
              </v:textbox>
              <w10:wrap anchorx="page" anchory="page"/>
              <w10:anchorlock/>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2C0814" w14:textId="77777777" w:rsidR="00355BFB" w:rsidRDefault="00355BFB">
    <w:pPr>
      <w:pStyle w:val="Header"/>
    </w:pPr>
    <w:r>
      <w:rPr>
        <w:noProof/>
        <w:lang w:eastAsia="en-AU"/>
      </w:rPr>
      <mc:AlternateContent>
        <mc:Choice Requires="wps">
          <w:drawing>
            <wp:anchor distT="0" distB="0" distL="114300" distR="114300" simplePos="0" relativeHeight="251683840" behindDoc="1" locked="1" layoutInCell="1" allowOverlap="1" wp14:anchorId="3F503924" wp14:editId="03ACEB3B">
              <wp:simplePos x="0" y="0"/>
              <wp:positionH relativeFrom="page">
                <wp:align>center</wp:align>
              </wp:positionH>
              <wp:positionV relativeFrom="page">
                <wp:align>center</wp:align>
              </wp:positionV>
              <wp:extent cx="7560000" cy="1796400"/>
              <wp:effectExtent l="0" t="0" r="0" b="0"/>
              <wp:wrapNone/>
              <wp:docPr id="4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725E8" w14:textId="77777777" w:rsidR="00355BFB" w:rsidRPr="0001226A" w:rsidRDefault="00355BFB"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0;margin-top:0;width:595.3pt;height:141.45pt;z-index:-2516326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Di5JkauwIA&#10;AMQFAAAOAAAAAAAAAAAAAAAAAC4CAABkcnMvZTJvRG9jLnhtbFBLAQItABQABgAIAAAAIQA0xUTO&#10;2wAAAAYBAAAPAAAAAAAAAAAAAAAAABUFAABkcnMvZG93bnJldi54bWxQSwUGAAAAAAQABADzAAAA&#10;HQYAAAAA&#10;" filled="f" stroked="f">
              <v:textbox>
                <w:txbxContent>
                  <w:p w14:paraId="1B5725E8" w14:textId="77777777" w:rsidR="00355BFB" w:rsidRPr="0001226A" w:rsidRDefault="00355BFB" w:rsidP="00F45442">
                    <w:pPr>
                      <w:pStyle w:val="xStatus"/>
                      <w:rPr>
                        <w:szCs w:val="120"/>
                      </w:rPr>
                    </w:pPr>
                  </w:p>
                </w:txbxContent>
              </v:textbox>
              <w10:wrap anchorx="page" anchory="page"/>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9EF78" w14:textId="77777777" w:rsidR="00355BFB" w:rsidRDefault="00355BFB">
    <w:pPr>
      <w:pStyle w:val="Header"/>
    </w:pPr>
    <w:r>
      <w:rPr>
        <w:noProof/>
        <w:lang w:eastAsia="en-AU"/>
      </w:rPr>
      <mc:AlternateContent>
        <mc:Choice Requires="wps">
          <w:drawing>
            <wp:anchor distT="0" distB="0" distL="114300" distR="114300" simplePos="0" relativeHeight="251653120" behindDoc="1" locked="1" layoutInCell="1" allowOverlap="1" wp14:anchorId="58138FB2" wp14:editId="017C9648">
              <wp:simplePos x="0" y="0"/>
              <wp:positionH relativeFrom="page">
                <wp:align>center</wp:align>
              </wp:positionH>
              <wp:positionV relativeFrom="page">
                <wp:align>center</wp:align>
              </wp:positionV>
              <wp:extent cx="7560000" cy="1796400"/>
              <wp:effectExtent l="0" t="0" r="0" b="0"/>
              <wp:wrapNone/>
              <wp:docPr id="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4C4C2" w14:textId="77777777" w:rsidR="00355BFB" w:rsidRPr="0001226A" w:rsidRDefault="00355BFB"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0;width:595.3pt;height:141.45pt;z-index:-2516633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IeAB0W6AgAA&#10;wwUAAA4AAAAAAAAAAAAAAAAALgIAAGRycy9lMm9Eb2MueG1sUEsBAi0AFAAGAAgAAAAhADTFRM7b&#10;AAAABgEAAA8AAAAAAAAAAAAAAAAAFAUAAGRycy9kb3ducmV2LnhtbFBLBQYAAAAABAAEAPMAAAAc&#10;BgAAAAA=&#10;" filled="f" stroked="f">
              <v:textbox>
                <w:txbxContent>
                  <w:p w14:paraId="5544C4C2" w14:textId="77777777" w:rsidR="00355BFB" w:rsidRPr="0001226A" w:rsidRDefault="00355BFB" w:rsidP="00F45442">
                    <w:pPr>
                      <w:pStyle w:val="xStatus"/>
                      <w:rPr>
                        <w:szCs w:val="120"/>
                      </w:rPr>
                    </w:pPr>
                  </w:p>
                </w:txbxContent>
              </v:textbox>
              <w10:wrap anchorx="page" anchory="page"/>
              <w10:anchorlock/>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5C793" w14:textId="77777777" w:rsidR="00355BFB" w:rsidRDefault="00355BFB">
    <w:pPr>
      <w:pStyle w:val="Header"/>
    </w:pPr>
    <w:r>
      <w:rPr>
        <w:noProof/>
        <w:lang w:eastAsia="en-AU"/>
      </w:rPr>
      <w:drawing>
        <wp:anchor distT="0" distB="0" distL="114300" distR="114300" simplePos="0" relativeHeight="251679744" behindDoc="0" locked="1" layoutInCell="1" allowOverlap="1" wp14:anchorId="239DE9E0" wp14:editId="7C22062C">
          <wp:simplePos x="0" y="0"/>
          <wp:positionH relativeFrom="page">
            <wp:posOffset>939800</wp:posOffset>
          </wp:positionH>
          <wp:positionV relativeFrom="page">
            <wp:posOffset>1260475</wp:posOffset>
          </wp:positionV>
          <wp:extent cx="1918800" cy="586800"/>
          <wp:effectExtent l="0" t="0" r="5715" b="3810"/>
          <wp:wrapNone/>
          <wp:docPr id="7" name="Picture 7" descr="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8800" cy="5868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9264" behindDoc="1" locked="1" layoutInCell="1" allowOverlap="1" wp14:anchorId="4053BC7C" wp14:editId="6772B1E4">
          <wp:simplePos x="896815" y="509954"/>
          <wp:positionH relativeFrom="page">
            <wp:align>left</wp:align>
          </wp:positionH>
          <wp:positionV relativeFrom="page">
            <wp:align>top</wp:align>
          </wp:positionV>
          <wp:extent cx="7559675" cy="10692765"/>
          <wp:effectExtent l="0" t="0" r="317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9675" cy="10693283"/>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40832" behindDoc="1" locked="1" layoutInCell="1" allowOverlap="1" wp14:anchorId="361F77A8" wp14:editId="703E3D39">
              <wp:simplePos x="0" y="0"/>
              <wp:positionH relativeFrom="page">
                <wp:align>center</wp:align>
              </wp:positionH>
              <wp:positionV relativeFrom="page">
                <wp:align>center</wp:align>
              </wp:positionV>
              <wp:extent cx="7560000" cy="1796400"/>
              <wp:effectExtent l="0" t="0" r="0" b="0"/>
              <wp:wrapNone/>
              <wp:docPr id="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CF79D" w14:textId="77777777" w:rsidR="00355BFB" w:rsidRPr="0001226A" w:rsidRDefault="00355BFB"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0;margin-top:0;width:595.3pt;height:141.45pt;z-index:-25167564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Gtyw5K6AgAA&#10;wwUAAA4AAAAAAAAAAAAAAAAALgIAAGRycy9lMm9Eb2MueG1sUEsBAi0AFAAGAAgAAAAhADTFRM7b&#10;AAAABgEAAA8AAAAAAAAAAAAAAAAAFAUAAGRycy9kb3ducmV2LnhtbFBLBQYAAAAABAAEAPMAAAAc&#10;BgAAAAA=&#10;" filled="f" stroked="f">
              <v:textbox>
                <w:txbxContent>
                  <w:p w14:paraId="289CF79D" w14:textId="77777777" w:rsidR="00355BFB" w:rsidRPr="0001226A" w:rsidRDefault="00355BFB" w:rsidP="00F45442">
                    <w:pPr>
                      <w:pStyle w:val="xStatus"/>
                      <w:rPr>
                        <w:szCs w:val="120"/>
                      </w:rPr>
                    </w:pPr>
                  </w:p>
                </w:txbxContent>
              </v:textbox>
              <w10:wrap anchorx="page" anchory="page"/>
              <w10:anchorlock/>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2A970" w14:textId="77777777" w:rsidR="00355BFB" w:rsidRDefault="00355BFB">
    <w:pPr>
      <w:pStyle w:val="Header"/>
    </w:pPr>
    <w:r>
      <w:rPr>
        <w:noProof/>
        <w:lang w:eastAsia="en-AU"/>
      </w:rPr>
      <mc:AlternateContent>
        <mc:Choice Requires="wps">
          <w:drawing>
            <wp:anchor distT="0" distB="0" distL="114300" distR="114300" simplePos="0" relativeHeight="251676672" behindDoc="1" locked="1" layoutInCell="1" allowOverlap="1" wp14:anchorId="1EBFA1B4" wp14:editId="38AB42BE">
              <wp:simplePos x="0" y="0"/>
              <wp:positionH relativeFrom="page">
                <wp:align>center</wp:align>
              </wp:positionH>
              <wp:positionV relativeFrom="page">
                <wp:align>center</wp:align>
              </wp:positionV>
              <wp:extent cx="7560000" cy="1796400"/>
              <wp:effectExtent l="0" t="0" r="0" b="0"/>
              <wp:wrapNone/>
              <wp:docPr id="1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89369" w14:textId="77777777" w:rsidR="00355BFB" w:rsidRPr="0001226A" w:rsidRDefault="00355BFB"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0;margin-top:0;width:595.3pt;height:141.45pt;z-index:-25163980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BNys32uwIA&#10;AMQFAAAOAAAAAAAAAAAAAAAAAC4CAABkcnMvZTJvRG9jLnhtbFBLAQItABQABgAIAAAAIQA0xUTO&#10;2wAAAAYBAAAPAAAAAAAAAAAAAAAAABUFAABkcnMvZG93bnJldi54bWxQSwUGAAAAAAQABADzAAAA&#10;HQYAAAAA&#10;" filled="f" stroked="f">
              <v:textbox>
                <w:txbxContent>
                  <w:p w14:paraId="69589369" w14:textId="77777777" w:rsidR="00355BFB" w:rsidRPr="0001226A" w:rsidRDefault="00355BFB" w:rsidP="00F45442">
                    <w:pPr>
                      <w:pStyle w:val="xStatus"/>
                      <w:rPr>
                        <w:szCs w:val="120"/>
                      </w:rPr>
                    </w:pPr>
                  </w:p>
                </w:txbxContent>
              </v:textbox>
              <w10:wrap anchorx="page" anchory="page"/>
              <w10:anchorlock/>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F1544B" w14:textId="77777777" w:rsidR="00355BFB" w:rsidRDefault="00355BFB">
    <w:pPr>
      <w:pStyle w:val="Header"/>
    </w:pPr>
    <w:r>
      <w:rPr>
        <w:noProof/>
        <w:lang w:eastAsia="en-AU"/>
      </w:rPr>
      <mc:AlternateContent>
        <mc:Choice Requires="wps">
          <w:drawing>
            <wp:anchor distT="0" distB="0" distL="114300" distR="114300" simplePos="0" relativeHeight="251678720" behindDoc="1" locked="1" layoutInCell="1" allowOverlap="1" wp14:anchorId="1D2C5063" wp14:editId="4814A5E1">
              <wp:simplePos x="0" y="0"/>
              <wp:positionH relativeFrom="page">
                <wp:align>center</wp:align>
              </wp:positionH>
              <wp:positionV relativeFrom="page">
                <wp:align>center</wp:align>
              </wp:positionV>
              <wp:extent cx="7560000" cy="1796400"/>
              <wp:effectExtent l="0" t="0" r="0" b="0"/>
              <wp:wrapNone/>
              <wp:docPr id="1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FF2A8" w14:textId="77777777" w:rsidR="00355BFB" w:rsidRPr="0001226A" w:rsidRDefault="00355BFB"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0;margin-top:0;width:595.3pt;height:141.45pt;z-index:-2516377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DjfZqa6AgAA&#10;xAUAAA4AAAAAAAAAAAAAAAAALgIAAGRycy9lMm9Eb2MueG1sUEsBAi0AFAAGAAgAAAAhADTFRM7b&#10;AAAABgEAAA8AAAAAAAAAAAAAAAAAFAUAAGRycy9kb3ducmV2LnhtbFBLBQYAAAAABAAEAPMAAAAc&#10;BgAAAAA=&#10;" filled="f" stroked="f">
              <v:textbox>
                <w:txbxContent>
                  <w:p w14:paraId="7ECFF2A8" w14:textId="77777777" w:rsidR="00355BFB" w:rsidRPr="0001226A" w:rsidRDefault="00355BFB" w:rsidP="00F45442">
                    <w:pPr>
                      <w:pStyle w:val="xStatus"/>
                      <w:rPr>
                        <w:szCs w:val="120"/>
                      </w:rPr>
                    </w:pPr>
                  </w:p>
                </w:txbxContent>
              </v:textbox>
              <w10:wrap anchorx="page" anchory="page"/>
              <w10:anchorlock/>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622C7A" w14:textId="77777777" w:rsidR="00355BFB" w:rsidRDefault="00355BFB">
    <w:pPr>
      <w:pStyle w:val="Header"/>
    </w:pPr>
    <w:r>
      <w:rPr>
        <w:noProof/>
        <w:lang w:eastAsia="en-AU"/>
      </w:rPr>
      <mc:AlternateContent>
        <mc:Choice Requires="wps">
          <w:drawing>
            <wp:anchor distT="0" distB="0" distL="114300" distR="114300" simplePos="0" relativeHeight="251674624" behindDoc="1" locked="1" layoutInCell="1" allowOverlap="1" wp14:anchorId="5B2C8041" wp14:editId="55411D72">
              <wp:simplePos x="0" y="0"/>
              <wp:positionH relativeFrom="page">
                <wp:align>center</wp:align>
              </wp:positionH>
              <wp:positionV relativeFrom="page">
                <wp:align>center</wp:align>
              </wp:positionV>
              <wp:extent cx="7560000" cy="1796400"/>
              <wp:effectExtent l="0" t="0" r="0" b="0"/>
              <wp:wrapNone/>
              <wp:docPr id="1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2D598" w14:textId="77777777" w:rsidR="00355BFB" w:rsidRPr="0001226A" w:rsidRDefault="00355BFB"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0;width:595.3pt;height:141.45pt;z-index:-25164185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80U5W6AgAA&#10;xAUAAA4AAAAAAAAAAAAAAAAALgIAAGRycy9lMm9Eb2MueG1sUEsBAi0AFAAGAAgAAAAhADTFRM7b&#10;AAAABgEAAA8AAAAAAAAAAAAAAAAAFAUAAGRycy9kb3ducmV2LnhtbFBLBQYAAAAABAAEAPMAAAAc&#10;BgAAAAA=&#10;" filled="f" stroked="f">
              <v:textbox>
                <w:txbxContent>
                  <w:p w14:paraId="4962D598" w14:textId="77777777" w:rsidR="00355BFB" w:rsidRPr="0001226A" w:rsidRDefault="00355BFB" w:rsidP="00F45442">
                    <w:pPr>
                      <w:pStyle w:val="xStatus"/>
                      <w:rPr>
                        <w:szCs w:val="120"/>
                      </w:rPr>
                    </w:pPr>
                  </w:p>
                </w:txbxContent>
              </v:textbox>
              <w10:wrap anchorx="page" anchory="page"/>
              <w10:anchorlock/>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B0CC4" w14:textId="77777777" w:rsidR="00355BFB" w:rsidRDefault="00355BF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84823" w14:textId="77777777" w:rsidR="00355BFB" w:rsidRDefault="00355BFB">
    <w:pPr>
      <w:pStyle w:val="Header"/>
    </w:pPr>
    <w:r>
      <w:rPr>
        <w:noProof/>
        <w:lang w:eastAsia="en-AU"/>
      </w:rPr>
      <mc:AlternateContent>
        <mc:Choice Requires="wps">
          <w:drawing>
            <wp:anchor distT="0" distB="0" distL="114300" distR="114300" simplePos="0" relativeHeight="251682816" behindDoc="1" locked="1" layoutInCell="1" allowOverlap="1" wp14:anchorId="25DB116A" wp14:editId="6037CE4C">
              <wp:simplePos x="0" y="0"/>
              <wp:positionH relativeFrom="page">
                <wp:align>center</wp:align>
              </wp:positionH>
              <wp:positionV relativeFrom="page">
                <wp:align>center</wp:align>
              </wp:positionV>
              <wp:extent cx="7560000" cy="1796400"/>
              <wp:effectExtent l="0" t="0" r="0" b="0"/>
              <wp:wrapNone/>
              <wp:docPr id="4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C0B35" w14:textId="77777777" w:rsidR="00355BFB" w:rsidRPr="0001226A" w:rsidRDefault="00355BFB"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0;margin-top:0;width:595.3pt;height:141.45pt;z-index:-2516336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AyTKVduwIA&#10;AMQFAAAOAAAAAAAAAAAAAAAAAC4CAABkcnMvZTJvRG9jLnhtbFBLAQItABQABgAIAAAAIQA0xUTO&#10;2wAAAAYBAAAPAAAAAAAAAAAAAAAAABUFAABkcnMvZG93bnJldi54bWxQSwUGAAAAAAQABADzAAAA&#10;HQYAAAAA&#10;" filled="f" stroked="f">
              <v:textbox>
                <w:txbxContent>
                  <w:p w14:paraId="37AC0B35" w14:textId="77777777" w:rsidR="00355BFB" w:rsidRPr="0001226A" w:rsidRDefault="00355BFB" w:rsidP="00F45442">
                    <w:pPr>
                      <w:pStyle w:val="xStatus"/>
                      <w:rPr>
                        <w:szCs w:val="120"/>
                      </w:rPr>
                    </w:pPr>
                  </w:p>
                </w:txbxContent>
              </v:textbox>
              <w10:wrap anchorx="page" anchory="page"/>
              <w10:anchorlock/>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8ED9F" w14:textId="77777777" w:rsidR="00355BFB" w:rsidRDefault="00355BFB">
    <w:pPr>
      <w:pStyle w:val="Header"/>
    </w:pPr>
    <w:r>
      <w:rPr>
        <w:noProof/>
        <w:lang w:eastAsia="en-AU"/>
      </w:rPr>
      <mc:AlternateContent>
        <mc:Choice Requires="wps">
          <w:drawing>
            <wp:anchor distT="0" distB="0" distL="114300" distR="114300" simplePos="0" relativeHeight="251681792" behindDoc="1" locked="1" layoutInCell="1" allowOverlap="1" wp14:anchorId="57F21BB0" wp14:editId="7E1D2638">
              <wp:simplePos x="0" y="0"/>
              <wp:positionH relativeFrom="page">
                <wp:align>center</wp:align>
              </wp:positionH>
              <wp:positionV relativeFrom="page">
                <wp:align>center</wp:align>
              </wp:positionV>
              <wp:extent cx="7560000" cy="1796400"/>
              <wp:effectExtent l="0" t="0" r="0" b="0"/>
              <wp:wrapNone/>
              <wp:docPr id="4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79036" w14:textId="77777777" w:rsidR="00355BFB" w:rsidRPr="0001226A" w:rsidRDefault="00355BFB"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0;margin-top:0;width:595.3pt;height:141.45pt;z-index:-25163468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ET0ogq6AgAA&#10;xAUAAA4AAAAAAAAAAAAAAAAALgIAAGRycy9lMm9Eb2MueG1sUEsBAi0AFAAGAAgAAAAhADTFRM7b&#10;AAAABgEAAA8AAAAAAAAAAAAAAAAAFAUAAGRycy9kb3ducmV2LnhtbFBLBQYAAAAABAAEAPMAAAAc&#10;BgAAAAA=&#10;" filled="f" stroked="f">
              <v:textbox>
                <w:txbxContent>
                  <w:p w14:paraId="73D79036" w14:textId="77777777" w:rsidR="00355BFB" w:rsidRPr="0001226A" w:rsidRDefault="00355BFB" w:rsidP="00F45442">
                    <w:pPr>
                      <w:pStyle w:val="xStatus"/>
                      <w:rPr>
                        <w:szCs w:val="120"/>
                      </w:rPr>
                    </w:pPr>
                  </w:p>
                </w:txbxContent>
              </v:textbox>
              <w10:wrap anchorx="page" anchory="pag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9A30C234"/>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C2D2723E"/>
    <w:lvl w:ilvl="0">
      <w:start w:val="1"/>
      <w:numFmt w:val="bullet"/>
      <w:lvlText w:val=""/>
      <w:lvlJc w:val="left"/>
      <w:pPr>
        <w:tabs>
          <w:tab w:val="num" w:pos="1209"/>
        </w:tabs>
        <w:ind w:left="1209" w:hanging="360"/>
      </w:pPr>
      <w:rPr>
        <w:rFonts w:ascii="Symbol" w:hAnsi="Symbol" w:hint="default"/>
      </w:rPr>
    </w:lvl>
  </w:abstractNum>
  <w:abstractNum w:abstractNumId="2">
    <w:nsid w:val="FFFFFF89"/>
    <w:multiLevelType w:val="singleLevel"/>
    <w:tmpl w:val="9AC60D14"/>
    <w:lvl w:ilvl="0">
      <w:start w:val="1"/>
      <w:numFmt w:val="bullet"/>
      <w:lvlText w:val=""/>
      <w:lvlJc w:val="left"/>
      <w:pPr>
        <w:tabs>
          <w:tab w:val="num" w:pos="360"/>
        </w:tabs>
        <w:ind w:left="360" w:hanging="360"/>
      </w:pPr>
      <w:rPr>
        <w:rFonts w:ascii="Symbol" w:hAnsi="Symbol" w:hint="default"/>
      </w:rPr>
    </w:lvl>
  </w:abstractNum>
  <w:abstractNum w:abstractNumId="3">
    <w:nsid w:val="002E0796"/>
    <w:multiLevelType w:val="multilevel"/>
    <w:tmpl w:val="77740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120706"/>
    <w:multiLevelType w:val="hybridMultilevel"/>
    <w:tmpl w:val="EB4429BC"/>
    <w:lvl w:ilvl="0" w:tplc="3F004E0E">
      <w:start w:val="3"/>
      <w:numFmt w:val="bullet"/>
      <w:lvlText w:val="-"/>
      <w:lvlJc w:val="left"/>
      <w:pPr>
        <w:ind w:left="720" w:hanging="360"/>
      </w:pPr>
      <w:rPr>
        <w:rFonts w:ascii="Calibri" w:eastAsiaTheme="minorHAns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68B37FE"/>
    <w:multiLevelType w:val="multilevel"/>
    <w:tmpl w:val="D3748072"/>
    <w:name w:val="Bullets"/>
    <w:lvl w:ilvl="0">
      <w:start w:val="1"/>
      <w:numFmt w:val="bullet"/>
      <w:lvlText w:val="•"/>
      <w:lvlJc w:val="left"/>
      <w:pPr>
        <w:tabs>
          <w:tab w:val="num" w:pos="284"/>
        </w:tabs>
        <w:ind w:left="284" w:hanging="284"/>
      </w:pPr>
      <w:rPr>
        <w:rFonts w:ascii="Calibri" w:hAnsi="Calibri" w:hint="default"/>
        <w:b w:val="0"/>
        <w:i w:val="0"/>
        <w:color w:val="auto"/>
        <w:position w:val="0"/>
        <w:sz w:val="19"/>
      </w:rPr>
    </w:lvl>
    <w:lvl w:ilvl="1">
      <w:start w:val="1"/>
      <w:numFmt w:val="bullet"/>
      <w:lvlText w:val="–"/>
      <w:lvlJc w:val="left"/>
      <w:pPr>
        <w:tabs>
          <w:tab w:val="num" w:pos="568"/>
        </w:tabs>
        <w:ind w:left="568" w:hanging="284"/>
      </w:pPr>
      <w:rPr>
        <w:rFonts w:ascii="Calibri" w:hAnsi="Calibri" w:hint="default"/>
        <w:b w:val="0"/>
        <w:i w:val="0"/>
        <w:color w:val="auto"/>
        <w:position w:val="0"/>
        <w:sz w:val="19"/>
      </w:rPr>
    </w:lvl>
    <w:lvl w:ilvl="2">
      <w:start w:val="1"/>
      <w:numFmt w:val="bullet"/>
      <w:lvlText w:val=""/>
      <w:lvlJc w:val="left"/>
      <w:pPr>
        <w:tabs>
          <w:tab w:val="num" w:pos="852"/>
        </w:tabs>
        <w:ind w:left="852" w:hanging="284"/>
      </w:pPr>
      <w:rPr>
        <w:rFonts w:ascii="Wingdings" w:hAnsi="Wingdings" w:hint="default"/>
        <w:b w:val="0"/>
        <w:i w:val="0"/>
        <w:color w:val="auto"/>
        <w:spacing w:val="0"/>
        <w:w w:val="100"/>
        <w:position w:val="0"/>
        <w:sz w:val="19"/>
        <w:szCs w:val="16"/>
      </w:rPr>
    </w:lvl>
    <w:lvl w:ilvl="3">
      <w:start w:val="1"/>
      <w:numFmt w:val="none"/>
      <w:lvlText w:val=""/>
      <w:lvlJc w:val="left"/>
      <w:pPr>
        <w:tabs>
          <w:tab w:val="num" w:pos="1136"/>
        </w:tabs>
        <w:ind w:left="1136" w:hanging="284"/>
      </w:pPr>
      <w:rPr>
        <w:rFonts w:hint="default"/>
      </w:rPr>
    </w:lvl>
    <w:lvl w:ilvl="4">
      <w:start w:val="1"/>
      <w:numFmt w:val="none"/>
      <w:lvlText w:val=""/>
      <w:lvlJc w:val="left"/>
      <w:pPr>
        <w:tabs>
          <w:tab w:val="num" w:pos="1420"/>
        </w:tabs>
        <w:ind w:left="1420" w:hanging="284"/>
      </w:pPr>
      <w:rPr>
        <w:rFonts w:hint="default"/>
      </w:rPr>
    </w:lvl>
    <w:lvl w:ilvl="5">
      <w:start w:val="1"/>
      <w:numFmt w:val="none"/>
      <w:lvlText w:val=""/>
      <w:lvlJc w:val="left"/>
      <w:pPr>
        <w:tabs>
          <w:tab w:val="num" w:pos="1704"/>
        </w:tabs>
        <w:ind w:left="1704" w:hanging="284"/>
      </w:pPr>
      <w:rPr>
        <w:rFonts w:hint="default"/>
      </w:rPr>
    </w:lvl>
    <w:lvl w:ilvl="6">
      <w:start w:val="1"/>
      <w:numFmt w:val="none"/>
      <w:lvlText w:val=""/>
      <w:lvlJc w:val="left"/>
      <w:pPr>
        <w:tabs>
          <w:tab w:val="num" w:pos="1988"/>
        </w:tabs>
        <w:ind w:left="1988" w:hanging="284"/>
      </w:pPr>
      <w:rPr>
        <w:rFonts w:hint="default"/>
      </w:rPr>
    </w:lvl>
    <w:lvl w:ilvl="7">
      <w:start w:val="1"/>
      <w:numFmt w:val="none"/>
      <w:lvlText w:val=""/>
      <w:lvlJc w:val="left"/>
      <w:pPr>
        <w:tabs>
          <w:tab w:val="num" w:pos="2272"/>
        </w:tabs>
        <w:ind w:left="2272" w:hanging="284"/>
      </w:pPr>
      <w:rPr>
        <w:rFonts w:hint="default"/>
      </w:rPr>
    </w:lvl>
    <w:lvl w:ilvl="8">
      <w:start w:val="1"/>
      <w:numFmt w:val="none"/>
      <w:lvlText w:val=""/>
      <w:lvlJc w:val="left"/>
      <w:pPr>
        <w:tabs>
          <w:tab w:val="num" w:pos="2556"/>
        </w:tabs>
        <w:ind w:left="2556" w:hanging="284"/>
      </w:pPr>
      <w:rPr>
        <w:rFonts w:hint="default"/>
      </w:rPr>
    </w:lvl>
  </w:abstractNum>
  <w:abstractNum w:abstractNumId="6">
    <w:nsid w:val="0D745448"/>
    <w:multiLevelType w:val="multilevel"/>
    <w:tmpl w:val="C570F8B4"/>
    <w:name w:val="PBOHeadings"/>
    <w:lvl w:ilvl="0">
      <w:start w:val="1"/>
      <w:numFmt w:val="decimal"/>
      <w:pStyle w:val="Heading1"/>
      <w:lvlText w:val="%1"/>
      <w:lvlJc w:val="left"/>
      <w:pPr>
        <w:ind w:left="765" w:hanging="765"/>
      </w:pPr>
      <w:rPr>
        <w:rFonts w:hint="default"/>
      </w:rPr>
    </w:lvl>
    <w:lvl w:ilvl="1">
      <w:start w:val="1"/>
      <w:numFmt w:val="decimal"/>
      <w:pStyle w:val="Heading2"/>
      <w:lvlText w:val="%1.%2"/>
      <w:lvlJc w:val="left"/>
      <w:pPr>
        <w:ind w:left="1333" w:hanging="765"/>
      </w:pPr>
      <w:rPr>
        <w:rFonts w:hint="default"/>
      </w:rPr>
    </w:lvl>
    <w:lvl w:ilvl="2">
      <w:start w:val="1"/>
      <w:numFmt w:val="decimal"/>
      <w:pStyle w:val="Heading3"/>
      <w:lvlText w:val="%1.%2.%3"/>
      <w:lvlJc w:val="left"/>
      <w:pPr>
        <w:ind w:left="765" w:hanging="765"/>
      </w:pPr>
      <w:rPr>
        <w:rFonts w:hint="default"/>
      </w:rPr>
    </w:lvl>
    <w:lvl w:ilvl="3">
      <w:start w:val="1"/>
      <w:numFmt w:val="none"/>
      <w:lvlText w:val=""/>
      <w:lvlJc w:val="left"/>
      <w:pPr>
        <w:ind w:left="765" w:hanging="765"/>
      </w:pPr>
      <w:rPr>
        <w:rFonts w:hint="default"/>
      </w:rPr>
    </w:lvl>
    <w:lvl w:ilvl="4">
      <w:start w:val="1"/>
      <w:numFmt w:val="none"/>
      <w:lvlText w:val=""/>
      <w:lvlJc w:val="left"/>
      <w:pPr>
        <w:ind w:left="765" w:hanging="765"/>
      </w:pPr>
      <w:rPr>
        <w:rFonts w:hint="default"/>
      </w:rPr>
    </w:lvl>
    <w:lvl w:ilvl="5">
      <w:start w:val="1"/>
      <w:numFmt w:val="none"/>
      <w:lvlText w:val=""/>
      <w:lvlJc w:val="lef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left"/>
      <w:pPr>
        <w:ind w:left="765" w:hanging="765"/>
      </w:pPr>
      <w:rPr>
        <w:rFonts w:hint="default"/>
      </w:rPr>
    </w:lvl>
  </w:abstractNum>
  <w:abstractNum w:abstractNumId="7">
    <w:nsid w:val="0FB2573F"/>
    <w:multiLevelType w:val="multilevel"/>
    <w:tmpl w:val="CBAACE70"/>
    <w:name w:val="TableFootnotes"/>
    <w:lvl w:ilvl="0">
      <w:start w:val="1"/>
      <w:numFmt w:val="lowerLetter"/>
      <w:pStyle w:val="TableFootnotes"/>
      <w:lvlText w:val="(%1)"/>
      <w:lvlJc w:val="left"/>
      <w:pPr>
        <w:ind w:left="284" w:hanging="284"/>
      </w:pPr>
      <w:rPr>
        <w:rFonts w:hint="default"/>
        <w:color w:val="788184"/>
        <w:spacing w:val="0"/>
        <w:sz w:val="16"/>
        <w:vertAlign w:val="baseline"/>
      </w:rPr>
    </w:lvl>
    <w:lvl w:ilvl="1">
      <w:start w:val="1"/>
      <w:numFmt w:val="bullet"/>
      <w:lvlText w:val=""/>
      <w:lvlJc w:val="left"/>
      <w:pPr>
        <w:tabs>
          <w:tab w:val="num" w:pos="454"/>
        </w:tabs>
        <w:ind w:left="568" w:hanging="284"/>
      </w:pPr>
      <w:rPr>
        <w:rFonts w:ascii="Symbol" w:hAnsi="Symbol" w:hint="default"/>
        <w:spacing w:val="0"/>
        <w:w w:val="100"/>
        <w:kern w:val="0"/>
        <w:position w:val="0"/>
      </w:rPr>
    </w:lvl>
    <w:lvl w:ilvl="2">
      <w:start w:val="1"/>
      <w:numFmt w:val="bullet"/>
      <w:lvlRestart w:val="1"/>
      <w:lvlText w:val=""/>
      <w:lvlJc w:val="left"/>
      <w:pPr>
        <w:tabs>
          <w:tab w:val="num" w:pos="624"/>
        </w:tabs>
        <w:ind w:left="852" w:hanging="284"/>
      </w:pPr>
      <w:rPr>
        <w:rFonts w:ascii="Symbol" w:hAnsi="Symbol" w:hint="default"/>
        <w:color w:val="auto"/>
        <w:spacing w:val="-4"/>
      </w:rPr>
    </w:lvl>
    <w:lvl w:ilvl="3">
      <w:start w:val="1"/>
      <w:numFmt w:val="none"/>
      <w:lvlText w:val=""/>
      <w:lvlJc w:val="left"/>
      <w:pPr>
        <w:tabs>
          <w:tab w:val="num" w:pos="0"/>
        </w:tabs>
        <w:ind w:left="1136" w:hanging="284"/>
      </w:pPr>
      <w:rPr>
        <w:rFonts w:hint="default"/>
        <w:spacing w:val="-10"/>
        <w:w w:val="100"/>
      </w:rPr>
    </w:lvl>
    <w:lvl w:ilvl="4">
      <w:start w:val="1"/>
      <w:numFmt w:val="none"/>
      <w:lvlText w:val=""/>
      <w:lvlJc w:val="left"/>
      <w:pPr>
        <w:tabs>
          <w:tab w:val="num" w:pos="2835"/>
        </w:tabs>
        <w:ind w:left="1420" w:hanging="284"/>
      </w:pPr>
      <w:rPr>
        <w:rFonts w:hint="default"/>
      </w:rPr>
    </w:lvl>
    <w:lvl w:ilvl="5">
      <w:start w:val="1"/>
      <w:numFmt w:val="none"/>
      <w:lvlText w:val=""/>
      <w:lvlJc w:val="left"/>
      <w:pPr>
        <w:tabs>
          <w:tab w:val="num" w:pos="2160"/>
        </w:tabs>
        <w:ind w:left="1704" w:hanging="284"/>
      </w:pPr>
      <w:rPr>
        <w:rFonts w:hint="default"/>
      </w:rPr>
    </w:lvl>
    <w:lvl w:ilvl="6">
      <w:start w:val="1"/>
      <w:numFmt w:val="lowerRoman"/>
      <w:lvlRestart w:val="1"/>
      <w:lvlText w:val="%7"/>
      <w:lvlJc w:val="left"/>
      <w:pPr>
        <w:tabs>
          <w:tab w:val="num" w:pos="369"/>
        </w:tabs>
        <w:ind w:left="1988" w:hanging="284"/>
      </w:pPr>
      <w:rPr>
        <w:rFonts w:hint="default"/>
      </w:rPr>
    </w:lvl>
    <w:lvl w:ilvl="7">
      <w:start w:val="1"/>
      <w:numFmt w:val="lowerLetter"/>
      <w:lvlText w:val="%8."/>
      <w:lvlJc w:val="left"/>
      <w:pPr>
        <w:tabs>
          <w:tab w:val="num" w:pos="737"/>
        </w:tabs>
        <w:ind w:left="2272" w:hanging="284"/>
      </w:pPr>
      <w:rPr>
        <w:rFonts w:hint="default"/>
        <w:position w:val="0"/>
      </w:rPr>
    </w:lvl>
    <w:lvl w:ilvl="8">
      <w:start w:val="1"/>
      <w:numFmt w:val="bullet"/>
      <w:lvlText w:val=""/>
      <w:lvlJc w:val="left"/>
      <w:pPr>
        <w:tabs>
          <w:tab w:val="num" w:pos="1106"/>
        </w:tabs>
        <w:ind w:left="2556" w:hanging="284"/>
      </w:pPr>
      <w:rPr>
        <w:rFonts w:ascii="Symbol" w:hAnsi="Symbol" w:hint="default"/>
        <w:position w:val="2"/>
        <w:sz w:val="20"/>
        <w:szCs w:val="20"/>
      </w:rPr>
    </w:lvl>
  </w:abstractNum>
  <w:abstractNum w:abstractNumId="8">
    <w:nsid w:val="194A695C"/>
    <w:multiLevelType w:val="multilevel"/>
    <w:tmpl w:val="40883434"/>
    <w:name w:val="TableBullets"/>
    <w:lvl w:ilvl="0">
      <w:start w:val="1"/>
      <w:numFmt w:val="bullet"/>
      <w:pStyle w:val="TableTextBullet"/>
      <w:lvlText w:val="–"/>
      <w:lvlJc w:val="left"/>
      <w:pPr>
        <w:ind w:left="255" w:hanging="170"/>
      </w:pPr>
      <w:rPr>
        <w:rFonts w:ascii="Calibri" w:hAnsi="Calibri" w:hint="default"/>
        <w:color w:val="auto"/>
        <w:position w:val="2"/>
        <w:sz w:val="20"/>
        <w:szCs w:val="12"/>
      </w:rPr>
    </w:lvl>
    <w:lvl w:ilvl="1">
      <w:start w:val="1"/>
      <w:numFmt w:val="bullet"/>
      <w:pStyle w:val="TableTextBullet2"/>
      <w:lvlText w:val="–"/>
      <w:lvlJc w:val="left"/>
      <w:pPr>
        <w:ind w:left="425" w:hanging="170"/>
      </w:pPr>
      <w:rPr>
        <w:rFonts w:ascii="Times New Roman" w:hAnsi="Times New Roman" w:cs="Times New Roman" w:hint="default"/>
        <w:b w:val="0"/>
        <w:i w:val="0"/>
        <w:color w:val="auto"/>
        <w:sz w:val="20"/>
        <w:szCs w:val="18"/>
      </w:rPr>
    </w:lvl>
    <w:lvl w:ilvl="2">
      <w:start w:val="1"/>
      <w:numFmt w:val="bullet"/>
      <w:pStyle w:val="TableTextBullet3"/>
      <w:lvlText w:val="–"/>
      <w:lvlJc w:val="left"/>
      <w:pPr>
        <w:ind w:left="595" w:hanging="170"/>
      </w:pPr>
      <w:rPr>
        <w:rFonts w:ascii="Calibri" w:hAnsi="Calibri" w:hint="default"/>
        <w:color w:val="auto"/>
        <w:position w:val="1"/>
        <w:sz w:val="20"/>
      </w:rPr>
    </w:lvl>
    <w:lvl w:ilvl="3">
      <w:start w:val="1"/>
      <w:numFmt w:val="none"/>
      <w:lvlText w:val=""/>
      <w:lvlJc w:val="left"/>
      <w:pPr>
        <w:tabs>
          <w:tab w:val="num" w:pos="794"/>
        </w:tabs>
        <w:ind w:left="765" w:hanging="170"/>
      </w:pPr>
      <w:rPr>
        <w:rFonts w:hint="default"/>
      </w:rPr>
    </w:lvl>
    <w:lvl w:ilvl="4">
      <w:start w:val="1"/>
      <w:numFmt w:val="none"/>
      <w:lvlText w:val=""/>
      <w:lvlJc w:val="left"/>
      <w:pPr>
        <w:tabs>
          <w:tab w:val="num" w:pos="964"/>
        </w:tabs>
        <w:ind w:left="935" w:hanging="170"/>
      </w:pPr>
      <w:rPr>
        <w:rFonts w:hint="default"/>
      </w:rPr>
    </w:lvl>
    <w:lvl w:ilvl="5">
      <w:start w:val="1"/>
      <w:numFmt w:val="none"/>
      <w:lvlText w:val=""/>
      <w:lvlJc w:val="left"/>
      <w:pPr>
        <w:tabs>
          <w:tab w:val="num" w:pos="1134"/>
        </w:tabs>
        <w:ind w:left="1105" w:hanging="170"/>
      </w:pPr>
      <w:rPr>
        <w:rFonts w:hint="default"/>
      </w:rPr>
    </w:lvl>
    <w:lvl w:ilvl="6">
      <w:start w:val="1"/>
      <w:numFmt w:val="none"/>
      <w:lvlText w:val=""/>
      <w:lvlJc w:val="left"/>
      <w:pPr>
        <w:tabs>
          <w:tab w:val="num" w:pos="1304"/>
        </w:tabs>
        <w:ind w:left="1275" w:hanging="170"/>
      </w:pPr>
      <w:rPr>
        <w:rFonts w:hint="default"/>
      </w:rPr>
    </w:lvl>
    <w:lvl w:ilvl="7">
      <w:start w:val="1"/>
      <w:numFmt w:val="none"/>
      <w:lvlText w:val=""/>
      <w:lvlJc w:val="left"/>
      <w:pPr>
        <w:tabs>
          <w:tab w:val="num" w:pos="1474"/>
        </w:tabs>
        <w:ind w:left="1445" w:hanging="170"/>
      </w:pPr>
      <w:rPr>
        <w:rFonts w:hint="default"/>
      </w:rPr>
    </w:lvl>
    <w:lvl w:ilvl="8">
      <w:start w:val="1"/>
      <w:numFmt w:val="none"/>
      <w:lvlText w:val=""/>
      <w:lvlJc w:val="left"/>
      <w:pPr>
        <w:tabs>
          <w:tab w:val="num" w:pos="1644"/>
        </w:tabs>
        <w:ind w:left="1615" w:hanging="170"/>
      </w:pPr>
      <w:rPr>
        <w:rFonts w:hint="default"/>
      </w:rPr>
    </w:lvl>
  </w:abstractNum>
  <w:abstractNum w:abstractNumId="9">
    <w:nsid w:val="25CB236B"/>
    <w:multiLevelType w:val="multilevel"/>
    <w:tmpl w:val="582E5DAA"/>
    <w:name w:val="Pull Box Numbering"/>
    <w:lvl w:ilvl="0">
      <w:start w:val="1"/>
      <w:numFmt w:val="decimal"/>
      <w:pStyle w:val="PullOutBoxNumber"/>
      <w:lvlText w:val="%1"/>
      <w:lvlJc w:val="left"/>
      <w:pPr>
        <w:ind w:left="567" w:hanging="283"/>
      </w:pPr>
      <w:rPr>
        <w:rFonts w:hint="default"/>
      </w:rPr>
    </w:lvl>
    <w:lvl w:ilvl="1">
      <w:start w:val="1"/>
      <w:numFmt w:val="lowerLetter"/>
      <w:pStyle w:val="PullOutBoxNumber2"/>
      <w:lvlText w:val="%2"/>
      <w:lvlJc w:val="left"/>
      <w:pPr>
        <w:ind w:left="851" w:hanging="283"/>
      </w:pPr>
      <w:rPr>
        <w:rFonts w:hint="default"/>
      </w:rPr>
    </w:lvl>
    <w:lvl w:ilvl="2">
      <w:start w:val="1"/>
      <w:numFmt w:val="lowerRoman"/>
      <w:pStyle w:val="PullOutBoxNumber3"/>
      <w:lvlText w:val="%3"/>
      <w:lvlJc w:val="lef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10">
    <w:nsid w:val="27981AF9"/>
    <w:multiLevelType w:val="multilevel"/>
    <w:tmpl w:val="68087D48"/>
    <w:name w:val="Bullets2"/>
    <w:lvl w:ilvl="0">
      <w:start w:val="1"/>
      <w:numFmt w:val="bullet"/>
      <w:lvlText w:val="•"/>
      <w:lvlJc w:val="left"/>
      <w:pPr>
        <w:ind w:left="397" w:hanging="397"/>
      </w:pPr>
      <w:rPr>
        <w:rFonts w:ascii="Dada Grotesk" w:hAnsi="Dada Grotesk"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11">
    <w:nsid w:val="2C72580B"/>
    <w:multiLevelType w:val="multilevel"/>
    <w:tmpl w:val="A1605A0E"/>
    <w:name w:val="PullOutNumbering"/>
    <w:lvl w:ilvl="0">
      <w:start w:val="1"/>
      <w:numFmt w:val="decimal"/>
      <w:lvlText w:val="%1"/>
      <w:lvlJc w:val="left"/>
      <w:pPr>
        <w:tabs>
          <w:tab w:val="num" w:pos="624"/>
        </w:tabs>
        <w:ind w:left="624" w:hanging="340"/>
      </w:pPr>
      <w:rPr>
        <w:rFonts w:hint="default"/>
      </w:rPr>
    </w:lvl>
    <w:lvl w:ilvl="1">
      <w:start w:val="1"/>
      <w:numFmt w:val="lowerLetter"/>
      <w:lvlText w:val="%2"/>
      <w:lvlJc w:val="left"/>
      <w:pPr>
        <w:tabs>
          <w:tab w:val="num" w:pos="964"/>
        </w:tabs>
        <w:ind w:left="964" w:hanging="340"/>
      </w:pPr>
      <w:rPr>
        <w:rFonts w:hint="default"/>
        <w:color w:val="auto"/>
      </w:rPr>
    </w:lvl>
    <w:lvl w:ilvl="2">
      <w:start w:val="1"/>
      <w:numFmt w:val="lowerRoman"/>
      <w:lvlText w:val="%3"/>
      <w:lvlJc w:val="left"/>
      <w:pPr>
        <w:tabs>
          <w:tab w:val="num" w:pos="1304"/>
        </w:tabs>
        <w:ind w:left="1304" w:hanging="340"/>
      </w:pPr>
      <w:rPr>
        <w:rFonts w:hint="default"/>
        <w:color w:val="auto"/>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nsid w:val="2E5C3491"/>
    <w:multiLevelType w:val="multilevel"/>
    <w:tmpl w:val="C2469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8723AD4"/>
    <w:multiLevelType w:val="multilevel"/>
    <w:tmpl w:val="CC2400A2"/>
    <w:name w:val="PullOutBullets"/>
    <w:lvl w:ilvl="0">
      <w:start w:val="1"/>
      <w:numFmt w:val="bullet"/>
      <w:lvlText w:val="•"/>
      <w:lvlJc w:val="left"/>
      <w:pPr>
        <w:tabs>
          <w:tab w:val="num" w:pos="624"/>
        </w:tabs>
        <w:ind w:left="624" w:hanging="340"/>
      </w:pPr>
      <w:rPr>
        <w:rFonts w:ascii="Calibri" w:hAnsi="Calibri" w:hint="default"/>
        <w:color w:val="auto"/>
        <w:sz w:val="22"/>
      </w:rPr>
    </w:lvl>
    <w:lvl w:ilvl="1">
      <w:start w:val="1"/>
      <w:numFmt w:val="bullet"/>
      <w:lvlText w:val="–"/>
      <w:lvlJc w:val="left"/>
      <w:pPr>
        <w:tabs>
          <w:tab w:val="num" w:pos="964"/>
        </w:tabs>
        <w:ind w:left="964" w:hanging="340"/>
      </w:pPr>
      <w:rPr>
        <w:rFonts w:ascii="Calibri" w:hAnsi="Calibri" w:hint="default"/>
        <w:color w:val="auto"/>
        <w:sz w:val="22"/>
      </w:rPr>
    </w:lvl>
    <w:lvl w:ilvl="2">
      <w:start w:val="1"/>
      <w:numFmt w:val="bullet"/>
      <w:lvlText w:val=""/>
      <w:lvlJc w:val="left"/>
      <w:pPr>
        <w:tabs>
          <w:tab w:val="num" w:pos="1304"/>
        </w:tabs>
        <w:ind w:left="1304" w:hanging="340"/>
      </w:pPr>
      <w:rPr>
        <w:rFonts w:ascii="Wingdings" w:hAnsi="Wingdings" w:hint="default"/>
        <w:color w:val="auto"/>
        <w:position w:val="0"/>
        <w:sz w:val="2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nsid w:val="3FA54DC2"/>
    <w:multiLevelType w:val="multilevel"/>
    <w:tmpl w:val="9BE41134"/>
    <w:lvl w:ilvl="0">
      <w:start w:val="1"/>
      <w:numFmt w:val="bullet"/>
      <w:pStyle w:val="PullOutBoxBullet"/>
      <w:lvlText w:val="•"/>
      <w:lvlJc w:val="left"/>
      <w:pPr>
        <w:ind w:left="567" w:hanging="283"/>
      </w:pPr>
      <w:rPr>
        <w:rFonts w:ascii="Calibri" w:hAnsi="Calibri" w:hint="default"/>
      </w:rPr>
    </w:lvl>
    <w:lvl w:ilvl="1">
      <w:start w:val="1"/>
      <w:numFmt w:val="bullet"/>
      <w:pStyle w:val="PullOutBoxBullet2"/>
      <w:lvlText w:val="–"/>
      <w:lvlJc w:val="left"/>
      <w:pPr>
        <w:ind w:left="851" w:hanging="283"/>
      </w:pPr>
      <w:rPr>
        <w:rFonts w:ascii="Calibri" w:hAnsi="Calibri" w:hint="default"/>
      </w:rPr>
    </w:lvl>
    <w:lvl w:ilvl="2">
      <w:start w:val="1"/>
      <w:numFmt w:val="bullet"/>
      <w:pStyle w:val="PullOutBoxBullet3"/>
      <w:lvlText w:val=""/>
      <w:lvlJc w:val="left"/>
      <w:pPr>
        <w:ind w:left="1135" w:hanging="283"/>
      </w:pPr>
      <w:rPr>
        <w:rFonts w:ascii="Wingdings" w:hAnsi="Wingdings" w:hint="default"/>
      </w:rPr>
    </w:lvl>
    <w:lvl w:ilvl="3">
      <w:start w:val="1"/>
      <w:numFmt w:val="bullet"/>
      <w:lvlText w:val=""/>
      <w:lvlJc w:val="left"/>
      <w:pPr>
        <w:ind w:left="1419" w:hanging="283"/>
      </w:pPr>
      <w:rPr>
        <w:rFonts w:ascii="Symbol" w:hAnsi="Symbol" w:hint="default"/>
      </w:rPr>
    </w:lvl>
    <w:lvl w:ilvl="4">
      <w:start w:val="1"/>
      <w:numFmt w:val="bullet"/>
      <w:lvlText w:val="o"/>
      <w:lvlJc w:val="left"/>
      <w:pPr>
        <w:ind w:left="1703" w:hanging="283"/>
      </w:pPr>
      <w:rPr>
        <w:rFonts w:ascii="Courier New" w:hAnsi="Courier New" w:cs="Courier New"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Symbol" w:hAnsi="Symbol" w:hint="default"/>
      </w:rPr>
    </w:lvl>
    <w:lvl w:ilvl="7">
      <w:start w:val="1"/>
      <w:numFmt w:val="bullet"/>
      <w:lvlText w:val="o"/>
      <w:lvlJc w:val="left"/>
      <w:pPr>
        <w:ind w:left="2555" w:hanging="283"/>
      </w:pPr>
      <w:rPr>
        <w:rFonts w:ascii="Courier New" w:hAnsi="Courier New" w:cs="Courier New" w:hint="default"/>
      </w:rPr>
    </w:lvl>
    <w:lvl w:ilvl="8">
      <w:start w:val="1"/>
      <w:numFmt w:val="bullet"/>
      <w:lvlText w:val=""/>
      <w:lvlJc w:val="left"/>
      <w:pPr>
        <w:ind w:left="2839" w:hanging="283"/>
      </w:pPr>
      <w:rPr>
        <w:rFonts w:ascii="Wingdings" w:hAnsi="Wingdings" w:hint="default"/>
      </w:rPr>
    </w:lvl>
  </w:abstractNum>
  <w:abstractNum w:abstractNumId="15">
    <w:nsid w:val="43FB40D8"/>
    <w:multiLevelType w:val="multilevel"/>
    <w:tmpl w:val="BEF0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87D366A"/>
    <w:multiLevelType w:val="hybridMultilevel"/>
    <w:tmpl w:val="702E11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8D85578"/>
    <w:multiLevelType w:val="multilevel"/>
    <w:tmpl w:val="3D008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3750991"/>
    <w:multiLevelType w:val="multilevel"/>
    <w:tmpl w:val="3A0AFD7E"/>
    <w:name w:val="NumberedList2"/>
    <w:lvl w:ilvl="0">
      <w:start w:val="1"/>
      <w:numFmt w:val="decimal"/>
      <w:pStyle w:val="ListNumber"/>
      <w:lvlText w:val="%1"/>
      <w:lvlJc w:val="left"/>
      <w:pPr>
        <w:tabs>
          <w:tab w:val="num" w:pos="284"/>
        </w:tabs>
        <w:ind w:left="284" w:hanging="284"/>
      </w:pPr>
      <w:rPr>
        <w:rFonts w:hint="default"/>
      </w:rPr>
    </w:lvl>
    <w:lvl w:ilvl="1">
      <w:start w:val="1"/>
      <w:numFmt w:val="lowerLetter"/>
      <w:pStyle w:val="ListNumber2"/>
      <w:lvlText w:val="%2"/>
      <w:lvlJc w:val="left"/>
      <w:pPr>
        <w:tabs>
          <w:tab w:val="num" w:pos="567"/>
        </w:tabs>
        <w:ind w:left="568" w:hanging="284"/>
      </w:pPr>
      <w:rPr>
        <w:rFonts w:hint="default"/>
      </w:rPr>
    </w:lvl>
    <w:lvl w:ilvl="2">
      <w:start w:val="1"/>
      <w:numFmt w:val="lowerRoman"/>
      <w:pStyle w:val="ListNumber3"/>
      <w:lvlText w:val="%3"/>
      <w:lvlJc w:val="left"/>
      <w:pPr>
        <w:tabs>
          <w:tab w:val="num" w:pos="851"/>
        </w:tabs>
        <w:ind w:left="852" w:hanging="284"/>
      </w:pPr>
      <w:rPr>
        <w:rFonts w:hint="default"/>
      </w:rPr>
    </w:lvl>
    <w:lvl w:ilvl="3">
      <w:start w:val="1"/>
      <w:numFmt w:val="upperLetter"/>
      <w:pStyle w:val="ListNumber4"/>
      <w:lvlText w:val="%4"/>
      <w:lvlJc w:val="left"/>
      <w:pPr>
        <w:tabs>
          <w:tab w:val="num" w:pos="1134"/>
        </w:tabs>
        <w:ind w:left="1136" w:hanging="284"/>
      </w:pPr>
      <w:rPr>
        <w:rFonts w:hint="default"/>
      </w:rPr>
    </w:lvl>
    <w:lvl w:ilvl="4">
      <w:start w:val="1"/>
      <w:numFmt w:val="upperRoman"/>
      <w:pStyle w:val="ListNumber5"/>
      <w:lvlText w:val="%5"/>
      <w:lvlJc w:val="left"/>
      <w:pPr>
        <w:tabs>
          <w:tab w:val="num" w:pos="1418"/>
        </w:tabs>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
    <w:nsid w:val="5C7B378A"/>
    <w:multiLevelType w:val="multilevel"/>
    <w:tmpl w:val="26F84EF2"/>
    <w:name w:val="Bullets"/>
    <w:lvl w:ilvl="0">
      <w:start w:val="1"/>
      <w:numFmt w:val="bullet"/>
      <w:pStyle w:val="ListBullet"/>
      <w:lvlText w:val="•"/>
      <w:lvlJc w:val="left"/>
      <w:pPr>
        <w:tabs>
          <w:tab w:val="num" w:pos="284"/>
        </w:tabs>
        <w:ind w:left="284" w:hanging="284"/>
      </w:pPr>
      <w:rPr>
        <w:rFonts w:ascii="Calibri" w:hAnsi="Calibri" w:hint="default"/>
        <w:color w:val="auto"/>
      </w:rPr>
    </w:lvl>
    <w:lvl w:ilvl="1">
      <w:start w:val="1"/>
      <w:numFmt w:val="bullet"/>
      <w:pStyle w:val="ListBullet2"/>
      <w:lvlText w:val="‒"/>
      <w:lvlJc w:val="left"/>
      <w:pPr>
        <w:tabs>
          <w:tab w:val="num" w:pos="567"/>
        </w:tabs>
        <w:ind w:left="568" w:hanging="284"/>
      </w:pPr>
      <w:rPr>
        <w:rFonts w:ascii="Calibri" w:hAnsi="Calibri" w:hint="default"/>
        <w:color w:val="auto"/>
      </w:rPr>
    </w:lvl>
    <w:lvl w:ilvl="2">
      <w:start w:val="1"/>
      <w:numFmt w:val="bullet"/>
      <w:pStyle w:val="ListBullet3"/>
      <w:lvlText w:val="s"/>
      <w:lvlJc w:val="left"/>
      <w:pPr>
        <w:tabs>
          <w:tab w:val="num" w:pos="851"/>
        </w:tabs>
        <w:ind w:left="852" w:hanging="284"/>
      </w:pPr>
      <w:rPr>
        <w:rFonts w:ascii="Wingdings" w:hAnsi="Wingdings"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0">
    <w:nsid w:val="5D0540A9"/>
    <w:multiLevelType w:val="multilevel"/>
    <w:tmpl w:val="7E063F80"/>
    <w:name w:val="AppendicesNumbering"/>
    <w:lvl w:ilvl="0">
      <w:start w:val="1"/>
      <w:numFmt w:val="upperLetter"/>
      <w:pStyle w:val="Heading8"/>
      <w:suff w:val="nothing"/>
      <w:lvlText w:val="Appendix %1"/>
      <w:lvlJc w:val="left"/>
      <w:pPr>
        <w:ind w:left="0" w:firstLine="0"/>
      </w:pPr>
      <w:rPr>
        <w:rFonts w:ascii="Calibri Light" w:hAnsi="Calibri Light" w:hint="default"/>
        <w:b w:val="0"/>
        <w:i w:val="0"/>
        <w:sz w:val="52"/>
      </w:rPr>
    </w:lvl>
    <w:lvl w:ilvl="1">
      <w:start w:val="1"/>
      <w:numFmt w:val="decimal"/>
      <w:pStyle w:val="Heading9"/>
      <w:lvlText w:val="%1%2."/>
      <w:lvlJc w:val="left"/>
      <w:pPr>
        <w:tabs>
          <w:tab w:val="num" w:pos="765"/>
        </w:tabs>
        <w:ind w:left="765" w:hanging="765"/>
      </w:pPr>
      <w:rPr>
        <w:rFonts w:hint="default"/>
        <w:sz w:val="28"/>
      </w:rPr>
    </w:lvl>
    <w:lvl w:ilvl="2">
      <w:start w:val="1"/>
      <w:numFmt w:val="decimal"/>
      <w:pStyle w:val="AppendixHeading2"/>
      <w:lvlText w:val="%1%2.%3"/>
      <w:lvlJc w:val="left"/>
      <w:pPr>
        <w:tabs>
          <w:tab w:val="num" w:pos="765"/>
        </w:tabs>
        <w:ind w:left="765" w:hanging="765"/>
      </w:pPr>
      <w:rPr>
        <w:rFonts w:hint="default"/>
      </w:rPr>
    </w:lvl>
    <w:lvl w:ilvl="3">
      <w:start w:val="1"/>
      <w:numFmt w:val="decimal"/>
      <w:pStyle w:val="AppendixHeading3"/>
      <w:lvlText w:val="%1%2.%3.%4"/>
      <w:lvlJc w:val="left"/>
      <w:pPr>
        <w:tabs>
          <w:tab w:val="num" w:pos="765"/>
        </w:tabs>
        <w:ind w:left="765" w:hanging="765"/>
      </w:pPr>
      <w:rPr>
        <w:rFonts w:hint="default"/>
      </w:rPr>
    </w:lvl>
    <w:lvl w:ilvl="4">
      <w:start w:val="1"/>
      <w:numFmt w:val="decimal"/>
      <w:lvlText w:val="%1%2.%3.%4.%5"/>
      <w:lvlJc w:val="left"/>
      <w:pPr>
        <w:tabs>
          <w:tab w:val="num" w:pos="1134"/>
        </w:tabs>
        <w:ind w:left="765" w:hanging="765"/>
      </w:pPr>
      <w:rPr>
        <w:rFonts w:hint="default"/>
      </w:rPr>
    </w:lvl>
    <w:lvl w:ilvl="5">
      <w:start w:val="1"/>
      <w:numFmt w:val="none"/>
      <w:lvlText w:val=""/>
      <w:lvlJc w:val="righ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right"/>
      <w:pPr>
        <w:ind w:left="765" w:hanging="765"/>
      </w:pPr>
      <w:rPr>
        <w:rFonts w:hint="default"/>
      </w:rPr>
    </w:lvl>
  </w:abstractNum>
  <w:abstractNum w:abstractNumId="21">
    <w:nsid w:val="6437676F"/>
    <w:multiLevelType w:val="multilevel"/>
    <w:tmpl w:val="AD04EFFE"/>
    <w:lvl w:ilvl="0">
      <w:start w:val="1"/>
      <w:numFmt w:val="bullet"/>
      <w:lvlText w:val=""/>
      <w:lvlJc w:val="left"/>
      <w:pPr>
        <w:ind w:left="255" w:hanging="170"/>
      </w:pPr>
      <w:rPr>
        <w:rFonts w:ascii="Symbol" w:hAnsi="Symbol" w:hint="default"/>
        <w:color w:val="auto"/>
        <w:position w:val="2"/>
        <w:sz w:val="20"/>
        <w:szCs w:val="12"/>
      </w:rPr>
    </w:lvl>
    <w:lvl w:ilvl="1">
      <w:start w:val="1"/>
      <w:numFmt w:val="bullet"/>
      <w:lvlText w:val="–"/>
      <w:lvlJc w:val="left"/>
      <w:pPr>
        <w:ind w:left="425" w:hanging="170"/>
      </w:pPr>
      <w:rPr>
        <w:rFonts w:ascii="Times New Roman" w:hAnsi="Times New Roman" w:cs="Times New Roman" w:hint="default"/>
        <w:b w:val="0"/>
        <w:i w:val="0"/>
        <w:color w:val="auto"/>
        <w:sz w:val="20"/>
        <w:szCs w:val="18"/>
      </w:rPr>
    </w:lvl>
    <w:lvl w:ilvl="2">
      <w:start w:val="1"/>
      <w:numFmt w:val="bullet"/>
      <w:lvlText w:val="–"/>
      <w:lvlJc w:val="left"/>
      <w:pPr>
        <w:ind w:left="595" w:hanging="170"/>
      </w:pPr>
      <w:rPr>
        <w:rFonts w:ascii="Calibri" w:hAnsi="Calibri" w:hint="default"/>
        <w:color w:val="auto"/>
        <w:position w:val="1"/>
        <w:sz w:val="20"/>
      </w:rPr>
    </w:lvl>
    <w:lvl w:ilvl="3">
      <w:start w:val="1"/>
      <w:numFmt w:val="none"/>
      <w:lvlText w:val=""/>
      <w:lvlJc w:val="left"/>
      <w:pPr>
        <w:tabs>
          <w:tab w:val="num" w:pos="794"/>
        </w:tabs>
        <w:ind w:left="765" w:hanging="170"/>
      </w:pPr>
      <w:rPr>
        <w:rFonts w:hint="default"/>
      </w:rPr>
    </w:lvl>
    <w:lvl w:ilvl="4">
      <w:start w:val="1"/>
      <w:numFmt w:val="none"/>
      <w:lvlText w:val=""/>
      <w:lvlJc w:val="left"/>
      <w:pPr>
        <w:tabs>
          <w:tab w:val="num" w:pos="964"/>
        </w:tabs>
        <w:ind w:left="935" w:hanging="170"/>
      </w:pPr>
      <w:rPr>
        <w:rFonts w:hint="default"/>
      </w:rPr>
    </w:lvl>
    <w:lvl w:ilvl="5">
      <w:start w:val="1"/>
      <w:numFmt w:val="none"/>
      <w:lvlText w:val=""/>
      <w:lvlJc w:val="left"/>
      <w:pPr>
        <w:tabs>
          <w:tab w:val="num" w:pos="1134"/>
        </w:tabs>
        <w:ind w:left="1105" w:hanging="170"/>
      </w:pPr>
      <w:rPr>
        <w:rFonts w:hint="default"/>
      </w:rPr>
    </w:lvl>
    <w:lvl w:ilvl="6">
      <w:start w:val="1"/>
      <w:numFmt w:val="none"/>
      <w:lvlText w:val=""/>
      <w:lvlJc w:val="left"/>
      <w:pPr>
        <w:tabs>
          <w:tab w:val="num" w:pos="1304"/>
        </w:tabs>
        <w:ind w:left="1275" w:hanging="170"/>
      </w:pPr>
      <w:rPr>
        <w:rFonts w:hint="default"/>
      </w:rPr>
    </w:lvl>
    <w:lvl w:ilvl="7">
      <w:start w:val="1"/>
      <w:numFmt w:val="none"/>
      <w:lvlText w:val=""/>
      <w:lvlJc w:val="left"/>
      <w:pPr>
        <w:tabs>
          <w:tab w:val="num" w:pos="1474"/>
        </w:tabs>
        <w:ind w:left="1445" w:hanging="170"/>
      </w:pPr>
      <w:rPr>
        <w:rFonts w:hint="default"/>
      </w:rPr>
    </w:lvl>
    <w:lvl w:ilvl="8">
      <w:start w:val="1"/>
      <w:numFmt w:val="none"/>
      <w:lvlText w:val=""/>
      <w:lvlJc w:val="left"/>
      <w:pPr>
        <w:tabs>
          <w:tab w:val="num" w:pos="1644"/>
        </w:tabs>
        <w:ind w:left="1615" w:hanging="170"/>
      </w:pPr>
      <w:rPr>
        <w:rFonts w:hint="default"/>
      </w:rPr>
    </w:lvl>
  </w:abstractNum>
  <w:abstractNum w:abstractNumId="22">
    <w:nsid w:val="66E247CC"/>
    <w:multiLevelType w:val="multilevel"/>
    <w:tmpl w:val="68087D48"/>
    <w:name w:val="Bullets22"/>
    <w:lvl w:ilvl="0">
      <w:start w:val="1"/>
      <w:numFmt w:val="bullet"/>
      <w:lvlText w:val="•"/>
      <w:lvlJc w:val="left"/>
      <w:pPr>
        <w:ind w:left="397" w:hanging="397"/>
      </w:pPr>
      <w:rPr>
        <w:rFonts w:ascii="Dada Grotesk" w:hAnsi="Dada Grotesk"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23">
    <w:nsid w:val="67DB7D43"/>
    <w:multiLevelType w:val="hybridMultilevel"/>
    <w:tmpl w:val="3E7A52C2"/>
    <w:lvl w:ilvl="0" w:tplc="5C5808F0">
      <w:numFmt w:val="bullet"/>
      <w:lvlText w:val="-"/>
      <w:lvlJc w:val="left"/>
      <w:pPr>
        <w:ind w:left="720" w:hanging="360"/>
      </w:pPr>
      <w:rPr>
        <w:rFonts w:ascii="Calibri" w:eastAsia="Times New Roman" w:hAnsi="Calibri"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24">
    <w:nsid w:val="6B655F8D"/>
    <w:multiLevelType w:val="multilevel"/>
    <w:tmpl w:val="ED00D300"/>
    <w:name w:val="NumberedList"/>
    <w:styleLink w:val="NumberedList"/>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upperLetter"/>
      <w:lvlText w:val="%4"/>
      <w:lvlJc w:val="left"/>
      <w:pPr>
        <w:ind w:left="1136" w:hanging="284"/>
      </w:pPr>
      <w:rPr>
        <w:rFonts w:hint="default"/>
      </w:rPr>
    </w:lvl>
    <w:lvl w:ilvl="4">
      <w:start w:val="1"/>
      <w:numFmt w:val="upperRoman"/>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5">
    <w:nsid w:val="6D1D40AC"/>
    <w:multiLevelType w:val="multilevel"/>
    <w:tmpl w:val="2AC4119A"/>
    <w:name w:val="TableNumbering"/>
    <w:lvl w:ilvl="0">
      <w:start w:val="1"/>
      <w:numFmt w:val="decimal"/>
      <w:pStyle w:val="TableTextNumber"/>
      <w:lvlText w:val="%1"/>
      <w:lvlJc w:val="left"/>
      <w:pPr>
        <w:ind w:left="369" w:hanging="284"/>
      </w:pPr>
      <w:rPr>
        <w:rFonts w:hint="default"/>
      </w:rPr>
    </w:lvl>
    <w:lvl w:ilvl="1">
      <w:start w:val="1"/>
      <w:numFmt w:val="lowerLetter"/>
      <w:pStyle w:val="TableTextNumber2"/>
      <w:lvlText w:val="%2"/>
      <w:lvlJc w:val="left"/>
      <w:pPr>
        <w:ind w:left="653" w:hanging="284"/>
      </w:pPr>
      <w:rPr>
        <w:rFonts w:hint="default"/>
      </w:rPr>
    </w:lvl>
    <w:lvl w:ilvl="2">
      <w:start w:val="1"/>
      <w:numFmt w:val="lowerRoman"/>
      <w:pStyle w:val="TableTextNumber3"/>
      <w:lvlText w:val="%3"/>
      <w:lvlJc w:val="left"/>
      <w:pPr>
        <w:tabs>
          <w:tab w:val="num" w:pos="1191"/>
        </w:tabs>
        <w:ind w:left="937" w:hanging="284"/>
      </w:pPr>
      <w:rPr>
        <w:rFonts w:hint="default"/>
      </w:rPr>
    </w:lvl>
    <w:lvl w:ilvl="3">
      <w:start w:val="1"/>
      <w:numFmt w:val="none"/>
      <w:lvlText w:val=""/>
      <w:lvlJc w:val="left"/>
      <w:pPr>
        <w:tabs>
          <w:tab w:val="num" w:pos="1588"/>
        </w:tabs>
        <w:ind w:left="1221" w:hanging="284"/>
      </w:pPr>
      <w:rPr>
        <w:rFonts w:hint="default"/>
      </w:rPr>
    </w:lvl>
    <w:lvl w:ilvl="4">
      <w:start w:val="1"/>
      <w:numFmt w:val="none"/>
      <w:lvlText w:val=""/>
      <w:lvlJc w:val="left"/>
      <w:pPr>
        <w:tabs>
          <w:tab w:val="num" w:pos="1985"/>
        </w:tabs>
        <w:ind w:left="1505" w:hanging="284"/>
      </w:pPr>
      <w:rPr>
        <w:rFonts w:hint="default"/>
      </w:rPr>
    </w:lvl>
    <w:lvl w:ilvl="5">
      <w:start w:val="1"/>
      <w:numFmt w:val="none"/>
      <w:lvlText w:val=""/>
      <w:lvlJc w:val="left"/>
      <w:pPr>
        <w:tabs>
          <w:tab w:val="num" w:pos="2382"/>
        </w:tabs>
        <w:ind w:left="1789" w:hanging="284"/>
      </w:pPr>
      <w:rPr>
        <w:rFonts w:hint="default"/>
      </w:rPr>
    </w:lvl>
    <w:lvl w:ilvl="6">
      <w:start w:val="1"/>
      <w:numFmt w:val="none"/>
      <w:lvlText w:val=""/>
      <w:lvlJc w:val="left"/>
      <w:pPr>
        <w:tabs>
          <w:tab w:val="num" w:pos="2779"/>
        </w:tabs>
        <w:ind w:left="2073" w:hanging="284"/>
      </w:pPr>
      <w:rPr>
        <w:rFonts w:hint="default"/>
      </w:rPr>
    </w:lvl>
    <w:lvl w:ilvl="7">
      <w:start w:val="1"/>
      <w:numFmt w:val="none"/>
      <w:lvlText w:val=""/>
      <w:lvlJc w:val="left"/>
      <w:pPr>
        <w:tabs>
          <w:tab w:val="num" w:pos="3176"/>
        </w:tabs>
        <w:ind w:left="2357" w:hanging="284"/>
      </w:pPr>
      <w:rPr>
        <w:rFonts w:hint="default"/>
      </w:rPr>
    </w:lvl>
    <w:lvl w:ilvl="8">
      <w:start w:val="1"/>
      <w:numFmt w:val="none"/>
      <w:lvlText w:val=""/>
      <w:lvlJc w:val="left"/>
      <w:pPr>
        <w:tabs>
          <w:tab w:val="num" w:pos="3573"/>
        </w:tabs>
        <w:ind w:left="2641" w:hanging="284"/>
      </w:pPr>
      <w:rPr>
        <w:rFonts w:hint="default"/>
      </w:rPr>
    </w:lvl>
  </w:abstractNum>
  <w:abstractNum w:abstractNumId="26">
    <w:nsid w:val="6E644AF7"/>
    <w:multiLevelType w:val="multilevel"/>
    <w:tmpl w:val="9C96D62A"/>
    <w:name w:val="BulletedList"/>
    <w:styleLink w:val="Bullets"/>
    <w:lvl w:ilvl="0">
      <w:start w:val="1"/>
      <w:numFmt w:val="bullet"/>
      <w:lvlText w:val="•"/>
      <w:lvlJc w:val="left"/>
      <w:pPr>
        <w:ind w:left="284" w:hanging="284"/>
      </w:pPr>
      <w:rPr>
        <w:rFonts w:ascii="Calibri" w:hAnsi="Calibri" w:hint="default"/>
        <w:color w:val="auto"/>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7">
    <w:nsid w:val="70250B03"/>
    <w:multiLevelType w:val="multilevel"/>
    <w:tmpl w:val="880A672E"/>
    <w:name w:val="QuoteBullets"/>
    <w:lvl w:ilvl="0">
      <w:start w:val="1"/>
      <w:numFmt w:val="bullet"/>
      <w:pStyle w:val="QuoteBullet"/>
      <w:lvlText w:val="•"/>
      <w:lvlJc w:val="left"/>
      <w:pPr>
        <w:ind w:left="567" w:hanging="283"/>
      </w:pPr>
      <w:rPr>
        <w:rFonts w:ascii="Calibri" w:hAnsi="Calibri" w:hint="default"/>
        <w:color w:val="auto"/>
        <w:sz w:val="22"/>
      </w:rPr>
    </w:lvl>
    <w:lvl w:ilvl="1">
      <w:start w:val="1"/>
      <w:numFmt w:val="bullet"/>
      <w:pStyle w:val="QuoteBullet2"/>
      <w:lvlText w:val="‒"/>
      <w:lvlJc w:val="left"/>
      <w:pPr>
        <w:ind w:left="851" w:hanging="283"/>
      </w:pPr>
      <w:rPr>
        <w:rFonts w:ascii="Calibri" w:hAnsi="Calibri" w:hint="default"/>
        <w:color w:val="auto"/>
      </w:rPr>
    </w:lvl>
    <w:lvl w:ilvl="2">
      <w:start w:val="1"/>
      <w:numFmt w:val="bullet"/>
      <w:lvlText w:val="‒"/>
      <w:lvlJc w:val="left"/>
      <w:pPr>
        <w:tabs>
          <w:tab w:val="num" w:pos="1418"/>
        </w:tabs>
        <w:ind w:left="1135" w:hanging="283"/>
      </w:pPr>
      <w:rPr>
        <w:rFonts w:ascii="Calibri" w:hAnsi="Calibri" w:hint="default"/>
        <w:color w:val="9778B4" w:themeColor="text2"/>
      </w:rPr>
    </w:lvl>
    <w:lvl w:ilvl="3">
      <w:start w:val="1"/>
      <w:numFmt w:val="bullet"/>
      <w:lvlText w:val=""/>
      <w:lvlJc w:val="left"/>
      <w:pPr>
        <w:ind w:left="1419" w:hanging="283"/>
      </w:pPr>
      <w:rPr>
        <w:rFonts w:ascii="Symbol" w:hAnsi="Symbol" w:hint="default"/>
      </w:rPr>
    </w:lvl>
    <w:lvl w:ilvl="4">
      <w:start w:val="1"/>
      <w:numFmt w:val="bullet"/>
      <w:lvlText w:val=""/>
      <w:lvlJc w:val="left"/>
      <w:pPr>
        <w:ind w:left="1703" w:hanging="283"/>
      </w:pPr>
      <w:rPr>
        <w:rFonts w:ascii="Symbol" w:hAnsi="Symbol"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Wingdings" w:hAnsi="Wingdings" w:hint="default"/>
      </w:rPr>
    </w:lvl>
    <w:lvl w:ilvl="7">
      <w:start w:val="1"/>
      <w:numFmt w:val="bullet"/>
      <w:lvlText w:val=""/>
      <w:lvlJc w:val="left"/>
      <w:pPr>
        <w:ind w:left="2555" w:hanging="283"/>
      </w:pPr>
      <w:rPr>
        <w:rFonts w:ascii="Symbol" w:hAnsi="Symbol" w:hint="default"/>
      </w:rPr>
    </w:lvl>
    <w:lvl w:ilvl="8">
      <w:start w:val="1"/>
      <w:numFmt w:val="bullet"/>
      <w:lvlText w:val=""/>
      <w:lvlJc w:val="left"/>
      <w:pPr>
        <w:ind w:left="2839" w:hanging="283"/>
      </w:pPr>
      <w:rPr>
        <w:rFonts w:ascii="Symbol" w:hAnsi="Symbol" w:hint="default"/>
      </w:rPr>
    </w:lvl>
  </w:abstractNum>
  <w:abstractNum w:abstractNumId="28">
    <w:nsid w:val="707B65EE"/>
    <w:multiLevelType w:val="hybridMultilevel"/>
    <w:tmpl w:val="C24ECFFA"/>
    <w:lvl w:ilvl="0" w:tplc="332EE39C">
      <w:numFmt w:val="bullet"/>
      <w:lvlText w:val="-"/>
      <w:lvlJc w:val="left"/>
      <w:pPr>
        <w:ind w:left="720" w:hanging="360"/>
      </w:pPr>
      <w:rPr>
        <w:rFonts w:ascii="Calibri" w:eastAsiaTheme="minorHAns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4275C4B"/>
    <w:multiLevelType w:val="multilevel"/>
    <w:tmpl w:val="0C09001D"/>
    <w:name w:val="Bullets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7839021E"/>
    <w:multiLevelType w:val="multilevel"/>
    <w:tmpl w:val="464425F6"/>
    <w:name w:val="ListNumbering"/>
    <w:lvl w:ilvl="0">
      <w:start w:val="1"/>
      <w:numFmt w:val="decimal"/>
      <w:lvlText w:val="%1"/>
      <w:lvlJc w:val="left"/>
      <w:pPr>
        <w:ind w:left="397" w:hanging="397"/>
      </w:pPr>
      <w:rPr>
        <w:rFonts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num w:numId="1">
    <w:abstractNumId w:val="20"/>
  </w:num>
  <w:num w:numId="2">
    <w:abstractNumId w:val="5"/>
  </w:num>
  <w:num w:numId="3">
    <w:abstractNumId w:val="30"/>
  </w:num>
  <w:num w:numId="4">
    <w:abstractNumId w:val="27"/>
  </w:num>
  <w:num w:numId="5">
    <w:abstractNumId w:val="7"/>
  </w:num>
  <w:num w:numId="6">
    <w:abstractNumId w:val="8"/>
  </w:num>
  <w:num w:numId="7">
    <w:abstractNumId w:val="25"/>
  </w:num>
  <w:num w:numId="8">
    <w:abstractNumId w:val="6"/>
  </w:num>
  <w:num w:numId="9">
    <w:abstractNumId w:val="14"/>
  </w:num>
  <w:num w:numId="10">
    <w:abstractNumId w:val="9"/>
  </w:num>
  <w:num w:numId="11">
    <w:abstractNumId w:val="10"/>
  </w:num>
  <w:num w:numId="12">
    <w:abstractNumId w:val="22"/>
  </w:num>
  <w:num w:numId="13">
    <w:abstractNumId w:val="29"/>
  </w:num>
  <w:num w:numId="14">
    <w:abstractNumId w:val="26"/>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24"/>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0"/>
  </w:num>
  <w:num w:numId="23">
    <w:abstractNumId w:val="18"/>
  </w:num>
  <w:num w:numId="24">
    <w:abstractNumId w:val="4"/>
  </w:num>
  <w:num w:numId="25">
    <w:abstractNumId w:val="28"/>
  </w:num>
  <w:num w:numId="26">
    <w:abstractNumId w:val="23"/>
  </w:num>
  <w:num w:numId="27">
    <w:abstractNumId w:val="17"/>
  </w:num>
  <w:num w:numId="28">
    <w:abstractNumId w:val="12"/>
  </w:num>
  <w:num w:numId="29">
    <w:abstractNumId w:val="2"/>
  </w:num>
  <w:num w:numId="30">
    <w:abstractNumId w:val="19"/>
  </w:num>
  <w:num w:numId="31">
    <w:abstractNumId w:val="19"/>
  </w:num>
  <w:num w:numId="32">
    <w:abstractNumId w:val="19"/>
  </w:num>
  <w:num w:numId="33">
    <w:abstractNumId w:val="19"/>
  </w:num>
  <w:num w:numId="34">
    <w:abstractNumId w:val="19"/>
  </w:num>
  <w:num w:numId="35">
    <w:abstractNumId w:val="19"/>
  </w:num>
  <w:num w:numId="36">
    <w:abstractNumId w:val="21"/>
  </w:num>
  <w:num w:numId="37">
    <w:abstractNumId w:val="16"/>
  </w:num>
  <w:num w:numId="38">
    <w:abstractNumId w:val="3"/>
  </w:num>
  <w:num w:numId="39">
    <w:abstractNumId w:val="15"/>
  </w:num>
  <w:num w:numId="40">
    <w:abstractNumId w:val="6"/>
  </w:num>
  <w:num w:numId="41">
    <w:abstractNumId w:val="6"/>
  </w:num>
  <w:num w:numId="42">
    <w:abstractNumId w:val="6"/>
  </w:num>
  <w:num w:numId="43">
    <w:abstractNumId w:val="6"/>
  </w:num>
  <w:num w:numId="44">
    <w:abstractNumId w:val="6"/>
  </w:num>
  <w:num w:numId="45">
    <w:abstractNumId w:val="6"/>
  </w:num>
  <w:num w:numId="46">
    <w:abstractNumId w:val="6"/>
  </w:num>
  <w:num w:numId="47">
    <w:abstractNumId w:val="6"/>
  </w:num>
  <w:num w:numId="48">
    <w:abstractNumId w:val="6"/>
  </w:num>
  <w:num w:numId="49">
    <w:abstractNumId w:val="6"/>
  </w:num>
  <w:num w:numId="50">
    <w:abstractNumId w:val="6"/>
  </w:num>
  <w:num w:numId="51">
    <w:abstractNumId w:val="6"/>
  </w:num>
  <w:num w:numId="52">
    <w:abstractNumId w:val="6"/>
  </w:num>
  <w:num w:numId="53">
    <w:abstractNumId w:val="6"/>
  </w:num>
  <w:num w:numId="54">
    <w:abstractNumId w:val="6"/>
  </w:num>
  <w:num w:numId="55">
    <w:abstractNumId w:val="6"/>
  </w:num>
  <w:num w:numId="56">
    <w:abstractNumId w:val="6"/>
  </w:num>
  <w:num w:numId="57">
    <w:abstractNumId w:val="6"/>
  </w:num>
  <w:num w:numId="58">
    <w:abstractNumId w:val="6"/>
  </w:num>
  <w:num w:numId="59">
    <w:abstractNumId w:val="6"/>
  </w:num>
  <w:num w:numId="60">
    <w:abstractNumId w:val="6"/>
  </w:num>
  <w:num w:numId="61">
    <w:abstractNumId w:val="6"/>
  </w:num>
  <w:num w:numId="62">
    <w:abstractNumId w:val="6"/>
  </w:num>
  <w:num w:numId="63">
    <w:abstractNumId w:val="6"/>
  </w:num>
  <w:num w:numId="64">
    <w:abstractNumId w:val="6"/>
  </w:num>
  <w:num w:numId="65">
    <w:abstractNumId w:val="6"/>
  </w:num>
  <w:num w:numId="66">
    <w:abstractNumId w:val="6"/>
  </w:num>
  <w:num w:numId="67">
    <w:abstractNumId w:val="6"/>
  </w:num>
  <w:num w:numId="68">
    <w:abstractNumId w:val="6"/>
  </w:num>
  <w:num w:numId="69">
    <w:abstractNumId w:val="19"/>
  </w:num>
  <w:num w:numId="70">
    <w:abstractNumId w:val="6"/>
  </w:num>
  <w:num w:numId="71">
    <w:abstractNumId w:val="6"/>
  </w:num>
  <w:num w:numId="72">
    <w:abstractNumId w:val="6"/>
  </w:num>
  <w:numIdMacAtCleanup w:val="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mith, Kathryn  (PBO)">
    <w15:presenceInfo w15:providerId="AD" w15:userId="S-1-5-21-1218924837-583239-225274007-31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303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endices" w:val="False"/>
    <w:docVar w:name="AppendixName" w:val="Appendix"/>
    <w:docVar w:name="CoverDesign" w:val=" "/>
    <w:docVar w:name="Disclaimer" w:val="True"/>
    <w:docVar w:name="Foreword" w:val="True"/>
    <w:docVar w:name="Heading1Numbered" w:val="True"/>
    <w:docVar w:name="Heading2Numbered" w:val="True"/>
    <w:docVar w:name="Heading3Numbered" w:val="True"/>
    <w:docVar w:name="IsWordingOverview" w:val="True"/>
    <w:docVar w:name="NumberedBodyText" w:val="False"/>
    <w:docVar w:name="optHeading1OddPage" w:val="True"/>
    <w:docVar w:name="Overview" w:val="False"/>
    <w:docVar w:name="PageSetup" w:val="Double"/>
    <w:docVar w:name="RibbonLabel" w:val="Appendix"/>
    <w:docVar w:name="TOC" w:val="True"/>
    <w:docVar w:name="TOCNew" w:val="True"/>
    <w:docVar w:name="Version" w:val="Version 1"/>
  </w:docVars>
  <w:rsids>
    <w:rsidRoot w:val="000D2145"/>
    <w:rsid w:val="00000C80"/>
    <w:rsid w:val="000017AC"/>
    <w:rsid w:val="0000322C"/>
    <w:rsid w:val="00003CDD"/>
    <w:rsid w:val="00004BDE"/>
    <w:rsid w:val="00005630"/>
    <w:rsid w:val="00005830"/>
    <w:rsid w:val="00010CF0"/>
    <w:rsid w:val="00012996"/>
    <w:rsid w:val="00013785"/>
    <w:rsid w:val="0001640A"/>
    <w:rsid w:val="000165A7"/>
    <w:rsid w:val="000168A7"/>
    <w:rsid w:val="00017CBE"/>
    <w:rsid w:val="0002020D"/>
    <w:rsid w:val="000204F3"/>
    <w:rsid w:val="00023375"/>
    <w:rsid w:val="00023A6F"/>
    <w:rsid w:val="0002671E"/>
    <w:rsid w:val="00027798"/>
    <w:rsid w:val="000278D0"/>
    <w:rsid w:val="00027E62"/>
    <w:rsid w:val="000307C8"/>
    <w:rsid w:val="00030F73"/>
    <w:rsid w:val="00031C48"/>
    <w:rsid w:val="000321BF"/>
    <w:rsid w:val="0003293A"/>
    <w:rsid w:val="000340E9"/>
    <w:rsid w:val="00034A4F"/>
    <w:rsid w:val="00035ADE"/>
    <w:rsid w:val="00041A0F"/>
    <w:rsid w:val="0004224B"/>
    <w:rsid w:val="00044B24"/>
    <w:rsid w:val="00045E77"/>
    <w:rsid w:val="00046226"/>
    <w:rsid w:val="0005014C"/>
    <w:rsid w:val="00051FD3"/>
    <w:rsid w:val="0005330D"/>
    <w:rsid w:val="0005397B"/>
    <w:rsid w:val="00053EB9"/>
    <w:rsid w:val="0005508A"/>
    <w:rsid w:val="0005563C"/>
    <w:rsid w:val="000557A7"/>
    <w:rsid w:val="00055805"/>
    <w:rsid w:val="00056CB3"/>
    <w:rsid w:val="00056E7B"/>
    <w:rsid w:val="00056F14"/>
    <w:rsid w:val="0005727F"/>
    <w:rsid w:val="000609FF"/>
    <w:rsid w:val="00062127"/>
    <w:rsid w:val="00062869"/>
    <w:rsid w:val="0006382F"/>
    <w:rsid w:val="00065CAF"/>
    <w:rsid w:val="000666D7"/>
    <w:rsid w:val="00067A28"/>
    <w:rsid w:val="0007260F"/>
    <w:rsid w:val="00072A40"/>
    <w:rsid w:val="00072B60"/>
    <w:rsid w:val="00075294"/>
    <w:rsid w:val="0007585C"/>
    <w:rsid w:val="00076A98"/>
    <w:rsid w:val="00076EA4"/>
    <w:rsid w:val="000800FD"/>
    <w:rsid w:val="000805D5"/>
    <w:rsid w:val="0008103B"/>
    <w:rsid w:val="000823DF"/>
    <w:rsid w:val="00084D34"/>
    <w:rsid w:val="00085F97"/>
    <w:rsid w:val="00086042"/>
    <w:rsid w:val="00086ADA"/>
    <w:rsid w:val="00086F38"/>
    <w:rsid w:val="00086FD2"/>
    <w:rsid w:val="000878ED"/>
    <w:rsid w:val="00090926"/>
    <w:rsid w:val="00090DB3"/>
    <w:rsid w:val="00091755"/>
    <w:rsid w:val="000919C4"/>
    <w:rsid w:val="00091D53"/>
    <w:rsid w:val="00092A33"/>
    <w:rsid w:val="00092B6C"/>
    <w:rsid w:val="00093EB9"/>
    <w:rsid w:val="00094016"/>
    <w:rsid w:val="00095298"/>
    <w:rsid w:val="00096D85"/>
    <w:rsid w:val="000A0620"/>
    <w:rsid w:val="000A192F"/>
    <w:rsid w:val="000A1B78"/>
    <w:rsid w:val="000A21F6"/>
    <w:rsid w:val="000A2FEC"/>
    <w:rsid w:val="000A348F"/>
    <w:rsid w:val="000A4EE4"/>
    <w:rsid w:val="000A596A"/>
    <w:rsid w:val="000B160C"/>
    <w:rsid w:val="000B35D5"/>
    <w:rsid w:val="000B3F9F"/>
    <w:rsid w:val="000B58CC"/>
    <w:rsid w:val="000B5D81"/>
    <w:rsid w:val="000B686A"/>
    <w:rsid w:val="000B6942"/>
    <w:rsid w:val="000C0896"/>
    <w:rsid w:val="000C09FA"/>
    <w:rsid w:val="000C1434"/>
    <w:rsid w:val="000C37A9"/>
    <w:rsid w:val="000C455B"/>
    <w:rsid w:val="000C5278"/>
    <w:rsid w:val="000C5BCA"/>
    <w:rsid w:val="000C5D7C"/>
    <w:rsid w:val="000C62C7"/>
    <w:rsid w:val="000C6728"/>
    <w:rsid w:val="000C702E"/>
    <w:rsid w:val="000D15E9"/>
    <w:rsid w:val="000D15EA"/>
    <w:rsid w:val="000D2145"/>
    <w:rsid w:val="000D2519"/>
    <w:rsid w:val="000D2996"/>
    <w:rsid w:val="000D3182"/>
    <w:rsid w:val="000D31A1"/>
    <w:rsid w:val="000D3E1E"/>
    <w:rsid w:val="000D45A2"/>
    <w:rsid w:val="000D45C4"/>
    <w:rsid w:val="000D6906"/>
    <w:rsid w:val="000E06BB"/>
    <w:rsid w:val="000E18F3"/>
    <w:rsid w:val="000E266E"/>
    <w:rsid w:val="000E62D2"/>
    <w:rsid w:val="000E75E0"/>
    <w:rsid w:val="000F0FA6"/>
    <w:rsid w:val="000F1515"/>
    <w:rsid w:val="000F16B5"/>
    <w:rsid w:val="000F1989"/>
    <w:rsid w:val="000F337A"/>
    <w:rsid w:val="000F3F63"/>
    <w:rsid w:val="000F4783"/>
    <w:rsid w:val="000F616E"/>
    <w:rsid w:val="00102ACD"/>
    <w:rsid w:val="00104F78"/>
    <w:rsid w:val="00106138"/>
    <w:rsid w:val="00106E3E"/>
    <w:rsid w:val="00110501"/>
    <w:rsid w:val="00110D43"/>
    <w:rsid w:val="00111355"/>
    <w:rsid w:val="00112010"/>
    <w:rsid w:val="00113A15"/>
    <w:rsid w:val="00113F42"/>
    <w:rsid w:val="001159EA"/>
    <w:rsid w:val="00115C10"/>
    <w:rsid w:val="001205E2"/>
    <w:rsid w:val="00123889"/>
    <w:rsid w:val="00124091"/>
    <w:rsid w:val="00124BC1"/>
    <w:rsid w:val="00125410"/>
    <w:rsid w:val="00126406"/>
    <w:rsid w:val="00130858"/>
    <w:rsid w:val="0013114E"/>
    <w:rsid w:val="00136C26"/>
    <w:rsid w:val="00136F9A"/>
    <w:rsid w:val="001374AB"/>
    <w:rsid w:val="001401DF"/>
    <w:rsid w:val="0014059F"/>
    <w:rsid w:val="001407CE"/>
    <w:rsid w:val="00141551"/>
    <w:rsid w:val="001417CE"/>
    <w:rsid w:val="0014180D"/>
    <w:rsid w:val="00142520"/>
    <w:rsid w:val="0014479F"/>
    <w:rsid w:val="00144FB0"/>
    <w:rsid w:val="00145B37"/>
    <w:rsid w:val="00145DE5"/>
    <w:rsid w:val="00146675"/>
    <w:rsid w:val="001507F8"/>
    <w:rsid w:val="001525D6"/>
    <w:rsid w:val="00152CD1"/>
    <w:rsid w:val="00153B29"/>
    <w:rsid w:val="00154900"/>
    <w:rsid w:val="00154DC5"/>
    <w:rsid w:val="0016037A"/>
    <w:rsid w:val="00160B0C"/>
    <w:rsid w:val="00160C8D"/>
    <w:rsid w:val="00161E45"/>
    <w:rsid w:val="001629C0"/>
    <w:rsid w:val="001642AA"/>
    <w:rsid w:val="001649ED"/>
    <w:rsid w:val="00164E9F"/>
    <w:rsid w:val="00165122"/>
    <w:rsid w:val="00165854"/>
    <w:rsid w:val="00165C69"/>
    <w:rsid w:val="0016653D"/>
    <w:rsid w:val="00172354"/>
    <w:rsid w:val="0017276D"/>
    <w:rsid w:val="00173DFD"/>
    <w:rsid w:val="00173FE2"/>
    <w:rsid w:val="00174A6A"/>
    <w:rsid w:val="00174BBA"/>
    <w:rsid w:val="00180FF9"/>
    <w:rsid w:val="00182D7C"/>
    <w:rsid w:val="001830F3"/>
    <w:rsid w:val="0018387E"/>
    <w:rsid w:val="001855E4"/>
    <w:rsid w:val="00185796"/>
    <w:rsid w:val="0018657A"/>
    <w:rsid w:val="001872EA"/>
    <w:rsid w:val="00190116"/>
    <w:rsid w:val="001901A1"/>
    <w:rsid w:val="00190A87"/>
    <w:rsid w:val="001930C4"/>
    <w:rsid w:val="00193386"/>
    <w:rsid w:val="00193485"/>
    <w:rsid w:val="0019386F"/>
    <w:rsid w:val="001938AF"/>
    <w:rsid w:val="00193E4E"/>
    <w:rsid w:val="00195228"/>
    <w:rsid w:val="00195696"/>
    <w:rsid w:val="00196532"/>
    <w:rsid w:val="001969C5"/>
    <w:rsid w:val="001972F1"/>
    <w:rsid w:val="00197759"/>
    <w:rsid w:val="00197B51"/>
    <w:rsid w:val="001A164C"/>
    <w:rsid w:val="001A1EFC"/>
    <w:rsid w:val="001A25BA"/>
    <w:rsid w:val="001A48EF"/>
    <w:rsid w:val="001A49CC"/>
    <w:rsid w:val="001A5553"/>
    <w:rsid w:val="001A61B4"/>
    <w:rsid w:val="001A62C3"/>
    <w:rsid w:val="001A716E"/>
    <w:rsid w:val="001A77B1"/>
    <w:rsid w:val="001B0565"/>
    <w:rsid w:val="001B2968"/>
    <w:rsid w:val="001B2A60"/>
    <w:rsid w:val="001B2C65"/>
    <w:rsid w:val="001B7058"/>
    <w:rsid w:val="001C3A4F"/>
    <w:rsid w:val="001C4121"/>
    <w:rsid w:val="001C48DE"/>
    <w:rsid w:val="001C4E5F"/>
    <w:rsid w:val="001C5EE0"/>
    <w:rsid w:val="001C69EC"/>
    <w:rsid w:val="001C6EB4"/>
    <w:rsid w:val="001D1435"/>
    <w:rsid w:val="001D1C6B"/>
    <w:rsid w:val="001D2BC3"/>
    <w:rsid w:val="001D4894"/>
    <w:rsid w:val="001D52E3"/>
    <w:rsid w:val="001D576F"/>
    <w:rsid w:val="001D6C52"/>
    <w:rsid w:val="001D6FB1"/>
    <w:rsid w:val="001D7C29"/>
    <w:rsid w:val="001D7EEE"/>
    <w:rsid w:val="001E0475"/>
    <w:rsid w:val="001E31CA"/>
    <w:rsid w:val="001E327E"/>
    <w:rsid w:val="001E3F38"/>
    <w:rsid w:val="001E4949"/>
    <w:rsid w:val="001E4B11"/>
    <w:rsid w:val="001E509E"/>
    <w:rsid w:val="001E551A"/>
    <w:rsid w:val="001E59E2"/>
    <w:rsid w:val="001F2800"/>
    <w:rsid w:val="001F2DB5"/>
    <w:rsid w:val="001F39DB"/>
    <w:rsid w:val="001F490C"/>
    <w:rsid w:val="001F5C90"/>
    <w:rsid w:val="001F767C"/>
    <w:rsid w:val="001F771E"/>
    <w:rsid w:val="00200B9A"/>
    <w:rsid w:val="00200D7A"/>
    <w:rsid w:val="002019CB"/>
    <w:rsid w:val="00201D06"/>
    <w:rsid w:val="0020606E"/>
    <w:rsid w:val="00206F47"/>
    <w:rsid w:val="0020748A"/>
    <w:rsid w:val="00207AE7"/>
    <w:rsid w:val="00207FBC"/>
    <w:rsid w:val="002103F0"/>
    <w:rsid w:val="00210FCF"/>
    <w:rsid w:val="0021104B"/>
    <w:rsid w:val="00211991"/>
    <w:rsid w:val="0021244A"/>
    <w:rsid w:val="0021372B"/>
    <w:rsid w:val="00213F23"/>
    <w:rsid w:val="00215C05"/>
    <w:rsid w:val="00217400"/>
    <w:rsid w:val="00217EF3"/>
    <w:rsid w:val="00220250"/>
    <w:rsid w:val="0022271A"/>
    <w:rsid w:val="00222CC6"/>
    <w:rsid w:val="00222EFF"/>
    <w:rsid w:val="00223CFB"/>
    <w:rsid w:val="00223FED"/>
    <w:rsid w:val="002240D5"/>
    <w:rsid w:val="002246CB"/>
    <w:rsid w:val="00225E60"/>
    <w:rsid w:val="002260D0"/>
    <w:rsid w:val="002261A7"/>
    <w:rsid w:val="0022650A"/>
    <w:rsid w:val="002269E9"/>
    <w:rsid w:val="00226AEC"/>
    <w:rsid w:val="002300E9"/>
    <w:rsid w:val="00230D3F"/>
    <w:rsid w:val="00233BE7"/>
    <w:rsid w:val="0023424F"/>
    <w:rsid w:val="00234DDC"/>
    <w:rsid w:val="00236449"/>
    <w:rsid w:val="002367F2"/>
    <w:rsid w:val="00240197"/>
    <w:rsid w:val="00240B34"/>
    <w:rsid w:val="00241364"/>
    <w:rsid w:val="00244690"/>
    <w:rsid w:val="002446F2"/>
    <w:rsid w:val="00244F21"/>
    <w:rsid w:val="00245642"/>
    <w:rsid w:val="00245C18"/>
    <w:rsid w:val="002478BB"/>
    <w:rsid w:val="00250221"/>
    <w:rsid w:val="00250A99"/>
    <w:rsid w:val="00251920"/>
    <w:rsid w:val="002520CA"/>
    <w:rsid w:val="00252E08"/>
    <w:rsid w:val="0025378F"/>
    <w:rsid w:val="00254117"/>
    <w:rsid w:val="002545F3"/>
    <w:rsid w:val="00254BA8"/>
    <w:rsid w:val="00261311"/>
    <w:rsid w:val="0026344F"/>
    <w:rsid w:val="00265D74"/>
    <w:rsid w:val="00266A17"/>
    <w:rsid w:val="00267860"/>
    <w:rsid w:val="002678CF"/>
    <w:rsid w:val="00267FD8"/>
    <w:rsid w:val="002702D5"/>
    <w:rsid w:val="00270372"/>
    <w:rsid w:val="0027045B"/>
    <w:rsid w:val="0027400D"/>
    <w:rsid w:val="00275534"/>
    <w:rsid w:val="00276A72"/>
    <w:rsid w:val="00277075"/>
    <w:rsid w:val="002775D2"/>
    <w:rsid w:val="00277D27"/>
    <w:rsid w:val="00281266"/>
    <w:rsid w:val="00281ADD"/>
    <w:rsid w:val="00282EA8"/>
    <w:rsid w:val="00283584"/>
    <w:rsid w:val="00284A3A"/>
    <w:rsid w:val="002864DC"/>
    <w:rsid w:val="002878A5"/>
    <w:rsid w:val="0029002E"/>
    <w:rsid w:val="00293E0D"/>
    <w:rsid w:val="00293E80"/>
    <w:rsid w:val="00296BFB"/>
    <w:rsid w:val="00296C95"/>
    <w:rsid w:val="002973B0"/>
    <w:rsid w:val="00297971"/>
    <w:rsid w:val="00297C14"/>
    <w:rsid w:val="00297DC0"/>
    <w:rsid w:val="002A1E7E"/>
    <w:rsid w:val="002A220F"/>
    <w:rsid w:val="002A24F1"/>
    <w:rsid w:val="002A35F4"/>
    <w:rsid w:val="002A5778"/>
    <w:rsid w:val="002A5CF4"/>
    <w:rsid w:val="002A5E61"/>
    <w:rsid w:val="002A67C1"/>
    <w:rsid w:val="002A73EC"/>
    <w:rsid w:val="002B0832"/>
    <w:rsid w:val="002B1AFD"/>
    <w:rsid w:val="002B1E84"/>
    <w:rsid w:val="002B2085"/>
    <w:rsid w:val="002B221C"/>
    <w:rsid w:val="002B3813"/>
    <w:rsid w:val="002B3EC4"/>
    <w:rsid w:val="002B47AF"/>
    <w:rsid w:val="002B4A26"/>
    <w:rsid w:val="002B4FEC"/>
    <w:rsid w:val="002B62AD"/>
    <w:rsid w:val="002C37D5"/>
    <w:rsid w:val="002C6B6E"/>
    <w:rsid w:val="002D0AFD"/>
    <w:rsid w:val="002D14CD"/>
    <w:rsid w:val="002D34DB"/>
    <w:rsid w:val="002D43F0"/>
    <w:rsid w:val="002D4555"/>
    <w:rsid w:val="002D4B11"/>
    <w:rsid w:val="002D5321"/>
    <w:rsid w:val="002D5790"/>
    <w:rsid w:val="002D6D41"/>
    <w:rsid w:val="002E05A3"/>
    <w:rsid w:val="002E310A"/>
    <w:rsid w:val="002E4AA2"/>
    <w:rsid w:val="002E5633"/>
    <w:rsid w:val="002E6949"/>
    <w:rsid w:val="002F1963"/>
    <w:rsid w:val="002F3AF0"/>
    <w:rsid w:val="002F452D"/>
    <w:rsid w:val="002F4BDE"/>
    <w:rsid w:val="002F5B6E"/>
    <w:rsid w:val="002F61B5"/>
    <w:rsid w:val="003005D3"/>
    <w:rsid w:val="00300C38"/>
    <w:rsid w:val="0030209B"/>
    <w:rsid w:val="00303015"/>
    <w:rsid w:val="00303C59"/>
    <w:rsid w:val="003055BA"/>
    <w:rsid w:val="00307EDA"/>
    <w:rsid w:val="00310806"/>
    <w:rsid w:val="00310BAF"/>
    <w:rsid w:val="003127E4"/>
    <w:rsid w:val="00313215"/>
    <w:rsid w:val="0031324D"/>
    <w:rsid w:val="00314DE1"/>
    <w:rsid w:val="00315B39"/>
    <w:rsid w:val="00315D23"/>
    <w:rsid w:val="00315D3C"/>
    <w:rsid w:val="003174C3"/>
    <w:rsid w:val="00317649"/>
    <w:rsid w:val="0032050B"/>
    <w:rsid w:val="00321C83"/>
    <w:rsid w:val="0032239F"/>
    <w:rsid w:val="003230E6"/>
    <w:rsid w:val="003232FA"/>
    <w:rsid w:val="00323CE7"/>
    <w:rsid w:val="0032557A"/>
    <w:rsid w:val="00327818"/>
    <w:rsid w:val="0032793D"/>
    <w:rsid w:val="00331065"/>
    <w:rsid w:val="00331600"/>
    <w:rsid w:val="003337CA"/>
    <w:rsid w:val="0033393C"/>
    <w:rsid w:val="00340778"/>
    <w:rsid w:val="003435F9"/>
    <w:rsid w:val="00343833"/>
    <w:rsid w:val="00343ABD"/>
    <w:rsid w:val="00344D2C"/>
    <w:rsid w:val="003458CE"/>
    <w:rsid w:val="00345A57"/>
    <w:rsid w:val="00346D90"/>
    <w:rsid w:val="003517E3"/>
    <w:rsid w:val="00351F53"/>
    <w:rsid w:val="00351F62"/>
    <w:rsid w:val="00352053"/>
    <w:rsid w:val="00355BFB"/>
    <w:rsid w:val="003561B5"/>
    <w:rsid w:val="00356FC1"/>
    <w:rsid w:val="003601F4"/>
    <w:rsid w:val="00360696"/>
    <w:rsid w:val="00363ECA"/>
    <w:rsid w:val="003671E2"/>
    <w:rsid w:val="0036758F"/>
    <w:rsid w:val="0037012B"/>
    <w:rsid w:val="003705FC"/>
    <w:rsid w:val="00370FD3"/>
    <w:rsid w:val="0037292D"/>
    <w:rsid w:val="00372AE6"/>
    <w:rsid w:val="00372C38"/>
    <w:rsid w:val="00373378"/>
    <w:rsid w:val="00374291"/>
    <w:rsid w:val="00376921"/>
    <w:rsid w:val="00377345"/>
    <w:rsid w:val="0037779D"/>
    <w:rsid w:val="00381C0F"/>
    <w:rsid w:val="00383440"/>
    <w:rsid w:val="003837E1"/>
    <w:rsid w:val="0038584D"/>
    <w:rsid w:val="00392226"/>
    <w:rsid w:val="0039257F"/>
    <w:rsid w:val="003931DE"/>
    <w:rsid w:val="00393D95"/>
    <w:rsid w:val="00393DE4"/>
    <w:rsid w:val="003942A6"/>
    <w:rsid w:val="0039488B"/>
    <w:rsid w:val="00395ABA"/>
    <w:rsid w:val="0039750B"/>
    <w:rsid w:val="00397649"/>
    <w:rsid w:val="00397BAB"/>
    <w:rsid w:val="00397D1A"/>
    <w:rsid w:val="003A163C"/>
    <w:rsid w:val="003A2B4E"/>
    <w:rsid w:val="003A2FBB"/>
    <w:rsid w:val="003A3799"/>
    <w:rsid w:val="003A403B"/>
    <w:rsid w:val="003A41BF"/>
    <w:rsid w:val="003A43A0"/>
    <w:rsid w:val="003A4795"/>
    <w:rsid w:val="003A4913"/>
    <w:rsid w:val="003A4BAD"/>
    <w:rsid w:val="003A5162"/>
    <w:rsid w:val="003A54A9"/>
    <w:rsid w:val="003A56EF"/>
    <w:rsid w:val="003A7083"/>
    <w:rsid w:val="003B1B58"/>
    <w:rsid w:val="003B38B3"/>
    <w:rsid w:val="003B3A97"/>
    <w:rsid w:val="003B3D44"/>
    <w:rsid w:val="003B3EC1"/>
    <w:rsid w:val="003B50E4"/>
    <w:rsid w:val="003B52E7"/>
    <w:rsid w:val="003B5AF1"/>
    <w:rsid w:val="003B5BAA"/>
    <w:rsid w:val="003B639B"/>
    <w:rsid w:val="003B7A4C"/>
    <w:rsid w:val="003C048E"/>
    <w:rsid w:val="003C186D"/>
    <w:rsid w:val="003C2C4F"/>
    <w:rsid w:val="003C323D"/>
    <w:rsid w:val="003C7CC2"/>
    <w:rsid w:val="003D181F"/>
    <w:rsid w:val="003D4CF7"/>
    <w:rsid w:val="003D50B6"/>
    <w:rsid w:val="003D50D9"/>
    <w:rsid w:val="003D7E01"/>
    <w:rsid w:val="003E05DF"/>
    <w:rsid w:val="003E1385"/>
    <w:rsid w:val="003E15A5"/>
    <w:rsid w:val="003E23BC"/>
    <w:rsid w:val="003E2D3C"/>
    <w:rsid w:val="003E4E2D"/>
    <w:rsid w:val="003E5926"/>
    <w:rsid w:val="003E6085"/>
    <w:rsid w:val="003E6258"/>
    <w:rsid w:val="003E6B64"/>
    <w:rsid w:val="003E6CA3"/>
    <w:rsid w:val="003F082D"/>
    <w:rsid w:val="003F0888"/>
    <w:rsid w:val="003F1311"/>
    <w:rsid w:val="003F35D2"/>
    <w:rsid w:val="003F4C96"/>
    <w:rsid w:val="003F6A1E"/>
    <w:rsid w:val="00400015"/>
    <w:rsid w:val="00401162"/>
    <w:rsid w:val="00403A8E"/>
    <w:rsid w:val="00406002"/>
    <w:rsid w:val="00406493"/>
    <w:rsid w:val="00406AD3"/>
    <w:rsid w:val="004106A8"/>
    <w:rsid w:val="004108E5"/>
    <w:rsid w:val="00410A86"/>
    <w:rsid w:val="004119A7"/>
    <w:rsid w:val="00411B36"/>
    <w:rsid w:val="00412318"/>
    <w:rsid w:val="00412649"/>
    <w:rsid w:val="00412E42"/>
    <w:rsid w:val="00413CE6"/>
    <w:rsid w:val="00414794"/>
    <w:rsid w:val="00414F95"/>
    <w:rsid w:val="00416348"/>
    <w:rsid w:val="004211A4"/>
    <w:rsid w:val="00424C5F"/>
    <w:rsid w:val="00426309"/>
    <w:rsid w:val="0042630D"/>
    <w:rsid w:val="00426356"/>
    <w:rsid w:val="00426929"/>
    <w:rsid w:val="00432D6A"/>
    <w:rsid w:val="004336B7"/>
    <w:rsid w:val="00442798"/>
    <w:rsid w:val="00442C16"/>
    <w:rsid w:val="00442F58"/>
    <w:rsid w:val="00444C22"/>
    <w:rsid w:val="00446439"/>
    <w:rsid w:val="00446D4A"/>
    <w:rsid w:val="00446F79"/>
    <w:rsid w:val="00447E99"/>
    <w:rsid w:val="00447FA3"/>
    <w:rsid w:val="004502F1"/>
    <w:rsid w:val="00450BDA"/>
    <w:rsid w:val="00450C9B"/>
    <w:rsid w:val="00450D28"/>
    <w:rsid w:val="00451544"/>
    <w:rsid w:val="00451BC5"/>
    <w:rsid w:val="0045259C"/>
    <w:rsid w:val="00453A3E"/>
    <w:rsid w:val="0045452F"/>
    <w:rsid w:val="00454954"/>
    <w:rsid w:val="004554FC"/>
    <w:rsid w:val="00455D69"/>
    <w:rsid w:val="0045689B"/>
    <w:rsid w:val="00456DEB"/>
    <w:rsid w:val="0045766B"/>
    <w:rsid w:val="00461035"/>
    <w:rsid w:val="00462D47"/>
    <w:rsid w:val="00463279"/>
    <w:rsid w:val="0046426A"/>
    <w:rsid w:val="0046436F"/>
    <w:rsid w:val="00466F3F"/>
    <w:rsid w:val="00470E2F"/>
    <w:rsid w:val="0047138F"/>
    <w:rsid w:val="004713B0"/>
    <w:rsid w:val="00471D22"/>
    <w:rsid w:val="00474A77"/>
    <w:rsid w:val="00474BB7"/>
    <w:rsid w:val="004764E9"/>
    <w:rsid w:val="004816D7"/>
    <w:rsid w:val="00481B81"/>
    <w:rsid w:val="00481CEB"/>
    <w:rsid w:val="00481F39"/>
    <w:rsid w:val="00482C37"/>
    <w:rsid w:val="0048342E"/>
    <w:rsid w:val="004836EF"/>
    <w:rsid w:val="004855C1"/>
    <w:rsid w:val="004869FF"/>
    <w:rsid w:val="00487478"/>
    <w:rsid w:val="0048782D"/>
    <w:rsid w:val="00487A21"/>
    <w:rsid w:val="00492B39"/>
    <w:rsid w:val="004932D8"/>
    <w:rsid w:val="004942FE"/>
    <w:rsid w:val="00494DC1"/>
    <w:rsid w:val="004967D7"/>
    <w:rsid w:val="004A0791"/>
    <w:rsid w:val="004A0A0A"/>
    <w:rsid w:val="004A2651"/>
    <w:rsid w:val="004A2907"/>
    <w:rsid w:val="004A2B4C"/>
    <w:rsid w:val="004A2C51"/>
    <w:rsid w:val="004A3F56"/>
    <w:rsid w:val="004A4335"/>
    <w:rsid w:val="004A4874"/>
    <w:rsid w:val="004A5E21"/>
    <w:rsid w:val="004A634A"/>
    <w:rsid w:val="004A666A"/>
    <w:rsid w:val="004A7282"/>
    <w:rsid w:val="004B0150"/>
    <w:rsid w:val="004B143F"/>
    <w:rsid w:val="004B1AA3"/>
    <w:rsid w:val="004B2F92"/>
    <w:rsid w:val="004B3B94"/>
    <w:rsid w:val="004B3E13"/>
    <w:rsid w:val="004B49A0"/>
    <w:rsid w:val="004B4E4E"/>
    <w:rsid w:val="004B6277"/>
    <w:rsid w:val="004B744D"/>
    <w:rsid w:val="004B7735"/>
    <w:rsid w:val="004C15BD"/>
    <w:rsid w:val="004C1E6F"/>
    <w:rsid w:val="004C2E20"/>
    <w:rsid w:val="004C3232"/>
    <w:rsid w:val="004C3B46"/>
    <w:rsid w:val="004C51C8"/>
    <w:rsid w:val="004C6306"/>
    <w:rsid w:val="004C6F5E"/>
    <w:rsid w:val="004C7E94"/>
    <w:rsid w:val="004D00F8"/>
    <w:rsid w:val="004D0C63"/>
    <w:rsid w:val="004D2642"/>
    <w:rsid w:val="004D2BE5"/>
    <w:rsid w:val="004D3A2A"/>
    <w:rsid w:val="004D4C97"/>
    <w:rsid w:val="004D58BA"/>
    <w:rsid w:val="004D7CF8"/>
    <w:rsid w:val="004D7EDA"/>
    <w:rsid w:val="004E0A8D"/>
    <w:rsid w:val="004E0E49"/>
    <w:rsid w:val="004E18CD"/>
    <w:rsid w:val="004E197A"/>
    <w:rsid w:val="004E2250"/>
    <w:rsid w:val="004E463B"/>
    <w:rsid w:val="004E4890"/>
    <w:rsid w:val="004E5059"/>
    <w:rsid w:val="004E5209"/>
    <w:rsid w:val="004E5D52"/>
    <w:rsid w:val="004E5FAE"/>
    <w:rsid w:val="004E6B3E"/>
    <w:rsid w:val="004E72D1"/>
    <w:rsid w:val="004F0662"/>
    <w:rsid w:val="004F07D7"/>
    <w:rsid w:val="004F1297"/>
    <w:rsid w:val="004F15DC"/>
    <w:rsid w:val="004F16DB"/>
    <w:rsid w:val="004F1B4E"/>
    <w:rsid w:val="004F1CDE"/>
    <w:rsid w:val="004F2275"/>
    <w:rsid w:val="004F339D"/>
    <w:rsid w:val="004F4BD6"/>
    <w:rsid w:val="004F4D7E"/>
    <w:rsid w:val="004F5B16"/>
    <w:rsid w:val="004F5D9D"/>
    <w:rsid w:val="004F62CF"/>
    <w:rsid w:val="004F68E5"/>
    <w:rsid w:val="004F741B"/>
    <w:rsid w:val="004F780C"/>
    <w:rsid w:val="004F7F5C"/>
    <w:rsid w:val="00502280"/>
    <w:rsid w:val="00502D5C"/>
    <w:rsid w:val="00503253"/>
    <w:rsid w:val="0050347C"/>
    <w:rsid w:val="005038CF"/>
    <w:rsid w:val="00503B7F"/>
    <w:rsid w:val="00503BB0"/>
    <w:rsid w:val="00503E03"/>
    <w:rsid w:val="0050447F"/>
    <w:rsid w:val="00504C2E"/>
    <w:rsid w:val="005050DA"/>
    <w:rsid w:val="0050514F"/>
    <w:rsid w:val="005119D6"/>
    <w:rsid w:val="00512226"/>
    <w:rsid w:val="00513567"/>
    <w:rsid w:val="005147C6"/>
    <w:rsid w:val="00515597"/>
    <w:rsid w:val="005159B1"/>
    <w:rsid w:val="00515B85"/>
    <w:rsid w:val="00515F20"/>
    <w:rsid w:val="00517181"/>
    <w:rsid w:val="00517F82"/>
    <w:rsid w:val="00522502"/>
    <w:rsid w:val="00522DA2"/>
    <w:rsid w:val="00522E6D"/>
    <w:rsid w:val="00524711"/>
    <w:rsid w:val="005255A1"/>
    <w:rsid w:val="0052569C"/>
    <w:rsid w:val="00525D95"/>
    <w:rsid w:val="0052641C"/>
    <w:rsid w:val="00526A4D"/>
    <w:rsid w:val="00526A7E"/>
    <w:rsid w:val="00527C64"/>
    <w:rsid w:val="00527E59"/>
    <w:rsid w:val="00532255"/>
    <w:rsid w:val="00532C98"/>
    <w:rsid w:val="00533E1F"/>
    <w:rsid w:val="00536700"/>
    <w:rsid w:val="005371D5"/>
    <w:rsid w:val="0053795D"/>
    <w:rsid w:val="005418C0"/>
    <w:rsid w:val="00543007"/>
    <w:rsid w:val="0054349B"/>
    <w:rsid w:val="00544522"/>
    <w:rsid w:val="005468AB"/>
    <w:rsid w:val="00550090"/>
    <w:rsid w:val="005501A0"/>
    <w:rsid w:val="00550831"/>
    <w:rsid w:val="00554273"/>
    <w:rsid w:val="00554E12"/>
    <w:rsid w:val="00556EA4"/>
    <w:rsid w:val="005622A5"/>
    <w:rsid w:val="00563884"/>
    <w:rsid w:val="00563E85"/>
    <w:rsid w:val="005642B6"/>
    <w:rsid w:val="005656AB"/>
    <w:rsid w:val="005664BF"/>
    <w:rsid w:val="0056674C"/>
    <w:rsid w:val="005679CC"/>
    <w:rsid w:val="00571D5E"/>
    <w:rsid w:val="00572B63"/>
    <w:rsid w:val="00574F5C"/>
    <w:rsid w:val="005751AB"/>
    <w:rsid w:val="005753B4"/>
    <w:rsid w:val="00575B62"/>
    <w:rsid w:val="00576FDF"/>
    <w:rsid w:val="005800A2"/>
    <w:rsid w:val="00580B2B"/>
    <w:rsid w:val="00581BFE"/>
    <w:rsid w:val="005823D0"/>
    <w:rsid w:val="00586588"/>
    <w:rsid w:val="0058674C"/>
    <w:rsid w:val="00586C7B"/>
    <w:rsid w:val="0058739A"/>
    <w:rsid w:val="005936B8"/>
    <w:rsid w:val="00593D68"/>
    <w:rsid w:val="00595EB2"/>
    <w:rsid w:val="00597FF0"/>
    <w:rsid w:val="005A003F"/>
    <w:rsid w:val="005A2748"/>
    <w:rsid w:val="005A4277"/>
    <w:rsid w:val="005A443F"/>
    <w:rsid w:val="005A4522"/>
    <w:rsid w:val="005A522B"/>
    <w:rsid w:val="005B1CFE"/>
    <w:rsid w:val="005B403C"/>
    <w:rsid w:val="005B529F"/>
    <w:rsid w:val="005B5318"/>
    <w:rsid w:val="005B58D4"/>
    <w:rsid w:val="005B75C0"/>
    <w:rsid w:val="005C07B3"/>
    <w:rsid w:val="005C07F5"/>
    <w:rsid w:val="005C11F3"/>
    <w:rsid w:val="005C1C1B"/>
    <w:rsid w:val="005C277C"/>
    <w:rsid w:val="005C284E"/>
    <w:rsid w:val="005C2B28"/>
    <w:rsid w:val="005C47D4"/>
    <w:rsid w:val="005C5015"/>
    <w:rsid w:val="005C5141"/>
    <w:rsid w:val="005C5BCD"/>
    <w:rsid w:val="005D246A"/>
    <w:rsid w:val="005D51D0"/>
    <w:rsid w:val="005D6F83"/>
    <w:rsid w:val="005D7877"/>
    <w:rsid w:val="005D7941"/>
    <w:rsid w:val="005D7CCF"/>
    <w:rsid w:val="005E02FE"/>
    <w:rsid w:val="005E1CF8"/>
    <w:rsid w:val="005E3F17"/>
    <w:rsid w:val="005E58C4"/>
    <w:rsid w:val="005E5981"/>
    <w:rsid w:val="005E5D8F"/>
    <w:rsid w:val="005E71AB"/>
    <w:rsid w:val="005E73C0"/>
    <w:rsid w:val="005F18DE"/>
    <w:rsid w:val="005F1F07"/>
    <w:rsid w:val="005F3334"/>
    <w:rsid w:val="005F43F8"/>
    <w:rsid w:val="005F5A5C"/>
    <w:rsid w:val="005F5CD9"/>
    <w:rsid w:val="005F6A2C"/>
    <w:rsid w:val="00600112"/>
    <w:rsid w:val="00600FCA"/>
    <w:rsid w:val="00602A7E"/>
    <w:rsid w:val="00602FBA"/>
    <w:rsid w:val="0060312B"/>
    <w:rsid w:val="00603400"/>
    <w:rsid w:val="00605D8A"/>
    <w:rsid w:val="0060712C"/>
    <w:rsid w:val="006101C2"/>
    <w:rsid w:val="00610BF2"/>
    <w:rsid w:val="0061135C"/>
    <w:rsid w:val="00611B15"/>
    <w:rsid w:val="006136DD"/>
    <w:rsid w:val="00613E2D"/>
    <w:rsid w:val="006149F0"/>
    <w:rsid w:val="00617026"/>
    <w:rsid w:val="00620E99"/>
    <w:rsid w:val="006220A5"/>
    <w:rsid w:val="006242BA"/>
    <w:rsid w:val="00624AC8"/>
    <w:rsid w:val="00630FF2"/>
    <w:rsid w:val="006315F9"/>
    <w:rsid w:val="00633C60"/>
    <w:rsid w:val="00633CF7"/>
    <w:rsid w:val="00634AFD"/>
    <w:rsid w:val="00637005"/>
    <w:rsid w:val="00637A15"/>
    <w:rsid w:val="0064042C"/>
    <w:rsid w:val="0064126D"/>
    <w:rsid w:val="00641535"/>
    <w:rsid w:val="00641A80"/>
    <w:rsid w:val="006434CA"/>
    <w:rsid w:val="00643666"/>
    <w:rsid w:val="00643DBC"/>
    <w:rsid w:val="006451B8"/>
    <w:rsid w:val="00645722"/>
    <w:rsid w:val="00652432"/>
    <w:rsid w:val="00653195"/>
    <w:rsid w:val="00654141"/>
    <w:rsid w:val="006545EF"/>
    <w:rsid w:val="0065467C"/>
    <w:rsid w:val="006546F5"/>
    <w:rsid w:val="00654B86"/>
    <w:rsid w:val="00654C2A"/>
    <w:rsid w:val="00654F08"/>
    <w:rsid w:val="00656031"/>
    <w:rsid w:val="006567A4"/>
    <w:rsid w:val="0065681C"/>
    <w:rsid w:val="00657840"/>
    <w:rsid w:val="00657E49"/>
    <w:rsid w:val="0066003C"/>
    <w:rsid w:val="0066041E"/>
    <w:rsid w:val="006635AD"/>
    <w:rsid w:val="0066386B"/>
    <w:rsid w:val="00663A55"/>
    <w:rsid w:val="006641B9"/>
    <w:rsid w:val="0066422B"/>
    <w:rsid w:val="006654AD"/>
    <w:rsid w:val="006659A5"/>
    <w:rsid w:val="00665FF7"/>
    <w:rsid w:val="00666510"/>
    <w:rsid w:val="006669E9"/>
    <w:rsid w:val="006679DD"/>
    <w:rsid w:val="00670614"/>
    <w:rsid w:val="0067144A"/>
    <w:rsid w:val="00673272"/>
    <w:rsid w:val="00673CCC"/>
    <w:rsid w:val="00675C98"/>
    <w:rsid w:val="0067797F"/>
    <w:rsid w:val="00677C6A"/>
    <w:rsid w:val="0068075E"/>
    <w:rsid w:val="0068080C"/>
    <w:rsid w:val="006843FD"/>
    <w:rsid w:val="006847F7"/>
    <w:rsid w:val="00684828"/>
    <w:rsid w:val="00685412"/>
    <w:rsid w:val="00685519"/>
    <w:rsid w:val="006872D6"/>
    <w:rsid w:val="0069026B"/>
    <w:rsid w:val="00690F59"/>
    <w:rsid w:val="006924BF"/>
    <w:rsid w:val="00692CF9"/>
    <w:rsid w:val="006933F6"/>
    <w:rsid w:val="006938F0"/>
    <w:rsid w:val="00693D90"/>
    <w:rsid w:val="006956EA"/>
    <w:rsid w:val="0069668A"/>
    <w:rsid w:val="006975C8"/>
    <w:rsid w:val="006A1A4E"/>
    <w:rsid w:val="006A490C"/>
    <w:rsid w:val="006A4C4F"/>
    <w:rsid w:val="006A588D"/>
    <w:rsid w:val="006B002E"/>
    <w:rsid w:val="006B0662"/>
    <w:rsid w:val="006B06A8"/>
    <w:rsid w:val="006B0C71"/>
    <w:rsid w:val="006B4F7D"/>
    <w:rsid w:val="006B54AD"/>
    <w:rsid w:val="006B62CE"/>
    <w:rsid w:val="006B7715"/>
    <w:rsid w:val="006C0638"/>
    <w:rsid w:val="006C114C"/>
    <w:rsid w:val="006C2350"/>
    <w:rsid w:val="006C2787"/>
    <w:rsid w:val="006C2E0E"/>
    <w:rsid w:val="006C318E"/>
    <w:rsid w:val="006C32A4"/>
    <w:rsid w:val="006C3864"/>
    <w:rsid w:val="006C3C2B"/>
    <w:rsid w:val="006C3DF0"/>
    <w:rsid w:val="006C4C68"/>
    <w:rsid w:val="006C523C"/>
    <w:rsid w:val="006C5383"/>
    <w:rsid w:val="006C5E72"/>
    <w:rsid w:val="006C67BC"/>
    <w:rsid w:val="006C6985"/>
    <w:rsid w:val="006D2AEC"/>
    <w:rsid w:val="006D2D0B"/>
    <w:rsid w:val="006D34F3"/>
    <w:rsid w:val="006D4C8E"/>
    <w:rsid w:val="006D58A4"/>
    <w:rsid w:val="006D59D3"/>
    <w:rsid w:val="006D6087"/>
    <w:rsid w:val="006D6925"/>
    <w:rsid w:val="006D6F95"/>
    <w:rsid w:val="006E079F"/>
    <w:rsid w:val="006E19D1"/>
    <w:rsid w:val="006E1CBB"/>
    <w:rsid w:val="006E26A6"/>
    <w:rsid w:val="006E311F"/>
    <w:rsid w:val="006E35F5"/>
    <w:rsid w:val="006E4057"/>
    <w:rsid w:val="006F05ED"/>
    <w:rsid w:val="006F100B"/>
    <w:rsid w:val="006F123C"/>
    <w:rsid w:val="006F239A"/>
    <w:rsid w:val="006F2C9D"/>
    <w:rsid w:val="006F586A"/>
    <w:rsid w:val="006F61C5"/>
    <w:rsid w:val="006F6222"/>
    <w:rsid w:val="006F7EB9"/>
    <w:rsid w:val="007005D5"/>
    <w:rsid w:val="00700644"/>
    <w:rsid w:val="007008AC"/>
    <w:rsid w:val="00700C81"/>
    <w:rsid w:val="00703216"/>
    <w:rsid w:val="007051E2"/>
    <w:rsid w:val="00705A60"/>
    <w:rsid w:val="0070637D"/>
    <w:rsid w:val="00706CE8"/>
    <w:rsid w:val="00706FFB"/>
    <w:rsid w:val="007071DD"/>
    <w:rsid w:val="007072BC"/>
    <w:rsid w:val="007074D3"/>
    <w:rsid w:val="0070771F"/>
    <w:rsid w:val="00707FF1"/>
    <w:rsid w:val="00712826"/>
    <w:rsid w:val="00712A14"/>
    <w:rsid w:val="00714B25"/>
    <w:rsid w:val="00714E17"/>
    <w:rsid w:val="00714E4F"/>
    <w:rsid w:val="00714EE5"/>
    <w:rsid w:val="00715564"/>
    <w:rsid w:val="00716C04"/>
    <w:rsid w:val="00717180"/>
    <w:rsid w:val="007179D2"/>
    <w:rsid w:val="00720750"/>
    <w:rsid w:val="00721DB0"/>
    <w:rsid w:val="00722435"/>
    <w:rsid w:val="00722B49"/>
    <w:rsid w:val="00722F5A"/>
    <w:rsid w:val="0072549C"/>
    <w:rsid w:val="00725A80"/>
    <w:rsid w:val="00727B85"/>
    <w:rsid w:val="00733073"/>
    <w:rsid w:val="00733970"/>
    <w:rsid w:val="00733A52"/>
    <w:rsid w:val="00735C25"/>
    <w:rsid w:val="00737709"/>
    <w:rsid w:val="007377A9"/>
    <w:rsid w:val="007425C1"/>
    <w:rsid w:val="0074275C"/>
    <w:rsid w:val="007427C1"/>
    <w:rsid w:val="00742BA4"/>
    <w:rsid w:val="00743EF6"/>
    <w:rsid w:val="00744F45"/>
    <w:rsid w:val="00746495"/>
    <w:rsid w:val="00746768"/>
    <w:rsid w:val="007502E2"/>
    <w:rsid w:val="00751DF3"/>
    <w:rsid w:val="00753812"/>
    <w:rsid w:val="00754C58"/>
    <w:rsid w:val="00756D1D"/>
    <w:rsid w:val="00761349"/>
    <w:rsid w:val="00761969"/>
    <w:rsid w:val="00764874"/>
    <w:rsid w:val="00764E9F"/>
    <w:rsid w:val="00764F1C"/>
    <w:rsid w:val="0077216C"/>
    <w:rsid w:val="007735EF"/>
    <w:rsid w:val="007747DB"/>
    <w:rsid w:val="007748DF"/>
    <w:rsid w:val="00774972"/>
    <w:rsid w:val="00774E3F"/>
    <w:rsid w:val="00775D62"/>
    <w:rsid w:val="00776E78"/>
    <w:rsid w:val="00780054"/>
    <w:rsid w:val="0078138A"/>
    <w:rsid w:val="00783014"/>
    <w:rsid w:val="007834DC"/>
    <w:rsid w:val="0078448C"/>
    <w:rsid w:val="00784ADB"/>
    <w:rsid w:val="007850F9"/>
    <w:rsid w:val="00785B35"/>
    <w:rsid w:val="00787462"/>
    <w:rsid w:val="007876FD"/>
    <w:rsid w:val="0079341A"/>
    <w:rsid w:val="0079351F"/>
    <w:rsid w:val="00794249"/>
    <w:rsid w:val="00794E65"/>
    <w:rsid w:val="007958D1"/>
    <w:rsid w:val="007959D8"/>
    <w:rsid w:val="0079630F"/>
    <w:rsid w:val="007969C9"/>
    <w:rsid w:val="007A04C2"/>
    <w:rsid w:val="007A1BFE"/>
    <w:rsid w:val="007A40C5"/>
    <w:rsid w:val="007A47FB"/>
    <w:rsid w:val="007A4E03"/>
    <w:rsid w:val="007A55AB"/>
    <w:rsid w:val="007A59A6"/>
    <w:rsid w:val="007A71BB"/>
    <w:rsid w:val="007B036D"/>
    <w:rsid w:val="007B146A"/>
    <w:rsid w:val="007B414E"/>
    <w:rsid w:val="007B5134"/>
    <w:rsid w:val="007B595C"/>
    <w:rsid w:val="007B76CF"/>
    <w:rsid w:val="007B7833"/>
    <w:rsid w:val="007B7B26"/>
    <w:rsid w:val="007C0767"/>
    <w:rsid w:val="007C0E7C"/>
    <w:rsid w:val="007C0EAA"/>
    <w:rsid w:val="007C24AA"/>
    <w:rsid w:val="007C2E9F"/>
    <w:rsid w:val="007C44B2"/>
    <w:rsid w:val="007C6496"/>
    <w:rsid w:val="007C745E"/>
    <w:rsid w:val="007D0C5D"/>
    <w:rsid w:val="007D1EAF"/>
    <w:rsid w:val="007D264C"/>
    <w:rsid w:val="007D3A56"/>
    <w:rsid w:val="007D6E09"/>
    <w:rsid w:val="007E0BEC"/>
    <w:rsid w:val="007E22B4"/>
    <w:rsid w:val="007E3F8C"/>
    <w:rsid w:val="007E579D"/>
    <w:rsid w:val="007F0B3E"/>
    <w:rsid w:val="007F2058"/>
    <w:rsid w:val="007F2533"/>
    <w:rsid w:val="007F5CD7"/>
    <w:rsid w:val="007F5FAD"/>
    <w:rsid w:val="007F7685"/>
    <w:rsid w:val="007F7E63"/>
    <w:rsid w:val="0080011D"/>
    <w:rsid w:val="00800EA5"/>
    <w:rsid w:val="00801C01"/>
    <w:rsid w:val="008022C9"/>
    <w:rsid w:val="00803796"/>
    <w:rsid w:val="00803D8F"/>
    <w:rsid w:val="00804046"/>
    <w:rsid w:val="008046A6"/>
    <w:rsid w:val="00804D8C"/>
    <w:rsid w:val="00805DC5"/>
    <w:rsid w:val="008061E0"/>
    <w:rsid w:val="00807896"/>
    <w:rsid w:val="0081085D"/>
    <w:rsid w:val="00811B25"/>
    <w:rsid w:val="008130BB"/>
    <w:rsid w:val="008134FE"/>
    <w:rsid w:val="00813C1D"/>
    <w:rsid w:val="008158C8"/>
    <w:rsid w:val="00816D41"/>
    <w:rsid w:val="00820161"/>
    <w:rsid w:val="008204AC"/>
    <w:rsid w:val="00820C4D"/>
    <w:rsid w:val="0082223C"/>
    <w:rsid w:val="00822287"/>
    <w:rsid w:val="00822BBA"/>
    <w:rsid w:val="008237FA"/>
    <w:rsid w:val="0082504D"/>
    <w:rsid w:val="00825AC7"/>
    <w:rsid w:val="00825D37"/>
    <w:rsid w:val="0082702C"/>
    <w:rsid w:val="008303DE"/>
    <w:rsid w:val="00830DF0"/>
    <w:rsid w:val="00831C43"/>
    <w:rsid w:val="00832983"/>
    <w:rsid w:val="00832EFE"/>
    <w:rsid w:val="008335E3"/>
    <w:rsid w:val="008335F9"/>
    <w:rsid w:val="0083363C"/>
    <w:rsid w:val="008340E3"/>
    <w:rsid w:val="008345A6"/>
    <w:rsid w:val="0083519E"/>
    <w:rsid w:val="00836664"/>
    <w:rsid w:val="008369B0"/>
    <w:rsid w:val="00836CCD"/>
    <w:rsid w:val="0084403B"/>
    <w:rsid w:val="00845367"/>
    <w:rsid w:val="0084583E"/>
    <w:rsid w:val="00845E06"/>
    <w:rsid w:val="008475A8"/>
    <w:rsid w:val="00847632"/>
    <w:rsid w:val="0084790F"/>
    <w:rsid w:val="008501B8"/>
    <w:rsid w:val="008502DC"/>
    <w:rsid w:val="00851B25"/>
    <w:rsid w:val="00852850"/>
    <w:rsid w:val="0085317A"/>
    <w:rsid w:val="00853E7B"/>
    <w:rsid w:val="00854550"/>
    <w:rsid w:val="00855602"/>
    <w:rsid w:val="0085732C"/>
    <w:rsid w:val="0086065E"/>
    <w:rsid w:val="0086076E"/>
    <w:rsid w:val="0086079A"/>
    <w:rsid w:val="00860B45"/>
    <w:rsid w:val="0086155C"/>
    <w:rsid w:val="0086189A"/>
    <w:rsid w:val="008621A9"/>
    <w:rsid w:val="00862322"/>
    <w:rsid w:val="00863860"/>
    <w:rsid w:val="008638B5"/>
    <w:rsid w:val="00865400"/>
    <w:rsid w:val="00867FAE"/>
    <w:rsid w:val="00872718"/>
    <w:rsid w:val="00872D58"/>
    <w:rsid w:val="008734DB"/>
    <w:rsid w:val="0087390B"/>
    <w:rsid w:val="00873B4C"/>
    <w:rsid w:val="008745A1"/>
    <w:rsid w:val="008768E9"/>
    <w:rsid w:val="0087751B"/>
    <w:rsid w:val="00877CED"/>
    <w:rsid w:val="00877F1B"/>
    <w:rsid w:val="008800AA"/>
    <w:rsid w:val="00880485"/>
    <w:rsid w:val="00880B44"/>
    <w:rsid w:val="00880E77"/>
    <w:rsid w:val="00883D7A"/>
    <w:rsid w:val="00884985"/>
    <w:rsid w:val="00885EB2"/>
    <w:rsid w:val="008907DC"/>
    <w:rsid w:val="00890995"/>
    <w:rsid w:val="00891224"/>
    <w:rsid w:val="008914FB"/>
    <w:rsid w:val="00891685"/>
    <w:rsid w:val="0089285E"/>
    <w:rsid w:val="008938FF"/>
    <w:rsid w:val="00893EB7"/>
    <w:rsid w:val="00894136"/>
    <w:rsid w:val="00895612"/>
    <w:rsid w:val="00895C99"/>
    <w:rsid w:val="0089645A"/>
    <w:rsid w:val="00897E99"/>
    <w:rsid w:val="008A0498"/>
    <w:rsid w:val="008A0A35"/>
    <w:rsid w:val="008A1889"/>
    <w:rsid w:val="008A22ED"/>
    <w:rsid w:val="008A25CC"/>
    <w:rsid w:val="008A30E0"/>
    <w:rsid w:val="008A4829"/>
    <w:rsid w:val="008A4CA4"/>
    <w:rsid w:val="008A5531"/>
    <w:rsid w:val="008B232A"/>
    <w:rsid w:val="008B2384"/>
    <w:rsid w:val="008B34A7"/>
    <w:rsid w:val="008B38D6"/>
    <w:rsid w:val="008B3AE3"/>
    <w:rsid w:val="008B4802"/>
    <w:rsid w:val="008B541E"/>
    <w:rsid w:val="008B55C7"/>
    <w:rsid w:val="008B69E3"/>
    <w:rsid w:val="008B717C"/>
    <w:rsid w:val="008B72F8"/>
    <w:rsid w:val="008B741B"/>
    <w:rsid w:val="008B7516"/>
    <w:rsid w:val="008B79CA"/>
    <w:rsid w:val="008B7C0D"/>
    <w:rsid w:val="008C1FD1"/>
    <w:rsid w:val="008C20D6"/>
    <w:rsid w:val="008C24A8"/>
    <w:rsid w:val="008C35EF"/>
    <w:rsid w:val="008C405C"/>
    <w:rsid w:val="008C5996"/>
    <w:rsid w:val="008C5D93"/>
    <w:rsid w:val="008C6CF9"/>
    <w:rsid w:val="008C704F"/>
    <w:rsid w:val="008C7FD0"/>
    <w:rsid w:val="008D190E"/>
    <w:rsid w:val="008D30C8"/>
    <w:rsid w:val="008D36A7"/>
    <w:rsid w:val="008D47B9"/>
    <w:rsid w:val="008D5A11"/>
    <w:rsid w:val="008D5E23"/>
    <w:rsid w:val="008D6056"/>
    <w:rsid w:val="008E003E"/>
    <w:rsid w:val="008E1351"/>
    <w:rsid w:val="008E2329"/>
    <w:rsid w:val="008E235D"/>
    <w:rsid w:val="008E2623"/>
    <w:rsid w:val="008E3BC8"/>
    <w:rsid w:val="008E4435"/>
    <w:rsid w:val="008E5A9B"/>
    <w:rsid w:val="008E5E9C"/>
    <w:rsid w:val="008E6D59"/>
    <w:rsid w:val="008F0B21"/>
    <w:rsid w:val="008F0ECC"/>
    <w:rsid w:val="008F18DE"/>
    <w:rsid w:val="008F2023"/>
    <w:rsid w:val="008F2338"/>
    <w:rsid w:val="008F261E"/>
    <w:rsid w:val="008F4427"/>
    <w:rsid w:val="008F4500"/>
    <w:rsid w:val="008F5D66"/>
    <w:rsid w:val="008F6E06"/>
    <w:rsid w:val="00900B75"/>
    <w:rsid w:val="0090154A"/>
    <w:rsid w:val="009028AA"/>
    <w:rsid w:val="00902A14"/>
    <w:rsid w:val="00903AA1"/>
    <w:rsid w:val="00903E3F"/>
    <w:rsid w:val="00904988"/>
    <w:rsid w:val="009049C3"/>
    <w:rsid w:val="00904D3B"/>
    <w:rsid w:val="00905174"/>
    <w:rsid w:val="009057D9"/>
    <w:rsid w:val="00906B15"/>
    <w:rsid w:val="0090774A"/>
    <w:rsid w:val="00907943"/>
    <w:rsid w:val="00907A09"/>
    <w:rsid w:val="00910888"/>
    <w:rsid w:val="00910D07"/>
    <w:rsid w:val="009113DF"/>
    <w:rsid w:val="00911F54"/>
    <w:rsid w:val="009125A4"/>
    <w:rsid w:val="00913C40"/>
    <w:rsid w:val="00914B19"/>
    <w:rsid w:val="00914B2F"/>
    <w:rsid w:val="009150E6"/>
    <w:rsid w:val="00915D8E"/>
    <w:rsid w:val="00917F89"/>
    <w:rsid w:val="009200E5"/>
    <w:rsid w:val="00920878"/>
    <w:rsid w:val="00920F4B"/>
    <w:rsid w:val="00920F84"/>
    <w:rsid w:val="00921137"/>
    <w:rsid w:val="00924801"/>
    <w:rsid w:val="009255EE"/>
    <w:rsid w:val="00925603"/>
    <w:rsid w:val="00925F76"/>
    <w:rsid w:val="00930D0D"/>
    <w:rsid w:val="00932E89"/>
    <w:rsid w:val="009334E5"/>
    <w:rsid w:val="0093359D"/>
    <w:rsid w:val="00933F2B"/>
    <w:rsid w:val="00942DBA"/>
    <w:rsid w:val="00942EEB"/>
    <w:rsid w:val="0094367B"/>
    <w:rsid w:val="0094468E"/>
    <w:rsid w:val="00945261"/>
    <w:rsid w:val="009460A5"/>
    <w:rsid w:val="00946407"/>
    <w:rsid w:val="009464E2"/>
    <w:rsid w:val="00947B42"/>
    <w:rsid w:val="0095033F"/>
    <w:rsid w:val="009506A5"/>
    <w:rsid w:val="009508D6"/>
    <w:rsid w:val="009510E8"/>
    <w:rsid w:val="009527B2"/>
    <w:rsid w:val="00952E65"/>
    <w:rsid w:val="00952FCE"/>
    <w:rsid w:val="009534E9"/>
    <w:rsid w:val="00953B47"/>
    <w:rsid w:val="009541CC"/>
    <w:rsid w:val="00956564"/>
    <w:rsid w:val="009569DC"/>
    <w:rsid w:val="00956D5A"/>
    <w:rsid w:val="00957775"/>
    <w:rsid w:val="00957A59"/>
    <w:rsid w:val="00961277"/>
    <w:rsid w:val="00961B2C"/>
    <w:rsid w:val="00961DBB"/>
    <w:rsid w:val="009638E5"/>
    <w:rsid w:val="0096618E"/>
    <w:rsid w:val="00966929"/>
    <w:rsid w:val="00966BA1"/>
    <w:rsid w:val="009708C7"/>
    <w:rsid w:val="00972A95"/>
    <w:rsid w:val="00975449"/>
    <w:rsid w:val="009764E5"/>
    <w:rsid w:val="00976D26"/>
    <w:rsid w:val="00980288"/>
    <w:rsid w:val="009810ED"/>
    <w:rsid w:val="00981433"/>
    <w:rsid w:val="0098269D"/>
    <w:rsid w:val="009834D9"/>
    <w:rsid w:val="009851B6"/>
    <w:rsid w:val="009856A5"/>
    <w:rsid w:val="00985C07"/>
    <w:rsid w:val="009865E6"/>
    <w:rsid w:val="00991BDB"/>
    <w:rsid w:val="00991D39"/>
    <w:rsid w:val="0099278E"/>
    <w:rsid w:val="00994E2E"/>
    <w:rsid w:val="009959F5"/>
    <w:rsid w:val="00995B4F"/>
    <w:rsid w:val="00997582"/>
    <w:rsid w:val="009A00C4"/>
    <w:rsid w:val="009A025F"/>
    <w:rsid w:val="009A1A17"/>
    <w:rsid w:val="009A1FB9"/>
    <w:rsid w:val="009A273E"/>
    <w:rsid w:val="009A2AD1"/>
    <w:rsid w:val="009A2C21"/>
    <w:rsid w:val="009A3118"/>
    <w:rsid w:val="009A3E58"/>
    <w:rsid w:val="009A5F02"/>
    <w:rsid w:val="009A671E"/>
    <w:rsid w:val="009A6EBB"/>
    <w:rsid w:val="009A7AB1"/>
    <w:rsid w:val="009B05E6"/>
    <w:rsid w:val="009B1907"/>
    <w:rsid w:val="009B1E4D"/>
    <w:rsid w:val="009B2150"/>
    <w:rsid w:val="009B3860"/>
    <w:rsid w:val="009B6A69"/>
    <w:rsid w:val="009C0992"/>
    <w:rsid w:val="009C1BCF"/>
    <w:rsid w:val="009C28A6"/>
    <w:rsid w:val="009C2F20"/>
    <w:rsid w:val="009C38C9"/>
    <w:rsid w:val="009C5756"/>
    <w:rsid w:val="009C654F"/>
    <w:rsid w:val="009C69F8"/>
    <w:rsid w:val="009C6DAA"/>
    <w:rsid w:val="009C7962"/>
    <w:rsid w:val="009D0E74"/>
    <w:rsid w:val="009D0F59"/>
    <w:rsid w:val="009D1A12"/>
    <w:rsid w:val="009D1A96"/>
    <w:rsid w:val="009D28A2"/>
    <w:rsid w:val="009D370B"/>
    <w:rsid w:val="009D3819"/>
    <w:rsid w:val="009D3FC2"/>
    <w:rsid w:val="009E06D6"/>
    <w:rsid w:val="009E0EBE"/>
    <w:rsid w:val="009E2087"/>
    <w:rsid w:val="009E252B"/>
    <w:rsid w:val="009E2E1C"/>
    <w:rsid w:val="009E2FEF"/>
    <w:rsid w:val="009E3265"/>
    <w:rsid w:val="009E3353"/>
    <w:rsid w:val="009E42F5"/>
    <w:rsid w:val="009E446D"/>
    <w:rsid w:val="009E53DD"/>
    <w:rsid w:val="009E7C09"/>
    <w:rsid w:val="009E7E94"/>
    <w:rsid w:val="009F0778"/>
    <w:rsid w:val="009F146D"/>
    <w:rsid w:val="009F1D45"/>
    <w:rsid w:val="009F1DD5"/>
    <w:rsid w:val="009F2BF3"/>
    <w:rsid w:val="009F3C9E"/>
    <w:rsid w:val="009F4358"/>
    <w:rsid w:val="009F4F1E"/>
    <w:rsid w:val="00A00147"/>
    <w:rsid w:val="00A00611"/>
    <w:rsid w:val="00A015E4"/>
    <w:rsid w:val="00A048E4"/>
    <w:rsid w:val="00A05B85"/>
    <w:rsid w:val="00A05C2D"/>
    <w:rsid w:val="00A06BE9"/>
    <w:rsid w:val="00A071E8"/>
    <w:rsid w:val="00A072FA"/>
    <w:rsid w:val="00A075BC"/>
    <w:rsid w:val="00A10F5C"/>
    <w:rsid w:val="00A11222"/>
    <w:rsid w:val="00A12C39"/>
    <w:rsid w:val="00A134FB"/>
    <w:rsid w:val="00A13504"/>
    <w:rsid w:val="00A13FF0"/>
    <w:rsid w:val="00A16EB0"/>
    <w:rsid w:val="00A1798C"/>
    <w:rsid w:val="00A17DCB"/>
    <w:rsid w:val="00A17FE8"/>
    <w:rsid w:val="00A20516"/>
    <w:rsid w:val="00A20802"/>
    <w:rsid w:val="00A23833"/>
    <w:rsid w:val="00A23D3A"/>
    <w:rsid w:val="00A25092"/>
    <w:rsid w:val="00A253C7"/>
    <w:rsid w:val="00A254AC"/>
    <w:rsid w:val="00A25654"/>
    <w:rsid w:val="00A25B4F"/>
    <w:rsid w:val="00A25C9B"/>
    <w:rsid w:val="00A263D1"/>
    <w:rsid w:val="00A26884"/>
    <w:rsid w:val="00A274AF"/>
    <w:rsid w:val="00A27DAC"/>
    <w:rsid w:val="00A307F9"/>
    <w:rsid w:val="00A31756"/>
    <w:rsid w:val="00A326AE"/>
    <w:rsid w:val="00A33546"/>
    <w:rsid w:val="00A351DF"/>
    <w:rsid w:val="00A352A4"/>
    <w:rsid w:val="00A42249"/>
    <w:rsid w:val="00A42D18"/>
    <w:rsid w:val="00A43EA6"/>
    <w:rsid w:val="00A43EF7"/>
    <w:rsid w:val="00A442BF"/>
    <w:rsid w:val="00A4438C"/>
    <w:rsid w:val="00A451E9"/>
    <w:rsid w:val="00A478B2"/>
    <w:rsid w:val="00A504EB"/>
    <w:rsid w:val="00A5238D"/>
    <w:rsid w:val="00A52999"/>
    <w:rsid w:val="00A52C7F"/>
    <w:rsid w:val="00A52D57"/>
    <w:rsid w:val="00A53716"/>
    <w:rsid w:val="00A5629E"/>
    <w:rsid w:val="00A5657A"/>
    <w:rsid w:val="00A56763"/>
    <w:rsid w:val="00A56945"/>
    <w:rsid w:val="00A600BE"/>
    <w:rsid w:val="00A6166C"/>
    <w:rsid w:val="00A62CA4"/>
    <w:rsid w:val="00A63A32"/>
    <w:rsid w:val="00A63A5C"/>
    <w:rsid w:val="00A64832"/>
    <w:rsid w:val="00A64CDC"/>
    <w:rsid w:val="00A65A4C"/>
    <w:rsid w:val="00A66F9C"/>
    <w:rsid w:val="00A67993"/>
    <w:rsid w:val="00A67A8F"/>
    <w:rsid w:val="00A70C25"/>
    <w:rsid w:val="00A71628"/>
    <w:rsid w:val="00A72745"/>
    <w:rsid w:val="00A73215"/>
    <w:rsid w:val="00A732DB"/>
    <w:rsid w:val="00A74D49"/>
    <w:rsid w:val="00A765BC"/>
    <w:rsid w:val="00A766C5"/>
    <w:rsid w:val="00A76855"/>
    <w:rsid w:val="00A768C5"/>
    <w:rsid w:val="00A77F60"/>
    <w:rsid w:val="00A80C82"/>
    <w:rsid w:val="00A80E56"/>
    <w:rsid w:val="00A811E8"/>
    <w:rsid w:val="00A81241"/>
    <w:rsid w:val="00A819E4"/>
    <w:rsid w:val="00A83A76"/>
    <w:rsid w:val="00A868AE"/>
    <w:rsid w:val="00A86F04"/>
    <w:rsid w:val="00A870B8"/>
    <w:rsid w:val="00A91E6C"/>
    <w:rsid w:val="00A9261B"/>
    <w:rsid w:val="00A92C06"/>
    <w:rsid w:val="00A92C13"/>
    <w:rsid w:val="00A93D2E"/>
    <w:rsid w:val="00A946C4"/>
    <w:rsid w:val="00A9474A"/>
    <w:rsid w:val="00A95AE2"/>
    <w:rsid w:val="00A97BDA"/>
    <w:rsid w:val="00AA0A34"/>
    <w:rsid w:val="00AA10D6"/>
    <w:rsid w:val="00AA11D5"/>
    <w:rsid w:val="00AA1491"/>
    <w:rsid w:val="00AA38E9"/>
    <w:rsid w:val="00AA5F87"/>
    <w:rsid w:val="00AA64CE"/>
    <w:rsid w:val="00AA77B5"/>
    <w:rsid w:val="00AB11EA"/>
    <w:rsid w:val="00AB197A"/>
    <w:rsid w:val="00AB2323"/>
    <w:rsid w:val="00AB2B5A"/>
    <w:rsid w:val="00AB2BFC"/>
    <w:rsid w:val="00AB38B0"/>
    <w:rsid w:val="00AB6F21"/>
    <w:rsid w:val="00AB7937"/>
    <w:rsid w:val="00AC01F8"/>
    <w:rsid w:val="00AC049D"/>
    <w:rsid w:val="00AC059A"/>
    <w:rsid w:val="00AC2AF4"/>
    <w:rsid w:val="00AC2D83"/>
    <w:rsid w:val="00AC374D"/>
    <w:rsid w:val="00AC3784"/>
    <w:rsid w:val="00AC37CF"/>
    <w:rsid w:val="00AC43EA"/>
    <w:rsid w:val="00AC4F90"/>
    <w:rsid w:val="00AC58D5"/>
    <w:rsid w:val="00AD02FE"/>
    <w:rsid w:val="00AD0308"/>
    <w:rsid w:val="00AD1DE2"/>
    <w:rsid w:val="00AD2869"/>
    <w:rsid w:val="00AD3483"/>
    <w:rsid w:val="00AD377A"/>
    <w:rsid w:val="00AD5468"/>
    <w:rsid w:val="00AD5B82"/>
    <w:rsid w:val="00AD67BB"/>
    <w:rsid w:val="00AD6B82"/>
    <w:rsid w:val="00AD6E1B"/>
    <w:rsid w:val="00AD7CE9"/>
    <w:rsid w:val="00AE1CC1"/>
    <w:rsid w:val="00AE1DE7"/>
    <w:rsid w:val="00AE2308"/>
    <w:rsid w:val="00AE2E82"/>
    <w:rsid w:val="00AE3EA4"/>
    <w:rsid w:val="00AE4C3C"/>
    <w:rsid w:val="00AE4D79"/>
    <w:rsid w:val="00AE5FC4"/>
    <w:rsid w:val="00AE67DF"/>
    <w:rsid w:val="00AE6B8E"/>
    <w:rsid w:val="00AE6C72"/>
    <w:rsid w:val="00AE7EAA"/>
    <w:rsid w:val="00AF02CE"/>
    <w:rsid w:val="00AF1B02"/>
    <w:rsid w:val="00AF2F33"/>
    <w:rsid w:val="00AF41E4"/>
    <w:rsid w:val="00AF4AD5"/>
    <w:rsid w:val="00AF5A56"/>
    <w:rsid w:val="00AF6161"/>
    <w:rsid w:val="00B00D36"/>
    <w:rsid w:val="00B0185E"/>
    <w:rsid w:val="00B020B3"/>
    <w:rsid w:val="00B02E93"/>
    <w:rsid w:val="00B05262"/>
    <w:rsid w:val="00B06A75"/>
    <w:rsid w:val="00B06BC3"/>
    <w:rsid w:val="00B07919"/>
    <w:rsid w:val="00B12D36"/>
    <w:rsid w:val="00B13DED"/>
    <w:rsid w:val="00B14030"/>
    <w:rsid w:val="00B1538A"/>
    <w:rsid w:val="00B15A0F"/>
    <w:rsid w:val="00B15E89"/>
    <w:rsid w:val="00B16AC8"/>
    <w:rsid w:val="00B16B0A"/>
    <w:rsid w:val="00B17D3D"/>
    <w:rsid w:val="00B20236"/>
    <w:rsid w:val="00B20937"/>
    <w:rsid w:val="00B2145C"/>
    <w:rsid w:val="00B220A0"/>
    <w:rsid w:val="00B222C8"/>
    <w:rsid w:val="00B2295B"/>
    <w:rsid w:val="00B22B64"/>
    <w:rsid w:val="00B22FEA"/>
    <w:rsid w:val="00B24321"/>
    <w:rsid w:val="00B245AF"/>
    <w:rsid w:val="00B2678D"/>
    <w:rsid w:val="00B30FEB"/>
    <w:rsid w:val="00B31161"/>
    <w:rsid w:val="00B3307E"/>
    <w:rsid w:val="00B33637"/>
    <w:rsid w:val="00B33A8F"/>
    <w:rsid w:val="00B33C79"/>
    <w:rsid w:val="00B34617"/>
    <w:rsid w:val="00B34E91"/>
    <w:rsid w:val="00B366ED"/>
    <w:rsid w:val="00B4017E"/>
    <w:rsid w:val="00B401E5"/>
    <w:rsid w:val="00B40AA3"/>
    <w:rsid w:val="00B42E22"/>
    <w:rsid w:val="00B44478"/>
    <w:rsid w:val="00B45791"/>
    <w:rsid w:val="00B47154"/>
    <w:rsid w:val="00B47611"/>
    <w:rsid w:val="00B47AE1"/>
    <w:rsid w:val="00B50BA1"/>
    <w:rsid w:val="00B50DA6"/>
    <w:rsid w:val="00B510C3"/>
    <w:rsid w:val="00B51696"/>
    <w:rsid w:val="00B524E8"/>
    <w:rsid w:val="00B5522E"/>
    <w:rsid w:val="00B553A6"/>
    <w:rsid w:val="00B57AB5"/>
    <w:rsid w:val="00B6002C"/>
    <w:rsid w:val="00B620EE"/>
    <w:rsid w:val="00B62E34"/>
    <w:rsid w:val="00B6337F"/>
    <w:rsid w:val="00B640FD"/>
    <w:rsid w:val="00B6713F"/>
    <w:rsid w:val="00B67429"/>
    <w:rsid w:val="00B71B3E"/>
    <w:rsid w:val="00B738E3"/>
    <w:rsid w:val="00B7516E"/>
    <w:rsid w:val="00B76F3E"/>
    <w:rsid w:val="00B772ED"/>
    <w:rsid w:val="00B82755"/>
    <w:rsid w:val="00B828FB"/>
    <w:rsid w:val="00B848C3"/>
    <w:rsid w:val="00B85366"/>
    <w:rsid w:val="00B85CD9"/>
    <w:rsid w:val="00B87789"/>
    <w:rsid w:val="00B87F60"/>
    <w:rsid w:val="00B90CC4"/>
    <w:rsid w:val="00B90D0F"/>
    <w:rsid w:val="00B90E2D"/>
    <w:rsid w:val="00B913F1"/>
    <w:rsid w:val="00B93D3D"/>
    <w:rsid w:val="00B962CD"/>
    <w:rsid w:val="00B96FDD"/>
    <w:rsid w:val="00B97799"/>
    <w:rsid w:val="00BA00DD"/>
    <w:rsid w:val="00BA0753"/>
    <w:rsid w:val="00BA1E8D"/>
    <w:rsid w:val="00BA25DE"/>
    <w:rsid w:val="00BA2619"/>
    <w:rsid w:val="00BA27E5"/>
    <w:rsid w:val="00BA2818"/>
    <w:rsid w:val="00BA2BF2"/>
    <w:rsid w:val="00BA352A"/>
    <w:rsid w:val="00BA36E4"/>
    <w:rsid w:val="00BA41C5"/>
    <w:rsid w:val="00BA471F"/>
    <w:rsid w:val="00BA68D7"/>
    <w:rsid w:val="00BA6E67"/>
    <w:rsid w:val="00BA76F0"/>
    <w:rsid w:val="00BB0A82"/>
    <w:rsid w:val="00BB1210"/>
    <w:rsid w:val="00BB2B44"/>
    <w:rsid w:val="00BB2EC7"/>
    <w:rsid w:val="00BB2FE3"/>
    <w:rsid w:val="00BB30AF"/>
    <w:rsid w:val="00BB3C52"/>
    <w:rsid w:val="00BB3CF8"/>
    <w:rsid w:val="00BB5013"/>
    <w:rsid w:val="00BB528E"/>
    <w:rsid w:val="00BB5714"/>
    <w:rsid w:val="00BC0200"/>
    <w:rsid w:val="00BC08EB"/>
    <w:rsid w:val="00BC2600"/>
    <w:rsid w:val="00BC3143"/>
    <w:rsid w:val="00BC36F0"/>
    <w:rsid w:val="00BC4BC2"/>
    <w:rsid w:val="00BC4FA7"/>
    <w:rsid w:val="00BC5E30"/>
    <w:rsid w:val="00BC76E1"/>
    <w:rsid w:val="00BD00D9"/>
    <w:rsid w:val="00BD02C5"/>
    <w:rsid w:val="00BD068C"/>
    <w:rsid w:val="00BD068D"/>
    <w:rsid w:val="00BD5457"/>
    <w:rsid w:val="00BD5CF7"/>
    <w:rsid w:val="00BD7096"/>
    <w:rsid w:val="00BD7EC4"/>
    <w:rsid w:val="00BE0D9A"/>
    <w:rsid w:val="00BE1A50"/>
    <w:rsid w:val="00BE2F0D"/>
    <w:rsid w:val="00BE2F1C"/>
    <w:rsid w:val="00BE3337"/>
    <w:rsid w:val="00BE3493"/>
    <w:rsid w:val="00BE42AD"/>
    <w:rsid w:val="00BE45B2"/>
    <w:rsid w:val="00BE58D6"/>
    <w:rsid w:val="00BE675A"/>
    <w:rsid w:val="00BE712C"/>
    <w:rsid w:val="00BF0BD5"/>
    <w:rsid w:val="00BF271A"/>
    <w:rsid w:val="00BF2AFF"/>
    <w:rsid w:val="00BF55F8"/>
    <w:rsid w:val="00BF697F"/>
    <w:rsid w:val="00C051FD"/>
    <w:rsid w:val="00C0545D"/>
    <w:rsid w:val="00C06BE5"/>
    <w:rsid w:val="00C07954"/>
    <w:rsid w:val="00C112EC"/>
    <w:rsid w:val="00C1562A"/>
    <w:rsid w:val="00C16597"/>
    <w:rsid w:val="00C1765F"/>
    <w:rsid w:val="00C203E9"/>
    <w:rsid w:val="00C20C7D"/>
    <w:rsid w:val="00C20DEF"/>
    <w:rsid w:val="00C22E6F"/>
    <w:rsid w:val="00C24B25"/>
    <w:rsid w:val="00C2621E"/>
    <w:rsid w:val="00C318E6"/>
    <w:rsid w:val="00C32C2F"/>
    <w:rsid w:val="00C334F1"/>
    <w:rsid w:val="00C349D4"/>
    <w:rsid w:val="00C3738A"/>
    <w:rsid w:val="00C4028F"/>
    <w:rsid w:val="00C422B3"/>
    <w:rsid w:val="00C423D3"/>
    <w:rsid w:val="00C4315A"/>
    <w:rsid w:val="00C43F5E"/>
    <w:rsid w:val="00C44074"/>
    <w:rsid w:val="00C4498D"/>
    <w:rsid w:val="00C44E4F"/>
    <w:rsid w:val="00C4506B"/>
    <w:rsid w:val="00C464A3"/>
    <w:rsid w:val="00C4651F"/>
    <w:rsid w:val="00C47931"/>
    <w:rsid w:val="00C51D0B"/>
    <w:rsid w:val="00C523F6"/>
    <w:rsid w:val="00C52A50"/>
    <w:rsid w:val="00C532EE"/>
    <w:rsid w:val="00C54D3A"/>
    <w:rsid w:val="00C55A66"/>
    <w:rsid w:val="00C610DC"/>
    <w:rsid w:val="00C62EF7"/>
    <w:rsid w:val="00C63C8A"/>
    <w:rsid w:val="00C642D4"/>
    <w:rsid w:val="00C64DF2"/>
    <w:rsid w:val="00C64E81"/>
    <w:rsid w:val="00C66568"/>
    <w:rsid w:val="00C70F6F"/>
    <w:rsid w:val="00C71155"/>
    <w:rsid w:val="00C7125B"/>
    <w:rsid w:val="00C730F4"/>
    <w:rsid w:val="00C77AF9"/>
    <w:rsid w:val="00C8000E"/>
    <w:rsid w:val="00C800F2"/>
    <w:rsid w:val="00C80200"/>
    <w:rsid w:val="00C80625"/>
    <w:rsid w:val="00C8270B"/>
    <w:rsid w:val="00C841A9"/>
    <w:rsid w:val="00C85E66"/>
    <w:rsid w:val="00C8728F"/>
    <w:rsid w:val="00C8785B"/>
    <w:rsid w:val="00C96029"/>
    <w:rsid w:val="00C96EFE"/>
    <w:rsid w:val="00C97FBC"/>
    <w:rsid w:val="00CA0B7E"/>
    <w:rsid w:val="00CA1F9D"/>
    <w:rsid w:val="00CA2C0B"/>
    <w:rsid w:val="00CA5598"/>
    <w:rsid w:val="00CA5C20"/>
    <w:rsid w:val="00CA5EF8"/>
    <w:rsid w:val="00CB28A3"/>
    <w:rsid w:val="00CB4136"/>
    <w:rsid w:val="00CB58C3"/>
    <w:rsid w:val="00CC00A0"/>
    <w:rsid w:val="00CC2F85"/>
    <w:rsid w:val="00CC37CA"/>
    <w:rsid w:val="00CC427C"/>
    <w:rsid w:val="00CC4542"/>
    <w:rsid w:val="00CC5455"/>
    <w:rsid w:val="00CC656C"/>
    <w:rsid w:val="00CC6C06"/>
    <w:rsid w:val="00CD2556"/>
    <w:rsid w:val="00CD5269"/>
    <w:rsid w:val="00CD5509"/>
    <w:rsid w:val="00CD6357"/>
    <w:rsid w:val="00CD64E6"/>
    <w:rsid w:val="00CD7CE1"/>
    <w:rsid w:val="00CE04FE"/>
    <w:rsid w:val="00CE1EB0"/>
    <w:rsid w:val="00CE2AF4"/>
    <w:rsid w:val="00CE3DF2"/>
    <w:rsid w:val="00CE40E7"/>
    <w:rsid w:val="00CE4631"/>
    <w:rsid w:val="00CE661D"/>
    <w:rsid w:val="00CE6879"/>
    <w:rsid w:val="00CE718E"/>
    <w:rsid w:val="00CE7B88"/>
    <w:rsid w:val="00CF0C0F"/>
    <w:rsid w:val="00CF1690"/>
    <w:rsid w:val="00CF1F2A"/>
    <w:rsid w:val="00CF22D1"/>
    <w:rsid w:val="00CF3705"/>
    <w:rsid w:val="00CF4667"/>
    <w:rsid w:val="00CF4D33"/>
    <w:rsid w:val="00CF5CE3"/>
    <w:rsid w:val="00CF7056"/>
    <w:rsid w:val="00CF7412"/>
    <w:rsid w:val="00CF7C7A"/>
    <w:rsid w:val="00CF7DE8"/>
    <w:rsid w:val="00D0005D"/>
    <w:rsid w:val="00D006D1"/>
    <w:rsid w:val="00D011C3"/>
    <w:rsid w:val="00D0132F"/>
    <w:rsid w:val="00D026DD"/>
    <w:rsid w:val="00D030F8"/>
    <w:rsid w:val="00D04FEB"/>
    <w:rsid w:val="00D05756"/>
    <w:rsid w:val="00D06157"/>
    <w:rsid w:val="00D077B7"/>
    <w:rsid w:val="00D15212"/>
    <w:rsid w:val="00D1528A"/>
    <w:rsid w:val="00D15C34"/>
    <w:rsid w:val="00D20297"/>
    <w:rsid w:val="00D21E6B"/>
    <w:rsid w:val="00D222CB"/>
    <w:rsid w:val="00D225B3"/>
    <w:rsid w:val="00D23634"/>
    <w:rsid w:val="00D264C9"/>
    <w:rsid w:val="00D26D83"/>
    <w:rsid w:val="00D27280"/>
    <w:rsid w:val="00D30BC2"/>
    <w:rsid w:val="00D316BF"/>
    <w:rsid w:val="00D32069"/>
    <w:rsid w:val="00D34551"/>
    <w:rsid w:val="00D34A0C"/>
    <w:rsid w:val="00D35738"/>
    <w:rsid w:val="00D36118"/>
    <w:rsid w:val="00D441A7"/>
    <w:rsid w:val="00D4497D"/>
    <w:rsid w:val="00D44B1A"/>
    <w:rsid w:val="00D457D6"/>
    <w:rsid w:val="00D4658A"/>
    <w:rsid w:val="00D4662D"/>
    <w:rsid w:val="00D46710"/>
    <w:rsid w:val="00D52C57"/>
    <w:rsid w:val="00D53425"/>
    <w:rsid w:val="00D559DF"/>
    <w:rsid w:val="00D572F8"/>
    <w:rsid w:val="00D63B91"/>
    <w:rsid w:val="00D64CE2"/>
    <w:rsid w:val="00D650A6"/>
    <w:rsid w:val="00D650E3"/>
    <w:rsid w:val="00D655A4"/>
    <w:rsid w:val="00D702A3"/>
    <w:rsid w:val="00D709C2"/>
    <w:rsid w:val="00D73920"/>
    <w:rsid w:val="00D76489"/>
    <w:rsid w:val="00D7751B"/>
    <w:rsid w:val="00D8006B"/>
    <w:rsid w:val="00D8078E"/>
    <w:rsid w:val="00D815DC"/>
    <w:rsid w:val="00D8162A"/>
    <w:rsid w:val="00D822B5"/>
    <w:rsid w:val="00D82819"/>
    <w:rsid w:val="00D83D3C"/>
    <w:rsid w:val="00D84879"/>
    <w:rsid w:val="00D85551"/>
    <w:rsid w:val="00D861C2"/>
    <w:rsid w:val="00D867AE"/>
    <w:rsid w:val="00D87BBB"/>
    <w:rsid w:val="00D87C87"/>
    <w:rsid w:val="00D87CCD"/>
    <w:rsid w:val="00D90B8C"/>
    <w:rsid w:val="00D91929"/>
    <w:rsid w:val="00D91E1B"/>
    <w:rsid w:val="00D921C4"/>
    <w:rsid w:val="00D9296A"/>
    <w:rsid w:val="00D9394A"/>
    <w:rsid w:val="00D93AAC"/>
    <w:rsid w:val="00D93C23"/>
    <w:rsid w:val="00D94EFD"/>
    <w:rsid w:val="00D95638"/>
    <w:rsid w:val="00D9584C"/>
    <w:rsid w:val="00D9641B"/>
    <w:rsid w:val="00DA002F"/>
    <w:rsid w:val="00DA048D"/>
    <w:rsid w:val="00DA058A"/>
    <w:rsid w:val="00DA14D9"/>
    <w:rsid w:val="00DB1026"/>
    <w:rsid w:val="00DB13AD"/>
    <w:rsid w:val="00DB203D"/>
    <w:rsid w:val="00DB23F9"/>
    <w:rsid w:val="00DB293A"/>
    <w:rsid w:val="00DB2D1F"/>
    <w:rsid w:val="00DB43E0"/>
    <w:rsid w:val="00DB4BE0"/>
    <w:rsid w:val="00DB58BE"/>
    <w:rsid w:val="00DB6176"/>
    <w:rsid w:val="00DB63AE"/>
    <w:rsid w:val="00DB651B"/>
    <w:rsid w:val="00DB6AA0"/>
    <w:rsid w:val="00DB7C3A"/>
    <w:rsid w:val="00DB7E30"/>
    <w:rsid w:val="00DB7F61"/>
    <w:rsid w:val="00DC01CD"/>
    <w:rsid w:val="00DC0CCC"/>
    <w:rsid w:val="00DC292C"/>
    <w:rsid w:val="00DC38A8"/>
    <w:rsid w:val="00DC4500"/>
    <w:rsid w:val="00DC68B4"/>
    <w:rsid w:val="00DC7104"/>
    <w:rsid w:val="00DC7945"/>
    <w:rsid w:val="00DD09E6"/>
    <w:rsid w:val="00DD32AB"/>
    <w:rsid w:val="00DD4059"/>
    <w:rsid w:val="00DD5317"/>
    <w:rsid w:val="00DD5BF6"/>
    <w:rsid w:val="00DE16F3"/>
    <w:rsid w:val="00DE1865"/>
    <w:rsid w:val="00DE2260"/>
    <w:rsid w:val="00DE4B06"/>
    <w:rsid w:val="00DE534B"/>
    <w:rsid w:val="00DE5570"/>
    <w:rsid w:val="00DE6194"/>
    <w:rsid w:val="00DE6AC0"/>
    <w:rsid w:val="00DE6CEF"/>
    <w:rsid w:val="00DE7120"/>
    <w:rsid w:val="00DF0564"/>
    <w:rsid w:val="00DF0D08"/>
    <w:rsid w:val="00DF11C2"/>
    <w:rsid w:val="00DF1B08"/>
    <w:rsid w:val="00DF2279"/>
    <w:rsid w:val="00DF4593"/>
    <w:rsid w:val="00DF5E56"/>
    <w:rsid w:val="00DF6295"/>
    <w:rsid w:val="00DF6581"/>
    <w:rsid w:val="00DF6D33"/>
    <w:rsid w:val="00E034B5"/>
    <w:rsid w:val="00E034FE"/>
    <w:rsid w:val="00E044BC"/>
    <w:rsid w:val="00E0697C"/>
    <w:rsid w:val="00E10D05"/>
    <w:rsid w:val="00E11CBA"/>
    <w:rsid w:val="00E12696"/>
    <w:rsid w:val="00E137E3"/>
    <w:rsid w:val="00E167B4"/>
    <w:rsid w:val="00E17A07"/>
    <w:rsid w:val="00E205C9"/>
    <w:rsid w:val="00E2223E"/>
    <w:rsid w:val="00E22D98"/>
    <w:rsid w:val="00E24623"/>
    <w:rsid w:val="00E252E3"/>
    <w:rsid w:val="00E25D4D"/>
    <w:rsid w:val="00E25E6A"/>
    <w:rsid w:val="00E26543"/>
    <w:rsid w:val="00E26E47"/>
    <w:rsid w:val="00E3025D"/>
    <w:rsid w:val="00E30B11"/>
    <w:rsid w:val="00E3191E"/>
    <w:rsid w:val="00E32A93"/>
    <w:rsid w:val="00E33CA5"/>
    <w:rsid w:val="00E3482B"/>
    <w:rsid w:val="00E36F49"/>
    <w:rsid w:val="00E40505"/>
    <w:rsid w:val="00E42A41"/>
    <w:rsid w:val="00E42C06"/>
    <w:rsid w:val="00E439C2"/>
    <w:rsid w:val="00E43DFD"/>
    <w:rsid w:val="00E43F0E"/>
    <w:rsid w:val="00E44831"/>
    <w:rsid w:val="00E44F73"/>
    <w:rsid w:val="00E45766"/>
    <w:rsid w:val="00E466E4"/>
    <w:rsid w:val="00E46769"/>
    <w:rsid w:val="00E47727"/>
    <w:rsid w:val="00E54919"/>
    <w:rsid w:val="00E561F2"/>
    <w:rsid w:val="00E567E5"/>
    <w:rsid w:val="00E576CE"/>
    <w:rsid w:val="00E60F4D"/>
    <w:rsid w:val="00E63536"/>
    <w:rsid w:val="00E63D75"/>
    <w:rsid w:val="00E65713"/>
    <w:rsid w:val="00E657DB"/>
    <w:rsid w:val="00E660C0"/>
    <w:rsid w:val="00E66D41"/>
    <w:rsid w:val="00E6708B"/>
    <w:rsid w:val="00E67BBF"/>
    <w:rsid w:val="00E71B68"/>
    <w:rsid w:val="00E726F8"/>
    <w:rsid w:val="00E7313E"/>
    <w:rsid w:val="00E739F4"/>
    <w:rsid w:val="00E73A8C"/>
    <w:rsid w:val="00E75050"/>
    <w:rsid w:val="00E759FD"/>
    <w:rsid w:val="00E76F42"/>
    <w:rsid w:val="00E7795A"/>
    <w:rsid w:val="00E8110E"/>
    <w:rsid w:val="00E86995"/>
    <w:rsid w:val="00E8756C"/>
    <w:rsid w:val="00E915E6"/>
    <w:rsid w:val="00E917C6"/>
    <w:rsid w:val="00E91C83"/>
    <w:rsid w:val="00E929D4"/>
    <w:rsid w:val="00E932A7"/>
    <w:rsid w:val="00E96F96"/>
    <w:rsid w:val="00E97D6A"/>
    <w:rsid w:val="00EA102A"/>
    <w:rsid w:val="00EA2038"/>
    <w:rsid w:val="00EA3D59"/>
    <w:rsid w:val="00EA3E11"/>
    <w:rsid w:val="00EA6EB3"/>
    <w:rsid w:val="00EB01C3"/>
    <w:rsid w:val="00EB0CC1"/>
    <w:rsid w:val="00EB1107"/>
    <w:rsid w:val="00EB2092"/>
    <w:rsid w:val="00EB3777"/>
    <w:rsid w:val="00EB49F3"/>
    <w:rsid w:val="00EB4A8E"/>
    <w:rsid w:val="00EB4D15"/>
    <w:rsid w:val="00EB4FFC"/>
    <w:rsid w:val="00EB52D6"/>
    <w:rsid w:val="00EB5B28"/>
    <w:rsid w:val="00EB5EF3"/>
    <w:rsid w:val="00EB695D"/>
    <w:rsid w:val="00EB6E71"/>
    <w:rsid w:val="00EB7214"/>
    <w:rsid w:val="00EC0099"/>
    <w:rsid w:val="00EC234F"/>
    <w:rsid w:val="00EC2948"/>
    <w:rsid w:val="00EC4FFB"/>
    <w:rsid w:val="00EC5398"/>
    <w:rsid w:val="00EC63D5"/>
    <w:rsid w:val="00EC7336"/>
    <w:rsid w:val="00EC7AD2"/>
    <w:rsid w:val="00ED03EC"/>
    <w:rsid w:val="00ED15D3"/>
    <w:rsid w:val="00ED3279"/>
    <w:rsid w:val="00ED39CE"/>
    <w:rsid w:val="00ED4134"/>
    <w:rsid w:val="00ED4389"/>
    <w:rsid w:val="00ED469E"/>
    <w:rsid w:val="00ED740D"/>
    <w:rsid w:val="00EE05F1"/>
    <w:rsid w:val="00EE1823"/>
    <w:rsid w:val="00EE3EB6"/>
    <w:rsid w:val="00EE471A"/>
    <w:rsid w:val="00EE5492"/>
    <w:rsid w:val="00EE62FE"/>
    <w:rsid w:val="00EE75B7"/>
    <w:rsid w:val="00EF0406"/>
    <w:rsid w:val="00EF11D8"/>
    <w:rsid w:val="00EF3009"/>
    <w:rsid w:val="00EF39F0"/>
    <w:rsid w:val="00EF5A45"/>
    <w:rsid w:val="00EF6D32"/>
    <w:rsid w:val="00F00EF5"/>
    <w:rsid w:val="00F01D07"/>
    <w:rsid w:val="00F0205B"/>
    <w:rsid w:val="00F038F2"/>
    <w:rsid w:val="00F03A6C"/>
    <w:rsid w:val="00F051F0"/>
    <w:rsid w:val="00F0566A"/>
    <w:rsid w:val="00F0613E"/>
    <w:rsid w:val="00F06F1A"/>
    <w:rsid w:val="00F07BD5"/>
    <w:rsid w:val="00F122D6"/>
    <w:rsid w:val="00F142CE"/>
    <w:rsid w:val="00F15BF4"/>
    <w:rsid w:val="00F167FF"/>
    <w:rsid w:val="00F176BC"/>
    <w:rsid w:val="00F176DD"/>
    <w:rsid w:val="00F17940"/>
    <w:rsid w:val="00F17E36"/>
    <w:rsid w:val="00F2046C"/>
    <w:rsid w:val="00F20647"/>
    <w:rsid w:val="00F210AD"/>
    <w:rsid w:val="00F213E6"/>
    <w:rsid w:val="00F2183F"/>
    <w:rsid w:val="00F24BF6"/>
    <w:rsid w:val="00F2618A"/>
    <w:rsid w:val="00F305CD"/>
    <w:rsid w:val="00F31392"/>
    <w:rsid w:val="00F348B5"/>
    <w:rsid w:val="00F34A9B"/>
    <w:rsid w:val="00F3652B"/>
    <w:rsid w:val="00F367FB"/>
    <w:rsid w:val="00F37043"/>
    <w:rsid w:val="00F377B9"/>
    <w:rsid w:val="00F42638"/>
    <w:rsid w:val="00F43713"/>
    <w:rsid w:val="00F453C0"/>
    <w:rsid w:val="00F45442"/>
    <w:rsid w:val="00F45734"/>
    <w:rsid w:val="00F45880"/>
    <w:rsid w:val="00F4615B"/>
    <w:rsid w:val="00F47012"/>
    <w:rsid w:val="00F476AE"/>
    <w:rsid w:val="00F50F5D"/>
    <w:rsid w:val="00F5145E"/>
    <w:rsid w:val="00F5216C"/>
    <w:rsid w:val="00F528D5"/>
    <w:rsid w:val="00F558EA"/>
    <w:rsid w:val="00F567F9"/>
    <w:rsid w:val="00F56DB8"/>
    <w:rsid w:val="00F613CB"/>
    <w:rsid w:val="00F61F79"/>
    <w:rsid w:val="00F62D55"/>
    <w:rsid w:val="00F638FE"/>
    <w:rsid w:val="00F64998"/>
    <w:rsid w:val="00F656A4"/>
    <w:rsid w:val="00F65F82"/>
    <w:rsid w:val="00F66634"/>
    <w:rsid w:val="00F6665E"/>
    <w:rsid w:val="00F6679F"/>
    <w:rsid w:val="00F6717E"/>
    <w:rsid w:val="00F6770D"/>
    <w:rsid w:val="00F700FB"/>
    <w:rsid w:val="00F7075F"/>
    <w:rsid w:val="00F7087C"/>
    <w:rsid w:val="00F70A02"/>
    <w:rsid w:val="00F71AA8"/>
    <w:rsid w:val="00F71D76"/>
    <w:rsid w:val="00F72708"/>
    <w:rsid w:val="00F72D7F"/>
    <w:rsid w:val="00F76D66"/>
    <w:rsid w:val="00F81741"/>
    <w:rsid w:val="00F82250"/>
    <w:rsid w:val="00F8349F"/>
    <w:rsid w:val="00F83FB7"/>
    <w:rsid w:val="00F843ED"/>
    <w:rsid w:val="00F85123"/>
    <w:rsid w:val="00F852A4"/>
    <w:rsid w:val="00F85935"/>
    <w:rsid w:val="00F85D29"/>
    <w:rsid w:val="00F85D85"/>
    <w:rsid w:val="00F86207"/>
    <w:rsid w:val="00F86794"/>
    <w:rsid w:val="00F876AF"/>
    <w:rsid w:val="00F877BF"/>
    <w:rsid w:val="00F92C03"/>
    <w:rsid w:val="00F9615A"/>
    <w:rsid w:val="00F96356"/>
    <w:rsid w:val="00F969D3"/>
    <w:rsid w:val="00F97039"/>
    <w:rsid w:val="00FA02D1"/>
    <w:rsid w:val="00FA04AB"/>
    <w:rsid w:val="00FA190E"/>
    <w:rsid w:val="00FA1A27"/>
    <w:rsid w:val="00FA2A72"/>
    <w:rsid w:val="00FA4FCE"/>
    <w:rsid w:val="00FA54D8"/>
    <w:rsid w:val="00FA54F3"/>
    <w:rsid w:val="00FA6CC9"/>
    <w:rsid w:val="00FA7001"/>
    <w:rsid w:val="00FA7285"/>
    <w:rsid w:val="00FB14C7"/>
    <w:rsid w:val="00FB2216"/>
    <w:rsid w:val="00FB32D8"/>
    <w:rsid w:val="00FB33D3"/>
    <w:rsid w:val="00FB3421"/>
    <w:rsid w:val="00FB3D9E"/>
    <w:rsid w:val="00FB615D"/>
    <w:rsid w:val="00FB7AFA"/>
    <w:rsid w:val="00FC01A1"/>
    <w:rsid w:val="00FC236F"/>
    <w:rsid w:val="00FC29D3"/>
    <w:rsid w:val="00FC47E3"/>
    <w:rsid w:val="00FC4FB7"/>
    <w:rsid w:val="00FC6483"/>
    <w:rsid w:val="00FD21C4"/>
    <w:rsid w:val="00FD357B"/>
    <w:rsid w:val="00FD3658"/>
    <w:rsid w:val="00FD38FC"/>
    <w:rsid w:val="00FD5427"/>
    <w:rsid w:val="00FD6119"/>
    <w:rsid w:val="00FD688E"/>
    <w:rsid w:val="00FD6A27"/>
    <w:rsid w:val="00FD79D5"/>
    <w:rsid w:val="00FD7C0C"/>
    <w:rsid w:val="00FE045C"/>
    <w:rsid w:val="00FE0A87"/>
    <w:rsid w:val="00FE0C52"/>
    <w:rsid w:val="00FE1692"/>
    <w:rsid w:val="00FE2E7A"/>
    <w:rsid w:val="00FE6E1D"/>
    <w:rsid w:val="00FE75C1"/>
    <w:rsid w:val="00FF02E3"/>
    <w:rsid w:val="00FF0454"/>
    <w:rsid w:val="00FF0566"/>
    <w:rsid w:val="00FF0EDA"/>
    <w:rsid w:val="00FF1368"/>
    <w:rsid w:val="00FF2995"/>
    <w:rsid w:val="00FF3CD5"/>
    <w:rsid w:val="00FF60B3"/>
    <w:rsid w:val="00FF6218"/>
    <w:rsid w:val="00FF6563"/>
    <w:rsid w:val="00FF7034"/>
    <w:rsid w:val="00FF7C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3105"/>
    <o:shapelayout v:ext="edit">
      <o:idmap v:ext="edit" data="1"/>
    </o:shapelayout>
  </w:shapeDefaults>
  <w:decimalSymbol w:val="."/>
  <w:listSeparator w:val=","/>
  <w14:docId w14:val="7522B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line="30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footnote text" w:uiPriority="99"/>
    <w:lsdException w:name="annotation text" w:uiPriority="99"/>
    <w:lsdException w:name="header" w:uiPriority="99"/>
    <w:lsdException w:name="footer" w:uiPriority="99"/>
    <w:lsdException w:name="caption" w:qFormat="1"/>
    <w:lsdException w:name="table of figures" w:semiHidden="0" w:uiPriority="99" w:unhideWhenUsed="0"/>
    <w:lsdException w:name="footnote reference" w:uiPriority="99"/>
    <w:lsdException w:name="annotation reference" w:uiPriority="99"/>
    <w:lsdException w:name="List Bullet" w:qFormat="1"/>
    <w:lsdException w:name="List Number" w:qFormat="1"/>
    <w:lsdException w:name="List Bullet 2" w:qFormat="1"/>
    <w:lsdException w:name="List Number 2" w:qFormat="1"/>
    <w:lsdException w:name="List Number 3" w:qFormat="1"/>
    <w:lsdException w:name="Title" w:semiHidden="0" w:uiPriority="3" w:unhideWhenUsed="0" w:qFormat="1"/>
    <w:lsdException w:name="Default Paragraph Font" w:uiPriority="1"/>
    <w:lsdException w:name="Body Text" w:qFormat="1"/>
    <w:lsdException w:name="List Continue" w:qFormat="1"/>
    <w:lsdException w:name="List Continue 2" w:qFormat="1"/>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qFormat="1"/>
  </w:latentStyles>
  <w:style w:type="paragraph" w:default="1" w:styleId="Normal">
    <w:name w:val="Normal"/>
    <w:qFormat/>
    <w:rsid w:val="00EC4FFB"/>
  </w:style>
  <w:style w:type="paragraph" w:styleId="Heading1">
    <w:name w:val="heading 1"/>
    <w:basedOn w:val="Normal"/>
    <w:next w:val="BodyText"/>
    <w:link w:val="Heading1Char"/>
    <w:qFormat/>
    <w:rsid w:val="0081085D"/>
    <w:pPr>
      <w:keepNext/>
      <w:keepLines/>
      <w:numPr>
        <w:numId w:val="8"/>
      </w:numPr>
      <w:tabs>
        <w:tab w:val="right" w:pos="1418"/>
        <w:tab w:val="right" w:pos="1701"/>
        <w:tab w:val="right" w:pos="1985"/>
      </w:tabs>
      <w:spacing w:after="600" w:line="204" w:lineRule="auto"/>
      <w:outlineLvl w:val="0"/>
    </w:pPr>
    <w:rPr>
      <w:rFonts w:ascii="Calibri Light" w:hAnsi="Calibri Light"/>
      <w:bCs/>
      <w:color w:val="3D4D7D" w:themeColor="background2"/>
      <w:kern w:val="32"/>
      <w:sz w:val="52"/>
      <w:szCs w:val="32"/>
    </w:rPr>
  </w:style>
  <w:style w:type="paragraph" w:styleId="Heading2">
    <w:name w:val="heading 2"/>
    <w:basedOn w:val="Normal"/>
    <w:next w:val="BodyText"/>
    <w:link w:val="Heading2Char"/>
    <w:qFormat/>
    <w:rsid w:val="0081085D"/>
    <w:pPr>
      <w:keepNext/>
      <w:keepLines/>
      <w:numPr>
        <w:ilvl w:val="1"/>
        <w:numId w:val="8"/>
      </w:numPr>
      <w:tabs>
        <w:tab w:val="left" w:pos="1418"/>
        <w:tab w:val="left" w:pos="1701"/>
        <w:tab w:val="left" w:pos="1985"/>
      </w:tabs>
      <w:spacing w:before="330" w:after="80" w:line="240" w:lineRule="auto"/>
      <w:outlineLvl w:val="1"/>
    </w:pPr>
    <w:rPr>
      <w:rFonts w:asciiTheme="majorHAnsi" w:hAnsiTheme="majorHAnsi"/>
      <w:b/>
      <w:bCs/>
      <w:iCs/>
      <w:color w:val="3D4D7D" w:themeColor="background2"/>
      <w:kern w:val="20"/>
      <w:sz w:val="28"/>
      <w:szCs w:val="28"/>
    </w:rPr>
  </w:style>
  <w:style w:type="paragraph" w:styleId="Heading3">
    <w:name w:val="heading 3"/>
    <w:basedOn w:val="Normal"/>
    <w:next w:val="BodyText"/>
    <w:link w:val="Heading3Char"/>
    <w:qFormat/>
    <w:rsid w:val="00AE1DE7"/>
    <w:pPr>
      <w:keepNext/>
      <w:keepLines/>
      <w:numPr>
        <w:ilvl w:val="2"/>
        <w:numId w:val="8"/>
      </w:numPr>
      <w:tabs>
        <w:tab w:val="left" w:pos="1418"/>
        <w:tab w:val="left" w:pos="1701"/>
        <w:tab w:val="left" w:pos="1985"/>
      </w:tabs>
      <w:spacing w:before="300" w:after="90" w:line="240" w:lineRule="auto"/>
      <w:outlineLvl w:val="2"/>
    </w:pPr>
    <w:rPr>
      <w:b/>
      <w:sz w:val="23"/>
    </w:rPr>
  </w:style>
  <w:style w:type="paragraph" w:styleId="Heading4">
    <w:name w:val="heading 4"/>
    <w:basedOn w:val="Normal"/>
    <w:next w:val="BodyText"/>
    <w:link w:val="Heading4Char"/>
    <w:qFormat/>
    <w:rsid w:val="00AE1DE7"/>
    <w:pPr>
      <w:keepNext/>
      <w:keepLines/>
      <w:tabs>
        <w:tab w:val="left" w:pos="1418"/>
        <w:tab w:val="left" w:pos="1701"/>
        <w:tab w:val="left" w:pos="1985"/>
      </w:tabs>
      <w:spacing w:before="310" w:after="110" w:line="240" w:lineRule="auto"/>
      <w:outlineLvl w:val="3"/>
    </w:pPr>
    <w:rPr>
      <w:rFonts w:eastAsiaTheme="majorEastAsia" w:cstheme="majorBidi"/>
      <w:b/>
      <w:bCs/>
      <w:i/>
      <w:iCs/>
      <w:color w:val="000000" w:themeColor="text1"/>
      <w:sz w:val="23"/>
    </w:rPr>
  </w:style>
  <w:style w:type="paragraph" w:styleId="Heading5">
    <w:name w:val="heading 5"/>
    <w:basedOn w:val="Normal"/>
    <w:next w:val="BodyText"/>
    <w:link w:val="Heading5Char"/>
    <w:qFormat/>
    <w:rsid w:val="00AE1DE7"/>
    <w:pPr>
      <w:keepNext/>
      <w:keepLines/>
      <w:spacing w:before="310" w:after="110" w:line="240" w:lineRule="auto"/>
      <w:outlineLvl w:val="4"/>
    </w:pPr>
    <w:rPr>
      <w:rFonts w:asciiTheme="majorHAnsi" w:eastAsiaTheme="majorEastAsia" w:hAnsiTheme="majorHAnsi" w:cstheme="majorBidi"/>
      <w:i/>
      <w:color w:val="000000" w:themeColor="text1"/>
      <w:sz w:val="23"/>
    </w:rPr>
  </w:style>
  <w:style w:type="paragraph" w:styleId="Heading6">
    <w:name w:val="heading 6"/>
    <w:basedOn w:val="Normal"/>
    <w:next w:val="BodyText"/>
    <w:link w:val="Heading6Char"/>
    <w:qFormat/>
    <w:rsid w:val="0081085D"/>
    <w:pPr>
      <w:keepNext/>
      <w:keepLines/>
      <w:spacing w:before="310" w:after="110" w:line="240" w:lineRule="auto"/>
      <w:outlineLvl w:val="5"/>
    </w:pPr>
    <w:rPr>
      <w:rFonts w:asciiTheme="majorHAnsi" w:eastAsiaTheme="majorEastAsia" w:hAnsiTheme="majorHAnsi" w:cstheme="majorBidi"/>
      <w:i/>
      <w:iCs/>
      <w:color w:val="3D4D7D" w:themeColor="background2"/>
      <w:sz w:val="23"/>
    </w:rPr>
  </w:style>
  <w:style w:type="paragraph" w:styleId="Heading7">
    <w:name w:val="heading 7"/>
    <w:basedOn w:val="Normal"/>
    <w:next w:val="Normal"/>
    <w:link w:val="Heading7Char"/>
    <w:semiHidden/>
    <w:rsid w:val="00961DBB"/>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29"/>
    <w:rsid w:val="0081085D"/>
    <w:pPr>
      <w:keepNext/>
      <w:keepLines/>
      <w:numPr>
        <w:numId w:val="1"/>
      </w:numPr>
      <w:tabs>
        <w:tab w:val="left" w:pos="4536"/>
      </w:tabs>
      <w:spacing w:after="600" w:line="204" w:lineRule="auto"/>
      <w:outlineLvl w:val="7"/>
    </w:pPr>
    <w:rPr>
      <w:rFonts w:ascii="Calibri Light" w:eastAsiaTheme="majorEastAsia" w:hAnsi="Calibri Light" w:cstheme="majorBidi"/>
      <w:color w:val="3D4D7D" w:themeColor="background2"/>
      <w:sz w:val="52"/>
    </w:rPr>
  </w:style>
  <w:style w:type="paragraph" w:styleId="Heading9">
    <w:name w:val="heading 9"/>
    <w:aliases w:val="Appendix Heading 1"/>
    <w:basedOn w:val="Normal"/>
    <w:next w:val="BodyText"/>
    <w:link w:val="Heading9Char"/>
    <w:uiPriority w:val="29"/>
    <w:rsid w:val="0081085D"/>
    <w:pPr>
      <w:keepNext/>
      <w:keepLines/>
      <w:numPr>
        <w:ilvl w:val="1"/>
        <w:numId w:val="1"/>
      </w:numPr>
      <w:tabs>
        <w:tab w:val="left" w:pos="1559"/>
        <w:tab w:val="left" w:pos="1843"/>
        <w:tab w:val="left" w:pos="2126"/>
        <w:tab w:val="left" w:pos="2410"/>
      </w:tabs>
      <w:spacing w:before="330" w:after="80" w:line="240" w:lineRule="auto"/>
      <w:outlineLvl w:val="8"/>
    </w:pPr>
    <w:rPr>
      <w:b/>
      <w:color w:val="3D4D7D" w:themeColor="background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F7087C"/>
    <w:pPr>
      <w:tabs>
        <w:tab w:val="left" w:pos="425"/>
      </w:tabs>
      <w:spacing w:before="60" w:line="240" w:lineRule="exact"/>
      <w:ind w:left="284" w:hanging="284"/>
    </w:pPr>
    <w:rPr>
      <w:kern w:val="16"/>
      <w:sz w:val="18"/>
    </w:rPr>
  </w:style>
  <w:style w:type="character" w:customStyle="1" w:styleId="FootnoteTextChar">
    <w:name w:val="Footnote Text Char"/>
    <w:basedOn w:val="DefaultParagraphFont"/>
    <w:link w:val="FootnoteText"/>
    <w:uiPriority w:val="99"/>
    <w:rsid w:val="00F7087C"/>
    <w:rPr>
      <w:kern w:val="16"/>
      <w:sz w:val="18"/>
    </w:rPr>
  </w:style>
  <w:style w:type="character" w:styleId="FootnoteReference">
    <w:name w:val="footnote reference"/>
    <w:basedOn w:val="DefaultParagraphFont"/>
    <w:uiPriority w:val="99"/>
    <w:rsid w:val="00961DBB"/>
    <w:rPr>
      <w:rFonts w:asciiTheme="minorHAnsi" w:hAnsiTheme="minorHAnsi"/>
      <w:color w:val="auto"/>
      <w:vertAlign w:val="superscript"/>
    </w:rPr>
  </w:style>
  <w:style w:type="paragraph" w:styleId="BodyText">
    <w:name w:val="Body Text"/>
    <w:basedOn w:val="Normal"/>
    <w:link w:val="BodyTextChar"/>
    <w:qFormat/>
    <w:rsid w:val="00D264C9"/>
    <w:pPr>
      <w:spacing w:before="120"/>
    </w:pPr>
    <w:rPr>
      <w:rFonts w:cs="Times New Roman"/>
    </w:rPr>
  </w:style>
  <w:style w:type="character" w:customStyle="1" w:styleId="BodyTextChar">
    <w:name w:val="Body Text Char"/>
    <w:basedOn w:val="DefaultParagraphFont"/>
    <w:link w:val="BodyText"/>
    <w:rsid w:val="00D264C9"/>
    <w:rPr>
      <w:rFonts w:cs="Times New Roman"/>
    </w:rPr>
  </w:style>
  <w:style w:type="table" w:customStyle="1" w:styleId="PullOutBoxwithDecorativeLines">
    <w:name w:val="Pull Out Box with Decorative Lines"/>
    <w:basedOn w:val="TableNormal"/>
    <w:uiPriority w:val="99"/>
    <w:rsid w:val="00403A8E"/>
    <w:pPr>
      <w:keepNext/>
      <w:keepLines/>
      <w:spacing w:before="120" w:after="120" w:line="276" w:lineRule="auto"/>
    </w:pPr>
    <w:tblPr>
      <w:tblCellMar>
        <w:top w:w="28" w:type="dxa"/>
        <w:left w:w="0" w:type="dxa"/>
        <w:bottom w:w="28" w:type="dxa"/>
        <w:right w:w="0" w:type="dxa"/>
      </w:tblCellMar>
    </w:tblPr>
    <w:trPr>
      <w:cantSplit/>
    </w:trPr>
    <w:tblStylePr w:type="firstRow">
      <w:pPr>
        <w:keepNext/>
        <w:wordWrap/>
        <w:spacing w:beforeLines="0" w:before="0" w:beforeAutospacing="0" w:afterLines="0" w:after="0" w:afterAutospacing="0" w:line="80" w:lineRule="exact"/>
      </w:pPr>
      <w:rPr>
        <w:sz w:val="14"/>
      </w:rPr>
      <w:tblPr/>
      <w:tcPr>
        <w:tcBorders>
          <w:top w:val="nil"/>
          <w:left w:val="nil"/>
          <w:bottom w:val="nil"/>
          <w:right w:val="nil"/>
          <w:insideH w:val="nil"/>
          <w:insideV w:val="nil"/>
          <w:tl2br w:val="nil"/>
          <w:tr2bl w:val="nil"/>
        </w:tcBorders>
      </w:tcPr>
    </w:tblStylePr>
    <w:tblStylePr w:type="lastRow">
      <w:pPr>
        <w:wordWrap/>
        <w:spacing w:beforeLines="0" w:before="0" w:beforeAutospacing="0" w:afterLines="0" w:after="0" w:afterAutospacing="0" w:line="80" w:lineRule="exact"/>
      </w:pPr>
    </w:tblStylePr>
  </w:style>
  <w:style w:type="character" w:customStyle="1" w:styleId="Heading1Char">
    <w:name w:val="Heading 1 Char"/>
    <w:basedOn w:val="DefaultParagraphFont"/>
    <w:link w:val="Heading1"/>
    <w:rsid w:val="0081085D"/>
    <w:rPr>
      <w:rFonts w:ascii="Calibri Light" w:hAnsi="Calibri Light"/>
      <w:bCs/>
      <w:color w:val="3D4D7D" w:themeColor="background2"/>
      <w:kern w:val="32"/>
      <w:sz w:val="52"/>
      <w:szCs w:val="32"/>
    </w:rPr>
  </w:style>
  <w:style w:type="character" w:customStyle="1" w:styleId="Heading2Char">
    <w:name w:val="Heading 2 Char"/>
    <w:basedOn w:val="DefaultParagraphFont"/>
    <w:link w:val="Heading2"/>
    <w:rsid w:val="0081085D"/>
    <w:rPr>
      <w:rFonts w:asciiTheme="majorHAnsi" w:hAnsiTheme="majorHAnsi"/>
      <w:b/>
      <w:bCs/>
      <w:iCs/>
      <w:color w:val="3D4D7D" w:themeColor="background2"/>
      <w:kern w:val="20"/>
      <w:sz w:val="28"/>
      <w:szCs w:val="28"/>
    </w:rPr>
  </w:style>
  <w:style w:type="character" w:customStyle="1" w:styleId="Heading3Char">
    <w:name w:val="Heading 3 Char"/>
    <w:basedOn w:val="DefaultParagraphFont"/>
    <w:link w:val="Heading3"/>
    <w:rsid w:val="00AE1DE7"/>
    <w:rPr>
      <w:b/>
      <w:sz w:val="23"/>
    </w:rPr>
  </w:style>
  <w:style w:type="character" w:customStyle="1" w:styleId="Heading4Char">
    <w:name w:val="Heading 4 Char"/>
    <w:basedOn w:val="DefaultParagraphFont"/>
    <w:link w:val="Heading4"/>
    <w:rsid w:val="00AE1DE7"/>
    <w:rPr>
      <w:rFonts w:eastAsiaTheme="majorEastAsia" w:cstheme="majorBidi"/>
      <w:b/>
      <w:bCs/>
      <w:i/>
      <w:iCs/>
      <w:color w:val="000000" w:themeColor="text1"/>
      <w:sz w:val="23"/>
    </w:rPr>
  </w:style>
  <w:style w:type="character" w:customStyle="1" w:styleId="Heading5Char">
    <w:name w:val="Heading 5 Char"/>
    <w:basedOn w:val="DefaultParagraphFont"/>
    <w:link w:val="Heading5"/>
    <w:rsid w:val="00AE1DE7"/>
    <w:rPr>
      <w:rFonts w:asciiTheme="majorHAnsi" w:eastAsiaTheme="majorEastAsia" w:hAnsiTheme="majorHAnsi" w:cstheme="majorBidi"/>
      <w:i/>
      <w:color w:val="000000" w:themeColor="text1"/>
      <w:sz w:val="23"/>
    </w:rPr>
  </w:style>
  <w:style w:type="character" w:customStyle="1" w:styleId="Heading6Char">
    <w:name w:val="Heading 6 Char"/>
    <w:basedOn w:val="DefaultParagraphFont"/>
    <w:link w:val="Heading6"/>
    <w:rsid w:val="0081085D"/>
    <w:rPr>
      <w:rFonts w:asciiTheme="majorHAnsi" w:eastAsiaTheme="majorEastAsia" w:hAnsiTheme="majorHAnsi" w:cstheme="majorBidi"/>
      <w:i/>
      <w:iCs/>
      <w:color w:val="3D4D7D" w:themeColor="background2"/>
      <w:sz w:val="23"/>
    </w:rPr>
  </w:style>
  <w:style w:type="character" w:customStyle="1" w:styleId="Heading7Char">
    <w:name w:val="Heading 7 Char"/>
    <w:basedOn w:val="DefaultParagraphFont"/>
    <w:link w:val="Heading7"/>
    <w:semiHidden/>
    <w:rsid w:val="000E266E"/>
    <w:rPr>
      <w:rFonts w:asciiTheme="majorHAnsi" w:eastAsiaTheme="majorEastAsia" w:hAnsiTheme="majorHAnsi" w:cstheme="majorBidi"/>
      <w:b/>
      <w:iCs/>
      <w:color w:val="FFFFFF"/>
    </w:rPr>
  </w:style>
  <w:style w:type="character" w:customStyle="1" w:styleId="Heading8Char">
    <w:name w:val="Heading 8 Char"/>
    <w:aliases w:val="Appendix Title Char"/>
    <w:basedOn w:val="DefaultParagraphFont"/>
    <w:link w:val="Heading8"/>
    <w:uiPriority w:val="29"/>
    <w:rsid w:val="0081085D"/>
    <w:rPr>
      <w:rFonts w:ascii="Calibri Light" w:eastAsiaTheme="majorEastAsia" w:hAnsi="Calibri Light" w:cstheme="majorBidi"/>
      <w:color w:val="3D4D7D" w:themeColor="background2"/>
      <w:sz w:val="52"/>
    </w:rPr>
  </w:style>
  <w:style w:type="character" w:customStyle="1" w:styleId="Heading9Char">
    <w:name w:val="Heading 9 Char"/>
    <w:aliases w:val="Appendix Heading 1 Char"/>
    <w:basedOn w:val="DefaultParagraphFont"/>
    <w:link w:val="Heading9"/>
    <w:uiPriority w:val="29"/>
    <w:rsid w:val="0081085D"/>
    <w:rPr>
      <w:b/>
      <w:color w:val="3D4D7D" w:themeColor="background2"/>
      <w:sz w:val="28"/>
    </w:rPr>
  </w:style>
  <w:style w:type="paragraph" w:customStyle="1" w:styleId="AppendixHeading2">
    <w:name w:val="Appendix Heading 2"/>
    <w:basedOn w:val="Normal"/>
    <w:next w:val="BodyText"/>
    <w:uiPriority w:val="30"/>
    <w:rsid w:val="0081085D"/>
    <w:pPr>
      <w:keepNext/>
      <w:keepLines/>
      <w:numPr>
        <w:ilvl w:val="2"/>
        <w:numId w:val="1"/>
      </w:numPr>
      <w:tabs>
        <w:tab w:val="left" w:pos="1559"/>
        <w:tab w:val="left" w:pos="1843"/>
        <w:tab w:val="left" w:pos="2126"/>
        <w:tab w:val="left" w:pos="2410"/>
      </w:tabs>
      <w:spacing w:before="300" w:after="90" w:line="240" w:lineRule="auto"/>
    </w:pPr>
    <w:rPr>
      <w:rFonts w:asciiTheme="majorHAnsi" w:hAnsiTheme="majorHAnsi"/>
      <w:b/>
      <w:sz w:val="23"/>
    </w:rPr>
  </w:style>
  <w:style w:type="paragraph" w:customStyle="1" w:styleId="AppendixHeading3">
    <w:name w:val="Appendix Heading 3"/>
    <w:basedOn w:val="Normal"/>
    <w:next w:val="BodyText"/>
    <w:uiPriority w:val="30"/>
    <w:rsid w:val="0081085D"/>
    <w:pPr>
      <w:keepNext/>
      <w:keepLines/>
      <w:numPr>
        <w:ilvl w:val="3"/>
        <w:numId w:val="1"/>
      </w:numPr>
      <w:tabs>
        <w:tab w:val="left" w:pos="1559"/>
        <w:tab w:val="left" w:pos="1843"/>
        <w:tab w:val="left" w:pos="2126"/>
        <w:tab w:val="left" w:pos="2410"/>
        <w:tab w:val="left" w:pos="6804"/>
      </w:tabs>
      <w:spacing w:before="310" w:after="110" w:line="240" w:lineRule="auto"/>
    </w:pPr>
    <w:rPr>
      <w:rFonts w:asciiTheme="majorHAnsi" w:hAnsiTheme="majorHAnsi"/>
      <w:b/>
      <w:i/>
      <w:color w:val="000000" w:themeColor="text1"/>
      <w:sz w:val="23"/>
    </w:rPr>
  </w:style>
  <w:style w:type="character" w:customStyle="1" w:styleId="Bold">
    <w:name w:val="Bold"/>
    <w:rsid w:val="00961DBB"/>
    <w:rPr>
      <w:b/>
    </w:rPr>
  </w:style>
  <w:style w:type="character" w:customStyle="1" w:styleId="BoldAndItalics">
    <w:name w:val="Bold And Italics"/>
    <w:rsid w:val="00961DBB"/>
    <w:rPr>
      <w:b/>
      <w:i/>
    </w:rPr>
  </w:style>
  <w:style w:type="paragraph" w:styleId="Caption">
    <w:name w:val="caption"/>
    <w:basedOn w:val="Normal"/>
    <w:next w:val="CaptionDescriptor"/>
    <w:link w:val="CaptionChar"/>
    <w:qFormat/>
    <w:rsid w:val="0081085D"/>
    <w:pPr>
      <w:keepNext/>
      <w:spacing w:before="40" w:after="40" w:line="240" w:lineRule="auto"/>
      <w:jc w:val="center"/>
    </w:pPr>
    <w:rPr>
      <w:b/>
      <w:bCs/>
      <w:color w:val="3D4D7D" w:themeColor="background2"/>
    </w:rPr>
  </w:style>
  <w:style w:type="paragraph" w:styleId="Footer">
    <w:name w:val="footer"/>
    <w:basedOn w:val="Normal"/>
    <w:link w:val="FooterChar"/>
    <w:uiPriority w:val="99"/>
    <w:rsid w:val="00F24BF6"/>
    <w:pPr>
      <w:spacing w:line="240" w:lineRule="auto"/>
    </w:pPr>
    <w:rPr>
      <w:caps/>
      <w:color w:val="000000" w:themeColor="text1"/>
      <w:spacing w:val="5"/>
      <w:sz w:val="16"/>
    </w:rPr>
  </w:style>
  <w:style w:type="character" w:customStyle="1" w:styleId="FooterChar">
    <w:name w:val="Footer Char"/>
    <w:basedOn w:val="DefaultParagraphFont"/>
    <w:link w:val="Footer"/>
    <w:uiPriority w:val="99"/>
    <w:rsid w:val="00F24BF6"/>
    <w:rPr>
      <w:caps/>
      <w:color w:val="000000" w:themeColor="text1"/>
      <w:spacing w:val="5"/>
      <w:sz w:val="16"/>
    </w:rPr>
  </w:style>
  <w:style w:type="paragraph" w:customStyle="1" w:styleId="FooterLeft">
    <w:name w:val="Footer Left"/>
    <w:basedOn w:val="Footer"/>
    <w:uiPriority w:val="99"/>
    <w:rsid w:val="00023A6F"/>
  </w:style>
  <w:style w:type="paragraph" w:customStyle="1" w:styleId="FooterRight">
    <w:name w:val="Footer Right"/>
    <w:basedOn w:val="FooterLeft"/>
    <w:next w:val="Footer"/>
    <w:uiPriority w:val="99"/>
    <w:rsid w:val="00023A6F"/>
    <w:pPr>
      <w:jc w:val="right"/>
    </w:pPr>
    <w:rPr>
      <w:rFonts w:eastAsia="Times New Roman" w:cs="Arial"/>
      <w:noProof/>
      <w:lang w:eastAsia="en-AU"/>
    </w:rPr>
  </w:style>
  <w:style w:type="paragraph" w:customStyle="1" w:styleId="FooterRightPageNumber">
    <w:name w:val="Footer Right Page Number"/>
    <w:basedOn w:val="Normal"/>
    <w:uiPriority w:val="99"/>
    <w:rsid w:val="008E2623"/>
    <w:pPr>
      <w:spacing w:line="240" w:lineRule="auto"/>
      <w:ind w:right="652"/>
      <w:jc w:val="right"/>
    </w:pPr>
    <w:rPr>
      <w:rFonts w:eastAsia="Times New Roman" w:cs="Arial"/>
      <w:b/>
      <w:noProof/>
      <w:color w:val="000000" w:themeColor="text1"/>
      <w:sz w:val="16"/>
      <w:lang w:eastAsia="en-AU"/>
    </w:rPr>
  </w:style>
  <w:style w:type="paragraph" w:customStyle="1" w:styleId="FooterLeftPageNumber">
    <w:name w:val="Footer Left Page Number"/>
    <w:basedOn w:val="Footer"/>
    <w:uiPriority w:val="99"/>
    <w:rsid w:val="008E2623"/>
    <w:pPr>
      <w:ind w:left="652"/>
    </w:pPr>
    <w:rPr>
      <w:b/>
      <w:caps w:val="0"/>
      <w:spacing w:val="0"/>
    </w:rPr>
  </w:style>
  <w:style w:type="paragraph" w:customStyle="1" w:styleId="FootnoteSeparator">
    <w:name w:val="Footnote Separator"/>
    <w:basedOn w:val="Normal"/>
    <w:uiPriority w:val="2"/>
    <w:unhideWhenUsed/>
    <w:rsid w:val="00961DBB"/>
    <w:pPr>
      <w:pBdr>
        <w:top w:val="single" w:sz="2" w:space="0" w:color="000000" w:themeColor="text1"/>
      </w:pBdr>
      <w:spacing w:before="120" w:line="120" w:lineRule="exact"/>
    </w:pPr>
    <w:rPr>
      <w:sz w:val="14"/>
      <w:szCs w:val="16"/>
    </w:rPr>
  </w:style>
  <w:style w:type="paragraph" w:styleId="Header">
    <w:name w:val="header"/>
    <w:basedOn w:val="Normal"/>
    <w:link w:val="HeaderChar"/>
    <w:uiPriority w:val="99"/>
    <w:rsid w:val="00961DBB"/>
    <w:pPr>
      <w:spacing w:line="240" w:lineRule="auto"/>
    </w:pPr>
  </w:style>
  <w:style w:type="character" w:customStyle="1" w:styleId="HeaderChar">
    <w:name w:val="Header Char"/>
    <w:basedOn w:val="DefaultParagraphFont"/>
    <w:link w:val="Header"/>
    <w:uiPriority w:val="99"/>
    <w:rsid w:val="00A77F60"/>
  </w:style>
  <w:style w:type="paragraph" w:customStyle="1" w:styleId="Introduction">
    <w:name w:val="Introduction"/>
    <w:basedOn w:val="Normal"/>
    <w:next w:val="BodyText"/>
    <w:qFormat/>
    <w:rsid w:val="00BA1E8D"/>
    <w:pPr>
      <w:spacing w:before="180" w:after="180" w:line="216" w:lineRule="auto"/>
    </w:pPr>
    <w:rPr>
      <w:b/>
      <w:color w:val="8D487F" w:themeColor="accent1"/>
      <w:sz w:val="24"/>
    </w:rPr>
  </w:style>
  <w:style w:type="character" w:customStyle="1" w:styleId="Italics">
    <w:name w:val="Italics"/>
    <w:rsid w:val="00961DBB"/>
    <w:rPr>
      <w:i/>
    </w:rPr>
  </w:style>
  <w:style w:type="paragraph" w:styleId="ListBullet">
    <w:name w:val="List Bullet"/>
    <w:basedOn w:val="Normal"/>
    <w:unhideWhenUsed/>
    <w:qFormat/>
    <w:rsid w:val="00D264C9"/>
    <w:pPr>
      <w:keepLines/>
      <w:numPr>
        <w:numId w:val="16"/>
      </w:numPr>
      <w:spacing w:before="120"/>
    </w:pPr>
  </w:style>
  <w:style w:type="paragraph" w:styleId="ListBullet2">
    <w:name w:val="List Bullet 2"/>
    <w:basedOn w:val="ListBullet"/>
    <w:unhideWhenUsed/>
    <w:qFormat/>
    <w:rsid w:val="00D264C9"/>
    <w:pPr>
      <w:numPr>
        <w:ilvl w:val="1"/>
      </w:numPr>
    </w:pPr>
    <w:rPr>
      <w:color w:val="000000" w:themeColor="text1"/>
    </w:rPr>
  </w:style>
  <w:style w:type="paragraph" w:styleId="ListBullet3">
    <w:name w:val="List Bullet 3"/>
    <w:basedOn w:val="ListBullet2"/>
    <w:unhideWhenUsed/>
    <w:rsid w:val="00D264C9"/>
    <w:pPr>
      <w:numPr>
        <w:ilvl w:val="2"/>
      </w:numPr>
      <w:ind w:left="851"/>
    </w:pPr>
  </w:style>
  <w:style w:type="paragraph" w:styleId="ListContinue">
    <w:name w:val="List Continue"/>
    <w:basedOn w:val="Normal"/>
    <w:qFormat/>
    <w:rsid w:val="00503B7F"/>
    <w:pPr>
      <w:spacing w:before="120"/>
      <w:ind w:left="284"/>
    </w:pPr>
  </w:style>
  <w:style w:type="paragraph" w:styleId="ListContinue2">
    <w:name w:val="List Continue 2"/>
    <w:basedOn w:val="Normal"/>
    <w:qFormat/>
    <w:rsid w:val="00503B7F"/>
    <w:pPr>
      <w:spacing w:before="120"/>
      <w:ind w:left="567"/>
    </w:pPr>
  </w:style>
  <w:style w:type="paragraph" w:styleId="ListNumber">
    <w:name w:val="List Number"/>
    <w:basedOn w:val="Normal"/>
    <w:qFormat/>
    <w:rsid w:val="00503B7F"/>
    <w:pPr>
      <w:numPr>
        <w:numId w:val="23"/>
      </w:numPr>
      <w:spacing w:before="120"/>
    </w:pPr>
  </w:style>
  <w:style w:type="paragraph" w:styleId="ListNumber2">
    <w:name w:val="List Number 2"/>
    <w:basedOn w:val="Normal"/>
    <w:qFormat/>
    <w:rsid w:val="00D264C9"/>
    <w:pPr>
      <w:numPr>
        <w:ilvl w:val="1"/>
        <w:numId w:val="23"/>
      </w:numPr>
      <w:spacing w:before="120"/>
    </w:pPr>
    <w:rPr>
      <w:spacing w:val="-1"/>
    </w:rPr>
  </w:style>
  <w:style w:type="paragraph" w:styleId="ListNumber3">
    <w:name w:val="List Number 3"/>
    <w:basedOn w:val="Normal"/>
    <w:qFormat/>
    <w:rsid w:val="00D264C9"/>
    <w:pPr>
      <w:numPr>
        <w:ilvl w:val="2"/>
        <w:numId w:val="23"/>
      </w:numPr>
      <w:spacing w:before="120"/>
      <w:ind w:left="851"/>
    </w:pPr>
    <w:rPr>
      <w:spacing w:val="-1"/>
    </w:rPr>
  </w:style>
  <w:style w:type="character" w:customStyle="1" w:styleId="MySubscript">
    <w:name w:val="MySubscript"/>
    <w:uiPriority w:val="99"/>
    <w:rsid w:val="00961DBB"/>
    <w:rPr>
      <w:vertAlign w:val="subscript"/>
    </w:rPr>
  </w:style>
  <w:style w:type="character" w:customStyle="1" w:styleId="MySubscriptItalics">
    <w:name w:val="MySubscript&amp;Italics"/>
    <w:uiPriority w:val="99"/>
    <w:rsid w:val="00961DBB"/>
    <w:rPr>
      <w:i/>
      <w:vertAlign w:val="subscript"/>
    </w:rPr>
  </w:style>
  <w:style w:type="character" w:customStyle="1" w:styleId="MySuperscript">
    <w:name w:val="MySuperscript"/>
    <w:uiPriority w:val="99"/>
    <w:rsid w:val="00961DBB"/>
    <w:rPr>
      <w:vertAlign w:val="superscript"/>
    </w:rPr>
  </w:style>
  <w:style w:type="character" w:customStyle="1" w:styleId="MySuperscriptItalics">
    <w:name w:val="MySuperscript&amp;Italics"/>
    <w:uiPriority w:val="99"/>
    <w:rsid w:val="00961DBB"/>
    <w:rPr>
      <w:i/>
      <w:vertAlign w:val="superscript"/>
    </w:rPr>
  </w:style>
  <w:style w:type="paragraph" w:styleId="NoSpacing">
    <w:name w:val="No Spacing"/>
    <w:next w:val="BodyText"/>
    <w:rsid w:val="00961DBB"/>
    <w:pPr>
      <w:spacing w:line="240" w:lineRule="auto"/>
    </w:pPr>
    <w:rPr>
      <w:rFonts w:eastAsia="Times New Roman" w:cs="Arial"/>
      <w:lang w:eastAsia="en-AU"/>
    </w:rPr>
  </w:style>
  <w:style w:type="paragraph" w:customStyle="1" w:styleId="OverviewBodyText">
    <w:name w:val="Overview Body Text"/>
    <w:basedOn w:val="Normal"/>
    <w:rsid w:val="00E54919"/>
    <w:pPr>
      <w:spacing w:before="120"/>
    </w:pPr>
  </w:style>
  <w:style w:type="paragraph" w:customStyle="1" w:styleId="OverviewHeading2">
    <w:name w:val="Overview Heading 2"/>
    <w:basedOn w:val="Normal"/>
    <w:next w:val="OverviewBodyText"/>
    <w:rsid w:val="0081085D"/>
    <w:pPr>
      <w:keepNext/>
      <w:keepLines/>
      <w:spacing w:before="330" w:after="80" w:line="240" w:lineRule="auto"/>
    </w:pPr>
    <w:rPr>
      <w:b/>
      <w:color w:val="3D4D7D" w:themeColor="background2"/>
      <w:sz w:val="28"/>
    </w:rPr>
  </w:style>
  <w:style w:type="paragraph" w:customStyle="1" w:styleId="OverviewHeading3">
    <w:name w:val="Overview Heading 3"/>
    <w:basedOn w:val="OverviewHeading2"/>
    <w:next w:val="OverviewBodyText"/>
    <w:rsid w:val="005050DA"/>
    <w:pPr>
      <w:spacing w:before="300" w:after="90"/>
    </w:pPr>
    <w:rPr>
      <w:color w:val="000000" w:themeColor="text1"/>
      <w:sz w:val="23"/>
    </w:rPr>
  </w:style>
  <w:style w:type="character" w:styleId="PageNumber">
    <w:name w:val="page number"/>
    <w:basedOn w:val="DefaultParagraphFont"/>
    <w:semiHidden/>
    <w:rsid w:val="00961DBB"/>
    <w:rPr>
      <w:rFonts w:ascii="Arial" w:hAnsi="Arial"/>
      <w:b/>
      <w:color w:val="auto"/>
      <w:sz w:val="16"/>
    </w:rPr>
  </w:style>
  <w:style w:type="paragraph" w:customStyle="1" w:styleId="PullOutBoxBodyText">
    <w:name w:val="Pull Out Box Body Text"/>
    <w:basedOn w:val="Normal"/>
    <w:qFormat/>
    <w:rsid w:val="0081085D"/>
    <w:pPr>
      <w:spacing w:before="120" w:after="120" w:line="320" w:lineRule="atLeast"/>
      <w:ind w:left="284" w:right="284"/>
    </w:pPr>
    <w:rPr>
      <w:rFonts w:eastAsia="Times New Roman" w:cs="Arial"/>
      <w:b/>
      <w:i/>
      <w:color w:val="3D4D7D" w:themeColor="background2"/>
      <w:spacing w:val="-1"/>
      <w:lang w:eastAsia="en-AU"/>
    </w:rPr>
  </w:style>
  <w:style w:type="paragraph" w:customStyle="1" w:styleId="PullOutBoxBullet">
    <w:name w:val="Pull Out Box Bullet"/>
    <w:basedOn w:val="PullOutBoxBodyText"/>
    <w:qFormat/>
    <w:rsid w:val="00B2295B"/>
    <w:pPr>
      <w:numPr>
        <w:numId w:val="9"/>
      </w:numPr>
      <w:spacing w:before="60" w:after="60"/>
    </w:pPr>
  </w:style>
  <w:style w:type="paragraph" w:customStyle="1" w:styleId="PullOutBoxBullet2">
    <w:name w:val="Pull Out Box Bullet 2"/>
    <w:basedOn w:val="PullOutBoxBodyText"/>
    <w:qFormat/>
    <w:rsid w:val="00B2295B"/>
    <w:pPr>
      <w:numPr>
        <w:ilvl w:val="1"/>
        <w:numId w:val="9"/>
      </w:numPr>
      <w:spacing w:before="60" w:after="60"/>
    </w:pPr>
  </w:style>
  <w:style w:type="paragraph" w:customStyle="1" w:styleId="PullOutBoxBullet3">
    <w:name w:val="Pull Out Box Bullet 3"/>
    <w:basedOn w:val="PullOutBoxBodyText"/>
    <w:semiHidden/>
    <w:qFormat/>
    <w:rsid w:val="00B2295B"/>
    <w:pPr>
      <w:numPr>
        <w:ilvl w:val="2"/>
        <w:numId w:val="9"/>
      </w:numPr>
      <w:spacing w:before="60" w:after="60"/>
    </w:pPr>
  </w:style>
  <w:style w:type="paragraph" w:customStyle="1" w:styleId="PullOutBoxHeading">
    <w:name w:val="Pull Out Box Heading"/>
    <w:basedOn w:val="PullOutBoxBodyText"/>
    <w:qFormat/>
    <w:rsid w:val="00413CE6"/>
    <w:pPr>
      <w:keepNext/>
      <w:keepLines/>
      <w:spacing w:before="114" w:after="114" w:line="360" w:lineRule="atLeast"/>
    </w:pPr>
    <w:rPr>
      <w:sz w:val="28"/>
    </w:rPr>
  </w:style>
  <w:style w:type="paragraph" w:customStyle="1" w:styleId="PullOutBoxNumber">
    <w:name w:val="Pull Out Box Number"/>
    <w:basedOn w:val="PullOutBoxBodyText"/>
    <w:qFormat/>
    <w:rsid w:val="00B2295B"/>
    <w:pPr>
      <w:numPr>
        <w:numId w:val="10"/>
      </w:numPr>
      <w:spacing w:before="60" w:after="60"/>
    </w:pPr>
  </w:style>
  <w:style w:type="paragraph" w:customStyle="1" w:styleId="PullOutBoxNumber2">
    <w:name w:val="Pull Out Box Number 2"/>
    <w:basedOn w:val="PullOutBoxBodyText"/>
    <w:qFormat/>
    <w:rsid w:val="00B2295B"/>
    <w:pPr>
      <w:numPr>
        <w:ilvl w:val="1"/>
        <w:numId w:val="10"/>
      </w:numPr>
      <w:spacing w:before="60" w:after="60"/>
    </w:pPr>
  </w:style>
  <w:style w:type="paragraph" w:customStyle="1" w:styleId="PullOutBoxNumber3">
    <w:name w:val="Pull Out Box Number 3"/>
    <w:basedOn w:val="PullOutBoxBodyText"/>
    <w:qFormat/>
    <w:rsid w:val="00B2295B"/>
    <w:pPr>
      <w:numPr>
        <w:ilvl w:val="2"/>
        <w:numId w:val="10"/>
      </w:numPr>
      <w:spacing w:before="60" w:after="60"/>
    </w:pPr>
  </w:style>
  <w:style w:type="table" w:customStyle="1" w:styleId="PullOutBoxTable">
    <w:name w:val="Pull Out Box Table"/>
    <w:basedOn w:val="TableNormal"/>
    <w:uiPriority w:val="99"/>
    <w:rsid w:val="00AD2869"/>
    <w:pPr>
      <w:spacing w:before="120" w:after="120" w:line="320" w:lineRule="atLeast"/>
      <w:ind w:left="284" w:right="284"/>
    </w:pPr>
    <w:rPr>
      <w:rFonts w:eastAsia="Times New Roman" w:cs="Arial"/>
      <w:color w:val="3D4D7D" w:themeColor="background2"/>
      <w:lang w:eastAsia="en-AU"/>
    </w:rPr>
    <w:tblPr>
      <w:tblBorders>
        <w:top w:val="single" w:sz="4" w:space="0" w:color="FEF5DF"/>
        <w:left w:val="single" w:sz="4" w:space="0" w:color="FEF5DF"/>
        <w:bottom w:val="single" w:sz="4" w:space="0" w:color="FEF5DF"/>
        <w:right w:val="single" w:sz="4" w:space="0" w:color="FEF5DF"/>
        <w:insideH w:val="single" w:sz="4" w:space="0" w:color="FEF5DF"/>
        <w:insideV w:val="single" w:sz="4" w:space="0" w:color="FEF5DF"/>
      </w:tblBorders>
      <w:tblCellMar>
        <w:top w:w="142" w:type="dxa"/>
        <w:left w:w="0" w:type="dxa"/>
        <w:bottom w:w="142" w:type="dxa"/>
        <w:right w:w="0" w:type="dxa"/>
      </w:tblCellMar>
    </w:tblPr>
    <w:tcPr>
      <w:shd w:val="clear" w:color="auto" w:fill="FEF5DF"/>
    </w:tcPr>
  </w:style>
  <w:style w:type="paragraph" w:styleId="Quote">
    <w:name w:val="Quote"/>
    <w:basedOn w:val="Normal"/>
    <w:link w:val="QuoteChar"/>
    <w:qFormat/>
    <w:rsid w:val="00A326AE"/>
    <w:pPr>
      <w:tabs>
        <w:tab w:val="left" w:pos="1134"/>
      </w:tabs>
      <w:spacing w:before="120"/>
      <w:ind w:left="284"/>
    </w:pPr>
    <w:rPr>
      <w:i/>
      <w:iCs/>
    </w:rPr>
  </w:style>
  <w:style w:type="character" w:customStyle="1" w:styleId="QuoteChar">
    <w:name w:val="Quote Char"/>
    <w:basedOn w:val="DefaultParagraphFont"/>
    <w:link w:val="Quote"/>
    <w:rsid w:val="00A326AE"/>
    <w:rPr>
      <w:i/>
      <w:iCs/>
    </w:rPr>
  </w:style>
  <w:style w:type="paragraph" w:customStyle="1" w:styleId="QuoteBullet">
    <w:name w:val="Quote Bullet"/>
    <w:basedOn w:val="Quote"/>
    <w:qFormat/>
    <w:rsid w:val="00A326AE"/>
    <w:pPr>
      <w:numPr>
        <w:numId w:val="4"/>
      </w:numPr>
      <w:ind w:left="568" w:hanging="284"/>
    </w:pPr>
  </w:style>
  <w:style w:type="paragraph" w:customStyle="1" w:styleId="QuoteBullet2">
    <w:name w:val="Quote Bullet 2"/>
    <w:basedOn w:val="Quote"/>
    <w:qFormat/>
    <w:rsid w:val="002D14CD"/>
    <w:pPr>
      <w:numPr>
        <w:ilvl w:val="1"/>
        <w:numId w:val="4"/>
      </w:numPr>
      <w:tabs>
        <w:tab w:val="clear" w:pos="1134"/>
      </w:tabs>
    </w:pPr>
  </w:style>
  <w:style w:type="character" w:customStyle="1" w:styleId="Superscript">
    <w:name w:val="Superscript"/>
    <w:rsid w:val="00961DBB"/>
    <w:rPr>
      <w:vertAlign w:val="superscript"/>
    </w:rPr>
  </w:style>
  <w:style w:type="table" w:customStyle="1" w:styleId="TableGridDarkHeader">
    <w:name w:val="Table Grid Dark Header"/>
    <w:basedOn w:val="TableNormal"/>
    <w:uiPriority w:val="99"/>
    <w:rsid w:val="00AD2869"/>
    <w:pPr>
      <w:spacing w:before="40" w:after="40" w:line="240" w:lineRule="auto"/>
    </w:pPr>
    <w:rPr>
      <w:sz w:val="20"/>
    </w:rPr>
    <w:tblPr>
      <w:tblStyleRowBandSize w:val="1"/>
      <w:tblCellMar>
        <w:top w:w="57" w:type="dxa"/>
        <w:left w:w="0" w:type="dxa"/>
        <w:bottom w:w="57" w:type="dxa"/>
        <w:right w:w="0" w:type="dxa"/>
      </w:tblCellMar>
    </w:tblPr>
    <w:tblStylePr w:type="firstRow">
      <w:rPr>
        <w:b/>
        <w:color w:val="FFFFFF" w:themeColor="background1"/>
      </w:rPr>
      <w:tblPr/>
      <w:tcPr>
        <w:shd w:val="clear" w:color="auto" w:fill="3D4D7D" w:themeFill="background2"/>
      </w:tcPr>
    </w:tblStylePr>
    <w:tblStylePr w:type="lastRow">
      <w:rPr>
        <w:b/>
      </w:rPr>
      <w:tblPr/>
      <w:tcPr>
        <w:shd w:val="clear" w:color="auto" w:fill="A7B2D4" w:themeFill="background2" w:themeFillTint="66"/>
      </w:tcPr>
    </w:tblStylePr>
    <w:tblStylePr w:type="band1Horz">
      <w:tblPr/>
      <w:tcPr>
        <w:shd w:val="clear" w:color="auto" w:fill="D3D8E9" w:themeFill="background2" w:themeFillTint="33"/>
      </w:tcPr>
    </w:tblStylePr>
  </w:style>
  <w:style w:type="paragraph" w:customStyle="1" w:styleId="TableFootnotes">
    <w:name w:val="Table Footnotes"/>
    <w:basedOn w:val="Normal"/>
    <w:rsid w:val="001901A1"/>
    <w:pPr>
      <w:keepLines/>
      <w:numPr>
        <w:numId w:val="5"/>
      </w:numPr>
      <w:spacing w:before="60" w:after="60" w:line="260" w:lineRule="atLeast"/>
    </w:pPr>
    <w:rPr>
      <w:color w:val="788184"/>
      <w:sz w:val="18"/>
    </w:rPr>
  </w:style>
  <w:style w:type="table" w:styleId="TableGrid">
    <w:name w:val="Table Grid"/>
    <w:basedOn w:val="TableNormal"/>
    <w:uiPriority w:val="59"/>
    <w:rsid w:val="00AD2869"/>
    <w:pPr>
      <w:spacing w:before="40" w:after="40" w:line="240" w:lineRule="auto"/>
      <w:ind w:left="85" w:right="85"/>
    </w:pPr>
    <w:rPr>
      <w:sz w:val="20"/>
    </w:rPr>
    <w:tblPr>
      <w:tblStyleRowBandSize w:val="1"/>
      <w:tblBorders>
        <w:top w:val="single" w:sz="4" w:space="0" w:color="000000" w:themeColor="text1"/>
        <w:bottom w:val="single" w:sz="4" w:space="0" w:color="000000" w:themeColor="text1"/>
      </w:tblBorders>
      <w:tblCellMar>
        <w:top w:w="57" w:type="dxa"/>
        <w:left w:w="0" w:type="dxa"/>
        <w:bottom w:w="57" w:type="dxa"/>
        <w:right w:w="0" w:type="dxa"/>
      </w:tblCellMar>
    </w:tblPr>
    <w:tblStylePr w:type="firstRow">
      <w:rPr>
        <w:b/>
      </w:rPr>
      <w:tblPr/>
      <w:tcPr>
        <w:tcBorders>
          <w:bottom w:val="single" w:sz="4" w:space="0" w:color="auto"/>
        </w:tcBorders>
      </w:tcPr>
    </w:tblStylePr>
    <w:tblStylePr w:type="lastRow">
      <w:rPr>
        <w:b/>
      </w:rPr>
      <w:tblPr/>
      <w:tcPr>
        <w:shd w:val="clear" w:color="auto" w:fill="A7B2D4" w:themeFill="background2" w:themeFillTint="66"/>
      </w:tcPr>
    </w:tblStylePr>
    <w:tblStylePr w:type="band2Horz">
      <w:tblPr/>
      <w:tcPr>
        <w:shd w:val="clear" w:color="auto" w:fill="D3D8E9" w:themeFill="background2" w:themeFillTint="33"/>
      </w:tcPr>
    </w:tblStylePr>
    <w:tblStylePr w:type="nwCell">
      <w:rPr>
        <w:color w:val="000000" w:themeColor="text1"/>
      </w:rPr>
    </w:tblStylePr>
  </w:style>
  <w:style w:type="paragraph" w:customStyle="1" w:styleId="TableHeading">
    <w:name w:val="Table Heading"/>
    <w:basedOn w:val="Normal"/>
    <w:qFormat/>
    <w:rsid w:val="00297971"/>
    <w:pPr>
      <w:spacing w:before="40" w:after="40" w:line="240" w:lineRule="auto"/>
      <w:ind w:left="85" w:right="85"/>
    </w:pPr>
    <w:rPr>
      <w:color w:val="FFFFFF" w:themeColor="background1"/>
    </w:rPr>
  </w:style>
  <w:style w:type="paragraph" w:customStyle="1" w:styleId="TableHeadingCentred">
    <w:name w:val="Table Heading Centred"/>
    <w:basedOn w:val="Normal"/>
    <w:qFormat/>
    <w:rsid w:val="00CA5C20"/>
    <w:pPr>
      <w:spacing w:before="40" w:after="40" w:line="240" w:lineRule="auto"/>
      <w:jc w:val="center"/>
    </w:pPr>
  </w:style>
  <w:style w:type="paragraph" w:customStyle="1" w:styleId="TableHeadingRight">
    <w:name w:val="Table Heading Right"/>
    <w:basedOn w:val="Normal"/>
    <w:qFormat/>
    <w:rsid w:val="00CA5C20"/>
    <w:pPr>
      <w:spacing w:before="40" w:after="40" w:line="240" w:lineRule="auto"/>
      <w:jc w:val="right"/>
    </w:pPr>
  </w:style>
  <w:style w:type="paragraph" w:customStyle="1" w:styleId="Source">
    <w:name w:val="Source"/>
    <w:basedOn w:val="Normal"/>
    <w:next w:val="Normal"/>
    <w:rsid w:val="001901A1"/>
    <w:pPr>
      <w:spacing w:before="120" w:after="40" w:line="240" w:lineRule="auto"/>
    </w:pPr>
    <w:rPr>
      <w:rFonts w:cs="Times New Roman"/>
      <w:color w:val="788184"/>
      <w:sz w:val="18"/>
      <w:szCs w:val="14"/>
    </w:rPr>
  </w:style>
  <w:style w:type="paragraph" w:customStyle="1" w:styleId="TableText">
    <w:name w:val="Table Text"/>
    <w:basedOn w:val="Normal"/>
    <w:qFormat/>
    <w:rsid w:val="00456DEB"/>
    <w:pPr>
      <w:spacing w:before="40" w:after="40" w:line="240" w:lineRule="auto"/>
      <w:ind w:left="85" w:right="85"/>
    </w:pPr>
    <w:rPr>
      <w:sz w:val="20"/>
    </w:rPr>
  </w:style>
  <w:style w:type="paragraph" w:customStyle="1" w:styleId="TableTextBold">
    <w:name w:val="Table Text Bold"/>
    <w:basedOn w:val="TableText"/>
    <w:semiHidden/>
    <w:qFormat/>
    <w:rsid w:val="00961DBB"/>
    <w:rPr>
      <w:b/>
    </w:rPr>
  </w:style>
  <w:style w:type="paragraph" w:customStyle="1" w:styleId="TableTextBullet">
    <w:name w:val="Table Text Bullet"/>
    <w:basedOn w:val="TableText"/>
    <w:rsid w:val="00961DBB"/>
    <w:pPr>
      <w:numPr>
        <w:numId w:val="6"/>
      </w:numPr>
    </w:pPr>
  </w:style>
  <w:style w:type="paragraph" w:customStyle="1" w:styleId="TableTextBullet2">
    <w:name w:val="Table Text Bullet 2"/>
    <w:basedOn w:val="TableTextBullet"/>
    <w:qFormat/>
    <w:rsid w:val="00961DBB"/>
    <w:pPr>
      <w:numPr>
        <w:ilvl w:val="1"/>
      </w:numPr>
    </w:pPr>
    <w:rPr>
      <w:bCs/>
    </w:rPr>
  </w:style>
  <w:style w:type="paragraph" w:customStyle="1" w:styleId="TableTextBullet3">
    <w:name w:val="Table Text Bullet 3"/>
    <w:basedOn w:val="TableTextBullet2"/>
    <w:qFormat/>
    <w:rsid w:val="00961DBB"/>
    <w:pPr>
      <w:numPr>
        <w:ilvl w:val="2"/>
      </w:numPr>
    </w:pPr>
    <w:rPr>
      <w:bCs w:val="0"/>
    </w:rPr>
  </w:style>
  <w:style w:type="paragraph" w:customStyle="1" w:styleId="TableTextNumber">
    <w:name w:val="Table Text Number"/>
    <w:basedOn w:val="TableText"/>
    <w:qFormat/>
    <w:rsid w:val="00961DBB"/>
    <w:pPr>
      <w:numPr>
        <w:numId w:val="7"/>
      </w:numPr>
    </w:pPr>
  </w:style>
  <w:style w:type="paragraph" w:customStyle="1" w:styleId="TableTextNumber2">
    <w:name w:val="Table Text Number 2"/>
    <w:basedOn w:val="TableTextNumber"/>
    <w:qFormat/>
    <w:rsid w:val="00961DBB"/>
    <w:pPr>
      <w:numPr>
        <w:ilvl w:val="1"/>
      </w:numPr>
    </w:pPr>
  </w:style>
  <w:style w:type="paragraph" w:customStyle="1" w:styleId="TableTextNumber3">
    <w:name w:val="Table Text Number 3"/>
    <w:basedOn w:val="TableTextNumber2"/>
    <w:qFormat/>
    <w:rsid w:val="00961DBB"/>
    <w:pPr>
      <w:numPr>
        <w:ilvl w:val="2"/>
      </w:numPr>
    </w:pPr>
  </w:style>
  <w:style w:type="paragraph" w:customStyle="1" w:styleId="TableTextRight">
    <w:name w:val="Table Text Right"/>
    <w:basedOn w:val="TableText"/>
    <w:qFormat/>
    <w:rsid w:val="00961DBB"/>
    <w:pPr>
      <w:jc w:val="right"/>
    </w:pPr>
  </w:style>
  <w:style w:type="paragraph" w:customStyle="1" w:styleId="TableofContents2">
    <w:name w:val="TableofContents2"/>
    <w:basedOn w:val="Normal"/>
    <w:semiHidden/>
    <w:rsid w:val="00CA0B7E"/>
    <w:pPr>
      <w:keepNext/>
      <w:spacing w:after="113"/>
    </w:pPr>
    <w:rPr>
      <w:sz w:val="28"/>
      <w:szCs w:val="28"/>
    </w:rPr>
  </w:style>
  <w:style w:type="paragraph" w:styleId="Title">
    <w:name w:val="Title"/>
    <w:basedOn w:val="Normal"/>
    <w:next w:val="Normal"/>
    <w:link w:val="TitleChar"/>
    <w:uiPriority w:val="3"/>
    <w:rsid w:val="00785B35"/>
    <w:pPr>
      <w:spacing w:before="5700" w:after="280" w:line="235" w:lineRule="auto"/>
      <w:ind w:left="227" w:right="3119"/>
      <w:contextualSpacing/>
    </w:pPr>
    <w:rPr>
      <w:rFonts w:ascii="Calibri Light" w:eastAsiaTheme="majorEastAsia" w:hAnsi="Calibri Light" w:cstheme="majorBidi"/>
      <w:caps/>
      <w:color w:val="FFFFFF" w:themeColor="background1"/>
      <w:spacing w:val="14"/>
      <w:sz w:val="44"/>
      <w:szCs w:val="50"/>
      <w:lang w:eastAsia="en-AU"/>
    </w:rPr>
  </w:style>
  <w:style w:type="character" w:customStyle="1" w:styleId="TitleChar">
    <w:name w:val="Title Char"/>
    <w:basedOn w:val="DefaultParagraphFont"/>
    <w:link w:val="Title"/>
    <w:uiPriority w:val="3"/>
    <w:rsid w:val="00785B35"/>
    <w:rPr>
      <w:rFonts w:ascii="Calibri Light" w:eastAsiaTheme="majorEastAsia" w:hAnsi="Calibri Light" w:cstheme="majorBidi"/>
      <w:caps/>
      <w:color w:val="FFFFFF" w:themeColor="background1"/>
      <w:spacing w:val="14"/>
      <w:sz w:val="44"/>
      <w:szCs w:val="50"/>
      <w:lang w:eastAsia="en-AU"/>
    </w:rPr>
  </w:style>
  <w:style w:type="paragraph" w:customStyle="1" w:styleId="Title2">
    <w:name w:val="Title 2"/>
    <w:basedOn w:val="Normal"/>
    <w:link w:val="Title2Char"/>
    <w:uiPriority w:val="3"/>
    <w:rsid w:val="00785B35"/>
    <w:pPr>
      <w:spacing w:line="380" w:lineRule="atLeast"/>
      <w:ind w:left="227" w:right="3119"/>
    </w:pPr>
    <w:rPr>
      <w:rFonts w:asciiTheme="majorHAnsi" w:hAnsiTheme="majorHAnsi"/>
      <w:b/>
      <w:color w:val="FFFFFF" w:themeColor="background1"/>
      <w:spacing w:val="-1"/>
      <w:sz w:val="26"/>
    </w:rPr>
  </w:style>
  <w:style w:type="character" w:customStyle="1" w:styleId="Title2Char">
    <w:name w:val="Title 2 Char"/>
    <w:basedOn w:val="DefaultParagraphFont"/>
    <w:link w:val="Title2"/>
    <w:uiPriority w:val="3"/>
    <w:rsid w:val="00785B35"/>
    <w:rPr>
      <w:rFonts w:asciiTheme="majorHAnsi" w:hAnsiTheme="majorHAnsi"/>
      <w:b/>
      <w:color w:val="FFFFFF" w:themeColor="background1"/>
      <w:spacing w:val="-1"/>
      <w:sz w:val="26"/>
    </w:rPr>
  </w:style>
  <w:style w:type="paragraph" w:customStyle="1" w:styleId="Title3">
    <w:name w:val="Title 3"/>
    <w:basedOn w:val="Title2"/>
    <w:link w:val="Title3Char"/>
    <w:uiPriority w:val="3"/>
    <w:rsid w:val="0081085D"/>
    <w:pPr>
      <w:framePr w:w="2835" w:wrap="around" w:vAnchor="page" w:hAnchor="page" w:x="8591" w:y="7854"/>
      <w:spacing w:after="120" w:line="600" w:lineRule="atLeast"/>
      <w:ind w:right="0"/>
      <w:contextualSpacing/>
    </w:pPr>
    <w:rPr>
      <w:rFonts w:eastAsia="Times New Roman" w:cs="Arial"/>
      <w:b w:val="0"/>
      <w:color w:val="3D4D7D" w:themeColor="background2"/>
      <w:spacing w:val="0"/>
      <w:sz w:val="46"/>
      <w:lang w:eastAsia="en-AU"/>
    </w:rPr>
  </w:style>
  <w:style w:type="paragraph" w:styleId="TOC1">
    <w:name w:val="toc 1"/>
    <w:basedOn w:val="Normal"/>
    <w:next w:val="Normal"/>
    <w:uiPriority w:val="39"/>
    <w:rsid w:val="00E91C83"/>
    <w:pPr>
      <w:tabs>
        <w:tab w:val="left" w:pos="567"/>
        <w:tab w:val="right" w:pos="7654"/>
      </w:tabs>
      <w:spacing w:before="260" w:after="130" w:line="240" w:lineRule="auto"/>
      <w:ind w:left="567" w:right="1983" w:hanging="567"/>
    </w:pPr>
    <w:rPr>
      <w:b/>
      <w:noProof/>
      <w:color w:val="000000" w:themeColor="text1"/>
      <w:sz w:val="24"/>
    </w:rPr>
  </w:style>
  <w:style w:type="paragraph" w:styleId="TOC2">
    <w:name w:val="toc 2"/>
    <w:basedOn w:val="Normal"/>
    <w:next w:val="Normal"/>
    <w:uiPriority w:val="39"/>
    <w:rsid w:val="00E91C83"/>
    <w:pPr>
      <w:tabs>
        <w:tab w:val="left" w:pos="567"/>
        <w:tab w:val="right" w:pos="7654"/>
      </w:tabs>
      <w:spacing w:after="40" w:line="240" w:lineRule="auto"/>
      <w:ind w:left="567" w:right="1985" w:hanging="567"/>
    </w:pPr>
    <w:rPr>
      <w:rFonts w:ascii="Calibri Light" w:eastAsiaTheme="minorEastAsia" w:hAnsi="Calibri Light"/>
      <w:noProof/>
      <w:color w:val="000000" w:themeColor="text1"/>
      <w:sz w:val="24"/>
      <w:lang w:eastAsia="en-AU"/>
    </w:rPr>
  </w:style>
  <w:style w:type="paragraph" w:styleId="TOC3">
    <w:name w:val="toc 3"/>
    <w:basedOn w:val="Normal"/>
    <w:next w:val="Normal"/>
    <w:uiPriority w:val="39"/>
    <w:rsid w:val="00E91C83"/>
    <w:pPr>
      <w:tabs>
        <w:tab w:val="left" w:pos="1417"/>
        <w:tab w:val="right" w:pos="7654"/>
      </w:tabs>
      <w:spacing w:before="120" w:after="120" w:line="240" w:lineRule="auto"/>
      <w:ind w:left="1417" w:right="1985" w:hanging="850"/>
      <w:contextualSpacing/>
    </w:pPr>
    <w:rPr>
      <w:rFonts w:ascii="Calibri Light" w:eastAsiaTheme="minorEastAsia" w:hAnsi="Calibri Light"/>
      <w:noProof/>
      <w:color w:val="000000" w:themeColor="text1"/>
      <w:sz w:val="24"/>
    </w:rPr>
  </w:style>
  <w:style w:type="paragraph" w:styleId="TOC4">
    <w:name w:val="toc 4"/>
    <w:basedOn w:val="Normal"/>
    <w:uiPriority w:val="39"/>
    <w:rsid w:val="00FF1368"/>
    <w:pPr>
      <w:tabs>
        <w:tab w:val="left" w:pos="454"/>
        <w:tab w:val="right" w:pos="7655"/>
      </w:tabs>
      <w:spacing w:after="40" w:line="240" w:lineRule="auto"/>
      <w:ind w:left="454" w:hanging="454"/>
    </w:pPr>
    <w:rPr>
      <w:rFonts w:ascii="Calibri Light" w:hAnsi="Calibri Light"/>
      <w:noProof/>
      <w:color w:val="000000" w:themeColor="text1"/>
      <w:sz w:val="24"/>
    </w:rPr>
  </w:style>
  <w:style w:type="paragraph" w:styleId="TOC5">
    <w:name w:val="toc 5"/>
    <w:basedOn w:val="Normal"/>
    <w:next w:val="Normal"/>
    <w:autoRedefine/>
    <w:uiPriority w:val="39"/>
    <w:rsid w:val="0081085D"/>
    <w:pPr>
      <w:tabs>
        <w:tab w:val="left" w:pos="567"/>
        <w:tab w:val="right" w:pos="7655"/>
      </w:tabs>
      <w:spacing w:after="40" w:line="240" w:lineRule="auto"/>
      <w:ind w:left="567" w:right="1985" w:hanging="567"/>
    </w:pPr>
    <w:rPr>
      <w:rFonts w:ascii="Calibri Light" w:hAnsi="Calibri Light"/>
      <w:b/>
      <w:color w:val="3D4D7D" w:themeColor="background2"/>
      <w:sz w:val="24"/>
    </w:rPr>
  </w:style>
  <w:style w:type="paragraph" w:styleId="TOC6">
    <w:name w:val="toc 6"/>
    <w:basedOn w:val="Normal"/>
    <w:next w:val="Normal"/>
    <w:autoRedefine/>
    <w:semiHidden/>
    <w:rsid w:val="00961DBB"/>
    <w:pPr>
      <w:spacing w:after="100"/>
      <w:ind w:left="1000"/>
    </w:pPr>
  </w:style>
  <w:style w:type="paragraph" w:styleId="TOC7">
    <w:name w:val="toc 7"/>
    <w:basedOn w:val="Normal"/>
    <w:next w:val="Normal"/>
    <w:autoRedefine/>
    <w:semiHidden/>
    <w:rsid w:val="00961DBB"/>
    <w:pPr>
      <w:spacing w:after="100"/>
      <w:ind w:left="1200"/>
    </w:pPr>
  </w:style>
  <w:style w:type="paragraph" w:styleId="TOC8">
    <w:name w:val="toc 8"/>
    <w:basedOn w:val="Normal"/>
    <w:next w:val="Normal"/>
    <w:autoRedefine/>
    <w:semiHidden/>
    <w:rsid w:val="00BE45B2"/>
    <w:pPr>
      <w:tabs>
        <w:tab w:val="left" w:pos="454"/>
        <w:tab w:val="right" w:pos="7626"/>
      </w:tabs>
      <w:spacing w:after="30" w:line="240" w:lineRule="auto"/>
      <w:ind w:left="454" w:hanging="454"/>
    </w:pPr>
    <w:rPr>
      <w:rFonts w:ascii="Calibri Light" w:hAnsi="Calibri Light"/>
      <w:color w:val="000000" w:themeColor="text1"/>
      <w:sz w:val="24"/>
    </w:rPr>
  </w:style>
  <w:style w:type="paragraph" w:styleId="TOCHeading">
    <w:name w:val="TOC Heading"/>
    <w:basedOn w:val="Normal"/>
    <w:uiPriority w:val="39"/>
    <w:rsid w:val="0081085D"/>
    <w:pPr>
      <w:tabs>
        <w:tab w:val="right" w:pos="7655"/>
      </w:tabs>
      <w:spacing w:after="1220" w:line="204" w:lineRule="auto"/>
    </w:pPr>
    <w:rPr>
      <w:rFonts w:ascii="Calibri Light" w:hAnsi="Calibri Light"/>
      <w:color w:val="3D4D7D" w:themeColor="background2"/>
      <w:sz w:val="52"/>
      <w:szCs w:val="40"/>
    </w:rPr>
  </w:style>
  <w:style w:type="paragraph" w:customStyle="1" w:styleId="TOFHeading">
    <w:name w:val="TOF Heading"/>
    <w:basedOn w:val="Normal"/>
    <w:uiPriority w:val="39"/>
    <w:rsid w:val="0081085D"/>
    <w:pPr>
      <w:keepNext/>
      <w:tabs>
        <w:tab w:val="left" w:pos="2268"/>
      </w:tabs>
      <w:spacing w:before="300" w:after="120"/>
    </w:pPr>
    <w:rPr>
      <w:color w:val="3D4D7D" w:themeColor="background2"/>
      <w:sz w:val="28"/>
      <w:szCs w:val="32"/>
    </w:rPr>
  </w:style>
  <w:style w:type="paragraph" w:customStyle="1" w:styleId="xDisclaimerHeading">
    <w:name w:val="xDisclaimer Heading"/>
    <w:basedOn w:val="Normal"/>
    <w:next w:val="xDisclaimerText"/>
    <w:link w:val="xDisclaimerHeadingChar"/>
    <w:uiPriority w:val="3"/>
    <w:rsid w:val="0081085D"/>
    <w:pPr>
      <w:framePr w:hSpace="181" w:wrap="around" w:hAnchor="margin" w:y="4310"/>
      <w:spacing w:before="320" w:line="280" w:lineRule="atLeast"/>
      <w:suppressOverlap/>
    </w:pPr>
    <w:rPr>
      <w:b/>
      <w:color w:val="3D4D7D" w:themeColor="background2"/>
      <w:sz w:val="26"/>
    </w:rPr>
  </w:style>
  <w:style w:type="character" w:customStyle="1" w:styleId="xDisclaimerHeadingChar">
    <w:name w:val="xDisclaimer Heading Char"/>
    <w:basedOn w:val="DefaultParagraphFont"/>
    <w:link w:val="xDisclaimerHeading"/>
    <w:uiPriority w:val="3"/>
    <w:rsid w:val="0081085D"/>
    <w:rPr>
      <w:b/>
      <w:color w:val="3D4D7D" w:themeColor="background2"/>
      <w:sz w:val="26"/>
    </w:rPr>
  </w:style>
  <w:style w:type="paragraph" w:customStyle="1" w:styleId="xDisclaimerText">
    <w:name w:val="xDisclaimer Text"/>
    <w:basedOn w:val="Normal"/>
    <w:uiPriority w:val="3"/>
    <w:rsid w:val="003A43A0"/>
    <w:pPr>
      <w:framePr w:w="7768" w:wrap="around" w:hAnchor="margin" w:yAlign="bottom"/>
      <w:spacing w:after="57"/>
    </w:pPr>
    <w:rPr>
      <w:rFonts w:cs="Times New Roman"/>
      <w:color w:val="000000" w:themeColor="text1"/>
    </w:rPr>
  </w:style>
  <w:style w:type="paragraph" w:customStyle="1" w:styleId="xDisclaimerText2">
    <w:name w:val="xDisclaimer Text 2"/>
    <w:basedOn w:val="xDisclaimerHeading"/>
    <w:uiPriority w:val="3"/>
    <w:rsid w:val="008A0A35"/>
    <w:pPr>
      <w:framePr w:wrap="around"/>
      <w:spacing w:before="0" w:after="170" w:line="302" w:lineRule="atLeast"/>
    </w:pPr>
    <w:rPr>
      <w:b w:val="0"/>
      <w:color w:val="000000" w:themeColor="text1"/>
      <w:sz w:val="22"/>
    </w:rPr>
  </w:style>
  <w:style w:type="table" w:customStyle="1" w:styleId="FooterPlaceholder">
    <w:name w:val="Footer Placeholder"/>
    <w:basedOn w:val="TableNormal"/>
    <w:uiPriority w:val="99"/>
    <w:rsid w:val="00F24BF6"/>
    <w:pPr>
      <w:spacing w:line="240" w:lineRule="auto"/>
    </w:pPr>
    <w:rPr>
      <w:sz w:val="16"/>
    </w:rPr>
    <w:tblPr>
      <w:tblCellMar>
        <w:left w:w="0" w:type="dxa"/>
        <w:right w:w="0" w:type="dxa"/>
      </w:tblCellMar>
    </w:tblPr>
  </w:style>
  <w:style w:type="paragraph" w:customStyle="1" w:styleId="xInlineShape">
    <w:name w:val="xInlineShape"/>
    <w:basedOn w:val="Normal"/>
    <w:next w:val="BodyText"/>
    <w:uiPriority w:val="3"/>
    <w:rsid w:val="00E54919"/>
    <w:pPr>
      <w:keepNext/>
      <w:spacing w:before="60" w:after="60" w:line="240" w:lineRule="auto"/>
      <w:jc w:val="center"/>
    </w:pPr>
  </w:style>
  <w:style w:type="paragraph" w:customStyle="1" w:styleId="xStatus">
    <w:name w:val="xStatus"/>
    <w:basedOn w:val="Normal"/>
    <w:semiHidden/>
    <w:rsid w:val="0094468E"/>
    <w:pPr>
      <w:tabs>
        <w:tab w:val="left" w:pos="1134"/>
        <w:tab w:val="left" w:pos="2268"/>
        <w:tab w:val="left" w:pos="3402"/>
        <w:tab w:val="left" w:pos="4536"/>
        <w:tab w:val="left" w:pos="5103"/>
      </w:tabs>
      <w:spacing w:line="1400" w:lineRule="exact"/>
      <w:jc w:val="center"/>
    </w:pPr>
    <w:rPr>
      <w:caps/>
      <w:color w:val="EAEAEA"/>
      <w:spacing w:val="40"/>
      <w:sz w:val="140"/>
    </w:rPr>
  </w:style>
  <w:style w:type="character" w:styleId="Hyperlink">
    <w:name w:val="Hyperlink"/>
    <w:basedOn w:val="DefaultParagraphFont"/>
    <w:uiPriority w:val="99"/>
    <w:unhideWhenUsed/>
    <w:rsid w:val="00903E3F"/>
    <w:rPr>
      <w:color w:val="auto"/>
      <w:u w:val="single"/>
    </w:rPr>
  </w:style>
  <w:style w:type="paragraph" w:styleId="BalloonText">
    <w:name w:val="Balloon Text"/>
    <w:basedOn w:val="Normal"/>
    <w:link w:val="BalloonTextChar"/>
    <w:semiHidden/>
    <w:unhideWhenUsed/>
    <w:rsid w:val="00903E3F"/>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E266E"/>
    <w:rPr>
      <w:rFonts w:ascii="Tahoma" w:hAnsi="Tahoma" w:cs="Tahoma"/>
      <w:sz w:val="16"/>
      <w:szCs w:val="16"/>
    </w:rPr>
  </w:style>
  <w:style w:type="paragraph" w:customStyle="1" w:styleId="Heading1NoNumbering">
    <w:name w:val="Heading 1 No Numbering"/>
    <w:basedOn w:val="Heading1"/>
    <w:qFormat/>
    <w:rsid w:val="00AE2E82"/>
    <w:pPr>
      <w:numPr>
        <w:numId w:val="0"/>
      </w:numPr>
      <w:spacing w:after="400"/>
    </w:pPr>
  </w:style>
  <w:style w:type="paragraph" w:styleId="TableofFigures">
    <w:name w:val="table of figures"/>
    <w:basedOn w:val="Normal"/>
    <w:next w:val="Normal"/>
    <w:uiPriority w:val="99"/>
    <w:rsid w:val="00563884"/>
    <w:pPr>
      <w:tabs>
        <w:tab w:val="right" w:pos="7655"/>
      </w:tabs>
      <w:spacing w:after="40"/>
      <w:ind w:right="1985"/>
    </w:pPr>
    <w:rPr>
      <w:rFonts w:ascii="Calibri Light" w:hAnsi="Calibri Light"/>
    </w:rPr>
  </w:style>
  <w:style w:type="paragraph" w:customStyle="1" w:styleId="TableTextCentred">
    <w:name w:val="Table Text Centred"/>
    <w:basedOn w:val="TableText"/>
    <w:qFormat/>
    <w:rsid w:val="00AE1CC1"/>
    <w:pPr>
      <w:jc w:val="center"/>
    </w:pPr>
    <w:rPr>
      <w:rFonts w:eastAsia="Times New Roman"/>
      <w:lang w:eastAsia="en-AU"/>
    </w:rPr>
  </w:style>
  <w:style w:type="character" w:customStyle="1" w:styleId="MyBoldItalicsUnderline">
    <w:name w:val="MyBoldItalicsUnderline"/>
    <w:uiPriority w:val="99"/>
    <w:rsid w:val="000E266E"/>
    <w:rPr>
      <w:b/>
      <w:i/>
      <w:u w:val="single"/>
      <w:vertAlign w:val="baseline"/>
    </w:rPr>
  </w:style>
  <w:style w:type="character" w:customStyle="1" w:styleId="MyBoldUnderline">
    <w:name w:val="MyBoldUnderline"/>
    <w:uiPriority w:val="99"/>
    <w:rsid w:val="000E266E"/>
    <w:rPr>
      <w:b/>
      <w:i/>
      <w:u w:val="single"/>
      <w:vertAlign w:val="baseline"/>
    </w:rPr>
  </w:style>
  <w:style w:type="character" w:customStyle="1" w:styleId="MyItalicsUnderline">
    <w:name w:val="MyItalicsUnderline"/>
    <w:uiPriority w:val="99"/>
    <w:rsid w:val="000E266E"/>
    <w:rPr>
      <w:b/>
      <w:i/>
      <w:u w:val="single"/>
      <w:vertAlign w:val="baseline"/>
    </w:rPr>
  </w:style>
  <w:style w:type="character" w:customStyle="1" w:styleId="MyUnderline">
    <w:name w:val="MyUnderline"/>
    <w:uiPriority w:val="99"/>
    <w:rsid w:val="000E266E"/>
    <w:rPr>
      <w:b w:val="0"/>
      <w:i w:val="0"/>
      <w:u w:val="single"/>
      <w:vertAlign w:val="baseline"/>
    </w:rPr>
  </w:style>
  <w:style w:type="paragraph" w:customStyle="1" w:styleId="BodyTextAfterListTable">
    <w:name w:val="Body Text After List/Table"/>
    <w:basedOn w:val="BodyText"/>
    <w:next w:val="BodyText"/>
    <w:qFormat/>
    <w:rsid w:val="00E167B4"/>
    <w:pPr>
      <w:spacing w:before="240"/>
    </w:pPr>
  </w:style>
  <w:style w:type="paragraph" w:customStyle="1" w:styleId="TableTextIndented">
    <w:name w:val="Table Text Indented"/>
    <w:basedOn w:val="TableText"/>
    <w:qFormat/>
    <w:rsid w:val="009B1E4D"/>
    <w:pPr>
      <w:ind w:left="170"/>
    </w:pPr>
  </w:style>
  <w:style w:type="character" w:customStyle="1" w:styleId="Title3Heading">
    <w:name w:val="Title 3 Heading"/>
    <w:basedOn w:val="DefaultParagraphFont"/>
    <w:uiPriority w:val="3"/>
    <w:qFormat/>
    <w:rsid w:val="008621A9"/>
    <w:rPr>
      <w:sz w:val="36"/>
    </w:rPr>
  </w:style>
  <w:style w:type="character" w:customStyle="1" w:styleId="Title3Char">
    <w:name w:val="Title 3 Char"/>
    <w:basedOn w:val="Title2Char"/>
    <w:link w:val="Title3"/>
    <w:uiPriority w:val="3"/>
    <w:rsid w:val="0081085D"/>
    <w:rPr>
      <w:rFonts w:asciiTheme="majorHAnsi" w:eastAsia="Times New Roman" w:hAnsiTheme="majorHAnsi" w:cs="Arial"/>
      <w:b w:val="0"/>
      <w:color w:val="3D4D7D" w:themeColor="background2"/>
      <w:spacing w:val="-1"/>
      <w:sz w:val="46"/>
      <w:lang w:eastAsia="en-AU"/>
    </w:rPr>
  </w:style>
  <w:style w:type="character" w:styleId="CommentReference">
    <w:name w:val="annotation reference"/>
    <w:basedOn w:val="DefaultParagraphFont"/>
    <w:uiPriority w:val="99"/>
    <w:semiHidden/>
    <w:unhideWhenUsed/>
    <w:rsid w:val="00217EF3"/>
    <w:rPr>
      <w:sz w:val="16"/>
      <w:szCs w:val="16"/>
    </w:rPr>
  </w:style>
  <w:style w:type="paragraph" w:styleId="CommentText">
    <w:name w:val="annotation text"/>
    <w:basedOn w:val="Normal"/>
    <w:link w:val="CommentTextChar"/>
    <w:uiPriority w:val="99"/>
    <w:unhideWhenUsed/>
    <w:rsid w:val="00217EF3"/>
    <w:pPr>
      <w:spacing w:line="240" w:lineRule="auto"/>
    </w:pPr>
    <w:rPr>
      <w:sz w:val="20"/>
      <w:szCs w:val="20"/>
    </w:rPr>
  </w:style>
  <w:style w:type="character" w:customStyle="1" w:styleId="CommentTextChar">
    <w:name w:val="Comment Text Char"/>
    <w:basedOn w:val="DefaultParagraphFont"/>
    <w:link w:val="CommentText"/>
    <w:uiPriority w:val="99"/>
    <w:rsid w:val="00217EF3"/>
    <w:rPr>
      <w:sz w:val="20"/>
      <w:szCs w:val="20"/>
    </w:rPr>
  </w:style>
  <w:style w:type="paragraph" w:styleId="CommentSubject">
    <w:name w:val="annotation subject"/>
    <w:basedOn w:val="CommentText"/>
    <w:next w:val="CommentText"/>
    <w:link w:val="CommentSubjectChar"/>
    <w:semiHidden/>
    <w:unhideWhenUsed/>
    <w:rsid w:val="00217EF3"/>
    <w:rPr>
      <w:b/>
      <w:bCs/>
    </w:rPr>
  </w:style>
  <w:style w:type="character" w:customStyle="1" w:styleId="CommentSubjectChar">
    <w:name w:val="Comment Subject Char"/>
    <w:basedOn w:val="CommentTextChar"/>
    <w:link w:val="CommentSubject"/>
    <w:semiHidden/>
    <w:rsid w:val="00217EF3"/>
    <w:rPr>
      <w:b/>
      <w:bCs/>
      <w:sz w:val="20"/>
      <w:szCs w:val="20"/>
    </w:rPr>
  </w:style>
  <w:style w:type="table" w:styleId="ColorfulGrid">
    <w:name w:val="Colorful Grid"/>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D7E6" w:themeFill="accent1" w:themeFillTint="33"/>
    </w:tcPr>
    <w:tblStylePr w:type="firstRow">
      <w:rPr>
        <w:b/>
        <w:bCs/>
      </w:rPr>
      <w:tblPr/>
      <w:tcPr>
        <w:shd w:val="clear" w:color="auto" w:fill="D6B0CE" w:themeFill="accent1" w:themeFillTint="66"/>
      </w:tcPr>
    </w:tblStylePr>
    <w:tblStylePr w:type="lastRow">
      <w:rPr>
        <w:b/>
        <w:bCs/>
        <w:color w:val="000000" w:themeColor="text1"/>
      </w:rPr>
      <w:tblPr/>
      <w:tcPr>
        <w:shd w:val="clear" w:color="auto" w:fill="D6B0CE" w:themeFill="accent1" w:themeFillTint="66"/>
      </w:tcPr>
    </w:tblStylePr>
    <w:tblStylePr w:type="firstCol">
      <w:rPr>
        <w:color w:val="FFFFFF" w:themeColor="background1"/>
      </w:rPr>
      <w:tblPr/>
      <w:tcPr>
        <w:shd w:val="clear" w:color="auto" w:fill="69365E" w:themeFill="accent1" w:themeFillShade="BF"/>
      </w:tcPr>
    </w:tblStylePr>
    <w:tblStylePr w:type="lastCol">
      <w:rPr>
        <w:color w:val="FFFFFF" w:themeColor="background1"/>
      </w:rPr>
      <w:tblPr/>
      <w:tcPr>
        <w:shd w:val="clear" w:color="auto" w:fill="69365E" w:themeFill="accent1" w:themeFillShade="BF"/>
      </w:tc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ColorfulGrid-Accent2">
    <w:name w:val="Colorful Grid Accent 2"/>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3DBD9" w:themeFill="accent2" w:themeFillTint="33"/>
    </w:tcPr>
    <w:tblStylePr w:type="firstRow">
      <w:rPr>
        <w:b/>
        <w:bCs/>
      </w:rPr>
      <w:tblPr/>
      <w:tcPr>
        <w:shd w:val="clear" w:color="auto" w:fill="E8B7B4" w:themeFill="accent2" w:themeFillTint="66"/>
      </w:tcPr>
    </w:tblStylePr>
    <w:tblStylePr w:type="lastRow">
      <w:rPr>
        <w:b/>
        <w:bCs/>
        <w:color w:val="000000" w:themeColor="text1"/>
      </w:rPr>
      <w:tblPr/>
      <w:tcPr>
        <w:shd w:val="clear" w:color="auto" w:fill="E8B7B4" w:themeFill="accent2" w:themeFillTint="66"/>
      </w:tcPr>
    </w:tblStylePr>
    <w:tblStylePr w:type="firstCol">
      <w:rPr>
        <w:color w:val="FFFFFF" w:themeColor="background1"/>
      </w:rPr>
      <w:tblPr/>
      <w:tcPr>
        <w:shd w:val="clear" w:color="auto" w:fill="98362F" w:themeFill="accent2" w:themeFillShade="BF"/>
      </w:tcPr>
    </w:tblStylePr>
    <w:tblStylePr w:type="lastCol">
      <w:rPr>
        <w:color w:val="FFFFFF" w:themeColor="background1"/>
      </w:rPr>
      <w:tblPr/>
      <w:tcPr>
        <w:shd w:val="clear" w:color="auto" w:fill="98362F" w:themeFill="accent2" w:themeFillShade="BF"/>
      </w:tc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ColorfulGrid-Accent3">
    <w:name w:val="Colorful Grid Accent 3"/>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E6D8" w:themeFill="accent3" w:themeFillTint="33"/>
    </w:tcPr>
    <w:tblStylePr w:type="firstRow">
      <w:rPr>
        <w:b/>
        <w:bCs/>
      </w:rPr>
      <w:tblPr/>
      <w:tcPr>
        <w:shd w:val="clear" w:color="auto" w:fill="F9CEB1" w:themeFill="accent3" w:themeFillTint="66"/>
      </w:tcPr>
    </w:tblStylePr>
    <w:tblStylePr w:type="lastRow">
      <w:rPr>
        <w:b/>
        <w:bCs/>
        <w:color w:val="000000" w:themeColor="text1"/>
      </w:rPr>
      <w:tblPr/>
      <w:tcPr>
        <w:shd w:val="clear" w:color="auto" w:fill="F9CEB1" w:themeFill="accent3" w:themeFillTint="66"/>
      </w:tcPr>
    </w:tblStylePr>
    <w:tblStylePr w:type="firstCol">
      <w:rPr>
        <w:color w:val="FFFFFF" w:themeColor="background1"/>
      </w:rPr>
      <w:tblPr/>
      <w:tcPr>
        <w:shd w:val="clear" w:color="auto" w:fill="D25E0F" w:themeFill="accent3" w:themeFillShade="BF"/>
      </w:tcPr>
    </w:tblStylePr>
    <w:tblStylePr w:type="lastCol">
      <w:rPr>
        <w:color w:val="FFFFFF" w:themeColor="background1"/>
      </w:rPr>
      <w:tblPr/>
      <w:tcPr>
        <w:shd w:val="clear" w:color="auto" w:fill="D25E0F" w:themeFill="accent3" w:themeFillShade="BF"/>
      </w:tc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ColorfulGrid-Accent4">
    <w:name w:val="Colorful Grid Accent 4"/>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3DA" w:themeFill="accent4" w:themeFillTint="33"/>
    </w:tcPr>
    <w:tblStylePr w:type="firstRow">
      <w:rPr>
        <w:b/>
        <w:bCs/>
      </w:rPr>
      <w:tblPr/>
      <w:tcPr>
        <w:shd w:val="clear" w:color="auto" w:fill="FDE7B5" w:themeFill="accent4" w:themeFillTint="66"/>
      </w:tcPr>
    </w:tblStylePr>
    <w:tblStylePr w:type="lastRow">
      <w:rPr>
        <w:b/>
        <w:bCs/>
        <w:color w:val="000000" w:themeColor="text1"/>
      </w:rPr>
      <w:tblPr/>
      <w:tcPr>
        <w:shd w:val="clear" w:color="auto" w:fill="FDE7B5" w:themeFill="accent4" w:themeFillTint="66"/>
      </w:tcPr>
    </w:tblStylePr>
    <w:tblStylePr w:type="firstCol">
      <w:rPr>
        <w:color w:val="FFFFFF" w:themeColor="background1"/>
      </w:rPr>
      <w:tblPr/>
      <w:tcPr>
        <w:shd w:val="clear" w:color="auto" w:fill="EEA704" w:themeFill="accent4" w:themeFillShade="BF"/>
      </w:tcPr>
    </w:tblStylePr>
    <w:tblStylePr w:type="lastCol">
      <w:rPr>
        <w:color w:val="FFFFFF" w:themeColor="background1"/>
      </w:rPr>
      <w:tblPr/>
      <w:tcPr>
        <w:shd w:val="clear" w:color="auto" w:fill="EEA704" w:themeFill="accent4" w:themeFillShade="BF"/>
      </w:tc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ColorfulGrid-Accent5">
    <w:name w:val="Colorful Grid Accent 5"/>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6F2DD" w:themeFill="accent5" w:themeFillTint="33"/>
    </w:tcPr>
    <w:tblStylePr w:type="firstRow">
      <w:rPr>
        <w:b/>
        <w:bCs/>
      </w:rPr>
      <w:tblPr/>
      <w:tcPr>
        <w:shd w:val="clear" w:color="auto" w:fill="CEE5BB" w:themeFill="accent5" w:themeFillTint="66"/>
      </w:tcPr>
    </w:tblStylePr>
    <w:tblStylePr w:type="lastRow">
      <w:rPr>
        <w:b/>
        <w:bCs/>
        <w:color w:val="000000" w:themeColor="text1"/>
      </w:rPr>
      <w:tblPr/>
      <w:tcPr>
        <w:shd w:val="clear" w:color="auto" w:fill="CEE5BB" w:themeFill="accent5" w:themeFillTint="66"/>
      </w:tcPr>
    </w:tblStylePr>
    <w:tblStylePr w:type="firstCol">
      <w:rPr>
        <w:color w:val="FFFFFF" w:themeColor="background1"/>
      </w:rPr>
      <w:tblPr/>
      <w:tcPr>
        <w:shd w:val="clear" w:color="auto" w:fill="63953A" w:themeFill="accent5" w:themeFillShade="BF"/>
      </w:tcPr>
    </w:tblStylePr>
    <w:tblStylePr w:type="lastCol">
      <w:rPr>
        <w:color w:val="FFFFFF" w:themeColor="background1"/>
      </w:rPr>
      <w:tblPr/>
      <w:tcPr>
        <w:shd w:val="clear" w:color="auto" w:fill="63953A" w:themeFill="accent5" w:themeFillShade="BF"/>
      </w:tc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ColorfulGrid-Accent6">
    <w:name w:val="Colorful Grid Accent 6"/>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5E6" w:themeFill="accent6" w:themeFillTint="33"/>
    </w:tcPr>
    <w:tblStylePr w:type="firstRow">
      <w:rPr>
        <w:b/>
        <w:bCs/>
      </w:rPr>
      <w:tblPr/>
      <w:tcPr>
        <w:shd w:val="clear" w:color="auto" w:fill="C8CCCD" w:themeFill="accent6" w:themeFillTint="66"/>
      </w:tcPr>
    </w:tblStylePr>
    <w:tblStylePr w:type="lastRow">
      <w:rPr>
        <w:b/>
        <w:bCs/>
        <w:color w:val="000000" w:themeColor="text1"/>
      </w:rPr>
      <w:tblPr/>
      <w:tcPr>
        <w:shd w:val="clear" w:color="auto" w:fill="C8CCCD" w:themeFill="accent6" w:themeFillTint="66"/>
      </w:tcPr>
    </w:tblStylePr>
    <w:tblStylePr w:type="firstCol">
      <w:rPr>
        <w:color w:val="FFFFFF" w:themeColor="background1"/>
      </w:rPr>
      <w:tblPr/>
      <w:tcPr>
        <w:shd w:val="clear" w:color="auto" w:fill="5A6062" w:themeFill="accent6" w:themeFillShade="BF"/>
      </w:tcPr>
    </w:tblStylePr>
    <w:tblStylePr w:type="lastCol">
      <w:rPr>
        <w:color w:val="FFFFFF" w:themeColor="background1"/>
      </w:rPr>
      <w:tblPr/>
      <w:tcPr>
        <w:shd w:val="clear" w:color="auto" w:fill="5A6062" w:themeFill="accent6" w:themeFillShade="BF"/>
      </w:tc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ColorfulList">
    <w:name w:val="Colorful List"/>
    <w:basedOn w:val="TableNormal"/>
    <w:uiPriority w:val="72"/>
    <w:semiHidden/>
    <w:rsid w:val="00EE3EB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EE3EB6"/>
    <w:pPr>
      <w:spacing w:line="240" w:lineRule="auto"/>
    </w:pPr>
    <w:rPr>
      <w:color w:val="000000" w:themeColor="text1"/>
    </w:rPr>
    <w:tblPr>
      <w:tblStyleRowBandSize w:val="1"/>
      <w:tblStyleColBandSize w:val="1"/>
    </w:tblPr>
    <w:tcPr>
      <w:shd w:val="clear" w:color="auto" w:fill="F5EBF3" w:themeFill="accen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CEE1" w:themeFill="accent1" w:themeFillTint="3F"/>
      </w:tcPr>
    </w:tblStylePr>
    <w:tblStylePr w:type="band1Horz">
      <w:tblPr/>
      <w:tcPr>
        <w:shd w:val="clear" w:color="auto" w:fill="EAD7E6" w:themeFill="accent1" w:themeFillTint="33"/>
      </w:tcPr>
    </w:tblStylePr>
  </w:style>
  <w:style w:type="table" w:styleId="ColorfulList-Accent2">
    <w:name w:val="Colorful List Accent 2"/>
    <w:basedOn w:val="TableNormal"/>
    <w:uiPriority w:val="72"/>
    <w:semiHidden/>
    <w:rsid w:val="00EE3EB6"/>
    <w:pPr>
      <w:spacing w:line="240" w:lineRule="auto"/>
    </w:pPr>
    <w:rPr>
      <w:color w:val="000000" w:themeColor="text1"/>
    </w:rPr>
    <w:tblPr>
      <w:tblStyleRowBandSize w:val="1"/>
      <w:tblStyleColBandSize w:val="1"/>
    </w:tblPr>
    <w:tcPr>
      <w:shd w:val="clear" w:color="auto" w:fill="F9EDEC" w:themeFill="accent2"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D2D0" w:themeFill="accent2" w:themeFillTint="3F"/>
      </w:tcPr>
    </w:tblStylePr>
    <w:tblStylePr w:type="band1Horz">
      <w:tblPr/>
      <w:tcPr>
        <w:shd w:val="clear" w:color="auto" w:fill="F3DBD9" w:themeFill="accent2" w:themeFillTint="33"/>
      </w:tcPr>
    </w:tblStylePr>
  </w:style>
  <w:style w:type="table" w:styleId="ColorfulList-Accent3">
    <w:name w:val="Colorful List Accent 3"/>
    <w:basedOn w:val="TableNormal"/>
    <w:uiPriority w:val="72"/>
    <w:semiHidden/>
    <w:rsid w:val="00EE3EB6"/>
    <w:pPr>
      <w:spacing w:line="240" w:lineRule="auto"/>
    </w:pPr>
    <w:rPr>
      <w:color w:val="000000" w:themeColor="text1"/>
    </w:rPr>
    <w:tblPr>
      <w:tblStyleRowBandSize w:val="1"/>
      <w:tblStyleColBandSize w:val="1"/>
    </w:tblPr>
    <w:tcPr>
      <w:shd w:val="clear" w:color="auto" w:fill="FDF3EB" w:themeFill="accent3" w:themeFillTint="19"/>
    </w:tcPr>
    <w:tblStylePr w:type="firstRow">
      <w:rPr>
        <w:b/>
        <w:bCs/>
        <w:color w:val="FFFFFF" w:themeColor="background1"/>
      </w:rPr>
      <w:tblPr/>
      <w:tcPr>
        <w:tcBorders>
          <w:bottom w:val="single" w:sz="12" w:space="0" w:color="FFFFFF" w:themeColor="background1"/>
        </w:tcBorders>
        <w:shd w:val="clear" w:color="auto" w:fill="FBB108" w:themeFill="accent4" w:themeFillShade="CC"/>
      </w:tcPr>
    </w:tblStylePr>
    <w:tblStylePr w:type="lastRow">
      <w:rPr>
        <w:b/>
        <w:bCs/>
        <w:color w:val="FBB10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CE" w:themeFill="accent3" w:themeFillTint="3F"/>
      </w:tcPr>
    </w:tblStylePr>
    <w:tblStylePr w:type="band1Horz">
      <w:tblPr/>
      <w:tcPr>
        <w:shd w:val="clear" w:color="auto" w:fill="FCE6D8" w:themeFill="accent3" w:themeFillTint="33"/>
      </w:tcPr>
    </w:tblStylePr>
  </w:style>
  <w:style w:type="table" w:styleId="ColorfulList-Accent4">
    <w:name w:val="Colorful List Accent 4"/>
    <w:basedOn w:val="TableNormal"/>
    <w:uiPriority w:val="72"/>
    <w:semiHidden/>
    <w:rsid w:val="00EE3EB6"/>
    <w:pPr>
      <w:spacing w:line="240" w:lineRule="auto"/>
    </w:pPr>
    <w:rPr>
      <w:color w:val="000000" w:themeColor="text1"/>
    </w:rPr>
    <w:tblPr>
      <w:tblStyleRowBandSize w:val="1"/>
      <w:tblStyleColBandSize w:val="1"/>
    </w:tblPr>
    <w:tcPr>
      <w:shd w:val="clear" w:color="auto" w:fill="FEF9EC" w:themeFill="accent4" w:themeFillTint="19"/>
    </w:tcPr>
    <w:tblStylePr w:type="firstRow">
      <w:rPr>
        <w:b/>
        <w:bCs/>
        <w:color w:val="FFFFFF" w:themeColor="background1"/>
      </w:rPr>
      <w:tblPr/>
      <w:tcPr>
        <w:tcBorders>
          <w:bottom w:val="single" w:sz="12" w:space="0" w:color="FFFFFF" w:themeColor="background1"/>
        </w:tcBorders>
        <w:shd w:val="clear" w:color="auto" w:fill="E16510" w:themeFill="accent3" w:themeFillShade="CC"/>
      </w:tcPr>
    </w:tblStylePr>
    <w:tblStylePr w:type="lastRow">
      <w:rPr>
        <w:b/>
        <w:bCs/>
        <w:color w:val="E1651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0D1" w:themeFill="accent4" w:themeFillTint="3F"/>
      </w:tcPr>
    </w:tblStylePr>
    <w:tblStylePr w:type="band1Horz">
      <w:tblPr/>
      <w:tcPr>
        <w:shd w:val="clear" w:color="auto" w:fill="FEF3DA" w:themeFill="accent4" w:themeFillTint="33"/>
      </w:tcPr>
    </w:tblStylePr>
  </w:style>
  <w:style w:type="table" w:styleId="ColorfulList-Accent5">
    <w:name w:val="Colorful List Accent 5"/>
    <w:basedOn w:val="TableNormal"/>
    <w:uiPriority w:val="72"/>
    <w:semiHidden/>
    <w:rsid w:val="00EE3EB6"/>
    <w:pPr>
      <w:spacing w:line="240" w:lineRule="auto"/>
    </w:pPr>
    <w:rPr>
      <w:color w:val="000000" w:themeColor="text1"/>
    </w:rPr>
    <w:tblPr>
      <w:tblStyleRowBandSize w:val="1"/>
      <w:tblStyleColBandSize w:val="1"/>
    </w:tblPr>
    <w:tcPr>
      <w:shd w:val="clear" w:color="auto" w:fill="F3F8EE" w:themeFill="accent5" w:themeFillTint="19"/>
    </w:tcPr>
    <w:tblStylePr w:type="firstRow">
      <w:rPr>
        <w:b/>
        <w:bCs/>
        <w:color w:val="FFFFFF" w:themeColor="background1"/>
      </w:rPr>
      <w:tblPr/>
      <w:tcPr>
        <w:tcBorders>
          <w:bottom w:val="single" w:sz="12" w:space="0" w:color="FFFFFF" w:themeColor="background1"/>
        </w:tcBorders>
        <w:shd w:val="clear" w:color="auto" w:fill="606768" w:themeFill="accent6" w:themeFillShade="CC"/>
      </w:tcPr>
    </w:tblStylePr>
    <w:tblStylePr w:type="lastRow">
      <w:rPr>
        <w:b/>
        <w:bCs/>
        <w:color w:val="60676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FD5" w:themeFill="accent5" w:themeFillTint="3F"/>
      </w:tcPr>
    </w:tblStylePr>
    <w:tblStylePr w:type="band1Horz">
      <w:tblPr/>
      <w:tcPr>
        <w:shd w:val="clear" w:color="auto" w:fill="E6F2DD" w:themeFill="accent5" w:themeFillTint="33"/>
      </w:tcPr>
    </w:tblStylePr>
  </w:style>
  <w:style w:type="table" w:styleId="ColorfulList-Accent6">
    <w:name w:val="Colorful List Accent 6"/>
    <w:basedOn w:val="TableNormal"/>
    <w:uiPriority w:val="72"/>
    <w:semiHidden/>
    <w:rsid w:val="00EE3EB6"/>
    <w:pPr>
      <w:spacing w:line="240" w:lineRule="auto"/>
    </w:pPr>
    <w:rPr>
      <w:color w:val="000000" w:themeColor="text1"/>
    </w:rPr>
    <w:tblPr>
      <w:tblStyleRowBandSize w:val="1"/>
      <w:tblStyleColBandSize w:val="1"/>
    </w:tblPr>
    <w:tcPr>
      <w:shd w:val="clear" w:color="auto" w:fill="F1F2F2" w:themeFill="accent6" w:themeFillTint="19"/>
    </w:tcPr>
    <w:tblStylePr w:type="firstRow">
      <w:rPr>
        <w:b/>
        <w:bCs/>
        <w:color w:val="FFFFFF" w:themeColor="background1"/>
      </w:rPr>
      <w:tblPr/>
      <w:tcPr>
        <w:tcBorders>
          <w:bottom w:val="single" w:sz="12" w:space="0" w:color="FFFFFF" w:themeColor="background1"/>
        </w:tcBorders>
        <w:shd w:val="clear" w:color="auto" w:fill="6A9F3D" w:themeFill="accent5" w:themeFillShade="CC"/>
      </w:tcPr>
    </w:tblStylePr>
    <w:tblStylePr w:type="lastRow">
      <w:rPr>
        <w:b/>
        <w:bCs/>
        <w:color w:val="6A9F3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FE0" w:themeFill="accent6" w:themeFillTint="3F"/>
      </w:tcPr>
    </w:tblStylePr>
    <w:tblStylePr w:type="band1Horz">
      <w:tblPr/>
      <w:tcPr>
        <w:shd w:val="clear" w:color="auto" w:fill="E3E5E6" w:themeFill="accent6" w:themeFillTint="33"/>
      </w:tcPr>
    </w:tblStylePr>
  </w:style>
  <w:style w:type="table" w:styleId="ColorfulShading">
    <w:name w:val="Colorful Shading"/>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8D487F" w:themeColor="accent1"/>
        <w:bottom w:val="single" w:sz="4" w:space="0" w:color="8D487F" w:themeColor="accent1"/>
        <w:right w:val="single" w:sz="4" w:space="0" w:color="8D487F" w:themeColor="accent1"/>
        <w:insideH w:val="single" w:sz="4" w:space="0" w:color="FFFFFF" w:themeColor="background1"/>
        <w:insideV w:val="single" w:sz="4" w:space="0" w:color="FFFFFF" w:themeColor="background1"/>
      </w:tblBorders>
    </w:tblPr>
    <w:tcPr>
      <w:shd w:val="clear" w:color="auto" w:fill="F5EBF3" w:themeFill="accen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2B4B" w:themeFill="accent1" w:themeFillShade="99"/>
      </w:tcPr>
    </w:tblStylePr>
    <w:tblStylePr w:type="firstCol">
      <w:rPr>
        <w:color w:val="FFFFFF" w:themeColor="background1"/>
      </w:rPr>
      <w:tblPr/>
      <w:tcPr>
        <w:tcBorders>
          <w:top w:val="nil"/>
          <w:left w:val="nil"/>
          <w:bottom w:val="nil"/>
          <w:right w:val="nil"/>
          <w:insideH w:val="single" w:sz="4" w:space="0" w:color="542B4B" w:themeColor="accent1" w:themeShade="99"/>
          <w:insideV w:val="nil"/>
        </w:tcBorders>
        <w:shd w:val="clear" w:color="auto" w:fill="542B4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42B4B" w:themeFill="accent1" w:themeFillShade="99"/>
      </w:tcPr>
    </w:tblStylePr>
    <w:tblStylePr w:type="band1Vert">
      <w:tblPr/>
      <w:tcPr>
        <w:shd w:val="clear" w:color="auto" w:fill="D6B0CE" w:themeFill="accent1" w:themeFillTint="66"/>
      </w:tcPr>
    </w:tblStylePr>
    <w:tblStylePr w:type="band1Horz">
      <w:tblPr/>
      <w:tcPr>
        <w:shd w:val="clear" w:color="auto" w:fill="CD9DC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C64E45" w:themeColor="accent2"/>
        <w:bottom w:val="single" w:sz="4" w:space="0" w:color="C64E45" w:themeColor="accent2"/>
        <w:right w:val="single" w:sz="4" w:space="0" w:color="C64E45" w:themeColor="accent2"/>
        <w:insideH w:val="single" w:sz="4" w:space="0" w:color="FFFFFF" w:themeColor="background1"/>
        <w:insideV w:val="single" w:sz="4" w:space="0" w:color="FFFFFF" w:themeColor="background1"/>
      </w:tblBorders>
    </w:tblPr>
    <w:tcPr>
      <w:shd w:val="clear" w:color="auto" w:fill="F9EDEC" w:themeFill="accent2"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2B25" w:themeFill="accent2" w:themeFillShade="99"/>
      </w:tcPr>
    </w:tblStylePr>
    <w:tblStylePr w:type="firstCol">
      <w:rPr>
        <w:color w:val="FFFFFF" w:themeColor="background1"/>
      </w:rPr>
      <w:tblPr/>
      <w:tcPr>
        <w:tcBorders>
          <w:top w:val="nil"/>
          <w:left w:val="nil"/>
          <w:bottom w:val="nil"/>
          <w:right w:val="nil"/>
          <w:insideH w:val="single" w:sz="4" w:space="0" w:color="7A2B25" w:themeColor="accent2" w:themeShade="99"/>
          <w:insideV w:val="nil"/>
        </w:tcBorders>
        <w:shd w:val="clear" w:color="auto" w:fill="7A2B2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A2B25" w:themeFill="accent2" w:themeFillShade="99"/>
      </w:tcPr>
    </w:tblStylePr>
    <w:tblStylePr w:type="band1Vert">
      <w:tblPr/>
      <w:tcPr>
        <w:shd w:val="clear" w:color="auto" w:fill="E8B7B4" w:themeFill="accent2" w:themeFillTint="66"/>
      </w:tcPr>
    </w:tblStylePr>
    <w:tblStylePr w:type="band1Horz">
      <w:tblPr/>
      <w:tcPr>
        <w:shd w:val="clear" w:color="auto" w:fill="E2A6A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EE3EB6"/>
    <w:pPr>
      <w:spacing w:line="240" w:lineRule="auto"/>
    </w:pPr>
    <w:rPr>
      <w:color w:val="000000" w:themeColor="text1"/>
    </w:rPr>
    <w:tblPr>
      <w:tblStyleRowBandSize w:val="1"/>
      <w:tblStyleColBandSize w:val="1"/>
      <w:tblBorders>
        <w:top w:val="single" w:sz="24" w:space="0" w:color="FCC648" w:themeColor="accent4"/>
        <w:left w:val="single" w:sz="4" w:space="0" w:color="F1873D" w:themeColor="accent3"/>
        <w:bottom w:val="single" w:sz="4" w:space="0" w:color="F1873D" w:themeColor="accent3"/>
        <w:right w:val="single" w:sz="4" w:space="0" w:color="F1873D" w:themeColor="accent3"/>
        <w:insideH w:val="single" w:sz="4" w:space="0" w:color="FFFFFF" w:themeColor="background1"/>
        <w:insideV w:val="single" w:sz="4" w:space="0" w:color="FFFFFF" w:themeColor="background1"/>
      </w:tblBorders>
    </w:tblPr>
    <w:tcPr>
      <w:shd w:val="clear" w:color="auto" w:fill="FDF3EB" w:themeFill="accent3" w:themeFillTint="19"/>
    </w:tcPr>
    <w:tblStylePr w:type="firstRow">
      <w:rPr>
        <w:b/>
        <w:bCs/>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4C0C" w:themeFill="accent3" w:themeFillShade="99"/>
      </w:tcPr>
    </w:tblStylePr>
    <w:tblStylePr w:type="firstCol">
      <w:rPr>
        <w:color w:val="FFFFFF" w:themeColor="background1"/>
      </w:rPr>
      <w:tblPr/>
      <w:tcPr>
        <w:tcBorders>
          <w:top w:val="nil"/>
          <w:left w:val="nil"/>
          <w:bottom w:val="nil"/>
          <w:right w:val="nil"/>
          <w:insideH w:val="single" w:sz="4" w:space="0" w:color="A84C0C" w:themeColor="accent3" w:themeShade="99"/>
          <w:insideV w:val="nil"/>
        </w:tcBorders>
        <w:shd w:val="clear" w:color="auto" w:fill="A84C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84C0C" w:themeFill="accent3" w:themeFillShade="99"/>
      </w:tcPr>
    </w:tblStylePr>
    <w:tblStylePr w:type="band1Vert">
      <w:tblPr/>
      <w:tcPr>
        <w:shd w:val="clear" w:color="auto" w:fill="F9CEB1" w:themeFill="accent3" w:themeFillTint="66"/>
      </w:tcPr>
    </w:tblStylePr>
    <w:tblStylePr w:type="band1Horz">
      <w:tblPr/>
      <w:tcPr>
        <w:shd w:val="clear" w:color="auto" w:fill="F8C29E" w:themeFill="accent3" w:themeFillTint="7F"/>
      </w:tcPr>
    </w:tblStylePr>
  </w:style>
  <w:style w:type="table" w:styleId="ColorfulShading-Accent4">
    <w:name w:val="Colorful Shading Accent 4"/>
    <w:basedOn w:val="TableNormal"/>
    <w:uiPriority w:val="71"/>
    <w:semiHidden/>
    <w:rsid w:val="00EE3EB6"/>
    <w:pPr>
      <w:spacing w:line="240" w:lineRule="auto"/>
    </w:pPr>
    <w:rPr>
      <w:color w:val="000000" w:themeColor="text1"/>
    </w:rPr>
    <w:tblPr>
      <w:tblStyleRowBandSize w:val="1"/>
      <w:tblStyleColBandSize w:val="1"/>
      <w:tblBorders>
        <w:top w:val="single" w:sz="24" w:space="0" w:color="F1873D" w:themeColor="accent3"/>
        <w:left w:val="single" w:sz="4" w:space="0" w:color="FCC648" w:themeColor="accent4"/>
        <w:bottom w:val="single" w:sz="4" w:space="0" w:color="FCC648" w:themeColor="accent4"/>
        <w:right w:val="single" w:sz="4" w:space="0" w:color="FCC648" w:themeColor="accent4"/>
        <w:insideH w:val="single" w:sz="4" w:space="0" w:color="FFFFFF" w:themeColor="background1"/>
        <w:insideV w:val="single" w:sz="4" w:space="0" w:color="FFFFFF" w:themeColor="background1"/>
      </w:tblBorders>
    </w:tblPr>
    <w:tcPr>
      <w:shd w:val="clear" w:color="auto" w:fill="FEF9EC" w:themeFill="accent4" w:themeFillTint="19"/>
    </w:tcPr>
    <w:tblStylePr w:type="firstRow">
      <w:rPr>
        <w:b/>
        <w:bCs/>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8603" w:themeFill="accent4" w:themeFillShade="99"/>
      </w:tcPr>
    </w:tblStylePr>
    <w:tblStylePr w:type="firstCol">
      <w:rPr>
        <w:color w:val="FFFFFF" w:themeColor="background1"/>
      </w:rPr>
      <w:tblPr/>
      <w:tcPr>
        <w:tcBorders>
          <w:top w:val="nil"/>
          <w:left w:val="nil"/>
          <w:bottom w:val="nil"/>
          <w:right w:val="nil"/>
          <w:insideH w:val="single" w:sz="4" w:space="0" w:color="BF8603" w:themeColor="accent4" w:themeShade="99"/>
          <w:insideV w:val="nil"/>
        </w:tcBorders>
        <w:shd w:val="clear" w:color="auto" w:fill="BF860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F8603" w:themeFill="accent4" w:themeFillShade="99"/>
      </w:tcPr>
    </w:tblStylePr>
    <w:tblStylePr w:type="band1Vert">
      <w:tblPr/>
      <w:tcPr>
        <w:shd w:val="clear" w:color="auto" w:fill="FDE7B5" w:themeFill="accent4" w:themeFillTint="66"/>
      </w:tcPr>
    </w:tblStylePr>
    <w:tblStylePr w:type="band1Horz">
      <w:tblPr/>
      <w:tcPr>
        <w:shd w:val="clear" w:color="auto" w:fill="FDE2A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EE3EB6"/>
    <w:pPr>
      <w:spacing w:line="240" w:lineRule="auto"/>
    </w:pPr>
    <w:rPr>
      <w:color w:val="000000" w:themeColor="text1"/>
    </w:rPr>
    <w:tblPr>
      <w:tblStyleRowBandSize w:val="1"/>
      <w:tblStyleColBandSize w:val="1"/>
      <w:tblBorders>
        <w:top w:val="single" w:sz="24" w:space="0" w:color="788183" w:themeColor="accent6"/>
        <w:left w:val="single" w:sz="4" w:space="0" w:color="86BE57" w:themeColor="accent5"/>
        <w:bottom w:val="single" w:sz="4" w:space="0" w:color="86BE57" w:themeColor="accent5"/>
        <w:right w:val="single" w:sz="4" w:space="0" w:color="86BE57" w:themeColor="accent5"/>
        <w:insideH w:val="single" w:sz="4" w:space="0" w:color="FFFFFF" w:themeColor="background1"/>
        <w:insideV w:val="single" w:sz="4" w:space="0" w:color="FFFFFF" w:themeColor="background1"/>
      </w:tblBorders>
    </w:tblPr>
    <w:tcPr>
      <w:shd w:val="clear" w:color="auto" w:fill="F3F8EE" w:themeFill="accent5" w:themeFillTint="19"/>
    </w:tcPr>
    <w:tblStylePr w:type="firstRow">
      <w:rPr>
        <w:b/>
        <w:bCs/>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72E" w:themeFill="accent5" w:themeFillShade="99"/>
      </w:tcPr>
    </w:tblStylePr>
    <w:tblStylePr w:type="firstCol">
      <w:rPr>
        <w:color w:val="FFFFFF" w:themeColor="background1"/>
      </w:rPr>
      <w:tblPr/>
      <w:tcPr>
        <w:tcBorders>
          <w:top w:val="nil"/>
          <w:left w:val="nil"/>
          <w:bottom w:val="nil"/>
          <w:right w:val="nil"/>
          <w:insideH w:val="single" w:sz="4" w:space="0" w:color="4F772E" w:themeColor="accent5" w:themeShade="99"/>
          <w:insideV w:val="nil"/>
        </w:tcBorders>
        <w:shd w:val="clear" w:color="auto" w:fill="4F772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F772E" w:themeFill="accent5" w:themeFillShade="99"/>
      </w:tcPr>
    </w:tblStylePr>
    <w:tblStylePr w:type="band1Vert">
      <w:tblPr/>
      <w:tcPr>
        <w:shd w:val="clear" w:color="auto" w:fill="CEE5BB" w:themeFill="accent5" w:themeFillTint="66"/>
      </w:tcPr>
    </w:tblStylePr>
    <w:tblStylePr w:type="band1Horz">
      <w:tblPr/>
      <w:tcPr>
        <w:shd w:val="clear" w:color="auto" w:fill="C2DEA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EE3EB6"/>
    <w:pPr>
      <w:spacing w:line="240" w:lineRule="auto"/>
    </w:pPr>
    <w:rPr>
      <w:color w:val="000000" w:themeColor="text1"/>
    </w:rPr>
    <w:tblPr>
      <w:tblStyleRowBandSize w:val="1"/>
      <w:tblStyleColBandSize w:val="1"/>
      <w:tblBorders>
        <w:top w:val="single" w:sz="24" w:space="0" w:color="86BE57" w:themeColor="accent5"/>
        <w:left w:val="single" w:sz="4" w:space="0" w:color="788183" w:themeColor="accent6"/>
        <w:bottom w:val="single" w:sz="4" w:space="0" w:color="788183" w:themeColor="accent6"/>
        <w:right w:val="single" w:sz="4" w:space="0" w:color="788183" w:themeColor="accent6"/>
        <w:insideH w:val="single" w:sz="4" w:space="0" w:color="FFFFFF" w:themeColor="background1"/>
        <w:insideV w:val="single" w:sz="4" w:space="0" w:color="FFFFFF" w:themeColor="background1"/>
      </w:tblBorders>
    </w:tblPr>
    <w:tcPr>
      <w:shd w:val="clear" w:color="auto" w:fill="F1F2F2" w:themeFill="accent6" w:themeFillTint="19"/>
    </w:tcPr>
    <w:tblStylePr w:type="firstRow">
      <w:rPr>
        <w:b/>
        <w:bCs/>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D4E" w:themeFill="accent6" w:themeFillShade="99"/>
      </w:tcPr>
    </w:tblStylePr>
    <w:tblStylePr w:type="firstCol">
      <w:rPr>
        <w:color w:val="FFFFFF" w:themeColor="background1"/>
      </w:rPr>
      <w:tblPr/>
      <w:tcPr>
        <w:tcBorders>
          <w:top w:val="nil"/>
          <w:left w:val="nil"/>
          <w:bottom w:val="nil"/>
          <w:right w:val="nil"/>
          <w:insideH w:val="single" w:sz="4" w:space="0" w:color="484D4E" w:themeColor="accent6" w:themeShade="99"/>
          <w:insideV w:val="nil"/>
        </w:tcBorders>
        <w:shd w:val="clear" w:color="auto" w:fill="484D4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D4E" w:themeFill="accent6" w:themeFillShade="99"/>
      </w:tcPr>
    </w:tblStylePr>
    <w:tblStylePr w:type="band1Vert">
      <w:tblPr/>
      <w:tcPr>
        <w:shd w:val="clear" w:color="auto" w:fill="C8CCCD" w:themeFill="accent6" w:themeFillTint="66"/>
      </w:tcPr>
    </w:tblStylePr>
    <w:tblStylePr w:type="band1Horz">
      <w:tblPr/>
      <w:tcPr>
        <w:shd w:val="clear" w:color="auto" w:fill="BBC0C1"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EE3EB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EE3EB6"/>
    <w:pPr>
      <w:spacing w:line="240" w:lineRule="auto"/>
    </w:pPr>
    <w:rPr>
      <w:color w:val="FFFFFF" w:themeColor="background1"/>
    </w:rPr>
    <w:tblPr>
      <w:tblStyleRowBandSize w:val="1"/>
      <w:tblStyleColBandSize w:val="1"/>
    </w:tblPr>
    <w:tcPr>
      <w:shd w:val="clear" w:color="auto" w:fill="8D487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243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9365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9365E" w:themeFill="accent1" w:themeFillShade="BF"/>
      </w:tcPr>
    </w:tblStylePr>
    <w:tblStylePr w:type="band1Vert">
      <w:tblPr/>
      <w:tcPr>
        <w:tcBorders>
          <w:top w:val="nil"/>
          <w:left w:val="nil"/>
          <w:bottom w:val="nil"/>
          <w:right w:val="nil"/>
          <w:insideH w:val="nil"/>
          <w:insideV w:val="nil"/>
        </w:tcBorders>
        <w:shd w:val="clear" w:color="auto" w:fill="69365E" w:themeFill="accent1" w:themeFillShade="BF"/>
      </w:tcPr>
    </w:tblStylePr>
    <w:tblStylePr w:type="band1Horz">
      <w:tblPr/>
      <w:tcPr>
        <w:tcBorders>
          <w:top w:val="nil"/>
          <w:left w:val="nil"/>
          <w:bottom w:val="nil"/>
          <w:right w:val="nil"/>
          <w:insideH w:val="nil"/>
          <w:insideV w:val="nil"/>
        </w:tcBorders>
        <w:shd w:val="clear" w:color="auto" w:fill="69365E" w:themeFill="accent1" w:themeFillShade="BF"/>
      </w:tcPr>
    </w:tblStylePr>
  </w:style>
  <w:style w:type="table" w:styleId="DarkList-Accent2">
    <w:name w:val="Dark List Accent 2"/>
    <w:basedOn w:val="TableNormal"/>
    <w:uiPriority w:val="70"/>
    <w:semiHidden/>
    <w:rsid w:val="00EE3EB6"/>
    <w:pPr>
      <w:spacing w:line="240" w:lineRule="auto"/>
    </w:pPr>
    <w:rPr>
      <w:color w:val="FFFFFF" w:themeColor="background1"/>
    </w:rPr>
    <w:tblPr>
      <w:tblStyleRowBandSize w:val="1"/>
      <w:tblStyleColBandSize w:val="1"/>
    </w:tblPr>
    <w:tcPr>
      <w:shd w:val="clear" w:color="auto" w:fill="C64E4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5231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8362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8362F" w:themeFill="accent2" w:themeFillShade="BF"/>
      </w:tcPr>
    </w:tblStylePr>
    <w:tblStylePr w:type="band1Vert">
      <w:tblPr/>
      <w:tcPr>
        <w:tcBorders>
          <w:top w:val="nil"/>
          <w:left w:val="nil"/>
          <w:bottom w:val="nil"/>
          <w:right w:val="nil"/>
          <w:insideH w:val="nil"/>
          <w:insideV w:val="nil"/>
        </w:tcBorders>
        <w:shd w:val="clear" w:color="auto" w:fill="98362F" w:themeFill="accent2" w:themeFillShade="BF"/>
      </w:tcPr>
    </w:tblStylePr>
    <w:tblStylePr w:type="band1Horz">
      <w:tblPr/>
      <w:tcPr>
        <w:tcBorders>
          <w:top w:val="nil"/>
          <w:left w:val="nil"/>
          <w:bottom w:val="nil"/>
          <w:right w:val="nil"/>
          <w:insideH w:val="nil"/>
          <w:insideV w:val="nil"/>
        </w:tcBorders>
        <w:shd w:val="clear" w:color="auto" w:fill="98362F" w:themeFill="accent2" w:themeFillShade="BF"/>
      </w:tcPr>
    </w:tblStylePr>
  </w:style>
  <w:style w:type="table" w:styleId="DarkList-Accent3">
    <w:name w:val="Dark List Accent 3"/>
    <w:basedOn w:val="TableNormal"/>
    <w:uiPriority w:val="70"/>
    <w:semiHidden/>
    <w:rsid w:val="00EE3EB6"/>
    <w:pPr>
      <w:spacing w:line="240" w:lineRule="auto"/>
    </w:pPr>
    <w:rPr>
      <w:color w:val="FFFFFF" w:themeColor="background1"/>
    </w:rPr>
    <w:tblPr>
      <w:tblStyleRowBandSize w:val="1"/>
      <w:tblStyleColBandSize w:val="1"/>
    </w:tblPr>
    <w:tcPr>
      <w:shd w:val="clear" w:color="auto" w:fill="F1873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3F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25E0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25E0F" w:themeFill="accent3" w:themeFillShade="BF"/>
      </w:tcPr>
    </w:tblStylePr>
    <w:tblStylePr w:type="band1Vert">
      <w:tblPr/>
      <w:tcPr>
        <w:tcBorders>
          <w:top w:val="nil"/>
          <w:left w:val="nil"/>
          <w:bottom w:val="nil"/>
          <w:right w:val="nil"/>
          <w:insideH w:val="nil"/>
          <w:insideV w:val="nil"/>
        </w:tcBorders>
        <w:shd w:val="clear" w:color="auto" w:fill="D25E0F" w:themeFill="accent3" w:themeFillShade="BF"/>
      </w:tcPr>
    </w:tblStylePr>
    <w:tblStylePr w:type="band1Horz">
      <w:tblPr/>
      <w:tcPr>
        <w:tcBorders>
          <w:top w:val="nil"/>
          <w:left w:val="nil"/>
          <w:bottom w:val="nil"/>
          <w:right w:val="nil"/>
          <w:insideH w:val="nil"/>
          <w:insideV w:val="nil"/>
        </w:tcBorders>
        <w:shd w:val="clear" w:color="auto" w:fill="D25E0F" w:themeFill="accent3" w:themeFillShade="BF"/>
      </w:tcPr>
    </w:tblStylePr>
  </w:style>
  <w:style w:type="table" w:styleId="DarkList-Accent4">
    <w:name w:val="Dark List Accent 4"/>
    <w:basedOn w:val="TableNormal"/>
    <w:uiPriority w:val="70"/>
    <w:semiHidden/>
    <w:rsid w:val="00EE3EB6"/>
    <w:pPr>
      <w:spacing w:line="240" w:lineRule="auto"/>
    </w:pPr>
    <w:rPr>
      <w:color w:val="FFFFFF" w:themeColor="background1"/>
    </w:rPr>
    <w:tblPr>
      <w:tblStyleRowBandSize w:val="1"/>
      <w:tblStyleColBandSize w:val="1"/>
    </w:tblPr>
    <w:tcPr>
      <w:shd w:val="clear" w:color="auto" w:fill="FCC64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E6F0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EA70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EA704" w:themeFill="accent4" w:themeFillShade="BF"/>
      </w:tcPr>
    </w:tblStylePr>
    <w:tblStylePr w:type="band1Vert">
      <w:tblPr/>
      <w:tcPr>
        <w:tcBorders>
          <w:top w:val="nil"/>
          <w:left w:val="nil"/>
          <w:bottom w:val="nil"/>
          <w:right w:val="nil"/>
          <w:insideH w:val="nil"/>
          <w:insideV w:val="nil"/>
        </w:tcBorders>
        <w:shd w:val="clear" w:color="auto" w:fill="EEA704" w:themeFill="accent4" w:themeFillShade="BF"/>
      </w:tcPr>
    </w:tblStylePr>
    <w:tblStylePr w:type="band1Horz">
      <w:tblPr/>
      <w:tcPr>
        <w:tcBorders>
          <w:top w:val="nil"/>
          <w:left w:val="nil"/>
          <w:bottom w:val="nil"/>
          <w:right w:val="nil"/>
          <w:insideH w:val="nil"/>
          <w:insideV w:val="nil"/>
        </w:tcBorders>
        <w:shd w:val="clear" w:color="auto" w:fill="EEA704" w:themeFill="accent4" w:themeFillShade="BF"/>
      </w:tcPr>
    </w:tblStylePr>
  </w:style>
  <w:style w:type="table" w:styleId="DarkList-Accent5">
    <w:name w:val="Dark List Accent 5"/>
    <w:basedOn w:val="TableNormal"/>
    <w:uiPriority w:val="70"/>
    <w:semiHidden/>
    <w:rsid w:val="00EE3EB6"/>
    <w:pPr>
      <w:spacing w:line="240" w:lineRule="auto"/>
    </w:pPr>
    <w:rPr>
      <w:color w:val="FFFFFF" w:themeColor="background1"/>
    </w:rPr>
    <w:tblPr>
      <w:tblStyleRowBandSize w:val="1"/>
      <w:tblStyleColBandSize w:val="1"/>
    </w:tblPr>
    <w:tcPr>
      <w:shd w:val="clear" w:color="auto" w:fill="86BE5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632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3953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3953A" w:themeFill="accent5" w:themeFillShade="BF"/>
      </w:tcPr>
    </w:tblStylePr>
    <w:tblStylePr w:type="band1Vert">
      <w:tblPr/>
      <w:tcPr>
        <w:tcBorders>
          <w:top w:val="nil"/>
          <w:left w:val="nil"/>
          <w:bottom w:val="nil"/>
          <w:right w:val="nil"/>
          <w:insideH w:val="nil"/>
          <w:insideV w:val="nil"/>
        </w:tcBorders>
        <w:shd w:val="clear" w:color="auto" w:fill="63953A" w:themeFill="accent5" w:themeFillShade="BF"/>
      </w:tcPr>
    </w:tblStylePr>
    <w:tblStylePr w:type="band1Horz">
      <w:tblPr/>
      <w:tcPr>
        <w:tcBorders>
          <w:top w:val="nil"/>
          <w:left w:val="nil"/>
          <w:bottom w:val="nil"/>
          <w:right w:val="nil"/>
          <w:insideH w:val="nil"/>
          <w:insideV w:val="nil"/>
        </w:tcBorders>
        <w:shd w:val="clear" w:color="auto" w:fill="63953A" w:themeFill="accent5" w:themeFillShade="BF"/>
      </w:tcPr>
    </w:tblStylePr>
  </w:style>
  <w:style w:type="table" w:styleId="DarkList-Accent6">
    <w:name w:val="Dark List Accent 6"/>
    <w:basedOn w:val="TableNormal"/>
    <w:uiPriority w:val="70"/>
    <w:semiHidden/>
    <w:rsid w:val="00EE3EB6"/>
    <w:pPr>
      <w:spacing w:line="240" w:lineRule="auto"/>
    </w:pPr>
    <w:rPr>
      <w:color w:val="FFFFFF" w:themeColor="background1"/>
    </w:rPr>
    <w:tblPr>
      <w:tblStyleRowBandSize w:val="1"/>
      <w:tblStyleColBandSize w:val="1"/>
    </w:tblPr>
    <w:tcPr>
      <w:shd w:val="clear" w:color="auto" w:fill="78818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04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606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6062" w:themeFill="accent6" w:themeFillShade="BF"/>
      </w:tcPr>
    </w:tblStylePr>
    <w:tblStylePr w:type="band1Vert">
      <w:tblPr/>
      <w:tcPr>
        <w:tcBorders>
          <w:top w:val="nil"/>
          <w:left w:val="nil"/>
          <w:bottom w:val="nil"/>
          <w:right w:val="nil"/>
          <w:insideH w:val="nil"/>
          <w:insideV w:val="nil"/>
        </w:tcBorders>
        <w:shd w:val="clear" w:color="auto" w:fill="5A6062" w:themeFill="accent6" w:themeFillShade="BF"/>
      </w:tcPr>
    </w:tblStylePr>
    <w:tblStylePr w:type="band1Horz">
      <w:tblPr/>
      <w:tcPr>
        <w:tcBorders>
          <w:top w:val="nil"/>
          <w:left w:val="nil"/>
          <w:bottom w:val="nil"/>
          <w:right w:val="nil"/>
          <w:insideH w:val="nil"/>
          <w:insideV w:val="nil"/>
        </w:tcBorders>
        <w:shd w:val="clear" w:color="auto" w:fill="5A6062" w:themeFill="accent6" w:themeFillShade="BF"/>
      </w:tcPr>
    </w:tblStylePr>
  </w:style>
  <w:style w:type="table" w:customStyle="1" w:styleId="GridTable1Light1">
    <w:name w:val="Grid Table 1 Light1"/>
    <w:basedOn w:val="TableNormal"/>
    <w:uiPriority w:val="46"/>
    <w:semiHidden/>
    <w:rsid w:val="00EE3EB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EE3EB6"/>
    <w:pPr>
      <w:spacing w:line="240" w:lineRule="auto"/>
    </w:pPr>
    <w:tblPr>
      <w:tblStyleRowBandSize w:val="1"/>
      <w:tblStyleColBandSize w:val="1"/>
      <w:tblBorders>
        <w:top w:val="single" w:sz="4" w:space="0" w:color="D6B0CE" w:themeColor="accent1" w:themeTint="66"/>
        <w:left w:val="single" w:sz="4" w:space="0" w:color="D6B0CE" w:themeColor="accent1" w:themeTint="66"/>
        <w:bottom w:val="single" w:sz="4" w:space="0" w:color="D6B0CE" w:themeColor="accent1" w:themeTint="66"/>
        <w:right w:val="single" w:sz="4" w:space="0" w:color="D6B0CE" w:themeColor="accent1" w:themeTint="66"/>
        <w:insideH w:val="single" w:sz="4" w:space="0" w:color="D6B0CE" w:themeColor="accent1" w:themeTint="66"/>
        <w:insideV w:val="single" w:sz="4" w:space="0" w:color="D6B0CE" w:themeColor="accent1" w:themeTint="66"/>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2" w:space="0" w:color="C288B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EE3EB6"/>
    <w:pPr>
      <w:spacing w:line="240" w:lineRule="auto"/>
    </w:pPr>
    <w:tblPr>
      <w:tblStyleRowBandSize w:val="1"/>
      <w:tblStyleColBandSize w:val="1"/>
      <w:tblBorders>
        <w:top w:val="single" w:sz="4" w:space="0" w:color="E8B7B4" w:themeColor="accent2" w:themeTint="66"/>
        <w:left w:val="single" w:sz="4" w:space="0" w:color="E8B7B4" w:themeColor="accent2" w:themeTint="66"/>
        <w:bottom w:val="single" w:sz="4" w:space="0" w:color="E8B7B4" w:themeColor="accent2" w:themeTint="66"/>
        <w:right w:val="single" w:sz="4" w:space="0" w:color="E8B7B4" w:themeColor="accent2" w:themeTint="66"/>
        <w:insideH w:val="single" w:sz="4" w:space="0" w:color="E8B7B4" w:themeColor="accent2" w:themeTint="66"/>
        <w:insideV w:val="single" w:sz="4" w:space="0" w:color="E8B7B4" w:themeColor="accent2" w:themeTint="66"/>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2" w:space="0" w:color="DC948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EE3EB6"/>
    <w:pPr>
      <w:spacing w:line="240" w:lineRule="auto"/>
    </w:pPr>
    <w:tblPr>
      <w:tblStyleRowBandSize w:val="1"/>
      <w:tblStyleColBandSize w:val="1"/>
      <w:tblBorders>
        <w:top w:val="single" w:sz="4" w:space="0" w:color="F9CEB1" w:themeColor="accent3" w:themeTint="66"/>
        <w:left w:val="single" w:sz="4" w:space="0" w:color="F9CEB1" w:themeColor="accent3" w:themeTint="66"/>
        <w:bottom w:val="single" w:sz="4" w:space="0" w:color="F9CEB1" w:themeColor="accent3" w:themeTint="66"/>
        <w:right w:val="single" w:sz="4" w:space="0" w:color="F9CEB1" w:themeColor="accent3" w:themeTint="66"/>
        <w:insideH w:val="single" w:sz="4" w:space="0" w:color="F9CEB1" w:themeColor="accent3" w:themeTint="66"/>
        <w:insideV w:val="single" w:sz="4" w:space="0" w:color="F9CEB1" w:themeColor="accent3" w:themeTint="66"/>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2" w:space="0" w:color="F6B68A"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EE3EB6"/>
    <w:pPr>
      <w:spacing w:line="240" w:lineRule="auto"/>
    </w:pPr>
    <w:tblPr>
      <w:tblStyleRowBandSize w:val="1"/>
      <w:tblStyleColBandSize w:val="1"/>
      <w:tblBorders>
        <w:top w:val="single" w:sz="4" w:space="0" w:color="FDE7B5" w:themeColor="accent4" w:themeTint="66"/>
        <w:left w:val="single" w:sz="4" w:space="0" w:color="FDE7B5" w:themeColor="accent4" w:themeTint="66"/>
        <w:bottom w:val="single" w:sz="4" w:space="0" w:color="FDE7B5" w:themeColor="accent4" w:themeTint="66"/>
        <w:right w:val="single" w:sz="4" w:space="0" w:color="FDE7B5" w:themeColor="accent4" w:themeTint="66"/>
        <w:insideH w:val="single" w:sz="4" w:space="0" w:color="FDE7B5" w:themeColor="accent4" w:themeTint="66"/>
        <w:insideV w:val="single" w:sz="4" w:space="0" w:color="FDE7B5" w:themeColor="accent4" w:themeTint="66"/>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2" w:space="0" w:color="FDDC9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EE3EB6"/>
    <w:pPr>
      <w:spacing w:line="240" w:lineRule="auto"/>
    </w:pPr>
    <w:tblPr>
      <w:tblStyleRowBandSize w:val="1"/>
      <w:tblStyleColBandSize w:val="1"/>
      <w:tblBorders>
        <w:top w:val="single" w:sz="4" w:space="0" w:color="CEE5BB" w:themeColor="accent5" w:themeTint="66"/>
        <w:left w:val="single" w:sz="4" w:space="0" w:color="CEE5BB" w:themeColor="accent5" w:themeTint="66"/>
        <w:bottom w:val="single" w:sz="4" w:space="0" w:color="CEE5BB" w:themeColor="accent5" w:themeTint="66"/>
        <w:right w:val="single" w:sz="4" w:space="0" w:color="CEE5BB" w:themeColor="accent5" w:themeTint="66"/>
        <w:insideH w:val="single" w:sz="4" w:space="0" w:color="CEE5BB" w:themeColor="accent5" w:themeTint="66"/>
        <w:insideV w:val="single" w:sz="4" w:space="0" w:color="CEE5BB" w:themeColor="accent5" w:themeTint="66"/>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2" w:space="0" w:color="B6D89A"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EE3EB6"/>
    <w:pPr>
      <w:spacing w:line="240" w:lineRule="auto"/>
    </w:pPr>
    <w:tblPr>
      <w:tblStyleRowBandSize w:val="1"/>
      <w:tblStyleColBandSize w:val="1"/>
      <w:tblBorders>
        <w:top w:val="single" w:sz="4" w:space="0" w:color="C8CCCD" w:themeColor="accent6" w:themeTint="66"/>
        <w:left w:val="single" w:sz="4" w:space="0" w:color="C8CCCD" w:themeColor="accent6" w:themeTint="66"/>
        <w:bottom w:val="single" w:sz="4" w:space="0" w:color="C8CCCD" w:themeColor="accent6" w:themeTint="66"/>
        <w:right w:val="single" w:sz="4" w:space="0" w:color="C8CCCD" w:themeColor="accent6" w:themeTint="66"/>
        <w:insideH w:val="single" w:sz="4" w:space="0" w:color="C8CCCD" w:themeColor="accent6" w:themeTint="66"/>
        <w:insideV w:val="single" w:sz="4" w:space="0" w:color="C8CCCD" w:themeColor="accent6" w:themeTint="66"/>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2" w:space="0" w:color="ADB3B4"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EE3EB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semiHidden/>
    <w:rsid w:val="00EE3EB6"/>
    <w:pPr>
      <w:spacing w:line="240" w:lineRule="auto"/>
    </w:pPr>
    <w:tblPr>
      <w:tblStyleRowBandSize w:val="1"/>
      <w:tblStyleColBandSize w:val="1"/>
      <w:tblBorders>
        <w:top w:val="single" w:sz="2" w:space="0" w:color="C288B7" w:themeColor="accent1" w:themeTint="99"/>
        <w:bottom w:val="single" w:sz="2" w:space="0" w:color="C288B7" w:themeColor="accent1" w:themeTint="99"/>
        <w:insideH w:val="single" w:sz="2" w:space="0" w:color="C288B7" w:themeColor="accent1" w:themeTint="99"/>
        <w:insideV w:val="single" w:sz="2" w:space="0" w:color="C288B7" w:themeColor="accent1" w:themeTint="99"/>
      </w:tblBorders>
    </w:tblPr>
    <w:tblStylePr w:type="firstRow">
      <w:rPr>
        <w:b/>
        <w:bCs/>
      </w:rPr>
      <w:tblPr/>
      <w:tcPr>
        <w:tcBorders>
          <w:top w:val="nil"/>
          <w:bottom w:val="single" w:sz="12" w:space="0" w:color="C288B7" w:themeColor="accent1" w:themeTint="99"/>
          <w:insideH w:val="nil"/>
          <w:insideV w:val="nil"/>
        </w:tcBorders>
        <w:shd w:val="clear" w:color="auto" w:fill="FFFFFF" w:themeFill="background1"/>
      </w:tcPr>
    </w:tblStylePr>
    <w:tblStylePr w:type="lastRow">
      <w:rPr>
        <w:b/>
        <w:bCs/>
      </w:rPr>
      <w:tblPr/>
      <w:tcPr>
        <w:tcBorders>
          <w:top w:val="double" w:sz="2" w:space="0" w:color="C288B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2-Accent21">
    <w:name w:val="Grid Table 2 - Accent 21"/>
    <w:basedOn w:val="TableNormal"/>
    <w:uiPriority w:val="47"/>
    <w:semiHidden/>
    <w:rsid w:val="00EE3EB6"/>
    <w:pPr>
      <w:spacing w:line="240" w:lineRule="auto"/>
    </w:pPr>
    <w:tblPr>
      <w:tblStyleRowBandSize w:val="1"/>
      <w:tblStyleColBandSize w:val="1"/>
      <w:tblBorders>
        <w:top w:val="single" w:sz="2" w:space="0" w:color="DC948F" w:themeColor="accent2" w:themeTint="99"/>
        <w:bottom w:val="single" w:sz="2" w:space="0" w:color="DC948F" w:themeColor="accent2" w:themeTint="99"/>
        <w:insideH w:val="single" w:sz="2" w:space="0" w:color="DC948F" w:themeColor="accent2" w:themeTint="99"/>
        <w:insideV w:val="single" w:sz="2" w:space="0" w:color="DC948F" w:themeColor="accent2" w:themeTint="99"/>
      </w:tblBorders>
    </w:tblPr>
    <w:tblStylePr w:type="firstRow">
      <w:rPr>
        <w:b/>
        <w:bCs/>
      </w:rPr>
      <w:tblPr/>
      <w:tcPr>
        <w:tcBorders>
          <w:top w:val="nil"/>
          <w:bottom w:val="single" w:sz="12" w:space="0" w:color="DC948F" w:themeColor="accent2" w:themeTint="99"/>
          <w:insideH w:val="nil"/>
          <w:insideV w:val="nil"/>
        </w:tcBorders>
        <w:shd w:val="clear" w:color="auto" w:fill="FFFFFF" w:themeFill="background1"/>
      </w:tcPr>
    </w:tblStylePr>
    <w:tblStylePr w:type="lastRow">
      <w:rPr>
        <w:b/>
        <w:bCs/>
      </w:rPr>
      <w:tblPr/>
      <w:tcPr>
        <w:tcBorders>
          <w:top w:val="double" w:sz="2" w:space="0" w:color="DC948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2-Accent31">
    <w:name w:val="Grid Table 2 - Accent 31"/>
    <w:basedOn w:val="TableNormal"/>
    <w:uiPriority w:val="47"/>
    <w:semiHidden/>
    <w:rsid w:val="00EE3EB6"/>
    <w:pPr>
      <w:spacing w:line="240" w:lineRule="auto"/>
    </w:pPr>
    <w:tblPr>
      <w:tblStyleRowBandSize w:val="1"/>
      <w:tblStyleColBandSize w:val="1"/>
      <w:tblBorders>
        <w:top w:val="single" w:sz="2" w:space="0" w:color="F6B68A" w:themeColor="accent3" w:themeTint="99"/>
        <w:bottom w:val="single" w:sz="2" w:space="0" w:color="F6B68A" w:themeColor="accent3" w:themeTint="99"/>
        <w:insideH w:val="single" w:sz="2" w:space="0" w:color="F6B68A" w:themeColor="accent3" w:themeTint="99"/>
        <w:insideV w:val="single" w:sz="2" w:space="0" w:color="F6B68A" w:themeColor="accent3" w:themeTint="99"/>
      </w:tblBorders>
    </w:tblPr>
    <w:tblStylePr w:type="firstRow">
      <w:rPr>
        <w:b/>
        <w:bCs/>
      </w:rPr>
      <w:tblPr/>
      <w:tcPr>
        <w:tcBorders>
          <w:top w:val="nil"/>
          <w:bottom w:val="single" w:sz="12" w:space="0" w:color="F6B68A" w:themeColor="accent3" w:themeTint="99"/>
          <w:insideH w:val="nil"/>
          <w:insideV w:val="nil"/>
        </w:tcBorders>
        <w:shd w:val="clear" w:color="auto" w:fill="FFFFFF" w:themeFill="background1"/>
      </w:tcPr>
    </w:tblStylePr>
    <w:tblStylePr w:type="lastRow">
      <w:rPr>
        <w:b/>
        <w:bCs/>
      </w:rPr>
      <w:tblPr/>
      <w:tcPr>
        <w:tcBorders>
          <w:top w:val="double" w:sz="2" w:space="0" w:color="F6B68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2-Accent41">
    <w:name w:val="Grid Table 2 - Accent 41"/>
    <w:basedOn w:val="TableNormal"/>
    <w:uiPriority w:val="47"/>
    <w:semiHidden/>
    <w:rsid w:val="00EE3EB6"/>
    <w:pPr>
      <w:spacing w:line="240" w:lineRule="auto"/>
    </w:pPr>
    <w:tblPr>
      <w:tblStyleRowBandSize w:val="1"/>
      <w:tblStyleColBandSize w:val="1"/>
      <w:tblBorders>
        <w:top w:val="single" w:sz="2" w:space="0" w:color="FDDC91" w:themeColor="accent4" w:themeTint="99"/>
        <w:bottom w:val="single" w:sz="2" w:space="0" w:color="FDDC91" w:themeColor="accent4" w:themeTint="99"/>
        <w:insideH w:val="single" w:sz="2" w:space="0" w:color="FDDC91" w:themeColor="accent4" w:themeTint="99"/>
        <w:insideV w:val="single" w:sz="2" w:space="0" w:color="FDDC91" w:themeColor="accent4" w:themeTint="99"/>
      </w:tblBorders>
    </w:tblPr>
    <w:tblStylePr w:type="firstRow">
      <w:rPr>
        <w:b/>
        <w:bCs/>
      </w:rPr>
      <w:tblPr/>
      <w:tcPr>
        <w:tcBorders>
          <w:top w:val="nil"/>
          <w:bottom w:val="single" w:sz="12" w:space="0" w:color="FDDC91" w:themeColor="accent4" w:themeTint="99"/>
          <w:insideH w:val="nil"/>
          <w:insideV w:val="nil"/>
        </w:tcBorders>
        <w:shd w:val="clear" w:color="auto" w:fill="FFFFFF" w:themeFill="background1"/>
      </w:tcPr>
    </w:tblStylePr>
    <w:tblStylePr w:type="lastRow">
      <w:rPr>
        <w:b/>
        <w:bCs/>
      </w:rPr>
      <w:tblPr/>
      <w:tcPr>
        <w:tcBorders>
          <w:top w:val="double" w:sz="2" w:space="0" w:color="FDDC9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2-Accent51">
    <w:name w:val="Grid Table 2 - Accent 51"/>
    <w:basedOn w:val="TableNormal"/>
    <w:uiPriority w:val="47"/>
    <w:semiHidden/>
    <w:rsid w:val="00EE3EB6"/>
    <w:pPr>
      <w:spacing w:line="240" w:lineRule="auto"/>
    </w:pPr>
    <w:tblPr>
      <w:tblStyleRowBandSize w:val="1"/>
      <w:tblStyleColBandSize w:val="1"/>
      <w:tblBorders>
        <w:top w:val="single" w:sz="2" w:space="0" w:color="B6D89A" w:themeColor="accent5" w:themeTint="99"/>
        <w:bottom w:val="single" w:sz="2" w:space="0" w:color="B6D89A" w:themeColor="accent5" w:themeTint="99"/>
        <w:insideH w:val="single" w:sz="2" w:space="0" w:color="B6D89A" w:themeColor="accent5" w:themeTint="99"/>
        <w:insideV w:val="single" w:sz="2" w:space="0" w:color="B6D89A" w:themeColor="accent5" w:themeTint="99"/>
      </w:tblBorders>
    </w:tblPr>
    <w:tblStylePr w:type="firstRow">
      <w:rPr>
        <w:b/>
        <w:bCs/>
      </w:rPr>
      <w:tblPr/>
      <w:tcPr>
        <w:tcBorders>
          <w:top w:val="nil"/>
          <w:bottom w:val="single" w:sz="12" w:space="0" w:color="B6D89A" w:themeColor="accent5" w:themeTint="99"/>
          <w:insideH w:val="nil"/>
          <w:insideV w:val="nil"/>
        </w:tcBorders>
        <w:shd w:val="clear" w:color="auto" w:fill="FFFFFF" w:themeFill="background1"/>
      </w:tcPr>
    </w:tblStylePr>
    <w:tblStylePr w:type="lastRow">
      <w:rPr>
        <w:b/>
        <w:bCs/>
      </w:rPr>
      <w:tblPr/>
      <w:tcPr>
        <w:tcBorders>
          <w:top w:val="double" w:sz="2" w:space="0" w:color="B6D89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2-Accent61">
    <w:name w:val="Grid Table 2 - Accent 61"/>
    <w:basedOn w:val="TableNormal"/>
    <w:uiPriority w:val="47"/>
    <w:semiHidden/>
    <w:rsid w:val="00EE3EB6"/>
    <w:pPr>
      <w:spacing w:line="240" w:lineRule="auto"/>
    </w:pPr>
    <w:tblPr>
      <w:tblStyleRowBandSize w:val="1"/>
      <w:tblStyleColBandSize w:val="1"/>
      <w:tblBorders>
        <w:top w:val="single" w:sz="2" w:space="0" w:color="ADB3B4" w:themeColor="accent6" w:themeTint="99"/>
        <w:bottom w:val="single" w:sz="2" w:space="0" w:color="ADB3B4" w:themeColor="accent6" w:themeTint="99"/>
        <w:insideH w:val="single" w:sz="2" w:space="0" w:color="ADB3B4" w:themeColor="accent6" w:themeTint="99"/>
        <w:insideV w:val="single" w:sz="2" w:space="0" w:color="ADB3B4" w:themeColor="accent6" w:themeTint="99"/>
      </w:tblBorders>
    </w:tblPr>
    <w:tblStylePr w:type="firstRow">
      <w:rPr>
        <w:b/>
        <w:bCs/>
      </w:rPr>
      <w:tblPr/>
      <w:tcPr>
        <w:tcBorders>
          <w:top w:val="nil"/>
          <w:bottom w:val="single" w:sz="12" w:space="0" w:color="ADB3B4" w:themeColor="accent6" w:themeTint="99"/>
          <w:insideH w:val="nil"/>
          <w:insideV w:val="nil"/>
        </w:tcBorders>
        <w:shd w:val="clear" w:color="auto" w:fill="FFFFFF" w:themeFill="background1"/>
      </w:tcPr>
    </w:tblStylePr>
    <w:tblStylePr w:type="lastRow">
      <w:rPr>
        <w:b/>
        <w:bCs/>
      </w:rPr>
      <w:tblPr/>
      <w:tcPr>
        <w:tcBorders>
          <w:top w:val="double" w:sz="2" w:space="0" w:color="ADB3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31">
    <w:name w:val="Grid Table 31"/>
    <w:basedOn w:val="TableNormal"/>
    <w:uiPriority w:val="48"/>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3-Accent21">
    <w:name w:val="Grid Table 3 - Accent 21"/>
    <w:basedOn w:val="TableNormal"/>
    <w:uiPriority w:val="48"/>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3-Accent31">
    <w:name w:val="Grid Table 3 - Accent 31"/>
    <w:basedOn w:val="TableNormal"/>
    <w:uiPriority w:val="48"/>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3-Accent41">
    <w:name w:val="Grid Table 3 - Accent 41"/>
    <w:basedOn w:val="TableNormal"/>
    <w:uiPriority w:val="48"/>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3-Accent51">
    <w:name w:val="Grid Table 3 - Accent 51"/>
    <w:basedOn w:val="TableNormal"/>
    <w:uiPriority w:val="48"/>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3-Accent61">
    <w:name w:val="Grid Table 3 - Accent 61"/>
    <w:basedOn w:val="TableNormal"/>
    <w:uiPriority w:val="48"/>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customStyle="1" w:styleId="GridTable41">
    <w:name w:val="Grid Table 41"/>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insideV w:val="nil"/>
        </w:tcBorders>
        <w:shd w:val="clear" w:color="auto" w:fill="8D487F" w:themeFill="accent1"/>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4-Accent21">
    <w:name w:val="Grid Table 4 - Accent 21"/>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insideV w:val="nil"/>
        </w:tcBorders>
        <w:shd w:val="clear" w:color="auto" w:fill="C64E45" w:themeFill="accent2"/>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4-Accent31">
    <w:name w:val="Grid Table 4 - Accent 31"/>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insideV w:val="nil"/>
        </w:tcBorders>
        <w:shd w:val="clear" w:color="auto" w:fill="F1873D" w:themeFill="accent3"/>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4-Accent41">
    <w:name w:val="Grid Table 4 - Accent 41"/>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insideV w:val="nil"/>
        </w:tcBorders>
        <w:shd w:val="clear" w:color="auto" w:fill="FCC648" w:themeFill="accent4"/>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4-Accent51">
    <w:name w:val="Grid Table 4 - Accent 51"/>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insideV w:val="nil"/>
        </w:tcBorders>
        <w:shd w:val="clear" w:color="auto" w:fill="86BE57" w:themeFill="accent5"/>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4-Accent61">
    <w:name w:val="Grid Table 4 - Accent 61"/>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insideV w:val="nil"/>
        </w:tcBorders>
        <w:shd w:val="clear" w:color="auto" w:fill="788183" w:themeFill="accent6"/>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5Dark1">
    <w:name w:val="Grid Table 5 Dark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7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48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48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48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487F" w:themeFill="accent1"/>
      </w:tcPr>
    </w:tblStylePr>
    <w:tblStylePr w:type="band1Vert">
      <w:tblPr/>
      <w:tcPr>
        <w:shd w:val="clear" w:color="auto" w:fill="D6B0CE" w:themeFill="accent1" w:themeFillTint="66"/>
      </w:tcPr>
    </w:tblStylePr>
    <w:tblStylePr w:type="band1Horz">
      <w:tblPr/>
      <w:tcPr>
        <w:shd w:val="clear" w:color="auto" w:fill="D6B0CE" w:themeFill="accent1" w:themeFillTint="66"/>
      </w:tcPr>
    </w:tblStylePr>
  </w:style>
  <w:style w:type="table" w:customStyle="1" w:styleId="GridTable5Dark-Accent21">
    <w:name w:val="Grid Table 5 Dark - Accent 2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B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4E4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4E4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4E4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4E45" w:themeFill="accent2"/>
      </w:tcPr>
    </w:tblStylePr>
    <w:tblStylePr w:type="band1Vert">
      <w:tblPr/>
      <w:tcPr>
        <w:shd w:val="clear" w:color="auto" w:fill="E8B7B4" w:themeFill="accent2" w:themeFillTint="66"/>
      </w:tcPr>
    </w:tblStylePr>
    <w:tblStylePr w:type="band1Horz">
      <w:tblPr/>
      <w:tcPr>
        <w:shd w:val="clear" w:color="auto" w:fill="E8B7B4" w:themeFill="accent2" w:themeFillTint="66"/>
      </w:tcPr>
    </w:tblStylePr>
  </w:style>
  <w:style w:type="table" w:customStyle="1" w:styleId="GridTable5Dark-Accent31">
    <w:name w:val="Grid Table 5 Dark - Accent 3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6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873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873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873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873D" w:themeFill="accent3"/>
      </w:tcPr>
    </w:tblStylePr>
    <w:tblStylePr w:type="band1Vert">
      <w:tblPr/>
      <w:tcPr>
        <w:shd w:val="clear" w:color="auto" w:fill="F9CEB1" w:themeFill="accent3" w:themeFillTint="66"/>
      </w:tcPr>
    </w:tblStylePr>
    <w:tblStylePr w:type="band1Horz">
      <w:tblPr/>
      <w:tcPr>
        <w:shd w:val="clear" w:color="auto" w:fill="F9CEB1" w:themeFill="accent3" w:themeFillTint="66"/>
      </w:tcPr>
    </w:tblStylePr>
  </w:style>
  <w:style w:type="table" w:customStyle="1" w:styleId="GridTable5Dark-Accent41">
    <w:name w:val="Grid Table 5 Dark - Accent 4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C64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C64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C64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C648" w:themeFill="accent4"/>
      </w:tcPr>
    </w:tblStylePr>
    <w:tblStylePr w:type="band1Vert">
      <w:tblPr/>
      <w:tcPr>
        <w:shd w:val="clear" w:color="auto" w:fill="FDE7B5" w:themeFill="accent4" w:themeFillTint="66"/>
      </w:tcPr>
    </w:tblStylePr>
    <w:tblStylePr w:type="band1Horz">
      <w:tblPr/>
      <w:tcPr>
        <w:shd w:val="clear" w:color="auto" w:fill="FDE7B5" w:themeFill="accent4" w:themeFillTint="66"/>
      </w:tcPr>
    </w:tblStylePr>
  </w:style>
  <w:style w:type="table" w:customStyle="1" w:styleId="GridTable5Dark-Accent51">
    <w:name w:val="Grid Table 5 Dark - Accent 5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2D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E5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E5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E5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E57" w:themeFill="accent5"/>
      </w:tcPr>
    </w:tblStylePr>
    <w:tblStylePr w:type="band1Vert">
      <w:tblPr/>
      <w:tcPr>
        <w:shd w:val="clear" w:color="auto" w:fill="CEE5BB" w:themeFill="accent5" w:themeFillTint="66"/>
      </w:tcPr>
    </w:tblStylePr>
    <w:tblStylePr w:type="band1Horz">
      <w:tblPr/>
      <w:tcPr>
        <w:shd w:val="clear" w:color="auto" w:fill="CEE5BB" w:themeFill="accent5" w:themeFillTint="66"/>
      </w:tcPr>
    </w:tblStylePr>
  </w:style>
  <w:style w:type="table" w:customStyle="1" w:styleId="GridTable5Dark-Accent61">
    <w:name w:val="Grid Table 5 Dark - Accent 6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5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8183" w:themeFill="accent6"/>
      </w:tcPr>
    </w:tblStylePr>
    <w:tblStylePr w:type="band1Vert">
      <w:tblPr/>
      <w:tcPr>
        <w:shd w:val="clear" w:color="auto" w:fill="C8CCCD" w:themeFill="accent6" w:themeFillTint="66"/>
      </w:tcPr>
    </w:tblStylePr>
    <w:tblStylePr w:type="band1Horz">
      <w:tblPr/>
      <w:tcPr>
        <w:shd w:val="clear" w:color="auto" w:fill="C8CCCD" w:themeFill="accent6" w:themeFillTint="66"/>
      </w:tcPr>
    </w:tblStylePr>
  </w:style>
  <w:style w:type="table" w:customStyle="1" w:styleId="GridTable6Colorful1">
    <w:name w:val="Grid Table 6 Colorful1"/>
    <w:basedOn w:val="TableNormal"/>
    <w:uiPriority w:val="51"/>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6Colorful-Accent21">
    <w:name w:val="Grid Table 6 Colorful - Accent 21"/>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6Colorful-Accent31">
    <w:name w:val="Grid Table 6 Colorful - Accent 31"/>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6Colorful-Accent41">
    <w:name w:val="Grid Table 6 Colorful - Accent 41"/>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6Colorful-Accent51">
    <w:name w:val="Grid Table 6 Colorful - Accent 51"/>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6Colorful-Accent61">
    <w:name w:val="Grid Table 6 Colorful - Accent 61"/>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7Colorful1">
    <w:name w:val="Grid Table 7 Colorful1"/>
    <w:basedOn w:val="TableNormal"/>
    <w:uiPriority w:val="52"/>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7Colorful-Accent21">
    <w:name w:val="Grid Table 7 Colorful - Accent 21"/>
    <w:basedOn w:val="TableNormal"/>
    <w:uiPriority w:val="52"/>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7Colorful-Accent31">
    <w:name w:val="Grid Table 7 Colorful - Accent 31"/>
    <w:basedOn w:val="TableNormal"/>
    <w:uiPriority w:val="52"/>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7Colorful-Accent41">
    <w:name w:val="Grid Table 7 Colorful - Accent 41"/>
    <w:basedOn w:val="TableNormal"/>
    <w:uiPriority w:val="52"/>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7Colorful-Accent51">
    <w:name w:val="Grid Table 7 Colorful - Accent 51"/>
    <w:basedOn w:val="TableNormal"/>
    <w:uiPriority w:val="52"/>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7Colorful-Accent61">
    <w:name w:val="Grid Table 7 Colorful - Accent 61"/>
    <w:basedOn w:val="TableNormal"/>
    <w:uiPriority w:val="52"/>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styleId="LightGrid">
    <w:name w:val="Light Grid"/>
    <w:basedOn w:val="TableNormal"/>
    <w:uiPriority w:val="62"/>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18" w:space="0" w:color="8D487F" w:themeColor="accent1"/>
          <w:right w:val="single" w:sz="8" w:space="0" w:color="8D487F" w:themeColor="accent1"/>
          <w:insideH w:val="nil"/>
          <w:insideV w:val="single" w:sz="8" w:space="0" w:color="8D487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insideH w:val="nil"/>
          <w:insideV w:val="single" w:sz="8" w:space="0" w:color="8D487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shd w:val="clear" w:color="auto" w:fill="E6CEE1" w:themeFill="accent1" w:themeFillTint="3F"/>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shd w:val="clear" w:color="auto" w:fill="E6CEE1" w:themeFill="accent1" w:themeFillTint="3F"/>
      </w:tcPr>
    </w:tblStylePr>
    <w:tblStylePr w:type="band2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tcPr>
    </w:tblStylePr>
  </w:style>
  <w:style w:type="table" w:styleId="LightGrid-Accent2">
    <w:name w:val="Light Grid Accent 2"/>
    <w:basedOn w:val="TableNormal"/>
    <w:uiPriority w:val="62"/>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18" w:space="0" w:color="C64E45" w:themeColor="accent2"/>
          <w:right w:val="single" w:sz="8" w:space="0" w:color="C64E45" w:themeColor="accent2"/>
          <w:insideH w:val="nil"/>
          <w:insideV w:val="single" w:sz="8" w:space="0" w:color="C64E4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insideH w:val="nil"/>
          <w:insideV w:val="single" w:sz="8" w:space="0" w:color="C64E4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shd w:val="clear" w:color="auto" w:fill="F1D2D0" w:themeFill="accent2" w:themeFillTint="3F"/>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shd w:val="clear" w:color="auto" w:fill="F1D2D0" w:themeFill="accent2" w:themeFillTint="3F"/>
      </w:tcPr>
    </w:tblStylePr>
    <w:tblStylePr w:type="band2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tcPr>
    </w:tblStylePr>
  </w:style>
  <w:style w:type="table" w:styleId="LightGrid-Accent3">
    <w:name w:val="Light Grid Accent 3"/>
    <w:basedOn w:val="TableNormal"/>
    <w:uiPriority w:val="62"/>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18" w:space="0" w:color="F1873D" w:themeColor="accent3"/>
          <w:right w:val="single" w:sz="8" w:space="0" w:color="F1873D" w:themeColor="accent3"/>
          <w:insideH w:val="nil"/>
          <w:insideV w:val="single" w:sz="8" w:space="0" w:color="F1873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insideH w:val="nil"/>
          <w:insideV w:val="single" w:sz="8" w:space="0" w:color="F1873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shd w:val="clear" w:color="auto" w:fill="FBE1CE" w:themeFill="accent3" w:themeFillTint="3F"/>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shd w:val="clear" w:color="auto" w:fill="FBE1CE" w:themeFill="accent3" w:themeFillTint="3F"/>
      </w:tcPr>
    </w:tblStylePr>
    <w:tblStylePr w:type="band2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tcPr>
    </w:tblStylePr>
  </w:style>
  <w:style w:type="table" w:styleId="LightGrid-Accent4">
    <w:name w:val="Light Grid Accent 4"/>
    <w:basedOn w:val="TableNormal"/>
    <w:uiPriority w:val="62"/>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18" w:space="0" w:color="FCC648" w:themeColor="accent4"/>
          <w:right w:val="single" w:sz="8" w:space="0" w:color="FCC648" w:themeColor="accent4"/>
          <w:insideH w:val="nil"/>
          <w:insideV w:val="single" w:sz="8" w:space="0" w:color="FCC64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insideH w:val="nil"/>
          <w:insideV w:val="single" w:sz="8" w:space="0" w:color="FCC64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shd w:val="clear" w:color="auto" w:fill="FEF0D1" w:themeFill="accent4" w:themeFillTint="3F"/>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shd w:val="clear" w:color="auto" w:fill="FEF0D1" w:themeFill="accent4" w:themeFillTint="3F"/>
      </w:tcPr>
    </w:tblStylePr>
    <w:tblStylePr w:type="band2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tcPr>
    </w:tblStylePr>
  </w:style>
  <w:style w:type="table" w:styleId="LightGrid-Accent5">
    <w:name w:val="Light Grid Accent 5"/>
    <w:basedOn w:val="TableNormal"/>
    <w:uiPriority w:val="62"/>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18" w:space="0" w:color="86BE57" w:themeColor="accent5"/>
          <w:right w:val="single" w:sz="8" w:space="0" w:color="86BE57" w:themeColor="accent5"/>
          <w:insideH w:val="nil"/>
          <w:insideV w:val="single" w:sz="8" w:space="0" w:color="86BE5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insideH w:val="nil"/>
          <w:insideV w:val="single" w:sz="8" w:space="0" w:color="86BE5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shd w:val="clear" w:color="auto" w:fill="E1EFD5" w:themeFill="accent5" w:themeFillTint="3F"/>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shd w:val="clear" w:color="auto" w:fill="E1EFD5" w:themeFill="accent5" w:themeFillTint="3F"/>
      </w:tcPr>
    </w:tblStylePr>
    <w:tblStylePr w:type="band2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tcPr>
    </w:tblStylePr>
  </w:style>
  <w:style w:type="table" w:styleId="LightGrid-Accent6">
    <w:name w:val="Light Grid Accent 6"/>
    <w:basedOn w:val="TableNormal"/>
    <w:uiPriority w:val="62"/>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18" w:space="0" w:color="788183" w:themeColor="accent6"/>
          <w:right w:val="single" w:sz="8" w:space="0" w:color="788183" w:themeColor="accent6"/>
          <w:insideH w:val="nil"/>
          <w:insideV w:val="single" w:sz="8" w:space="0" w:color="78818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insideH w:val="nil"/>
          <w:insideV w:val="single" w:sz="8" w:space="0" w:color="78818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shd w:val="clear" w:color="auto" w:fill="DDDFE0" w:themeFill="accent6" w:themeFillTint="3F"/>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shd w:val="clear" w:color="auto" w:fill="DDDFE0" w:themeFill="accent6" w:themeFillTint="3F"/>
      </w:tcPr>
    </w:tblStylePr>
    <w:tblStylePr w:type="band2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tcPr>
    </w:tblStylePr>
  </w:style>
  <w:style w:type="table" w:styleId="LightList">
    <w:name w:val="Light List"/>
    <w:basedOn w:val="TableNormal"/>
    <w:uiPriority w:val="61"/>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pPr>
        <w:spacing w:before="0" w:after="0" w:line="240" w:lineRule="auto"/>
      </w:pPr>
      <w:rPr>
        <w:b/>
        <w:bCs/>
        <w:color w:val="FFFFFF" w:themeColor="background1"/>
      </w:rPr>
      <w:tblPr/>
      <w:tcPr>
        <w:shd w:val="clear" w:color="auto" w:fill="8D487F" w:themeFill="accent1"/>
      </w:tcPr>
    </w:tblStylePr>
    <w:tblStylePr w:type="lastRow">
      <w:pPr>
        <w:spacing w:before="0" w:after="0" w:line="240" w:lineRule="auto"/>
      </w:pPr>
      <w:rPr>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tcBorders>
      </w:tcPr>
    </w:tblStylePr>
    <w:tblStylePr w:type="firstCol">
      <w:rPr>
        <w:b/>
        <w:bCs/>
      </w:rPr>
    </w:tblStylePr>
    <w:tblStylePr w:type="lastCol">
      <w:rPr>
        <w:b/>
        <w:bCs/>
      </w:r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style>
  <w:style w:type="table" w:styleId="LightList-Accent2">
    <w:name w:val="Light List Accent 2"/>
    <w:basedOn w:val="TableNormal"/>
    <w:uiPriority w:val="61"/>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pPr>
        <w:spacing w:before="0" w:after="0" w:line="240" w:lineRule="auto"/>
      </w:pPr>
      <w:rPr>
        <w:b/>
        <w:bCs/>
        <w:color w:val="FFFFFF" w:themeColor="background1"/>
      </w:rPr>
      <w:tblPr/>
      <w:tcPr>
        <w:shd w:val="clear" w:color="auto" w:fill="C64E45" w:themeFill="accent2"/>
      </w:tcPr>
    </w:tblStylePr>
    <w:tblStylePr w:type="lastRow">
      <w:pPr>
        <w:spacing w:before="0" w:after="0" w:line="240" w:lineRule="auto"/>
      </w:pPr>
      <w:rPr>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tcBorders>
      </w:tcPr>
    </w:tblStylePr>
    <w:tblStylePr w:type="firstCol">
      <w:rPr>
        <w:b/>
        <w:bCs/>
      </w:rPr>
    </w:tblStylePr>
    <w:tblStylePr w:type="lastCol">
      <w:rPr>
        <w:b/>
        <w:bCs/>
      </w:r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style>
  <w:style w:type="table" w:styleId="LightList-Accent3">
    <w:name w:val="Light List Accent 3"/>
    <w:basedOn w:val="TableNormal"/>
    <w:uiPriority w:val="61"/>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pPr>
        <w:spacing w:before="0" w:after="0" w:line="240" w:lineRule="auto"/>
      </w:pPr>
      <w:rPr>
        <w:b/>
        <w:bCs/>
        <w:color w:val="FFFFFF" w:themeColor="background1"/>
      </w:rPr>
      <w:tblPr/>
      <w:tcPr>
        <w:shd w:val="clear" w:color="auto" w:fill="F1873D" w:themeFill="accent3"/>
      </w:tcPr>
    </w:tblStylePr>
    <w:tblStylePr w:type="lastRow">
      <w:pPr>
        <w:spacing w:before="0" w:after="0" w:line="240" w:lineRule="auto"/>
      </w:pPr>
      <w:rPr>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tcBorders>
      </w:tcPr>
    </w:tblStylePr>
    <w:tblStylePr w:type="firstCol">
      <w:rPr>
        <w:b/>
        <w:bCs/>
      </w:rPr>
    </w:tblStylePr>
    <w:tblStylePr w:type="lastCol">
      <w:rPr>
        <w:b/>
        <w:bCs/>
      </w:r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style>
  <w:style w:type="table" w:styleId="LightList-Accent4">
    <w:name w:val="Light List Accent 4"/>
    <w:basedOn w:val="TableNormal"/>
    <w:uiPriority w:val="61"/>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pPr>
        <w:spacing w:before="0" w:after="0" w:line="240" w:lineRule="auto"/>
      </w:pPr>
      <w:rPr>
        <w:b/>
        <w:bCs/>
        <w:color w:val="FFFFFF" w:themeColor="background1"/>
      </w:rPr>
      <w:tblPr/>
      <w:tcPr>
        <w:shd w:val="clear" w:color="auto" w:fill="FCC648" w:themeFill="accent4"/>
      </w:tcPr>
    </w:tblStylePr>
    <w:tblStylePr w:type="lastRow">
      <w:pPr>
        <w:spacing w:before="0" w:after="0" w:line="240" w:lineRule="auto"/>
      </w:pPr>
      <w:rPr>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tcBorders>
      </w:tcPr>
    </w:tblStylePr>
    <w:tblStylePr w:type="firstCol">
      <w:rPr>
        <w:b/>
        <w:bCs/>
      </w:rPr>
    </w:tblStylePr>
    <w:tblStylePr w:type="lastCol">
      <w:rPr>
        <w:b/>
        <w:bCs/>
      </w:r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style>
  <w:style w:type="table" w:styleId="LightList-Accent5">
    <w:name w:val="Light List Accent 5"/>
    <w:basedOn w:val="TableNormal"/>
    <w:uiPriority w:val="61"/>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pPr>
        <w:spacing w:before="0" w:after="0" w:line="240" w:lineRule="auto"/>
      </w:pPr>
      <w:rPr>
        <w:b/>
        <w:bCs/>
        <w:color w:val="FFFFFF" w:themeColor="background1"/>
      </w:rPr>
      <w:tblPr/>
      <w:tcPr>
        <w:shd w:val="clear" w:color="auto" w:fill="86BE57" w:themeFill="accent5"/>
      </w:tcPr>
    </w:tblStylePr>
    <w:tblStylePr w:type="lastRow">
      <w:pPr>
        <w:spacing w:before="0" w:after="0" w:line="240" w:lineRule="auto"/>
      </w:pPr>
      <w:rPr>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tcBorders>
      </w:tcPr>
    </w:tblStylePr>
    <w:tblStylePr w:type="firstCol">
      <w:rPr>
        <w:b/>
        <w:bCs/>
      </w:rPr>
    </w:tblStylePr>
    <w:tblStylePr w:type="lastCol">
      <w:rPr>
        <w:b/>
        <w:bCs/>
      </w:r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style>
  <w:style w:type="table" w:styleId="LightList-Accent6">
    <w:name w:val="Light List Accent 6"/>
    <w:basedOn w:val="TableNormal"/>
    <w:uiPriority w:val="61"/>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pPr>
        <w:spacing w:before="0" w:after="0" w:line="240" w:lineRule="auto"/>
      </w:pPr>
      <w:rPr>
        <w:b/>
        <w:bCs/>
        <w:color w:val="FFFFFF" w:themeColor="background1"/>
      </w:rPr>
      <w:tblPr/>
      <w:tcPr>
        <w:shd w:val="clear" w:color="auto" w:fill="788183" w:themeFill="accent6"/>
      </w:tcPr>
    </w:tblStylePr>
    <w:tblStylePr w:type="lastRow">
      <w:pPr>
        <w:spacing w:before="0" w:after="0" w:line="240" w:lineRule="auto"/>
      </w:pPr>
      <w:rPr>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tcBorders>
      </w:tcPr>
    </w:tblStylePr>
    <w:tblStylePr w:type="firstCol">
      <w:rPr>
        <w:b/>
        <w:bCs/>
      </w:rPr>
    </w:tblStylePr>
    <w:tblStylePr w:type="lastCol">
      <w:rPr>
        <w:b/>
        <w:bCs/>
      </w:r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style>
  <w:style w:type="table" w:styleId="LightShading">
    <w:name w:val="Light Shading"/>
    <w:basedOn w:val="TableNormal"/>
    <w:uiPriority w:val="60"/>
    <w:semiHidden/>
    <w:rsid w:val="00EE3EB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EE3EB6"/>
    <w:pPr>
      <w:spacing w:line="240" w:lineRule="auto"/>
    </w:pPr>
    <w:rPr>
      <w:color w:val="69365E" w:themeColor="accent1" w:themeShade="BF"/>
    </w:rPr>
    <w:tblPr>
      <w:tblStyleRowBandSize w:val="1"/>
      <w:tblStyleColBandSize w:val="1"/>
      <w:tblBorders>
        <w:top w:val="single" w:sz="8" w:space="0" w:color="8D487F" w:themeColor="accent1"/>
        <w:bottom w:val="single" w:sz="8" w:space="0" w:color="8D487F" w:themeColor="accent1"/>
      </w:tblBorders>
    </w:tblPr>
    <w:tblStylePr w:type="fir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la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left w:val="nil"/>
          <w:right w:val="nil"/>
          <w:insideH w:val="nil"/>
          <w:insideV w:val="nil"/>
        </w:tcBorders>
        <w:shd w:val="clear" w:color="auto" w:fill="E6CEE1" w:themeFill="accent1" w:themeFillTint="3F"/>
      </w:tcPr>
    </w:tblStylePr>
  </w:style>
  <w:style w:type="table" w:styleId="LightShading-Accent2">
    <w:name w:val="Light Shading Accent 2"/>
    <w:basedOn w:val="TableNormal"/>
    <w:uiPriority w:val="60"/>
    <w:semiHidden/>
    <w:rsid w:val="00EE3EB6"/>
    <w:pPr>
      <w:spacing w:line="240" w:lineRule="auto"/>
    </w:pPr>
    <w:rPr>
      <w:color w:val="98362F" w:themeColor="accent2" w:themeShade="BF"/>
    </w:rPr>
    <w:tblPr>
      <w:tblStyleRowBandSize w:val="1"/>
      <w:tblStyleColBandSize w:val="1"/>
      <w:tblBorders>
        <w:top w:val="single" w:sz="8" w:space="0" w:color="C64E45" w:themeColor="accent2"/>
        <w:bottom w:val="single" w:sz="8" w:space="0" w:color="C64E45" w:themeColor="accent2"/>
      </w:tblBorders>
    </w:tblPr>
    <w:tblStylePr w:type="fir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la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left w:val="nil"/>
          <w:right w:val="nil"/>
          <w:insideH w:val="nil"/>
          <w:insideV w:val="nil"/>
        </w:tcBorders>
        <w:shd w:val="clear" w:color="auto" w:fill="F1D2D0" w:themeFill="accent2" w:themeFillTint="3F"/>
      </w:tcPr>
    </w:tblStylePr>
  </w:style>
  <w:style w:type="table" w:styleId="LightShading-Accent3">
    <w:name w:val="Light Shading Accent 3"/>
    <w:basedOn w:val="TableNormal"/>
    <w:uiPriority w:val="60"/>
    <w:semiHidden/>
    <w:rsid w:val="00EE3EB6"/>
    <w:pPr>
      <w:spacing w:line="240" w:lineRule="auto"/>
    </w:pPr>
    <w:rPr>
      <w:color w:val="D25E0F" w:themeColor="accent3" w:themeShade="BF"/>
    </w:rPr>
    <w:tblPr>
      <w:tblStyleRowBandSize w:val="1"/>
      <w:tblStyleColBandSize w:val="1"/>
      <w:tblBorders>
        <w:top w:val="single" w:sz="8" w:space="0" w:color="F1873D" w:themeColor="accent3"/>
        <w:bottom w:val="single" w:sz="8" w:space="0" w:color="F1873D" w:themeColor="accent3"/>
      </w:tblBorders>
    </w:tblPr>
    <w:tblStylePr w:type="fir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la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left w:val="nil"/>
          <w:right w:val="nil"/>
          <w:insideH w:val="nil"/>
          <w:insideV w:val="nil"/>
        </w:tcBorders>
        <w:shd w:val="clear" w:color="auto" w:fill="FBE1CE" w:themeFill="accent3" w:themeFillTint="3F"/>
      </w:tcPr>
    </w:tblStylePr>
  </w:style>
  <w:style w:type="table" w:styleId="LightShading-Accent4">
    <w:name w:val="Light Shading Accent 4"/>
    <w:basedOn w:val="TableNormal"/>
    <w:uiPriority w:val="60"/>
    <w:semiHidden/>
    <w:rsid w:val="00EE3EB6"/>
    <w:pPr>
      <w:spacing w:line="240" w:lineRule="auto"/>
    </w:pPr>
    <w:rPr>
      <w:color w:val="EEA704" w:themeColor="accent4" w:themeShade="BF"/>
    </w:rPr>
    <w:tblPr>
      <w:tblStyleRowBandSize w:val="1"/>
      <w:tblStyleColBandSize w:val="1"/>
      <w:tblBorders>
        <w:top w:val="single" w:sz="8" w:space="0" w:color="FCC648" w:themeColor="accent4"/>
        <w:bottom w:val="single" w:sz="8" w:space="0" w:color="FCC648" w:themeColor="accent4"/>
      </w:tblBorders>
    </w:tblPr>
    <w:tblStylePr w:type="fir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la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left w:val="nil"/>
          <w:right w:val="nil"/>
          <w:insideH w:val="nil"/>
          <w:insideV w:val="nil"/>
        </w:tcBorders>
        <w:shd w:val="clear" w:color="auto" w:fill="FEF0D1" w:themeFill="accent4" w:themeFillTint="3F"/>
      </w:tcPr>
    </w:tblStylePr>
  </w:style>
  <w:style w:type="table" w:styleId="LightShading-Accent5">
    <w:name w:val="Light Shading Accent 5"/>
    <w:basedOn w:val="TableNormal"/>
    <w:uiPriority w:val="60"/>
    <w:semiHidden/>
    <w:rsid w:val="00EE3EB6"/>
    <w:pPr>
      <w:spacing w:line="240" w:lineRule="auto"/>
    </w:pPr>
    <w:rPr>
      <w:color w:val="63953A" w:themeColor="accent5" w:themeShade="BF"/>
    </w:rPr>
    <w:tblPr>
      <w:tblStyleRowBandSize w:val="1"/>
      <w:tblStyleColBandSize w:val="1"/>
      <w:tblBorders>
        <w:top w:val="single" w:sz="8" w:space="0" w:color="86BE57" w:themeColor="accent5"/>
        <w:bottom w:val="single" w:sz="8" w:space="0" w:color="86BE57" w:themeColor="accent5"/>
      </w:tblBorders>
    </w:tblPr>
    <w:tblStylePr w:type="fir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la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left w:val="nil"/>
          <w:right w:val="nil"/>
          <w:insideH w:val="nil"/>
          <w:insideV w:val="nil"/>
        </w:tcBorders>
        <w:shd w:val="clear" w:color="auto" w:fill="E1EFD5" w:themeFill="accent5" w:themeFillTint="3F"/>
      </w:tcPr>
    </w:tblStylePr>
  </w:style>
  <w:style w:type="table" w:styleId="LightShading-Accent6">
    <w:name w:val="Light Shading Accent 6"/>
    <w:basedOn w:val="TableNormal"/>
    <w:uiPriority w:val="60"/>
    <w:semiHidden/>
    <w:rsid w:val="00EE3EB6"/>
    <w:pPr>
      <w:spacing w:line="240" w:lineRule="auto"/>
    </w:pPr>
    <w:rPr>
      <w:color w:val="5A6062" w:themeColor="accent6" w:themeShade="BF"/>
    </w:rPr>
    <w:tblPr>
      <w:tblStyleRowBandSize w:val="1"/>
      <w:tblStyleColBandSize w:val="1"/>
      <w:tblBorders>
        <w:top w:val="single" w:sz="8" w:space="0" w:color="788183" w:themeColor="accent6"/>
        <w:bottom w:val="single" w:sz="8" w:space="0" w:color="788183" w:themeColor="accent6"/>
      </w:tblBorders>
    </w:tblPr>
    <w:tblStylePr w:type="fir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la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left w:val="nil"/>
          <w:right w:val="nil"/>
          <w:insideH w:val="nil"/>
          <w:insideV w:val="nil"/>
        </w:tcBorders>
        <w:shd w:val="clear" w:color="auto" w:fill="DDDFE0" w:themeFill="accent6" w:themeFillTint="3F"/>
      </w:tcPr>
    </w:tblStylePr>
  </w:style>
  <w:style w:type="table" w:customStyle="1" w:styleId="ListTable1Light1">
    <w:name w:val="List Table 1 Light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C288B7" w:themeColor="accent1" w:themeTint="99"/>
        </w:tcBorders>
      </w:tcPr>
    </w:tblStylePr>
    <w:tblStylePr w:type="lastRow">
      <w:rPr>
        <w:b/>
        <w:bCs/>
      </w:rPr>
      <w:tblPr/>
      <w:tcPr>
        <w:tcBorders>
          <w:top w:val="sing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1Light-Accent21">
    <w:name w:val="List Table 1 Light - Accent 2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DC948F" w:themeColor="accent2" w:themeTint="99"/>
        </w:tcBorders>
      </w:tcPr>
    </w:tblStylePr>
    <w:tblStylePr w:type="lastRow">
      <w:rPr>
        <w:b/>
        <w:bCs/>
      </w:rPr>
      <w:tblPr/>
      <w:tcPr>
        <w:tcBorders>
          <w:top w:val="sing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1Light-Accent31">
    <w:name w:val="List Table 1 Light - Accent 3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6B68A" w:themeColor="accent3" w:themeTint="99"/>
        </w:tcBorders>
      </w:tcPr>
    </w:tblStylePr>
    <w:tblStylePr w:type="lastRow">
      <w:rPr>
        <w:b/>
        <w:bCs/>
      </w:rPr>
      <w:tblPr/>
      <w:tcPr>
        <w:tcBorders>
          <w:top w:val="sing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1Light-Accent41">
    <w:name w:val="List Table 1 Light - Accent 4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DDC91" w:themeColor="accent4" w:themeTint="99"/>
        </w:tcBorders>
      </w:tcPr>
    </w:tblStylePr>
    <w:tblStylePr w:type="lastRow">
      <w:rPr>
        <w:b/>
        <w:bCs/>
      </w:rPr>
      <w:tblPr/>
      <w:tcPr>
        <w:tcBorders>
          <w:top w:val="sing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1Light-Accent51">
    <w:name w:val="List Table 1 Light - Accent 5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B6D89A" w:themeColor="accent5" w:themeTint="99"/>
        </w:tcBorders>
      </w:tcPr>
    </w:tblStylePr>
    <w:tblStylePr w:type="lastRow">
      <w:rPr>
        <w:b/>
        <w:bCs/>
      </w:rPr>
      <w:tblPr/>
      <w:tcPr>
        <w:tcBorders>
          <w:top w:val="sing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1Light-Accent61">
    <w:name w:val="List Table 1 Light - Accent 6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ADB3B4" w:themeColor="accent6" w:themeTint="99"/>
        </w:tcBorders>
      </w:tcPr>
    </w:tblStylePr>
    <w:tblStylePr w:type="lastRow">
      <w:rPr>
        <w:b/>
        <w:bCs/>
      </w:rPr>
      <w:tblPr/>
      <w:tcPr>
        <w:tcBorders>
          <w:top w:val="sing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21">
    <w:name w:val="List Table 21"/>
    <w:basedOn w:val="TableNormal"/>
    <w:uiPriority w:val="47"/>
    <w:semiHidden/>
    <w:rsid w:val="00EE3EB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semiHidden/>
    <w:rsid w:val="00EE3EB6"/>
    <w:pPr>
      <w:spacing w:line="240" w:lineRule="auto"/>
    </w:pPr>
    <w:tblPr>
      <w:tblStyleRowBandSize w:val="1"/>
      <w:tblStyleColBandSize w:val="1"/>
      <w:tblBorders>
        <w:top w:val="single" w:sz="4" w:space="0" w:color="C288B7" w:themeColor="accent1" w:themeTint="99"/>
        <w:bottom w:val="single" w:sz="4" w:space="0" w:color="C288B7" w:themeColor="accent1" w:themeTint="99"/>
        <w:insideH w:val="single" w:sz="4" w:space="0" w:color="C288B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2-Accent21">
    <w:name w:val="List Table 2 - Accent 21"/>
    <w:basedOn w:val="TableNormal"/>
    <w:uiPriority w:val="47"/>
    <w:semiHidden/>
    <w:rsid w:val="00EE3EB6"/>
    <w:pPr>
      <w:spacing w:line="240" w:lineRule="auto"/>
    </w:pPr>
    <w:tblPr>
      <w:tblStyleRowBandSize w:val="1"/>
      <w:tblStyleColBandSize w:val="1"/>
      <w:tblBorders>
        <w:top w:val="single" w:sz="4" w:space="0" w:color="DC948F" w:themeColor="accent2" w:themeTint="99"/>
        <w:bottom w:val="single" w:sz="4" w:space="0" w:color="DC948F" w:themeColor="accent2" w:themeTint="99"/>
        <w:insideH w:val="single" w:sz="4" w:space="0" w:color="DC948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2-Accent31">
    <w:name w:val="List Table 2 - Accent 31"/>
    <w:basedOn w:val="TableNormal"/>
    <w:uiPriority w:val="47"/>
    <w:semiHidden/>
    <w:rsid w:val="00EE3EB6"/>
    <w:pPr>
      <w:spacing w:line="240" w:lineRule="auto"/>
    </w:pPr>
    <w:tblPr>
      <w:tblStyleRowBandSize w:val="1"/>
      <w:tblStyleColBandSize w:val="1"/>
      <w:tblBorders>
        <w:top w:val="single" w:sz="4" w:space="0" w:color="F6B68A" w:themeColor="accent3" w:themeTint="99"/>
        <w:bottom w:val="single" w:sz="4" w:space="0" w:color="F6B68A" w:themeColor="accent3" w:themeTint="99"/>
        <w:insideH w:val="single" w:sz="4" w:space="0" w:color="F6B68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2-Accent41">
    <w:name w:val="List Table 2 - Accent 41"/>
    <w:basedOn w:val="TableNormal"/>
    <w:uiPriority w:val="47"/>
    <w:semiHidden/>
    <w:rsid w:val="00EE3EB6"/>
    <w:pPr>
      <w:spacing w:line="240" w:lineRule="auto"/>
    </w:pPr>
    <w:tblPr>
      <w:tblStyleRowBandSize w:val="1"/>
      <w:tblStyleColBandSize w:val="1"/>
      <w:tblBorders>
        <w:top w:val="single" w:sz="4" w:space="0" w:color="FDDC91" w:themeColor="accent4" w:themeTint="99"/>
        <w:bottom w:val="single" w:sz="4" w:space="0" w:color="FDDC91" w:themeColor="accent4" w:themeTint="99"/>
        <w:insideH w:val="single" w:sz="4" w:space="0" w:color="FDDC9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2-Accent51">
    <w:name w:val="List Table 2 - Accent 51"/>
    <w:basedOn w:val="TableNormal"/>
    <w:uiPriority w:val="47"/>
    <w:semiHidden/>
    <w:rsid w:val="00EE3EB6"/>
    <w:pPr>
      <w:spacing w:line="240" w:lineRule="auto"/>
    </w:pPr>
    <w:tblPr>
      <w:tblStyleRowBandSize w:val="1"/>
      <w:tblStyleColBandSize w:val="1"/>
      <w:tblBorders>
        <w:top w:val="single" w:sz="4" w:space="0" w:color="B6D89A" w:themeColor="accent5" w:themeTint="99"/>
        <w:bottom w:val="single" w:sz="4" w:space="0" w:color="B6D89A" w:themeColor="accent5" w:themeTint="99"/>
        <w:insideH w:val="single" w:sz="4" w:space="0" w:color="B6D89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2-Accent61">
    <w:name w:val="List Table 2 - Accent 61"/>
    <w:basedOn w:val="TableNormal"/>
    <w:uiPriority w:val="47"/>
    <w:semiHidden/>
    <w:rsid w:val="00EE3EB6"/>
    <w:pPr>
      <w:spacing w:line="240" w:lineRule="auto"/>
    </w:pPr>
    <w:tblPr>
      <w:tblStyleRowBandSize w:val="1"/>
      <w:tblStyleColBandSize w:val="1"/>
      <w:tblBorders>
        <w:top w:val="single" w:sz="4" w:space="0" w:color="ADB3B4" w:themeColor="accent6" w:themeTint="99"/>
        <w:bottom w:val="single" w:sz="4" w:space="0" w:color="ADB3B4" w:themeColor="accent6" w:themeTint="99"/>
        <w:insideH w:val="single" w:sz="4" w:space="0" w:color="ADB3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31">
    <w:name w:val="List Table 31"/>
    <w:basedOn w:val="TableNormal"/>
    <w:uiPriority w:val="48"/>
    <w:semiHidden/>
    <w:rsid w:val="00EE3EB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semiHidden/>
    <w:rsid w:val="00EE3EB6"/>
    <w:pPr>
      <w:spacing w:line="240" w:lineRule="auto"/>
    </w:pPr>
    <w:tblPr>
      <w:tblStyleRowBandSize w:val="1"/>
      <w:tblStyleColBandSize w:val="1"/>
      <w:tblBorders>
        <w:top w:val="single" w:sz="4" w:space="0" w:color="8D487F" w:themeColor="accent1"/>
        <w:left w:val="single" w:sz="4" w:space="0" w:color="8D487F" w:themeColor="accent1"/>
        <w:bottom w:val="single" w:sz="4" w:space="0" w:color="8D487F" w:themeColor="accent1"/>
        <w:right w:val="single" w:sz="4" w:space="0" w:color="8D487F" w:themeColor="accent1"/>
      </w:tblBorders>
    </w:tblPr>
    <w:tblStylePr w:type="firstRow">
      <w:rPr>
        <w:b/>
        <w:bCs/>
        <w:color w:val="FFFFFF" w:themeColor="background1"/>
      </w:rPr>
      <w:tblPr/>
      <w:tcPr>
        <w:shd w:val="clear" w:color="auto" w:fill="8D487F" w:themeFill="accent1"/>
      </w:tcPr>
    </w:tblStylePr>
    <w:tblStylePr w:type="lastRow">
      <w:rPr>
        <w:b/>
        <w:bCs/>
      </w:rPr>
      <w:tblPr/>
      <w:tcPr>
        <w:tcBorders>
          <w:top w:val="double" w:sz="4" w:space="0" w:color="8D487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487F" w:themeColor="accent1"/>
          <w:right w:val="single" w:sz="4" w:space="0" w:color="8D487F" w:themeColor="accent1"/>
        </w:tcBorders>
      </w:tcPr>
    </w:tblStylePr>
    <w:tblStylePr w:type="band1Horz">
      <w:tblPr/>
      <w:tcPr>
        <w:tcBorders>
          <w:top w:val="single" w:sz="4" w:space="0" w:color="8D487F" w:themeColor="accent1"/>
          <w:bottom w:val="single" w:sz="4" w:space="0" w:color="8D487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487F" w:themeColor="accent1"/>
          <w:left w:val="nil"/>
        </w:tcBorders>
      </w:tcPr>
    </w:tblStylePr>
    <w:tblStylePr w:type="swCell">
      <w:tblPr/>
      <w:tcPr>
        <w:tcBorders>
          <w:top w:val="double" w:sz="4" w:space="0" w:color="8D487F" w:themeColor="accent1"/>
          <w:right w:val="nil"/>
        </w:tcBorders>
      </w:tcPr>
    </w:tblStylePr>
  </w:style>
  <w:style w:type="table" w:customStyle="1" w:styleId="ListTable3-Accent21">
    <w:name w:val="List Table 3 - Accent 21"/>
    <w:basedOn w:val="TableNormal"/>
    <w:uiPriority w:val="48"/>
    <w:semiHidden/>
    <w:rsid w:val="00EE3EB6"/>
    <w:pPr>
      <w:spacing w:line="240" w:lineRule="auto"/>
    </w:pPr>
    <w:tblPr>
      <w:tblStyleRowBandSize w:val="1"/>
      <w:tblStyleColBandSize w:val="1"/>
      <w:tblBorders>
        <w:top w:val="single" w:sz="4" w:space="0" w:color="C64E45" w:themeColor="accent2"/>
        <w:left w:val="single" w:sz="4" w:space="0" w:color="C64E45" w:themeColor="accent2"/>
        <w:bottom w:val="single" w:sz="4" w:space="0" w:color="C64E45" w:themeColor="accent2"/>
        <w:right w:val="single" w:sz="4" w:space="0" w:color="C64E45" w:themeColor="accent2"/>
      </w:tblBorders>
    </w:tblPr>
    <w:tblStylePr w:type="firstRow">
      <w:rPr>
        <w:b/>
        <w:bCs/>
        <w:color w:val="FFFFFF" w:themeColor="background1"/>
      </w:rPr>
      <w:tblPr/>
      <w:tcPr>
        <w:shd w:val="clear" w:color="auto" w:fill="C64E45" w:themeFill="accent2"/>
      </w:tcPr>
    </w:tblStylePr>
    <w:tblStylePr w:type="lastRow">
      <w:rPr>
        <w:b/>
        <w:bCs/>
      </w:rPr>
      <w:tblPr/>
      <w:tcPr>
        <w:tcBorders>
          <w:top w:val="double" w:sz="4" w:space="0" w:color="C64E4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4E45" w:themeColor="accent2"/>
          <w:right w:val="single" w:sz="4" w:space="0" w:color="C64E45" w:themeColor="accent2"/>
        </w:tcBorders>
      </w:tcPr>
    </w:tblStylePr>
    <w:tblStylePr w:type="band1Horz">
      <w:tblPr/>
      <w:tcPr>
        <w:tcBorders>
          <w:top w:val="single" w:sz="4" w:space="0" w:color="C64E45" w:themeColor="accent2"/>
          <w:bottom w:val="single" w:sz="4" w:space="0" w:color="C64E4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4E45" w:themeColor="accent2"/>
          <w:left w:val="nil"/>
        </w:tcBorders>
      </w:tcPr>
    </w:tblStylePr>
    <w:tblStylePr w:type="swCell">
      <w:tblPr/>
      <w:tcPr>
        <w:tcBorders>
          <w:top w:val="double" w:sz="4" w:space="0" w:color="C64E45" w:themeColor="accent2"/>
          <w:right w:val="nil"/>
        </w:tcBorders>
      </w:tcPr>
    </w:tblStylePr>
  </w:style>
  <w:style w:type="table" w:customStyle="1" w:styleId="ListTable3-Accent31">
    <w:name w:val="List Table 3 - Accent 31"/>
    <w:basedOn w:val="TableNormal"/>
    <w:uiPriority w:val="48"/>
    <w:semiHidden/>
    <w:rsid w:val="00EE3EB6"/>
    <w:pPr>
      <w:spacing w:line="240" w:lineRule="auto"/>
    </w:pPr>
    <w:tblPr>
      <w:tblStyleRowBandSize w:val="1"/>
      <w:tblStyleColBandSize w:val="1"/>
      <w:tblBorders>
        <w:top w:val="single" w:sz="4" w:space="0" w:color="F1873D" w:themeColor="accent3"/>
        <w:left w:val="single" w:sz="4" w:space="0" w:color="F1873D" w:themeColor="accent3"/>
        <w:bottom w:val="single" w:sz="4" w:space="0" w:color="F1873D" w:themeColor="accent3"/>
        <w:right w:val="single" w:sz="4" w:space="0" w:color="F1873D" w:themeColor="accent3"/>
      </w:tblBorders>
    </w:tblPr>
    <w:tblStylePr w:type="firstRow">
      <w:rPr>
        <w:b/>
        <w:bCs/>
        <w:color w:val="FFFFFF" w:themeColor="background1"/>
      </w:rPr>
      <w:tblPr/>
      <w:tcPr>
        <w:shd w:val="clear" w:color="auto" w:fill="F1873D" w:themeFill="accent3"/>
      </w:tcPr>
    </w:tblStylePr>
    <w:tblStylePr w:type="lastRow">
      <w:rPr>
        <w:b/>
        <w:bCs/>
      </w:rPr>
      <w:tblPr/>
      <w:tcPr>
        <w:tcBorders>
          <w:top w:val="double" w:sz="4" w:space="0" w:color="F1873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873D" w:themeColor="accent3"/>
          <w:right w:val="single" w:sz="4" w:space="0" w:color="F1873D" w:themeColor="accent3"/>
        </w:tcBorders>
      </w:tcPr>
    </w:tblStylePr>
    <w:tblStylePr w:type="band1Horz">
      <w:tblPr/>
      <w:tcPr>
        <w:tcBorders>
          <w:top w:val="single" w:sz="4" w:space="0" w:color="F1873D" w:themeColor="accent3"/>
          <w:bottom w:val="single" w:sz="4" w:space="0" w:color="F1873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873D" w:themeColor="accent3"/>
          <w:left w:val="nil"/>
        </w:tcBorders>
      </w:tcPr>
    </w:tblStylePr>
    <w:tblStylePr w:type="swCell">
      <w:tblPr/>
      <w:tcPr>
        <w:tcBorders>
          <w:top w:val="double" w:sz="4" w:space="0" w:color="F1873D" w:themeColor="accent3"/>
          <w:right w:val="nil"/>
        </w:tcBorders>
      </w:tcPr>
    </w:tblStylePr>
  </w:style>
  <w:style w:type="table" w:customStyle="1" w:styleId="ListTable3-Accent41">
    <w:name w:val="List Table 3 - Accent 41"/>
    <w:basedOn w:val="TableNormal"/>
    <w:uiPriority w:val="48"/>
    <w:semiHidden/>
    <w:rsid w:val="00EE3EB6"/>
    <w:pPr>
      <w:spacing w:line="240" w:lineRule="auto"/>
    </w:pPr>
    <w:tblPr>
      <w:tblStyleRowBandSize w:val="1"/>
      <w:tblStyleColBandSize w:val="1"/>
      <w:tblBorders>
        <w:top w:val="single" w:sz="4" w:space="0" w:color="FCC648" w:themeColor="accent4"/>
        <w:left w:val="single" w:sz="4" w:space="0" w:color="FCC648" w:themeColor="accent4"/>
        <w:bottom w:val="single" w:sz="4" w:space="0" w:color="FCC648" w:themeColor="accent4"/>
        <w:right w:val="single" w:sz="4" w:space="0" w:color="FCC648" w:themeColor="accent4"/>
      </w:tblBorders>
    </w:tblPr>
    <w:tblStylePr w:type="firstRow">
      <w:rPr>
        <w:b/>
        <w:bCs/>
        <w:color w:val="FFFFFF" w:themeColor="background1"/>
      </w:rPr>
      <w:tblPr/>
      <w:tcPr>
        <w:shd w:val="clear" w:color="auto" w:fill="FCC648" w:themeFill="accent4"/>
      </w:tcPr>
    </w:tblStylePr>
    <w:tblStylePr w:type="lastRow">
      <w:rPr>
        <w:b/>
        <w:bCs/>
      </w:rPr>
      <w:tblPr/>
      <w:tcPr>
        <w:tcBorders>
          <w:top w:val="double" w:sz="4" w:space="0" w:color="FCC64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C648" w:themeColor="accent4"/>
          <w:right w:val="single" w:sz="4" w:space="0" w:color="FCC648" w:themeColor="accent4"/>
        </w:tcBorders>
      </w:tcPr>
    </w:tblStylePr>
    <w:tblStylePr w:type="band1Horz">
      <w:tblPr/>
      <w:tcPr>
        <w:tcBorders>
          <w:top w:val="single" w:sz="4" w:space="0" w:color="FCC648" w:themeColor="accent4"/>
          <w:bottom w:val="single" w:sz="4" w:space="0" w:color="FCC64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C648" w:themeColor="accent4"/>
          <w:left w:val="nil"/>
        </w:tcBorders>
      </w:tcPr>
    </w:tblStylePr>
    <w:tblStylePr w:type="swCell">
      <w:tblPr/>
      <w:tcPr>
        <w:tcBorders>
          <w:top w:val="double" w:sz="4" w:space="0" w:color="FCC648" w:themeColor="accent4"/>
          <w:right w:val="nil"/>
        </w:tcBorders>
      </w:tcPr>
    </w:tblStylePr>
  </w:style>
  <w:style w:type="table" w:customStyle="1" w:styleId="ListTable3-Accent51">
    <w:name w:val="List Table 3 - Accent 51"/>
    <w:basedOn w:val="TableNormal"/>
    <w:uiPriority w:val="48"/>
    <w:semiHidden/>
    <w:rsid w:val="00EE3EB6"/>
    <w:pPr>
      <w:spacing w:line="240" w:lineRule="auto"/>
    </w:pPr>
    <w:tblPr>
      <w:tblStyleRowBandSize w:val="1"/>
      <w:tblStyleColBandSize w:val="1"/>
      <w:tblBorders>
        <w:top w:val="single" w:sz="4" w:space="0" w:color="86BE57" w:themeColor="accent5"/>
        <w:left w:val="single" w:sz="4" w:space="0" w:color="86BE57" w:themeColor="accent5"/>
        <w:bottom w:val="single" w:sz="4" w:space="0" w:color="86BE57" w:themeColor="accent5"/>
        <w:right w:val="single" w:sz="4" w:space="0" w:color="86BE57" w:themeColor="accent5"/>
      </w:tblBorders>
    </w:tblPr>
    <w:tblStylePr w:type="firstRow">
      <w:rPr>
        <w:b/>
        <w:bCs/>
        <w:color w:val="FFFFFF" w:themeColor="background1"/>
      </w:rPr>
      <w:tblPr/>
      <w:tcPr>
        <w:shd w:val="clear" w:color="auto" w:fill="86BE57" w:themeFill="accent5"/>
      </w:tcPr>
    </w:tblStylePr>
    <w:tblStylePr w:type="lastRow">
      <w:rPr>
        <w:b/>
        <w:bCs/>
      </w:rPr>
      <w:tblPr/>
      <w:tcPr>
        <w:tcBorders>
          <w:top w:val="double" w:sz="4" w:space="0" w:color="86BE5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E57" w:themeColor="accent5"/>
          <w:right w:val="single" w:sz="4" w:space="0" w:color="86BE57" w:themeColor="accent5"/>
        </w:tcBorders>
      </w:tcPr>
    </w:tblStylePr>
    <w:tblStylePr w:type="band1Horz">
      <w:tblPr/>
      <w:tcPr>
        <w:tcBorders>
          <w:top w:val="single" w:sz="4" w:space="0" w:color="86BE57" w:themeColor="accent5"/>
          <w:bottom w:val="single" w:sz="4" w:space="0" w:color="86BE5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E57" w:themeColor="accent5"/>
          <w:left w:val="nil"/>
        </w:tcBorders>
      </w:tcPr>
    </w:tblStylePr>
    <w:tblStylePr w:type="swCell">
      <w:tblPr/>
      <w:tcPr>
        <w:tcBorders>
          <w:top w:val="double" w:sz="4" w:space="0" w:color="86BE57" w:themeColor="accent5"/>
          <w:right w:val="nil"/>
        </w:tcBorders>
      </w:tcPr>
    </w:tblStylePr>
  </w:style>
  <w:style w:type="table" w:customStyle="1" w:styleId="ListTable3-Accent61">
    <w:name w:val="List Table 3 - Accent 61"/>
    <w:basedOn w:val="TableNormal"/>
    <w:uiPriority w:val="48"/>
    <w:semiHidden/>
    <w:rsid w:val="00EE3EB6"/>
    <w:pPr>
      <w:spacing w:line="240" w:lineRule="auto"/>
    </w:pPr>
    <w:tblPr>
      <w:tblStyleRowBandSize w:val="1"/>
      <w:tblStyleColBandSize w:val="1"/>
      <w:tblBorders>
        <w:top w:val="single" w:sz="4" w:space="0" w:color="788183" w:themeColor="accent6"/>
        <w:left w:val="single" w:sz="4" w:space="0" w:color="788183" w:themeColor="accent6"/>
        <w:bottom w:val="single" w:sz="4" w:space="0" w:color="788183" w:themeColor="accent6"/>
        <w:right w:val="single" w:sz="4" w:space="0" w:color="788183" w:themeColor="accent6"/>
      </w:tblBorders>
    </w:tblPr>
    <w:tblStylePr w:type="firstRow">
      <w:rPr>
        <w:b/>
        <w:bCs/>
        <w:color w:val="FFFFFF" w:themeColor="background1"/>
      </w:rPr>
      <w:tblPr/>
      <w:tcPr>
        <w:shd w:val="clear" w:color="auto" w:fill="788183" w:themeFill="accent6"/>
      </w:tcPr>
    </w:tblStylePr>
    <w:tblStylePr w:type="lastRow">
      <w:rPr>
        <w:b/>
        <w:bCs/>
      </w:rPr>
      <w:tblPr/>
      <w:tcPr>
        <w:tcBorders>
          <w:top w:val="double" w:sz="4" w:space="0" w:color="78818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8183" w:themeColor="accent6"/>
          <w:right w:val="single" w:sz="4" w:space="0" w:color="788183" w:themeColor="accent6"/>
        </w:tcBorders>
      </w:tcPr>
    </w:tblStylePr>
    <w:tblStylePr w:type="band1Horz">
      <w:tblPr/>
      <w:tcPr>
        <w:tcBorders>
          <w:top w:val="single" w:sz="4" w:space="0" w:color="788183" w:themeColor="accent6"/>
          <w:bottom w:val="single" w:sz="4" w:space="0" w:color="78818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8183" w:themeColor="accent6"/>
          <w:left w:val="nil"/>
        </w:tcBorders>
      </w:tcPr>
    </w:tblStylePr>
    <w:tblStylePr w:type="swCell">
      <w:tblPr/>
      <w:tcPr>
        <w:tcBorders>
          <w:top w:val="double" w:sz="4" w:space="0" w:color="788183" w:themeColor="accent6"/>
          <w:right w:val="nil"/>
        </w:tcBorders>
      </w:tcPr>
    </w:tblStylePr>
  </w:style>
  <w:style w:type="table" w:customStyle="1" w:styleId="ListTable41">
    <w:name w:val="List Table 41"/>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tcBorders>
        <w:shd w:val="clear" w:color="auto" w:fill="8D487F" w:themeFill="accent1"/>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4-Accent21">
    <w:name w:val="List Table 4 - Accent 21"/>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tcBorders>
        <w:shd w:val="clear" w:color="auto" w:fill="C64E45" w:themeFill="accent2"/>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4-Accent31">
    <w:name w:val="List Table 4 - Accent 31"/>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tcBorders>
        <w:shd w:val="clear" w:color="auto" w:fill="F1873D" w:themeFill="accent3"/>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4-Accent41">
    <w:name w:val="List Table 4 - Accent 41"/>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tcBorders>
        <w:shd w:val="clear" w:color="auto" w:fill="FCC648" w:themeFill="accent4"/>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4-Accent51">
    <w:name w:val="List Table 4 - Accent 51"/>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tcBorders>
        <w:shd w:val="clear" w:color="auto" w:fill="86BE57" w:themeFill="accent5"/>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4-Accent61">
    <w:name w:val="List Table 4 - Accent 61"/>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tcBorders>
        <w:shd w:val="clear" w:color="auto" w:fill="788183" w:themeFill="accent6"/>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5Dark1">
    <w:name w:val="List Table 5 Dark1"/>
    <w:basedOn w:val="TableNormal"/>
    <w:uiPriority w:val="50"/>
    <w:semiHidden/>
    <w:rsid w:val="00EE3EB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D487F" w:themeColor="accent1"/>
        <w:left w:val="single" w:sz="24" w:space="0" w:color="8D487F" w:themeColor="accent1"/>
        <w:bottom w:val="single" w:sz="24" w:space="0" w:color="8D487F" w:themeColor="accent1"/>
        <w:right w:val="single" w:sz="24" w:space="0" w:color="8D487F" w:themeColor="accent1"/>
      </w:tblBorders>
    </w:tblPr>
    <w:tcPr>
      <w:shd w:val="clear" w:color="auto" w:fill="8D487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EE3EB6"/>
    <w:pPr>
      <w:spacing w:line="240" w:lineRule="auto"/>
    </w:pPr>
    <w:rPr>
      <w:color w:val="FFFFFF" w:themeColor="background1"/>
    </w:rPr>
    <w:tblPr>
      <w:tblStyleRowBandSize w:val="1"/>
      <w:tblStyleColBandSize w:val="1"/>
      <w:tblBorders>
        <w:top w:val="single" w:sz="24" w:space="0" w:color="C64E45" w:themeColor="accent2"/>
        <w:left w:val="single" w:sz="24" w:space="0" w:color="C64E45" w:themeColor="accent2"/>
        <w:bottom w:val="single" w:sz="24" w:space="0" w:color="C64E45" w:themeColor="accent2"/>
        <w:right w:val="single" w:sz="24" w:space="0" w:color="C64E45" w:themeColor="accent2"/>
      </w:tblBorders>
    </w:tblPr>
    <w:tcPr>
      <w:shd w:val="clear" w:color="auto" w:fill="C64E4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EE3EB6"/>
    <w:pPr>
      <w:spacing w:line="240" w:lineRule="auto"/>
    </w:pPr>
    <w:rPr>
      <w:color w:val="FFFFFF" w:themeColor="background1"/>
    </w:rPr>
    <w:tblPr>
      <w:tblStyleRowBandSize w:val="1"/>
      <w:tblStyleColBandSize w:val="1"/>
      <w:tblBorders>
        <w:top w:val="single" w:sz="24" w:space="0" w:color="F1873D" w:themeColor="accent3"/>
        <w:left w:val="single" w:sz="24" w:space="0" w:color="F1873D" w:themeColor="accent3"/>
        <w:bottom w:val="single" w:sz="24" w:space="0" w:color="F1873D" w:themeColor="accent3"/>
        <w:right w:val="single" w:sz="24" w:space="0" w:color="F1873D" w:themeColor="accent3"/>
      </w:tblBorders>
    </w:tblPr>
    <w:tcPr>
      <w:shd w:val="clear" w:color="auto" w:fill="F1873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EE3EB6"/>
    <w:pPr>
      <w:spacing w:line="240" w:lineRule="auto"/>
    </w:pPr>
    <w:rPr>
      <w:color w:val="FFFFFF" w:themeColor="background1"/>
    </w:rPr>
    <w:tblPr>
      <w:tblStyleRowBandSize w:val="1"/>
      <w:tblStyleColBandSize w:val="1"/>
      <w:tblBorders>
        <w:top w:val="single" w:sz="24" w:space="0" w:color="FCC648" w:themeColor="accent4"/>
        <w:left w:val="single" w:sz="24" w:space="0" w:color="FCC648" w:themeColor="accent4"/>
        <w:bottom w:val="single" w:sz="24" w:space="0" w:color="FCC648" w:themeColor="accent4"/>
        <w:right w:val="single" w:sz="24" w:space="0" w:color="FCC648" w:themeColor="accent4"/>
      </w:tblBorders>
    </w:tblPr>
    <w:tcPr>
      <w:shd w:val="clear" w:color="auto" w:fill="FCC64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6BE57" w:themeColor="accent5"/>
        <w:left w:val="single" w:sz="24" w:space="0" w:color="86BE57" w:themeColor="accent5"/>
        <w:bottom w:val="single" w:sz="24" w:space="0" w:color="86BE57" w:themeColor="accent5"/>
        <w:right w:val="single" w:sz="24" w:space="0" w:color="86BE57" w:themeColor="accent5"/>
      </w:tblBorders>
    </w:tblPr>
    <w:tcPr>
      <w:shd w:val="clear" w:color="auto" w:fill="86BE5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EE3EB6"/>
    <w:pPr>
      <w:spacing w:line="240" w:lineRule="auto"/>
    </w:pPr>
    <w:rPr>
      <w:color w:val="FFFFFF" w:themeColor="background1"/>
    </w:rPr>
    <w:tblPr>
      <w:tblStyleRowBandSize w:val="1"/>
      <w:tblStyleColBandSize w:val="1"/>
      <w:tblBorders>
        <w:top w:val="single" w:sz="24" w:space="0" w:color="788183" w:themeColor="accent6"/>
        <w:left w:val="single" w:sz="24" w:space="0" w:color="788183" w:themeColor="accent6"/>
        <w:bottom w:val="single" w:sz="24" w:space="0" w:color="788183" w:themeColor="accent6"/>
        <w:right w:val="single" w:sz="24" w:space="0" w:color="788183" w:themeColor="accent6"/>
      </w:tblBorders>
    </w:tblPr>
    <w:tcPr>
      <w:shd w:val="clear" w:color="auto" w:fill="78818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EE3EB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8D487F" w:themeColor="accent1"/>
        <w:bottom w:val="single" w:sz="4" w:space="0" w:color="8D487F" w:themeColor="accent1"/>
      </w:tblBorders>
    </w:tblPr>
    <w:tblStylePr w:type="firstRow">
      <w:rPr>
        <w:b/>
        <w:bCs/>
      </w:rPr>
      <w:tblPr/>
      <w:tcPr>
        <w:tcBorders>
          <w:bottom w:val="single" w:sz="4" w:space="0" w:color="8D487F" w:themeColor="accent1"/>
        </w:tcBorders>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6Colorful-Accent21">
    <w:name w:val="List Table 6 Colorful - Accent 21"/>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C64E45" w:themeColor="accent2"/>
        <w:bottom w:val="single" w:sz="4" w:space="0" w:color="C64E45" w:themeColor="accent2"/>
      </w:tblBorders>
    </w:tblPr>
    <w:tblStylePr w:type="firstRow">
      <w:rPr>
        <w:b/>
        <w:bCs/>
      </w:rPr>
      <w:tblPr/>
      <w:tcPr>
        <w:tcBorders>
          <w:bottom w:val="single" w:sz="4" w:space="0" w:color="C64E45" w:themeColor="accent2"/>
        </w:tcBorders>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6Colorful-Accent31">
    <w:name w:val="List Table 6 Colorful - Accent 31"/>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1873D" w:themeColor="accent3"/>
        <w:bottom w:val="single" w:sz="4" w:space="0" w:color="F1873D" w:themeColor="accent3"/>
      </w:tblBorders>
    </w:tblPr>
    <w:tblStylePr w:type="firstRow">
      <w:rPr>
        <w:b/>
        <w:bCs/>
      </w:rPr>
      <w:tblPr/>
      <w:tcPr>
        <w:tcBorders>
          <w:bottom w:val="single" w:sz="4" w:space="0" w:color="F1873D" w:themeColor="accent3"/>
        </w:tcBorders>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6Colorful-Accent41">
    <w:name w:val="List Table 6 Colorful - Accent 41"/>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CC648" w:themeColor="accent4"/>
        <w:bottom w:val="single" w:sz="4" w:space="0" w:color="FCC648" w:themeColor="accent4"/>
      </w:tblBorders>
    </w:tblPr>
    <w:tblStylePr w:type="firstRow">
      <w:rPr>
        <w:b/>
        <w:bCs/>
      </w:rPr>
      <w:tblPr/>
      <w:tcPr>
        <w:tcBorders>
          <w:bottom w:val="single" w:sz="4" w:space="0" w:color="FCC648" w:themeColor="accent4"/>
        </w:tcBorders>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6Colorful-Accent51">
    <w:name w:val="List Table 6 Colorful - Accent 51"/>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86BE57" w:themeColor="accent5"/>
        <w:bottom w:val="single" w:sz="4" w:space="0" w:color="86BE57" w:themeColor="accent5"/>
      </w:tblBorders>
    </w:tblPr>
    <w:tblStylePr w:type="firstRow">
      <w:rPr>
        <w:b/>
        <w:bCs/>
      </w:rPr>
      <w:tblPr/>
      <w:tcPr>
        <w:tcBorders>
          <w:bottom w:val="single" w:sz="4" w:space="0" w:color="86BE57" w:themeColor="accent5"/>
        </w:tcBorders>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6Colorful-Accent61">
    <w:name w:val="List Table 6 Colorful - Accent 61"/>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788183" w:themeColor="accent6"/>
        <w:bottom w:val="single" w:sz="4" w:space="0" w:color="788183" w:themeColor="accent6"/>
      </w:tblBorders>
    </w:tblPr>
    <w:tblStylePr w:type="firstRow">
      <w:rPr>
        <w:b/>
        <w:bCs/>
      </w:rPr>
      <w:tblPr/>
      <w:tcPr>
        <w:tcBorders>
          <w:bottom w:val="single" w:sz="4" w:space="0" w:color="788183" w:themeColor="accent6"/>
        </w:tcBorders>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7Colorful1">
    <w:name w:val="List Table 7 Colorful1"/>
    <w:basedOn w:val="TableNormal"/>
    <w:uiPriority w:val="52"/>
    <w:semiHidden/>
    <w:rsid w:val="00EE3EB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EE3EB6"/>
    <w:pPr>
      <w:spacing w:line="240" w:lineRule="auto"/>
    </w:pPr>
    <w:rPr>
      <w:color w:val="6936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48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48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48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487F" w:themeColor="accent1"/>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EE3EB6"/>
    <w:pPr>
      <w:spacing w:line="240" w:lineRule="auto"/>
    </w:pPr>
    <w:rPr>
      <w:color w:val="98362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4E4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4E4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4E4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4E45" w:themeColor="accent2"/>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EE3EB6"/>
    <w:pPr>
      <w:spacing w:line="240" w:lineRule="auto"/>
    </w:pPr>
    <w:rPr>
      <w:color w:val="D25E0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873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873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873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873D" w:themeColor="accent3"/>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EE3EB6"/>
    <w:pPr>
      <w:spacing w:line="240" w:lineRule="auto"/>
    </w:pPr>
    <w:rPr>
      <w:color w:val="EEA70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C64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C64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C64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C648" w:themeColor="accent4"/>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EE3EB6"/>
    <w:pPr>
      <w:spacing w:line="240" w:lineRule="auto"/>
    </w:pPr>
    <w:rPr>
      <w:color w:val="63953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E5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E5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E5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E57" w:themeColor="accent5"/>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EE3EB6"/>
    <w:pPr>
      <w:spacing w:line="240" w:lineRule="auto"/>
    </w:pPr>
    <w:rPr>
      <w:color w:val="5A606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818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818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818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8183" w:themeColor="accent6"/>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insideV w:val="single" w:sz="8" w:space="0" w:color="B36BA5" w:themeColor="accent1" w:themeTint="BF"/>
      </w:tblBorders>
    </w:tblPr>
    <w:tcPr>
      <w:shd w:val="clear" w:color="auto" w:fill="E6CEE1" w:themeFill="accent1" w:themeFillTint="3F"/>
    </w:tcPr>
    <w:tblStylePr w:type="firstRow">
      <w:rPr>
        <w:b/>
        <w:bCs/>
      </w:rPr>
    </w:tblStylePr>
    <w:tblStylePr w:type="lastRow">
      <w:rPr>
        <w:b/>
        <w:bCs/>
      </w:rPr>
      <w:tblPr/>
      <w:tcPr>
        <w:tcBorders>
          <w:top w:val="single" w:sz="18" w:space="0" w:color="B36BA5" w:themeColor="accent1" w:themeTint="BF"/>
        </w:tcBorders>
      </w:tcPr>
    </w:tblStylePr>
    <w:tblStylePr w:type="firstCol">
      <w:rPr>
        <w:b/>
        <w:bCs/>
      </w:rPr>
    </w:tblStylePr>
    <w:tblStylePr w:type="lastCol">
      <w:rPr>
        <w:b/>
        <w:bCs/>
      </w:r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MediumGrid1-Accent2">
    <w:name w:val="Medium Grid 1 Accent 2"/>
    <w:basedOn w:val="TableNormal"/>
    <w:uiPriority w:val="67"/>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insideV w:val="single" w:sz="8" w:space="0" w:color="D47973" w:themeColor="accent2" w:themeTint="BF"/>
      </w:tblBorders>
    </w:tblPr>
    <w:tcPr>
      <w:shd w:val="clear" w:color="auto" w:fill="F1D2D0" w:themeFill="accent2" w:themeFillTint="3F"/>
    </w:tcPr>
    <w:tblStylePr w:type="firstRow">
      <w:rPr>
        <w:b/>
        <w:bCs/>
      </w:rPr>
    </w:tblStylePr>
    <w:tblStylePr w:type="lastRow">
      <w:rPr>
        <w:b/>
        <w:bCs/>
      </w:rPr>
      <w:tblPr/>
      <w:tcPr>
        <w:tcBorders>
          <w:top w:val="single" w:sz="18" w:space="0" w:color="D47973" w:themeColor="accent2" w:themeTint="BF"/>
        </w:tcBorders>
      </w:tcPr>
    </w:tblStylePr>
    <w:tblStylePr w:type="firstCol">
      <w:rPr>
        <w:b/>
        <w:bCs/>
      </w:rPr>
    </w:tblStylePr>
    <w:tblStylePr w:type="lastCol">
      <w:rPr>
        <w:b/>
        <w:bCs/>
      </w:r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MediumGrid1-Accent3">
    <w:name w:val="Medium Grid 1 Accent 3"/>
    <w:basedOn w:val="TableNormal"/>
    <w:uiPriority w:val="67"/>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insideV w:val="single" w:sz="8" w:space="0" w:color="F4A46D" w:themeColor="accent3" w:themeTint="BF"/>
      </w:tblBorders>
    </w:tblPr>
    <w:tcPr>
      <w:shd w:val="clear" w:color="auto" w:fill="FBE1CE" w:themeFill="accent3" w:themeFillTint="3F"/>
    </w:tcPr>
    <w:tblStylePr w:type="firstRow">
      <w:rPr>
        <w:b/>
        <w:bCs/>
      </w:rPr>
    </w:tblStylePr>
    <w:tblStylePr w:type="lastRow">
      <w:rPr>
        <w:b/>
        <w:bCs/>
      </w:rPr>
      <w:tblPr/>
      <w:tcPr>
        <w:tcBorders>
          <w:top w:val="single" w:sz="18" w:space="0" w:color="F4A46D" w:themeColor="accent3" w:themeTint="BF"/>
        </w:tcBorders>
      </w:tcPr>
    </w:tblStylePr>
    <w:tblStylePr w:type="firstCol">
      <w:rPr>
        <w:b/>
        <w:bCs/>
      </w:rPr>
    </w:tblStylePr>
    <w:tblStylePr w:type="lastCol">
      <w:rPr>
        <w:b/>
        <w:bCs/>
      </w:r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MediumGrid1-Accent4">
    <w:name w:val="Medium Grid 1 Accent 4"/>
    <w:basedOn w:val="TableNormal"/>
    <w:uiPriority w:val="67"/>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insideV w:val="single" w:sz="8" w:space="0" w:color="FCD475" w:themeColor="accent4" w:themeTint="BF"/>
      </w:tblBorders>
    </w:tblPr>
    <w:tcPr>
      <w:shd w:val="clear" w:color="auto" w:fill="FEF0D1" w:themeFill="accent4" w:themeFillTint="3F"/>
    </w:tcPr>
    <w:tblStylePr w:type="firstRow">
      <w:rPr>
        <w:b/>
        <w:bCs/>
      </w:rPr>
    </w:tblStylePr>
    <w:tblStylePr w:type="lastRow">
      <w:rPr>
        <w:b/>
        <w:bCs/>
      </w:rPr>
      <w:tblPr/>
      <w:tcPr>
        <w:tcBorders>
          <w:top w:val="single" w:sz="18" w:space="0" w:color="FCD475" w:themeColor="accent4" w:themeTint="BF"/>
        </w:tcBorders>
      </w:tcPr>
    </w:tblStylePr>
    <w:tblStylePr w:type="firstCol">
      <w:rPr>
        <w:b/>
        <w:bCs/>
      </w:rPr>
    </w:tblStylePr>
    <w:tblStylePr w:type="lastCol">
      <w:rPr>
        <w:b/>
        <w:bCs/>
      </w:r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MediumGrid1-Accent5">
    <w:name w:val="Medium Grid 1 Accent 5"/>
    <w:basedOn w:val="TableNormal"/>
    <w:uiPriority w:val="67"/>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insideV w:val="single" w:sz="8" w:space="0" w:color="A4CE81" w:themeColor="accent5" w:themeTint="BF"/>
      </w:tblBorders>
    </w:tblPr>
    <w:tcPr>
      <w:shd w:val="clear" w:color="auto" w:fill="E1EFD5" w:themeFill="accent5" w:themeFillTint="3F"/>
    </w:tcPr>
    <w:tblStylePr w:type="firstRow">
      <w:rPr>
        <w:b/>
        <w:bCs/>
      </w:rPr>
    </w:tblStylePr>
    <w:tblStylePr w:type="lastRow">
      <w:rPr>
        <w:b/>
        <w:bCs/>
      </w:rPr>
      <w:tblPr/>
      <w:tcPr>
        <w:tcBorders>
          <w:top w:val="single" w:sz="18" w:space="0" w:color="A4CE81" w:themeColor="accent5" w:themeTint="BF"/>
        </w:tcBorders>
      </w:tcPr>
    </w:tblStylePr>
    <w:tblStylePr w:type="firstCol">
      <w:rPr>
        <w:b/>
        <w:bCs/>
      </w:rPr>
    </w:tblStylePr>
    <w:tblStylePr w:type="lastCol">
      <w:rPr>
        <w:b/>
        <w:bCs/>
      </w:r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MediumGrid1-Accent6">
    <w:name w:val="Medium Grid 1 Accent 6"/>
    <w:basedOn w:val="TableNormal"/>
    <w:uiPriority w:val="67"/>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insideV w:val="single" w:sz="8" w:space="0" w:color="99A0A2" w:themeColor="accent6" w:themeTint="BF"/>
      </w:tblBorders>
    </w:tblPr>
    <w:tcPr>
      <w:shd w:val="clear" w:color="auto" w:fill="DDDFE0" w:themeFill="accent6" w:themeFillTint="3F"/>
    </w:tcPr>
    <w:tblStylePr w:type="firstRow">
      <w:rPr>
        <w:b/>
        <w:bCs/>
      </w:rPr>
    </w:tblStylePr>
    <w:tblStylePr w:type="lastRow">
      <w:rPr>
        <w:b/>
        <w:bCs/>
      </w:rPr>
      <w:tblPr/>
      <w:tcPr>
        <w:tcBorders>
          <w:top w:val="single" w:sz="18" w:space="0" w:color="99A0A2" w:themeColor="accent6" w:themeTint="BF"/>
        </w:tcBorders>
      </w:tcPr>
    </w:tblStylePr>
    <w:tblStylePr w:type="firstCol">
      <w:rPr>
        <w:b/>
        <w:bCs/>
      </w:rPr>
    </w:tblStylePr>
    <w:tblStylePr w:type="lastCol">
      <w:rPr>
        <w:b/>
        <w:bCs/>
      </w:r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MediumGrid2">
    <w:name w:val="Medium Grid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cPr>
      <w:shd w:val="clear" w:color="auto" w:fill="E6CEE1" w:themeFill="accent1" w:themeFillTint="3F"/>
    </w:tcPr>
    <w:tblStylePr w:type="firstRow">
      <w:rPr>
        <w:b/>
        <w:bCs/>
        <w:color w:val="000000" w:themeColor="text1"/>
      </w:rPr>
      <w:tblPr/>
      <w:tcPr>
        <w:shd w:val="clear" w:color="auto" w:fill="F5EBF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7E6" w:themeFill="accent1" w:themeFillTint="33"/>
      </w:tcPr>
    </w:tblStylePr>
    <w:tblStylePr w:type="band1Vert">
      <w:tblPr/>
      <w:tcPr>
        <w:shd w:val="clear" w:color="auto" w:fill="CD9DC3" w:themeFill="accent1" w:themeFillTint="7F"/>
      </w:tcPr>
    </w:tblStylePr>
    <w:tblStylePr w:type="band1Horz">
      <w:tblPr/>
      <w:tcPr>
        <w:tcBorders>
          <w:insideH w:val="single" w:sz="6" w:space="0" w:color="8D487F" w:themeColor="accent1"/>
          <w:insideV w:val="single" w:sz="6" w:space="0" w:color="8D487F" w:themeColor="accent1"/>
        </w:tcBorders>
        <w:shd w:val="clear" w:color="auto" w:fill="CD9DC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cPr>
      <w:shd w:val="clear" w:color="auto" w:fill="F1D2D0" w:themeFill="accent2" w:themeFillTint="3F"/>
    </w:tcPr>
    <w:tblStylePr w:type="firstRow">
      <w:rPr>
        <w:b/>
        <w:bCs/>
        <w:color w:val="000000" w:themeColor="text1"/>
      </w:rPr>
      <w:tblPr/>
      <w:tcPr>
        <w:shd w:val="clear" w:color="auto" w:fill="F9ED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BD9" w:themeFill="accent2" w:themeFillTint="33"/>
      </w:tcPr>
    </w:tblStylePr>
    <w:tblStylePr w:type="band1Vert">
      <w:tblPr/>
      <w:tcPr>
        <w:shd w:val="clear" w:color="auto" w:fill="E2A6A2" w:themeFill="accent2" w:themeFillTint="7F"/>
      </w:tcPr>
    </w:tblStylePr>
    <w:tblStylePr w:type="band1Horz">
      <w:tblPr/>
      <w:tcPr>
        <w:tcBorders>
          <w:insideH w:val="single" w:sz="6" w:space="0" w:color="C64E45" w:themeColor="accent2"/>
          <w:insideV w:val="single" w:sz="6" w:space="0" w:color="C64E45" w:themeColor="accent2"/>
        </w:tcBorders>
        <w:shd w:val="clear" w:color="auto" w:fill="E2A6A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cPr>
      <w:shd w:val="clear" w:color="auto" w:fill="FBE1CE" w:themeFill="accent3" w:themeFillTint="3F"/>
    </w:tcPr>
    <w:tblStylePr w:type="firstRow">
      <w:rPr>
        <w:b/>
        <w:bCs/>
        <w:color w:val="000000" w:themeColor="text1"/>
      </w:rPr>
      <w:tblPr/>
      <w:tcPr>
        <w:shd w:val="clear" w:color="auto" w:fill="FDF3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6D8" w:themeFill="accent3" w:themeFillTint="33"/>
      </w:tcPr>
    </w:tblStylePr>
    <w:tblStylePr w:type="band1Vert">
      <w:tblPr/>
      <w:tcPr>
        <w:shd w:val="clear" w:color="auto" w:fill="F8C29E" w:themeFill="accent3" w:themeFillTint="7F"/>
      </w:tcPr>
    </w:tblStylePr>
    <w:tblStylePr w:type="band1Horz">
      <w:tblPr/>
      <w:tcPr>
        <w:tcBorders>
          <w:insideH w:val="single" w:sz="6" w:space="0" w:color="F1873D" w:themeColor="accent3"/>
          <w:insideV w:val="single" w:sz="6" w:space="0" w:color="F1873D" w:themeColor="accent3"/>
        </w:tcBorders>
        <w:shd w:val="clear" w:color="auto" w:fill="F8C29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cPr>
      <w:shd w:val="clear" w:color="auto" w:fill="FEF0D1" w:themeFill="accent4" w:themeFillTint="3F"/>
    </w:tcPr>
    <w:tblStylePr w:type="firstRow">
      <w:rPr>
        <w:b/>
        <w:bCs/>
        <w:color w:val="000000" w:themeColor="text1"/>
      </w:rPr>
      <w:tblPr/>
      <w:tcPr>
        <w:shd w:val="clear" w:color="auto" w:fill="FEF9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3DA" w:themeFill="accent4" w:themeFillTint="33"/>
      </w:tcPr>
    </w:tblStylePr>
    <w:tblStylePr w:type="band1Vert">
      <w:tblPr/>
      <w:tcPr>
        <w:shd w:val="clear" w:color="auto" w:fill="FDE2A3" w:themeFill="accent4" w:themeFillTint="7F"/>
      </w:tcPr>
    </w:tblStylePr>
    <w:tblStylePr w:type="band1Horz">
      <w:tblPr/>
      <w:tcPr>
        <w:tcBorders>
          <w:insideH w:val="single" w:sz="6" w:space="0" w:color="FCC648" w:themeColor="accent4"/>
          <w:insideV w:val="single" w:sz="6" w:space="0" w:color="FCC648" w:themeColor="accent4"/>
        </w:tcBorders>
        <w:shd w:val="clear" w:color="auto" w:fill="FDE2A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cPr>
      <w:shd w:val="clear" w:color="auto" w:fill="E1EFD5" w:themeFill="accent5" w:themeFillTint="3F"/>
    </w:tcPr>
    <w:tblStylePr w:type="firstRow">
      <w:rPr>
        <w:b/>
        <w:bCs/>
        <w:color w:val="000000" w:themeColor="text1"/>
      </w:rPr>
      <w:tblPr/>
      <w:tcPr>
        <w:shd w:val="clear" w:color="auto" w:fill="F3F8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F2DD" w:themeFill="accent5" w:themeFillTint="33"/>
      </w:tcPr>
    </w:tblStylePr>
    <w:tblStylePr w:type="band1Vert">
      <w:tblPr/>
      <w:tcPr>
        <w:shd w:val="clear" w:color="auto" w:fill="C2DEAB" w:themeFill="accent5" w:themeFillTint="7F"/>
      </w:tcPr>
    </w:tblStylePr>
    <w:tblStylePr w:type="band1Horz">
      <w:tblPr/>
      <w:tcPr>
        <w:tcBorders>
          <w:insideH w:val="single" w:sz="6" w:space="0" w:color="86BE57" w:themeColor="accent5"/>
          <w:insideV w:val="single" w:sz="6" w:space="0" w:color="86BE57" w:themeColor="accent5"/>
        </w:tcBorders>
        <w:shd w:val="clear" w:color="auto" w:fill="C2DEA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cPr>
      <w:shd w:val="clear" w:color="auto" w:fill="DDDFE0" w:themeFill="accent6" w:themeFillTint="3F"/>
    </w:tcPr>
    <w:tblStylePr w:type="firstRow">
      <w:rPr>
        <w:b/>
        <w:bCs/>
        <w:color w:val="000000" w:themeColor="text1"/>
      </w:rPr>
      <w:tblPr/>
      <w:tcPr>
        <w:shd w:val="clear" w:color="auto" w:fill="F1F2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5E6" w:themeFill="accent6" w:themeFillTint="33"/>
      </w:tcPr>
    </w:tblStylePr>
    <w:tblStylePr w:type="band1Vert">
      <w:tblPr/>
      <w:tcPr>
        <w:shd w:val="clear" w:color="auto" w:fill="BBC0C1" w:themeFill="accent6" w:themeFillTint="7F"/>
      </w:tcPr>
    </w:tblStylePr>
    <w:tblStylePr w:type="band1Horz">
      <w:tblPr/>
      <w:tcPr>
        <w:tcBorders>
          <w:insideH w:val="single" w:sz="6" w:space="0" w:color="788183" w:themeColor="accent6"/>
          <w:insideV w:val="single" w:sz="6" w:space="0" w:color="788183" w:themeColor="accent6"/>
        </w:tcBorders>
        <w:shd w:val="clear" w:color="auto" w:fill="BBC0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CEE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487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487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9DC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9DC3" w:themeFill="accent1" w:themeFillTint="7F"/>
      </w:tcPr>
    </w:tblStylePr>
  </w:style>
  <w:style w:type="table" w:styleId="MediumGrid3-Accent2">
    <w:name w:val="Medium Grid 3 Accent 2"/>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D2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4E4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4E4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A6A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A6A2" w:themeFill="accent2" w:themeFillTint="7F"/>
      </w:tcPr>
    </w:tblStylePr>
  </w:style>
  <w:style w:type="table" w:styleId="MediumGrid3-Accent3">
    <w:name w:val="Medium Grid 3 Accent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873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873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C29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C29E" w:themeFill="accent3" w:themeFillTint="7F"/>
      </w:tcPr>
    </w:tblStylePr>
  </w:style>
  <w:style w:type="table" w:styleId="MediumGrid3-Accent4">
    <w:name w:val="Medium Grid 3 Accent 4"/>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0D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C64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C64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E2A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E2A3" w:themeFill="accent4" w:themeFillTint="7F"/>
      </w:tcPr>
    </w:tblStylePr>
  </w:style>
  <w:style w:type="table" w:styleId="MediumGrid3-Accent5">
    <w:name w:val="Medium Grid 3 Accent 5"/>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FD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E5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E5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DEA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DEAB" w:themeFill="accent5" w:themeFillTint="7F"/>
      </w:tcPr>
    </w:tblStylePr>
  </w:style>
  <w:style w:type="table" w:styleId="MediumGrid3-Accent6">
    <w:name w:val="Medium Grid 3 Accent 6"/>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F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818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818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C0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C0C1" w:themeFill="accent6" w:themeFillTint="7F"/>
      </w:tcPr>
    </w:tblStylePr>
  </w:style>
  <w:style w:type="table" w:styleId="MediumList1">
    <w:name w:val="Medium List 1"/>
    <w:basedOn w:val="TableNormal"/>
    <w:uiPriority w:val="65"/>
    <w:semiHidden/>
    <w:rsid w:val="00EE3EB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78B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EE3EB6"/>
    <w:pPr>
      <w:spacing w:line="240" w:lineRule="auto"/>
    </w:pPr>
    <w:rPr>
      <w:color w:val="000000" w:themeColor="text1"/>
    </w:rPr>
    <w:tblPr>
      <w:tblStyleRowBandSize w:val="1"/>
      <w:tblStyleColBandSize w:val="1"/>
      <w:tblBorders>
        <w:top w:val="single" w:sz="8" w:space="0" w:color="8D487F" w:themeColor="accent1"/>
        <w:bottom w:val="single" w:sz="8" w:space="0" w:color="8D487F" w:themeColor="accent1"/>
      </w:tblBorders>
    </w:tblPr>
    <w:tblStylePr w:type="firstRow">
      <w:rPr>
        <w:rFonts w:asciiTheme="majorHAnsi" w:eastAsiaTheme="majorEastAsia" w:hAnsiTheme="majorHAnsi" w:cstheme="majorBidi"/>
      </w:rPr>
      <w:tblPr/>
      <w:tcPr>
        <w:tcBorders>
          <w:top w:val="nil"/>
          <w:bottom w:val="single" w:sz="8" w:space="0" w:color="8D487F" w:themeColor="accent1"/>
        </w:tcBorders>
      </w:tcPr>
    </w:tblStylePr>
    <w:tblStylePr w:type="lastRow">
      <w:rPr>
        <w:b/>
        <w:bCs/>
        <w:color w:val="9778B4" w:themeColor="text2"/>
      </w:rPr>
      <w:tblPr/>
      <w:tcPr>
        <w:tcBorders>
          <w:top w:val="single" w:sz="8" w:space="0" w:color="8D487F" w:themeColor="accent1"/>
          <w:bottom w:val="single" w:sz="8" w:space="0" w:color="8D487F" w:themeColor="accent1"/>
        </w:tcBorders>
      </w:tcPr>
    </w:tblStylePr>
    <w:tblStylePr w:type="firstCol">
      <w:rPr>
        <w:b/>
        <w:bCs/>
      </w:rPr>
    </w:tblStylePr>
    <w:tblStylePr w:type="lastCol">
      <w:rPr>
        <w:b/>
        <w:bCs/>
      </w:rPr>
      <w:tblPr/>
      <w:tcPr>
        <w:tcBorders>
          <w:top w:val="single" w:sz="8" w:space="0" w:color="8D487F" w:themeColor="accent1"/>
          <w:bottom w:val="single" w:sz="8" w:space="0" w:color="8D487F" w:themeColor="accent1"/>
        </w:tcBorders>
      </w:tcPr>
    </w:tblStylePr>
    <w:tblStylePr w:type="band1Vert">
      <w:tblPr/>
      <w:tcPr>
        <w:shd w:val="clear" w:color="auto" w:fill="E6CEE1" w:themeFill="accent1" w:themeFillTint="3F"/>
      </w:tcPr>
    </w:tblStylePr>
    <w:tblStylePr w:type="band1Horz">
      <w:tblPr/>
      <w:tcPr>
        <w:shd w:val="clear" w:color="auto" w:fill="E6CEE1" w:themeFill="accent1" w:themeFillTint="3F"/>
      </w:tcPr>
    </w:tblStylePr>
  </w:style>
  <w:style w:type="table" w:styleId="MediumList1-Accent2">
    <w:name w:val="Medium List 1 Accent 2"/>
    <w:basedOn w:val="TableNormal"/>
    <w:uiPriority w:val="65"/>
    <w:semiHidden/>
    <w:rsid w:val="00EE3EB6"/>
    <w:pPr>
      <w:spacing w:line="240" w:lineRule="auto"/>
    </w:pPr>
    <w:rPr>
      <w:color w:val="000000" w:themeColor="text1"/>
    </w:rPr>
    <w:tblPr>
      <w:tblStyleRowBandSize w:val="1"/>
      <w:tblStyleColBandSize w:val="1"/>
      <w:tblBorders>
        <w:top w:val="single" w:sz="8" w:space="0" w:color="C64E45" w:themeColor="accent2"/>
        <w:bottom w:val="single" w:sz="8" w:space="0" w:color="C64E45" w:themeColor="accent2"/>
      </w:tblBorders>
    </w:tblPr>
    <w:tblStylePr w:type="firstRow">
      <w:rPr>
        <w:rFonts w:asciiTheme="majorHAnsi" w:eastAsiaTheme="majorEastAsia" w:hAnsiTheme="majorHAnsi" w:cstheme="majorBidi"/>
      </w:rPr>
      <w:tblPr/>
      <w:tcPr>
        <w:tcBorders>
          <w:top w:val="nil"/>
          <w:bottom w:val="single" w:sz="8" w:space="0" w:color="C64E45" w:themeColor="accent2"/>
        </w:tcBorders>
      </w:tcPr>
    </w:tblStylePr>
    <w:tblStylePr w:type="lastRow">
      <w:rPr>
        <w:b/>
        <w:bCs/>
        <w:color w:val="9778B4" w:themeColor="text2"/>
      </w:rPr>
      <w:tblPr/>
      <w:tcPr>
        <w:tcBorders>
          <w:top w:val="single" w:sz="8" w:space="0" w:color="C64E45" w:themeColor="accent2"/>
          <w:bottom w:val="single" w:sz="8" w:space="0" w:color="C64E45" w:themeColor="accent2"/>
        </w:tcBorders>
      </w:tcPr>
    </w:tblStylePr>
    <w:tblStylePr w:type="firstCol">
      <w:rPr>
        <w:b/>
        <w:bCs/>
      </w:rPr>
    </w:tblStylePr>
    <w:tblStylePr w:type="lastCol">
      <w:rPr>
        <w:b/>
        <w:bCs/>
      </w:rPr>
      <w:tblPr/>
      <w:tcPr>
        <w:tcBorders>
          <w:top w:val="single" w:sz="8" w:space="0" w:color="C64E45" w:themeColor="accent2"/>
          <w:bottom w:val="single" w:sz="8" w:space="0" w:color="C64E45" w:themeColor="accent2"/>
        </w:tcBorders>
      </w:tcPr>
    </w:tblStylePr>
    <w:tblStylePr w:type="band1Vert">
      <w:tblPr/>
      <w:tcPr>
        <w:shd w:val="clear" w:color="auto" w:fill="F1D2D0" w:themeFill="accent2" w:themeFillTint="3F"/>
      </w:tcPr>
    </w:tblStylePr>
    <w:tblStylePr w:type="band1Horz">
      <w:tblPr/>
      <w:tcPr>
        <w:shd w:val="clear" w:color="auto" w:fill="F1D2D0" w:themeFill="accent2" w:themeFillTint="3F"/>
      </w:tcPr>
    </w:tblStylePr>
  </w:style>
  <w:style w:type="table" w:styleId="MediumList1-Accent3">
    <w:name w:val="Medium List 1 Accent 3"/>
    <w:basedOn w:val="TableNormal"/>
    <w:uiPriority w:val="65"/>
    <w:semiHidden/>
    <w:rsid w:val="00EE3EB6"/>
    <w:pPr>
      <w:spacing w:line="240" w:lineRule="auto"/>
    </w:pPr>
    <w:rPr>
      <w:color w:val="000000" w:themeColor="text1"/>
    </w:rPr>
    <w:tblPr>
      <w:tblStyleRowBandSize w:val="1"/>
      <w:tblStyleColBandSize w:val="1"/>
      <w:tblBorders>
        <w:top w:val="single" w:sz="8" w:space="0" w:color="F1873D" w:themeColor="accent3"/>
        <w:bottom w:val="single" w:sz="8" w:space="0" w:color="F1873D" w:themeColor="accent3"/>
      </w:tblBorders>
    </w:tblPr>
    <w:tblStylePr w:type="firstRow">
      <w:rPr>
        <w:rFonts w:asciiTheme="majorHAnsi" w:eastAsiaTheme="majorEastAsia" w:hAnsiTheme="majorHAnsi" w:cstheme="majorBidi"/>
      </w:rPr>
      <w:tblPr/>
      <w:tcPr>
        <w:tcBorders>
          <w:top w:val="nil"/>
          <w:bottom w:val="single" w:sz="8" w:space="0" w:color="F1873D" w:themeColor="accent3"/>
        </w:tcBorders>
      </w:tcPr>
    </w:tblStylePr>
    <w:tblStylePr w:type="lastRow">
      <w:rPr>
        <w:b/>
        <w:bCs/>
        <w:color w:val="9778B4" w:themeColor="text2"/>
      </w:rPr>
      <w:tblPr/>
      <w:tcPr>
        <w:tcBorders>
          <w:top w:val="single" w:sz="8" w:space="0" w:color="F1873D" w:themeColor="accent3"/>
          <w:bottom w:val="single" w:sz="8" w:space="0" w:color="F1873D" w:themeColor="accent3"/>
        </w:tcBorders>
      </w:tcPr>
    </w:tblStylePr>
    <w:tblStylePr w:type="firstCol">
      <w:rPr>
        <w:b/>
        <w:bCs/>
      </w:rPr>
    </w:tblStylePr>
    <w:tblStylePr w:type="lastCol">
      <w:rPr>
        <w:b/>
        <w:bCs/>
      </w:rPr>
      <w:tblPr/>
      <w:tcPr>
        <w:tcBorders>
          <w:top w:val="single" w:sz="8" w:space="0" w:color="F1873D" w:themeColor="accent3"/>
          <w:bottom w:val="single" w:sz="8" w:space="0" w:color="F1873D" w:themeColor="accent3"/>
        </w:tcBorders>
      </w:tcPr>
    </w:tblStylePr>
    <w:tblStylePr w:type="band1Vert">
      <w:tblPr/>
      <w:tcPr>
        <w:shd w:val="clear" w:color="auto" w:fill="FBE1CE" w:themeFill="accent3" w:themeFillTint="3F"/>
      </w:tcPr>
    </w:tblStylePr>
    <w:tblStylePr w:type="band1Horz">
      <w:tblPr/>
      <w:tcPr>
        <w:shd w:val="clear" w:color="auto" w:fill="FBE1CE" w:themeFill="accent3" w:themeFillTint="3F"/>
      </w:tcPr>
    </w:tblStylePr>
  </w:style>
  <w:style w:type="table" w:styleId="MediumList1-Accent4">
    <w:name w:val="Medium List 1 Accent 4"/>
    <w:basedOn w:val="TableNormal"/>
    <w:uiPriority w:val="65"/>
    <w:semiHidden/>
    <w:rsid w:val="00EE3EB6"/>
    <w:pPr>
      <w:spacing w:line="240" w:lineRule="auto"/>
    </w:pPr>
    <w:rPr>
      <w:color w:val="000000" w:themeColor="text1"/>
    </w:rPr>
    <w:tblPr>
      <w:tblStyleRowBandSize w:val="1"/>
      <w:tblStyleColBandSize w:val="1"/>
      <w:tblBorders>
        <w:top w:val="single" w:sz="8" w:space="0" w:color="FCC648" w:themeColor="accent4"/>
        <w:bottom w:val="single" w:sz="8" w:space="0" w:color="FCC648" w:themeColor="accent4"/>
      </w:tblBorders>
    </w:tblPr>
    <w:tblStylePr w:type="firstRow">
      <w:rPr>
        <w:rFonts w:asciiTheme="majorHAnsi" w:eastAsiaTheme="majorEastAsia" w:hAnsiTheme="majorHAnsi" w:cstheme="majorBidi"/>
      </w:rPr>
      <w:tblPr/>
      <w:tcPr>
        <w:tcBorders>
          <w:top w:val="nil"/>
          <w:bottom w:val="single" w:sz="8" w:space="0" w:color="FCC648" w:themeColor="accent4"/>
        </w:tcBorders>
      </w:tcPr>
    </w:tblStylePr>
    <w:tblStylePr w:type="lastRow">
      <w:rPr>
        <w:b/>
        <w:bCs/>
        <w:color w:val="9778B4" w:themeColor="text2"/>
      </w:rPr>
      <w:tblPr/>
      <w:tcPr>
        <w:tcBorders>
          <w:top w:val="single" w:sz="8" w:space="0" w:color="FCC648" w:themeColor="accent4"/>
          <w:bottom w:val="single" w:sz="8" w:space="0" w:color="FCC648" w:themeColor="accent4"/>
        </w:tcBorders>
      </w:tcPr>
    </w:tblStylePr>
    <w:tblStylePr w:type="firstCol">
      <w:rPr>
        <w:b/>
        <w:bCs/>
      </w:rPr>
    </w:tblStylePr>
    <w:tblStylePr w:type="lastCol">
      <w:rPr>
        <w:b/>
        <w:bCs/>
      </w:rPr>
      <w:tblPr/>
      <w:tcPr>
        <w:tcBorders>
          <w:top w:val="single" w:sz="8" w:space="0" w:color="FCC648" w:themeColor="accent4"/>
          <w:bottom w:val="single" w:sz="8" w:space="0" w:color="FCC648" w:themeColor="accent4"/>
        </w:tcBorders>
      </w:tcPr>
    </w:tblStylePr>
    <w:tblStylePr w:type="band1Vert">
      <w:tblPr/>
      <w:tcPr>
        <w:shd w:val="clear" w:color="auto" w:fill="FEF0D1" w:themeFill="accent4" w:themeFillTint="3F"/>
      </w:tcPr>
    </w:tblStylePr>
    <w:tblStylePr w:type="band1Horz">
      <w:tblPr/>
      <w:tcPr>
        <w:shd w:val="clear" w:color="auto" w:fill="FEF0D1" w:themeFill="accent4" w:themeFillTint="3F"/>
      </w:tcPr>
    </w:tblStylePr>
  </w:style>
  <w:style w:type="table" w:styleId="MediumList1-Accent5">
    <w:name w:val="Medium List 1 Accent 5"/>
    <w:basedOn w:val="TableNormal"/>
    <w:uiPriority w:val="65"/>
    <w:semiHidden/>
    <w:rsid w:val="00EE3EB6"/>
    <w:pPr>
      <w:spacing w:line="240" w:lineRule="auto"/>
    </w:pPr>
    <w:rPr>
      <w:color w:val="000000" w:themeColor="text1"/>
    </w:rPr>
    <w:tblPr>
      <w:tblStyleRowBandSize w:val="1"/>
      <w:tblStyleColBandSize w:val="1"/>
      <w:tblBorders>
        <w:top w:val="single" w:sz="8" w:space="0" w:color="86BE57" w:themeColor="accent5"/>
        <w:bottom w:val="single" w:sz="8" w:space="0" w:color="86BE57" w:themeColor="accent5"/>
      </w:tblBorders>
    </w:tblPr>
    <w:tblStylePr w:type="firstRow">
      <w:rPr>
        <w:rFonts w:asciiTheme="majorHAnsi" w:eastAsiaTheme="majorEastAsia" w:hAnsiTheme="majorHAnsi" w:cstheme="majorBidi"/>
      </w:rPr>
      <w:tblPr/>
      <w:tcPr>
        <w:tcBorders>
          <w:top w:val="nil"/>
          <w:bottom w:val="single" w:sz="8" w:space="0" w:color="86BE57" w:themeColor="accent5"/>
        </w:tcBorders>
      </w:tcPr>
    </w:tblStylePr>
    <w:tblStylePr w:type="lastRow">
      <w:rPr>
        <w:b/>
        <w:bCs/>
        <w:color w:val="9778B4" w:themeColor="text2"/>
      </w:rPr>
      <w:tblPr/>
      <w:tcPr>
        <w:tcBorders>
          <w:top w:val="single" w:sz="8" w:space="0" w:color="86BE57" w:themeColor="accent5"/>
          <w:bottom w:val="single" w:sz="8" w:space="0" w:color="86BE57" w:themeColor="accent5"/>
        </w:tcBorders>
      </w:tcPr>
    </w:tblStylePr>
    <w:tblStylePr w:type="firstCol">
      <w:rPr>
        <w:b/>
        <w:bCs/>
      </w:rPr>
    </w:tblStylePr>
    <w:tblStylePr w:type="lastCol">
      <w:rPr>
        <w:b/>
        <w:bCs/>
      </w:rPr>
      <w:tblPr/>
      <w:tcPr>
        <w:tcBorders>
          <w:top w:val="single" w:sz="8" w:space="0" w:color="86BE57" w:themeColor="accent5"/>
          <w:bottom w:val="single" w:sz="8" w:space="0" w:color="86BE57" w:themeColor="accent5"/>
        </w:tcBorders>
      </w:tcPr>
    </w:tblStylePr>
    <w:tblStylePr w:type="band1Vert">
      <w:tblPr/>
      <w:tcPr>
        <w:shd w:val="clear" w:color="auto" w:fill="E1EFD5" w:themeFill="accent5" w:themeFillTint="3F"/>
      </w:tcPr>
    </w:tblStylePr>
    <w:tblStylePr w:type="band1Horz">
      <w:tblPr/>
      <w:tcPr>
        <w:shd w:val="clear" w:color="auto" w:fill="E1EFD5" w:themeFill="accent5" w:themeFillTint="3F"/>
      </w:tcPr>
    </w:tblStylePr>
  </w:style>
  <w:style w:type="table" w:styleId="MediumList1-Accent6">
    <w:name w:val="Medium List 1 Accent 6"/>
    <w:basedOn w:val="TableNormal"/>
    <w:uiPriority w:val="65"/>
    <w:semiHidden/>
    <w:rsid w:val="00EE3EB6"/>
    <w:pPr>
      <w:spacing w:line="240" w:lineRule="auto"/>
    </w:pPr>
    <w:rPr>
      <w:color w:val="000000" w:themeColor="text1"/>
    </w:rPr>
    <w:tblPr>
      <w:tblStyleRowBandSize w:val="1"/>
      <w:tblStyleColBandSize w:val="1"/>
      <w:tblBorders>
        <w:top w:val="single" w:sz="8" w:space="0" w:color="788183" w:themeColor="accent6"/>
        <w:bottom w:val="single" w:sz="8" w:space="0" w:color="788183" w:themeColor="accent6"/>
      </w:tblBorders>
    </w:tblPr>
    <w:tblStylePr w:type="firstRow">
      <w:rPr>
        <w:rFonts w:asciiTheme="majorHAnsi" w:eastAsiaTheme="majorEastAsia" w:hAnsiTheme="majorHAnsi" w:cstheme="majorBidi"/>
      </w:rPr>
      <w:tblPr/>
      <w:tcPr>
        <w:tcBorders>
          <w:top w:val="nil"/>
          <w:bottom w:val="single" w:sz="8" w:space="0" w:color="788183" w:themeColor="accent6"/>
        </w:tcBorders>
      </w:tcPr>
    </w:tblStylePr>
    <w:tblStylePr w:type="lastRow">
      <w:rPr>
        <w:b/>
        <w:bCs/>
        <w:color w:val="9778B4" w:themeColor="text2"/>
      </w:rPr>
      <w:tblPr/>
      <w:tcPr>
        <w:tcBorders>
          <w:top w:val="single" w:sz="8" w:space="0" w:color="788183" w:themeColor="accent6"/>
          <w:bottom w:val="single" w:sz="8" w:space="0" w:color="788183" w:themeColor="accent6"/>
        </w:tcBorders>
      </w:tcPr>
    </w:tblStylePr>
    <w:tblStylePr w:type="firstCol">
      <w:rPr>
        <w:b/>
        <w:bCs/>
      </w:rPr>
    </w:tblStylePr>
    <w:tblStylePr w:type="lastCol">
      <w:rPr>
        <w:b/>
        <w:bCs/>
      </w:rPr>
      <w:tblPr/>
      <w:tcPr>
        <w:tcBorders>
          <w:top w:val="single" w:sz="8" w:space="0" w:color="788183" w:themeColor="accent6"/>
          <w:bottom w:val="single" w:sz="8" w:space="0" w:color="788183" w:themeColor="accent6"/>
        </w:tcBorders>
      </w:tcPr>
    </w:tblStylePr>
    <w:tblStylePr w:type="band1Vert">
      <w:tblPr/>
      <w:tcPr>
        <w:shd w:val="clear" w:color="auto" w:fill="DDDFE0" w:themeFill="accent6" w:themeFillTint="3F"/>
      </w:tcPr>
    </w:tblStylePr>
    <w:tblStylePr w:type="band1Horz">
      <w:tblPr/>
      <w:tcPr>
        <w:shd w:val="clear" w:color="auto" w:fill="DDDFE0" w:themeFill="accent6" w:themeFillTint="3F"/>
      </w:tcPr>
    </w:tblStylePr>
  </w:style>
  <w:style w:type="table" w:styleId="MediumList2">
    <w:name w:val="Medium Lis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rPr>
        <w:sz w:val="24"/>
        <w:szCs w:val="24"/>
      </w:rPr>
      <w:tblPr/>
      <w:tcPr>
        <w:tcBorders>
          <w:top w:val="nil"/>
          <w:left w:val="nil"/>
          <w:bottom w:val="single" w:sz="24" w:space="0" w:color="8D487F" w:themeColor="accent1"/>
          <w:right w:val="nil"/>
          <w:insideH w:val="nil"/>
          <w:insideV w:val="nil"/>
        </w:tcBorders>
        <w:shd w:val="clear" w:color="auto" w:fill="FFFFFF" w:themeFill="background1"/>
      </w:tcPr>
    </w:tblStylePr>
    <w:tblStylePr w:type="lastRow">
      <w:tblPr/>
      <w:tcPr>
        <w:tcBorders>
          <w:top w:val="single" w:sz="8" w:space="0" w:color="8D487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487F" w:themeColor="accent1"/>
          <w:insideH w:val="nil"/>
          <w:insideV w:val="nil"/>
        </w:tcBorders>
        <w:shd w:val="clear" w:color="auto" w:fill="FFFFFF" w:themeFill="background1"/>
      </w:tcPr>
    </w:tblStylePr>
    <w:tblStylePr w:type="lastCol">
      <w:tblPr/>
      <w:tcPr>
        <w:tcBorders>
          <w:top w:val="nil"/>
          <w:left w:val="single" w:sz="8" w:space="0" w:color="8D487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top w:val="nil"/>
          <w:bottom w:val="nil"/>
          <w:insideH w:val="nil"/>
          <w:insideV w:val="nil"/>
        </w:tcBorders>
        <w:shd w:val="clear" w:color="auto" w:fill="E6CEE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rPr>
        <w:sz w:val="24"/>
        <w:szCs w:val="24"/>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tblPr/>
      <w:tcPr>
        <w:tcBorders>
          <w:top w:val="single" w:sz="8" w:space="0" w:color="C64E45"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4E45" w:themeColor="accent2"/>
          <w:insideH w:val="nil"/>
          <w:insideV w:val="nil"/>
        </w:tcBorders>
        <w:shd w:val="clear" w:color="auto" w:fill="FFFFFF" w:themeFill="background1"/>
      </w:tcPr>
    </w:tblStylePr>
    <w:tblStylePr w:type="lastCol">
      <w:tblPr/>
      <w:tcPr>
        <w:tcBorders>
          <w:top w:val="nil"/>
          <w:left w:val="single" w:sz="8" w:space="0" w:color="C64E4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top w:val="nil"/>
          <w:bottom w:val="nil"/>
          <w:insideH w:val="nil"/>
          <w:insideV w:val="nil"/>
        </w:tcBorders>
        <w:shd w:val="clear" w:color="auto" w:fill="F1D2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rPr>
        <w:sz w:val="24"/>
        <w:szCs w:val="24"/>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tblPr/>
      <w:tcPr>
        <w:tcBorders>
          <w:top w:val="single" w:sz="8" w:space="0" w:color="F1873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873D" w:themeColor="accent3"/>
          <w:insideH w:val="nil"/>
          <w:insideV w:val="nil"/>
        </w:tcBorders>
        <w:shd w:val="clear" w:color="auto" w:fill="FFFFFF" w:themeFill="background1"/>
      </w:tcPr>
    </w:tblStylePr>
    <w:tblStylePr w:type="lastCol">
      <w:tblPr/>
      <w:tcPr>
        <w:tcBorders>
          <w:top w:val="nil"/>
          <w:left w:val="single" w:sz="8" w:space="0" w:color="F1873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top w:val="nil"/>
          <w:bottom w:val="nil"/>
          <w:insideH w:val="nil"/>
          <w:insideV w:val="nil"/>
        </w:tcBorders>
        <w:shd w:val="clear" w:color="auto" w:fill="FBE1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rPr>
        <w:sz w:val="24"/>
        <w:szCs w:val="24"/>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tblPr/>
      <w:tcPr>
        <w:tcBorders>
          <w:top w:val="single" w:sz="8" w:space="0" w:color="FCC64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C648" w:themeColor="accent4"/>
          <w:insideH w:val="nil"/>
          <w:insideV w:val="nil"/>
        </w:tcBorders>
        <w:shd w:val="clear" w:color="auto" w:fill="FFFFFF" w:themeFill="background1"/>
      </w:tcPr>
    </w:tblStylePr>
    <w:tblStylePr w:type="lastCol">
      <w:tblPr/>
      <w:tcPr>
        <w:tcBorders>
          <w:top w:val="nil"/>
          <w:left w:val="single" w:sz="8" w:space="0" w:color="FCC64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top w:val="nil"/>
          <w:bottom w:val="nil"/>
          <w:insideH w:val="nil"/>
          <w:insideV w:val="nil"/>
        </w:tcBorders>
        <w:shd w:val="clear" w:color="auto" w:fill="FEF0D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rPr>
        <w:sz w:val="24"/>
        <w:szCs w:val="24"/>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tblPr/>
      <w:tcPr>
        <w:tcBorders>
          <w:top w:val="single" w:sz="8" w:space="0" w:color="86BE5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E57" w:themeColor="accent5"/>
          <w:insideH w:val="nil"/>
          <w:insideV w:val="nil"/>
        </w:tcBorders>
        <w:shd w:val="clear" w:color="auto" w:fill="FFFFFF" w:themeFill="background1"/>
      </w:tcPr>
    </w:tblStylePr>
    <w:tblStylePr w:type="lastCol">
      <w:tblPr/>
      <w:tcPr>
        <w:tcBorders>
          <w:top w:val="nil"/>
          <w:left w:val="single" w:sz="8" w:space="0" w:color="86BE5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top w:val="nil"/>
          <w:bottom w:val="nil"/>
          <w:insideH w:val="nil"/>
          <w:insideV w:val="nil"/>
        </w:tcBorders>
        <w:shd w:val="clear" w:color="auto" w:fill="E1EFD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rPr>
        <w:sz w:val="24"/>
        <w:szCs w:val="24"/>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tblPr/>
      <w:tcPr>
        <w:tcBorders>
          <w:top w:val="single" w:sz="8" w:space="0" w:color="78818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8183" w:themeColor="accent6"/>
          <w:insideH w:val="nil"/>
          <w:insideV w:val="nil"/>
        </w:tcBorders>
        <w:shd w:val="clear" w:color="auto" w:fill="FFFFFF" w:themeFill="background1"/>
      </w:tcPr>
    </w:tblStylePr>
    <w:tblStylePr w:type="lastCol">
      <w:tblPr/>
      <w:tcPr>
        <w:tcBorders>
          <w:top w:val="nil"/>
          <w:left w:val="single" w:sz="8" w:space="0" w:color="78818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top w:val="nil"/>
          <w:bottom w:val="nil"/>
          <w:insideH w:val="nil"/>
          <w:insideV w:val="nil"/>
        </w:tcBorders>
        <w:shd w:val="clear" w:color="auto" w:fill="DDDF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tblBorders>
    </w:tblPr>
    <w:tblStylePr w:type="firstRow">
      <w:pPr>
        <w:spacing w:before="0" w:after="0" w:line="240" w:lineRule="auto"/>
      </w:pPr>
      <w:rPr>
        <w:b/>
        <w:bCs/>
        <w:color w:val="FFFFFF" w:themeColor="background1"/>
      </w:rPr>
      <w:tblPr/>
      <w:tcPr>
        <w:tc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shd w:val="clear" w:color="auto" w:fill="8D487F" w:themeFill="accent1"/>
      </w:tcPr>
    </w:tblStylePr>
    <w:tblStylePr w:type="lastRow">
      <w:pPr>
        <w:spacing w:before="0" w:after="0" w:line="240" w:lineRule="auto"/>
      </w:pPr>
      <w:rPr>
        <w:b/>
        <w:bCs/>
      </w:rPr>
      <w:tblPr/>
      <w:tcPr>
        <w:tcBorders>
          <w:top w:val="double" w:sz="6"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CEE1" w:themeFill="accent1" w:themeFillTint="3F"/>
      </w:tcPr>
    </w:tblStylePr>
    <w:tblStylePr w:type="band1Horz">
      <w:tblPr/>
      <w:tcPr>
        <w:tcBorders>
          <w:insideH w:val="nil"/>
          <w:insideV w:val="nil"/>
        </w:tcBorders>
        <w:shd w:val="clear" w:color="auto" w:fill="E6CEE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tblBorders>
    </w:tblPr>
    <w:tblStylePr w:type="firstRow">
      <w:pPr>
        <w:spacing w:before="0" w:after="0" w:line="240" w:lineRule="auto"/>
      </w:pPr>
      <w:rPr>
        <w:b/>
        <w:bCs/>
        <w:color w:val="FFFFFF" w:themeColor="background1"/>
      </w:rPr>
      <w:tblPr/>
      <w:tcPr>
        <w:tc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shd w:val="clear" w:color="auto" w:fill="C64E45" w:themeFill="accent2"/>
      </w:tcPr>
    </w:tblStylePr>
    <w:tblStylePr w:type="lastRow">
      <w:pPr>
        <w:spacing w:before="0" w:after="0" w:line="240" w:lineRule="auto"/>
      </w:pPr>
      <w:rPr>
        <w:b/>
        <w:bCs/>
      </w:rPr>
      <w:tblPr/>
      <w:tcPr>
        <w:tcBorders>
          <w:top w:val="double" w:sz="6"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D2D0" w:themeFill="accent2" w:themeFillTint="3F"/>
      </w:tcPr>
    </w:tblStylePr>
    <w:tblStylePr w:type="band1Horz">
      <w:tblPr/>
      <w:tcPr>
        <w:tcBorders>
          <w:insideH w:val="nil"/>
          <w:insideV w:val="nil"/>
        </w:tcBorders>
        <w:shd w:val="clear" w:color="auto" w:fill="F1D2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tblBorders>
    </w:tblPr>
    <w:tblStylePr w:type="firstRow">
      <w:pPr>
        <w:spacing w:before="0" w:after="0" w:line="240" w:lineRule="auto"/>
      </w:pPr>
      <w:rPr>
        <w:b/>
        <w:bCs/>
        <w:color w:val="FFFFFF" w:themeColor="background1"/>
      </w:rPr>
      <w:tblPr/>
      <w:tcPr>
        <w:tc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shd w:val="clear" w:color="auto" w:fill="F1873D" w:themeFill="accent3"/>
      </w:tcPr>
    </w:tblStylePr>
    <w:tblStylePr w:type="lastRow">
      <w:pPr>
        <w:spacing w:before="0" w:after="0" w:line="240" w:lineRule="auto"/>
      </w:pPr>
      <w:rPr>
        <w:b/>
        <w:bCs/>
      </w:rPr>
      <w:tblPr/>
      <w:tcPr>
        <w:tcBorders>
          <w:top w:val="double" w:sz="6"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E1CE" w:themeFill="accent3" w:themeFillTint="3F"/>
      </w:tcPr>
    </w:tblStylePr>
    <w:tblStylePr w:type="band1Horz">
      <w:tblPr/>
      <w:tcPr>
        <w:tcBorders>
          <w:insideH w:val="nil"/>
          <w:insideV w:val="nil"/>
        </w:tcBorders>
        <w:shd w:val="clear" w:color="auto" w:fill="FBE1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tblBorders>
    </w:tblPr>
    <w:tblStylePr w:type="firstRow">
      <w:pPr>
        <w:spacing w:before="0" w:after="0" w:line="240" w:lineRule="auto"/>
      </w:pPr>
      <w:rPr>
        <w:b/>
        <w:bCs/>
        <w:color w:val="FFFFFF" w:themeColor="background1"/>
      </w:rPr>
      <w:tblPr/>
      <w:tcPr>
        <w:tc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shd w:val="clear" w:color="auto" w:fill="FCC648" w:themeFill="accent4"/>
      </w:tcPr>
    </w:tblStylePr>
    <w:tblStylePr w:type="lastRow">
      <w:pPr>
        <w:spacing w:before="0" w:after="0" w:line="240" w:lineRule="auto"/>
      </w:pPr>
      <w:rPr>
        <w:b/>
        <w:bCs/>
      </w:rPr>
      <w:tblPr/>
      <w:tcPr>
        <w:tcBorders>
          <w:top w:val="double" w:sz="6"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0D1" w:themeFill="accent4" w:themeFillTint="3F"/>
      </w:tcPr>
    </w:tblStylePr>
    <w:tblStylePr w:type="band1Horz">
      <w:tblPr/>
      <w:tcPr>
        <w:tcBorders>
          <w:insideH w:val="nil"/>
          <w:insideV w:val="nil"/>
        </w:tcBorders>
        <w:shd w:val="clear" w:color="auto" w:fill="FEF0D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tblBorders>
    </w:tblPr>
    <w:tblStylePr w:type="firstRow">
      <w:pPr>
        <w:spacing w:before="0" w:after="0" w:line="240" w:lineRule="auto"/>
      </w:pPr>
      <w:rPr>
        <w:b/>
        <w:bCs/>
        <w:color w:val="FFFFFF" w:themeColor="background1"/>
      </w:rPr>
      <w:tblPr/>
      <w:tcPr>
        <w:tc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shd w:val="clear" w:color="auto" w:fill="86BE57" w:themeFill="accent5"/>
      </w:tcPr>
    </w:tblStylePr>
    <w:tblStylePr w:type="lastRow">
      <w:pPr>
        <w:spacing w:before="0" w:after="0" w:line="240" w:lineRule="auto"/>
      </w:pPr>
      <w:rPr>
        <w:b/>
        <w:bCs/>
      </w:rPr>
      <w:tblPr/>
      <w:tcPr>
        <w:tcBorders>
          <w:top w:val="double" w:sz="6"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EFD5" w:themeFill="accent5" w:themeFillTint="3F"/>
      </w:tcPr>
    </w:tblStylePr>
    <w:tblStylePr w:type="band1Horz">
      <w:tblPr/>
      <w:tcPr>
        <w:tcBorders>
          <w:insideH w:val="nil"/>
          <w:insideV w:val="nil"/>
        </w:tcBorders>
        <w:shd w:val="clear" w:color="auto" w:fill="E1EFD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tblBorders>
    </w:tblPr>
    <w:tblStylePr w:type="firstRow">
      <w:pPr>
        <w:spacing w:before="0" w:after="0" w:line="240" w:lineRule="auto"/>
      </w:pPr>
      <w:rPr>
        <w:b/>
        <w:bCs/>
        <w:color w:val="FFFFFF" w:themeColor="background1"/>
      </w:rPr>
      <w:tblPr/>
      <w:tcPr>
        <w:tc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shd w:val="clear" w:color="auto" w:fill="788183" w:themeFill="accent6"/>
      </w:tcPr>
    </w:tblStylePr>
    <w:tblStylePr w:type="lastRow">
      <w:pPr>
        <w:spacing w:before="0" w:after="0" w:line="240" w:lineRule="auto"/>
      </w:pPr>
      <w:rPr>
        <w:b/>
        <w:bCs/>
      </w:rPr>
      <w:tblPr/>
      <w:tcPr>
        <w:tcBorders>
          <w:top w:val="double" w:sz="6"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FE0" w:themeFill="accent6" w:themeFillTint="3F"/>
      </w:tcPr>
    </w:tblStylePr>
    <w:tblStylePr w:type="band1Horz">
      <w:tblPr/>
      <w:tcPr>
        <w:tcBorders>
          <w:insideH w:val="nil"/>
          <w:insideV w:val="nil"/>
        </w:tcBorders>
        <w:shd w:val="clear" w:color="auto" w:fill="DDDF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487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487F" w:themeFill="accent1"/>
      </w:tcPr>
    </w:tblStylePr>
    <w:tblStylePr w:type="lastCol">
      <w:rPr>
        <w:b/>
        <w:bCs/>
        <w:color w:val="FFFFFF" w:themeColor="background1"/>
      </w:rPr>
      <w:tblPr/>
      <w:tcPr>
        <w:tcBorders>
          <w:left w:val="nil"/>
          <w:right w:val="nil"/>
          <w:insideH w:val="nil"/>
          <w:insideV w:val="nil"/>
        </w:tcBorders>
        <w:shd w:val="clear" w:color="auto" w:fill="8D487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4E4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64E45" w:themeFill="accent2"/>
      </w:tcPr>
    </w:tblStylePr>
    <w:tblStylePr w:type="lastCol">
      <w:rPr>
        <w:b/>
        <w:bCs/>
        <w:color w:val="FFFFFF" w:themeColor="background1"/>
      </w:rPr>
      <w:tblPr/>
      <w:tcPr>
        <w:tcBorders>
          <w:left w:val="nil"/>
          <w:right w:val="nil"/>
          <w:insideH w:val="nil"/>
          <w:insideV w:val="nil"/>
        </w:tcBorders>
        <w:shd w:val="clear" w:color="auto" w:fill="C64E4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873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1873D" w:themeFill="accent3"/>
      </w:tcPr>
    </w:tblStylePr>
    <w:tblStylePr w:type="lastCol">
      <w:rPr>
        <w:b/>
        <w:bCs/>
        <w:color w:val="FFFFFF" w:themeColor="background1"/>
      </w:rPr>
      <w:tblPr/>
      <w:tcPr>
        <w:tcBorders>
          <w:left w:val="nil"/>
          <w:right w:val="nil"/>
          <w:insideH w:val="nil"/>
          <w:insideV w:val="nil"/>
        </w:tcBorders>
        <w:shd w:val="clear" w:color="auto" w:fill="F1873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C64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CC648" w:themeFill="accent4"/>
      </w:tcPr>
    </w:tblStylePr>
    <w:tblStylePr w:type="lastCol">
      <w:rPr>
        <w:b/>
        <w:bCs/>
        <w:color w:val="FFFFFF" w:themeColor="background1"/>
      </w:rPr>
      <w:tblPr/>
      <w:tcPr>
        <w:tcBorders>
          <w:left w:val="nil"/>
          <w:right w:val="nil"/>
          <w:insideH w:val="nil"/>
          <w:insideV w:val="nil"/>
        </w:tcBorders>
        <w:shd w:val="clear" w:color="auto" w:fill="FCC64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E5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E57" w:themeFill="accent5"/>
      </w:tcPr>
    </w:tblStylePr>
    <w:tblStylePr w:type="lastCol">
      <w:rPr>
        <w:b/>
        <w:bCs/>
        <w:color w:val="FFFFFF" w:themeColor="background1"/>
      </w:rPr>
      <w:tblPr/>
      <w:tcPr>
        <w:tcBorders>
          <w:left w:val="nil"/>
          <w:right w:val="nil"/>
          <w:insideH w:val="nil"/>
          <w:insideV w:val="nil"/>
        </w:tcBorders>
        <w:shd w:val="clear" w:color="auto" w:fill="86BE5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818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8183" w:themeFill="accent6"/>
      </w:tcPr>
    </w:tblStylePr>
    <w:tblStylePr w:type="lastCol">
      <w:rPr>
        <w:b/>
        <w:bCs/>
        <w:color w:val="FFFFFF" w:themeColor="background1"/>
      </w:rPr>
      <w:tblPr/>
      <w:tcPr>
        <w:tcBorders>
          <w:left w:val="nil"/>
          <w:right w:val="nil"/>
          <w:insideH w:val="nil"/>
          <w:insideV w:val="nil"/>
        </w:tcBorders>
        <w:shd w:val="clear" w:color="auto" w:fill="78818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EE3EB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EE3EB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semiHidden/>
    <w:rsid w:val="00EE3EB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EE3EB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EE3EB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EE3EB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Continue3">
    <w:name w:val="List Continue 3"/>
    <w:basedOn w:val="Normal"/>
    <w:rsid w:val="00503B7F"/>
    <w:pPr>
      <w:spacing w:before="120"/>
      <w:ind w:left="851"/>
    </w:pPr>
  </w:style>
  <w:style w:type="paragraph" w:styleId="ListNumber4">
    <w:name w:val="List Number 4"/>
    <w:basedOn w:val="Normal"/>
    <w:rsid w:val="00D264C9"/>
    <w:pPr>
      <w:numPr>
        <w:ilvl w:val="3"/>
        <w:numId w:val="23"/>
      </w:numPr>
      <w:spacing w:before="120"/>
      <w:ind w:left="1135"/>
    </w:pPr>
  </w:style>
  <w:style w:type="paragraph" w:styleId="ListNumber5">
    <w:name w:val="List Number 5"/>
    <w:basedOn w:val="Normal"/>
    <w:rsid w:val="00D264C9"/>
    <w:pPr>
      <w:numPr>
        <w:ilvl w:val="4"/>
        <w:numId w:val="23"/>
      </w:numPr>
      <w:spacing w:before="120"/>
      <w:ind w:left="1418"/>
    </w:pPr>
  </w:style>
  <w:style w:type="paragraph" w:styleId="ListContinue4">
    <w:name w:val="List Continue 4"/>
    <w:basedOn w:val="Normal"/>
    <w:rsid w:val="00503B7F"/>
    <w:pPr>
      <w:spacing w:before="120" w:after="60"/>
      <w:ind w:left="1134"/>
    </w:pPr>
  </w:style>
  <w:style w:type="paragraph" w:styleId="ListContinue5">
    <w:name w:val="List Continue 5"/>
    <w:basedOn w:val="Normal"/>
    <w:rsid w:val="00503B7F"/>
    <w:pPr>
      <w:spacing w:before="120"/>
      <w:ind w:left="1418"/>
    </w:pPr>
  </w:style>
  <w:style w:type="table" w:customStyle="1" w:styleId="BoxPlaceholder">
    <w:name w:val="Box Placeholder"/>
    <w:basedOn w:val="TableNormal"/>
    <w:uiPriority w:val="99"/>
    <w:rsid w:val="00BC0200"/>
    <w:pPr>
      <w:spacing w:line="240" w:lineRule="auto"/>
    </w:pPr>
    <w:tblPr>
      <w:tblInd w:w="142" w:type="dxa"/>
      <w:tblCellMar>
        <w:top w:w="113" w:type="dxa"/>
        <w:left w:w="142" w:type="dxa"/>
        <w:bottom w:w="113" w:type="dxa"/>
        <w:right w:w="142" w:type="dxa"/>
      </w:tblCellMar>
    </w:tblPr>
    <w:tcPr>
      <w:shd w:val="clear" w:color="auto" w:fill="E3E5E6" w:themeFill="accent6" w:themeFillTint="33"/>
    </w:tcPr>
  </w:style>
  <w:style w:type="character" w:styleId="PlaceholderText">
    <w:name w:val="Placeholder Text"/>
    <w:basedOn w:val="DefaultParagraphFont"/>
    <w:rsid w:val="004D58BA"/>
    <w:rPr>
      <w:color w:val="808080"/>
    </w:rPr>
  </w:style>
  <w:style w:type="table" w:customStyle="1" w:styleId="PBOFinancial">
    <w:name w:val="PBO Financial"/>
    <w:basedOn w:val="TableNormal"/>
    <w:uiPriority w:val="99"/>
    <w:rsid w:val="00456DEB"/>
    <w:pPr>
      <w:spacing w:before="40" w:after="40" w:line="240" w:lineRule="auto"/>
      <w:jc w:val="right"/>
    </w:pPr>
    <w:rPr>
      <w:sz w:val="20"/>
    </w:rPr>
    <w:tblPr>
      <w:tblCellMar>
        <w:top w:w="11" w:type="dxa"/>
        <w:left w:w="0" w:type="dxa"/>
        <w:bottom w:w="11" w:type="dxa"/>
        <w:right w:w="0" w:type="dxa"/>
      </w:tblCellMar>
    </w:tblPr>
    <w:tblStylePr w:type="firstRow">
      <w:rPr>
        <w:b w:val="0"/>
      </w:rPr>
      <w:tblPr/>
      <w:tcPr>
        <w:tcBorders>
          <w:top w:val="nil"/>
          <w:left w:val="nil"/>
          <w:bottom w:val="single" w:sz="4" w:space="0" w:color="auto"/>
          <w:right w:val="nil"/>
          <w:insideH w:val="nil"/>
          <w:insideV w:val="nil"/>
          <w:tl2br w:val="nil"/>
          <w:tr2bl w:val="nil"/>
        </w:tcBorders>
        <w:tcMar>
          <w:top w:w="11" w:type="dxa"/>
          <w:left w:w="0" w:type="nil"/>
          <w:bottom w:w="11" w:type="dxa"/>
          <w:right w:w="57" w:type="dxa"/>
        </w:tcMar>
      </w:tcPr>
    </w:tblStylePr>
    <w:tblStylePr w:type="lastRow">
      <w:rPr>
        <w:b w:val="0"/>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Mar>
          <w:top w:w="28" w:type="dxa"/>
          <w:left w:w="0" w:type="nil"/>
          <w:bottom w:w="28" w:type="dxa"/>
          <w:right w:w="57" w:type="dxa"/>
        </w:tcMar>
      </w:tcPr>
    </w:tblStylePr>
    <w:tblStylePr w:type="swCell">
      <w:rPr>
        <w:b/>
      </w:rPr>
    </w:tblStylePr>
  </w:style>
  <w:style w:type="paragraph" w:customStyle="1" w:styleId="xTableDecorativeA">
    <w:name w:val="xTableDecorativeA"/>
    <w:basedOn w:val="Normal"/>
    <w:next w:val="Normal"/>
    <w:uiPriority w:val="99"/>
    <w:semiHidden/>
    <w:qFormat/>
    <w:rsid w:val="00FD3658"/>
    <w:pPr>
      <w:keepNext/>
      <w:keepLines/>
      <w:spacing w:line="80" w:lineRule="exact"/>
    </w:pPr>
    <w:rPr>
      <w:b/>
      <w:sz w:val="14"/>
    </w:rPr>
  </w:style>
  <w:style w:type="paragraph" w:customStyle="1" w:styleId="PullQuote">
    <w:name w:val="Pull Quote"/>
    <w:basedOn w:val="Normal"/>
    <w:qFormat/>
    <w:rsid w:val="006242BA"/>
    <w:pPr>
      <w:keepNext/>
      <w:keepLines/>
      <w:spacing w:before="120" w:after="120"/>
    </w:pPr>
    <w:rPr>
      <w:b/>
    </w:rPr>
  </w:style>
  <w:style w:type="paragraph" w:customStyle="1" w:styleId="Heading2NoNumbering">
    <w:name w:val="Heading 2 No Numbering"/>
    <w:basedOn w:val="Heading2"/>
    <w:qFormat/>
    <w:rsid w:val="00904D3B"/>
    <w:pPr>
      <w:numPr>
        <w:ilvl w:val="0"/>
        <w:numId w:val="0"/>
      </w:numPr>
    </w:pPr>
  </w:style>
  <w:style w:type="paragraph" w:customStyle="1" w:styleId="AppendixHeading4">
    <w:name w:val="Appendix Heading 4"/>
    <w:basedOn w:val="Normal"/>
    <w:next w:val="BodyText"/>
    <w:uiPriority w:val="30"/>
    <w:qFormat/>
    <w:rsid w:val="0081085D"/>
    <w:pPr>
      <w:spacing w:before="310" w:after="110" w:line="240" w:lineRule="auto"/>
    </w:pPr>
    <w:rPr>
      <w:rFonts w:asciiTheme="majorHAnsi" w:hAnsiTheme="majorHAnsi"/>
      <w:i/>
      <w:color w:val="000000" w:themeColor="text1"/>
      <w:sz w:val="23"/>
    </w:rPr>
  </w:style>
  <w:style w:type="paragraph" w:customStyle="1" w:styleId="AppendixHeading5">
    <w:name w:val="Appendix Heading 5"/>
    <w:basedOn w:val="Normal"/>
    <w:next w:val="BodyText"/>
    <w:uiPriority w:val="30"/>
    <w:qFormat/>
    <w:rsid w:val="0081085D"/>
    <w:pPr>
      <w:spacing w:before="310" w:after="110" w:line="240" w:lineRule="auto"/>
    </w:pPr>
    <w:rPr>
      <w:rFonts w:asciiTheme="majorHAnsi" w:hAnsiTheme="majorHAnsi"/>
      <w:i/>
      <w:color w:val="3D4D7D" w:themeColor="background2"/>
      <w:sz w:val="23"/>
    </w:rPr>
  </w:style>
  <w:style w:type="paragraph" w:customStyle="1" w:styleId="Heading3NoNumbering">
    <w:name w:val="Heading 3 No Numbering"/>
    <w:basedOn w:val="Heading3"/>
    <w:next w:val="BodyText"/>
    <w:qFormat/>
    <w:rsid w:val="00B245AF"/>
    <w:pPr>
      <w:numPr>
        <w:ilvl w:val="0"/>
        <w:numId w:val="0"/>
      </w:numPr>
    </w:pPr>
  </w:style>
  <w:style w:type="numbering" w:customStyle="1" w:styleId="Bullets">
    <w:name w:val="Bullets"/>
    <w:uiPriority w:val="99"/>
    <w:rsid w:val="005050DA"/>
    <w:pPr>
      <w:numPr>
        <w:numId w:val="14"/>
      </w:numPr>
    </w:pPr>
  </w:style>
  <w:style w:type="numbering" w:customStyle="1" w:styleId="NumberedList">
    <w:name w:val="NumberedList"/>
    <w:uiPriority w:val="99"/>
    <w:rsid w:val="005050DA"/>
    <w:pPr>
      <w:numPr>
        <w:numId w:val="17"/>
      </w:numPr>
    </w:pPr>
  </w:style>
  <w:style w:type="paragraph" w:customStyle="1" w:styleId="CaptionDescriptor">
    <w:name w:val="Caption Descriptor"/>
    <w:basedOn w:val="Caption"/>
    <w:qFormat/>
    <w:rsid w:val="007C0767"/>
    <w:rPr>
      <w:b w:val="0"/>
      <w:sz w:val="20"/>
    </w:rPr>
  </w:style>
  <w:style w:type="table" w:customStyle="1" w:styleId="TablePlaceholder">
    <w:name w:val="Table Placeholder"/>
    <w:basedOn w:val="TableNormal"/>
    <w:uiPriority w:val="99"/>
    <w:rsid w:val="00B366ED"/>
    <w:tblPr>
      <w:tblCellMar>
        <w:left w:w="0" w:type="dxa"/>
        <w:right w:w="0" w:type="dxa"/>
      </w:tblCellMar>
    </w:tblPr>
  </w:style>
  <w:style w:type="paragraph" w:customStyle="1" w:styleId="CaptionLeft">
    <w:name w:val="Caption Left"/>
    <w:basedOn w:val="Caption"/>
    <w:next w:val="BodyText"/>
    <w:qFormat/>
    <w:rsid w:val="00233BE7"/>
    <w:pPr>
      <w:jc w:val="left"/>
    </w:pPr>
  </w:style>
  <w:style w:type="paragraph" w:customStyle="1" w:styleId="TableSubheading">
    <w:name w:val="Table Subheading"/>
    <w:basedOn w:val="TableText"/>
    <w:qFormat/>
    <w:rsid w:val="000B3F9F"/>
    <w:rPr>
      <w:b/>
      <w:szCs w:val="20"/>
    </w:rPr>
  </w:style>
  <w:style w:type="paragraph" w:customStyle="1" w:styleId="TableHeadingBlueAllCaps">
    <w:name w:val="Table Heading Blue All Caps"/>
    <w:basedOn w:val="TableText"/>
    <w:qFormat/>
    <w:rsid w:val="000B3F9F"/>
    <w:rPr>
      <w:b/>
      <w:caps/>
      <w:color w:val="3D4D7D" w:themeColor="background2"/>
      <w:szCs w:val="20"/>
    </w:rPr>
  </w:style>
  <w:style w:type="paragraph" w:customStyle="1" w:styleId="SourceIndent">
    <w:name w:val="Source Indent"/>
    <w:basedOn w:val="Normal"/>
    <w:next w:val="Normal"/>
    <w:rsid w:val="00F97039"/>
    <w:pPr>
      <w:tabs>
        <w:tab w:val="left" w:pos="624"/>
      </w:tabs>
      <w:spacing w:before="120" w:after="240" w:line="240" w:lineRule="auto"/>
      <w:ind w:left="567"/>
    </w:pPr>
    <w:rPr>
      <w:rFonts w:cs="Times New Roman"/>
      <w:color w:val="788184"/>
      <w:sz w:val="18"/>
      <w:szCs w:val="14"/>
    </w:rPr>
  </w:style>
  <w:style w:type="character" w:customStyle="1" w:styleId="CaptionChar">
    <w:name w:val="Caption Char"/>
    <w:basedOn w:val="DefaultParagraphFont"/>
    <w:link w:val="Caption"/>
    <w:rsid w:val="00F97039"/>
    <w:rPr>
      <w:b/>
      <w:bCs/>
      <w:color w:val="3D4D7D" w:themeColor="background2"/>
    </w:rPr>
  </w:style>
  <w:style w:type="paragraph" w:customStyle="1" w:styleId="Default">
    <w:name w:val="Default"/>
    <w:rsid w:val="00E63D75"/>
    <w:pPr>
      <w:autoSpaceDE w:val="0"/>
      <w:autoSpaceDN w:val="0"/>
      <w:adjustRightInd w:val="0"/>
      <w:spacing w:line="240" w:lineRule="auto"/>
    </w:pPr>
    <w:rPr>
      <w:rFonts w:ascii="Calibri" w:hAnsi="Calibri" w:cs="Calibri"/>
      <w:color w:val="000000"/>
      <w:sz w:val="24"/>
      <w:szCs w:val="24"/>
    </w:rPr>
  </w:style>
  <w:style w:type="paragraph" w:customStyle="1" w:styleId="Sourcenospacing">
    <w:name w:val="Source no spacing"/>
    <w:basedOn w:val="SourceIndent"/>
    <w:qFormat/>
    <w:rsid w:val="00E63D75"/>
    <w:pPr>
      <w:spacing w:before="60" w:after="120"/>
    </w:pPr>
  </w:style>
  <w:style w:type="paragraph" w:styleId="ListParagraph">
    <w:name w:val="List Paragraph"/>
    <w:basedOn w:val="Normal"/>
    <w:uiPriority w:val="34"/>
    <w:qFormat/>
    <w:rsid w:val="00376921"/>
    <w:pPr>
      <w:spacing w:line="240" w:lineRule="auto"/>
      <w:ind w:left="720"/>
    </w:pPr>
    <w:rPr>
      <w:rFonts w:ascii="Calibri" w:eastAsia="Times New Roman" w:hAnsi="Calibri" w:cs="Times New Roman"/>
    </w:rPr>
  </w:style>
  <w:style w:type="paragraph" w:styleId="Revision">
    <w:name w:val="Revision"/>
    <w:hidden/>
    <w:uiPriority w:val="99"/>
    <w:semiHidden/>
    <w:rsid w:val="00722B49"/>
    <w:pPr>
      <w:spacing w:line="240" w:lineRule="auto"/>
    </w:pPr>
  </w:style>
  <w:style w:type="paragraph" w:styleId="NormalWeb">
    <w:name w:val="Normal (Web)"/>
    <w:basedOn w:val="Normal"/>
    <w:uiPriority w:val="99"/>
    <w:unhideWhenUsed/>
    <w:rsid w:val="00213F2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213F2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line="30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footnote text" w:uiPriority="99"/>
    <w:lsdException w:name="annotation text" w:uiPriority="99"/>
    <w:lsdException w:name="header" w:uiPriority="99"/>
    <w:lsdException w:name="footer" w:uiPriority="99"/>
    <w:lsdException w:name="caption" w:qFormat="1"/>
    <w:lsdException w:name="table of figures" w:semiHidden="0" w:uiPriority="99" w:unhideWhenUsed="0"/>
    <w:lsdException w:name="footnote reference" w:uiPriority="99"/>
    <w:lsdException w:name="annotation reference" w:uiPriority="99"/>
    <w:lsdException w:name="List Bullet" w:qFormat="1"/>
    <w:lsdException w:name="List Number" w:qFormat="1"/>
    <w:lsdException w:name="List Bullet 2" w:qFormat="1"/>
    <w:lsdException w:name="List Number 2" w:qFormat="1"/>
    <w:lsdException w:name="List Number 3" w:qFormat="1"/>
    <w:lsdException w:name="Title" w:semiHidden="0" w:uiPriority="3" w:unhideWhenUsed="0" w:qFormat="1"/>
    <w:lsdException w:name="Default Paragraph Font" w:uiPriority="1"/>
    <w:lsdException w:name="Body Text" w:qFormat="1"/>
    <w:lsdException w:name="List Continue" w:qFormat="1"/>
    <w:lsdException w:name="List Continue 2" w:qFormat="1"/>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qFormat="1"/>
  </w:latentStyles>
  <w:style w:type="paragraph" w:default="1" w:styleId="Normal">
    <w:name w:val="Normal"/>
    <w:qFormat/>
    <w:rsid w:val="00EC4FFB"/>
  </w:style>
  <w:style w:type="paragraph" w:styleId="Heading1">
    <w:name w:val="heading 1"/>
    <w:basedOn w:val="Normal"/>
    <w:next w:val="BodyText"/>
    <w:link w:val="Heading1Char"/>
    <w:qFormat/>
    <w:rsid w:val="0081085D"/>
    <w:pPr>
      <w:keepNext/>
      <w:keepLines/>
      <w:numPr>
        <w:numId w:val="8"/>
      </w:numPr>
      <w:tabs>
        <w:tab w:val="right" w:pos="1418"/>
        <w:tab w:val="right" w:pos="1701"/>
        <w:tab w:val="right" w:pos="1985"/>
      </w:tabs>
      <w:spacing w:after="600" w:line="204" w:lineRule="auto"/>
      <w:outlineLvl w:val="0"/>
    </w:pPr>
    <w:rPr>
      <w:rFonts w:ascii="Calibri Light" w:hAnsi="Calibri Light"/>
      <w:bCs/>
      <w:color w:val="3D4D7D" w:themeColor="background2"/>
      <w:kern w:val="32"/>
      <w:sz w:val="52"/>
      <w:szCs w:val="32"/>
    </w:rPr>
  </w:style>
  <w:style w:type="paragraph" w:styleId="Heading2">
    <w:name w:val="heading 2"/>
    <w:basedOn w:val="Normal"/>
    <w:next w:val="BodyText"/>
    <w:link w:val="Heading2Char"/>
    <w:qFormat/>
    <w:rsid w:val="0081085D"/>
    <w:pPr>
      <w:keepNext/>
      <w:keepLines/>
      <w:numPr>
        <w:ilvl w:val="1"/>
        <w:numId w:val="8"/>
      </w:numPr>
      <w:tabs>
        <w:tab w:val="left" w:pos="1418"/>
        <w:tab w:val="left" w:pos="1701"/>
        <w:tab w:val="left" w:pos="1985"/>
      </w:tabs>
      <w:spacing w:before="330" w:after="80" w:line="240" w:lineRule="auto"/>
      <w:outlineLvl w:val="1"/>
    </w:pPr>
    <w:rPr>
      <w:rFonts w:asciiTheme="majorHAnsi" w:hAnsiTheme="majorHAnsi"/>
      <w:b/>
      <w:bCs/>
      <w:iCs/>
      <w:color w:val="3D4D7D" w:themeColor="background2"/>
      <w:kern w:val="20"/>
      <w:sz w:val="28"/>
      <w:szCs w:val="28"/>
    </w:rPr>
  </w:style>
  <w:style w:type="paragraph" w:styleId="Heading3">
    <w:name w:val="heading 3"/>
    <w:basedOn w:val="Normal"/>
    <w:next w:val="BodyText"/>
    <w:link w:val="Heading3Char"/>
    <w:qFormat/>
    <w:rsid w:val="00AE1DE7"/>
    <w:pPr>
      <w:keepNext/>
      <w:keepLines/>
      <w:numPr>
        <w:ilvl w:val="2"/>
        <w:numId w:val="8"/>
      </w:numPr>
      <w:tabs>
        <w:tab w:val="left" w:pos="1418"/>
        <w:tab w:val="left" w:pos="1701"/>
        <w:tab w:val="left" w:pos="1985"/>
      </w:tabs>
      <w:spacing w:before="300" w:after="90" w:line="240" w:lineRule="auto"/>
      <w:outlineLvl w:val="2"/>
    </w:pPr>
    <w:rPr>
      <w:b/>
      <w:sz w:val="23"/>
    </w:rPr>
  </w:style>
  <w:style w:type="paragraph" w:styleId="Heading4">
    <w:name w:val="heading 4"/>
    <w:basedOn w:val="Normal"/>
    <w:next w:val="BodyText"/>
    <w:link w:val="Heading4Char"/>
    <w:qFormat/>
    <w:rsid w:val="00AE1DE7"/>
    <w:pPr>
      <w:keepNext/>
      <w:keepLines/>
      <w:tabs>
        <w:tab w:val="left" w:pos="1418"/>
        <w:tab w:val="left" w:pos="1701"/>
        <w:tab w:val="left" w:pos="1985"/>
      </w:tabs>
      <w:spacing w:before="310" w:after="110" w:line="240" w:lineRule="auto"/>
      <w:outlineLvl w:val="3"/>
    </w:pPr>
    <w:rPr>
      <w:rFonts w:eastAsiaTheme="majorEastAsia" w:cstheme="majorBidi"/>
      <w:b/>
      <w:bCs/>
      <w:i/>
      <w:iCs/>
      <w:color w:val="000000" w:themeColor="text1"/>
      <w:sz w:val="23"/>
    </w:rPr>
  </w:style>
  <w:style w:type="paragraph" w:styleId="Heading5">
    <w:name w:val="heading 5"/>
    <w:basedOn w:val="Normal"/>
    <w:next w:val="BodyText"/>
    <w:link w:val="Heading5Char"/>
    <w:qFormat/>
    <w:rsid w:val="00AE1DE7"/>
    <w:pPr>
      <w:keepNext/>
      <w:keepLines/>
      <w:spacing w:before="310" w:after="110" w:line="240" w:lineRule="auto"/>
      <w:outlineLvl w:val="4"/>
    </w:pPr>
    <w:rPr>
      <w:rFonts w:asciiTheme="majorHAnsi" w:eastAsiaTheme="majorEastAsia" w:hAnsiTheme="majorHAnsi" w:cstheme="majorBidi"/>
      <w:i/>
      <w:color w:val="000000" w:themeColor="text1"/>
      <w:sz w:val="23"/>
    </w:rPr>
  </w:style>
  <w:style w:type="paragraph" w:styleId="Heading6">
    <w:name w:val="heading 6"/>
    <w:basedOn w:val="Normal"/>
    <w:next w:val="BodyText"/>
    <w:link w:val="Heading6Char"/>
    <w:qFormat/>
    <w:rsid w:val="0081085D"/>
    <w:pPr>
      <w:keepNext/>
      <w:keepLines/>
      <w:spacing w:before="310" w:after="110" w:line="240" w:lineRule="auto"/>
      <w:outlineLvl w:val="5"/>
    </w:pPr>
    <w:rPr>
      <w:rFonts w:asciiTheme="majorHAnsi" w:eastAsiaTheme="majorEastAsia" w:hAnsiTheme="majorHAnsi" w:cstheme="majorBidi"/>
      <w:i/>
      <w:iCs/>
      <w:color w:val="3D4D7D" w:themeColor="background2"/>
      <w:sz w:val="23"/>
    </w:rPr>
  </w:style>
  <w:style w:type="paragraph" w:styleId="Heading7">
    <w:name w:val="heading 7"/>
    <w:basedOn w:val="Normal"/>
    <w:next w:val="Normal"/>
    <w:link w:val="Heading7Char"/>
    <w:semiHidden/>
    <w:rsid w:val="00961DBB"/>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29"/>
    <w:rsid w:val="0081085D"/>
    <w:pPr>
      <w:keepNext/>
      <w:keepLines/>
      <w:numPr>
        <w:numId w:val="1"/>
      </w:numPr>
      <w:tabs>
        <w:tab w:val="left" w:pos="4536"/>
      </w:tabs>
      <w:spacing w:after="600" w:line="204" w:lineRule="auto"/>
      <w:outlineLvl w:val="7"/>
    </w:pPr>
    <w:rPr>
      <w:rFonts w:ascii="Calibri Light" w:eastAsiaTheme="majorEastAsia" w:hAnsi="Calibri Light" w:cstheme="majorBidi"/>
      <w:color w:val="3D4D7D" w:themeColor="background2"/>
      <w:sz w:val="52"/>
    </w:rPr>
  </w:style>
  <w:style w:type="paragraph" w:styleId="Heading9">
    <w:name w:val="heading 9"/>
    <w:aliases w:val="Appendix Heading 1"/>
    <w:basedOn w:val="Normal"/>
    <w:next w:val="BodyText"/>
    <w:link w:val="Heading9Char"/>
    <w:uiPriority w:val="29"/>
    <w:rsid w:val="0081085D"/>
    <w:pPr>
      <w:keepNext/>
      <w:keepLines/>
      <w:numPr>
        <w:ilvl w:val="1"/>
        <w:numId w:val="1"/>
      </w:numPr>
      <w:tabs>
        <w:tab w:val="left" w:pos="1559"/>
        <w:tab w:val="left" w:pos="1843"/>
        <w:tab w:val="left" w:pos="2126"/>
        <w:tab w:val="left" w:pos="2410"/>
      </w:tabs>
      <w:spacing w:before="330" w:after="80" w:line="240" w:lineRule="auto"/>
      <w:outlineLvl w:val="8"/>
    </w:pPr>
    <w:rPr>
      <w:b/>
      <w:color w:val="3D4D7D" w:themeColor="background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F7087C"/>
    <w:pPr>
      <w:tabs>
        <w:tab w:val="left" w:pos="425"/>
      </w:tabs>
      <w:spacing w:before="60" w:line="240" w:lineRule="exact"/>
      <w:ind w:left="284" w:hanging="284"/>
    </w:pPr>
    <w:rPr>
      <w:kern w:val="16"/>
      <w:sz w:val="18"/>
    </w:rPr>
  </w:style>
  <w:style w:type="character" w:customStyle="1" w:styleId="FootnoteTextChar">
    <w:name w:val="Footnote Text Char"/>
    <w:basedOn w:val="DefaultParagraphFont"/>
    <w:link w:val="FootnoteText"/>
    <w:uiPriority w:val="99"/>
    <w:rsid w:val="00F7087C"/>
    <w:rPr>
      <w:kern w:val="16"/>
      <w:sz w:val="18"/>
    </w:rPr>
  </w:style>
  <w:style w:type="character" w:styleId="FootnoteReference">
    <w:name w:val="footnote reference"/>
    <w:basedOn w:val="DefaultParagraphFont"/>
    <w:uiPriority w:val="99"/>
    <w:rsid w:val="00961DBB"/>
    <w:rPr>
      <w:rFonts w:asciiTheme="minorHAnsi" w:hAnsiTheme="minorHAnsi"/>
      <w:color w:val="auto"/>
      <w:vertAlign w:val="superscript"/>
    </w:rPr>
  </w:style>
  <w:style w:type="paragraph" w:styleId="BodyText">
    <w:name w:val="Body Text"/>
    <w:basedOn w:val="Normal"/>
    <w:link w:val="BodyTextChar"/>
    <w:qFormat/>
    <w:rsid w:val="00D264C9"/>
    <w:pPr>
      <w:spacing w:before="120"/>
    </w:pPr>
    <w:rPr>
      <w:rFonts w:cs="Times New Roman"/>
    </w:rPr>
  </w:style>
  <w:style w:type="character" w:customStyle="1" w:styleId="BodyTextChar">
    <w:name w:val="Body Text Char"/>
    <w:basedOn w:val="DefaultParagraphFont"/>
    <w:link w:val="BodyText"/>
    <w:rsid w:val="00D264C9"/>
    <w:rPr>
      <w:rFonts w:cs="Times New Roman"/>
    </w:rPr>
  </w:style>
  <w:style w:type="table" w:customStyle="1" w:styleId="PullOutBoxwithDecorativeLines">
    <w:name w:val="Pull Out Box with Decorative Lines"/>
    <w:basedOn w:val="TableNormal"/>
    <w:uiPriority w:val="99"/>
    <w:rsid w:val="00403A8E"/>
    <w:pPr>
      <w:keepNext/>
      <w:keepLines/>
      <w:spacing w:before="120" w:after="120" w:line="276" w:lineRule="auto"/>
    </w:pPr>
    <w:tblPr>
      <w:tblCellMar>
        <w:top w:w="28" w:type="dxa"/>
        <w:left w:w="0" w:type="dxa"/>
        <w:bottom w:w="28" w:type="dxa"/>
        <w:right w:w="0" w:type="dxa"/>
      </w:tblCellMar>
    </w:tblPr>
    <w:trPr>
      <w:cantSplit/>
    </w:trPr>
    <w:tblStylePr w:type="firstRow">
      <w:pPr>
        <w:keepNext/>
        <w:wordWrap/>
        <w:spacing w:beforeLines="0" w:before="0" w:beforeAutospacing="0" w:afterLines="0" w:after="0" w:afterAutospacing="0" w:line="80" w:lineRule="exact"/>
      </w:pPr>
      <w:rPr>
        <w:sz w:val="14"/>
      </w:rPr>
      <w:tblPr/>
      <w:tcPr>
        <w:tcBorders>
          <w:top w:val="nil"/>
          <w:left w:val="nil"/>
          <w:bottom w:val="nil"/>
          <w:right w:val="nil"/>
          <w:insideH w:val="nil"/>
          <w:insideV w:val="nil"/>
          <w:tl2br w:val="nil"/>
          <w:tr2bl w:val="nil"/>
        </w:tcBorders>
      </w:tcPr>
    </w:tblStylePr>
    <w:tblStylePr w:type="lastRow">
      <w:pPr>
        <w:wordWrap/>
        <w:spacing w:beforeLines="0" w:before="0" w:beforeAutospacing="0" w:afterLines="0" w:after="0" w:afterAutospacing="0" w:line="80" w:lineRule="exact"/>
      </w:pPr>
    </w:tblStylePr>
  </w:style>
  <w:style w:type="character" w:customStyle="1" w:styleId="Heading1Char">
    <w:name w:val="Heading 1 Char"/>
    <w:basedOn w:val="DefaultParagraphFont"/>
    <w:link w:val="Heading1"/>
    <w:rsid w:val="0081085D"/>
    <w:rPr>
      <w:rFonts w:ascii="Calibri Light" w:hAnsi="Calibri Light"/>
      <w:bCs/>
      <w:color w:val="3D4D7D" w:themeColor="background2"/>
      <w:kern w:val="32"/>
      <w:sz w:val="52"/>
      <w:szCs w:val="32"/>
    </w:rPr>
  </w:style>
  <w:style w:type="character" w:customStyle="1" w:styleId="Heading2Char">
    <w:name w:val="Heading 2 Char"/>
    <w:basedOn w:val="DefaultParagraphFont"/>
    <w:link w:val="Heading2"/>
    <w:rsid w:val="0081085D"/>
    <w:rPr>
      <w:rFonts w:asciiTheme="majorHAnsi" w:hAnsiTheme="majorHAnsi"/>
      <w:b/>
      <w:bCs/>
      <w:iCs/>
      <w:color w:val="3D4D7D" w:themeColor="background2"/>
      <w:kern w:val="20"/>
      <w:sz w:val="28"/>
      <w:szCs w:val="28"/>
    </w:rPr>
  </w:style>
  <w:style w:type="character" w:customStyle="1" w:styleId="Heading3Char">
    <w:name w:val="Heading 3 Char"/>
    <w:basedOn w:val="DefaultParagraphFont"/>
    <w:link w:val="Heading3"/>
    <w:rsid w:val="00AE1DE7"/>
    <w:rPr>
      <w:b/>
      <w:sz w:val="23"/>
    </w:rPr>
  </w:style>
  <w:style w:type="character" w:customStyle="1" w:styleId="Heading4Char">
    <w:name w:val="Heading 4 Char"/>
    <w:basedOn w:val="DefaultParagraphFont"/>
    <w:link w:val="Heading4"/>
    <w:rsid w:val="00AE1DE7"/>
    <w:rPr>
      <w:rFonts w:eastAsiaTheme="majorEastAsia" w:cstheme="majorBidi"/>
      <w:b/>
      <w:bCs/>
      <w:i/>
      <w:iCs/>
      <w:color w:val="000000" w:themeColor="text1"/>
      <w:sz w:val="23"/>
    </w:rPr>
  </w:style>
  <w:style w:type="character" w:customStyle="1" w:styleId="Heading5Char">
    <w:name w:val="Heading 5 Char"/>
    <w:basedOn w:val="DefaultParagraphFont"/>
    <w:link w:val="Heading5"/>
    <w:rsid w:val="00AE1DE7"/>
    <w:rPr>
      <w:rFonts w:asciiTheme="majorHAnsi" w:eastAsiaTheme="majorEastAsia" w:hAnsiTheme="majorHAnsi" w:cstheme="majorBidi"/>
      <w:i/>
      <w:color w:val="000000" w:themeColor="text1"/>
      <w:sz w:val="23"/>
    </w:rPr>
  </w:style>
  <w:style w:type="character" w:customStyle="1" w:styleId="Heading6Char">
    <w:name w:val="Heading 6 Char"/>
    <w:basedOn w:val="DefaultParagraphFont"/>
    <w:link w:val="Heading6"/>
    <w:rsid w:val="0081085D"/>
    <w:rPr>
      <w:rFonts w:asciiTheme="majorHAnsi" w:eastAsiaTheme="majorEastAsia" w:hAnsiTheme="majorHAnsi" w:cstheme="majorBidi"/>
      <w:i/>
      <w:iCs/>
      <w:color w:val="3D4D7D" w:themeColor="background2"/>
      <w:sz w:val="23"/>
    </w:rPr>
  </w:style>
  <w:style w:type="character" w:customStyle="1" w:styleId="Heading7Char">
    <w:name w:val="Heading 7 Char"/>
    <w:basedOn w:val="DefaultParagraphFont"/>
    <w:link w:val="Heading7"/>
    <w:semiHidden/>
    <w:rsid w:val="000E266E"/>
    <w:rPr>
      <w:rFonts w:asciiTheme="majorHAnsi" w:eastAsiaTheme="majorEastAsia" w:hAnsiTheme="majorHAnsi" w:cstheme="majorBidi"/>
      <w:b/>
      <w:iCs/>
      <w:color w:val="FFFFFF"/>
    </w:rPr>
  </w:style>
  <w:style w:type="character" w:customStyle="1" w:styleId="Heading8Char">
    <w:name w:val="Heading 8 Char"/>
    <w:aliases w:val="Appendix Title Char"/>
    <w:basedOn w:val="DefaultParagraphFont"/>
    <w:link w:val="Heading8"/>
    <w:uiPriority w:val="29"/>
    <w:rsid w:val="0081085D"/>
    <w:rPr>
      <w:rFonts w:ascii="Calibri Light" w:eastAsiaTheme="majorEastAsia" w:hAnsi="Calibri Light" w:cstheme="majorBidi"/>
      <w:color w:val="3D4D7D" w:themeColor="background2"/>
      <w:sz w:val="52"/>
    </w:rPr>
  </w:style>
  <w:style w:type="character" w:customStyle="1" w:styleId="Heading9Char">
    <w:name w:val="Heading 9 Char"/>
    <w:aliases w:val="Appendix Heading 1 Char"/>
    <w:basedOn w:val="DefaultParagraphFont"/>
    <w:link w:val="Heading9"/>
    <w:uiPriority w:val="29"/>
    <w:rsid w:val="0081085D"/>
    <w:rPr>
      <w:b/>
      <w:color w:val="3D4D7D" w:themeColor="background2"/>
      <w:sz w:val="28"/>
    </w:rPr>
  </w:style>
  <w:style w:type="paragraph" w:customStyle="1" w:styleId="AppendixHeading2">
    <w:name w:val="Appendix Heading 2"/>
    <w:basedOn w:val="Normal"/>
    <w:next w:val="BodyText"/>
    <w:uiPriority w:val="30"/>
    <w:rsid w:val="0081085D"/>
    <w:pPr>
      <w:keepNext/>
      <w:keepLines/>
      <w:numPr>
        <w:ilvl w:val="2"/>
        <w:numId w:val="1"/>
      </w:numPr>
      <w:tabs>
        <w:tab w:val="left" w:pos="1559"/>
        <w:tab w:val="left" w:pos="1843"/>
        <w:tab w:val="left" w:pos="2126"/>
        <w:tab w:val="left" w:pos="2410"/>
      </w:tabs>
      <w:spacing w:before="300" w:after="90" w:line="240" w:lineRule="auto"/>
    </w:pPr>
    <w:rPr>
      <w:rFonts w:asciiTheme="majorHAnsi" w:hAnsiTheme="majorHAnsi"/>
      <w:b/>
      <w:sz w:val="23"/>
    </w:rPr>
  </w:style>
  <w:style w:type="paragraph" w:customStyle="1" w:styleId="AppendixHeading3">
    <w:name w:val="Appendix Heading 3"/>
    <w:basedOn w:val="Normal"/>
    <w:next w:val="BodyText"/>
    <w:uiPriority w:val="30"/>
    <w:rsid w:val="0081085D"/>
    <w:pPr>
      <w:keepNext/>
      <w:keepLines/>
      <w:numPr>
        <w:ilvl w:val="3"/>
        <w:numId w:val="1"/>
      </w:numPr>
      <w:tabs>
        <w:tab w:val="left" w:pos="1559"/>
        <w:tab w:val="left" w:pos="1843"/>
        <w:tab w:val="left" w:pos="2126"/>
        <w:tab w:val="left" w:pos="2410"/>
        <w:tab w:val="left" w:pos="6804"/>
      </w:tabs>
      <w:spacing w:before="310" w:after="110" w:line="240" w:lineRule="auto"/>
    </w:pPr>
    <w:rPr>
      <w:rFonts w:asciiTheme="majorHAnsi" w:hAnsiTheme="majorHAnsi"/>
      <w:b/>
      <w:i/>
      <w:color w:val="000000" w:themeColor="text1"/>
      <w:sz w:val="23"/>
    </w:rPr>
  </w:style>
  <w:style w:type="character" w:customStyle="1" w:styleId="Bold">
    <w:name w:val="Bold"/>
    <w:rsid w:val="00961DBB"/>
    <w:rPr>
      <w:b/>
    </w:rPr>
  </w:style>
  <w:style w:type="character" w:customStyle="1" w:styleId="BoldAndItalics">
    <w:name w:val="Bold And Italics"/>
    <w:rsid w:val="00961DBB"/>
    <w:rPr>
      <w:b/>
      <w:i/>
    </w:rPr>
  </w:style>
  <w:style w:type="paragraph" w:styleId="Caption">
    <w:name w:val="caption"/>
    <w:basedOn w:val="Normal"/>
    <w:next w:val="CaptionDescriptor"/>
    <w:link w:val="CaptionChar"/>
    <w:qFormat/>
    <w:rsid w:val="0081085D"/>
    <w:pPr>
      <w:keepNext/>
      <w:spacing w:before="40" w:after="40" w:line="240" w:lineRule="auto"/>
      <w:jc w:val="center"/>
    </w:pPr>
    <w:rPr>
      <w:b/>
      <w:bCs/>
      <w:color w:val="3D4D7D" w:themeColor="background2"/>
    </w:rPr>
  </w:style>
  <w:style w:type="paragraph" w:styleId="Footer">
    <w:name w:val="footer"/>
    <w:basedOn w:val="Normal"/>
    <w:link w:val="FooterChar"/>
    <w:uiPriority w:val="99"/>
    <w:rsid w:val="00F24BF6"/>
    <w:pPr>
      <w:spacing w:line="240" w:lineRule="auto"/>
    </w:pPr>
    <w:rPr>
      <w:caps/>
      <w:color w:val="000000" w:themeColor="text1"/>
      <w:spacing w:val="5"/>
      <w:sz w:val="16"/>
    </w:rPr>
  </w:style>
  <w:style w:type="character" w:customStyle="1" w:styleId="FooterChar">
    <w:name w:val="Footer Char"/>
    <w:basedOn w:val="DefaultParagraphFont"/>
    <w:link w:val="Footer"/>
    <w:uiPriority w:val="99"/>
    <w:rsid w:val="00F24BF6"/>
    <w:rPr>
      <w:caps/>
      <w:color w:val="000000" w:themeColor="text1"/>
      <w:spacing w:val="5"/>
      <w:sz w:val="16"/>
    </w:rPr>
  </w:style>
  <w:style w:type="paragraph" w:customStyle="1" w:styleId="FooterLeft">
    <w:name w:val="Footer Left"/>
    <w:basedOn w:val="Footer"/>
    <w:uiPriority w:val="99"/>
    <w:rsid w:val="00023A6F"/>
  </w:style>
  <w:style w:type="paragraph" w:customStyle="1" w:styleId="FooterRight">
    <w:name w:val="Footer Right"/>
    <w:basedOn w:val="FooterLeft"/>
    <w:next w:val="Footer"/>
    <w:uiPriority w:val="99"/>
    <w:rsid w:val="00023A6F"/>
    <w:pPr>
      <w:jc w:val="right"/>
    </w:pPr>
    <w:rPr>
      <w:rFonts w:eastAsia="Times New Roman" w:cs="Arial"/>
      <w:noProof/>
      <w:lang w:eastAsia="en-AU"/>
    </w:rPr>
  </w:style>
  <w:style w:type="paragraph" w:customStyle="1" w:styleId="FooterRightPageNumber">
    <w:name w:val="Footer Right Page Number"/>
    <w:basedOn w:val="Normal"/>
    <w:uiPriority w:val="99"/>
    <w:rsid w:val="008E2623"/>
    <w:pPr>
      <w:spacing w:line="240" w:lineRule="auto"/>
      <w:ind w:right="652"/>
      <w:jc w:val="right"/>
    </w:pPr>
    <w:rPr>
      <w:rFonts w:eastAsia="Times New Roman" w:cs="Arial"/>
      <w:b/>
      <w:noProof/>
      <w:color w:val="000000" w:themeColor="text1"/>
      <w:sz w:val="16"/>
      <w:lang w:eastAsia="en-AU"/>
    </w:rPr>
  </w:style>
  <w:style w:type="paragraph" w:customStyle="1" w:styleId="FooterLeftPageNumber">
    <w:name w:val="Footer Left Page Number"/>
    <w:basedOn w:val="Footer"/>
    <w:uiPriority w:val="99"/>
    <w:rsid w:val="008E2623"/>
    <w:pPr>
      <w:ind w:left="652"/>
    </w:pPr>
    <w:rPr>
      <w:b/>
      <w:caps w:val="0"/>
      <w:spacing w:val="0"/>
    </w:rPr>
  </w:style>
  <w:style w:type="paragraph" w:customStyle="1" w:styleId="FootnoteSeparator">
    <w:name w:val="Footnote Separator"/>
    <w:basedOn w:val="Normal"/>
    <w:uiPriority w:val="2"/>
    <w:unhideWhenUsed/>
    <w:rsid w:val="00961DBB"/>
    <w:pPr>
      <w:pBdr>
        <w:top w:val="single" w:sz="2" w:space="0" w:color="000000" w:themeColor="text1"/>
      </w:pBdr>
      <w:spacing w:before="120" w:line="120" w:lineRule="exact"/>
    </w:pPr>
    <w:rPr>
      <w:sz w:val="14"/>
      <w:szCs w:val="16"/>
    </w:rPr>
  </w:style>
  <w:style w:type="paragraph" w:styleId="Header">
    <w:name w:val="header"/>
    <w:basedOn w:val="Normal"/>
    <w:link w:val="HeaderChar"/>
    <w:uiPriority w:val="99"/>
    <w:rsid w:val="00961DBB"/>
    <w:pPr>
      <w:spacing w:line="240" w:lineRule="auto"/>
    </w:pPr>
  </w:style>
  <w:style w:type="character" w:customStyle="1" w:styleId="HeaderChar">
    <w:name w:val="Header Char"/>
    <w:basedOn w:val="DefaultParagraphFont"/>
    <w:link w:val="Header"/>
    <w:uiPriority w:val="99"/>
    <w:rsid w:val="00A77F60"/>
  </w:style>
  <w:style w:type="paragraph" w:customStyle="1" w:styleId="Introduction">
    <w:name w:val="Introduction"/>
    <w:basedOn w:val="Normal"/>
    <w:next w:val="BodyText"/>
    <w:qFormat/>
    <w:rsid w:val="00BA1E8D"/>
    <w:pPr>
      <w:spacing w:before="180" w:after="180" w:line="216" w:lineRule="auto"/>
    </w:pPr>
    <w:rPr>
      <w:b/>
      <w:color w:val="8D487F" w:themeColor="accent1"/>
      <w:sz w:val="24"/>
    </w:rPr>
  </w:style>
  <w:style w:type="character" w:customStyle="1" w:styleId="Italics">
    <w:name w:val="Italics"/>
    <w:rsid w:val="00961DBB"/>
    <w:rPr>
      <w:i/>
    </w:rPr>
  </w:style>
  <w:style w:type="paragraph" w:styleId="ListBullet">
    <w:name w:val="List Bullet"/>
    <w:basedOn w:val="Normal"/>
    <w:unhideWhenUsed/>
    <w:qFormat/>
    <w:rsid w:val="00D264C9"/>
    <w:pPr>
      <w:keepLines/>
      <w:numPr>
        <w:numId w:val="16"/>
      </w:numPr>
      <w:spacing w:before="120"/>
    </w:pPr>
  </w:style>
  <w:style w:type="paragraph" w:styleId="ListBullet2">
    <w:name w:val="List Bullet 2"/>
    <w:basedOn w:val="ListBullet"/>
    <w:unhideWhenUsed/>
    <w:qFormat/>
    <w:rsid w:val="00D264C9"/>
    <w:pPr>
      <w:numPr>
        <w:ilvl w:val="1"/>
      </w:numPr>
    </w:pPr>
    <w:rPr>
      <w:color w:val="000000" w:themeColor="text1"/>
    </w:rPr>
  </w:style>
  <w:style w:type="paragraph" w:styleId="ListBullet3">
    <w:name w:val="List Bullet 3"/>
    <w:basedOn w:val="ListBullet2"/>
    <w:unhideWhenUsed/>
    <w:rsid w:val="00D264C9"/>
    <w:pPr>
      <w:numPr>
        <w:ilvl w:val="2"/>
      </w:numPr>
      <w:ind w:left="851"/>
    </w:pPr>
  </w:style>
  <w:style w:type="paragraph" w:styleId="ListContinue">
    <w:name w:val="List Continue"/>
    <w:basedOn w:val="Normal"/>
    <w:qFormat/>
    <w:rsid w:val="00503B7F"/>
    <w:pPr>
      <w:spacing w:before="120"/>
      <w:ind w:left="284"/>
    </w:pPr>
  </w:style>
  <w:style w:type="paragraph" w:styleId="ListContinue2">
    <w:name w:val="List Continue 2"/>
    <w:basedOn w:val="Normal"/>
    <w:qFormat/>
    <w:rsid w:val="00503B7F"/>
    <w:pPr>
      <w:spacing w:before="120"/>
      <w:ind w:left="567"/>
    </w:pPr>
  </w:style>
  <w:style w:type="paragraph" w:styleId="ListNumber">
    <w:name w:val="List Number"/>
    <w:basedOn w:val="Normal"/>
    <w:qFormat/>
    <w:rsid w:val="00503B7F"/>
    <w:pPr>
      <w:numPr>
        <w:numId w:val="23"/>
      </w:numPr>
      <w:spacing w:before="120"/>
    </w:pPr>
  </w:style>
  <w:style w:type="paragraph" w:styleId="ListNumber2">
    <w:name w:val="List Number 2"/>
    <w:basedOn w:val="Normal"/>
    <w:qFormat/>
    <w:rsid w:val="00D264C9"/>
    <w:pPr>
      <w:numPr>
        <w:ilvl w:val="1"/>
        <w:numId w:val="23"/>
      </w:numPr>
      <w:spacing w:before="120"/>
    </w:pPr>
    <w:rPr>
      <w:spacing w:val="-1"/>
    </w:rPr>
  </w:style>
  <w:style w:type="paragraph" w:styleId="ListNumber3">
    <w:name w:val="List Number 3"/>
    <w:basedOn w:val="Normal"/>
    <w:qFormat/>
    <w:rsid w:val="00D264C9"/>
    <w:pPr>
      <w:numPr>
        <w:ilvl w:val="2"/>
        <w:numId w:val="23"/>
      </w:numPr>
      <w:spacing w:before="120"/>
      <w:ind w:left="851"/>
    </w:pPr>
    <w:rPr>
      <w:spacing w:val="-1"/>
    </w:rPr>
  </w:style>
  <w:style w:type="character" w:customStyle="1" w:styleId="MySubscript">
    <w:name w:val="MySubscript"/>
    <w:uiPriority w:val="99"/>
    <w:rsid w:val="00961DBB"/>
    <w:rPr>
      <w:vertAlign w:val="subscript"/>
    </w:rPr>
  </w:style>
  <w:style w:type="character" w:customStyle="1" w:styleId="MySubscriptItalics">
    <w:name w:val="MySubscript&amp;Italics"/>
    <w:uiPriority w:val="99"/>
    <w:rsid w:val="00961DBB"/>
    <w:rPr>
      <w:i/>
      <w:vertAlign w:val="subscript"/>
    </w:rPr>
  </w:style>
  <w:style w:type="character" w:customStyle="1" w:styleId="MySuperscript">
    <w:name w:val="MySuperscript"/>
    <w:uiPriority w:val="99"/>
    <w:rsid w:val="00961DBB"/>
    <w:rPr>
      <w:vertAlign w:val="superscript"/>
    </w:rPr>
  </w:style>
  <w:style w:type="character" w:customStyle="1" w:styleId="MySuperscriptItalics">
    <w:name w:val="MySuperscript&amp;Italics"/>
    <w:uiPriority w:val="99"/>
    <w:rsid w:val="00961DBB"/>
    <w:rPr>
      <w:i/>
      <w:vertAlign w:val="superscript"/>
    </w:rPr>
  </w:style>
  <w:style w:type="paragraph" w:styleId="NoSpacing">
    <w:name w:val="No Spacing"/>
    <w:next w:val="BodyText"/>
    <w:rsid w:val="00961DBB"/>
    <w:pPr>
      <w:spacing w:line="240" w:lineRule="auto"/>
    </w:pPr>
    <w:rPr>
      <w:rFonts w:eastAsia="Times New Roman" w:cs="Arial"/>
      <w:lang w:eastAsia="en-AU"/>
    </w:rPr>
  </w:style>
  <w:style w:type="paragraph" w:customStyle="1" w:styleId="OverviewBodyText">
    <w:name w:val="Overview Body Text"/>
    <w:basedOn w:val="Normal"/>
    <w:rsid w:val="00E54919"/>
    <w:pPr>
      <w:spacing w:before="120"/>
    </w:pPr>
  </w:style>
  <w:style w:type="paragraph" w:customStyle="1" w:styleId="OverviewHeading2">
    <w:name w:val="Overview Heading 2"/>
    <w:basedOn w:val="Normal"/>
    <w:next w:val="OverviewBodyText"/>
    <w:rsid w:val="0081085D"/>
    <w:pPr>
      <w:keepNext/>
      <w:keepLines/>
      <w:spacing w:before="330" w:after="80" w:line="240" w:lineRule="auto"/>
    </w:pPr>
    <w:rPr>
      <w:b/>
      <w:color w:val="3D4D7D" w:themeColor="background2"/>
      <w:sz w:val="28"/>
    </w:rPr>
  </w:style>
  <w:style w:type="paragraph" w:customStyle="1" w:styleId="OverviewHeading3">
    <w:name w:val="Overview Heading 3"/>
    <w:basedOn w:val="OverviewHeading2"/>
    <w:next w:val="OverviewBodyText"/>
    <w:rsid w:val="005050DA"/>
    <w:pPr>
      <w:spacing w:before="300" w:after="90"/>
    </w:pPr>
    <w:rPr>
      <w:color w:val="000000" w:themeColor="text1"/>
      <w:sz w:val="23"/>
    </w:rPr>
  </w:style>
  <w:style w:type="character" w:styleId="PageNumber">
    <w:name w:val="page number"/>
    <w:basedOn w:val="DefaultParagraphFont"/>
    <w:semiHidden/>
    <w:rsid w:val="00961DBB"/>
    <w:rPr>
      <w:rFonts w:ascii="Arial" w:hAnsi="Arial"/>
      <w:b/>
      <w:color w:val="auto"/>
      <w:sz w:val="16"/>
    </w:rPr>
  </w:style>
  <w:style w:type="paragraph" w:customStyle="1" w:styleId="PullOutBoxBodyText">
    <w:name w:val="Pull Out Box Body Text"/>
    <w:basedOn w:val="Normal"/>
    <w:qFormat/>
    <w:rsid w:val="0081085D"/>
    <w:pPr>
      <w:spacing w:before="120" w:after="120" w:line="320" w:lineRule="atLeast"/>
      <w:ind w:left="284" w:right="284"/>
    </w:pPr>
    <w:rPr>
      <w:rFonts w:eastAsia="Times New Roman" w:cs="Arial"/>
      <w:b/>
      <w:i/>
      <w:color w:val="3D4D7D" w:themeColor="background2"/>
      <w:spacing w:val="-1"/>
      <w:lang w:eastAsia="en-AU"/>
    </w:rPr>
  </w:style>
  <w:style w:type="paragraph" w:customStyle="1" w:styleId="PullOutBoxBullet">
    <w:name w:val="Pull Out Box Bullet"/>
    <w:basedOn w:val="PullOutBoxBodyText"/>
    <w:qFormat/>
    <w:rsid w:val="00B2295B"/>
    <w:pPr>
      <w:numPr>
        <w:numId w:val="9"/>
      </w:numPr>
      <w:spacing w:before="60" w:after="60"/>
    </w:pPr>
  </w:style>
  <w:style w:type="paragraph" w:customStyle="1" w:styleId="PullOutBoxBullet2">
    <w:name w:val="Pull Out Box Bullet 2"/>
    <w:basedOn w:val="PullOutBoxBodyText"/>
    <w:qFormat/>
    <w:rsid w:val="00B2295B"/>
    <w:pPr>
      <w:numPr>
        <w:ilvl w:val="1"/>
        <w:numId w:val="9"/>
      </w:numPr>
      <w:spacing w:before="60" w:after="60"/>
    </w:pPr>
  </w:style>
  <w:style w:type="paragraph" w:customStyle="1" w:styleId="PullOutBoxBullet3">
    <w:name w:val="Pull Out Box Bullet 3"/>
    <w:basedOn w:val="PullOutBoxBodyText"/>
    <w:semiHidden/>
    <w:qFormat/>
    <w:rsid w:val="00B2295B"/>
    <w:pPr>
      <w:numPr>
        <w:ilvl w:val="2"/>
        <w:numId w:val="9"/>
      </w:numPr>
      <w:spacing w:before="60" w:after="60"/>
    </w:pPr>
  </w:style>
  <w:style w:type="paragraph" w:customStyle="1" w:styleId="PullOutBoxHeading">
    <w:name w:val="Pull Out Box Heading"/>
    <w:basedOn w:val="PullOutBoxBodyText"/>
    <w:qFormat/>
    <w:rsid w:val="00413CE6"/>
    <w:pPr>
      <w:keepNext/>
      <w:keepLines/>
      <w:spacing w:before="114" w:after="114" w:line="360" w:lineRule="atLeast"/>
    </w:pPr>
    <w:rPr>
      <w:sz w:val="28"/>
    </w:rPr>
  </w:style>
  <w:style w:type="paragraph" w:customStyle="1" w:styleId="PullOutBoxNumber">
    <w:name w:val="Pull Out Box Number"/>
    <w:basedOn w:val="PullOutBoxBodyText"/>
    <w:qFormat/>
    <w:rsid w:val="00B2295B"/>
    <w:pPr>
      <w:numPr>
        <w:numId w:val="10"/>
      </w:numPr>
      <w:spacing w:before="60" w:after="60"/>
    </w:pPr>
  </w:style>
  <w:style w:type="paragraph" w:customStyle="1" w:styleId="PullOutBoxNumber2">
    <w:name w:val="Pull Out Box Number 2"/>
    <w:basedOn w:val="PullOutBoxBodyText"/>
    <w:qFormat/>
    <w:rsid w:val="00B2295B"/>
    <w:pPr>
      <w:numPr>
        <w:ilvl w:val="1"/>
        <w:numId w:val="10"/>
      </w:numPr>
      <w:spacing w:before="60" w:after="60"/>
    </w:pPr>
  </w:style>
  <w:style w:type="paragraph" w:customStyle="1" w:styleId="PullOutBoxNumber3">
    <w:name w:val="Pull Out Box Number 3"/>
    <w:basedOn w:val="PullOutBoxBodyText"/>
    <w:qFormat/>
    <w:rsid w:val="00B2295B"/>
    <w:pPr>
      <w:numPr>
        <w:ilvl w:val="2"/>
        <w:numId w:val="10"/>
      </w:numPr>
      <w:spacing w:before="60" w:after="60"/>
    </w:pPr>
  </w:style>
  <w:style w:type="table" w:customStyle="1" w:styleId="PullOutBoxTable">
    <w:name w:val="Pull Out Box Table"/>
    <w:basedOn w:val="TableNormal"/>
    <w:uiPriority w:val="99"/>
    <w:rsid w:val="00AD2869"/>
    <w:pPr>
      <w:spacing w:before="120" w:after="120" w:line="320" w:lineRule="atLeast"/>
      <w:ind w:left="284" w:right="284"/>
    </w:pPr>
    <w:rPr>
      <w:rFonts w:eastAsia="Times New Roman" w:cs="Arial"/>
      <w:color w:val="3D4D7D" w:themeColor="background2"/>
      <w:lang w:eastAsia="en-AU"/>
    </w:rPr>
    <w:tblPr>
      <w:tblBorders>
        <w:top w:val="single" w:sz="4" w:space="0" w:color="FEF5DF"/>
        <w:left w:val="single" w:sz="4" w:space="0" w:color="FEF5DF"/>
        <w:bottom w:val="single" w:sz="4" w:space="0" w:color="FEF5DF"/>
        <w:right w:val="single" w:sz="4" w:space="0" w:color="FEF5DF"/>
        <w:insideH w:val="single" w:sz="4" w:space="0" w:color="FEF5DF"/>
        <w:insideV w:val="single" w:sz="4" w:space="0" w:color="FEF5DF"/>
      </w:tblBorders>
      <w:tblCellMar>
        <w:top w:w="142" w:type="dxa"/>
        <w:left w:w="0" w:type="dxa"/>
        <w:bottom w:w="142" w:type="dxa"/>
        <w:right w:w="0" w:type="dxa"/>
      </w:tblCellMar>
    </w:tblPr>
    <w:tcPr>
      <w:shd w:val="clear" w:color="auto" w:fill="FEF5DF"/>
    </w:tcPr>
  </w:style>
  <w:style w:type="paragraph" w:styleId="Quote">
    <w:name w:val="Quote"/>
    <w:basedOn w:val="Normal"/>
    <w:link w:val="QuoteChar"/>
    <w:qFormat/>
    <w:rsid w:val="00A326AE"/>
    <w:pPr>
      <w:tabs>
        <w:tab w:val="left" w:pos="1134"/>
      </w:tabs>
      <w:spacing w:before="120"/>
      <w:ind w:left="284"/>
    </w:pPr>
    <w:rPr>
      <w:i/>
      <w:iCs/>
    </w:rPr>
  </w:style>
  <w:style w:type="character" w:customStyle="1" w:styleId="QuoteChar">
    <w:name w:val="Quote Char"/>
    <w:basedOn w:val="DefaultParagraphFont"/>
    <w:link w:val="Quote"/>
    <w:rsid w:val="00A326AE"/>
    <w:rPr>
      <w:i/>
      <w:iCs/>
    </w:rPr>
  </w:style>
  <w:style w:type="paragraph" w:customStyle="1" w:styleId="QuoteBullet">
    <w:name w:val="Quote Bullet"/>
    <w:basedOn w:val="Quote"/>
    <w:qFormat/>
    <w:rsid w:val="00A326AE"/>
    <w:pPr>
      <w:numPr>
        <w:numId w:val="4"/>
      </w:numPr>
      <w:ind w:left="568" w:hanging="284"/>
    </w:pPr>
  </w:style>
  <w:style w:type="paragraph" w:customStyle="1" w:styleId="QuoteBullet2">
    <w:name w:val="Quote Bullet 2"/>
    <w:basedOn w:val="Quote"/>
    <w:qFormat/>
    <w:rsid w:val="002D14CD"/>
    <w:pPr>
      <w:numPr>
        <w:ilvl w:val="1"/>
        <w:numId w:val="4"/>
      </w:numPr>
      <w:tabs>
        <w:tab w:val="clear" w:pos="1134"/>
      </w:tabs>
    </w:pPr>
  </w:style>
  <w:style w:type="character" w:customStyle="1" w:styleId="Superscript">
    <w:name w:val="Superscript"/>
    <w:rsid w:val="00961DBB"/>
    <w:rPr>
      <w:vertAlign w:val="superscript"/>
    </w:rPr>
  </w:style>
  <w:style w:type="table" w:customStyle="1" w:styleId="TableGridDarkHeader">
    <w:name w:val="Table Grid Dark Header"/>
    <w:basedOn w:val="TableNormal"/>
    <w:uiPriority w:val="99"/>
    <w:rsid w:val="00AD2869"/>
    <w:pPr>
      <w:spacing w:before="40" w:after="40" w:line="240" w:lineRule="auto"/>
    </w:pPr>
    <w:rPr>
      <w:sz w:val="20"/>
    </w:rPr>
    <w:tblPr>
      <w:tblStyleRowBandSize w:val="1"/>
      <w:tblCellMar>
        <w:top w:w="57" w:type="dxa"/>
        <w:left w:w="0" w:type="dxa"/>
        <w:bottom w:w="57" w:type="dxa"/>
        <w:right w:w="0" w:type="dxa"/>
      </w:tblCellMar>
    </w:tblPr>
    <w:tblStylePr w:type="firstRow">
      <w:rPr>
        <w:b/>
        <w:color w:val="FFFFFF" w:themeColor="background1"/>
      </w:rPr>
      <w:tblPr/>
      <w:tcPr>
        <w:shd w:val="clear" w:color="auto" w:fill="3D4D7D" w:themeFill="background2"/>
      </w:tcPr>
    </w:tblStylePr>
    <w:tblStylePr w:type="lastRow">
      <w:rPr>
        <w:b/>
      </w:rPr>
      <w:tblPr/>
      <w:tcPr>
        <w:shd w:val="clear" w:color="auto" w:fill="A7B2D4" w:themeFill="background2" w:themeFillTint="66"/>
      </w:tcPr>
    </w:tblStylePr>
    <w:tblStylePr w:type="band1Horz">
      <w:tblPr/>
      <w:tcPr>
        <w:shd w:val="clear" w:color="auto" w:fill="D3D8E9" w:themeFill="background2" w:themeFillTint="33"/>
      </w:tcPr>
    </w:tblStylePr>
  </w:style>
  <w:style w:type="paragraph" w:customStyle="1" w:styleId="TableFootnotes">
    <w:name w:val="Table Footnotes"/>
    <w:basedOn w:val="Normal"/>
    <w:rsid w:val="001901A1"/>
    <w:pPr>
      <w:keepLines/>
      <w:numPr>
        <w:numId w:val="5"/>
      </w:numPr>
      <w:spacing w:before="60" w:after="60" w:line="260" w:lineRule="atLeast"/>
    </w:pPr>
    <w:rPr>
      <w:color w:val="788184"/>
      <w:sz w:val="18"/>
    </w:rPr>
  </w:style>
  <w:style w:type="table" w:styleId="TableGrid">
    <w:name w:val="Table Grid"/>
    <w:basedOn w:val="TableNormal"/>
    <w:uiPriority w:val="59"/>
    <w:rsid w:val="00AD2869"/>
    <w:pPr>
      <w:spacing w:before="40" w:after="40" w:line="240" w:lineRule="auto"/>
      <w:ind w:left="85" w:right="85"/>
    </w:pPr>
    <w:rPr>
      <w:sz w:val="20"/>
    </w:rPr>
    <w:tblPr>
      <w:tblStyleRowBandSize w:val="1"/>
      <w:tblBorders>
        <w:top w:val="single" w:sz="4" w:space="0" w:color="000000" w:themeColor="text1"/>
        <w:bottom w:val="single" w:sz="4" w:space="0" w:color="000000" w:themeColor="text1"/>
      </w:tblBorders>
      <w:tblCellMar>
        <w:top w:w="57" w:type="dxa"/>
        <w:left w:w="0" w:type="dxa"/>
        <w:bottom w:w="57" w:type="dxa"/>
        <w:right w:w="0" w:type="dxa"/>
      </w:tblCellMar>
    </w:tblPr>
    <w:tblStylePr w:type="firstRow">
      <w:rPr>
        <w:b/>
      </w:rPr>
      <w:tblPr/>
      <w:tcPr>
        <w:tcBorders>
          <w:bottom w:val="single" w:sz="4" w:space="0" w:color="auto"/>
        </w:tcBorders>
      </w:tcPr>
    </w:tblStylePr>
    <w:tblStylePr w:type="lastRow">
      <w:rPr>
        <w:b/>
      </w:rPr>
      <w:tblPr/>
      <w:tcPr>
        <w:shd w:val="clear" w:color="auto" w:fill="A7B2D4" w:themeFill="background2" w:themeFillTint="66"/>
      </w:tcPr>
    </w:tblStylePr>
    <w:tblStylePr w:type="band2Horz">
      <w:tblPr/>
      <w:tcPr>
        <w:shd w:val="clear" w:color="auto" w:fill="D3D8E9" w:themeFill="background2" w:themeFillTint="33"/>
      </w:tcPr>
    </w:tblStylePr>
    <w:tblStylePr w:type="nwCell">
      <w:rPr>
        <w:color w:val="000000" w:themeColor="text1"/>
      </w:rPr>
    </w:tblStylePr>
  </w:style>
  <w:style w:type="paragraph" w:customStyle="1" w:styleId="TableHeading">
    <w:name w:val="Table Heading"/>
    <w:basedOn w:val="Normal"/>
    <w:qFormat/>
    <w:rsid w:val="00297971"/>
    <w:pPr>
      <w:spacing w:before="40" w:after="40" w:line="240" w:lineRule="auto"/>
      <w:ind w:left="85" w:right="85"/>
    </w:pPr>
    <w:rPr>
      <w:color w:val="FFFFFF" w:themeColor="background1"/>
    </w:rPr>
  </w:style>
  <w:style w:type="paragraph" w:customStyle="1" w:styleId="TableHeadingCentred">
    <w:name w:val="Table Heading Centred"/>
    <w:basedOn w:val="Normal"/>
    <w:qFormat/>
    <w:rsid w:val="00CA5C20"/>
    <w:pPr>
      <w:spacing w:before="40" w:after="40" w:line="240" w:lineRule="auto"/>
      <w:jc w:val="center"/>
    </w:pPr>
  </w:style>
  <w:style w:type="paragraph" w:customStyle="1" w:styleId="TableHeadingRight">
    <w:name w:val="Table Heading Right"/>
    <w:basedOn w:val="Normal"/>
    <w:qFormat/>
    <w:rsid w:val="00CA5C20"/>
    <w:pPr>
      <w:spacing w:before="40" w:after="40" w:line="240" w:lineRule="auto"/>
      <w:jc w:val="right"/>
    </w:pPr>
  </w:style>
  <w:style w:type="paragraph" w:customStyle="1" w:styleId="Source">
    <w:name w:val="Source"/>
    <w:basedOn w:val="Normal"/>
    <w:next w:val="Normal"/>
    <w:rsid w:val="001901A1"/>
    <w:pPr>
      <w:spacing w:before="120" w:after="40" w:line="240" w:lineRule="auto"/>
    </w:pPr>
    <w:rPr>
      <w:rFonts w:cs="Times New Roman"/>
      <w:color w:val="788184"/>
      <w:sz w:val="18"/>
      <w:szCs w:val="14"/>
    </w:rPr>
  </w:style>
  <w:style w:type="paragraph" w:customStyle="1" w:styleId="TableText">
    <w:name w:val="Table Text"/>
    <w:basedOn w:val="Normal"/>
    <w:qFormat/>
    <w:rsid w:val="00456DEB"/>
    <w:pPr>
      <w:spacing w:before="40" w:after="40" w:line="240" w:lineRule="auto"/>
      <w:ind w:left="85" w:right="85"/>
    </w:pPr>
    <w:rPr>
      <w:sz w:val="20"/>
    </w:rPr>
  </w:style>
  <w:style w:type="paragraph" w:customStyle="1" w:styleId="TableTextBold">
    <w:name w:val="Table Text Bold"/>
    <w:basedOn w:val="TableText"/>
    <w:semiHidden/>
    <w:qFormat/>
    <w:rsid w:val="00961DBB"/>
    <w:rPr>
      <w:b/>
    </w:rPr>
  </w:style>
  <w:style w:type="paragraph" w:customStyle="1" w:styleId="TableTextBullet">
    <w:name w:val="Table Text Bullet"/>
    <w:basedOn w:val="TableText"/>
    <w:rsid w:val="00961DBB"/>
    <w:pPr>
      <w:numPr>
        <w:numId w:val="6"/>
      </w:numPr>
    </w:pPr>
  </w:style>
  <w:style w:type="paragraph" w:customStyle="1" w:styleId="TableTextBullet2">
    <w:name w:val="Table Text Bullet 2"/>
    <w:basedOn w:val="TableTextBullet"/>
    <w:qFormat/>
    <w:rsid w:val="00961DBB"/>
    <w:pPr>
      <w:numPr>
        <w:ilvl w:val="1"/>
      </w:numPr>
    </w:pPr>
    <w:rPr>
      <w:bCs/>
    </w:rPr>
  </w:style>
  <w:style w:type="paragraph" w:customStyle="1" w:styleId="TableTextBullet3">
    <w:name w:val="Table Text Bullet 3"/>
    <w:basedOn w:val="TableTextBullet2"/>
    <w:qFormat/>
    <w:rsid w:val="00961DBB"/>
    <w:pPr>
      <w:numPr>
        <w:ilvl w:val="2"/>
      </w:numPr>
    </w:pPr>
    <w:rPr>
      <w:bCs w:val="0"/>
    </w:rPr>
  </w:style>
  <w:style w:type="paragraph" w:customStyle="1" w:styleId="TableTextNumber">
    <w:name w:val="Table Text Number"/>
    <w:basedOn w:val="TableText"/>
    <w:qFormat/>
    <w:rsid w:val="00961DBB"/>
    <w:pPr>
      <w:numPr>
        <w:numId w:val="7"/>
      </w:numPr>
    </w:pPr>
  </w:style>
  <w:style w:type="paragraph" w:customStyle="1" w:styleId="TableTextNumber2">
    <w:name w:val="Table Text Number 2"/>
    <w:basedOn w:val="TableTextNumber"/>
    <w:qFormat/>
    <w:rsid w:val="00961DBB"/>
    <w:pPr>
      <w:numPr>
        <w:ilvl w:val="1"/>
      </w:numPr>
    </w:pPr>
  </w:style>
  <w:style w:type="paragraph" w:customStyle="1" w:styleId="TableTextNumber3">
    <w:name w:val="Table Text Number 3"/>
    <w:basedOn w:val="TableTextNumber2"/>
    <w:qFormat/>
    <w:rsid w:val="00961DBB"/>
    <w:pPr>
      <w:numPr>
        <w:ilvl w:val="2"/>
      </w:numPr>
    </w:pPr>
  </w:style>
  <w:style w:type="paragraph" w:customStyle="1" w:styleId="TableTextRight">
    <w:name w:val="Table Text Right"/>
    <w:basedOn w:val="TableText"/>
    <w:qFormat/>
    <w:rsid w:val="00961DBB"/>
    <w:pPr>
      <w:jc w:val="right"/>
    </w:pPr>
  </w:style>
  <w:style w:type="paragraph" w:customStyle="1" w:styleId="TableofContents2">
    <w:name w:val="TableofContents2"/>
    <w:basedOn w:val="Normal"/>
    <w:semiHidden/>
    <w:rsid w:val="00CA0B7E"/>
    <w:pPr>
      <w:keepNext/>
      <w:spacing w:after="113"/>
    </w:pPr>
    <w:rPr>
      <w:sz w:val="28"/>
      <w:szCs w:val="28"/>
    </w:rPr>
  </w:style>
  <w:style w:type="paragraph" w:styleId="Title">
    <w:name w:val="Title"/>
    <w:basedOn w:val="Normal"/>
    <w:next w:val="Normal"/>
    <w:link w:val="TitleChar"/>
    <w:uiPriority w:val="3"/>
    <w:rsid w:val="00785B35"/>
    <w:pPr>
      <w:spacing w:before="5700" w:after="280" w:line="235" w:lineRule="auto"/>
      <w:ind w:left="227" w:right="3119"/>
      <w:contextualSpacing/>
    </w:pPr>
    <w:rPr>
      <w:rFonts w:ascii="Calibri Light" w:eastAsiaTheme="majorEastAsia" w:hAnsi="Calibri Light" w:cstheme="majorBidi"/>
      <w:caps/>
      <w:color w:val="FFFFFF" w:themeColor="background1"/>
      <w:spacing w:val="14"/>
      <w:sz w:val="44"/>
      <w:szCs w:val="50"/>
      <w:lang w:eastAsia="en-AU"/>
    </w:rPr>
  </w:style>
  <w:style w:type="character" w:customStyle="1" w:styleId="TitleChar">
    <w:name w:val="Title Char"/>
    <w:basedOn w:val="DefaultParagraphFont"/>
    <w:link w:val="Title"/>
    <w:uiPriority w:val="3"/>
    <w:rsid w:val="00785B35"/>
    <w:rPr>
      <w:rFonts w:ascii="Calibri Light" w:eastAsiaTheme="majorEastAsia" w:hAnsi="Calibri Light" w:cstheme="majorBidi"/>
      <w:caps/>
      <w:color w:val="FFFFFF" w:themeColor="background1"/>
      <w:spacing w:val="14"/>
      <w:sz w:val="44"/>
      <w:szCs w:val="50"/>
      <w:lang w:eastAsia="en-AU"/>
    </w:rPr>
  </w:style>
  <w:style w:type="paragraph" w:customStyle="1" w:styleId="Title2">
    <w:name w:val="Title 2"/>
    <w:basedOn w:val="Normal"/>
    <w:link w:val="Title2Char"/>
    <w:uiPriority w:val="3"/>
    <w:rsid w:val="00785B35"/>
    <w:pPr>
      <w:spacing w:line="380" w:lineRule="atLeast"/>
      <w:ind w:left="227" w:right="3119"/>
    </w:pPr>
    <w:rPr>
      <w:rFonts w:asciiTheme="majorHAnsi" w:hAnsiTheme="majorHAnsi"/>
      <w:b/>
      <w:color w:val="FFFFFF" w:themeColor="background1"/>
      <w:spacing w:val="-1"/>
      <w:sz w:val="26"/>
    </w:rPr>
  </w:style>
  <w:style w:type="character" w:customStyle="1" w:styleId="Title2Char">
    <w:name w:val="Title 2 Char"/>
    <w:basedOn w:val="DefaultParagraphFont"/>
    <w:link w:val="Title2"/>
    <w:uiPriority w:val="3"/>
    <w:rsid w:val="00785B35"/>
    <w:rPr>
      <w:rFonts w:asciiTheme="majorHAnsi" w:hAnsiTheme="majorHAnsi"/>
      <w:b/>
      <w:color w:val="FFFFFF" w:themeColor="background1"/>
      <w:spacing w:val="-1"/>
      <w:sz w:val="26"/>
    </w:rPr>
  </w:style>
  <w:style w:type="paragraph" w:customStyle="1" w:styleId="Title3">
    <w:name w:val="Title 3"/>
    <w:basedOn w:val="Title2"/>
    <w:link w:val="Title3Char"/>
    <w:uiPriority w:val="3"/>
    <w:rsid w:val="0081085D"/>
    <w:pPr>
      <w:framePr w:w="2835" w:wrap="around" w:vAnchor="page" w:hAnchor="page" w:x="8591" w:y="7854"/>
      <w:spacing w:after="120" w:line="600" w:lineRule="atLeast"/>
      <w:ind w:right="0"/>
      <w:contextualSpacing/>
    </w:pPr>
    <w:rPr>
      <w:rFonts w:eastAsia="Times New Roman" w:cs="Arial"/>
      <w:b w:val="0"/>
      <w:color w:val="3D4D7D" w:themeColor="background2"/>
      <w:spacing w:val="0"/>
      <w:sz w:val="46"/>
      <w:lang w:eastAsia="en-AU"/>
    </w:rPr>
  </w:style>
  <w:style w:type="paragraph" w:styleId="TOC1">
    <w:name w:val="toc 1"/>
    <w:basedOn w:val="Normal"/>
    <w:next w:val="Normal"/>
    <w:uiPriority w:val="39"/>
    <w:rsid w:val="00E91C83"/>
    <w:pPr>
      <w:tabs>
        <w:tab w:val="left" w:pos="567"/>
        <w:tab w:val="right" w:pos="7654"/>
      </w:tabs>
      <w:spacing w:before="260" w:after="130" w:line="240" w:lineRule="auto"/>
      <w:ind w:left="567" w:right="1983" w:hanging="567"/>
    </w:pPr>
    <w:rPr>
      <w:b/>
      <w:noProof/>
      <w:color w:val="000000" w:themeColor="text1"/>
      <w:sz w:val="24"/>
    </w:rPr>
  </w:style>
  <w:style w:type="paragraph" w:styleId="TOC2">
    <w:name w:val="toc 2"/>
    <w:basedOn w:val="Normal"/>
    <w:next w:val="Normal"/>
    <w:uiPriority w:val="39"/>
    <w:rsid w:val="00E91C83"/>
    <w:pPr>
      <w:tabs>
        <w:tab w:val="left" w:pos="567"/>
        <w:tab w:val="right" w:pos="7654"/>
      </w:tabs>
      <w:spacing w:after="40" w:line="240" w:lineRule="auto"/>
      <w:ind w:left="567" w:right="1985" w:hanging="567"/>
    </w:pPr>
    <w:rPr>
      <w:rFonts w:ascii="Calibri Light" w:eastAsiaTheme="minorEastAsia" w:hAnsi="Calibri Light"/>
      <w:noProof/>
      <w:color w:val="000000" w:themeColor="text1"/>
      <w:sz w:val="24"/>
      <w:lang w:eastAsia="en-AU"/>
    </w:rPr>
  </w:style>
  <w:style w:type="paragraph" w:styleId="TOC3">
    <w:name w:val="toc 3"/>
    <w:basedOn w:val="Normal"/>
    <w:next w:val="Normal"/>
    <w:uiPriority w:val="39"/>
    <w:rsid w:val="00E91C83"/>
    <w:pPr>
      <w:tabs>
        <w:tab w:val="left" w:pos="1417"/>
        <w:tab w:val="right" w:pos="7654"/>
      </w:tabs>
      <w:spacing w:before="120" w:after="120" w:line="240" w:lineRule="auto"/>
      <w:ind w:left="1417" w:right="1985" w:hanging="850"/>
      <w:contextualSpacing/>
    </w:pPr>
    <w:rPr>
      <w:rFonts w:ascii="Calibri Light" w:eastAsiaTheme="minorEastAsia" w:hAnsi="Calibri Light"/>
      <w:noProof/>
      <w:color w:val="000000" w:themeColor="text1"/>
      <w:sz w:val="24"/>
    </w:rPr>
  </w:style>
  <w:style w:type="paragraph" w:styleId="TOC4">
    <w:name w:val="toc 4"/>
    <w:basedOn w:val="Normal"/>
    <w:uiPriority w:val="39"/>
    <w:rsid w:val="00FF1368"/>
    <w:pPr>
      <w:tabs>
        <w:tab w:val="left" w:pos="454"/>
        <w:tab w:val="right" w:pos="7655"/>
      </w:tabs>
      <w:spacing w:after="40" w:line="240" w:lineRule="auto"/>
      <w:ind w:left="454" w:hanging="454"/>
    </w:pPr>
    <w:rPr>
      <w:rFonts w:ascii="Calibri Light" w:hAnsi="Calibri Light"/>
      <w:noProof/>
      <w:color w:val="000000" w:themeColor="text1"/>
      <w:sz w:val="24"/>
    </w:rPr>
  </w:style>
  <w:style w:type="paragraph" w:styleId="TOC5">
    <w:name w:val="toc 5"/>
    <w:basedOn w:val="Normal"/>
    <w:next w:val="Normal"/>
    <w:autoRedefine/>
    <w:uiPriority w:val="39"/>
    <w:rsid w:val="0081085D"/>
    <w:pPr>
      <w:tabs>
        <w:tab w:val="left" w:pos="567"/>
        <w:tab w:val="right" w:pos="7655"/>
      </w:tabs>
      <w:spacing w:after="40" w:line="240" w:lineRule="auto"/>
      <w:ind w:left="567" w:right="1985" w:hanging="567"/>
    </w:pPr>
    <w:rPr>
      <w:rFonts w:ascii="Calibri Light" w:hAnsi="Calibri Light"/>
      <w:b/>
      <w:color w:val="3D4D7D" w:themeColor="background2"/>
      <w:sz w:val="24"/>
    </w:rPr>
  </w:style>
  <w:style w:type="paragraph" w:styleId="TOC6">
    <w:name w:val="toc 6"/>
    <w:basedOn w:val="Normal"/>
    <w:next w:val="Normal"/>
    <w:autoRedefine/>
    <w:semiHidden/>
    <w:rsid w:val="00961DBB"/>
    <w:pPr>
      <w:spacing w:after="100"/>
      <w:ind w:left="1000"/>
    </w:pPr>
  </w:style>
  <w:style w:type="paragraph" w:styleId="TOC7">
    <w:name w:val="toc 7"/>
    <w:basedOn w:val="Normal"/>
    <w:next w:val="Normal"/>
    <w:autoRedefine/>
    <w:semiHidden/>
    <w:rsid w:val="00961DBB"/>
    <w:pPr>
      <w:spacing w:after="100"/>
      <w:ind w:left="1200"/>
    </w:pPr>
  </w:style>
  <w:style w:type="paragraph" w:styleId="TOC8">
    <w:name w:val="toc 8"/>
    <w:basedOn w:val="Normal"/>
    <w:next w:val="Normal"/>
    <w:autoRedefine/>
    <w:semiHidden/>
    <w:rsid w:val="00BE45B2"/>
    <w:pPr>
      <w:tabs>
        <w:tab w:val="left" w:pos="454"/>
        <w:tab w:val="right" w:pos="7626"/>
      </w:tabs>
      <w:spacing w:after="30" w:line="240" w:lineRule="auto"/>
      <w:ind w:left="454" w:hanging="454"/>
    </w:pPr>
    <w:rPr>
      <w:rFonts w:ascii="Calibri Light" w:hAnsi="Calibri Light"/>
      <w:color w:val="000000" w:themeColor="text1"/>
      <w:sz w:val="24"/>
    </w:rPr>
  </w:style>
  <w:style w:type="paragraph" w:styleId="TOCHeading">
    <w:name w:val="TOC Heading"/>
    <w:basedOn w:val="Normal"/>
    <w:uiPriority w:val="39"/>
    <w:rsid w:val="0081085D"/>
    <w:pPr>
      <w:tabs>
        <w:tab w:val="right" w:pos="7655"/>
      </w:tabs>
      <w:spacing w:after="1220" w:line="204" w:lineRule="auto"/>
    </w:pPr>
    <w:rPr>
      <w:rFonts w:ascii="Calibri Light" w:hAnsi="Calibri Light"/>
      <w:color w:val="3D4D7D" w:themeColor="background2"/>
      <w:sz w:val="52"/>
      <w:szCs w:val="40"/>
    </w:rPr>
  </w:style>
  <w:style w:type="paragraph" w:customStyle="1" w:styleId="TOFHeading">
    <w:name w:val="TOF Heading"/>
    <w:basedOn w:val="Normal"/>
    <w:uiPriority w:val="39"/>
    <w:rsid w:val="0081085D"/>
    <w:pPr>
      <w:keepNext/>
      <w:tabs>
        <w:tab w:val="left" w:pos="2268"/>
      </w:tabs>
      <w:spacing w:before="300" w:after="120"/>
    </w:pPr>
    <w:rPr>
      <w:color w:val="3D4D7D" w:themeColor="background2"/>
      <w:sz w:val="28"/>
      <w:szCs w:val="32"/>
    </w:rPr>
  </w:style>
  <w:style w:type="paragraph" w:customStyle="1" w:styleId="xDisclaimerHeading">
    <w:name w:val="xDisclaimer Heading"/>
    <w:basedOn w:val="Normal"/>
    <w:next w:val="xDisclaimerText"/>
    <w:link w:val="xDisclaimerHeadingChar"/>
    <w:uiPriority w:val="3"/>
    <w:rsid w:val="0081085D"/>
    <w:pPr>
      <w:framePr w:hSpace="181" w:wrap="around" w:hAnchor="margin" w:y="4310"/>
      <w:spacing w:before="320" w:line="280" w:lineRule="atLeast"/>
      <w:suppressOverlap/>
    </w:pPr>
    <w:rPr>
      <w:b/>
      <w:color w:val="3D4D7D" w:themeColor="background2"/>
      <w:sz w:val="26"/>
    </w:rPr>
  </w:style>
  <w:style w:type="character" w:customStyle="1" w:styleId="xDisclaimerHeadingChar">
    <w:name w:val="xDisclaimer Heading Char"/>
    <w:basedOn w:val="DefaultParagraphFont"/>
    <w:link w:val="xDisclaimerHeading"/>
    <w:uiPriority w:val="3"/>
    <w:rsid w:val="0081085D"/>
    <w:rPr>
      <w:b/>
      <w:color w:val="3D4D7D" w:themeColor="background2"/>
      <w:sz w:val="26"/>
    </w:rPr>
  </w:style>
  <w:style w:type="paragraph" w:customStyle="1" w:styleId="xDisclaimerText">
    <w:name w:val="xDisclaimer Text"/>
    <w:basedOn w:val="Normal"/>
    <w:uiPriority w:val="3"/>
    <w:rsid w:val="003A43A0"/>
    <w:pPr>
      <w:framePr w:w="7768" w:wrap="around" w:hAnchor="margin" w:yAlign="bottom"/>
      <w:spacing w:after="57"/>
    </w:pPr>
    <w:rPr>
      <w:rFonts w:cs="Times New Roman"/>
      <w:color w:val="000000" w:themeColor="text1"/>
    </w:rPr>
  </w:style>
  <w:style w:type="paragraph" w:customStyle="1" w:styleId="xDisclaimerText2">
    <w:name w:val="xDisclaimer Text 2"/>
    <w:basedOn w:val="xDisclaimerHeading"/>
    <w:uiPriority w:val="3"/>
    <w:rsid w:val="008A0A35"/>
    <w:pPr>
      <w:framePr w:wrap="around"/>
      <w:spacing w:before="0" w:after="170" w:line="302" w:lineRule="atLeast"/>
    </w:pPr>
    <w:rPr>
      <w:b w:val="0"/>
      <w:color w:val="000000" w:themeColor="text1"/>
      <w:sz w:val="22"/>
    </w:rPr>
  </w:style>
  <w:style w:type="table" w:customStyle="1" w:styleId="FooterPlaceholder">
    <w:name w:val="Footer Placeholder"/>
    <w:basedOn w:val="TableNormal"/>
    <w:uiPriority w:val="99"/>
    <w:rsid w:val="00F24BF6"/>
    <w:pPr>
      <w:spacing w:line="240" w:lineRule="auto"/>
    </w:pPr>
    <w:rPr>
      <w:sz w:val="16"/>
    </w:rPr>
    <w:tblPr>
      <w:tblCellMar>
        <w:left w:w="0" w:type="dxa"/>
        <w:right w:w="0" w:type="dxa"/>
      </w:tblCellMar>
    </w:tblPr>
  </w:style>
  <w:style w:type="paragraph" w:customStyle="1" w:styleId="xInlineShape">
    <w:name w:val="xInlineShape"/>
    <w:basedOn w:val="Normal"/>
    <w:next w:val="BodyText"/>
    <w:uiPriority w:val="3"/>
    <w:rsid w:val="00E54919"/>
    <w:pPr>
      <w:keepNext/>
      <w:spacing w:before="60" w:after="60" w:line="240" w:lineRule="auto"/>
      <w:jc w:val="center"/>
    </w:pPr>
  </w:style>
  <w:style w:type="paragraph" w:customStyle="1" w:styleId="xStatus">
    <w:name w:val="xStatus"/>
    <w:basedOn w:val="Normal"/>
    <w:semiHidden/>
    <w:rsid w:val="0094468E"/>
    <w:pPr>
      <w:tabs>
        <w:tab w:val="left" w:pos="1134"/>
        <w:tab w:val="left" w:pos="2268"/>
        <w:tab w:val="left" w:pos="3402"/>
        <w:tab w:val="left" w:pos="4536"/>
        <w:tab w:val="left" w:pos="5103"/>
      </w:tabs>
      <w:spacing w:line="1400" w:lineRule="exact"/>
      <w:jc w:val="center"/>
    </w:pPr>
    <w:rPr>
      <w:caps/>
      <w:color w:val="EAEAEA"/>
      <w:spacing w:val="40"/>
      <w:sz w:val="140"/>
    </w:rPr>
  </w:style>
  <w:style w:type="character" w:styleId="Hyperlink">
    <w:name w:val="Hyperlink"/>
    <w:basedOn w:val="DefaultParagraphFont"/>
    <w:uiPriority w:val="99"/>
    <w:unhideWhenUsed/>
    <w:rsid w:val="00903E3F"/>
    <w:rPr>
      <w:color w:val="auto"/>
      <w:u w:val="single"/>
    </w:rPr>
  </w:style>
  <w:style w:type="paragraph" w:styleId="BalloonText">
    <w:name w:val="Balloon Text"/>
    <w:basedOn w:val="Normal"/>
    <w:link w:val="BalloonTextChar"/>
    <w:semiHidden/>
    <w:unhideWhenUsed/>
    <w:rsid w:val="00903E3F"/>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E266E"/>
    <w:rPr>
      <w:rFonts w:ascii="Tahoma" w:hAnsi="Tahoma" w:cs="Tahoma"/>
      <w:sz w:val="16"/>
      <w:szCs w:val="16"/>
    </w:rPr>
  </w:style>
  <w:style w:type="paragraph" w:customStyle="1" w:styleId="Heading1NoNumbering">
    <w:name w:val="Heading 1 No Numbering"/>
    <w:basedOn w:val="Heading1"/>
    <w:qFormat/>
    <w:rsid w:val="00AE2E82"/>
    <w:pPr>
      <w:numPr>
        <w:numId w:val="0"/>
      </w:numPr>
      <w:spacing w:after="400"/>
    </w:pPr>
  </w:style>
  <w:style w:type="paragraph" w:styleId="TableofFigures">
    <w:name w:val="table of figures"/>
    <w:basedOn w:val="Normal"/>
    <w:next w:val="Normal"/>
    <w:uiPriority w:val="99"/>
    <w:rsid w:val="00563884"/>
    <w:pPr>
      <w:tabs>
        <w:tab w:val="right" w:pos="7655"/>
      </w:tabs>
      <w:spacing w:after="40"/>
      <w:ind w:right="1985"/>
    </w:pPr>
    <w:rPr>
      <w:rFonts w:ascii="Calibri Light" w:hAnsi="Calibri Light"/>
    </w:rPr>
  </w:style>
  <w:style w:type="paragraph" w:customStyle="1" w:styleId="TableTextCentred">
    <w:name w:val="Table Text Centred"/>
    <w:basedOn w:val="TableText"/>
    <w:qFormat/>
    <w:rsid w:val="00AE1CC1"/>
    <w:pPr>
      <w:jc w:val="center"/>
    </w:pPr>
    <w:rPr>
      <w:rFonts w:eastAsia="Times New Roman"/>
      <w:lang w:eastAsia="en-AU"/>
    </w:rPr>
  </w:style>
  <w:style w:type="character" w:customStyle="1" w:styleId="MyBoldItalicsUnderline">
    <w:name w:val="MyBoldItalicsUnderline"/>
    <w:uiPriority w:val="99"/>
    <w:rsid w:val="000E266E"/>
    <w:rPr>
      <w:b/>
      <w:i/>
      <w:u w:val="single"/>
      <w:vertAlign w:val="baseline"/>
    </w:rPr>
  </w:style>
  <w:style w:type="character" w:customStyle="1" w:styleId="MyBoldUnderline">
    <w:name w:val="MyBoldUnderline"/>
    <w:uiPriority w:val="99"/>
    <w:rsid w:val="000E266E"/>
    <w:rPr>
      <w:b/>
      <w:i/>
      <w:u w:val="single"/>
      <w:vertAlign w:val="baseline"/>
    </w:rPr>
  </w:style>
  <w:style w:type="character" w:customStyle="1" w:styleId="MyItalicsUnderline">
    <w:name w:val="MyItalicsUnderline"/>
    <w:uiPriority w:val="99"/>
    <w:rsid w:val="000E266E"/>
    <w:rPr>
      <w:b/>
      <w:i/>
      <w:u w:val="single"/>
      <w:vertAlign w:val="baseline"/>
    </w:rPr>
  </w:style>
  <w:style w:type="character" w:customStyle="1" w:styleId="MyUnderline">
    <w:name w:val="MyUnderline"/>
    <w:uiPriority w:val="99"/>
    <w:rsid w:val="000E266E"/>
    <w:rPr>
      <w:b w:val="0"/>
      <w:i w:val="0"/>
      <w:u w:val="single"/>
      <w:vertAlign w:val="baseline"/>
    </w:rPr>
  </w:style>
  <w:style w:type="paragraph" w:customStyle="1" w:styleId="BodyTextAfterListTable">
    <w:name w:val="Body Text After List/Table"/>
    <w:basedOn w:val="BodyText"/>
    <w:next w:val="BodyText"/>
    <w:qFormat/>
    <w:rsid w:val="00E167B4"/>
    <w:pPr>
      <w:spacing w:before="240"/>
    </w:pPr>
  </w:style>
  <w:style w:type="paragraph" w:customStyle="1" w:styleId="TableTextIndented">
    <w:name w:val="Table Text Indented"/>
    <w:basedOn w:val="TableText"/>
    <w:qFormat/>
    <w:rsid w:val="009B1E4D"/>
    <w:pPr>
      <w:ind w:left="170"/>
    </w:pPr>
  </w:style>
  <w:style w:type="character" w:customStyle="1" w:styleId="Title3Heading">
    <w:name w:val="Title 3 Heading"/>
    <w:basedOn w:val="DefaultParagraphFont"/>
    <w:uiPriority w:val="3"/>
    <w:qFormat/>
    <w:rsid w:val="008621A9"/>
    <w:rPr>
      <w:sz w:val="36"/>
    </w:rPr>
  </w:style>
  <w:style w:type="character" w:customStyle="1" w:styleId="Title3Char">
    <w:name w:val="Title 3 Char"/>
    <w:basedOn w:val="Title2Char"/>
    <w:link w:val="Title3"/>
    <w:uiPriority w:val="3"/>
    <w:rsid w:val="0081085D"/>
    <w:rPr>
      <w:rFonts w:asciiTheme="majorHAnsi" w:eastAsia="Times New Roman" w:hAnsiTheme="majorHAnsi" w:cs="Arial"/>
      <w:b w:val="0"/>
      <w:color w:val="3D4D7D" w:themeColor="background2"/>
      <w:spacing w:val="-1"/>
      <w:sz w:val="46"/>
      <w:lang w:eastAsia="en-AU"/>
    </w:rPr>
  </w:style>
  <w:style w:type="character" w:styleId="CommentReference">
    <w:name w:val="annotation reference"/>
    <w:basedOn w:val="DefaultParagraphFont"/>
    <w:uiPriority w:val="99"/>
    <w:semiHidden/>
    <w:unhideWhenUsed/>
    <w:rsid w:val="00217EF3"/>
    <w:rPr>
      <w:sz w:val="16"/>
      <w:szCs w:val="16"/>
    </w:rPr>
  </w:style>
  <w:style w:type="paragraph" w:styleId="CommentText">
    <w:name w:val="annotation text"/>
    <w:basedOn w:val="Normal"/>
    <w:link w:val="CommentTextChar"/>
    <w:uiPriority w:val="99"/>
    <w:unhideWhenUsed/>
    <w:rsid w:val="00217EF3"/>
    <w:pPr>
      <w:spacing w:line="240" w:lineRule="auto"/>
    </w:pPr>
    <w:rPr>
      <w:sz w:val="20"/>
      <w:szCs w:val="20"/>
    </w:rPr>
  </w:style>
  <w:style w:type="character" w:customStyle="1" w:styleId="CommentTextChar">
    <w:name w:val="Comment Text Char"/>
    <w:basedOn w:val="DefaultParagraphFont"/>
    <w:link w:val="CommentText"/>
    <w:uiPriority w:val="99"/>
    <w:rsid w:val="00217EF3"/>
    <w:rPr>
      <w:sz w:val="20"/>
      <w:szCs w:val="20"/>
    </w:rPr>
  </w:style>
  <w:style w:type="paragraph" w:styleId="CommentSubject">
    <w:name w:val="annotation subject"/>
    <w:basedOn w:val="CommentText"/>
    <w:next w:val="CommentText"/>
    <w:link w:val="CommentSubjectChar"/>
    <w:semiHidden/>
    <w:unhideWhenUsed/>
    <w:rsid w:val="00217EF3"/>
    <w:rPr>
      <w:b/>
      <w:bCs/>
    </w:rPr>
  </w:style>
  <w:style w:type="character" w:customStyle="1" w:styleId="CommentSubjectChar">
    <w:name w:val="Comment Subject Char"/>
    <w:basedOn w:val="CommentTextChar"/>
    <w:link w:val="CommentSubject"/>
    <w:semiHidden/>
    <w:rsid w:val="00217EF3"/>
    <w:rPr>
      <w:b/>
      <w:bCs/>
      <w:sz w:val="20"/>
      <w:szCs w:val="20"/>
    </w:rPr>
  </w:style>
  <w:style w:type="table" w:styleId="ColorfulGrid">
    <w:name w:val="Colorful Grid"/>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D7E6" w:themeFill="accent1" w:themeFillTint="33"/>
    </w:tcPr>
    <w:tblStylePr w:type="firstRow">
      <w:rPr>
        <w:b/>
        <w:bCs/>
      </w:rPr>
      <w:tblPr/>
      <w:tcPr>
        <w:shd w:val="clear" w:color="auto" w:fill="D6B0CE" w:themeFill="accent1" w:themeFillTint="66"/>
      </w:tcPr>
    </w:tblStylePr>
    <w:tblStylePr w:type="lastRow">
      <w:rPr>
        <w:b/>
        <w:bCs/>
        <w:color w:val="000000" w:themeColor="text1"/>
      </w:rPr>
      <w:tblPr/>
      <w:tcPr>
        <w:shd w:val="clear" w:color="auto" w:fill="D6B0CE" w:themeFill="accent1" w:themeFillTint="66"/>
      </w:tcPr>
    </w:tblStylePr>
    <w:tblStylePr w:type="firstCol">
      <w:rPr>
        <w:color w:val="FFFFFF" w:themeColor="background1"/>
      </w:rPr>
      <w:tblPr/>
      <w:tcPr>
        <w:shd w:val="clear" w:color="auto" w:fill="69365E" w:themeFill="accent1" w:themeFillShade="BF"/>
      </w:tcPr>
    </w:tblStylePr>
    <w:tblStylePr w:type="lastCol">
      <w:rPr>
        <w:color w:val="FFFFFF" w:themeColor="background1"/>
      </w:rPr>
      <w:tblPr/>
      <w:tcPr>
        <w:shd w:val="clear" w:color="auto" w:fill="69365E" w:themeFill="accent1" w:themeFillShade="BF"/>
      </w:tc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ColorfulGrid-Accent2">
    <w:name w:val="Colorful Grid Accent 2"/>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3DBD9" w:themeFill="accent2" w:themeFillTint="33"/>
    </w:tcPr>
    <w:tblStylePr w:type="firstRow">
      <w:rPr>
        <w:b/>
        <w:bCs/>
      </w:rPr>
      <w:tblPr/>
      <w:tcPr>
        <w:shd w:val="clear" w:color="auto" w:fill="E8B7B4" w:themeFill="accent2" w:themeFillTint="66"/>
      </w:tcPr>
    </w:tblStylePr>
    <w:tblStylePr w:type="lastRow">
      <w:rPr>
        <w:b/>
        <w:bCs/>
        <w:color w:val="000000" w:themeColor="text1"/>
      </w:rPr>
      <w:tblPr/>
      <w:tcPr>
        <w:shd w:val="clear" w:color="auto" w:fill="E8B7B4" w:themeFill="accent2" w:themeFillTint="66"/>
      </w:tcPr>
    </w:tblStylePr>
    <w:tblStylePr w:type="firstCol">
      <w:rPr>
        <w:color w:val="FFFFFF" w:themeColor="background1"/>
      </w:rPr>
      <w:tblPr/>
      <w:tcPr>
        <w:shd w:val="clear" w:color="auto" w:fill="98362F" w:themeFill="accent2" w:themeFillShade="BF"/>
      </w:tcPr>
    </w:tblStylePr>
    <w:tblStylePr w:type="lastCol">
      <w:rPr>
        <w:color w:val="FFFFFF" w:themeColor="background1"/>
      </w:rPr>
      <w:tblPr/>
      <w:tcPr>
        <w:shd w:val="clear" w:color="auto" w:fill="98362F" w:themeFill="accent2" w:themeFillShade="BF"/>
      </w:tc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ColorfulGrid-Accent3">
    <w:name w:val="Colorful Grid Accent 3"/>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E6D8" w:themeFill="accent3" w:themeFillTint="33"/>
    </w:tcPr>
    <w:tblStylePr w:type="firstRow">
      <w:rPr>
        <w:b/>
        <w:bCs/>
      </w:rPr>
      <w:tblPr/>
      <w:tcPr>
        <w:shd w:val="clear" w:color="auto" w:fill="F9CEB1" w:themeFill="accent3" w:themeFillTint="66"/>
      </w:tcPr>
    </w:tblStylePr>
    <w:tblStylePr w:type="lastRow">
      <w:rPr>
        <w:b/>
        <w:bCs/>
        <w:color w:val="000000" w:themeColor="text1"/>
      </w:rPr>
      <w:tblPr/>
      <w:tcPr>
        <w:shd w:val="clear" w:color="auto" w:fill="F9CEB1" w:themeFill="accent3" w:themeFillTint="66"/>
      </w:tcPr>
    </w:tblStylePr>
    <w:tblStylePr w:type="firstCol">
      <w:rPr>
        <w:color w:val="FFFFFF" w:themeColor="background1"/>
      </w:rPr>
      <w:tblPr/>
      <w:tcPr>
        <w:shd w:val="clear" w:color="auto" w:fill="D25E0F" w:themeFill="accent3" w:themeFillShade="BF"/>
      </w:tcPr>
    </w:tblStylePr>
    <w:tblStylePr w:type="lastCol">
      <w:rPr>
        <w:color w:val="FFFFFF" w:themeColor="background1"/>
      </w:rPr>
      <w:tblPr/>
      <w:tcPr>
        <w:shd w:val="clear" w:color="auto" w:fill="D25E0F" w:themeFill="accent3" w:themeFillShade="BF"/>
      </w:tc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ColorfulGrid-Accent4">
    <w:name w:val="Colorful Grid Accent 4"/>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3DA" w:themeFill="accent4" w:themeFillTint="33"/>
    </w:tcPr>
    <w:tblStylePr w:type="firstRow">
      <w:rPr>
        <w:b/>
        <w:bCs/>
      </w:rPr>
      <w:tblPr/>
      <w:tcPr>
        <w:shd w:val="clear" w:color="auto" w:fill="FDE7B5" w:themeFill="accent4" w:themeFillTint="66"/>
      </w:tcPr>
    </w:tblStylePr>
    <w:tblStylePr w:type="lastRow">
      <w:rPr>
        <w:b/>
        <w:bCs/>
        <w:color w:val="000000" w:themeColor="text1"/>
      </w:rPr>
      <w:tblPr/>
      <w:tcPr>
        <w:shd w:val="clear" w:color="auto" w:fill="FDE7B5" w:themeFill="accent4" w:themeFillTint="66"/>
      </w:tcPr>
    </w:tblStylePr>
    <w:tblStylePr w:type="firstCol">
      <w:rPr>
        <w:color w:val="FFFFFF" w:themeColor="background1"/>
      </w:rPr>
      <w:tblPr/>
      <w:tcPr>
        <w:shd w:val="clear" w:color="auto" w:fill="EEA704" w:themeFill="accent4" w:themeFillShade="BF"/>
      </w:tcPr>
    </w:tblStylePr>
    <w:tblStylePr w:type="lastCol">
      <w:rPr>
        <w:color w:val="FFFFFF" w:themeColor="background1"/>
      </w:rPr>
      <w:tblPr/>
      <w:tcPr>
        <w:shd w:val="clear" w:color="auto" w:fill="EEA704" w:themeFill="accent4" w:themeFillShade="BF"/>
      </w:tc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ColorfulGrid-Accent5">
    <w:name w:val="Colorful Grid Accent 5"/>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6F2DD" w:themeFill="accent5" w:themeFillTint="33"/>
    </w:tcPr>
    <w:tblStylePr w:type="firstRow">
      <w:rPr>
        <w:b/>
        <w:bCs/>
      </w:rPr>
      <w:tblPr/>
      <w:tcPr>
        <w:shd w:val="clear" w:color="auto" w:fill="CEE5BB" w:themeFill="accent5" w:themeFillTint="66"/>
      </w:tcPr>
    </w:tblStylePr>
    <w:tblStylePr w:type="lastRow">
      <w:rPr>
        <w:b/>
        <w:bCs/>
        <w:color w:val="000000" w:themeColor="text1"/>
      </w:rPr>
      <w:tblPr/>
      <w:tcPr>
        <w:shd w:val="clear" w:color="auto" w:fill="CEE5BB" w:themeFill="accent5" w:themeFillTint="66"/>
      </w:tcPr>
    </w:tblStylePr>
    <w:tblStylePr w:type="firstCol">
      <w:rPr>
        <w:color w:val="FFFFFF" w:themeColor="background1"/>
      </w:rPr>
      <w:tblPr/>
      <w:tcPr>
        <w:shd w:val="clear" w:color="auto" w:fill="63953A" w:themeFill="accent5" w:themeFillShade="BF"/>
      </w:tcPr>
    </w:tblStylePr>
    <w:tblStylePr w:type="lastCol">
      <w:rPr>
        <w:color w:val="FFFFFF" w:themeColor="background1"/>
      </w:rPr>
      <w:tblPr/>
      <w:tcPr>
        <w:shd w:val="clear" w:color="auto" w:fill="63953A" w:themeFill="accent5" w:themeFillShade="BF"/>
      </w:tc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ColorfulGrid-Accent6">
    <w:name w:val="Colorful Grid Accent 6"/>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5E6" w:themeFill="accent6" w:themeFillTint="33"/>
    </w:tcPr>
    <w:tblStylePr w:type="firstRow">
      <w:rPr>
        <w:b/>
        <w:bCs/>
      </w:rPr>
      <w:tblPr/>
      <w:tcPr>
        <w:shd w:val="clear" w:color="auto" w:fill="C8CCCD" w:themeFill="accent6" w:themeFillTint="66"/>
      </w:tcPr>
    </w:tblStylePr>
    <w:tblStylePr w:type="lastRow">
      <w:rPr>
        <w:b/>
        <w:bCs/>
        <w:color w:val="000000" w:themeColor="text1"/>
      </w:rPr>
      <w:tblPr/>
      <w:tcPr>
        <w:shd w:val="clear" w:color="auto" w:fill="C8CCCD" w:themeFill="accent6" w:themeFillTint="66"/>
      </w:tcPr>
    </w:tblStylePr>
    <w:tblStylePr w:type="firstCol">
      <w:rPr>
        <w:color w:val="FFFFFF" w:themeColor="background1"/>
      </w:rPr>
      <w:tblPr/>
      <w:tcPr>
        <w:shd w:val="clear" w:color="auto" w:fill="5A6062" w:themeFill="accent6" w:themeFillShade="BF"/>
      </w:tcPr>
    </w:tblStylePr>
    <w:tblStylePr w:type="lastCol">
      <w:rPr>
        <w:color w:val="FFFFFF" w:themeColor="background1"/>
      </w:rPr>
      <w:tblPr/>
      <w:tcPr>
        <w:shd w:val="clear" w:color="auto" w:fill="5A6062" w:themeFill="accent6" w:themeFillShade="BF"/>
      </w:tc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ColorfulList">
    <w:name w:val="Colorful List"/>
    <w:basedOn w:val="TableNormal"/>
    <w:uiPriority w:val="72"/>
    <w:semiHidden/>
    <w:rsid w:val="00EE3EB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EE3EB6"/>
    <w:pPr>
      <w:spacing w:line="240" w:lineRule="auto"/>
    </w:pPr>
    <w:rPr>
      <w:color w:val="000000" w:themeColor="text1"/>
    </w:rPr>
    <w:tblPr>
      <w:tblStyleRowBandSize w:val="1"/>
      <w:tblStyleColBandSize w:val="1"/>
    </w:tblPr>
    <w:tcPr>
      <w:shd w:val="clear" w:color="auto" w:fill="F5EBF3" w:themeFill="accen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CEE1" w:themeFill="accent1" w:themeFillTint="3F"/>
      </w:tcPr>
    </w:tblStylePr>
    <w:tblStylePr w:type="band1Horz">
      <w:tblPr/>
      <w:tcPr>
        <w:shd w:val="clear" w:color="auto" w:fill="EAD7E6" w:themeFill="accent1" w:themeFillTint="33"/>
      </w:tcPr>
    </w:tblStylePr>
  </w:style>
  <w:style w:type="table" w:styleId="ColorfulList-Accent2">
    <w:name w:val="Colorful List Accent 2"/>
    <w:basedOn w:val="TableNormal"/>
    <w:uiPriority w:val="72"/>
    <w:semiHidden/>
    <w:rsid w:val="00EE3EB6"/>
    <w:pPr>
      <w:spacing w:line="240" w:lineRule="auto"/>
    </w:pPr>
    <w:rPr>
      <w:color w:val="000000" w:themeColor="text1"/>
    </w:rPr>
    <w:tblPr>
      <w:tblStyleRowBandSize w:val="1"/>
      <w:tblStyleColBandSize w:val="1"/>
    </w:tblPr>
    <w:tcPr>
      <w:shd w:val="clear" w:color="auto" w:fill="F9EDEC" w:themeFill="accent2"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D2D0" w:themeFill="accent2" w:themeFillTint="3F"/>
      </w:tcPr>
    </w:tblStylePr>
    <w:tblStylePr w:type="band1Horz">
      <w:tblPr/>
      <w:tcPr>
        <w:shd w:val="clear" w:color="auto" w:fill="F3DBD9" w:themeFill="accent2" w:themeFillTint="33"/>
      </w:tcPr>
    </w:tblStylePr>
  </w:style>
  <w:style w:type="table" w:styleId="ColorfulList-Accent3">
    <w:name w:val="Colorful List Accent 3"/>
    <w:basedOn w:val="TableNormal"/>
    <w:uiPriority w:val="72"/>
    <w:semiHidden/>
    <w:rsid w:val="00EE3EB6"/>
    <w:pPr>
      <w:spacing w:line="240" w:lineRule="auto"/>
    </w:pPr>
    <w:rPr>
      <w:color w:val="000000" w:themeColor="text1"/>
    </w:rPr>
    <w:tblPr>
      <w:tblStyleRowBandSize w:val="1"/>
      <w:tblStyleColBandSize w:val="1"/>
    </w:tblPr>
    <w:tcPr>
      <w:shd w:val="clear" w:color="auto" w:fill="FDF3EB" w:themeFill="accent3" w:themeFillTint="19"/>
    </w:tcPr>
    <w:tblStylePr w:type="firstRow">
      <w:rPr>
        <w:b/>
        <w:bCs/>
        <w:color w:val="FFFFFF" w:themeColor="background1"/>
      </w:rPr>
      <w:tblPr/>
      <w:tcPr>
        <w:tcBorders>
          <w:bottom w:val="single" w:sz="12" w:space="0" w:color="FFFFFF" w:themeColor="background1"/>
        </w:tcBorders>
        <w:shd w:val="clear" w:color="auto" w:fill="FBB108" w:themeFill="accent4" w:themeFillShade="CC"/>
      </w:tcPr>
    </w:tblStylePr>
    <w:tblStylePr w:type="lastRow">
      <w:rPr>
        <w:b/>
        <w:bCs/>
        <w:color w:val="FBB10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CE" w:themeFill="accent3" w:themeFillTint="3F"/>
      </w:tcPr>
    </w:tblStylePr>
    <w:tblStylePr w:type="band1Horz">
      <w:tblPr/>
      <w:tcPr>
        <w:shd w:val="clear" w:color="auto" w:fill="FCE6D8" w:themeFill="accent3" w:themeFillTint="33"/>
      </w:tcPr>
    </w:tblStylePr>
  </w:style>
  <w:style w:type="table" w:styleId="ColorfulList-Accent4">
    <w:name w:val="Colorful List Accent 4"/>
    <w:basedOn w:val="TableNormal"/>
    <w:uiPriority w:val="72"/>
    <w:semiHidden/>
    <w:rsid w:val="00EE3EB6"/>
    <w:pPr>
      <w:spacing w:line="240" w:lineRule="auto"/>
    </w:pPr>
    <w:rPr>
      <w:color w:val="000000" w:themeColor="text1"/>
    </w:rPr>
    <w:tblPr>
      <w:tblStyleRowBandSize w:val="1"/>
      <w:tblStyleColBandSize w:val="1"/>
    </w:tblPr>
    <w:tcPr>
      <w:shd w:val="clear" w:color="auto" w:fill="FEF9EC" w:themeFill="accent4" w:themeFillTint="19"/>
    </w:tcPr>
    <w:tblStylePr w:type="firstRow">
      <w:rPr>
        <w:b/>
        <w:bCs/>
        <w:color w:val="FFFFFF" w:themeColor="background1"/>
      </w:rPr>
      <w:tblPr/>
      <w:tcPr>
        <w:tcBorders>
          <w:bottom w:val="single" w:sz="12" w:space="0" w:color="FFFFFF" w:themeColor="background1"/>
        </w:tcBorders>
        <w:shd w:val="clear" w:color="auto" w:fill="E16510" w:themeFill="accent3" w:themeFillShade="CC"/>
      </w:tcPr>
    </w:tblStylePr>
    <w:tblStylePr w:type="lastRow">
      <w:rPr>
        <w:b/>
        <w:bCs/>
        <w:color w:val="E1651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0D1" w:themeFill="accent4" w:themeFillTint="3F"/>
      </w:tcPr>
    </w:tblStylePr>
    <w:tblStylePr w:type="band1Horz">
      <w:tblPr/>
      <w:tcPr>
        <w:shd w:val="clear" w:color="auto" w:fill="FEF3DA" w:themeFill="accent4" w:themeFillTint="33"/>
      </w:tcPr>
    </w:tblStylePr>
  </w:style>
  <w:style w:type="table" w:styleId="ColorfulList-Accent5">
    <w:name w:val="Colorful List Accent 5"/>
    <w:basedOn w:val="TableNormal"/>
    <w:uiPriority w:val="72"/>
    <w:semiHidden/>
    <w:rsid w:val="00EE3EB6"/>
    <w:pPr>
      <w:spacing w:line="240" w:lineRule="auto"/>
    </w:pPr>
    <w:rPr>
      <w:color w:val="000000" w:themeColor="text1"/>
    </w:rPr>
    <w:tblPr>
      <w:tblStyleRowBandSize w:val="1"/>
      <w:tblStyleColBandSize w:val="1"/>
    </w:tblPr>
    <w:tcPr>
      <w:shd w:val="clear" w:color="auto" w:fill="F3F8EE" w:themeFill="accent5" w:themeFillTint="19"/>
    </w:tcPr>
    <w:tblStylePr w:type="firstRow">
      <w:rPr>
        <w:b/>
        <w:bCs/>
        <w:color w:val="FFFFFF" w:themeColor="background1"/>
      </w:rPr>
      <w:tblPr/>
      <w:tcPr>
        <w:tcBorders>
          <w:bottom w:val="single" w:sz="12" w:space="0" w:color="FFFFFF" w:themeColor="background1"/>
        </w:tcBorders>
        <w:shd w:val="clear" w:color="auto" w:fill="606768" w:themeFill="accent6" w:themeFillShade="CC"/>
      </w:tcPr>
    </w:tblStylePr>
    <w:tblStylePr w:type="lastRow">
      <w:rPr>
        <w:b/>
        <w:bCs/>
        <w:color w:val="60676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FD5" w:themeFill="accent5" w:themeFillTint="3F"/>
      </w:tcPr>
    </w:tblStylePr>
    <w:tblStylePr w:type="band1Horz">
      <w:tblPr/>
      <w:tcPr>
        <w:shd w:val="clear" w:color="auto" w:fill="E6F2DD" w:themeFill="accent5" w:themeFillTint="33"/>
      </w:tcPr>
    </w:tblStylePr>
  </w:style>
  <w:style w:type="table" w:styleId="ColorfulList-Accent6">
    <w:name w:val="Colorful List Accent 6"/>
    <w:basedOn w:val="TableNormal"/>
    <w:uiPriority w:val="72"/>
    <w:semiHidden/>
    <w:rsid w:val="00EE3EB6"/>
    <w:pPr>
      <w:spacing w:line="240" w:lineRule="auto"/>
    </w:pPr>
    <w:rPr>
      <w:color w:val="000000" w:themeColor="text1"/>
    </w:rPr>
    <w:tblPr>
      <w:tblStyleRowBandSize w:val="1"/>
      <w:tblStyleColBandSize w:val="1"/>
    </w:tblPr>
    <w:tcPr>
      <w:shd w:val="clear" w:color="auto" w:fill="F1F2F2" w:themeFill="accent6" w:themeFillTint="19"/>
    </w:tcPr>
    <w:tblStylePr w:type="firstRow">
      <w:rPr>
        <w:b/>
        <w:bCs/>
        <w:color w:val="FFFFFF" w:themeColor="background1"/>
      </w:rPr>
      <w:tblPr/>
      <w:tcPr>
        <w:tcBorders>
          <w:bottom w:val="single" w:sz="12" w:space="0" w:color="FFFFFF" w:themeColor="background1"/>
        </w:tcBorders>
        <w:shd w:val="clear" w:color="auto" w:fill="6A9F3D" w:themeFill="accent5" w:themeFillShade="CC"/>
      </w:tcPr>
    </w:tblStylePr>
    <w:tblStylePr w:type="lastRow">
      <w:rPr>
        <w:b/>
        <w:bCs/>
        <w:color w:val="6A9F3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FE0" w:themeFill="accent6" w:themeFillTint="3F"/>
      </w:tcPr>
    </w:tblStylePr>
    <w:tblStylePr w:type="band1Horz">
      <w:tblPr/>
      <w:tcPr>
        <w:shd w:val="clear" w:color="auto" w:fill="E3E5E6" w:themeFill="accent6" w:themeFillTint="33"/>
      </w:tcPr>
    </w:tblStylePr>
  </w:style>
  <w:style w:type="table" w:styleId="ColorfulShading">
    <w:name w:val="Colorful Shading"/>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8D487F" w:themeColor="accent1"/>
        <w:bottom w:val="single" w:sz="4" w:space="0" w:color="8D487F" w:themeColor="accent1"/>
        <w:right w:val="single" w:sz="4" w:space="0" w:color="8D487F" w:themeColor="accent1"/>
        <w:insideH w:val="single" w:sz="4" w:space="0" w:color="FFFFFF" w:themeColor="background1"/>
        <w:insideV w:val="single" w:sz="4" w:space="0" w:color="FFFFFF" w:themeColor="background1"/>
      </w:tblBorders>
    </w:tblPr>
    <w:tcPr>
      <w:shd w:val="clear" w:color="auto" w:fill="F5EBF3" w:themeFill="accen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2B4B" w:themeFill="accent1" w:themeFillShade="99"/>
      </w:tcPr>
    </w:tblStylePr>
    <w:tblStylePr w:type="firstCol">
      <w:rPr>
        <w:color w:val="FFFFFF" w:themeColor="background1"/>
      </w:rPr>
      <w:tblPr/>
      <w:tcPr>
        <w:tcBorders>
          <w:top w:val="nil"/>
          <w:left w:val="nil"/>
          <w:bottom w:val="nil"/>
          <w:right w:val="nil"/>
          <w:insideH w:val="single" w:sz="4" w:space="0" w:color="542B4B" w:themeColor="accent1" w:themeShade="99"/>
          <w:insideV w:val="nil"/>
        </w:tcBorders>
        <w:shd w:val="clear" w:color="auto" w:fill="542B4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42B4B" w:themeFill="accent1" w:themeFillShade="99"/>
      </w:tcPr>
    </w:tblStylePr>
    <w:tblStylePr w:type="band1Vert">
      <w:tblPr/>
      <w:tcPr>
        <w:shd w:val="clear" w:color="auto" w:fill="D6B0CE" w:themeFill="accent1" w:themeFillTint="66"/>
      </w:tcPr>
    </w:tblStylePr>
    <w:tblStylePr w:type="band1Horz">
      <w:tblPr/>
      <w:tcPr>
        <w:shd w:val="clear" w:color="auto" w:fill="CD9DC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C64E45" w:themeColor="accent2"/>
        <w:bottom w:val="single" w:sz="4" w:space="0" w:color="C64E45" w:themeColor="accent2"/>
        <w:right w:val="single" w:sz="4" w:space="0" w:color="C64E45" w:themeColor="accent2"/>
        <w:insideH w:val="single" w:sz="4" w:space="0" w:color="FFFFFF" w:themeColor="background1"/>
        <w:insideV w:val="single" w:sz="4" w:space="0" w:color="FFFFFF" w:themeColor="background1"/>
      </w:tblBorders>
    </w:tblPr>
    <w:tcPr>
      <w:shd w:val="clear" w:color="auto" w:fill="F9EDEC" w:themeFill="accent2"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2B25" w:themeFill="accent2" w:themeFillShade="99"/>
      </w:tcPr>
    </w:tblStylePr>
    <w:tblStylePr w:type="firstCol">
      <w:rPr>
        <w:color w:val="FFFFFF" w:themeColor="background1"/>
      </w:rPr>
      <w:tblPr/>
      <w:tcPr>
        <w:tcBorders>
          <w:top w:val="nil"/>
          <w:left w:val="nil"/>
          <w:bottom w:val="nil"/>
          <w:right w:val="nil"/>
          <w:insideH w:val="single" w:sz="4" w:space="0" w:color="7A2B25" w:themeColor="accent2" w:themeShade="99"/>
          <w:insideV w:val="nil"/>
        </w:tcBorders>
        <w:shd w:val="clear" w:color="auto" w:fill="7A2B2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A2B25" w:themeFill="accent2" w:themeFillShade="99"/>
      </w:tcPr>
    </w:tblStylePr>
    <w:tblStylePr w:type="band1Vert">
      <w:tblPr/>
      <w:tcPr>
        <w:shd w:val="clear" w:color="auto" w:fill="E8B7B4" w:themeFill="accent2" w:themeFillTint="66"/>
      </w:tcPr>
    </w:tblStylePr>
    <w:tblStylePr w:type="band1Horz">
      <w:tblPr/>
      <w:tcPr>
        <w:shd w:val="clear" w:color="auto" w:fill="E2A6A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EE3EB6"/>
    <w:pPr>
      <w:spacing w:line="240" w:lineRule="auto"/>
    </w:pPr>
    <w:rPr>
      <w:color w:val="000000" w:themeColor="text1"/>
    </w:rPr>
    <w:tblPr>
      <w:tblStyleRowBandSize w:val="1"/>
      <w:tblStyleColBandSize w:val="1"/>
      <w:tblBorders>
        <w:top w:val="single" w:sz="24" w:space="0" w:color="FCC648" w:themeColor="accent4"/>
        <w:left w:val="single" w:sz="4" w:space="0" w:color="F1873D" w:themeColor="accent3"/>
        <w:bottom w:val="single" w:sz="4" w:space="0" w:color="F1873D" w:themeColor="accent3"/>
        <w:right w:val="single" w:sz="4" w:space="0" w:color="F1873D" w:themeColor="accent3"/>
        <w:insideH w:val="single" w:sz="4" w:space="0" w:color="FFFFFF" w:themeColor="background1"/>
        <w:insideV w:val="single" w:sz="4" w:space="0" w:color="FFFFFF" w:themeColor="background1"/>
      </w:tblBorders>
    </w:tblPr>
    <w:tcPr>
      <w:shd w:val="clear" w:color="auto" w:fill="FDF3EB" w:themeFill="accent3" w:themeFillTint="19"/>
    </w:tcPr>
    <w:tblStylePr w:type="firstRow">
      <w:rPr>
        <w:b/>
        <w:bCs/>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4C0C" w:themeFill="accent3" w:themeFillShade="99"/>
      </w:tcPr>
    </w:tblStylePr>
    <w:tblStylePr w:type="firstCol">
      <w:rPr>
        <w:color w:val="FFFFFF" w:themeColor="background1"/>
      </w:rPr>
      <w:tblPr/>
      <w:tcPr>
        <w:tcBorders>
          <w:top w:val="nil"/>
          <w:left w:val="nil"/>
          <w:bottom w:val="nil"/>
          <w:right w:val="nil"/>
          <w:insideH w:val="single" w:sz="4" w:space="0" w:color="A84C0C" w:themeColor="accent3" w:themeShade="99"/>
          <w:insideV w:val="nil"/>
        </w:tcBorders>
        <w:shd w:val="clear" w:color="auto" w:fill="A84C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84C0C" w:themeFill="accent3" w:themeFillShade="99"/>
      </w:tcPr>
    </w:tblStylePr>
    <w:tblStylePr w:type="band1Vert">
      <w:tblPr/>
      <w:tcPr>
        <w:shd w:val="clear" w:color="auto" w:fill="F9CEB1" w:themeFill="accent3" w:themeFillTint="66"/>
      </w:tcPr>
    </w:tblStylePr>
    <w:tblStylePr w:type="band1Horz">
      <w:tblPr/>
      <w:tcPr>
        <w:shd w:val="clear" w:color="auto" w:fill="F8C29E" w:themeFill="accent3" w:themeFillTint="7F"/>
      </w:tcPr>
    </w:tblStylePr>
  </w:style>
  <w:style w:type="table" w:styleId="ColorfulShading-Accent4">
    <w:name w:val="Colorful Shading Accent 4"/>
    <w:basedOn w:val="TableNormal"/>
    <w:uiPriority w:val="71"/>
    <w:semiHidden/>
    <w:rsid w:val="00EE3EB6"/>
    <w:pPr>
      <w:spacing w:line="240" w:lineRule="auto"/>
    </w:pPr>
    <w:rPr>
      <w:color w:val="000000" w:themeColor="text1"/>
    </w:rPr>
    <w:tblPr>
      <w:tblStyleRowBandSize w:val="1"/>
      <w:tblStyleColBandSize w:val="1"/>
      <w:tblBorders>
        <w:top w:val="single" w:sz="24" w:space="0" w:color="F1873D" w:themeColor="accent3"/>
        <w:left w:val="single" w:sz="4" w:space="0" w:color="FCC648" w:themeColor="accent4"/>
        <w:bottom w:val="single" w:sz="4" w:space="0" w:color="FCC648" w:themeColor="accent4"/>
        <w:right w:val="single" w:sz="4" w:space="0" w:color="FCC648" w:themeColor="accent4"/>
        <w:insideH w:val="single" w:sz="4" w:space="0" w:color="FFFFFF" w:themeColor="background1"/>
        <w:insideV w:val="single" w:sz="4" w:space="0" w:color="FFFFFF" w:themeColor="background1"/>
      </w:tblBorders>
    </w:tblPr>
    <w:tcPr>
      <w:shd w:val="clear" w:color="auto" w:fill="FEF9EC" w:themeFill="accent4" w:themeFillTint="19"/>
    </w:tcPr>
    <w:tblStylePr w:type="firstRow">
      <w:rPr>
        <w:b/>
        <w:bCs/>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8603" w:themeFill="accent4" w:themeFillShade="99"/>
      </w:tcPr>
    </w:tblStylePr>
    <w:tblStylePr w:type="firstCol">
      <w:rPr>
        <w:color w:val="FFFFFF" w:themeColor="background1"/>
      </w:rPr>
      <w:tblPr/>
      <w:tcPr>
        <w:tcBorders>
          <w:top w:val="nil"/>
          <w:left w:val="nil"/>
          <w:bottom w:val="nil"/>
          <w:right w:val="nil"/>
          <w:insideH w:val="single" w:sz="4" w:space="0" w:color="BF8603" w:themeColor="accent4" w:themeShade="99"/>
          <w:insideV w:val="nil"/>
        </w:tcBorders>
        <w:shd w:val="clear" w:color="auto" w:fill="BF860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F8603" w:themeFill="accent4" w:themeFillShade="99"/>
      </w:tcPr>
    </w:tblStylePr>
    <w:tblStylePr w:type="band1Vert">
      <w:tblPr/>
      <w:tcPr>
        <w:shd w:val="clear" w:color="auto" w:fill="FDE7B5" w:themeFill="accent4" w:themeFillTint="66"/>
      </w:tcPr>
    </w:tblStylePr>
    <w:tblStylePr w:type="band1Horz">
      <w:tblPr/>
      <w:tcPr>
        <w:shd w:val="clear" w:color="auto" w:fill="FDE2A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EE3EB6"/>
    <w:pPr>
      <w:spacing w:line="240" w:lineRule="auto"/>
    </w:pPr>
    <w:rPr>
      <w:color w:val="000000" w:themeColor="text1"/>
    </w:rPr>
    <w:tblPr>
      <w:tblStyleRowBandSize w:val="1"/>
      <w:tblStyleColBandSize w:val="1"/>
      <w:tblBorders>
        <w:top w:val="single" w:sz="24" w:space="0" w:color="788183" w:themeColor="accent6"/>
        <w:left w:val="single" w:sz="4" w:space="0" w:color="86BE57" w:themeColor="accent5"/>
        <w:bottom w:val="single" w:sz="4" w:space="0" w:color="86BE57" w:themeColor="accent5"/>
        <w:right w:val="single" w:sz="4" w:space="0" w:color="86BE57" w:themeColor="accent5"/>
        <w:insideH w:val="single" w:sz="4" w:space="0" w:color="FFFFFF" w:themeColor="background1"/>
        <w:insideV w:val="single" w:sz="4" w:space="0" w:color="FFFFFF" w:themeColor="background1"/>
      </w:tblBorders>
    </w:tblPr>
    <w:tcPr>
      <w:shd w:val="clear" w:color="auto" w:fill="F3F8EE" w:themeFill="accent5" w:themeFillTint="19"/>
    </w:tcPr>
    <w:tblStylePr w:type="firstRow">
      <w:rPr>
        <w:b/>
        <w:bCs/>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72E" w:themeFill="accent5" w:themeFillShade="99"/>
      </w:tcPr>
    </w:tblStylePr>
    <w:tblStylePr w:type="firstCol">
      <w:rPr>
        <w:color w:val="FFFFFF" w:themeColor="background1"/>
      </w:rPr>
      <w:tblPr/>
      <w:tcPr>
        <w:tcBorders>
          <w:top w:val="nil"/>
          <w:left w:val="nil"/>
          <w:bottom w:val="nil"/>
          <w:right w:val="nil"/>
          <w:insideH w:val="single" w:sz="4" w:space="0" w:color="4F772E" w:themeColor="accent5" w:themeShade="99"/>
          <w:insideV w:val="nil"/>
        </w:tcBorders>
        <w:shd w:val="clear" w:color="auto" w:fill="4F772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F772E" w:themeFill="accent5" w:themeFillShade="99"/>
      </w:tcPr>
    </w:tblStylePr>
    <w:tblStylePr w:type="band1Vert">
      <w:tblPr/>
      <w:tcPr>
        <w:shd w:val="clear" w:color="auto" w:fill="CEE5BB" w:themeFill="accent5" w:themeFillTint="66"/>
      </w:tcPr>
    </w:tblStylePr>
    <w:tblStylePr w:type="band1Horz">
      <w:tblPr/>
      <w:tcPr>
        <w:shd w:val="clear" w:color="auto" w:fill="C2DEA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EE3EB6"/>
    <w:pPr>
      <w:spacing w:line="240" w:lineRule="auto"/>
    </w:pPr>
    <w:rPr>
      <w:color w:val="000000" w:themeColor="text1"/>
    </w:rPr>
    <w:tblPr>
      <w:tblStyleRowBandSize w:val="1"/>
      <w:tblStyleColBandSize w:val="1"/>
      <w:tblBorders>
        <w:top w:val="single" w:sz="24" w:space="0" w:color="86BE57" w:themeColor="accent5"/>
        <w:left w:val="single" w:sz="4" w:space="0" w:color="788183" w:themeColor="accent6"/>
        <w:bottom w:val="single" w:sz="4" w:space="0" w:color="788183" w:themeColor="accent6"/>
        <w:right w:val="single" w:sz="4" w:space="0" w:color="788183" w:themeColor="accent6"/>
        <w:insideH w:val="single" w:sz="4" w:space="0" w:color="FFFFFF" w:themeColor="background1"/>
        <w:insideV w:val="single" w:sz="4" w:space="0" w:color="FFFFFF" w:themeColor="background1"/>
      </w:tblBorders>
    </w:tblPr>
    <w:tcPr>
      <w:shd w:val="clear" w:color="auto" w:fill="F1F2F2" w:themeFill="accent6" w:themeFillTint="19"/>
    </w:tcPr>
    <w:tblStylePr w:type="firstRow">
      <w:rPr>
        <w:b/>
        <w:bCs/>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D4E" w:themeFill="accent6" w:themeFillShade="99"/>
      </w:tcPr>
    </w:tblStylePr>
    <w:tblStylePr w:type="firstCol">
      <w:rPr>
        <w:color w:val="FFFFFF" w:themeColor="background1"/>
      </w:rPr>
      <w:tblPr/>
      <w:tcPr>
        <w:tcBorders>
          <w:top w:val="nil"/>
          <w:left w:val="nil"/>
          <w:bottom w:val="nil"/>
          <w:right w:val="nil"/>
          <w:insideH w:val="single" w:sz="4" w:space="0" w:color="484D4E" w:themeColor="accent6" w:themeShade="99"/>
          <w:insideV w:val="nil"/>
        </w:tcBorders>
        <w:shd w:val="clear" w:color="auto" w:fill="484D4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D4E" w:themeFill="accent6" w:themeFillShade="99"/>
      </w:tcPr>
    </w:tblStylePr>
    <w:tblStylePr w:type="band1Vert">
      <w:tblPr/>
      <w:tcPr>
        <w:shd w:val="clear" w:color="auto" w:fill="C8CCCD" w:themeFill="accent6" w:themeFillTint="66"/>
      </w:tcPr>
    </w:tblStylePr>
    <w:tblStylePr w:type="band1Horz">
      <w:tblPr/>
      <w:tcPr>
        <w:shd w:val="clear" w:color="auto" w:fill="BBC0C1"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EE3EB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EE3EB6"/>
    <w:pPr>
      <w:spacing w:line="240" w:lineRule="auto"/>
    </w:pPr>
    <w:rPr>
      <w:color w:val="FFFFFF" w:themeColor="background1"/>
    </w:rPr>
    <w:tblPr>
      <w:tblStyleRowBandSize w:val="1"/>
      <w:tblStyleColBandSize w:val="1"/>
    </w:tblPr>
    <w:tcPr>
      <w:shd w:val="clear" w:color="auto" w:fill="8D487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243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9365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9365E" w:themeFill="accent1" w:themeFillShade="BF"/>
      </w:tcPr>
    </w:tblStylePr>
    <w:tblStylePr w:type="band1Vert">
      <w:tblPr/>
      <w:tcPr>
        <w:tcBorders>
          <w:top w:val="nil"/>
          <w:left w:val="nil"/>
          <w:bottom w:val="nil"/>
          <w:right w:val="nil"/>
          <w:insideH w:val="nil"/>
          <w:insideV w:val="nil"/>
        </w:tcBorders>
        <w:shd w:val="clear" w:color="auto" w:fill="69365E" w:themeFill="accent1" w:themeFillShade="BF"/>
      </w:tcPr>
    </w:tblStylePr>
    <w:tblStylePr w:type="band1Horz">
      <w:tblPr/>
      <w:tcPr>
        <w:tcBorders>
          <w:top w:val="nil"/>
          <w:left w:val="nil"/>
          <w:bottom w:val="nil"/>
          <w:right w:val="nil"/>
          <w:insideH w:val="nil"/>
          <w:insideV w:val="nil"/>
        </w:tcBorders>
        <w:shd w:val="clear" w:color="auto" w:fill="69365E" w:themeFill="accent1" w:themeFillShade="BF"/>
      </w:tcPr>
    </w:tblStylePr>
  </w:style>
  <w:style w:type="table" w:styleId="DarkList-Accent2">
    <w:name w:val="Dark List Accent 2"/>
    <w:basedOn w:val="TableNormal"/>
    <w:uiPriority w:val="70"/>
    <w:semiHidden/>
    <w:rsid w:val="00EE3EB6"/>
    <w:pPr>
      <w:spacing w:line="240" w:lineRule="auto"/>
    </w:pPr>
    <w:rPr>
      <w:color w:val="FFFFFF" w:themeColor="background1"/>
    </w:rPr>
    <w:tblPr>
      <w:tblStyleRowBandSize w:val="1"/>
      <w:tblStyleColBandSize w:val="1"/>
    </w:tblPr>
    <w:tcPr>
      <w:shd w:val="clear" w:color="auto" w:fill="C64E4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5231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8362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8362F" w:themeFill="accent2" w:themeFillShade="BF"/>
      </w:tcPr>
    </w:tblStylePr>
    <w:tblStylePr w:type="band1Vert">
      <w:tblPr/>
      <w:tcPr>
        <w:tcBorders>
          <w:top w:val="nil"/>
          <w:left w:val="nil"/>
          <w:bottom w:val="nil"/>
          <w:right w:val="nil"/>
          <w:insideH w:val="nil"/>
          <w:insideV w:val="nil"/>
        </w:tcBorders>
        <w:shd w:val="clear" w:color="auto" w:fill="98362F" w:themeFill="accent2" w:themeFillShade="BF"/>
      </w:tcPr>
    </w:tblStylePr>
    <w:tblStylePr w:type="band1Horz">
      <w:tblPr/>
      <w:tcPr>
        <w:tcBorders>
          <w:top w:val="nil"/>
          <w:left w:val="nil"/>
          <w:bottom w:val="nil"/>
          <w:right w:val="nil"/>
          <w:insideH w:val="nil"/>
          <w:insideV w:val="nil"/>
        </w:tcBorders>
        <w:shd w:val="clear" w:color="auto" w:fill="98362F" w:themeFill="accent2" w:themeFillShade="BF"/>
      </w:tcPr>
    </w:tblStylePr>
  </w:style>
  <w:style w:type="table" w:styleId="DarkList-Accent3">
    <w:name w:val="Dark List Accent 3"/>
    <w:basedOn w:val="TableNormal"/>
    <w:uiPriority w:val="70"/>
    <w:semiHidden/>
    <w:rsid w:val="00EE3EB6"/>
    <w:pPr>
      <w:spacing w:line="240" w:lineRule="auto"/>
    </w:pPr>
    <w:rPr>
      <w:color w:val="FFFFFF" w:themeColor="background1"/>
    </w:rPr>
    <w:tblPr>
      <w:tblStyleRowBandSize w:val="1"/>
      <w:tblStyleColBandSize w:val="1"/>
    </w:tblPr>
    <w:tcPr>
      <w:shd w:val="clear" w:color="auto" w:fill="F1873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3F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25E0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25E0F" w:themeFill="accent3" w:themeFillShade="BF"/>
      </w:tcPr>
    </w:tblStylePr>
    <w:tblStylePr w:type="band1Vert">
      <w:tblPr/>
      <w:tcPr>
        <w:tcBorders>
          <w:top w:val="nil"/>
          <w:left w:val="nil"/>
          <w:bottom w:val="nil"/>
          <w:right w:val="nil"/>
          <w:insideH w:val="nil"/>
          <w:insideV w:val="nil"/>
        </w:tcBorders>
        <w:shd w:val="clear" w:color="auto" w:fill="D25E0F" w:themeFill="accent3" w:themeFillShade="BF"/>
      </w:tcPr>
    </w:tblStylePr>
    <w:tblStylePr w:type="band1Horz">
      <w:tblPr/>
      <w:tcPr>
        <w:tcBorders>
          <w:top w:val="nil"/>
          <w:left w:val="nil"/>
          <w:bottom w:val="nil"/>
          <w:right w:val="nil"/>
          <w:insideH w:val="nil"/>
          <w:insideV w:val="nil"/>
        </w:tcBorders>
        <w:shd w:val="clear" w:color="auto" w:fill="D25E0F" w:themeFill="accent3" w:themeFillShade="BF"/>
      </w:tcPr>
    </w:tblStylePr>
  </w:style>
  <w:style w:type="table" w:styleId="DarkList-Accent4">
    <w:name w:val="Dark List Accent 4"/>
    <w:basedOn w:val="TableNormal"/>
    <w:uiPriority w:val="70"/>
    <w:semiHidden/>
    <w:rsid w:val="00EE3EB6"/>
    <w:pPr>
      <w:spacing w:line="240" w:lineRule="auto"/>
    </w:pPr>
    <w:rPr>
      <w:color w:val="FFFFFF" w:themeColor="background1"/>
    </w:rPr>
    <w:tblPr>
      <w:tblStyleRowBandSize w:val="1"/>
      <w:tblStyleColBandSize w:val="1"/>
    </w:tblPr>
    <w:tcPr>
      <w:shd w:val="clear" w:color="auto" w:fill="FCC64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E6F0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EA70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EA704" w:themeFill="accent4" w:themeFillShade="BF"/>
      </w:tcPr>
    </w:tblStylePr>
    <w:tblStylePr w:type="band1Vert">
      <w:tblPr/>
      <w:tcPr>
        <w:tcBorders>
          <w:top w:val="nil"/>
          <w:left w:val="nil"/>
          <w:bottom w:val="nil"/>
          <w:right w:val="nil"/>
          <w:insideH w:val="nil"/>
          <w:insideV w:val="nil"/>
        </w:tcBorders>
        <w:shd w:val="clear" w:color="auto" w:fill="EEA704" w:themeFill="accent4" w:themeFillShade="BF"/>
      </w:tcPr>
    </w:tblStylePr>
    <w:tblStylePr w:type="band1Horz">
      <w:tblPr/>
      <w:tcPr>
        <w:tcBorders>
          <w:top w:val="nil"/>
          <w:left w:val="nil"/>
          <w:bottom w:val="nil"/>
          <w:right w:val="nil"/>
          <w:insideH w:val="nil"/>
          <w:insideV w:val="nil"/>
        </w:tcBorders>
        <w:shd w:val="clear" w:color="auto" w:fill="EEA704" w:themeFill="accent4" w:themeFillShade="BF"/>
      </w:tcPr>
    </w:tblStylePr>
  </w:style>
  <w:style w:type="table" w:styleId="DarkList-Accent5">
    <w:name w:val="Dark List Accent 5"/>
    <w:basedOn w:val="TableNormal"/>
    <w:uiPriority w:val="70"/>
    <w:semiHidden/>
    <w:rsid w:val="00EE3EB6"/>
    <w:pPr>
      <w:spacing w:line="240" w:lineRule="auto"/>
    </w:pPr>
    <w:rPr>
      <w:color w:val="FFFFFF" w:themeColor="background1"/>
    </w:rPr>
    <w:tblPr>
      <w:tblStyleRowBandSize w:val="1"/>
      <w:tblStyleColBandSize w:val="1"/>
    </w:tblPr>
    <w:tcPr>
      <w:shd w:val="clear" w:color="auto" w:fill="86BE5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632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3953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3953A" w:themeFill="accent5" w:themeFillShade="BF"/>
      </w:tcPr>
    </w:tblStylePr>
    <w:tblStylePr w:type="band1Vert">
      <w:tblPr/>
      <w:tcPr>
        <w:tcBorders>
          <w:top w:val="nil"/>
          <w:left w:val="nil"/>
          <w:bottom w:val="nil"/>
          <w:right w:val="nil"/>
          <w:insideH w:val="nil"/>
          <w:insideV w:val="nil"/>
        </w:tcBorders>
        <w:shd w:val="clear" w:color="auto" w:fill="63953A" w:themeFill="accent5" w:themeFillShade="BF"/>
      </w:tcPr>
    </w:tblStylePr>
    <w:tblStylePr w:type="band1Horz">
      <w:tblPr/>
      <w:tcPr>
        <w:tcBorders>
          <w:top w:val="nil"/>
          <w:left w:val="nil"/>
          <w:bottom w:val="nil"/>
          <w:right w:val="nil"/>
          <w:insideH w:val="nil"/>
          <w:insideV w:val="nil"/>
        </w:tcBorders>
        <w:shd w:val="clear" w:color="auto" w:fill="63953A" w:themeFill="accent5" w:themeFillShade="BF"/>
      </w:tcPr>
    </w:tblStylePr>
  </w:style>
  <w:style w:type="table" w:styleId="DarkList-Accent6">
    <w:name w:val="Dark List Accent 6"/>
    <w:basedOn w:val="TableNormal"/>
    <w:uiPriority w:val="70"/>
    <w:semiHidden/>
    <w:rsid w:val="00EE3EB6"/>
    <w:pPr>
      <w:spacing w:line="240" w:lineRule="auto"/>
    </w:pPr>
    <w:rPr>
      <w:color w:val="FFFFFF" w:themeColor="background1"/>
    </w:rPr>
    <w:tblPr>
      <w:tblStyleRowBandSize w:val="1"/>
      <w:tblStyleColBandSize w:val="1"/>
    </w:tblPr>
    <w:tcPr>
      <w:shd w:val="clear" w:color="auto" w:fill="78818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04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606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6062" w:themeFill="accent6" w:themeFillShade="BF"/>
      </w:tcPr>
    </w:tblStylePr>
    <w:tblStylePr w:type="band1Vert">
      <w:tblPr/>
      <w:tcPr>
        <w:tcBorders>
          <w:top w:val="nil"/>
          <w:left w:val="nil"/>
          <w:bottom w:val="nil"/>
          <w:right w:val="nil"/>
          <w:insideH w:val="nil"/>
          <w:insideV w:val="nil"/>
        </w:tcBorders>
        <w:shd w:val="clear" w:color="auto" w:fill="5A6062" w:themeFill="accent6" w:themeFillShade="BF"/>
      </w:tcPr>
    </w:tblStylePr>
    <w:tblStylePr w:type="band1Horz">
      <w:tblPr/>
      <w:tcPr>
        <w:tcBorders>
          <w:top w:val="nil"/>
          <w:left w:val="nil"/>
          <w:bottom w:val="nil"/>
          <w:right w:val="nil"/>
          <w:insideH w:val="nil"/>
          <w:insideV w:val="nil"/>
        </w:tcBorders>
        <w:shd w:val="clear" w:color="auto" w:fill="5A6062" w:themeFill="accent6" w:themeFillShade="BF"/>
      </w:tcPr>
    </w:tblStylePr>
  </w:style>
  <w:style w:type="table" w:customStyle="1" w:styleId="GridTable1Light1">
    <w:name w:val="Grid Table 1 Light1"/>
    <w:basedOn w:val="TableNormal"/>
    <w:uiPriority w:val="46"/>
    <w:semiHidden/>
    <w:rsid w:val="00EE3EB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EE3EB6"/>
    <w:pPr>
      <w:spacing w:line="240" w:lineRule="auto"/>
    </w:pPr>
    <w:tblPr>
      <w:tblStyleRowBandSize w:val="1"/>
      <w:tblStyleColBandSize w:val="1"/>
      <w:tblBorders>
        <w:top w:val="single" w:sz="4" w:space="0" w:color="D6B0CE" w:themeColor="accent1" w:themeTint="66"/>
        <w:left w:val="single" w:sz="4" w:space="0" w:color="D6B0CE" w:themeColor="accent1" w:themeTint="66"/>
        <w:bottom w:val="single" w:sz="4" w:space="0" w:color="D6B0CE" w:themeColor="accent1" w:themeTint="66"/>
        <w:right w:val="single" w:sz="4" w:space="0" w:color="D6B0CE" w:themeColor="accent1" w:themeTint="66"/>
        <w:insideH w:val="single" w:sz="4" w:space="0" w:color="D6B0CE" w:themeColor="accent1" w:themeTint="66"/>
        <w:insideV w:val="single" w:sz="4" w:space="0" w:color="D6B0CE" w:themeColor="accent1" w:themeTint="66"/>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2" w:space="0" w:color="C288B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EE3EB6"/>
    <w:pPr>
      <w:spacing w:line="240" w:lineRule="auto"/>
    </w:pPr>
    <w:tblPr>
      <w:tblStyleRowBandSize w:val="1"/>
      <w:tblStyleColBandSize w:val="1"/>
      <w:tblBorders>
        <w:top w:val="single" w:sz="4" w:space="0" w:color="E8B7B4" w:themeColor="accent2" w:themeTint="66"/>
        <w:left w:val="single" w:sz="4" w:space="0" w:color="E8B7B4" w:themeColor="accent2" w:themeTint="66"/>
        <w:bottom w:val="single" w:sz="4" w:space="0" w:color="E8B7B4" w:themeColor="accent2" w:themeTint="66"/>
        <w:right w:val="single" w:sz="4" w:space="0" w:color="E8B7B4" w:themeColor="accent2" w:themeTint="66"/>
        <w:insideH w:val="single" w:sz="4" w:space="0" w:color="E8B7B4" w:themeColor="accent2" w:themeTint="66"/>
        <w:insideV w:val="single" w:sz="4" w:space="0" w:color="E8B7B4" w:themeColor="accent2" w:themeTint="66"/>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2" w:space="0" w:color="DC948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EE3EB6"/>
    <w:pPr>
      <w:spacing w:line="240" w:lineRule="auto"/>
    </w:pPr>
    <w:tblPr>
      <w:tblStyleRowBandSize w:val="1"/>
      <w:tblStyleColBandSize w:val="1"/>
      <w:tblBorders>
        <w:top w:val="single" w:sz="4" w:space="0" w:color="F9CEB1" w:themeColor="accent3" w:themeTint="66"/>
        <w:left w:val="single" w:sz="4" w:space="0" w:color="F9CEB1" w:themeColor="accent3" w:themeTint="66"/>
        <w:bottom w:val="single" w:sz="4" w:space="0" w:color="F9CEB1" w:themeColor="accent3" w:themeTint="66"/>
        <w:right w:val="single" w:sz="4" w:space="0" w:color="F9CEB1" w:themeColor="accent3" w:themeTint="66"/>
        <w:insideH w:val="single" w:sz="4" w:space="0" w:color="F9CEB1" w:themeColor="accent3" w:themeTint="66"/>
        <w:insideV w:val="single" w:sz="4" w:space="0" w:color="F9CEB1" w:themeColor="accent3" w:themeTint="66"/>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2" w:space="0" w:color="F6B68A"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EE3EB6"/>
    <w:pPr>
      <w:spacing w:line="240" w:lineRule="auto"/>
    </w:pPr>
    <w:tblPr>
      <w:tblStyleRowBandSize w:val="1"/>
      <w:tblStyleColBandSize w:val="1"/>
      <w:tblBorders>
        <w:top w:val="single" w:sz="4" w:space="0" w:color="FDE7B5" w:themeColor="accent4" w:themeTint="66"/>
        <w:left w:val="single" w:sz="4" w:space="0" w:color="FDE7B5" w:themeColor="accent4" w:themeTint="66"/>
        <w:bottom w:val="single" w:sz="4" w:space="0" w:color="FDE7B5" w:themeColor="accent4" w:themeTint="66"/>
        <w:right w:val="single" w:sz="4" w:space="0" w:color="FDE7B5" w:themeColor="accent4" w:themeTint="66"/>
        <w:insideH w:val="single" w:sz="4" w:space="0" w:color="FDE7B5" w:themeColor="accent4" w:themeTint="66"/>
        <w:insideV w:val="single" w:sz="4" w:space="0" w:color="FDE7B5" w:themeColor="accent4" w:themeTint="66"/>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2" w:space="0" w:color="FDDC9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EE3EB6"/>
    <w:pPr>
      <w:spacing w:line="240" w:lineRule="auto"/>
    </w:pPr>
    <w:tblPr>
      <w:tblStyleRowBandSize w:val="1"/>
      <w:tblStyleColBandSize w:val="1"/>
      <w:tblBorders>
        <w:top w:val="single" w:sz="4" w:space="0" w:color="CEE5BB" w:themeColor="accent5" w:themeTint="66"/>
        <w:left w:val="single" w:sz="4" w:space="0" w:color="CEE5BB" w:themeColor="accent5" w:themeTint="66"/>
        <w:bottom w:val="single" w:sz="4" w:space="0" w:color="CEE5BB" w:themeColor="accent5" w:themeTint="66"/>
        <w:right w:val="single" w:sz="4" w:space="0" w:color="CEE5BB" w:themeColor="accent5" w:themeTint="66"/>
        <w:insideH w:val="single" w:sz="4" w:space="0" w:color="CEE5BB" w:themeColor="accent5" w:themeTint="66"/>
        <w:insideV w:val="single" w:sz="4" w:space="0" w:color="CEE5BB" w:themeColor="accent5" w:themeTint="66"/>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2" w:space="0" w:color="B6D89A"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EE3EB6"/>
    <w:pPr>
      <w:spacing w:line="240" w:lineRule="auto"/>
    </w:pPr>
    <w:tblPr>
      <w:tblStyleRowBandSize w:val="1"/>
      <w:tblStyleColBandSize w:val="1"/>
      <w:tblBorders>
        <w:top w:val="single" w:sz="4" w:space="0" w:color="C8CCCD" w:themeColor="accent6" w:themeTint="66"/>
        <w:left w:val="single" w:sz="4" w:space="0" w:color="C8CCCD" w:themeColor="accent6" w:themeTint="66"/>
        <w:bottom w:val="single" w:sz="4" w:space="0" w:color="C8CCCD" w:themeColor="accent6" w:themeTint="66"/>
        <w:right w:val="single" w:sz="4" w:space="0" w:color="C8CCCD" w:themeColor="accent6" w:themeTint="66"/>
        <w:insideH w:val="single" w:sz="4" w:space="0" w:color="C8CCCD" w:themeColor="accent6" w:themeTint="66"/>
        <w:insideV w:val="single" w:sz="4" w:space="0" w:color="C8CCCD" w:themeColor="accent6" w:themeTint="66"/>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2" w:space="0" w:color="ADB3B4"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EE3EB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semiHidden/>
    <w:rsid w:val="00EE3EB6"/>
    <w:pPr>
      <w:spacing w:line="240" w:lineRule="auto"/>
    </w:pPr>
    <w:tblPr>
      <w:tblStyleRowBandSize w:val="1"/>
      <w:tblStyleColBandSize w:val="1"/>
      <w:tblBorders>
        <w:top w:val="single" w:sz="2" w:space="0" w:color="C288B7" w:themeColor="accent1" w:themeTint="99"/>
        <w:bottom w:val="single" w:sz="2" w:space="0" w:color="C288B7" w:themeColor="accent1" w:themeTint="99"/>
        <w:insideH w:val="single" w:sz="2" w:space="0" w:color="C288B7" w:themeColor="accent1" w:themeTint="99"/>
        <w:insideV w:val="single" w:sz="2" w:space="0" w:color="C288B7" w:themeColor="accent1" w:themeTint="99"/>
      </w:tblBorders>
    </w:tblPr>
    <w:tblStylePr w:type="firstRow">
      <w:rPr>
        <w:b/>
        <w:bCs/>
      </w:rPr>
      <w:tblPr/>
      <w:tcPr>
        <w:tcBorders>
          <w:top w:val="nil"/>
          <w:bottom w:val="single" w:sz="12" w:space="0" w:color="C288B7" w:themeColor="accent1" w:themeTint="99"/>
          <w:insideH w:val="nil"/>
          <w:insideV w:val="nil"/>
        </w:tcBorders>
        <w:shd w:val="clear" w:color="auto" w:fill="FFFFFF" w:themeFill="background1"/>
      </w:tcPr>
    </w:tblStylePr>
    <w:tblStylePr w:type="lastRow">
      <w:rPr>
        <w:b/>
        <w:bCs/>
      </w:rPr>
      <w:tblPr/>
      <w:tcPr>
        <w:tcBorders>
          <w:top w:val="double" w:sz="2" w:space="0" w:color="C288B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2-Accent21">
    <w:name w:val="Grid Table 2 - Accent 21"/>
    <w:basedOn w:val="TableNormal"/>
    <w:uiPriority w:val="47"/>
    <w:semiHidden/>
    <w:rsid w:val="00EE3EB6"/>
    <w:pPr>
      <w:spacing w:line="240" w:lineRule="auto"/>
    </w:pPr>
    <w:tblPr>
      <w:tblStyleRowBandSize w:val="1"/>
      <w:tblStyleColBandSize w:val="1"/>
      <w:tblBorders>
        <w:top w:val="single" w:sz="2" w:space="0" w:color="DC948F" w:themeColor="accent2" w:themeTint="99"/>
        <w:bottom w:val="single" w:sz="2" w:space="0" w:color="DC948F" w:themeColor="accent2" w:themeTint="99"/>
        <w:insideH w:val="single" w:sz="2" w:space="0" w:color="DC948F" w:themeColor="accent2" w:themeTint="99"/>
        <w:insideV w:val="single" w:sz="2" w:space="0" w:color="DC948F" w:themeColor="accent2" w:themeTint="99"/>
      </w:tblBorders>
    </w:tblPr>
    <w:tblStylePr w:type="firstRow">
      <w:rPr>
        <w:b/>
        <w:bCs/>
      </w:rPr>
      <w:tblPr/>
      <w:tcPr>
        <w:tcBorders>
          <w:top w:val="nil"/>
          <w:bottom w:val="single" w:sz="12" w:space="0" w:color="DC948F" w:themeColor="accent2" w:themeTint="99"/>
          <w:insideH w:val="nil"/>
          <w:insideV w:val="nil"/>
        </w:tcBorders>
        <w:shd w:val="clear" w:color="auto" w:fill="FFFFFF" w:themeFill="background1"/>
      </w:tcPr>
    </w:tblStylePr>
    <w:tblStylePr w:type="lastRow">
      <w:rPr>
        <w:b/>
        <w:bCs/>
      </w:rPr>
      <w:tblPr/>
      <w:tcPr>
        <w:tcBorders>
          <w:top w:val="double" w:sz="2" w:space="0" w:color="DC948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2-Accent31">
    <w:name w:val="Grid Table 2 - Accent 31"/>
    <w:basedOn w:val="TableNormal"/>
    <w:uiPriority w:val="47"/>
    <w:semiHidden/>
    <w:rsid w:val="00EE3EB6"/>
    <w:pPr>
      <w:spacing w:line="240" w:lineRule="auto"/>
    </w:pPr>
    <w:tblPr>
      <w:tblStyleRowBandSize w:val="1"/>
      <w:tblStyleColBandSize w:val="1"/>
      <w:tblBorders>
        <w:top w:val="single" w:sz="2" w:space="0" w:color="F6B68A" w:themeColor="accent3" w:themeTint="99"/>
        <w:bottom w:val="single" w:sz="2" w:space="0" w:color="F6B68A" w:themeColor="accent3" w:themeTint="99"/>
        <w:insideH w:val="single" w:sz="2" w:space="0" w:color="F6B68A" w:themeColor="accent3" w:themeTint="99"/>
        <w:insideV w:val="single" w:sz="2" w:space="0" w:color="F6B68A" w:themeColor="accent3" w:themeTint="99"/>
      </w:tblBorders>
    </w:tblPr>
    <w:tblStylePr w:type="firstRow">
      <w:rPr>
        <w:b/>
        <w:bCs/>
      </w:rPr>
      <w:tblPr/>
      <w:tcPr>
        <w:tcBorders>
          <w:top w:val="nil"/>
          <w:bottom w:val="single" w:sz="12" w:space="0" w:color="F6B68A" w:themeColor="accent3" w:themeTint="99"/>
          <w:insideH w:val="nil"/>
          <w:insideV w:val="nil"/>
        </w:tcBorders>
        <w:shd w:val="clear" w:color="auto" w:fill="FFFFFF" w:themeFill="background1"/>
      </w:tcPr>
    </w:tblStylePr>
    <w:tblStylePr w:type="lastRow">
      <w:rPr>
        <w:b/>
        <w:bCs/>
      </w:rPr>
      <w:tblPr/>
      <w:tcPr>
        <w:tcBorders>
          <w:top w:val="double" w:sz="2" w:space="0" w:color="F6B68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2-Accent41">
    <w:name w:val="Grid Table 2 - Accent 41"/>
    <w:basedOn w:val="TableNormal"/>
    <w:uiPriority w:val="47"/>
    <w:semiHidden/>
    <w:rsid w:val="00EE3EB6"/>
    <w:pPr>
      <w:spacing w:line="240" w:lineRule="auto"/>
    </w:pPr>
    <w:tblPr>
      <w:tblStyleRowBandSize w:val="1"/>
      <w:tblStyleColBandSize w:val="1"/>
      <w:tblBorders>
        <w:top w:val="single" w:sz="2" w:space="0" w:color="FDDC91" w:themeColor="accent4" w:themeTint="99"/>
        <w:bottom w:val="single" w:sz="2" w:space="0" w:color="FDDC91" w:themeColor="accent4" w:themeTint="99"/>
        <w:insideH w:val="single" w:sz="2" w:space="0" w:color="FDDC91" w:themeColor="accent4" w:themeTint="99"/>
        <w:insideV w:val="single" w:sz="2" w:space="0" w:color="FDDC91" w:themeColor="accent4" w:themeTint="99"/>
      </w:tblBorders>
    </w:tblPr>
    <w:tblStylePr w:type="firstRow">
      <w:rPr>
        <w:b/>
        <w:bCs/>
      </w:rPr>
      <w:tblPr/>
      <w:tcPr>
        <w:tcBorders>
          <w:top w:val="nil"/>
          <w:bottom w:val="single" w:sz="12" w:space="0" w:color="FDDC91" w:themeColor="accent4" w:themeTint="99"/>
          <w:insideH w:val="nil"/>
          <w:insideV w:val="nil"/>
        </w:tcBorders>
        <w:shd w:val="clear" w:color="auto" w:fill="FFFFFF" w:themeFill="background1"/>
      </w:tcPr>
    </w:tblStylePr>
    <w:tblStylePr w:type="lastRow">
      <w:rPr>
        <w:b/>
        <w:bCs/>
      </w:rPr>
      <w:tblPr/>
      <w:tcPr>
        <w:tcBorders>
          <w:top w:val="double" w:sz="2" w:space="0" w:color="FDDC9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2-Accent51">
    <w:name w:val="Grid Table 2 - Accent 51"/>
    <w:basedOn w:val="TableNormal"/>
    <w:uiPriority w:val="47"/>
    <w:semiHidden/>
    <w:rsid w:val="00EE3EB6"/>
    <w:pPr>
      <w:spacing w:line="240" w:lineRule="auto"/>
    </w:pPr>
    <w:tblPr>
      <w:tblStyleRowBandSize w:val="1"/>
      <w:tblStyleColBandSize w:val="1"/>
      <w:tblBorders>
        <w:top w:val="single" w:sz="2" w:space="0" w:color="B6D89A" w:themeColor="accent5" w:themeTint="99"/>
        <w:bottom w:val="single" w:sz="2" w:space="0" w:color="B6D89A" w:themeColor="accent5" w:themeTint="99"/>
        <w:insideH w:val="single" w:sz="2" w:space="0" w:color="B6D89A" w:themeColor="accent5" w:themeTint="99"/>
        <w:insideV w:val="single" w:sz="2" w:space="0" w:color="B6D89A" w:themeColor="accent5" w:themeTint="99"/>
      </w:tblBorders>
    </w:tblPr>
    <w:tblStylePr w:type="firstRow">
      <w:rPr>
        <w:b/>
        <w:bCs/>
      </w:rPr>
      <w:tblPr/>
      <w:tcPr>
        <w:tcBorders>
          <w:top w:val="nil"/>
          <w:bottom w:val="single" w:sz="12" w:space="0" w:color="B6D89A" w:themeColor="accent5" w:themeTint="99"/>
          <w:insideH w:val="nil"/>
          <w:insideV w:val="nil"/>
        </w:tcBorders>
        <w:shd w:val="clear" w:color="auto" w:fill="FFFFFF" w:themeFill="background1"/>
      </w:tcPr>
    </w:tblStylePr>
    <w:tblStylePr w:type="lastRow">
      <w:rPr>
        <w:b/>
        <w:bCs/>
      </w:rPr>
      <w:tblPr/>
      <w:tcPr>
        <w:tcBorders>
          <w:top w:val="double" w:sz="2" w:space="0" w:color="B6D89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2-Accent61">
    <w:name w:val="Grid Table 2 - Accent 61"/>
    <w:basedOn w:val="TableNormal"/>
    <w:uiPriority w:val="47"/>
    <w:semiHidden/>
    <w:rsid w:val="00EE3EB6"/>
    <w:pPr>
      <w:spacing w:line="240" w:lineRule="auto"/>
    </w:pPr>
    <w:tblPr>
      <w:tblStyleRowBandSize w:val="1"/>
      <w:tblStyleColBandSize w:val="1"/>
      <w:tblBorders>
        <w:top w:val="single" w:sz="2" w:space="0" w:color="ADB3B4" w:themeColor="accent6" w:themeTint="99"/>
        <w:bottom w:val="single" w:sz="2" w:space="0" w:color="ADB3B4" w:themeColor="accent6" w:themeTint="99"/>
        <w:insideH w:val="single" w:sz="2" w:space="0" w:color="ADB3B4" w:themeColor="accent6" w:themeTint="99"/>
        <w:insideV w:val="single" w:sz="2" w:space="0" w:color="ADB3B4" w:themeColor="accent6" w:themeTint="99"/>
      </w:tblBorders>
    </w:tblPr>
    <w:tblStylePr w:type="firstRow">
      <w:rPr>
        <w:b/>
        <w:bCs/>
      </w:rPr>
      <w:tblPr/>
      <w:tcPr>
        <w:tcBorders>
          <w:top w:val="nil"/>
          <w:bottom w:val="single" w:sz="12" w:space="0" w:color="ADB3B4" w:themeColor="accent6" w:themeTint="99"/>
          <w:insideH w:val="nil"/>
          <w:insideV w:val="nil"/>
        </w:tcBorders>
        <w:shd w:val="clear" w:color="auto" w:fill="FFFFFF" w:themeFill="background1"/>
      </w:tcPr>
    </w:tblStylePr>
    <w:tblStylePr w:type="lastRow">
      <w:rPr>
        <w:b/>
        <w:bCs/>
      </w:rPr>
      <w:tblPr/>
      <w:tcPr>
        <w:tcBorders>
          <w:top w:val="double" w:sz="2" w:space="0" w:color="ADB3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31">
    <w:name w:val="Grid Table 31"/>
    <w:basedOn w:val="TableNormal"/>
    <w:uiPriority w:val="48"/>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3-Accent21">
    <w:name w:val="Grid Table 3 - Accent 21"/>
    <w:basedOn w:val="TableNormal"/>
    <w:uiPriority w:val="48"/>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3-Accent31">
    <w:name w:val="Grid Table 3 - Accent 31"/>
    <w:basedOn w:val="TableNormal"/>
    <w:uiPriority w:val="48"/>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3-Accent41">
    <w:name w:val="Grid Table 3 - Accent 41"/>
    <w:basedOn w:val="TableNormal"/>
    <w:uiPriority w:val="48"/>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3-Accent51">
    <w:name w:val="Grid Table 3 - Accent 51"/>
    <w:basedOn w:val="TableNormal"/>
    <w:uiPriority w:val="48"/>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3-Accent61">
    <w:name w:val="Grid Table 3 - Accent 61"/>
    <w:basedOn w:val="TableNormal"/>
    <w:uiPriority w:val="48"/>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customStyle="1" w:styleId="GridTable41">
    <w:name w:val="Grid Table 41"/>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insideV w:val="nil"/>
        </w:tcBorders>
        <w:shd w:val="clear" w:color="auto" w:fill="8D487F" w:themeFill="accent1"/>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4-Accent21">
    <w:name w:val="Grid Table 4 - Accent 21"/>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insideV w:val="nil"/>
        </w:tcBorders>
        <w:shd w:val="clear" w:color="auto" w:fill="C64E45" w:themeFill="accent2"/>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4-Accent31">
    <w:name w:val="Grid Table 4 - Accent 31"/>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insideV w:val="nil"/>
        </w:tcBorders>
        <w:shd w:val="clear" w:color="auto" w:fill="F1873D" w:themeFill="accent3"/>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4-Accent41">
    <w:name w:val="Grid Table 4 - Accent 41"/>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insideV w:val="nil"/>
        </w:tcBorders>
        <w:shd w:val="clear" w:color="auto" w:fill="FCC648" w:themeFill="accent4"/>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4-Accent51">
    <w:name w:val="Grid Table 4 - Accent 51"/>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insideV w:val="nil"/>
        </w:tcBorders>
        <w:shd w:val="clear" w:color="auto" w:fill="86BE57" w:themeFill="accent5"/>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4-Accent61">
    <w:name w:val="Grid Table 4 - Accent 61"/>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insideV w:val="nil"/>
        </w:tcBorders>
        <w:shd w:val="clear" w:color="auto" w:fill="788183" w:themeFill="accent6"/>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5Dark1">
    <w:name w:val="Grid Table 5 Dark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7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48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48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48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487F" w:themeFill="accent1"/>
      </w:tcPr>
    </w:tblStylePr>
    <w:tblStylePr w:type="band1Vert">
      <w:tblPr/>
      <w:tcPr>
        <w:shd w:val="clear" w:color="auto" w:fill="D6B0CE" w:themeFill="accent1" w:themeFillTint="66"/>
      </w:tcPr>
    </w:tblStylePr>
    <w:tblStylePr w:type="band1Horz">
      <w:tblPr/>
      <w:tcPr>
        <w:shd w:val="clear" w:color="auto" w:fill="D6B0CE" w:themeFill="accent1" w:themeFillTint="66"/>
      </w:tcPr>
    </w:tblStylePr>
  </w:style>
  <w:style w:type="table" w:customStyle="1" w:styleId="GridTable5Dark-Accent21">
    <w:name w:val="Grid Table 5 Dark - Accent 2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B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4E4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4E4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4E4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4E45" w:themeFill="accent2"/>
      </w:tcPr>
    </w:tblStylePr>
    <w:tblStylePr w:type="band1Vert">
      <w:tblPr/>
      <w:tcPr>
        <w:shd w:val="clear" w:color="auto" w:fill="E8B7B4" w:themeFill="accent2" w:themeFillTint="66"/>
      </w:tcPr>
    </w:tblStylePr>
    <w:tblStylePr w:type="band1Horz">
      <w:tblPr/>
      <w:tcPr>
        <w:shd w:val="clear" w:color="auto" w:fill="E8B7B4" w:themeFill="accent2" w:themeFillTint="66"/>
      </w:tcPr>
    </w:tblStylePr>
  </w:style>
  <w:style w:type="table" w:customStyle="1" w:styleId="GridTable5Dark-Accent31">
    <w:name w:val="Grid Table 5 Dark - Accent 3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6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873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873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873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873D" w:themeFill="accent3"/>
      </w:tcPr>
    </w:tblStylePr>
    <w:tblStylePr w:type="band1Vert">
      <w:tblPr/>
      <w:tcPr>
        <w:shd w:val="clear" w:color="auto" w:fill="F9CEB1" w:themeFill="accent3" w:themeFillTint="66"/>
      </w:tcPr>
    </w:tblStylePr>
    <w:tblStylePr w:type="band1Horz">
      <w:tblPr/>
      <w:tcPr>
        <w:shd w:val="clear" w:color="auto" w:fill="F9CEB1" w:themeFill="accent3" w:themeFillTint="66"/>
      </w:tcPr>
    </w:tblStylePr>
  </w:style>
  <w:style w:type="table" w:customStyle="1" w:styleId="GridTable5Dark-Accent41">
    <w:name w:val="Grid Table 5 Dark - Accent 4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C64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C64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C64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C648" w:themeFill="accent4"/>
      </w:tcPr>
    </w:tblStylePr>
    <w:tblStylePr w:type="band1Vert">
      <w:tblPr/>
      <w:tcPr>
        <w:shd w:val="clear" w:color="auto" w:fill="FDE7B5" w:themeFill="accent4" w:themeFillTint="66"/>
      </w:tcPr>
    </w:tblStylePr>
    <w:tblStylePr w:type="band1Horz">
      <w:tblPr/>
      <w:tcPr>
        <w:shd w:val="clear" w:color="auto" w:fill="FDE7B5" w:themeFill="accent4" w:themeFillTint="66"/>
      </w:tcPr>
    </w:tblStylePr>
  </w:style>
  <w:style w:type="table" w:customStyle="1" w:styleId="GridTable5Dark-Accent51">
    <w:name w:val="Grid Table 5 Dark - Accent 5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2D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E5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E5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E5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E57" w:themeFill="accent5"/>
      </w:tcPr>
    </w:tblStylePr>
    <w:tblStylePr w:type="band1Vert">
      <w:tblPr/>
      <w:tcPr>
        <w:shd w:val="clear" w:color="auto" w:fill="CEE5BB" w:themeFill="accent5" w:themeFillTint="66"/>
      </w:tcPr>
    </w:tblStylePr>
    <w:tblStylePr w:type="band1Horz">
      <w:tblPr/>
      <w:tcPr>
        <w:shd w:val="clear" w:color="auto" w:fill="CEE5BB" w:themeFill="accent5" w:themeFillTint="66"/>
      </w:tcPr>
    </w:tblStylePr>
  </w:style>
  <w:style w:type="table" w:customStyle="1" w:styleId="GridTable5Dark-Accent61">
    <w:name w:val="Grid Table 5 Dark - Accent 6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5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8183" w:themeFill="accent6"/>
      </w:tcPr>
    </w:tblStylePr>
    <w:tblStylePr w:type="band1Vert">
      <w:tblPr/>
      <w:tcPr>
        <w:shd w:val="clear" w:color="auto" w:fill="C8CCCD" w:themeFill="accent6" w:themeFillTint="66"/>
      </w:tcPr>
    </w:tblStylePr>
    <w:tblStylePr w:type="band1Horz">
      <w:tblPr/>
      <w:tcPr>
        <w:shd w:val="clear" w:color="auto" w:fill="C8CCCD" w:themeFill="accent6" w:themeFillTint="66"/>
      </w:tcPr>
    </w:tblStylePr>
  </w:style>
  <w:style w:type="table" w:customStyle="1" w:styleId="GridTable6Colorful1">
    <w:name w:val="Grid Table 6 Colorful1"/>
    <w:basedOn w:val="TableNormal"/>
    <w:uiPriority w:val="51"/>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6Colorful-Accent21">
    <w:name w:val="Grid Table 6 Colorful - Accent 21"/>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6Colorful-Accent31">
    <w:name w:val="Grid Table 6 Colorful - Accent 31"/>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6Colorful-Accent41">
    <w:name w:val="Grid Table 6 Colorful - Accent 41"/>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6Colorful-Accent51">
    <w:name w:val="Grid Table 6 Colorful - Accent 51"/>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6Colorful-Accent61">
    <w:name w:val="Grid Table 6 Colorful - Accent 61"/>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7Colorful1">
    <w:name w:val="Grid Table 7 Colorful1"/>
    <w:basedOn w:val="TableNormal"/>
    <w:uiPriority w:val="52"/>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7Colorful-Accent21">
    <w:name w:val="Grid Table 7 Colorful - Accent 21"/>
    <w:basedOn w:val="TableNormal"/>
    <w:uiPriority w:val="52"/>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7Colorful-Accent31">
    <w:name w:val="Grid Table 7 Colorful - Accent 31"/>
    <w:basedOn w:val="TableNormal"/>
    <w:uiPriority w:val="52"/>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7Colorful-Accent41">
    <w:name w:val="Grid Table 7 Colorful - Accent 41"/>
    <w:basedOn w:val="TableNormal"/>
    <w:uiPriority w:val="52"/>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7Colorful-Accent51">
    <w:name w:val="Grid Table 7 Colorful - Accent 51"/>
    <w:basedOn w:val="TableNormal"/>
    <w:uiPriority w:val="52"/>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7Colorful-Accent61">
    <w:name w:val="Grid Table 7 Colorful - Accent 61"/>
    <w:basedOn w:val="TableNormal"/>
    <w:uiPriority w:val="52"/>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styleId="LightGrid">
    <w:name w:val="Light Grid"/>
    <w:basedOn w:val="TableNormal"/>
    <w:uiPriority w:val="62"/>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18" w:space="0" w:color="8D487F" w:themeColor="accent1"/>
          <w:right w:val="single" w:sz="8" w:space="0" w:color="8D487F" w:themeColor="accent1"/>
          <w:insideH w:val="nil"/>
          <w:insideV w:val="single" w:sz="8" w:space="0" w:color="8D487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insideH w:val="nil"/>
          <w:insideV w:val="single" w:sz="8" w:space="0" w:color="8D487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shd w:val="clear" w:color="auto" w:fill="E6CEE1" w:themeFill="accent1" w:themeFillTint="3F"/>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shd w:val="clear" w:color="auto" w:fill="E6CEE1" w:themeFill="accent1" w:themeFillTint="3F"/>
      </w:tcPr>
    </w:tblStylePr>
    <w:tblStylePr w:type="band2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tcPr>
    </w:tblStylePr>
  </w:style>
  <w:style w:type="table" w:styleId="LightGrid-Accent2">
    <w:name w:val="Light Grid Accent 2"/>
    <w:basedOn w:val="TableNormal"/>
    <w:uiPriority w:val="62"/>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18" w:space="0" w:color="C64E45" w:themeColor="accent2"/>
          <w:right w:val="single" w:sz="8" w:space="0" w:color="C64E45" w:themeColor="accent2"/>
          <w:insideH w:val="nil"/>
          <w:insideV w:val="single" w:sz="8" w:space="0" w:color="C64E4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insideH w:val="nil"/>
          <w:insideV w:val="single" w:sz="8" w:space="0" w:color="C64E4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shd w:val="clear" w:color="auto" w:fill="F1D2D0" w:themeFill="accent2" w:themeFillTint="3F"/>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shd w:val="clear" w:color="auto" w:fill="F1D2D0" w:themeFill="accent2" w:themeFillTint="3F"/>
      </w:tcPr>
    </w:tblStylePr>
    <w:tblStylePr w:type="band2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tcPr>
    </w:tblStylePr>
  </w:style>
  <w:style w:type="table" w:styleId="LightGrid-Accent3">
    <w:name w:val="Light Grid Accent 3"/>
    <w:basedOn w:val="TableNormal"/>
    <w:uiPriority w:val="62"/>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18" w:space="0" w:color="F1873D" w:themeColor="accent3"/>
          <w:right w:val="single" w:sz="8" w:space="0" w:color="F1873D" w:themeColor="accent3"/>
          <w:insideH w:val="nil"/>
          <w:insideV w:val="single" w:sz="8" w:space="0" w:color="F1873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insideH w:val="nil"/>
          <w:insideV w:val="single" w:sz="8" w:space="0" w:color="F1873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shd w:val="clear" w:color="auto" w:fill="FBE1CE" w:themeFill="accent3" w:themeFillTint="3F"/>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shd w:val="clear" w:color="auto" w:fill="FBE1CE" w:themeFill="accent3" w:themeFillTint="3F"/>
      </w:tcPr>
    </w:tblStylePr>
    <w:tblStylePr w:type="band2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tcPr>
    </w:tblStylePr>
  </w:style>
  <w:style w:type="table" w:styleId="LightGrid-Accent4">
    <w:name w:val="Light Grid Accent 4"/>
    <w:basedOn w:val="TableNormal"/>
    <w:uiPriority w:val="62"/>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18" w:space="0" w:color="FCC648" w:themeColor="accent4"/>
          <w:right w:val="single" w:sz="8" w:space="0" w:color="FCC648" w:themeColor="accent4"/>
          <w:insideH w:val="nil"/>
          <w:insideV w:val="single" w:sz="8" w:space="0" w:color="FCC64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insideH w:val="nil"/>
          <w:insideV w:val="single" w:sz="8" w:space="0" w:color="FCC64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shd w:val="clear" w:color="auto" w:fill="FEF0D1" w:themeFill="accent4" w:themeFillTint="3F"/>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shd w:val="clear" w:color="auto" w:fill="FEF0D1" w:themeFill="accent4" w:themeFillTint="3F"/>
      </w:tcPr>
    </w:tblStylePr>
    <w:tblStylePr w:type="band2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tcPr>
    </w:tblStylePr>
  </w:style>
  <w:style w:type="table" w:styleId="LightGrid-Accent5">
    <w:name w:val="Light Grid Accent 5"/>
    <w:basedOn w:val="TableNormal"/>
    <w:uiPriority w:val="62"/>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18" w:space="0" w:color="86BE57" w:themeColor="accent5"/>
          <w:right w:val="single" w:sz="8" w:space="0" w:color="86BE57" w:themeColor="accent5"/>
          <w:insideH w:val="nil"/>
          <w:insideV w:val="single" w:sz="8" w:space="0" w:color="86BE5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insideH w:val="nil"/>
          <w:insideV w:val="single" w:sz="8" w:space="0" w:color="86BE5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shd w:val="clear" w:color="auto" w:fill="E1EFD5" w:themeFill="accent5" w:themeFillTint="3F"/>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shd w:val="clear" w:color="auto" w:fill="E1EFD5" w:themeFill="accent5" w:themeFillTint="3F"/>
      </w:tcPr>
    </w:tblStylePr>
    <w:tblStylePr w:type="band2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tcPr>
    </w:tblStylePr>
  </w:style>
  <w:style w:type="table" w:styleId="LightGrid-Accent6">
    <w:name w:val="Light Grid Accent 6"/>
    <w:basedOn w:val="TableNormal"/>
    <w:uiPriority w:val="62"/>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18" w:space="0" w:color="788183" w:themeColor="accent6"/>
          <w:right w:val="single" w:sz="8" w:space="0" w:color="788183" w:themeColor="accent6"/>
          <w:insideH w:val="nil"/>
          <w:insideV w:val="single" w:sz="8" w:space="0" w:color="78818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insideH w:val="nil"/>
          <w:insideV w:val="single" w:sz="8" w:space="0" w:color="78818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shd w:val="clear" w:color="auto" w:fill="DDDFE0" w:themeFill="accent6" w:themeFillTint="3F"/>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shd w:val="clear" w:color="auto" w:fill="DDDFE0" w:themeFill="accent6" w:themeFillTint="3F"/>
      </w:tcPr>
    </w:tblStylePr>
    <w:tblStylePr w:type="band2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tcPr>
    </w:tblStylePr>
  </w:style>
  <w:style w:type="table" w:styleId="LightList">
    <w:name w:val="Light List"/>
    <w:basedOn w:val="TableNormal"/>
    <w:uiPriority w:val="61"/>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pPr>
        <w:spacing w:before="0" w:after="0" w:line="240" w:lineRule="auto"/>
      </w:pPr>
      <w:rPr>
        <w:b/>
        <w:bCs/>
        <w:color w:val="FFFFFF" w:themeColor="background1"/>
      </w:rPr>
      <w:tblPr/>
      <w:tcPr>
        <w:shd w:val="clear" w:color="auto" w:fill="8D487F" w:themeFill="accent1"/>
      </w:tcPr>
    </w:tblStylePr>
    <w:tblStylePr w:type="lastRow">
      <w:pPr>
        <w:spacing w:before="0" w:after="0" w:line="240" w:lineRule="auto"/>
      </w:pPr>
      <w:rPr>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tcBorders>
      </w:tcPr>
    </w:tblStylePr>
    <w:tblStylePr w:type="firstCol">
      <w:rPr>
        <w:b/>
        <w:bCs/>
      </w:rPr>
    </w:tblStylePr>
    <w:tblStylePr w:type="lastCol">
      <w:rPr>
        <w:b/>
        <w:bCs/>
      </w:r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style>
  <w:style w:type="table" w:styleId="LightList-Accent2">
    <w:name w:val="Light List Accent 2"/>
    <w:basedOn w:val="TableNormal"/>
    <w:uiPriority w:val="61"/>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pPr>
        <w:spacing w:before="0" w:after="0" w:line="240" w:lineRule="auto"/>
      </w:pPr>
      <w:rPr>
        <w:b/>
        <w:bCs/>
        <w:color w:val="FFFFFF" w:themeColor="background1"/>
      </w:rPr>
      <w:tblPr/>
      <w:tcPr>
        <w:shd w:val="clear" w:color="auto" w:fill="C64E45" w:themeFill="accent2"/>
      </w:tcPr>
    </w:tblStylePr>
    <w:tblStylePr w:type="lastRow">
      <w:pPr>
        <w:spacing w:before="0" w:after="0" w:line="240" w:lineRule="auto"/>
      </w:pPr>
      <w:rPr>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tcBorders>
      </w:tcPr>
    </w:tblStylePr>
    <w:tblStylePr w:type="firstCol">
      <w:rPr>
        <w:b/>
        <w:bCs/>
      </w:rPr>
    </w:tblStylePr>
    <w:tblStylePr w:type="lastCol">
      <w:rPr>
        <w:b/>
        <w:bCs/>
      </w:r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style>
  <w:style w:type="table" w:styleId="LightList-Accent3">
    <w:name w:val="Light List Accent 3"/>
    <w:basedOn w:val="TableNormal"/>
    <w:uiPriority w:val="61"/>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pPr>
        <w:spacing w:before="0" w:after="0" w:line="240" w:lineRule="auto"/>
      </w:pPr>
      <w:rPr>
        <w:b/>
        <w:bCs/>
        <w:color w:val="FFFFFF" w:themeColor="background1"/>
      </w:rPr>
      <w:tblPr/>
      <w:tcPr>
        <w:shd w:val="clear" w:color="auto" w:fill="F1873D" w:themeFill="accent3"/>
      </w:tcPr>
    </w:tblStylePr>
    <w:tblStylePr w:type="lastRow">
      <w:pPr>
        <w:spacing w:before="0" w:after="0" w:line="240" w:lineRule="auto"/>
      </w:pPr>
      <w:rPr>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tcBorders>
      </w:tcPr>
    </w:tblStylePr>
    <w:tblStylePr w:type="firstCol">
      <w:rPr>
        <w:b/>
        <w:bCs/>
      </w:rPr>
    </w:tblStylePr>
    <w:tblStylePr w:type="lastCol">
      <w:rPr>
        <w:b/>
        <w:bCs/>
      </w:r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style>
  <w:style w:type="table" w:styleId="LightList-Accent4">
    <w:name w:val="Light List Accent 4"/>
    <w:basedOn w:val="TableNormal"/>
    <w:uiPriority w:val="61"/>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pPr>
        <w:spacing w:before="0" w:after="0" w:line="240" w:lineRule="auto"/>
      </w:pPr>
      <w:rPr>
        <w:b/>
        <w:bCs/>
        <w:color w:val="FFFFFF" w:themeColor="background1"/>
      </w:rPr>
      <w:tblPr/>
      <w:tcPr>
        <w:shd w:val="clear" w:color="auto" w:fill="FCC648" w:themeFill="accent4"/>
      </w:tcPr>
    </w:tblStylePr>
    <w:tblStylePr w:type="lastRow">
      <w:pPr>
        <w:spacing w:before="0" w:after="0" w:line="240" w:lineRule="auto"/>
      </w:pPr>
      <w:rPr>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tcBorders>
      </w:tcPr>
    </w:tblStylePr>
    <w:tblStylePr w:type="firstCol">
      <w:rPr>
        <w:b/>
        <w:bCs/>
      </w:rPr>
    </w:tblStylePr>
    <w:tblStylePr w:type="lastCol">
      <w:rPr>
        <w:b/>
        <w:bCs/>
      </w:r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style>
  <w:style w:type="table" w:styleId="LightList-Accent5">
    <w:name w:val="Light List Accent 5"/>
    <w:basedOn w:val="TableNormal"/>
    <w:uiPriority w:val="61"/>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pPr>
        <w:spacing w:before="0" w:after="0" w:line="240" w:lineRule="auto"/>
      </w:pPr>
      <w:rPr>
        <w:b/>
        <w:bCs/>
        <w:color w:val="FFFFFF" w:themeColor="background1"/>
      </w:rPr>
      <w:tblPr/>
      <w:tcPr>
        <w:shd w:val="clear" w:color="auto" w:fill="86BE57" w:themeFill="accent5"/>
      </w:tcPr>
    </w:tblStylePr>
    <w:tblStylePr w:type="lastRow">
      <w:pPr>
        <w:spacing w:before="0" w:after="0" w:line="240" w:lineRule="auto"/>
      </w:pPr>
      <w:rPr>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tcBorders>
      </w:tcPr>
    </w:tblStylePr>
    <w:tblStylePr w:type="firstCol">
      <w:rPr>
        <w:b/>
        <w:bCs/>
      </w:rPr>
    </w:tblStylePr>
    <w:tblStylePr w:type="lastCol">
      <w:rPr>
        <w:b/>
        <w:bCs/>
      </w:r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style>
  <w:style w:type="table" w:styleId="LightList-Accent6">
    <w:name w:val="Light List Accent 6"/>
    <w:basedOn w:val="TableNormal"/>
    <w:uiPriority w:val="61"/>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pPr>
        <w:spacing w:before="0" w:after="0" w:line="240" w:lineRule="auto"/>
      </w:pPr>
      <w:rPr>
        <w:b/>
        <w:bCs/>
        <w:color w:val="FFFFFF" w:themeColor="background1"/>
      </w:rPr>
      <w:tblPr/>
      <w:tcPr>
        <w:shd w:val="clear" w:color="auto" w:fill="788183" w:themeFill="accent6"/>
      </w:tcPr>
    </w:tblStylePr>
    <w:tblStylePr w:type="lastRow">
      <w:pPr>
        <w:spacing w:before="0" w:after="0" w:line="240" w:lineRule="auto"/>
      </w:pPr>
      <w:rPr>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tcBorders>
      </w:tcPr>
    </w:tblStylePr>
    <w:tblStylePr w:type="firstCol">
      <w:rPr>
        <w:b/>
        <w:bCs/>
      </w:rPr>
    </w:tblStylePr>
    <w:tblStylePr w:type="lastCol">
      <w:rPr>
        <w:b/>
        <w:bCs/>
      </w:r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style>
  <w:style w:type="table" w:styleId="LightShading">
    <w:name w:val="Light Shading"/>
    <w:basedOn w:val="TableNormal"/>
    <w:uiPriority w:val="60"/>
    <w:semiHidden/>
    <w:rsid w:val="00EE3EB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EE3EB6"/>
    <w:pPr>
      <w:spacing w:line="240" w:lineRule="auto"/>
    </w:pPr>
    <w:rPr>
      <w:color w:val="69365E" w:themeColor="accent1" w:themeShade="BF"/>
    </w:rPr>
    <w:tblPr>
      <w:tblStyleRowBandSize w:val="1"/>
      <w:tblStyleColBandSize w:val="1"/>
      <w:tblBorders>
        <w:top w:val="single" w:sz="8" w:space="0" w:color="8D487F" w:themeColor="accent1"/>
        <w:bottom w:val="single" w:sz="8" w:space="0" w:color="8D487F" w:themeColor="accent1"/>
      </w:tblBorders>
    </w:tblPr>
    <w:tblStylePr w:type="fir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la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left w:val="nil"/>
          <w:right w:val="nil"/>
          <w:insideH w:val="nil"/>
          <w:insideV w:val="nil"/>
        </w:tcBorders>
        <w:shd w:val="clear" w:color="auto" w:fill="E6CEE1" w:themeFill="accent1" w:themeFillTint="3F"/>
      </w:tcPr>
    </w:tblStylePr>
  </w:style>
  <w:style w:type="table" w:styleId="LightShading-Accent2">
    <w:name w:val="Light Shading Accent 2"/>
    <w:basedOn w:val="TableNormal"/>
    <w:uiPriority w:val="60"/>
    <w:semiHidden/>
    <w:rsid w:val="00EE3EB6"/>
    <w:pPr>
      <w:spacing w:line="240" w:lineRule="auto"/>
    </w:pPr>
    <w:rPr>
      <w:color w:val="98362F" w:themeColor="accent2" w:themeShade="BF"/>
    </w:rPr>
    <w:tblPr>
      <w:tblStyleRowBandSize w:val="1"/>
      <w:tblStyleColBandSize w:val="1"/>
      <w:tblBorders>
        <w:top w:val="single" w:sz="8" w:space="0" w:color="C64E45" w:themeColor="accent2"/>
        <w:bottom w:val="single" w:sz="8" w:space="0" w:color="C64E45" w:themeColor="accent2"/>
      </w:tblBorders>
    </w:tblPr>
    <w:tblStylePr w:type="fir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la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left w:val="nil"/>
          <w:right w:val="nil"/>
          <w:insideH w:val="nil"/>
          <w:insideV w:val="nil"/>
        </w:tcBorders>
        <w:shd w:val="clear" w:color="auto" w:fill="F1D2D0" w:themeFill="accent2" w:themeFillTint="3F"/>
      </w:tcPr>
    </w:tblStylePr>
  </w:style>
  <w:style w:type="table" w:styleId="LightShading-Accent3">
    <w:name w:val="Light Shading Accent 3"/>
    <w:basedOn w:val="TableNormal"/>
    <w:uiPriority w:val="60"/>
    <w:semiHidden/>
    <w:rsid w:val="00EE3EB6"/>
    <w:pPr>
      <w:spacing w:line="240" w:lineRule="auto"/>
    </w:pPr>
    <w:rPr>
      <w:color w:val="D25E0F" w:themeColor="accent3" w:themeShade="BF"/>
    </w:rPr>
    <w:tblPr>
      <w:tblStyleRowBandSize w:val="1"/>
      <w:tblStyleColBandSize w:val="1"/>
      <w:tblBorders>
        <w:top w:val="single" w:sz="8" w:space="0" w:color="F1873D" w:themeColor="accent3"/>
        <w:bottom w:val="single" w:sz="8" w:space="0" w:color="F1873D" w:themeColor="accent3"/>
      </w:tblBorders>
    </w:tblPr>
    <w:tblStylePr w:type="fir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la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left w:val="nil"/>
          <w:right w:val="nil"/>
          <w:insideH w:val="nil"/>
          <w:insideV w:val="nil"/>
        </w:tcBorders>
        <w:shd w:val="clear" w:color="auto" w:fill="FBE1CE" w:themeFill="accent3" w:themeFillTint="3F"/>
      </w:tcPr>
    </w:tblStylePr>
  </w:style>
  <w:style w:type="table" w:styleId="LightShading-Accent4">
    <w:name w:val="Light Shading Accent 4"/>
    <w:basedOn w:val="TableNormal"/>
    <w:uiPriority w:val="60"/>
    <w:semiHidden/>
    <w:rsid w:val="00EE3EB6"/>
    <w:pPr>
      <w:spacing w:line="240" w:lineRule="auto"/>
    </w:pPr>
    <w:rPr>
      <w:color w:val="EEA704" w:themeColor="accent4" w:themeShade="BF"/>
    </w:rPr>
    <w:tblPr>
      <w:tblStyleRowBandSize w:val="1"/>
      <w:tblStyleColBandSize w:val="1"/>
      <w:tblBorders>
        <w:top w:val="single" w:sz="8" w:space="0" w:color="FCC648" w:themeColor="accent4"/>
        <w:bottom w:val="single" w:sz="8" w:space="0" w:color="FCC648" w:themeColor="accent4"/>
      </w:tblBorders>
    </w:tblPr>
    <w:tblStylePr w:type="fir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la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left w:val="nil"/>
          <w:right w:val="nil"/>
          <w:insideH w:val="nil"/>
          <w:insideV w:val="nil"/>
        </w:tcBorders>
        <w:shd w:val="clear" w:color="auto" w:fill="FEF0D1" w:themeFill="accent4" w:themeFillTint="3F"/>
      </w:tcPr>
    </w:tblStylePr>
  </w:style>
  <w:style w:type="table" w:styleId="LightShading-Accent5">
    <w:name w:val="Light Shading Accent 5"/>
    <w:basedOn w:val="TableNormal"/>
    <w:uiPriority w:val="60"/>
    <w:semiHidden/>
    <w:rsid w:val="00EE3EB6"/>
    <w:pPr>
      <w:spacing w:line="240" w:lineRule="auto"/>
    </w:pPr>
    <w:rPr>
      <w:color w:val="63953A" w:themeColor="accent5" w:themeShade="BF"/>
    </w:rPr>
    <w:tblPr>
      <w:tblStyleRowBandSize w:val="1"/>
      <w:tblStyleColBandSize w:val="1"/>
      <w:tblBorders>
        <w:top w:val="single" w:sz="8" w:space="0" w:color="86BE57" w:themeColor="accent5"/>
        <w:bottom w:val="single" w:sz="8" w:space="0" w:color="86BE57" w:themeColor="accent5"/>
      </w:tblBorders>
    </w:tblPr>
    <w:tblStylePr w:type="fir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la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left w:val="nil"/>
          <w:right w:val="nil"/>
          <w:insideH w:val="nil"/>
          <w:insideV w:val="nil"/>
        </w:tcBorders>
        <w:shd w:val="clear" w:color="auto" w:fill="E1EFD5" w:themeFill="accent5" w:themeFillTint="3F"/>
      </w:tcPr>
    </w:tblStylePr>
  </w:style>
  <w:style w:type="table" w:styleId="LightShading-Accent6">
    <w:name w:val="Light Shading Accent 6"/>
    <w:basedOn w:val="TableNormal"/>
    <w:uiPriority w:val="60"/>
    <w:semiHidden/>
    <w:rsid w:val="00EE3EB6"/>
    <w:pPr>
      <w:spacing w:line="240" w:lineRule="auto"/>
    </w:pPr>
    <w:rPr>
      <w:color w:val="5A6062" w:themeColor="accent6" w:themeShade="BF"/>
    </w:rPr>
    <w:tblPr>
      <w:tblStyleRowBandSize w:val="1"/>
      <w:tblStyleColBandSize w:val="1"/>
      <w:tblBorders>
        <w:top w:val="single" w:sz="8" w:space="0" w:color="788183" w:themeColor="accent6"/>
        <w:bottom w:val="single" w:sz="8" w:space="0" w:color="788183" w:themeColor="accent6"/>
      </w:tblBorders>
    </w:tblPr>
    <w:tblStylePr w:type="fir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la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left w:val="nil"/>
          <w:right w:val="nil"/>
          <w:insideH w:val="nil"/>
          <w:insideV w:val="nil"/>
        </w:tcBorders>
        <w:shd w:val="clear" w:color="auto" w:fill="DDDFE0" w:themeFill="accent6" w:themeFillTint="3F"/>
      </w:tcPr>
    </w:tblStylePr>
  </w:style>
  <w:style w:type="table" w:customStyle="1" w:styleId="ListTable1Light1">
    <w:name w:val="List Table 1 Light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C288B7" w:themeColor="accent1" w:themeTint="99"/>
        </w:tcBorders>
      </w:tcPr>
    </w:tblStylePr>
    <w:tblStylePr w:type="lastRow">
      <w:rPr>
        <w:b/>
        <w:bCs/>
      </w:rPr>
      <w:tblPr/>
      <w:tcPr>
        <w:tcBorders>
          <w:top w:val="sing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1Light-Accent21">
    <w:name w:val="List Table 1 Light - Accent 2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DC948F" w:themeColor="accent2" w:themeTint="99"/>
        </w:tcBorders>
      </w:tcPr>
    </w:tblStylePr>
    <w:tblStylePr w:type="lastRow">
      <w:rPr>
        <w:b/>
        <w:bCs/>
      </w:rPr>
      <w:tblPr/>
      <w:tcPr>
        <w:tcBorders>
          <w:top w:val="sing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1Light-Accent31">
    <w:name w:val="List Table 1 Light - Accent 3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6B68A" w:themeColor="accent3" w:themeTint="99"/>
        </w:tcBorders>
      </w:tcPr>
    </w:tblStylePr>
    <w:tblStylePr w:type="lastRow">
      <w:rPr>
        <w:b/>
        <w:bCs/>
      </w:rPr>
      <w:tblPr/>
      <w:tcPr>
        <w:tcBorders>
          <w:top w:val="sing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1Light-Accent41">
    <w:name w:val="List Table 1 Light - Accent 4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DDC91" w:themeColor="accent4" w:themeTint="99"/>
        </w:tcBorders>
      </w:tcPr>
    </w:tblStylePr>
    <w:tblStylePr w:type="lastRow">
      <w:rPr>
        <w:b/>
        <w:bCs/>
      </w:rPr>
      <w:tblPr/>
      <w:tcPr>
        <w:tcBorders>
          <w:top w:val="sing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1Light-Accent51">
    <w:name w:val="List Table 1 Light - Accent 5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B6D89A" w:themeColor="accent5" w:themeTint="99"/>
        </w:tcBorders>
      </w:tcPr>
    </w:tblStylePr>
    <w:tblStylePr w:type="lastRow">
      <w:rPr>
        <w:b/>
        <w:bCs/>
      </w:rPr>
      <w:tblPr/>
      <w:tcPr>
        <w:tcBorders>
          <w:top w:val="sing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1Light-Accent61">
    <w:name w:val="List Table 1 Light - Accent 6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ADB3B4" w:themeColor="accent6" w:themeTint="99"/>
        </w:tcBorders>
      </w:tcPr>
    </w:tblStylePr>
    <w:tblStylePr w:type="lastRow">
      <w:rPr>
        <w:b/>
        <w:bCs/>
      </w:rPr>
      <w:tblPr/>
      <w:tcPr>
        <w:tcBorders>
          <w:top w:val="sing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21">
    <w:name w:val="List Table 21"/>
    <w:basedOn w:val="TableNormal"/>
    <w:uiPriority w:val="47"/>
    <w:semiHidden/>
    <w:rsid w:val="00EE3EB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semiHidden/>
    <w:rsid w:val="00EE3EB6"/>
    <w:pPr>
      <w:spacing w:line="240" w:lineRule="auto"/>
    </w:pPr>
    <w:tblPr>
      <w:tblStyleRowBandSize w:val="1"/>
      <w:tblStyleColBandSize w:val="1"/>
      <w:tblBorders>
        <w:top w:val="single" w:sz="4" w:space="0" w:color="C288B7" w:themeColor="accent1" w:themeTint="99"/>
        <w:bottom w:val="single" w:sz="4" w:space="0" w:color="C288B7" w:themeColor="accent1" w:themeTint="99"/>
        <w:insideH w:val="single" w:sz="4" w:space="0" w:color="C288B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2-Accent21">
    <w:name w:val="List Table 2 - Accent 21"/>
    <w:basedOn w:val="TableNormal"/>
    <w:uiPriority w:val="47"/>
    <w:semiHidden/>
    <w:rsid w:val="00EE3EB6"/>
    <w:pPr>
      <w:spacing w:line="240" w:lineRule="auto"/>
    </w:pPr>
    <w:tblPr>
      <w:tblStyleRowBandSize w:val="1"/>
      <w:tblStyleColBandSize w:val="1"/>
      <w:tblBorders>
        <w:top w:val="single" w:sz="4" w:space="0" w:color="DC948F" w:themeColor="accent2" w:themeTint="99"/>
        <w:bottom w:val="single" w:sz="4" w:space="0" w:color="DC948F" w:themeColor="accent2" w:themeTint="99"/>
        <w:insideH w:val="single" w:sz="4" w:space="0" w:color="DC948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2-Accent31">
    <w:name w:val="List Table 2 - Accent 31"/>
    <w:basedOn w:val="TableNormal"/>
    <w:uiPriority w:val="47"/>
    <w:semiHidden/>
    <w:rsid w:val="00EE3EB6"/>
    <w:pPr>
      <w:spacing w:line="240" w:lineRule="auto"/>
    </w:pPr>
    <w:tblPr>
      <w:tblStyleRowBandSize w:val="1"/>
      <w:tblStyleColBandSize w:val="1"/>
      <w:tblBorders>
        <w:top w:val="single" w:sz="4" w:space="0" w:color="F6B68A" w:themeColor="accent3" w:themeTint="99"/>
        <w:bottom w:val="single" w:sz="4" w:space="0" w:color="F6B68A" w:themeColor="accent3" w:themeTint="99"/>
        <w:insideH w:val="single" w:sz="4" w:space="0" w:color="F6B68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2-Accent41">
    <w:name w:val="List Table 2 - Accent 41"/>
    <w:basedOn w:val="TableNormal"/>
    <w:uiPriority w:val="47"/>
    <w:semiHidden/>
    <w:rsid w:val="00EE3EB6"/>
    <w:pPr>
      <w:spacing w:line="240" w:lineRule="auto"/>
    </w:pPr>
    <w:tblPr>
      <w:tblStyleRowBandSize w:val="1"/>
      <w:tblStyleColBandSize w:val="1"/>
      <w:tblBorders>
        <w:top w:val="single" w:sz="4" w:space="0" w:color="FDDC91" w:themeColor="accent4" w:themeTint="99"/>
        <w:bottom w:val="single" w:sz="4" w:space="0" w:color="FDDC91" w:themeColor="accent4" w:themeTint="99"/>
        <w:insideH w:val="single" w:sz="4" w:space="0" w:color="FDDC9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2-Accent51">
    <w:name w:val="List Table 2 - Accent 51"/>
    <w:basedOn w:val="TableNormal"/>
    <w:uiPriority w:val="47"/>
    <w:semiHidden/>
    <w:rsid w:val="00EE3EB6"/>
    <w:pPr>
      <w:spacing w:line="240" w:lineRule="auto"/>
    </w:pPr>
    <w:tblPr>
      <w:tblStyleRowBandSize w:val="1"/>
      <w:tblStyleColBandSize w:val="1"/>
      <w:tblBorders>
        <w:top w:val="single" w:sz="4" w:space="0" w:color="B6D89A" w:themeColor="accent5" w:themeTint="99"/>
        <w:bottom w:val="single" w:sz="4" w:space="0" w:color="B6D89A" w:themeColor="accent5" w:themeTint="99"/>
        <w:insideH w:val="single" w:sz="4" w:space="0" w:color="B6D89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2-Accent61">
    <w:name w:val="List Table 2 - Accent 61"/>
    <w:basedOn w:val="TableNormal"/>
    <w:uiPriority w:val="47"/>
    <w:semiHidden/>
    <w:rsid w:val="00EE3EB6"/>
    <w:pPr>
      <w:spacing w:line="240" w:lineRule="auto"/>
    </w:pPr>
    <w:tblPr>
      <w:tblStyleRowBandSize w:val="1"/>
      <w:tblStyleColBandSize w:val="1"/>
      <w:tblBorders>
        <w:top w:val="single" w:sz="4" w:space="0" w:color="ADB3B4" w:themeColor="accent6" w:themeTint="99"/>
        <w:bottom w:val="single" w:sz="4" w:space="0" w:color="ADB3B4" w:themeColor="accent6" w:themeTint="99"/>
        <w:insideH w:val="single" w:sz="4" w:space="0" w:color="ADB3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31">
    <w:name w:val="List Table 31"/>
    <w:basedOn w:val="TableNormal"/>
    <w:uiPriority w:val="48"/>
    <w:semiHidden/>
    <w:rsid w:val="00EE3EB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semiHidden/>
    <w:rsid w:val="00EE3EB6"/>
    <w:pPr>
      <w:spacing w:line="240" w:lineRule="auto"/>
    </w:pPr>
    <w:tblPr>
      <w:tblStyleRowBandSize w:val="1"/>
      <w:tblStyleColBandSize w:val="1"/>
      <w:tblBorders>
        <w:top w:val="single" w:sz="4" w:space="0" w:color="8D487F" w:themeColor="accent1"/>
        <w:left w:val="single" w:sz="4" w:space="0" w:color="8D487F" w:themeColor="accent1"/>
        <w:bottom w:val="single" w:sz="4" w:space="0" w:color="8D487F" w:themeColor="accent1"/>
        <w:right w:val="single" w:sz="4" w:space="0" w:color="8D487F" w:themeColor="accent1"/>
      </w:tblBorders>
    </w:tblPr>
    <w:tblStylePr w:type="firstRow">
      <w:rPr>
        <w:b/>
        <w:bCs/>
        <w:color w:val="FFFFFF" w:themeColor="background1"/>
      </w:rPr>
      <w:tblPr/>
      <w:tcPr>
        <w:shd w:val="clear" w:color="auto" w:fill="8D487F" w:themeFill="accent1"/>
      </w:tcPr>
    </w:tblStylePr>
    <w:tblStylePr w:type="lastRow">
      <w:rPr>
        <w:b/>
        <w:bCs/>
      </w:rPr>
      <w:tblPr/>
      <w:tcPr>
        <w:tcBorders>
          <w:top w:val="double" w:sz="4" w:space="0" w:color="8D487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487F" w:themeColor="accent1"/>
          <w:right w:val="single" w:sz="4" w:space="0" w:color="8D487F" w:themeColor="accent1"/>
        </w:tcBorders>
      </w:tcPr>
    </w:tblStylePr>
    <w:tblStylePr w:type="band1Horz">
      <w:tblPr/>
      <w:tcPr>
        <w:tcBorders>
          <w:top w:val="single" w:sz="4" w:space="0" w:color="8D487F" w:themeColor="accent1"/>
          <w:bottom w:val="single" w:sz="4" w:space="0" w:color="8D487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487F" w:themeColor="accent1"/>
          <w:left w:val="nil"/>
        </w:tcBorders>
      </w:tcPr>
    </w:tblStylePr>
    <w:tblStylePr w:type="swCell">
      <w:tblPr/>
      <w:tcPr>
        <w:tcBorders>
          <w:top w:val="double" w:sz="4" w:space="0" w:color="8D487F" w:themeColor="accent1"/>
          <w:right w:val="nil"/>
        </w:tcBorders>
      </w:tcPr>
    </w:tblStylePr>
  </w:style>
  <w:style w:type="table" w:customStyle="1" w:styleId="ListTable3-Accent21">
    <w:name w:val="List Table 3 - Accent 21"/>
    <w:basedOn w:val="TableNormal"/>
    <w:uiPriority w:val="48"/>
    <w:semiHidden/>
    <w:rsid w:val="00EE3EB6"/>
    <w:pPr>
      <w:spacing w:line="240" w:lineRule="auto"/>
    </w:pPr>
    <w:tblPr>
      <w:tblStyleRowBandSize w:val="1"/>
      <w:tblStyleColBandSize w:val="1"/>
      <w:tblBorders>
        <w:top w:val="single" w:sz="4" w:space="0" w:color="C64E45" w:themeColor="accent2"/>
        <w:left w:val="single" w:sz="4" w:space="0" w:color="C64E45" w:themeColor="accent2"/>
        <w:bottom w:val="single" w:sz="4" w:space="0" w:color="C64E45" w:themeColor="accent2"/>
        <w:right w:val="single" w:sz="4" w:space="0" w:color="C64E45" w:themeColor="accent2"/>
      </w:tblBorders>
    </w:tblPr>
    <w:tblStylePr w:type="firstRow">
      <w:rPr>
        <w:b/>
        <w:bCs/>
        <w:color w:val="FFFFFF" w:themeColor="background1"/>
      </w:rPr>
      <w:tblPr/>
      <w:tcPr>
        <w:shd w:val="clear" w:color="auto" w:fill="C64E45" w:themeFill="accent2"/>
      </w:tcPr>
    </w:tblStylePr>
    <w:tblStylePr w:type="lastRow">
      <w:rPr>
        <w:b/>
        <w:bCs/>
      </w:rPr>
      <w:tblPr/>
      <w:tcPr>
        <w:tcBorders>
          <w:top w:val="double" w:sz="4" w:space="0" w:color="C64E4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4E45" w:themeColor="accent2"/>
          <w:right w:val="single" w:sz="4" w:space="0" w:color="C64E45" w:themeColor="accent2"/>
        </w:tcBorders>
      </w:tcPr>
    </w:tblStylePr>
    <w:tblStylePr w:type="band1Horz">
      <w:tblPr/>
      <w:tcPr>
        <w:tcBorders>
          <w:top w:val="single" w:sz="4" w:space="0" w:color="C64E45" w:themeColor="accent2"/>
          <w:bottom w:val="single" w:sz="4" w:space="0" w:color="C64E4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4E45" w:themeColor="accent2"/>
          <w:left w:val="nil"/>
        </w:tcBorders>
      </w:tcPr>
    </w:tblStylePr>
    <w:tblStylePr w:type="swCell">
      <w:tblPr/>
      <w:tcPr>
        <w:tcBorders>
          <w:top w:val="double" w:sz="4" w:space="0" w:color="C64E45" w:themeColor="accent2"/>
          <w:right w:val="nil"/>
        </w:tcBorders>
      </w:tcPr>
    </w:tblStylePr>
  </w:style>
  <w:style w:type="table" w:customStyle="1" w:styleId="ListTable3-Accent31">
    <w:name w:val="List Table 3 - Accent 31"/>
    <w:basedOn w:val="TableNormal"/>
    <w:uiPriority w:val="48"/>
    <w:semiHidden/>
    <w:rsid w:val="00EE3EB6"/>
    <w:pPr>
      <w:spacing w:line="240" w:lineRule="auto"/>
    </w:pPr>
    <w:tblPr>
      <w:tblStyleRowBandSize w:val="1"/>
      <w:tblStyleColBandSize w:val="1"/>
      <w:tblBorders>
        <w:top w:val="single" w:sz="4" w:space="0" w:color="F1873D" w:themeColor="accent3"/>
        <w:left w:val="single" w:sz="4" w:space="0" w:color="F1873D" w:themeColor="accent3"/>
        <w:bottom w:val="single" w:sz="4" w:space="0" w:color="F1873D" w:themeColor="accent3"/>
        <w:right w:val="single" w:sz="4" w:space="0" w:color="F1873D" w:themeColor="accent3"/>
      </w:tblBorders>
    </w:tblPr>
    <w:tblStylePr w:type="firstRow">
      <w:rPr>
        <w:b/>
        <w:bCs/>
        <w:color w:val="FFFFFF" w:themeColor="background1"/>
      </w:rPr>
      <w:tblPr/>
      <w:tcPr>
        <w:shd w:val="clear" w:color="auto" w:fill="F1873D" w:themeFill="accent3"/>
      </w:tcPr>
    </w:tblStylePr>
    <w:tblStylePr w:type="lastRow">
      <w:rPr>
        <w:b/>
        <w:bCs/>
      </w:rPr>
      <w:tblPr/>
      <w:tcPr>
        <w:tcBorders>
          <w:top w:val="double" w:sz="4" w:space="0" w:color="F1873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873D" w:themeColor="accent3"/>
          <w:right w:val="single" w:sz="4" w:space="0" w:color="F1873D" w:themeColor="accent3"/>
        </w:tcBorders>
      </w:tcPr>
    </w:tblStylePr>
    <w:tblStylePr w:type="band1Horz">
      <w:tblPr/>
      <w:tcPr>
        <w:tcBorders>
          <w:top w:val="single" w:sz="4" w:space="0" w:color="F1873D" w:themeColor="accent3"/>
          <w:bottom w:val="single" w:sz="4" w:space="0" w:color="F1873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873D" w:themeColor="accent3"/>
          <w:left w:val="nil"/>
        </w:tcBorders>
      </w:tcPr>
    </w:tblStylePr>
    <w:tblStylePr w:type="swCell">
      <w:tblPr/>
      <w:tcPr>
        <w:tcBorders>
          <w:top w:val="double" w:sz="4" w:space="0" w:color="F1873D" w:themeColor="accent3"/>
          <w:right w:val="nil"/>
        </w:tcBorders>
      </w:tcPr>
    </w:tblStylePr>
  </w:style>
  <w:style w:type="table" w:customStyle="1" w:styleId="ListTable3-Accent41">
    <w:name w:val="List Table 3 - Accent 41"/>
    <w:basedOn w:val="TableNormal"/>
    <w:uiPriority w:val="48"/>
    <w:semiHidden/>
    <w:rsid w:val="00EE3EB6"/>
    <w:pPr>
      <w:spacing w:line="240" w:lineRule="auto"/>
    </w:pPr>
    <w:tblPr>
      <w:tblStyleRowBandSize w:val="1"/>
      <w:tblStyleColBandSize w:val="1"/>
      <w:tblBorders>
        <w:top w:val="single" w:sz="4" w:space="0" w:color="FCC648" w:themeColor="accent4"/>
        <w:left w:val="single" w:sz="4" w:space="0" w:color="FCC648" w:themeColor="accent4"/>
        <w:bottom w:val="single" w:sz="4" w:space="0" w:color="FCC648" w:themeColor="accent4"/>
        <w:right w:val="single" w:sz="4" w:space="0" w:color="FCC648" w:themeColor="accent4"/>
      </w:tblBorders>
    </w:tblPr>
    <w:tblStylePr w:type="firstRow">
      <w:rPr>
        <w:b/>
        <w:bCs/>
        <w:color w:val="FFFFFF" w:themeColor="background1"/>
      </w:rPr>
      <w:tblPr/>
      <w:tcPr>
        <w:shd w:val="clear" w:color="auto" w:fill="FCC648" w:themeFill="accent4"/>
      </w:tcPr>
    </w:tblStylePr>
    <w:tblStylePr w:type="lastRow">
      <w:rPr>
        <w:b/>
        <w:bCs/>
      </w:rPr>
      <w:tblPr/>
      <w:tcPr>
        <w:tcBorders>
          <w:top w:val="double" w:sz="4" w:space="0" w:color="FCC64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C648" w:themeColor="accent4"/>
          <w:right w:val="single" w:sz="4" w:space="0" w:color="FCC648" w:themeColor="accent4"/>
        </w:tcBorders>
      </w:tcPr>
    </w:tblStylePr>
    <w:tblStylePr w:type="band1Horz">
      <w:tblPr/>
      <w:tcPr>
        <w:tcBorders>
          <w:top w:val="single" w:sz="4" w:space="0" w:color="FCC648" w:themeColor="accent4"/>
          <w:bottom w:val="single" w:sz="4" w:space="0" w:color="FCC64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C648" w:themeColor="accent4"/>
          <w:left w:val="nil"/>
        </w:tcBorders>
      </w:tcPr>
    </w:tblStylePr>
    <w:tblStylePr w:type="swCell">
      <w:tblPr/>
      <w:tcPr>
        <w:tcBorders>
          <w:top w:val="double" w:sz="4" w:space="0" w:color="FCC648" w:themeColor="accent4"/>
          <w:right w:val="nil"/>
        </w:tcBorders>
      </w:tcPr>
    </w:tblStylePr>
  </w:style>
  <w:style w:type="table" w:customStyle="1" w:styleId="ListTable3-Accent51">
    <w:name w:val="List Table 3 - Accent 51"/>
    <w:basedOn w:val="TableNormal"/>
    <w:uiPriority w:val="48"/>
    <w:semiHidden/>
    <w:rsid w:val="00EE3EB6"/>
    <w:pPr>
      <w:spacing w:line="240" w:lineRule="auto"/>
    </w:pPr>
    <w:tblPr>
      <w:tblStyleRowBandSize w:val="1"/>
      <w:tblStyleColBandSize w:val="1"/>
      <w:tblBorders>
        <w:top w:val="single" w:sz="4" w:space="0" w:color="86BE57" w:themeColor="accent5"/>
        <w:left w:val="single" w:sz="4" w:space="0" w:color="86BE57" w:themeColor="accent5"/>
        <w:bottom w:val="single" w:sz="4" w:space="0" w:color="86BE57" w:themeColor="accent5"/>
        <w:right w:val="single" w:sz="4" w:space="0" w:color="86BE57" w:themeColor="accent5"/>
      </w:tblBorders>
    </w:tblPr>
    <w:tblStylePr w:type="firstRow">
      <w:rPr>
        <w:b/>
        <w:bCs/>
        <w:color w:val="FFFFFF" w:themeColor="background1"/>
      </w:rPr>
      <w:tblPr/>
      <w:tcPr>
        <w:shd w:val="clear" w:color="auto" w:fill="86BE57" w:themeFill="accent5"/>
      </w:tcPr>
    </w:tblStylePr>
    <w:tblStylePr w:type="lastRow">
      <w:rPr>
        <w:b/>
        <w:bCs/>
      </w:rPr>
      <w:tblPr/>
      <w:tcPr>
        <w:tcBorders>
          <w:top w:val="double" w:sz="4" w:space="0" w:color="86BE5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E57" w:themeColor="accent5"/>
          <w:right w:val="single" w:sz="4" w:space="0" w:color="86BE57" w:themeColor="accent5"/>
        </w:tcBorders>
      </w:tcPr>
    </w:tblStylePr>
    <w:tblStylePr w:type="band1Horz">
      <w:tblPr/>
      <w:tcPr>
        <w:tcBorders>
          <w:top w:val="single" w:sz="4" w:space="0" w:color="86BE57" w:themeColor="accent5"/>
          <w:bottom w:val="single" w:sz="4" w:space="0" w:color="86BE5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E57" w:themeColor="accent5"/>
          <w:left w:val="nil"/>
        </w:tcBorders>
      </w:tcPr>
    </w:tblStylePr>
    <w:tblStylePr w:type="swCell">
      <w:tblPr/>
      <w:tcPr>
        <w:tcBorders>
          <w:top w:val="double" w:sz="4" w:space="0" w:color="86BE57" w:themeColor="accent5"/>
          <w:right w:val="nil"/>
        </w:tcBorders>
      </w:tcPr>
    </w:tblStylePr>
  </w:style>
  <w:style w:type="table" w:customStyle="1" w:styleId="ListTable3-Accent61">
    <w:name w:val="List Table 3 - Accent 61"/>
    <w:basedOn w:val="TableNormal"/>
    <w:uiPriority w:val="48"/>
    <w:semiHidden/>
    <w:rsid w:val="00EE3EB6"/>
    <w:pPr>
      <w:spacing w:line="240" w:lineRule="auto"/>
    </w:pPr>
    <w:tblPr>
      <w:tblStyleRowBandSize w:val="1"/>
      <w:tblStyleColBandSize w:val="1"/>
      <w:tblBorders>
        <w:top w:val="single" w:sz="4" w:space="0" w:color="788183" w:themeColor="accent6"/>
        <w:left w:val="single" w:sz="4" w:space="0" w:color="788183" w:themeColor="accent6"/>
        <w:bottom w:val="single" w:sz="4" w:space="0" w:color="788183" w:themeColor="accent6"/>
        <w:right w:val="single" w:sz="4" w:space="0" w:color="788183" w:themeColor="accent6"/>
      </w:tblBorders>
    </w:tblPr>
    <w:tblStylePr w:type="firstRow">
      <w:rPr>
        <w:b/>
        <w:bCs/>
        <w:color w:val="FFFFFF" w:themeColor="background1"/>
      </w:rPr>
      <w:tblPr/>
      <w:tcPr>
        <w:shd w:val="clear" w:color="auto" w:fill="788183" w:themeFill="accent6"/>
      </w:tcPr>
    </w:tblStylePr>
    <w:tblStylePr w:type="lastRow">
      <w:rPr>
        <w:b/>
        <w:bCs/>
      </w:rPr>
      <w:tblPr/>
      <w:tcPr>
        <w:tcBorders>
          <w:top w:val="double" w:sz="4" w:space="0" w:color="78818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8183" w:themeColor="accent6"/>
          <w:right w:val="single" w:sz="4" w:space="0" w:color="788183" w:themeColor="accent6"/>
        </w:tcBorders>
      </w:tcPr>
    </w:tblStylePr>
    <w:tblStylePr w:type="band1Horz">
      <w:tblPr/>
      <w:tcPr>
        <w:tcBorders>
          <w:top w:val="single" w:sz="4" w:space="0" w:color="788183" w:themeColor="accent6"/>
          <w:bottom w:val="single" w:sz="4" w:space="0" w:color="78818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8183" w:themeColor="accent6"/>
          <w:left w:val="nil"/>
        </w:tcBorders>
      </w:tcPr>
    </w:tblStylePr>
    <w:tblStylePr w:type="swCell">
      <w:tblPr/>
      <w:tcPr>
        <w:tcBorders>
          <w:top w:val="double" w:sz="4" w:space="0" w:color="788183" w:themeColor="accent6"/>
          <w:right w:val="nil"/>
        </w:tcBorders>
      </w:tcPr>
    </w:tblStylePr>
  </w:style>
  <w:style w:type="table" w:customStyle="1" w:styleId="ListTable41">
    <w:name w:val="List Table 41"/>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tcBorders>
        <w:shd w:val="clear" w:color="auto" w:fill="8D487F" w:themeFill="accent1"/>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4-Accent21">
    <w:name w:val="List Table 4 - Accent 21"/>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tcBorders>
        <w:shd w:val="clear" w:color="auto" w:fill="C64E45" w:themeFill="accent2"/>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4-Accent31">
    <w:name w:val="List Table 4 - Accent 31"/>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tcBorders>
        <w:shd w:val="clear" w:color="auto" w:fill="F1873D" w:themeFill="accent3"/>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4-Accent41">
    <w:name w:val="List Table 4 - Accent 41"/>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tcBorders>
        <w:shd w:val="clear" w:color="auto" w:fill="FCC648" w:themeFill="accent4"/>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4-Accent51">
    <w:name w:val="List Table 4 - Accent 51"/>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tcBorders>
        <w:shd w:val="clear" w:color="auto" w:fill="86BE57" w:themeFill="accent5"/>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4-Accent61">
    <w:name w:val="List Table 4 - Accent 61"/>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tcBorders>
        <w:shd w:val="clear" w:color="auto" w:fill="788183" w:themeFill="accent6"/>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5Dark1">
    <w:name w:val="List Table 5 Dark1"/>
    <w:basedOn w:val="TableNormal"/>
    <w:uiPriority w:val="50"/>
    <w:semiHidden/>
    <w:rsid w:val="00EE3EB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D487F" w:themeColor="accent1"/>
        <w:left w:val="single" w:sz="24" w:space="0" w:color="8D487F" w:themeColor="accent1"/>
        <w:bottom w:val="single" w:sz="24" w:space="0" w:color="8D487F" w:themeColor="accent1"/>
        <w:right w:val="single" w:sz="24" w:space="0" w:color="8D487F" w:themeColor="accent1"/>
      </w:tblBorders>
    </w:tblPr>
    <w:tcPr>
      <w:shd w:val="clear" w:color="auto" w:fill="8D487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EE3EB6"/>
    <w:pPr>
      <w:spacing w:line="240" w:lineRule="auto"/>
    </w:pPr>
    <w:rPr>
      <w:color w:val="FFFFFF" w:themeColor="background1"/>
    </w:rPr>
    <w:tblPr>
      <w:tblStyleRowBandSize w:val="1"/>
      <w:tblStyleColBandSize w:val="1"/>
      <w:tblBorders>
        <w:top w:val="single" w:sz="24" w:space="0" w:color="C64E45" w:themeColor="accent2"/>
        <w:left w:val="single" w:sz="24" w:space="0" w:color="C64E45" w:themeColor="accent2"/>
        <w:bottom w:val="single" w:sz="24" w:space="0" w:color="C64E45" w:themeColor="accent2"/>
        <w:right w:val="single" w:sz="24" w:space="0" w:color="C64E45" w:themeColor="accent2"/>
      </w:tblBorders>
    </w:tblPr>
    <w:tcPr>
      <w:shd w:val="clear" w:color="auto" w:fill="C64E4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EE3EB6"/>
    <w:pPr>
      <w:spacing w:line="240" w:lineRule="auto"/>
    </w:pPr>
    <w:rPr>
      <w:color w:val="FFFFFF" w:themeColor="background1"/>
    </w:rPr>
    <w:tblPr>
      <w:tblStyleRowBandSize w:val="1"/>
      <w:tblStyleColBandSize w:val="1"/>
      <w:tblBorders>
        <w:top w:val="single" w:sz="24" w:space="0" w:color="F1873D" w:themeColor="accent3"/>
        <w:left w:val="single" w:sz="24" w:space="0" w:color="F1873D" w:themeColor="accent3"/>
        <w:bottom w:val="single" w:sz="24" w:space="0" w:color="F1873D" w:themeColor="accent3"/>
        <w:right w:val="single" w:sz="24" w:space="0" w:color="F1873D" w:themeColor="accent3"/>
      </w:tblBorders>
    </w:tblPr>
    <w:tcPr>
      <w:shd w:val="clear" w:color="auto" w:fill="F1873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EE3EB6"/>
    <w:pPr>
      <w:spacing w:line="240" w:lineRule="auto"/>
    </w:pPr>
    <w:rPr>
      <w:color w:val="FFFFFF" w:themeColor="background1"/>
    </w:rPr>
    <w:tblPr>
      <w:tblStyleRowBandSize w:val="1"/>
      <w:tblStyleColBandSize w:val="1"/>
      <w:tblBorders>
        <w:top w:val="single" w:sz="24" w:space="0" w:color="FCC648" w:themeColor="accent4"/>
        <w:left w:val="single" w:sz="24" w:space="0" w:color="FCC648" w:themeColor="accent4"/>
        <w:bottom w:val="single" w:sz="24" w:space="0" w:color="FCC648" w:themeColor="accent4"/>
        <w:right w:val="single" w:sz="24" w:space="0" w:color="FCC648" w:themeColor="accent4"/>
      </w:tblBorders>
    </w:tblPr>
    <w:tcPr>
      <w:shd w:val="clear" w:color="auto" w:fill="FCC64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6BE57" w:themeColor="accent5"/>
        <w:left w:val="single" w:sz="24" w:space="0" w:color="86BE57" w:themeColor="accent5"/>
        <w:bottom w:val="single" w:sz="24" w:space="0" w:color="86BE57" w:themeColor="accent5"/>
        <w:right w:val="single" w:sz="24" w:space="0" w:color="86BE57" w:themeColor="accent5"/>
      </w:tblBorders>
    </w:tblPr>
    <w:tcPr>
      <w:shd w:val="clear" w:color="auto" w:fill="86BE5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EE3EB6"/>
    <w:pPr>
      <w:spacing w:line="240" w:lineRule="auto"/>
    </w:pPr>
    <w:rPr>
      <w:color w:val="FFFFFF" w:themeColor="background1"/>
    </w:rPr>
    <w:tblPr>
      <w:tblStyleRowBandSize w:val="1"/>
      <w:tblStyleColBandSize w:val="1"/>
      <w:tblBorders>
        <w:top w:val="single" w:sz="24" w:space="0" w:color="788183" w:themeColor="accent6"/>
        <w:left w:val="single" w:sz="24" w:space="0" w:color="788183" w:themeColor="accent6"/>
        <w:bottom w:val="single" w:sz="24" w:space="0" w:color="788183" w:themeColor="accent6"/>
        <w:right w:val="single" w:sz="24" w:space="0" w:color="788183" w:themeColor="accent6"/>
      </w:tblBorders>
    </w:tblPr>
    <w:tcPr>
      <w:shd w:val="clear" w:color="auto" w:fill="78818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EE3EB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8D487F" w:themeColor="accent1"/>
        <w:bottom w:val="single" w:sz="4" w:space="0" w:color="8D487F" w:themeColor="accent1"/>
      </w:tblBorders>
    </w:tblPr>
    <w:tblStylePr w:type="firstRow">
      <w:rPr>
        <w:b/>
        <w:bCs/>
      </w:rPr>
      <w:tblPr/>
      <w:tcPr>
        <w:tcBorders>
          <w:bottom w:val="single" w:sz="4" w:space="0" w:color="8D487F" w:themeColor="accent1"/>
        </w:tcBorders>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6Colorful-Accent21">
    <w:name w:val="List Table 6 Colorful - Accent 21"/>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C64E45" w:themeColor="accent2"/>
        <w:bottom w:val="single" w:sz="4" w:space="0" w:color="C64E45" w:themeColor="accent2"/>
      </w:tblBorders>
    </w:tblPr>
    <w:tblStylePr w:type="firstRow">
      <w:rPr>
        <w:b/>
        <w:bCs/>
      </w:rPr>
      <w:tblPr/>
      <w:tcPr>
        <w:tcBorders>
          <w:bottom w:val="single" w:sz="4" w:space="0" w:color="C64E45" w:themeColor="accent2"/>
        </w:tcBorders>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6Colorful-Accent31">
    <w:name w:val="List Table 6 Colorful - Accent 31"/>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1873D" w:themeColor="accent3"/>
        <w:bottom w:val="single" w:sz="4" w:space="0" w:color="F1873D" w:themeColor="accent3"/>
      </w:tblBorders>
    </w:tblPr>
    <w:tblStylePr w:type="firstRow">
      <w:rPr>
        <w:b/>
        <w:bCs/>
      </w:rPr>
      <w:tblPr/>
      <w:tcPr>
        <w:tcBorders>
          <w:bottom w:val="single" w:sz="4" w:space="0" w:color="F1873D" w:themeColor="accent3"/>
        </w:tcBorders>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6Colorful-Accent41">
    <w:name w:val="List Table 6 Colorful - Accent 41"/>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CC648" w:themeColor="accent4"/>
        <w:bottom w:val="single" w:sz="4" w:space="0" w:color="FCC648" w:themeColor="accent4"/>
      </w:tblBorders>
    </w:tblPr>
    <w:tblStylePr w:type="firstRow">
      <w:rPr>
        <w:b/>
        <w:bCs/>
      </w:rPr>
      <w:tblPr/>
      <w:tcPr>
        <w:tcBorders>
          <w:bottom w:val="single" w:sz="4" w:space="0" w:color="FCC648" w:themeColor="accent4"/>
        </w:tcBorders>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6Colorful-Accent51">
    <w:name w:val="List Table 6 Colorful - Accent 51"/>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86BE57" w:themeColor="accent5"/>
        <w:bottom w:val="single" w:sz="4" w:space="0" w:color="86BE57" w:themeColor="accent5"/>
      </w:tblBorders>
    </w:tblPr>
    <w:tblStylePr w:type="firstRow">
      <w:rPr>
        <w:b/>
        <w:bCs/>
      </w:rPr>
      <w:tblPr/>
      <w:tcPr>
        <w:tcBorders>
          <w:bottom w:val="single" w:sz="4" w:space="0" w:color="86BE57" w:themeColor="accent5"/>
        </w:tcBorders>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6Colorful-Accent61">
    <w:name w:val="List Table 6 Colorful - Accent 61"/>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788183" w:themeColor="accent6"/>
        <w:bottom w:val="single" w:sz="4" w:space="0" w:color="788183" w:themeColor="accent6"/>
      </w:tblBorders>
    </w:tblPr>
    <w:tblStylePr w:type="firstRow">
      <w:rPr>
        <w:b/>
        <w:bCs/>
      </w:rPr>
      <w:tblPr/>
      <w:tcPr>
        <w:tcBorders>
          <w:bottom w:val="single" w:sz="4" w:space="0" w:color="788183" w:themeColor="accent6"/>
        </w:tcBorders>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7Colorful1">
    <w:name w:val="List Table 7 Colorful1"/>
    <w:basedOn w:val="TableNormal"/>
    <w:uiPriority w:val="52"/>
    <w:semiHidden/>
    <w:rsid w:val="00EE3EB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EE3EB6"/>
    <w:pPr>
      <w:spacing w:line="240" w:lineRule="auto"/>
    </w:pPr>
    <w:rPr>
      <w:color w:val="6936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48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48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48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487F" w:themeColor="accent1"/>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EE3EB6"/>
    <w:pPr>
      <w:spacing w:line="240" w:lineRule="auto"/>
    </w:pPr>
    <w:rPr>
      <w:color w:val="98362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4E4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4E4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4E4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4E45" w:themeColor="accent2"/>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EE3EB6"/>
    <w:pPr>
      <w:spacing w:line="240" w:lineRule="auto"/>
    </w:pPr>
    <w:rPr>
      <w:color w:val="D25E0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873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873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873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873D" w:themeColor="accent3"/>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EE3EB6"/>
    <w:pPr>
      <w:spacing w:line="240" w:lineRule="auto"/>
    </w:pPr>
    <w:rPr>
      <w:color w:val="EEA70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C64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C64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C64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C648" w:themeColor="accent4"/>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EE3EB6"/>
    <w:pPr>
      <w:spacing w:line="240" w:lineRule="auto"/>
    </w:pPr>
    <w:rPr>
      <w:color w:val="63953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E5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E5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E5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E57" w:themeColor="accent5"/>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EE3EB6"/>
    <w:pPr>
      <w:spacing w:line="240" w:lineRule="auto"/>
    </w:pPr>
    <w:rPr>
      <w:color w:val="5A606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818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818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818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8183" w:themeColor="accent6"/>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insideV w:val="single" w:sz="8" w:space="0" w:color="B36BA5" w:themeColor="accent1" w:themeTint="BF"/>
      </w:tblBorders>
    </w:tblPr>
    <w:tcPr>
      <w:shd w:val="clear" w:color="auto" w:fill="E6CEE1" w:themeFill="accent1" w:themeFillTint="3F"/>
    </w:tcPr>
    <w:tblStylePr w:type="firstRow">
      <w:rPr>
        <w:b/>
        <w:bCs/>
      </w:rPr>
    </w:tblStylePr>
    <w:tblStylePr w:type="lastRow">
      <w:rPr>
        <w:b/>
        <w:bCs/>
      </w:rPr>
      <w:tblPr/>
      <w:tcPr>
        <w:tcBorders>
          <w:top w:val="single" w:sz="18" w:space="0" w:color="B36BA5" w:themeColor="accent1" w:themeTint="BF"/>
        </w:tcBorders>
      </w:tcPr>
    </w:tblStylePr>
    <w:tblStylePr w:type="firstCol">
      <w:rPr>
        <w:b/>
        <w:bCs/>
      </w:rPr>
    </w:tblStylePr>
    <w:tblStylePr w:type="lastCol">
      <w:rPr>
        <w:b/>
        <w:bCs/>
      </w:r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MediumGrid1-Accent2">
    <w:name w:val="Medium Grid 1 Accent 2"/>
    <w:basedOn w:val="TableNormal"/>
    <w:uiPriority w:val="67"/>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insideV w:val="single" w:sz="8" w:space="0" w:color="D47973" w:themeColor="accent2" w:themeTint="BF"/>
      </w:tblBorders>
    </w:tblPr>
    <w:tcPr>
      <w:shd w:val="clear" w:color="auto" w:fill="F1D2D0" w:themeFill="accent2" w:themeFillTint="3F"/>
    </w:tcPr>
    <w:tblStylePr w:type="firstRow">
      <w:rPr>
        <w:b/>
        <w:bCs/>
      </w:rPr>
    </w:tblStylePr>
    <w:tblStylePr w:type="lastRow">
      <w:rPr>
        <w:b/>
        <w:bCs/>
      </w:rPr>
      <w:tblPr/>
      <w:tcPr>
        <w:tcBorders>
          <w:top w:val="single" w:sz="18" w:space="0" w:color="D47973" w:themeColor="accent2" w:themeTint="BF"/>
        </w:tcBorders>
      </w:tcPr>
    </w:tblStylePr>
    <w:tblStylePr w:type="firstCol">
      <w:rPr>
        <w:b/>
        <w:bCs/>
      </w:rPr>
    </w:tblStylePr>
    <w:tblStylePr w:type="lastCol">
      <w:rPr>
        <w:b/>
        <w:bCs/>
      </w:r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MediumGrid1-Accent3">
    <w:name w:val="Medium Grid 1 Accent 3"/>
    <w:basedOn w:val="TableNormal"/>
    <w:uiPriority w:val="67"/>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insideV w:val="single" w:sz="8" w:space="0" w:color="F4A46D" w:themeColor="accent3" w:themeTint="BF"/>
      </w:tblBorders>
    </w:tblPr>
    <w:tcPr>
      <w:shd w:val="clear" w:color="auto" w:fill="FBE1CE" w:themeFill="accent3" w:themeFillTint="3F"/>
    </w:tcPr>
    <w:tblStylePr w:type="firstRow">
      <w:rPr>
        <w:b/>
        <w:bCs/>
      </w:rPr>
    </w:tblStylePr>
    <w:tblStylePr w:type="lastRow">
      <w:rPr>
        <w:b/>
        <w:bCs/>
      </w:rPr>
      <w:tblPr/>
      <w:tcPr>
        <w:tcBorders>
          <w:top w:val="single" w:sz="18" w:space="0" w:color="F4A46D" w:themeColor="accent3" w:themeTint="BF"/>
        </w:tcBorders>
      </w:tcPr>
    </w:tblStylePr>
    <w:tblStylePr w:type="firstCol">
      <w:rPr>
        <w:b/>
        <w:bCs/>
      </w:rPr>
    </w:tblStylePr>
    <w:tblStylePr w:type="lastCol">
      <w:rPr>
        <w:b/>
        <w:bCs/>
      </w:r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MediumGrid1-Accent4">
    <w:name w:val="Medium Grid 1 Accent 4"/>
    <w:basedOn w:val="TableNormal"/>
    <w:uiPriority w:val="67"/>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insideV w:val="single" w:sz="8" w:space="0" w:color="FCD475" w:themeColor="accent4" w:themeTint="BF"/>
      </w:tblBorders>
    </w:tblPr>
    <w:tcPr>
      <w:shd w:val="clear" w:color="auto" w:fill="FEF0D1" w:themeFill="accent4" w:themeFillTint="3F"/>
    </w:tcPr>
    <w:tblStylePr w:type="firstRow">
      <w:rPr>
        <w:b/>
        <w:bCs/>
      </w:rPr>
    </w:tblStylePr>
    <w:tblStylePr w:type="lastRow">
      <w:rPr>
        <w:b/>
        <w:bCs/>
      </w:rPr>
      <w:tblPr/>
      <w:tcPr>
        <w:tcBorders>
          <w:top w:val="single" w:sz="18" w:space="0" w:color="FCD475" w:themeColor="accent4" w:themeTint="BF"/>
        </w:tcBorders>
      </w:tcPr>
    </w:tblStylePr>
    <w:tblStylePr w:type="firstCol">
      <w:rPr>
        <w:b/>
        <w:bCs/>
      </w:rPr>
    </w:tblStylePr>
    <w:tblStylePr w:type="lastCol">
      <w:rPr>
        <w:b/>
        <w:bCs/>
      </w:r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MediumGrid1-Accent5">
    <w:name w:val="Medium Grid 1 Accent 5"/>
    <w:basedOn w:val="TableNormal"/>
    <w:uiPriority w:val="67"/>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insideV w:val="single" w:sz="8" w:space="0" w:color="A4CE81" w:themeColor="accent5" w:themeTint="BF"/>
      </w:tblBorders>
    </w:tblPr>
    <w:tcPr>
      <w:shd w:val="clear" w:color="auto" w:fill="E1EFD5" w:themeFill="accent5" w:themeFillTint="3F"/>
    </w:tcPr>
    <w:tblStylePr w:type="firstRow">
      <w:rPr>
        <w:b/>
        <w:bCs/>
      </w:rPr>
    </w:tblStylePr>
    <w:tblStylePr w:type="lastRow">
      <w:rPr>
        <w:b/>
        <w:bCs/>
      </w:rPr>
      <w:tblPr/>
      <w:tcPr>
        <w:tcBorders>
          <w:top w:val="single" w:sz="18" w:space="0" w:color="A4CE81" w:themeColor="accent5" w:themeTint="BF"/>
        </w:tcBorders>
      </w:tcPr>
    </w:tblStylePr>
    <w:tblStylePr w:type="firstCol">
      <w:rPr>
        <w:b/>
        <w:bCs/>
      </w:rPr>
    </w:tblStylePr>
    <w:tblStylePr w:type="lastCol">
      <w:rPr>
        <w:b/>
        <w:bCs/>
      </w:r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MediumGrid1-Accent6">
    <w:name w:val="Medium Grid 1 Accent 6"/>
    <w:basedOn w:val="TableNormal"/>
    <w:uiPriority w:val="67"/>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insideV w:val="single" w:sz="8" w:space="0" w:color="99A0A2" w:themeColor="accent6" w:themeTint="BF"/>
      </w:tblBorders>
    </w:tblPr>
    <w:tcPr>
      <w:shd w:val="clear" w:color="auto" w:fill="DDDFE0" w:themeFill="accent6" w:themeFillTint="3F"/>
    </w:tcPr>
    <w:tblStylePr w:type="firstRow">
      <w:rPr>
        <w:b/>
        <w:bCs/>
      </w:rPr>
    </w:tblStylePr>
    <w:tblStylePr w:type="lastRow">
      <w:rPr>
        <w:b/>
        <w:bCs/>
      </w:rPr>
      <w:tblPr/>
      <w:tcPr>
        <w:tcBorders>
          <w:top w:val="single" w:sz="18" w:space="0" w:color="99A0A2" w:themeColor="accent6" w:themeTint="BF"/>
        </w:tcBorders>
      </w:tcPr>
    </w:tblStylePr>
    <w:tblStylePr w:type="firstCol">
      <w:rPr>
        <w:b/>
        <w:bCs/>
      </w:rPr>
    </w:tblStylePr>
    <w:tblStylePr w:type="lastCol">
      <w:rPr>
        <w:b/>
        <w:bCs/>
      </w:r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MediumGrid2">
    <w:name w:val="Medium Grid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cPr>
      <w:shd w:val="clear" w:color="auto" w:fill="E6CEE1" w:themeFill="accent1" w:themeFillTint="3F"/>
    </w:tcPr>
    <w:tblStylePr w:type="firstRow">
      <w:rPr>
        <w:b/>
        <w:bCs/>
        <w:color w:val="000000" w:themeColor="text1"/>
      </w:rPr>
      <w:tblPr/>
      <w:tcPr>
        <w:shd w:val="clear" w:color="auto" w:fill="F5EBF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7E6" w:themeFill="accent1" w:themeFillTint="33"/>
      </w:tcPr>
    </w:tblStylePr>
    <w:tblStylePr w:type="band1Vert">
      <w:tblPr/>
      <w:tcPr>
        <w:shd w:val="clear" w:color="auto" w:fill="CD9DC3" w:themeFill="accent1" w:themeFillTint="7F"/>
      </w:tcPr>
    </w:tblStylePr>
    <w:tblStylePr w:type="band1Horz">
      <w:tblPr/>
      <w:tcPr>
        <w:tcBorders>
          <w:insideH w:val="single" w:sz="6" w:space="0" w:color="8D487F" w:themeColor="accent1"/>
          <w:insideV w:val="single" w:sz="6" w:space="0" w:color="8D487F" w:themeColor="accent1"/>
        </w:tcBorders>
        <w:shd w:val="clear" w:color="auto" w:fill="CD9DC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cPr>
      <w:shd w:val="clear" w:color="auto" w:fill="F1D2D0" w:themeFill="accent2" w:themeFillTint="3F"/>
    </w:tcPr>
    <w:tblStylePr w:type="firstRow">
      <w:rPr>
        <w:b/>
        <w:bCs/>
        <w:color w:val="000000" w:themeColor="text1"/>
      </w:rPr>
      <w:tblPr/>
      <w:tcPr>
        <w:shd w:val="clear" w:color="auto" w:fill="F9ED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BD9" w:themeFill="accent2" w:themeFillTint="33"/>
      </w:tcPr>
    </w:tblStylePr>
    <w:tblStylePr w:type="band1Vert">
      <w:tblPr/>
      <w:tcPr>
        <w:shd w:val="clear" w:color="auto" w:fill="E2A6A2" w:themeFill="accent2" w:themeFillTint="7F"/>
      </w:tcPr>
    </w:tblStylePr>
    <w:tblStylePr w:type="band1Horz">
      <w:tblPr/>
      <w:tcPr>
        <w:tcBorders>
          <w:insideH w:val="single" w:sz="6" w:space="0" w:color="C64E45" w:themeColor="accent2"/>
          <w:insideV w:val="single" w:sz="6" w:space="0" w:color="C64E45" w:themeColor="accent2"/>
        </w:tcBorders>
        <w:shd w:val="clear" w:color="auto" w:fill="E2A6A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cPr>
      <w:shd w:val="clear" w:color="auto" w:fill="FBE1CE" w:themeFill="accent3" w:themeFillTint="3F"/>
    </w:tcPr>
    <w:tblStylePr w:type="firstRow">
      <w:rPr>
        <w:b/>
        <w:bCs/>
        <w:color w:val="000000" w:themeColor="text1"/>
      </w:rPr>
      <w:tblPr/>
      <w:tcPr>
        <w:shd w:val="clear" w:color="auto" w:fill="FDF3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6D8" w:themeFill="accent3" w:themeFillTint="33"/>
      </w:tcPr>
    </w:tblStylePr>
    <w:tblStylePr w:type="band1Vert">
      <w:tblPr/>
      <w:tcPr>
        <w:shd w:val="clear" w:color="auto" w:fill="F8C29E" w:themeFill="accent3" w:themeFillTint="7F"/>
      </w:tcPr>
    </w:tblStylePr>
    <w:tblStylePr w:type="band1Horz">
      <w:tblPr/>
      <w:tcPr>
        <w:tcBorders>
          <w:insideH w:val="single" w:sz="6" w:space="0" w:color="F1873D" w:themeColor="accent3"/>
          <w:insideV w:val="single" w:sz="6" w:space="0" w:color="F1873D" w:themeColor="accent3"/>
        </w:tcBorders>
        <w:shd w:val="clear" w:color="auto" w:fill="F8C29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cPr>
      <w:shd w:val="clear" w:color="auto" w:fill="FEF0D1" w:themeFill="accent4" w:themeFillTint="3F"/>
    </w:tcPr>
    <w:tblStylePr w:type="firstRow">
      <w:rPr>
        <w:b/>
        <w:bCs/>
        <w:color w:val="000000" w:themeColor="text1"/>
      </w:rPr>
      <w:tblPr/>
      <w:tcPr>
        <w:shd w:val="clear" w:color="auto" w:fill="FEF9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3DA" w:themeFill="accent4" w:themeFillTint="33"/>
      </w:tcPr>
    </w:tblStylePr>
    <w:tblStylePr w:type="band1Vert">
      <w:tblPr/>
      <w:tcPr>
        <w:shd w:val="clear" w:color="auto" w:fill="FDE2A3" w:themeFill="accent4" w:themeFillTint="7F"/>
      </w:tcPr>
    </w:tblStylePr>
    <w:tblStylePr w:type="band1Horz">
      <w:tblPr/>
      <w:tcPr>
        <w:tcBorders>
          <w:insideH w:val="single" w:sz="6" w:space="0" w:color="FCC648" w:themeColor="accent4"/>
          <w:insideV w:val="single" w:sz="6" w:space="0" w:color="FCC648" w:themeColor="accent4"/>
        </w:tcBorders>
        <w:shd w:val="clear" w:color="auto" w:fill="FDE2A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cPr>
      <w:shd w:val="clear" w:color="auto" w:fill="E1EFD5" w:themeFill="accent5" w:themeFillTint="3F"/>
    </w:tcPr>
    <w:tblStylePr w:type="firstRow">
      <w:rPr>
        <w:b/>
        <w:bCs/>
        <w:color w:val="000000" w:themeColor="text1"/>
      </w:rPr>
      <w:tblPr/>
      <w:tcPr>
        <w:shd w:val="clear" w:color="auto" w:fill="F3F8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F2DD" w:themeFill="accent5" w:themeFillTint="33"/>
      </w:tcPr>
    </w:tblStylePr>
    <w:tblStylePr w:type="band1Vert">
      <w:tblPr/>
      <w:tcPr>
        <w:shd w:val="clear" w:color="auto" w:fill="C2DEAB" w:themeFill="accent5" w:themeFillTint="7F"/>
      </w:tcPr>
    </w:tblStylePr>
    <w:tblStylePr w:type="band1Horz">
      <w:tblPr/>
      <w:tcPr>
        <w:tcBorders>
          <w:insideH w:val="single" w:sz="6" w:space="0" w:color="86BE57" w:themeColor="accent5"/>
          <w:insideV w:val="single" w:sz="6" w:space="0" w:color="86BE57" w:themeColor="accent5"/>
        </w:tcBorders>
        <w:shd w:val="clear" w:color="auto" w:fill="C2DEA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cPr>
      <w:shd w:val="clear" w:color="auto" w:fill="DDDFE0" w:themeFill="accent6" w:themeFillTint="3F"/>
    </w:tcPr>
    <w:tblStylePr w:type="firstRow">
      <w:rPr>
        <w:b/>
        <w:bCs/>
        <w:color w:val="000000" w:themeColor="text1"/>
      </w:rPr>
      <w:tblPr/>
      <w:tcPr>
        <w:shd w:val="clear" w:color="auto" w:fill="F1F2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5E6" w:themeFill="accent6" w:themeFillTint="33"/>
      </w:tcPr>
    </w:tblStylePr>
    <w:tblStylePr w:type="band1Vert">
      <w:tblPr/>
      <w:tcPr>
        <w:shd w:val="clear" w:color="auto" w:fill="BBC0C1" w:themeFill="accent6" w:themeFillTint="7F"/>
      </w:tcPr>
    </w:tblStylePr>
    <w:tblStylePr w:type="band1Horz">
      <w:tblPr/>
      <w:tcPr>
        <w:tcBorders>
          <w:insideH w:val="single" w:sz="6" w:space="0" w:color="788183" w:themeColor="accent6"/>
          <w:insideV w:val="single" w:sz="6" w:space="0" w:color="788183" w:themeColor="accent6"/>
        </w:tcBorders>
        <w:shd w:val="clear" w:color="auto" w:fill="BBC0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CEE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487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487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9DC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9DC3" w:themeFill="accent1" w:themeFillTint="7F"/>
      </w:tcPr>
    </w:tblStylePr>
  </w:style>
  <w:style w:type="table" w:styleId="MediumGrid3-Accent2">
    <w:name w:val="Medium Grid 3 Accent 2"/>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D2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4E4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4E4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A6A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A6A2" w:themeFill="accent2" w:themeFillTint="7F"/>
      </w:tcPr>
    </w:tblStylePr>
  </w:style>
  <w:style w:type="table" w:styleId="MediumGrid3-Accent3">
    <w:name w:val="Medium Grid 3 Accent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873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873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C29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C29E" w:themeFill="accent3" w:themeFillTint="7F"/>
      </w:tcPr>
    </w:tblStylePr>
  </w:style>
  <w:style w:type="table" w:styleId="MediumGrid3-Accent4">
    <w:name w:val="Medium Grid 3 Accent 4"/>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0D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C64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C64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E2A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E2A3" w:themeFill="accent4" w:themeFillTint="7F"/>
      </w:tcPr>
    </w:tblStylePr>
  </w:style>
  <w:style w:type="table" w:styleId="MediumGrid3-Accent5">
    <w:name w:val="Medium Grid 3 Accent 5"/>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FD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E5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E5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DEA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DEAB" w:themeFill="accent5" w:themeFillTint="7F"/>
      </w:tcPr>
    </w:tblStylePr>
  </w:style>
  <w:style w:type="table" w:styleId="MediumGrid3-Accent6">
    <w:name w:val="Medium Grid 3 Accent 6"/>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F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818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818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C0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C0C1" w:themeFill="accent6" w:themeFillTint="7F"/>
      </w:tcPr>
    </w:tblStylePr>
  </w:style>
  <w:style w:type="table" w:styleId="MediumList1">
    <w:name w:val="Medium List 1"/>
    <w:basedOn w:val="TableNormal"/>
    <w:uiPriority w:val="65"/>
    <w:semiHidden/>
    <w:rsid w:val="00EE3EB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78B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EE3EB6"/>
    <w:pPr>
      <w:spacing w:line="240" w:lineRule="auto"/>
    </w:pPr>
    <w:rPr>
      <w:color w:val="000000" w:themeColor="text1"/>
    </w:rPr>
    <w:tblPr>
      <w:tblStyleRowBandSize w:val="1"/>
      <w:tblStyleColBandSize w:val="1"/>
      <w:tblBorders>
        <w:top w:val="single" w:sz="8" w:space="0" w:color="8D487F" w:themeColor="accent1"/>
        <w:bottom w:val="single" w:sz="8" w:space="0" w:color="8D487F" w:themeColor="accent1"/>
      </w:tblBorders>
    </w:tblPr>
    <w:tblStylePr w:type="firstRow">
      <w:rPr>
        <w:rFonts w:asciiTheme="majorHAnsi" w:eastAsiaTheme="majorEastAsia" w:hAnsiTheme="majorHAnsi" w:cstheme="majorBidi"/>
      </w:rPr>
      <w:tblPr/>
      <w:tcPr>
        <w:tcBorders>
          <w:top w:val="nil"/>
          <w:bottom w:val="single" w:sz="8" w:space="0" w:color="8D487F" w:themeColor="accent1"/>
        </w:tcBorders>
      </w:tcPr>
    </w:tblStylePr>
    <w:tblStylePr w:type="lastRow">
      <w:rPr>
        <w:b/>
        <w:bCs/>
        <w:color w:val="9778B4" w:themeColor="text2"/>
      </w:rPr>
      <w:tblPr/>
      <w:tcPr>
        <w:tcBorders>
          <w:top w:val="single" w:sz="8" w:space="0" w:color="8D487F" w:themeColor="accent1"/>
          <w:bottom w:val="single" w:sz="8" w:space="0" w:color="8D487F" w:themeColor="accent1"/>
        </w:tcBorders>
      </w:tcPr>
    </w:tblStylePr>
    <w:tblStylePr w:type="firstCol">
      <w:rPr>
        <w:b/>
        <w:bCs/>
      </w:rPr>
    </w:tblStylePr>
    <w:tblStylePr w:type="lastCol">
      <w:rPr>
        <w:b/>
        <w:bCs/>
      </w:rPr>
      <w:tblPr/>
      <w:tcPr>
        <w:tcBorders>
          <w:top w:val="single" w:sz="8" w:space="0" w:color="8D487F" w:themeColor="accent1"/>
          <w:bottom w:val="single" w:sz="8" w:space="0" w:color="8D487F" w:themeColor="accent1"/>
        </w:tcBorders>
      </w:tcPr>
    </w:tblStylePr>
    <w:tblStylePr w:type="band1Vert">
      <w:tblPr/>
      <w:tcPr>
        <w:shd w:val="clear" w:color="auto" w:fill="E6CEE1" w:themeFill="accent1" w:themeFillTint="3F"/>
      </w:tcPr>
    </w:tblStylePr>
    <w:tblStylePr w:type="band1Horz">
      <w:tblPr/>
      <w:tcPr>
        <w:shd w:val="clear" w:color="auto" w:fill="E6CEE1" w:themeFill="accent1" w:themeFillTint="3F"/>
      </w:tcPr>
    </w:tblStylePr>
  </w:style>
  <w:style w:type="table" w:styleId="MediumList1-Accent2">
    <w:name w:val="Medium List 1 Accent 2"/>
    <w:basedOn w:val="TableNormal"/>
    <w:uiPriority w:val="65"/>
    <w:semiHidden/>
    <w:rsid w:val="00EE3EB6"/>
    <w:pPr>
      <w:spacing w:line="240" w:lineRule="auto"/>
    </w:pPr>
    <w:rPr>
      <w:color w:val="000000" w:themeColor="text1"/>
    </w:rPr>
    <w:tblPr>
      <w:tblStyleRowBandSize w:val="1"/>
      <w:tblStyleColBandSize w:val="1"/>
      <w:tblBorders>
        <w:top w:val="single" w:sz="8" w:space="0" w:color="C64E45" w:themeColor="accent2"/>
        <w:bottom w:val="single" w:sz="8" w:space="0" w:color="C64E45" w:themeColor="accent2"/>
      </w:tblBorders>
    </w:tblPr>
    <w:tblStylePr w:type="firstRow">
      <w:rPr>
        <w:rFonts w:asciiTheme="majorHAnsi" w:eastAsiaTheme="majorEastAsia" w:hAnsiTheme="majorHAnsi" w:cstheme="majorBidi"/>
      </w:rPr>
      <w:tblPr/>
      <w:tcPr>
        <w:tcBorders>
          <w:top w:val="nil"/>
          <w:bottom w:val="single" w:sz="8" w:space="0" w:color="C64E45" w:themeColor="accent2"/>
        </w:tcBorders>
      </w:tcPr>
    </w:tblStylePr>
    <w:tblStylePr w:type="lastRow">
      <w:rPr>
        <w:b/>
        <w:bCs/>
        <w:color w:val="9778B4" w:themeColor="text2"/>
      </w:rPr>
      <w:tblPr/>
      <w:tcPr>
        <w:tcBorders>
          <w:top w:val="single" w:sz="8" w:space="0" w:color="C64E45" w:themeColor="accent2"/>
          <w:bottom w:val="single" w:sz="8" w:space="0" w:color="C64E45" w:themeColor="accent2"/>
        </w:tcBorders>
      </w:tcPr>
    </w:tblStylePr>
    <w:tblStylePr w:type="firstCol">
      <w:rPr>
        <w:b/>
        <w:bCs/>
      </w:rPr>
    </w:tblStylePr>
    <w:tblStylePr w:type="lastCol">
      <w:rPr>
        <w:b/>
        <w:bCs/>
      </w:rPr>
      <w:tblPr/>
      <w:tcPr>
        <w:tcBorders>
          <w:top w:val="single" w:sz="8" w:space="0" w:color="C64E45" w:themeColor="accent2"/>
          <w:bottom w:val="single" w:sz="8" w:space="0" w:color="C64E45" w:themeColor="accent2"/>
        </w:tcBorders>
      </w:tcPr>
    </w:tblStylePr>
    <w:tblStylePr w:type="band1Vert">
      <w:tblPr/>
      <w:tcPr>
        <w:shd w:val="clear" w:color="auto" w:fill="F1D2D0" w:themeFill="accent2" w:themeFillTint="3F"/>
      </w:tcPr>
    </w:tblStylePr>
    <w:tblStylePr w:type="band1Horz">
      <w:tblPr/>
      <w:tcPr>
        <w:shd w:val="clear" w:color="auto" w:fill="F1D2D0" w:themeFill="accent2" w:themeFillTint="3F"/>
      </w:tcPr>
    </w:tblStylePr>
  </w:style>
  <w:style w:type="table" w:styleId="MediumList1-Accent3">
    <w:name w:val="Medium List 1 Accent 3"/>
    <w:basedOn w:val="TableNormal"/>
    <w:uiPriority w:val="65"/>
    <w:semiHidden/>
    <w:rsid w:val="00EE3EB6"/>
    <w:pPr>
      <w:spacing w:line="240" w:lineRule="auto"/>
    </w:pPr>
    <w:rPr>
      <w:color w:val="000000" w:themeColor="text1"/>
    </w:rPr>
    <w:tblPr>
      <w:tblStyleRowBandSize w:val="1"/>
      <w:tblStyleColBandSize w:val="1"/>
      <w:tblBorders>
        <w:top w:val="single" w:sz="8" w:space="0" w:color="F1873D" w:themeColor="accent3"/>
        <w:bottom w:val="single" w:sz="8" w:space="0" w:color="F1873D" w:themeColor="accent3"/>
      </w:tblBorders>
    </w:tblPr>
    <w:tblStylePr w:type="firstRow">
      <w:rPr>
        <w:rFonts w:asciiTheme="majorHAnsi" w:eastAsiaTheme="majorEastAsia" w:hAnsiTheme="majorHAnsi" w:cstheme="majorBidi"/>
      </w:rPr>
      <w:tblPr/>
      <w:tcPr>
        <w:tcBorders>
          <w:top w:val="nil"/>
          <w:bottom w:val="single" w:sz="8" w:space="0" w:color="F1873D" w:themeColor="accent3"/>
        </w:tcBorders>
      </w:tcPr>
    </w:tblStylePr>
    <w:tblStylePr w:type="lastRow">
      <w:rPr>
        <w:b/>
        <w:bCs/>
        <w:color w:val="9778B4" w:themeColor="text2"/>
      </w:rPr>
      <w:tblPr/>
      <w:tcPr>
        <w:tcBorders>
          <w:top w:val="single" w:sz="8" w:space="0" w:color="F1873D" w:themeColor="accent3"/>
          <w:bottom w:val="single" w:sz="8" w:space="0" w:color="F1873D" w:themeColor="accent3"/>
        </w:tcBorders>
      </w:tcPr>
    </w:tblStylePr>
    <w:tblStylePr w:type="firstCol">
      <w:rPr>
        <w:b/>
        <w:bCs/>
      </w:rPr>
    </w:tblStylePr>
    <w:tblStylePr w:type="lastCol">
      <w:rPr>
        <w:b/>
        <w:bCs/>
      </w:rPr>
      <w:tblPr/>
      <w:tcPr>
        <w:tcBorders>
          <w:top w:val="single" w:sz="8" w:space="0" w:color="F1873D" w:themeColor="accent3"/>
          <w:bottom w:val="single" w:sz="8" w:space="0" w:color="F1873D" w:themeColor="accent3"/>
        </w:tcBorders>
      </w:tcPr>
    </w:tblStylePr>
    <w:tblStylePr w:type="band1Vert">
      <w:tblPr/>
      <w:tcPr>
        <w:shd w:val="clear" w:color="auto" w:fill="FBE1CE" w:themeFill="accent3" w:themeFillTint="3F"/>
      </w:tcPr>
    </w:tblStylePr>
    <w:tblStylePr w:type="band1Horz">
      <w:tblPr/>
      <w:tcPr>
        <w:shd w:val="clear" w:color="auto" w:fill="FBE1CE" w:themeFill="accent3" w:themeFillTint="3F"/>
      </w:tcPr>
    </w:tblStylePr>
  </w:style>
  <w:style w:type="table" w:styleId="MediumList1-Accent4">
    <w:name w:val="Medium List 1 Accent 4"/>
    <w:basedOn w:val="TableNormal"/>
    <w:uiPriority w:val="65"/>
    <w:semiHidden/>
    <w:rsid w:val="00EE3EB6"/>
    <w:pPr>
      <w:spacing w:line="240" w:lineRule="auto"/>
    </w:pPr>
    <w:rPr>
      <w:color w:val="000000" w:themeColor="text1"/>
    </w:rPr>
    <w:tblPr>
      <w:tblStyleRowBandSize w:val="1"/>
      <w:tblStyleColBandSize w:val="1"/>
      <w:tblBorders>
        <w:top w:val="single" w:sz="8" w:space="0" w:color="FCC648" w:themeColor="accent4"/>
        <w:bottom w:val="single" w:sz="8" w:space="0" w:color="FCC648" w:themeColor="accent4"/>
      </w:tblBorders>
    </w:tblPr>
    <w:tblStylePr w:type="firstRow">
      <w:rPr>
        <w:rFonts w:asciiTheme="majorHAnsi" w:eastAsiaTheme="majorEastAsia" w:hAnsiTheme="majorHAnsi" w:cstheme="majorBidi"/>
      </w:rPr>
      <w:tblPr/>
      <w:tcPr>
        <w:tcBorders>
          <w:top w:val="nil"/>
          <w:bottom w:val="single" w:sz="8" w:space="0" w:color="FCC648" w:themeColor="accent4"/>
        </w:tcBorders>
      </w:tcPr>
    </w:tblStylePr>
    <w:tblStylePr w:type="lastRow">
      <w:rPr>
        <w:b/>
        <w:bCs/>
        <w:color w:val="9778B4" w:themeColor="text2"/>
      </w:rPr>
      <w:tblPr/>
      <w:tcPr>
        <w:tcBorders>
          <w:top w:val="single" w:sz="8" w:space="0" w:color="FCC648" w:themeColor="accent4"/>
          <w:bottom w:val="single" w:sz="8" w:space="0" w:color="FCC648" w:themeColor="accent4"/>
        </w:tcBorders>
      </w:tcPr>
    </w:tblStylePr>
    <w:tblStylePr w:type="firstCol">
      <w:rPr>
        <w:b/>
        <w:bCs/>
      </w:rPr>
    </w:tblStylePr>
    <w:tblStylePr w:type="lastCol">
      <w:rPr>
        <w:b/>
        <w:bCs/>
      </w:rPr>
      <w:tblPr/>
      <w:tcPr>
        <w:tcBorders>
          <w:top w:val="single" w:sz="8" w:space="0" w:color="FCC648" w:themeColor="accent4"/>
          <w:bottom w:val="single" w:sz="8" w:space="0" w:color="FCC648" w:themeColor="accent4"/>
        </w:tcBorders>
      </w:tcPr>
    </w:tblStylePr>
    <w:tblStylePr w:type="band1Vert">
      <w:tblPr/>
      <w:tcPr>
        <w:shd w:val="clear" w:color="auto" w:fill="FEF0D1" w:themeFill="accent4" w:themeFillTint="3F"/>
      </w:tcPr>
    </w:tblStylePr>
    <w:tblStylePr w:type="band1Horz">
      <w:tblPr/>
      <w:tcPr>
        <w:shd w:val="clear" w:color="auto" w:fill="FEF0D1" w:themeFill="accent4" w:themeFillTint="3F"/>
      </w:tcPr>
    </w:tblStylePr>
  </w:style>
  <w:style w:type="table" w:styleId="MediumList1-Accent5">
    <w:name w:val="Medium List 1 Accent 5"/>
    <w:basedOn w:val="TableNormal"/>
    <w:uiPriority w:val="65"/>
    <w:semiHidden/>
    <w:rsid w:val="00EE3EB6"/>
    <w:pPr>
      <w:spacing w:line="240" w:lineRule="auto"/>
    </w:pPr>
    <w:rPr>
      <w:color w:val="000000" w:themeColor="text1"/>
    </w:rPr>
    <w:tblPr>
      <w:tblStyleRowBandSize w:val="1"/>
      <w:tblStyleColBandSize w:val="1"/>
      <w:tblBorders>
        <w:top w:val="single" w:sz="8" w:space="0" w:color="86BE57" w:themeColor="accent5"/>
        <w:bottom w:val="single" w:sz="8" w:space="0" w:color="86BE57" w:themeColor="accent5"/>
      </w:tblBorders>
    </w:tblPr>
    <w:tblStylePr w:type="firstRow">
      <w:rPr>
        <w:rFonts w:asciiTheme="majorHAnsi" w:eastAsiaTheme="majorEastAsia" w:hAnsiTheme="majorHAnsi" w:cstheme="majorBidi"/>
      </w:rPr>
      <w:tblPr/>
      <w:tcPr>
        <w:tcBorders>
          <w:top w:val="nil"/>
          <w:bottom w:val="single" w:sz="8" w:space="0" w:color="86BE57" w:themeColor="accent5"/>
        </w:tcBorders>
      </w:tcPr>
    </w:tblStylePr>
    <w:tblStylePr w:type="lastRow">
      <w:rPr>
        <w:b/>
        <w:bCs/>
        <w:color w:val="9778B4" w:themeColor="text2"/>
      </w:rPr>
      <w:tblPr/>
      <w:tcPr>
        <w:tcBorders>
          <w:top w:val="single" w:sz="8" w:space="0" w:color="86BE57" w:themeColor="accent5"/>
          <w:bottom w:val="single" w:sz="8" w:space="0" w:color="86BE57" w:themeColor="accent5"/>
        </w:tcBorders>
      </w:tcPr>
    </w:tblStylePr>
    <w:tblStylePr w:type="firstCol">
      <w:rPr>
        <w:b/>
        <w:bCs/>
      </w:rPr>
    </w:tblStylePr>
    <w:tblStylePr w:type="lastCol">
      <w:rPr>
        <w:b/>
        <w:bCs/>
      </w:rPr>
      <w:tblPr/>
      <w:tcPr>
        <w:tcBorders>
          <w:top w:val="single" w:sz="8" w:space="0" w:color="86BE57" w:themeColor="accent5"/>
          <w:bottom w:val="single" w:sz="8" w:space="0" w:color="86BE57" w:themeColor="accent5"/>
        </w:tcBorders>
      </w:tcPr>
    </w:tblStylePr>
    <w:tblStylePr w:type="band1Vert">
      <w:tblPr/>
      <w:tcPr>
        <w:shd w:val="clear" w:color="auto" w:fill="E1EFD5" w:themeFill="accent5" w:themeFillTint="3F"/>
      </w:tcPr>
    </w:tblStylePr>
    <w:tblStylePr w:type="band1Horz">
      <w:tblPr/>
      <w:tcPr>
        <w:shd w:val="clear" w:color="auto" w:fill="E1EFD5" w:themeFill="accent5" w:themeFillTint="3F"/>
      </w:tcPr>
    </w:tblStylePr>
  </w:style>
  <w:style w:type="table" w:styleId="MediumList1-Accent6">
    <w:name w:val="Medium List 1 Accent 6"/>
    <w:basedOn w:val="TableNormal"/>
    <w:uiPriority w:val="65"/>
    <w:semiHidden/>
    <w:rsid w:val="00EE3EB6"/>
    <w:pPr>
      <w:spacing w:line="240" w:lineRule="auto"/>
    </w:pPr>
    <w:rPr>
      <w:color w:val="000000" w:themeColor="text1"/>
    </w:rPr>
    <w:tblPr>
      <w:tblStyleRowBandSize w:val="1"/>
      <w:tblStyleColBandSize w:val="1"/>
      <w:tblBorders>
        <w:top w:val="single" w:sz="8" w:space="0" w:color="788183" w:themeColor="accent6"/>
        <w:bottom w:val="single" w:sz="8" w:space="0" w:color="788183" w:themeColor="accent6"/>
      </w:tblBorders>
    </w:tblPr>
    <w:tblStylePr w:type="firstRow">
      <w:rPr>
        <w:rFonts w:asciiTheme="majorHAnsi" w:eastAsiaTheme="majorEastAsia" w:hAnsiTheme="majorHAnsi" w:cstheme="majorBidi"/>
      </w:rPr>
      <w:tblPr/>
      <w:tcPr>
        <w:tcBorders>
          <w:top w:val="nil"/>
          <w:bottom w:val="single" w:sz="8" w:space="0" w:color="788183" w:themeColor="accent6"/>
        </w:tcBorders>
      </w:tcPr>
    </w:tblStylePr>
    <w:tblStylePr w:type="lastRow">
      <w:rPr>
        <w:b/>
        <w:bCs/>
        <w:color w:val="9778B4" w:themeColor="text2"/>
      </w:rPr>
      <w:tblPr/>
      <w:tcPr>
        <w:tcBorders>
          <w:top w:val="single" w:sz="8" w:space="0" w:color="788183" w:themeColor="accent6"/>
          <w:bottom w:val="single" w:sz="8" w:space="0" w:color="788183" w:themeColor="accent6"/>
        </w:tcBorders>
      </w:tcPr>
    </w:tblStylePr>
    <w:tblStylePr w:type="firstCol">
      <w:rPr>
        <w:b/>
        <w:bCs/>
      </w:rPr>
    </w:tblStylePr>
    <w:tblStylePr w:type="lastCol">
      <w:rPr>
        <w:b/>
        <w:bCs/>
      </w:rPr>
      <w:tblPr/>
      <w:tcPr>
        <w:tcBorders>
          <w:top w:val="single" w:sz="8" w:space="0" w:color="788183" w:themeColor="accent6"/>
          <w:bottom w:val="single" w:sz="8" w:space="0" w:color="788183" w:themeColor="accent6"/>
        </w:tcBorders>
      </w:tcPr>
    </w:tblStylePr>
    <w:tblStylePr w:type="band1Vert">
      <w:tblPr/>
      <w:tcPr>
        <w:shd w:val="clear" w:color="auto" w:fill="DDDFE0" w:themeFill="accent6" w:themeFillTint="3F"/>
      </w:tcPr>
    </w:tblStylePr>
    <w:tblStylePr w:type="band1Horz">
      <w:tblPr/>
      <w:tcPr>
        <w:shd w:val="clear" w:color="auto" w:fill="DDDFE0" w:themeFill="accent6" w:themeFillTint="3F"/>
      </w:tcPr>
    </w:tblStylePr>
  </w:style>
  <w:style w:type="table" w:styleId="MediumList2">
    <w:name w:val="Medium Lis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rPr>
        <w:sz w:val="24"/>
        <w:szCs w:val="24"/>
      </w:rPr>
      <w:tblPr/>
      <w:tcPr>
        <w:tcBorders>
          <w:top w:val="nil"/>
          <w:left w:val="nil"/>
          <w:bottom w:val="single" w:sz="24" w:space="0" w:color="8D487F" w:themeColor="accent1"/>
          <w:right w:val="nil"/>
          <w:insideH w:val="nil"/>
          <w:insideV w:val="nil"/>
        </w:tcBorders>
        <w:shd w:val="clear" w:color="auto" w:fill="FFFFFF" w:themeFill="background1"/>
      </w:tcPr>
    </w:tblStylePr>
    <w:tblStylePr w:type="lastRow">
      <w:tblPr/>
      <w:tcPr>
        <w:tcBorders>
          <w:top w:val="single" w:sz="8" w:space="0" w:color="8D487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487F" w:themeColor="accent1"/>
          <w:insideH w:val="nil"/>
          <w:insideV w:val="nil"/>
        </w:tcBorders>
        <w:shd w:val="clear" w:color="auto" w:fill="FFFFFF" w:themeFill="background1"/>
      </w:tcPr>
    </w:tblStylePr>
    <w:tblStylePr w:type="lastCol">
      <w:tblPr/>
      <w:tcPr>
        <w:tcBorders>
          <w:top w:val="nil"/>
          <w:left w:val="single" w:sz="8" w:space="0" w:color="8D487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top w:val="nil"/>
          <w:bottom w:val="nil"/>
          <w:insideH w:val="nil"/>
          <w:insideV w:val="nil"/>
        </w:tcBorders>
        <w:shd w:val="clear" w:color="auto" w:fill="E6CEE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rPr>
        <w:sz w:val="24"/>
        <w:szCs w:val="24"/>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tblPr/>
      <w:tcPr>
        <w:tcBorders>
          <w:top w:val="single" w:sz="8" w:space="0" w:color="C64E45"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4E45" w:themeColor="accent2"/>
          <w:insideH w:val="nil"/>
          <w:insideV w:val="nil"/>
        </w:tcBorders>
        <w:shd w:val="clear" w:color="auto" w:fill="FFFFFF" w:themeFill="background1"/>
      </w:tcPr>
    </w:tblStylePr>
    <w:tblStylePr w:type="lastCol">
      <w:tblPr/>
      <w:tcPr>
        <w:tcBorders>
          <w:top w:val="nil"/>
          <w:left w:val="single" w:sz="8" w:space="0" w:color="C64E4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top w:val="nil"/>
          <w:bottom w:val="nil"/>
          <w:insideH w:val="nil"/>
          <w:insideV w:val="nil"/>
        </w:tcBorders>
        <w:shd w:val="clear" w:color="auto" w:fill="F1D2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rPr>
        <w:sz w:val="24"/>
        <w:szCs w:val="24"/>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tblPr/>
      <w:tcPr>
        <w:tcBorders>
          <w:top w:val="single" w:sz="8" w:space="0" w:color="F1873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873D" w:themeColor="accent3"/>
          <w:insideH w:val="nil"/>
          <w:insideV w:val="nil"/>
        </w:tcBorders>
        <w:shd w:val="clear" w:color="auto" w:fill="FFFFFF" w:themeFill="background1"/>
      </w:tcPr>
    </w:tblStylePr>
    <w:tblStylePr w:type="lastCol">
      <w:tblPr/>
      <w:tcPr>
        <w:tcBorders>
          <w:top w:val="nil"/>
          <w:left w:val="single" w:sz="8" w:space="0" w:color="F1873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top w:val="nil"/>
          <w:bottom w:val="nil"/>
          <w:insideH w:val="nil"/>
          <w:insideV w:val="nil"/>
        </w:tcBorders>
        <w:shd w:val="clear" w:color="auto" w:fill="FBE1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rPr>
        <w:sz w:val="24"/>
        <w:szCs w:val="24"/>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tblPr/>
      <w:tcPr>
        <w:tcBorders>
          <w:top w:val="single" w:sz="8" w:space="0" w:color="FCC64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C648" w:themeColor="accent4"/>
          <w:insideH w:val="nil"/>
          <w:insideV w:val="nil"/>
        </w:tcBorders>
        <w:shd w:val="clear" w:color="auto" w:fill="FFFFFF" w:themeFill="background1"/>
      </w:tcPr>
    </w:tblStylePr>
    <w:tblStylePr w:type="lastCol">
      <w:tblPr/>
      <w:tcPr>
        <w:tcBorders>
          <w:top w:val="nil"/>
          <w:left w:val="single" w:sz="8" w:space="0" w:color="FCC64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top w:val="nil"/>
          <w:bottom w:val="nil"/>
          <w:insideH w:val="nil"/>
          <w:insideV w:val="nil"/>
        </w:tcBorders>
        <w:shd w:val="clear" w:color="auto" w:fill="FEF0D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rPr>
        <w:sz w:val="24"/>
        <w:szCs w:val="24"/>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tblPr/>
      <w:tcPr>
        <w:tcBorders>
          <w:top w:val="single" w:sz="8" w:space="0" w:color="86BE5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E57" w:themeColor="accent5"/>
          <w:insideH w:val="nil"/>
          <w:insideV w:val="nil"/>
        </w:tcBorders>
        <w:shd w:val="clear" w:color="auto" w:fill="FFFFFF" w:themeFill="background1"/>
      </w:tcPr>
    </w:tblStylePr>
    <w:tblStylePr w:type="lastCol">
      <w:tblPr/>
      <w:tcPr>
        <w:tcBorders>
          <w:top w:val="nil"/>
          <w:left w:val="single" w:sz="8" w:space="0" w:color="86BE5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top w:val="nil"/>
          <w:bottom w:val="nil"/>
          <w:insideH w:val="nil"/>
          <w:insideV w:val="nil"/>
        </w:tcBorders>
        <w:shd w:val="clear" w:color="auto" w:fill="E1EFD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rPr>
        <w:sz w:val="24"/>
        <w:szCs w:val="24"/>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tblPr/>
      <w:tcPr>
        <w:tcBorders>
          <w:top w:val="single" w:sz="8" w:space="0" w:color="78818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8183" w:themeColor="accent6"/>
          <w:insideH w:val="nil"/>
          <w:insideV w:val="nil"/>
        </w:tcBorders>
        <w:shd w:val="clear" w:color="auto" w:fill="FFFFFF" w:themeFill="background1"/>
      </w:tcPr>
    </w:tblStylePr>
    <w:tblStylePr w:type="lastCol">
      <w:tblPr/>
      <w:tcPr>
        <w:tcBorders>
          <w:top w:val="nil"/>
          <w:left w:val="single" w:sz="8" w:space="0" w:color="78818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top w:val="nil"/>
          <w:bottom w:val="nil"/>
          <w:insideH w:val="nil"/>
          <w:insideV w:val="nil"/>
        </w:tcBorders>
        <w:shd w:val="clear" w:color="auto" w:fill="DDDF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tblBorders>
    </w:tblPr>
    <w:tblStylePr w:type="firstRow">
      <w:pPr>
        <w:spacing w:before="0" w:after="0" w:line="240" w:lineRule="auto"/>
      </w:pPr>
      <w:rPr>
        <w:b/>
        <w:bCs/>
        <w:color w:val="FFFFFF" w:themeColor="background1"/>
      </w:rPr>
      <w:tblPr/>
      <w:tcPr>
        <w:tc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shd w:val="clear" w:color="auto" w:fill="8D487F" w:themeFill="accent1"/>
      </w:tcPr>
    </w:tblStylePr>
    <w:tblStylePr w:type="lastRow">
      <w:pPr>
        <w:spacing w:before="0" w:after="0" w:line="240" w:lineRule="auto"/>
      </w:pPr>
      <w:rPr>
        <w:b/>
        <w:bCs/>
      </w:rPr>
      <w:tblPr/>
      <w:tcPr>
        <w:tcBorders>
          <w:top w:val="double" w:sz="6"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CEE1" w:themeFill="accent1" w:themeFillTint="3F"/>
      </w:tcPr>
    </w:tblStylePr>
    <w:tblStylePr w:type="band1Horz">
      <w:tblPr/>
      <w:tcPr>
        <w:tcBorders>
          <w:insideH w:val="nil"/>
          <w:insideV w:val="nil"/>
        </w:tcBorders>
        <w:shd w:val="clear" w:color="auto" w:fill="E6CEE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tblBorders>
    </w:tblPr>
    <w:tblStylePr w:type="firstRow">
      <w:pPr>
        <w:spacing w:before="0" w:after="0" w:line="240" w:lineRule="auto"/>
      </w:pPr>
      <w:rPr>
        <w:b/>
        <w:bCs/>
        <w:color w:val="FFFFFF" w:themeColor="background1"/>
      </w:rPr>
      <w:tblPr/>
      <w:tcPr>
        <w:tc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shd w:val="clear" w:color="auto" w:fill="C64E45" w:themeFill="accent2"/>
      </w:tcPr>
    </w:tblStylePr>
    <w:tblStylePr w:type="lastRow">
      <w:pPr>
        <w:spacing w:before="0" w:after="0" w:line="240" w:lineRule="auto"/>
      </w:pPr>
      <w:rPr>
        <w:b/>
        <w:bCs/>
      </w:rPr>
      <w:tblPr/>
      <w:tcPr>
        <w:tcBorders>
          <w:top w:val="double" w:sz="6"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D2D0" w:themeFill="accent2" w:themeFillTint="3F"/>
      </w:tcPr>
    </w:tblStylePr>
    <w:tblStylePr w:type="band1Horz">
      <w:tblPr/>
      <w:tcPr>
        <w:tcBorders>
          <w:insideH w:val="nil"/>
          <w:insideV w:val="nil"/>
        </w:tcBorders>
        <w:shd w:val="clear" w:color="auto" w:fill="F1D2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tblBorders>
    </w:tblPr>
    <w:tblStylePr w:type="firstRow">
      <w:pPr>
        <w:spacing w:before="0" w:after="0" w:line="240" w:lineRule="auto"/>
      </w:pPr>
      <w:rPr>
        <w:b/>
        <w:bCs/>
        <w:color w:val="FFFFFF" w:themeColor="background1"/>
      </w:rPr>
      <w:tblPr/>
      <w:tcPr>
        <w:tc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shd w:val="clear" w:color="auto" w:fill="F1873D" w:themeFill="accent3"/>
      </w:tcPr>
    </w:tblStylePr>
    <w:tblStylePr w:type="lastRow">
      <w:pPr>
        <w:spacing w:before="0" w:after="0" w:line="240" w:lineRule="auto"/>
      </w:pPr>
      <w:rPr>
        <w:b/>
        <w:bCs/>
      </w:rPr>
      <w:tblPr/>
      <w:tcPr>
        <w:tcBorders>
          <w:top w:val="double" w:sz="6"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E1CE" w:themeFill="accent3" w:themeFillTint="3F"/>
      </w:tcPr>
    </w:tblStylePr>
    <w:tblStylePr w:type="band1Horz">
      <w:tblPr/>
      <w:tcPr>
        <w:tcBorders>
          <w:insideH w:val="nil"/>
          <w:insideV w:val="nil"/>
        </w:tcBorders>
        <w:shd w:val="clear" w:color="auto" w:fill="FBE1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tblBorders>
    </w:tblPr>
    <w:tblStylePr w:type="firstRow">
      <w:pPr>
        <w:spacing w:before="0" w:after="0" w:line="240" w:lineRule="auto"/>
      </w:pPr>
      <w:rPr>
        <w:b/>
        <w:bCs/>
        <w:color w:val="FFFFFF" w:themeColor="background1"/>
      </w:rPr>
      <w:tblPr/>
      <w:tcPr>
        <w:tc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shd w:val="clear" w:color="auto" w:fill="FCC648" w:themeFill="accent4"/>
      </w:tcPr>
    </w:tblStylePr>
    <w:tblStylePr w:type="lastRow">
      <w:pPr>
        <w:spacing w:before="0" w:after="0" w:line="240" w:lineRule="auto"/>
      </w:pPr>
      <w:rPr>
        <w:b/>
        <w:bCs/>
      </w:rPr>
      <w:tblPr/>
      <w:tcPr>
        <w:tcBorders>
          <w:top w:val="double" w:sz="6"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0D1" w:themeFill="accent4" w:themeFillTint="3F"/>
      </w:tcPr>
    </w:tblStylePr>
    <w:tblStylePr w:type="band1Horz">
      <w:tblPr/>
      <w:tcPr>
        <w:tcBorders>
          <w:insideH w:val="nil"/>
          <w:insideV w:val="nil"/>
        </w:tcBorders>
        <w:shd w:val="clear" w:color="auto" w:fill="FEF0D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tblBorders>
    </w:tblPr>
    <w:tblStylePr w:type="firstRow">
      <w:pPr>
        <w:spacing w:before="0" w:after="0" w:line="240" w:lineRule="auto"/>
      </w:pPr>
      <w:rPr>
        <w:b/>
        <w:bCs/>
        <w:color w:val="FFFFFF" w:themeColor="background1"/>
      </w:rPr>
      <w:tblPr/>
      <w:tcPr>
        <w:tc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shd w:val="clear" w:color="auto" w:fill="86BE57" w:themeFill="accent5"/>
      </w:tcPr>
    </w:tblStylePr>
    <w:tblStylePr w:type="lastRow">
      <w:pPr>
        <w:spacing w:before="0" w:after="0" w:line="240" w:lineRule="auto"/>
      </w:pPr>
      <w:rPr>
        <w:b/>
        <w:bCs/>
      </w:rPr>
      <w:tblPr/>
      <w:tcPr>
        <w:tcBorders>
          <w:top w:val="double" w:sz="6"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EFD5" w:themeFill="accent5" w:themeFillTint="3F"/>
      </w:tcPr>
    </w:tblStylePr>
    <w:tblStylePr w:type="band1Horz">
      <w:tblPr/>
      <w:tcPr>
        <w:tcBorders>
          <w:insideH w:val="nil"/>
          <w:insideV w:val="nil"/>
        </w:tcBorders>
        <w:shd w:val="clear" w:color="auto" w:fill="E1EFD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tblBorders>
    </w:tblPr>
    <w:tblStylePr w:type="firstRow">
      <w:pPr>
        <w:spacing w:before="0" w:after="0" w:line="240" w:lineRule="auto"/>
      </w:pPr>
      <w:rPr>
        <w:b/>
        <w:bCs/>
        <w:color w:val="FFFFFF" w:themeColor="background1"/>
      </w:rPr>
      <w:tblPr/>
      <w:tcPr>
        <w:tc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shd w:val="clear" w:color="auto" w:fill="788183" w:themeFill="accent6"/>
      </w:tcPr>
    </w:tblStylePr>
    <w:tblStylePr w:type="lastRow">
      <w:pPr>
        <w:spacing w:before="0" w:after="0" w:line="240" w:lineRule="auto"/>
      </w:pPr>
      <w:rPr>
        <w:b/>
        <w:bCs/>
      </w:rPr>
      <w:tblPr/>
      <w:tcPr>
        <w:tcBorders>
          <w:top w:val="double" w:sz="6"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FE0" w:themeFill="accent6" w:themeFillTint="3F"/>
      </w:tcPr>
    </w:tblStylePr>
    <w:tblStylePr w:type="band1Horz">
      <w:tblPr/>
      <w:tcPr>
        <w:tcBorders>
          <w:insideH w:val="nil"/>
          <w:insideV w:val="nil"/>
        </w:tcBorders>
        <w:shd w:val="clear" w:color="auto" w:fill="DDDF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487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487F" w:themeFill="accent1"/>
      </w:tcPr>
    </w:tblStylePr>
    <w:tblStylePr w:type="lastCol">
      <w:rPr>
        <w:b/>
        <w:bCs/>
        <w:color w:val="FFFFFF" w:themeColor="background1"/>
      </w:rPr>
      <w:tblPr/>
      <w:tcPr>
        <w:tcBorders>
          <w:left w:val="nil"/>
          <w:right w:val="nil"/>
          <w:insideH w:val="nil"/>
          <w:insideV w:val="nil"/>
        </w:tcBorders>
        <w:shd w:val="clear" w:color="auto" w:fill="8D487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4E4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64E45" w:themeFill="accent2"/>
      </w:tcPr>
    </w:tblStylePr>
    <w:tblStylePr w:type="lastCol">
      <w:rPr>
        <w:b/>
        <w:bCs/>
        <w:color w:val="FFFFFF" w:themeColor="background1"/>
      </w:rPr>
      <w:tblPr/>
      <w:tcPr>
        <w:tcBorders>
          <w:left w:val="nil"/>
          <w:right w:val="nil"/>
          <w:insideH w:val="nil"/>
          <w:insideV w:val="nil"/>
        </w:tcBorders>
        <w:shd w:val="clear" w:color="auto" w:fill="C64E4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873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1873D" w:themeFill="accent3"/>
      </w:tcPr>
    </w:tblStylePr>
    <w:tblStylePr w:type="lastCol">
      <w:rPr>
        <w:b/>
        <w:bCs/>
        <w:color w:val="FFFFFF" w:themeColor="background1"/>
      </w:rPr>
      <w:tblPr/>
      <w:tcPr>
        <w:tcBorders>
          <w:left w:val="nil"/>
          <w:right w:val="nil"/>
          <w:insideH w:val="nil"/>
          <w:insideV w:val="nil"/>
        </w:tcBorders>
        <w:shd w:val="clear" w:color="auto" w:fill="F1873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C64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CC648" w:themeFill="accent4"/>
      </w:tcPr>
    </w:tblStylePr>
    <w:tblStylePr w:type="lastCol">
      <w:rPr>
        <w:b/>
        <w:bCs/>
        <w:color w:val="FFFFFF" w:themeColor="background1"/>
      </w:rPr>
      <w:tblPr/>
      <w:tcPr>
        <w:tcBorders>
          <w:left w:val="nil"/>
          <w:right w:val="nil"/>
          <w:insideH w:val="nil"/>
          <w:insideV w:val="nil"/>
        </w:tcBorders>
        <w:shd w:val="clear" w:color="auto" w:fill="FCC64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E5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E57" w:themeFill="accent5"/>
      </w:tcPr>
    </w:tblStylePr>
    <w:tblStylePr w:type="lastCol">
      <w:rPr>
        <w:b/>
        <w:bCs/>
        <w:color w:val="FFFFFF" w:themeColor="background1"/>
      </w:rPr>
      <w:tblPr/>
      <w:tcPr>
        <w:tcBorders>
          <w:left w:val="nil"/>
          <w:right w:val="nil"/>
          <w:insideH w:val="nil"/>
          <w:insideV w:val="nil"/>
        </w:tcBorders>
        <w:shd w:val="clear" w:color="auto" w:fill="86BE5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818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8183" w:themeFill="accent6"/>
      </w:tcPr>
    </w:tblStylePr>
    <w:tblStylePr w:type="lastCol">
      <w:rPr>
        <w:b/>
        <w:bCs/>
        <w:color w:val="FFFFFF" w:themeColor="background1"/>
      </w:rPr>
      <w:tblPr/>
      <w:tcPr>
        <w:tcBorders>
          <w:left w:val="nil"/>
          <w:right w:val="nil"/>
          <w:insideH w:val="nil"/>
          <w:insideV w:val="nil"/>
        </w:tcBorders>
        <w:shd w:val="clear" w:color="auto" w:fill="78818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EE3EB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EE3EB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semiHidden/>
    <w:rsid w:val="00EE3EB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EE3EB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EE3EB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EE3EB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Continue3">
    <w:name w:val="List Continue 3"/>
    <w:basedOn w:val="Normal"/>
    <w:rsid w:val="00503B7F"/>
    <w:pPr>
      <w:spacing w:before="120"/>
      <w:ind w:left="851"/>
    </w:pPr>
  </w:style>
  <w:style w:type="paragraph" w:styleId="ListNumber4">
    <w:name w:val="List Number 4"/>
    <w:basedOn w:val="Normal"/>
    <w:rsid w:val="00D264C9"/>
    <w:pPr>
      <w:numPr>
        <w:ilvl w:val="3"/>
        <w:numId w:val="23"/>
      </w:numPr>
      <w:spacing w:before="120"/>
      <w:ind w:left="1135"/>
    </w:pPr>
  </w:style>
  <w:style w:type="paragraph" w:styleId="ListNumber5">
    <w:name w:val="List Number 5"/>
    <w:basedOn w:val="Normal"/>
    <w:rsid w:val="00D264C9"/>
    <w:pPr>
      <w:numPr>
        <w:ilvl w:val="4"/>
        <w:numId w:val="23"/>
      </w:numPr>
      <w:spacing w:before="120"/>
      <w:ind w:left="1418"/>
    </w:pPr>
  </w:style>
  <w:style w:type="paragraph" w:styleId="ListContinue4">
    <w:name w:val="List Continue 4"/>
    <w:basedOn w:val="Normal"/>
    <w:rsid w:val="00503B7F"/>
    <w:pPr>
      <w:spacing w:before="120" w:after="60"/>
      <w:ind w:left="1134"/>
    </w:pPr>
  </w:style>
  <w:style w:type="paragraph" w:styleId="ListContinue5">
    <w:name w:val="List Continue 5"/>
    <w:basedOn w:val="Normal"/>
    <w:rsid w:val="00503B7F"/>
    <w:pPr>
      <w:spacing w:before="120"/>
      <w:ind w:left="1418"/>
    </w:pPr>
  </w:style>
  <w:style w:type="table" w:customStyle="1" w:styleId="BoxPlaceholder">
    <w:name w:val="Box Placeholder"/>
    <w:basedOn w:val="TableNormal"/>
    <w:uiPriority w:val="99"/>
    <w:rsid w:val="00BC0200"/>
    <w:pPr>
      <w:spacing w:line="240" w:lineRule="auto"/>
    </w:pPr>
    <w:tblPr>
      <w:tblInd w:w="142" w:type="dxa"/>
      <w:tblCellMar>
        <w:top w:w="113" w:type="dxa"/>
        <w:left w:w="142" w:type="dxa"/>
        <w:bottom w:w="113" w:type="dxa"/>
        <w:right w:w="142" w:type="dxa"/>
      </w:tblCellMar>
    </w:tblPr>
    <w:tcPr>
      <w:shd w:val="clear" w:color="auto" w:fill="E3E5E6" w:themeFill="accent6" w:themeFillTint="33"/>
    </w:tcPr>
  </w:style>
  <w:style w:type="character" w:styleId="PlaceholderText">
    <w:name w:val="Placeholder Text"/>
    <w:basedOn w:val="DefaultParagraphFont"/>
    <w:rsid w:val="004D58BA"/>
    <w:rPr>
      <w:color w:val="808080"/>
    </w:rPr>
  </w:style>
  <w:style w:type="table" w:customStyle="1" w:styleId="PBOFinancial">
    <w:name w:val="PBO Financial"/>
    <w:basedOn w:val="TableNormal"/>
    <w:uiPriority w:val="99"/>
    <w:rsid w:val="00456DEB"/>
    <w:pPr>
      <w:spacing w:before="40" w:after="40" w:line="240" w:lineRule="auto"/>
      <w:jc w:val="right"/>
    </w:pPr>
    <w:rPr>
      <w:sz w:val="20"/>
    </w:rPr>
    <w:tblPr>
      <w:tblCellMar>
        <w:top w:w="11" w:type="dxa"/>
        <w:left w:w="0" w:type="dxa"/>
        <w:bottom w:w="11" w:type="dxa"/>
        <w:right w:w="0" w:type="dxa"/>
      </w:tblCellMar>
    </w:tblPr>
    <w:tblStylePr w:type="firstRow">
      <w:rPr>
        <w:b w:val="0"/>
      </w:rPr>
      <w:tblPr/>
      <w:tcPr>
        <w:tcBorders>
          <w:top w:val="nil"/>
          <w:left w:val="nil"/>
          <w:bottom w:val="single" w:sz="4" w:space="0" w:color="auto"/>
          <w:right w:val="nil"/>
          <w:insideH w:val="nil"/>
          <w:insideV w:val="nil"/>
          <w:tl2br w:val="nil"/>
          <w:tr2bl w:val="nil"/>
        </w:tcBorders>
        <w:tcMar>
          <w:top w:w="11" w:type="dxa"/>
          <w:left w:w="0" w:type="nil"/>
          <w:bottom w:w="11" w:type="dxa"/>
          <w:right w:w="57" w:type="dxa"/>
        </w:tcMar>
      </w:tcPr>
    </w:tblStylePr>
    <w:tblStylePr w:type="lastRow">
      <w:rPr>
        <w:b w:val="0"/>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Mar>
          <w:top w:w="28" w:type="dxa"/>
          <w:left w:w="0" w:type="nil"/>
          <w:bottom w:w="28" w:type="dxa"/>
          <w:right w:w="57" w:type="dxa"/>
        </w:tcMar>
      </w:tcPr>
    </w:tblStylePr>
    <w:tblStylePr w:type="swCell">
      <w:rPr>
        <w:b/>
      </w:rPr>
    </w:tblStylePr>
  </w:style>
  <w:style w:type="paragraph" w:customStyle="1" w:styleId="xTableDecorativeA">
    <w:name w:val="xTableDecorativeA"/>
    <w:basedOn w:val="Normal"/>
    <w:next w:val="Normal"/>
    <w:uiPriority w:val="99"/>
    <w:semiHidden/>
    <w:qFormat/>
    <w:rsid w:val="00FD3658"/>
    <w:pPr>
      <w:keepNext/>
      <w:keepLines/>
      <w:spacing w:line="80" w:lineRule="exact"/>
    </w:pPr>
    <w:rPr>
      <w:b/>
      <w:sz w:val="14"/>
    </w:rPr>
  </w:style>
  <w:style w:type="paragraph" w:customStyle="1" w:styleId="PullQuote">
    <w:name w:val="Pull Quote"/>
    <w:basedOn w:val="Normal"/>
    <w:qFormat/>
    <w:rsid w:val="006242BA"/>
    <w:pPr>
      <w:keepNext/>
      <w:keepLines/>
      <w:spacing w:before="120" w:after="120"/>
    </w:pPr>
    <w:rPr>
      <w:b/>
    </w:rPr>
  </w:style>
  <w:style w:type="paragraph" w:customStyle="1" w:styleId="Heading2NoNumbering">
    <w:name w:val="Heading 2 No Numbering"/>
    <w:basedOn w:val="Heading2"/>
    <w:qFormat/>
    <w:rsid w:val="00904D3B"/>
    <w:pPr>
      <w:numPr>
        <w:ilvl w:val="0"/>
        <w:numId w:val="0"/>
      </w:numPr>
    </w:pPr>
  </w:style>
  <w:style w:type="paragraph" w:customStyle="1" w:styleId="AppendixHeading4">
    <w:name w:val="Appendix Heading 4"/>
    <w:basedOn w:val="Normal"/>
    <w:next w:val="BodyText"/>
    <w:uiPriority w:val="30"/>
    <w:qFormat/>
    <w:rsid w:val="0081085D"/>
    <w:pPr>
      <w:spacing w:before="310" w:after="110" w:line="240" w:lineRule="auto"/>
    </w:pPr>
    <w:rPr>
      <w:rFonts w:asciiTheme="majorHAnsi" w:hAnsiTheme="majorHAnsi"/>
      <w:i/>
      <w:color w:val="000000" w:themeColor="text1"/>
      <w:sz w:val="23"/>
    </w:rPr>
  </w:style>
  <w:style w:type="paragraph" w:customStyle="1" w:styleId="AppendixHeading5">
    <w:name w:val="Appendix Heading 5"/>
    <w:basedOn w:val="Normal"/>
    <w:next w:val="BodyText"/>
    <w:uiPriority w:val="30"/>
    <w:qFormat/>
    <w:rsid w:val="0081085D"/>
    <w:pPr>
      <w:spacing w:before="310" w:after="110" w:line="240" w:lineRule="auto"/>
    </w:pPr>
    <w:rPr>
      <w:rFonts w:asciiTheme="majorHAnsi" w:hAnsiTheme="majorHAnsi"/>
      <w:i/>
      <w:color w:val="3D4D7D" w:themeColor="background2"/>
      <w:sz w:val="23"/>
    </w:rPr>
  </w:style>
  <w:style w:type="paragraph" w:customStyle="1" w:styleId="Heading3NoNumbering">
    <w:name w:val="Heading 3 No Numbering"/>
    <w:basedOn w:val="Heading3"/>
    <w:next w:val="BodyText"/>
    <w:qFormat/>
    <w:rsid w:val="00B245AF"/>
    <w:pPr>
      <w:numPr>
        <w:ilvl w:val="0"/>
        <w:numId w:val="0"/>
      </w:numPr>
    </w:pPr>
  </w:style>
  <w:style w:type="numbering" w:customStyle="1" w:styleId="Bullets">
    <w:name w:val="Bullets"/>
    <w:uiPriority w:val="99"/>
    <w:rsid w:val="005050DA"/>
    <w:pPr>
      <w:numPr>
        <w:numId w:val="14"/>
      </w:numPr>
    </w:pPr>
  </w:style>
  <w:style w:type="numbering" w:customStyle="1" w:styleId="NumberedList">
    <w:name w:val="NumberedList"/>
    <w:uiPriority w:val="99"/>
    <w:rsid w:val="005050DA"/>
    <w:pPr>
      <w:numPr>
        <w:numId w:val="17"/>
      </w:numPr>
    </w:pPr>
  </w:style>
  <w:style w:type="paragraph" w:customStyle="1" w:styleId="CaptionDescriptor">
    <w:name w:val="Caption Descriptor"/>
    <w:basedOn w:val="Caption"/>
    <w:qFormat/>
    <w:rsid w:val="007C0767"/>
    <w:rPr>
      <w:b w:val="0"/>
      <w:sz w:val="20"/>
    </w:rPr>
  </w:style>
  <w:style w:type="table" w:customStyle="1" w:styleId="TablePlaceholder">
    <w:name w:val="Table Placeholder"/>
    <w:basedOn w:val="TableNormal"/>
    <w:uiPriority w:val="99"/>
    <w:rsid w:val="00B366ED"/>
    <w:tblPr>
      <w:tblCellMar>
        <w:left w:w="0" w:type="dxa"/>
        <w:right w:w="0" w:type="dxa"/>
      </w:tblCellMar>
    </w:tblPr>
  </w:style>
  <w:style w:type="paragraph" w:customStyle="1" w:styleId="CaptionLeft">
    <w:name w:val="Caption Left"/>
    <w:basedOn w:val="Caption"/>
    <w:next w:val="BodyText"/>
    <w:qFormat/>
    <w:rsid w:val="00233BE7"/>
    <w:pPr>
      <w:jc w:val="left"/>
    </w:pPr>
  </w:style>
  <w:style w:type="paragraph" w:customStyle="1" w:styleId="TableSubheading">
    <w:name w:val="Table Subheading"/>
    <w:basedOn w:val="TableText"/>
    <w:qFormat/>
    <w:rsid w:val="000B3F9F"/>
    <w:rPr>
      <w:b/>
      <w:szCs w:val="20"/>
    </w:rPr>
  </w:style>
  <w:style w:type="paragraph" w:customStyle="1" w:styleId="TableHeadingBlueAllCaps">
    <w:name w:val="Table Heading Blue All Caps"/>
    <w:basedOn w:val="TableText"/>
    <w:qFormat/>
    <w:rsid w:val="000B3F9F"/>
    <w:rPr>
      <w:b/>
      <w:caps/>
      <w:color w:val="3D4D7D" w:themeColor="background2"/>
      <w:szCs w:val="20"/>
    </w:rPr>
  </w:style>
  <w:style w:type="paragraph" w:customStyle="1" w:styleId="SourceIndent">
    <w:name w:val="Source Indent"/>
    <w:basedOn w:val="Normal"/>
    <w:next w:val="Normal"/>
    <w:rsid w:val="00F97039"/>
    <w:pPr>
      <w:tabs>
        <w:tab w:val="left" w:pos="624"/>
      </w:tabs>
      <w:spacing w:before="120" w:after="240" w:line="240" w:lineRule="auto"/>
      <w:ind w:left="567"/>
    </w:pPr>
    <w:rPr>
      <w:rFonts w:cs="Times New Roman"/>
      <w:color w:val="788184"/>
      <w:sz w:val="18"/>
      <w:szCs w:val="14"/>
    </w:rPr>
  </w:style>
  <w:style w:type="character" w:customStyle="1" w:styleId="CaptionChar">
    <w:name w:val="Caption Char"/>
    <w:basedOn w:val="DefaultParagraphFont"/>
    <w:link w:val="Caption"/>
    <w:rsid w:val="00F97039"/>
    <w:rPr>
      <w:b/>
      <w:bCs/>
      <w:color w:val="3D4D7D" w:themeColor="background2"/>
    </w:rPr>
  </w:style>
  <w:style w:type="paragraph" w:customStyle="1" w:styleId="Default">
    <w:name w:val="Default"/>
    <w:rsid w:val="00E63D75"/>
    <w:pPr>
      <w:autoSpaceDE w:val="0"/>
      <w:autoSpaceDN w:val="0"/>
      <w:adjustRightInd w:val="0"/>
      <w:spacing w:line="240" w:lineRule="auto"/>
    </w:pPr>
    <w:rPr>
      <w:rFonts w:ascii="Calibri" w:hAnsi="Calibri" w:cs="Calibri"/>
      <w:color w:val="000000"/>
      <w:sz w:val="24"/>
      <w:szCs w:val="24"/>
    </w:rPr>
  </w:style>
  <w:style w:type="paragraph" w:customStyle="1" w:styleId="Sourcenospacing">
    <w:name w:val="Source no spacing"/>
    <w:basedOn w:val="SourceIndent"/>
    <w:qFormat/>
    <w:rsid w:val="00E63D75"/>
    <w:pPr>
      <w:spacing w:before="60" w:after="120"/>
    </w:pPr>
  </w:style>
  <w:style w:type="paragraph" w:styleId="ListParagraph">
    <w:name w:val="List Paragraph"/>
    <w:basedOn w:val="Normal"/>
    <w:uiPriority w:val="34"/>
    <w:qFormat/>
    <w:rsid w:val="00376921"/>
    <w:pPr>
      <w:spacing w:line="240" w:lineRule="auto"/>
      <w:ind w:left="720"/>
    </w:pPr>
    <w:rPr>
      <w:rFonts w:ascii="Calibri" w:eastAsia="Times New Roman" w:hAnsi="Calibri" w:cs="Times New Roman"/>
    </w:rPr>
  </w:style>
  <w:style w:type="paragraph" w:styleId="Revision">
    <w:name w:val="Revision"/>
    <w:hidden/>
    <w:uiPriority w:val="99"/>
    <w:semiHidden/>
    <w:rsid w:val="00722B49"/>
    <w:pPr>
      <w:spacing w:line="240" w:lineRule="auto"/>
    </w:pPr>
  </w:style>
  <w:style w:type="paragraph" w:styleId="NormalWeb">
    <w:name w:val="Normal (Web)"/>
    <w:basedOn w:val="Normal"/>
    <w:uiPriority w:val="99"/>
    <w:unhideWhenUsed/>
    <w:rsid w:val="00213F2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213F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3157">
      <w:bodyDiv w:val="1"/>
      <w:marLeft w:val="0"/>
      <w:marRight w:val="0"/>
      <w:marTop w:val="0"/>
      <w:marBottom w:val="0"/>
      <w:divBdr>
        <w:top w:val="none" w:sz="0" w:space="0" w:color="auto"/>
        <w:left w:val="none" w:sz="0" w:space="0" w:color="auto"/>
        <w:bottom w:val="none" w:sz="0" w:space="0" w:color="auto"/>
        <w:right w:val="none" w:sz="0" w:space="0" w:color="auto"/>
      </w:divBdr>
    </w:div>
    <w:div w:id="31267966">
      <w:bodyDiv w:val="1"/>
      <w:marLeft w:val="0"/>
      <w:marRight w:val="0"/>
      <w:marTop w:val="0"/>
      <w:marBottom w:val="0"/>
      <w:divBdr>
        <w:top w:val="none" w:sz="0" w:space="0" w:color="auto"/>
        <w:left w:val="none" w:sz="0" w:space="0" w:color="auto"/>
        <w:bottom w:val="none" w:sz="0" w:space="0" w:color="auto"/>
        <w:right w:val="none" w:sz="0" w:space="0" w:color="auto"/>
      </w:divBdr>
    </w:div>
    <w:div w:id="35198548">
      <w:bodyDiv w:val="1"/>
      <w:marLeft w:val="0"/>
      <w:marRight w:val="0"/>
      <w:marTop w:val="0"/>
      <w:marBottom w:val="0"/>
      <w:divBdr>
        <w:top w:val="none" w:sz="0" w:space="0" w:color="auto"/>
        <w:left w:val="none" w:sz="0" w:space="0" w:color="auto"/>
        <w:bottom w:val="none" w:sz="0" w:space="0" w:color="auto"/>
        <w:right w:val="none" w:sz="0" w:space="0" w:color="auto"/>
      </w:divBdr>
    </w:div>
    <w:div w:id="48695816">
      <w:bodyDiv w:val="1"/>
      <w:marLeft w:val="0"/>
      <w:marRight w:val="0"/>
      <w:marTop w:val="0"/>
      <w:marBottom w:val="0"/>
      <w:divBdr>
        <w:top w:val="none" w:sz="0" w:space="0" w:color="auto"/>
        <w:left w:val="none" w:sz="0" w:space="0" w:color="auto"/>
        <w:bottom w:val="none" w:sz="0" w:space="0" w:color="auto"/>
        <w:right w:val="none" w:sz="0" w:space="0" w:color="auto"/>
      </w:divBdr>
    </w:div>
    <w:div w:id="64114529">
      <w:bodyDiv w:val="1"/>
      <w:marLeft w:val="0"/>
      <w:marRight w:val="0"/>
      <w:marTop w:val="0"/>
      <w:marBottom w:val="0"/>
      <w:divBdr>
        <w:top w:val="none" w:sz="0" w:space="0" w:color="auto"/>
        <w:left w:val="none" w:sz="0" w:space="0" w:color="auto"/>
        <w:bottom w:val="none" w:sz="0" w:space="0" w:color="auto"/>
        <w:right w:val="none" w:sz="0" w:space="0" w:color="auto"/>
      </w:divBdr>
    </w:div>
    <w:div w:id="96759012">
      <w:bodyDiv w:val="1"/>
      <w:marLeft w:val="0"/>
      <w:marRight w:val="0"/>
      <w:marTop w:val="0"/>
      <w:marBottom w:val="0"/>
      <w:divBdr>
        <w:top w:val="none" w:sz="0" w:space="0" w:color="auto"/>
        <w:left w:val="none" w:sz="0" w:space="0" w:color="auto"/>
        <w:bottom w:val="none" w:sz="0" w:space="0" w:color="auto"/>
        <w:right w:val="none" w:sz="0" w:space="0" w:color="auto"/>
      </w:divBdr>
    </w:div>
    <w:div w:id="140074500">
      <w:bodyDiv w:val="1"/>
      <w:marLeft w:val="0"/>
      <w:marRight w:val="0"/>
      <w:marTop w:val="0"/>
      <w:marBottom w:val="0"/>
      <w:divBdr>
        <w:top w:val="none" w:sz="0" w:space="0" w:color="auto"/>
        <w:left w:val="none" w:sz="0" w:space="0" w:color="auto"/>
        <w:bottom w:val="none" w:sz="0" w:space="0" w:color="auto"/>
        <w:right w:val="none" w:sz="0" w:space="0" w:color="auto"/>
      </w:divBdr>
    </w:div>
    <w:div w:id="230234839">
      <w:bodyDiv w:val="1"/>
      <w:marLeft w:val="0"/>
      <w:marRight w:val="0"/>
      <w:marTop w:val="0"/>
      <w:marBottom w:val="0"/>
      <w:divBdr>
        <w:top w:val="none" w:sz="0" w:space="0" w:color="auto"/>
        <w:left w:val="none" w:sz="0" w:space="0" w:color="auto"/>
        <w:bottom w:val="none" w:sz="0" w:space="0" w:color="auto"/>
        <w:right w:val="none" w:sz="0" w:space="0" w:color="auto"/>
      </w:divBdr>
    </w:div>
    <w:div w:id="341592292">
      <w:bodyDiv w:val="1"/>
      <w:marLeft w:val="0"/>
      <w:marRight w:val="0"/>
      <w:marTop w:val="0"/>
      <w:marBottom w:val="0"/>
      <w:divBdr>
        <w:top w:val="none" w:sz="0" w:space="0" w:color="auto"/>
        <w:left w:val="none" w:sz="0" w:space="0" w:color="auto"/>
        <w:bottom w:val="none" w:sz="0" w:space="0" w:color="auto"/>
        <w:right w:val="none" w:sz="0" w:space="0" w:color="auto"/>
      </w:divBdr>
    </w:div>
    <w:div w:id="414784584">
      <w:bodyDiv w:val="1"/>
      <w:marLeft w:val="0"/>
      <w:marRight w:val="0"/>
      <w:marTop w:val="0"/>
      <w:marBottom w:val="0"/>
      <w:divBdr>
        <w:top w:val="none" w:sz="0" w:space="0" w:color="auto"/>
        <w:left w:val="none" w:sz="0" w:space="0" w:color="auto"/>
        <w:bottom w:val="none" w:sz="0" w:space="0" w:color="auto"/>
        <w:right w:val="none" w:sz="0" w:space="0" w:color="auto"/>
      </w:divBdr>
    </w:div>
    <w:div w:id="417294127">
      <w:bodyDiv w:val="1"/>
      <w:marLeft w:val="0"/>
      <w:marRight w:val="0"/>
      <w:marTop w:val="0"/>
      <w:marBottom w:val="0"/>
      <w:divBdr>
        <w:top w:val="none" w:sz="0" w:space="0" w:color="auto"/>
        <w:left w:val="none" w:sz="0" w:space="0" w:color="auto"/>
        <w:bottom w:val="none" w:sz="0" w:space="0" w:color="auto"/>
        <w:right w:val="none" w:sz="0" w:space="0" w:color="auto"/>
      </w:divBdr>
    </w:div>
    <w:div w:id="432744063">
      <w:bodyDiv w:val="1"/>
      <w:marLeft w:val="0"/>
      <w:marRight w:val="0"/>
      <w:marTop w:val="0"/>
      <w:marBottom w:val="0"/>
      <w:divBdr>
        <w:top w:val="none" w:sz="0" w:space="0" w:color="auto"/>
        <w:left w:val="none" w:sz="0" w:space="0" w:color="auto"/>
        <w:bottom w:val="none" w:sz="0" w:space="0" w:color="auto"/>
        <w:right w:val="none" w:sz="0" w:space="0" w:color="auto"/>
      </w:divBdr>
    </w:div>
    <w:div w:id="447508260">
      <w:bodyDiv w:val="1"/>
      <w:marLeft w:val="0"/>
      <w:marRight w:val="0"/>
      <w:marTop w:val="0"/>
      <w:marBottom w:val="0"/>
      <w:divBdr>
        <w:top w:val="none" w:sz="0" w:space="0" w:color="auto"/>
        <w:left w:val="none" w:sz="0" w:space="0" w:color="auto"/>
        <w:bottom w:val="none" w:sz="0" w:space="0" w:color="auto"/>
        <w:right w:val="none" w:sz="0" w:space="0" w:color="auto"/>
      </w:divBdr>
    </w:div>
    <w:div w:id="466045216">
      <w:bodyDiv w:val="1"/>
      <w:marLeft w:val="0"/>
      <w:marRight w:val="0"/>
      <w:marTop w:val="0"/>
      <w:marBottom w:val="0"/>
      <w:divBdr>
        <w:top w:val="none" w:sz="0" w:space="0" w:color="auto"/>
        <w:left w:val="none" w:sz="0" w:space="0" w:color="auto"/>
        <w:bottom w:val="none" w:sz="0" w:space="0" w:color="auto"/>
        <w:right w:val="none" w:sz="0" w:space="0" w:color="auto"/>
      </w:divBdr>
    </w:div>
    <w:div w:id="468206851">
      <w:bodyDiv w:val="1"/>
      <w:marLeft w:val="0"/>
      <w:marRight w:val="0"/>
      <w:marTop w:val="0"/>
      <w:marBottom w:val="0"/>
      <w:divBdr>
        <w:top w:val="none" w:sz="0" w:space="0" w:color="auto"/>
        <w:left w:val="none" w:sz="0" w:space="0" w:color="auto"/>
        <w:bottom w:val="none" w:sz="0" w:space="0" w:color="auto"/>
        <w:right w:val="none" w:sz="0" w:space="0" w:color="auto"/>
      </w:divBdr>
    </w:div>
    <w:div w:id="478496393">
      <w:bodyDiv w:val="1"/>
      <w:marLeft w:val="0"/>
      <w:marRight w:val="0"/>
      <w:marTop w:val="0"/>
      <w:marBottom w:val="0"/>
      <w:divBdr>
        <w:top w:val="none" w:sz="0" w:space="0" w:color="auto"/>
        <w:left w:val="none" w:sz="0" w:space="0" w:color="auto"/>
        <w:bottom w:val="none" w:sz="0" w:space="0" w:color="auto"/>
        <w:right w:val="none" w:sz="0" w:space="0" w:color="auto"/>
      </w:divBdr>
    </w:div>
    <w:div w:id="487215710">
      <w:bodyDiv w:val="1"/>
      <w:marLeft w:val="0"/>
      <w:marRight w:val="0"/>
      <w:marTop w:val="0"/>
      <w:marBottom w:val="0"/>
      <w:divBdr>
        <w:top w:val="none" w:sz="0" w:space="0" w:color="auto"/>
        <w:left w:val="none" w:sz="0" w:space="0" w:color="auto"/>
        <w:bottom w:val="none" w:sz="0" w:space="0" w:color="auto"/>
        <w:right w:val="none" w:sz="0" w:space="0" w:color="auto"/>
      </w:divBdr>
    </w:div>
    <w:div w:id="504705805">
      <w:bodyDiv w:val="1"/>
      <w:marLeft w:val="0"/>
      <w:marRight w:val="0"/>
      <w:marTop w:val="0"/>
      <w:marBottom w:val="0"/>
      <w:divBdr>
        <w:top w:val="none" w:sz="0" w:space="0" w:color="auto"/>
        <w:left w:val="none" w:sz="0" w:space="0" w:color="auto"/>
        <w:bottom w:val="none" w:sz="0" w:space="0" w:color="auto"/>
        <w:right w:val="none" w:sz="0" w:space="0" w:color="auto"/>
      </w:divBdr>
    </w:div>
    <w:div w:id="704257456">
      <w:bodyDiv w:val="1"/>
      <w:marLeft w:val="0"/>
      <w:marRight w:val="0"/>
      <w:marTop w:val="0"/>
      <w:marBottom w:val="0"/>
      <w:divBdr>
        <w:top w:val="none" w:sz="0" w:space="0" w:color="auto"/>
        <w:left w:val="none" w:sz="0" w:space="0" w:color="auto"/>
        <w:bottom w:val="none" w:sz="0" w:space="0" w:color="auto"/>
        <w:right w:val="none" w:sz="0" w:space="0" w:color="auto"/>
      </w:divBdr>
    </w:div>
    <w:div w:id="720597953">
      <w:bodyDiv w:val="1"/>
      <w:marLeft w:val="0"/>
      <w:marRight w:val="0"/>
      <w:marTop w:val="0"/>
      <w:marBottom w:val="0"/>
      <w:divBdr>
        <w:top w:val="none" w:sz="0" w:space="0" w:color="auto"/>
        <w:left w:val="none" w:sz="0" w:space="0" w:color="auto"/>
        <w:bottom w:val="none" w:sz="0" w:space="0" w:color="auto"/>
        <w:right w:val="none" w:sz="0" w:space="0" w:color="auto"/>
      </w:divBdr>
    </w:div>
    <w:div w:id="728923389">
      <w:bodyDiv w:val="1"/>
      <w:marLeft w:val="0"/>
      <w:marRight w:val="0"/>
      <w:marTop w:val="0"/>
      <w:marBottom w:val="0"/>
      <w:divBdr>
        <w:top w:val="none" w:sz="0" w:space="0" w:color="auto"/>
        <w:left w:val="none" w:sz="0" w:space="0" w:color="auto"/>
        <w:bottom w:val="none" w:sz="0" w:space="0" w:color="auto"/>
        <w:right w:val="none" w:sz="0" w:space="0" w:color="auto"/>
      </w:divBdr>
    </w:div>
    <w:div w:id="806896836">
      <w:bodyDiv w:val="1"/>
      <w:marLeft w:val="0"/>
      <w:marRight w:val="0"/>
      <w:marTop w:val="0"/>
      <w:marBottom w:val="0"/>
      <w:divBdr>
        <w:top w:val="none" w:sz="0" w:space="0" w:color="auto"/>
        <w:left w:val="none" w:sz="0" w:space="0" w:color="auto"/>
        <w:bottom w:val="none" w:sz="0" w:space="0" w:color="auto"/>
        <w:right w:val="none" w:sz="0" w:space="0" w:color="auto"/>
      </w:divBdr>
    </w:div>
    <w:div w:id="901258322">
      <w:bodyDiv w:val="1"/>
      <w:marLeft w:val="0"/>
      <w:marRight w:val="0"/>
      <w:marTop w:val="0"/>
      <w:marBottom w:val="0"/>
      <w:divBdr>
        <w:top w:val="none" w:sz="0" w:space="0" w:color="auto"/>
        <w:left w:val="none" w:sz="0" w:space="0" w:color="auto"/>
        <w:bottom w:val="none" w:sz="0" w:space="0" w:color="auto"/>
        <w:right w:val="none" w:sz="0" w:space="0" w:color="auto"/>
      </w:divBdr>
    </w:div>
    <w:div w:id="962538945">
      <w:bodyDiv w:val="1"/>
      <w:marLeft w:val="0"/>
      <w:marRight w:val="0"/>
      <w:marTop w:val="0"/>
      <w:marBottom w:val="0"/>
      <w:divBdr>
        <w:top w:val="none" w:sz="0" w:space="0" w:color="auto"/>
        <w:left w:val="none" w:sz="0" w:space="0" w:color="auto"/>
        <w:bottom w:val="none" w:sz="0" w:space="0" w:color="auto"/>
        <w:right w:val="none" w:sz="0" w:space="0" w:color="auto"/>
      </w:divBdr>
    </w:div>
    <w:div w:id="986201655">
      <w:bodyDiv w:val="1"/>
      <w:marLeft w:val="0"/>
      <w:marRight w:val="0"/>
      <w:marTop w:val="0"/>
      <w:marBottom w:val="0"/>
      <w:divBdr>
        <w:top w:val="none" w:sz="0" w:space="0" w:color="auto"/>
        <w:left w:val="none" w:sz="0" w:space="0" w:color="auto"/>
        <w:bottom w:val="none" w:sz="0" w:space="0" w:color="auto"/>
        <w:right w:val="none" w:sz="0" w:space="0" w:color="auto"/>
      </w:divBdr>
    </w:div>
    <w:div w:id="993874240">
      <w:bodyDiv w:val="1"/>
      <w:marLeft w:val="0"/>
      <w:marRight w:val="0"/>
      <w:marTop w:val="0"/>
      <w:marBottom w:val="0"/>
      <w:divBdr>
        <w:top w:val="none" w:sz="0" w:space="0" w:color="auto"/>
        <w:left w:val="none" w:sz="0" w:space="0" w:color="auto"/>
        <w:bottom w:val="none" w:sz="0" w:space="0" w:color="auto"/>
        <w:right w:val="none" w:sz="0" w:space="0" w:color="auto"/>
      </w:divBdr>
    </w:div>
    <w:div w:id="1022630335">
      <w:bodyDiv w:val="1"/>
      <w:marLeft w:val="0"/>
      <w:marRight w:val="0"/>
      <w:marTop w:val="0"/>
      <w:marBottom w:val="0"/>
      <w:divBdr>
        <w:top w:val="none" w:sz="0" w:space="0" w:color="auto"/>
        <w:left w:val="none" w:sz="0" w:space="0" w:color="auto"/>
        <w:bottom w:val="none" w:sz="0" w:space="0" w:color="auto"/>
        <w:right w:val="none" w:sz="0" w:space="0" w:color="auto"/>
      </w:divBdr>
    </w:div>
    <w:div w:id="1065757348">
      <w:bodyDiv w:val="1"/>
      <w:marLeft w:val="0"/>
      <w:marRight w:val="0"/>
      <w:marTop w:val="0"/>
      <w:marBottom w:val="0"/>
      <w:divBdr>
        <w:top w:val="none" w:sz="0" w:space="0" w:color="auto"/>
        <w:left w:val="none" w:sz="0" w:space="0" w:color="auto"/>
        <w:bottom w:val="none" w:sz="0" w:space="0" w:color="auto"/>
        <w:right w:val="none" w:sz="0" w:space="0" w:color="auto"/>
      </w:divBdr>
    </w:div>
    <w:div w:id="1098138257">
      <w:bodyDiv w:val="1"/>
      <w:marLeft w:val="0"/>
      <w:marRight w:val="0"/>
      <w:marTop w:val="0"/>
      <w:marBottom w:val="0"/>
      <w:divBdr>
        <w:top w:val="none" w:sz="0" w:space="0" w:color="auto"/>
        <w:left w:val="none" w:sz="0" w:space="0" w:color="auto"/>
        <w:bottom w:val="none" w:sz="0" w:space="0" w:color="auto"/>
        <w:right w:val="none" w:sz="0" w:space="0" w:color="auto"/>
      </w:divBdr>
    </w:div>
    <w:div w:id="1115253985">
      <w:bodyDiv w:val="1"/>
      <w:marLeft w:val="0"/>
      <w:marRight w:val="0"/>
      <w:marTop w:val="0"/>
      <w:marBottom w:val="0"/>
      <w:divBdr>
        <w:top w:val="none" w:sz="0" w:space="0" w:color="auto"/>
        <w:left w:val="none" w:sz="0" w:space="0" w:color="auto"/>
        <w:bottom w:val="none" w:sz="0" w:space="0" w:color="auto"/>
        <w:right w:val="none" w:sz="0" w:space="0" w:color="auto"/>
      </w:divBdr>
    </w:div>
    <w:div w:id="1149858721">
      <w:bodyDiv w:val="1"/>
      <w:marLeft w:val="0"/>
      <w:marRight w:val="0"/>
      <w:marTop w:val="0"/>
      <w:marBottom w:val="0"/>
      <w:divBdr>
        <w:top w:val="none" w:sz="0" w:space="0" w:color="auto"/>
        <w:left w:val="none" w:sz="0" w:space="0" w:color="auto"/>
        <w:bottom w:val="none" w:sz="0" w:space="0" w:color="auto"/>
        <w:right w:val="none" w:sz="0" w:space="0" w:color="auto"/>
      </w:divBdr>
    </w:div>
    <w:div w:id="1151143338">
      <w:bodyDiv w:val="1"/>
      <w:marLeft w:val="0"/>
      <w:marRight w:val="0"/>
      <w:marTop w:val="0"/>
      <w:marBottom w:val="0"/>
      <w:divBdr>
        <w:top w:val="none" w:sz="0" w:space="0" w:color="auto"/>
        <w:left w:val="none" w:sz="0" w:space="0" w:color="auto"/>
        <w:bottom w:val="none" w:sz="0" w:space="0" w:color="auto"/>
        <w:right w:val="none" w:sz="0" w:space="0" w:color="auto"/>
      </w:divBdr>
    </w:div>
    <w:div w:id="1162042088">
      <w:bodyDiv w:val="1"/>
      <w:marLeft w:val="0"/>
      <w:marRight w:val="0"/>
      <w:marTop w:val="0"/>
      <w:marBottom w:val="0"/>
      <w:divBdr>
        <w:top w:val="none" w:sz="0" w:space="0" w:color="auto"/>
        <w:left w:val="none" w:sz="0" w:space="0" w:color="auto"/>
        <w:bottom w:val="none" w:sz="0" w:space="0" w:color="auto"/>
        <w:right w:val="none" w:sz="0" w:space="0" w:color="auto"/>
      </w:divBdr>
    </w:div>
    <w:div w:id="1164396843">
      <w:bodyDiv w:val="1"/>
      <w:marLeft w:val="0"/>
      <w:marRight w:val="0"/>
      <w:marTop w:val="0"/>
      <w:marBottom w:val="0"/>
      <w:divBdr>
        <w:top w:val="none" w:sz="0" w:space="0" w:color="auto"/>
        <w:left w:val="none" w:sz="0" w:space="0" w:color="auto"/>
        <w:bottom w:val="none" w:sz="0" w:space="0" w:color="auto"/>
        <w:right w:val="none" w:sz="0" w:space="0" w:color="auto"/>
      </w:divBdr>
    </w:div>
    <w:div w:id="1215124013">
      <w:bodyDiv w:val="1"/>
      <w:marLeft w:val="0"/>
      <w:marRight w:val="0"/>
      <w:marTop w:val="0"/>
      <w:marBottom w:val="0"/>
      <w:divBdr>
        <w:top w:val="none" w:sz="0" w:space="0" w:color="auto"/>
        <w:left w:val="none" w:sz="0" w:space="0" w:color="auto"/>
        <w:bottom w:val="none" w:sz="0" w:space="0" w:color="auto"/>
        <w:right w:val="none" w:sz="0" w:space="0" w:color="auto"/>
      </w:divBdr>
    </w:div>
    <w:div w:id="1263227147">
      <w:bodyDiv w:val="1"/>
      <w:marLeft w:val="0"/>
      <w:marRight w:val="0"/>
      <w:marTop w:val="0"/>
      <w:marBottom w:val="0"/>
      <w:divBdr>
        <w:top w:val="none" w:sz="0" w:space="0" w:color="auto"/>
        <w:left w:val="none" w:sz="0" w:space="0" w:color="auto"/>
        <w:bottom w:val="none" w:sz="0" w:space="0" w:color="auto"/>
        <w:right w:val="none" w:sz="0" w:space="0" w:color="auto"/>
      </w:divBdr>
    </w:div>
    <w:div w:id="1271208162">
      <w:bodyDiv w:val="1"/>
      <w:marLeft w:val="0"/>
      <w:marRight w:val="0"/>
      <w:marTop w:val="0"/>
      <w:marBottom w:val="0"/>
      <w:divBdr>
        <w:top w:val="none" w:sz="0" w:space="0" w:color="auto"/>
        <w:left w:val="none" w:sz="0" w:space="0" w:color="auto"/>
        <w:bottom w:val="none" w:sz="0" w:space="0" w:color="auto"/>
        <w:right w:val="none" w:sz="0" w:space="0" w:color="auto"/>
      </w:divBdr>
    </w:div>
    <w:div w:id="1302267474">
      <w:bodyDiv w:val="1"/>
      <w:marLeft w:val="0"/>
      <w:marRight w:val="0"/>
      <w:marTop w:val="0"/>
      <w:marBottom w:val="0"/>
      <w:divBdr>
        <w:top w:val="none" w:sz="0" w:space="0" w:color="auto"/>
        <w:left w:val="none" w:sz="0" w:space="0" w:color="auto"/>
        <w:bottom w:val="none" w:sz="0" w:space="0" w:color="auto"/>
        <w:right w:val="none" w:sz="0" w:space="0" w:color="auto"/>
      </w:divBdr>
    </w:div>
    <w:div w:id="1350595742">
      <w:bodyDiv w:val="1"/>
      <w:marLeft w:val="0"/>
      <w:marRight w:val="0"/>
      <w:marTop w:val="0"/>
      <w:marBottom w:val="0"/>
      <w:divBdr>
        <w:top w:val="none" w:sz="0" w:space="0" w:color="auto"/>
        <w:left w:val="none" w:sz="0" w:space="0" w:color="auto"/>
        <w:bottom w:val="none" w:sz="0" w:space="0" w:color="auto"/>
        <w:right w:val="none" w:sz="0" w:space="0" w:color="auto"/>
      </w:divBdr>
    </w:div>
    <w:div w:id="1371760088">
      <w:bodyDiv w:val="1"/>
      <w:marLeft w:val="0"/>
      <w:marRight w:val="0"/>
      <w:marTop w:val="0"/>
      <w:marBottom w:val="0"/>
      <w:divBdr>
        <w:top w:val="none" w:sz="0" w:space="0" w:color="auto"/>
        <w:left w:val="none" w:sz="0" w:space="0" w:color="auto"/>
        <w:bottom w:val="none" w:sz="0" w:space="0" w:color="auto"/>
        <w:right w:val="none" w:sz="0" w:space="0" w:color="auto"/>
      </w:divBdr>
    </w:div>
    <w:div w:id="1429694081">
      <w:bodyDiv w:val="1"/>
      <w:marLeft w:val="0"/>
      <w:marRight w:val="0"/>
      <w:marTop w:val="0"/>
      <w:marBottom w:val="0"/>
      <w:divBdr>
        <w:top w:val="none" w:sz="0" w:space="0" w:color="auto"/>
        <w:left w:val="none" w:sz="0" w:space="0" w:color="auto"/>
        <w:bottom w:val="none" w:sz="0" w:space="0" w:color="auto"/>
        <w:right w:val="none" w:sz="0" w:space="0" w:color="auto"/>
      </w:divBdr>
    </w:div>
    <w:div w:id="1431851561">
      <w:bodyDiv w:val="1"/>
      <w:marLeft w:val="0"/>
      <w:marRight w:val="0"/>
      <w:marTop w:val="0"/>
      <w:marBottom w:val="0"/>
      <w:divBdr>
        <w:top w:val="none" w:sz="0" w:space="0" w:color="auto"/>
        <w:left w:val="none" w:sz="0" w:space="0" w:color="auto"/>
        <w:bottom w:val="none" w:sz="0" w:space="0" w:color="auto"/>
        <w:right w:val="none" w:sz="0" w:space="0" w:color="auto"/>
      </w:divBdr>
    </w:div>
    <w:div w:id="1441535353">
      <w:bodyDiv w:val="1"/>
      <w:marLeft w:val="0"/>
      <w:marRight w:val="0"/>
      <w:marTop w:val="0"/>
      <w:marBottom w:val="0"/>
      <w:divBdr>
        <w:top w:val="none" w:sz="0" w:space="0" w:color="auto"/>
        <w:left w:val="none" w:sz="0" w:space="0" w:color="auto"/>
        <w:bottom w:val="none" w:sz="0" w:space="0" w:color="auto"/>
        <w:right w:val="none" w:sz="0" w:space="0" w:color="auto"/>
      </w:divBdr>
    </w:div>
    <w:div w:id="1479684634">
      <w:bodyDiv w:val="1"/>
      <w:marLeft w:val="0"/>
      <w:marRight w:val="0"/>
      <w:marTop w:val="0"/>
      <w:marBottom w:val="0"/>
      <w:divBdr>
        <w:top w:val="none" w:sz="0" w:space="0" w:color="auto"/>
        <w:left w:val="none" w:sz="0" w:space="0" w:color="auto"/>
        <w:bottom w:val="none" w:sz="0" w:space="0" w:color="auto"/>
        <w:right w:val="none" w:sz="0" w:space="0" w:color="auto"/>
      </w:divBdr>
    </w:div>
    <w:div w:id="1500541532">
      <w:bodyDiv w:val="1"/>
      <w:marLeft w:val="0"/>
      <w:marRight w:val="0"/>
      <w:marTop w:val="0"/>
      <w:marBottom w:val="0"/>
      <w:divBdr>
        <w:top w:val="none" w:sz="0" w:space="0" w:color="auto"/>
        <w:left w:val="none" w:sz="0" w:space="0" w:color="auto"/>
        <w:bottom w:val="none" w:sz="0" w:space="0" w:color="auto"/>
        <w:right w:val="none" w:sz="0" w:space="0" w:color="auto"/>
      </w:divBdr>
    </w:div>
    <w:div w:id="1665233909">
      <w:bodyDiv w:val="1"/>
      <w:marLeft w:val="0"/>
      <w:marRight w:val="0"/>
      <w:marTop w:val="0"/>
      <w:marBottom w:val="0"/>
      <w:divBdr>
        <w:top w:val="none" w:sz="0" w:space="0" w:color="auto"/>
        <w:left w:val="none" w:sz="0" w:space="0" w:color="auto"/>
        <w:bottom w:val="none" w:sz="0" w:space="0" w:color="auto"/>
        <w:right w:val="none" w:sz="0" w:space="0" w:color="auto"/>
      </w:divBdr>
    </w:div>
    <w:div w:id="1719283034">
      <w:bodyDiv w:val="1"/>
      <w:marLeft w:val="0"/>
      <w:marRight w:val="0"/>
      <w:marTop w:val="0"/>
      <w:marBottom w:val="0"/>
      <w:divBdr>
        <w:top w:val="none" w:sz="0" w:space="0" w:color="auto"/>
        <w:left w:val="none" w:sz="0" w:space="0" w:color="auto"/>
        <w:bottom w:val="none" w:sz="0" w:space="0" w:color="auto"/>
        <w:right w:val="none" w:sz="0" w:space="0" w:color="auto"/>
      </w:divBdr>
    </w:div>
    <w:div w:id="1737126428">
      <w:bodyDiv w:val="1"/>
      <w:marLeft w:val="0"/>
      <w:marRight w:val="0"/>
      <w:marTop w:val="0"/>
      <w:marBottom w:val="0"/>
      <w:divBdr>
        <w:top w:val="none" w:sz="0" w:space="0" w:color="auto"/>
        <w:left w:val="none" w:sz="0" w:space="0" w:color="auto"/>
        <w:bottom w:val="none" w:sz="0" w:space="0" w:color="auto"/>
        <w:right w:val="none" w:sz="0" w:space="0" w:color="auto"/>
      </w:divBdr>
    </w:div>
    <w:div w:id="1759711184">
      <w:bodyDiv w:val="1"/>
      <w:marLeft w:val="0"/>
      <w:marRight w:val="0"/>
      <w:marTop w:val="0"/>
      <w:marBottom w:val="0"/>
      <w:divBdr>
        <w:top w:val="none" w:sz="0" w:space="0" w:color="auto"/>
        <w:left w:val="none" w:sz="0" w:space="0" w:color="auto"/>
        <w:bottom w:val="none" w:sz="0" w:space="0" w:color="auto"/>
        <w:right w:val="none" w:sz="0" w:space="0" w:color="auto"/>
      </w:divBdr>
    </w:div>
    <w:div w:id="1789465975">
      <w:bodyDiv w:val="1"/>
      <w:marLeft w:val="0"/>
      <w:marRight w:val="0"/>
      <w:marTop w:val="0"/>
      <w:marBottom w:val="0"/>
      <w:divBdr>
        <w:top w:val="none" w:sz="0" w:space="0" w:color="auto"/>
        <w:left w:val="none" w:sz="0" w:space="0" w:color="auto"/>
        <w:bottom w:val="none" w:sz="0" w:space="0" w:color="auto"/>
        <w:right w:val="none" w:sz="0" w:space="0" w:color="auto"/>
      </w:divBdr>
    </w:div>
    <w:div w:id="1815489581">
      <w:bodyDiv w:val="1"/>
      <w:marLeft w:val="0"/>
      <w:marRight w:val="0"/>
      <w:marTop w:val="0"/>
      <w:marBottom w:val="0"/>
      <w:divBdr>
        <w:top w:val="none" w:sz="0" w:space="0" w:color="auto"/>
        <w:left w:val="none" w:sz="0" w:space="0" w:color="auto"/>
        <w:bottom w:val="none" w:sz="0" w:space="0" w:color="auto"/>
        <w:right w:val="none" w:sz="0" w:space="0" w:color="auto"/>
      </w:divBdr>
    </w:div>
    <w:div w:id="1829705948">
      <w:bodyDiv w:val="1"/>
      <w:marLeft w:val="0"/>
      <w:marRight w:val="0"/>
      <w:marTop w:val="0"/>
      <w:marBottom w:val="0"/>
      <w:divBdr>
        <w:top w:val="none" w:sz="0" w:space="0" w:color="auto"/>
        <w:left w:val="none" w:sz="0" w:space="0" w:color="auto"/>
        <w:bottom w:val="none" w:sz="0" w:space="0" w:color="auto"/>
        <w:right w:val="none" w:sz="0" w:space="0" w:color="auto"/>
      </w:divBdr>
    </w:div>
    <w:div w:id="1841195932">
      <w:bodyDiv w:val="1"/>
      <w:marLeft w:val="0"/>
      <w:marRight w:val="0"/>
      <w:marTop w:val="0"/>
      <w:marBottom w:val="0"/>
      <w:divBdr>
        <w:top w:val="none" w:sz="0" w:space="0" w:color="auto"/>
        <w:left w:val="none" w:sz="0" w:space="0" w:color="auto"/>
        <w:bottom w:val="none" w:sz="0" w:space="0" w:color="auto"/>
        <w:right w:val="none" w:sz="0" w:space="0" w:color="auto"/>
      </w:divBdr>
    </w:div>
    <w:div w:id="1855486617">
      <w:bodyDiv w:val="1"/>
      <w:marLeft w:val="0"/>
      <w:marRight w:val="0"/>
      <w:marTop w:val="0"/>
      <w:marBottom w:val="0"/>
      <w:divBdr>
        <w:top w:val="none" w:sz="0" w:space="0" w:color="auto"/>
        <w:left w:val="none" w:sz="0" w:space="0" w:color="auto"/>
        <w:bottom w:val="none" w:sz="0" w:space="0" w:color="auto"/>
        <w:right w:val="none" w:sz="0" w:space="0" w:color="auto"/>
      </w:divBdr>
    </w:div>
    <w:div w:id="2036104741">
      <w:bodyDiv w:val="1"/>
      <w:marLeft w:val="0"/>
      <w:marRight w:val="0"/>
      <w:marTop w:val="0"/>
      <w:marBottom w:val="0"/>
      <w:divBdr>
        <w:top w:val="none" w:sz="0" w:space="0" w:color="auto"/>
        <w:left w:val="none" w:sz="0" w:space="0" w:color="auto"/>
        <w:bottom w:val="none" w:sz="0" w:space="0" w:color="auto"/>
        <w:right w:val="none" w:sz="0" w:space="0" w:color="auto"/>
      </w:divBdr>
    </w:div>
    <w:div w:id="2054620834">
      <w:bodyDiv w:val="1"/>
      <w:marLeft w:val="0"/>
      <w:marRight w:val="0"/>
      <w:marTop w:val="0"/>
      <w:marBottom w:val="0"/>
      <w:divBdr>
        <w:top w:val="none" w:sz="0" w:space="0" w:color="auto"/>
        <w:left w:val="none" w:sz="0" w:space="0" w:color="auto"/>
        <w:bottom w:val="none" w:sz="0" w:space="0" w:color="auto"/>
        <w:right w:val="none" w:sz="0" w:space="0" w:color="auto"/>
      </w:divBdr>
    </w:div>
    <w:div w:id="2080715150">
      <w:bodyDiv w:val="1"/>
      <w:marLeft w:val="0"/>
      <w:marRight w:val="0"/>
      <w:marTop w:val="0"/>
      <w:marBottom w:val="0"/>
      <w:divBdr>
        <w:top w:val="none" w:sz="0" w:space="0" w:color="auto"/>
        <w:left w:val="none" w:sz="0" w:space="0" w:color="auto"/>
        <w:bottom w:val="none" w:sz="0" w:space="0" w:color="auto"/>
        <w:right w:val="none" w:sz="0" w:space="0" w:color="auto"/>
      </w:divBdr>
    </w:div>
    <w:div w:id="2081979563">
      <w:bodyDiv w:val="1"/>
      <w:marLeft w:val="0"/>
      <w:marRight w:val="0"/>
      <w:marTop w:val="0"/>
      <w:marBottom w:val="0"/>
      <w:divBdr>
        <w:top w:val="none" w:sz="0" w:space="0" w:color="auto"/>
        <w:left w:val="none" w:sz="0" w:space="0" w:color="auto"/>
        <w:bottom w:val="none" w:sz="0" w:space="0" w:color="auto"/>
        <w:right w:val="none" w:sz="0" w:space="0" w:color="auto"/>
      </w:divBdr>
    </w:div>
    <w:div w:id="2088914077">
      <w:bodyDiv w:val="1"/>
      <w:marLeft w:val="0"/>
      <w:marRight w:val="0"/>
      <w:marTop w:val="0"/>
      <w:marBottom w:val="0"/>
      <w:divBdr>
        <w:top w:val="none" w:sz="0" w:space="0" w:color="auto"/>
        <w:left w:val="none" w:sz="0" w:space="0" w:color="auto"/>
        <w:bottom w:val="none" w:sz="0" w:space="0" w:color="auto"/>
        <w:right w:val="none" w:sz="0" w:space="0" w:color="auto"/>
      </w:divBdr>
    </w:div>
    <w:div w:id="2130124060">
      <w:bodyDiv w:val="1"/>
      <w:marLeft w:val="0"/>
      <w:marRight w:val="0"/>
      <w:marTop w:val="0"/>
      <w:marBottom w:val="0"/>
      <w:divBdr>
        <w:top w:val="none" w:sz="0" w:space="0" w:color="auto"/>
        <w:left w:val="none" w:sz="0" w:space="0" w:color="auto"/>
        <w:bottom w:val="none" w:sz="0" w:space="0" w:color="auto"/>
        <w:right w:val="none" w:sz="0" w:space="0" w:color="auto"/>
      </w:divBdr>
    </w:div>
    <w:div w:id="2133939133">
      <w:bodyDiv w:val="1"/>
      <w:marLeft w:val="0"/>
      <w:marRight w:val="0"/>
      <w:marTop w:val="0"/>
      <w:marBottom w:val="0"/>
      <w:divBdr>
        <w:top w:val="none" w:sz="0" w:space="0" w:color="auto"/>
        <w:left w:val="none" w:sz="0" w:space="0" w:color="auto"/>
        <w:bottom w:val="none" w:sz="0" w:space="0" w:color="auto"/>
        <w:right w:val="none" w:sz="0" w:space="0" w:color="auto"/>
      </w:divBdr>
    </w:div>
    <w:div w:id="2142961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image" Target="media/image5.png"/><Relationship Id="rId39" Type="http://schemas.openxmlformats.org/officeDocument/2006/relationships/hyperlink" Target="https://www.aph.gov.au/About_Parliament/Parliamentary_Departments/Parliamentary_Budget_Office/Online_Budget_Glossary" TargetMode="Externa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13.emf"/><Relationship Id="rId42" Type="http://schemas.openxmlformats.org/officeDocument/2006/relationships/image" Target="media/image18.png"/><Relationship Id="rId47" Type="http://schemas.openxmlformats.org/officeDocument/2006/relationships/footer" Target="footer7.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creativecommons.org/licenses/by-nc-nd/3.0/au/" TargetMode="External"/><Relationship Id="rId17" Type="http://schemas.openxmlformats.org/officeDocument/2006/relationships/header" Target="header5.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yperlink" Target="https://www.aph.gov.au/About_Parliament/Parliamentary_Departments/Parliamentary_Budget_Office/Online_Budget_Glossary" TargetMode="External"/><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8.png"/><Relationship Id="rId41" Type="http://schemas.openxmlformats.org/officeDocument/2006/relationships/image" Target="media/image17.pn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footer" Target="footer5.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yperlink" Target="https://www.aph.gov.au/About_Parliament/Parliamentary_Departments/Parliamentary_Budget_Office/Online_Budget_Glossary" TargetMode="External"/><Relationship Id="rId45"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hyperlink" Target="mailto:feedback@pbo.gov.au" TargetMode="External"/><Relationship Id="rId23" Type="http://schemas.openxmlformats.org/officeDocument/2006/relationships/footer" Target="footer4.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2.xml"/><Relationship Id="rId31" Type="http://schemas.openxmlformats.org/officeDocument/2006/relationships/image" Target="media/image10.png"/><Relationship Id="rId44"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www.pmc.gov.au/government/commonwealth-coat-arms" TargetMode="External"/><Relationship Id="rId22" Type="http://schemas.openxmlformats.org/officeDocument/2006/relationships/header" Target="header7.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header" Target="header10.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aph.gov.au/About_Parliament/Parliamentary_Departments/Parliamentary_Budget_Office/Online_Budget_Glossary"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Core\Templates\2%20Publications\PBO%20Research%20Report%20v3.dotm" TargetMode="External"/></Relationships>
</file>

<file path=word/theme/theme1.xml><?xml version="1.0" encoding="utf-8"?>
<a:theme xmlns:a="http://schemas.openxmlformats.org/drawingml/2006/main" name="Office Theme">
  <a:themeElements>
    <a:clrScheme name="PBO 2018">
      <a:dk1>
        <a:srgbClr val="000000"/>
      </a:dk1>
      <a:lt1>
        <a:srgbClr val="FFFFFF"/>
      </a:lt1>
      <a:dk2>
        <a:srgbClr val="9778B4"/>
      </a:dk2>
      <a:lt2>
        <a:srgbClr val="3D4D7D"/>
      </a:lt2>
      <a:accent1>
        <a:srgbClr val="8D487F"/>
      </a:accent1>
      <a:accent2>
        <a:srgbClr val="C64E45"/>
      </a:accent2>
      <a:accent3>
        <a:srgbClr val="F1873D"/>
      </a:accent3>
      <a:accent4>
        <a:srgbClr val="FCC648"/>
      </a:accent4>
      <a:accent5>
        <a:srgbClr val="86BE57"/>
      </a:accent5>
      <a:accent6>
        <a:srgbClr val="788183"/>
      </a:accent6>
      <a:hlink>
        <a:srgbClr val="000000"/>
      </a:hlink>
      <a:folHlink>
        <a:srgbClr val="3D4D7D"/>
      </a:folHlink>
    </a:clrScheme>
    <a:fontScheme name="PBO v2">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14914-7B92-47E2-9214-05617D6D2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PBO Research Report v3.dotm</Template>
  <TotalTime>0</TotalTime>
  <Pages>50</Pages>
  <Words>16531</Words>
  <Characters>87450</Characters>
  <Application>Microsoft Office Word</Application>
  <DocSecurity>0</DocSecurity>
  <Lines>2650</Lines>
  <Paragraphs>1575</Paragraphs>
  <ScaleCrop>false</ScaleCrop>
  <HeadingPairs>
    <vt:vector size="2" baseType="variant">
      <vt:variant>
        <vt:lpstr>Title</vt:lpstr>
      </vt:variant>
      <vt:variant>
        <vt:i4>1</vt:i4>
      </vt:variant>
    </vt:vector>
  </HeadingPairs>
  <TitlesOfParts>
    <vt:vector size="1" baseType="lpstr">
      <vt:lpstr/>
    </vt:vector>
  </TitlesOfParts>
  <Company>Parliament of Australia</Company>
  <LinksUpToDate>false</LinksUpToDate>
  <CharactersWithSpaces>102406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PBO@pbo.gov.au</dc:creator>
  <cp:lastModifiedBy>Kuo, Suzy (PBO)</cp:lastModifiedBy>
  <cp:revision>3</cp:revision>
  <cp:lastPrinted>2020-12-08T04:41:00Z</cp:lastPrinted>
  <dcterms:created xsi:type="dcterms:W3CDTF">2020-12-09T22:56:00Z</dcterms:created>
  <dcterms:modified xsi:type="dcterms:W3CDTF">2020-12-09T22:57:00Z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Status">
    <vt:lpwstr/>
  </property>
  <property fmtid="{D5CDD505-2E9C-101B-9397-08002B2CF9AE}" pid="3" name="xTOCH2">
    <vt:lpwstr>Y</vt:lpwstr>
  </property>
  <property fmtid="{D5CDD505-2E9C-101B-9397-08002B2CF9AE}" pid="4" name="xTOCH3">
    <vt:lpwstr>N</vt:lpwstr>
  </property>
  <property fmtid="{D5CDD505-2E9C-101B-9397-08002B2CF9AE}" pid="5" name="xTOCTable">
    <vt:lpwstr>H</vt:lpwstr>
  </property>
  <property fmtid="{D5CDD505-2E9C-101B-9397-08002B2CF9AE}" pid="6" name="xTOCFigure">
    <vt:lpwstr>H</vt:lpwstr>
  </property>
  <property fmtid="{D5CDD505-2E9C-101B-9397-08002B2CF9AE}" pid="7" name="xTOCApp">
    <vt:lpwstr>H</vt:lpwstr>
  </property>
  <property fmtid="{D5CDD505-2E9C-101B-9397-08002B2CF9AE}" pid="8" name="xNumberedBodyText">
    <vt:lpwstr>False</vt:lpwstr>
  </property>
  <property fmtid="{D5CDD505-2E9C-101B-9397-08002B2CF9AE}" pid="9" name="xCR">
    <vt:lpwstr>Figures</vt:lpwstr>
  </property>
  <property fmtid="{D5CDD505-2E9C-101B-9397-08002B2CF9AE}" pid="10" name="xHeadingsNumbered">
    <vt:lpwstr>True</vt:lpwstr>
  </property>
  <property fmtid="{D5CDD505-2E9C-101B-9397-08002B2CF9AE}" pid="11" name="xAppendixName">
    <vt:lpwstr>Appendix</vt:lpwstr>
  </property>
</Properties>
</file>