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999" w:rsidRDefault="00827999" w:rsidP="00785B35">
      <w:pPr>
        <w:pStyle w:val="Title"/>
        <w:rPr>
          <w:b/>
        </w:rPr>
      </w:pPr>
      <w:bookmarkStart w:id="0" w:name="_GoBack"/>
      <w:bookmarkEnd w:id="0"/>
    </w:p>
    <w:p w:rsidR="00F2540B" w:rsidRPr="0012448F" w:rsidRDefault="00827999" w:rsidP="00F2540B">
      <w:pPr>
        <w:pStyle w:val="Title"/>
        <w:spacing w:before="6100"/>
        <w:ind w:left="0"/>
        <w:rPr>
          <w:b/>
          <w:sz w:val="52"/>
          <w:szCs w:val="52"/>
        </w:rPr>
      </w:pPr>
      <w:r w:rsidRPr="0012448F">
        <w:rPr>
          <w:b/>
          <w:sz w:val="52"/>
          <w:szCs w:val="52"/>
        </w:rPr>
        <w:t>NaTIONAL FISCAL OUTLOOK</w:t>
      </w:r>
      <w:r w:rsidR="00F2540B">
        <w:rPr>
          <w:b/>
          <w:sz w:val="52"/>
          <w:szCs w:val="52"/>
        </w:rPr>
        <w:t xml:space="preserve">: </w:t>
      </w:r>
      <w:r w:rsidR="00F2540B" w:rsidRPr="0012448F">
        <w:rPr>
          <w:b/>
          <w:sz w:val="52"/>
          <w:szCs w:val="52"/>
        </w:rPr>
        <w:t xml:space="preserve">AS AT </w:t>
      </w:r>
      <w:r w:rsidR="00F2540B">
        <w:rPr>
          <w:b/>
          <w:sz w:val="52"/>
          <w:szCs w:val="52"/>
        </w:rPr>
        <w:br/>
      </w:r>
      <w:r w:rsidR="00F2540B" w:rsidRPr="0012448F">
        <w:rPr>
          <w:b/>
          <w:sz w:val="52"/>
          <w:szCs w:val="52"/>
        </w:rPr>
        <w:t>201</w:t>
      </w:r>
      <w:r w:rsidR="001E3A20">
        <w:rPr>
          <w:b/>
          <w:sz w:val="52"/>
          <w:szCs w:val="52"/>
        </w:rPr>
        <w:t>9</w:t>
      </w:r>
      <w:r w:rsidR="00F2540B" w:rsidRPr="0012448F">
        <w:rPr>
          <w:b/>
          <w:sz w:val="52"/>
          <w:szCs w:val="52"/>
        </w:rPr>
        <w:t>–</w:t>
      </w:r>
      <w:r w:rsidR="001E3A20">
        <w:rPr>
          <w:b/>
          <w:sz w:val="52"/>
          <w:szCs w:val="52"/>
        </w:rPr>
        <w:t>20</w:t>
      </w:r>
      <w:r w:rsidR="00F2540B" w:rsidRPr="0012448F">
        <w:rPr>
          <w:b/>
          <w:sz w:val="52"/>
          <w:szCs w:val="52"/>
        </w:rPr>
        <w:t xml:space="preserve"> BUDGETS</w:t>
      </w:r>
    </w:p>
    <w:p w:rsidR="00E67BBF" w:rsidRPr="0012448F" w:rsidRDefault="00E67BBF" w:rsidP="00785B35">
      <w:pPr>
        <w:pStyle w:val="Title"/>
        <w:rPr>
          <w:b/>
          <w:color w:val="FFFFFF"/>
          <w:sz w:val="52"/>
          <w:szCs w:val="52"/>
        </w:rPr>
      </w:pPr>
    </w:p>
    <w:p w:rsidR="00086FD2" w:rsidRPr="000A1B16" w:rsidRDefault="00086FD2" w:rsidP="00F2540B">
      <w:pPr>
        <w:pStyle w:val="Title3"/>
        <w:framePr w:w="3243" w:wrap="around" w:x="8154"/>
        <w:spacing w:before="120" w:after="0"/>
        <w:rPr>
          <w:b/>
        </w:rPr>
      </w:pPr>
      <w:r w:rsidRPr="000A1B16">
        <w:rPr>
          <w:rStyle w:val="Title3Heading"/>
          <w:b/>
        </w:rPr>
        <w:t>Report No.</w:t>
      </w:r>
      <w:r w:rsidR="00827999" w:rsidRPr="000A1B16">
        <w:rPr>
          <w:rStyle w:val="Title3Heading"/>
          <w:b/>
        </w:rPr>
        <w:t xml:space="preserve"> </w:t>
      </w:r>
      <w:r w:rsidR="0012448F">
        <w:rPr>
          <w:rStyle w:val="Title3Heading"/>
          <w:b/>
        </w:rPr>
        <w:t>0</w:t>
      </w:r>
      <w:r w:rsidR="003130EF">
        <w:rPr>
          <w:rStyle w:val="Title3Heading"/>
          <w:b/>
        </w:rPr>
        <w:t>4/2019</w:t>
      </w:r>
    </w:p>
    <w:p w:rsidR="00086FD2" w:rsidRDefault="00086FD2" w:rsidP="00961DBB">
      <w:pPr>
        <w:sectPr w:rsidR="00086FD2" w:rsidSect="00A16EB0">
          <w:headerReference w:type="even" r:id="rId9"/>
          <w:headerReference w:type="default" r:id="rId10"/>
          <w:footerReference w:type="even" r:id="rId11"/>
          <w:footerReference w:type="default" r:id="rId12"/>
          <w:headerReference w:type="first" r:id="rId13"/>
          <w:footerReference w:type="first" r:id="rId14"/>
          <w:pgSz w:w="11907" w:h="16840" w:code="9"/>
          <w:pgMar w:top="1191" w:right="1418" w:bottom="1021" w:left="1418" w:header="567" w:footer="709" w:gutter="0"/>
          <w:cols w:space="708"/>
          <w:titlePg/>
          <w:docGrid w:linePitch="360"/>
        </w:sectPr>
      </w:pPr>
    </w:p>
    <w:tbl>
      <w:tblPr>
        <w:tblpPr w:leftFromText="181" w:rightFromText="181" w:horzAnchor="margin" w:tblpY="4310"/>
        <w:tblOverlap w:val="never"/>
        <w:tblW w:w="0" w:type="auto"/>
        <w:tblCellMar>
          <w:bottom w:w="57" w:type="dxa"/>
          <w:right w:w="57" w:type="dxa"/>
        </w:tblCellMar>
        <w:tblLook w:val="04A0" w:firstRow="1" w:lastRow="0" w:firstColumn="1" w:lastColumn="0" w:noHBand="0" w:noVBand="1"/>
      </w:tblPr>
      <w:tblGrid>
        <w:gridCol w:w="8220"/>
      </w:tblGrid>
      <w:tr w:rsidR="001830F3" w:rsidRPr="001830F3" w:rsidTr="00CC37CA">
        <w:trPr>
          <w:trHeight w:val="8165"/>
        </w:trPr>
        <w:tc>
          <w:tcPr>
            <w:tcW w:w="8220" w:type="dxa"/>
            <w:vAlign w:val="bottom"/>
          </w:tcPr>
          <w:p w:rsidR="003130EF" w:rsidRPr="001830F3" w:rsidRDefault="003130EF" w:rsidP="003130EF">
            <w:pPr>
              <w:pStyle w:val="xDisclaimerText2"/>
              <w:framePr w:hSpace="0" w:wrap="auto" w:hAnchor="text" w:yAlign="inline"/>
              <w:suppressOverlap w:val="0"/>
            </w:pPr>
            <w:r w:rsidRPr="001830F3">
              <w:lastRenderedPageBreak/>
              <w:t>©</w:t>
            </w:r>
            <w:bookmarkStart w:id="1" w:name="_DisclaimerMarker"/>
            <w:bookmarkEnd w:id="1"/>
            <w:r w:rsidRPr="001830F3">
              <w:t xml:space="preserve"> Commonwealth of Australia </w:t>
            </w:r>
            <w:r>
              <w:t>2019</w:t>
            </w:r>
          </w:p>
          <w:p w:rsidR="003130EF" w:rsidRPr="001830F3" w:rsidRDefault="003130EF" w:rsidP="003130EF">
            <w:pPr>
              <w:pStyle w:val="xDisclaimerText2"/>
              <w:framePr w:hSpace="0" w:wrap="auto" w:hAnchor="text" w:yAlign="inline"/>
              <w:suppressOverlap w:val="0"/>
            </w:pPr>
            <w:r w:rsidRPr="000D4C9A">
              <w:t>ISBN 978-0-6483701-</w:t>
            </w:r>
            <w:r w:rsidR="009B3215">
              <w:t>4</w:t>
            </w:r>
            <w:r w:rsidRPr="000D4C9A">
              <w:t>-</w:t>
            </w:r>
            <w:r w:rsidR="009B3215">
              <w:t>7</w:t>
            </w:r>
            <w:r w:rsidR="009B3215">
              <w:rPr>
                <w:b/>
              </w:rPr>
              <w:t xml:space="preserve"> </w:t>
            </w:r>
            <w:r w:rsidRPr="000C5170">
              <w:rPr>
                <w:color w:val="auto"/>
              </w:rPr>
              <w:t>(</w:t>
            </w:r>
            <w:r>
              <w:rPr>
                <w:color w:val="auto"/>
              </w:rPr>
              <w:t>online</w:t>
            </w:r>
            <w:r w:rsidRPr="000C5170">
              <w:rPr>
                <w:color w:val="auto"/>
              </w:rPr>
              <w:t>)</w:t>
            </w:r>
          </w:p>
          <w:p w:rsidR="003130EF" w:rsidRDefault="003130EF" w:rsidP="003130EF">
            <w:pPr>
              <w:pStyle w:val="xDisclaimerHeading"/>
              <w:framePr w:hSpace="0" w:wrap="auto" w:hAnchor="text" w:yAlign="inline"/>
              <w:suppressOverlap w:val="0"/>
            </w:pPr>
            <w:r>
              <w:t xml:space="preserve">Copyright </w:t>
            </w:r>
            <w:r w:rsidRPr="0086076E">
              <w:t>notice</w:t>
            </w:r>
          </w:p>
          <w:p w:rsidR="003130EF" w:rsidRPr="001830F3" w:rsidRDefault="003130EF" w:rsidP="003130EF">
            <w:pPr>
              <w:pStyle w:val="xDisclaimerText2"/>
              <w:framePr w:hSpace="0" w:wrap="auto" w:hAnchor="text" w:yAlign="inline"/>
              <w:suppressOverlap w:val="0"/>
            </w:pPr>
            <w:r w:rsidRPr="001830F3">
              <w:t>This work is licensed under the Creative Commons Attribution-</w:t>
            </w:r>
            <w:proofErr w:type="spellStart"/>
            <w:r w:rsidRPr="001830F3">
              <w:t>NonCommercial</w:t>
            </w:r>
            <w:proofErr w:type="spellEnd"/>
            <w:r w:rsidRPr="001830F3">
              <w:t>-</w:t>
            </w:r>
            <w:proofErr w:type="spellStart"/>
            <w:r w:rsidRPr="001830F3">
              <w:t>NoDerivs</w:t>
            </w:r>
            <w:proofErr w:type="spellEnd"/>
            <w:r>
              <w:br/>
            </w:r>
            <w:r w:rsidRPr="001830F3">
              <w:t>3.0 Australia License</w:t>
            </w:r>
            <w:r>
              <w:t xml:space="preserve"> </w:t>
            </w:r>
            <w:hyperlink r:id="rId15" w:history="1">
              <w:r w:rsidRPr="00FF62B9">
                <w:rPr>
                  <w:rFonts w:ascii="Calibri" w:eastAsia="Calibri" w:hAnsi="Calibri" w:cs="Times New Roman"/>
                  <w:u w:val="single"/>
                </w:rPr>
                <w:t>http://creativecommons.org/licenses/by-nc-nd/3.0/au/</w:t>
              </w:r>
            </w:hyperlink>
          </w:p>
          <w:p w:rsidR="003130EF" w:rsidRPr="001830F3" w:rsidRDefault="003130EF" w:rsidP="003130EF">
            <w:pPr>
              <w:pStyle w:val="xDisclaimerText2"/>
              <w:framePr w:hSpace="0" w:wrap="auto" w:hAnchor="text" w:yAlign="inline"/>
              <w:suppressOverlap w:val="0"/>
            </w:pPr>
            <w:r w:rsidRPr="00FF62B9">
              <w:rPr>
                <w:rFonts w:ascii="Calibri" w:eastAsia="Calibri" w:hAnsi="Calibri" w:cs="Times New Roman"/>
                <w:noProof/>
                <w:lang w:eastAsia="en-AU"/>
              </w:rPr>
              <w:drawing>
                <wp:inline distT="0" distB="0" distL="0" distR="0" wp14:anchorId="654661CB" wp14:editId="58229B29">
                  <wp:extent cx="731520" cy="2562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reative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9523" cy="255539"/>
                          </a:xfrm>
                          <a:prstGeom prst="rect">
                            <a:avLst/>
                          </a:prstGeom>
                        </pic:spPr>
                      </pic:pic>
                    </a:graphicData>
                  </a:graphic>
                </wp:inline>
              </w:drawing>
            </w:r>
          </w:p>
          <w:p w:rsidR="003130EF" w:rsidRDefault="003130EF" w:rsidP="003130EF">
            <w:pPr>
              <w:pStyle w:val="xDisclaimerHeading"/>
              <w:framePr w:hSpace="0" w:wrap="auto" w:hAnchor="text" w:yAlign="inline"/>
              <w:suppressOverlap w:val="0"/>
            </w:pPr>
            <w:r>
              <w:t>Attribution</w:t>
            </w:r>
          </w:p>
          <w:p w:rsidR="003130EF" w:rsidRPr="00CC37CA" w:rsidRDefault="003130EF" w:rsidP="003130EF">
            <w:pPr>
              <w:pStyle w:val="xDisclaimerText"/>
              <w:framePr w:w="0" w:wrap="auto" w:hAnchor="text" w:yAlign="inline"/>
            </w:pPr>
            <w:r>
              <w:t>This publication should be attributed as follows: Parliamentary Budget Office</w:t>
            </w:r>
            <w:proofErr w:type="gramStart"/>
            <w:r>
              <w:t>,</w:t>
            </w:r>
            <w:proofErr w:type="gramEnd"/>
            <w:r w:rsidR="00797024">
              <w:br/>
            </w:r>
            <w:r w:rsidR="002760FA">
              <w:t>National Fiscal Outlook as at 2019</w:t>
            </w:r>
            <w:r w:rsidR="00581BA8">
              <w:t>–</w:t>
            </w:r>
            <w:r w:rsidR="002760FA">
              <w:t>20 Budgets</w:t>
            </w:r>
            <w:r>
              <w:t>.</w:t>
            </w:r>
          </w:p>
          <w:p w:rsidR="003130EF" w:rsidRDefault="003130EF" w:rsidP="003130EF">
            <w:pPr>
              <w:pStyle w:val="xDisclaimerHeading"/>
              <w:framePr w:hSpace="0" w:wrap="auto" w:hAnchor="text" w:yAlign="inline"/>
              <w:suppressOverlap w:val="0"/>
            </w:pPr>
            <w:r>
              <w:t>Use of the Coat of Arms</w:t>
            </w:r>
          </w:p>
          <w:p w:rsidR="003130EF" w:rsidRDefault="003130EF" w:rsidP="003130EF">
            <w:pPr>
              <w:pStyle w:val="xDisclaimerText2"/>
              <w:framePr w:hSpace="0" w:wrap="auto" w:hAnchor="text" w:yAlign="inline"/>
              <w:suppressOverlap w:val="0"/>
              <w:rPr>
                <w:rFonts w:ascii="Calibri" w:eastAsia="Calibri" w:hAnsi="Calibri" w:cs="Times New Roman"/>
                <w:u w:val="single"/>
              </w:rPr>
            </w:pPr>
            <w:r w:rsidRPr="00FF62B9">
              <w:rPr>
                <w:rFonts w:ascii="Calibri" w:eastAsia="Calibri" w:hAnsi="Calibri" w:cs="Times New Roman"/>
              </w:rPr>
              <w:t xml:space="preserve">The terms under which the Coat of Arms can be used are detailed on the following website: </w:t>
            </w:r>
            <w:hyperlink r:id="rId17" w:history="1">
              <w:r>
                <w:rPr>
                  <w:rStyle w:val="Hyperlink"/>
                </w:rPr>
                <w:t>https://www.pmc.gov.au/government/commonwealth-coat-arms</w:t>
              </w:r>
            </w:hyperlink>
          </w:p>
          <w:p w:rsidR="003130EF" w:rsidRDefault="003130EF" w:rsidP="003130EF">
            <w:pPr>
              <w:pStyle w:val="xDisclaimerHeading"/>
              <w:framePr w:hSpace="0" w:wrap="auto" w:hAnchor="text" w:yAlign="inline"/>
              <w:suppressOverlap w:val="0"/>
              <w:rPr>
                <w:rFonts w:ascii="Calibri" w:eastAsia="Calibri" w:hAnsi="Calibri" w:cs="Times New Roman"/>
                <w:u w:val="single"/>
              </w:rPr>
            </w:pPr>
            <w:r>
              <w:t>Feedback</w:t>
            </w:r>
          </w:p>
          <w:p w:rsidR="005F6D78" w:rsidRPr="001830F3" w:rsidRDefault="003130EF" w:rsidP="003130EF">
            <w:pPr>
              <w:pStyle w:val="xDisclaimerText"/>
              <w:framePr w:w="0" w:wrap="auto" w:hAnchor="text" w:yAlign="inline"/>
            </w:pPr>
            <w:r>
              <w:rPr>
                <w:rFonts w:ascii="Calibri" w:eastAsia="Calibri" w:hAnsi="Calibri"/>
              </w:rPr>
              <w:t xml:space="preserve">If you found this report useful, or have suggestions for improvement, please provide feedback to </w:t>
            </w:r>
            <w:hyperlink r:id="rId18" w:history="1">
              <w:r>
                <w:rPr>
                  <w:rStyle w:val="Hyperlink"/>
                </w:rPr>
                <w:t>feedback@pbo.gov.au</w:t>
              </w:r>
            </w:hyperlink>
            <w:r>
              <w:rPr>
                <w:rFonts w:ascii="Calibri" w:eastAsia="Calibri" w:hAnsi="Calibri"/>
              </w:rPr>
              <w:t>.</w:t>
            </w:r>
          </w:p>
        </w:tc>
      </w:tr>
    </w:tbl>
    <w:p w:rsidR="00924801" w:rsidRDefault="00924801"/>
    <w:p w:rsidR="00C800F2" w:rsidRDefault="00C800F2"/>
    <w:p w:rsidR="001830F3" w:rsidRDefault="001830F3" w:rsidP="001830F3">
      <w:pPr>
        <w:sectPr w:rsidR="001830F3" w:rsidSect="00827999">
          <w:headerReference w:type="even" r:id="rId19"/>
          <w:headerReference w:type="default" r:id="rId20"/>
          <w:footerReference w:type="even" r:id="rId21"/>
          <w:footerReference w:type="default" r:id="rId22"/>
          <w:headerReference w:type="first" r:id="rId23"/>
          <w:footerReference w:type="first" r:id="rId24"/>
          <w:pgSz w:w="11907" w:h="16840" w:code="9"/>
          <w:pgMar w:top="1191" w:right="1418" w:bottom="1021" w:left="1418" w:header="567" w:footer="709" w:gutter="0"/>
          <w:pgNumType w:fmt="lowerRoman"/>
          <w:cols w:space="708"/>
          <w:docGrid w:linePitch="360"/>
        </w:sectPr>
      </w:pPr>
    </w:p>
    <w:p w:rsidR="00D559DF" w:rsidRDefault="00D559DF" w:rsidP="00FF1368">
      <w:pPr>
        <w:pStyle w:val="TOCHeading"/>
      </w:pPr>
      <w:r w:rsidRPr="00FF1368">
        <w:lastRenderedPageBreak/>
        <w:t>Contents</w:t>
      </w:r>
      <w:bookmarkStart w:id="2" w:name="_TOCMarker"/>
      <w:bookmarkEnd w:id="2"/>
    </w:p>
    <w:p w:rsidR="0070188F" w:rsidRDefault="00D559DF">
      <w:pPr>
        <w:pStyle w:val="TOC1"/>
        <w:rPr>
          <w:rFonts w:eastAsiaTheme="minorEastAsia"/>
          <w:b w:val="0"/>
          <w:color w:val="auto"/>
          <w:sz w:val="22"/>
          <w:lang w:eastAsia="en-AU"/>
        </w:rPr>
      </w:pPr>
      <w:r>
        <w:rPr>
          <w:color w:val="9778B4" w:themeColor="text2"/>
        </w:rPr>
        <w:fldChar w:fldCharType="begin"/>
      </w:r>
      <w:r>
        <w:instrText xml:space="preserve"> TOC  \h \z \t "Heading 1,1,Heading 1 No Numbering,1,Heading 2,2, Section Heading,5" </w:instrText>
      </w:r>
      <w:r>
        <w:rPr>
          <w:color w:val="9778B4" w:themeColor="text2"/>
        </w:rPr>
        <w:fldChar w:fldCharType="separate"/>
      </w:r>
      <w:hyperlink w:anchor="_Toc25676863" w:history="1">
        <w:r w:rsidR="0070188F" w:rsidRPr="00FE5F5D">
          <w:rPr>
            <w:rStyle w:val="Hyperlink"/>
          </w:rPr>
          <w:t>Overview</w:t>
        </w:r>
        <w:r w:rsidR="0070188F">
          <w:rPr>
            <w:webHidden/>
          </w:rPr>
          <w:tab/>
        </w:r>
        <w:r w:rsidR="0070188F">
          <w:rPr>
            <w:webHidden/>
          </w:rPr>
          <w:fldChar w:fldCharType="begin"/>
        </w:r>
        <w:r w:rsidR="0070188F">
          <w:rPr>
            <w:webHidden/>
          </w:rPr>
          <w:instrText xml:space="preserve"> PAGEREF _Toc25676863 \h </w:instrText>
        </w:r>
        <w:r w:rsidR="0070188F">
          <w:rPr>
            <w:webHidden/>
          </w:rPr>
        </w:r>
        <w:r w:rsidR="0070188F">
          <w:rPr>
            <w:webHidden/>
          </w:rPr>
          <w:fldChar w:fldCharType="separate"/>
        </w:r>
        <w:r w:rsidR="0070188F">
          <w:rPr>
            <w:webHidden/>
          </w:rPr>
          <w:t>1</w:t>
        </w:r>
        <w:r w:rsidR="0070188F">
          <w:rPr>
            <w:webHidden/>
          </w:rPr>
          <w:fldChar w:fldCharType="end"/>
        </w:r>
      </w:hyperlink>
    </w:p>
    <w:p w:rsidR="0070188F" w:rsidRDefault="00017BCC">
      <w:pPr>
        <w:pStyle w:val="TOC1"/>
        <w:rPr>
          <w:rFonts w:eastAsiaTheme="minorEastAsia"/>
          <w:b w:val="0"/>
          <w:color w:val="auto"/>
          <w:sz w:val="22"/>
          <w:lang w:eastAsia="en-AU"/>
        </w:rPr>
      </w:pPr>
      <w:hyperlink w:anchor="_Toc25676864" w:history="1">
        <w:r w:rsidR="0070188F" w:rsidRPr="00FE5F5D">
          <w:rPr>
            <w:rStyle w:val="Hyperlink"/>
          </w:rPr>
          <w:t>1</w:t>
        </w:r>
        <w:r w:rsidR="0070188F">
          <w:rPr>
            <w:rFonts w:eastAsiaTheme="minorEastAsia"/>
            <w:b w:val="0"/>
            <w:color w:val="auto"/>
            <w:sz w:val="22"/>
            <w:lang w:eastAsia="en-AU"/>
          </w:rPr>
          <w:tab/>
        </w:r>
        <w:r w:rsidR="0070188F" w:rsidRPr="00FE5F5D">
          <w:rPr>
            <w:rStyle w:val="Hyperlink"/>
          </w:rPr>
          <w:t>National fiscal outlook: what has changed since last year’s budgets?</w:t>
        </w:r>
        <w:r w:rsidR="0070188F">
          <w:rPr>
            <w:webHidden/>
          </w:rPr>
          <w:tab/>
        </w:r>
        <w:r w:rsidR="0070188F">
          <w:rPr>
            <w:webHidden/>
          </w:rPr>
          <w:fldChar w:fldCharType="begin"/>
        </w:r>
        <w:r w:rsidR="0070188F">
          <w:rPr>
            <w:webHidden/>
          </w:rPr>
          <w:instrText xml:space="preserve"> PAGEREF _Toc25676864 \h </w:instrText>
        </w:r>
        <w:r w:rsidR="0070188F">
          <w:rPr>
            <w:webHidden/>
          </w:rPr>
        </w:r>
        <w:r w:rsidR="0070188F">
          <w:rPr>
            <w:webHidden/>
          </w:rPr>
          <w:fldChar w:fldCharType="separate"/>
        </w:r>
        <w:r w:rsidR="0070188F">
          <w:rPr>
            <w:webHidden/>
          </w:rPr>
          <w:t>2</w:t>
        </w:r>
        <w:r w:rsidR="0070188F">
          <w:rPr>
            <w:webHidden/>
          </w:rPr>
          <w:fldChar w:fldCharType="end"/>
        </w:r>
      </w:hyperlink>
    </w:p>
    <w:p w:rsidR="0070188F" w:rsidRDefault="00017BCC">
      <w:pPr>
        <w:pStyle w:val="TOC2"/>
        <w:rPr>
          <w:rFonts w:asciiTheme="minorHAnsi" w:hAnsiTheme="minorHAnsi"/>
          <w:color w:val="auto"/>
          <w:sz w:val="22"/>
        </w:rPr>
      </w:pPr>
      <w:hyperlink w:anchor="_Toc25676865" w:history="1">
        <w:r w:rsidR="0070188F" w:rsidRPr="00FE5F5D">
          <w:rPr>
            <w:rStyle w:val="Hyperlink"/>
          </w:rPr>
          <w:t>1.1</w:t>
        </w:r>
        <w:r w:rsidR="0070188F">
          <w:rPr>
            <w:rFonts w:asciiTheme="minorHAnsi" w:hAnsiTheme="minorHAnsi"/>
            <w:color w:val="auto"/>
            <w:sz w:val="22"/>
          </w:rPr>
          <w:tab/>
        </w:r>
        <w:r w:rsidR="0070188F" w:rsidRPr="00FE5F5D">
          <w:rPr>
            <w:rStyle w:val="Hyperlink"/>
          </w:rPr>
          <w:t>Budget balance</w:t>
        </w:r>
        <w:r w:rsidR="0070188F">
          <w:rPr>
            <w:webHidden/>
          </w:rPr>
          <w:tab/>
        </w:r>
        <w:r w:rsidR="0070188F">
          <w:rPr>
            <w:webHidden/>
          </w:rPr>
          <w:fldChar w:fldCharType="begin"/>
        </w:r>
        <w:r w:rsidR="0070188F">
          <w:rPr>
            <w:webHidden/>
          </w:rPr>
          <w:instrText xml:space="preserve"> PAGEREF _Toc25676865 \h </w:instrText>
        </w:r>
        <w:r w:rsidR="0070188F">
          <w:rPr>
            <w:webHidden/>
          </w:rPr>
        </w:r>
        <w:r w:rsidR="0070188F">
          <w:rPr>
            <w:webHidden/>
          </w:rPr>
          <w:fldChar w:fldCharType="separate"/>
        </w:r>
        <w:r w:rsidR="0070188F">
          <w:rPr>
            <w:webHidden/>
          </w:rPr>
          <w:t>2</w:t>
        </w:r>
        <w:r w:rsidR="0070188F">
          <w:rPr>
            <w:webHidden/>
          </w:rPr>
          <w:fldChar w:fldCharType="end"/>
        </w:r>
      </w:hyperlink>
    </w:p>
    <w:p w:rsidR="0070188F" w:rsidRDefault="00017BCC">
      <w:pPr>
        <w:pStyle w:val="TOC2"/>
        <w:rPr>
          <w:rFonts w:asciiTheme="minorHAnsi" w:hAnsiTheme="minorHAnsi"/>
          <w:color w:val="auto"/>
          <w:sz w:val="22"/>
        </w:rPr>
      </w:pPr>
      <w:hyperlink w:anchor="_Toc25676866" w:history="1">
        <w:r w:rsidR="0070188F" w:rsidRPr="00FE5F5D">
          <w:rPr>
            <w:rStyle w:val="Hyperlink"/>
          </w:rPr>
          <w:t>1.2</w:t>
        </w:r>
        <w:r w:rsidR="0070188F">
          <w:rPr>
            <w:rFonts w:asciiTheme="minorHAnsi" w:hAnsiTheme="minorHAnsi"/>
            <w:color w:val="auto"/>
            <w:sz w:val="22"/>
          </w:rPr>
          <w:tab/>
        </w:r>
        <w:r w:rsidR="0070188F" w:rsidRPr="00FE5F5D">
          <w:rPr>
            <w:rStyle w:val="Hyperlink"/>
          </w:rPr>
          <w:t>Net capital investment</w:t>
        </w:r>
        <w:r w:rsidR="0070188F">
          <w:rPr>
            <w:webHidden/>
          </w:rPr>
          <w:tab/>
        </w:r>
        <w:r w:rsidR="0070188F">
          <w:rPr>
            <w:webHidden/>
          </w:rPr>
          <w:fldChar w:fldCharType="begin"/>
        </w:r>
        <w:r w:rsidR="0070188F">
          <w:rPr>
            <w:webHidden/>
          </w:rPr>
          <w:instrText xml:space="preserve"> PAGEREF _Toc25676866 \h </w:instrText>
        </w:r>
        <w:r w:rsidR="0070188F">
          <w:rPr>
            <w:webHidden/>
          </w:rPr>
        </w:r>
        <w:r w:rsidR="0070188F">
          <w:rPr>
            <w:webHidden/>
          </w:rPr>
          <w:fldChar w:fldCharType="separate"/>
        </w:r>
        <w:r w:rsidR="0070188F">
          <w:rPr>
            <w:webHidden/>
          </w:rPr>
          <w:t>4</w:t>
        </w:r>
        <w:r w:rsidR="0070188F">
          <w:rPr>
            <w:webHidden/>
          </w:rPr>
          <w:fldChar w:fldCharType="end"/>
        </w:r>
      </w:hyperlink>
    </w:p>
    <w:p w:rsidR="0070188F" w:rsidRDefault="00017BCC">
      <w:pPr>
        <w:pStyle w:val="TOC2"/>
        <w:rPr>
          <w:rFonts w:asciiTheme="minorHAnsi" w:hAnsiTheme="minorHAnsi"/>
          <w:color w:val="auto"/>
          <w:sz w:val="22"/>
        </w:rPr>
      </w:pPr>
      <w:hyperlink w:anchor="_Toc25676867" w:history="1">
        <w:r w:rsidR="0070188F" w:rsidRPr="00FE5F5D">
          <w:rPr>
            <w:rStyle w:val="Hyperlink"/>
          </w:rPr>
          <w:t>1.3</w:t>
        </w:r>
        <w:r w:rsidR="0070188F">
          <w:rPr>
            <w:rFonts w:asciiTheme="minorHAnsi" w:hAnsiTheme="minorHAnsi"/>
            <w:color w:val="auto"/>
            <w:sz w:val="22"/>
          </w:rPr>
          <w:tab/>
        </w:r>
        <w:r w:rsidR="0070188F" w:rsidRPr="00FE5F5D">
          <w:rPr>
            <w:rStyle w:val="Hyperlink"/>
          </w:rPr>
          <w:t>Net debt</w:t>
        </w:r>
        <w:r w:rsidR="0070188F">
          <w:rPr>
            <w:webHidden/>
          </w:rPr>
          <w:tab/>
        </w:r>
        <w:r w:rsidR="0070188F">
          <w:rPr>
            <w:webHidden/>
          </w:rPr>
          <w:fldChar w:fldCharType="begin"/>
        </w:r>
        <w:r w:rsidR="0070188F">
          <w:rPr>
            <w:webHidden/>
          </w:rPr>
          <w:instrText xml:space="preserve"> PAGEREF _Toc25676867 \h </w:instrText>
        </w:r>
        <w:r w:rsidR="0070188F">
          <w:rPr>
            <w:webHidden/>
          </w:rPr>
        </w:r>
        <w:r w:rsidR="0070188F">
          <w:rPr>
            <w:webHidden/>
          </w:rPr>
          <w:fldChar w:fldCharType="separate"/>
        </w:r>
        <w:r w:rsidR="0070188F">
          <w:rPr>
            <w:webHidden/>
          </w:rPr>
          <w:t>5</w:t>
        </w:r>
        <w:r w:rsidR="0070188F">
          <w:rPr>
            <w:webHidden/>
          </w:rPr>
          <w:fldChar w:fldCharType="end"/>
        </w:r>
      </w:hyperlink>
    </w:p>
    <w:p w:rsidR="0070188F" w:rsidRDefault="00017BCC">
      <w:pPr>
        <w:pStyle w:val="TOC2"/>
        <w:rPr>
          <w:rFonts w:asciiTheme="minorHAnsi" w:hAnsiTheme="minorHAnsi"/>
          <w:color w:val="auto"/>
          <w:sz w:val="22"/>
        </w:rPr>
      </w:pPr>
      <w:hyperlink w:anchor="_Toc25676868" w:history="1">
        <w:r w:rsidR="0070188F" w:rsidRPr="00FE5F5D">
          <w:rPr>
            <w:rStyle w:val="Hyperlink"/>
          </w:rPr>
          <w:t>1.4</w:t>
        </w:r>
        <w:r w:rsidR="0070188F">
          <w:rPr>
            <w:rFonts w:asciiTheme="minorHAnsi" w:hAnsiTheme="minorHAnsi"/>
            <w:color w:val="auto"/>
            <w:sz w:val="22"/>
          </w:rPr>
          <w:tab/>
        </w:r>
        <w:r w:rsidR="0070188F" w:rsidRPr="00FE5F5D">
          <w:rPr>
            <w:rStyle w:val="Hyperlink"/>
          </w:rPr>
          <w:t>Net financial worth</w:t>
        </w:r>
        <w:r w:rsidR="0070188F">
          <w:rPr>
            <w:webHidden/>
          </w:rPr>
          <w:tab/>
        </w:r>
        <w:r w:rsidR="0070188F">
          <w:rPr>
            <w:webHidden/>
          </w:rPr>
          <w:fldChar w:fldCharType="begin"/>
        </w:r>
        <w:r w:rsidR="0070188F">
          <w:rPr>
            <w:webHidden/>
          </w:rPr>
          <w:instrText xml:space="preserve"> PAGEREF _Toc25676868 \h </w:instrText>
        </w:r>
        <w:r w:rsidR="0070188F">
          <w:rPr>
            <w:webHidden/>
          </w:rPr>
        </w:r>
        <w:r w:rsidR="0070188F">
          <w:rPr>
            <w:webHidden/>
          </w:rPr>
          <w:fldChar w:fldCharType="separate"/>
        </w:r>
        <w:r w:rsidR="0070188F">
          <w:rPr>
            <w:webHidden/>
          </w:rPr>
          <w:t>6</w:t>
        </w:r>
        <w:r w:rsidR="0070188F">
          <w:rPr>
            <w:webHidden/>
          </w:rPr>
          <w:fldChar w:fldCharType="end"/>
        </w:r>
      </w:hyperlink>
    </w:p>
    <w:p w:rsidR="0070188F" w:rsidRDefault="00017BCC">
      <w:pPr>
        <w:pStyle w:val="TOC1"/>
        <w:rPr>
          <w:rFonts w:eastAsiaTheme="minorEastAsia"/>
          <w:b w:val="0"/>
          <w:color w:val="auto"/>
          <w:sz w:val="22"/>
          <w:lang w:eastAsia="en-AU"/>
        </w:rPr>
      </w:pPr>
      <w:hyperlink w:anchor="_Toc25676869" w:history="1">
        <w:r w:rsidR="0070188F" w:rsidRPr="00FE5F5D">
          <w:rPr>
            <w:rStyle w:val="Hyperlink"/>
          </w:rPr>
          <w:t>2</w:t>
        </w:r>
        <w:r w:rsidR="0070188F">
          <w:rPr>
            <w:rFonts w:eastAsiaTheme="minorEastAsia"/>
            <w:b w:val="0"/>
            <w:color w:val="auto"/>
            <w:sz w:val="22"/>
            <w:lang w:eastAsia="en-AU"/>
          </w:rPr>
          <w:tab/>
        </w:r>
        <w:r w:rsidR="0070188F" w:rsidRPr="00FE5F5D">
          <w:rPr>
            <w:rStyle w:val="Hyperlink"/>
          </w:rPr>
          <w:t>Trends in Commonwealth and state fiscal outlooks</w:t>
        </w:r>
        <w:r w:rsidR="0070188F">
          <w:rPr>
            <w:webHidden/>
          </w:rPr>
          <w:tab/>
        </w:r>
        <w:r w:rsidR="0070188F">
          <w:rPr>
            <w:webHidden/>
          </w:rPr>
          <w:fldChar w:fldCharType="begin"/>
        </w:r>
        <w:r w:rsidR="0070188F">
          <w:rPr>
            <w:webHidden/>
          </w:rPr>
          <w:instrText xml:space="preserve"> PAGEREF _Toc25676869 \h </w:instrText>
        </w:r>
        <w:r w:rsidR="0070188F">
          <w:rPr>
            <w:webHidden/>
          </w:rPr>
        </w:r>
        <w:r w:rsidR="0070188F">
          <w:rPr>
            <w:webHidden/>
          </w:rPr>
          <w:fldChar w:fldCharType="separate"/>
        </w:r>
        <w:r w:rsidR="0070188F">
          <w:rPr>
            <w:webHidden/>
          </w:rPr>
          <w:t>8</w:t>
        </w:r>
        <w:r w:rsidR="0070188F">
          <w:rPr>
            <w:webHidden/>
          </w:rPr>
          <w:fldChar w:fldCharType="end"/>
        </w:r>
      </w:hyperlink>
    </w:p>
    <w:p w:rsidR="0070188F" w:rsidRDefault="00017BCC">
      <w:pPr>
        <w:pStyle w:val="TOC2"/>
        <w:rPr>
          <w:rFonts w:asciiTheme="minorHAnsi" w:hAnsiTheme="minorHAnsi"/>
          <w:color w:val="auto"/>
          <w:sz w:val="22"/>
        </w:rPr>
      </w:pPr>
      <w:hyperlink w:anchor="_Toc25676870" w:history="1">
        <w:r w:rsidR="0070188F" w:rsidRPr="00FE5F5D">
          <w:rPr>
            <w:rStyle w:val="Hyperlink"/>
          </w:rPr>
          <w:t>2.1</w:t>
        </w:r>
        <w:r w:rsidR="0070188F">
          <w:rPr>
            <w:rFonts w:asciiTheme="minorHAnsi" w:hAnsiTheme="minorHAnsi"/>
            <w:color w:val="auto"/>
            <w:sz w:val="22"/>
          </w:rPr>
          <w:tab/>
        </w:r>
        <w:r w:rsidR="0070188F" w:rsidRPr="00FE5F5D">
          <w:rPr>
            <w:rStyle w:val="Hyperlink"/>
          </w:rPr>
          <w:t>Commonwealth trends</w:t>
        </w:r>
        <w:r w:rsidR="0070188F">
          <w:rPr>
            <w:webHidden/>
          </w:rPr>
          <w:tab/>
        </w:r>
        <w:r w:rsidR="0070188F">
          <w:rPr>
            <w:webHidden/>
          </w:rPr>
          <w:fldChar w:fldCharType="begin"/>
        </w:r>
        <w:r w:rsidR="0070188F">
          <w:rPr>
            <w:webHidden/>
          </w:rPr>
          <w:instrText xml:space="preserve"> PAGEREF _Toc25676870 \h </w:instrText>
        </w:r>
        <w:r w:rsidR="0070188F">
          <w:rPr>
            <w:webHidden/>
          </w:rPr>
        </w:r>
        <w:r w:rsidR="0070188F">
          <w:rPr>
            <w:webHidden/>
          </w:rPr>
          <w:fldChar w:fldCharType="separate"/>
        </w:r>
        <w:r w:rsidR="0070188F">
          <w:rPr>
            <w:webHidden/>
          </w:rPr>
          <w:t>8</w:t>
        </w:r>
        <w:r w:rsidR="0070188F">
          <w:rPr>
            <w:webHidden/>
          </w:rPr>
          <w:fldChar w:fldCharType="end"/>
        </w:r>
      </w:hyperlink>
    </w:p>
    <w:p w:rsidR="0070188F" w:rsidRDefault="00017BCC">
      <w:pPr>
        <w:pStyle w:val="TOC2"/>
        <w:rPr>
          <w:rFonts w:asciiTheme="minorHAnsi" w:hAnsiTheme="minorHAnsi"/>
          <w:color w:val="auto"/>
          <w:sz w:val="22"/>
        </w:rPr>
      </w:pPr>
      <w:hyperlink w:anchor="_Toc25676871" w:history="1">
        <w:r w:rsidR="0070188F" w:rsidRPr="00FE5F5D">
          <w:rPr>
            <w:rStyle w:val="Hyperlink"/>
          </w:rPr>
          <w:t>2.2</w:t>
        </w:r>
        <w:r w:rsidR="0070188F">
          <w:rPr>
            <w:rFonts w:asciiTheme="minorHAnsi" w:hAnsiTheme="minorHAnsi"/>
            <w:color w:val="auto"/>
            <w:sz w:val="22"/>
          </w:rPr>
          <w:tab/>
        </w:r>
        <w:r w:rsidR="0070188F" w:rsidRPr="00FE5F5D">
          <w:rPr>
            <w:rStyle w:val="Hyperlink"/>
          </w:rPr>
          <w:t>State trends</w:t>
        </w:r>
        <w:r w:rsidR="0070188F">
          <w:rPr>
            <w:webHidden/>
          </w:rPr>
          <w:tab/>
        </w:r>
        <w:r w:rsidR="0070188F">
          <w:rPr>
            <w:webHidden/>
          </w:rPr>
          <w:fldChar w:fldCharType="begin"/>
        </w:r>
        <w:r w:rsidR="0070188F">
          <w:rPr>
            <w:webHidden/>
          </w:rPr>
          <w:instrText xml:space="preserve"> PAGEREF _Toc25676871 \h </w:instrText>
        </w:r>
        <w:r w:rsidR="0070188F">
          <w:rPr>
            <w:webHidden/>
          </w:rPr>
        </w:r>
        <w:r w:rsidR="0070188F">
          <w:rPr>
            <w:webHidden/>
          </w:rPr>
          <w:fldChar w:fldCharType="separate"/>
        </w:r>
        <w:r w:rsidR="0070188F">
          <w:rPr>
            <w:webHidden/>
          </w:rPr>
          <w:t>10</w:t>
        </w:r>
        <w:r w:rsidR="0070188F">
          <w:rPr>
            <w:webHidden/>
          </w:rPr>
          <w:fldChar w:fldCharType="end"/>
        </w:r>
      </w:hyperlink>
    </w:p>
    <w:p w:rsidR="0070188F" w:rsidRDefault="00017BCC">
      <w:pPr>
        <w:pStyle w:val="TOC1"/>
        <w:rPr>
          <w:rFonts w:eastAsiaTheme="minorEastAsia"/>
          <w:b w:val="0"/>
          <w:color w:val="auto"/>
          <w:sz w:val="22"/>
          <w:lang w:eastAsia="en-AU"/>
        </w:rPr>
      </w:pPr>
      <w:hyperlink w:anchor="_Toc25676872" w:history="1">
        <w:r w:rsidR="0070188F" w:rsidRPr="00FE5F5D">
          <w:rPr>
            <w:rStyle w:val="Hyperlink"/>
          </w:rPr>
          <w:t>Appendix A – Glossary, data and method</w:t>
        </w:r>
        <w:r w:rsidR="0070188F">
          <w:rPr>
            <w:webHidden/>
          </w:rPr>
          <w:tab/>
        </w:r>
        <w:r w:rsidR="0070188F">
          <w:rPr>
            <w:webHidden/>
          </w:rPr>
          <w:fldChar w:fldCharType="begin"/>
        </w:r>
        <w:r w:rsidR="0070188F">
          <w:rPr>
            <w:webHidden/>
          </w:rPr>
          <w:instrText xml:space="preserve"> PAGEREF _Toc25676872 \h </w:instrText>
        </w:r>
        <w:r w:rsidR="0070188F">
          <w:rPr>
            <w:webHidden/>
          </w:rPr>
        </w:r>
        <w:r w:rsidR="0070188F">
          <w:rPr>
            <w:webHidden/>
          </w:rPr>
          <w:fldChar w:fldCharType="separate"/>
        </w:r>
        <w:r w:rsidR="0070188F">
          <w:rPr>
            <w:webHidden/>
          </w:rPr>
          <w:t>23</w:t>
        </w:r>
        <w:r w:rsidR="0070188F">
          <w:rPr>
            <w:webHidden/>
          </w:rPr>
          <w:fldChar w:fldCharType="end"/>
        </w:r>
      </w:hyperlink>
    </w:p>
    <w:p w:rsidR="0070188F" w:rsidRDefault="00017BCC">
      <w:pPr>
        <w:pStyle w:val="TOC2"/>
        <w:rPr>
          <w:rFonts w:asciiTheme="minorHAnsi" w:hAnsiTheme="minorHAnsi"/>
          <w:color w:val="auto"/>
          <w:sz w:val="22"/>
        </w:rPr>
      </w:pPr>
      <w:hyperlink w:anchor="_Toc25676873" w:history="1">
        <w:r w:rsidR="0070188F" w:rsidRPr="00FE5F5D">
          <w:rPr>
            <w:rStyle w:val="Hyperlink"/>
          </w:rPr>
          <w:t>Glossary</w:t>
        </w:r>
        <w:r w:rsidR="0070188F">
          <w:rPr>
            <w:webHidden/>
          </w:rPr>
          <w:tab/>
        </w:r>
        <w:r w:rsidR="0070188F">
          <w:rPr>
            <w:webHidden/>
          </w:rPr>
          <w:fldChar w:fldCharType="begin"/>
        </w:r>
        <w:r w:rsidR="0070188F">
          <w:rPr>
            <w:webHidden/>
          </w:rPr>
          <w:instrText xml:space="preserve"> PAGEREF _Toc25676873 \h </w:instrText>
        </w:r>
        <w:r w:rsidR="0070188F">
          <w:rPr>
            <w:webHidden/>
          </w:rPr>
        </w:r>
        <w:r w:rsidR="0070188F">
          <w:rPr>
            <w:webHidden/>
          </w:rPr>
          <w:fldChar w:fldCharType="separate"/>
        </w:r>
        <w:r w:rsidR="0070188F">
          <w:rPr>
            <w:webHidden/>
          </w:rPr>
          <w:t>23</w:t>
        </w:r>
        <w:r w:rsidR="0070188F">
          <w:rPr>
            <w:webHidden/>
          </w:rPr>
          <w:fldChar w:fldCharType="end"/>
        </w:r>
      </w:hyperlink>
    </w:p>
    <w:p w:rsidR="0070188F" w:rsidRDefault="00017BCC">
      <w:pPr>
        <w:pStyle w:val="TOC2"/>
        <w:rPr>
          <w:rFonts w:asciiTheme="minorHAnsi" w:hAnsiTheme="minorHAnsi"/>
          <w:color w:val="auto"/>
          <w:sz w:val="22"/>
        </w:rPr>
      </w:pPr>
      <w:hyperlink w:anchor="_Toc25676874" w:history="1">
        <w:r w:rsidR="0070188F" w:rsidRPr="00FE5F5D">
          <w:rPr>
            <w:rStyle w:val="Hyperlink"/>
          </w:rPr>
          <w:t>Data and method</w:t>
        </w:r>
        <w:r w:rsidR="0070188F">
          <w:rPr>
            <w:webHidden/>
          </w:rPr>
          <w:tab/>
        </w:r>
        <w:r w:rsidR="0070188F">
          <w:rPr>
            <w:webHidden/>
          </w:rPr>
          <w:fldChar w:fldCharType="begin"/>
        </w:r>
        <w:r w:rsidR="0070188F">
          <w:rPr>
            <w:webHidden/>
          </w:rPr>
          <w:instrText xml:space="preserve"> PAGEREF _Toc25676874 \h </w:instrText>
        </w:r>
        <w:r w:rsidR="0070188F">
          <w:rPr>
            <w:webHidden/>
          </w:rPr>
        </w:r>
        <w:r w:rsidR="0070188F">
          <w:rPr>
            <w:webHidden/>
          </w:rPr>
          <w:fldChar w:fldCharType="separate"/>
        </w:r>
        <w:r w:rsidR="0070188F">
          <w:rPr>
            <w:webHidden/>
          </w:rPr>
          <w:t>24</w:t>
        </w:r>
        <w:r w:rsidR="0070188F">
          <w:rPr>
            <w:webHidden/>
          </w:rPr>
          <w:fldChar w:fldCharType="end"/>
        </w:r>
      </w:hyperlink>
    </w:p>
    <w:p w:rsidR="006668D3" w:rsidRDefault="00D559DF">
      <w:r>
        <w:fldChar w:fldCharType="end"/>
      </w:r>
    </w:p>
    <w:p w:rsidR="004A5847" w:rsidRDefault="004A5847"/>
    <w:p w:rsidR="004A5847" w:rsidRDefault="004A5847"/>
    <w:p w:rsidR="004A5847" w:rsidRDefault="004A5847"/>
    <w:p w:rsidR="004A5847" w:rsidRDefault="004A5847"/>
    <w:p w:rsidR="004A5847" w:rsidRDefault="004A5847"/>
    <w:p w:rsidR="004A5847" w:rsidRDefault="004A5847"/>
    <w:p w:rsidR="004A5847" w:rsidRDefault="004A5847"/>
    <w:p w:rsidR="004A5847" w:rsidRDefault="004A5847"/>
    <w:p w:rsidR="004A5847" w:rsidRDefault="004A5847"/>
    <w:p w:rsidR="004A5847" w:rsidRDefault="004A5847"/>
    <w:p w:rsidR="004A5847" w:rsidRDefault="004A5847"/>
    <w:p w:rsidR="004A5847" w:rsidRDefault="004A5847"/>
    <w:p w:rsidR="004A5847" w:rsidRDefault="004A5847"/>
    <w:p w:rsidR="004A5847" w:rsidRDefault="004A5847"/>
    <w:p w:rsidR="004A5847" w:rsidRDefault="004A5847"/>
    <w:p w:rsidR="004A5847" w:rsidRDefault="004A5847"/>
    <w:p w:rsidR="004A5847" w:rsidRDefault="004A5847"/>
    <w:p w:rsidR="004A5847" w:rsidRDefault="004A5847"/>
    <w:p w:rsidR="00EF283A" w:rsidRDefault="00EF283A"/>
    <w:p w:rsidR="00EF283A" w:rsidRDefault="00EF283A"/>
    <w:p w:rsidR="00EF283A" w:rsidRDefault="00EF283A"/>
    <w:p w:rsidR="004A5847" w:rsidRDefault="004A5847"/>
    <w:p w:rsidR="004A5847" w:rsidRDefault="004A5847" w:rsidP="004A5847">
      <w:pPr>
        <w:tabs>
          <w:tab w:val="right" w:pos="8080"/>
        </w:tabs>
        <w:spacing w:before="120" w:line="260" w:lineRule="atLeast"/>
        <w:rPr>
          <w:sz w:val="18"/>
        </w:rPr>
      </w:pPr>
      <w:r w:rsidRPr="00104AEC">
        <w:rPr>
          <w:sz w:val="18"/>
        </w:rPr>
        <w:t xml:space="preserve">This report was authored </w:t>
      </w:r>
      <w:r w:rsidR="0037598E">
        <w:rPr>
          <w:sz w:val="18"/>
        </w:rPr>
        <w:t xml:space="preserve">by </w:t>
      </w:r>
      <w:r w:rsidRPr="00104AEC">
        <w:rPr>
          <w:sz w:val="18"/>
        </w:rPr>
        <w:t>Anthea Guthrie</w:t>
      </w:r>
      <w:r w:rsidR="007340A7">
        <w:rPr>
          <w:sz w:val="18"/>
        </w:rPr>
        <w:t>,</w:t>
      </w:r>
      <w:r w:rsidRPr="00104AEC">
        <w:rPr>
          <w:sz w:val="18"/>
        </w:rPr>
        <w:t xml:space="preserve"> Lok Potticary</w:t>
      </w:r>
      <w:r w:rsidR="007340A7">
        <w:rPr>
          <w:sz w:val="18"/>
        </w:rPr>
        <w:t xml:space="preserve"> and Kathryn Smith</w:t>
      </w:r>
      <w:r w:rsidRPr="00104AEC">
        <w:rPr>
          <w:sz w:val="18"/>
        </w:rPr>
        <w:t>,</w:t>
      </w:r>
      <w:r>
        <w:rPr>
          <w:sz w:val="18"/>
        </w:rPr>
        <w:t xml:space="preserve"> </w:t>
      </w:r>
      <w:r w:rsidRPr="00104AEC">
        <w:rPr>
          <w:sz w:val="18"/>
        </w:rPr>
        <w:t>with the benefit of comments from Linda</w:t>
      </w:r>
      <w:r w:rsidR="00F54CB8">
        <w:rPr>
          <w:sz w:val="18"/>
        </w:rPr>
        <w:t> </w:t>
      </w:r>
      <w:r w:rsidRPr="00104AEC">
        <w:rPr>
          <w:sz w:val="18"/>
        </w:rPr>
        <w:t xml:space="preserve">Ward.  The contents of the report are the sole responsibility of the Parliamentary Budget Office. </w:t>
      </w:r>
    </w:p>
    <w:p w:rsidR="004A5847" w:rsidRDefault="004A5847">
      <w:pPr>
        <w:sectPr w:rsidR="004A5847" w:rsidSect="00827999">
          <w:headerReference w:type="even" r:id="rId25"/>
          <w:headerReference w:type="default" r:id="rId26"/>
          <w:footerReference w:type="even" r:id="rId27"/>
          <w:footerReference w:type="default" r:id="rId28"/>
          <w:type w:val="oddPage"/>
          <w:pgSz w:w="11907" w:h="16840" w:code="9"/>
          <w:pgMar w:top="1191" w:right="1418" w:bottom="1021" w:left="1418" w:header="567" w:footer="709" w:gutter="0"/>
          <w:pgNumType w:fmt="lowerRoman"/>
          <w:cols w:space="708"/>
          <w:docGrid w:linePitch="360"/>
        </w:sectPr>
      </w:pPr>
    </w:p>
    <w:p w:rsidR="00CC37CA" w:rsidRPr="00C51D0B" w:rsidRDefault="00CC37CA" w:rsidP="00DF0236">
      <w:pPr>
        <w:pStyle w:val="Heading1NoNumbering"/>
        <w:spacing w:after="440"/>
      </w:pPr>
      <w:bookmarkStart w:id="3" w:name="_Toc396331954"/>
      <w:bookmarkStart w:id="4" w:name="_Toc25676863"/>
      <w:bookmarkStart w:id="5" w:name="_Toc24101671"/>
      <w:r w:rsidRPr="00B42762">
        <w:lastRenderedPageBreak/>
        <w:t>Overview</w:t>
      </w:r>
      <w:bookmarkStart w:id="6" w:name="_OverviewMarker"/>
      <w:bookmarkEnd w:id="3"/>
      <w:bookmarkEnd w:id="6"/>
      <w:bookmarkEnd w:id="4"/>
      <w:r w:rsidR="00957C3C">
        <w:t xml:space="preserve"> </w:t>
      </w:r>
      <w:bookmarkEnd w:id="5"/>
    </w:p>
    <w:p w:rsidR="00177D7E" w:rsidRDefault="00177D7E" w:rsidP="00177D7E">
      <w:pPr>
        <w:pStyle w:val="PullOutBoxBodyText"/>
        <w:ind w:left="0"/>
      </w:pPr>
      <w:r>
        <w:t>This annual publication, which provides a complete picture of the nation’s fiscal outlook, reveals a strengthened national budget position, with a return to surplus on the back of restrained growth in expenses.</w:t>
      </w:r>
    </w:p>
    <w:p w:rsidR="00177D7E" w:rsidRPr="00797024" w:rsidRDefault="00177D7E" w:rsidP="00177D7E">
      <w:pPr>
        <w:pStyle w:val="BodyText"/>
      </w:pPr>
      <w:r w:rsidRPr="00DB1201">
        <w:rPr>
          <w:spacing w:val="-3"/>
        </w:rPr>
        <w:t xml:space="preserve">Relative to last year’s outlook, the national net operating balance has been revised upwards and is forecast to reach a surplus of over $20 billion for 2018–19 (1.1 per cent of </w:t>
      </w:r>
      <w:r w:rsidR="00F30E88" w:rsidRPr="00797024">
        <w:rPr>
          <w:spacing w:val="-3"/>
        </w:rPr>
        <w:t>g</w:t>
      </w:r>
      <w:r w:rsidR="00F30E88" w:rsidRPr="00DB1201">
        <w:rPr>
          <w:spacing w:val="-3"/>
        </w:rPr>
        <w:t xml:space="preserve">ross </w:t>
      </w:r>
      <w:r w:rsidR="00F30E88" w:rsidRPr="00797024">
        <w:rPr>
          <w:spacing w:val="-3"/>
        </w:rPr>
        <w:t>d</w:t>
      </w:r>
      <w:r w:rsidR="00F30E88" w:rsidRPr="00DB1201">
        <w:rPr>
          <w:spacing w:val="-3"/>
        </w:rPr>
        <w:t xml:space="preserve">omestic </w:t>
      </w:r>
      <w:r w:rsidR="00F30E88" w:rsidRPr="00797024">
        <w:rPr>
          <w:spacing w:val="-3"/>
        </w:rPr>
        <w:t>p</w:t>
      </w:r>
      <w:r w:rsidR="00F30E88" w:rsidRPr="00DB1201">
        <w:rPr>
          <w:spacing w:val="-3"/>
        </w:rPr>
        <w:t xml:space="preserve">roduct </w:t>
      </w:r>
      <w:r w:rsidRPr="00DB1201">
        <w:rPr>
          <w:spacing w:val="-3"/>
        </w:rPr>
        <w:t xml:space="preserve">(GDP)) </w:t>
      </w:r>
      <w:r w:rsidR="002F46DD" w:rsidRPr="00DB1201">
        <w:rPr>
          <w:spacing w:val="-3"/>
        </w:rPr>
        <w:t>—</w:t>
      </w:r>
      <w:r w:rsidRPr="00DB1201">
        <w:rPr>
          <w:spacing w:val="-3"/>
        </w:rPr>
        <w:t xml:space="preserve"> the first time a surplus of this magnitude has been reached</w:t>
      </w:r>
      <w:r w:rsidR="001D0CC8" w:rsidRPr="00DB1201">
        <w:rPr>
          <w:spacing w:val="-3"/>
        </w:rPr>
        <w:t xml:space="preserve"> since the </w:t>
      </w:r>
      <w:r w:rsidR="00F30E88" w:rsidRPr="00797024">
        <w:rPr>
          <w:spacing w:val="-3"/>
        </w:rPr>
        <w:t>g</w:t>
      </w:r>
      <w:r w:rsidR="00F30E88" w:rsidRPr="00DB1201">
        <w:rPr>
          <w:spacing w:val="-3"/>
        </w:rPr>
        <w:t xml:space="preserve">lobal </w:t>
      </w:r>
      <w:r w:rsidR="00F30E88" w:rsidRPr="00797024">
        <w:rPr>
          <w:spacing w:val="-3"/>
        </w:rPr>
        <w:t>f</w:t>
      </w:r>
      <w:r w:rsidR="00F30E88" w:rsidRPr="00DB1201">
        <w:rPr>
          <w:spacing w:val="-3"/>
        </w:rPr>
        <w:t xml:space="preserve">inancial </w:t>
      </w:r>
      <w:r w:rsidR="00F30E88" w:rsidRPr="00797024">
        <w:rPr>
          <w:spacing w:val="-3"/>
        </w:rPr>
        <w:t>c</w:t>
      </w:r>
      <w:r w:rsidR="00F30E88" w:rsidRPr="00DB1201">
        <w:rPr>
          <w:spacing w:val="-3"/>
        </w:rPr>
        <w:t xml:space="preserve">risis </w:t>
      </w:r>
      <w:r w:rsidR="001D0CC8" w:rsidRPr="00DB1201">
        <w:rPr>
          <w:spacing w:val="-3"/>
        </w:rPr>
        <w:t>(GFC)</w:t>
      </w:r>
      <w:r w:rsidRPr="00DB1201">
        <w:rPr>
          <w:spacing w:val="-3"/>
        </w:rPr>
        <w:t>.</w:t>
      </w:r>
      <w:r w:rsidR="00797024">
        <w:rPr>
          <w:spacing w:val="-3"/>
        </w:rPr>
        <w:br/>
      </w:r>
      <w:r w:rsidRPr="00DB1201">
        <w:rPr>
          <w:spacing w:val="-3"/>
        </w:rPr>
        <w:t xml:space="preserve">This surplus is projected to grow to $45.2 billion (2.0 per cent of GDP) by the end of the </w:t>
      </w:r>
      <w:r w:rsidR="00F30E88" w:rsidRPr="00797024">
        <w:rPr>
          <w:spacing w:val="-3"/>
        </w:rPr>
        <w:t>2019–20</w:t>
      </w:r>
      <w:r w:rsidR="00F30E88" w:rsidRPr="00DB1201">
        <w:t xml:space="preserve"> </w:t>
      </w:r>
      <w:r w:rsidRPr="00DB1201">
        <w:rPr>
          <w:spacing w:val="-3"/>
        </w:rPr>
        <w:t>forward estimates</w:t>
      </w:r>
      <w:r w:rsidR="00F30E88" w:rsidRPr="00797024">
        <w:rPr>
          <w:spacing w:val="-3"/>
        </w:rPr>
        <w:t xml:space="preserve"> period</w:t>
      </w:r>
      <w:r w:rsidRPr="00DB1201">
        <w:rPr>
          <w:spacing w:val="-3"/>
        </w:rPr>
        <w:t>, largely due to restrained growth in expenses across all levels of government</w:t>
      </w:r>
      <w:r w:rsidRPr="00797024">
        <w:t>.</w:t>
      </w:r>
      <w:r w:rsidR="00797024">
        <w:br/>
      </w:r>
      <w:r w:rsidRPr="00DB1201">
        <w:rPr>
          <w:spacing w:val="-3"/>
        </w:rPr>
        <w:t xml:space="preserve">On the revenue side, Commonwealth revenue is expected to remain relatively constant as a share of GDP, but to decline moderately at the state </w:t>
      </w:r>
      <w:r w:rsidR="00EE300C" w:rsidRPr="00DB1201">
        <w:rPr>
          <w:spacing w:val="-3"/>
        </w:rPr>
        <w:t xml:space="preserve">and territory </w:t>
      </w:r>
      <w:r w:rsidRPr="00DB1201">
        <w:rPr>
          <w:spacing w:val="-3"/>
        </w:rPr>
        <w:t>level due largely to falls in own</w:t>
      </w:r>
      <w:r w:rsidRPr="00DB1201">
        <w:rPr>
          <w:spacing w:val="-3"/>
        </w:rPr>
        <w:noBreakHyphen/>
        <w:t>source revenue.</w:t>
      </w:r>
    </w:p>
    <w:p w:rsidR="00177D7E" w:rsidRDefault="00177D7E" w:rsidP="00177D7E">
      <w:pPr>
        <w:pStyle w:val="PullOutBoxBodyText"/>
        <w:ind w:left="0"/>
      </w:pPr>
      <w:r>
        <w:t>Infrastructure</w:t>
      </w:r>
      <w:r w:rsidRPr="00DE26F2">
        <w:t xml:space="preserve"> investment</w:t>
      </w:r>
      <w:r>
        <w:t xml:space="preserve"> is projected to </w:t>
      </w:r>
      <w:r w:rsidR="0054508D">
        <w:t xml:space="preserve">approach </w:t>
      </w:r>
      <w:r>
        <w:t xml:space="preserve">record levels... </w:t>
      </w:r>
    </w:p>
    <w:p w:rsidR="00177D7E" w:rsidRDefault="00177D7E" w:rsidP="00177D7E">
      <w:pPr>
        <w:pStyle w:val="BodyText"/>
      </w:pPr>
      <w:r>
        <w:t xml:space="preserve">National net infrastructure investment </w:t>
      </w:r>
      <w:r w:rsidRPr="00DE26F2">
        <w:t xml:space="preserve">is projected to </w:t>
      </w:r>
      <w:r>
        <w:t xml:space="preserve">peak at $37.9 billion in </w:t>
      </w:r>
      <w:r w:rsidRPr="00DE26F2">
        <w:t>201</w:t>
      </w:r>
      <w:r>
        <w:t>9–20</w:t>
      </w:r>
      <w:r w:rsidRPr="007527CA">
        <w:t>.</w:t>
      </w:r>
      <w:r>
        <w:t xml:space="preserve">  </w:t>
      </w:r>
      <w:r w:rsidRPr="00600B00">
        <w:t>T</w:t>
      </w:r>
      <w:r>
        <w:t xml:space="preserve">his largely reflects a </w:t>
      </w:r>
      <w:r w:rsidRPr="00600B00">
        <w:t xml:space="preserve">substantial </w:t>
      </w:r>
      <w:r>
        <w:t>investment</w:t>
      </w:r>
      <w:r w:rsidRPr="00600B00">
        <w:t xml:space="preserve"> </w:t>
      </w:r>
      <w:r>
        <w:t>in public transport,</w:t>
      </w:r>
      <w:r w:rsidRPr="00FF7935">
        <w:t xml:space="preserve"> roads, </w:t>
      </w:r>
      <w:r>
        <w:t xml:space="preserve">and </w:t>
      </w:r>
      <w:r w:rsidRPr="00FF7935">
        <w:t>health and education</w:t>
      </w:r>
      <w:r>
        <w:t xml:space="preserve"> infrastructure </w:t>
      </w:r>
      <w:r w:rsidRPr="00600B00">
        <w:t xml:space="preserve">by New South Wales </w:t>
      </w:r>
      <w:r>
        <w:t xml:space="preserve">and </w:t>
      </w:r>
      <w:r w:rsidRPr="00600B00">
        <w:t>Victoria</w:t>
      </w:r>
      <w:r>
        <w:t>.</w:t>
      </w:r>
      <w:r w:rsidR="0072246F">
        <w:t xml:space="preserve"> </w:t>
      </w:r>
      <w:r w:rsidR="00F30E88">
        <w:t xml:space="preserve"> </w:t>
      </w:r>
      <w:r w:rsidR="0072246F">
        <w:t xml:space="preserve">As a share of GDP, national net </w:t>
      </w:r>
      <w:r w:rsidR="0054508D">
        <w:t xml:space="preserve">infrastructure </w:t>
      </w:r>
      <w:r w:rsidR="0072246F">
        <w:t xml:space="preserve">investment is projected to peak just below </w:t>
      </w:r>
      <w:r w:rsidR="002F46DD">
        <w:t>that</w:t>
      </w:r>
      <w:r w:rsidR="0072246F">
        <w:t xml:space="preserve"> recorded during the GFC stimulus period.</w:t>
      </w:r>
    </w:p>
    <w:p w:rsidR="00177D7E" w:rsidRDefault="00177D7E" w:rsidP="00177D7E">
      <w:pPr>
        <w:pStyle w:val="PullOutBoxBodyText"/>
        <w:ind w:left="0"/>
      </w:pPr>
      <w:proofErr w:type="gramStart"/>
      <w:r>
        <w:t xml:space="preserve">…resulting in a change to the composition of national net debt; from around 10 per cent </w:t>
      </w:r>
      <w:r w:rsidRPr="007527CA">
        <w:t>state</w:t>
      </w:r>
      <w:r w:rsidRPr="007527CA">
        <w:noBreakHyphen/>
        <w:t xml:space="preserve">held in </w:t>
      </w:r>
      <w:r w:rsidR="00216E27" w:rsidRPr="007527CA">
        <w:t>2018–19</w:t>
      </w:r>
      <w:r w:rsidRPr="007527CA">
        <w:t xml:space="preserve"> to over </w:t>
      </w:r>
      <w:r w:rsidR="001D0CC8" w:rsidRPr="007527CA">
        <w:t xml:space="preserve">30 per cent </w:t>
      </w:r>
      <w:r w:rsidRPr="007527CA">
        <w:t>state-held</w:t>
      </w:r>
      <w:r>
        <w:t xml:space="preserve"> by 2022–23.</w:t>
      </w:r>
      <w:proofErr w:type="gramEnd"/>
    </w:p>
    <w:p w:rsidR="00177D7E" w:rsidRDefault="00177D7E" w:rsidP="00177D7E">
      <w:pPr>
        <w:pStyle w:val="BodyText"/>
      </w:pPr>
      <w:r>
        <w:t xml:space="preserve">State </w:t>
      </w:r>
      <w:r w:rsidR="001D0CC8">
        <w:t xml:space="preserve">and territory </w:t>
      </w:r>
      <w:r>
        <w:t>net debt is projected to reach its highest level for two decades.</w:t>
      </w:r>
      <w:r w:rsidRPr="006B2870">
        <w:t xml:space="preserve"> </w:t>
      </w:r>
      <w:r>
        <w:t xml:space="preserve"> At the same time, Commonwealth net debt is projected to decline, reflecting the projected move to budget surpluses.</w:t>
      </w:r>
    </w:p>
    <w:p w:rsidR="00177D7E" w:rsidRDefault="00177D7E" w:rsidP="00177D7E">
      <w:pPr>
        <w:pStyle w:val="BodyText"/>
      </w:pPr>
      <w:r>
        <w:t>To the extent that</w:t>
      </w:r>
      <w:r w:rsidR="001D0CC8">
        <w:t xml:space="preserve"> this additional</w:t>
      </w:r>
      <w:r>
        <w:t xml:space="preserve"> borrowing is </w:t>
      </w:r>
      <w:r w:rsidR="001D0CC8">
        <w:t xml:space="preserve">being </w:t>
      </w:r>
      <w:r>
        <w:t xml:space="preserve">used to fund investment </w:t>
      </w:r>
      <w:r w:rsidRPr="00C7666D">
        <w:t>in productive assets</w:t>
      </w:r>
      <w:r>
        <w:t xml:space="preserve">, </w:t>
      </w:r>
      <w:r w:rsidR="001D0CC8">
        <w:t>and given the low level of long</w:t>
      </w:r>
      <w:r w:rsidR="001D0CC8">
        <w:noBreakHyphen/>
        <w:t>term interest rates</w:t>
      </w:r>
      <w:r w:rsidR="006D4AC7">
        <w:t>,</w:t>
      </w:r>
      <w:r w:rsidR="00891D8A">
        <w:t xml:space="preserve"> this increase in</w:t>
      </w:r>
      <w:r w:rsidR="006D4AC7">
        <w:t xml:space="preserve"> debt should not adversely affect </w:t>
      </w:r>
      <w:r w:rsidRPr="00C7666D">
        <w:t xml:space="preserve">the fiscal sustainability of state </w:t>
      </w:r>
      <w:r w:rsidR="001D0CC8">
        <w:t xml:space="preserve">and territory </w:t>
      </w:r>
      <w:r w:rsidRPr="00C7666D">
        <w:t>governments over the medium term.</w:t>
      </w:r>
      <w:r>
        <w:t xml:space="preserve">  </w:t>
      </w:r>
    </w:p>
    <w:p w:rsidR="00177D7E" w:rsidRDefault="00177D7E" w:rsidP="00177D7E">
      <w:pPr>
        <w:pStyle w:val="PullOutBoxBodyText"/>
        <w:ind w:left="0"/>
      </w:pPr>
      <w:r>
        <w:t>Despite the improved fiscal outlook at the national level, risks remain.</w:t>
      </w:r>
    </w:p>
    <w:p w:rsidR="00177D7E" w:rsidRPr="00DB1201" w:rsidRDefault="00177D7E" w:rsidP="00177D7E">
      <w:pPr>
        <w:pStyle w:val="BodyText"/>
        <w:rPr>
          <w:spacing w:val="-3"/>
        </w:rPr>
      </w:pPr>
      <w:r w:rsidRPr="00DB1201">
        <w:rPr>
          <w:spacing w:val="-3"/>
        </w:rPr>
        <w:t>While the projected surpluses are larger than anticipated in the previous outlook, there are risks</w:t>
      </w:r>
      <w:r w:rsidR="001E6AFD">
        <w:rPr>
          <w:spacing w:val="-3"/>
        </w:rPr>
        <w:br/>
      </w:r>
      <w:r w:rsidRPr="00DB1201">
        <w:rPr>
          <w:spacing w:val="-3"/>
        </w:rPr>
        <w:t>to both the revenue and expenditure projections that underpin those surpluses.  Factors such as weaker</w:t>
      </w:r>
      <w:r w:rsidR="0054508D">
        <w:rPr>
          <w:spacing w:val="-3"/>
        </w:rPr>
        <w:noBreakHyphen/>
      </w:r>
      <w:r w:rsidRPr="00DB1201">
        <w:rPr>
          <w:spacing w:val="-3"/>
        </w:rPr>
        <w:t>than</w:t>
      </w:r>
      <w:r w:rsidR="0054508D">
        <w:rPr>
          <w:spacing w:val="-3"/>
        </w:rPr>
        <w:noBreakHyphen/>
      </w:r>
      <w:r w:rsidRPr="00DB1201">
        <w:rPr>
          <w:spacing w:val="-6"/>
        </w:rPr>
        <w:t xml:space="preserve">projected economic conditions </w:t>
      </w:r>
      <w:r w:rsidR="006D4AC7" w:rsidRPr="00DB1201">
        <w:rPr>
          <w:spacing w:val="-6"/>
        </w:rPr>
        <w:t>or</w:t>
      </w:r>
      <w:r w:rsidRPr="00DB1201">
        <w:rPr>
          <w:spacing w:val="-6"/>
        </w:rPr>
        <w:t xml:space="preserve"> wage growth would deteriorate budget positions.</w:t>
      </w:r>
      <w:r w:rsidRPr="00DB1201">
        <w:rPr>
          <w:spacing w:val="-3"/>
        </w:rPr>
        <w:t xml:space="preserve">  The reverse is also true.  For example, a strengthening in the housing market </w:t>
      </w:r>
      <w:r w:rsidR="006D4AC7" w:rsidRPr="00DB1201">
        <w:rPr>
          <w:spacing w:val="-3"/>
        </w:rPr>
        <w:t xml:space="preserve">or ongoing strength in commodity prices </w:t>
      </w:r>
      <w:r w:rsidRPr="00DB1201">
        <w:rPr>
          <w:spacing w:val="-3"/>
        </w:rPr>
        <w:t>would be expected to improve budget outcomes.</w:t>
      </w:r>
    </w:p>
    <w:p w:rsidR="00177D7E" w:rsidRDefault="00177D7E" w:rsidP="00177D7E">
      <w:pPr>
        <w:pStyle w:val="BodyText"/>
      </w:pPr>
      <w:r>
        <w:t>As with all Parliamentary Budget Office reports, this analysis reflects only current government policies as at the respective budgets.  Pressures for additional expenditure could mean that the ongoing spending restraint forecast by governments could be difficult to maintain.</w:t>
      </w:r>
    </w:p>
    <w:p w:rsidR="005D5040" w:rsidRPr="00DB1201" w:rsidRDefault="00177D7E" w:rsidP="00DF0236">
      <w:pPr>
        <w:pStyle w:val="BodyText"/>
        <w:spacing w:before="240" w:after="100" w:line="290" w:lineRule="atLeast"/>
        <w:rPr>
          <w:rFonts w:ascii="Calibri Light" w:hAnsi="Calibri Light"/>
          <w:bCs/>
          <w:color w:val="3D4D7D" w:themeColor="background2"/>
          <w:spacing w:val="-3"/>
          <w:kern w:val="32"/>
          <w:sz w:val="52"/>
          <w:szCs w:val="32"/>
        </w:rPr>
      </w:pPr>
      <w:r w:rsidRPr="00DB1201">
        <w:rPr>
          <w:spacing w:val="-3"/>
        </w:rPr>
        <w:t xml:space="preserve">A complementary product, </w:t>
      </w:r>
      <w:proofErr w:type="gramStart"/>
      <w:r w:rsidRPr="00DB1201">
        <w:rPr>
          <w:spacing w:val="-3"/>
        </w:rPr>
        <w:t xml:space="preserve">the </w:t>
      </w:r>
      <w:r w:rsidRPr="00DB1201">
        <w:rPr>
          <w:i/>
          <w:spacing w:val="-3"/>
        </w:rPr>
        <w:t>2019–20 National Fiscal Outlook at a Glance,</w:t>
      </w:r>
      <w:proofErr w:type="gramEnd"/>
      <w:r w:rsidRPr="00DB1201">
        <w:rPr>
          <w:spacing w:val="-3"/>
        </w:rPr>
        <w:t xml:space="preserve"> provides a graphical snapshot of the Commonwealth, state and territory budgets in three charts, plus national aggregates.</w:t>
      </w:r>
      <w:r w:rsidR="00740011" w:rsidRPr="00DB1201" w:rsidDel="00740011">
        <w:rPr>
          <w:spacing w:val="-3"/>
        </w:rPr>
        <w:t xml:space="preserve"> </w:t>
      </w:r>
      <w:bookmarkStart w:id="7" w:name="_Toc529192645"/>
      <w:bookmarkStart w:id="8" w:name="_Toc529192646"/>
      <w:bookmarkStart w:id="9" w:name="_Toc396331955"/>
      <w:bookmarkEnd w:id="7"/>
      <w:bookmarkEnd w:id="8"/>
      <w:r w:rsidR="005D5040" w:rsidRPr="00DB1201">
        <w:rPr>
          <w:spacing w:val="-3"/>
        </w:rPr>
        <w:br w:type="page"/>
      </w:r>
    </w:p>
    <w:p w:rsidR="001D6C52" w:rsidRDefault="00827999" w:rsidP="00DF0236">
      <w:pPr>
        <w:pStyle w:val="Heading1"/>
        <w:spacing w:after="280"/>
      </w:pPr>
      <w:bookmarkStart w:id="10" w:name="_Toc24101672"/>
      <w:bookmarkStart w:id="11" w:name="_Toc25676864"/>
      <w:r>
        <w:lastRenderedPageBreak/>
        <w:t xml:space="preserve">National fiscal </w:t>
      </w:r>
      <w:bookmarkEnd w:id="9"/>
      <w:r>
        <w:t>outlook</w:t>
      </w:r>
      <w:r w:rsidR="005516ED">
        <w:t>: what has changed since last year’s budget</w:t>
      </w:r>
      <w:r w:rsidR="007E13BA">
        <w:t>s</w:t>
      </w:r>
      <w:r w:rsidR="005516ED">
        <w:t>?</w:t>
      </w:r>
      <w:bookmarkEnd w:id="10"/>
      <w:bookmarkEnd w:id="11"/>
    </w:p>
    <w:p w:rsidR="009819CF" w:rsidRDefault="00957B60" w:rsidP="00DB1201">
      <w:pPr>
        <w:pStyle w:val="BodyText"/>
        <w:spacing w:before="80" w:line="260" w:lineRule="atLeast"/>
      </w:pPr>
      <w:r>
        <w:t xml:space="preserve">The </w:t>
      </w:r>
      <w:r w:rsidR="0082346C">
        <w:t>n</w:t>
      </w:r>
      <w:r>
        <w:t xml:space="preserve">ational </w:t>
      </w:r>
      <w:r w:rsidR="0082346C">
        <w:t>f</w:t>
      </w:r>
      <w:r>
        <w:t xml:space="preserve">iscal </w:t>
      </w:r>
      <w:r w:rsidR="0082346C">
        <w:t>o</w:t>
      </w:r>
      <w:r>
        <w:t xml:space="preserve">utlook provides </w:t>
      </w:r>
      <w:r w:rsidR="000912EC">
        <w:t>a</w:t>
      </w:r>
      <w:r>
        <w:t xml:space="preserve"> comprehensive </w:t>
      </w:r>
      <w:r w:rsidRPr="00DC7AD7">
        <w:t xml:space="preserve">national perspective on </w:t>
      </w:r>
      <w:r w:rsidR="002D313C">
        <w:t xml:space="preserve">Australia’s </w:t>
      </w:r>
      <w:r>
        <w:t>historical and projected</w:t>
      </w:r>
      <w:r w:rsidRPr="00DC7AD7">
        <w:t xml:space="preserve"> </w:t>
      </w:r>
      <w:r>
        <w:t>fiscal position by examining all levels of government</w:t>
      </w:r>
      <w:r w:rsidR="00683570">
        <w:t>: Commonwealth, state and territory</w:t>
      </w:r>
      <w:r w:rsidR="00C57BFA">
        <w:t xml:space="preserve"> (‘state’)</w:t>
      </w:r>
      <w:r w:rsidR="00683570">
        <w:t>, and local</w:t>
      </w:r>
      <w:r>
        <w:t xml:space="preserve">.  </w:t>
      </w:r>
      <w:r w:rsidR="009819CF">
        <w:t>The analysis uses the budget papers as published, so that only current government policies at the time of the respective budgets are included.  The PBO does not speculate on future decisions of governments or subsequent</w:t>
      </w:r>
      <w:r w:rsidR="00F9440F">
        <w:t>ly</w:t>
      </w:r>
      <w:r w:rsidR="009819CF">
        <w:t xml:space="preserve"> announced policies, which could change the outcomes presented here.</w:t>
      </w:r>
    </w:p>
    <w:p w:rsidR="00E3105A" w:rsidRDefault="00E3105A" w:rsidP="00DB1201">
      <w:pPr>
        <w:pStyle w:val="BodyText"/>
        <w:spacing w:before="60" w:line="260" w:lineRule="atLeast"/>
      </w:pPr>
      <w:r w:rsidRPr="00827999">
        <w:t xml:space="preserve">This section examines the national fiscal outlook </w:t>
      </w:r>
      <w:r w:rsidR="00CE6B47">
        <w:t xml:space="preserve">as at the 2019–20 budgets, and how it </w:t>
      </w:r>
      <w:r w:rsidRPr="00827999">
        <w:t>has changed since j</w:t>
      </w:r>
      <w:r>
        <w:t xml:space="preserve">urisdictions released their </w:t>
      </w:r>
      <w:r w:rsidR="005516ED">
        <w:t>201</w:t>
      </w:r>
      <w:r w:rsidR="004A5847">
        <w:t>8</w:t>
      </w:r>
      <w:r w:rsidR="00342881">
        <w:t>–</w:t>
      </w:r>
      <w:r w:rsidR="005516ED">
        <w:t>1</w:t>
      </w:r>
      <w:r w:rsidR="004A5847">
        <w:t>9</w:t>
      </w:r>
      <w:r w:rsidR="005F6FB4">
        <w:t> b</w:t>
      </w:r>
      <w:r w:rsidR="005516ED">
        <w:t>udget</w:t>
      </w:r>
      <w:r w:rsidR="0001712A">
        <w:t>s</w:t>
      </w:r>
      <w:r w:rsidR="008224A7">
        <w:t>.</w:t>
      </w:r>
      <w:r w:rsidR="005516ED" w:rsidRPr="00233853">
        <w:rPr>
          <w:rStyle w:val="FootnoteReference"/>
        </w:rPr>
        <w:footnoteReference w:id="2"/>
      </w:r>
      <w:r w:rsidR="00683570">
        <w:t xml:space="preserve">  </w:t>
      </w:r>
    </w:p>
    <w:p w:rsidR="002E47C9" w:rsidRDefault="00015D4C" w:rsidP="00DF0236">
      <w:pPr>
        <w:pStyle w:val="Heading2"/>
        <w:spacing w:before="160"/>
      </w:pPr>
      <w:bookmarkStart w:id="12" w:name="_Toc24101673"/>
      <w:bookmarkStart w:id="13" w:name="_Toc25676865"/>
      <w:r>
        <w:t>Budget</w:t>
      </w:r>
      <w:r w:rsidR="002E47C9" w:rsidRPr="002E47C9">
        <w:t xml:space="preserve"> balance</w:t>
      </w:r>
      <w:bookmarkEnd w:id="12"/>
      <w:bookmarkEnd w:id="13"/>
    </w:p>
    <w:p w:rsidR="00950C37" w:rsidRDefault="00E3105A" w:rsidP="00DB1201">
      <w:pPr>
        <w:pStyle w:val="BodyText"/>
        <w:spacing w:before="80" w:after="240" w:line="280" w:lineRule="atLeast"/>
      </w:pPr>
      <w:r w:rsidRPr="00FF22A8">
        <w:rPr>
          <w:spacing w:val="-3"/>
        </w:rPr>
        <w:t xml:space="preserve">The </w:t>
      </w:r>
      <w:r w:rsidR="00D5757A" w:rsidRPr="00004A86">
        <w:rPr>
          <w:spacing w:val="-3"/>
        </w:rPr>
        <w:t>national net operating balance</w:t>
      </w:r>
      <w:r w:rsidR="00F23AB0">
        <w:rPr>
          <w:spacing w:val="-3"/>
        </w:rPr>
        <w:t xml:space="preserve"> </w:t>
      </w:r>
      <w:r w:rsidR="00BB53E9">
        <w:rPr>
          <w:spacing w:val="-3"/>
        </w:rPr>
        <w:t>was in surplus in 2017</w:t>
      </w:r>
      <w:r w:rsidR="00581BA8">
        <w:rPr>
          <w:spacing w:val="-3"/>
        </w:rPr>
        <w:t>–</w:t>
      </w:r>
      <w:r w:rsidR="00BB53E9">
        <w:rPr>
          <w:spacing w:val="-3"/>
        </w:rPr>
        <w:t xml:space="preserve">18 for the first time in more than a decade, </w:t>
      </w:r>
      <w:r w:rsidR="000912EC">
        <w:rPr>
          <w:spacing w:val="-3"/>
        </w:rPr>
        <w:t>with a surplus of</w:t>
      </w:r>
      <w:r w:rsidR="00BB53E9">
        <w:rPr>
          <w:spacing w:val="-3"/>
        </w:rPr>
        <w:t xml:space="preserve"> </w:t>
      </w:r>
      <w:r w:rsidR="00494959">
        <w:rPr>
          <w:spacing w:val="-3"/>
        </w:rPr>
        <w:t xml:space="preserve">over $20 billion </w:t>
      </w:r>
      <w:r w:rsidR="000912EC">
        <w:rPr>
          <w:spacing w:val="-3"/>
        </w:rPr>
        <w:t>projected for 2018</w:t>
      </w:r>
      <w:r w:rsidR="00430EA7">
        <w:rPr>
          <w:spacing w:val="-3"/>
        </w:rPr>
        <w:t>–</w:t>
      </w:r>
      <w:r w:rsidR="000912EC">
        <w:rPr>
          <w:spacing w:val="-3"/>
        </w:rPr>
        <w:t>19</w:t>
      </w:r>
      <w:r w:rsidR="00BB53E9">
        <w:rPr>
          <w:spacing w:val="-3"/>
        </w:rPr>
        <w:t>.</w:t>
      </w:r>
      <w:r w:rsidR="00F23AB0">
        <w:rPr>
          <w:rStyle w:val="FootnoteReference"/>
          <w:spacing w:val="-3"/>
        </w:rPr>
        <w:footnoteReference w:id="3"/>
      </w:r>
      <w:r w:rsidR="00F23AB0" w:rsidRPr="00004A86">
        <w:rPr>
          <w:spacing w:val="-3"/>
        </w:rPr>
        <w:t xml:space="preserve"> </w:t>
      </w:r>
      <w:r w:rsidR="00BB53E9">
        <w:rPr>
          <w:spacing w:val="-3"/>
        </w:rPr>
        <w:t xml:space="preserve"> </w:t>
      </w:r>
      <w:r w:rsidR="00932556">
        <w:rPr>
          <w:spacing w:val="-3"/>
        </w:rPr>
        <w:t>That surplus is projected to keep growing</w:t>
      </w:r>
      <w:r w:rsidR="0037598E">
        <w:rPr>
          <w:spacing w:val="-3"/>
        </w:rPr>
        <w:t xml:space="preserve">, </w:t>
      </w:r>
      <w:r w:rsidR="00D5757A" w:rsidRPr="00004A86">
        <w:rPr>
          <w:spacing w:val="-3"/>
        </w:rPr>
        <w:t>from a surplus of</w:t>
      </w:r>
      <w:r w:rsidR="00D5757A">
        <w:rPr>
          <w:spacing w:val="-3"/>
        </w:rPr>
        <w:t xml:space="preserve"> $21.</w:t>
      </w:r>
      <w:r w:rsidR="0079069C">
        <w:rPr>
          <w:spacing w:val="-3"/>
        </w:rPr>
        <w:t xml:space="preserve">5 </w:t>
      </w:r>
      <w:r w:rsidR="00D5757A">
        <w:rPr>
          <w:spacing w:val="-3"/>
        </w:rPr>
        <w:t>billion (</w:t>
      </w:r>
      <w:r w:rsidR="00D5757A" w:rsidRPr="00004A86">
        <w:rPr>
          <w:spacing w:val="-3"/>
        </w:rPr>
        <w:t>1</w:t>
      </w:r>
      <w:r w:rsidR="00D5757A">
        <w:rPr>
          <w:spacing w:val="-3"/>
        </w:rPr>
        <w:t>.</w:t>
      </w:r>
      <w:r w:rsidR="00866C4D">
        <w:rPr>
          <w:spacing w:val="-3"/>
        </w:rPr>
        <w:t>1</w:t>
      </w:r>
      <w:r w:rsidR="00866C4D" w:rsidRPr="00004A86">
        <w:rPr>
          <w:spacing w:val="-3"/>
        </w:rPr>
        <w:t> </w:t>
      </w:r>
      <w:r w:rsidR="00D5757A" w:rsidRPr="00004A86">
        <w:rPr>
          <w:spacing w:val="-3"/>
        </w:rPr>
        <w:t>per cent of GDP</w:t>
      </w:r>
      <w:r w:rsidR="00D5757A">
        <w:rPr>
          <w:spacing w:val="-3"/>
        </w:rPr>
        <w:t>)</w:t>
      </w:r>
      <w:r w:rsidR="00D5757A" w:rsidRPr="00004A86">
        <w:rPr>
          <w:spacing w:val="-3"/>
        </w:rPr>
        <w:t xml:space="preserve"> in 2018</w:t>
      </w:r>
      <w:r w:rsidR="00D5757A" w:rsidRPr="00004A86">
        <w:t>–</w:t>
      </w:r>
      <w:r w:rsidR="00D5757A" w:rsidRPr="00004A86">
        <w:rPr>
          <w:spacing w:val="-3"/>
        </w:rPr>
        <w:t xml:space="preserve">19 to a surplus of </w:t>
      </w:r>
      <w:r w:rsidR="00D5757A">
        <w:rPr>
          <w:spacing w:val="-3"/>
        </w:rPr>
        <w:t>$45.2</w:t>
      </w:r>
      <w:r w:rsidR="00BB53E9">
        <w:rPr>
          <w:spacing w:val="-3"/>
        </w:rPr>
        <w:t> </w:t>
      </w:r>
      <w:r w:rsidR="00D5757A">
        <w:rPr>
          <w:spacing w:val="-3"/>
        </w:rPr>
        <w:t>billion (</w:t>
      </w:r>
      <w:r w:rsidR="00D5757A" w:rsidRPr="00004A86">
        <w:rPr>
          <w:spacing w:val="-3"/>
        </w:rPr>
        <w:t>2.</w:t>
      </w:r>
      <w:r w:rsidR="00866C4D">
        <w:rPr>
          <w:spacing w:val="-3"/>
        </w:rPr>
        <w:t>0</w:t>
      </w:r>
      <w:r w:rsidR="00866C4D" w:rsidRPr="00004A86">
        <w:rPr>
          <w:spacing w:val="-3"/>
        </w:rPr>
        <w:t> </w:t>
      </w:r>
      <w:r w:rsidR="00D5757A" w:rsidRPr="00004A86">
        <w:rPr>
          <w:spacing w:val="-3"/>
        </w:rPr>
        <w:t>per</w:t>
      </w:r>
      <w:r w:rsidR="00D5757A" w:rsidRPr="00FF22A8">
        <w:rPr>
          <w:spacing w:val="-3"/>
        </w:rPr>
        <w:t> cent of GDP</w:t>
      </w:r>
      <w:r w:rsidR="00D5757A">
        <w:rPr>
          <w:spacing w:val="-3"/>
        </w:rPr>
        <w:t>)</w:t>
      </w:r>
      <w:r w:rsidR="00D5757A" w:rsidRPr="00FF22A8">
        <w:rPr>
          <w:spacing w:val="-3"/>
        </w:rPr>
        <w:t xml:space="preserve"> by 202</w:t>
      </w:r>
      <w:r w:rsidR="00D5757A">
        <w:rPr>
          <w:spacing w:val="-3"/>
        </w:rPr>
        <w:t>2</w:t>
      </w:r>
      <w:r w:rsidR="00D5757A">
        <w:t>–</w:t>
      </w:r>
      <w:r w:rsidR="00D5757A" w:rsidRPr="00FF22A8">
        <w:rPr>
          <w:spacing w:val="-3"/>
        </w:rPr>
        <w:t>2</w:t>
      </w:r>
      <w:r w:rsidR="00D5757A">
        <w:rPr>
          <w:spacing w:val="-3"/>
        </w:rPr>
        <w:t>3</w:t>
      </w:r>
      <w:r w:rsidR="0037598E">
        <w:rPr>
          <w:spacing w:val="-3"/>
        </w:rPr>
        <w:t>.  This reflects</w:t>
      </w:r>
      <w:r w:rsidR="00FD0F23">
        <w:rPr>
          <w:spacing w:val="-3"/>
        </w:rPr>
        <w:t xml:space="preserve"> restrained growth in expenses across all</w:t>
      </w:r>
      <w:r w:rsidR="007669B6">
        <w:rPr>
          <w:spacing w:val="-3"/>
        </w:rPr>
        <w:t xml:space="preserve"> </w:t>
      </w:r>
      <w:r w:rsidR="00FD0F23">
        <w:rPr>
          <w:spacing w:val="-3"/>
        </w:rPr>
        <w:t>levels of government</w:t>
      </w:r>
      <w:r w:rsidR="0037598E">
        <w:rPr>
          <w:spacing w:val="-3"/>
        </w:rPr>
        <w:t xml:space="preserve"> and</w:t>
      </w:r>
      <w:r w:rsidR="00D5757A">
        <w:rPr>
          <w:spacing w:val="-3"/>
        </w:rPr>
        <w:t xml:space="preserve"> is an improvement from</w:t>
      </w:r>
      <w:r w:rsidRPr="00004A86">
        <w:rPr>
          <w:spacing w:val="-3"/>
        </w:rPr>
        <w:t xml:space="preserve"> the </w:t>
      </w:r>
      <w:r w:rsidR="0001712A" w:rsidRPr="00004A86">
        <w:rPr>
          <w:spacing w:val="-3"/>
        </w:rPr>
        <w:t>previous national</w:t>
      </w:r>
      <w:r w:rsidRPr="00004A86">
        <w:rPr>
          <w:spacing w:val="-3"/>
        </w:rPr>
        <w:t xml:space="preserve"> outlook</w:t>
      </w:r>
      <w:r w:rsidR="0037598E">
        <w:rPr>
          <w:spacing w:val="-3"/>
        </w:rPr>
        <w:t xml:space="preserve"> of</w:t>
      </w:r>
      <w:r w:rsidRPr="00004A86">
        <w:rPr>
          <w:spacing w:val="-3"/>
        </w:rPr>
        <w:t xml:space="preserve"> $</w:t>
      </w:r>
      <w:r w:rsidR="00382845">
        <w:rPr>
          <w:spacing w:val="-3"/>
        </w:rPr>
        <w:t>2</w:t>
      </w:r>
      <w:r w:rsidR="00EB1942">
        <w:rPr>
          <w:spacing w:val="-3"/>
        </w:rPr>
        <w:t>0</w:t>
      </w:r>
      <w:r w:rsidR="00382845">
        <w:rPr>
          <w:spacing w:val="-3"/>
        </w:rPr>
        <w:t>.</w:t>
      </w:r>
      <w:r w:rsidR="0079069C">
        <w:rPr>
          <w:spacing w:val="-3"/>
        </w:rPr>
        <w:t>8</w:t>
      </w:r>
      <w:r w:rsidR="0079069C" w:rsidRPr="00004A86">
        <w:rPr>
          <w:spacing w:val="-3"/>
        </w:rPr>
        <w:t> </w:t>
      </w:r>
      <w:r w:rsidRPr="00004A86">
        <w:rPr>
          <w:spacing w:val="-3"/>
        </w:rPr>
        <w:t>billion for the period 201</w:t>
      </w:r>
      <w:r w:rsidR="00342881" w:rsidRPr="00004A86">
        <w:rPr>
          <w:spacing w:val="-3"/>
        </w:rPr>
        <w:t>8</w:t>
      </w:r>
      <w:r w:rsidR="00342881" w:rsidRPr="00004A86">
        <w:t>–</w:t>
      </w:r>
      <w:r w:rsidRPr="00004A86">
        <w:rPr>
          <w:spacing w:val="-3"/>
        </w:rPr>
        <w:t>1</w:t>
      </w:r>
      <w:r w:rsidR="00342881" w:rsidRPr="00004A86">
        <w:rPr>
          <w:spacing w:val="-3"/>
        </w:rPr>
        <w:t>9</w:t>
      </w:r>
      <w:r w:rsidRPr="00004A86">
        <w:rPr>
          <w:spacing w:val="-3"/>
        </w:rPr>
        <w:t xml:space="preserve"> to 202</w:t>
      </w:r>
      <w:r w:rsidR="00342881" w:rsidRPr="00004A86">
        <w:rPr>
          <w:spacing w:val="-3"/>
        </w:rPr>
        <w:t>1</w:t>
      </w:r>
      <w:r w:rsidR="00342881" w:rsidRPr="00004A86">
        <w:t>–</w:t>
      </w:r>
      <w:r w:rsidRPr="00004A86">
        <w:rPr>
          <w:spacing w:val="-3"/>
        </w:rPr>
        <w:t>2</w:t>
      </w:r>
      <w:r w:rsidR="00342881" w:rsidRPr="00004A86">
        <w:rPr>
          <w:spacing w:val="-3"/>
        </w:rPr>
        <w:t>2</w:t>
      </w:r>
      <w:r w:rsidRPr="00004A86">
        <w:rPr>
          <w:spacing w:val="-3"/>
        </w:rPr>
        <w:t xml:space="preserve"> </w:t>
      </w:r>
      <w:r w:rsidR="0092586A" w:rsidRPr="00FF22A8">
        <w:rPr>
          <w:spacing w:val="-3"/>
        </w:rPr>
        <w:t>(</w:t>
      </w:r>
      <w:r w:rsidR="0092586A" w:rsidRPr="00FF22A8">
        <w:rPr>
          <w:spacing w:val="-3"/>
        </w:rPr>
        <w:fldChar w:fldCharType="begin"/>
      </w:r>
      <w:r w:rsidR="0092586A" w:rsidRPr="00FF22A8">
        <w:rPr>
          <w:spacing w:val="-3"/>
        </w:rPr>
        <w:instrText xml:space="preserve"> REF _Ref529189715 \h </w:instrText>
      </w:r>
      <w:r w:rsidR="00FF22A8">
        <w:rPr>
          <w:spacing w:val="-3"/>
        </w:rPr>
        <w:instrText xml:space="preserve"> \* MERGEFORMAT </w:instrText>
      </w:r>
      <w:r w:rsidR="0092586A" w:rsidRPr="00FF22A8">
        <w:rPr>
          <w:spacing w:val="-3"/>
        </w:rPr>
      </w:r>
      <w:r w:rsidR="0092586A" w:rsidRPr="00FF22A8">
        <w:rPr>
          <w:spacing w:val="-3"/>
        </w:rPr>
        <w:fldChar w:fldCharType="separate"/>
      </w:r>
      <w:r w:rsidR="0070188F" w:rsidRPr="00DB1201">
        <w:rPr>
          <w:spacing w:val="-3"/>
        </w:rPr>
        <w:t>Figure 1–</w:t>
      </w:r>
      <w:r w:rsidR="0070188F" w:rsidRPr="00DB1201">
        <w:rPr>
          <w:noProof/>
          <w:spacing w:val="-3"/>
        </w:rPr>
        <w:t>1</w:t>
      </w:r>
      <w:r w:rsidR="0092586A" w:rsidRPr="00FF22A8">
        <w:rPr>
          <w:spacing w:val="-3"/>
        </w:rPr>
        <w:fldChar w:fldCharType="end"/>
      </w:r>
      <w:r w:rsidRPr="00FF22A8">
        <w:rPr>
          <w:spacing w:val="-3"/>
        </w:rPr>
        <w:t>)</w:t>
      </w:r>
      <w:r w:rsidR="00FD0F23">
        <w:rPr>
          <w:spacing w:val="-3"/>
        </w:rPr>
        <w:t>, largely due to lower projected Commonwealth expenses</w:t>
      </w:r>
      <w:r w:rsidRPr="00FF22A8">
        <w:rPr>
          <w:spacing w:val="-3"/>
        </w:rPr>
        <w:t>.</w:t>
      </w:r>
      <w:r w:rsidR="00817D03" w:rsidRPr="00FF22A8">
        <w:rPr>
          <w:spacing w:val="-3"/>
        </w:rPr>
        <w:t xml:space="preserve">  </w:t>
      </w:r>
    </w:p>
    <w:tbl>
      <w:tblPr>
        <w:tblStyle w:val="TablePlaceholder"/>
        <w:tblW w:w="8504" w:type="dxa"/>
        <w:tblLayout w:type="fixed"/>
        <w:tblLook w:val="04A0" w:firstRow="1" w:lastRow="0" w:firstColumn="1" w:lastColumn="0" w:noHBand="0" w:noVBand="1"/>
      </w:tblPr>
      <w:tblGrid>
        <w:gridCol w:w="4395"/>
        <w:gridCol w:w="4109"/>
      </w:tblGrid>
      <w:tr w:rsidR="002E47C9" w:rsidTr="0007123E">
        <w:tc>
          <w:tcPr>
            <w:tcW w:w="4395" w:type="dxa"/>
          </w:tcPr>
          <w:p w:rsidR="002E47C9" w:rsidRDefault="002E47C9" w:rsidP="007E5C07">
            <w:pPr>
              <w:pStyle w:val="Caption"/>
              <w:spacing w:before="0" w:after="0"/>
            </w:pPr>
            <w:bookmarkStart w:id="14" w:name="_Ref529189715"/>
            <w:r w:rsidRPr="002E47C9">
              <w:t>Figure</w:t>
            </w:r>
            <w:r w:rsidR="00E12950">
              <w:t> </w:t>
            </w:r>
            <w:r w:rsidR="007064AF">
              <w:rPr>
                <w:noProof/>
              </w:rPr>
              <w:t>1</w:t>
            </w:r>
            <w:r w:rsidRPr="002E47C9">
              <w:t>–</w:t>
            </w:r>
            <w:r w:rsidR="00697CF5">
              <w:rPr>
                <w:noProof/>
              </w:rPr>
              <w:fldChar w:fldCharType="begin"/>
            </w:r>
            <w:r w:rsidR="00697CF5">
              <w:rPr>
                <w:noProof/>
              </w:rPr>
              <w:instrText xml:space="preserve"> SEQ Figure \* ARABIC \s 1 </w:instrText>
            </w:r>
            <w:r w:rsidR="00697CF5">
              <w:rPr>
                <w:noProof/>
              </w:rPr>
              <w:fldChar w:fldCharType="separate"/>
            </w:r>
            <w:r w:rsidR="0070188F">
              <w:rPr>
                <w:noProof/>
              </w:rPr>
              <w:t>1</w:t>
            </w:r>
            <w:r w:rsidR="00697CF5">
              <w:rPr>
                <w:noProof/>
              </w:rPr>
              <w:fldChar w:fldCharType="end"/>
            </w:r>
            <w:bookmarkEnd w:id="14"/>
            <w:r>
              <w:t xml:space="preserve">: </w:t>
            </w:r>
            <w:r w:rsidRPr="002E47C9">
              <w:t>National net operating balance</w:t>
            </w:r>
          </w:p>
        </w:tc>
        <w:tc>
          <w:tcPr>
            <w:tcW w:w="4109" w:type="dxa"/>
          </w:tcPr>
          <w:p w:rsidR="002E47C9" w:rsidRDefault="002E47C9" w:rsidP="007E5C07">
            <w:pPr>
              <w:pStyle w:val="Caption"/>
              <w:spacing w:before="0" w:after="20"/>
            </w:pPr>
            <w:bookmarkStart w:id="15" w:name="_Ref529189731"/>
            <w:r w:rsidRPr="002E47C9">
              <w:t>Figure</w:t>
            </w:r>
            <w:r w:rsidR="00E12950">
              <w:t> </w:t>
            </w:r>
            <w:r w:rsidR="007064AF">
              <w:rPr>
                <w:noProof/>
              </w:rPr>
              <w:t>1</w:t>
            </w:r>
            <w:r w:rsidRPr="002E47C9">
              <w:t>–</w:t>
            </w:r>
            <w:r w:rsidR="00697CF5">
              <w:rPr>
                <w:noProof/>
              </w:rPr>
              <w:fldChar w:fldCharType="begin"/>
            </w:r>
            <w:r w:rsidR="00697CF5">
              <w:rPr>
                <w:noProof/>
              </w:rPr>
              <w:instrText xml:space="preserve"> SEQ Figure \* ARABIC \s 1 </w:instrText>
            </w:r>
            <w:r w:rsidR="00697CF5">
              <w:rPr>
                <w:noProof/>
              </w:rPr>
              <w:fldChar w:fldCharType="separate"/>
            </w:r>
            <w:r w:rsidR="0070188F">
              <w:rPr>
                <w:noProof/>
              </w:rPr>
              <w:t>2</w:t>
            </w:r>
            <w:r w:rsidR="00697CF5">
              <w:rPr>
                <w:noProof/>
              </w:rPr>
              <w:fldChar w:fldCharType="end"/>
            </w:r>
            <w:bookmarkEnd w:id="15"/>
            <w:r w:rsidRPr="002E47C9">
              <w:t>: Change in net op</w:t>
            </w:r>
            <w:r>
              <w:t xml:space="preserve">erating </w:t>
            </w:r>
            <w:r w:rsidR="00846B2B">
              <w:br/>
            </w:r>
            <w:r>
              <w:t>balance since 201</w:t>
            </w:r>
            <w:r w:rsidR="00025185">
              <w:t>8</w:t>
            </w:r>
            <w:r w:rsidR="00581BA8">
              <w:t>–</w:t>
            </w:r>
            <w:r>
              <w:t>1</w:t>
            </w:r>
            <w:r w:rsidR="00025185">
              <w:t>9</w:t>
            </w:r>
            <w:r w:rsidR="00F905F1">
              <w:t xml:space="preserve"> outlook</w:t>
            </w:r>
          </w:p>
        </w:tc>
      </w:tr>
      <w:tr w:rsidR="00C66F75" w:rsidTr="00DB1201">
        <w:trPr>
          <w:trHeight w:val="4981"/>
        </w:trPr>
        <w:tc>
          <w:tcPr>
            <w:tcW w:w="4395" w:type="dxa"/>
          </w:tcPr>
          <w:p w:rsidR="00C66F75" w:rsidDel="00F36C6F" w:rsidRDefault="00C66F75">
            <w:pPr>
              <w:keepNext/>
              <w:jc w:val="center"/>
            </w:pPr>
            <w:r>
              <w:rPr>
                <w:noProof/>
                <w:lang w:eastAsia="en-AU"/>
              </w:rPr>
              <w:drawing>
                <wp:inline distT="0" distB="0" distL="0" distR="0" wp14:anchorId="08C2C862" wp14:editId="338E0EAD">
                  <wp:extent cx="2592000" cy="3198548"/>
                  <wp:effectExtent l="0" t="0" r="0" b="1905"/>
                  <wp:docPr id="23" name="Picture 2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9 National Fiscal Outlook report_Graphs_04_Figure 1-3-1-4_Figure 1-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92000" cy="3198548"/>
                          </a:xfrm>
                          <a:prstGeom prst="rect">
                            <a:avLst/>
                          </a:prstGeom>
                        </pic:spPr>
                      </pic:pic>
                    </a:graphicData>
                  </a:graphic>
                </wp:inline>
              </w:drawing>
            </w:r>
          </w:p>
        </w:tc>
        <w:tc>
          <w:tcPr>
            <w:tcW w:w="4109" w:type="dxa"/>
          </w:tcPr>
          <w:p w:rsidR="00C66F75" w:rsidRDefault="00C66F75" w:rsidP="00F36C6F">
            <w:pPr>
              <w:keepNext/>
              <w:jc w:val="center"/>
            </w:pPr>
            <w:r>
              <w:rPr>
                <w:noProof/>
                <w:lang w:eastAsia="en-AU"/>
              </w:rPr>
              <w:drawing>
                <wp:inline distT="0" distB="0" distL="0" distR="0" wp14:anchorId="6BD5C9BA" wp14:editId="03A8DE55">
                  <wp:extent cx="2592000" cy="3198548"/>
                  <wp:effectExtent l="0" t="0" r="0" b="1905"/>
                  <wp:docPr id="35"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9 National Fiscal Outlook report_Graphs_04_Figure 1-3-1-4_Figure 1-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92000" cy="3198548"/>
                          </a:xfrm>
                          <a:prstGeom prst="rect">
                            <a:avLst/>
                          </a:prstGeom>
                        </pic:spPr>
                      </pic:pic>
                    </a:graphicData>
                  </a:graphic>
                </wp:inline>
              </w:drawing>
            </w:r>
          </w:p>
        </w:tc>
      </w:tr>
      <w:tr w:rsidR="002E47C9" w:rsidTr="00DB1201">
        <w:trPr>
          <w:trHeight w:val="454"/>
        </w:trPr>
        <w:tc>
          <w:tcPr>
            <w:tcW w:w="4395" w:type="dxa"/>
          </w:tcPr>
          <w:p w:rsidR="002E47C9" w:rsidRDefault="002E47C9" w:rsidP="00DB1201">
            <w:pPr>
              <w:pStyle w:val="Source"/>
              <w:spacing w:before="0" w:after="0" w:line="200" w:lineRule="exact"/>
              <w:ind w:left="567"/>
            </w:pPr>
            <w:r>
              <w:t xml:space="preserve">Source: </w:t>
            </w:r>
            <w:r w:rsidR="000E1004">
              <w:t>Australian Bureau of Statistics (ABS), Commonwealth and state budget papers</w:t>
            </w:r>
            <w:r w:rsidR="00F54CB8">
              <w:t xml:space="preserve"> and</w:t>
            </w:r>
            <w:r w:rsidR="000E1004">
              <w:t xml:space="preserve"> </w:t>
            </w:r>
            <w:r w:rsidR="00846B2B">
              <w:br/>
            </w:r>
            <w:r w:rsidR="000E1004">
              <w:t>Parliamentary Budget Office (PBO) analysis</w:t>
            </w:r>
            <w:r w:rsidR="007966BE">
              <w:t>.</w:t>
            </w:r>
          </w:p>
        </w:tc>
        <w:tc>
          <w:tcPr>
            <w:tcW w:w="4109" w:type="dxa"/>
          </w:tcPr>
          <w:p w:rsidR="002E47C9" w:rsidRDefault="002E47C9" w:rsidP="0007123E">
            <w:pPr>
              <w:pStyle w:val="Source"/>
              <w:keepNext/>
              <w:spacing w:before="80"/>
              <w:ind w:left="567"/>
            </w:pPr>
            <w:r>
              <w:t xml:space="preserve">Source: </w:t>
            </w:r>
            <w:r w:rsidR="000E1004">
              <w:t>ABS, Commonwealth and state budget papers</w:t>
            </w:r>
            <w:r w:rsidR="00F54CB8">
              <w:t xml:space="preserve"> and</w:t>
            </w:r>
            <w:r w:rsidR="000E1004">
              <w:t xml:space="preserve"> PBO analysis</w:t>
            </w:r>
            <w:r w:rsidR="007966BE">
              <w:t>.</w:t>
            </w:r>
          </w:p>
        </w:tc>
      </w:tr>
    </w:tbl>
    <w:p w:rsidR="00F33D1F" w:rsidRPr="00DB1201" w:rsidRDefault="0002283E" w:rsidP="00443EA9">
      <w:pPr>
        <w:pStyle w:val="BodyText17ptAbove"/>
        <w:rPr>
          <w:spacing w:val="-3"/>
        </w:rPr>
      </w:pPr>
      <w:r w:rsidRPr="00DB1201">
        <w:rPr>
          <w:rStyle w:val="BodyTextChar"/>
          <w:spacing w:val="-3"/>
        </w:rPr>
        <w:lastRenderedPageBreak/>
        <w:t>Around three quarters</w:t>
      </w:r>
      <w:r w:rsidRPr="00DB1201">
        <w:rPr>
          <w:spacing w:val="-3"/>
        </w:rPr>
        <w:t xml:space="preserve"> </w:t>
      </w:r>
      <w:r w:rsidR="00660C51" w:rsidRPr="00DB1201">
        <w:rPr>
          <w:spacing w:val="-3"/>
        </w:rPr>
        <w:t>of the</w:t>
      </w:r>
      <w:r w:rsidR="00CA202D" w:rsidRPr="00DB1201">
        <w:rPr>
          <w:spacing w:val="-3"/>
        </w:rPr>
        <w:t xml:space="preserve"> improvement</w:t>
      </w:r>
      <w:r w:rsidR="00E45FF2" w:rsidRPr="00DB1201">
        <w:rPr>
          <w:spacing w:val="-3"/>
        </w:rPr>
        <w:t xml:space="preserve"> in the national net operating balance</w:t>
      </w:r>
      <w:r w:rsidR="00660C51" w:rsidRPr="00DB1201">
        <w:rPr>
          <w:spacing w:val="-3"/>
        </w:rPr>
        <w:t xml:space="preserve"> </w:t>
      </w:r>
      <w:r w:rsidR="002A08F9" w:rsidRPr="00DB1201">
        <w:rPr>
          <w:spacing w:val="-3"/>
        </w:rPr>
        <w:t xml:space="preserve">is due to an upward revision </w:t>
      </w:r>
      <w:r w:rsidR="00B06467" w:rsidRPr="00DB1201">
        <w:rPr>
          <w:spacing w:val="-3"/>
        </w:rPr>
        <w:t xml:space="preserve">of </w:t>
      </w:r>
      <w:r w:rsidR="008147E1" w:rsidRPr="00DB1201">
        <w:rPr>
          <w:spacing w:val="-3"/>
        </w:rPr>
        <w:t>around </w:t>
      </w:r>
      <w:r w:rsidR="00B06467" w:rsidRPr="00DB1201">
        <w:rPr>
          <w:spacing w:val="-3"/>
        </w:rPr>
        <w:t>$15.</w:t>
      </w:r>
      <w:r w:rsidR="0079069C" w:rsidRPr="00DB1201">
        <w:rPr>
          <w:spacing w:val="-3"/>
        </w:rPr>
        <w:t xml:space="preserve">1 </w:t>
      </w:r>
      <w:r w:rsidR="00B06467" w:rsidRPr="00DB1201">
        <w:rPr>
          <w:spacing w:val="-3"/>
        </w:rPr>
        <w:t xml:space="preserve">billion </w:t>
      </w:r>
      <w:r w:rsidR="002A08F9" w:rsidRPr="00DB1201">
        <w:rPr>
          <w:spacing w:val="-3"/>
        </w:rPr>
        <w:t>in the Commonwealth net operating balance</w:t>
      </w:r>
      <w:r w:rsidR="0092586A" w:rsidRPr="00DB1201">
        <w:rPr>
          <w:spacing w:val="-3"/>
        </w:rPr>
        <w:t xml:space="preserve"> (</w:t>
      </w:r>
      <w:r w:rsidR="0092586A" w:rsidRPr="00DB1201">
        <w:rPr>
          <w:spacing w:val="-3"/>
        </w:rPr>
        <w:fldChar w:fldCharType="begin"/>
      </w:r>
      <w:r w:rsidR="0092586A" w:rsidRPr="00DB1201">
        <w:rPr>
          <w:spacing w:val="-3"/>
        </w:rPr>
        <w:instrText xml:space="preserve"> REF _Ref529189731 \h </w:instrText>
      </w:r>
      <w:r w:rsidR="00850DF6">
        <w:rPr>
          <w:spacing w:val="-3"/>
        </w:rPr>
        <w:instrText xml:space="preserve"> \* MERGEFORMAT </w:instrText>
      </w:r>
      <w:r w:rsidR="0092586A" w:rsidRPr="00DB1201">
        <w:rPr>
          <w:spacing w:val="-3"/>
        </w:rPr>
      </w:r>
      <w:r w:rsidR="0092586A" w:rsidRPr="00DB1201">
        <w:rPr>
          <w:spacing w:val="-3"/>
        </w:rPr>
        <w:fldChar w:fldCharType="separate"/>
      </w:r>
      <w:r w:rsidR="0070188F" w:rsidRPr="00DB1201">
        <w:rPr>
          <w:spacing w:val="-3"/>
        </w:rPr>
        <w:t>Figure 1–</w:t>
      </w:r>
      <w:r w:rsidR="0070188F" w:rsidRPr="00DB1201">
        <w:rPr>
          <w:noProof/>
          <w:spacing w:val="-3"/>
        </w:rPr>
        <w:t>2</w:t>
      </w:r>
      <w:r w:rsidR="0092586A" w:rsidRPr="00DB1201">
        <w:rPr>
          <w:spacing w:val="-3"/>
        </w:rPr>
        <w:fldChar w:fldCharType="end"/>
      </w:r>
      <w:r w:rsidR="00A72ECE" w:rsidRPr="00DB1201">
        <w:rPr>
          <w:spacing w:val="-3"/>
        </w:rPr>
        <w:t>)</w:t>
      </w:r>
      <w:r w:rsidR="00D5757A" w:rsidRPr="00DB1201">
        <w:rPr>
          <w:spacing w:val="-3"/>
        </w:rPr>
        <w:t>, mainly reflecting a</w:t>
      </w:r>
      <w:r w:rsidR="00F33D1F" w:rsidRPr="00DB1201">
        <w:rPr>
          <w:spacing w:val="-3"/>
        </w:rPr>
        <w:t xml:space="preserve"> decrease in Commonwealth spending in 2018–19 </w:t>
      </w:r>
      <w:r w:rsidR="00D5757A" w:rsidRPr="00DB1201">
        <w:rPr>
          <w:spacing w:val="-3"/>
        </w:rPr>
        <w:t>due to lower-than-expected</w:t>
      </w:r>
      <w:r w:rsidR="005705AA" w:rsidRPr="00DB1201">
        <w:rPr>
          <w:spacing w:val="-3"/>
        </w:rPr>
        <w:t xml:space="preserve"> spending on the National Disability Insurance Scheme (NDIS)</w:t>
      </w:r>
      <w:r w:rsidR="00F33D1F" w:rsidRPr="00DB1201">
        <w:rPr>
          <w:spacing w:val="-3"/>
        </w:rPr>
        <w:t xml:space="preserve">. </w:t>
      </w:r>
      <w:r w:rsidR="00381FCA" w:rsidRPr="00DB1201">
        <w:rPr>
          <w:spacing w:val="-3"/>
        </w:rPr>
        <w:t xml:space="preserve"> </w:t>
      </w:r>
      <w:r w:rsidR="00D5757A" w:rsidRPr="00DB1201">
        <w:rPr>
          <w:spacing w:val="-3"/>
        </w:rPr>
        <w:t>Commonwealth expenses were also revised downward o</w:t>
      </w:r>
      <w:r w:rsidR="00F33D1F" w:rsidRPr="00DB1201">
        <w:rPr>
          <w:spacing w:val="-3"/>
        </w:rPr>
        <w:t xml:space="preserve">ver the </w:t>
      </w:r>
      <w:r w:rsidR="00E033B8" w:rsidRPr="00DB1201">
        <w:rPr>
          <w:spacing w:val="-3"/>
        </w:rPr>
        <w:t>following three years</w:t>
      </w:r>
      <w:r w:rsidR="00F33D1F" w:rsidRPr="00DB1201">
        <w:rPr>
          <w:spacing w:val="-3"/>
        </w:rPr>
        <w:t xml:space="preserve">, </w:t>
      </w:r>
      <w:r w:rsidR="00D5757A" w:rsidRPr="00DB1201">
        <w:rPr>
          <w:spacing w:val="-3"/>
        </w:rPr>
        <w:t>mainly driven by</w:t>
      </w:r>
      <w:r w:rsidR="005705AA" w:rsidRPr="00DB1201">
        <w:rPr>
          <w:spacing w:val="-3"/>
        </w:rPr>
        <w:t xml:space="preserve"> reduced public debt interest payments, refle</w:t>
      </w:r>
      <w:r w:rsidR="00F33D1F" w:rsidRPr="00DB1201">
        <w:rPr>
          <w:spacing w:val="-3"/>
        </w:rPr>
        <w:t xml:space="preserve">cting both </w:t>
      </w:r>
      <w:r w:rsidRPr="00DB1201">
        <w:rPr>
          <w:spacing w:val="-3"/>
        </w:rPr>
        <w:t xml:space="preserve">a </w:t>
      </w:r>
      <w:r w:rsidR="00F33D1F" w:rsidRPr="00DB1201">
        <w:rPr>
          <w:spacing w:val="-3"/>
        </w:rPr>
        <w:t xml:space="preserve">lower bond yield assumption and the </w:t>
      </w:r>
      <w:r w:rsidR="00F61AD3" w:rsidRPr="00DB1201">
        <w:rPr>
          <w:spacing w:val="-3"/>
        </w:rPr>
        <w:t>improved budget position</w:t>
      </w:r>
      <w:r w:rsidR="005705AA" w:rsidRPr="00DB1201">
        <w:rPr>
          <w:spacing w:val="-3"/>
        </w:rPr>
        <w:t xml:space="preserve">. </w:t>
      </w:r>
    </w:p>
    <w:p w:rsidR="00FB6D69" w:rsidRPr="00FB6D69" w:rsidRDefault="00D5757A" w:rsidP="00F33D1F">
      <w:pPr>
        <w:pStyle w:val="BodyText"/>
      </w:pPr>
      <w:r>
        <w:t>An</w:t>
      </w:r>
      <w:r w:rsidR="00F33D1F">
        <w:t xml:space="preserve"> increase in </w:t>
      </w:r>
      <w:r w:rsidR="002D313C">
        <w:t xml:space="preserve">expected </w:t>
      </w:r>
      <w:r w:rsidR="00F33D1F">
        <w:t>Commonwealth revenue</w:t>
      </w:r>
      <w:r w:rsidR="00417ECB">
        <w:t xml:space="preserve"> </w:t>
      </w:r>
      <w:r w:rsidR="009752B8">
        <w:t>in 2018</w:t>
      </w:r>
      <w:r w:rsidR="00581BA8">
        <w:t>–</w:t>
      </w:r>
      <w:r w:rsidR="009752B8">
        <w:t>19 and 2019</w:t>
      </w:r>
      <w:r w:rsidR="00581BA8">
        <w:t>–</w:t>
      </w:r>
      <w:r w:rsidR="009752B8">
        <w:t xml:space="preserve">20 </w:t>
      </w:r>
      <w:r w:rsidR="00E67014">
        <w:t xml:space="preserve">has </w:t>
      </w:r>
      <w:r w:rsidR="00417ECB">
        <w:t>also contributed to the improvement in the net operating balance,</w:t>
      </w:r>
      <w:r w:rsidR="00F33D1F">
        <w:t xml:space="preserve"> mainly due to upward revisions to </w:t>
      </w:r>
      <w:r w:rsidR="00F33D1F" w:rsidRPr="00F33D1F">
        <w:t>personal income tax, company tax and superannuation fund taxes</w:t>
      </w:r>
      <w:r w:rsidR="00F33D1F">
        <w:t>.</w:t>
      </w:r>
      <w:r w:rsidR="00F33D1F" w:rsidRPr="005705AA">
        <w:t xml:space="preserve"> </w:t>
      </w:r>
      <w:r w:rsidR="00381FCA">
        <w:t xml:space="preserve"> </w:t>
      </w:r>
      <w:r w:rsidR="00F33D1F">
        <w:t xml:space="preserve">In </w:t>
      </w:r>
      <w:r w:rsidR="00E45FF2">
        <w:t>2020</w:t>
      </w:r>
      <w:r w:rsidR="00581BA8">
        <w:t>–</w:t>
      </w:r>
      <w:r w:rsidR="00E45FF2">
        <w:t>21 and 2021</w:t>
      </w:r>
      <w:r w:rsidR="00581BA8">
        <w:t>–</w:t>
      </w:r>
      <w:r w:rsidR="00E45FF2">
        <w:t>22</w:t>
      </w:r>
      <w:r w:rsidR="00F33D1F" w:rsidRPr="00F33D1F">
        <w:t xml:space="preserve">, </w:t>
      </w:r>
      <w:r w:rsidR="00CA202D" w:rsidRPr="00F33D1F">
        <w:t>re</w:t>
      </w:r>
      <w:r w:rsidR="00CA202D">
        <w:t xml:space="preserve">venue </w:t>
      </w:r>
      <w:r w:rsidR="00F33D1F" w:rsidRPr="00FB6D69">
        <w:t>ha</w:t>
      </w:r>
      <w:r w:rsidR="00CA202D">
        <w:t>s</w:t>
      </w:r>
      <w:r w:rsidR="00F33D1F" w:rsidRPr="00FB6D69">
        <w:t xml:space="preserve"> been revised downward, </w:t>
      </w:r>
      <w:r w:rsidR="00BC283C">
        <w:t>mainly due to</w:t>
      </w:r>
      <w:r w:rsidR="00417ECB">
        <w:t xml:space="preserve"> the </w:t>
      </w:r>
      <w:r w:rsidR="0082346C">
        <w:t xml:space="preserve">Commonwealth </w:t>
      </w:r>
      <w:r w:rsidR="00417ECB" w:rsidRPr="00417ECB">
        <w:t xml:space="preserve">Government’s second round of </w:t>
      </w:r>
      <w:r w:rsidR="00417ECB">
        <w:t>personal income tax cuts</w:t>
      </w:r>
      <w:r w:rsidR="00064E4D" w:rsidRPr="00FB6D69">
        <w:t xml:space="preserve">. </w:t>
      </w:r>
    </w:p>
    <w:p w:rsidR="008F6607" w:rsidRPr="00485F5D" w:rsidRDefault="00064E4D" w:rsidP="00F33D1F">
      <w:pPr>
        <w:pStyle w:val="BodyText"/>
      </w:pPr>
      <w:r w:rsidRPr="00485F5D">
        <w:t xml:space="preserve">Commonwealth </w:t>
      </w:r>
      <w:r w:rsidR="00FB6D69" w:rsidRPr="00485F5D">
        <w:t>revenue and expenses</w:t>
      </w:r>
      <w:r w:rsidRPr="00485F5D">
        <w:t xml:space="preserve"> relating to </w:t>
      </w:r>
      <w:r w:rsidR="00CA202D" w:rsidRPr="00485F5D">
        <w:t xml:space="preserve">the </w:t>
      </w:r>
      <w:r w:rsidRPr="00485F5D">
        <w:t xml:space="preserve">goods and services tax (GST) have </w:t>
      </w:r>
      <w:r w:rsidR="00FB6D69" w:rsidRPr="00485F5D">
        <w:t>both</w:t>
      </w:r>
      <w:r w:rsidRPr="00485F5D">
        <w:t xml:space="preserve"> </w:t>
      </w:r>
      <w:r w:rsidR="00FB6D69" w:rsidRPr="00485F5D">
        <w:t xml:space="preserve">been </w:t>
      </w:r>
      <w:r w:rsidRPr="00485F5D">
        <w:t>revised downward over the forward estimates</w:t>
      </w:r>
      <w:r w:rsidR="00FB6D69" w:rsidRPr="00485F5D">
        <w:t>, reflecting downward revisions to the forecast gr</w:t>
      </w:r>
      <w:r w:rsidR="006D7A31" w:rsidRPr="00485F5D">
        <w:t xml:space="preserve">owth in prices and consumption.  </w:t>
      </w:r>
      <w:r w:rsidR="00417ECB" w:rsidRPr="00485F5D">
        <w:t xml:space="preserve">As the revisions to </w:t>
      </w:r>
      <w:r w:rsidR="000F17B6" w:rsidRPr="00485F5D">
        <w:t xml:space="preserve">Commonwealth </w:t>
      </w:r>
      <w:r w:rsidR="00417ECB" w:rsidRPr="00485F5D">
        <w:t xml:space="preserve">revenue and expenses are offsetting, </w:t>
      </w:r>
      <w:r w:rsidR="0002283E" w:rsidRPr="00485F5D">
        <w:t>t</w:t>
      </w:r>
      <w:r w:rsidR="00FB6D69" w:rsidRPr="00485F5D">
        <w:t>his has had no net effect o</w:t>
      </w:r>
      <w:r w:rsidR="00417ECB" w:rsidRPr="00485F5D">
        <w:t>n</w:t>
      </w:r>
      <w:r w:rsidR="00FB6D69" w:rsidRPr="00485F5D">
        <w:t xml:space="preserve"> the </w:t>
      </w:r>
      <w:r w:rsidR="00B423EF" w:rsidRPr="00485F5D">
        <w:t xml:space="preserve">Commonwealth’s </w:t>
      </w:r>
      <w:r w:rsidR="006D7A31" w:rsidRPr="00485F5D">
        <w:t>net operating balance</w:t>
      </w:r>
      <w:r w:rsidR="0002283E" w:rsidRPr="00485F5D">
        <w:t xml:space="preserve">, </w:t>
      </w:r>
      <w:r w:rsidR="00417ECB" w:rsidRPr="00485F5D">
        <w:t xml:space="preserve">however </w:t>
      </w:r>
      <w:r w:rsidR="00E00AEC" w:rsidRPr="00485F5D">
        <w:t>the decline will reduce state revenue</w:t>
      </w:r>
      <w:r w:rsidR="00B423EF" w:rsidRPr="00485F5D">
        <w:t xml:space="preserve"> and therefore the national net operating balance.  A number of changes to</w:t>
      </w:r>
      <w:r w:rsidR="00485F5D">
        <w:br/>
      </w:r>
      <w:r w:rsidR="00B423EF" w:rsidRPr="00485F5D">
        <w:t xml:space="preserve">the distribution of the GST pool will be implemented over the forward estimates </w:t>
      </w:r>
      <w:proofErr w:type="gramStart"/>
      <w:r w:rsidR="00B423EF" w:rsidRPr="00485F5D">
        <w:t>period</w:t>
      </w:r>
      <w:proofErr w:type="gramEnd"/>
      <w:r w:rsidR="00485F5D">
        <w:br/>
      </w:r>
      <w:r w:rsidR="000632C8" w:rsidRPr="00485F5D">
        <w:t>(see</w:t>
      </w:r>
      <w:r w:rsidR="00BB53E9" w:rsidRPr="00485F5D">
        <w:t xml:space="preserve"> </w:t>
      </w:r>
      <w:r w:rsidR="0082346C" w:rsidRPr="00485F5D">
        <w:t>S</w:t>
      </w:r>
      <w:r w:rsidR="00BB53E9" w:rsidRPr="00485F5D">
        <w:t>ection </w:t>
      </w:r>
      <w:r w:rsidR="00BB53E9" w:rsidRPr="00331B3A">
        <w:fldChar w:fldCharType="begin"/>
      </w:r>
      <w:r w:rsidR="00BB53E9" w:rsidRPr="00485F5D">
        <w:instrText xml:space="preserve"> REF _Ref23868065 \r \h </w:instrText>
      </w:r>
      <w:r w:rsidR="00850DF6" w:rsidRPr="00DB1201">
        <w:instrText xml:space="preserve"> \* MERGEFORMAT </w:instrText>
      </w:r>
      <w:r w:rsidR="00BB53E9" w:rsidRPr="00331B3A">
        <w:fldChar w:fldCharType="separate"/>
      </w:r>
      <w:r w:rsidR="0070188F">
        <w:t>2.2.1</w:t>
      </w:r>
      <w:r w:rsidR="00BB53E9" w:rsidRPr="00331B3A">
        <w:fldChar w:fldCharType="end"/>
      </w:r>
      <w:r w:rsidR="000632C8" w:rsidRPr="00485F5D">
        <w:t>)</w:t>
      </w:r>
      <w:r w:rsidR="002016B1" w:rsidRPr="00485F5D">
        <w:t>.</w:t>
      </w:r>
      <w:r w:rsidR="00175A31" w:rsidRPr="00485F5D">
        <w:t xml:space="preserve">  </w:t>
      </w:r>
    </w:p>
    <w:p w:rsidR="009C0D7B" w:rsidRPr="00F71562" w:rsidRDefault="00ED32CC" w:rsidP="00023F62">
      <w:pPr>
        <w:pStyle w:val="ListBullet"/>
        <w:numPr>
          <w:ilvl w:val="0"/>
          <w:numId w:val="0"/>
        </w:numPr>
        <w:spacing w:line="290" w:lineRule="atLeast"/>
      </w:pPr>
      <w:r>
        <w:t xml:space="preserve">The rest of the improvement in the national net operating balance since </w:t>
      </w:r>
      <w:r w:rsidR="0063755F">
        <w:t>last year</w:t>
      </w:r>
      <w:r w:rsidR="00E45FF2">
        <w:t>’s outlook</w:t>
      </w:r>
      <w:r>
        <w:t xml:space="preserve"> is</w:t>
      </w:r>
      <w:r w:rsidR="00850DF6">
        <w:br/>
      </w:r>
      <w:r>
        <w:t>due to a</w:t>
      </w:r>
      <w:r w:rsidR="00F53AC1">
        <w:t>n</w:t>
      </w:r>
      <w:r>
        <w:t xml:space="preserve"> </w:t>
      </w:r>
      <w:r w:rsidR="00F53AC1">
        <w:t>upward</w:t>
      </w:r>
      <w:r>
        <w:t xml:space="preserve"> revision</w:t>
      </w:r>
      <w:r w:rsidR="00B06467">
        <w:t xml:space="preserve"> of</w:t>
      </w:r>
      <w:r w:rsidR="0051732E">
        <w:t xml:space="preserve"> </w:t>
      </w:r>
      <w:r w:rsidR="00B06467">
        <w:t>$5.7 billion</w:t>
      </w:r>
      <w:r>
        <w:t xml:space="preserve"> in the aggregate net operating balance of state</w:t>
      </w:r>
      <w:r w:rsidR="00B74AAE">
        <w:t>s</w:t>
      </w:r>
      <w:r>
        <w:t xml:space="preserve"> and local </w:t>
      </w:r>
      <w:r w:rsidRPr="009C0D7B">
        <w:t xml:space="preserve">governments </w:t>
      </w:r>
      <w:r w:rsidR="00B06467" w:rsidRPr="00F71562">
        <w:t xml:space="preserve">for the period 2018–19 to 2021–22 </w:t>
      </w:r>
      <w:r w:rsidR="009C0D7B" w:rsidRPr="00F71562">
        <w:t>(Figure</w:t>
      </w:r>
      <w:r w:rsidR="00421077" w:rsidRPr="00F71562">
        <w:t> </w:t>
      </w:r>
      <w:r w:rsidR="009C0D7B" w:rsidRPr="00F71562">
        <w:rPr>
          <w:noProof/>
        </w:rPr>
        <w:t>1</w:t>
      </w:r>
      <w:r w:rsidR="0002283E">
        <w:t>–</w:t>
      </w:r>
      <w:r w:rsidR="009C0D7B" w:rsidRPr="00F71562">
        <w:rPr>
          <w:noProof/>
        </w:rPr>
        <w:t>2)</w:t>
      </w:r>
      <w:r w:rsidRPr="00F71562">
        <w:t>.</w:t>
      </w:r>
      <w:r w:rsidR="00B06467">
        <w:t xml:space="preserve">  </w:t>
      </w:r>
      <w:r w:rsidR="0013739C">
        <w:t xml:space="preserve">Upwards revisions to projected state </w:t>
      </w:r>
      <w:r w:rsidR="00E956BB">
        <w:t xml:space="preserve">and local government </w:t>
      </w:r>
      <w:r w:rsidR="0013739C">
        <w:t>revenue more than offset upwards revisions to their expenses.</w:t>
      </w:r>
    </w:p>
    <w:p w:rsidR="002335C4" w:rsidRPr="00DB1201" w:rsidRDefault="0013739C" w:rsidP="00023F62">
      <w:pPr>
        <w:pStyle w:val="ListBullet"/>
        <w:numPr>
          <w:ilvl w:val="0"/>
          <w:numId w:val="0"/>
        </w:numPr>
        <w:spacing w:line="290" w:lineRule="atLeast"/>
        <w:rPr>
          <w:rFonts w:cs="Times New Roman (Body CS)"/>
          <w:color w:val="C64E45" w:themeColor="accent2"/>
          <w:spacing w:val="-3"/>
        </w:rPr>
      </w:pPr>
      <w:r w:rsidRPr="00DB1201">
        <w:rPr>
          <w:rFonts w:cs="Times New Roman (Body CS)"/>
          <w:spacing w:val="-3"/>
        </w:rPr>
        <w:t>Upwards revisions to projected state revenue since the previous outlook are</w:t>
      </w:r>
      <w:r w:rsidR="0031588A" w:rsidRPr="00DB1201">
        <w:rPr>
          <w:rFonts w:cs="Times New Roman (Body CS)"/>
          <w:spacing w:val="-3"/>
        </w:rPr>
        <w:t xml:space="preserve"> driven by higher forecast revenue in Queensland and Western Australia</w:t>
      </w:r>
      <w:r w:rsidR="0051732E" w:rsidRPr="00DB1201">
        <w:rPr>
          <w:rFonts w:cs="Times New Roman (Body CS)"/>
          <w:spacing w:val="-3"/>
        </w:rPr>
        <w:t xml:space="preserve">.  </w:t>
      </w:r>
      <w:r w:rsidR="0031588A" w:rsidRPr="00DB1201">
        <w:rPr>
          <w:rFonts w:cs="Times New Roman (Body CS)"/>
          <w:spacing w:val="-3"/>
        </w:rPr>
        <w:t>In Queensland</w:t>
      </w:r>
      <w:r w:rsidR="0051732E" w:rsidRPr="00DB1201">
        <w:rPr>
          <w:rFonts w:cs="Times New Roman (Body CS)"/>
          <w:spacing w:val="-3"/>
        </w:rPr>
        <w:t xml:space="preserve"> </w:t>
      </w:r>
      <w:r w:rsidR="007340A7" w:rsidRPr="00DB1201">
        <w:rPr>
          <w:rFonts w:cs="Times New Roman (Body CS)"/>
          <w:spacing w:val="-3"/>
        </w:rPr>
        <w:t>the upward revision is</w:t>
      </w:r>
      <w:r w:rsidR="0051732E" w:rsidRPr="00DB1201">
        <w:rPr>
          <w:rFonts w:cs="Times New Roman (Body CS)"/>
          <w:spacing w:val="-3"/>
        </w:rPr>
        <w:t xml:space="preserve"> </w:t>
      </w:r>
      <w:r w:rsidR="007E2077" w:rsidRPr="00DB1201">
        <w:rPr>
          <w:rFonts w:cs="Times New Roman (Body CS)"/>
          <w:spacing w:val="-3"/>
        </w:rPr>
        <w:t xml:space="preserve">primarily </w:t>
      </w:r>
      <w:r w:rsidR="00502179" w:rsidRPr="00DB1201">
        <w:rPr>
          <w:rFonts w:cs="Times New Roman (Body CS)"/>
          <w:spacing w:val="-3"/>
        </w:rPr>
        <w:t>the result of</w:t>
      </w:r>
      <w:r w:rsidR="002B11CD" w:rsidRPr="00DB1201">
        <w:rPr>
          <w:rFonts w:cs="Times New Roman (Body CS)"/>
          <w:spacing w:val="-3"/>
        </w:rPr>
        <w:t xml:space="preserve"> higher royalty revenue</w:t>
      </w:r>
      <w:r w:rsidR="001639F7" w:rsidRPr="00DB1201">
        <w:rPr>
          <w:rFonts w:cs="Times New Roman (Body CS)"/>
          <w:spacing w:val="-3"/>
        </w:rPr>
        <w:t>,</w:t>
      </w:r>
      <w:r w:rsidR="002B11CD" w:rsidRPr="00DB1201">
        <w:rPr>
          <w:rFonts w:cs="Times New Roman (Body CS)"/>
          <w:spacing w:val="-3"/>
        </w:rPr>
        <w:t xml:space="preserve"> </w:t>
      </w:r>
      <w:r w:rsidR="001639F7" w:rsidRPr="00DB1201">
        <w:rPr>
          <w:rFonts w:cs="Times New Roman (Body CS)"/>
          <w:spacing w:val="-3"/>
        </w:rPr>
        <w:t xml:space="preserve">due to </w:t>
      </w:r>
      <w:r w:rsidR="002B11CD" w:rsidRPr="00DB1201">
        <w:rPr>
          <w:rFonts w:cs="Times New Roman (Body CS)"/>
          <w:spacing w:val="-3"/>
        </w:rPr>
        <w:t>coal prices</w:t>
      </w:r>
      <w:r w:rsidR="00F5323D" w:rsidRPr="00DB1201">
        <w:rPr>
          <w:rFonts w:cs="Times New Roman (Body CS)"/>
          <w:spacing w:val="-3"/>
        </w:rPr>
        <w:t xml:space="preserve"> remaining higher than expected in 2018–19</w:t>
      </w:r>
      <w:r w:rsidR="001639F7" w:rsidRPr="00DB1201">
        <w:rPr>
          <w:rFonts w:cs="Times New Roman (Body CS)"/>
          <w:spacing w:val="-3"/>
        </w:rPr>
        <w:t xml:space="preserve">, in combination with </w:t>
      </w:r>
      <w:r w:rsidR="0002283E" w:rsidRPr="00DB1201">
        <w:rPr>
          <w:rFonts w:cs="Times New Roman (Body CS)"/>
          <w:spacing w:val="-3"/>
        </w:rPr>
        <w:t>new policies</w:t>
      </w:r>
      <w:r w:rsidR="00DA5125" w:rsidRPr="00DB1201">
        <w:rPr>
          <w:rFonts w:cs="Times New Roman (Body CS)"/>
          <w:spacing w:val="-3"/>
        </w:rPr>
        <w:t xml:space="preserve"> related to </w:t>
      </w:r>
      <w:r w:rsidR="00F5323D" w:rsidRPr="00DB1201">
        <w:rPr>
          <w:rFonts w:cs="Times New Roman (Body CS)"/>
          <w:spacing w:val="-3"/>
        </w:rPr>
        <w:t>land tax and</w:t>
      </w:r>
      <w:r w:rsidR="001639F7" w:rsidRPr="00DB1201">
        <w:rPr>
          <w:rFonts w:cs="Times New Roman (Body CS)"/>
          <w:spacing w:val="-3"/>
        </w:rPr>
        <w:t xml:space="preserve"> petr</w:t>
      </w:r>
      <w:r w:rsidR="00DA5125" w:rsidRPr="00DB1201">
        <w:rPr>
          <w:rFonts w:cs="Times New Roman (Body CS)"/>
          <w:spacing w:val="-3"/>
        </w:rPr>
        <w:t>oleum royalt</w:t>
      </w:r>
      <w:r w:rsidR="00F5323D" w:rsidRPr="00DB1201">
        <w:rPr>
          <w:rFonts w:cs="Times New Roman (Body CS)"/>
          <w:spacing w:val="-3"/>
        </w:rPr>
        <w:t>ies</w:t>
      </w:r>
      <w:r w:rsidR="002B11CD" w:rsidRPr="00DB1201">
        <w:rPr>
          <w:rFonts w:cs="Times New Roman (Body CS)"/>
          <w:spacing w:val="-3"/>
        </w:rPr>
        <w:t>.</w:t>
      </w:r>
      <w:r w:rsidR="007E2077" w:rsidRPr="00DB1201">
        <w:rPr>
          <w:rFonts w:cs="Times New Roman (Body CS)"/>
          <w:spacing w:val="-3"/>
        </w:rPr>
        <w:t xml:space="preserve"> </w:t>
      </w:r>
      <w:r w:rsidR="00B23D42" w:rsidRPr="00DB1201">
        <w:rPr>
          <w:rFonts w:cs="Times New Roman (Body CS)"/>
          <w:spacing w:val="-3"/>
        </w:rPr>
        <w:t xml:space="preserve"> </w:t>
      </w:r>
      <w:r w:rsidR="00A42A2D" w:rsidRPr="00DB1201">
        <w:rPr>
          <w:rFonts w:cs="Times New Roman (Body CS)"/>
          <w:spacing w:val="-3"/>
        </w:rPr>
        <w:t xml:space="preserve">The upward revision in Western Australia </w:t>
      </w:r>
      <w:r w:rsidR="00502179" w:rsidRPr="00DB1201">
        <w:rPr>
          <w:rFonts w:cs="Times New Roman (Body CS)"/>
          <w:spacing w:val="-3"/>
        </w:rPr>
        <w:t>is also attributable to</w:t>
      </w:r>
      <w:r w:rsidR="00A42A2D" w:rsidRPr="00DB1201">
        <w:rPr>
          <w:rFonts w:cs="Times New Roman (Body CS)"/>
          <w:spacing w:val="-3"/>
        </w:rPr>
        <w:t xml:space="preserve"> higher</w:t>
      </w:r>
      <w:r w:rsidR="00EB2B99" w:rsidRPr="00DB1201">
        <w:rPr>
          <w:rFonts w:cs="Times New Roman (Body CS)"/>
          <w:spacing w:val="-3"/>
        </w:rPr>
        <w:t>-</w:t>
      </w:r>
      <w:r w:rsidR="00A42A2D" w:rsidRPr="00DB1201">
        <w:rPr>
          <w:rFonts w:cs="Times New Roman (Body CS)"/>
          <w:spacing w:val="-3"/>
        </w:rPr>
        <w:t>than</w:t>
      </w:r>
      <w:r w:rsidR="00EB2B99" w:rsidRPr="00DB1201">
        <w:rPr>
          <w:rFonts w:cs="Times New Roman (Body CS)"/>
          <w:spacing w:val="-3"/>
        </w:rPr>
        <w:t>-</w:t>
      </w:r>
      <w:r w:rsidR="00A42A2D" w:rsidRPr="00DB1201">
        <w:rPr>
          <w:rFonts w:cs="Times New Roman (Body CS)"/>
          <w:spacing w:val="-3"/>
        </w:rPr>
        <w:t>expected royalty revenue, due to continued strength in iron ore prices.</w:t>
      </w:r>
      <w:r w:rsidR="00B423EF" w:rsidRPr="00DB1201">
        <w:rPr>
          <w:rFonts w:cs="Times New Roman (Body CS)"/>
          <w:spacing w:val="-3"/>
        </w:rPr>
        <w:t xml:space="preserve">  </w:t>
      </w:r>
      <w:r w:rsidR="00BB53E9" w:rsidRPr="00DB1201">
        <w:rPr>
          <w:rFonts w:cs="Times New Roman (Body CS)"/>
          <w:spacing w:val="-3"/>
        </w:rPr>
        <w:t>Section </w:t>
      </w:r>
      <w:r w:rsidR="00BB53E9" w:rsidRPr="00DB1201">
        <w:rPr>
          <w:rFonts w:cs="Times New Roman (Body CS)"/>
          <w:spacing w:val="-3"/>
        </w:rPr>
        <w:fldChar w:fldCharType="begin"/>
      </w:r>
      <w:r w:rsidR="00BB53E9" w:rsidRPr="00DB1201">
        <w:rPr>
          <w:rFonts w:cs="Times New Roman (Body CS)"/>
          <w:spacing w:val="-3"/>
        </w:rPr>
        <w:instrText xml:space="preserve"> REF _Ref23868065 \r \h </w:instrText>
      </w:r>
      <w:r w:rsidR="00850DF6">
        <w:rPr>
          <w:rFonts w:cs="Times New Roman (Body CS)"/>
          <w:spacing w:val="-3"/>
        </w:rPr>
        <w:instrText xml:space="preserve"> \* MERGEFORMAT </w:instrText>
      </w:r>
      <w:r w:rsidR="00BB53E9" w:rsidRPr="00DB1201">
        <w:rPr>
          <w:rFonts w:cs="Times New Roman (Body CS)"/>
          <w:spacing w:val="-3"/>
        </w:rPr>
      </w:r>
      <w:r w:rsidR="00BB53E9" w:rsidRPr="00DB1201">
        <w:rPr>
          <w:rFonts w:cs="Times New Roman (Body CS)"/>
          <w:spacing w:val="-3"/>
        </w:rPr>
        <w:fldChar w:fldCharType="separate"/>
      </w:r>
      <w:r w:rsidR="0070188F">
        <w:rPr>
          <w:rFonts w:cs="Times New Roman (Body CS)"/>
          <w:spacing w:val="-3"/>
        </w:rPr>
        <w:t>2.2.1</w:t>
      </w:r>
      <w:r w:rsidR="00BB53E9" w:rsidRPr="00DB1201">
        <w:rPr>
          <w:rFonts w:cs="Times New Roman (Body CS)"/>
          <w:spacing w:val="-3"/>
        </w:rPr>
        <w:fldChar w:fldCharType="end"/>
      </w:r>
      <w:r w:rsidR="00B423EF" w:rsidRPr="00DB1201">
        <w:rPr>
          <w:rFonts w:cs="Times New Roman (Body CS)"/>
          <w:spacing w:val="-3"/>
        </w:rPr>
        <w:t xml:space="preserve"> provides further analysis of revisions to state revenue. </w:t>
      </w:r>
    </w:p>
    <w:p w:rsidR="0091723D" w:rsidRDefault="009D627C" w:rsidP="00023F62">
      <w:pPr>
        <w:pStyle w:val="BodyText"/>
        <w:spacing w:line="290" w:lineRule="atLeast"/>
      </w:pPr>
      <w:r>
        <w:t>The upwards revision</w:t>
      </w:r>
      <w:r w:rsidR="0082346C">
        <w:t>s</w:t>
      </w:r>
      <w:r>
        <w:t xml:space="preserve"> in expenses</w:t>
      </w:r>
      <w:r w:rsidR="000912EC">
        <w:t xml:space="preserve"> </w:t>
      </w:r>
      <w:r w:rsidR="00B74AAE">
        <w:t>are</w:t>
      </w:r>
      <w:r w:rsidR="00032FBE">
        <w:t xml:space="preserve"> </w:t>
      </w:r>
      <w:r>
        <w:t xml:space="preserve">partly due to a </w:t>
      </w:r>
      <w:r w:rsidR="00032FBE">
        <w:t>rise in depreciation expenses</w:t>
      </w:r>
      <w:r>
        <w:t xml:space="preserve"> in all states.</w:t>
      </w:r>
      <w:r w:rsidR="00850DF6">
        <w:br/>
      </w:r>
      <w:r>
        <w:t xml:space="preserve">This </w:t>
      </w:r>
      <w:r w:rsidR="00DC206D">
        <w:t>reflect</w:t>
      </w:r>
      <w:r>
        <w:t>s</w:t>
      </w:r>
      <w:r w:rsidR="00DC206D">
        <w:t xml:space="preserve"> a</w:t>
      </w:r>
      <w:r w:rsidR="00032FBE">
        <w:t xml:space="preserve"> </w:t>
      </w:r>
      <w:r w:rsidR="00DC206D">
        <w:t>one</w:t>
      </w:r>
      <w:r w:rsidR="00443EA9">
        <w:noBreakHyphen/>
      </w:r>
      <w:r w:rsidR="00DC206D">
        <w:t xml:space="preserve">off change to accounting standards which has resulted in </w:t>
      </w:r>
      <w:r w:rsidR="00032FBE">
        <w:t>additional depreciable assets being recognised (see Box 1).</w:t>
      </w:r>
      <w:r>
        <w:t xml:space="preserve">  </w:t>
      </w:r>
      <w:r w:rsidR="00DC206D">
        <w:t xml:space="preserve">The </w:t>
      </w:r>
      <w:r w:rsidR="001639F7">
        <w:t xml:space="preserve">upward revision in Queensland’s expenditure </w:t>
      </w:r>
      <w:r w:rsidR="00DC206D">
        <w:t xml:space="preserve">also </w:t>
      </w:r>
      <w:r w:rsidR="001639F7">
        <w:t xml:space="preserve">reflects the cost of </w:t>
      </w:r>
      <w:r w:rsidR="00F61AD3">
        <w:t xml:space="preserve">natural disaster </w:t>
      </w:r>
      <w:r w:rsidR="001639F7">
        <w:t>recovery efforts</w:t>
      </w:r>
      <w:r w:rsidR="00983182">
        <w:t xml:space="preserve">, increased education expenses </w:t>
      </w:r>
      <w:r w:rsidR="00E45FF2">
        <w:t>(</w:t>
      </w:r>
      <w:r w:rsidR="00983182">
        <w:t xml:space="preserve">reflecting student enrolment and </w:t>
      </w:r>
      <w:r w:rsidR="00DF55DF" w:rsidRPr="00DF55DF">
        <w:t>enterprise bargaining outcomes</w:t>
      </w:r>
      <w:r w:rsidR="00E45FF2">
        <w:t>)</w:t>
      </w:r>
      <w:r w:rsidR="00983182">
        <w:t xml:space="preserve">, and </w:t>
      </w:r>
      <w:r w:rsidR="00983182" w:rsidRPr="00983182">
        <w:t>growth in demand for public hospital and health services.</w:t>
      </w:r>
      <w:r w:rsidR="0091723D">
        <w:br w:type="page"/>
      </w:r>
    </w:p>
    <w:p w:rsidR="00282EA8" w:rsidRPr="00D740C6" w:rsidRDefault="00023F62" w:rsidP="00D740C6">
      <w:pPr>
        <w:pStyle w:val="Heading2"/>
      </w:pPr>
      <w:bookmarkStart w:id="16" w:name="_Toc24101674"/>
      <w:bookmarkStart w:id="17" w:name="_Toc24972232"/>
      <w:bookmarkStart w:id="18" w:name="_Toc24101675"/>
      <w:bookmarkStart w:id="19" w:name="_Toc25676866"/>
      <w:bookmarkEnd w:id="16"/>
      <w:bookmarkEnd w:id="17"/>
      <w:r w:rsidRPr="00D740C6">
        <w:lastRenderedPageBreak/>
        <w:t xml:space="preserve">Net </w:t>
      </w:r>
      <w:r w:rsidR="005746FD">
        <w:t>capital</w:t>
      </w:r>
      <w:r w:rsidR="002E47C9" w:rsidRPr="00D740C6">
        <w:t xml:space="preserve"> investment</w:t>
      </w:r>
      <w:bookmarkEnd w:id="18"/>
      <w:bookmarkEnd w:id="19"/>
    </w:p>
    <w:p w:rsidR="00AC3E47" w:rsidRDefault="00F943F5" w:rsidP="002C11AE">
      <w:pPr>
        <w:pStyle w:val="BodyText"/>
        <w:spacing w:line="290" w:lineRule="atLeast"/>
      </w:pPr>
      <w:r>
        <w:t>The level of n</w:t>
      </w:r>
      <w:r w:rsidR="00E9222A" w:rsidRPr="00DE26F2">
        <w:t>ational</w:t>
      </w:r>
      <w:r w:rsidR="001E7D78">
        <w:t xml:space="preserve"> net</w:t>
      </w:r>
      <w:r w:rsidR="00E9222A" w:rsidRPr="00DE26F2">
        <w:t xml:space="preserve"> </w:t>
      </w:r>
      <w:r w:rsidR="00230E4E">
        <w:t>infrastructure</w:t>
      </w:r>
      <w:r w:rsidR="00E9222A" w:rsidRPr="00DE26F2">
        <w:t xml:space="preserve"> investment</w:t>
      </w:r>
      <w:r w:rsidR="00230E4E">
        <w:t>,</w:t>
      </w:r>
      <w:r w:rsidR="0097649D">
        <w:t xml:space="preserve"> as</w:t>
      </w:r>
      <w:r w:rsidR="00230E4E">
        <w:t xml:space="preserve"> measured by net capital investment</w:t>
      </w:r>
      <w:r w:rsidR="00443EA9">
        <w:rPr>
          <w:rStyle w:val="FootnoteReference"/>
        </w:rPr>
        <w:footnoteReference w:id="4"/>
      </w:r>
      <w:proofErr w:type="gramStart"/>
      <w:r w:rsidR="00230E4E">
        <w:t>,</w:t>
      </w:r>
      <w:proofErr w:type="gramEnd"/>
      <w:r w:rsidR="00443EA9" w:rsidRPr="00443EA9">
        <w:rPr>
          <w:rStyle w:val="FootnoteReference"/>
        </w:rPr>
        <w:t xml:space="preserve"> </w:t>
      </w:r>
      <w:r w:rsidR="009A6016">
        <w:t>is at record levels and higher than those during the post</w:t>
      </w:r>
      <w:r w:rsidR="009A6016">
        <w:noBreakHyphen/>
        <w:t>GFC stimul</w:t>
      </w:r>
      <w:r>
        <w:t>us</w:t>
      </w:r>
      <w:r w:rsidR="009A6016">
        <w:t xml:space="preserve">. </w:t>
      </w:r>
      <w:r>
        <w:t xml:space="preserve"> </w:t>
      </w:r>
      <w:r w:rsidR="009A6016">
        <w:t>I</w:t>
      </w:r>
      <w:r w:rsidR="00F23AB0">
        <w:t>nfrastructure i</w:t>
      </w:r>
      <w:r w:rsidR="009A6016">
        <w:t xml:space="preserve">nvestment has been revised up by </w:t>
      </w:r>
      <w:r w:rsidR="00C075D7">
        <w:t xml:space="preserve">a total of </w:t>
      </w:r>
      <w:r w:rsidR="009A6016" w:rsidRPr="00DE26F2">
        <w:t>$</w:t>
      </w:r>
      <w:r w:rsidR="009A6016">
        <w:t>20.9 </w:t>
      </w:r>
      <w:r w:rsidR="009A6016" w:rsidRPr="00DE26F2">
        <w:t>billion for the period 201</w:t>
      </w:r>
      <w:r w:rsidR="009A6016">
        <w:t>8–</w:t>
      </w:r>
      <w:r w:rsidR="009A6016" w:rsidRPr="00DE26F2">
        <w:t>1</w:t>
      </w:r>
      <w:r w:rsidR="009A6016">
        <w:t>9</w:t>
      </w:r>
      <w:r w:rsidR="009A6016" w:rsidRPr="00DE26F2">
        <w:t xml:space="preserve"> to 20</w:t>
      </w:r>
      <w:r w:rsidR="009A6016">
        <w:t xml:space="preserve">21–22, largely due to an upward revision in state </w:t>
      </w:r>
      <w:r w:rsidR="007B10D6">
        <w:t xml:space="preserve">and local </w:t>
      </w:r>
      <w:r w:rsidR="009A6016">
        <w:t xml:space="preserve">net capital investment of $16.8 </w:t>
      </w:r>
      <w:r w:rsidR="009A6016" w:rsidRPr="00600B00">
        <w:t>billion</w:t>
      </w:r>
      <w:r w:rsidR="009A6016">
        <w:t xml:space="preserve"> (</w:t>
      </w:r>
      <w:r w:rsidR="005B7826">
        <w:t>Figures 1–3</w:t>
      </w:r>
      <w:r w:rsidR="00886480">
        <w:t>,</w:t>
      </w:r>
      <w:r w:rsidR="009A6016">
        <w:t xml:space="preserve"> 1–4).</w:t>
      </w:r>
      <w:r w:rsidR="00850DF6">
        <w:br/>
      </w:r>
      <w:r w:rsidR="009A6016">
        <w:t xml:space="preserve">Net investment in infrastructure </w:t>
      </w:r>
      <w:r w:rsidR="00E9222A" w:rsidRPr="00DE26F2">
        <w:t xml:space="preserve">is projected to </w:t>
      </w:r>
      <w:r w:rsidR="00D24919">
        <w:t xml:space="preserve">peak </w:t>
      </w:r>
      <w:r w:rsidR="009A6016">
        <w:t>at</w:t>
      </w:r>
      <w:r w:rsidR="00CA202D">
        <w:t xml:space="preserve"> </w:t>
      </w:r>
      <w:r w:rsidR="00D24919">
        <w:t>$37.9</w:t>
      </w:r>
      <w:r w:rsidR="00443EA9">
        <w:t> </w:t>
      </w:r>
      <w:r w:rsidR="00D24919">
        <w:t xml:space="preserve">billion in </w:t>
      </w:r>
      <w:r w:rsidR="00D24919" w:rsidRPr="00DE26F2">
        <w:t>201</w:t>
      </w:r>
      <w:r w:rsidR="00D24919">
        <w:t xml:space="preserve">9–20.  </w:t>
      </w:r>
      <w:r w:rsidR="005B7826">
        <w:t>As a share</w:t>
      </w:r>
      <w:r w:rsidR="00850DF6">
        <w:br/>
      </w:r>
      <w:r w:rsidR="005B7826">
        <w:t>of GDP, national net capital investment is projected to reach levels just below those recorded</w:t>
      </w:r>
      <w:r w:rsidR="00850DF6">
        <w:br/>
      </w:r>
      <w:r w:rsidR="005B7826">
        <w:t>during the GFC stimulus period.</w:t>
      </w:r>
    </w:p>
    <w:p w:rsidR="000401FB" w:rsidRPr="000E1004" w:rsidRDefault="00F353AC" w:rsidP="00B8768A">
      <w:pPr>
        <w:pStyle w:val="BodyText"/>
        <w:spacing w:after="240"/>
      </w:pPr>
      <w:r w:rsidRPr="00600B00">
        <w:t>Th</w:t>
      </w:r>
      <w:r w:rsidR="00AC3E47">
        <w:t>e</w:t>
      </w:r>
      <w:r w:rsidRPr="00600B00">
        <w:t xml:space="preserve"> </w:t>
      </w:r>
      <w:r w:rsidR="00244D7D" w:rsidRPr="00600B00">
        <w:t xml:space="preserve">substantial </w:t>
      </w:r>
      <w:r w:rsidRPr="00600B00">
        <w:t>increas</w:t>
      </w:r>
      <w:r w:rsidR="00AA5624" w:rsidRPr="00600B00">
        <w:t>e</w:t>
      </w:r>
      <w:r w:rsidRPr="00600B00">
        <w:t xml:space="preserve"> </w:t>
      </w:r>
      <w:r w:rsidR="00AC3E47">
        <w:t>in state net</w:t>
      </w:r>
      <w:r w:rsidR="003561F6">
        <w:t xml:space="preserve"> capital</w:t>
      </w:r>
      <w:r w:rsidR="00AC3E47">
        <w:t xml:space="preserve"> investment </w:t>
      </w:r>
      <w:r w:rsidR="00464252" w:rsidRPr="00600B00">
        <w:t xml:space="preserve">is </w:t>
      </w:r>
      <w:r w:rsidRPr="00600B00">
        <w:t xml:space="preserve">largely </w:t>
      </w:r>
      <w:r w:rsidR="00464252" w:rsidRPr="00600B00">
        <w:t xml:space="preserve">driven by </w:t>
      </w:r>
      <w:r w:rsidR="006A6E10" w:rsidRPr="00600B00">
        <w:t xml:space="preserve">New South Wales </w:t>
      </w:r>
      <w:r w:rsidR="006A6E10">
        <w:t xml:space="preserve">and </w:t>
      </w:r>
      <w:r w:rsidR="00464252" w:rsidRPr="00600B00">
        <w:t>Victoria</w:t>
      </w:r>
      <w:r w:rsidR="006A6E10">
        <w:t>,</w:t>
      </w:r>
      <w:r w:rsidR="00464252" w:rsidRPr="00600B00">
        <w:t xml:space="preserve"> </w:t>
      </w:r>
      <w:r w:rsidR="006A6E10">
        <w:t>w</w:t>
      </w:r>
      <w:r w:rsidR="00464252" w:rsidRPr="00600B00">
        <w:t>hose net capital investment for the period has been revised upwards by $</w:t>
      </w:r>
      <w:r w:rsidR="006A6E10">
        <w:t>7.8</w:t>
      </w:r>
      <w:r w:rsidR="007064AF" w:rsidRPr="00600B00">
        <w:t> </w:t>
      </w:r>
      <w:r w:rsidR="00600B00" w:rsidRPr="00600B00">
        <w:t>billion and $</w:t>
      </w:r>
      <w:r w:rsidR="006A6E10">
        <w:t>6.5</w:t>
      </w:r>
      <w:r w:rsidR="000E17E6" w:rsidRPr="00600B00">
        <w:t> </w:t>
      </w:r>
      <w:r w:rsidR="00464252" w:rsidRPr="00600B00">
        <w:t xml:space="preserve">billion </w:t>
      </w:r>
      <w:r w:rsidR="00464252" w:rsidRPr="00FF7935">
        <w:t>respectively</w:t>
      </w:r>
      <w:r w:rsidR="007064AF" w:rsidRPr="00FF7935">
        <w:t xml:space="preserve">. </w:t>
      </w:r>
      <w:r w:rsidR="005A46FE" w:rsidRPr="00FF7935">
        <w:t xml:space="preserve"> </w:t>
      </w:r>
      <w:r w:rsidR="007064AF" w:rsidRPr="00FF7935">
        <w:t>These increases</w:t>
      </w:r>
      <w:r w:rsidR="00464252" w:rsidRPr="00FF7935">
        <w:t xml:space="preserve"> reflect significant </w:t>
      </w:r>
      <w:r w:rsidR="00CB41A9">
        <w:t>investment in public transport</w:t>
      </w:r>
      <w:r w:rsidR="006A6E10">
        <w:t>,</w:t>
      </w:r>
      <w:r w:rsidR="00464252" w:rsidRPr="00FF7935">
        <w:t xml:space="preserve"> roads,</w:t>
      </w:r>
      <w:r w:rsidR="002471B9" w:rsidRPr="00FF7935">
        <w:t xml:space="preserve"> </w:t>
      </w:r>
      <w:r w:rsidR="00464252" w:rsidRPr="00FF7935">
        <w:t>health</w:t>
      </w:r>
      <w:r w:rsidR="002471B9" w:rsidRPr="00FF7935">
        <w:t xml:space="preserve"> </w:t>
      </w:r>
      <w:r w:rsidR="00B14475" w:rsidRPr="00FF7935">
        <w:t xml:space="preserve">and </w:t>
      </w:r>
      <w:r w:rsidR="00464252" w:rsidRPr="00FF7935">
        <w:t>education</w:t>
      </w:r>
      <w:r w:rsidR="00886480">
        <w:t xml:space="preserve">.  </w:t>
      </w:r>
    </w:p>
    <w:tbl>
      <w:tblPr>
        <w:tblStyle w:val="TablePlaceholder"/>
        <w:tblW w:w="8504" w:type="dxa"/>
        <w:jc w:val="center"/>
        <w:tblLayout w:type="fixed"/>
        <w:tblLook w:val="04A0" w:firstRow="1" w:lastRow="0" w:firstColumn="1" w:lastColumn="0" w:noHBand="0" w:noVBand="1"/>
      </w:tblPr>
      <w:tblGrid>
        <w:gridCol w:w="4252"/>
        <w:gridCol w:w="4252"/>
      </w:tblGrid>
      <w:tr w:rsidR="002E47C9" w:rsidTr="0006653F">
        <w:trPr>
          <w:jc w:val="center"/>
        </w:trPr>
        <w:tc>
          <w:tcPr>
            <w:tcW w:w="4252" w:type="dxa"/>
          </w:tcPr>
          <w:p w:rsidR="002E47C9" w:rsidRDefault="002E47C9" w:rsidP="00494959">
            <w:pPr>
              <w:pStyle w:val="Caption"/>
            </w:pPr>
            <w:bookmarkStart w:id="20" w:name="_Ref529189864"/>
            <w:r w:rsidRPr="002E47C9">
              <w:t xml:space="preserve">Figure </w:t>
            </w:r>
            <w:r w:rsidR="007064AF">
              <w:rPr>
                <w:noProof/>
              </w:rPr>
              <w:t>1</w:t>
            </w:r>
            <w:r w:rsidRPr="002E47C9">
              <w:t>–</w:t>
            </w:r>
            <w:r w:rsidR="00697CF5">
              <w:rPr>
                <w:noProof/>
              </w:rPr>
              <w:fldChar w:fldCharType="begin"/>
            </w:r>
            <w:r w:rsidR="00697CF5">
              <w:rPr>
                <w:noProof/>
              </w:rPr>
              <w:instrText xml:space="preserve"> SEQ Figure \* ARABIC \s 1 </w:instrText>
            </w:r>
            <w:r w:rsidR="00697CF5">
              <w:rPr>
                <w:noProof/>
              </w:rPr>
              <w:fldChar w:fldCharType="separate"/>
            </w:r>
            <w:r w:rsidR="0070188F">
              <w:rPr>
                <w:noProof/>
              </w:rPr>
              <w:t>3</w:t>
            </w:r>
            <w:r w:rsidR="00697CF5">
              <w:rPr>
                <w:noProof/>
              </w:rPr>
              <w:fldChar w:fldCharType="end"/>
            </w:r>
            <w:bookmarkEnd w:id="20"/>
            <w:r w:rsidRPr="002E47C9">
              <w:t xml:space="preserve">: National net capital </w:t>
            </w:r>
            <w:r w:rsidR="00846B2B">
              <w:br/>
            </w:r>
            <w:r w:rsidRPr="002E47C9">
              <w:t>investment</w:t>
            </w:r>
            <w:r w:rsidR="00F23AB0" w:rsidRPr="00734639">
              <w:rPr>
                <w:rStyle w:val="FootnoteReference"/>
                <w:color w:val="3D4D7D" w:themeColor="background2"/>
              </w:rPr>
              <w:footnoteReference w:id="5"/>
            </w:r>
            <w:r w:rsidR="00C03E26" w:rsidRPr="0098538D">
              <w:t xml:space="preserve"> </w:t>
            </w:r>
          </w:p>
        </w:tc>
        <w:tc>
          <w:tcPr>
            <w:tcW w:w="4252" w:type="dxa"/>
          </w:tcPr>
          <w:p w:rsidR="002E47C9" w:rsidRDefault="002E47C9" w:rsidP="000B4750">
            <w:pPr>
              <w:pStyle w:val="Caption"/>
            </w:pPr>
            <w:bookmarkStart w:id="21" w:name="_Ref529189878"/>
            <w:r w:rsidRPr="002E47C9">
              <w:t xml:space="preserve">Figure </w:t>
            </w:r>
            <w:r w:rsidR="007064AF">
              <w:t>1</w:t>
            </w:r>
            <w:r w:rsidRPr="002E47C9">
              <w:t>–</w:t>
            </w:r>
            <w:r w:rsidR="00697CF5">
              <w:rPr>
                <w:noProof/>
              </w:rPr>
              <w:fldChar w:fldCharType="begin"/>
            </w:r>
            <w:r w:rsidR="00697CF5">
              <w:rPr>
                <w:noProof/>
              </w:rPr>
              <w:instrText xml:space="preserve"> SEQ Figure \* ARABIC \s 1 </w:instrText>
            </w:r>
            <w:r w:rsidR="00697CF5">
              <w:rPr>
                <w:noProof/>
              </w:rPr>
              <w:fldChar w:fldCharType="separate"/>
            </w:r>
            <w:r w:rsidR="0070188F">
              <w:rPr>
                <w:noProof/>
              </w:rPr>
              <w:t>4</w:t>
            </w:r>
            <w:r w:rsidR="00697CF5">
              <w:rPr>
                <w:noProof/>
              </w:rPr>
              <w:fldChar w:fldCharType="end"/>
            </w:r>
            <w:bookmarkEnd w:id="21"/>
            <w:r w:rsidRPr="002E47C9">
              <w:t>: C</w:t>
            </w:r>
            <w:r w:rsidR="009F1A2C">
              <w:t xml:space="preserve">hange in net capital </w:t>
            </w:r>
            <w:r w:rsidR="00846B2B">
              <w:br/>
            </w:r>
            <w:r w:rsidR="009F1A2C">
              <w:t xml:space="preserve">investment </w:t>
            </w:r>
            <w:r w:rsidRPr="002E47C9">
              <w:t>since 201</w:t>
            </w:r>
            <w:r w:rsidR="000B4750">
              <w:t>8</w:t>
            </w:r>
            <w:r w:rsidR="00581BA8">
              <w:t>–</w:t>
            </w:r>
            <w:r w:rsidRPr="002E47C9">
              <w:t>1</w:t>
            </w:r>
            <w:r w:rsidR="000B4750">
              <w:t>9</w:t>
            </w:r>
            <w:r w:rsidRPr="002E47C9">
              <w:t xml:space="preserve"> </w:t>
            </w:r>
            <w:r w:rsidR="00F905F1">
              <w:t>outlook</w:t>
            </w:r>
          </w:p>
        </w:tc>
      </w:tr>
      <w:tr w:rsidR="00C66F75" w:rsidTr="0007123E">
        <w:trPr>
          <w:trHeight w:val="2835"/>
          <w:jc w:val="center"/>
        </w:trPr>
        <w:tc>
          <w:tcPr>
            <w:tcW w:w="4252" w:type="dxa"/>
          </w:tcPr>
          <w:p w:rsidR="00C66F75" w:rsidDel="00EA254B" w:rsidRDefault="00C66F75" w:rsidP="00E26E3A">
            <w:pPr>
              <w:keepNext/>
              <w:jc w:val="center"/>
            </w:pPr>
            <w:r>
              <w:rPr>
                <w:noProof/>
                <w:lang w:eastAsia="en-AU"/>
              </w:rPr>
              <w:drawing>
                <wp:inline distT="0" distB="0" distL="0" distR="0" wp14:anchorId="4ECB4759" wp14:editId="677D0103">
                  <wp:extent cx="2592000" cy="3198548"/>
                  <wp:effectExtent l="0" t="0" r="0" b="1905"/>
                  <wp:docPr id="39" name="Picture 3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19 National Fiscal Outlook report_Graphs_04_Figure 1-3-1-4_Figure 1-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92000" cy="3198548"/>
                          </a:xfrm>
                          <a:prstGeom prst="rect">
                            <a:avLst/>
                          </a:prstGeom>
                        </pic:spPr>
                      </pic:pic>
                    </a:graphicData>
                  </a:graphic>
                </wp:inline>
              </w:drawing>
            </w:r>
          </w:p>
        </w:tc>
        <w:tc>
          <w:tcPr>
            <w:tcW w:w="4252" w:type="dxa"/>
          </w:tcPr>
          <w:p w:rsidR="00C66F75" w:rsidRDefault="00C66F75">
            <w:pPr>
              <w:keepNext/>
              <w:jc w:val="center"/>
            </w:pPr>
            <w:r>
              <w:rPr>
                <w:noProof/>
                <w:lang w:eastAsia="en-AU"/>
              </w:rPr>
              <w:drawing>
                <wp:inline distT="0" distB="0" distL="0" distR="0" wp14:anchorId="419CCE92" wp14:editId="37AD81E5">
                  <wp:extent cx="2592000" cy="3198548"/>
                  <wp:effectExtent l="0" t="0" r="0" b="1905"/>
                  <wp:docPr id="40" name="Picture 40" descr="A close up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19 National Fiscal Outlook report_Graphs_04_Figure 1-3-1-4_Figure 1-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92000" cy="3198548"/>
                          </a:xfrm>
                          <a:prstGeom prst="rect">
                            <a:avLst/>
                          </a:prstGeom>
                        </pic:spPr>
                      </pic:pic>
                    </a:graphicData>
                  </a:graphic>
                </wp:inline>
              </w:drawing>
            </w:r>
          </w:p>
        </w:tc>
      </w:tr>
      <w:tr w:rsidR="002E47C9" w:rsidTr="00023F62">
        <w:trPr>
          <w:trHeight w:val="454"/>
          <w:jc w:val="center"/>
        </w:trPr>
        <w:tc>
          <w:tcPr>
            <w:tcW w:w="4252" w:type="dxa"/>
          </w:tcPr>
          <w:p w:rsidR="002E47C9" w:rsidRDefault="002E47C9" w:rsidP="009B3215">
            <w:pPr>
              <w:pStyle w:val="Source"/>
              <w:ind w:left="567"/>
            </w:pPr>
            <w:r>
              <w:t xml:space="preserve">Source: </w:t>
            </w:r>
            <w:r w:rsidR="000E1004">
              <w:t>ABS, Commonwealth and state budget papers</w:t>
            </w:r>
            <w:r w:rsidR="00F54CB8">
              <w:t xml:space="preserve"> and </w:t>
            </w:r>
            <w:r w:rsidR="000E1004">
              <w:t>PBO analysis</w:t>
            </w:r>
            <w:r w:rsidR="007966BE">
              <w:t>.</w:t>
            </w:r>
          </w:p>
        </w:tc>
        <w:tc>
          <w:tcPr>
            <w:tcW w:w="4252" w:type="dxa"/>
          </w:tcPr>
          <w:p w:rsidR="002E47C9" w:rsidRDefault="002E47C9" w:rsidP="00DB1201">
            <w:pPr>
              <w:pStyle w:val="Source"/>
              <w:keepNext/>
              <w:ind w:left="568"/>
            </w:pPr>
            <w:r>
              <w:t xml:space="preserve">Source: </w:t>
            </w:r>
            <w:r w:rsidR="000E1004">
              <w:t>ABS, Commonwealth and state budget papers</w:t>
            </w:r>
            <w:r w:rsidR="00F54CB8">
              <w:t xml:space="preserve"> and </w:t>
            </w:r>
            <w:r w:rsidR="000E1004">
              <w:t>PBO analysis</w:t>
            </w:r>
            <w:r w:rsidR="007966BE">
              <w:t>.</w:t>
            </w:r>
          </w:p>
        </w:tc>
      </w:tr>
    </w:tbl>
    <w:p w:rsidR="00850DF6" w:rsidRDefault="00850DF6" w:rsidP="00850DF6">
      <w:pPr>
        <w:pStyle w:val="BodyText"/>
      </w:pPr>
      <w:bookmarkStart w:id="22" w:name="_Toc495678469"/>
      <w:bookmarkStart w:id="23" w:name="_Toc496168772"/>
      <w:bookmarkStart w:id="24" w:name="_Toc24101676"/>
    </w:p>
    <w:p w:rsidR="00850DF6" w:rsidRDefault="00850DF6">
      <w:pPr>
        <w:rPr>
          <w:rFonts w:cs="Times New Roman"/>
        </w:rPr>
      </w:pPr>
      <w:r>
        <w:br w:type="page"/>
      </w:r>
    </w:p>
    <w:p w:rsidR="002E47C9" w:rsidRPr="00D740C6" w:rsidRDefault="002E47C9" w:rsidP="009D1224">
      <w:pPr>
        <w:pStyle w:val="Heading2"/>
      </w:pPr>
      <w:bookmarkStart w:id="25" w:name="_Toc25676867"/>
      <w:r w:rsidRPr="00D740C6">
        <w:lastRenderedPageBreak/>
        <w:t>Net debt</w:t>
      </w:r>
      <w:bookmarkEnd w:id="22"/>
      <w:bookmarkEnd w:id="23"/>
      <w:bookmarkEnd w:id="24"/>
      <w:bookmarkEnd w:id="25"/>
    </w:p>
    <w:p w:rsidR="003F028A" w:rsidRDefault="00C03E26" w:rsidP="00DB1201">
      <w:pPr>
        <w:pStyle w:val="BodyText"/>
      </w:pPr>
      <w:r w:rsidRPr="000B5C64">
        <w:t xml:space="preserve">National net debt </w:t>
      </w:r>
      <w:r>
        <w:t xml:space="preserve">as a share of GDP </w:t>
      </w:r>
      <w:r w:rsidRPr="000B5C64">
        <w:t>is projected to peak in 201</w:t>
      </w:r>
      <w:r>
        <w:t>9–20</w:t>
      </w:r>
      <w:r w:rsidRPr="000B5C64">
        <w:t xml:space="preserve"> at 2</w:t>
      </w:r>
      <w:r>
        <w:t>2.</w:t>
      </w:r>
      <w:r w:rsidR="00866C4D">
        <w:t>1 </w:t>
      </w:r>
      <w:r w:rsidRPr="000B5C64">
        <w:t>per</w:t>
      </w:r>
      <w:r>
        <w:t> </w:t>
      </w:r>
      <w:r w:rsidRPr="000B5C64">
        <w:t xml:space="preserve">cent </w:t>
      </w:r>
      <w:r>
        <w:t xml:space="preserve">of GDP </w:t>
      </w:r>
      <w:r w:rsidRPr="000B5C64">
        <w:t>($</w:t>
      </w:r>
      <w:r w:rsidR="009045FA">
        <w:t>443</w:t>
      </w:r>
      <w:r>
        <w:t>.</w:t>
      </w:r>
      <w:r w:rsidR="0079069C">
        <w:t>1 </w:t>
      </w:r>
      <w:r w:rsidRPr="000B5C64">
        <w:t>billion)</w:t>
      </w:r>
      <w:r w:rsidR="00FC0E08">
        <w:t>,</w:t>
      </w:r>
      <w:r w:rsidRPr="000B5C64">
        <w:t xml:space="preserve"> </w:t>
      </w:r>
      <w:r>
        <w:t>1.</w:t>
      </w:r>
      <w:r w:rsidR="00866C4D">
        <w:t>3</w:t>
      </w:r>
      <w:r w:rsidR="0079069C">
        <w:t> </w:t>
      </w:r>
      <w:r w:rsidRPr="000B5C64">
        <w:t>per</w:t>
      </w:r>
      <w:r>
        <w:t xml:space="preserve">centage points </w:t>
      </w:r>
      <w:r w:rsidRPr="000B5C64">
        <w:t>($</w:t>
      </w:r>
      <w:r w:rsidR="0079069C">
        <w:t>27</w:t>
      </w:r>
      <w:r>
        <w:t>.</w:t>
      </w:r>
      <w:r w:rsidR="00866C4D">
        <w:t>9 </w:t>
      </w:r>
      <w:r w:rsidRPr="000B5C64">
        <w:t xml:space="preserve">billion) </w:t>
      </w:r>
      <w:r>
        <w:t>highe</w:t>
      </w:r>
      <w:r w:rsidRPr="000B5C64">
        <w:t xml:space="preserve">r </w:t>
      </w:r>
      <w:r>
        <w:t>than the projected peak in the 2018–19 outlook (</w:t>
      </w:r>
      <w:r>
        <w:fldChar w:fldCharType="begin"/>
      </w:r>
      <w:r>
        <w:instrText xml:space="preserve"> REF _Ref529189930 \h </w:instrText>
      </w:r>
      <w:r w:rsidR="00FB0580">
        <w:instrText xml:space="preserve"> \* MERGEFORMAT </w:instrText>
      </w:r>
      <w:r>
        <w:fldChar w:fldCharType="separate"/>
      </w:r>
      <w:r w:rsidR="0070188F" w:rsidRPr="002E47C9">
        <w:t xml:space="preserve">Figure </w:t>
      </w:r>
      <w:r w:rsidR="0070188F">
        <w:rPr>
          <w:noProof/>
        </w:rPr>
        <w:t>1</w:t>
      </w:r>
      <w:r w:rsidR="0070188F" w:rsidRPr="002E47C9">
        <w:t>–</w:t>
      </w:r>
      <w:r w:rsidR="0070188F">
        <w:rPr>
          <w:noProof/>
        </w:rPr>
        <w:t>5</w:t>
      </w:r>
      <w:r>
        <w:fldChar w:fldCharType="end"/>
      </w:r>
      <w:r w:rsidRPr="000B5C64">
        <w:t>).</w:t>
      </w:r>
      <w:r>
        <w:t xml:space="preserve">  </w:t>
      </w:r>
      <w:r w:rsidR="00AF7984">
        <w:t>There have been large upward revisions in both Commonwealth and state net debt over the period (</w:t>
      </w:r>
      <w:r w:rsidR="00AF7984">
        <w:fldChar w:fldCharType="begin"/>
      </w:r>
      <w:r w:rsidR="00AF7984">
        <w:instrText xml:space="preserve"> REF _Ref529189941 \h </w:instrText>
      </w:r>
      <w:r w:rsidR="00FB0580">
        <w:instrText xml:space="preserve"> \* MERGEFORMAT </w:instrText>
      </w:r>
      <w:r w:rsidR="00AF7984">
        <w:fldChar w:fldCharType="separate"/>
      </w:r>
      <w:r w:rsidR="0070188F" w:rsidRPr="00E112E7">
        <w:t xml:space="preserve">Figure </w:t>
      </w:r>
      <w:r w:rsidR="0070188F">
        <w:t>1</w:t>
      </w:r>
      <w:r w:rsidR="0070188F" w:rsidRPr="00E112E7">
        <w:t>–</w:t>
      </w:r>
      <w:r w:rsidR="0070188F">
        <w:rPr>
          <w:noProof/>
        </w:rPr>
        <w:t>6</w:t>
      </w:r>
      <w:r w:rsidR="00AF7984">
        <w:fldChar w:fldCharType="end"/>
      </w:r>
      <w:r w:rsidR="00AF7984">
        <w:t xml:space="preserve">).  </w:t>
      </w:r>
      <w:r w:rsidR="00A11BC0">
        <w:t xml:space="preserve">  </w:t>
      </w:r>
    </w:p>
    <w:p w:rsidR="00FD54ED" w:rsidRPr="00DB1201" w:rsidRDefault="00FD54ED" w:rsidP="00DB1201">
      <w:pPr>
        <w:pStyle w:val="BodyText"/>
        <w:rPr>
          <w:color w:val="C64E45" w:themeColor="accent2"/>
          <w:spacing w:val="-3"/>
        </w:rPr>
      </w:pPr>
      <w:r w:rsidRPr="00DB1201">
        <w:rPr>
          <w:spacing w:val="-3"/>
        </w:rPr>
        <w:t>Commonwealth net debt is projected to be $333.</w:t>
      </w:r>
      <w:r w:rsidR="0079069C" w:rsidRPr="00DB1201">
        <w:rPr>
          <w:spacing w:val="-3"/>
        </w:rPr>
        <w:t>2 </w:t>
      </w:r>
      <w:r w:rsidRPr="00DB1201">
        <w:rPr>
          <w:spacing w:val="-3"/>
        </w:rPr>
        <w:t>billion in 2021–22, $14.</w:t>
      </w:r>
      <w:r w:rsidR="0079069C" w:rsidRPr="00DB1201">
        <w:rPr>
          <w:spacing w:val="-3"/>
        </w:rPr>
        <w:t>0 </w:t>
      </w:r>
      <w:r w:rsidRPr="00DB1201">
        <w:rPr>
          <w:spacing w:val="-3"/>
        </w:rPr>
        <w:t>billion higher than</w:t>
      </w:r>
      <w:r w:rsidR="00FB0580">
        <w:rPr>
          <w:spacing w:val="-3"/>
        </w:rPr>
        <w:br/>
      </w:r>
      <w:r w:rsidRPr="00DB1201">
        <w:rPr>
          <w:spacing w:val="-3"/>
        </w:rPr>
        <w:t xml:space="preserve">projected in the previous national outlook.  This deterioration is primarily </w:t>
      </w:r>
      <w:r w:rsidR="00502179" w:rsidRPr="00DB1201">
        <w:rPr>
          <w:spacing w:val="-3"/>
        </w:rPr>
        <w:t xml:space="preserve">caused </w:t>
      </w:r>
      <w:r w:rsidRPr="00DB1201">
        <w:rPr>
          <w:spacing w:val="-3"/>
        </w:rPr>
        <w:t>by a lower bond yield assumption, which result</w:t>
      </w:r>
      <w:r w:rsidR="009668BB">
        <w:rPr>
          <w:spacing w:val="-3"/>
        </w:rPr>
        <w:t>ed</w:t>
      </w:r>
      <w:r w:rsidRPr="00DB1201">
        <w:rPr>
          <w:spacing w:val="-3"/>
        </w:rPr>
        <w:t xml:space="preserve"> in an upward revaluation of the existing stock of government</w:t>
      </w:r>
      <w:r w:rsidR="00850DF6" w:rsidRPr="00DB1201">
        <w:rPr>
          <w:spacing w:val="-3"/>
        </w:rPr>
        <w:t xml:space="preserve"> </w:t>
      </w:r>
      <w:r w:rsidRPr="00DB1201">
        <w:rPr>
          <w:spacing w:val="-3"/>
        </w:rPr>
        <w:t>net debt</w:t>
      </w:r>
      <w:proofErr w:type="gramStart"/>
      <w:r w:rsidRPr="00DB1201">
        <w:rPr>
          <w:spacing w:val="-3"/>
        </w:rPr>
        <w:t>.</w:t>
      </w:r>
      <w:r w:rsidRPr="00DB1201">
        <w:rPr>
          <w:rStyle w:val="FootnoteReference"/>
          <w:spacing w:val="-3"/>
        </w:rPr>
        <w:footnoteReference w:id="6"/>
      </w:r>
      <w:r w:rsidRPr="00DB1201">
        <w:rPr>
          <w:spacing w:val="-3"/>
          <w:vertAlign w:val="superscript"/>
        </w:rPr>
        <w:t>,</w:t>
      </w:r>
      <w:proofErr w:type="gramEnd"/>
      <w:r w:rsidRPr="00DB1201">
        <w:rPr>
          <w:rStyle w:val="FootnoteReference"/>
          <w:spacing w:val="-3"/>
        </w:rPr>
        <w:footnoteReference w:id="7"/>
      </w:r>
      <w:r w:rsidRPr="00DB1201">
        <w:rPr>
          <w:spacing w:val="-3"/>
        </w:rPr>
        <w:t xml:space="preserve">  </w:t>
      </w:r>
    </w:p>
    <w:p w:rsidR="00FD54ED" w:rsidRPr="00FB0580" w:rsidRDefault="00FD54ED">
      <w:pPr>
        <w:pStyle w:val="BodyText"/>
        <w:spacing w:after="240"/>
      </w:pPr>
      <w:r w:rsidRPr="00DB1201">
        <w:rPr>
          <w:spacing w:val="-3"/>
        </w:rPr>
        <w:t xml:space="preserve">State </w:t>
      </w:r>
      <w:r w:rsidR="005B7826" w:rsidRPr="00DB1201">
        <w:rPr>
          <w:spacing w:val="-3"/>
        </w:rPr>
        <w:t xml:space="preserve">and local </w:t>
      </w:r>
      <w:r w:rsidRPr="00DB1201">
        <w:rPr>
          <w:spacing w:val="-3"/>
        </w:rPr>
        <w:t>net debt is projected to be $14</w:t>
      </w:r>
      <w:r w:rsidR="009045FA" w:rsidRPr="00DB1201">
        <w:rPr>
          <w:spacing w:val="-3"/>
        </w:rPr>
        <w:t>4</w:t>
      </w:r>
      <w:r w:rsidRPr="00DB1201">
        <w:rPr>
          <w:spacing w:val="-3"/>
        </w:rPr>
        <w:t>.</w:t>
      </w:r>
      <w:r w:rsidR="009045FA" w:rsidRPr="00DB1201">
        <w:rPr>
          <w:spacing w:val="-3"/>
        </w:rPr>
        <w:t>2</w:t>
      </w:r>
      <w:r w:rsidRPr="00DB1201">
        <w:rPr>
          <w:spacing w:val="-3"/>
        </w:rPr>
        <w:t xml:space="preserve"> billion </w:t>
      </w:r>
      <w:r w:rsidR="00C075D7" w:rsidRPr="00DB1201">
        <w:rPr>
          <w:spacing w:val="-3"/>
        </w:rPr>
        <w:t>at the end of</w:t>
      </w:r>
      <w:r w:rsidRPr="00DB1201">
        <w:rPr>
          <w:spacing w:val="-3"/>
        </w:rPr>
        <w:t xml:space="preserve"> 2021–22, $3</w:t>
      </w:r>
      <w:r w:rsidR="009045FA" w:rsidRPr="00DB1201">
        <w:rPr>
          <w:spacing w:val="-3"/>
        </w:rPr>
        <w:t>2</w:t>
      </w:r>
      <w:r w:rsidRPr="00DB1201">
        <w:rPr>
          <w:spacing w:val="-3"/>
        </w:rPr>
        <w:t>.</w:t>
      </w:r>
      <w:r w:rsidR="009045FA" w:rsidRPr="00DB1201">
        <w:rPr>
          <w:spacing w:val="-3"/>
        </w:rPr>
        <w:t>1</w:t>
      </w:r>
      <w:r w:rsidRPr="00DB1201">
        <w:rPr>
          <w:spacing w:val="-3"/>
        </w:rPr>
        <w:t xml:space="preserve"> billion higher than projected in the previous national outlook.  The change in the state net debt profile in Figure</w:t>
      </w:r>
      <w:r w:rsidR="00F54CB8" w:rsidRPr="00DB1201">
        <w:rPr>
          <w:spacing w:val="-3"/>
        </w:rPr>
        <w:t> </w:t>
      </w:r>
      <w:r w:rsidRPr="00DB1201">
        <w:rPr>
          <w:spacing w:val="-3"/>
        </w:rPr>
        <w:t>1</w:t>
      </w:r>
      <w:r w:rsidR="00581BA8" w:rsidRPr="00DB1201">
        <w:rPr>
          <w:spacing w:val="-3"/>
        </w:rPr>
        <w:t>–</w:t>
      </w:r>
      <w:r w:rsidRPr="00DB1201">
        <w:rPr>
          <w:spacing w:val="-3"/>
        </w:rPr>
        <w:t>6</w:t>
      </w:r>
      <w:r w:rsidRPr="00FB0580">
        <w:t xml:space="preserve"> </w:t>
      </w:r>
      <w:r w:rsidR="00E21938" w:rsidRPr="00FB0580">
        <w:t xml:space="preserve">partly </w:t>
      </w:r>
      <w:r w:rsidRPr="00FB0580">
        <w:t>reflects the impact of the implementation of the new accounting standard relating to leases, which has resulted in a once-off rise in the level of total state net debt each year.  This rise does not reflect a change in states’ underlying budget positions (see Box 1).</w:t>
      </w:r>
      <w:r w:rsidR="00187461" w:rsidRPr="00FB0580">
        <w:t xml:space="preserve">  The upward revision also reflects a significant increase in Victoria’s net debt, driven by funding requirements for major capital projects including the North East Link, Melbourne Airport Rail and the removal of level crossings.</w:t>
      </w:r>
    </w:p>
    <w:tbl>
      <w:tblPr>
        <w:tblStyle w:val="TablePlaceholder"/>
        <w:tblW w:w="8504" w:type="dxa"/>
        <w:jc w:val="center"/>
        <w:tblLayout w:type="fixed"/>
        <w:tblLook w:val="04A0" w:firstRow="1" w:lastRow="0" w:firstColumn="1" w:lastColumn="0" w:noHBand="0" w:noVBand="1"/>
      </w:tblPr>
      <w:tblGrid>
        <w:gridCol w:w="4395"/>
        <w:gridCol w:w="4109"/>
      </w:tblGrid>
      <w:tr w:rsidR="002E47C9" w:rsidTr="0007123E">
        <w:trPr>
          <w:jc w:val="center"/>
        </w:trPr>
        <w:tc>
          <w:tcPr>
            <w:tcW w:w="4395" w:type="dxa"/>
          </w:tcPr>
          <w:p w:rsidR="002E47C9" w:rsidRPr="002E47C9" w:rsidRDefault="002E47C9" w:rsidP="002E47C9">
            <w:pPr>
              <w:pStyle w:val="Caption"/>
            </w:pPr>
            <w:bookmarkStart w:id="26" w:name="_Ref529189930"/>
            <w:r w:rsidRPr="002E47C9">
              <w:t xml:space="preserve">Figure </w:t>
            </w:r>
            <w:r w:rsidR="00224121">
              <w:rPr>
                <w:noProof/>
              </w:rPr>
              <w:t>1</w:t>
            </w:r>
            <w:r w:rsidRPr="002E47C9">
              <w:t>–</w:t>
            </w:r>
            <w:r w:rsidR="00697CF5">
              <w:rPr>
                <w:noProof/>
              </w:rPr>
              <w:fldChar w:fldCharType="begin"/>
            </w:r>
            <w:r w:rsidR="00697CF5">
              <w:rPr>
                <w:noProof/>
              </w:rPr>
              <w:instrText xml:space="preserve"> SEQ Figure \* ARABIC \s 1 </w:instrText>
            </w:r>
            <w:r w:rsidR="00697CF5">
              <w:rPr>
                <w:noProof/>
              </w:rPr>
              <w:fldChar w:fldCharType="separate"/>
            </w:r>
            <w:r w:rsidR="0070188F">
              <w:rPr>
                <w:noProof/>
              </w:rPr>
              <w:t>5</w:t>
            </w:r>
            <w:r w:rsidR="00697CF5">
              <w:rPr>
                <w:noProof/>
              </w:rPr>
              <w:fldChar w:fldCharType="end"/>
            </w:r>
            <w:bookmarkEnd w:id="26"/>
            <w:r w:rsidRPr="002E47C9">
              <w:t xml:space="preserve">: </w:t>
            </w:r>
            <w:r w:rsidR="00E112E7">
              <w:t>National net debt</w:t>
            </w:r>
          </w:p>
          <w:p w:rsidR="002E47C9" w:rsidRDefault="002E47C9" w:rsidP="000E1004">
            <w:pPr>
              <w:pStyle w:val="CaptionDescriptor"/>
            </w:pPr>
          </w:p>
        </w:tc>
        <w:tc>
          <w:tcPr>
            <w:tcW w:w="4109" w:type="dxa"/>
          </w:tcPr>
          <w:p w:rsidR="002E47C9" w:rsidRDefault="00E112E7" w:rsidP="004C49FA">
            <w:pPr>
              <w:pStyle w:val="Caption"/>
            </w:pPr>
            <w:bookmarkStart w:id="27" w:name="_Ref529189941"/>
            <w:r w:rsidRPr="00E112E7">
              <w:t xml:space="preserve">Figure </w:t>
            </w:r>
            <w:r w:rsidR="00224121">
              <w:t>1</w:t>
            </w:r>
            <w:r w:rsidRPr="00E112E7">
              <w:t>–</w:t>
            </w:r>
            <w:r w:rsidR="00697CF5">
              <w:rPr>
                <w:noProof/>
              </w:rPr>
              <w:fldChar w:fldCharType="begin"/>
            </w:r>
            <w:r w:rsidR="00697CF5">
              <w:rPr>
                <w:noProof/>
              </w:rPr>
              <w:instrText xml:space="preserve"> SEQ Figure \* ARABIC \s 1 </w:instrText>
            </w:r>
            <w:r w:rsidR="00697CF5">
              <w:rPr>
                <w:noProof/>
              </w:rPr>
              <w:fldChar w:fldCharType="separate"/>
            </w:r>
            <w:r w:rsidR="0070188F">
              <w:rPr>
                <w:noProof/>
              </w:rPr>
              <w:t>6</w:t>
            </w:r>
            <w:r w:rsidR="00697CF5">
              <w:rPr>
                <w:noProof/>
              </w:rPr>
              <w:fldChar w:fldCharType="end"/>
            </w:r>
            <w:bookmarkEnd w:id="27"/>
            <w:r w:rsidRPr="00E112E7">
              <w:t xml:space="preserve">: </w:t>
            </w:r>
            <w:r>
              <w:t xml:space="preserve">Change in net debt since </w:t>
            </w:r>
            <w:r w:rsidR="00F905F1">
              <w:br/>
            </w:r>
            <w:r w:rsidR="00460FB2" w:rsidRPr="00460FB2">
              <w:t>2018–19</w:t>
            </w:r>
            <w:r w:rsidR="00F905F1">
              <w:t xml:space="preserve"> outlook</w:t>
            </w:r>
          </w:p>
        </w:tc>
      </w:tr>
      <w:tr w:rsidR="00C07EB5" w:rsidTr="00DB1201">
        <w:trPr>
          <w:trHeight w:val="2835"/>
          <w:jc w:val="center"/>
        </w:trPr>
        <w:tc>
          <w:tcPr>
            <w:tcW w:w="4395" w:type="dxa"/>
          </w:tcPr>
          <w:p w:rsidR="00C07EB5" w:rsidDel="00EA254B" w:rsidRDefault="00C07EB5">
            <w:pPr>
              <w:keepNext/>
              <w:jc w:val="center"/>
            </w:pPr>
            <w:r>
              <w:rPr>
                <w:noProof/>
                <w:lang w:eastAsia="en-AU"/>
              </w:rPr>
              <w:drawing>
                <wp:inline distT="0" distB="0" distL="0" distR="0" wp14:anchorId="65DB3140" wp14:editId="24FD443C">
                  <wp:extent cx="2592000" cy="3198548"/>
                  <wp:effectExtent l="0" t="0" r="0" b="1905"/>
                  <wp:docPr id="41" name="Picture 4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19 National Fiscal Outlook report_Graphs_04_Figure 1-3-1-4_Figure 1-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92000" cy="3198548"/>
                          </a:xfrm>
                          <a:prstGeom prst="rect">
                            <a:avLst/>
                          </a:prstGeom>
                        </pic:spPr>
                      </pic:pic>
                    </a:graphicData>
                  </a:graphic>
                </wp:inline>
              </w:drawing>
            </w:r>
          </w:p>
        </w:tc>
        <w:tc>
          <w:tcPr>
            <w:tcW w:w="4109" w:type="dxa"/>
          </w:tcPr>
          <w:p w:rsidR="00C07EB5" w:rsidRDefault="00C07EB5">
            <w:pPr>
              <w:keepNext/>
              <w:jc w:val="center"/>
            </w:pPr>
            <w:r>
              <w:rPr>
                <w:noProof/>
                <w:lang w:eastAsia="en-AU"/>
              </w:rPr>
              <w:drawing>
                <wp:inline distT="0" distB="0" distL="0" distR="0" wp14:anchorId="232F7F6D" wp14:editId="703832F7">
                  <wp:extent cx="2592000" cy="3198548"/>
                  <wp:effectExtent l="0" t="0" r="0" b="1905"/>
                  <wp:docPr id="42" name="Picture 4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9 National Fiscal Outlook report_Graphs_04_Figure 1-3-1-4_Figure 1-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92000" cy="3198548"/>
                          </a:xfrm>
                          <a:prstGeom prst="rect">
                            <a:avLst/>
                          </a:prstGeom>
                        </pic:spPr>
                      </pic:pic>
                    </a:graphicData>
                  </a:graphic>
                </wp:inline>
              </w:drawing>
            </w:r>
          </w:p>
        </w:tc>
      </w:tr>
      <w:tr w:rsidR="002E47C9" w:rsidTr="00DB1201">
        <w:trPr>
          <w:trHeight w:val="454"/>
          <w:jc w:val="center"/>
        </w:trPr>
        <w:tc>
          <w:tcPr>
            <w:tcW w:w="4395" w:type="dxa"/>
          </w:tcPr>
          <w:p w:rsidR="002E47C9" w:rsidRDefault="002E47C9" w:rsidP="009B3215">
            <w:pPr>
              <w:pStyle w:val="Source"/>
              <w:ind w:left="568"/>
            </w:pPr>
            <w:r>
              <w:t xml:space="preserve">Source: </w:t>
            </w:r>
            <w:r w:rsidR="000E1004">
              <w:t>ABS</w:t>
            </w:r>
            <w:r w:rsidR="00FC7814">
              <w:t xml:space="preserve"> special data service</w:t>
            </w:r>
            <w:r w:rsidR="000E1004">
              <w:t>, Commonwealth and state budget papers</w:t>
            </w:r>
            <w:r w:rsidR="00F54CB8">
              <w:t xml:space="preserve"> and</w:t>
            </w:r>
            <w:r w:rsidR="000E1004">
              <w:t xml:space="preserve"> PBO analysis</w:t>
            </w:r>
            <w:r w:rsidR="007966BE">
              <w:t>.</w:t>
            </w:r>
          </w:p>
        </w:tc>
        <w:tc>
          <w:tcPr>
            <w:tcW w:w="4109" w:type="dxa"/>
          </w:tcPr>
          <w:p w:rsidR="002E47C9" w:rsidRDefault="002E47C9" w:rsidP="00DB1201">
            <w:pPr>
              <w:pStyle w:val="Source"/>
              <w:keepNext/>
              <w:ind w:left="567"/>
            </w:pPr>
            <w:r>
              <w:t xml:space="preserve">Source: </w:t>
            </w:r>
            <w:r w:rsidR="000E1004">
              <w:t>ABS, Commonwealth and state budget papers</w:t>
            </w:r>
            <w:r w:rsidR="00F54CB8">
              <w:t xml:space="preserve"> and </w:t>
            </w:r>
            <w:r w:rsidR="000E1004">
              <w:t>PBO analysis</w:t>
            </w:r>
            <w:r w:rsidR="007966BE">
              <w:t>.</w:t>
            </w:r>
          </w:p>
        </w:tc>
      </w:tr>
    </w:tbl>
    <w:p w:rsidR="00C86A16" w:rsidRDefault="00C86A16" w:rsidP="00443EA9">
      <w:pPr>
        <w:pStyle w:val="Heading2"/>
      </w:pPr>
      <w:bookmarkStart w:id="28" w:name="_Toc24101677"/>
      <w:bookmarkStart w:id="29" w:name="_Toc25676868"/>
      <w:r>
        <w:lastRenderedPageBreak/>
        <w:t xml:space="preserve">Net </w:t>
      </w:r>
      <w:r w:rsidRPr="00A7074A">
        <w:t>financial</w:t>
      </w:r>
      <w:r w:rsidRPr="00D740C6">
        <w:t xml:space="preserve"> worth</w:t>
      </w:r>
      <w:bookmarkEnd w:id="28"/>
      <w:bookmarkEnd w:id="29"/>
    </w:p>
    <w:p w:rsidR="00B619EA" w:rsidRDefault="00B619EA" w:rsidP="00DF0236">
      <w:pPr>
        <w:pStyle w:val="BodyText"/>
      </w:pPr>
      <w:r>
        <w:t xml:space="preserve">Net financial worth is a </w:t>
      </w:r>
      <w:r w:rsidRPr="00B619EA">
        <w:t xml:space="preserve">broader measure of the strength of </w:t>
      </w:r>
      <w:r w:rsidR="00EF25E9">
        <w:t>a</w:t>
      </w:r>
      <w:r w:rsidR="00EF25E9" w:rsidRPr="00B619EA">
        <w:t xml:space="preserve"> </w:t>
      </w:r>
      <w:r w:rsidR="00EF25E9">
        <w:t>g</w:t>
      </w:r>
      <w:r w:rsidRPr="00B619EA">
        <w:t>ove</w:t>
      </w:r>
      <w:r>
        <w:t xml:space="preserve">rnment’s balance sheet than net </w:t>
      </w:r>
      <w:r w:rsidRPr="00B619EA">
        <w:t xml:space="preserve">debt as it includes all of the </w:t>
      </w:r>
      <w:r w:rsidR="00EF25E9">
        <w:t>g</w:t>
      </w:r>
      <w:r w:rsidR="00AF78F9">
        <w:t>overnment’</w:t>
      </w:r>
      <w:r w:rsidRPr="00B619EA">
        <w:t>s financial assets and liab</w:t>
      </w:r>
      <w:r>
        <w:t xml:space="preserve">ilities, including </w:t>
      </w:r>
      <w:r w:rsidR="005A122F" w:rsidRPr="00B619EA">
        <w:t>equity investments</w:t>
      </w:r>
      <w:r w:rsidR="005A122F">
        <w:t xml:space="preserve"> and </w:t>
      </w:r>
      <w:r w:rsidR="00EF25E9">
        <w:t>u</w:t>
      </w:r>
      <w:r>
        <w:t xml:space="preserve">nfunded </w:t>
      </w:r>
      <w:r w:rsidRPr="00B619EA">
        <w:t>superannuation liabilit</w:t>
      </w:r>
      <w:r w:rsidR="00EF25E9">
        <w:t>ies</w:t>
      </w:r>
      <w:r w:rsidRPr="00B619EA">
        <w:t xml:space="preserve">. </w:t>
      </w:r>
    </w:p>
    <w:p w:rsidR="00FD54ED" w:rsidRDefault="009E7083" w:rsidP="00DF0236">
      <w:pPr>
        <w:pStyle w:val="BodyText"/>
        <w:spacing w:after="120"/>
      </w:pPr>
      <w:r>
        <w:t>While n</w:t>
      </w:r>
      <w:r w:rsidR="00C86A16">
        <w:t>ational net financial worth</w:t>
      </w:r>
      <w:r w:rsidR="00C86A16" w:rsidRPr="000B5C64">
        <w:t xml:space="preserve"> is projected </w:t>
      </w:r>
      <w:r>
        <w:t xml:space="preserve">to improve over the </w:t>
      </w:r>
      <w:r w:rsidR="00EF25E9">
        <w:t>forward estimates</w:t>
      </w:r>
      <w:r>
        <w:t>, it has been revised downward to -19.1 per cent of GDP (</w:t>
      </w:r>
      <w:r w:rsidR="002D313C">
        <w:t>-</w:t>
      </w:r>
      <w:r>
        <w:t>$415.7 billion) in</w:t>
      </w:r>
      <w:r w:rsidR="00346454" w:rsidRPr="00DE26F2">
        <w:t xml:space="preserve"> 20</w:t>
      </w:r>
      <w:r w:rsidR="00346454">
        <w:t>21–22</w:t>
      </w:r>
      <w:r>
        <w:t>,</w:t>
      </w:r>
      <w:r w:rsidRPr="009E7083">
        <w:t xml:space="preserve"> </w:t>
      </w:r>
      <w:r>
        <w:t>3.2 </w:t>
      </w:r>
      <w:r w:rsidRPr="000B5C64">
        <w:t>per</w:t>
      </w:r>
      <w:r>
        <w:t xml:space="preserve">centage points </w:t>
      </w:r>
      <w:r w:rsidRPr="000B5C64">
        <w:t>($</w:t>
      </w:r>
      <w:r>
        <w:t>6</w:t>
      </w:r>
      <w:r w:rsidR="00C814E1">
        <w:t>9</w:t>
      </w:r>
      <w:r>
        <w:t>.</w:t>
      </w:r>
      <w:r w:rsidR="0079069C">
        <w:t>2 </w:t>
      </w:r>
      <w:r w:rsidRPr="000B5C64">
        <w:t>billion</w:t>
      </w:r>
      <w:r>
        <w:t>) lower</w:t>
      </w:r>
      <w:r w:rsidR="00346454">
        <w:t xml:space="preserve"> </w:t>
      </w:r>
      <w:r w:rsidR="00346454" w:rsidRPr="00DE26F2">
        <w:t xml:space="preserve">than </w:t>
      </w:r>
      <w:r w:rsidR="00346454">
        <w:t xml:space="preserve">was projected </w:t>
      </w:r>
      <w:r w:rsidR="00AB532E">
        <w:t>in 2018–19</w:t>
      </w:r>
      <w:r w:rsidR="00346454" w:rsidRPr="00DE26F2">
        <w:t xml:space="preserve"> </w:t>
      </w:r>
      <w:r w:rsidR="00346454">
        <w:t>(</w:t>
      </w:r>
      <w:r w:rsidR="00356449">
        <w:t>Figure 1–7</w:t>
      </w:r>
      <w:r w:rsidR="005A122F">
        <w:t xml:space="preserve">).  This is </w:t>
      </w:r>
      <w:r w:rsidR="00AF7984" w:rsidRPr="00C03E26">
        <w:t>mainly due to downward revisions in state net financial worth</w:t>
      </w:r>
      <w:r w:rsidR="00346454" w:rsidRPr="00C03E26">
        <w:t>.</w:t>
      </w:r>
      <w:r w:rsidR="00C03E26">
        <w:t xml:space="preserve">  </w:t>
      </w:r>
    </w:p>
    <w:p w:rsidR="00C22D4E" w:rsidRPr="00E93AF3" w:rsidRDefault="00FD54ED" w:rsidP="00DF0236">
      <w:pPr>
        <w:pStyle w:val="BodyText"/>
        <w:spacing w:after="240"/>
      </w:pPr>
      <w:r>
        <w:t xml:space="preserve">State </w:t>
      </w:r>
      <w:r w:rsidR="005B7826">
        <w:t xml:space="preserve">and local </w:t>
      </w:r>
      <w:r>
        <w:t>net financial worth is projected to be $15.9 billion</w:t>
      </w:r>
      <w:r w:rsidRPr="009E7083">
        <w:t xml:space="preserve"> </w:t>
      </w:r>
      <w:r w:rsidRPr="001F779C">
        <w:t>in 2021–</w:t>
      </w:r>
      <w:proofErr w:type="gramStart"/>
      <w:r w:rsidRPr="001F779C">
        <w:t>22,</w:t>
      </w:r>
      <w:proofErr w:type="gramEnd"/>
      <w:r w:rsidRPr="001F779C">
        <w:t xml:space="preserve"> $</w:t>
      </w:r>
      <w:r>
        <w:t>66.4 billion low</w:t>
      </w:r>
      <w:r w:rsidRPr="001F779C">
        <w:t>er than projected in the previous national outlook</w:t>
      </w:r>
      <w:r>
        <w:t xml:space="preserve"> (Figure 1</w:t>
      </w:r>
      <w:r w:rsidR="00581BA8">
        <w:t>–</w:t>
      </w:r>
      <w:r>
        <w:t xml:space="preserve">8).  </w:t>
      </w:r>
      <w:r w:rsidRPr="00600B00">
        <w:t xml:space="preserve">This substantial </w:t>
      </w:r>
      <w:r>
        <w:t>de</w:t>
      </w:r>
      <w:r w:rsidRPr="00600B00">
        <w:t xml:space="preserve">crease is largely driven by </w:t>
      </w:r>
      <w:r>
        <w:t xml:space="preserve">Victoria and </w:t>
      </w:r>
      <w:r w:rsidRPr="00600B00">
        <w:t xml:space="preserve">New South </w:t>
      </w:r>
      <w:r>
        <w:t>Wales</w:t>
      </w:r>
      <w:r w:rsidRPr="00600B00">
        <w:t xml:space="preserve"> whose net </w:t>
      </w:r>
      <w:r>
        <w:t>financial worth</w:t>
      </w:r>
      <w:r w:rsidRPr="00600B00">
        <w:t xml:space="preserve"> </w:t>
      </w:r>
      <w:r>
        <w:t xml:space="preserve">in </w:t>
      </w:r>
      <w:r w:rsidRPr="001F779C">
        <w:t>2021–22</w:t>
      </w:r>
      <w:r>
        <w:t xml:space="preserve"> has been revised down</w:t>
      </w:r>
      <w:r w:rsidRPr="00600B00">
        <w:t>wards by $</w:t>
      </w:r>
      <w:r>
        <w:t>23.9</w:t>
      </w:r>
      <w:r w:rsidRPr="00600B00">
        <w:t> billion and $</w:t>
      </w:r>
      <w:r>
        <w:t xml:space="preserve">22.1 </w:t>
      </w:r>
      <w:r w:rsidRPr="00600B00">
        <w:t>billion</w:t>
      </w:r>
      <w:r>
        <w:t>,</w:t>
      </w:r>
      <w:r w:rsidRPr="00600B00">
        <w:t xml:space="preserve"> respectively.  </w:t>
      </w:r>
      <w:r>
        <w:t xml:space="preserve">The revision to state net financial worth </w:t>
      </w:r>
      <w:r w:rsidRPr="00E84EFD">
        <w:t xml:space="preserve">is </w:t>
      </w:r>
      <w:r w:rsidR="00502179">
        <w:t>caused by</w:t>
      </w:r>
      <w:r w:rsidRPr="00E84EFD">
        <w:t xml:space="preserve"> the same factors driving the </w:t>
      </w:r>
      <w:r>
        <w:t>upward revision</w:t>
      </w:r>
      <w:r w:rsidRPr="00E84EFD">
        <w:t xml:space="preserve"> in </w:t>
      </w:r>
      <w:r w:rsidRPr="00EF283A">
        <w:t>net debt</w:t>
      </w:r>
      <w:r>
        <w:t>, including higher infrastructure investment and changes to accounting standards,</w:t>
      </w:r>
      <w:r w:rsidRPr="00EF283A">
        <w:t xml:space="preserve"> in </w:t>
      </w:r>
      <w:r>
        <w:t>combination with</w:t>
      </w:r>
      <w:r w:rsidRPr="00EF283A">
        <w:t xml:space="preserve"> revaluations of defined benefit superannuation liabilit</w:t>
      </w:r>
      <w:r>
        <w:t>ies</w:t>
      </w:r>
      <w:r w:rsidRPr="00EF283A">
        <w:t>.</w:t>
      </w:r>
      <w:r w:rsidDel="00494959">
        <w:t xml:space="preserve"> </w:t>
      </w:r>
    </w:p>
    <w:tbl>
      <w:tblPr>
        <w:tblStyle w:val="TablePlaceholder"/>
        <w:tblW w:w="8504" w:type="dxa"/>
        <w:jc w:val="center"/>
        <w:tblLayout w:type="fixed"/>
        <w:tblLook w:val="04A0" w:firstRow="1" w:lastRow="0" w:firstColumn="1" w:lastColumn="0" w:noHBand="0" w:noVBand="1"/>
      </w:tblPr>
      <w:tblGrid>
        <w:gridCol w:w="4395"/>
        <w:gridCol w:w="4109"/>
      </w:tblGrid>
      <w:tr w:rsidR="009B2A6D" w:rsidTr="00DB1201">
        <w:trPr>
          <w:jc w:val="center"/>
        </w:trPr>
        <w:tc>
          <w:tcPr>
            <w:tcW w:w="4395" w:type="dxa"/>
          </w:tcPr>
          <w:p w:rsidR="009B2A6D" w:rsidRPr="002E47C9" w:rsidRDefault="009B2A6D" w:rsidP="0031588A">
            <w:pPr>
              <w:pStyle w:val="Caption"/>
            </w:pPr>
            <w:r w:rsidRPr="002E47C9">
              <w:t xml:space="preserve">Figure </w:t>
            </w:r>
            <w:r>
              <w:rPr>
                <w:noProof/>
              </w:rPr>
              <w:t>1</w:t>
            </w:r>
            <w:r w:rsidRPr="002E47C9">
              <w:t>–</w:t>
            </w:r>
            <w:r>
              <w:rPr>
                <w:noProof/>
              </w:rPr>
              <w:t>7</w:t>
            </w:r>
            <w:r w:rsidRPr="002E47C9">
              <w:t xml:space="preserve">: </w:t>
            </w:r>
            <w:r>
              <w:t>National net financial worth</w:t>
            </w:r>
          </w:p>
          <w:p w:rsidR="009B2A6D" w:rsidRDefault="009B2A6D" w:rsidP="0031588A">
            <w:pPr>
              <w:pStyle w:val="CaptionDescriptor"/>
            </w:pPr>
          </w:p>
        </w:tc>
        <w:tc>
          <w:tcPr>
            <w:tcW w:w="4109" w:type="dxa"/>
          </w:tcPr>
          <w:p w:rsidR="009B2A6D" w:rsidRDefault="009B2A6D" w:rsidP="0031588A">
            <w:pPr>
              <w:pStyle w:val="Caption"/>
            </w:pPr>
            <w:r w:rsidRPr="00E112E7">
              <w:t xml:space="preserve">Figure </w:t>
            </w:r>
            <w:r>
              <w:t>1</w:t>
            </w:r>
            <w:r w:rsidRPr="00E112E7">
              <w:t>–</w:t>
            </w:r>
            <w:r>
              <w:t>8</w:t>
            </w:r>
            <w:r w:rsidRPr="00E112E7">
              <w:t xml:space="preserve">: </w:t>
            </w:r>
            <w:r>
              <w:t xml:space="preserve">Change in net financial worth since </w:t>
            </w:r>
            <w:r w:rsidRPr="00460FB2">
              <w:t>2018–19</w:t>
            </w:r>
            <w:r w:rsidR="00F905F1">
              <w:t xml:space="preserve"> outlook</w:t>
            </w:r>
          </w:p>
        </w:tc>
      </w:tr>
      <w:tr w:rsidR="00C07EB5" w:rsidTr="00DB1201">
        <w:trPr>
          <w:trHeight w:val="2835"/>
          <w:jc w:val="center"/>
        </w:trPr>
        <w:tc>
          <w:tcPr>
            <w:tcW w:w="4395" w:type="dxa"/>
          </w:tcPr>
          <w:p w:rsidR="00C07EB5" w:rsidDel="00EA254B" w:rsidRDefault="004535BB" w:rsidP="0031588A">
            <w:pPr>
              <w:keepNext/>
              <w:jc w:val="center"/>
            </w:pPr>
            <w:r>
              <w:rPr>
                <w:noProof/>
                <w:lang w:eastAsia="en-AU"/>
              </w:rPr>
              <w:drawing>
                <wp:inline distT="0" distB="0" distL="0" distR="0" wp14:anchorId="37081AAD" wp14:editId="4CF43CBB">
                  <wp:extent cx="2592000" cy="3198315"/>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9 National Fiscal Outlook report_Graphs_04_Figure 1-3-1-4_Figure 1-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92000" cy="3198315"/>
                          </a:xfrm>
                          <a:prstGeom prst="rect">
                            <a:avLst/>
                          </a:prstGeom>
                        </pic:spPr>
                      </pic:pic>
                    </a:graphicData>
                  </a:graphic>
                </wp:inline>
              </w:drawing>
            </w:r>
          </w:p>
        </w:tc>
        <w:tc>
          <w:tcPr>
            <w:tcW w:w="4109" w:type="dxa"/>
          </w:tcPr>
          <w:p w:rsidR="00C07EB5" w:rsidRDefault="00C07EB5">
            <w:pPr>
              <w:keepNext/>
              <w:jc w:val="center"/>
            </w:pPr>
            <w:r>
              <w:rPr>
                <w:noProof/>
                <w:lang w:eastAsia="en-AU"/>
              </w:rPr>
              <w:drawing>
                <wp:inline distT="0" distB="0" distL="0" distR="0" wp14:anchorId="50CAC2A0" wp14:editId="0D995529">
                  <wp:extent cx="2592000" cy="3198548"/>
                  <wp:effectExtent l="0" t="0" r="0" b="1905"/>
                  <wp:docPr id="44" name="Picture 4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19 National Fiscal Outlook report_Graphs_04_Figure 1-3-1-4_Figure 1-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92000" cy="3198548"/>
                          </a:xfrm>
                          <a:prstGeom prst="rect">
                            <a:avLst/>
                          </a:prstGeom>
                        </pic:spPr>
                      </pic:pic>
                    </a:graphicData>
                  </a:graphic>
                </wp:inline>
              </w:drawing>
            </w:r>
          </w:p>
        </w:tc>
      </w:tr>
      <w:tr w:rsidR="009B2A6D" w:rsidTr="00DB1201">
        <w:trPr>
          <w:trHeight w:val="454"/>
          <w:jc w:val="center"/>
        </w:trPr>
        <w:tc>
          <w:tcPr>
            <w:tcW w:w="4395" w:type="dxa"/>
          </w:tcPr>
          <w:p w:rsidR="009B2A6D" w:rsidRDefault="009B2A6D" w:rsidP="009B3215">
            <w:pPr>
              <w:pStyle w:val="Source"/>
              <w:spacing w:before="40"/>
              <w:ind w:left="568"/>
            </w:pPr>
            <w:r>
              <w:t>Source: ABS, Commonwealth and state budget papers</w:t>
            </w:r>
            <w:r w:rsidR="00F54CB8">
              <w:t xml:space="preserve"> and</w:t>
            </w:r>
            <w:r>
              <w:t xml:space="preserve"> PBO analysis.</w:t>
            </w:r>
          </w:p>
        </w:tc>
        <w:tc>
          <w:tcPr>
            <w:tcW w:w="4109" w:type="dxa"/>
          </w:tcPr>
          <w:p w:rsidR="009B2A6D" w:rsidRDefault="009B2A6D">
            <w:pPr>
              <w:pStyle w:val="Source"/>
              <w:keepNext/>
              <w:spacing w:before="40"/>
              <w:ind w:left="427"/>
            </w:pPr>
            <w:r>
              <w:t>Source: ABS, Commonwealth and state budget papers</w:t>
            </w:r>
            <w:r w:rsidR="00F54CB8">
              <w:t xml:space="preserve"> and</w:t>
            </w:r>
            <w:r>
              <w:t xml:space="preserve"> PBO analysis.</w:t>
            </w:r>
          </w:p>
        </w:tc>
      </w:tr>
    </w:tbl>
    <w:p w:rsidR="00C86A16" w:rsidRPr="000E1004" w:rsidRDefault="00C86A16" w:rsidP="009D1224">
      <w:pPr>
        <w:pStyle w:val="BodyText17ptAbove"/>
      </w:pPr>
    </w:p>
    <w:tbl>
      <w:tblPr>
        <w:tblStyle w:val="BoxPlaceholder"/>
        <w:tblW w:w="8789" w:type="dxa"/>
        <w:tblLayout w:type="fixed"/>
        <w:tblLook w:val="04A0" w:firstRow="1" w:lastRow="0" w:firstColumn="1" w:lastColumn="0" w:noHBand="0" w:noVBand="1"/>
      </w:tblPr>
      <w:tblGrid>
        <w:gridCol w:w="8789"/>
      </w:tblGrid>
      <w:tr w:rsidR="00F94208" w:rsidRPr="00233BE7" w:rsidTr="0080774A">
        <w:trPr>
          <w:trHeight w:val="25"/>
        </w:trPr>
        <w:tc>
          <w:tcPr>
            <w:tcW w:w="8789" w:type="dxa"/>
          </w:tcPr>
          <w:p w:rsidR="00F94208" w:rsidRPr="00846B2B" w:rsidRDefault="00F94208" w:rsidP="0080774A">
            <w:pPr>
              <w:pStyle w:val="CaptionLeft"/>
              <w:rPr>
                <w:sz w:val="28"/>
                <w:szCs w:val="28"/>
              </w:rPr>
            </w:pPr>
            <w:r w:rsidRPr="00846B2B">
              <w:rPr>
                <w:sz w:val="28"/>
                <w:szCs w:val="28"/>
              </w:rPr>
              <w:lastRenderedPageBreak/>
              <w:t>Box</w:t>
            </w:r>
            <w:r w:rsidR="005D041A">
              <w:rPr>
                <w:sz w:val="28"/>
                <w:szCs w:val="28"/>
              </w:rPr>
              <w:t> </w:t>
            </w:r>
            <w:r w:rsidRPr="00846B2B">
              <w:rPr>
                <w:sz w:val="28"/>
                <w:szCs w:val="28"/>
              </w:rPr>
              <w:fldChar w:fldCharType="begin"/>
            </w:r>
            <w:r w:rsidRPr="00846B2B">
              <w:rPr>
                <w:sz w:val="28"/>
                <w:szCs w:val="28"/>
              </w:rPr>
              <w:instrText xml:space="preserve"> SEQ Box \* ARABIC </w:instrText>
            </w:r>
            <w:r w:rsidRPr="00846B2B">
              <w:rPr>
                <w:sz w:val="28"/>
                <w:szCs w:val="28"/>
              </w:rPr>
              <w:fldChar w:fldCharType="separate"/>
            </w:r>
            <w:r w:rsidR="0070188F">
              <w:rPr>
                <w:noProof/>
                <w:sz w:val="28"/>
                <w:szCs w:val="28"/>
              </w:rPr>
              <w:t>1</w:t>
            </w:r>
            <w:r w:rsidRPr="00846B2B">
              <w:rPr>
                <w:noProof/>
                <w:sz w:val="28"/>
                <w:szCs w:val="28"/>
              </w:rPr>
              <w:fldChar w:fldCharType="end"/>
            </w:r>
            <w:r w:rsidRPr="00846B2B">
              <w:rPr>
                <w:sz w:val="28"/>
                <w:szCs w:val="28"/>
              </w:rPr>
              <w:t xml:space="preserve">: </w:t>
            </w:r>
            <w:r w:rsidR="00055F1D">
              <w:rPr>
                <w:sz w:val="28"/>
                <w:szCs w:val="28"/>
              </w:rPr>
              <w:t xml:space="preserve">Impact on net debt </w:t>
            </w:r>
            <w:r w:rsidR="00113C9E">
              <w:rPr>
                <w:sz w:val="28"/>
                <w:szCs w:val="28"/>
              </w:rPr>
              <w:t>of new accounting standard</w:t>
            </w:r>
            <w:r w:rsidR="00154EA5">
              <w:rPr>
                <w:sz w:val="28"/>
                <w:szCs w:val="28"/>
              </w:rPr>
              <w:t>s</w:t>
            </w:r>
            <w:r w:rsidR="00055F1D">
              <w:rPr>
                <w:sz w:val="28"/>
                <w:szCs w:val="28"/>
              </w:rPr>
              <w:t xml:space="preserve"> for leases</w:t>
            </w:r>
          </w:p>
          <w:p w:rsidR="00010F6C" w:rsidRDefault="00055F1D" w:rsidP="00010F6C">
            <w:pPr>
              <w:pStyle w:val="BodyText"/>
            </w:pPr>
            <w:r>
              <w:t>Multiple changes to accounting standards have come into effect since the previous outlook</w:t>
            </w:r>
            <w:r w:rsidR="00635205">
              <w:t>.  While accounting standards are continuously improved, their impacts on fiscal measures are mostly minor.</w:t>
            </w:r>
            <w:r w:rsidR="0066440E">
              <w:t xml:space="preserve"> </w:t>
            </w:r>
            <w:r w:rsidR="00635205">
              <w:t xml:space="preserve"> In this case, however, </w:t>
            </w:r>
            <w:r w:rsidR="0066440E">
              <w:t>a</w:t>
            </w:r>
            <w:r>
              <w:t xml:space="preserve"> new standard relating to leases </w:t>
            </w:r>
            <w:r w:rsidR="00635205">
              <w:t xml:space="preserve">is </w:t>
            </w:r>
            <w:r>
              <w:t>expected to increas</w:t>
            </w:r>
            <w:r w:rsidR="00635205">
              <w:t>e</w:t>
            </w:r>
            <w:r w:rsidR="000D2740">
              <w:t xml:space="preserve"> state net debt by around 1 per cent of GDP in 2019</w:t>
            </w:r>
            <w:r w:rsidR="00581BA8">
              <w:t>–</w:t>
            </w:r>
            <w:r w:rsidR="000D2740">
              <w:t>20.</w:t>
            </w:r>
            <w:r w:rsidR="00C03E26">
              <w:rPr>
                <w:rStyle w:val="FootnoteReference"/>
              </w:rPr>
              <w:footnoteReference w:id="8"/>
            </w:r>
            <w:r w:rsidR="000D2740">
              <w:t xml:space="preserve">  </w:t>
            </w:r>
            <w:r w:rsidR="0066440E">
              <w:t>N</w:t>
            </w:r>
            <w:r w:rsidR="00010F6C">
              <w:t>ew standard</w:t>
            </w:r>
            <w:r w:rsidR="0066440E">
              <w:t xml:space="preserve"> </w:t>
            </w:r>
            <w:r w:rsidR="00635205">
              <w:t xml:space="preserve">AASB 16 </w:t>
            </w:r>
            <w:r w:rsidR="00635205">
              <w:rPr>
                <w:i/>
              </w:rPr>
              <w:t>Lease</w:t>
            </w:r>
            <w:r w:rsidR="0066440E">
              <w:rPr>
                <w:i/>
              </w:rPr>
              <w:t>s</w:t>
            </w:r>
            <w:r w:rsidR="00635205">
              <w:rPr>
                <w:i/>
              </w:rPr>
              <w:t xml:space="preserve"> </w:t>
            </w:r>
            <w:r w:rsidR="00010F6C">
              <w:t>requires</w:t>
            </w:r>
            <w:r w:rsidR="00010F6C" w:rsidRPr="009F6B49">
              <w:t xml:space="preserve"> lease commitment</w:t>
            </w:r>
            <w:r w:rsidR="00C03E26">
              <w:t>s</w:t>
            </w:r>
            <w:r w:rsidR="00010F6C" w:rsidRPr="009F6B49">
              <w:t xml:space="preserve"> </w:t>
            </w:r>
            <w:r w:rsidR="00010F6C">
              <w:t>to</w:t>
            </w:r>
            <w:r w:rsidR="00010F6C" w:rsidRPr="009F6B49">
              <w:t xml:space="preserve"> be included </w:t>
            </w:r>
            <w:r w:rsidR="00D13BFC">
              <w:t xml:space="preserve">upfront </w:t>
            </w:r>
            <w:r w:rsidR="00010F6C" w:rsidRPr="009F6B49">
              <w:t>as liabilit</w:t>
            </w:r>
            <w:r w:rsidR="0066440E">
              <w:t>ies</w:t>
            </w:r>
            <w:r w:rsidR="00010F6C" w:rsidRPr="009F6B49">
              <w:t xml:space="preserve"> on the balance sheet</w:t>
            </w:r>
            <w:r w:rsidR="00010F6C">
              <w:t xml:space="preserve"> (previously</w:t>
            </w:r>
            <w:r w:rsidR="00010F6C" w:rsidRPr="009F6B49">
              <w:t xml:space="preserve"> </w:t>
            </w:r>
            <w:r w:rsidR="008147E1">
              <w:t xml:space="preserve">most </w:t>
            </w:r>
            <w:r w:rsidR="00010F6C" w:rsidRPr="009F6B49">
              <w:t xml:space="preserve">lease payments </w:t>
            </w:r>
            <w:r w:rsidR="00010F6C">
              <w:t xml:space="preserve">were </w:t>
            </w:r>
            <w:r w:rsidR="00010F6C" w:rsidRPr="009F6B49">
              <w:t xml:space="preserve">recognised as they </w:t>
            </w:r>
            <w:r w:rsidR="00010F6C">
              <w:t>we</w:t>
            </w:r>
            <w:r w:rsidR="00010F6C" w:rsidRPr="009F6B49">
              <w:t xml:space="preserve">re </w:t>
            </w:r>
            <w:r w:rsidR="00010F6C">
              <w:t>made)</w:t>
            </w:r>
            <w:r w:rsidR="00010F6C" w:rsidRPr="009F6B49">
              <w:t>.</w:t>
            </w:r>
            <w:r w:rsidR="00010F6C">
              <w:t xml:space="preserve">  </w:t>
            </w:r>
          </w:p>
          <w:p w:rsidR="00055F1D" w:rsidRDefault="00055F1D" w:rsidP="00055F1D">
            <w:pPr>
              <w:spacing w:before="120" w:after="120"/>
              <w:rPr>
                <w:rFonts w:cs="Times New Roman"/>
              </w:rPr>
            </w:pPr>
            <w:r>
              <w:rPr>
                <w:rFonts w:cs="Times New Roman"/>
              </w:rPr>
              <w:t xml:space="preserve">The impact </w:t>
            </w:r>
            <w:r>
              <w:t>on net debt</w:t>
            </w:r>
            <w:r>
              <w:rPr>
                <w:rFonts w:cs="Times New Roman"/>
              </w:rPr>
              <w:t xml:space="preserve"> is expected to be significant in most states (Figure 1–9) as operating leases are often used when renting office space and in other areas, such as vehicle fleet arrangements.</w:t>
            </w:r>
            <w:r>
              <w:t xml:space="preserve">  </w:t>
            </w:r>
            <w:r w:rsidR="00010F6C">
              <w:rPr>
                <w:rFonts w:cs="Times New Roman"/>
              </w:rPr>
              <w:t>The t</w:t>
            </w:r>
            <w:r>
              <w:rPr>
                <w:rFonts w:cs="Times New Roman"/>
              </w:rPr>
              <w:t xml:space="preserve">otal increase in aggregate state net debt from this change </w:t>
            </w:r>
            <w:r w:rsidR="00010F6C">
              <w:rPr>
                <w:rFonts w:cs="Times New Roman"/>
              </w:rPr>
              <w:t>is expected</w:t>
            </w:r>
            <w:r w:rsidR="00850DF6">
              <w:rPr>
                <w:rFonts w:cs="Times New Roman"/>
              </w:rPr>
              <w:br/>
            </w:r>
            <w:r w:rsidR="00010F6C">
              <w:rPr>
                <w:rFonts w:cs="Times New Roman"/>
              </w:rPr>
              <w:t>to be</w:t>
            </w:r>
            <w:r>
              <w:rPr>
                <w:rFonts w:cs="Times New Roman"/>
              </w:rPr>
              <w:t xml:space="preserve"> </w:t>
            </w:r>
            <w:r w:rsidR="00E21938">
              <w:rPr>
                <w:rFonts w:cs="Times New Roman"/>
              </w:rPr>
              <w:t>around </w:t>
            </w:r>
            <w:r>
              <w:rPr>
                <w:rFonts w:cs="Times New Roman"/>
              </w:rPr>
              <w:t>$20.</w:t>
            </w:r>
            <w:r w:rsidR="00E455C4">
              <w:rPr>
                <w:rFonts w:cs="Times New Roman"/>
              </w:rPr>
              <w:t xml:space="preserve">0 </w:t>
            </w:r>
            <w:r>
              <w:rPr>
                <w:rFonts w:cs="Times New Roman"/>
              </w:rPr>
              <w:t xml:space="preserve">billion (1.0 per cent of GDP) in 2019–20.  </w:t>
            </w:r>
          </w:p>
          <w:p w:rsidR="00055F1D" w:rsidRPr="00846B2B" w:rsidRDefault="00055F1D" w:rsidP="00055F1D">
            <w:pPr>
              <w:pStyle w:val="Caption"/>
              <w:spacing w:before="240"/>
            </w:pPr>
            <w:r w:rsidRPr="00846B2B">
              <w:t xml:space="preserve">Figure </w:t>
            </w:r>
            <w:r w:rsidRPr="00023F62">
              <w:fldChar w:fldCharType="begin"/>
            </w:r>
            <w:r w:rsidRPr="00846B2B">
              <w:instrText xml:space="preserve"> STYLEREF 1 \s </w:instrText>
            </w:r>
            <w:r w:rsidRPr="00023F62">
              <w:fldChar w:fldCharType="separate"/>
            </w:r>
            <w:r w:rsidR="0070188F">
              <w:rPr>
                <w:noProof/>
              </w:rPr>
              <w:t>1</w:t>
            </w:r>
            <w:r w:rsidRPr="00023F62">
              <w:fldChar w:fldCharType="end"/>
            </w:r>
            <w:r w:rsidRPr="00846B2B">
              <w:t>–</w:t>
            </w:r>
            <w:r>
              <w:t>9</w:t>
            </w:r>
            <w:r w:rsidRPr="00846B2B">
              <w:t xml:space="preserve">: </w:t>
            </w:r>
            <w:r>
              <w:t>Impact of new lease accounting standard on net debt in 2019–20</w:t>
            </w:r>
          </w:p>
          <w:p w:rsidR="00055F1D" w:rsidRPr="007940A3" w:rsidRDefault="00E455C4" w:rsidP="00055F1D">
            <w:pPr>
              <w:pStyle w:val="CaptionDescriptor"/>
            </w:pPr>
            <w:r>
              <w:rPr>
                <w:noProof/>
                <w:lang w:eastAsia="en-AU"/>
              </w:rPr>
              <w:drawing>
                <wp:inline distT="0" distB="0" distL="0" distR="0" wp14:anchorId="4E64C1FD" wp14:editId="0A72D451">
                  <wp:extent cx="5184000" cy="318576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184000" cy="3185762"/>
                          </a:xfrm>
                          <a:prstGeom prst="rect">
                            <a:avLst/>
                          </a:prstGeom>
                          <a:noFill/>
                        </pic:spPr>
                      </pic:pic>
                    </a:graphicData>
                  </a:graphic>
                </wp:inline>
              </w:drawing>
            </w:r>
          </w:p>
          <w:p w:rsidR="00055F1D" w:rsidRDefault="009045FA" w:rsidP="00DB1201">
            <w:pPr>
              <w:pStyle w:val="Source"/>
              <w:ind w:left="567"/>
            </w:pPr>
            <w:r w:rsidRPr="003F66CD">
              <w:t xml:space="preserve">Note: </w:t>
            </w:r>
            <w:r w:rsidR="00C23677" w:rsidRPr="00043D6D">
              <w:t xml:space="preserve">Estimate of net debt </w:t>
            </w:r>
            <w:r w:rsidR="00C23677" w:rsidRPr="00B8768A">
              <w:t xml:space="preserve">for Victoria </w:t>
            </w:r>
            <w:r w:rsidR="00C23677" w:rsidRPr="00043D6D">
              <w:t xml:space="preserve">with impact of AASB16 includes </w:t>
            </w:r>
            <w:r w:rsidR="006F423C">
              <w:t>the</w:t>
            </w:r>
            <w:r w:rsidR="00C733CC" w:rsidRPr="00043D6D">
              <w:t xml:space="preserve"> </w:t>
            </w:r>
            <w:r w:rsidR="00C23677" w:rsidRPr="00043D6D">
              <w:t xml:space="preserve">impact of other </w:t>
            </w:r>
            <w:r w:rsidR="00C23677" w:rsidRPr="00B8768A">
              <w:t xml:space="preserve">new </w:t>
            </w:r>
            <w:r w:rsidR="00C23677" w:rsidRPr="003F66CD">
              <w:t xml:space="preserve">accounting standards that came into effect </w:t>
            </w:r>
            <w:r w:rsidR="00C23677" w:rsidRPr="00B8768A">
              <w:t>in</w:t>
            </w:r>
            <w:r w:rsidR="00C23677" w:rsidRPr="003F66CD">
              <w:t xml:space="preserve"> 2019</w:t>
            </w:r>
            <w:r w:rsidR="0098538D">
              <w:t>–</w:t>
            </w:r>
            <w:r w:rsidR="00C23677" w:rsidRPr="003F66CD">
              <w:t>20</w:t>
            </w:r>
            <w:r w:rsidRPr="00043D6D">
              <w:t xml:space="preserve">. </w:t>
            </w:r>
            <w:r>
              <w:br/>
            </w:r>
            <w:r w:rsidR="00055F1D" w:rsidRPr="00FD3C7E">
              <w:t xml:space="preserve">Source: </w:t>
            </w:r>
            <w:r w:rsidR="00055F1D">
              <w:t>State budget papers</w:t>
            </w:r>
            <w:r w:rsidR="00F54CB8">
              <w:t xml:space="preserve"> and</w:t>
            </w:r>
            <w:r w:rsidR="00055F1D">
              <w:t xml:space="preserve"> PBO analysis.</w:t>
            </w:r>
          </w:p>
          <w:p w:rsidR="00010F6C" w:rsidRPr="00DB1201" w:rsidRDefault="00010F6C" w:rsidP="006F69FC">
            <w:pPr>
              <w:pStyle w:val="BodyText"/>
              <w:rPr>
                <w:spacing w:val="-2"/>
              </w:rPr>
            </w:pPr>
            <w:r w:rsidRPr="00DB1201">
              <w:rPr>
                <w:spacing w:val="-2"/>
              </w:rPr>
              <w:t>The absolute impact on net debt is greatest in Victoria, New South Wales and Western</w:t>
            </w:r>
            <w:r w:rsidR="0037598E" w:rsidRPr="00DB1201">
              <w:rPr>
                <w:spacing w:val="-2"/>
              </w:rPr>
              <w:t> </w:t>
            </w:r>
            <w:r w:rsidRPr="00DB1201">
              <w:rPr>
                <w:spacing w:val="-2"/>
              </w:rPr>
              <w:t xml:space="preserve">Australia, where it is expected to increase net debt by $8.1 billion, $3.8 billion and $3.4 billion respectively in 2019–20.    </w:t>
            </w:r>
          </w:p>
          <w:p w:rsidR="00513B60" w:rsidRPr="00681AD4" w:rsidRDefault="000D2740" w:rsidP="00B8768A">
            <w:pPr>
              <w:spacing w:before="120" w:after="240"/>
            </w:pPr>
            <w:r>
              <w:t>The</w:t>
            </w:r>
            <w:r w:rsidR="00C03E26">
              <w:t>s</w:t>
            </w:r>
            <w:r w:rsidR="00635205">
              <w:t>e</w:t>
            </w:r>
            <w:r w:rsidR="00010F6C">
              <w:t xml:space="preserve"> change</w:t>
            </w:r>
            <w:r w:rsidR="00C03E26">
              <w:t>s</w:t>
            </w:r>
            <w:r w:rsidR="00010F6C">
              <w:t xml:space="preserve"> w</w:t>
            </w:r>
            <w:r w:rsidR="00C03E26">
              <w:t>ere</w:t>
            </w:r>
            <w:r w:rsidR="00010F6C">
              <w:t xml:space="preserve"> not reflected in the most recent budget update for the Commonwealth.  The</w:t>
            </w:r>
            <w:r>
              <w:t xml:space="preserve"> 2019–20 Budget stated that future </w:t>
            </w:r>
            <w:r w:rsidRPr="001B3A78">
              <w:t xml:space="preserve">estimates </w:t>
            </w:r>
            <w:r w:rsidR="00010F6C">
              <w:t>would</w:t>
            </w:r>
            <w:r w:rsidR="00010F6C" w:rsidRPr="001B3A78">
              <w:t xml:space="preserve"> </w:t>
            </w:r>
            <w:r w:rsidRPr="001B3A78">
              <w:t xml:space="preserve">be updated to reflect the changed treatment of leases </w:t>
            </w:r>
            <w:r>
              <w:t>‘</w:t>
            </w:r>
            <w:r w:rsidRPr="001B3A78">
              <w:t>following finalisation of implementation arrangements</w:t>
            </w:r>
            <w:r>
              <w:t>’.</w:t>
            </w:r>
            <w:r w:rsidR="00EB2B99" w:rsidDel="00EB2B99">
              <w:t xml:space="preserve"> </w:t>
            </w:r>
          </w:p>
        </w:tc>
      </w:tr>
    </w:tbl>
    <w:p w:rsidR="00D740C6" w:rsidRPr="00AF4905" w:rsidRDefault="00D740C6" w:rsidP="00AF4905">
      <w:pPr>
        <w:pStyle w:val="BodyText"/>
      </w:pPr>
    </w:p>
    <w:p w:rsidR="006650C5" w:rsidRDefault="006650C5" w:rsidP="00DF0236">
      <w:pPr>
        <w:pStyle w:val="Heading1"/>
        <w:spacing w:after="440"/>
      </w:pPr>
      <w:bookmarkStart w:id="30" w:name="_Toc24101678"/>
      <w:bookmarkStart w:id="31" w:name="_Toc25676869"/>
      <w:r w:rsidRPr="0051715D">
        <w:lastRenderedPageBreak/>
        <w:t xml:space="preserve">Trends in </w:t>
      </w:r>
      <w:r w:rsidR="00683570">
        <w:t>Commonwealth</w:t>
      </w:r>
      <w:r w:rsidR="0054508D">
        <w:t xml:space="preserve"> </w:t>
      </w:r>
      <w:r w:rsidR="00683570">
        <w:t xml:space="preserve">and state </w:t>
      </w:r>
      <w:bookmarkEnd w:id="30"/>
      <w:r w:rsidR="0054508D">
        <w:t xml:space="preserve">fiscal </w:t>
      </w:r>
      <w:r w:rsidR="00EB2B99">
        <w:t>outlooks</w:t>
      </w:r>
      <w:bookmarkEnd w:id="31"/>
    </w:p>
    <w:p w:rsidR="00D8503C" w:rsidRDefault="00D8503C" w:rsidP="00C61230">
      <w:pPr>
        <w:pStyle w:val="BodyText"/>
      </w:pPr>
      <w:r w:rsidRPr="0051715D">
        <w:t>This section breaks down the national fiscal outlook between the Commonwealth and the states.</w:t>
      </w:r>
      <w:r w:rsidR="00850DF6">
        <w:br/>
      </w:r>
      <w:r w:rsidRPr="0051715D">
        <w:t>It analyses trends in revenue, expenses, net capital investment</w:t>
      </w:r>
      <w:r w:rsidR="008B508C">
        <w:t>,</w:t>
      </w:r>
      <w:r w:rsidRPr="0051715D">
        <w:t xml:space="preserve"> net debt </w:t>
      </w:r>
      <w:r w:rsidR="008B508C">
        <w:t xml:space="preserve">and net financial worth </w:t>
      </w:r>
      <w:r w:rsidRPr="0051715D">
        <w:t>over the forward estimates period</w:t>
      </w:r>
      <w:r w:rsidR="00D24C77">
        <w:t>.</w:t>
      </w:r>
      <w:r w:rsidR="00025594">
        <w:t xml:space="preserve">  </w:t>
      </w:r>
    </w:p>
    <w:p w:rsidR="0051715D" w:rsidRDefault="0051715D" w:rsidP="0051715D">
      <w:pPr>
        <w:pStyle w:val="Heading2"/>
      </w:pPr>
      <w:bookmarkStart w:id="32" w:name="_Toc24101679"/>
      <w:bookmarkStart w:id="33" w:name="_Toc25676870"/>
      <w:r w:rsidRPr="0051715D">
        <w:t>Commonwealth trends</w:t>
      </w:r>
      <w:bookmarkEnd w:id="32"/>
      <w:bookmarkEnd w:id="33"/>
    </w:p>
    <w:p w:rsidR="00C84070" w:rsidRDefault="00C84070" w:rsidP="00C84070">
      <w:pPr>
        <w:pStyle w:val="Heading3"/>
      </w:pPr>
      <w:bookmarkStart w:id="34" w:name="_Ref23929882"/>
      <w:r>
        <w:t xml:space="preserve">Trends in Commonwealth revenue and </w:t>
      </w:r>
      <w:r w:rsidR="001E380A">
        <w:t>expenses</w:t>
      </w:r>
      <w:bookmarkEnd w:id="34"/>
    </w:p>
    <w:p w:rsidR="00C1075A" w:rsidRDefault="003335CF" w:rsidP="00C1075A">
      <w:pPr>
        <w:pStyle w:val="BodyText"/>
      </w:pPr>
      <w:r>
        <w:t xml:space="preserve">The </w:t>
      </w:r>
      <w:r w:rsidR="00D8503C">
        <w:t>Commonwealth budget project</w:t>
      </w:r>
      <w:r>
        <w:t>s</w:t>
      </w:r>
      <w:r w:rsidR="00D8503C">
        <w:t xml:space="preserve"> </w:t>
      </w:r>
      <w:r w:rsidR="00285095">
        <w:t xml:space="preserve">that </w:t>
      </w:r>
      <w:r w:rsidR="001E380A">
        <w:t xml:space="preserve">expenses </w:t>
      </w:r>
      <w:r w:rsidR="00285095">
        <w:t xml:space="preserve">will </w:t>
      </w:r>
      <w:r w:rsidR="00F43846">
        <w:t>fall</w:t>
      </w:r>
      <w:r w:rsidR="00FA5D6C">
        <w:t xml:space="preserve"> over </w:t>
      </w:r>
      <w:r w:rsidR="00FA5D6C" w:rsidRPr="00DE26F2">
        <w:t>the period 201</w:t>
      </w:r>
      <w:r w:rsidR="00FA5D6C">
        <w:t>8–</w:t>
      </w:r>
      <w:r w:rsidR="00FA5D6C" w:rsidRPr="00DE26F2">
        <w:t>1</w:t>
      </w:r>
      <w:r w:rsidR="00FA5D6C">
        <w:t>9</w:t>
      </w:r>
      <w:r w:rsidR="00FA5D6C" w:rsidRPr="00DE26F2">
        <w:t xml:space="preserve"> to 20</w:t>
      </w:r>
      <w:r w:rsidR="00FA5D6C">
        <w:t>2</w:t>
      </w:r>
      <w:r w:rsidR="005D5A0E">
        <w:t>2</w:t>
      </w:r>
      <w:r w:rsidR="00FA5D6C">
        <w:t>–2</w:t>
      </w:r>
      <w:r w:rsidR="005D5A0E">
        <w:t>3</w:t>
      </w:r>
      <w:r w:rsidR="00FA5D6C">
        <w:t xml:space="preserve">, from 25.1 per cent of GDP to 24.6 per cent of GDP, </w:t>
      </w:r>
      <w:r w:rsidR="00AF7984">
        <w:t>driven by ongoing spending restraint and</w:t>
      </w:r>
      <w:r w:rsidR="00AF7984" w:rsidRPr="00105D82">
        <w:t xml:space="preserve"> </w:t>
      </w:r>
      <w:r w:rsidR="00AF7984">
        <w:t xml:space="preserve">a decline in </w:t>
      </w:r>
      <w:r w:rsidR="00AF7984" w:rsidRPr="00105D82">
        <w:t>public debt interest payments</w:t>
      </w:r>
      <w:r w:rsidR="00AF7984">
        <w:t>.  R</w:t>
      </w:r>
      <w:r w:rsidR="00D8503C">
        <w:t>evenue</w:t>
      </w:r>
      <w:r w:rsidR="00FA5D6C">
        <w:t xml:space="preserve"> is projected </w:t>
      </w:r>
      <w:r w:rsidR="00D8503C">
        <w:t xml:space="preserve">to </w:t>
      </w:r>
      <w:r w:rsidR="00FA5D6C">
        <w:t>remain relatively st</w:t>
      </w:r>
      <w:r w:rsidR="00285095">
        <w:t>able</w:t>
      </w:r>
      <w:r w:rsidR="00FA5D6C">
        <w:t xml:space="preserve"> at around 25.6 per cent of GDP</w:t>
      </w:r>
      <w:r w:rsidR="00025594">
        <w:t>, with the profile reflecting the Government's personal income tax cuts</w:t>
      </w:r>
      <w:r w:rsidR="00D8503C">
        <w:t xml:space="preserve"> </w:t>
      </w:r>
      <w:r w:rsidR="00976CC3">
        <w:t>(</w:t>
      </w:r>
      <w:r w:rsidR="00976CC3">
        <w:fldChar w:fldCharType="begin"/>
      </w:r>
      <w:r w:rsidR="00976CC3">
        <w:instrText xml:space="preserve"> REF _Ref529190160 \h </w:instrText>
      </w:r>
      <w:r w:rsidR="00976CC3">
        <w:fldChar w:fldCharType="separate"/>
      </w:r>
      <w:r w:rsidR="0070188F" w:rsidRPr="00DE36BE">
        <w:t>Figure</w:t>
      </w:r>
      <w:r w:rsidR="00DB1201">
        <w:t> </w:t>
      </w:r>
      <w:r w:rsidR="0070188F">
        <w:t>2</w:t>
      </w:r>
      <w:r w:rsidR="0070188F" w:rsidRPr="00DE36BE">
        <w:t>–</w:t>
      </w:r>
      <w:r w:rsidR="0070188F">
        <w:rPr>
          <w:noProof/>
        </w:rPr>
        <w:t>1</w:t>
      </w:r>
      <w:r w:rsidR="00976CC3">
        <w:fldChar w:fldCharType="end"/>
      </w:r>
      <w:r w:rsidR="00976CC3">
        <w:t>)</w:t>
      </w:r>
      <w:r w:rsidR="00D8503C">
        <w:t>.</w:t>
      </w:r>
      <w:r w:rsidR="00976CC3">
        <w:t xml:space="preserve"> </w:t>
      </w:r>
    </w:p>
    <w:p w:rsidR="00C22D4E" w:rsidRDefault="00AF7984" w:rsidP="00DF0236">
      <w:pPr>
        <w:pStyle w:val="BodyText"/>
      </w:pPr>
      <w:r>
        <w:t>O</w:t>
      </w:r>
      <w:r w:rsidR="00105D82">
        <w:t xml:space="preserve">ver the </w:t>
      </w:r>
      <w:r w:rsidR="008B508C">
        <w:t>forward estimates</w:t>
      </w:r>
      <w:r>
        <w:t xml:space="preserve">, </w:t>
      </w:r>
      <w:r w:rsidR="006F2559" w:rsidRPr="00105D82">
        <w:t>the ongoing impact of</w:t>
      </w:r>
      <w:r w:rsidR="006F2559">
        <w:t xml:space="preserve"> previous</w:t>
      </w:r>
      <w:r w:rsidR="006F2559" w:rsidRPr="00105D82">
        <w:t xml:space="preserve"> policy changes</w:t>
      </w:r>
      <w:r w:rsidR="006F2559">
        <w:t xml:space="preserve"> across a number of key payments</w:t>
      </w:r>
      <w:r w:rsidR="006F2559" w:rsidRPr="00105D82">
        <w:t>,</w:t>
      </w:r>
      <w:r w:rsidR="006F2559">
        <w:t xml:space="preserve"> including</w:t>
      </w:r>
      <w:r w:rsidR="006F2559" w:rsidRPr="00105D82">
        <w:t xml:space="preserve"> </w:t>
      </w:r>
      <w:r w:rsidR="006F2559">
        <w:t>family tax benefit</w:t>
      </w:r>
      <w:r w:rsidR="006F2559" w:rsidRPr="00105D82">
        <w:t xml:space="preserve"> </w:t>
      </w:r>
      <w:r w:rsidR="006F2559">
        <w:t xml:space="preserve">and the </w:t>
      </w:r>
      <w:r w:rsidR="006F2559" w:rsidRPr="00105D82">
        <w:t>disability support pension</w:t>
      </w:r>
      <w:r w:rsidR="006F2559">
        <w:t xml:space="preserve">, is a significant source of spending restraint, as is </w:t>
      </w:r>
      <w:r>
        <w:t>s</w:t>
      </w:r>
      <w:r w:rsidR="00105D82" w:rsidRPr="00105D82">
        <w:t>pending on government administration</w:t>
      </w:r>
      <w:r w:rsidR="00C1075A" w:rsidRPr="00105D82">
        <w:t xml:space="preserve">. </w:t>
      </w:r>
      <w:r w:rsidR="00105D82" w:rsidRPr="00105D82">
        <w:t xml:space="preserve"> </w:t>
      </w:r>
      <w:r w:rsidR="006F2559">
        <w:t>While overall spending is projected to fall as a share of GDP, spending on the NDIS is</w:t>
      </w:r>
      <w:r w:rsidR="00C1075A" w:rsidRPr="00105D82">
        <w:t xml:space="preserve"> </w:t>
      </w:r>
      <w:r w:rsidR="003335CF">
        <w:t xml:space="preserve">forecast to </w:t>
      </w:r>
      <w:r w:rsidR="006F2559">
        <w:t xml:space="preserve">increase </w:t>
      </w:r>
      <w:r w:rsidR="00C1075A" w:rsidRPr="00105D82">
        <w:t>as it approaches maturity</w:t>
      </w:r>
      <w:r w:rsidR="003335CF">
        <w:t>, despite underspends in 2017–18 and 2018–19</w:t>
      </w:r>
      <w:r w:rsidR="00C1075A" w:rsidRPr="00105D82">
        <w:t>.</w:t>
      </w:r>
      <w:r w:rsidR="00F43846">
        <w:rPr>
          <w:rStyle w:val="FootnoteReference"/>
        </w:rPr>
        <w:footnoteReference w:id="9"/>
      </w:r>
    </w:p>
    <w:p w:rsidR="0091723D" w:rsidRPr="00105D82" w:rsidRDefault="0091723D" w:rsidP="0091723D">
      <w:pPr>
        <w:pStyle w:val="BodyText"/>
      </w:pPr>
      <w:r w:rsidRPr="00105D82">
        <w:t>The Commonwealth</w:t>
      </w:r>
      <w:r>
        <w:t>’s</w:t>
      </w:r>
      <w:r w:rsidRPr="00105D82">
        <w:t xml:space="preserve"> </w:t>
      </w:r>
      <w:r>
        <w:t xml:space="preserve">direct </w:t>
      </w:r>
      <w:r w:rsidRPr="00105D82">
        <w:t xml:space="preserve">net capital investment is largely </w:t>
      </w:r>
      <w:r>
        <w:t>related to</w:t>
      </w:r>
      <w:r w:rsidRPr="00105D82">
        <w:t xml:space="preserve"> defence</w:t>
      </w:r>
      <w:r>
        <w:t xml:space="preserve"> and is projected to increase from 0.3 per cent of GDP ($6.5 billion) in </w:t>
      </w:r>
      <w:r w:rsidRPr="00DE26F2">
        <w:t>201</w:t>
      </w:r>
      <w:r>
        <w:t>8–</w:t>
      </w:r>
      <w:r w:rsidRPr="00105D82">
        <w:t xml:space="preserve">19 to 0.5 per cent of GDP ($10.8 billion) </w:t>
      </w:r>
      <w:r>
        <w:t xml:space="preserve">in </w:t>
      </w:r>
      <w:r w:rsidRPr="00105D82">
        <w:t>202</w:t>
      </w:r>
      <w:r>
        <w:t>2</w:t>
      </w:r>
      <w:r w:rsidRPr="00105D82">
        <w:t>–2</w:t>
      </w:r>
      <w:r>
        <w:t>3</w:t>
      </w:r>
      <w:r w:rsidRPr="00105D82">
        <w:t xml:space="preserve"> (</w:t>
      </w:r>
      <w:r>
        <w:t>Figure 2–2</w:t>
      </w:r>
      <w:r w:rsidRPr="00105D82">
        <w:t xml:space="preserve">).   </w:t>
      </w:r>
    </w:p>
    <w:p w:rsidR="0091723D" w:rsidRPr="00E93AF3" w:rsidRDefault="0091723D" w:rsidP="00F10AB6">
      <w:pPr>
        <w:pStyle w:val="BodyText"/>
        <w:spacing w:after="240"/>
      </w:pPr>
      <w:r w:rsidRPr="00A3601E">
        <w:t>While the Commonwealth makes up only around 5 per cent of net capital investment, this</w:t>
      </w:r>
      <w:r w:rsidR="00850DF6">
        <w:br/>
      </w:r>
      <w:r w:rsidRPr="00A3601E">
        <w:t xml:space="preserve">measure </w:t>
      </w:r>
      <w:r w:rsidRPr="00DB1201">
        <w:rPr>
          <w:spacing w:val="-3"/>
        </w:rPr>
        <w:t xml:space="preserve">understates the Commonwealth Government’s total </w:t>
      </w:r>
      <w:r w:rsidR="001219F6" w:rsidRPr="00DB1201">
        <w:rPr>
          <w:spacing w:val="-3"/>
        </w:rPr>
        <w:t xml:space="preserve">contribution to infrastructure </w:t>
      </w:r>
      <w:r w:rsidRPr="00DB1201">
        <w:rPr>
          <w:spacing w:val="-3"/>
        </w:rPr>
        <w:t xml:space="preserve">investment because it omits three </w:t>
      </w:r>
      <w:r w:rsidR="00E6507B" w:rsidRPr="00DB1201">
        <w:rPr>
          <w:spacing w:val="-3"/>
        </w:rPr>
        <w:t xml:space="preserve">other large </w:t>
      </w:r>
      <w:r w:rsidRPr="00DB1201">
        <w:rPr>
          <w:spacing w:val="-3"/>
        </w:rPr>
        <w:t>investment channels: grants to the states, equity injections into Commonwealth Government corporations, and concessional loans made for infrastructure investment.  Equity injections into Commonwealth Government</w:t>
      </w:r>
      <w:r w:rsidRPr="00DB1201">
        <w:rPr>
          <w:spacing w:val="-3"/>
        </w:rPr>
        <w:noBreakHyphen/>
        <w:t>owned corporations for infrastructure investment include investments in the NBN Co,</w:t>
      </w:r>
      <w:r w:rsidRPr="00A3601E">
        <w:t xml:space="preserve"> Australian Rail Track Corporation and Western Sydney Airport Corporation.</w:t>
      </w:r>
      <w:r w:rsidR="00EB2B99" w:rsidRPr="00233853">
        <w:rPr>
          <w:rStyle w:val="FootnoteReference"/>
        </w:rPr>
        <w:footnoteReference w:id="10"/>
      </w:r>
      <w:r w:rsidRPr="00A3601E">
        <w:t xml:space="preserve">  Concessional loans for infrastructure include the loan to the New South Wales Government for the </w:t>
      </w:r>
      <w:proofErr w:type="spellStart"/>
      <w:r w:rsidRPr="00A3601E">
        <w:t>WestConnex</w:t>
      </w:r>
      <w:proofErr w:type="spellEnd"/>
      <w:r w:rsidRPr="00A3601E">
        <w:t xml:space="preserve"> project.  Commonwealth grants to the states are captured in Commonwealth expenses</w:t>
      </w:r>
      <w:r>
        <w:t xml:space="preserve"> and state net capital investment </w:t>
      </w:r>
      <w:r w:rsidRPr="00A3601E">
        <w:t>(</w:t>
      </w:r>
      <w:r>
        <w:t>see</w:t>
      </w:r>
      <w:r w:rsidRPr="00A3601E">
        <w:t xml:space="preserve"> </w:t>
      </w:r>
      <w:r w:rsidR="008C2AC7">
        <w:t>S</w:t>
      </w:r>
      <w:r w:rsidRPr="00A3601E">
        <w:t>ection </w:t>
      </w:r>
      <w:r w:rsidRPr="00A3601E">
        <w:fldChar w:fldCharType="begin"/>
      </w:r>
      <w:r w:rsidRPr="00A3601E">
        <w:instrText xml:space="preserve"> REF _Ref23591834 \r \h  \* MERGEFORMAT </w:instrText>
      </w:r>
      <w:r w:rsidRPr="00A3601E">
        <w:fldChar w:fldCharType="separate"/>
      </w:r>
      <w:r w:rsidR="0070188F">
        <w:t>2.2.3</w:t>
      </w:r>
      <w:r w:rsidRPr="00A3601E">
        <w:fldChar w:fldCharType="end"/>
      </w:r>
      <w:r w:rsidRPr="00A3601E">
        <w:t>), while debt and</w:t>
      </w:r>
      <w:r w:rsidR="00850DF6">
        <w:br/>
      </w:r>
      <w:r w:rsidRPr="00A3601E">
        <w:t>equity funding is more fully captured in net financial worth.</w:t>
      </w:r>
      <w:r w:rsidRPr="00A3601E">
        <w:rPr>
          <w:rStyle w:val="FootnoteReference"/>
        </w:rPr>
        <w:footnoteReference w:id="11"/>
      </w:r>
      <w:r>
        <w:t xml:space="preserve">  </w:t>
      </w:r>
    </w:p>
    <w:tbl>
      <w:tblPr>
        <w:tblStyle w:val="TablePlaceholder"/>
        <w:tblW w:w="8504" w:type="dxa"/>
        <w:jc w:val="center"/>
        <w:tblLayout w:type="fixed"/>
        <w:tblLook w:val="04A0" w:firstRow="1" w:lastRow="0" w:firstColumn="1" w:lastColumn="0" w:noHBand="0" w:noVBand="1"/>
      </w:tblPr>
      <w:tblGrid>
        <w:gridCol w:w="4252"/>
        <w:gridCol w:w="4252"/>
      </w:tblGrid>
      <w:tr w:rsidR="000E1004" w:rsidTr="0006653F">
        <w:trPr>
          <w:jc w:val="center"/>
        </w:trPr>
        <w:tc>
          <w:tcPr>
            <w:tcW w:w="4252" w:type="dxa"/>
          </w:tcPr>
          <w:p w:rsidR="000E1004" w:rsidRPr="00DE36BE" w:rsidRDefault="009F1A2C" w:rsidP="00976CC3">
            <w:pPr>
              <w:pStyle w:val="Caption"/>
            </w:pPr>
            <w:bookmarkStart w:id="35" w:name="_Ref529190160"/>
            <w:r w:rsidRPr="00DE36BE">
              <w:lastRenderedPageBreak/>
              <w:t xml:space="preserve">Figure </w:t>
            </w:r>
            <w:r w:rsidR="00224121">
              <w:t>2</w:t>
            </w:r>
            <w:r w:rsidRPr="00DE36BE">
              <w:t>–</w:t>
            </w:r>
            <w:r w:rsidR="00DE36BE" w:rsidRPr="008C043D">
              <w:fldChar w:fldCharType="begin"/>
            </w:r>
            <w:r w:rsidR="00DE36BE" w:rsidRPr="00DE36BE">
              <w:instrText xml:space="preserve"> SEQ Figure \* ARABIC \s 1 </w:instrText>
            </w:r>
            <w:r w:rsidR="00DE36BE" w:rsidRPr="008C043D">
              <w:fldChar w:fldCharType="separate"/>
            </w:r>
            <w:r w:rsidR="0070188F">
              <w:rPr>
                <w:noProof/>
              </w:rPr>
              <w:t>1</w:t>
            </w:r>
            <w:r w:rsidR="00DE36BE" w:rsidRPr="008C043D">
              <w:rPr>
                <w:noProof/>
              </w:rPr>
              <w:fldChar w:fldCharType="end"/>
            </w:r>
            <w:bookmarkEnd w:id="35"/>
            <w:r w:rsidRPr="00DE36BE">
              <w:t xml:space="preserve">: Commonwealth revenue </w:t>
            </w:r>
            <w:r w:rsidR="00846B2B">
              <w:br/>
            </w:r>
            <w:r w:rsidR="00976CC3">
              <w:t>and expenses</w:t>
            </w:r>
          </w:p>
        </w:tc>
        <w:tc>
          <w:tcPr>
            <w:tcW w:w="4252" w:type="dxa"/>
          </w:tcPr>
          <w:p w:rsidR="009F1A2C" w:rsidRPr="00DE36BE" w:rsidRDefault="009F1A2C" w:rsidP="009F1A2C">
            <w:pPr>
              <w:pStyle w:val="Caption"/>
            </w:pPr>
            <w:bookmarkStart w:id="36" w:name="_Ref529190219"/>
            <w:r w:rsidRPr="008C043D">
              <w:t xml:space="preserve">Figure </w:t>
            </w:r>
            <w:r w:rsidR="00224121">
              <w:t>2</w:t>
            </w:r>
            <w:r w:rsidRPr="008C043D">
              <w:t>–</w:t>
            </w:r>
            <w:r w:rsidR="00017BCC">
              <w:fldChar w:fldCharType="begin"/>
            </w:r>
            <w:r w:rsidR="00017BCC">
              <w:instrText xml:space="preserve"> SEQ Figure \* ARABIC \s 1 </w:instrText>
            </w:r>
            <w:r w:rsidR="00017BCC">
              <w:fldChar w:fldCharType="separate"/>
            </w:r>
            <w:r w:rsidR="0070188F">
              <w:rPr>
                <w:noProof/>
              </w:rPr>
              <w:t>2</w:t>
            </w:r>
            <w:r w:rsidR="00017BCC">
              <w:rPr>
                <w:noProof/>
              </w:rPr>
              <w:fldChar w:fldCharType="end"/>
            </w:r>
            <w:bookmarkEnd w:id="36"/>
            <w:r w:rsidRPr="008C043D">
              <w:t xml:space="preserve">: Commonwealth </w:t>
            </w:r>
            <w:r w:rsidR="00976CC3">
              <w:t>net capital investment</w:t>
            </w:r>
            <w:r w:rsidRPr="008C043D">
              <w:t xml:space="preserve"> </w:t>
            </w:r>
          </w:p>
          <w:p w:rsidR="000E1004" w:rsidRPr="001A4972" w:rsidRDefault="000E1004" w:rsidP="000E1004">
            <w:pPr>
              <w:pStyle w:val="Caption"/>
              <w:rPr>
                <w:b w:val="0"/>
                <w:sz w:val="20"/>
                <w:szCs w:val="20"/>
              </w:rPr>
            </w:pPr>
          </w:p>
        </w:tc>
      </w:tr>
      <w:tr w:rsidR="008A4E09" w:rsidTr="0007123E">
        <w:trPr>
          <w:trHeight w:val="2835"/>
          <w:jc w:val="center"/>
        </w:trPr>
        <w:tc>
          <w:tcPr>
            <w:tcW w:w="4252" w:type="dxa"/>
          </w:tcPr>
          <w:p w:rsidR="008A4E09" w:rsidDel="00EA254B" w:rsidRDefault="008A4E09" w:rsidP="00E26E3A">
            <w:pPr>
              <w:keepNext/>
              <w:jc w:val="center"/>
            </w:pPr>
            <w:r>
              <w:rPr>
                <w:noProof/>
                <w:lang w:eastAsia="en-AU"/>
              </w:rPr>
              <w:drawing>
                <wp:inline distT="0" distB="0" distL="0" distR="0" wp14:anchorId="7247CCE3" wp14:editId="478C19C6">
                  <wp:extent cx="2592000" cy="3190623"/>
                  <wp:effectExtent l="0" t="0" r="0" b="0"/>
                  <wp:docPr id="45" name="Picture 4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19 National Fiscal Outlook report_Graphs_04_Figure 1-3-1-4_Figure 2-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92000" cy="3190623"/>
                          </a:xfrm>
                          <a:prstGeom prst="rect">
                            <a:avLst/>
                          </a:prstGeom>
                        </pic:spPr>
                      </pic:pic>
                    </a:graphicData>
                  </a:graphic>
                </wp:inline>
              </w:drawing>
            </w:r>
          </w:p>
        </w:tc>
        <w:tc>
          <w:tcPr>
            <w:tcW w:w="4252" w:type="dxa"/>
          </w:tcPr>
          <w:p w:rsidR="008A4E09" w:rsidRDefault="008A4E09">
            <w:pPr>
              <w:keepNext/>
              <w:jc w:val="center"/>
            </w:pPr>
            <w:r>
              <w:rPr>
                <w:noProof/>
                <w:lang w:eastAsia="en-AU"/>
              </w:rPr>
              <w:drawing>
                <wp:inline distT="0" distB="0" distL="0" distR="0" wp14:anchorId="64C59DC4" wp14:editId="0C424412">
                  <wp:extent cx="2592000" cy="3190623"/>
                  <wp:effectExtent l="0" t="0" r="0" b="0"/>
                  <wp:docPr id="46" name="Picture 4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19 National Fiscal Outlook report_Graphs_04_Figure 1-3-1-4_Figure 2-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92000" cy="3190623"/>
                          </a:xfrm>
                          <a:prstGeom prst="rect">
                            <a:avLst/>
                          </a:prstGeom>
                        </pic:spPr>
                      </pic:pic>
                    </a:graphicData>
                  </a:graphic>
                </wp:inline>
              </w:drawing>
            </w:r>
          </w:p>
        </w:tc>
      </w:tr>
      <w:tr w:rsidR="000E1004" w:rsidTr="00023F62">
        <w:trPr>
          <w:trHeight w:val="454"/>
          <w:jc w:val="center"/>
        </w:trPr>
        <w:tc>
          <w:tcPr>
            <w:tcW w:w="4252" w:type="dxa"/>
          </w:tcPr>
          <w:p w:rsidR="000E1004" w:rsidRDefault="000E1004" w:rsidP="009B3215">
            <w:pPr>
              <w:pStyle w:val="Source"/>
              <w:ind w:left="568"/>
            </w:pPr>
            <w:r>
              <w:t>Source: ABS, Commonwealth budget papers</w:t>
            </w:r>
            <w:r w:rsidR="00F54CB8">
              <w:t xml:space="preserve"> and </w:t>
            </w:r>
            <w:r>
              <w:t>PBO analysis</w:t>
            </w:r>
            <w:r w:rsidR="007966BE">
              <w:t>.</w:t>
            </w:r>
          </w:p>
        </w:tc>
        <w:tc>
          <w:tcPr>
            <w:tcW w:w="4252" w:type="dxa"/>
          </w:tcPr>
          <w:p w:rsidR="000E1004" w:rsidRDefault="000E1004">
            <w:pPr>
              <w:pStyle w:val="Source"/>
              <w:keepNext/>
              <w:ind w:left="568"/>
            </w:pPr>
            <w:r>
              <w:t>Source: ABS, Commonwealth budget papers</w:t>
            </w:r>
            <w:r w:rsidR="00F54CB8">
              <w:t xml:space="preserve"> and </w:t>
            </w:r>
            <w:r>
              <w:t>PBO analysis</w:t>
            </w:r>
            <w:r w:rsidR="007966BE">
              <w:t>.</w:t>
            </w:r>
          </w:p>
        </w:tc>
      </w:tr>
    </w:tbl>
    <w:p w:rsidR="00C84070" w:rsidRDefault="00C84070" w:rsidP="00105D82">
      <w:pPr>
        <w:pStyle w:val="Heading3"/>
      </w:pPr>
      <w:r>
        <w:t>Trends in Commonwealth net debt and net financial worth</w:t>
      </w:r>
    </w:p>
    <w:p w:rsidR="00627792" w:rsidRDefault="00C1075A" w:rsidP="00DF0236">
      <w:pPr>
        <w:pStyle w:val="BodyText"/>
      </w:pPr>
      <w:r>
        <w:t>Commonwealth net debt is projected to fall from a peak o</w:t>
      </w:r>
      <w:r w:rsidR="004F6D86">
        <w:t>f 19.</w:t>
      </w:r>
      <w:r w:rsidR="0079069C">
        <w:t>2 </w:t>
      </w:r>
      <w:r w:rsidR="004F6D86">
        <w:t>per cent of GDP ($373.</w:t>
      </w:r>
      <w:r w:rsidR="0079069C">
        <w:t>5 </w:t>
      </w:r>
      <w:r>
        <w:t>billion)</w:t>
      </w:r>
      <w:r w:rsidR="00850DF6">
        <w:br/>
      </w:r>
      <w:r>
        <w:t xml:space="preserve">in </w:t>
      </w:r>
      <w:r w:rsidRPr="00DE26F2">
        <w:t>201</w:t>
      </w:r>
      <w:r>
        <w:t>8–</w:t>
      </w:r>
      <w:r w:rsidRPr="00DE26F2">
        <w:t>1</w:t>
      </w:r>
      <w:r>
        <w:t>9</w:t>
      </w:r>
      <w:r w:rsidRPr="00DE26F2">
        <w:t xml:space="preserve"> </w:t>
      </w:r>
      <w:r>
        <w:t>to 14.4 per cent of GDP ($326.</w:t>
      </w:r>
      <w:r w:rsidR="0079069C">
        <w:t>1 </w:t>
      </w:r>
      <w:r>
        <w:t xml:space="preserve">billion) by </w:t>
      </w:r>
      <w:r w:rsidRPr="00DE26F2">
        <w:t>20</w:t>
      </w:r>
      <w:r>
        <w:t>2</w:t>
      </w:r>
      <w:r w:rsidR="004775F5">
        <w:t>2</w:t>
      </w:r>
      <w:r>
        <w:t>–2</w:t>
      </w:r>
      <w:r w:rsidR="004775F5">
        <w:t>3</w:t>
      </w:r>
      <w:r>
        <w:t xml:space="preserve"> (</w:t>
      </w:r>
      <w:r w:rsidR="00A94B42" w:rsidRPr="00DE36BE">
        <w:t xml:space="preserve">Figure </w:t>
      </w:r>
      <w:r w:rsidR="00A94B42">
        <w:t>2</w:t>
      </w:r>
      <w:r w:rsidR="00A94B42" w:rsidRPr="00DE36BE">
        <w:t>–</w:t>
      </w:r>
      <w:r w:rsidR="00A94B42">
        <w:t>3</w:t>
      </w:r>
      <w:r>
        <w:t>)</w:t>
      </w:r>
      <w:r w:rsidR="005C4158">
        <w:t>,</w:t>
      </w:r>
      <w:r w:rsidR="003335CF" w:rsidRPr="003335CF">
        <w:rPr>
          <w:rStyle w:val="FootnoteReference"/>
          <w:lang w:eastAsia="en-AU"/>
        </w:rPr>
        <w:t xml:space="preserve"> </w:t>
      </w:r>
      <w:r>
        <w:t xml:space="preserve">primarily </w:t>
      </w:r>
      <w:r w:rsidRPr="00BE6305">
        <w:t>reflect</w:t>
      </w:r>
      <w:r w:rsidR="005C4158">
        <w:t>ing</w:t>
      </w:r>
      <w:r w:rsidR="00850DF6">
        <w:br/>
      </w:r>
      <w:r w:rsidRPr="00BE6305">
        <w:t xml:space="preserve">the reduced </w:t>
      </w:r>
      <w:r w:rsidR="00F05D0D">
        <w:t>interest payments</w:t>
      </w:r>
      <w:r w:rsidRPr="00BE6305">
        <w:t xml:space="preserve"> </w:t>
      </w:r>
      <w:r w:rsidR="002A4D55">
        <w:t>from the projected move to budget surpluses early in</w:t>
      </w:r>
      <w:r w:rsidRPr="00BE6305">
        <w:t xml:space="preserve"> the forward estimates period</w:t>
      </w:r>
      <w:r>
        <w:t>.</w:t>
      </w:r>
      <w:r w:rsidR="005C4158" w:rsidRPr="004E6A22">
        <w:rPr>
          <w:rStyle w:val="FootnoteReference"/>
          <w:lang w:eastAsia="en-AU"/>
        </w:rPr>
        <w:footnoteReference w:id="12"/>
      </w:r>
      <w:r w:rsidR="005C4158">
        <w:t xml:space="preserve"> </w:t>
      </w:r>
      <w:r>
        <w:t xml:space="preserve"> </w:t>
      </w:r>
    </w:p>
    <w:p w:rsidR="00FD54ED" w:rsidRPr="00DB1201" w:rsidRDefault="00FD54ED" w:rsidP="00DF0236">
      <w:pPr>
        <w:spacing w:before="120" w:after="240"/>
        <w:rPr>
          <w:rFonts w:cs="Times New Roman (Body CS)"/>
          <w:spacing w:val="-3"/>
        </w:rPr>
      </w:pPr>
      <w:r w:rsidRPr="00DB1201">
        <w:rPr>
          <w:rFonts w:cs="Times New Roman (Body CS)"/>
          <w:spacing w:val="-3"/>
        </w:rPr>
        <w:t>Commonwealth net financial worth is projected to improve from -25.3 per cent of GDP (</w:t>
      </w:r>
      <w:r w:rsidRPr="00DB1201">
        <w:rPr>
          <w:rFonts w:cs="Times New Roman (Body CS)"/>
          <w:spacing w:val="-3"/>
        </w:rPr>
        <w:noBreakHyphen/>
        <w:t>$490.</w:t>
      </w:r>
      <w:r w:rsidR="009F1F6E" w:rsidRPr="00DB1201">
        <w:rPr>
          <w:rFonts w:cs="Times New Roman (Body CS)"/>
          <w:spacing w:val="-3"/>
        </w:rPr>
        <w:t>8</w:t>
      </w:r>
      <w:r w:rsidRPr="00DB1201">
        <w:rPr>
          <w:rFonts w:cs="Times New Roman (Body CS)"/>
          <w:spacing w:val="-3"/>
        </w:rPr>
        <w:t> billion) in 2018–19 to -19.7 per cent of GDP (-$446.</w:t>
      </w:r>
      <w:r w:rsidR="009F1F6E" w:rsidRPr="00DB1201">
        <w:rPr>
          <w:rFonts w:cs="Times New Roman (Body CS)"/>
          <w:spacing w:val="-3"/>
        </w:rPr>
        <w:t>8</w:t>
      </w:r>
      <w:r w:rsidRPr="00DB1201">
        <w:rPr>
          <w:rFonts w:cs="Times New Roman (Body CS)"/>
          <w:spacing w:val="-3"/>
        </w:rPr>
        <w:t> billion) by 2022–23 (Figure 2–4).  The improvement in net financial worth is driven by the same factors driving the reduction in net debt, along with a projected increase in the value of the Future Fund.</w:t>
      </w:r>
      <w:r w:rsidRPr="00DB1201">
        <w:rPr>
          <w:rStyle w:val="FootnoteReference"/>
          <w:rFonts w:cs="Times New Roman (Body CS)"/>
          <w:spacing w:val="-3"/>
        </w:rPr>
        <w:footnoteReference w:id="13"/>
      </w:r>
    </w:p>
    <w:p w:rsidR="00FD54ED" w:rsidRPr="00E93AF3" w:rsidRDefault="00FD54ED" w:rsidP="00443EA9">
      <w:pPr>
        <w:pStyle w:val="BodyText"/>
        <w:spacing w:after="240"/>
      </w:pPr>
    </w:p>
    <w:tbl>
      <w:tblPr>
        <w:tblStyle w:val="TablePlaceholder"/>
        <w:tblW w:w="8504" w:type="dxa"/>
        <w:jc w:val="center"/>
        <w:tblLayout w:type="fixed"/>
        <w:tblLook w:val="04A0" w:firstRow="1" w:lastRow="0" w:firstColumn="1" w:lastColumn="0" w:noHBand="0" w:noVBand="1"/>
      </w:tblPr>
      <w:tblGrid>
        <w:gridCol w:w="4252"/>
        <w:gridCol w:w="4252"/>
      </w:tblGrid>
      <w:tr w:rsidR="00025185" w:rsidTr="00105D82">
        <w:trPr>
          <w:jc w:val="center"/>
        </w:trPr>
        <w:tc>
          <w:tcPr>
            <w:tcW w:w="4252" w:type="dxa"/>
          </w:tcPr>
          <w:p w:rsidR="00025185" w:rsidRPr="00DE36BE" w:rsidRDefault="00025185" w:rsidP="00976CC3">
            <w:pPr>
              <w:pStyle w:val="Caption"/>
            </w:pPr>
            <w:r w:rsidRPr="00DE36BE">
              <w:lastRenderedPageBreak/>
              <w:t xml:space="preserve">Figure </w:t>
            </w:r>
            <w:r>
              <w:t>2</w:t>
            </w:r>
            <w:r w:rsidRPr="00DE36BE">
              <w:t>–</w:t>
            </w:r>
            <w:r w:rsidR="00976CC3">
              <w:t>3</w:t>
            </w:r>
            <w:r w:rsidRPr="00DE36BE">
              <w:t xml:space="preserve">: Commonwealth </w:t>
            </w:r>
            <w:r w:rsidR="00976CC3">
              <w:t>net debt</w:t>
            </w:r>
          </w:p>
        </w:tc>
        <w:tc>
          <w:tcPr>
            <w:tcW w:w="4252" w:type="dxa"/>
          </w:tcPr>
          <w:p w:rsidR="00025185" w:rsidRPr="00976CC3" w:rsidRDefault="00025185" w:rsidP="00976CC3">
            <w:pPr>
              <w:pStyle w:val="Caption"/>
            </w:pPr>
            <w:r w:rsidRPr="008C043D">
              <w:t xml:space="preserve">Figure </w:t>
            </w:r>
            <w:r>
              <w:t>2</w:t>
            </w:r>
            <w:r w:rsidRPr="008C043D">
              <w:t>–</w:t>
            </w:r>
            <w:r w:rsidR="00976CC3">
              <w:t>4</w:t>
            </w:r>
            <w:r w:rsidRPr="008C043D">
              <w:t xml:space="preserve">: Commonwealth </w:t>
            </w:r>
            <w:r>
              <w:t>net</w:t>
            </w:r>
            <w:r w:rsidR="00347959">
              <w:br/>
            </w:r>
            <w:r w:rsidR="00976CC3">
              <w:t>financial worth</w:t>
            </w:r>
          </w:p>
        </w:tc>
      </w:tr>
      <w:tr w:rsidR="00347959" w:rsidTr="0007123E">
        <w:trPr>
          <w:trHeight w:val="2835"/>
          <w:jc w:val="center"/>
        </w:trPr>
        <w:tc>
          <w:tcPr>
            <w:tcW w:w="4252" w:type="dxa"/>
          </w:tcPr>
          <w:p w:rsidR="00347959" w:rsidDel="00EA254B" w:rsidRDefault="00347959" w:rsidP="00105D82">
            <w:pPr>
              <w:keepNext/>
              <w:jc w:val="center"/>
            </w:pPr>
            <w:r>
              <w:rPr>
                <w:noProof/>
                <w:lang w:eastAsia="en-AU"/>
              </w:rPr>
              <w:drawing>
                <wp:inline distT="0" distB="0" distL="0" distR="0" wp14:anchorId="653A0E2D" wp14:editId="7F3EB18E">
                  <wp:extent cx="2592000" cy="3190623"/>
                  <wp:effectExtent l="0" t="0" r="0" b="0"/>
                  <wp:docPr id="47" name="Picture 4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19 National Fiscal Outlook report_Graphs_04_Figure 1-3-1-4_Figure 2-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92000" cy="3190623"/>
                          </a:xfrm>
                          <a:prstGeom prst="rect">
                            <a:avLst/>
                          </a:prstGeom>
                        </pic:spPr>
                      </pic:pic>
                    </a:graphicData>
                  </a:graphic>
                </wp:inline>
              </w:drawing>
            </w:r>
          </w:p>
        </w:tc>
        <w:tc>
          <w:tcPr>
            <w:tcW w:w="4252" w:type="dxa"/>
          </w:tcPr>
          <w:p w:rsidR="00347959" w:rsidRDefault="00347959">
            <w:pPr>
              <w:keepNext/>
              <w:jc w:val="center"/>
            </w:pPr>
            <w:r>
              <w:rPr>
                <w:noProof/>
                <w:lang w:eastAsia="en-AU"/>
              </w:rPr>
              <w:drawing>
                <wp:inline distT="0" distB="0" distL="0" distR="0" wp14:anchorId="232E934B" wp14:editId="4CD55DB7">
                  <wp:extent cx="2592000" cy="3190623"/>
                  <wp:effectExtent l="0" t="0" r="0" b="0"/>
                  <wp:docPr id="48" name="Picture 4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19 National Fiscal Outlook report_Graphs_04_Figure 1-3-1-4_Figure 2-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92000" cy="3190623"/>
                          </a:xfrm>
                          <a:prstGeom prst="rect">
                            <a:avLst/>
                          </a:prstGeom>
                        </pic:spPr>
                      </pic:pic>
                    </a:graphicData>
                  </a:graphic>
                </wp:inline>
              </w:drawing>
            </w:r>
          </w:p>
        </w:tc>
      </w:tr>
      <w:tr w:rsidR="00025185" w:rsidTr="00105D82">
        <w:trPr>
          <w:trHeight w:val="454"/>
          <w:jc w:val="center"/>
        </w:trPr>
        <w:tc>
          <w:tcPr>
            <w:tcW w:w="4252" w:type="dxa"/>
          </w:tcPr>
          <w:p w:rsidR="00025185" w:rsidRDefault="00025185" w:rsidP="009B3215">
            <w:pPr>
              <w:pStyle w:val="Source"/>
              <w:ind w:left="568"/>
            </w:pPr>
            <w:r>
              <w:t>Source: ABS</w:t>
            </w:r>
            <w:r w:rsidR="00DA53FD">
              <w:t xml:space="preserve"> </w:t>
            </w:r>
            <w:r w:rsidR="009D1224">
              <w:t>special data service</w:t>
            </w:r>
            <w:r>
              <w:t>, Commonwealth budget papers</w:t>
            </w:r>
            <w:r w:rsidR="00F54CB8">
              <w:t xml:space="preserve"> and</w:t>
            </w:r>
            <w:r>
              <w:t xml:space="preserve"> PBO analysis.</w:t>
            </w:r>
          </w:p>
        </w:tc>
        <w:tc>
          <w:tcPr>
            <w:tcW w:w="4252" w:type="dxa"/>
          </w:tcPr>
          <w:p w:rsidR="00025185" w:rsidRDefault="00025185" w:rsidP="00443EA9">
            <w:pPr>
              <w:pStyle w:val="Source"/>
              <w:keepNext/>
              <w:ind w:left="568"/>
            </w:pPr>
            <w:r>
              <w:t>Source: ABS, Commonwealth budget papers</w:t>
            </w:r>
            <w:r w:rsidR="00850DF6">
              <w:br/>
            </w:r>
            <w:r w:rsidR="00F54CB8">
              <w:t>and</w:t>
            </w:r>
            <w:r>
              <w:t xml:space="preserve"> PBO analysis.</w:t>
            </w:r>
          </w:p>
        </w:tc>
      </w:tr>
    </w:tbl>
    <w:p w:rsidR="001428DF" w:rsidRDefault="007E13BA" w:rsidP="001428DF">
      <w:pPr>
        <w:pStyle w:val="Heading2"/>
      </w:pPr>
      <w:bookmarkStart w:id="37" w:name="_Toc24101680"/>
      <w:bookmarkStart w:id="38" w:name="_Toc24101681"/>
      <w:bookmarkStart w:id="39" w:name="_Toc25676871"/>
      <w:bookmarkEnd w:id="37"/>
      <w:r>
        <w:t>S</w:t>
      </w:r>
      <w:r w:rsidR="00642B82">
        <w:t>tate trends</w:t>
      </w:r>
      <w:bookmarkEnd w:id="38"/>
      <w:bookmarkEnd w:id="39"/>
    </w:p>
    <w:p w:rsidR="00BE6F6C" w:rsidRDefault="00D13BFC" w:rsidP="00B95F0C">
      <w:pPr>
        <w:pStyle w:val="BodyText"/>
      </w:pPr>
      <w:r>
        <w:t>St</w:t>
      </w:r>
      <w:r w:rsidR="00B95F0C" w:rsidRPr="00BB4057">
        <w:t xml:space="preserve">ate budget papers </w:t>
      </w:r>
      <w:r>
        <w:t>estimate that</w:t>
      </w:r>
      <w:r w:rsidRPr="00BB4057">
        <w:t xml:space="preserve"> </w:t>
      </w:r>
      <w:r w:rsidR="00FC0E08">
        <w:t xml:space="preserve">their </w:t>
      </w:r>
      <w:r w:rsidR="00B95F0C" w:rsidRPr="00BB4057">
        <w:t xml:space="preserve">revenue </w:t>
      </w:r>
      <w:r w:rsidR="00B95F0C" w:rsidRPr="00AD55B1">
        <w:t xml:space="preserve">and expenditure </w:t>
      </w:r>
      <w:r>
        <w:t>will</w:t>
      </w:r>
      <w:r w:rsidR="00B95F0C" w:rsidRPr="00AD55B1">
        <w:t xml:space="preserve"> decline as a </w:t>
      </w:r>
      <w:r w:rsidR="00355E7A" w:rsidRPr="00AD55B1">
        <w:t xml:space="preserve">share of </w:t>
      </w:r>
      <w:r w:rsidR="00B95F0C" w:rsidRPr="00AD55B1">
        <w:t>GDP</w:t>
      </w:r>
      <w:r>
        <w:t xml:space="preserve"> over the next four years</w:t>
      </w:r>
      <w:r w:rsidR="00B95F0C" w:rsidRPr="00AD55B1">
        <w:t xml:space="preserve"> (</w:t>
      </w:r>
      <w:r w:rsidR="001036B8">
        <w:t>Figure 2–5</w:t>
      </w:r>
      <w:r w:rsidR="007F3858" w:rsidRPr="00AD55B1">
        <w:t>)</w:t>
      </w:r>
      <w:r w:rsidR="00AD55B1" w:rsidRPr="00AD55B1">
        <w:t>.</w:t>
      </w:r>
      <w:r w:rsidR="007F3858" w:rsidRPr="00AD55B1">
        <w:t xml:space="preserve"> </w:t>
      </w:r>
      <w:r w:rsidR="00AD55B1" w:rsidRPr="00AD55B1">
        <w:t xml:space="preserve"> </w:t>
      </w:r>
      <w:r w:rsidR="00BE6F6C">
        <w:t xml:space="preserve">Aggregate </w:t>
      </w:r>
      <w:r w:rsidR="00BE6F6C" w:rsidRPr="00AD55B1">
        <w:t>state revenue and expenses have historicall</w:t>
      </w:r>
      <w:r w:rsidR="00BE6F6C">
        <w:t xml:space="preserve">y moved in line with each other, unlike the countercyclical nature of </w:t>
      </w:r>
      <w:r w:rsidR="00BE6F6C" w:rsidRPr="00AD55B1">
        <w:t>Commonwealth</w:t>
      </w:r>
      <w:r w:rsidR="00BE6F6C">
        <w:t xml:space="preserve"> revenue and expenditure.  </w:t>
      </w:r>
    </w:p>
    <w:p w:rsidR="001A4972" w:rsidRDefault="00FC0E08" w:rsidP="00DF0236">
      <w:pPr>
        <w:pStyle w:val="BodyText"/>
      </w:pPr>
      <w:r>
        <w:t>State n</w:t>
      </w:r>
      <w:r w:rsidR="00B95F0C" w:rsidRPr="00AD55B1">
        <w:t>et capital investment</w:t>
      </w:r>
      <w:r w:rsidR="007F3858" w:rsidRPr="00AD55B1">
        <w:t xml:space="preserve"> </w:t>
      </w:r>
      <w:r w:rsidR="00003304">
        <w:t xml:space="preserve">as a share of GDP </w:t>
      </w:r>
      <w:r w:rsidR="007F3858" w:rsidRPr="00AD55B1">
        <w:t>is</w:t>
      </w:r>
      <w:r w:rsidR="00B95F0C" w:rsidRPr="00AD55B1">
        <w:t xml:space="preserve"> projected to</w:t>
      </w:r>
      <w:r w:rsidR="00003304">
        <w:t xml:space="preserve"> reach levels just below that </w:t>
      </w:r>
      <w:r w:rsidR="002563DF">
        <w:t xml:space="preserve">reached </w:t>
      </w:r>
      <w:r w:rsidR="00003304">
        <w:t>during the GFC stimulus period</w:t>
      </w:r>
      <w:r w:rsidR="00D13BFC">
        <w:t xml:space="preserve"> (Figure 2–6)</w:t>
      </w:r>
      <w:r w:rsidR="00003304">
        <w:t>.  Investment is projected to peak in 2019</w:t>
      </w:r>
      <w:r w:rsidR="00581BA8">
        <w:t>–</w:t>
      </w:r>
      <w:r w:rsidR="00003304">
        <w:t>20</w:t>
      </w:r>
      <w:r w:rsidR="00C675D5">
        <w:t>,</w:t>
      </w:r>
      <w:r w:rsidR="00003304">
        <w:t xml:space="preserve"> with the profile over the forward estimates</w:t>
      </w:r>
      <w:r w:rsidR="00C675D5">
        <w:t xml:space="preserve"> largely </w:t>
      </w:r>
      <w:r w:rsidR="00502179">
        <w:t>due to</w:t>
      </w:r>
      <w:r w:rsidR="00C675D5">
        <w:t xml:space="preserve"> new spending and then projected finalisation of projects in New</w:t>
      </w:r>
      <w:r w:rsidR="00003304">
        <w:t> </w:t>
      </w:r>
      <w:r w:rsidR="00C675D5">
        <w:t>South</w:t>
      </w:r>
      <w:r w:rsidR="00003304">
        <w:t> </w:t>
      </w:r>
      <w:r w:rsidR="00C675D5">
        <w:t>Wales.</w:t>
      </w:r>
    </w:p>
    <w:p w:rsidR="00E12AF3" w:rsidRDefault="00E12AF3" w:rsidP="00443EA9">
      <w:pPr>
        <w:pStyle w:val="BodyText"/>
        <w:spacing w:after="240"/>
      </w:pPr>
      <w:r>
        <w:t xml:space="preserve">State figures are presented as a share of GDP </w:t>
      </w:r>
      <w:r w:rsidR="001219F6">
        <w:t xml:space="preserve">rather than Gross State Product </w:t>
      </w:r>
      <w:r>
        <w:t>because</w:t>
      </w:r>
      <w:r w:rsidR="00850DF6">
        <w:br/>
      </w:r>
      <w:r>
        <w:t>the focus of this publication is on trends in</w:t>
      </w:r>
      <w:r w:rsidR="001219F6">
        <w:t>,</w:t>
      </w:r>
      <w:r>
        <w:t xml:space="preserve"> and drivers of</w:t>
      </w:r>
      <w:r w:rsidR="001219F6">
        <w:t>,</w:t>
      </w:r>
      <w:r>
        <w:t xml:space="preserve"> the national fiscal outlook.  </w:t>
      </w:r>
    </w:p>
    <w:tbl>
      <w:tblPr>
        <w:tblStyle w:val="TablePlaceholder"/>
        <w:tblW w:w="8504" w:type="dxa"/>
        <w:jc w:val="center"/>
        <w:tblLayout w:type="fixed"/>
        <w:tblLook w:val="04A0" w:firstRow="1" w:lastRow="0" w:firstColumn="1" w:lastColumn="0" w:noHBand="0" w:noVBand="1"/>
      </w:tblPr>
      <w:tblGrid>
        <w:gridCol w:w="4252"/>
        <w:gridCol w:w="4252"/>
      </w:tblGrid>
      <w:tr w:rsidR="000E1004" w:rsidTr="00DB1201">
        <w:trPr>
          <w:jc w:val="center"/>
        </w:trPr>
        <w:tc>
          <w:tcPr>
            <w:tcW w:w="4253" w:type="dxa"/>
          </w:tcPr>
          <w:p w:rsidR="000E1004" w:rsidRDefault="009E7AF0" w:rsidP="002016B1">
            <w:pPr>
              <w:pStyle w:val="Caption"/>
            </w:pPr>
            <w:bookmarkStart w:id="40" w:name="_Ref529190429"/>
            <w:r w:rsidRPr="009E7AF0">
              <w:lastRenderedPageBreak/>
              <w:t xml:space="preserve">Figure </w:t>
            </w:r>
            <w:r w:rsidR="00373E77">
              <w:t>2</w:t>
            </w:r>
            <w:r w:rsidRPr="009E7AF0">
              <w:t>–</w:t>
            </w:r>
            <w:r w:rsidR="00A94B42">
              <w:t>5</w:t>
            </w:r>
            <w:bookmarkEnd w:id="40"/>
            <w:r w:rsidRPr="009E7AF0">
              <w:t xml:space="preserve">: </w:t>
            </w:r>
            <w:r>
              <w:t>State revenue and expenses</w:t>
            </w:r>
          </w:p>
        </w:tc>
        <w:tc>
          <w:tcPr>
            <w:tcW w:w="4251" w:type="dxa"/>
          </w:tcPr>
          <w:p w:rsidR="009E7AF0" w:rsidRPr="009E7AF0" w:rsidRDefault="009E7AF0" w:rsidP="009E7AF0">
            <w:pPr>
              <w:pStyle w:val="Caption"/>
            </w:pPr>
            <w:bookmarkStart w:id="41" w:name="_Ref529190443"/>
            <w:r w:rsidRPr="009E7AF0">
              <w:t xml:space="preserve">Figure </w:t>
            </w:r>
            <w:r w:rsidR="00373E77">
              <w:t>2</w:t>
            </w:r>
            <w:r w:rsidRPr="009E7AF0">
              <w:t>–</w:t>
            </w:r>
            <w:bookmarkEnd w:id="41"/>
            <w:r w:rsidR="00A94B42">
              <w:t>6</w:t>
            </w:r>
            <w:r w:rsidRPr="009E7AF0">
              <w:t xml:space="preserve">: </w:t>
            </w:r>
            <w:r>
              <w:t xml:space="preserve">State </w:t>
            </w:r>
            <w:r w:rsidR="002016B1">
              <w:t>net capital investment</w:t>
            </w:r>
          </w:p>
          <w:p w:rsidR="000E1004" w:rsidRDefault="000E1004" w:rsidP="002016B1">
            <w:pPr>
              <w:pStyle w:val="CaptionDescriptor"/>
              <w:jc w:val="left"/>
            </w:pPr>
          </w:p>
        </w:tc>
      </w:tr>
      <w:tr w:rsidR="00347959" w:rsidTr="0007123E">
        <w:tblPrEx>
          <w:tblCellMar>
            <w:left w:w="108" w:type="dxa"/>
            <w:right w:w="108" w:type="dxa"/>
          </w:tblCellMar>
        </w:tblPrEx>
        <w:trPr>
          <w:trHeight w:val="2835"/>
          <w:jc w:val="center"/>
        </w:trPr>
        <w:tc>
          <w:tcPr>
            <w:tcW w:w="4252" w:type="dxa"/>
          </w:tcPr>
          <w:p w:rsidR="00347959" w:rsidDel="00EA254B" w:rsidRDefault="00347959">
            <w:pPr>
              <w:keepNext/>
              <w:jc w:val="center"/>
            </w:pPr>
            <w:r>
              <w:rPr>
                <w:noProof/>
                <w:lang w:eastAsia="en-AU"/>
              </w:rPr>
              <w:drawing>
                <wp:inline distT="0" distB="0" distL="0" distR="0" wp14:anchorId="30791B89" wp14:editId="31221962">
                  <wp:extent cx="2592000" cy="3190549"/>
                  <wp:effectExtent l="0" t="0" r="0" b="0"/>
                  <wp:docPr id="49" name="Picture 4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19 National Fiscal Outlook report_Graphs_04_Figure 1-3-1-4_Figure 2–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92000" cy="3190549"/>
                          </a:xfrm>
                          <a:prstGeom prst="rect">
                            <a:avLst/>
                          </a:prstGeom>
                        </pic:spPr>
                      </pic:pic>
                    </a:graphicData>
                  </a:graphic>
                </wp:inline>
              </w:drawing>
            </w:r>
          </w:p>
        </w:tc>
        <w:tc>
          <w:tcPr>
            <w:tcW w:w="4252" w:type="dxa"/>
          </w:tcPr>
          <w:p w:rsidR="00347959" w:rsidRDefault="00347959">
            <w:pPr>
              <w:keepNext/>
              <w:jc w:val="center"/>
            </w:pPr>
            <w:r>
              <w:rPr>
                <w:noProof/>
                <w:lang w:eastAsia="en-AU"/>
              </w:rPr>
              <w:drawing>
                <wp:inline distT="0" distB="0" distL="0" distR="0" wp14:anchorId="04348A70" wp14:editId="6EAFA940">
                  <wp:extent cx="2592000" cy="3190549"/>
                  <wp:effectExtent l="0" t="0" r="0" b="0"/>
                  <wp:docPr id="50" name="Picture 5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019 National Fiscal Outlook report_Graphs_04_Figure 1-3-1-4_Figure 2-6 .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92000" cy="3190549"/>
                          </a:xfrm>
                          <a:prstGeom prst="rect">
                            <a:avLst/>
                          </a:prstGeom>
                        </pic:spPr>
                      </pic:pic>
                    </a:graphicData>
                  </a:graphic>
                </wp:inline>
              </w:drawing>
            </w:r>
          </w:p>
        </w:tc>
      </w:tr>
      <w:tr w:rsidR="000E1004" w:rsidTr="00DB1201">
        <w:trPr>
          <w:trHeight w:val="454"/>
          <w:jc w:val="center"/>
        </w:trPr>
        <w:tc>
          <w:tcPr>
            <w:tcW w:w="4253" w:type="dxa"/>
          </w:tcPr>
          <w:p w:rsidR="000E1004" w:rsidRDefault="000E1004" w:rsidP="009B3215">
            <w:pPr>
              <w:pStyle w:val="Source"/>
              <w:ind w:left="568"/>
            </w:pPr>
            <w:r>
              <w:t>Source: ABS, state budget papers</w:t>
            </w:r>
            <w:r w:rsidR="00850DF6">
              <w:br/>
            </w:r>
            <w:r w:rsidR="00F54CB8">
              <w:t>and</w:t>
            </w:r>
            <w:r>
              <w:t xml:space="preserve"> PBO analysis</w:t>
            </w:r>
            <w:r w:rsidR="007966BE">
              <w:t>.</w:t>
            </w:r>
          </w:p>
        </w:tc>
        <w:tc>
          <w:tcPr>
            <w:tcW w:w="4251" w:type="dxa"/>
          </w:tcPr>
          <w:p w:rsidR="000E1004" w:rsidRDefault="000E1004" w:rsidP="00443EA9">
            <w:pPr>
              <w:pStyle w:val="Source"/>
              <w:keepNext/>
              <w:ind w:left="568"/>
            </w:pPr>
            <w:r>
              <w:t>Source: ABS, state budget papers</w:t>
            </w:r>
            <w:r w:rsidR="00850DF6">
              <w:br/>
            </w:r>
            <w:r w:rsidR="00F54CB8">
              <w:t>and</w:t>
            </w:r>
            <w:r>
              <w:t xml:space="preserve"> PBO analysis</w:t>
            </w:r>
            <w:r w:rsidR="007966BE">
              <w:t>.</w:t>
            </w:r>
          </w:p>
        </w:tc>
      </w:tr>
    </w:tbl>
    <w:p w:rsidR="001428DF" w:rsidRDefault="00FE6BD5" w:rsidP="00DB1201">
      <w:pPr>
        <w:pStyle w:val="Heading3"/>
        <w:spacing w:before="120"/>
      </w:pPr>
      <w:bookmarkStart w:id="42" w:name="_Ref23868065"/>
      <w:r>
        <w:t>Trends in state r</w:t>
      </w:r>
      <w:r w:rsidR="001428DF">
        <w:t>evenue</w:t>
      </w:r>
      <w:bookmarkEnd w:id="42"/>
    </w:p>
    <w:p w:rsidR="00A81E38" w:rsidRDefault="00C675D5" w:rsidP="00DB1201">
      <w:pPr>
        <w:pStyle w:val="BodyText"/>
        <w:spacing w:after="240" w:line="280" w:lineRule="atLeast"/>
      </w:pPr>
      <w:r w:rsidRPr="004F7C34">
        <w:t xml:space="preserve">State government revenue is made up of transfers </w:t>
      </w:r>
      <w:r w:rsidR="00295994">
        <w:t xml:space="preserve">(payments) </w:t>
      </w:r>
      <w:r w:rsidRPr="004F7C34">
        <w:t xml:space="preserve">from the Commonwealth </w:t>
      </w:r>
      <w:r w:rsidR="008C2AC7">
        <w:t>G</w:t>
      </w:r>
      <w:r w:rsidRPr="004F7C34">
        <w:t xml:space="preserve">overnment and </w:t>
      </w:r>
      <w:r w:rsidR="001B023A">
        <w:t>revenue raised by the states themselves (</w:t>
      </w:r>
      <w:r w:rsidRPr="004F7C34">
        <w:t>own</w:t>
      </w:r>
      <w:r>
        <w:noBreakHyphen/>
      </w:r>
      <w:r w:rsidRPr="004F7C34">
        <w:t>source revenue</w:t>
      </w:r>
      <w:r w:rsidR="001B023A">
        <w:t>)</w:t>
      </w:r>
      <w:r>
        <w:t xml:space="preserve">.  </w:t>
      </w:r>
      <w:r w:rsidR="00B95F0C" w:rsidRPr="004F7C34">
        <w:t xml:space="preserve">According to state budgets, </w:t>
      </w:r>
      <w:r w:rsidR="00295994">
        <w:t xml:space="preserve">state </w:t>
      </w:r>
      <w:r w:rsidR="00B95F0C" w:rsidRPr="004F7C34">
        <w:t>revenue is projected to decline from 14.</w:t>
      </w:r>
      <w:r w:rsidR="00590F13">
        <w:t>7</w:t>
      </w:r>
      <w:r w:rsidR="000757C6" w:rsidRPr="004F7C34">
        <w:t> </w:t>
      </w:r>
      <w:r w:rsidR="00B95F0C" w:rsidRPr="004F7C34">
        <w:t>per</w:t>
      </w:r>
      <w:r w:rsidR="000757C6" w:rsidRPr="004F7C34">
        <w:t> </w:t>
      </w:r>
      <w:r w:rsidR="00B95F0C" w:rsidRPr="004F7C34">
        <w:t>cent of GDP</w:t>
      </w:r>
      <w:r w:rsidR="006C220A">
        <w:t xml:space="preserve"> ($285.0 billion)</w:t>
      </w:r>
      <w:r w:rsidR="00B95F0C" w:rsidRPr="004F7C34">
        <w:t xml:space="preserve"> in </w:t>
      </w:r>
      <w:r w:rsidR="004F7C34" w:rsidRPr="004F7C34">
        <w:t xml:space="preserve">2018–19 </w:t>
      </w:r>
      <w:r w:rsidR="004775F5" w:rsidRPr="004F7C34">
        <w:t>to 14</w:t>
      </w:r>
      <w:r w:rsidR="00B95F0C" w:rsidRPr="004F7C34">
        <w:t>.</w:t>
      </w:r>
      <w:r w:rsidR="00590F13">
        <w:t>2</w:t>
      </w:r>
      <w:r w:rsidR="000757C6" w:rsidRPr="004F7C34">
        <w:t> </w:t>
      </w:r>
      <w:r w:rsidR="00B95F0C" w:rsidRPr="004F7C34">
        <w:t>per</w:t>
      </w:r>
      <w:r w:rsidR="000757C6" w:rsidRPr="004F7C34">
        <w:t> </w:t>
      </w:r>
      <w:r w:rsidR="00B95F0C" w:rsidRPr="004F7C34">
        <w:t xml:space="preserve">cent of GDP </w:t>
      </w:r>
      <w:r w:rsidR="006C220A">
        <w:t xml:space="preserve">($322.8 billion) </w:t>
      </w:r>
      <w:r w:rsidR="00B95F0C" w:rsidRPr="004F7C34">
        <w:t xml:space="preserve">in </w:t>
      </w:r>
      <w:r w:rsidR="004F7C34" w:rsidRPr="004F7C34">
        <w:t>2022</w:t>
      </w:r>
      <w:r w:rsidR="004F7C34">
        <w:t>–</w:t>
      </w:r>
      <w:r w:rsidR="004F7C34" w:rsidRPr="00AD55B1">
        <w:t>23</w:t>
      </w:r>
      <w:r>
        <w:t>, largely due to projected declines in own</w:t>
      </w:r>
      <w:r>
        <w:noBreakHyphen/>
        <w:t>source revenue as a share of GDP</w:t>
      </w:r>
      <w:r w:rsidR="00AC0B88" w:rsidRPr="00AD55B1">
        <w:t xml:space="preserve">.  </w:t>
      </w:r>
      <w:r w:rsidR="008B508C">
        <w:t>O</w:t>
      </w:r>
      <w:r w:rsidR="008B508C" w:rsidRPr="00AD55B1">
        <w:t xml:space="preserve">ver </w:t>
      </w:r>
      <w:r w:rsidR="00AD55B1" w:rsidRPr="00AD55B1">
        <w:t>the forward estimates</w:t>
      </w:r>
      <w:r w:rsidR="008B508C">
        <w:t>,</w:t>
      </w:r>
      <w:r w:rsidR="00AD55B1" w:rsidRPr="00AD55B1">
        <w:t xml:space="preserve"> </w:t>
      </w:r>
      <w:r w:rsidR="001B023A">
        <w:t>only</w:t>
      </w:r>
      <w:r w:rsidR="00AD55B1" w:rsidRPr="00AD55B1">
        <w:t xml:space="preserve"> Victoria and the Australian Capital Territory</w:t>
      </w:r>
      <w:r w:rsidR="008B508C">
        <w:t xml:space="preserve"> </w:t>
      </w:r>
      <w:r w:rsidR="001B023A">
        <w:t xml:space="preserve">are </w:t>
      </w:r>
      <w:r w:rsidR="008B508C">
        <w:t>forecast</w:t>
      </w:r>
      <w:r w:rsidR="001B023A">
        <w:t>ing</w:t>
      </w:r>
      <w:r w:rsidR="008B508C">
        <w:t xml:space="preserve"> </w:t>
      </w:r>
      <w:r w:rsidR="001B023A">
        <w:t>an increase</w:t>
      </w:r>
      <w:r w:rsidR="008B508C" w:rsidRPr="00AD55B1">
        <w:t xml:space="preserve"> </w:t>
      </w:r>
      <w:r w:rsidR="008B508C">
        <w:t>in</w:t>
      </w:r>
      <w:r w:rsidR="008B508C" w:rsidRPr="00AD55B1">
        <w:t xml:space="preserve"> revenue</w:t>
      </w:r>
      <w:r w:rsidR="008B508C">
        <w:t xml:space="preserve"> as a share of GDP</w:t>
      </w:r>
      <w:r w:rsidR="00BE6F6C">
        <w:t xml:space="preserve"> (</w:t>
      </w:r>
      <w:r w:rsidR="00BE6F6C" w:rsidRPr="00DE36BE">
        <w:t xml:space="preserve">Figure </w:t>
      </w:r>
      <w:r w:rsidR="00BE6F6C">
        <w:t>2</w:t>
      </w:r>
      <w:r w:rsidR="00BE6F6C" w:rsidRPr="00DE36BE">
        <w:t>–</w:t>
      </w:r>
      <w:r w:rsidR="00BE6F6C">
        <w:t>7)</w:t>
      </w:r>
      <w:r w:rsidR="00AD55B1" w:rsidRPr="00AD55B1">
        <w:t xml:space="preserve">.  </w:t>
      </w:r>
    </w:p>
    <w:tbl>
      <w:tblPr>
        <w:tblStyle w:val="TablePlaceholder"/>
        <w:tblW w:w="8504" w:type="dxa"/>
        <w:jc w:val="center"/>
        <w:tblLayout w:type="fixed"/>
        <w:tblLook w:val="04A0" w:firstRow="1" w:lastRow="0" w:firstColumn="1" w:lastColumn="0" w:noHBand="0" w:noVBand="1"/>
      </w:tblPr>
      <w:tblGrid>
        <w:gridCol w:w="4252"/>
        <w:gridCol w:w="4252"/>
      </w:tblGrid>
      <w:tr w:rsidR="00AD55B1" w:rsidTr="00182C70">
        <w:trPr>
          <w:jc w:val="center"/>
        </w:trPr>
        <w:tc>
          <w:tcPr>
            <w:tcW w:w="8504" w:type="dxa"/>
            <w:gridSpan w:val="2"/>
          </w:tcPr>
          <w:p w:rsidR="00AD55B1" w:rsidRDefault="00AD55B1" w:rsidP="00DF0236">
            <w:pPr>
              <w:pStyle w:val="Caption"/>
            </w:pPr>
            <w:r w:rsidRPr="00233853">
              <w:t xml:space="preserve">Figure </w:t>
            </w:r>
            <w:r w:rsidR="00776AC4" w:rsidRPr="00DB1201">
              <w:rPr>
                <w:bCs w:val="0"/>
              </w:rPr>
              <w:fldChar w:fldCharType="begin"/>
            </w:r>
            <w:r w:rsidR="00776AC4" w:rsidRPr="00DB1201">
              <w:rPr>
                <w:bCs w:val="0"/>
              </w:rPr>
              <w:instrText xml:space="preserve"> STYLEREF 1 \s </w:instrText>
            </w:r>
            <w:r w:rsidR="00776AC4" w:rsidRPr="00DB1201">
              <w:rPr>
                <w:bCs w:val="0"/>
              </w:rPr>
              <w:fldChar w:fldCharType="separate"/>
            </w:r>
            <w:r w:rsidR="0070188F">
              <w:rPr>
                <w:bCs w:val="0"/>
                <w:noProof/>
              </w:rPr>
              <w:t>2</w:t>
            </w:r>
            <w:r w:rsidR="00776AC4" w:rsidRPr="00DB1201">
              <w:rPr>
                <w:bCs w:val="0"/>
                <w:noProof/>
              </w:rPr>
              <w:fldChar w:fldCharType="end"/>
            </w:r>
            <w:r w:rsidRPr="00233853">
              <w:t>–</w:t>
            </w:r>
            <w:r w:rsidR="00A94B42">
              <w:t>7</w:t>
            </w:r>
            <w:r w:rsidRPr="00233853">
              <w:t xml:space="preserve">: </w:t>
            </w:r>
            <w:r>
              <w:t>State revenue</w:t>
            </w:r>
          </w:p>
        </w:tc>
      </w:tr>
      <w:tr w:rsidR="00347959" w:rsidTr="0007123E">
        <w:trPr>
          <w:trHeight w:val="2835"/>
          <w:jc w:val="center"/>
        </w:trPr>
        <w:tc>
          <w:tcPr>
            <w:tcW w:w="4252" w:type="dxa"/>
          </w:tcPr>
          <w:p w:rsidR="00347959" w:rsidDel="00EA254B" w:rsidRDefault="00347959" w:rsidP="00182C70">
            <w:pPr>
              <w:keepNext/>
              <w:jc w:val="center"/>
            </w:pPr>
            <w:r>
              <w:rPr>
                <w:noProof/>
                <w:lang w:eastAsia="en-AU"/>
              </w:rPr>
              <w:drawing>
                <wp:inline distT="0" distB="0" distL="0" distR="0" wp14:anchorId="63FCEFCA" wp14:editId="7987F5AA">
                  <wp:extent cx="2592000" cy="3183306"/>
                  <wp:effectExtent l="0" t="0" r="0" b="4445"/>
                  <wp:docPr id="51" name="Picture 5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19 National Fiscal Outlook report_Graphs_04_Figure 1-3-1-4_Figure 2–7-3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92000" cy="3183306"/>
                          </a:xfrm>
                          <a:prstGeom prst="rect">
                            <a:avLst/>
                          </a:prstGeom>
                        </pic:spPr>
                      </pic:pic>
                    </a:graphicData>
                  </a:graphic>
                </wp:inline>
              </w:drawing>
            </w:r>
          </w:p>
        </w:tc>
        <w:tc>
          <w:tcPr>
            <w:tcW w:w="4252" w:type="dxa"/>
          </w:tcPr>
          <w:p w:rsidR="00347959" w:rsidRDefault="00347959">
            <w:pPr>
              <w:keepNext/>
              <w:jc w:val="center"/>
            </w:pPr>
            <w:r>
              <w:rPr>
                <w:noProof/>
                <w:lang w:eastAsia="en-AU"/>
              </w:rPr>
              <w:drawing>
                <wp:inline distT="0" distB="0" distL="0" distR="0" wp14:anchorId="6FE8806D" wp14:editId="4593D799">
                  <wp:extent cx="2592000" cy="3183306"/>
                  <wp:effectExtent l="0" t="0" r="0" b="4445"/>
                  <wp:docPr id="52" name="Picture 5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19 National Fiscal Outlook report_Graphs_04_Figure 1-3-1-4_Figure 2–8-3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92000" cy="3183306"/>
                          </a:xfrm>
                          <a:prstGeom prst="rect">
                            <a:avLst/>
                          </a:prstGeom>
                        </pic:spPr>
                      </pic:pic>
                    </a:graphicData>
                  </a:graphic>
                </wp:inline>
              </w:drawing>
            </w:r>
          </w:p>
        </w:tc>
      </w:tr>
      <w:tr w:rsidR="00AD55B1" w:rsidTr="00182C70">
        <w:trPr>
          <w:trHeight w:val="454"/>
          <w:jc w:val="center"/>
        </w:trPr>
        <w:tc>
          <w:tcPr>
            <w:tcW w:w="8504" w:type="dxa"/>
            <w:gridSpan w:val="2"/>
          </w:tcPr>
          <w:p w:rsidR="00AD55B1" w:rsidRDefault="00AD55B1" w:rsidP="009B3215">
            <w:pPr>
              <w:pStyle w:val="Source"/>
              <w:ind w:left="568"/>
            </w:pPr>
            <w:r>
              <w:t>Source: ABS, state budget papers</w:t>
            </w:r>
            <w:r w:rsidR="00F54CB8">
              <w:t xml:space="preserve"> and</w:t>
            </w:r>
            <w:r>
              <w:t xml:space="preserve"> PBO analysis.</w:t>
            </w:r>
          </w:p>
        </w:tc>
      </w:tr>
    </w:tbl>
    <w:p w:rsidR="001428DF" w:rsidRDefault="001428DF" w:rsidP="00AB532E">
      <w:pPr>
        <w:pStyle w:val="Heading4"/>
      </w:pPr>
      <w:r>
        <w:lastRenderedPageBreak/>
        <w:t>Transfers from the Commonwealth</w:t>
      </w:r>
      <w:r w:rsidR="008C2AC7">
        <w:t xml:space="preserve"> Government</w:t>
      </w:r>
      <w:r>
        <w:t xml:space="preserve"> to the states</w:t>
      </w:r>
    </w:p>
    <w:p w:rsidR="00724323" w:rsidRDefault="00724323" w:rsidP="00443EA9">
      <w:pPr>
        <w:pStyle w:val="BodyText"/>
        <w:spacing w:after="240"/>
      </w:pPr>
      <w:r w:rsidRPr="00724323">
        <w:t>Around 45 per cent</w:t>
      </w:r>
      <w:r w:rsidR="009A78F6">
        <w:t xml:space="preserve"> of total state revenue in </w:t>
      </w:r>
      <w:r w:rsidR="00DA7947" w:rsidRPr="00DE26F2">
        <w:t>201</w:t>
      </w:r>
      <w:r w:rsidR="00DA7947">
        <w:t>8–</w:t>
      </w:r>
      <w:r w:rsidR="00DA7947" w:rsidRPr="00DE26F2">
        <w:t>1</w:t>
      </w:r>
      <w:r w:rsidR="00DA7947">
        <w:t xml:space="preserve">9 </w:t>
      </w:r>
      <w:r w:rsidRPr="00724323">
        <w:t xml:space="preserve">was </w:t>
      </w:r>
      <w:r w:rsidR="001B023A">
        <w:t xml:space="preserve">a transfer </w:t>
      </w:r>
      <w:r w:rsidRPr="00724323">
        <w:t xml:space="preserve">from </w:t>
      </w:r>
      <w:r w:rsidR="001B023A">
        <w:t xml:space="preserve">the </w:t>
      </w:r>
      <w:r w:rsidRPr="00724323">
        <w:t>Commonwealth</w:t>
      </w:r>
      <w:r w:rsidR="001219F6">
        <w:t> Government</w:t>
      </w:r>
      <w:r w:rsidR="001B023A">
        <w:t>.  T</w:t>
      </w:r>
      <w:r w:rsidRPr="00724323">
        <w:t xml:space="preserve">his proportion </w:t>
      </w:r>
      <w:r w:rsidR="001B023A">
        <w:t xml:space="preserve">is </w:t>
      </w:r>
      <w:r w:rsidRPr="00724323">
        <w:t xml:space="preserve">projected to remain constant over the forward estimates.  Transfers </w:t>
      </w:r>
      <w:r w:rsidR="001B023A">
        <w:t>provided</w:t>
      </w:r>
      <w:r w:rsidR="001B023A" w:rsidRPr="00724323">
        <w:t xml:space="preserve"> </w:t>
      </w:r>
      <w:r w:rsidRPr="00724323">
        <w:t xml:space="preserve">by </w:t>
      </w:r>
      <w:r w:rsidR="001B023A">
        <w:t>the Commonwealth</w:t>
      </w:r>
      <w:r w:rsidR="001219F6">
        <w:t xml:space="preserve"> </w:t>
      </w:r>
      <w:r w:rsidRPr="00724323">
        <w:t>consist of general revenue assistance</w:t>
      </w:r>
      <w:r w:rsidR="008C2AC7">
        <w:t>,</w:t>
      </w:r>
      <w:r w:rsidRPr="00724323">
        <w:t xml:space="preserve"> for</w:t>
      </w:r>
      <w:r w:rsidR="00BE3957">
        <w:br/>
      </w:r>
      <w:r w:rsidRPr="00724323">
        <w:t>use at the discretion of the recipient state government (</w:t>
      </w:r>
      <w:r w:rsidR="00460009">
        <w:t>large</w:t>
      </w:r>
      <w:r w:rsidR="00460009" w:rsidRPr="00724323">
        <w:t xml:space="preserve">ly </w:t>
      </w:r>
      <w:r w:rsidR="008B508C">
        <w:t>the</w:t>
      </w:r>
      <w:r w:rsidR="008B508C" w:rsidRPr="00724323">
        <w:t xml:space="preserve"> </w:t>
      </w:r>
      <w:r w:rsidRPr="00724323">
        <w:t>GST)</w:t>
      </w:r>
      <w:r w:rsidR="008C2AC7">
        <w:t>,</w:t>
      </w:r>
      <w:r w:rsidRPr="00724323">
        <w:t xml:space="preserve"> and</w:t>
      </w:r>
      <w:r w:rsidR="008B508C">
        <w:t xml:space="preserve"> payments for</w:t>
      </w:r>
      <w:r w:rsidRPr="00724323">
        <w:t xml:space="preserve"> specific purposes</w:t>
      </w:r>
      <w:r w:rsidR="008C2AC7">
        <w:t>,</w:t>
      </w:r>
      <w:r w:rsidRPr="00724323">
        <w:t xml:space="preserve"> which are to be used in </w:t>
      </w:r>
      <w:r w:rsidR="009D1224">
        <w:t>particular</w:t>
      </w:r>
      <w:r w:rsidR="009D1224" w:rsidRPr="00724323">
        <w:t xml:space="preserve"> </w:t>
      </w:r>
      <w:r w:rsidRPr="00724323">
        <w:t>sectors or to deliver programs agreed in partnership with the Comm</w:t>
      </w:r>
      <w:r>
        <w:t xml:space="preserve">onwealth </w:t>
      </w:r>
      <w:r w:rsidR="00E07199">
        <w:t xml:space="preserve">(Figure 2–8).  Payments for specific purposes include funding for </w:t>
      </w:r>
      <w:r w:rsidR="002072ED" w:rsidRPr="002072ED">
        <w:t>public hospitals under the National Health Reform Agreement</w:t>
      </w:r>
      <w:r w:rsidR="00460009">
        <w:t xml:space="preserve"> </w:t>
      </w:r>
      <w:r w:rsidR="001504F5">
        <w:t xml:space="preserve">and </w:t>
      </w:r>
      <w:r w:rsidR="00E07199">
        <w:t xml:space="preserve">funding </w:t>
      </w:r>
      <w:r w:rsidR="001504F5">
        <w:t xml:space="preserve">for schools under the Quality Schools </w:t>
      </w:r>
      <w:r w:rsidR="00D950F3">
        <w:t>p</w:t>
      </w:r>
      <w:r w:rsidR="001504F5">
        <w:t>ackage</w:t>
      </w:r>
      <w:r w:rsidRPr="00724323">
        <w:t>.</w:t>
      </w:r>
      <w:r w:rsidR="00F54CB8">
        <w:t xml:space="preserve">  Box 4 provides further analysis of the composition of Commonwealth and state expenses, including payments for specific purposes.</w:t>
      </w:r>
    </w:p>
    <w:p w:rsidR="006917C5" w:rsidRDefault="003E2178" w:rsidP="004808A1">
      <w:pPr>
        <w:pStyle w:val="Caption"/>
        <w:spacing w:before="120"/>
      </w:pPr>
      <w:bookmarkStart w:id="43" w:name="_Ref530738221"/>
      <w:bookmarkStart w:id="44" w:name="_Ref531183819"/>
      <w:r w:rsidRPr="003E2178">
        <w:t xml:space="preserve">Figure </w:t>
      </w:r>
      <w:r w:rsidR="00017BCC">
        <w:fldChar w:fldCharType="begin"/>
      </w:r>
      <w:r w:rsidR="00017BCC">
        <w:instrText xml:space="preserve"> STYLE</w:instrText>
      </w:r>
      <w:r w:rsidR="00017BCC">
        <w:instrText xml:space="preserve">REF 1 \s </w:instrText>
      </w:r>
      <w:r w:rsidR="00017BCC">
        <w:fldChar w:fldCharType="separate"/>
      </w:r>
      <w:r w:rsidR="0070188F">
        <w:rPr>
          <w:noProof/>
        </w:rPr>
        <w:t>2</w:t>
      </w:r>
      <w:r w:rsidR="00017BCC">
        <w:rPr>
          <w:noProof/>
        </w:rPr>
        <w:fldChar w:fldCharType="end"/>
      </w:r>
      <w:r w:rsidRPr="003E2178">
        <w:t>–</w:t>
      </w:r>
      <w:bookmarkEnd w:id="43"/>
      <w:bookmarkEnd w:id="44"/>
      <w:r w:rsidR="00532C9B">
        <w:t>8</w:t>
      </w:r>
      <w:r w:rsidRPr="003E2178">
        <w:t xml:space="preserve">: </w:t>
      </w:r>
      <w:r>
        <w:t>Trends in the compo</w:t>
      </w:r>
      <w:r w:rsidR="006917C5">
        <w:t>sition of Commonwealth transfer</w:t>
      </w:r>
      <w:r w:rsidR="004C7140">
        <w:t>s</w:t>
      </w:r>
    </w:p>
    <w:p w:rsidR="008F291A" w:rsidRDefault="009844DD" w:rsidP="008F291A">
      <w:pPr>
        <w:pStyle w:val="BodyText"/>
        <w:jc w:val="center"/>
      </w:pPr>
      <w:r>
        <w:rPr>
          <w:noProof/>
          <w:lang w:eastAsia="en-AU"/>
        </w:rPr>
        <w:drawing>
          <wp:inline distT="0" distB="0" distL="0" distR="0" wp14:anchorId="53C2E81D" wp14:editId="774F9113">
            <wp:extent cx="5184000" cy="3209142"/>
            <wp:effectExtent l="0" t="0" r="0" b="444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184000" cy="3209142"/>
                    </a:xfrm>
                    <a:prstGeom prst="rect">
                      <a:avLst/>
                    </a:prstGeom>
                    <a:noFill/>
                  </pic:spPr>
                </pic:pic>
              </a:graphicData>
            </a:graphic>
          </wp:inline>
        </w:drawing>
      </w:r>
    </w:p>
    <w:p w:rsidR="008B508C" w:rsidRDefault="008B508C" w:rsidP="00DB1201">
      <w:pPr>
        <w:pStyle w:val="Source"/>
        <w:tabs>
          <w:tab w:val="left" w:pos="1134"/>
        </w:tabs>
        <w:ind w:left="851"/>
      </w:pPr>
      <w:r>
        <w:t xml:space="preserve">Note: </w:t>
      </w:r>
      <w:r w:rsidRPr="008B508C">
        <w:t>The GST component also includes some other relatively small payments (primarily for royalties).</w:t>
      </w:r>
    </w:p>
    <w:p w:rsidR="008F291A" w:rsidRDefault="008F291A" w:rsidP="00DB1201">
      <w:pPr>
        <w:pStyle w:val="Source"/>
        <w:tabs>
          <w:tab w:val="left" w:pos="1134"/>
        </w:tabs>
        <w:ind w:left="851"/>
        <w:contextualSpacing/>
      </w:pPr>
      <w:r>
        <w:t xml:space="preserve">Source: </w:t>
      </w:r>
      <w:r w:rsidR="00460009">
        <w:t xml:space="preserve">ABS, </w:t>
      </w:r>
      <w:r>
        <w:t>Commonwealth budget papers</w:t>
      </w:r>
      <w:r w:rsidR="00F54CB8">
        <w:t xml:space="preserve"> and</w:t>
      </w:r>
      <w:r>
        <w:t xml:space="preserve"> PBO analysis.</w:t>
      </w:r>
      <w:r w:rsidR="00F55855">
        <w:t xml:space="preserve"> </w:t>
      </w:r>
    </w:p>
    <w:p w:rsidR="00375D9E" w:rsidRPr="00DB1201" w:rsidRDefault="004808A1" w:rsidP="00DF0236">
      <w:pPr>
        <w:pStyle w:val="BodyText"/>
        <w:spacing w:before="300"/>
        <w:rPr>
          <w:spacing w:val="-3"/>
        </w:rPr>
      </w:pPr>
      <w:r w:rsidRPr="00DB1201">
        <w:rPr>
          <w:spacing w:val="-3"/>
        </w:rPr>
        <w:t>Commonwealth transfers to the states are projected to remain relatively steady at around 6.5</w:t>
      </w:r>
      <w:r w:rsidR="002E1312" w:rsidRPr="00DB1201">
        <w:rPr>
          <w:spacing w:val="-3"/>
        </w:rPr>
        <w:t> </w:t>
      </w:r>
      <w:r w:rsidRPr="00DB1201">
        <w:rPr>
          <w:spacing w:val="-3"/>
        </w:rPr>
        <w:t>per</w:t>
      </w:r>
      <w:r w:rsidR="00B447B1" w:rsidRPr="00DB1201">
        <w:rPr>
          <w:spacing w:val="-3"/>
        </w:rPr>
        <w:t> </w:t>
      </w:r>
      <w:r w:rsidRPr="00DB1201">
        <w:rPr>
          <w:spacing w:val="-3"/>
        </w:rPr>
        <w:t>cent of GDP over the forward estimates period</w:t>
      </w:r>
      <w:r w:rsidR="006E1E0A" w:rsidRPr="00DB1201">
        <w:rPr>
          <w:spacing w:val="-3"/>
        </w:rPr>
        <w:t>.  O</w:t>
      </w:r>
      <w:r w:rsidR="00217037" w:rsidRPr="00DB1201">
        <w:rPr>
          <w:spacing w:val="-3"/>
        </w:rPr>
        <w:t xml:space="preserve">ver half of </w:t>
      </w:r>
      <w:r w:rsidR="006E1E0A" w:rsidRPr="00DB1201">
        <w:rPr>
          <w:spacing w:val="-3"/>
        </w:rPr>
        <w:t xml:space="preserve">these transfers </w:t>
      </w:r>
      <w:r w:rsidR="00642799" w:rsidRPr="00DB1201">
        <w:rPr>
          <w:spacing w:val="-3"/>
        </w:rPr>
        <w:t>are</w:t>
      </w:r>
      <w:r w:rsidR="00217037" w:rsidRPr="00DB1201">
        <w:rPr>
          <w:spacing w:val="-3"/>
        </w:rPr>
        <w:t xml:space="preserve"> </w:t>
      </w:r>
      <w:r w:rsidR="00CF31E8" w:rsidRPr="00DB1201">
        <w:rPr>
          <w:spacing w:val="-3"/>
        </w:rPr>
        <w:t>GST payments</w:t>
      </w:r>
      <w:r w:rsidR="004677DD">
        <w:rPr>
          <w:spacing w:val="-3"/>
        </w:rPr>
        <w:t>,</w:t>
      </w:r>
      <w:r w:rsidR="006E1E0A" w:rsidRPr="00DB1201">
        <w:rPr>
          <w:spacing w:val="-3"/>
        </w:rPr>
        <w:t xml:space="preserve"> which are </w:t>
      </w:r>
      <w:r w:rsidR="00375D9E" w:rsidRPr="00DB1201">
        <w:rPr>
          <w:spacing w:val="-3"/>
        </w:rPr>
        <w:t xml:space="preserve">expected to remain flat at around 3.5 per cent of GDP over the </w:t>
      </w:r>
      <w:r w:rsidR="006E1E0A" w:rsidRPr="00DB1201">
        <w:rPr>
          <w:spacing w:val="-3"/>
        </w:rPr>
        <w:t>same period</w:t>
      </w:r>
      <w:r w:rsidR="00375D9E" w:rsidRPr="00DB1201">
        <w:rPr>
          <w:spacing w:val="-3"/>
        </w:rPr>
        <w:t xml:space="preserve">.  This is a downward revision from the previous outlook, reflecting </w:t>
      </w:r>
      <w:r w:rsidR="00E07199" w:rsidRPr="00DB1201">
        <w:rPr>
          <w:spacing w:val="-3"/>
        </w:rPr>
        <w:t xml:space="preserve">lower </w:t>
      </w:r>
      <w:r w:rsidR="00375D9E" w:rsidRPr="00DB1201">
        <w:rPr>
          <w:spacing w:val="-3"/>
        </w:rPr>
        <w:t>forecast growth in prices and consumption.</w:t>
      </w:r>
    </w:p>
    <w:p w:rsidR="00217037" w:rsidRPr="00DB1201" w:rsidRDefault="00E43729" w:rsidP="00DF0236">
      <w:pPr>
        <w:pStyle w:val="BodyText"/>
        <w:rPr>
          <w:spacing w:val="-3"/>
        </w:rPr>
      </w:pPr>
      <w:r w:rsidRPr="00DB1201">
        <w:rPr>
          <w:spacing w:val="-3"/>
        </w:rPr>
        <w:t>The</w:t>
      </w:r>
      <w:r w:rsidR="00375D9E" w:rsidRPr="00DB1201">
        <w:rPr>
          <w:spacing w:val="-3"/>
        </w:rPr>
        <w:t xml:space="preserve"> extent to which s</w:t>
      </w:r>
      <w:r w:rsidR="00F322DC" w:rsidRPr="00DB1201">
        <w:rPr>
          <w:spacing w:val="-3"/>
        </w:rPr>
        <w:t>tates depend on these transfers from the Commonwealth differ</w:t>
      </w:r>
      <w:r w:rsidR="001504F5" w:rsidRPr="00DB1201">
        <w:rPr>
          <w:spacing w:val="-3"/>
        </w:rPr>
        <w:t>s</w:t>
      </w:r>
      <w:r w:rsidR="00F322DC" w:rsidRPr="00DB1201">
        <w:rPr>
          <w:spacing w:val="-3"/>
        </w:rPr>
        <w:t>.  For example</w:t>
      </w:r>
      <w:proofErr w:type="gramStart"/>
      <w:r w:rsidR="00F322DC" w:rsidRPr="00DB1201">
        <w:rPr>
          <w:spacing w:val="-3"/>
        </w:rPr>
        <w:t>,</w:t>
      </w:r>
      <w:proofErr w:type="gramEnd"/>
      <w:r w:rsidR="004078F2">
        <w:rPr>
          <w:spacing w:val="-3"/>
        </w:rPr>
        <w:br/>
      </w:r>
      <w:r w:rsidR="00F322DC" w:rsidRPr="00DB1201">
        <w:rPr>
          <w:spacing w:val="-3"/>
        </w:rPr>
        <w:t>on average over the five years to 2017–18</w:t>
      </w:r>
      <w:r w:rsidR="00B447B1" w:rsidRPr="00DB1201">
        <w:rPr>
          <w:spacing w:val="-3"/>
        </w:rPr>
        <w:t>,</w:t>
      </w:r>
      <w:r w:rsidR="00F322DC" w:rsidRPr="00DB1201">
        <w:rPr>
          <w:spacing w:val="-3"/>
        </w:rPr>
        <w:t xml:space="preserve"> transfers from the Commonwealth made up around three quarters of the Northern Territory’s total revenue compared with around one</w:t>
      </w:r>
      <w:r w:rsidR="00EB2B99" w:rsidRPr="00DB1201">
        <w:rPr>
          <w:spacing w:val="-3"/>
        </w:rPr>
        <w:noBreakHyphen/>
      </w:r>
      <w:r w:rsidR="00F322DC" w:rsidRPr="00DB1201">
        <w:rPr>
          <w:spacing w:val="-3"/>
        </w:rPr>
        <w:t>third for Western Australia (</w:t>
      </w:r>
      <w:r w:rsidR="00217037" w:rsidRPr="00DB1201">
        <w:rPr>
          <w:spacing w:val="-3"/>
        </w:rPr>
        <w:t>Figure 2–9</w:t>
      </w:r>
      <w:r w:rsidR="00F322DC" w:rsidRPr="00DB1201">
        <w:rPr>
          <w:spacing w:val="-3"/>
        </w:rPr>
        <w:t xml:space="preserve">).  </w:t>
      </w:r>
      <w:r w:rsidR="001504F5" w:rsidRPr="00DB1201">
        <w:rPr>
          <w:spacing w:val="-3"/>
        </w:rPr>
        <w:t>Box 2 provides further information on the distribution of GS</w:t>
      </w:r>
      <w:r w:rsidR="00D950F3" w:rsidRPr="00DB1201">
        <w:rPr>
          <w:spacing w:val="-3"/>
        </w:rPr>
        <w:t>T</w:t>
      </w:r>
      <w:r w:rsidR="001504F5" w:rsidRPr="00DB1201">
        <w:rPr>
          <w:spacing w:val="-3"/>
        </w:rPr>
        <w:t xml:space="preserve"> among the states.</w:t>
      </w:r>
    </w:p>
    <w:p w:rsidR="006E1E0A" w:rsidRPr="00F322DC" w:rsidRDefault="006E1E0A" w:rsidP="00443EA9">
      <w:pPr>
        <w:pStyle w:val="BodyText"/>
        <w:spacing w:after="240"/>
      </w:pPr>
      <w:r>
        <w:t>O</w:t>
      </w:r>
      <w:r w:rsidRPr="00887716">
        <w:t>n a per</w:t>
      </w:r>
      <w:r>
        <w:t>-</w:t>
      </w:r>
      <w:r w:rsidR="00295994">
        <w:t>person</w:t>
      </w:r>
      <w:r w:rsidRPr="00887716">
        <w:t xml:space="preserve"> basis, </w:t>
      </w:r>
      <w:r>
        <w:t>most states averag</w:t>
      </w:r>
      <w:r w:rsidR="00D869F2">
        <w:t>ed</w:t>
      </w:r>
      <w:r>
        <w:t xml:space="preserve"> around $10,000 of revenue per</w:t>
      </w:r>
      <w:r w:rsidR="00295994">
        <w:t> person</w:t>
      </w:r>
      <w:r w:rsidRPr="00887716">
        <w:t xml:space="preserve"> over the period</w:t>
      </w:r>
      <w:r w:rsidR="009F1F6E">
        <w:t xml:space="preserve"> 2013–14 to 2017–18 </w:t>
      </w:r>
      <w:r w:rsidRPr="00887716">
        <w:t>(</w:t>
      </w:r>
      <w:r>
        <w:t>Figure 2</w:t>
      </w:r>
      <w:r w:rsidRPr="004F7C34">
        <w:t>–</w:t>
      </w:r>
      <w:r>
        <w:t xml:space="preserve">10).  </w:t>
      </w:r>
      <w:r w:rsidR="00E569BF">
        <w:t xml:space="preserve">The </w:t>
      </w:r>
      <w:r>
        <w:t>Northern Territory recorded the highest</w:t>
      </w:r>
      <w:r w:rsidR="00E569BF" w:rsidRPr="00E569BF">
        <w:t xml:space="preserve"> </w:t>
      </w:r>
      <w:r w:rsidR="00E569BF">
        <w:t>revenue per</w:t>
      </w:r>
      <w:r w:rsidR="00295994">
        <w:t> person</w:t>
      </w:r>
      <w:r>
        <w:t>, at around $</w:t>
      </w:r>
      <w:r w:rsidR="009045FA">
        <w:t>23</w:t>
      </w:r>
      <w:r>
        <w:t>,</w:t>
      </w:r>
      <w:r w:rsidR="009045FA">
        <w:t>5</w:t>
      </w:r>
      <w:r>
        <w:t>00.</w:t>
      </w:r>
    </w:p>
    <w:tbl>
      <w:tblPr>
        <w:tblStyle w:val="TablePlaceholder"/>
        <w:tblW w:w="8504" w:type="dxa"/>
        <w:jc w:val="center"/>
        <w:tblLayout w:type="fixed"/>
        <w:tblLook w:val="04A0" w:firstRow="1" w:lastRow="0" w:firstColumn="1" w:lastColumn="0" w:noHBand="0" w:noVBand="1"/>
      </w:tblPr>
      <w:tblGrid>
        <w:gridCol w:w="4252"/>
        <w:gridCol w:w="4252"/>
      </w:tblGrid>
      <w:tr w:rsidR="00842A38" w:rsidRPr="00156ED4" w:rsidTr="00DB1201">
        <w:trPr>
          <w:jc w:val="center"/>
        </w:trPr>
        <w:tc>
          <w:tcPr>
            <w:tcW w:w="4253" w:type="dxa"/>
          </w:tcPr>
          <w:p w:rsidR="00842A38" w:rsidRPr="00B53047" w:rsidRDefault="00842A38" w:rsidP="00E61B0D">
            <w:pPr>
              <w:pStyle w:val="Caption"/>
            </w:pPr>
            <w:bookmarkStart w:id="45" w:name="_Ref530738623"/>
            <w:r w:rsidRPr="00B53047">
              <w:lastRenderedPageBreak/>
              <w:t xml:space="preserve">Figure </w:t>
            </w:r>
            <w:r w:rsidR="00017BCC">
              <w:fldChar w:fldCharType="begin"/>
            </w:r>
            <w:r w:rsidR="00017BCC">
              <w:instrText xml:space="preserve"> STYLEREF 1 \s </w:instrText>
            </w:r>
            <w:r w:rsidR="00017BCC">
              <w:fldChar w:fldCharType="separate"/>
            </w:r>
            <w:r w:rsidR="0070188F">
              <w:rPr>
                <w:noProof/>
              </w:rPr>
              <w:t>2</w:t>
            </w:r>
            <w:r w:rsidR="00017BCC">
              <w:rPr>
                <w:noProof/>
              </w:rPr>
              <w:fldChar w:fldCharType="end"/>
            </w:r>
            <w:r w:rsidRPr="00B53047">
              <w:t>–</w:t>
            </w:r>
            <w:bookmarkEnd w:id="45"/>
            <w:r w:rsidR="00532C9B">
              <w:t>9</w:t>
            </w:r>
            <w:r w:rsidRPr="00B53047">
              <w:t xml:space="preserve">: </w:t>
            </w:r>
            <w:r>
              <w:t>State revenue</w:t>
            </w:r>
          </w:p>
          <w:p w:rsidR="00842A38" w:rsidRDefault="00842A38">
            <w:pPr>
              <w:pStyle w:val="CaptionDescriptor"/>
            </w:pPr>
            <w:r>
              <w:t xml:space="preserve"> </w:t>
            </w:r>
            <w:r w:rsidR="002563DF">
              <w:t>A</w:t>
            </w:r>
            <w:r>
              <w:t>verage 2013–14 to 2017–18</w:t>
            </w:r>
          </w:p>
        </w:tc>
        <w:tc>
          <w:tcPr>
            <w:tcW w:w="4251" w:type="dxa"/>
          </w:tcPr>
          <w:p w:rsidR="00842A38" w:rsidRPr="0037620C" w:rsidRDefault="00842A38" w:rsidP="00E61B0D">
            <w:pPr>
              <w:pStyle w:val="Caption"/>
            </w:pPr>
            <w:bookmarkStart w:id="46" w:name="_Ref530738672"/>
            <w:r w:rsidRPr="0037620C">
              <w:t xml:space="preserve">Figure </w:t>
            </w:r>
            <w:r w:rsidR="00017BCC">
              <w:fldChar w:fldCharType="begin"/>
            </w:r>
            <w:r w:rsidR="00017BCC">
              <w:instrText xml:space="preserve"> STYLEREF 1 \s </w:instrText>
            </w:r>
            <w:r w:rsidR="00017BCC">
              <w:fldChar w:fldCharType="separate"/>
            </w:r>
            <w:r w:rsidR="0070188F">
              <w:rPr>
                <w:noProof/>
              </w:rPr>
              <w:t>2</w:t>
            </w:r>
            <w:r w:rsidR="00017BCC">
              <w:rPr>
                <w:noProof/>
              </w:rPr>
              <w:fldChar w:fldCharType="end"/>
            </w:r>
            <w:r w:rsidRPr="0037620C">
              <w:t>–</w:t>
            </w:r>
            <w:bookmarkEnd w:id="46"/>
            <w:r w:rsidR="00532C9B">
              <w:t>10</w:t>
            </w:r>
            <w:r w:rsidRPr="0037620C">
              <w:t xml:space="preserve">: </w:t>
            </w:r>
            <w:r w:rsidRPr="00216A5B">
              <w:t>State revenue</w:t>
            </w:r>
            <w:r w:rsidR="00295994">
              <w:t xml:space="preserve"> </w:t>
            </w:r>
            <w:r w:rsidR="002563DF">
              <w:t xml:space="preserve">per </w:t>
            </w:r>
            <w:r w:rsidR="00295994">
              <w:t>person</w:t>
            </w:r>
          </w:p>
          <w:p w:rsidR="00842A38" w:rsidRPr="002A518D" w:rsidRDefault="00842A38">
            <w:pPr>
              <w:pStyle w:val="CaptionDescriptor"/>
              <w:rPr>
                <w:highlight w:val="yellow"/>
              </w:rPr>
            </w:pPr>
            <w:r w:rsidRPr="00216A5B">
              <w:t xml:space="preserve"> </w:t>
            </w:r>
            <w:r w:rsidR="002563DF">
              <w:t>A</w:t>
            </w:r>
            <w:r>
              <w:t>verage</w:t>
            </w:r>
            <w:r w:rsidRPr="00216A5B">
              <w:t xml:space="preserve"> 201</w:t>
            </w:r>
            <w:r>
              <w:t>3</w:t>
            </w:r>
            <w:r w:rsidRPr="00216A5B">
              <w:t>–1</w:t>
            </w:r>
            <w:r>
              <w:t>4</w:t>
            </w:r>
            <w:r w:rsidRPr="00216A5B">
              <w:t xml:space="preserve"> to 201</w:t>
            </w:r>
            <w:r>
              <w:t>7</w:t>
            </w:r>
            <w:r w:rsidRPr="00216A5B">
              <w:t>–1</w:t>
            </w:r>
            <w:r>
              <w:t>8</w:t>
            </w:r>
          </w:p>
        </w:tc>
      </w:tr>
      <w:tr w:rsidR="00347959" w:rsidTr="0007123E">
        <w:trPr>
          <w:trHeight w:val="2835"/>
          <w:jc w:val="center"/>
        </w:trPr>
        <w:tc>
          <w:tcPr>
            <w:tcW w:w="4252" w:type="dxa"/>
          </w:tcPr>
          <w:p w:rsidR="00347959" w:rsidDel="00EA254B" w:rsidRDefault="00347959">
            <w:pPr>
              <w:keepNext/>
              <w:jc w:val="center"/>
            </w:pPr>
            <w:r>
              <w:rPr>
                <w:noProof/>
                <w:lang w:eastAsia="en-AU"/>
              </w:rPr>
              <w:drawing>
                <wp:inline distT="0" distB="0" distL="0" distR="0" wp14:anchorId="427D7F5C" wp14:editId="638BD731">
                  <wp:extent cx="2592000" cy="3069314"/>
                  <wp:effectExtent l="0" t="0" r="0" b="4445"/>
                  <wp:docPr id="53" name="Picture 5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19 National Fiscal Outlook report_Graphs_04_Figure 1-3-1-4_Figure 2–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92000" cy="3069314"/>
                          </a:xfrm>
                          <a:prstGeom prst="rect">
                            <a:avLst/>
                          </a:prstGeom>
                        </pic:spPr>
                      </pic:pic>
                    </a:graphicData>
                  </a:graphic>
                </wp:inline>
              </w:drawing>
            </w:r>
          </w:p>
        </w:tc>
        <w:tc>
          <w:tcPr>
            <w:tcW w:w="4252" w:type="dxa"/>
          </w:tcPr>
          <w:p w:rsidR="00347959" w:rsidRDefault="00347959">
            <w:pPr>
              <w:keepNext/>
              <w:jc w:val="center"/>
            </w:pPr>
            <w:r>
              <w:rPr>
                <w:noProof/>
                <w:lang w:eastAsia="en-AU"/>
              </w:rPr>
              <w:drawing>
                <wp:inline distT="0" distB="0" distL="0" distR="0" wp14:anchorId="06CB6CCA" wp14:editId="451929C5">
                  <wp:extent cx="2592000" cy="3069314"/>
                  <wp:effectExtent l="0" t="0" r="0" b="4445"/>
                  <wp:docPr id="54" name="Picture 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019 National Fiscal Outlook report_Graphs_04_Figure 1-3-1-4_Figure 2–1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92000" cy="3069314"/>
                          </a:xfrm>
                          <a:prstGeom prst="rect">
                            <a:avLst/>
                          </a:prstGeom>
                        </pic:spPr>
                      </pic:pic>
                    </a:graphicData>
                  </a:graphic>
                </wp:inline>
              </w:drawing>
            </w:r>
          </w:p>
        </w:tc>
      </w:tr>
      <w:tr w:rsidR="00842A38" w:rsidTr="00DB1201">
        <w:trPr>
          <w:trHeight w:val="454"/>
          <w:jc w:val="center"/>
        </w:trPr>
        <w:tc>
          <w:tcPr>
            <w:tcW w:w="4253" w:type="dxa"/>
          </w:tcPr>
          <w:p w:rsidR="00842A38" w:rsidRDefault="00842A38" w:rsidP="00DB1201">
            <w:pPr>
              <w:pStyle w:val="Source"/>
              <w:ind w:left="568"/>
            </w:pPr>
            <w:r>
              <w:t>Source: ABS, Commonwealth and state budget papers</w:t>
            </w:r>
            <w:r w:rsidR="00F54CB8">
              <w:t xml:space="preserve"> and </w:t>
            </w:r>
            <w:r>
              <w:t>PBO analysis.</w:t>
            </w:r>
          </w:p>
        </w:tc>
        <w:tc>
          <w:tcPr>
            <w:tcW w:w="4251" w:type="dxa"/>
          </w:tcPr>
          <w:p w:rsidR="00842A38" w:rsidRDefault="00842A38">
            <w:pPr>
              <w:pStyle w:val="Source"/>
              <w:keepNext/>
              <w:ind w:left="568"/>
            </w:pPr>
            <w:r>
              <w:t>Source: ABS, Commonwealth and state budget papers</w:t>
            </w:r>
            <w:r w:rsidR="00F54CB8">
              <w:t xml:space="preserve"> and </w:t>
            </w:r>
            <w:r>
              <w:t>PBO analysis.</w:t>
            </w:r>
          </w:p>
        </w:tc>
      </w:tr>
    </w:tbl>
    <w:p w:rsidR="009A0679" w:rsidRDefault="009A0679" w:rsidP="009A0679">
      <w:pPr>
        <w:pStyle w:val="Heading4"/>
      </w:pPr>
      <w:r>
        <w:t>Own-source revenue</w:t>
      </w:r>
    </w:p>
    <w:p w:rsidR="009A0679" w:rsidRDefault="009A0679" w:rsidP="009A0679">
      <w:pPr>
        <w:pStyle w:val="BodyText"/>
      </w:pPr>
      <w:r>
        <w:t xml:space="preserve">The remainder of state revenue is derived from their own sources.  Key revenue sources for the states are taxes on property (including taxes on transfers and land tax), payroll tax, revenue from sales of goods and services, and, </w:t>
      </w:r>
      <w:r w:rsidRPr="005A40C5">
        <w:t>for resource</w:t>
      </w:r>
      <w:r>
        <w:t>-</w:t>
      </w:r>
      <w:r w:rsidRPr="005A40C5">
        <w:t xml:space="preserve">rich states, </w:t>
      </w:r>
      <w:r>
        <w:t xml:space="preserve">royalty revenue (Box 3).  </w:t>
      </w:r>
    </w:p>
    <w:p w:rsidR="009A0679" w:rsidRDefault="009A0679" w:rsidP="009A0679">
      <w:pPr>
        <w:pStyle w:val="BodyText"/>
      </w:pPr>
      <w:r>
        <w:t>Own-source revenue has been strong in recent years</w:t>
      </w:r>
      <w:r w:rsidR="004677DD">
        <w:t>,</w:t>
      </w:r>
      <w:r>
        <w:t xml:space="preserve"> but is projected to fall from 8.1 per cent of</w:t>
      </w:r>
      <w:r w:rsidR="00C73F13">
        <w:br/>
      </w:r>
      <w:r>
        <w:t xml:space="preserve">GDP in </w:t>
      </w:r>
      <w:r w:rsidRPr="004F7C34">
        <w:t xml:space="preserve">2018–19 to </w:t>
      </w:r>
      <w:r>
        <w:t>7.7</w:t>
      </w:r>
      <w:r w:rsidRPr="004F7C34">
        <w:t> per c</w:t>
      </w:r>
      <w:r>
        <w:t>ent of GDP by</w:t>
      </w:r>
      <w:r w:rsidRPr="004F7C34">
        <w:t xml:space="preserve"> 2022</w:t>
      </w:r>
      <w:r>
        <w:t>–</w:t>
      </w:r>
      <w:r w:rsidRPr="004F7C34">
        <w:t>23</w:t>
      </w:r>
      <w:r>
        <w:t xml:space="preserve">, with drivers varying by state.  </w:t>
      </w:r>
    </w:p>
    <w:p w:rsidR="009A0679" w:rsidRPr="00C15752" w:rsidRDefault="001219F6" w:rsidP="009A0679">
      <w:pPr>
        <w:pStyle w:val="BodyText"/>
        <w:rPr>
          <w:color w:val="C64E45" w:themeColor="accent2"/>
        </w:rPr>
      </w:pPr>
      <w:r>
        <w:t>I</w:t>
      </w:r>
      <w:r w:rsidR="009A0679">
        <w:t>n New South Wales, the plan to gradually increase the payroll tax threshold will slow growth in the state’s main source of tax revenue.  A forecast return to positive house price growth in 2019–20 will support growth in transfer duty, but this will be partly offset by the indexation of transfer duty thresholds starting in that year.</w:t>
      </w:r>
    </w:p>
    <w:p w:rsidR="009A0679" w:rsidRDefault="009A0679" w:rsidP="009A0679">
      <w:pPr>
        <w:pStyle w:val="BodyText"/>
      </w:pPr>
      <w:r>
        <w:t xml:space="preserve">In </w:t>
      </w:r>
      <w:r w:rsidRPr="00F5323D">
        <w:t>Queensland</w:t>
      </w:r>
      <w:r>
        <w:t>,</w:t>
      </w:r>
      <w:r w:rsidRPr="00F5323D">
        <w:t xml:space="preserve"> royalty revenue has been support</w:t>
      </w:r>
      <w:r>
        <w:t>ed</w:t>
      </w:r>
      <w:r w:rsidRPr="00F5323D">
        <w:t xml:space="preserve"> by high coal prices</w:t>
      </w:r>
      <w:r>
        <w:t xml:space="preserve"> in 2018–</w:t>
      </w:r>
      <w:r w:rsidRPr="00F5323D">
        <w:t xml:space="preserve">19, which are </w:t>
      </w:r>
      <w:r>
        <w:t>assumed to decline to long</w:t>
      </w:r>
      <w:r w:rsidRPr="00F5323D">
        <w:t>-term averages over the forward estimates.</w:t>
      </w:r>
      <w:r>
        <w:t xml:space="preserve">  Queensland will also increase the payroll tax threshold, which will slow revenue growth over the forward </w:t>
      </w:r>
      <w:proofErr w:type="gramStart"/>
      <w:r>
        <w:t>estimates,</w:t>
      </w:r>
      <w:proofErr w:type="gramEnd"/>
      <w:r>
        <w:t xml:space="preserve"> however this is more than offset by a rise in the petroleum royalty rate and increases in land tax surcharge. </w:t>
      </w:r>
    </w:p>
    <w:p w:rsidR="009A0679" w:rsidRDefault="009A0679" w:rsidP="009A0679">
      <w:pPr>
        <w:pStyle w:val="BodyText"/>
      </w:pPr>
      <w:r w:rsidRPr="00A90880">
        <w:t>In Victoria</w:t>
      </w:r>
      <w:r>
        <w:t>,</w:t>
      </w:r>
      <w:r w:rsidRPr="00A90880">
        <w:t xml:space="preserve"> transfer duty and land tax </w:t>
      </w:r>
      <w:r>
        <w:t>revenue is</w:t>
      </w:r>
      <w:r w:rsidRPr="00A90880">
        <w:t xml:space="preserve"> for</w:t>
      </w:r>
      <w:r>
        <w:t>ec</w:t>
      </w:r>
      <w:r w:rsidRPr="00A90880">
        <w:t>a</w:t>
      </w:r>
      <w:r>
        <w:t>s</w:t>
      </w:r>
      <w:r w:rsidRPr="00A90880">
        <w:t xml:space="preserve">t to decline </w:t>
      </w:r>
      <w:r>
        <w:t xml:space="preserve">by 1.1 per cent </w:t>
      </w:r>
      <w:r w:rsidRPr="00A90880">
        <w:t xml:space="preserve">in 2019–20, reflecting declining property prices and </w:t>
      </w:r>
      <w:r>
        <w:t>transaction volumes, before increasing in line with a projected recovery in the property market in 2020–21.</w:t>
      </w:r>
    </w:p>
    <w:p w:rsidR="00B62451" w:rsidRPr="00274221" w:rsidRDefault="00B62451" w:rsidP="00B62451">
      <w:pPr>
        <w:pStyle w:val="BodyText17ptAbove"/>
      </w:pPr>
    </w:p>
    <w:tbl>
      <w:tblPr>
        <w:tblStyle w:val="BoxPlaceholder"/>
        <w:tblW w:w="8789" w:type="dxa"/>
        <w:tblLayout w:type="fixed"/>
        <w:tblLook w:val="04A0" w:firstRow="1" w:lastRow="0" w:firstColumn="1" w:lastColumn="0" w:noHBand="0" w:noVBand="1"/>
      </w:tblPr>
      <w:tblGrid>
        <w:gridCol w:w="4394"/>
        <w:gridCol w:w="4395"/>
      </w:tblGrid>
      <w:tr w:rsidR="00B62451" w:rsidRPr="003C4E7B" w:rsidTr="00BD2153">
        <w:tc>
          <w:tcPr>
            <w:tcW w:w="8789" w:type="dxa"/>
            <w:gridSpan w:val="2"/>
          </w:tcPr>
          <w:p w:rsidR="00B62451" w:rsidRDefault="00B62451" w:rsidP="00BD2153">
            <w:pPr>
              <w:pStyle w:val="CaptionLeft"/>
              <w:rPr>
                <w:sz w:val="28"/>
                <w:szCs w:val="28"/>
              </w:rPr>
            </w:pPr>
            <w:r w:rsidRPr="007940A3">
              <w:rPr>
                <w:sz w:val="28"/>
                <w:szCs w:val="28"/>
              </w:rPr>
              <w:lastRenderedPageBreak/>
              <w:t>Box</w:t>
            </w:r>
            <w:r>
              <w:rPr>
                <w:sz w:val="28"/>
                <w:szCs w:val="28"/>
              </w:rPr>
              <w:t> 2</w:t>
            </w:r>
            <w:r w:rsidRPr="002A518D">
              <w:rPr>
                <w:sz w:val="28"/>
                <w:szCs w:val="28"/>
              </w:rPr>
              <w:t xml:space="preserve">: </w:t>
            </w:r>
            <w:r>
              <w:rPr>
                <w:sz w:val="28"/>
                <w:szCs w:val="28"/>
              </w:rPr>
              <w:t>GST distribution to the states</w:t>
            </w:r>
          </w:p>
          <w:p w:rsidR="00B62451" w:rsidRDefault="00B62451" w:rsidP="00DF0236">
            <w:pPr>
              <w:pStyle w:val="BodyText"/>
              <w:spacing w:after="120"/>
              <w:rPr>
                <w:lang w:val="en-US"/>
              </w:rPr>
            </w:pPr>
            <w:r>
              <w:rPr>
                <w:lang w:val="en-US"/>
              </w:rPr>
              <w:t xml:space="preserve">The amount of GST revenue distributed to a particular state each year depends on four things: the total amount of GST revenue collected by the Commonwealth, each state’s share of the population, the particular concept of equality used to achieve ‘horizontal fiscal </w:t>
            </w:r>
            <w:proofErr w:type="spellStart"/>
            <w:r>
              <w:rPr>
                <w:lang w:val="en-US"/>
              </w:rPr>
              <w:t>equalisation</w:t>
            </w:r>
            <w:proofErr w:type="spellEnd"/>
            <w:r>
              <w:rPr>
                <w:lang w:val="en-US"/>
              </w:rPr>
              <w:t>’</w:t>
            </w:r>
            <w:r>
              <w:rPr>
                <w:rStyle w:val="FootnoteReference"/>
                <w:lang w:val="en-US"/>
              </w:rPr>
              <w:footnoteReference w:id="14"/>
            </w:r>
            <w:r>
              <w:rPr>
                <w:lang w:val="en-US"/>
              </w:rPr>
              <w:t xml:space="preserve">, and the specific methods used by the Commonwealth Grants Commission when assessing </w:t>
            </w:r>
            <w:r w:rsidR="004043D4">
              <w:rPr>
                <w:lang w:val="en-US"/>
              </w:rPr>
              <w:t xml:space="preserve">each </w:t>
            </w:r>
            <w:r>
              <w:rPr>
                <w:lang w:val="en-US"/>
              </w:rPr>
              <w:t>state</w:t>
            </w:r>
            <w:r w:rsidR="004043D4">
              <w:rPr>
                <w:lang w:val="en-US"/>
              </w:rPr>
              <w:t>’</w:t>
            </w:r>
            <w:r>
              <w:rPr>
                <w:lang w:val="en-US"/>
              </w:rPr>
              <w:t>s fiscal capacity.</w:t>
            </w:r>
            <w:r w:rsidR="004043D4">
              <w:rPr>
                <w:lang w:val="en-US"/>
              </w:rPr>
              <w:t xml:space="preserve"> </w:t>
            </w:r>
            <w:r>
              <w:rPr>
                <w:lang w:val="en-US"/>
              </w:rPr>
              <w:t xml:space="preserve"> </w:t>
            </w:r>
            <w:r w:rsidR="004043D4">
              <w:rPr>
                <w:lang w:val="en-US"/>
              </w:rPr>
              <w:t>T</w:t>
            </w:r>
            <w:r>
              <w:rPr>
                <w:lang w:val="en-US"/>
              </w:rPr>
              <w:t xml:space="preserve">he last two factors will change over the </w:t>
            </w:r>
            <w:r w:rsidR="004941DE">
              <w:rPr>
                <w:lang w:val="en-US"/>
              </w:rPr>
              <w:t>period ahead</w:t>
            </w:r>
            <w:r>
              <w:rPr>
                <w:lang w:val="en-US"/>
              </w:rPr>
              <w:t xml:space="preserve">. </w:t>
            </w:r>
          </w:p>
          <w:p w:rsidR="00B62451" w:rsidRPr="00DB1201" w:rsidRDefault="00B62451" w:rsidP="00DF0236">
            <w:pPr>
              <w:pStyle w:val="ListBullet"/>
              <w:spacing w:after="120"/>
              <w:ind w:left="284" w:hanging="284"/>
              <w:rPr>
                <w:rFonts w:cs="Times New Roman (Body CS)"/>
                <w:spacing w:val="-2"/>
                <w:lang w:val="en-US"/>
              </w:rPr>
            </w:pPr>
            <w:r w:rsidRPr="00DB1201">
              <w:rPr>
                <w:rFonts w:cs="Times New Roman (Body CS)"/>
                <w:spacing w:val="-2"/>
                <w:lang w:val="en-US"/>
              </w:rPr>
              <w:t xml:space="preserve">The concept of horizontal fiscal </w:t>
            </w:r>
            <w:proofErr w:type="spellStart"/>
            <w:r w:rsidRPr="00DB1201">
              <w:rPr>
                <w:rFonts w:cs="Times New Roman (Body CS)"/>
                <w:spacing w:val="-2"/>
                <w:lang w:val="en-US"/>
              </w:rPr>
              <w:t>equalisation</w:t>
            </w:r>
            <w:proofErr w:type="spellEnd"/>
            <w:r w:rsidRPr="00DB1201">
              <w:rPr>
                <w:rFonts w:cs="Times New Roman (Body CS)"/>
                <w:spacing w:val="-2"/>
                <w:lang w:val="en-US"/>
              </w:rPr>
              <w:t xml:space="preserve"> will change from a ‘full’ to ‘reasonable’ </w:t>
            </w:r>
            <w:proofErr w:type="spellStart"/>
            <w:r w:rsidRPr="00DB1201">
              <w:rPr>
                <w:rFonts w:cs="Times New Roman (Body CS)"/>
                <w:spacing w:val="-2"/>
                <w:lang w:val="en-US"/>
              </w:rPr>
              <w:t>equalisation</w:t>
            </w:r>
            <w:proofErr w:type="spellEnd"/>
            <w:r w:rsidRPr="00DB1201">
              <w:rPr>
                <w:rFonts w:cs="Times New Roman (Body CS)"/>
                <w:spacing w:val="-2"/>
                <w:lang w:val="en-US"/>
              </w:rPr>
              <w:t xml:space="preserve"> system over a </w:t>
            </w:r>
            <w:r w:rsidR="004043D4" w:rsidRPr="00DB1201">
              <w:rPr>
                <w:rFonts w:cs="Times New Roman (Body CS)"/>
                <w:spacing w:val="-2"/>
                <w:lang w:val="en-US"/>
              </w:rPr>
              <w:t>five-</w:t>
            </w:r>
            <w:r w:rsidRPr="00DB1201">
              <w:rPr>
                <w:rFonts w:cs="Times New Roman (Body CS)"/>
                <w:spacing w:val="-2"/>
                <w:lang w:val="en-US"/>
              </w:rPr>
              <w:t>year transition period commencing in 2021–22, with revenue distributed so that all states have the capacity to provide services equal to whichever of</w:t>
            </w:r>
            <w:r w:rsidR="00C73F13">
              <w:rPr>
                <w:rFonts w:cs="Times New Roman (Body CS)"/>
                <w:spacing w:val="-2"/>
                <w:lang w:val="en-US"/>
              </w:rPr>
              <w:br/>
            </w:r>
            <w:r w:rsidRPr="00DB1201">
              <w:rPr>
                <w:rFonts w:cs="Times New Roman (Body CS)"/>
                <w:spacing w:val="-2"/>
                <w:lang w:val="en-US"/>
              </w:rPr>
              <w:t>New South Wales or Victoria is fiscally stronger.  Transition arrangements include a minimum share (floor) in the GST revenue that a state will receive.  The Commonwealth will also ‘top up’ the pool of GST revenue each year from 2021–22.  Additional arrangements are in place</w:t>
            </w:r>
            <w:proofErr w:type="gramStart"/>
            <w:r w:rsidRPr="00DB1201">
              <w:rPr>
                <w:rFonts w:cs="Times New Roman (Body CS)"/>
                <w:spacing w:val="-2"/>
                <w:lang w:val="en-US"/>
              </w:rPr>
              <w:t>,</w:t>
            </w:r>
            <w:proofErr w:type="gramEnd"/>
            <w:r w:rsidR="00C73F13">
              <w:rPr>
                <w:rFonts w:cs="Times New Roman (Body CS)"/>
                <w:spacing w:val="-2"/>
                <w:lang w:val="en-US"/>
              </w:rPr>
              <w:br/>
            </w:r>
            <w:r w:rsidRPr="00DB1201">
              <w:rPr>
                <w:rFonts w:cs="Times New Roman (Body CS)"/>
                <w:spacing w:val="-2"/>
                <w:lang w:val="en-US"/>
              </w:rPr>
              <w:t xml:space="preserve">if required, to ensure no state is worse off as the system shifts.  The operation of the new arrangements will be reviewed </w:t>
            </w:r>
            <w:r w:rsidR="004043D4" w:rsidRPr="00DB1201">
              <w:rPr>
                <w:rFonts w:cs="Times New Roman (Body CS)"/>
                <w:spacing w:val="-2"/>
                <w:lang w:val="en-US"/>
              </w:rPr>
              <w:t xml:space="preserve">by the Productivity Commission </w:t>
            </w:r>
            <w:r w:rsidRPr="00DB1201">
              <w:rPr>
                <w:rFonts w:cs="Times New Roman (Body CS)"/>
                <w:spacing w:val="-2"/>
                <w:lang w:val="en-US"/>
              </w:rPr>
              <w:t>at the end of the</w:t>
            </w:r>
            <w:r w:rsidR="00C73F13">
              <w:rPr>
                <w:rFonts w:cs="Times New Roman (Body CS)"/>
                <w:spacing w:val="-2"/>
                <w:lang w:val="en-US"/>
              </w:rPr>
              <w:br/>
            </w:r>
            <w:r w:rsidRPr="00DB1201">
              <w:rPr>
                <w:rFonts w:cs="Times New Roman (Body CS)"/>
                <w:spacing w:val="-2"/>
                <w:lang w:val="en-US"/>
              </w:rPr>
              <w:t>transition period</w:t>
            </w:r>
            <w:r w:rsidRPr="00DB1201">
              <w:rPr>
                <w:rFonts w:cs="Times New Roman (Body CS)"/>
                <w:spacing w:val="-2"/>
              </w:rPr>
              <w:t xml:space="preserve">.  </w:t>
            </w:r>
          </w:p>
          <w:p w:rsidR="00B62451" w:rsidRDefault="00B62451" w:rsidP="00DF0236">
            <w:pPr>
              <w:pStyle w:val="ListBullet"/>
              <w:spacing w:after="120"/>
              <w:ind w:left="284" w:hanging="284"/>
              <w:rPr>
                <w:lang w:val="en-US"/>
              </w:rPr>
            </w:pPr>
            <w:r>
              <w:rPr>
                <w:lang w:val="en-US"/>
              </w:rPr>
              <w:t>The methods used to work out the fiscally strongest state will likely change somewhat</w:t>
            </w:r>
            <w:r w:rsidR="00C73F13">
              <w:rPr>
                <w:lang w:val="en-US"/>
              </w:rPr>
              <w:br/>
            </w:r>
            <w:r>
              <w:rPr>
                <w:lang w:val="en-US"/>
              </w:rPr>
              <w:t>as a result of the Commonwealth Grants Commission’s regular five</w:t>
            </w:r>
            <w:r>
              <w:rPr>
                <w:lang w:val="en-US"/>
              </w:rPr>
              <w:noBreakHyphen/>
              <w:t>yearly review of its approach.  Any changes would be implemented from 2020–21.  While multiple state budgets noted potential changes as an unquantifiable risk, the Commission’s recent</w:t>
            </w:r>
            <w:r w:rsidR="00C73F13">
              <w:rPr>
                <w:lang w:val="en-US"/>
              </w:rPr>
              <w:br/>
            </w:r>
            <w:r>
              <w:rPr>
                <w:lang w:val="en-US"/>
              </w:rPr>
              <w:t xml:space="preserve">draft report on these changes describes them as ‘evolutionary’. </w:t>
            </w:r>
          </w:p>
          <w:p w:rsidR="00B62451" w:rsidRPr="00261B6B" w:rsidRDefault="002563DF" w:rsidP="00DF0236">
            <w:pPr>
              <w:pStyle w:val="CaptionLeft"/>
              <w:spacing w:before="240" w:after="0"/>
            </w:pPr>
            <w:r w:rsidRPr="00DF0236">
              <w:t>Trends in GST revenue</w:t>
            </w:r>
          </w:p>
        </w:tc>
      </w:tr>
      <w:tr w:rsidR="00B07D8D" w:rsidRPr="003C4E7B" w:rsidTr="001D0CC8">
        <w:tc>
          <w:tcPr>
            <w:tcW w:w="4394" w:type="dxa"/>
          </w:tcPr>
          <w:p w:rsidR="00B07D8D" w:rsidRPr="00DB1201" w:rsidRDefault="00B07D8D" w:rsidP="00DF0236">
            <w:pPr>
              <w:pStyle w:val="CaptionLeft"/>
              <w:spacing w:before="0" w:after="120"/>
              <w:rPr>
                <w:rFonts w:cs="Times New Roman"/>
                <w:b w:val="0"/>
                <w:bCs w:val="0"/>
                <w:color w:val="auto"/>
                <w:spacing w:val="-3"/>
              </w:rPr>
            </w:pPr>
            <w:r w:rsidRPr="00DB1201">
              <w:rPr>
                <w:rFonts w:cs="Times New Roman"/>
                <w:b w:val="0"/>
                <w:bCs w:val="0"/>
                <w:color w:val="auto"/>
                <w:spacing w:val="-3"/>
              </w:rPr>
              <w:t>While GST revenue as a share of GDP is projected to be relatively stable over the forward estimates, higher consumption of some GST</w:t>
            </w:r>
            <w:r w:rsidRPr="00DB1201">
              <w:rPr>
                <w:rFonts w:cs="Times New Roman"/>
                <w:b w:val="0"/>
                <w:bCs w:val="0"/>
                <w:color w:val="auto"/>
                <w:spacing w:val="-3"/>
              </w:rPr>
              <w:noBreakHyphen/>
              <w:t xml:space="preserve">free services such as health and education may place downward pressure on GST revenue over time.  Since the introduction of the GST, the volume of household consumption subject to the tax has </w:t>
            </w:r>
            <w:proofErr w:type="gramStart"/>
            <w:r w:rsidR="004941DE" w:rsidRPr="00DB1201">
              <w:rPr>
                <w:rFonts w:cs="Times New Roman"/>
                <w:b w:val="0"/>
                <w:bCs w:val="0"/>
                <w:color w:val="auto"/>
                <w:spacing w:val="-3"/>
              </w:rPr>
              <w:t>fallen</w:t>
            </w:r>
            <w:proofErr w:type="gramEnd"/>
            <w:r w:rsidR="004941DE" w:rsidRPr="00DB1201">
              <w:rPr>
                <w:rFonts w:cs="Times New Roman"/>
                <w:b w:val="0"/>
                <w:bCs w:val="0"/>
                <w:color w:val="auto"/>
                <w:spacing w:val="-3"/>
              </w:rPr>
              <w:t xml:space="preserve"> a little</w:t>
            </w:r>
            <w:r w:rsidRPr="00DB1201">
              <w:rPr>
                <w:rFonts w:cs="Times New Roman"/>
                <w:b w:val="0"/>
                <w:bCs w:val="0"/>
                <w:color w:val="auto"/>
                <w:spacing w:val="-3"/>
              </w:rPr>
              <w:t xml:space="preserve">, however the price of goods and services </w:t>
            </w:r>
            <w:r w:rsidR="004941DE" w:rsidRPr="00DB1201">
              <w:rPr>
                <w:rFonts w:cs="Times New Roman"/>
                <w:b w:val="0"/>
                <w:bCs w:val="0"/>
                <w:color w:val="auto"/>
                <w:spacing w:val="-3"/>
              </w:rPr>
              <w:t xml:space="preserve">subject to the GST </w:t>
            </w:r>
            <w:r w:rsidRPr="00DB1201">
              <w:rPr>
                <w:rFonts w:cs="Times New Roman"/>
                <w:b w:val="0"/>
                <w:bCs w:val="0"/>
                <w:color w:val="auto"/>
                <w:spacing w:val="-3"/>
              </w:rPr>
              <w:t xml:space="preserve">has grown </w:t>
            </w:r>
            <w:r w:rsidR="004941DE" w:rsidRPr="00DB1201">
              <w:rPr>
                <w:rFonts w:cs="Times New Roman"/>
                <w:b w:val="0"/>
                <w:bCs w:val="0"/>
                <w:color w:val="auto"/>
                <w:spacing w:val="-3"/>
              </w:rPr>
              <w:t xml:space="preserve">significantly more </w:t>
            </w:r>
            <w:r w:rsidRPr="00DB1201">
              <w:rPr>
                <w:rFonts w:cs="Times New Roman"/>
                <w:b w:val="0"/>
                <w:bCs w:val="0"/>
                <w:color w:val="auto"/>
                <w:spacing w:val="-3"/>
              </w:rPr>
              <w:t xml:space="preserve">slowly than </w:t>
            </w:r>
            <w:r w:rsidR="004941DE" w:rsidRPr="00DB1201">
              <w:rPr>
                <w:rFonts w:cs="Times New Roman"/>
                <w:b w:val="0"/>
                <w:bCs w:val="0"/>
                <w:color w:val="auto"/>
                <w:spacing w:val="-3"/>
              </w:rPr>
              <w:t xml:space="preserve">the price of </w:t>
            </w:r>
            <w:r w:rsidRPr="00DB1201">
              <w:rPr>
                <w:rFonts w:cs="Times New Roman"/>
                <w:b w:val="0"/>
                <w:bCs w:val="0"/>
                <w:color w:val="auto"/>
                <w:spacing w:val="-3"/>
              </w:rPr>
              <w:t>goods and services that are exempt from GST (Figure 2–11).</w:t>
            </w:r>
          </w:p>
          <w:p w:rsidR="00B07D8D" w:rsidRPr="00DF0236" w:rsidRDefault="00B07D8D" w:rsidP="00DF0236">
            <w:pPr>
              <w:pStyle w:val="BodyText"/>
              <w:spacing w:after="120"/>
            </w:pPr>
            <w:r>
              <w:t>The PBO intends to undertake further work to quantify the fiscal impact of these trends to inform the 2020–21 medium-term fiscal projections.  Other analysis on a similar timeframe includes the independent review on federal financial relations commissioned by the New South Wales Government</w:t>
            </w:r>
            <w:proofErr w:type="gramStart"/>
            <w:r>
              <w:t>,</w:t>
            </w:r>
            <w:proofErr w:type="gramEnd"/>
            <w:r w:rsidR="00C73F13">
              <w:br/>
            </w:r>
            <w:r>
              <w:t>which will report in the first half of 2020.</w:t>
            </w:r>
          </w:p>
        </w:tc>
        <w:tc>
          <w:tcPr>
            <w:tcW w:w="4395" w:type="dxa"/>
          </w:tcPr>
          <w:p w:rsidR="00B07D8D" w:rsidRPr="00B8768A" w:rsidRDefault="00B07D8D">
            <w:pPr>
              <w:pStyle w:val="Caption"/>
              <w:rPr>
                <w:b w:val="0"/>
                <w:highlight w:val="yellow"/>
              </w:rPr>
            </w:pPr>
            <w:r w:rsidRPr="002447F5">
              <w:t xml:space="preserve">Figure </w:t>
            </w:r>
            <w:r w:rsidR="00017BCC">
              <w:fldChar w:fldCharType="begin"/>
            </w:r>
            <w:r w:rsidR="00017BCC">
              <w:instrText xml:space="preserve"> STYLEREF 1 \s </w:instrText>
            </w:r>
            <w:r w:rsidR="00017BCC">
              <w:fldChar w:fldCharType="separate"/>
            </w:r>
            <w:r w:rsidR="0070188F">
              <w:rPr>
                <w:noProof/>
              </w:rPr>
              <w:t>2</w:t>
            </w:r>
            <w:r w:rsidR="00017BCC">
              <w:rPr>
                <w:noProof/>
              </w:rPr>
              <w:fldChar w:fldCharType="end"/>
            </w:r>
            <w:r w:rsidRPr="002447F5">
              <w:t>–1</w:t>
            </w:r>
            <w:r w:rsidRPr="005746FD">
              <w:t>1:</w:t>
            </w:r>
            <w:r w:rsidRPr="00AF74ED">
              <w:t xml:space="preserve"> </w:t>
            </w:r>
            <w:r>
              <w:t>Share of household spending subject to GST</w:t>
            </w:r>
          </w:p>
          <w:p w:rsidR="00B07D8D" w:rsidRDefault="00B07D8D" w:rsidP="00B07D8D">
            <w:pPr>
              <w:pStyle w:val="BodyText"/>
              <w:jc w:val="center"/>
              <w:rPr>
                <w:lang w:val="en-US"/>
              </w:rPr>
            </w:pPr>
            <w:r>
              <w:rPr>
                <w:noProof/>
                <w:lang w:eastAsia="en-AU"/>
              </w:rPr>
              <w:drawing>
                <wp:inline distT="0" distB="0" distL="0" distR="0" wp14:anchorId="716440BB" wp14:editId="2E1441CB">
                  <wp:extent cx="2520000" cy="3251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520000" cy="3251618"/>
                          </a:xfrm>
                          <a:prstGeom prst="rect">
                            <a:avLst/>
                          </a:prstGeom>
                          <a:noFill/>
                        </pic:spPr>
                      </pic:pic>
                    </a:graphicData>
                  </a:graphic>
                </wp:inline>
              </w:drawing>
            </w:r>
          </w:p>
          <w:p w:rsidR="00B07D8D" w:rsidRPr="00B8768A" w:rsidRDefault="00B07D8D" w:rsidP="00DF0236">
            <w:pPr>
              <w:pStyle w:val="BodyText"/>
              <w:spacing w:after="120"/>
              <w:ind w:left="426"/>
              <w:rPr>
                <w:bCs/>
                <w:color w:val="788184"/>
                <w:sz w:val="18"/>
                <w:szCs w:val="14"/>
              </w:rPr>
            </w:pPr>
            <w:r>
              <w:rPr>
                <w:bCs/>
                <w:color w:val="788184"/>
                <w:sz w:val="18"/>
                <w:szCs w:val="14"/>
              </w:rPr>
              <w:t xml:space="preserve"> </w:t>
            </w:r>
            <w:r w:rsidRPr="00B8768A">
              <w:rPr>
                <w:bCs/>
                <w:color w:val="788184"/>
                <w:sz w:val="18"/>
                <w:szCs w:val="14"/>
              </w:rPr>
              <w:t>Source: ABS and PBO analysis</w:t>
            </w:r>
            <w:r>
              <w:rPr>
                <w:bCs/>
                <w:color w:val="788184"/>
                <w:sz w:val="18"/>
                <w:szCs w:val="14"/>
              </w:rPr>
              <w:t>.</w:t>
            </w:r>
          </w:p>
          <w:p w:rsidR="00B07D8D" w:rsidRPr="007940A3" w:rsidRDefault="00B07D8D" w:rsidP="00BD2153">
            <w:pPr>
              <w:pStyle w:val="CaptionLeft"/>
              <w:rPr>
                <w:sz w:val="28"/>
                <w:szCs w:val="28"/>
              </w:rPr>
            </w:pPr>
          </w:p>
        </w:tc>
      </w:tr>
    </w:tbl>
    <w:p w:rsidR="00B62451" w:rsidRDefault="00B62451" w:rsidP="00B62451">
      <w:pPr>
        <w:pStyle w:val="BodyText"/>
      </w:pPr>
    </w:p>
    <w:tbl>
      <w:tblPr>
        <w:tblStyle w:val="BoxPlaceholder"/>
        <w:tblW w:w="8789" w:type="dxa"/>
        <w:tblLayout w:type="fixed"/>
        <w:tblLook w:val="04A0" w:firstRow="1" w:lastRow="0" w:firstColumn="1" w:lastColumn="0" w:noHBand="0" w:noVBand="1"/>
      </w:tblPr>
      <w:tblGrid>
        <w:gridCol w:w="8789"/>
      </w:tblGrid>
      <w:tr w:rsidR="00B62451" w:rsidTr="00BD2153">
        <w:tc>
          <w:tcPr>
            <w:tcW w:w="8789" w:type="dxa"/>
          </w:tcPr>
          <w:p w:rsidR="00B62451" w:rsidRDefault="00B62451" w:rsidP="00BD2153">
            <w:pPr>
              <w:pStyle w:val="CaptionLeft"/>
              <w:rPr>
                <w:sz w:val="28"/>
                <w:szCs w:val="28"/>
              </w:rPr>
            </w:pPr>
            <w:r w:rsidRPr="00040417">
              <w:rPr>
                <w:sz w:val="28"/>
                <w:szCs w:val="28"/>
              </w:rPr>
              <w:t>Box 3: Revisions to state revenue</w:t>
            </w:r>
          </w:p>
          <w:p w:rsidR="00B62451" w:rsidRDefault="00B62451" w:rsidP="00BD2153">
            <w:pPr>
              <w:pStyle w:val="BodyText"/>
              <w:spacing w:after="120"/>
            </w:pPr>
            <w:r w:rsidRPr="00BC1577">
              <w:t>Between their 2018</w:t>
            </w:r>
            <w:r>
              <w:t>–</w:t>
            </w:r>
            <w:r w:rsidRPr="00BC1577">
              <w:t>19 and 2019</w:t>
            </w:r>
            <w:r>
              <w:t>–20 budgets,</w:t>
            </w:r>
            <w:r w:rsidRPr="00BC1577">
              <w:t xml:space="preserve"> states have revised their revenue </w:t>
            </w:r>
            <w:r>
              <w:t xml:space="preserve">projections upward by a total of </w:t>
            </w:r>
            <w:r w:rsidRPr="00BC1577">
              <w:t>$27.1 billion</w:t>
            </w:r>
            <w:r>
              <w:t xml:space="preserve"> or 2.3 per cent of total revenue </w:t>
            </w:r>
            <w:r w:rsidRPr="00BC1577">
              <w:t>for the period 2018</w:t>
            </w:r>
            <w:r>
              <w:t>–</w:t>
            </w:r>
            <w:r w:rsidRPr="00BC1577">
              <w:t>19 to 2021</w:t>
            </w:r>
            <w:r>
              <w:t>–</w:t>
            </w:r>
            <w:r w:rsidRPr="00BC1577">
              <w:t>22</w:t>
            </w:r>
            <w:r>
              <w:t xml:space="preserve"> (Figure 2–1</w:t>
            </w:r>
            <w:r w:rsidR="005746FD">
              <w:t>2</w:t>
            </w:r>
            <w:r>
              <w:t>)</w:t>
            </w:r>
            <w:r w:rsidRPr="00BC1577">
              <w:t>.</w:t>
            </w:r>
            <w:r>
              <w:t xml:space="preserve">  This is about</w:t>
            </w:r>
            <w:r w:rsidRPr="0068107B">
              <w:t xml:space="preserve"> double the upward revision from last year, but revisions of this size have been observed in the past five years.</w:t>
            </w:r>
            <w:r>
              <w:t xml:space="preserve">  </w:t>
            </w:r>
          </w:p>
          <w:p w:rsidR="00B62451" w:rsidRDefault="00B62451" w:rsidP="00DF0236">
            <w:pPr>
              <w:pStyle w:val="BodyText"/>
              <w:spacing w:after="240"/>
            </w:pPr>
            <w:r w:rsidRPr="00BC1577">
              <w:t xml:space="preserve">Western Australia, Queensland and Victoria </w:t>
            </w:r>
            <w:r>
              <w:t xml:space="preserve">had the largest revisions between their </w:t>
            </w:r>
            <w:r w:rsidRPr="00BC1577">
              <w:t>2018</w:t>
            </w:r>
            <w:r>
              <w:t>–</w:t>
            </w:r>
            <w:r w:rsidRPr="00BC1577">
              <w:t>19 and 2019</w:t>
            </w:r>
            <w:r>
              <w:t>–</w:t>
            </w:r>
            <w:r w:rsidRPr="00BC1577">
              <w:t>20 budgets</w:t>
            </w:r>
            <w:r>
              <w:t xml:space="preserve">, </w:t>
            </w:r>
            <w:r w:rsidRPr="00BC1577">
              <w:t>collectively account</w:t>
            </w:r>
            <w:r>
              <w:t>ing</w:t>
            </w:r>
            <w:r w:rsidRPr="00BC1577">
              <w:t xml:space="preserve"> for over 70 per cent</w:t>
            </w:r>
            <w:r>
              <w:t xml:space="preserve"> of the upward revision to state revenue.</w:t>
            </w:r>
          </w:p>
          <w:p w:rsidR="00B62451" w:rsidRPr="00AF74ED" w:rsidRDefault="00B62451" w:rsidP="00BD2153">
            <w:pPr>
              <w:pStyle w:val="Caption"/>
              <w:rPr>
                <w:highlight w:val="yellow"/>
              </w:rPr>
            </w:pPr>
            <w:r w:rsidRPr="00F85E3C">
              <w:t xml:space="preserve">Figure </w:t>
            </w:r>
            <w:r w:rsidR="00017BCC">
              <w:fldChar w:fldCharType="begin"/>
            </w:r>
            <w:r w:rsidR="00017BCC">
              <w:instrText xml:space="preserve"> STYLEREF 1 \s </w:instrText>
            </w:r>
            <w:r w:rsidR="00017BCC">
              <w:fldChar w:fldCharType="separate"/>
            </w:r>
            <w:r w:rsidR="0070188F">
              <w:rPr>
                <w:noProof/>
              </w:rPr>
              <w:t>2</w:t>
            </w:r>
            <w:r w:rsidR="00017BCC">
              <w:rPr>
                <w:noProof/>
              </w:rPr>
              <w:fldChar w:fldCharType="end"/>
            </w:r>
            <w:r w:rsidRPr="00AF74ED">
              <w:t>–1</w:t>
            </w:r>
            <w:r w:rsidR="005746FD">
              <w:t>2</w:t>
            </w:r>
            <w:r w:rsidRPr="00AF74ED">
              <w:t>: Change in total state revenue between the 2018</w:t>
            </w:r>
            <w:r>
              <w:t>–</w:t>
            </w:r>
            <w:r w:rsidRPr="00AF74ED">
              <w:t>19 and 2019</w:t>
            </w:r>
            <w:r>
              <w:t>–</w:t>
            </w:r>
            <w:r w:rsidRPr="00AF74ED">
              <w:t>20 state budgets</w:t>
            </w:r>
          </w:p>
          <w:p w:rsidR="00B62451" w:rsidRPr="00AF74ED" w:rsidRDefault="00025A02" w:rsidP="00BD2153">
            <w:pPr>
              <w:pStyle w:val="CaptionDescriptor"/>
              <w:rPr>
                <w:bCs w:val="0"/>
                <w:color w:val="788184"/>
                <w:sz w:val="18"/>
                <w:szCs w:val="14"/>
                <w:highlight w:val="yellow"/>
              </w:rPr>
            </w:pPr>
            <w:r>
              <w:rPr>
                <w:bCs w:val="0"/>
                <w:noProof/>
                <w:color w:val="788184"/>
                <w:sz w:val="18"/>
                <w:szCs w:val="14"/>
                <w:lang w:eastAsia="en-AU"/>
              </w:rPr>
              <w:drawing>
                <wp:inline distT="0" distB="0" distL="0" distR="0" wp14:anchorId="5A2CC5F6" wp14:editId="02B35792">
                  <wp:extent cx="5184000" cy="33227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184000" cy="3322785"/>
                          </a:xfrm>
                          <a:prstGeom prst="rect">
                            <a:avLst/>
                          </a:prstGeom>
                          <a:noFill/>
                        </pic:spPr>
                      </pic:pic>
                    </a:graphicData>
                  </a:graphic>
                </wp:inline>
              </w:drawing>
            </w:r>
          </w:p>
          <w:p w:rsidR="00B62451" w:rsidRPr="00DF0236" w:rsidRDefault="00B62451" w:rsidP="00DB1201">
            <w:pPr>
              <w:pStyle w:val="BodyText"/>
              <w:tabs>
                <w:tab w:val="left" w:pos="489"/>
              </w:tabs>
              <w:spacing w:line="20" w:lineRule="atLeast"/>
              <w:rPr>
                <w:bCs/>
                <w:color w:val="788184"/>
                <w:sz w:val="18"/>
                <w:szCs w:val="14"/>
              </w:rPr>
            </w:pPr>
            <w:r w:rsidRPr="00C55893">
              <w:rPr>
                <w:color w:val="788184"/>
                <w:sz w:val="18"/>
                <w:szCs w:val="14"/>
              </w:rPr>
              <w:t xml:space="preserve">            </w:t>
            </w:r>
            <w:r w:rsidR="003470C1">
              <w:rPr>
                <w:bCs/>
                <w:color w:val="788184"/>
                <w:sz w:val="18"/>
                <w:szCs w:val="14"/>
              </w:rPr>
              <w:t xml:space="preserve"> </w:t>
            </w:r>
            <w:r w:rsidRPr="00AF74ED">
              <w:rPr>
                <w:bCs/>
                <w:color w:val="788184"/>
                <w:sz w:val="18"/>
                <w:szCs w:val="14"/>
              </w:rPr>
              <w:t>Source: State budget papers</w:t>
            </w:r>
            <w:r w:rsidR="00F54CB8">
              <w:rPr>
                <w:bCs/>
                <w:color w:val="788184"/>
                <w:sz w:val="18"/>
                <w:szCs w:val="14"/>
              </w:rPr>
              <w:t xml:space="preserve"> and</w:t>
            </w:r>
            <w:r w:rsidRPr="00AF74ED">
              <w:rPr>
                <w:bCs/>
                <w:color w:val="788184"/>
                <w:sz w:val="18"/>
                <w:szCs w:val="14"/>
              </w:rPr>
              <w:t xml:space="preserve"> PBO analysis.</w:t>
            </w:r>
          </w:p>
          <w:p w:rsidR="00B62451" w:rsidRDefault="00B62451" w:rsidP="00DF0236">
            <w:pPr>
              <w:pStyle w:val="BodyText"/>
              <w:spacing w:before="240" w:after="120"/>
            </w:pPr>
            <w:r>
              <w:t>Housing price cycles directly affect state government revenue and upward revisions to revenue from some sources were partly offset by a downward revision to</w:t>
            </w:r>
            <w:r w:rsidRPr="00BC1577">
              <w:t xml:space="preserve"> transfer duty across all </w:t>
            </w:r>
            <w:r>
              <w:t>state</w:t>
            </w:r>
            <w:r w:rsidRPr="00BC1577">
              <w:t>s</w:t>
            </w:r>
            <w:r>
              <w:t>, l</w:t>
            </w:r>
            <w:r w:rsidRPr="00BC1577">
              <w:t>argely reflect</w:t>
            </w:r>
            <w:r>
              <w:t>ing</w:t>
            </w:r>
            <w:r w:rsidRPr="00BC1577">
              <w:t xml:space="preserve"> weaker</w:t>
            </w:r>
            <w:r>
              <w:noBreakHyphen/>
              <w:t>than</w:t>
            </w:r>
            <w:r>
              <w:noBreakHyphen/>
              <w:t>expected</w:t>
            </w:r>
            <w:r w:rsidRPr="00BC1577">
              <w:t xml:space="preserve"> residential property prices and transaction volumes.</w:t>
            </w:r>
            <w:r w:rsidRPr="008E448D">
              <w:t xml:space="preserve"> </w:t>
            </w:r>
            <w:r>
              <w:t xml:space="preserve"> This is in contrast to the previous two outlooks, when stronger</w:t>
            </w:r>
            <w:r>
              <w:noBreakHyphen/>
              <w:t>than</w:t>
            </w:r>
            <w:r>
              <w:noBreakHyphen/>
              <w:t>expected housing markets meant transfer duty contributed to upward rather than downward revisions to revenue in some states.</w:t>
            </w:r>
          </w:p>
          <w:p w:rsidR="00B62451" w:rsidRPr="00DB1201" w:rsidRDefault="00B62451" w:rsidP="00BD2153">
            <w:pPr>
              <w:pStyle w:val="BodyText"/>
              <w:spacing w:after="120"/>
              <w:rPr>
                <w:spacing w:val="-3"/>
              </w:rPr>
            </w:pPr>
            <w:r w:rsidRPr="00DB1201">
              <w:rPr>
                <w:spacing w:val="-3"/>
              </w:rPr>
              <w:t>The main source of the upward revision to state revenue was grant revenue (mainly comprising transfers from the Commonwealth) which has been revised up by a total of $15.9 billion for the period 2018–19 to 2021–22.  While the states have revised down the total value of the GST revenue grants that they expect to receive, consistent with Commonwealth forecasts, this</w:t>
            </w:r>
            <w:r w:rsidR="00C73F13">
              <w:rPr>
                <w:spacing w:val="-3"/>
              </w:rPr>
              <w:br/>
            </w:r>
            <w:r w:rsidRPr="00DB1201">
              <w:rPr>
                <w:spacing w:val="-3"/>
              </w:rPr>
              <w:t>was more than offset by upward revisions in the value of non</w:t>
            </w:r>
            <w:r w:rsidRPr="00DB1201">
              <w:rPr>
                <w:spacing w:val="-3"/>
              </w:rPr>
              <w:noBreakHyphen/>
              <w:t xml:space="preserve">GST grants. </w:t>
            </w:r>
          </w:p>
          <w:p w:rsidR="00B62451" w:rsidRPr="008E448D" w:rsidRDefault="00B62451" w:rsidP="00BD2153">
            <w:pPr>
              <w:pStyle w:val="BodyText"/>
              <w:spacing w:after="120"/>
            </w:pPr>
            <w:r>
              <w:t xml:space="preserve">Upward revisions to royalties in Queensland and Western Australia were also </w:t>
            </w:r>
            <w:r w:rsidRPr="00BC1577">
              <w:t>a significant contributor</w:t>
            </w:r>
            <w:r>
              <w:t xml:space="preserve">, </w:t>
            </w:r>
            <w:r w:rsidRPr="00BC1577">
              <w:t>reflecting upward revisions to forecast commodity prices</w:t>
            </w:r>
            <w:r>
              <w:t>, particularly coal and iron ore</w:t>
            </w:r>
            <w:r w:rsidRPr="00BC1577">
              <w:t>.</w:t>
            </w:r>
            <w:r>
              <w:t xml:space="preserve">  Both states highlight in their budget papers that their commodity price forecasts</w:t>
            </w:r>
            <w:r w:rsidR="00C73F13">
              <w:br/>
            </w:r>
            <w:r>
              <w:t xml:space="preserve">are in line with the Commonwealth’s 2019–20 Budget forecasts.  </w:t>
            </w:r>
          </w:p>
        </w:tc>
      </w:tr>
    </w:tbl>
    <w:p w:rsidR="009A0679" w:rsidRDefault="009A0679" w:rsidP="00DF0236">
      <w:pPr>
        <w:pStyle w:val="BodyText"/>
      </w:pPr>
    </w:p>
    <w:p w:rsidR="009A0679" w:rsidRDefault="009A0679" w:rsidP="00F10AB6">
      <w:pPr>
        <w:rPr>
          <w:sz w:val="23"/>
        </w:rPr>
      </w:pPr>
      <w:r>
        <w:br w:type="page"/>
      </w:r>
    </w:p>
    <w:p w:rsidR="003F66CD" w:rsidRDefault="003F66CD" w:rsidP="003F66CD">
      <w:pPr>
        <w:pStyle w:val="Heading3"/>
      </w:pPr>
      <w:r>
        <w:lastRenderedPageBreak/>
        <w:t>Trends in state expenses</w:t>
      </w:r>
    </w:p>
    <w:p w:rsidR="003F66CD" w:rsidRPr="00DB1201" w:rsidRDefault="003F66CD" w:rsidP="003F66CD">
      <w:pPr>
        <w:pStyle w:val="BodyText"/>
        <w:spacing w:after="240"/>
        <w:rPr>
          <w:spacing w:val="-3"/>
        </w:rPr>
      </w:pPr>
      <w:r w:rsidRPr="00DB1201">
        <w:rPr>
          <w:spacing w:val="-3"/>
        </w:rPr>
        <w:t xml:space="preserve">State expenditure is projected to </w:t>
      </w:r>
      <w:r w:rsidR="00043D6D" w:rsidRPr="00DB1201">
        <w:rPr>
          <w:spacing w:val="-3"/>
        </w:rPr>
        <w:t xml:space="preserve">trend </w:t>
      </w:r>
      <w:r w:rsidRPr="00DB1201">
        <w:rPr>
          <w:spacing w:val="-3"/>
        </w:rPr>
        <w:t>downward, declining from 14.6 per cent of GDP ($282.5 billion) in 2018–19 to 13.7 per cent of GDP ($311.6 billion) in 2022–23 (Figure 2–</w:t>
      </w:r>
      <w:r w:rsidR="005746FD" w:rsidRPr="00DB1201">
        <w:rPr>
          <w:spacing w:val="-3"/>
        </w:rPr>
        <w:t>13</w:t>
      </w:r>
      <w:r w:rsidRPr="00DB1201">
        <w:rPr>
          <w:spacing w:val="-3"/>
        </w:rPr>
        <w:t xml:space="preserve">), driven by additional targeted savings measures across a range of states.  Most states are projecting growth in expenses to slow from 2019–20 onwards and real expenditure per person is projected to decline slightly over the forward estimates in all states.  </w:t>
      </w:r>
    </w:p>
    <w:tbl>
      <w:tblPr>
        <w:tblStyle w:val="TablePlaceholder"/>
        <w:tblW w:w="8504" w:type="dxa"/>
        <w:jc w:val="center"/>
        <w:tblLayout w:type="fixed"/>
        <w:tblLook w:val="04A0" w:firstRow="1" w:lastRow="0" w:firstColumn="1" w:lastColumn="0" w:noHBand="0" w:noVBand="1"/>
      </w:tblPr>
      <w:tblGrid>
        <w:gridCol w:w="4252"/>
        <w:gridCol w:w="4252"/>
      </w:tblGrid>
      <w:tr w:rsidR="003F66CD" w:rsidTr="00B00721">
        <w:trPr>
          <w:jc w:val="center"/>
        </w:trPr>
        <w:tc>
          <w:tcPr>
            <w:tcW w:w="8504" w:type="dxa"/>
            <w:gridSpan w:val="2"/>
          </w:tcPr>
          <w:p w:rsidR="003F66CD" w:rsidRDefault="003F66CD" w:rsidP="00DF0236">
            <w:pPr>
              <w:pStyle w:val="Caption"/>
            </w:pPr>
            <w:r w:rsidRPr="00233853">
              <w:t xml:space="preserve">Figure </w:t>
            </w:r>
            <w:r w:rsidR="008C2AC7" w:rsidRPr="006456D3">
              <w:fldChar w:fldCharType="begin"/>
            </w:r>
            <w:r w:rsidR="008C2AC7" w:rsidRPr="000B0872">
              <w:instrText xml:space="preserve"> STYLEREF 1 \s </w:instrText>
            </w:r>
            <w:r w:rsidR="008C2AC7" w:rsidRPr="006456D3">
              <w:fldChar w:fldCharType="separate"/>
            </w:r>
            <w:r w:rsidR="0070188F">
              <w:rPr>
                <w:noProof/>
              </w:rPr>
              <w:t>2</w:t>
            </w:r>
            <w:r w:rsidR="008C2AC7" w:rsidRPr="006456D3">
              <w:rPr>
                <w:noProof/>
              </w:rPr>
              <w:fldChar w:fldCharType="end"/>
            </w:r>
            <w:r w:rsidRPr="00233853">
              <w:t>–</w:t>
            </w:r>
            <w:r>
              <w:t>1</w:t>
            </w:r>
            <w:r w:rsidR="005746FD">
              <w:t>3</w:t>
            </w:r>
            <w:r w:rsidRPr="00233853">
              <w:t xml:space="preserve">: </w:t>
            </w:r>
            <w:r>
              <w:t>State expenses</w:t>
            </w:r>
          </w:p>
        </w:tc>
      </w:tr>
      <w:tr w:rsidR="00347959" w:rsidTr="0007123E">
        <w:trPr>
          <w:trHeight w:val="2835"/>
          <w:jc w:val="center"/>
        </w:trPr>
        <w:tc>
          <w:tcPr>
            <w:tcW w:w="4252" w:type="dxa"/>
          </w:tcPr>
          <w:p w:rsidR="00347959" w:rsidDel="00EA254B" w:rsidRDefault="00347959" w:rsidP="00B00721">
            <w:pPr>
              <w:keepNext/>
              <w:jc w:val="center"/>
            </w:pPr>
            <w:r>
              <w:rPr>
                <w:noProof/>
                <w:lang w:eastAsia="en-AU"/>
              </w:rPr>
              <w:drawing>
                <wp:inline distT="0" distB="0" distL="0" distR="0" wp14:anchorId="3533306A" wp14:editId="07D52B14">
                  <wp:extent cx="2592000" cy="3190623"/>
                  <wp:effectExtent l="0" t="0" r="0" b="0"/>
                  <wp:docPr id="55" name="Picture 5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019 National Fiscal Outlook report_Graphs_04_Figure 1-3-1-4_Figure 2–14 a.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92000" cy="3190623"/>
                          </a:xfrm>
                          <a:prstGeom prst="rect">
                            <a:avLst/>
                          </a:prstGeom>
                        </pic:spPr>
                      </pic:pic>
                    </a:graphicData>
                  </a:graphic>
                </wp:inline>
              </w:drawing>
            </w:r>
          </w:p>
        </w:tc>
        <w:tc>
          <w:tcPr>
            <w:tcW w:w="4252" w:type="dxa"/>
          </w:tcPr>
          <w:p w:rsidR="00347959" w:rsidRDefault="00347959">
            <w:pPr>
              <w:keepNext/>
              <w:jc w:val="center"/>
            </w:pPr>
            <w:r>
              <w:rPr>
                <w:noProof/>
                <w:lang w:eastAsia="en-AU"/>
              </w:rPr>
              <w:drawing>
                <wp:inline distT="0" distB="0" distL="0" distR="0" wp14:anchorId="17E25D35" wp14:editId="621E83E8">
                  <wp:extent cx="2592000" cy="3190623"/>
                  <wp:effectExtent l="0" t="0" r="0" b="0"/>
                  <wp:docPr id="56" name="Picture 5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019 National Fiscal Outlook report_Graphs_04_Figure 1-3-1-4_Figure 2–14 b.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92000" cy="3190623"/>
                          </a:xfrm>
                          <a:prstGeom prst="rect">
                            <a:avLst/>
                          </a:prstGeom>
                        </pic:spPr>
                      </pic:pic>
                    </a:graphicData>
                  </a:graphic>
                </wp:inline>
              </w:drawing>
            </w:r>
          </w:p>
        </w:tc>
      </w:tr>
      <w:tr w:rsidR="003F66CD" w:rsidTr="00B00721">
        <w:trPr>
          <w:trHeight w:val="454"/>
          <w:jc w:val="center"/>
        </w:trPr>
        <w:tc>
          <w:tcPr>
            <w:tcW w:w="8504" w:type="dxa"/>
            <w:gridSpan w:val="2"/>
          </w:tcPr>
          <w:p w:rsidR="003F66CD" w:rsidRDefault="003F66CD" w:rsidP="009B3215">
            <w:pPr>
              <w:pStyle w:val="Source"/>
              <w:ind w:left="568"/>
            </w:pPr>
            <w:r>
              <w:t>Source: ABS, state budget papers</w:t>
            </w:r>
            <w:r w:rsidR="00F54CB8">
              <w:t xml:space="preserve"> and </w:t>
            </w:r>
            <w:r>
              <w:t>PBO analysis.</w:t>
            </w:r>
          </w:p>
        </w:tc>
      </w:tr>
    </w:tbl>
    <w:p w:rsidR="00C4514D" w:rsidRDefault="00E41FC2" w:rsidP="00DF0236">
      <w:pPr>
        <w:spacing w:before="300"/>
      </w:pPr>
      <w:r>
        <w:t>Saving</w:t>
      </w:r>
      <w:r w:rsidR="00CE4914">
        <w:t>s</w:t>
      </w:r>
      <w:r>
        <w:t xml:space="preserve"> measures vary by state.</w:t>
      </w:r>
      <w:r w:rsidR="00FE421A" w:rsidRPr="00FE421A">
        <w:t xml:space="preserve"> </w:t>
      </w:r>
      <w:r w:rsidR="005F0E1B">
        <w:t xml:space="preserve"> </w:t>
      </w:r>
      <w:r w:rsidR="00FE421A">
        <w:t>For example, in New South Wales</w:t>
      </w:r>
      <w:r>
        <w:t xml:space="preserve"> a reduction in spending on the public </w:t>
      </w:r>
      <w:proofErr w:type="gramStart"/>
      <w:r>
        <w:t>service</w:t>
      </w:r>
      <w:r w:rsidR="004043D4">
        <w:t>,</w:t>
      </w:r>
      <w:proofErr w:type="gramEnd"/>
      <w:r>
        <w:t xml:space="preserve"> and reform of government administration and procurement arrangements</w:t>
      </w:r>
      <w:r w:rsidR="00FE421A">
        <w:t xml:space="preserve"> </w:t>
      </w:r>
      <w:r>
        <w:t xml:space="preserve">has offset </w:t>
      </w:r>
      <w:r w:rsidR="00FE421A">
        <w:t xml:space="preserve">additional spending </w:t>
      </w:r>
      <w:r w:rsidR="00ED03A2">
        <w:t xml:space="preserve">for the </w:t>
      </w:r>
      <w:r w:rsidR="00FE421A" w:rsidRPr="00FE421A">
        <w:t>delivery of election commitments and new assistan</w:t>
      </w:r>
      <w:r w:rsidR="00FE421A">
        <w:t>ce measures to regional areas, such as drought relief.</w:t>
      </w:r>
    </w:p>
    <w:p w:rsidR="00AA0931" w:rsidRPr="00DB1201" w:rsidRDefault="00AA0931" w:rsidP="00AA0931">
      <w:pPr>
        <w:pStyle w:val="BodyText"/>
        <w:rPr>
          <w:spacing w:val="-3"/>
          <w:highlight w:val="yellow"/>
        </w:rPr>
      </w:pPr>
      <w:r w:rsidRPr="00DB1201">
        <w:rPr>
          <w:spacing w:val="-3"/>
        </w:rPr>
        <w:t xml:space="preserve">In Queensland, expenditure in 2018–19 </w:t>
      </w:r>
      <w:r w:rsidR="00C7666D" w:rsidRPr="00DB1201">
        <w:rPr>
          <w:spacing w:val="-3"/>
        </w:rPr>
        <w:t>has been revised upward</w:t>
      </w:r>
      <w:r w:rsidR="00BA72DB" w:rsidRPr="00DB1201">
        <w:rPr>
          <w:spacing w:val="-3"/>
        </w:rPr>
        <w:t xml:space="preserve"> due to</w:t>
      </w:r>
      <w:r w:rsidRPr="00DB1201">
        <w:rPr>
          <w:spacing w:val="-3"/>
        </w:rPr>
        <w:t xml:space="preserve"> continued strong growth in demand for health and education services as well as increased natural disaster expenditure</w:t>
      </w:r>
      <w:r w:rsidR="006E1E0A" w:rsidRPr="00DB1201">
        <w:rPr>
          <w:spacing w:val="-3"/>
        </w:rPr>
        <w:t xml:space="preserve"> related to the North and Far North Queensland Monsoon Trough</w:t>
      </w:r>
      <w:r w:rsidRPr="00DB1201">
        <w:rPr>
          <w:spacing w:val="-3"/>
        </w:rPr>
        <w:t>.  Over the forward estimates</w:t>
      </w:r>
      <w:r w:rsidR="00B447B1" w:rsidRPr="00DB1201">
        <w:rPr>
          <w:spacing w:val="-3"/>
        </w:rPr>
        <w:t>,</w:t>
      </w:r>
      <w:r w:rsidRPr="00DB1201">
        <w:rPr>
          <w:spacing w:val="-3"/>
        </w:rPr>
        <w:t xml:space="preserve"> growth in expenses remain</w:t>
      </w:r>
      <w:r w:rsidR="00B447B1" w:rsidRPr="00DB1201">
        <w:rPr>
          <w:spacing w:val="-3"/>
        </w:rPr>
        <w:t>s</w:t>
      </w:r>
      <w:r w:rsidRPr="00DB1201">
        <w:rPr>
          <w:spacing w:val="-3"/>
        </w:rPr>
        <w:t xml:space="preserve"> below growth in revenue, following reviews of public sector agencies and existing programs.</w:t>
      </w:r>
    </w:p>
    <w:p w:rsidR="00AA0931" w:rsidRPr="00A223B0" w:rsidRDefault="00AA0931" w:rsidP="00AA0931">
      <w:pPr>
        <w:pStyle w:val="BodyText"/>
        <w:rPr>
          <w:color w:val="C64E45" w:themeColor="accent2"/>
        </w:rPr>
      </w:pPr>
      <w:r>
        <w:t xml:space="preserve">In </w:t>
      </w:r>
      <w:r w:rsidRPr="00DF55DF">
        <w:t>Victoria</w:t>
      </w:r>
      <w:r w:rsidR="00B447B1">
        <w:t>,</w:t>
      </w:r>
      <w:r w:rsidRPr="00DF55DF">
        <w:t xml:space="preserve"> spending</w:t>
      </w:r>
      <w:r w:rsidR="00ED03A2">
        <w:t xml:space="preserve"> is estimated to have</w:t>
      </w:r>
      <w:r w:rsidRPr="00DF55DF">
        <w:t xml:space="preserve"> grow</w:t>
      </w:r>
      <w:r w:rsidR="00ED03A2">
        <w:t>n</w:t>
      </w:r>
      <w:r w:rsidRPr="00DF55DF">
        <w:t xml:space="preserve"> strongly in 2018</w:t>
      </w:r>
      <w:r w:rsidR="00532C9B">
        <w:t>–</w:t>
      </w:r>
      <w:r w:rsidRPr="00DF55DF">
        <w:t xml:space="preserve">19, largely </w:t>
      </w:r>
      <w:r w:rsidR="00502179">
        <w:t>due to</w:t>
      </w:r>
      <w:r w:rsidRPr="00DF55DF">
        <w:t xml:space="preserve"> payments</w:t>
      </w:r>
      <w:r w:rsidR="00C73F13">
        <w:br/>
      </w:r>
      <w:r w:rsidRPr="00DF55DF">
        <w:t>to the National Disability Insurance Agency for disability services as part of the full rollout of the NDIS, and an increase in employee expenses due to increased spending in the education, health</w:t>
      </w:r>
      <w:r w:rsidR="00C73F13">
        <w:br/>
      </w:r>
      <w:r w:rsidRPr="00DF55DF">
        <w:t>and community service sectors</w:t>
      </w:r>
      <w:r w:rsidR="0028555A">
        <w:t xml:space="preserve"> associated with Victoria’s relatively high population growth</w:t>
      </w:r>
      <w:r w:rsidRPr="00DF55DF">
        <w:t>.</w:t>
      </w:r>
      <w:r w:rsidR="00C73F13">
        <w:br/>
      </w:r>
      <w:r w:rsidRPr="00DF55DF">
        <w:t xml:space="preserve">These expenses are projected to moderate </w:t>
      </w:r>
      <w:r w:rsidR="00BF7117">
        <w:t xml:space="preserve">as a share of GDP </w:t>
      </w:r>
      <w:r w:rsidRPr="00DF55DF">
        <w:t>over the forward estimates period.</w:t>
      </w:r>
    </w:p>
    <w:p w:rsidR="00B82C40" w:rsidRDefault="00B82C40" w:rsidP="00AB464A">
      <w:pPr>
        <w:pStyle w:val="BodyText"/>
      </w:pPr>
    </w:p>
    <w:tbl>
      <w:tblPr>
        <w:tblStyle w:val="BoxPlaceholder"/>
        <w:tblW w:w="8789" w:type="dxa"/>
        <w:tblLayout w:type="fixed"/>
        <w:tblLook w:val="04A0" w:firstRow="1" w:lastRow="0" w:firstColumn="1" w:lastColumn="0" w:noHBand="0" w:noVBand="1"/>
      </w:tblPr>
      <w:tblGrid>
        <w:gridCol w:w="8789"/>
      </w:tblGrid>
      <w:tr w:rsidR="00B82C40" w:rsidTr="0031588A">
        <w:tc>
          <w:tcPr>
            <w:tcW w:w="8789" w:type="dxa"/>
          </w:tcPr>
          <w:p w:rsidR="00B82C40" w:rsidRDefault="00B82C40" w:rsidP="0031588A">
            <w:pPr>
              <w:pStyle w:val="CaptionLeft"/>
              <w:rPr>
                <w:sz w:val="28"/>
                <w:szCs w:val="28"/>
              </w:rPr>
            </w:pPr>
            <w:r w:rsidRPr="00F81FCF">
              <w:rPr>
                <w:sz w:val="28"/>
                <w:szCs w:val="28"/>
              </w:rPr>
              <w:lastRenderedPageBreak/>
              <w:t>Box</w:t>
            </w:r>
            <w:r>
              <w:rPr>
                <w:sz w:val="28"/>
                <w:szCs w:val="28"/>
              </w:rPr>
              <w:t> </w:t>
            </w:r>
            <w:r w:rsidR="00337EA0">
              <w:rPr>
                <w:sz w:val="28"/>
                <w:szCs w:val="28"/>
              </w:rPr>
              <w:t>4</w:t>
            </w:r>
            <w:r w:rsidRPr="00F81FCF">
              <w:rPr>
                <w:sz w:val="28"/>
                <w:szCs w:val="28"/>
              </w:rPr>
              <w:t xml:space="preserve">: </w:t>
            </w:r>
            <w:r>
              <w:rPr>
                <w:sz w:val="28"/>
                <w:szCs w:val="28"/>
              </w:rPr>
              <w:t xml:space="preserve">Composition of </w:t>
            </w:r>
            <w:r w:rsidR="0051044E">
              <w:rPr>
                <w:sz w:val="28"/>
                <w:szCs w:val="28"/>
              </w:rPr>
              <w:t>Commonwealth and state expenses</w:t>
            </w:r>
          </w:p>
          <w:p w:rsidR="00F56614" w:rsidRDefault="00F56614" w:rsidP="00DF0236">
            <w:pPr>
              <w:pStyle w:val="BodyText"/>
              <w:spacing w:before="80" w:after="240" w:line="228" w:lineRule="auto"/>
              <w:rPr>
                <w:lang w:val="en-US"/>
              </w:rPr>
            </w:pPr>
            <w:r>
              <w:t xml:space="preserve">To understand the </w:t>
            </w:r>
            <w:r w:rsidR="005D66C9">
              <w:t>composition</w:t>
            </w:r>
            <w:r>
              <w:t xml:space="preserve"> of government</w:t>
            </w:r>
            <w:r w:rsidR="005D66C9">
              <w:t xml:space="preserve"> spending</w:t>
            </w:r>
            <w:r>
              <w:t xml:space="preserve"> in Australia</w:t>
            </w:r>
            <w:r w:rsidR="006504B1">
              <w:t>,</w:t>
            </w:r>
            <w:r w:rsidDel="00F56614">
              <w:t xml:space="preserve"> </w:t>
            </w:r>
            <w:r>
              <w:t xml:space="preserve">it is </w:t>
            </w:r>
            <w:r w:rsidR="00CE4914">
              <w:t>useful</w:t>
            </w:r>
            <w:r>
              <w:t xml:space="preserve"> to l</w:t>
            </w:r>
            <w:r w:rsidR="00D32BD3">
              <w:t xml:space="preserve">ook at </w:t>
            </w:r>
            <w:r>
              <w:t xml:space="preserve">total </w:t>
            </w:r>
            <w:r w:rsidR="00D32BD3">
              <w:t xml:space="preserve">expenses across </w:t>
            </w:r>
            <w:r>
              <w:t xml:space="preserve">both </w:t>
            </w:r>
            <w:r w:rsidR="00D32BD3">
              <w:t xml:space="preserve">the </w:t>
            </w:r>
            <w:r w:rsidR="00D32BD3" w:rsidRPr="00F55B1B">
              <w:t>Commonweal</w:t>
            </w:r>
            <w:r w:rsidR="00D32BD3">
              <w:t xml:space="preserve">th and </w:t>
            </w:r>
            <w:r w:rsidR="00DE4BCB">
              <w:t>s</w:t>
            </w:r>
            <w:r w:rsidR="00D32BD3">
              <w:t>tate governments</w:t>
            </w:r>
            <w:r>
              <w:t xml:space="preserve"> (Figure 2–1</w:t>
            </w:r>
            <w:r w:rsidR="005746FD">
              <w:t>4</w:t>
            </w:r>
            <w:r>
              <w:t>).</w:t>
            </w:r>
            <w:r w:rsidR="00D32BD3">
              <w:t xml:space="preserve"> </w:t>
            </w:r>
            <w:r>
              <w:t xml:space="preserve"> </w:t>
            </w:r>
            <w:r w:rsidR="00BA3B7B">
              <w:rPr>
                <w:lang w:val="en-US"/>
              </w:rPr>
              <w:t>L</w:t>
            </w:r>
            <w:r w:rsidR="009E5566">
              <w:rPr>
                <w:lang w:val="en-US"/>
              </w:rPr>
              <w:t>ooking at only one level of government would substantially underestimate total expenses in some areas,</w:t>
            </w:r>
            <w:r w:rsidR="00CD3823">
              <w:rPr>
                <w:lang w:val="en-US"/>
              </w:rPr>
              <w:t xml:space="preserve"> </w:t>
            </w:r>
            <w:r w:rsidR="00BA3B7B">
              <w:rPr>
                <w:lang w:val="en-US"/>
              </w:rPr>
              <w:t xml:space="preserve">and </w:t>
            </w:r>
            <w:r w:rsidR="009E5566">
              <w:rPr>
                <w:lang w:val="en-US"/>
              </w:rPr>
              <w:t xml:space="preserve">the Commonwealth and states </w:t>
            </w:r>
            <w:r w:rsidR="00CD3823">
              <w:rPr>
                <w:lang w:val="en-US"/>
              </w:rPr>
              <w:t xml:space="preserve">are joint funders of </w:t>
            </w:r>
            <w:r w:rsidR="009E5566">
              <w:rPr>
                <w:lang w:val="en-US"/>
              </w:rPr>
              <w:t xml:space="preserve">important </w:t>
            </w:r>
            <w:r w:rsidR="00CD3823">
              <w:rPr>
                <w:lang w:val="en-US"/>
              </w:rPr>
              <w:t>sub</w:t>
            </w:r>
            <w:r w:rsidR="00CD3823">
              <w:rPr>
                <w:lang w:val="en-US"/>
              </w:rPr>
              <w:noBreakHyphen/>
              <w:t>functions</w:t>
            </w:r>
            <w:r w:rsidR="006477DB">
              <w:rPr>
                <w:lang w:val="en-US"/>
              </w:rPr>
              <w:t xml:space="preserve"> that states are responsible for delivering,</w:t>
            </w:r>
            <w:r w:rsidR="009E5566">
              <w:rPr>
                <w:lang w:val="en-US"/>
              </w:rPr>
              <w:t xml:space="preserve"> such as public hospitals and state government schools</w:t>
            </w:r>
            <w:r w:rsidR="00CD3823">
              <w:rPr>
                <w:lang w:val="en-US"/>
              </w:rPr>
              <w:t>.</w:t>
            </w:r>
            <w:r w:rsidR="009E5566">
              <w:rPr>
                <w:lang w:val="en-US"/>
              </w:rPr>
              <w:t xml:space="preserve">  O</w:t>
            </w:r>
            <w:r w:rsidRPr="005052BD">
              <w:rPr>
                <w:lang w:val="en-US"/>
              </w:rPr>
              <w:t xml:space="preserve">nly </w:t>
            </w:r>
            <w:r w:rsidR="00BA3B7B">
              <w:rPr>
                <w:lang w:val="en-US"/>
              </w:rPr>
              <w:t xml:space="preserve">in </w:t>
            </w:r>
            <w:r w:rsidRPr="005052BD">
              <w:rPr>
                <w:lang w:val="en-US"/>
              </w:rPr>
              <w:t xml:space="preserve">one </w:t>
            </w:r>
            <w:r w:rsidR="00BA3B7B">
              <w:rPr>
                <w:lang w:val="en-US"/>
              </w:rPr>
              <w:t xml:space="preserve">major </w:t>
            </w:r>
            <w:r w:rsidRPr="005052BD">
              <w:rPr>
                <w:lang w:val="en-US"/>
              </w:rPr>
              <w:t>area</w:t>
            </w:r>
            <w:r>
              <w:rPr>
                <w:lang w:val="en-US"/>
              </w:rPr>
              <w:t xml:space="preserve">, </w:t>
            </w:r>
            <w:proofErr w:type="spellStart"/>
            <w:r>
              <w:rPr>
                <w:lang w:val="en-US"/>
              </w:rPr>
              <w:t>defence</w:t>
            </w:r>
            <w:proofErr w:type="spellEnd"/>
            <w:r>
              <w:rPr>
                <w:lang w:val="en-US"/>
              </w:rPr>
              <w:t xml:space="preserve">, is </w:t>
            </w:r>
            <w:r w:rsidR="00BA3B7B">
              <w:rPr>
                <w:lang w:val="en-US"/>
              </w:rPr>
              <w:t xml:space="preserve">expenditure </w:t>
            </w:r>
            <w:r>
              <w:rPr>
                <w:lang w:val="en-US"/>
              </w:rPr>
              <w:t xml:space="preserve">undertaken by </w:t>
            </w:r>
            <w:r w:rsidR="00F25987">
              <w:rPr>
                <w:lang w:val="en-US"/>
              </w:rPr>
              <w:t xml:space="preserve">a single </w:t>
            </w:r>
            <w:r>
              <w:rPr>
                <w:lang w:val="en-US"/>
              </w:rPr>
              <w:t>level of government</w:t>
            </w:r>
            <w:r w:rsidR="004043D4">
              <w:rPr>
                <w:lang w:val="en-US"/>
              </w:rPr>
              <w:t>,</w:t>
            </w:r>
            <w:r w:rsidR="006477DB">
              <w:rPr>
                <w:lang w:val="en-US"/>
              </w:rPr>
              <w:t xml:space="preserve"> which is also responsible for delivery</w:t>
            </w:r>
            <w:r w:rsidR="009E5566">
              <w:rPr>
                <w:lang w:val="en-US"/>
              </w:rPr>
              <w:t>.</w:t>
            </w:r>
          </w:p>
          <w:p w:rsidR="00D32BD3" w:rsidRPr="00833BAA" w:rsidRDefault="00D32BD3" w:rsidP="00D32BD3">
            <w:pPr>
              <w:pStyle w:val="Caption"/>
            </w:pPr>
            <w:r w:rsidRPr="00233853">
              <w:t xml:space="preserve">Figure </w:t>
            </w:r>
            <w:r w:rsidR="00017BCC">
              <w:fldChar w:fldCharType="begin"/>
            </w:r>
            <w:r w:rsidR="00017BCC">
              <w:instrText xml:space="preserve"> STYLEREF 1 \s </w:instrText>
            </w:r>
            <w:r w:rsidR="00017BCC">
              <w:fldChar w:fldCharType="separate"/>
            </w:r>
            <w:r w:rsidR="0070188F">
              <w:rPr>
                <w:noProof/>
              </w:rPr>
              <w:t>2</w:t>
            </w:r>
            <w:r w:rsidR="00017BCC">
              <w:rPr>
                <w:noProof/>
              </w:rPr>
              <w:fldChar w:fldCharType="end"/>
            </w:r>
            <w:r w:rsidRPr="00233853">
              <w:t>–</w:t>
            </w:r>
            <w:r>
              <w:t>1</w:t>
            </w:r>
            <w:r w:rsidR="005746FD">
              <w:t>4</w:t>
            </w:r>
            <w:r w:rsidRPr="00233853">
              <w:t xml:space="preserve">: </w:t>
            </w:r>
            <w:r>
              <w:t>Commonwealth and state expenses by function in 2017–18</w:t>
            </w:r>
          </w:p>
          <w:p w:rsidR="00D32BD3" w:rsidRDefault="00025A02" w:rsidP="00D32BD3">
            <w:pPr>
              <w:pStyle w:val="BodyText"/>
              <w:spacing w:line="228" w:lineRule="auto"/>
              <w:jc w:val="center"/>
              <w:rPr>
                <w:color w:val="FF0000"/>
              </w:rPr>
            </w:pPr>
            <w:r>
              <w:rPr>
                <w:noProof/>
                <w:color w:val="FF0000"/>
                <w:lang w:eastAsia="en-AU"/>
              </w:rPr>
              <w:drawing>
                <wp:inline distT="0" distB="0" distL="0" distR="0" wp14:anchorId="47B74A53" wp14:editId="5DAB3355">
                  <wp:extent cx="5184000" cy="320423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5184000" cy="3204238"/>
                          </a:xfrm>
                          <a:prstGeom prst="rect">
                            <a:avLst/>
                          </a:prstGeom>
                          <a:noFill/>
                        </pic:spPr>
                      </pic:pic>
                    </a:graphicData>
                  </a:graphic>
                </wp:inline>
              </w:drawing>
            </w:r>
          </w:p>
          <w:p w:rsidR="006504B1" w:rsidRDefault="00D32BD3" w:rsidP="00DB1201">
            <w:pPr>
              <w:pStyle w:val="BodyText"/>
              <w:spacing w:line="20" w:lineRule="atLeast"/>
              <w:ind w:left="340" w:right="567"/>
              <w:contextualSpacing/>
              <w:rPr>
                <w:color w:val="788184"/>
                <w:sz w:val="18"/>
                <w:szCs w:val="14"/>
              </w:rPr>
            </w:pPr>
            <w:r>
              <w:rPr>
                <w:color w:val="788184"/>
                <w:sz w:val="18"/>
                <w:szCs w:val="14"/>
              </w:rPr>
              <w:t xml:space="preserve">Note: The </w:t>
            </w:r>
            <w:r w:rsidR="006477DB">
              <w:rPr>
                <w:color w:val="788184"/>
                <w:sz w:val="18"/>
                <w:szCs w:val="14"/>
              </w:rPr>
              <w:t>‘</w:t>
            </w:r>
            <w:proofErr w:type="spellStart"/>
            <w:r w:rsidR="00801D04">
              <w:rPr>
                <w:color w:val="788184"/>
                <w:sz w:val="18"/>
                <w:szCs w:val="14"/>
              </w:rPr>
              <w:t>Cwth</w:t>
            </w:r>
            <w:proofErr w:type="spellEnd"/>
            <w:r w:rsidR="00801D04">
              <w:rPr>
                <w:color w:val="788184"/>
                <w:sz w:val="18"/>
                <w:szCs w:val="14"/>
              </w:rPr>
              <w:t xml:space="preserve"> (</w:t>
            </w:r>
            <w:r w:rsidR="006477DB">
              <w:rPr>
                <w:color w:val="788184"/>
                <w:sz w:val="18"/>
                <w:szCs w:val="14"/>
              </w:rPr>
              <w:t>Commonwealth</w:t>
            </w:r>
            <w:r w:rsidR="00801D04">
              <w:rPr>
                <w:color w:val="788184"/>
                <w:sz w:val="18"/>
                <w:szCs w:val="14"/>
              </w:rPr>
              <w:t>)</w:t>
            </w:r>
            <w:r w:rsidR="006477DB">
              <w:rPr>
                <w:color w:val="788184"/>
                <w:sz w:val="18"/>
                <w:szCs w:val="14"/>
              </w:rPr>
              <w:t xml:space="preserve"> </w:t>
            </w:r>
            <w:r>
              <w:rPr>
                <w:color w:val="788184"/>
                <w:sz w:val="18"/>
                <w:szCs w:val="14"/>
              </w:rPr>
              <w:t>transfer</w:t>
            </w:r>
            <w:r w:rsidR="00E43729">
              <w:rPr>
                <w:color w:val="788184"/>
                <w:sz w:val="18"/>
                <w:szCs w:val="14"/>
              </w:rPr>
              <w:t xml:space="preserve"> for specific purposes</w:t>
            </w:r>
            <w:r w:rsidR="006477DB">
              <w:rPr>
                <w:color w:val="788184"/>
                <w:sz w:val="18"/>
                <w:szCs w:val="14"/>
              </w:rPr>
              <w:t>’</w:t>
            </w:r>
            <w:r>
              <w:rPr>
                <w:color w:val="788184"/>
                <w:sz w:val="18"/>
                <w:szCs w:val="14"/>
              </w:rPr>
              <w:t xml:space="preserve"> component </w:t>
            </w:r>
            <w:r w:rsidR="00F25987">
              <w:rPr>
                <w:color w:val="788184"/>
                <w:sz w:val="18"/>
                <w:szCs w:val="14"/>
              </w:rPr>
              <w:t>only</w:t>
            </w:r>
            <w:r w:rsidR="00244BAC">
              <w:rPr>
                <w:color w:val="788184"/>
                <w:sz w:val="18"/>
                <w:szCs w:val="14"/>
              </w:rPr>
              <w:t xml:space="preserve"> </w:t>
            </w:r>
            <w:r>
              <w:rPr>
                <w:color w:val="788184"/>
                <w:sz w:val="18"/>
                <w:szCs w:val="14"/>
              </w:rPr>
              <w:t>include</w:t>
            </w:r>
            <w:r w:rsidR="00F25987">
              <w:rPr>
                <w:color w:val="788184"/>
                <w:sz w:val="18"/>
                <w:szCs w:val="14"/>
              </w:rPr>
              <w:t>s</w:t>
            </w:r>
            <w:r>
              <w:rPr>
                <w:color w:val="788184"/>
                <w:sz w:val="18"/>
                <w:szCs w:val="14"/>
              </w:rPr>
              <w:t xml:space="preserve"> </w:t>
            </w:r>
            <w:r w:rsidR="00E43729">
              <w:rPr>
                <w:color w:val="788184"/>
                <w:sz w:val="18"/>
                <w:szCs w:val="14"/>
              </w:rPr>
              <w:t>grants</w:t>
            </w:r>
            <w:r w:rsidR="00244BAC">
              <w:rPr>
                <w:color w:val="788184"/>
                <w:sz w:val="18"/>
                <w:szCs w:val="14"/>
              </w:rPr>
              <w:t xml:space="preserve"> </w:t>
            </w:r>
            <w:r w:rsidR="00F25987">
              <w:rPr>
                <w:color w:val="788184"/>
                <w:sz w:val="18"/>
                <w:szCs w:val="14"/>
              </w:rPr>
              <w:t>related</w:t>
            </w:r>
            <w:r w:rsidR="00DE4BCB">
              <w:rPr>
                <w:color w:val="788184"/>
                <w:sz w:val="18"/>
                <w:szCs w:val="14"/>
              </w:rPr>
              <w:t xml:space="preserve"> to specific functions</w:t>
            </w:r>
            <w:r w:rsidR="00244BAC">
              <w:rPr>
                <w:color w:val="788184"/>
                <w:sz w:val="18"/>
                <w:szCs w:val="14"/>
              </w:rPr>
              <w:t xml:space="preserve">.  As a result, some state </w:t>
            </w:r>
            <w:r w:rsidR="006477DB">
              <w:rPr>
                <w:color w:val="788184"/>
                <w:sz w:val="18"/>
                <w:szCs w:val="14"/>
              </w:rPr>
              <w:t>direct</w:t>
            </w:r>
            <w:r w:rsidR="00244BAC">
              <w:rPr>
                <w:color w:val="788184"/>
                <w:sz w:val="18"/>
                <w:szCs w:val="14"/>
              </w:rPr>
              <w:t xml:space="preserve"> </w:t>
            </w:r>
            <w:r w:rsidR="006477DB">
              <w:rPr>
                <w:color w:val="788184"/>
                <w:sz w:val="18"/>
                <w:szCs w:val="14"/>
              </w:rPr>
              <w:t xml:space="preserve">spending </w:t>
            </w:r>
            <w:r w:rsidR="00244BAC">
              <w:rPr>
                <w:color w:val="788184"/>
                <w:sz w:val="18"/>
                <w:szCs w:val="14"/>
              </w:rPr>
              <w:t>may be funded by</w:t>
            </w:r>
            <w:r w:rsidR="00916916">
              <w:rPr>
                <w:color w:val="788184"/>
                <w:sz w:val="18"/>
                <w:szCs w:val="14"/>
              </w:rPr>
              <w:t xml:space="preserve"> untied transfers</w:t>
            </w:r>
            <w:r w:rsidR="00E43729">
              <w:rPr>
                <w:color w:val="788184"/>
                <w:sz w:val="18"/>
                <w:szCs w:val="14"/>
              </w:rPr>
              <w:t xml:space="preserve"> from the Commonwealth</w:t>
            </w:r>
            <w:r w:rsidR="00916916">
              <w:rPr>
                <w:color w:val="788184"/>
                <w:sz w:val="18"/>
                <w:szCs w:val="14"/>
              </w:rPr>
              <w:t xml:space="preserve"> (mostly</w:t>
            </w:r>
            <w:r w:rsidR="00244BAC">
              <w:rPr>
                <w:color w:val="788184"/>
                <w:sz w:val="18"/>
                <w:szCs w:val="14"/>
              </w:rPr>
              <w:t xml:space="preserve"> GST</w:t>
            </w:r>
            <w:r w:rsidR="00916916">
              <w:rPr>
                <w:color w:val="788184"/>
                <w:sz w:val="18"/>
                <w:szCs w:val="14"/>
              </w:rPr>
              <w:t>)</w:t>
            </w:r>
            <w:r w:rsidR="00244BAC">
              <w:rPr>
                <w:color w:val="788184"/>
                <w:sz w:val="18"/>
                <w:szCs w:val="14"/>
              </w:rPr>
              <w:t>.</w:t>
            </w:r>
            <w:r w:rsidR="00BA3B7B">
              <w:rPr>
                <w:color w:val="788184"/>
                <w:sz w:val="18"/>
                <w:szCs w:val="14"/>
              </w:rPr>
              <w:t xml:space="preserve">  </w:t>
            </w:r>
            <w:r w:rsidR="006F423C" w:rsidRPr="00DF0236">
              <w:rPr>
                <w:color w:val="788184"/>
                <w:sz w:val="18"/>
                <w:szCs w:val="14"/>
              </w:rPr>
              <w:t>E</w:t>
            </w:r>
            <w:r w:rsidR="00132F46" w:rsidRPr="006F423C">
              <w:rPr>
                <w:color w:val="788184"/>
                <w:sz w:val="18"/>
                <w:szCs w:val="14"/>
              </w:rPr>
              <w:t>xclude</w:t>
            </w:r>
            <w:r w:rsidR="006F423C" w:rsidRPr="00DF0236">
              <w:rPr>
                <w:color w:val="788184"/>
                <w:sz w:val="18"/>
                <w:szCs w:val="14"/>
              </w:rPr>
              <w:t>s</w:t>
            </w:r>
            <w:r w:rsidR="00CD3823" w:rsidRPr="006F423C">
              <w:rPr>
                <w:color w:val="788184"/>
                <w:sz w:val="18"/>
                <w:szCs w:val="14"/>
              </w:rPr>
              <w:t xml:space="preserve"> all infrastructure investments</w:t>
            </w:r>
            <w:r w:rsidR="00F54CB8">
              <w:rPr>
                <w:color w:val="788184"/>
                <w:sz w:val="18"/>
                <w:szCs w:val="14"/>
              </w:rPr>
              <w:t>,</w:t>
            </w:r>
            <w:r w:rsidR="00CD3823" w:rsidRPr="006F423C">
              <w:rPr>
                <w:color w:val="788184"/>
                <w:sz w:val="18"/>
                <w:szCs w:val="14"/>
              </w:rPr>
              <w:t xml:space="preserve"> which are classified as capital investment rather than expenses.</w:t>
            </w:r>
            <w:r w:rsidR="0002780A">
              <w:rPr>
                <w:color w:val="788184"/>
                <w:sz w:val="18"/>
                <w:szCs w:val="14"/>
              </w:rPr>
              <w:t xml:space="preserve"> </w:t>
            </w:r>
            <w:r w:rsidR="006504B1">
              <w:rPr>
                <w:color w:val="788184"/>
                <w:sz w:val="18"/>
                <w:szCs w:val="14"/>
              </w:rPr>
              <w:t xml:space="preserve"> </w:t>
            </w:r>
            <w:r w:rsidR="00F25987">
              <w:rPr>
                <w:color w:val="788184"/>
                <w:sz w:val="18"/>
                <w:szCs w:val="14"/>
              </w:rPr>
              <w:t>The e</w:t>
            </w:r>
            <w:r w:rsidR="006504B1">
              <w:rPr>
                <w:color w:val="788184"/>
                <w:sz w:val="18"/>
                <w:szCs w:val="14"/>
              </w:rPr>
              <w:t xml:space="preserve">ducation function omits expenses by public universities </w:t>
            </w:r>
            <w:r w:rsidR="00E446EF">
              <w:rPr>
                <w:color w:val="788184"/>
                <w:sz w:val="18"/>
                <w:szCs w:val="14"/>
              </w:rPr>
              <w:t>that are</w:t>
            </w:r>
            <w:r w:rsidR="006504B1">
              <w:rPr>
                <w:color w:val="788184"/>
                <w:sz w:val="18"/>
                <w:szCs w:val="14"/>
              </w:rPr>
              <w:t xml:space="preserve"> not transfers from Commonwealth or state governments.</w:t>
            </w:r>
          </w:p>
          <w:p w:rsidR="00D32BD3" w:rsidRPr="00833BAA" w:rsidRDefault="00D32BD3" w:rsidP="00DB1201">
            <w:pPr>
              <w:pStyle w:val="BodyText"/>
              <w:spacing w:line="20" w:lineRule="atLeast"/>
              <w:ind w:left="340"/>
              <w:contextualSpacing/>
              <w:rPr>
                <w:color w:val="788184"/>
                <w:sz w:val="18"/>
                <w:szCs w:val="14"/>
              </w:rPr>
            </w:pPr>
            <w:r w:rsidRPr="00833BAA">
              <w:rPr>
                <w:color w:val="788184"/>
                <w:sz w:val="18"/>
                <w:szCs w:val="14"/>
              </w:rPr>
              <w:t>Source: ABS</w:t>
            </w:r>
            <w:r w:rsidR="00F54CB8">
              <w:rPr>
                <w:color w:val="788184"/>
                <w:sz w:val="18"/>
                <w:szCs w:val="14"/>
              </w:rPr>
              <w:t xml:space="preserve"> and</w:t>
            </w:r>
            <w:r>
              <w:rPr>
                <w:color w:val="788184"/>
                <w:sz w:val="18"/>
                <w:szCs w:val="14"/>
              </w:rPr>
              <w:t xml:space="preserve"> PBO analysis</w:t>
            </w:r>
            <w:r w:rsidR="00DE4BCB">
              <w:rPr>
                <w:color w:val="788184"/>
                <w:sz w:val="18"/>
                <w:szCs w:val="14"/>
              </w:rPr>
              <w:t>.</w:t>
            </w:r>
            <w:r w:rsidR="00E06CC7">
              <w:rPr>
                <w:color w:val="788184"/>
                <w:sz w:val="18"/>
                <w:szCs w:val="14"/>
              </w:rPr>
              <w:t xml:space="preserve"> </w:t>
            </w:r>
          </w:p>
          <w:p w:rsidR="00CD3823" w:rsidRDefault="004D0357" w:rsidP="00DF0236">
            <w:pPr>
              <w:pStyle w:val="BodyText"/>
              <w:spacing w:before="240" w:after="120" w:line="228" w:lineRule="auto"/>
            </w:pPr>
            <w:r>
              <w:t>Looking at final budget outcomes</w:t>
            </w:r>
            <w:r w:rsidRPr="00F55B1B">
              <w:t xml:space="preserve">, </w:t>
            </w:r>
            <w:r w:rsidR="006477DB">
              <w:t>total spending across both levels of government and</w:t>
            </w:r>
            <w:r w:rsidR="00C73F13">
              <w:br/>
            </w:r>
            <w:r w:rsidR="006477DB">
              <w:t xml:space="preserve">all functions was around </w:t>
            </w:r>
            <w:r w:rsidR="00F25987">
              <w:t xml:space="preserve">33 per cent </w:t>
            </w:r>
            <w:r w:rsidR="006477DB">
              <w:t>of GDP (about $601 billion).  T</w:t>
            </w:r>
            <w:r w:rsidRPr="00F55B1B">
              <w:t>he largest category of expenditure across Commonweal</w:t>
            </w:r>
            <w:r>
              <w:t xml:space="preserve">th and </w:t>
            </w:r>
            <w:r w:rsidR="00E446EF">
              <w:t>s</w:t>
            </w:r>
            <w:r>
              <w:t xml:space="preserve">tate governments </w:t>
            </w:r>
            <w:r w:rsidR="005D66C9">
              <w:t>i</w:t>
            </w:r>
            <w:r>
              <w:t>s soc</w:t>
            </w:r>
            <w:r w:rsidRPr="00F55B1B">
              <w:t>i</w:t>
            </w:r>
            <w:r>
              <w:t>a</w:t>
            </w:r>
            <w:r w:rsidRPr="00F55B1B">
              <w:t xml:space="preserve">l </w:t>
            </w:r>
            <w:r>
              <w:t>security</w:t>
            </w:r>
            <w:r w:rsidR="00CD3823">
              <w:t>.  This</w:t>
            </w:r>
            <w:r>
              <w:t xml:space="preserve"> mostly reflects Commonwealth transfer payments, such as the age pension, with state payments including contributions to the NDIS. </w:t>
            </w:r>
          </w:p>
          <w:p w:rsidR="00D32BD3" w:rsidRPr="00E04F1B" w:rsidRDefault="00CD3823" w:rsidP="00DF0236">
            <w:pPr>
              <w:pStyle w:val="BodyText"/>
              <w:spacing w:after="120" w:line="228" w:lineRule="auto"/>
              <w:rPr>
                <w:color w:val="FF0000"/>
              </w:rPr>
            </w:pPr>
            <w:r>
              <w:t>Th</w:t>
            </w:r>
            <w:r w:rsidR="00D32BD3" w:rsidRPr="00D555A3">
              <w:t>e largest catego</w:t>
            </w:r>
            <w:r w:rsidR="00D32BD3">
              <w:t>ry of expenditure for the states</w:t>
            </w:r>
            <w:r w:rsidR="009E5566">
              <w:t xml:space="preserve"> </w:t>
            </w:r>
            <w:r w:rsidR="005D66C9">
              <w:t>i</w:t>
            </w:r>
            <w:r>
              <w:t>s health</w:t>
            </w:r>
            <w:r w:rsidR="00D32BD3">
              <w:t xml:space="preserve">, </w:t>
            </w:r>
            <w:r>
              <w:t>where state</w:t>
            </w:r>
            <w:r w:rsidR="004D0357">
              <w:t xml:space="preserve"> </w:t>
            </w:r>
            <w:r w:rsidR="006477DB">
              <w:t>direct spending</w:t>
            </w:r>
            <w:r w:rsidR="00BA3B7B">
              <w:t>, largely on public hospitals,</w:t>
            </w:r>
            <w:r w:rsidR="004D0357">
              <w:t xml:space="preserve"> </w:t>
            </w:r>
            <w:r w:rsidR="003045BC">
              <w:t xml:space="preserve">accounted </w:t>
            </w:r>
            <w:r w:rsidR="00D32BD3">
              <w:t xml:space="preserve">for </w:t>
            </w:r>
            <w:r w:rsidR="003045BC">
              <w:t xml:space="preserve">around </w:t>
            </w:r>
            <w:r w:rsidR="00354A80">
              <w:t>40</w:t>
            </w:r>
            <w:r w:rsidR="004D0357">
              <w:t> </w:t>
            </w:r>
            <w:r w:rsidR="00354A80">
              <w:t>per</w:t>
            </w:r>
            <w:r w:rsidR="004D0357">
              <w:t> </w:t>
            </w:r>
            <w:r w:rsidR="00354A80">
              <w:t>cent of</w:t>
            </w:r>
            <w:r w:rsidR="004D0357">
              <w:t xml:space="preserve"> </w:t>
            </w:r>
            <w:r w:rsidR="00D32BD3">
              <w:t xml:space="preserve">total </w:t>
            </w:r>
            <w:r w:rsidR="007041F3">
              <w:t xml:space="preserve">health </w:t>
            </w:r>
            <w:r>
              <w:t>expenses.</w:t>
            </w:r>
            <w:r w:rsidR="00C73F13">
              <w:br/>
            </w:r>
            <w:r w:rsidR="00D32BD3">
              <w:t xml:space="preserve">The Commonwealth </w:t>
            </w:r>
            <w:r w:rsidR="00E43729">
              <w:t>directly</w:t>
            </w:r>
            <w:r w:rsidR="00D32BD3">
              <w:t xml:space="preserve"> spent </w:t>
            </w:r>
            <w:r>
              <w:t>around</w:t>
            </w:r>
            <w:r w:rsidR="00D32BD3">
              <w:t xml:space="preserve"> </w:t>
            </w:r>
            <w:r>
              <w:t>$50 </w:t>
            </w:r>
            <w:r w:rsidR="00D32BD3">
              <w:t>billion</w:t>
            </w:r>
            <w:r w:rsidR="005D66C9">
              <w:t xml:space="preserve"> on health care</w:t>
            </w:r>
            <w:r w:rsidR="00D32BD3">
              <w:t xml:space="preserve">, </w:t>
            </w:r>
            <w:r w:rsidR="00F35E96">
              <w:t>largely on</w:t>
            </w:r>
            <w:r w:rsidR="00D32BD3">
              <w:t xml:space="preserve"> Medicare</w:t>
            </w:r>
            <w:r w:rsidR="00C73F13">
              <w:br/>
            </w:r>
            <w:r w:rsidR="00D32BD3">
              <w:t>and the Pharmaceutical Benefits Scheme</w:t>
            </w:r>
            <w:r w:rsidR="006477DB">
              <w:t xml:space="preserve">.  Commonwealth transfers for specific purposes, largely public hospitals funding, </w:t>
            </w:r>
            <w:r>
              <w:t>bring</w:t>
            </w:r>
            <w:r w:rsidR="00D32BD3">
              <w:t xml:space="preserve"> the Commonwealth’s total </w:t>
            </w:r>
            <w:r w:rsidR="00F25987">
              <w:t>health</w:t>
            </w:r>
            <w:r w:rsidR="00F25987">
              <w:noBreakHyphen/>
              <w:t xml:space="preserve">related </w:t>
            </w:r>
            <w:r w:rsidR="006477DB">
              <w:t>spending</w:t>
            </w:r>
            <w:r w:rsidR="00C73F13">
              <w:br/>
            </w:r>
            <w:r w:rsidR="00D32BD3">
              <w:t xml:space="preserve">to </w:t>
            </w:r>
            <w:r>
              <w:t>around</w:t>
            </w:r>
            <w:r w:rsidR="00D32BD3">
              <w:t xml:space="preserve"> </w:t>
            </w:r>
            <w:r>
              <w:t>$75 </w:t>
            </w:r>
            <w:r w:rsidR="00D32BD3">
              <w:t xml:space="preserve">billion. </w:t>
            </w:r>
          </w:p>
          <w:p w:rsidR="00B82C40" w:rsidRPr="00DB1201" w:rsidRDefault="00132F46" w:rsidP="00DF0236">
            <w:pPr>
              <w:pStyle w:val="BodyText"/>
              <w:spacing w:line="228" w:lineRule="auto"/>
              <w:rPr>
                <w:color w:val="FF0000"/>
                <w:spacing w:val="-3"/>
              </w:rPr>
            </w:pPr>
            <w:r w:rsidRPr="00DB1201">
              <w:rPr>
                <w:spacing w:val="-3"/>
              </w:rPr>
              <w:t>More than half of the</w:t>
            </w:r>
            <w:r w:rsidR="00F25987" w:rsidRPr="00DB1201">
              <w:rPr>
                <w:spacing w:val="-3"/>
              </w:rPr>
              <w:t xml:space="preserve"> total</w:t>
            </w:r>
            <w:r w:rsidR="00CD3823" w:rsidRPr="00DB1201">
              <w:rPr>
                <w:spacing w:val="-3"/>
              </w:rPr>
              <w:t xml:space="preserve"> </w:t>
            </w:r>
            <w:r w:rsidRPr="00DB1201">
              <w:rPr>
                <w:spacing w:val="-3"/>
              </w:rPr>
              <w:t>spending</w:t>
            </w:r>
            <w:r w:rsidR="00CD3823" w:rsidRPr="00DB1201">
              <w:rPr>
                <w:spacing w:val="-3"/>
              </w:rPr>
              <w:t xml:space="preserve"> on education</w:t>
            </w:r>
            <w:r w:rsidRPr="00DB1201">
              <w:rPr>
                <w:spacing w:val="-3"/>
              </w:rPr>
              <w:t xml:space="preserve"> </w:t>
            </w:r>
            <w:r w:rsidR="005D66C9" w:rsidRPr="00DB1201">
              <w:rPr>
                <w:spacing w:val="-3"/>
              </w:rPr>
              <w:t>i</w:t>
            </w:r>
            <w:r w:rsidRPr="00DB1201">
              <w:rPr>
                <w:spacing w:val="-3"/>
              </w:rPr>
              <w:t xml:space="preserve">s state </w:t>
            </w:r>
            <w:r w:rsidR="006477DB" w:rsidRPr="00DB1201">
              <w:rPr>
                <w:spacing w:val="-3"/>
              </w:rPr>
              <w:t>direct</w:t>
            </w:r>
            <w:r w:rsidRPr="00DB1201">
              <w:rPr>
                <w:spacing w:val="-3"/>
              </w:rPr>
              <w:t xml:space="preserve"> expenditure</w:t>
            </w:r>
            <w:r w:rsidR="00CD3823" w:rsidRPr="00DB1201">
              <w:rPr>
                <w:spacing w:val="-3"/>
              </w:rPr>
              <w:t xml:space="preserve">, </w:t>
            </w:r>
            <w:r w:rsidR="00D32BD3" w:rsidRPr="00DB1201">
              <w:rPr>
                <w:spacing w:val="-3"/>
              </w:rPr>
              <w:t xml:space="preserve">mainly on </w:t>
            </w:r>
            <w:r w:rsidR="00CD3823" w:rsidRPr="00DB1201">
              <w:rPr>
                <w:spacing w:val="-3"/>
              </w:rPr>
              <w:t xml:space="preserve">funding </w:t>
            </w:r>
            <w:r w:rsidR="009E5566" w:rsidRPr="00DB1201">
              <w:rPr>
                <w:spacing w:val="-3"/>
              </w:rPr>
              <w:t xml:space="preserve">state </w:t>
            </w:r>
            <w:r w:rsidR="00DE4BCB" w:rsidRPr="00DB1201">
              <w:rPr>
                <w:spacing w:val="-3"/>
              </w:rPr>
              <w:t xml:space="preserve">government </w:t>
            </w:r>
            <w:r w:rsidR="00D32BD3" w:rsidRPr="00DB1201">
              <w:rPr>
                <w:spacing w:val="-3"/>
              </w:rPr>
              <w:t>schools</w:t>
            </w:r>
            <w:r w:rsidR="006477DB" w:rsidRPr="00DB1201">
              <w:rPr>
                <w:spacing w:val="-3"/>
              </w:rPr>
              <w:t xml:space="preserve"> for which </w:t>
            </w:r>
            <w:r w:rsidR="00F25987" w:rsidRPr="00DB1201">
              <w:rPr>
                <w:spacing w:val="-3"/>
              </w:rPr>
              <w:t>states</w:t>
            </w:r>
            <w:r w:rsidR="006477DB" w:rsidRPr="00DB1201">
              <w:rPr>
                <w:spacing w:val="-3"/>
              </w:rPr>
              <w:t xml:space="preserve"> are responsible and </w:t>
            </w:r>
            <w:r w:rsidR="004C5178" w:rsidRPr="00DB1201">
              <w:rPr>
                <w:spacing w:val="-3"/>
              </w:rPr>
              <w:t xml:space="preserve">for which they are </w:t>
            </w:r>
            <w:r w:rsidR="006477DB" w:rsidRPr="00DB1201">
              <w:rPr>
                <w:spacing w:val="-3"/>
              </w:rPr>
              <w:t>the majority funder</w:t>
            </w:r>
            <w:r w:rsidR="00D32BD3" w:rsidRPr="00DB1201">
              <w:rPr>
                <w:spacing w:val="-3"/>
              </w:rPr>
              <w:t xml:space="preserve">.  </w:t>
            </w:r>
            <w:r w:rsidR="009E5566" w:rsidRPr="00DB1201">
              <w:rPr>
                <w:spacing w:val="-3"/>
              </w:rPr>
              <w:t>T</w:t>
            </w:r>
            <w:r w:rsidR="00D32BD3" w:rsidRPr="00DB1201">
              <w:rPr>
                <w:spacing w:val="-3"/>
              </w:rPr>
              <w:t xml:space="preserve">his </w:t>
            </w:r>
            <w:r w:rsidR="005D66C9" w:rsidRPr="00DB1201">
              <w:rPr>
                <w:spacing w:val="-3"/>
              </w:rPr>
              <w:t>i</w:t>
            </w:r>
            <w:r w:rsidR="00D32BD3" w:rsidRPr="00DB1201">
              <w:rPr>
                <w:spacing w:val="-3"/>
              </w:rPr>
              <w:t xml:space="preserve">s supplemented by </w:t>
            </w:r>
            <w:r w:rsidR="00CD3823" w:rsidRPr="00DB1201">
              <w:rPr>
                <w:spacing w:val="-3"/>
              </w:rPr>
              <w:t xml:space="preserve">around </w:t>
            </w:r>
            <w:r w:rsidR="0056758F" w:rsidRPr="00DB1201">
              <w:rPr>
                <w:spacing w:val="-3"/>
              </w:rPr>
              <w:t>$20</w:t>
            </w:r>
            <w:r w:rsidR="00CD3823" w:rsidRPr="00DB1201">
              <w:rPr>
                <w:spacing w:val="-3"/>
              </w:rPr>
              <w:t> </w:t>
            </w:r>
            <w:r w:rsidR="0056758F" w:rsidRPr="00DB1201">
              <w:rPr>
                <w:spacing w:val="-3"/>
              </w:rPr>
              <w:t xml:space="preserve">billion of </w:t>
            </w:r>
            <w:r w:rsidR="006477DB" w:rsidRPr="00DB1201">
              <w:rPr>
                <w:spacing w:val="-3"/>
              </w:rPr>
              <w:t xml:space="preserve">total </w:t>
            </w:r>
            <w:r w:rsidR="00D32BD3" w:rsidRPr="00DB1201">
              <w:rPr>
                <w:spacing w:val="-3"/>
              </w:rPr>
              <w:t xml:space="preserve">Commonwealth </w:t>
            </w:r>
            <w:r w:rsidR="006477DB" w:rsidRPr="00DB1201">
              <w:rPr>
                <w:spacing w:val="-3"/>
              </w:rPr>
              <w:t>transfers for specific purposes, for both</w:t>
            </w:r>
            <w:r w:rsidR="00DE4BCB" w:rsidRPr="00DB1201">
              <w:rPr>
                <w:spacing w:val="-3"/>
              </w:rPr>
              <w:t xml:space="preserve"> state and non-government schools and </w:t>
            </w:r>
            <w:r w:rsidR="006477DB" w:rsidRPr="00DB1201">
              <w:rPr>
                <w:spacing w:val="-3"/>
              </w:rPr>
              <w:t xml:space="preserve">for </w:t>
            </w:r>
            <w:r w:rsidR="00DE4BCB" w:rsidRPr="00DB1201">
              <w:rPr>
                <w:spacing w:val="-3"/>
              </w:rPr>
              <w:t>early childhood education</w:t>
            </w:r>
            <w:r w:rsidR="00D32BD3" w:rsidRPr="00DB1201">
              <w:rPr>
                <w:spacing w:val="-3"/>
              </w:rPr>
              <w:t>.</w:t>
            </w:r>
            <w:r w:rsidR="00C73F13">
              <w:rPr>
                <w:spacing w:val="-3"/>
              </w:rPr>
              <w:br/>
            </w:r>
            <w:r w:rsidR="00CD3823" w:rsidRPr="00DB1201">
              <w:rPr>
                <w:spacing w:val="-3"/>
              </w:rPr>
              <w:t>The C</w:t>
            </w:r>
            <w:r w:rsidR="00D32BD3" w:rsidRPr="00DB1201">
              <w:rPr>
                <w:spacing w:val="-3"/>
              </w:rPr>
              <w:t>ommonwealth</w:t>
            </w:r>
            <w:r w:rsidR="00CD3823" w:rsidRPr="00DB1201">
              <w:rPr>
                <w:spacing w:val="-3"/>
              </w:rPr>
              <w:t>’s</w:t>
            </w:r>
            <w:r w:rsidR="00D32BD3" w:rsidRPr="00DB1201">
              <w:rPr>
                <w:spacing w:val="-3"/>
              </w:rPr>
              <w:t xml:space="preserve"> </w:t>
            </w:r>
            <w:r w:rsidR="006477DB" w:rsidRPr="00DB1201">
              <w:rPr>
                <w:spacing w:val="-3"/>
              </w:rPr>
              <w:t>direct</w:t>
            </w:r>
            <w:r w:rsidR="00D32BD3" w:rsidRPr="00DB1201">
              <w:rPr>
                <w:spacing w:val="-3"/>
              </w:rPr>
              <w:t xml:space="preserve"> </w:t>
            </w:r>
            <w:r w:rsidR="00F25987" w:rsidRPr="00DB1201">
              <w:rPr>
                <w:spacing w:val="-3"/>
              </w:rPr>
              <w:t xml:space="preserve">education </w:t>
            </w:r>
            <w:r w:rsidR="00D32BD3" w:rsidRPr="00DB1201">
              <w:rPr>
                <w:spacing w:val="-3"/>
              </w:rPr>
              <w:t xml:space="preserve">expenditure </w:t>
            </w:r>
            <w:r w:rsidR="001E7D78" w:rsidRPr="00DB1201">
              <w:rPr>
                <w:spacing w:val="-3"/>
              </w:rPr>
              <w:t xml:space="preserve">of </w:t>
            </w:r>
            <w:r w:rsidR="00CD3823" w:rsidRPr="00DB1201">
              <w:rPr>
                <w:spacing w:val="-3"/>
              </w:rPr>
              <w:t xml:space="preserve">around </w:t>
            </w:r>
            <w:r w:rsidR="00D32BD3" w:rsidRPr="00DB1201">
              <w:rPr>
                <w:spacing w:val="-3"/>
              </w:rPr>
              <w:t>$1</w:t>
            </w:r>
            <w:r w:rsidR="00CD3823" w:rsidRPr="00DB1201">
              <w:rPr>
                <w:spacing w:val="-3"/>
              </w:rPr>
              <w:t>7</w:t>
            </w:r>
            <w:r w:rsidR="00F35E96" w:rsidRPr="00DB1201">
              <w:rPr>
                <w:spacing w:val="-3"/>
              </w:rPr>
              <w:t> </w:t>
            </w:r>
            <w:r w:rsidR="00D32BD3" w:rsidRPr="00DB1201">
              <w:rPr>
                <w:spacing w:val="-3"/>
              </w:rPr>
              <w:t>billion</w:t>
            </w:r>
            <w:r w:rsidR="00CD3823" w:rsidRPr="00DB1201">
              <w:rPr>
                <w:spacing w:val="-3"/>
              </w:rPr>
              <w:t xml:space="preserve"> </w:t>
            </w:r>
            <w:r w:rsidR="005D66C9" w:rsidRPr="00DB1201">
              <w:rPr>
                <w:spacing w:val="-3"/>
              </w:rPr>
              <w:t>i</w:t>
            </w:r>
            <w:r w:rsidR="00CD3823" w:rsidRPr="00DB1201">
              <w:rPr>
                <w:spacing w:val="-3"/>
              </w:rPr>
              <w:t xml:space="preserve">s </w:t>
            </w:r>
            <w:r w:rsidR="00D32BD3" w:rsidRPr="00DB1201">
              <w:rPr>
                <w:spacing w:val="-3"/>
              </w:rPr>
              <w:t>mainly on higher education and vocational education and training.</w:t>
            </w:r>
            <w:r w:rsidR="00CD3823" w:rsidRPr="00DB1201" w:rsidDel="00CD3823">
              <w:rPr>
                <w:spacing w:val="-3"/>
              </w:rPr>
              <w:t xml:space="preserve"> </w:t>
            </w:r>
          </w:p>
        </w:tc>
      </w:tr>
    </w:tbl>
    <w:p w:rsidR="001428DF" w:rsidRDefault="00FE6BD5" w:rsidP="001428DF">
      <w:pPr>
        <w:pStyle w:val="Heading3"/>
      </w:pPr>
      <w:bookmarkStart w:id="47" w:name="_Ref23591834"/>
      <w:r>
        <w:lastRenderedPageBreak/>
        <w:t>Trends in state n</w:t>
      </w:r>
      <w:r w:rsidR="001428DF">
        <w:t>et capital investment</w:t>
      </w:r>
      <w:bookmarkEnd w:id="47"/>
      <w:r w:rsidR="00070CFD">
        <w:t xml:space="preserve"> </w:t>
      </w:r>
    </w:p>
    <w:p w:rsidR="00D174C9" w:rsidRDefault="00D174C9" w:rsidP="00D174C9">
      <w:pPr>
        <w:pStyle w:val="BodyText"/>
      </w:pPr>
      <w:r>
        <w:t>States account</w:t>
      </w:r>
      <w:r w:rsidR="00652B66">
        <w:t xml:space="preserve"> for</w:t>
      </w:r>
      <w:r>
        <w:t xml:space="preserve"> </w:t>
      </w:r>
      <w:r w:rsidR="007D35FA">
        <w:t>almost all</w:t>
      </w:r>
      <w:r>
        <w:t xml:space="preserve"> government net capital investment in Australia, making up around 9</w:t>
      </w:r>
      <w:r w:rsidR="0099692D">
        <w:t>5</w:t>
      </w:r>
      <w:r w:rsidR="00BC4A4C">
        <w:t> </w:t>
      </w:r>
      <w:r>
        <w:t>per</w:t>
      </w:r>
      <w:r w:rsidR="00BC4A4C">
        <w:t> </w:t>
      </w:r>
      <w:r>
        <w:t xml:space="preserve">cent of total net capital investment </w:t>
      </w:r>
      <w:r w:rsidRPr="008B39F8">
        <w:t>by governments</w:t>
      </w:r>
      <w:r>
        <w:t xml:space="preserve"> in </w:t>
      </w:r>
      <w:r w:rsidR="00AB0FA3" w:rsidRPr="004F7C34">
        <w:t>201</w:t>
      </w:r>
      <w:r w:rsidR="00AB0FA3">
        <w:t>7</w:t>
      </w:r>
      <w:r w:rsidR="00A240B6" w:rsidRPr="004F7C34">
        <w:t>–</w:t>
      </w:r>
      <w:r w:rsidR="00AB0FA3">
        <w:t>18</w:t>
      </w:r>
      <w:r>
        <w:t>.</w:t>
      </w:r>
      <w:r w:rsidR="00502CDD">
        <w:t xml:space="preserve"> </w:t>
      </w:r>
      <w:r w:rsidR="00D24236">
        <w:t xml:space="preserve"> The main areas of investment are road, rail, </w:t>
      </w:r>
      <w:proofErr w:type="gramStart"/>
      <w:r w:rsidR="00D24236">
        <w:t>health</w:t>
      </w:r>
      <w:proofErr w:type="gramEnd"/>
      <w:r w:rsidR="00D24236">
        <w:t xml:space="preserve"> and education infrastructure.</w:t>
      </w:r>
    </w:p>
    <w:p w:rsidR="00D174C9" w:rsidRPr="00DB1201" w:rsidRDefault="00D174C9" w:rsidP="00D174C9">
      <w:pPr>
        <w:pStyle w:val="BodyText"/>
        <w:rPr>
          <w:spacing w:val="-3"/>
        </w:rPr>
      </w:pPr>
      <w:r w:rsidRPr="00DB1201">
        <w:rPr>
          <w:spacing w:val="-3"/>
        </w:rPr>
        <w:t>Over the first half of the forward estimates, aggregate state net capital investment is projected to rise sharply, peaking at 1.</w:t>
      </w:r>
      <w:r w:rsidR="00210B9E" w:rsidRPr="00DB1201">
        <w:rPr>
          <w:spacing w:val="-3"/>
        </w:rPr>
        <w:t>3</w:t>
      </w:r>
      <w:r w:rsidR="00BC4A4C" w:rsidRPr="00DB1201">
        <w:rPr>
          <w:spacing w:val="-3"/>
        </w:rPr>
        <w:t> </w:t>
      </w:r>
      <w:r w:rsidRPr="00DB1201">
        <w:rPr>
          <w:spacing w:val="-3"/>
        </w:rPr>
        <w:t>per</w:t>
      </w:r>
      <w:r w:rsidR="00BC4A4C" w:rsidRPr="00DB1201">
        <w:rPr>
          <w:spacing w:val="-3"/>
        </w:rPr>
        <w:t> </w:t>
      </w:r>
      <w:r w:rsidRPr="00DB1201">
        <w:rPr>
          <w:spacing w:val="-3"/>
        </w:rPr>
        <w:t>cent of GDP</w:t>
      </w:r>
      <w:r w:rsidR="006C220A" w:rsidRPr="00DB1201">
        <w:rPr>
          <w:spacing w:val="-3"/>
        </w:rPr>
        <w:t xml:space="preserve"> ($25.9 billion)</w:t>
      </w:r>
      <w:r w:rsidRPr="00DB1201">
        <w:rPr>
          <w:spacing w:val="-3"/>
        </w:rPr>
        <w:t xml:space="preserve"> in </w:t>
      </w:r>
      <w:r w:rsidR="00A240B6" w:rsidRPr="00DB1201">
        <w:rPr>
          <w:spacing w:val="-3"/>
        </w:rPr>
        <w:t>2019–20</w:t>
      </w:r>
      <w:r w:rsidRPr="00DB1201">
        <w:rPr>
          <w:spacing w:val="-3"/>
        </w:rPr>
        <w:t>, before declining to 0.</w:t>
      </w:r>
      <w:r w:rsidR="00210B9E" w:rsidRPr="00DB1201">
        <w:rPr>
          <w:spacing w:val="-3"/>
        </w:rPr>
        <w:t>6</w:t>
      </w:r>
      <w:r w:rsidR="00BC4A4C" w:rsidRPr="00DB1201">
        <w:rPr>
          <w:spacing w:val="-3"/>
        </w:rPr>
        <w:t> </w:t>
      </w:r>
      <w:r w:rsidRPr="00DB1201">
        <w:rPr>
          <w:spacing w:val="-3"/>
        </w:rPr>
        <w:t>per</w:t>
      </w:r>
      <w:r w:rsidR="00BC4A4C" w:rsidRPr="00DB1201">
        <w:rPr>
          <w:spacing w:val="-3"/>
        </w:rPr>
        <w:t> </w:t>
      </w:r>
      <w:r w:rsidRPr="00DB1201">
        <w:rPr>
          <w:spacing w:val="-3"/>
        </w:rPr>
        <w:t>cent of</w:t>
      </w:r>
      <w:r w:rsidR="00C73F13">
        <w:rPr>
          <w:spacing w:val="-3"/>
        </w:rPr>
        <w:br/>
      </w:r>
      <w:r w:rsidRPr="00DB1201">
        <w:rPr>
          <w:spacing w:val="-3"/>
        </w:rPr>
        <w:t>GDP</w:t>
      </w:r>
      <w:r w:rsidR="006C220A" w:rsidRPr="00DB1201">
        <w:rPr>
          <w:spacing w:val="-3"/>
        </w:rPr>
        <w:t xml:space="preserve"> ($14.5 billion)</w:t>
      </w:r>
      <w:r w:rsidRPr="00DB1201">
        <w:rPr>
          <w:spacing w:val="-3"/>
        </w:rPr>
        <w:t xml:space="preserve"> by the end of th</w:t>
      </w:r>
      <w:r w:rsidR="003E12DD" w:rsidRPr="00DB1201">
        <w:rPr>
          <w:spacing w:val="-3"/>
        </w:rPr>
        <w:t>e forward estimates (</w:t>
      </w:r>
      <w:r w:rsidR="00652B66" w:rsidRPr="00DB1201">
        <w:rPr>
          <w:spacing w:val="-3"/>
        </w:rPr>
        <w:t>Figure 2–1</w:t>
      </w:r>
      <w:r w:rsidR="005746FD" w:rsidRPr="00DB1201">
        <w:rPr>
          <w:spacing w:val="-3"/>
        </w:rPr>
        <w:t>5</w:t>
      </w:r>
      <w:r w:rsidRPr="00DB1201">
        <w:rPr>
          <w:spacing w:val="-3"/>
        </w:rPr>
        <w:t>)</w:t>
      </w:r>
      <w:r w:rsidR="00FB2E01" w:rsidRPr="00DB1201">
        <w:rPr>
          <w:spacing w:val="-3"/>
        </w:rPr>
        <w:t>, with the profile driven by new spending and then projected finalisation of projects in New South Wales</w:t>
      </w:r>
      <w:r w:rsidRPr="00DB1201">
        <w:rPr>
          <w:spacing w:val="-3"/>
        </w:rPr>
        <w:t>.</w:t>
      </w:r>
    </w:p>
    <w:p w:rsidR="001A4972" w:rsidRDefault="00D174C9" w:rsidP="00443EA9">
      <w:pPr>
        <w:pStyle w:val="BodyText"/>
        <w:spacing w:after="240"/>
      </w:pPr>
      <w:proofErr w:type="gramStart"/>
      <w:r>
        <w:t>Th</w:t>
      </w:r>
      <w:r w:rsidR="00502CDD">
        <w:t>e</w:t>
      </w:r>
      <w:r>
        <w:t xml:space="preserve"> increase</w:t>
      </w:r>
      <w:r w:rsidR="00502CDD">
        <w:t xml:space="preserve"> in spending </w:t>
      </w:r>
      <w:r w:rsidR="000E0588">
        <w:t xml:space="preserve">from </w:t>
      </w:r>
      <w:r w:rsidR="00B35345">
        <w:t>2014</w:t>
      </w:r>
      <w:r w:rsidR="00581BA8">
        <w:t>–</w:t>
      </w:r>
      <w:r w:rsidR="00B35345">
        <w:t xml:space="preserve">15 </w:t>
      </w:r>
      <w:r w:rsidR="00652B66">
        <w:t xml:space="preserve">reverses </w:t>
      </w:r>
      <w:r>
        <w:t>a trend of declining state investment since the peak in 2009</w:t>
      </w:r>
      <w:r w:rsidR="00581BA8">
        <w:t>–</w:t>
      </w:r>
      <w:r>
        <w:t>10.</w:t>
      </w:r>
      <w:proofErr w:type="gramEnd"/>
      <w:r>
        <w:t xml:space="preserve">  Investment </w:t>
      </w:r>
      <w:r w:rsidR="002C6238">
        <w:t xml:space="preserve">during </w:t>
      </w:r>
      <w:r>
        <w:t xml:space="preserve">the peak period was driven by the Commonwealth’s fiscal stimulus packages that supported state infrastructure projects.  The </w:t>
      </w:r>
      <w:r w:rsidR="00525A73">
        <w:t xml:space="preserve">proportion </w:t>
      </w:r>
      <w:r>
        <w:t>of state investment was more weighted to Queensland in that period</w:t>
      </w:r>
      <w:r w:rsidR="00811A74">
        <w:t>,</w:t>
      </w:r>
      <w:r>
        <w:t xml:space="preserve"> which had large transport infrastructure spending as well as reconstruction spending following natural disasters in 2010</w:t>
      </w:r>
      <w:r w:rsidR="00A240B6" w:rsidRPr="004F7C34">
        <w:t>–</w:t>
      </w:r>
      <w:r>
        <w:t>11.</w:t>
      </w:r>
    </w:p>
    <w:p w:rsidR="00A56460" w:rsidRPr="00A56460" w:rsidRDefault="00A56460" w:rsidP="00A56460">
      <w:pPr>
        <w:pStyle w:val="Caption"/>
      </w:pPr>
      <w:bookmarkStart w:id="48" w:name="_Ref530738898"/>
      <w:r w:rsidRPr="00A56460">
        <w:t xml:space="preserve">Figure </w:t>
      </w:r>
      <w:r w:rsidR="00017BCC">
        <w:fldChar w:fldCharType="begin"/>
      </w:r>
      <w:r w:rsidR="00017BCC">
        <w:instrText xml:space="preserve"> STYLEREF 1 \s </w:instrText>
      </w:r>
      <w:r w:rsidR="00017BCC">
        <w:fldChar w:fldCharType="separate"/>
      </w:r>
      <w:r w:rsidR="0070188F">
        <w:rPr>
          <w:noProof/>
        </w:rPr>
        <w:t>2</w:t>
      </w:r>
      <w:r w:rsidR="00017BCC">
        <w:rPr>
          <w:noProof/>
        </w:rPr>
        <w:fldChar w:fldCharType="end"/>
      </w:r>
      <w:r w:rsidRPr="00A56460">
        <w:t>–</w:t>
      </w:r>
      <w:bookmarkEnd w:id="48"/>
      <w:r w:rsidR="00A94B42">
        <w:t>1</w:t>
      </w:r>
      <w:r w:rsidR="005746FD">
        <w:t>5</w:t>
      </w:r>
      <w:r w:rsidRPr="00A56460">
        <w:t xml:space="preserve">: </w:t>
      </w:r>
      <w:r>
        <w:t>State net capital investment</w:t>
      </w:r>
    </w:p>
    <w:p w:rsidR="00ED4938" w:rsidRPr="00ED4938" w:rsidRDefault="00E06CC7" w:rsidP="00ED4938">
      <w:pPr>
        <w:pStyle w:val="CaptionDescriptor"/>
      </w:pPr>
      <w:r>
        <w:rPr>
          <w:noProof/>
          <w:lang w:eastAsia="en-AU"/>
        </w:rPr>
        <w:drawing>
          <wp:inline distT="0" distB="0" distL="0" distR="0" wp14:anchorId="3640E8BE" wp14:editId="732D7F70">
            <wp:extent cx="5184000" cy="319418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5184000" cy="3194181"/>
                    </a:xfrm>
                    <a:prstGeom prst="rect">
                      <a:avLst/>
                    </a:prstGeom>
                    <a:noFill/>
                  </pic:spPr>
                </pic:pic>
              </a:graphicData>
            </a:graphic>
          </wp:inline>
        </w:drawing>
      </w:r>
    </w:p>
    <w:p w:rsidR="00D174C9" w:rsidRDefault="00ED4938" w:rsidP="00DB1201">
      <w:pPr>
        <w:pStyle w:val="Source"/>
        <w:tabs>
          <w:tab w:val="left" w:pos="851"/>
        </w:tabs>
        <w:ind w:left="851"/>
      </w:pPr>
      <w:r>
        <w:t>Source: ABS, state budget papers</w:t>
      </w:r>
      <w:r w:rsidR="00F54CB8">
        <w:t xml:space="preserve"> and </w:t>
      </w:r>
      <w:r>
        <w:t>PBO analysis.</w:t>
      </w:r>
    </w:p>
    <w:p w:rsidR="001B613E" w:rsidRPr="00DB1201" w:rsidRDefault="00C9185D" w:rsidP="00B8768A">
      <w:pPr>
        <w:pStyle w:val="BodyText17ptAbove"/>
        <w:spacing w:before="240" w:after="120"/>
        <w:rPr>
          <w:spacing w:val="0"/>
        </w:rPr>
      </w:pPr>
      <w:r w:rsidRPr="00DB1201">
        <w:rPr>
          <w:spacing w:val="0"/>
        </w:rPr>
        <w:t>Transport infrastructure in the largest states dominates net capital investment over the</w:t>
      </w:r>
      <w:r w:rsidR="00C73F13">
        <w:rPr>
          <w:spacing w:val="0"/>
        </w:rPr>
        <w:br/>
      </w:r>
      <w:r w:rsidRPr="00DB1201">
        <w:rPr>
          <w:spacing w:val="0"/>
        </w:rPr>
        <w:t>forward estimates.</w:t>
      </w:r>
    </w:p>
    <w:p w:rsidR="001B613E" w:rsidRDefault="000E0588" w:rsidP="00DF0236">
      <w:pPr>
        <w:pStyle w:val="BodyText17ptAbove"/>
        <w:spacing w:before="120" w:after="120"/>
      </w:pPr>
      <w:r>
        <w:t xml:space="preserve">The </w:t>
      </w:r>
      <w:r w:rsidR="00F52F94">
        <w:t>N</w:t>
      </w:r>
      <w:r w:rsidR="00AB464A" w:rsidRPr="00C20989">
        <w:t>ew South Wales</w:t>
      </w:r>
      <w:r>
        <w:t xml:space="preserve"> Government</w:t>
      </w:r>
      <w:r w:rsidR="00FB2E01">
        <w:t xml:space="preserve"> </w:t>
      </w:r>
      <w:r w:rsidR="00AB464A" w:rsidRPr="00C20989">
        <w:t>is projecting net capital</w:t>
      </w:r>
      <w:r w:rsidR="00C20989" w:rsidRPr="00C20989">
        <w:t xml:space="preserve"> investment to increase from 0.6</w:t>
      </w:r>
      <w:r w:rsidR="00BC4A4C" w:rsidRPr="00C20989">
        <w:t> </w:t>
      </w:r>
      <w:r w:rsidR="00AB464A" w:rsidRPr="00C20989">
        <w:t>per</w:t>
      </w:r>
      <w:r w:rsidR="00BC4A4C" w:rsidRPr="00C20989">
        <w:t> </w:t>
      </w:r>
      <w:r w:rsidR="00AB464A" w:rsidRPr="00C20989">
        <w:t xml:space="preserve">cent of GDP in </w:t>
      </w:r>
      <w:r w:rsidR="00C20989" w:rsidRPr="00C20989">
        <w:t>2018–19</w:t>
      </w:r>
      <w:r w:rsidR="004677DD">
        <w:t>,</w:t>
      </w:r>
      <w:r w:rsidR="00EC27AB">
        <w:t xml:space="preserve"> peaking at</w:t>
      </w:r>
      <w:r w:rsidR="00AB464A" w:rsidRPr="00C20989">
        <w:t xml:space="preserve"> 0.</w:t>
      </w:r>
      <w:r w:rsidR="00C20989" w:rsidRPr="00C20989">
        <w:t>8</w:t>
      </w:r>
      <w:r w:rsidR="00FE04CD" w:rsidRPr="00C20989">
        <w:t> per </w:t>
      </w:r>
      <w:r w:rsidR="00AB464A" w:rsidRPr="00C20989">
        <w:t xml:space="preserve">cent of GDP in </w:t>
      </w:r>
      <w:r w:rsidR="00C20989" w:rsidRPr="00C20989">
        <w:t>2019–20</w:t>
      </w:r>
      <w:r w:rsidR="00EC27AB">
        <w:t>,</w:t>
      </w:r>
      <w:r w:rsidR="00EC27AB" w:rsidRPr="00EC27AB">
        <w:t xml:space="preserve"> </w:t>
      </w:r>
      <w:r w:rsidR="00CE2C09">
        <w:t>$4.1</w:t>
      </w:r>
      <w:r w:rsidR="00EC27AB" w:rsidRPr="00061E1B">
        <w:t xml:space="preserve"> billion higher than previously estimated</w:t>
      </w:r>
      <w:r w:rsidR="00EC27AB">
        <w:t>.</w:t>
      </w:r>
      <w:r w:rsidR="00C20989" w:rsidRPr="00C20989">
        <w:t xml:space="preserve"> </w:t>
      </w:r>
      <w:r w:rsidR="00EC27AB">
        <w:t xml:space="preserve"> </w:t>
      </w:r>
      <w:r w:rsidR="009B16B5">
        <w:t>K</w:t>
      </w:r>
      <w:r w:rsidR="00EC27AB" w:rsidRPr="006621F0">
        <w:t>ey drivers of this increase inclu</w:t>
      </w:r>
      <w:r w:rsidR="00EC27AB" w:rsidRPr="00061E1B">
        <w:t xml:space="preserve">de new spending initiatives resulting from election commitments, the acceleration of </w:t>
      </w:r>
      <w:r w:rsidR="002C6238">
        <w:t xml:space="preserve">existing </w:t>
      </w:r>
      <w:r w:rsidR="00EC27AB" w:rsidRPr="00061E1B">
        <w:t>projects</w:t>
      </w:r>
      <w:r w:rsidR="00EC27AB">
        <w:t xml:space="preserve">, </w:t>
      </w:r>
      <w:r w:rsidR="00EC27AB" w:rsidRPr="00061E1B">
        <w:t xml:space="preserve">and the impact of new accounting standards on capitalising operating leases.  </w:t>
      </w:r>
      <w:r w:rsidR="00EC27AB">
        <w:t>Net capital investment is then projected to decline over the remainder of the forward estimates,</w:t>
      </w:r>
      <w:r w:rsidR="00C20989" w:rsidRPr="00C20989">
        <w:t xml:space="preserve"> to </w:t>
      </w:r>
      <w:r w:rsidR="00C20989">
        <w:t xml:space="preserve">0.3 per cent of GDP by </w:t>
      </w:r>
      <w:r w:rsidR="00C20989" w:rsidRPr="004F7C34">
        <w:t>2022</w:t>
      </w:r>
      <w:r w:rsidR="00C20989" w:rsidRPr="00C20989">
        <w:t>–23</w:t>
      </w:r>
      <w:r w:rsidR="00EC27AB">
        <w:t>, reflecting t</w:t>
      </w:r>
      <w:r w:rsidR="00EC27AB" w:rsidRPr="00061E1B">
        <w:t xml:space="preserve">he </w:t>
      </w:r>
      <w:r w:rsidR="007D35FA">
        <w:t xml:space="preserve">projected </w:t>
      </w:r>
      <w:r w:rsidR="00053355">
        <w:t>completion</w:t>
      </w:r>
      <w:r w:rsidR="00053355" w:rsidRPr="00061E1B">
        <w:t xml:space="preserve"> </w:t>
      </w:r>
      <w:r w:rsidR="00EC27AB" w:rsidRPr="00061E1B">
        <w:t xml:space="preserve">of </w:t>
      </w:r>
      <w:r>
        <w:t xml:space="preserve">current </w:t>
      </w:r>
      <w:r w:rsidR="00EC27AB" w:rsidRPr="00061E1B">
        <w:t>infrastructure projects.</w:t>
      </w:r>
      <w:r w:rsidR="00EC27AB">
        <w:rPr>
          <w:color w:val="C64E45" w:themeColor="accent2"/>
        </w:rPr>
        <w:t xml:space="preserve">  </w:t>
      </w:r>
      <w:r w:rsidR="009B16B5">
        <w:t xml:space="preserve">Overall, 60 per cent of infrastructure investment over the forward estimates will be related to </w:t>
      </w:r>
      <w:r w:rsidR="00C226BC">
        <w:t>transport</w:t>
      </w:r>
      <w:r w:rsidR="004C5178">
        <w:t>,</w:t>
      </w:r>
      <w:r w:rsidR="00C226BC">
        <w:t xml:space="preserve"> including</w:t>
      </w:r>
      <w:r w:rsidR="00EC27AB" w:rsidRPr="00802962">
        <w:t xml:space="preserve"> major road and rail projects</w:t>
      </w:r>
      <w:r w:rsidR="004C5178">
        <w:t xml:space="preserve"> </w:t>
      </w:r>
      <w:r w:rsidR="007D35FA">
        <w:t xml:space="preserve">such as </w:t>
      </w:r>
      <w:proofErr w:type="spellStart"/>
      <w:r w:rsidR="009B16B5">
        <w:t>Westconnex</w:t>
      </w:r>
      <w:proofErr w:type="spellEnd"/>
      <w:r w:rsidR="009B16B5">
        <w:t xml:space="preserve"> and the Pacific Highway upgrade program,</w:t>
      </w:r>
      <w:r w:rsidR="009B16B5" w:rsidRPr="00802962">
        <w:t xml:space="preserve"> </w:t>
      </w:r>
      <w:r w:rsidR="00EC27AB" w:rsidRPr="00802962">
        <w:t xml:space="preserve">Sydney Metro West and the </w:t>
      </w:r>
      <w:r w:rsidR="00EC27AB" w:rsidRPr="006621F0">
        <w:t>North South Metro Rail Link</w:t>
      </w:r>
      <w:r w:rsidR="009B16B5">
        <w:t>.  Other projects include m</w:t>
      </w:r>
      <w:r w:rsidR="00EC27AB" w:rsidRPr="00802962">
        <w:t>ultiple hospital expansions and redevelopments</w:t>
      </w:r>
      <w:r w:rsidR="00EC27AB">
        <w:t>,</w:t>
      </w:r>
      <w:r w:rsidR="00EC27AB" w:rsidRPr="00802962">
        <w:t xml:space="preserve"> and capital works in schools and TAFEs</w:t>
      </w:r>
      <w:r w:rsidR="00EC27AB">
        <w:t xml:space="preserve">. </w:t>
      </w:r>
    </w:p>
    <w:p w:rsidR="00923FCA" w:rsidRPr="00DB1201" w:rsidRDefault="00B625BD" w:rsidP="00443EA9">
      <w:pPr>
        <w:pStyle w:val="BodyText"/>
        <w:tabs>
          <w:tab w:val="left" w:pos="2835"/>
        </w:tabs>
        <w:rPr>
          <w:spacing w:val="-3"/>
        </w:rPr>
      </w:pPr>
      <w:r w:rsidRPr="00DB1201">
        <w:rPr>
          <w:spacing w:val="-3"/>
        </w:rPr>
        <w:lastRenderedPageBreak/>
        <w:t>Victoria is the second</w:t>
      </w:r>
      <w:r w:rsidR="007D35FA" w:rsidRPr="00DB1201">
        <w:rPr>
          <w:spacing w:val="-3"/>
        </w:rPr>
        <w:t>-</w:t>
      </w:r>
      <w:r w:rsidRPr="00DB1201">
        <w:rPr>
          <w:spacing w:val="-3"/>
        </w:rPr>
        <w:t>largest contributor to net capital investment over the forward estimates, with</w:t>
      </w:r>
      <w:r w:rsidR="00C73F13">
        <w:rPr>
          <w:spacing w:val="-3"/>
        </w:rPr>
        <w:br/>
      </w:r>
      <w:r w:rsidRPr="00DB1201">
        <w:rPr>
          <w:spacing w:val="-3"/>
        </w:rPr>
        <w:t>net capital investment peaking at 0.</w:t>
      </w:r>
      <w:r w:rsidR="00CE2C09" w:rsidRPr="00DB1201">
        <w:rPr>
          <w:spacing w:val="-3"/>
        </w:rPr>
        <w:t>2</w:t>
      </w:r>
      <w:r w:rsidRPr="00DB1201">
        <w:rPr>
          <w:spacing w:val="-3"/>
        </w:rPr>
        <w:t> per cent of GDP in 20</w:t>
      </w:r>
      <w:r w:rsidR="00CE2C09" w:rsidRPr="00DB1201">
        <w:rPr>
          <w:spacing w:val="-3"/>
        </w:rPr>
        <w:t>20</w:t>
      </w:r>
      <w:r w:rsidRPr="00DB1201">
        <w:rPr>
          <w:spacing w:val="-3"/>
        </w:rPr>
        <w:t>–2</w:t>
      </w:r>
      <w:r w:rsidR="00CE2C09" w:rsidRPr="00DB1201">
        <w:rPr>
          <w:spacing w:val="-3"/>
        </w:rPr>
        <w:t>1</w:t>
      </w:r>
      <w:r w:rsidR="00EC27AB" w:rsidRPr="00DB1201">
        <w:rPr>
          <w:spacing w:val="-3"/>
        </w:rPr>
        <w:t>, $</w:t>
      </w:r>
      <w:r w:rsidR="00CE2C09" w:rsidRPr="00DB1201">
        <w:rPr>
          <w:spacing w:val="-3"/>
        </w:rPr>
        <w:t>2.6</w:t>
      </w:r>
      <w:r w:rsidR="00EC27AB" w:rsidRPr="00DB1201">
        <w:rPr>
          <w:spacing w:val="-3"/>
        </w:rPr>
        <w:t xml:space="preserve"> billion higher than previously estimated.  The main driver is new infrastructure investments announced in the </w:t>
      </w:r>
      <w:r w:rsidR="004C5178" w:rsidRPr="00DB1201">
        <w:rPr>
          <w:spacing w:val="-3"/>
        </w:rPr>
        <w:t>lead-</w:t>
      </w:r>
      <w:r w:rsidR="00EC27AB" w:rsidRPr="00DB1201">
        <w:rPr>
          <w:spacing w:val="-3"/>
        </w:rPr>
        <w:t>up to</w:t>
      </w:r>
      <w:r w:rsidR="00C961E9" w:rsidRPr="00DB1201">
        <w:rPr>
          <w:spacing w:val="-3"/>
        </w:rPr>
        <w:t xml:space="preserve"> </w:t>
      </w:r>
      <w:r w:rsidR="002C6238" w:rsidRPr="00DB1201">
        <w:rPr>
          <w:spacing w:val="-3"/>
        </w:rPr>
        <w:t xml:space="preserve">the </w:t>
      </w:r>
      <w:r w:rsidR="00C961E9" w:rsidRPr="00DB1201">
        <w:rPr>
          <w:spacing w:val="-3"/>
        </w:rPr>
        <w:t>2018</w:t>
      </w:r>
      <w:r w:rsidR="004C5178" w:rsidRPr="00DB1201">
        <w:rPr>
          <w:spacing w:val="-3"/>
        </w:rPr>
        <w:t> </w:t>
      </w:r>
      <w:r w:rsidR="00C961E9" w:rsidRPr="00DB1201">
        <w:rPr>
          <w:spacing w:val="-3"/>
        </w:rPr>
        <w:t>Victorian state election, including</w:t>
      </w:r>
      <w:r w:rsidR="00EC27AB" w:rsidRPr="00DB1201">
        <w:rPr>
          <w:spacing w:val="-3"/>
        </w:rPr>
        <w:t xml:space="preserve"> three major projects delivered through the Victorian Transport Fund: North East Link</w:t>
      </w:r>
      <w:r w:rsidR="00C961E9" w:rsidRPr="00DB1201">
        <w:rPr>
          <w:spacing w:val="-3"/>
        </w:rPr>
        <w:t>,</w:t>
      </w:r>
      <w:r w:rsidR="00EC27AB" w:rsidRPr="00DB1201">
        <w:rPr>
          <w:spacing w:val="-3"/>
        </w:rPr>
        <w:t xml:space="preserve"> Melbourne Airport Rail</w:t>
      </w:r>
      <w:r w:rsidR="00C961E9" w:rsidRPr="00DB1201">
        <w:rPr>
          <w:spacing w:val="-3"/>
        </w:rPr>
        <w:t xml:space="preserve">, and the removal of </w:t>
      </w:r>
      <w:r w:rsidR="00EC27AB" w:rsidRPr="00DB1201">
        <w:rPr>
          <w:spacing w:val="-3"/>
        </w:rPr>
        <w:t>level crossings.</w:t>
      </w:r>
      <w:r w:rsidR="004C5178" w:rsidRPr="00DB1201">
        <w:rPr>
          <w:spacing w:val="-3"/>
        </w:rPr>
        <w:t xml:space="preserve">  </w:t>
      </w:r>
      <w:r w:rsidR="00B82C40" w:rsidRPr="00DB1201">
        <w:rPr>
          <w:spacing w:val="-3"/>
        </w:rPr>
        <w:t xml:space="preserve"> </w:t>
      </w:r>
      <w:r w:rsidR="00816E71" w:rsidRPr="00DB1201">
        <w:rPr>
          <w:spacing w:val="-3"/>
        </w:rPr>
        <w:t xml:space="preserve">Queensland is also a significant contributor to net capital investment over the forward estimates, with steady growth </w:t>
      </w:r>
      <w:r w:rsidR="00284AF3" w:rsidRPr="00DB1201">
        <w:rPr>
          <w:spacing w:val="-3"/>
        </w:rPr>
        <w:t xml:space="preserve">over </w:t>
      </w:r>
      <w:r w:rsidR="00816E71" w:rsidRPr="00DB1201">
        <w:rPr>
          <w:spacing w:val="-3"/>
        </w:rPr>
        <w:t>most of the forward estimates period before peaking at 0.2 per cent of GDP in 2021–22.</w:t>
      </w:r>
      <w:r w:rsidR="00816E71" w:rsidRPr="00DB1201">
        <w:rPr>
          <w:color w:val="C64E45" w:themeColor="accent2"/>
          <w:spacing w:val="-3"/>
        </w:rPr>
        <w:t xml:space="preserve">  </w:t>
      </w:r>
      <w:r w:rsidR="00816E71" w:rsidRPr="00DB1201">
        <w:rPr>
          <w:spacing w:val="-3"/>
        </w:rPr>
        <w:t>This includes spending on major transport projects, such as the Brisbane Cross River Rail project, and health and education infrastructure.</w:t>
      </w:r>
      <w:r w:rsidR="00F52F94" w:rsidRPr="00DB1201" w:rsidDel="00F52F94">
        <w:rPr>
          <w:spacing w:val="-3"/>
        </w:rPr>
        <w:t xml:space="preserve"> </w:t>
      </w:r>
      <w:r w:rsidR="00923FCA" w:rsidRPr="00DB1201">
        <w:rPr>
          <w:spacing w:val="-3"/>
        </w:rPr>
        <w:t xml:space="preserve"> </w:t>
      </w:r>
    </w:p>
    <w:p w:rsidR="00E9478C" w:rsidRDefault="00E9478C" w:rsidP="00DF0236">
      <w:pPr>
        <w:pStyle w:val="Heading4"/>
      </w:pPr>
      <w:r>
        <w:t>Investment in new infrastructure</w:t>
      </w:r>
    </w:p>
    <w:p w:rsidR="00E9478C" w:rsidRDefault="00E9478C" w:rsidP="00DF0236">
      <w:pPr>
        <w:pStyle w:val="BodyText"/>
        <w:spacing w:after="120"/>
      </w:pPr>
      <w:r>
        <w:t>An interesting way of looking at investment data is to examine the funding sources for new projects.</w:t>
      </w:r>
      <w:r>
        <w:rPr>
          <w:rStyle w:val="FootnoteReference"/>
        </w:rPr>
        <w:footnoteReference w:id="15"/>
      </w:r>
      <w:r>
        <w:t xml:space="preserve">  Some of this new investment is funded by the Commonwealth through either capital grants to the states (such as for specific road projects), GST revenue (which can be used by the states for capital expenditure), or through financing assistance to the states for capital projects.</w:t>
      </w:r>
      <w:r>
        <w:rPr>
          <w:rStyle w:val="FootnoteReference"/>
        </w:rPr>
        <w:footnoteReference w:id="16"/>
      </w:r>
    </w:p>
    <w:p w:rsidR="00E9478C" w:rsidRPr="00DB1201" w:rsidRDefault="00E9478C" w:rsidP="00E9478C">
      <w:pPr>
        <w:pStyle w:val="BodyText17ptAbove"/>
        <w:spacing w:before="120" w:after="240"/>
        <w:rPr>
          <w:spacing w:val="-3"/>
        </w:rPr>
      </w:pPr>
      <w:r w:rsidRPr="00DB1201">
        <w:rPr>
          <w:spacing w:val="-3"/>
        </w:rPr>
        <w:t>Direct state capital investment is expected to continue at elevated levels over the forward estimates (Figure 2–1</w:t>
      </w:r>
      <w:r w:rsidR="005746FD" w:rsidRPr="00DB1201">
        <w:rPr>
          <w:spacing w:val="-3"/>
        </w:rPr>
        <w:t>6</w:t>
      </w:r>
      <w:r w:rsidRPr="00DB1201">
        <w:rPr>
          <w:spacing w:val="-3"/>
        </w:rPr>
        <w:t>).  Direct state expenditure is projected to reach 2.1 per cent of GDP in 2019–20 and</w:t>
      </w:r>
      <w:r w:rsidR="004C5178" w:rsidRPr="00DB1201">
        <w:rPr>
          <w:spacing w:val="-3"/>
        </w:rPr>
        <w:t>,</w:t>
      </w:r>
      <w:r w:rsidRPr="00DB1201">
        <w:rPr>
          <w:spacing w:val="-3"/>
        </w:rPr>
        <w:t xml:space="preserve"> while trending down, will remain relatively high at 1.3 per cent of GDP in 2022–23.  Commonwealth capital grants are projected to remain steady at around 0.4 per cent of GDP over the forward estimates.</w:t>
      </w:r>
    </w:p>
    <w:p w:rsidR="00E9478C" w:rsidRPr="009E7AF0" w:rsidRDefault="00E9478C" w:rsidP="00E9478C">
      <w:pPr>
        <w:pStyle w:val="Caption"/>
      </w:pPr>
      <w:r w:rsidRPr="009E7AF0">
        <w:t xml:space="preserve">Figure </w:t>
      </w:r>
      <w:r>
        <w:t>2</w:t>
      </w:r>
      <w:r w:rsidRPr="009E7AF0">
        <w:t>–</w:t>
      </w:r>
      <w:r>
        <w:t>1</w:t>
      </w:r>
      <w:r w:rsidR="005746FD">
        <w:t>6</w:t>
      </w:r>
      <w:r w:rsidRPr="009E7AF0">
        <w:t xml:space="preserve">: </w:t>
      </w:r>
      <w:r>
        <w:t>State and local government new infrastructure investment by source of funds</w:t>
      </w:r>
    </w:p>
    <w:p w:rsidR="00E9478C" w:rsidRDefault="00E9478C" w:rsidP="00E9478C">
      <w:pPr>
        <w:pStyle w:val="BodyText"/>
        <w:jc w:val="center"/>
        <w:rPr>
          <w:color w:val="FF0000"/>
        </w:rPr>
      </w:pPr>
      <w:r>
        <w:rPr>
          <w:noProof/>
          <w:color w:val="FF0000"/>
          <w:lang w:eastAsia="en-AU"/>
        </w:rPr>
        <w:drawing>
          <wp:inline distT="0" distB="0" distL="0" distR="0" wp14:anchorId="2AD2751F" wp14:editId="66E3E9C5">
            <wp:extent cx="5184000" cy="31941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184000" cy="3194181"/>
                    </a:xfrm>
                    <a:prstGeom prst="rect">
                      <a:avLst/>
                    </a:prstGeom>
                    <a:noFill/>
                  </pic:spPr>
                </pic:pic>
              </a:graphicData>
            </a:graphic>
          </wp:inline>
        </w:drawing>
      </w:r>
    </w:p>
    <w:p w:rsidR="00E9478C" w:rsidRDefault="00E9478C" w:rsidP="00DB1201">
      <w:pPr>
        <w:pStyle w:val="BodyText"/>
        <w:spacing w:before="0" w:after="120" w:line="20" w:lineRule="atLeast"/>
        <w:ind w:left="851"/>
        <w:contextualSpacing/>
        <w:rPr>
          <w:color w:val="788184"/>
          <w:sz w:val="18"/>
          <w:szCs w:val="14"/>
        </w:rPr>
      </w:pPr>
      <w:r w:rsidRPr="00CE4914">
        <w:rPr>
          <w:color w:val="788184"/>
          <w:sz w:val="18"/>
          <w:szCs w:val="14"/>
        </w:rPr>
        <w:t xml:space="preserve">Note: </w:t>
      </w:r>
      <w:r>
        <w:rPr>
          <w:color w:val="788184"/>
          <w:sz w:val="18"/>
          <w:szCs w:val="14"/>
        </w:rPr>
        <w:t xml:space="preserve">Shows gross fixed capital formation.  </w:t>
      </w:r>
      <w:r w:rsidRPr="00CE4914">
        <w:rPr>
          <w:color w:val="788184"/>
          <w:sz w:val="18"/>
          <w:szCs w:val="14"/>
        </w:rPr>
        <w:t>The states component includes a small amount of local</w:t>
      </w:r>
      <w:r w:rsidR="00C73F13">
        <w:rPr>
          <w:color w:val="788184"/>
          <w:sz w:val="18"/>
          <w:szCs w:val="14"/>
        </w:rPr>
        <w:br/>
      </w:r>
      <w:r w:rsidRPr="00CE4914">
        <w:rPr>
          <w:color w:val="788184"/>
          <w:sz w:val="18"/>
          <w:szCs w:val="14"/>
        </w:rPr>
        <w:t>government direct expenditure.</w:t>
      </w:r>
      <w:r>
        <w:rPr>
          <w:color w:val="788184"/>
          <w:sz w:val="18"/>
          <w:szCs w:val="14"/>
        </w:rPr>
        <w:t xml:space="preserve">  </w:t>
      </w:r>
      <w:r w:rsidRPr="00C0120A">
        <w:rPr>
          <w:color w:val="788184"/>
          <w:sz w:val="18"/>
          <w:szCs w:val="14"/>
        </w:rPr>
        <w:t xml:space="preserve">From 2018–19, </w:t>
      </w:r>
      <w:r w:rsidR="004C5178">
        <w:rPr>
          <w:color w:val="788184"/>
          <w:sz w:val="18"/>
          <w:szCs w:val="14"/>
        </w:rPr>
        <w:t xml:space="preserve">the </w:t>
      </w:r>
      <w:r w:rsidRPr="00C0120A">
        <w:rPr>
          <w:color w:val="788184"/>
          <w:sz w:val="18"/>
          <w:szCs w:val="14"/>
        </w:rPr>
        <w:t>Commonwealth grants component includes all</w:t>
      </w:r>
      <w:r w:rsidR="00C73F13">
        <w:rPr>
          <w:color w:val="788184"/>
          <w:sz w:val="18"/>
          <w:szCs w:val="14"/>
        </w:rPr>
        <w:br/>
      </w:r>
      <w:r w:rsidRPr="00C0120A">
        <w:rPr>
          <w:color w:val="788184"/>
          <w:sz w:val="18"/>
          <w:szCs w:val="14"/>
        </w:rPr>
        <w:t>capital grants to states readily identifiable in Commonwealth Budget Paper No.3.</w:t>
      </w:r>
      <w:r>
        <w:rPr>
          <w:color w:val="788184"/>
          <w:sz w:val="18"/>
          <w:szCs w:val="14"/>
        </w:rPr>
        <w:t xml:space="preserve"> </w:t>
      </w:r>
    </w:p>
    <w:p w:rsidR="00E9478C" w:rsidRPr="00443EA9" w:rsidRDefault="00E9478C" w:rsidP="00DB1201">
      <w:pPr>
        <w:pStyle w:val="BodyText"/>
        <w:spacing w:line="20" w:lineRule="atLeast"/>
        <w:ind w:left="851"/>
        <w:contextualSpacing/>
        <w:rPr>
          <w:color w:val="788184"/>
          <w:sz w:val="18"/>
          <w:szCs w:val="14"/>
        </w:rPr>
      </w:pPr>
      <w:r w:rsidRPr="00443EA9">
        <w:rPr>
          <w:color w:val="788184"/>
          <w:sz w:val="18"/>
          <w:szCs w:val="14"/>
        </w:rPr>
        <w:t>Source: ABS, state budget papers</w:t>
      </w:r>
      <w:r w:rsidR="00F54CB8">
        <w:rPr>
          <w:color w:val="788184"/>
          <w:sz w:val="18"/>
          <w:szCs w:val="14"/>
        </w:rPr>
        <w:t xml:space="preserve"> and</w:t>
      </w:r>
      <w:r w:rsidRPr="00443EA9">
        <w:rPr>
          <w:color w:val="788184"/>
          <w:sz w:val="18"/>
          <w:szCs w:val="14"/>
        </w:rPr>
        <w:t xml:space="preserve"> PBO analysis.</w:t>
      </w:r>
    </w:p>
    <w:p w:rsidR="00E9478C" w:rsidRDefault="00E9478C" w:rsidP="00DF0236">
      <w:pPr>
        <w:pStyle w:val="Heading4"/>
      </w:pPr>
      <w:r>
        <w:lastRenderedPageBreak/>
        <w:t>Investment by government-owned corporations</w:t>
      </w:r>
    </w:p>
    <w:p w:rsidR="00E446EF" w:rsidRDefault="00816E71" w:rsidP="00443EA9">
      <w:pPr>
        <w:pStyle w:val="BodyText"/>
        <w:tabs>
          <w:tab w:val="left" w:pos="2835"/>
        </w:tabs>
      </w:pPr>
      <w:r>
        <w:t>More broadly, state</w:t>
      </w:r>
      <w:r w:rsidR="004F41B8">
        <w:t xml:space="preserve"> government</w:t>
      </w:r>
      <w:r>
        <w:t xml:space="preserve">-owned corporations play a </w:t>
      </w:r>
      <w:r w:rsidR="00E5107C">
        <w:t xml:space="preserve">large </w:t>
      </w:r>
      <w:r>
        <w:t xml:space="preserve">role in undertaking net capital investment </w:t>
      </w:r>
      <w:r w:rsidR="00A07BF3">
        <w:t>in some states</w:t>
      </w:r>
      <w:r w:rsidR="006456D3">
        <w:t>.  This means</w:t>
      </w:r>
      <w:r w:rsidR="00C75C9C">
        <w:t xml:space="preserve"> that </w:t>
      </w:r>
      <w:r w:rsidR="006456D3">
        <w:t xml:space="preserve">projected average </w:t>
      </w:r>
      <w:r w:rsidR="00521063">
        <w:t xml:space="preserve">annual </w:t>
      </w:r>
      <w:r w:rsidR="00C75C9C">
        <w:t>state net capital investment</w:t>
      </w:r>
      <w:r w:rsidR="00521063">
        <w:t xml:space="preserve"> over the forward estimates</w:t>
      </w:r>
      <w:r w:rsidR="00C75C9C">
        <w:t xml:space="preserve"> </w:t>
      </w:r>
      <w:r w:rsidR="006456D3">
        <w:t xml:space="preserve">is around </w:t>
      </w:r>
      <w:r w:rsidR="006456D3" w:rsidRPr="00067D32">
        <w:t>0.4 per cent higher</w:t>
      </w:r>
      <w:r w:rsidR="006456D3">
        <w:t xml:space="preserve"> as a share of GDP once government-owned corporations are included</w:t>
      </w:r>
      <w:r w:rsidR="00A07BF3">
        <w:t xml:space="preserve">.  </w:t>
      </w:r>
      <w:r w:rsidR="006456D3">
        <w:t>O</w:t>
      </w:r>
      <w:r w:rsidR="004C5178">
        <w:t xml:space="preserve">n average over the forward estimates period </w:t>
      </w:r>
      <w:r w:rsidR="00A07BF3">
        <w:t xml:space="preserve">nearly 60 per cent of </w:t>
      </w:r>
      <w:r>
        <w:t xml:space="preserve">the </w:t>
      </w:r>
      <w:r w:rsidR="00E5107C">
        <w:t xml:space="preserve">projected </w:t>
      </w:r>
      <w:r>
        <w:t xml:space="preserve">net capital investment </w:t>
      </w:r>
      <w:r w:rsidR="004C5178">
        <w:t xml:space="preserve">by </w:t>
      </w:r>
      <w:r w:rsidR="00A07BF3">
        <w:t xml:space="preserve">the Victorian </w:t>
      </w:r>
      <w:r w:rsidR="004075EE">
        <w:t xml:space="preserve">and Tasmanian </w:t>
      </w:r>
      <w:r w:rsidR="00A07BF3">
        <w:t>public sector</w:t>
      </w:r>
      <w:r w:rsidR="004C5178">
        <w:t>s</w:t>
      </w:r>
      <w:r w:rsidR="00A07BF3">
        <w:t xml:space="preserve"> </w:t>
      </w:r>
      <w:r w:rsidR="00E5107C">
        <w:t xml:space="preserve">will be undertaken by </w:t>
      </w:r>
      <w:r w:rsidR="004F41B8">
        <w:t>government</w:t>
      </w:r>
      <w:r w:rsidR="00E5107C">
        <w:noBreakHyphen/>
        <w:t>owned corporations</w:t>
      </w:r>
      <w:r w:rsidR="00ED2266">
        <w:t xml:space="preserve">, while </w:t>
      </w:r>
      <w:r w:rsidR="00C55893">
        <w:t>a much higher proportion of</w:t>
      </w:r>
      <w:r w:rsidR="00ED2266">
        <w:t xml:space="preserve"> investment will be undertaken by the general government sector in the other </w:t>
      </w:r>
      <w:r w:rsidR="00ED2266" w:rsidRPr="005746FD">
        <w:t>states</w:t>
      </w:r>
      <w:r w:rsidR="004075EE" w:rsidRPr="005746FD">
        <w:t xml:space="preserve"> (Figure 2</w:t>
      </w:r>
      <w:r w:rsidR="00581BA8" w:rsidRPr="00DF0236">
        <w:t>–</w:t>
      </w:r>
      <w:r w:rsidR="005746FD">
        <w:t>17</w:t>
      </w:r>
      <w:r w:rsidR="004075EE" w:rsidRPr="00DF0236">
        <w:t>)</w:t>
      </w:r>
      <w:r w:rsidRPr="005746FD">
        <w:t>.</w:t>
      </w:r>
      <w:r w:rsidR="00A07BF3" w:rsidRPr="005746FD">
        <w:t xml:space="preserve">  </w:t>
      </w:r>
      <w:r w:rsidR="004A0CA5" w:rsidRPr="005746FD">
        <w:t>The</w:t>
      </w:r>
      <w:r w:rsidR="004A0CA5">
        <w:t xml:space="preserve"> investment in Victoria and Tasmania</w:t>
      </w:r>
      <w:r w:rsidR="004A0CA5" w:rsidRPr="004075EE">
        <w:t xml:space="preserve"> is the result of transport, water and </w:t>
      </w:r>
      <w:r w:rsidR="002F46DD" w:rsidRPr="004075EE">
        <w:t>sewer</w:t>
      </w:r>
      <w:r w:rsidR="002F46DD">
        <w:t>-</w:t>
      </w:r>
      <w:r w:rsidR="004A0CA5" w:rsidRPr="004075EE">
        <w:t>related infrastructure projects.</w:t>
      </w:r>
      <w:r w:rsidR="004A0CA5">
        <w:t xml:space="preserve">  </w:t>
      </w:r>
    </w:p>
    <w:p w:rsidR="004075EE" w:rsidRDefault="00E36D9C" w:rsidP="00DF0236">
      <w:pPr>
        <w:pStyle w:val="BodyText"/>
        <w:tabs>
          <w:tab w:val="left" w:pos="2835"/>
        </w:tabs>
        <w:spacing w:after="240"/>
      </w:pPr>
      <w:r>
        <w:t>Differences in the shares of investment undertaken by government</w:t>
      </w:r>
      <w:r>
        <w:noBreakHyphen/>
        <w:t>owned corporations</w:t>
      </w:r>
      <w:r w:rsidR="00114508">
        <w:t xml:space="preserve"> partly </w:t>
      </w:r>
      <w:r w:rsidR="004A0CA5">
        <w:t>reflect differences in</w:t>
      </w:r>
      <w:r w:rsidR="00ED2266">
        <w:t xml:space="preserve"> </w:t>
      </w:r>
      <w:r w:rsidR="00114508">
        <w:t xml:space="preserve">the investment structures </w:t>
      </w:r>
      <w:r w:rsidR="004A0CA5">
        <w:t>chosen by states</w:t>
      </w:r>
      <w:r w:rsidR="00ED2266">
        <w:t xml:space="preserve">.  For example, while </w:t>
      </w:r>
      <w:r w:rsidR="00114508">
        <w:t>wate</w:t>
      </w:r>
      <w:r w:rsidR="004F41B8">
        <w:t>r utilities are generally government</w:t>
      </w:r>
      <w:r w:rsidR="004A0CA5">
        <w:noBreakHyphen/>
      </w:r>
      <w:r w:rsidR="00114508">
        <w:t xml:space="preserve">owned corporations, </w:t>
      </w:r>
      <w:r w:rsidR="004A0CA5">
        <w:t xml:space="preserve">the governance arrangements </w:t>
      </w:r>
      <w:r w:rsidR="00E446EF">
        <w:t xml:space="preserve">that </w:t>
      </w:r>
      <w:r w:rsidR="004A0CA5">
        <w:t>states choose for delivering major transport projects vary by project and include independent authorities within the gen</w:t>
      </w:r>
      <w:r w:rsidR="004F41B8">
        <w:t>eral government sector and government</w:t>
      </w:r>
      <w:r w:rsidR="004A0CA5">
        <w:noBreakHyphen/>
        <w:t>owned corporations</w:t>
      </w:r>
      <w:r w:rsidR="00C55893">
        <w:t xml:space="preserve"> which are outside the general government sector</w:t>
      </w:r>
      <w:r w:rsidR="00114508">
        <w:t xml:space="preserve">.  </w:t>
      </w:r>
    </w:p>
    <w:p w:rsidR="004075EE" w:rsidRPr="00DF0236" w:rsidRDefault="004075EE" w:rsidP="004075EE">
      <w:pPr>
        <w:keepNext/>
        <w:spacing w:before="40" w:after="40" w:line="240" w:lineRule="auto"/>
        <w:jc w:val="center"/>
        <w:rPr>
          <w:bCs/>
          <w:color w:val="3D4D7D" w:themeColor="background2"/>
          <w:sz w:val="20"/>
          <w:szCs w:val="20"/>
        </w:rPr>
      </w:pPr>
      <w:r w:rsidRPr="004075EE">
        <w:rPr>
          <w:b/>
          <w:bCs/>
          <w:color w:val="3D4D7D" w:themeColor="background2"/>
        </w:rPr>
        <w:t>Figure 2–</w:t>
      </w:r>
      <w:r w:rsidR="00D377B7" w:rsidRPr="004075EE">
        <w:rPr>
          <w:b/>
          <w:bCs/>
          <w:color w:val="3D4D7D" w:themeColor="background2"/>
        </w:rPr>
        <w:t>1</w:t>
      </w:r>
      <w:r w:rsidR="005746FD">
        <w:rPr>
          <w:b/>
          <w:bCs/>
          <w:color w:val="3D4D7D" w:themeColor="background2"/>
        </w:rPr>
        <w:t>7</w:t>
      </w:r>
      <w:r w:rsidRPr="004075EE">
        <w:rPr>
          <w:b/>
          <w:bCs/>
          <w:color w:val="3D4D7D" w:themeColor="background2"/>
        </w:rPr>
        <w:t xml:space="preserve">: </w:t>
      </w:r>
      <w:r w:rsidR="00D377B7">
        <w:rPr>
          <w:b/>
          <w:bCs/>
          <w:color w:val="3D4D7D" w:themeColor="background2"/>
        </w:rPr>
        <w:t>Annual</w:t>
      </w:r>
      <w:r w:rsidRPr="004075EE">
        <w:rPr>
          <w:b/>
          <w:bCs/>
          <w:color w:val="3D4D7D" w:themeColor="background2"/>
        </w:rPr>
        <w:t xml:space="preserve"> state net capital investment by general government </w:t>
      </w:r>
      <w:r>
        <w:rPr>
          <w:b/>
          <w:bCs/>
          <w:color w:val="3D4D7D" w:themeColor="background2"/>
        </w:rPr>
        <w:br/>
      </w:r>
      <w:r w:rsidRPr="004075EE">
        <w:rPr>
          <w:b/>
          <w:bCs/>
          <w:color w:val="3D4D7D" w:themeColor="background2"/>
        </w:rPr>
        <w:t xml:space="preserve">and government-owned corporations </w:t>
      </w:r>
      <w:r w:rsidRPr="004075EE">
        <w:rPr>
          <w:b/>
          <w:bCs/>
          <w:color w:val="3D4D7D" w:themeColor="background2"/>
        </w:rPr>
        <w:br/>
      </w:r>
      <w:r w:rsidRPr="00DF0236">
        <w:rPr>
          <w:bCs/>
          <w:color w:val="3D4D7D" w:themeColor="background2"/>
          <w:sz w:val="20"/>
          <w:szCs w:val="20"/>
        </w:rPr>
        <w:t>Average over the period 2018</w:t>
      </w:r>
      <w:r w:rsidR="00581BA8" w:rsidRPr="00DF0236">
        <w:rPr>
          <w:bCs/>
          <w:color w:val="3D4D7D" w:themeColor="background2"/>
          <w:sz w:val="20"/>
          <w:szCs w:val="20"/>
        </w:rPr>
        <w:t>–</w:t>
      </w:r>
      <w:r w:rsidRPr="00DF0236">
        <w:rPr>
          <w:bCs/>
          <w:color w:val="3D4D7D" w:themeColor="background2"/>
          <w:sz w:val="20"/>
          <w:szCs w:val="20"/>
        </w:rPr>
        <w:t>19 to 2022</w:t>
      </w:r>
      <w:r w:rsidR="00581BA8" w:rsidRPr="00DF0236">
        <w:rPr>
          <w:bCs/>
          <w:color w:val="3D4D7D" w:themeColor="background2"/>
          <w:sz w:val="20"/>
          <w:szCs w:val="20"/>
        </w:rPr>
        <w:t>–</w:t>
      </w:r>
      <w:r w:rsidRPr="00DF0236">
        <w:rPr>
          <w:bCs/>
          <w:color w:val="3D4D7D" w:themeColor="background2"/>
          <w:sz w:val="20"/>
          <w:szCs w:val="20"/>
        </w:rPr>
        <w:t>23</w:t>
      </w:r>
    </w:p>
    <w:p w:rsidR="004075EE" w:rsidRPr="004075EE" w:rsidRDefault="00D377B7" w:rsidP="004075EE">
      <w:pPr>
        <w:tabs>
          <w:tab w:val="left" w:pos="2835"/>
        </w:tabs>
        <w:spacing w:before="120"/>
        <w:jc w:val="center"/>
        <w:rPr>
          <w:rFonts w:cs="Times New Roman"/>
        </w:rPr>
      </w:pPr>
      <w:r>
        <w:rPr>
          <w:rFonts w:cs="Times New Roman"/>
          <w:noProof/>
          <w:lang w:eastAsia="en-AU"/>
        </w:rPr>
        <w:drawing>
          <wp:inline distT="0" distB="0" distL="0" distR="0" wp14:anchorId="4B3F76CF" wp14:editId="5CBDCECB">
            <wp:extent cx="5184000" cy="32689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5184000" cy="3268987"/>
                    </a:xfrm>
                    <a:prstGeom prst="rect">
                      <a:avLst/>
                    </a:prstGeom>
                    <a:noFill/>
                  </pic:spPr>
                </pic:pic>
              </a:graphicData>
            </a:graphic>
          </wp:inline>
        </w:drawing>
      </w:r>
    </w:p>
    <w:p w:rsidR="004075EE" w:rsidRPr="004075EE" w:rsidRDefault="004075EE" w:rsidP="00DB1201">
      <w:pPr>
        <w:spacing w:before="120" w:line="20" w:lineRule="atLeast"/>
        <w:ind w:left="851"/>
        <w:contextualSpacing/>
        <w:rPr>
          <w:rFonts w:cs="Times New Roman"/>
          <w:color w:val="788184"/>
          <w:sz w:val="18"/>
          <w:szCs w:val="14"/>
        </w:rPr>
      </w:pPr>
      <w:r w:rsidRPr="004075EE">
        <w:rPr>
          <w:rFonts w:cs="Times New Roman"/>
          <w:color w:val="788184"/>
          <w:sz w:val="18"/>
          <w:szCs w:val="14"/>
        </w:rPr>
        <w:t>Source: State budget papers and PBO analysis.</w:t>
      </w:r>
    </w:p>
    <w:p w:rsidR="00D174C9" w:rsidRDefault="00FE6BD5" w:rsidP="009D1224">
      <w:pPr>
        <w:pStyle w:val="Heading3"/>
      </w:pPr>
      <w:r>
        <w:t>Trends in state n</w:t>
      </w:r>
      <w:r w:rsidR="00D174C9">
        <w:t>et debt</w:t>
      </w:r>
    </w:p>
    <w:p w:rsidR="00DC70C4" w:rsidRDefault="00F317A6" w:rsidP="00DC70C4">
      <w:pPr>
        <w:pStyle w:val="BodyText"/>
      </w:pPr>
      <w:r>
        <w:t xml:space="preserve">The small </w:t>
      </w:r>
      <w:r w:rsidR="00DC70C4">
        <w:t>operating surpluses</w:t>
      </w:r>
      <w:r>
        <w:t xml:space="preserve"> expected in most states </w:t>
      </w:r>
      <w:r w:rsidR="00DC70C4">
        <w:t xml:space="preserve">are insufficient to fund the strong level of investment the states plan to undertake over the forward estimates.  States </w:t>
      </w:r>
      <w:r w:rsidR="002E0A3D">
        <w:t xml:space="preserve">will need to </w:t>
      </w:r>
      <w:r w:rsidR="00DC70C4">
        <w:t>sell assets</w:t>
      </w:r>
      <w:r w:rsidR="00DA58FD">
        <w:br/>
      </w:r>
      <w:r w:rsidR="00DC70C4">
        <w:t xml:space="preserve">or borrow to fund </w:t>
      </w:r>
      <w:r w:rsidR="002E0A3D">
        <w:t xml:space="preserve">their planned </w:t>
      </w:r>
      <w:r w:rsidR="00DC70C4">
        <w:t>investment, with a consequent</w:t>
      </w:r>
      <w:r w:rsidR="00DC70C4" w:rsidRPr="00F14342">
        <w:t xml:space="preserve"> impact on their net debt position</w:t>
      </w:r>
      <w:r w:rsidR="00DC70C4">
        <w:t>s.</w:t>
      </w:r>
    </w:p>
    <w:p w:rsidR="00B82C40" w:rsidRDefault="00DC70C4" w:rsidP="00443EA9">
      <w:pPr>
        <w:pStyle w:val="BodyText"/>
        <w:spacing w:after="240"/>
      </w:pPr>
      <w:r>
        <w:t xml:space="preserve">The aggregate net debt of the states </w:t>
      </w:r>
      <w:r w:rsidR="00FB2E01">
        <w:t xml:space="preserve">is projected to rise from </w:t>
      </w:r>
      <w:r>
        <w:t xml:space="preserve">around </w:t>
      </w:r>
      <w:r w:rsidR="002B1372">
        <w:t>10 per cent</w:t>
      </w:r>
      <w:r>
        <w:t xml:space="preserve"> of </w:t>
      </w:r>
      <w:r w:rsidR="003859E0">
        <w:t>national</w:t>
      </w:r>
      <w:r>
        <w:t xml:space="preserve"> net</w:t>
      </w:r>
      <w:r w:rsidR="00DA58FD">
        <w:br/>
      </w:r>
      <w:r>
        <w:t xml:space="preserve">debt in </w:t>
      </w:r>
      <w:r w:rsidR="00B02CE3" w:rsidRPr="00C20989">
        <w:t>2018–19</w:t>
      </w:r>
      <w:r w:rsidR="007D389A">
        <w:t xml:space="preserve"> to over a third of national net debt by 2022</w:t>
      </w:r>
      <w:r w:rsidR="00581BA8">
        <w:t>–</w:t>
      </w:r>
      <w:r w:rsidR="007D389A">
        <w:t>23</w:t>
      </w:r>
      <w:r w:rsidR="00371AE0">
        <w:t xml:space="preserve">.  Over </w:t>
      </w:r>
      <w:r w:rsidR="004C5178">
        <w:t xml:space="preserve">this </w:t>
      </w:r>
      <w:r w:rsidR="00371AE0">
        <w:t>period,</w:t>
      </w:r>
      <w:r w:rsidR="007D389A">
        <w:t xml:space="preserve"> state net debt </w:t>
      </w:r>
      <w:r w:rsidR="00F23AB0">
        <w:t xml:space="preserve">is projected to </w:t>
      </w:r>
      <w:r w:rsidRPr="007872AD">
        <w:t xml:space="preserve">increase sharply </w:t>
      </w:r>
      <w:r w:rsidR="00687B50">
        <w:t xml:space="preserve">while Commonwealth net debt </w:t>
      </w:r>
      <w:r w:rsidR="00E5107C">
        <w:t xml:space="preserve">is projected to </w:t>
      </w:r>
      <w:r w:rsidR="00687B50">
        <w:t>decline.  Aggregate state net debt is projected to</w:t>
      </w:r>
      <w:r w:rsidR="00B02CE3">
        <w:t xml:space="preserve"> ris</w:t>
      </w:r>
      <w:r w:rsidR="00687B50">
        <w:t>e</w:t>
      </w:r>
      <w:r w:rsidR="00B02CE3">
        <w:t xml:space="preserve"> from 2.</w:t>
      </w:r>
      <w:r w:rsidR="002B1372">
        <w:t>4</w:t>
      </w:r>
      <w:r w:rsidR="00D35499">
        <w:t> </w:t>
      </w:r>
      <w:r>
        <w:t>per</w:t>
      </w:r>
      <w:r w:rsidR="00D35499">
        <w:t> </w:t>
      </w:r>
      <w:r>
        <w:t xml:space="preserve">cent of GDP </w:t>
      </w:r>
      <w:r w:rsidR="006C220A">
        <w:t>($</w:t>
      </w:r>
      <w:r w:rsidR="009045FA">
        <w:t>45</w:t>
      </w:r>
      <w:r w:rsidR="006C220A">
        <w:t>.</w:t>
      </w:r>
      <w:r w:rsidR="009045FA">
        <w:t>7</w:t>
      </w:r>
      <w:r w:rsidR="006C220A">
        <w:t xml:space="preserve"> billion) </w:t>
      </w:r>
      <w:r>
        <w:t>in</w:t>
      </w:r>
      <w:r w:rsidR="003859E0">
        <w:t xml:space="preserve"> </w:t>
      </w:r>
      <w:r w:rsidR="00B02CE3" w:rsidRPr="00C20989">
        <w:t>2018–19</w:t>
      </w:r>
      <w:r w:rsidR="00B02CE3">
        <w:t xml:space="preserve"> </w:t>
      </w:r>
      <w:r>
        <w:t xml:space="preserve">to </w:t>
      </w:r>
      <w:r w:rsidR="00AB0FA3">
        <w:t>6.9</w:t>
      </w:r>
      <w:r w:rsidR="00D35499">
        <w:t> </w:t>
      </w:r>
      <w:r>
        <w:t>per</w:t>
      </w:r>
      <w:r w:rsidR="00D35499">
        <w:t> </w:t>
      </w:r>
      <w:r>
        <w:t>cen</w:t>
      </w:r>
      <w:r w:rsidR="00F474BA">
        <w:t xml:space="preserve">t of GDP </w:t>
      </w:r>
      <w:r w:rsidR="006C220A">
        <w:t>($</w:t>
      </w:r>
      <w:r w:rsidR="009045FA">
        <w:t>156</w:t>
      </w:r>
      <w:r w:rsidR="006C220A">
        <w:t>.</w:t>
      </w:r>
      <w:r w:rsidR="009045FA">
        <w:t>4</w:t>
      </w:r>
      <w:r w:rsidR="006C220A">
        <w:t xml:space="preserve"> billion) </w:t>
      </w:r>
      <w:r w:rsidR="00F474BA">
        <w:t xml:space="preserve">in </w:t>
      </w:r>
      <w:r w:rsidR="00B02CE3" w:rsidRPr="004F7C34">
        <w:t>2022</w:t>
      </w:r>
      <w:r w:rsidR="00B02CE3" w:rsidRPr="00C20989">
        <w:t>–23</w:t>
      </w:r>
      <w:r w:rsidR="00B02CE3">
        <w:t xml:space="preserve"> </w:t>
      </w:r>
      <w:r w:rsidR="00F474BA">
        <w:t>(</w:t>
      </w:r>
      <w:r w:rsidR="00E4377A">
        <w:fldChar w:fldCharType="begin"/>
      </w:r>
      <w:r w:rsidR="00E4377A">
        <w:instrText xml:space="preserve"> REF _Ref530739010 \h </w:instrText>
      </w:r>
      <w:r w:rsidR="009B3215">
        <w:instrText xml:space="preserve"> \* MERGEFORMAT </w:instrText>
      </w:r>
      <w:r w:rsidR="00E4377A">
        <w:fldChar w:fldCharType="separate"/>
      </w:r>
      <w:r w:rsidR="0070188F" w:rsidRPr="00DB1201">
        <w:t xml:space="preserve">Figure </w:t>
      </w:r>
      <w:r w:rsidR="0070188F" w:rsidRPr="00DB1201">
        <w:rPr>
          <w:bCs/>
          <w:noProof/>
        </w:rPr>
        <w:t>2</w:t>
      </w:r>
      <w:r w:rsidR="0070188F" w:rsidRPr="00233853">
        <w:t>–</w:t>
      </w:r>
      <w:r w:rsidR="00E4377A">
        <w:fldChar w:fldCharType="end"/>
      </w:r>
      <w:r w:rsidR="005746FD">
        <w:t>18</w:t>
      </w:r>
      <w:r>
        <w:t>)</w:t>
      </w:r>
      <w:r w:rsidR="00371AE0">
        <w:t>—its highest level in over two decades</w:t>
      </w:r>
      <w:r>
        <w:t xml:space="preserve">.  </w:t>
      </w:r>
    </w:p>
    <w:p w:rsidR="00C01839" w:rsidRDefault="00C01839" w:rsidP="00C01839">
      <w:pPr>
        <w:pStyle w:val="Caption"/>
      </w:pPr>
      <w:r w:rsidRPr="00233853">
        <w:lastRenderedPageBreak/>
        <w:t xml:space="preserve">Figure </w:t>
      </w:r>
      <w:r w:rsidR="00017BCC">
        <w:fldChar w:fldCharType="begin"/>
      </w:r>
      <w:r w:rsidR="00017BCC">
        <w:instrText xml:space="preserve"> STYLEREF 1 \s </w:instrText>
      </w:r>
      <w:r w:rsidR="00017BCC">
        <w:fldChar w:fldCharType="separate"/>
      </w:r>
      <w:r w:rsidR="0070188F">
        <w:rPr>
          <w:noProof/>
        </w:rPr>
        <w:t>2</w:t>
      </w:r>
      <w:r w:rsidR="00017BCC">
        <w:rPr>
          <w:noProof/>
        </w:rPr>
        <w:fldChar w:fldCharType="end"/>
      </w:r>
      <w:r w:rsidRPr="00233853">
        <w:t>–</w:t>
      </w:r>
      <w:r w:rsidR="005746FD">
        <w:t>18</w:t>
      </w:r>
      <w:r w:rsidRPr="00233853">
        <w:t xml:space="preserve">: </w:t>
      </w:r>
      <w:r w:rsidR="00F35E96">
        <w:t>Commonwealth and a</w:t>
      </w:r>
      <w:r>
        <w:t>ggregate state net debt</w:t>
      </w:r>
    </w:p>
    <w:p w:rsidR="00F83788" w:rsidRDefault="00FC2BBB" w:rsidP="00E6277B">
      <w:pPr>
        <w:pStyle w:val="BodyText"/>
        <w:jc w:val="center"/>
      </w:pPr>
      <w:r>
        <w:rPr>
          <w:noProof/>
          <w:lang w:eastAsia="en-AU"/>
        </w:rPr>
        <w:drawing>
          <wp:inline distT="0" distB="0" distL="0" distR="0" wp14:anchorId="3F6B85D2" wp14:editId="1AF9AC1F">
            <wp:extent cx="5184000" cy="3224103"/>
            <wp:effectExtent l="0" t="0" r="0" b="19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5184000" cy="3224103"/>
                    </a:xfrm>
                    <a:prstGeom prst="rect">
                      <a:avLst/>
                    </a:prstGeom>
                    <a:noFill/>
                  </pic:spPr>
                </pic:pic>
              </a:graphicData>
            </a:graphic>
          </wp:inline>
        </w:drawing>
      </w:r>
    </w:p>
    <w:p w:rsidR="009A0679" w:rsidRDefault="00C01839" w:rsidP="00DB1201">
      <w:pPr>
        <w:pStyle w:val="BodyText"/>
        <w:spacing w:before="0" w:line="20" w:lineRule="atLeast"/>
        <w:ind w:left="851"/>
        <w:contextualSpacing/>
        <w:rPr>
          <w:color w:val="788184"/>
          <w:sz w:val="18"/>
          <w:szCs w:val="14"/>
        </w:rPr>
      </w:pPr>
      <w:r w:rsidRPr="00C01839">
        <w:rPr>
          <w:color w:val="788184"/>
          <w:sz w:val="18"/>
          <w:szCs w:val="14"/>
        </w:rPr>
        <w:t>Source: ABS</w:t>
      </w:r>
      <w:r w:rsidR="00DA53FD">
        <w:rPr>
          <w:color w:val="788184"/>
          <w:sz w:val="18"/>
          <w:szCs w:val="14"/>
        </w:rPr>
        <w:t xml:space="preserve"> </w:t>
      </w:r>
      <w:r w:rsidR="00FC7814">
        <w:rPr>
          <w:color w:val="788184"/>
          <w:sz w:val="18"/>
          <w:szCs w:val="14"/>
        </w:rPr>
        <w:t>special data service</w:t>
      </w:r>
      <w:r w:rsidRPr="00C01839">
        <w:rPr>
          <w:color w:val="788184"/>
          <w:sz w:val="18"/>
          <w:szCs w:val="14"/>
        </w:rPr>
        <w:t>, state budget papers</w:t>
      </w:r>
      <w:r w:rsidR="009B3215">
        <w:rPr>
          <w:color w:val="788184"/>
          <w:sz w:val="18"/>
          <w:szCs w:val="14"/>
        </w:rPr>
        <w:t xml:space="preserve"> and</w:t>
      </w:r>
      <w:r w:rsidR="009B3215" w:rsidRPr="00C01839">
        <w:rPr>
          <w:color w:val="788184"/>
          <w:sz w:val="18"/>
          <w:szCs w:val="14"/>
        </w:rPr>
        <w:t xml:space="preserve"> </w:t>
      </w:r>
      <w:r w:rsidRPr="00C01839">
        <w:rPr>
          <w:color w:val="788184"/>
          <w:sz w:val="18"/>
          <w:szCs w:val="14"/>
        </w:rPr>
        <w:t>PBO analysis</w:t>
      </w:r>
      <w:r w:rsidR="004677DD">
        <w:rPr>
          <w:color w:val="788184"/>
          <w:sz w:val="18"/>
          <w:szCs w:val="14"/>
        </w:rPr>
        <w:t>.</w:t>
      </w:r>
    </w:p>
    <w:p w:rsidR="00AB1F3F" w:rsidRPr="00DB1201" w:rsidRDefault="00DC70C4" w:rsidP="00443EA9">
      <w:pPr>
        <w:pStyle w:val="BodyText17ptAbove"/>
        <w:spacing w:after="240"/>
        <w:rPr>
          <w:spacing w:val="-3"/>
        </w:rPr>
      </w:pPr>
      <w:r w:rsidRPr="00DB1201">
        <w:rPr>
          <w:spacing w:val="-3"/>
        </w:rPr>
        <w:t xml:space="preserve">This </w:t>
      </w:r>
      <w:r w:rsidR="00371AE0" w:rsidRPr="00DB1201">
        <w:rPr>
          <w:spacing w:val="-3"/>
        </w:rPr>
        <w:t xml:space="preserve">increase in net debt </w:t>
      </w:r>
      <w:r w:rsidRPr="00DB1201">
        <w:rPr>
          <w:spacing w:val="-3"/>
        </w:rPr>
        <w:t xml:space="preserve">largely reflects </w:t>
      </w:r>
      <w:r w:rsidR="00825621" w:rsidRPr="00DB1201">
        <w:rPr>
          <w:spacing w:val="-3"/>
        </w:rPr>
        <w:t xml:space="preserve">infrastructure </w:t>
      </w:r>
      <w:r w:rsidRPr="00DB1201">
        <w:rPr>
          <w:spacing w:val="-3"/>
        </w:rPr>
        <w:t xml:space="preserve">investment </w:t>
      </w:r>
      <w:r w:rsidR="00825621" w:rsidRPr="00DB1201">
        <w:rPr>
          <w:spacing w:val="-3"/>
        </w:rPr>
        <w:t xml:space="preserve">commitments </w:t>
      </w:r>
      <w:r w:rsidR="002E0A3D" w:rsidRPr="00DB1201">
        <w:rPr>
          <w:spacing w:val="-3"/>
        </w:rPr>
        <w:t>in</w:t>
      </w:r>
      <w:r w:rsidR="00B02CE3" w:rsidRPr="00DB1201">
        <w:rPr>
          <w:spacing w:val="-3"/>
        </w:rPr>
        <w:t xml:space="preserve"> New South Wales and Victoria,</w:t>
      </w:r>
      <w:r w:rsidRPr="00DB1201">
        <w:rPr>
          <w:spacing w:val="-3"/>
        </w:rPr>
        <w:t xml:space="preserve"> and to a lesser extent</w:t>
      </w:r>
      <w:r w:rsidR="004677DD">
        <w:rPr>
          <w:spacing w:val="-3"/>
        </w:rPr>
        <w:t>,</w:t>
      </w:r>
      <w:r w:rsidRPr="00DB1201">
        <w:rPr>
          <w:spacing w:val="-3"/>
        </w:rPr>
        <w:t xml:space="preserve"> </w:t>
      </w:r>
      <w:r w:rsidR="00F474BA" w:rsidRPr="00DB1201">
        <w:rPr>
          <w:spacing w:val="-3"/>
        </w:rPr>
        <w:t>Queensland (</w:t>
      </w:r>
      <w:r w:rsidR="00920DFA" w:rsidRPr="00DB1201">
        <w:rPr>
          <w:spacing w:val="-3"/>
        </w:rPr>
        <w:t>Figure 2–</w:t>
      </w:r>
      <w:r w:rsidR="005746FD" w:rsidRPr="00DB1201">
        <w:rPr>
          <w:spacing w:val="-3"/>
        </w:rPr>
        <w:t>19</w:t>
      </w:r>
      <w:r w:rsidRPr="00DB1201">
        <w:rPr>
          <w:spacing w:val="-3"/>
        </w:rPr>
        <w:t xml:space="preserve">).  </w:t>
      </w:r>
      <w:r w:rsidR="002E6B17" w:rsidRPr="00DB1201">
        <w:rPr>
          <w:spacing w:val="-3"/>
        </w:rPr>
        <w:t xml:space="preserve">Differing trajectories for net debt by state </w:t>
      </w:r>
      <w:r w:rsidR="00F90951" w:rsidRPr="00DB1201">
        <w:rPr>
          <w:spacing w:val="-3"/>
        </w:rPr>
        <w:t xml:space="preserve">mean </w:t>
      </w:r>
      <w:r w:rsidR="00053355" w:rsidRPr="00DB1201">
        <w:rPr>
          <w:spacing w:val="-3"/>
        </w:rPr>
        <w:t xml:space="preserve">that </w:t>
      </w:r>
      <w:r w:rsidR="00F90951" w:rsidRPr="00DB1201">
        <w:rPr>
          <w:spacing w:val="-3"/>
        </w:rPr>
        <w:t>states’ net debt rankings are projected to change over the period 2018</w:t>
      </w:r>
      <w:r w:rsidR="00581BA8" w:rsidRPr="00DB1201">
        <w:rPr>
          <w:spacing w:val="-3"/>
        </w:rPr>
        <w:t>–</w:t>
      </w:r>
      <w:r w:rsidR="00F90951" w:rsidRPr="00DB1201">
        <w:rPr>
          <w:spacing w:val="-3"/>
        </w:rPr>
        <w:t>19 to 2022</w:t>
      </w:r>
      <w:r w:rsidR="00581BA8" w:rsidRPr="00DB1201">
        <w:rPr>
          <w:spacing w:val="-3"/>
        </w:rPr>
        <w:t>–</w:t>
      </w:r>
      <w:r w:rsidR="00F90951" w:rsidRPr="00DB1201">
        <w:rPr>
          <w:spacing w:val="-3"/>
        </w:rPr>
        <w:t>23</w:t>
      </w:r>
      <w:r w:rsidR="002E6B17" w:rsidRPr="00DB1201">
        <w:rPr>
          <w:spacing w:val="-3"/>
        </w:rPr>
        <w:t>.</w:t>
      </w:r>
      <w:r w:rsidR="00DA58FD">
        <w:rPr>
          <w:spacing w:val="-3"/>
        </w:rPr>
        <w:br/>
      </w:r>
      <w:r w:rsidR="002E6B17" w:rsidRPr="00DB1201">
        <w:rPr>
          <w:spacing w:val="-3"/>
        </w:rPr>
        <w:t xml:space="preserve">For example, </w:t>
      </w:r>
      <w:r w:rsidR="00E06CC7" w:rsidRPr="00DB1201">
        <w:rPr>
          <w:spacing w:val="-3"/>
        </w:rPr>
        <w:t>Western Australia</w:t>
      </w:r>
      <w:r w:rsidR="00F90951" w:rsidRPr="00DB1201">
        <w:rPr>
          <w:spacing w:val="-3"/>
        </w:rPr>
        <w:t>’s net debt is projected to peak and decline during the period</w:t>
      </w:r>
      <w:r w:rsidR="002E6B17" w:rsidRPr="00DB1201">
        <w:rPr>
          <w:spacing w:val="-3"/>
        </w:rPr>
        <w:t xml:space="preserve">, while infrastructure investments </w:t>
      </w:r>
      <w:r w:rsidR="00B476D6" w:rsidRPr="00DB1201">
        <w:rPr>
          <w:spacing w:val="-3"/>
        </w:rPr>
        <w:t xml:space="preserve">are projected to </w:t>
      </w:r>
      <w:r w:rsidR="002E6B17" w:rsidRPr="00DB1201">
        <w:rPr>
          <w:spacing w:val="-3"/>
        </w:rPr>
        <w:t xml:space="preserve">see </w:t>
      </w:r>
      <w:r w:rsidR="00371AE0" w:rsidRPr="00DB1201">
        <w:rPr>
          <w:spacing w:val="-3"/>
        </w:rPr>
        <w:t xml:space="preserve">net debt in the </w:t>
      </w:r>
      <w:r w:rsidR="00F90951" w:rsidRPr="00DB1201">
        <w:rPr>
          <w:spacing w:val="-3"/>
        </w:rPr>
        <w:t>other large states increasing.</w:t>
      </w:r>
    </w:p>
    <w:tbl>
      <w:tblPr>
        <w:tblStyle w:val="TablePlaceholder"/>
        <w:tblW w:w="8504" w:type="dxa"/>
        <w:jc w:val="center"/>
        <w:tblLayout w:type="fixed"/>
        <w:tblLook w:val="04A0" w:firstRow="1" w:lastRow="0" w:firstColumn="1" w:lastColumn="0" w:noHBand="0" w:noVBand="1"/>
      </w:tblPr>
      <w:tblGrid>
        <w:gridCol w:w="4252"/>
        <w:gridCol w:w="4252"/>
      </w:tblGrid>
      <w:tr w:rsidR="00C01839" w:rsidTr="00E61B0D">
        <w:trPr>
          <w:jc w:val="center"/>
        </w:trPr>
        <w:tc>
          <w:tcPr>
            <w:tcW w:w="8504" w:type="dxa"/>
            <w:gridSpan w:val="2"/>
          </w:tcPr>
          <w:p w:rsidR="00C01839" w:rsidRDefault="00C01839" w:rsidP="00DF0236">
            <w:pPr>
              <w:pStyle w:val="Caption"/>
            </w:pPr>
            <w:bookmarkStart w:id="49" w:name="_Ref530739010"/>
            <w:r w:rsidRPr="00DB1201">
              <w:rPr>
                <w:bCs w:val="0"/>
              </w:rPr>
              <w:t xml:space="preserve">Figure </w:t>
            </w:r>
            <w:r w:rsidR="00017BCC">
              <w:fldChar w:fldCharType="begin"/>
            </w:r>
            <w:r w:rsidR="00017BCC">
              <w:instrText xml:space="preserve"> STYLEREF 1 \s </w:instrText>
            </w:r>
            <w:r w:rsidR="00017BCC">
              <w:fldChar w:fldCharType="separate"/>
            </w:r>
            <w:r w:rsidR="0070188F">
              <w:rPr>
                <w:noProof/>
              </w:rPr>
              <w:t>2</w:t>
            </w:r>
            <w:r w:rsidR="00017BCC">
              <w:rPr>
                <w:noProof/>
              </w:rPr>
              <w:fldChar w:fldCharType="end"/>
            </w:r>
            <w:r w:rsidRPr="00233853">
              <w:t>–</w:t>
            </w:r>
            <w:bookmarkEnd w:id="49"/>
            <w:r w:rsidR="005746FD">
              <w:t>19</w:t>
            </w:r>
            <w:r w:rsidRPr="00233853">
              <w:t xml:space="preserve">: </w:t>
            </w:r>
            <w:r>
              <w:t>State net debt</w:t>
            </w:r>
            <w:bookmarkStart w:id="50" w:name="ReturnHere"/>
            <w:bookmarkEnd w:id="50"/>
          </w:p>
        </w:tc>
      </w:tr>
      <w:tr w:rsidR="007973EA" w:rsidTr="0007123E">
        <w:tblPrEx>
          <w:tblCellMar>
            <w:left w:w="108" w:type="dxa"/>
            <w:right w:w="108" w:type="dxa"/>
          </w:tblCellMar>
        </w:tblPrEx>
        <w:trPr>
          <w:trHeight w:val="2835"/>
          <w:jc w:val="center"/>
        </w:trPr>
        <w:tc>
          <w:tcPr>
            <w:tcW w:w="4252" w:type="dxa"/>
          </w:tcPr>
          <w:p w:rsidR="007973EA" w:rsidDel="00EA254B" w:rsidRDefault="007973EA" w:rsidP="006C6710">
            <w:pPr>
              <w:keepNext/>
              <w:jc w:val="center"/>
            </w:pPr>
            <w:r>
              <w:rPr>
                <w:noProof/>
                <w:lang w:eastAsia="en-AU"/>
              </w:rPr>
              <w:drawing>
                <wp:inline distT="0" distB="0" distL="0" distR="0" wp14:anchorId="2D94DD8D" wp14:editId="430429B0">
                  <wp:extent cx="2592000" cy="3266331"/>
                  <wp:effectExtent l="0" t="0" r="0" b="0"/>
                  <wp:docPr id="59" name="Picture 5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019 National Fiscal Outlook report_Graphs_04_Figure 1-3-1-4_Figure 2–20 a.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92000" cy="3266331"/>
                          </a:xfrm>
                          <a:prstGeom prst="rect">
                            <a:avLst/>
                          </a:prstGeom>
                        </pic:spPr>
                      </pic:pic>
                    </a:graphicData>
                  </a:graphic>
                </wp:inline>
              </w:drawing>
            </w:r>
          </w:p>
        </w:tc>
        <w:tc>
          <w:tcPr>
            <w:tcW w:w="4252" w:type="dxa"/>
          </w:tcPr>
          <w:p w:rsidR="007973EA" w:rsidRDefault="007973EA">
            <w:pPr>
              <w:keepNext/>
              <w:jc w:val="center"/>
            </w:pPr>
            <w:r>
              <w:rPr>
                <w:noProof/>
                <w:lang w:eastAsia="en-AU"/>
              </w:rPr>
              <w:drawing>
                <wp:inline distT="0" distB="0" distL="0" distR="0" wp14:anchorId="0E527771" wp14:editId="0CBCEDCA">
                  <wp:extent cx="2592000" cy="3266331"/>
                  <wp:effectExtent l="0" t="0" r="0" b="0"/>
                  <wp:docPr id="60" name="Picture 6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019 National Fiscal Outlook report_Graphs_04_Figure 1-3-1-4_Figure 2–20 b.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92000" cy="3266331"/>
                          </a:xfrm>
                          <a:prstGeom prst="rect">
                            <a:avLst/>
                          </a:prstGeom>
                        </pic:spPr>
                      </pic:pic>
                    </a:graphicData>
                  </a:graphic>
                </wp:inline>
              </w:drawing>
            </w:r>
          </w:p>
        </w:tc>
      </w:tr>
      <w:tr w:rsidR="00C01839" w:rsidTr="00DB1201">
        <w:trPr>
          <w:trHeight w:val="202"/>
          <w:jc w:val="center"/>
        </w:trPr>
        <w:tc>
          <w:tcPr>
            <w:tcW w:w="8504" w:type="dxa"/>
            <w:gridSpan w:val="2"/>
          </w:tcPr>
          <w:p w:rsidR="00C02850" w:rsidRDefault="00C02850" w:rsidP="00DB1201">
            <w:pPr>
              <w:pStyle w:val="Source"/>
              <w:ind w:left="454"/>
              <w:contextualSpacing/>
            </w:pPr>
            <w:r w:rsidRPr="00DF0236">
              <w:t xml:space="preserve">Note: </w:t>
            </w:r>
            <w:r w:rsidR="00FD0475" w:rsidRPr="00DF0236">
              <w:t xml:space="preserve">Historical net debt figures provided by the ABS are consistent with the presentation in ABS 5512.0 – </w:t>
            </w:r>
            <w:r w:rsidR="00FD0475" w:rsidRPr="00DF0236">
              <w:rPr>
                <w:i/>
              </w:rPr>
              <w:t>Government Finance Statistics, Australia, 2016–17</w:t>
            </w:r>
            <w:r w:rsidR="00FD0475" w:rsidRPr="00DF0236">
              <w:t xml:space="preserve">.  </w:t>
            </w:r>
            <w:r w:rsidRPr="00DF0236">
              <w:t>Queensland and the Australian Capital Territory include assets held to meet their defined benefit superannuation liabilities in their estimates of net debt.</w:t>
            </w:r>
            <w:r>
              <w:t xml:space="preserve"> </w:t>
            </w:r>
          </w:p>
          <w:p w:rsidR="00C01839" w:rsidRDefault="00C01839" w:rsidP="00DB1201">
            <w:pPr>
              <w:pStyle w:val="Source"/>
              <w:ind w:left="454"/>
              <w:contextualSpacing/>
            </w:pPr>
            <w:r>
              <w:t>Source: ABS</w:t>
            </w:r>
            <w:r w:rsidR="00FC7814">
              <w:t xml:space="preserve"> special data service</w:t>
            </w:r>
            <w:r>
              <w:t>, state budget papers</w:t>
            </w:r>
            <w:r w:rsidR="009B3215">
              <w:t xml:space="preserve"> and</w:t>
            </w:r>
            <w:r>
              <w:t xml:space="preserve"> PBO analysis.</w:t>
            </w:r>
          </w:p>
        </w:tc>
      </w:tr>
    </w:tbl>
    <w:p w:rsidR="002B2079" w:rsidRPr="001C3C68" w:rsidRDefault="002B2079" w:rsidP="009D1224">
      <w:pPr>
        <w:pStyle w:val="Heading3"/>
      </w:pPr>
      <w:r w:rsidRPr="001C3C68">
        <w:lastRenderedPageBreak/>
        <w:t>Trends in state net financial worth</w:t>
      </w:r>
    </w:p>
    <w:p w:rsidR="001E7D78" w:rsidRDefault="002B1372" w:rsidP="00DB1201">
      <w:pPr>
        <w:pStyle w:val="BodyText"/>
        <w:spacing w:after="120" w:line="280" w:lineRule="atLeast"/>
      </w:pPr>
      <w:r>
        <w:t xml:space="preserve">In contrast to the Commonwealth, which has been running a negative net financial worth </w:t>
      </w:r>
      <w:r w:rsidRPr="007A4364">
        <w:t>position</w:t>
      </w:r>
      <w:r>
        <w:t>, t</w:t>
      </w:r>
      <w:r w:rsidR="00B46B4F">
        <w:t xml:space="preserve">he </w:t>
      </w:r>
      <w:r w:rsidR="002B2079">
        <w:t xml:space="preserve">aggregate net </w:t>
      </w:r>
      <w:r w:rsidR="00B46B4F">
        <w:t>financial worth of the states has been positive</w:t>
      </w:r>
      <w:r>
        <w:t xml:space="preserve"> </w:t>
      </w:r>
      <w:r w:rsidR="002B0776">
        <w:t>over the past 20 years</w:t>
      </w:r>
      <w:r w:rsidR="00B46B4F" w:rsidRPr="007A4364">
        <w:t>.</w:t>
      </w:r>
      <w:r w:rsidR="002B2079" w:rsidRPr="007A4364">
        <w:t xml:space="preserve"> </w:t>
      </w:r>
      <w:r w:rsidR="00F6326B">
        <w:t xml:space="preserve"> </w:t>
      </w:r>
      <w:r>
        <w:t>St</w:t>
      </w:r>
      <w:r w:rsidR="002B2079" w:rsidRPr="007A4364">
        <w:t xml:space="preserve">ate net financial worth is projected to </w:t>
      </w:r>
      <w:r w:rsidR="00B46B4F" w:rsidRPr="007A4364">
        <w:t>decline</w:t>
      </w:r>
      <w:r w:rsidR="002B2079" w:rsidRPr="007A4364">
        <w:t xml:space="preserve"> over the forward estimates from </w:t>
      </w:r>
      <w:r w:rsidR="00B46B4F" w:rsidRPr="007A4364">
        <w:t>3.</w:t>
      </w:r>
      <w:r w:rsidR="00FF2657">
        <w:t>2</w:t>
      </w:r>
      <w:r w:rsidR="002B2079" w:rsidRPr="007A4364">
        <w:t xml:space="preserve"> per cent of GDP </w:t>
      </w:r>
      <w:r>
        <w:t>($</w:t>
      </w:r>
      <w:r w:rsidR="00FF2657">
        <w:t>62.5</w:t>
      </w:r>
      <w:r w:rsidR="00687B50">
        <w:t> </w:t>
      </w:r>
      <w:r>
        <w:t xml:space="preserve">billion) </w:t>
      </w:r>
      <w:r w:rsidR="002B2079" w:rsidRPr="007A4364">
        <w:t xml:space="preserve">in </w:t>
      </w:r>
      <w:r w:rsidR="00B46B4F" w:rsidRPr="007A4364">
        <w:t xml:space="preserve">2018–19 to 1.2 per cent of GDP </w:t>
      </w:r>
      <w:r>
        <w:t xml:space="preserve">($27.5 billion) </w:t>
      </w:r>
      <w:r w:rsidR="00B46B4F" w:rsidRPr="007A4364">
        <w:t xml:space="preserve">in 2022–23 </w:t>
      </w:r>
      <w:r w:rsidR="002B2079" w:rsidRPr="007A4364">
        <w:t>(</w:t>
      </w:r>
      <w:r w:rsidR="002B2079" w:rsidRPr="00DF0236">
        <w:fldChar w:fldCharType="begin"/>
      </w:r>
      <w:r w:rsidR="002B2079" w:rsidRPr="009B3215">
        <w:instrText xml:space="preserve"> REF _Ref530739010 \h </w:instrText>
      </w:r>
      <w:r w:rsidR="009B3215" w:rsidRPr="00DF0236">
        <w:instrText xml:space="preserve"> \* MERGEFORMAT </w:instrText>
      </w:r>
      <w:r w:rsidR="002B2079" w:rsidRPr="00DF0236">
        <w:fldChar w:fldCharType="separate"/>
      </w:r>
      <w:r w:rsidR="0070188F" w:rsidRPr="00DB1201">
        <w:t xml:space="preserve">Figure </w:t>
      </w:r>
      <w:r w:rsidR="0070188F" w:rsidRPr="00DB1201">
        <w:rPr>
          <w:bCs/>
          <w:noProof/>
        </w:rPr>
        <w:t>2</w:t>
      </w:r>
      <w:r w:rsidR="0070188F" w:rsidRPr="00233853">
        <w:t>–</w:t>
      </w:r>
      <w:r w:rsidR="002B2079" w:rsidRPr="00DF0236">
        <w:fldChar w:fldCharType="end"/>
      </w:r>
      <w:r w:rsidR="005746FD">
        <w:t>20</w:t>
      </w:r>
      <w:r w:rsidR="002B2079" w:rsidRPr="007A4364">
        <w:t xml:space="preserve">).  </w:t>
      </w:r>
    </w:p>
    <w:p w:rsidR="00596414" w:rsidRDefault="00596414" w:rsidP="00132AD8">
      <w:pPr>
        <w:pStyle w:val="Caption"/>
      </w:pPr>
      <w:r w:rsidRPr="00596414">
        <w:t xml:space="preserve">Figure </w:t>
      </w:r>
      <w:r w:rsidR="00017BCC">
        <w:fldChar w:fldCharType="begin"/>
      </w:r>
      <w:r w:rsidR="00017BCC">
        <w:instrText xml:space="preserve"> STYLEREF 1 \s </w:instrText>
      </w:r>
      <w:r w:rsidR="00017BCC">
        <w:fldChar w:fldCharType="separate"/>
      </w:r>
      <w:r w:rsidR="0070188F">
        <w:rPr>
          <w:noProof/>
        </w:rPr>
        <w:t>2</w:t>
      </w:r>
      <w:r w:rsidR="00017BCC">
        <w:rPr>
          <w:noProof/>
        </w:rPr>
        <w:fldChar w:fldCharType="end"/>
      </w:r>
      <w:r w:rsidRPr="00596414">
        <w:t>–</w:t>
      </w:r>
      <w:r w:rsidR="005746FD">
        <w:t>20</w:t>
      </w:r>
      <w:r w:rsidRPr="00596414">
        <w:t xml:space="preserve">: </w:t>
      </w:r>
      <w:r w:rsidR="00132AD8">
        <w:t>Aggregate state net financial worth</w:t>
      </w:r>
      <w:r w:rsidR="00FF2657">
        <w:rPr>
          <w:noProof/>
          <w:lang w:eastAsia="en-AU"/>
        </w:rPr>
        <w:drawing>
          <wp:inline distT="0" distB="0" distL="0" distR="0" wp14:anchorId="75D32BCA" wp14:editId="4143CC02">
            <wp:extent cx="5112000" cy="3135064"/>
            <wp:effectExtent l="0" t="0" r="635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5112000" cy="3135064"/>
                    </a:xfrm>
                    <a:prstGeom prst="rect">
                      <a:avLst/>
                    </a:prstGeom>
                    <a:noFill/>
                  </pic:spPr>
                </pic:pic>
              </a:graphicData>
            </a:graphic>
          </wp:inline>
        </w:drawing>
      </w:r>
    </w:p>
    <w:p w:rsidR="00596414" w:rsidRPr="00C01839" w:rsidRDefault="00274B0E" w:rsidP="00DB1201">
      <w:pPr>
        <w:pStyle w:val="BodyText"/>
        <w:spacing w:before="0"/>
        <w:ind w:left="851"/>
        <w:rPr>
          <w:color w:val="788184"/>
          <w:sz w:val="18"/>
          <w:szCs w:val="14"/>
        </w:rPr>
      </w:pPr>
      <w:r>
        <w:rPr>
          <w:color w:val="788184"/>
          <w:sz w:val="18"/>
          <w:szCs w:val="14"/>
        </w:rPr>
        <w:t xml:space="preserve"> </w:t>
      </w:r>
      <w:r w:rsidR="00596414" w:rsidRPr="00C01839">
        <w:rPr>
          <w:color w:val="788184"/>
          <w:sz w:val="18"/>
          <w:szCs w:val="14"/>
        </w:rPr>
        <w:t>Source: ABS, state budget papers</w:t>
      </w:r>
      <w:r w:rsidR="009B3215">
        <w:rPr>
          <w:color w:val="788184"/>
          <w:sz w:val="18"/>
          <w:szCs w:val="14"/>
        </w:rPr>
        <w:t xml:space="preserve"> and</w:t>
      </w:r>
      <w:r w:rsidR="00596414" w:rsidRPr="00C01839">
        <w:rPr>
          <w:color w:val="788184"/>
          <w:sz w:val="18"/>
          <w:szCs w:val="14"/>
        </w:rPr>
        <w:t xml:space="preserve"> PBO analysis.</w:t>
      </w:r>
    </w:p>
    <w:p w:rsidR="00FB055A" w:rsidRPr="009D1224" w:rsidRDefault="00B476D6" w:rsidP="00DB1201">
      <w:pPr>
        <w:pStyle w:val="BodyText"/>
        <w:spacing w:before="60" w:after="120" w:line="280" w:lineRule="atLeast"/>
      </w:pPr>
      <w:r w:rsidRPr="00FB055A">
        <w:t>This decline largely reflects infrastructure investment commitments in Victoria, and to a lesser extent New South Wales and Queensland (</w:t>
      </w:r>
      <w:r w:rsidRPr="00FB055A">
        <w:fldChar w:fldCharType="begin"/>
      </w:r>
      <w:r w:rsidRPr="00FB055A">
        <w:instrText xml:space="preserve"> REF _Ref530739010 \h </w:instrText>
      </w:r>
      <w:r>
        <w:instrText xml:space="preserve"> \* MERGEFORMAT </w:instrText>
      </w:r>
      <w:r w:rsidRPr="00FB055A">
        <w:fldChar w:fldCharType="separate"/>
      </w:r>
      <w:r w:rsidR="0070188F" w:rsidRPr="00DB1201">
        <w:t xml:space="preserve">Figure </w:t>
      </w:r>
      <w:r w:rsidR="0070188F">
        <w:t>2</w:t>
      </w:r>
      <w:r w:rsidR="0070188F" w:rsidRPr="00233853">
        <w:t>–</w:t>
      </w:r>
      <w:r w:rsidRPr="00FB055A">
        <w:fldChar w:fldCharType="end"/>
      </w:r>
      <w:r w:rsidR="005746FD">
        <w:t>21</w:t>
      </w:r>
      <w:r>
        <w:t xml:space="preserve">), </w:t>
      </w:r>
      <w:r w:rsidRPr="00FB055A">
        <w:t xml:space="preserve">driven by </w:t>
      </w:r>
      <w:r>
        <w:t xml:space="preserve">the rise in borrowing required to fund planned infrastructure </w:t>
      </w:r>
      <w:r w:rsidRPr="00E43729">
        <w:t>investment</w:t>
      </w:r>
      <w:r w:rsidRPr="00337EA0">
        <w:t xml:space="preserve">. </w:t>
      </w:r>
      <w:r w:rsidRPr="00CB4545">
        <w:t xml:space="preserve"> </w:t>
      </w:r>
      <w:r>
        <w:t xml:space="preserve">To the extent that </w:t>
      </w:r>
      <w:r w:rsidR="00897A47">
        <w:t xml:space="preserve">the additional </w:t>
      </w:r>
      <w:r>
        <w:t xml:space="preserve">borrowing relates to investment </w:t>
      </w:r>
      <w:r w:rsidRPr="00C7666D">
        <w:t>in productive assets</w:t>
      </w:r>
      <w:r>
        <w:t>, a</w:t>
      </w:r>
      <w:r w:rsidRPr="00C7666D">
        <w:t xml:space="preserve"> short-term deterioration in net financial worth </w:t>
      </w:r>
      <w:r>
        <w:t>would</w:t>
      </w:r>
      <w:r w:rsidRPr="00C7666D">
        <w:t xml:space="preserve"> not </w:t>
      </w:r>
      <w:r w:rsidR="00897A47">
        <w:t>be expected to</w:t>
      </w:r>
      <w:r w:rsidRPr="00C7666D">
        <w:t xml:space="preserve"> </w:t>
      </w:r>
      <w:r w:rsidR="00897A47">
        <w:t xml:space="preserve">adversely affect </w:t>
      </w:r>
      <w:r w:rsidRPr="00C7666D">
        <w:t>the fiscal sustainability of state governments over the medium term.</w:t>
      </w:r>
    </w:p>
    <w:tbl>
      <w:tblPr>
        <w:tblStyle w:val="TablePlaceholder"/>
        <w:tblW w:w="8504" w:type="dxa"/>
        <w:jc w:val="center"/>
        <w:tblLayout w:type="fixed"/>
        <w:tblLook w:val="04A0" w:firstRow="1" w:lastRow="0" w:firstColumn="1" w:lastColumn="0" w:noHBand="0" w:noVBand="1"/>
      </w:tblPr>
      <w:tblGrid>
        <w:gridCol w:w="4252"/>
        <w:gridCol w:w="4252"/>
      </w:tblGrid>
      <w:tr w:rsidR="007D129E" w:rsidTr="00E61B0D">
        <w:trPr>
          <w:jc w:val="center"/>
        </w:trPr>
        <w:tc>
          <w:tcPr>
            <w:tcW w:w="8504" w:type="dxa"/>
            <w:gridSpan w:val="2"/>
          </w:tcPr>
          <w:p w:rsidR="007D129E" w:rsidRDefault="007D129E" w:rsidP="00DB1201">
            <w:pPr>
              <w:pStyle w:val="Caption"/>
              <w:spacing w:before="0" w:after="0"/>
            </w:pPr>
            <w:r w:rsidRPr="00DB1201">
              <w:t xml:space="preserve">Figure </w:t>
            </w:r>
            <w:r w:rsidR="00017BCC">
              <w:fldChar w:fldCharType="begin"/>
            </w:r>
            <w:r w:rsidR="00017BCC">
              <w:instrText xml:space="preserve"> STYLEREF 1 \s </w:instrText>
            </w:r>
            <w:r w:rsidR="00017BCC">
              <w:fldChar w:fldCharType="separate"/>
            </w:r>
            <w:r w:rsidR="0070188F">
              <w:rPr>
                <w:noProof/>
              </w:rPr>
              <w:t>2</w:t>
            </w:r>
            <w:r w:rsidR="00017BCC">
              <w:rPr>
                <w:noProof/>
              </w:rPr>
              <w:fldChar w:fldCharType="end"/>
            </w:r>
            <w:r w:rsidRPr="00233853">
              <w:t>–</w:t>
            </w:r>
            <w:r w:rsidR="005746FD">
              <w:t>21</w:t>
            </w:r>
            <w:r w:rsidRPr="00233853">
              <w:t xml:space="preserve">: </w:t>
            </w:r>
            <w:r>
              <w:t>State net financial worth</w:t>
            </w:r>
          </w:p>
        </w:tc>
      </w:tr>
      <w:tr w:rsidR="007973EA" w:rsidTr="0007123E">
        <w:trPr>
          <w:trHeight w:val="4751"/>
          <w:jc w:val="center"/>
        </w:trPr>
        <w:tc>
          <w:tcPr>
            <w:tcW w:w="4252" w:type="dxa"/>
          </w:tcPr>
          <w:p w:rsidR="007973EA" w:rsidDel="00EA254B" w:rsidRDefault="007973EA" w:rsidP="00DB1201">
            <w:pPr>
              <w:keepNext/>
              <w:spacing w:line="240" w:lineRule="auto"/>
              <w:jc w:val="center"/>
            </w:pPr>
            <w:r>
              <w:rPr>
                <w:noProof/>
                <w:lang w:eastAsia="en-AU"/>
              </w:rPr>
              <w:drawing>
                <wp:inline distT="0" distB="0" distL="0" distR="0" wp14:anchorId="480B6916" wp14:editId="78CB55FE">
                  <wp:extent cx="2592000" cy="3198548"/>
                  <wp:effectExtent l="0" t="0" r="0" b="1905"/>
                  <wp:docPr id="61" name="Picture 6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019 National Fiscal Outlook report_Graphs_04_Figure 1-3-1-4_Figure 2–22 a.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92000" cy="3198548"/>
                          </a:xfrm>
                          <a:prstGeom prst="rect">
                            <a:avLst/>
                          </a:prstGeom>
                        </pic:spPr>
                      </pic:pic>
                    </a:graphicData>
                  </a:graphic>
                </wp:inline>
              </w:drawing>
            </w:r>
          </w:p>
        </w:tc>
        <w:tc>
          <w:tcPr>
            <w:tcW w:w="4252" w:type="dxa"/>
          </w:tcPr>
          <w:p w:rsidR="007973EA" w:rsidRDefault="007973EA" w:rsidP="00DB1201">
            <w:pPr>
              <w:keepNext/>
              <w:spacing w:line="240" w:lineRule="auto"/>
              <w:jc w:val="center"/>
            </w:pPr>
            <w:r>
              <w:rPr>
                <w:noProof/>
                <w:lang w:eastAsia="en-AU"/>
              </w:rPr>
              <w:drawing>
                <wp:inline distT="0" distB="0" distL="0" distR="0" wp14:anchorId="6AD8156D" wp14:editId="7EBAF453">
                  <wp:extent cx="2592000" cy="3198548"/>
                  <wp:effectExtent l="0" t="0" r="0" b="1905"/>
                  <wp:docPr id="62" name="Picture 6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019 National Fiscal Outlook report_Graphs_04_Figure 1-3-1-4_Figure 2–22 b.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592000" cy="3198548"/>
                          </a:xfrm>
                          <a:prstGeom prst="rect">
                            <a:avLst/>
                          </a:prstGeom>
                        </pic:spPr>
                      </pic:pic>
                    </a:graphicData>
                  </a:graphic>
                </wp:inline>
              </w:drawing>
            </w:r>
          </w:p>
        </w:tc>
      </w:tr>
      <w:tr w:rsidR="007D129E" w:rsidTr="00E61B0D">
        <w:trPr>
          <w:trHeight w:val="454"/>
          <w:jc w:val="center"/>
        </w:trPr>
        <w:tc>
          <w:tcPr>
            <w:tcW w:w="8504" w:type="dxa"/>
            <w:gridSpan w:val="2"/>
          </w:tcPr>
          <w:p w:rsidR="007D129E" w:rsidRDefault="007D129E" w:rsidP="00DB1201">
            <w:pPr>
              <w:pStyle w:val="Source"/>
              <w:spacing w:before="0" w:after="0"/>
              <w:ind w:left="568"/>
            </w:pPr>
            <w:r>
              <w:t>Source: ABS, state budget papers</w:t>
            </w:r>
            <w:r w:rsidR="009B3215">
              <w:t xml:space="preserve"> and</w:t>
            </w:r>
            <w:r>
              <w:t xml:space="preserve"> PBO analysis.</w:t>
            </w:r>
          </w:p>
        </w:tc>
      </w:tr>
    </w:tbl>
    <w:p w:rsidR="00E52D69" w:rsidRDefault="00E52D69" w:rsidP="00DF0236">
      <w:pPr>
        <w:pStyle w:val="Heading1NoNumbering"/>
      </w:pPr>
      <w:bookmarkStart w:id="51" w:name="_Toc24101682"/>
      <w:bookmarkStart w:id="52" w:name="_Toc25676872"/>
      <w:r>
        <w:lastRenderedPageBreak/>
        <w:t>Appendix A – Glossary</w:t>
      </w:r>
      <w:r w:rsidR="00021F7C">
        <w:t>, data and method</w:t>
      </w:r>
      <w:bookmarkEnd w:id="51"/>
      <w:bookmarkEnd w:id="52"/>
    </w:p>
    <w:p w:rsidR="002E66D0" w:rsidRPr="00846B2B" w:rsidRDefault="002E66D0" w:rsidP="00B8768A">
      <w:pPr>
        <w:pStyle w:val="Heading2"/>
        <w:numPr>
          <w:ilvl w:val="0"/>
          <w:numId w:val="0"/>
        </w:numPr>
      </w:pPr>
      <w:bookmarkStart w:id="53" w:name="_Toc25676873"/>
      <w:r w:rsidRPr="00846B2B">
        <w:t>Glossary</w:t>
      </w:r>
      <w:bookmarkEnd w:id="53"/>
    </w:p>
    <w:p w:rsidR="00993F48" w:rsidRDefault="00993F48" w:rsidP="00443EA9">
      <w:pPr>
        <w:pStyle w:val="Heading4"/>
        <w:rPr>
          <w:rStyle w:val="Heading4Char"/>
          <w:b/>
          <w:bCs/>
          <w:i/>
          <w:iCs/>
        </w:rPr>
      </w:pPr>
      <w:r>
        <w:rPr>
          <w:rStyle w:val="Heading4Char"/>
          <w:b/>
          <w:bCs/>
          <w:i/>
          <w:iCs/>
        </w:rPr>
        <w:t>Fiscal balance</w:t>
      </w:r>
    </w:p>
    <w:p w:rsidR="00993F48" w:rsidRPr="00B8768A" w:rsidRDefault="00993F48" w:rsidP="00B8768A">
      <w:pPr>
        <w:pStyle w:val="BodyText"/>
      </w:pPr>
      <w:r>
        <w:t>An accrual budget aggregate equal to the net operating balance less net capital investment.</w:t>
      </w:r>
      <w:r w:rsidR="00FD23F8">
        <w:br/>
      </w:r>
      <w:r>
        <w:t xml:space="preserve">It is an accrual measure of the </w:t>
      </w:r>
      <w:r w:rsidRPr="00C96E27">
        <w:t>government’s</w:t>
      </w:r>
      <w:r>
        <w:t xml:space="preserve"> investment-saving balance.</w:t>
      </w:r>
    </w:p>
    <w:p w:rsidR="007D35FA" w:rsidRPr="00443EA9" w:rsidRDefault="007D35FA" w:rsidP="00443EA9">
      <w:pPr>
        <w:pStyle w:val="Heading4"/>
        <w:rPr>
          <w:b w:val="0"/>
        </w:rPr>
      </w:pPr>
      <w:r w:rsidRPr="00C627C7">
        <w:rPr>
          <w:rStyle w:val="Heading4Char"/>
          <w:b/>
          <w:bCs/>
          <w:i/>
          <w:iCs/>
        </w:rPr>
        <w:t>General government sector</w:t>
      </w:r>
    </w:p>
    <w:p w:rsidR="007D35FA" w:rsidRDefault="007D35FA" w:rsidP="007D35FA">
      <w:pPr>
        <w:pStyle w:val="BodyText"/>
      </w:pPr>
      <w:r>
        <w:t xml:space="preserve">The general government sector consists primarily of </w:t>
      </w:r>
      <w:r w:rsidRPr="00C96E27">
        <w:t>government</w:t>
      </w:r>
      <w:r>
        <w:t xml:space="preserve"> departments and agencies providing non-market public services </w:t>
      </w:r>
      <w:r w:rsidR="006F5A9E">
        <w:t xml:space="preserve">that </w:t>
      </w:r>
      <w:r>
        <w:t>are funded mainly through taxes.</w:t>
      </w:r>
    </w:p>
    <w:p w:rsidR="007D35FA" w:rsidRPr="00183253" w:rsidRDefault="007D35FA" w:rsidP="007D35FA">
      <w:pPr>
        <w:pStyle w:val="Heading4"/>
      </w:pPr>
      <w:r w:rsidRPr="00183253">
        <w:t>Government-owned corporations</w:t>
      </w:r>
    </w:p>
    <w:p w:rsidR="007D35FA" w:rsidRDefault="007D35FA" w:rsidP="00F55855">
      <w:pPr>
        <w:pStyle w:val="BodyText"/>
      </w:pPr>
      <w:r>
        <w:t xml:space="preserve">Government-owned corporations, also known as public non-financial corporations, are corporations </w:t>
      </w:r>
      <w:r w:rsidR="006F5A9E">
        <w:t xml:space="preserve">that </w:t>
      </w:r>
      <w:r>
        <w:t xml:space="preserve">provide services to consumers on a </w:t>
      </w:r>
      <w:r w:rsidR="006F5A9E">
        <w:t>fee-for-</w:t>
      </w:r>
      <w:r>
        <w:t xml:space="preserve">service basis.  These corporations are funded through a combination of revenue from the provision of goods and services and </w:t>
      </w:r>
      <w:r w:rsidRPr="00C96E27">
        <w:t>government</w:t>
      </w:r>
      <w:r>
        <w:t xml:space="preserve"> grants.</w:t>
      </w:r>
    </w:p>
    <w:p w:rsidR="002E7479" w:rsidRPr="00183253" w:rsidRDefault="002E7479" w:rsidP="002E7479">
      <w:pPr>
        <w:pStyle w:val="Heading4"/>
      </w:pPr>
      <w:r>
        <w:t>Gross fixed capital formation</w:t>
      </w:r>
    </w:p>
    <w:p w:rsidR="002E7479" w:rsidRPr="00DF0236" w:rsidRDefault="002E7479" w:rsidP="00DF0236">
      <w:pPr>
        <w:pStyle w:val="BodyText"/>
        <w:rPr>
          <w:b/>
          <w:i/>
        </w:rPr>
      </w:pPr>
      <w:r w:rsidRPr="00484A86">
        <w:t>Gross fixed capital formation is expenditure on new fixed assets plus net expenditure on second</w:t>
      </w:r>
      <w:r w:rsidRPr="00484A86">
        <w:noBreakHyphen/>
        <w:t xml:space="preserve">hand </w:t>
      </w:r>
      <w:r w:rsidR="00F55855" w:rsidRPr="00177D7E">
        <w:t xml:space="preserve">fixed </w:t>
      </w:r>
      <w:r w:rsidRPr="00177D7E">
        <w:t>assets.  This may include additions to</w:t>
      </w:r>
      <w:r w:rsidR="0035234F">
        <w:t>,</w:t>
      </w:r>
      <w:r w:rsidRPr="00177D7E">
        <w:t xml:space="preserve"> or replacement of</w:t>
      </w:r>
      <w:r w:rsidR="0035234F">
        <w:t>,</w:t>
      </w:r>
      <w:r w:rsidRPr="00177D7E">
        <w:t xml:space="preserve"> existing assets.</w:t>
      </w:r>
    </w:p>
    <w:p w:rsidR="000E1004" w:rsidRPr="00183253" w:rsidRDefault="000E1004" w:rsidP="00023F62">
      <w:pPr>
        <w:pStyle w:val="Heading4"/>
      </w:pPr>
      <w:r w:rsidRPr="00183253">
        <w:t>Net capital investment</w:t>
      </w:r>
    </w:p>
    <w:p w:rsidR="000E1004" w:rsidRDefault="000E1004" w:rsidP="00037CCA">
      <w:pPr>
        <w:pStyle w:val="BodyText"/>
      </w:pPr>
      <w:r>
        <w:t>Net capital investment</w:t>
      </w:r>
      <w:r w:rsidR="003561F6">
        <w:t>, sometimes referred to as net acquisition of non</w:t>
      </w:r>
      <w:r w:rsidR="003561F6">
        <w:noBreakHyphen/>
        <w:t xml:space="preserve">financial assets, </w:t>
      </w:r>
      <w:r>
        <w:t>is primarily the purchase of non-financial assets</w:t>
      </w:r>
      <w:r w:rsidR="000A373F">
        <w:t>,</w:t>
      </w:r>
      <w:r>
        <w:t xml:space="preserve"> les</w:t>
      </w:r>
      <w:r w:rsidR="00040502">
        <w:t>s asset sales and depreciation.</w:t>
      </w:r>
      <w:r w:rsidR="003D3330">
        <w:t xml:space="preserve">  ‘Capital’ and ‘infrastructure’ are used interchangeably in this report.</w:t>
      </w:r>
    </w:p>
    <w:p w:rsidR="000E1004" w:rsidRPr="00183253" w:rsidRDefault="000E1004" w:rsidP="00023F62">
      <w:pPr>
        <w:pStyle w:val="Heading4"/>
      </w:pPr>
      <w:r w:rsidRPr="00183253">
        <w:t>Net debt</w:t>
      </w:r>
    </w:p>
    <w:p w:rsidR="000E1004" w:rsidRDefault="000E1004" w:rsidP="00037CCA">
      <w:pPr>
        <w:pStyle w:val="BodyText"/>
      </w:pPr>
      <w:r>
        <w:t xml:space="preserve">Net debt is a widely used measure of the strength of the </w:t>
      </w:r>
      <w:r w:rsidRPr="00C96E27">
        <w:t>government’s</w:t>
      </w:r>
      <w:r>
        <w:t xml:space="preserve"> balance sheet.  </w:t>
      </w:r>
      <w:r w:rsidRPr="00C02161">
        <w:t xml:space="preserve">Net debt is the sum of selected financial liabilities (deposits held, advances received, </w:t>
      </w:r>
      <w:r w:rsidRPr="00C96E27">
        <w:t>government</w:t>
      </w:r>
      <w:r w:rsidRPr="00C02161">
        <w:t xml:space="preserve"> securities, loans and other borrowings) less the sum of selected financial assets (cash and deposits, advances paid, and investments, loans and placements).  </w:t>
      </w:r>
      <w:r>
        <w:t xml:space="preserve">It does not include </w:t>
      </w:r>
      <w:r w:rsidR="006F5A9E">
        <w:t>superannuation-</w:t>
      </w:r>
      <w:r>
        <w:t>related liabil</w:t>
      </w:r>
      <w:r w:rsidR="00813031">
        <w:t>ities</w:t>
      </w:r>
      <w:r w:rsidR="0008339A">
        <w:t xml:space="preserve"> </w:t>
      </w:r>
      <w:r w:rsidR="0008339A" w:rsidRPr="00DF0236">
        <w:t xml:space="preserve">but </w:t>
      </w:r>
      <w:r w:rsidR="00FD0475" w:rsidRPr="00DF0236">
        <w:t>may</w:t>
      </w:r>
      <w:r w:rsidR="0008339A" w:rsidRPr="00DF0236">
        <w:t xml:space="preserve"> include </w:t>
      </w:r>
      <w:r w:rsidR="006F5A9E" w:rsidRPr="00DF0236">
        <w:t>superannuation</w:t>
      </w:r>
      <w:r w:rsidR="006F5A9E">
        <w:t>-</w:t>
      </w:r>
      <w:r w:rsidR="0008339A" w:rsidRPr="00DF0236">
        <w:t>related assets where these would be classified as one of the ‘selected financial assets’ listed above.</w:t>
      </w:r>
      <w:r w:rsidR="00FD0475">
        <w:t xml:space="preserve">    </w:t>
      </w:r>
    </w:p>
    <w:p w:rsidR="007D35FA" w:rsidRPr="00183253" w:rsidRDefault="007D35FA" w:rsidP="007D35FA">
      <w:pPr>
        <w:pStyle w:val="Heading4"/>
      </w:pPr>
      <w:r w:rsidRPr="00183253">
        <w:t xml:space="preserve">Net </w:t>
      </w:r>
      <w:r>
        <w:t>financial worth</w:t>
      </w:r>
    </w:p>
    <w:p w:rsidR="007D35FA" w:rsidRDefault="007D35FA" w:rsidP="007D35FA">
      <w:pPr>
        <w:pStyle w:val="BodyText"/>
      </w:pPr>
      <w:r>
        <w:t xml:space="preserve">Net financial worth is a broader measure of the strength of the </w:t>
      </w:r>
      <w:r w:rsidRPr="00C96E27">
        <w:t>government’s</w:t>
      </w:r>
      <w:r>
        <w:t xml:space="preserve"> balance sheet</w:t>
      </w:r>
      <w:r w:rsidR="002E7479">
        <w:t xml:space="preserve"> than</w:t>
      </w:r>
      <w:r w:rsidR="00FD23F8">
        <w:br/>
      </w:r>
      <w:r w:rsidR="002E7479">
        <w:t>net debt</w:t>
      </w:r>
      <w:r>
        <w:t>.  Net financial worth is the sum of all financial assets less the sum of all financial liabilities</w:t>
      </w:r>
      <w:r w:rsidR="00862BA9">
        <w:t xml:space="preserve">, (including </w:t>
      </w:r>
      <w:r w:rsidR="006F5A9E">
        <w:t>superannuation-</w:t>
      </w:r>
      <w:r w:rsidR="00862BA9">
        <w:t>related liabilities)</w:t>
      </w:r>
      <w:r>
        <w:t>.</w:t>
      </w:r>
    </w:p>
    <w:p w:rsidR="00FD23F8" w:rsidRDefault="00FD23F8">
      <w:pPr>
        <w:rPr>
          <w:rFonts w:cs="Times New Roman"/>
        </w:rPr>
      </w:pPr>
      <w:r>
        <w:br w:type="page"/>
      </w:r>
    </w:p>
    <w:p w:rsidR="007D35FA" w:rsidRPr="00183253" w:rsidRDefault="007D35FA" w:rsidP="007D35FA">
      <w:pPr>
        <w:pStyle w:val="Heading4"/>
      </w:pPr>
      <w:r w:rsidRPr="00183253">
        <w:lastRenderedPageBreak/>
        <w:t>Net operating balance</w:t>
      </w:r>
    </w:p>
    <w:p w:rsidR="00164EFA" w:rsidRDefault="007D35FA" w:rsidP="007D35FA">
      <w:pPr>
        <w:pStyle w:val="BodyText"/>
      </w:pPr>
      <w:r>
        <w:t>The net operating balance</w:t>
      </w:r>
      <w:r w:rsidR="00164EFA">
        <w:t xml:space="preserve"> </w:t>
      </w:r>
      <w:r>
        <w:t xml:space="preserve">is an accrual </w:t>
      </w:r>
      <w:r w:rsidR="00993F48">
        <w:t xml:space="preserve">budget </w:t>
      </w:r>
      <w:r>
        <w:t xml:space="preserve">aggregate </w:t>
      </w:r>
      <w:r w:rsidR="006F5A9E">
        <w:t>that</w:t>
      </w:r>
      <w:r>
        <w:t xml:space="preserve"> measures the difference between revenue and expenses</w:t>
      </w:r>
      <w:r w:rsidR="0013739C">
        <w:t xml:space="preserve"> arising from transactions</w:t>
      </w:r>
      <w:r>
        <w:t>.  It does not include net capital investment, but does include the consumption of capital (depreciation).</w:t>
      </w:r>
      <w:r w:rsidR="000A373F">
        <w:t xml:space="preserve">  </w:t>
      </w:r>
      <w:r w:rsidR="00E3491A">
        <w:t>The net operating balance plus net capital investment is equal to the fiscal balance.</w:t>
      </w:r>
    </w:p>
    <w:p w:rsidR="0035234F" w:rsidRDefault="00164EFA" w:rsidP="007D35FA">
      <w:pPr>
        <w:pStyle w:val="BodyText"/>
      </w:pPr>
      <w:r>
        <w:t xml:space="preserve">The net operating balance is </w:t>
      </w:r>
      <w:r w:rsidR="00E00ECB">
        <w:t xml:space="preserve">the measure of budget balance used in the annual </w:t>
      </w:r>
      <w:r w:rsidR="006F5A9E">
        <w:t xml:space="preserve">national fiscal outlook </w:t>
      </w:r>
      <w:r>
        <w:t xml:space="preserve">while the PBO’s </w:t>
      </w:r>
      <w:r w:rsidR="00E00ECB">
        <w:t xml:space="preserve">annual </w:t>
      </w:r>
      <w:r w:rsidR="006F5A9E">
        <w:t>m</w:t>
      </w:r>
      <w:r>
        <w:t>edium</w:t>
      </w:r>
      <w:r>
        <w:noBreakHyphen/>
        <w:t>term projections</w:t>
      </w:r>
      <w:r w:rsidR="00E00ECB">
        <w:t xml:space="preserve"> for the Commonwealth budget</w:t>
      </w:r>
      <w:r>
        <w:t xml:space="preserve"> uses</w:t>
      </w:r>
      <w:r w:rsidR="00FD23F8">
        <w:br/>
      </w:r>
      <w:r>
        <w:t xml:space="preserve">the underlying cash balance as its main measure of budget balance.  </w:t>
      </w:r>
    </w:p>
    <w:p w:rsidR="000C2FB2" w:rsidRDefault="000C2FB2" w:rsidP="007D35FA">
      <w:pPr>
        <w:pStyle w:val="BodyText"/>
      </w:pPr>
      <w:r>
        <w:t>The primary reason for presenting the net operating balance in this publication is that presenting</w:t>
      </w:r>
      <w:r w:rsidR="00FD23F8">
        <w:br/>
      </w:r>
      <w:r>
        <w:t xml:space="preserve">the net operating balance and net capital investment </w:t>
      </w:r>
      <w:r w:rsidR="00C20D3C">
        <w:t>allow</w:t>
      </w:r>
      <w:r w:rsidR="0020459D">
        <w:t>s</w:t>
      </w:r>
      <w:r w:rsidR="00C20D3C">
        <w:t xml:space="preserve"> a clear distinction</w:t>
      </w:r>
      <w:r>
        <w:t xml:space="preserve"> between recurrent and capital expenses, which is particularly important for understanding state budget positions.</w:t>
      </w:r>
    </w:p>
    <w:p w:rsidR="007D35FA" w:rsidRDefault="000C2FB2" w:rsidP="007D35FA">
      <w:pPr>
        <w:pStyle w:val="BodyText"/>
      </w:pPr>
      <w:r>
        <w:t>The</w:t>
      </w:r>
      <w:r w:rsidR="00E00ECB">
        <w:t xml:space="preserve"> snapshot that accompanies the </w:t>
      </w:r>
      <w:r w:rsidR="006F5A9E">
        <w:t>n</w:t>
      </w:r>
      <w:r w:rsidR="00E00ECB">
        <w:t xml:space="preserve">ational </w:t>
      </w:r>
      <w:r w:rsidR="006F5A9E">
        <w:t xml:space="preserve">fiscal outlook </w:t>
      </w:r>
      <w:r w:rsidR="006159A4">
        <w:t>presents the net operating balance, fiscal balance and net capital investment for each state</w:t>
      </w:r>
      <w:r w:rsidR="006F5A9E">
        <w:t xml:space="preserve"> and </w:t>
      </w:r>
      <w:r w:rsidR="006159A4">
        <w:t>the Commonwealth as well as national totals.</w:t>
      </w:r>
      <w:r w:rsidR="00164EFA">
        <w:t xml:space="preserve"> </w:t>
      </w:r>
    </w:p>
    <w:p w:rsidR="005C748B" w:rsidRDefault="005C748B">
      <w:pPr>
        <w:pStyle w:val="Heading2"/>
        <w:numPr>
          <w:ilvl w:val="0"/>
          <w:numId w:val="0"/>
        </w:numPr>
      </w:pPr>
      <w:bookmarkStart w:id="54" w:name="_Toc495678483"/>
      <w:bookmarkStart w:id="55" w:name="_Toc496168778"/>
      <w:bookmarkStart w:id="56" w:name="_Toc24101683"/>
      <w:bookmarkStart w:id="57" w:name="_Toc25676874"/>
      <w:r>
        <w:t xml:space="preserve">Data and </w:t>
      </w:r>
      <w:r w:rsidR="00F36EFF">
        <w:t>m</w:t>
      </w:r>
      <w:r>
        <w:t>ethod</w:t>
      </w:r>
      <w:bookmarkEnd w:id="54"/>
      <w:bookmarkEnd w:id="55"/>
      <w:bookmarkEnd w:id="56"/>
      <w:bookmarkEnd w:id="57"/>
    </w:p>
    <w:p w:rsidR="00683570" w:rsidRPr="00DB1201" w:rsidRDefault="00ED63D6" w:rsidP="00B8768A">
      <w:pPr>
        <w:pStyle w:val="BodyText"/>
        <w:rPr>
          <w:spacing w:val="-3"/>
        </w:rPr>
      </w:pPr>
      <w:r w:rsidRPr="00DB1201">
        <w:rPr>
          <w:spacing w:val="-3"/>
        </w:rPr>
        <w:t>The budget a</w:t>
      </w:r>
      <w:r w:rsidR="00683570" w:rsidRPr="00DB1201">
        <w:rPr>
          <w:spacing w:val="-3"/>
        </w:rPr>
        <w:t>ggregates in Section 1 of the report comprise Commonwealth, state and territory</w:t>
      </w:r>
      <w:r w:rsidR="006F5A9E" w:rsidRPr="00DB1201">
        <w:rPr>
          <w:spacing w:val="-3"/>
        </w:rPr>
        <w:t>,</w:t>
      </w:r>
      <w:r w:rsidR="00FD23F8" w:rsidRPr="00DB1201">
        <w:rPr>
          <w:spacing w:val="-3"/>
        </w:rPr>
        <w:t xml:space="preserve"> </w:t>
      </w:r>
      <w:r w:rsidR="00683570" w:rsidRPr="00DB1201">
        <w:rPr>
          <w:spacing w:val="-3"/>
        </w:rPr>
        <w:t xml:space="preserve">and local government.  Section 2 </w:t>
      </w:r>
      <w:r w:rsidRPr="00DB1201">
        <w:rPr>
          <w:spacing w:val="-3"/>
        </w:rPr>
        <w:t>does not include local government</w:t>
      </w:r>
      <w:r w:rsidR="006F5A9E" w:rsidRPr="00DB1201">
        <w:rPr>
          <w:spacing w:val="-3"/>
        </w:rPr>
        <w:t>,</w:t>
      </w:r>
      <w:r w:rsidR="001D0B39" w:rsidRPr="00DB1201">
        <w:rPr>
          <w:spacing w:val="-3"/>
        </w:rPr>
        <w:t xml:space="preserve"> unless indicated</w:t>
      </w:r>
      <w:r w:rsidRPr="00DB1201">
        <w:rPr>
          <w:spacing w:val="-3"/>
        </w:rPr>
        <w:t>.</w:t>
      </w:r>
      <w:r w:rsidR="0043714F" w:rsidRPr="00DB1201">
        <w:rPr>
          <w:spacing w:val="-3"/>
        </w:rPr>
        <w:t xml:space="preserve">  With the exception of local government projections, this report does not include any PBO projections.  The PBO adjusts historical data and budget projections to improve comparability across jurisdictions and over time as discussed below, but does not otherwise adjust historical or budget data.  </w:t>
      </w:r>
      <w:r w:rsidR="006F5A9E" w:rsidRPr="00DB1201">
        <w:rPr>
          <w:spacing w:val="-3"/>
        </w:rPr>
        <w:t>T</w:t>
      </w:r>
      <w:r w:rsidR="0043714F" w:rsidRPr="00DB1201">
        <w:rPr>
          <w:spacing w:val="-3"/>
        </w:rPr>
        <w:t xml:space="preserve">he analysis uses the budget papers as published, </w:t>
      </w:r>
      <w:r w:rsidR="006F5A9E" w:rsidRPr="00DB1201">
        <w:rPr>
          <w:spacing w:val="-3"/>
        </w:rPr>
        <w:t xml:space="preserve">so </w:t>
      </w:r>
      <w:r w:rsidR="0043714F" w:rsidRPr="00DB1201">
        <w:rPr>
          <w:spacing w:val="-3"/>
        </w:rPr>
        <w:t xml:space="preserve">only current government policies </w:t>
      </w:r>
      <w:r w:rsidR="003D3330" w:rsidRPr="00DB1201">
        <w:rPr>
          <w:spacing w:val="-3"/>
        </w:rPr>
        <w:t xml:space="preserve">at the time of the respective budgets </w:t>
      </w:r>
      <w:r w:rsidR="0043714F" w:rsidRPr="00DB1201">
        <w:rPr>
          <w:spacing w:val="-3"/>
        </w:rPr>
        <w:t>are included.</w:t>
      </w:r>
    </w:p>
    <w:p w:rsidR="005833E8" w:rsidRPr="00183253" w:rsidRDefault="005833E8" w:rsidP="00023F62">
      <w:pPr>
        <w:pStyle w:val="Heading4"/>
      </w:pPr>
      <w:r w:rsidRPr="00183253">
        <w:t>Data sources</w:t>
      </w:r>
    </w:p>
    <w:p w:rsidR="005833E8" w:rsidRDefault="00187461" w:rsidP="005833E8">
      <w:pPr>
        <w:pStyle w:val="BodyText"/>
      </w:pPr>
      <w:r>
        <w:t>With the exception of the material on state</w:t>
      </w:r>
      <w:r>
        <w:noBreakHyphen/>
        <w:t>owned corporations, the scope of this report is</w:t>
      </w:r>
      <w:r w:rsidR="00FD23F8">
        <w:br/>
      </w:r>
      <w:r>
        <w:t>the</w:t>
      </w:r>
      <w:r w:rsidR="005C748B" w:rsidRPr="0036164B">
        <w:t xml:space="preserve"> general government sector</w:t>
      </w:r>
      <w:r w:rsidR="005C748B">
        <w:t>.</w:t>
      </w:r>
      <w:r w:rsidR="005833E8" w:rsidRPr="005833E8">
        <w:t xml:space="preserve"> </w:t>
      </w:r>
      <w:r w:rsidR="00AB532E">
        <w:t xml:space="preserve"> Historical data, f</w:t>
      </w:r>
      <w:r w:rsidR="00153A4E">
        <w:t>rom 2002–</w:t>
      </w:r>
      <w:r w:rsidR="005833E8" w:rsidRPr="005C748B">
        <w:t>0</w:t>
      </w:r>
      <w:r w:rsidR="00153A4E">
        <w:t>3</w:t>
      </w:r>
      <w:r w:rsidR="005833E8" w:rsidRPr="005C748B">
        <w:t xml:space="preserve"> to 201</w:t>
      </w:r>
      <w:r w:rsidR="00153A4E">
        <w:t>7–</w:t>
      </w:r>
      <w:r w:rsidR="005833E8" w:rsidRPr="005C748B">
        <w:t>1</w:t>
      </w:r>
      <w:r w:rsidR="00153A4E">
        <w:t>8</w:t>
      </w:r>
      <w:r w:rsidR="00334657">
        <w:t>,</w:t>
      </w:r>
      <w:r w:rsidR="005833E8" w:rsidRPr="005C748B">
        <w:t xml:space="preserve"> are from ABS 5512.0</w:t>
      </w:r>
      <w:r w:rsidR="00FD23F8">
        <w:br/>
      </w:r>
      <w:r w:rsidR="005833E8" w:rsidRPr="005C748B">
        <w:t xml:space="preserve">– </w:t>
      </w:r>
      <w:r w:rsidR="005833E8" w:rsidRPr="00DF0236">
        <w:rPr>
          <w:i/>
        </w:rPr>
        <w:t>Government Finance S</w:t>
      </w:r>
      <w:r w:rsidR="00153A4E" w:rsidRPr="00DF0236">
        <w:rPr>
          <w:i/>
        </w:rPr>
        <w:t>tatistics, Australia</w:t>
      </w:r>
      <w:r w:rsidR="006F5A9E" w:rsidRPr="006F5A9E">
        <w:rPr>
          <w:i/>
        </w:rPr>
        <w:t>,</w:t>
      </w:r>
      <w:r w:rsidR="006F5A9E" w:rsidRPr="0077054A">
        <w:rPr>
          <w:i/>
        </w:rPr>
        <w:t xml:space="preserve"> 2016–17</w:t>
      </w:r>
      <w:r w:rsidR="00153A4E">
        <w:t>.</w:t>
      </w:r>
      <w:r w:rsidR="00AB532E">
        <w:t xml:space="preserve">  Data for the forward estimates</w:t>
      </w:r>
      <w:r w:rsidR="006F5A9E">
        <w:t xml:space="preserve"> period</w:t>
      </w:r>
      <w:proofErr w:type="gramStart"/>
      <w:r w:rsidR="00AB532E">
        <w:t>,</w:t>
      </w:r>
      <w:proofErr w:type="gramEnd"/>
      <w:r w:rsidR="00FD23F8">
        <w:br/>
      </w:r>
      <w:r w:rsidR="00AB532E">
        <w:t>f</w:t>
      </w:r>
      <w:r w:rsidR="00153A4E">
        <w:t>rom 2018–</w:t>
      </w:r>
      <w:r w:rsidR="005833E8" w:rsidRPr="005C748B">
        <w:t>1</w:t>
      </w:r>
      <w:r w:rsidR="00153A4E">
        <w:t>9</w:t>
      </w:r>
      <w:r w:rsidR="005833E8" w:rsidRPr="005C748B">
        <w:t xml:space="preserve"> to 202</w:t>
      </w:r>
      <w:r w:rsidR="00153A4E">
        <w:t>2–</w:t>
      </w:r>
      <w:r w:rsidR="005833E8" w:rsidRPr="005C748B">
        <w:t>2</w:t>
      </w:r>
      <w:r w:rsidR="00153A4E">
        <w:t>3</w:t>
      </w:r>
      <w:r w:rsidR="00AB532E">
        <w:t>,</w:t>
      </w:r>
      <w:r w:rsidR="005833E8" w:rsidRPr="005C748B">
        <w:t xml:space="preserve"> are sourced from Commonwealth, state and territory budgets.  </w:t>
      </w:r>
    </w:p>
    <w:p w:rsidR="000F5894" w:rsidRPr="00DB1201" w:rsidRDefault="00AB532E" w:rsidP="005C748B">
      <w:pPr>
        <w:pStyle w:val="BodyText"/>
        <w:rPr>
          <w:spacing w:val="-3"/>
        </w:rPr>
      </w:pPr>
      <w:r w:rsidRPr="00DB1201">
        <w:rPr>
          <w:spacing w:val="-3"/>
        </w:rPr>
        <w:t>Historical net debt figures were provided to the PBO through the ABS’ special data service</w:t>
      </w:r>
      <w:r w:rsidR="005C593A" w:rsidRPr="00DB1201">
        <w:rPr>
          <w:spacing w:val="-3"/>
        </w:rPr>
        <w:t xml:space="preserve"> consistent with the presentation in </w:t>
      </w:r>
      <w:r w:rsidR="007953B3" w:rsidRPr="00DB1201">
        <w:rPr>
          <w:spacing w:val="-3"/>
        </w:rPr>
        <w:t xml:space="preserve">ABS 5512.0 – </w:t>
      </w:r>
      <w:r w:rsidR="007953B3" w:rsidRPr="00DB1201">
        <w:rPr>
          <w:i/>
          <w:spacing w:val="-3"/>
        </w:rPr>
        <w:t>Government Finance Statistics, Australia, 2016–17</w:t>
      </w:r>
      <w:r w:rsidRPr="00DB1201">
        <w:rPr>
          <w:spacing w:val="-3"/>
        </w:rPr>
        <w:t xml:space="preserve">.  </w:t>
      </w:r>
      <w:r w:rsidR="000F5894" w:rsidRPr="00DB1201">
        <w:rPr>
          <w:spacing w:val="-3"/>
        </w:rPr>
        <w:t>The ABS no longer publishes a single measure of net debt, and has instead introduced a debt matrix presentation</w:t>
      </w:r>
      <w:r w:rsidR="00FD23F8">
        <w:rPr>
          <w:spacing w:val="-3"/>
        </w:rPr>
        <w:br/>
      </w:r>
      <w:r w:rsidR="000F5894" w:rsidRPr="00DB1201">
        <w:rPr>
          <w:spacing w:val="-3"/>
        </w:rPr>
        <w:t xml:space="preserve">for public sector debt statistics, disaggregated by government sector and debt instrument.  Under the matrix presentation, L2 is </w:t>
      </w:r>
      <w:r w:rsidR="00507DAB" w:rsidRPr="00DB1201">
        <w:rPr>
          <w:spacing w:val="-3"/>
        </w:rPr>
        <w:t xml:space="preserve">the closest </w:t>
      </w:r>
      <w:r w:rsidR="000F5894" w:rsidRPr="00DB1201">
        <w:rPr>
          <w:spacing w:val="-3"/>
        </w:rPr>
        <w:t>comparable</w:t>
      </w:r>
      <w:r w:rsidR="00507DAB" w:rsidRPr="00DB1201">
        <w:rPr>
          <w:spacing w:val="-3"/>
        </w:rPr>
        <w:t xml:space="preserve"> measure</w:t>
      </w:r>
      <w:r w:rsidR="000F5894" w:rsidRPr="00DB1201">
        <w:rPr>
          <w:spacing w:val="-3"/>
        </w:rPr>
        <w:t xml:space="preserve"> to government reporting of net debt under Australian Accounting Standards.</w:t>
      </w:r>
      <w:r w:rsidR="00026EB5" w:rsidRPr="00DB1201">
        <w:rPr>
          <w:spacing w:val="-3"/>
        </w:rPr>
        <w:t xml:space="preserve">  </w:t>
      </w:r>
    </w:p>
    <w:p w:rsidR="00AB532E" w:rsidRDefault="00AB532E" w:rsidP="00EC2FCF">
      <w:pPr>
        <w:pStyle w:val="Heading4"/>
      </w:pPr>
      <w:r>
        <w:t>Method</w:t>
      </w:r>
    </w:p>
    <w:p w:rsidR="00AB532E" w:rsidRDefault="00AB532E" w:rsidP="00AB532E">
      <w:pPr>
        <w:pStyle w:val="BodyText"/>
      </w:pPr>
      <w:r w:rsidRPr="005C748B">
        <w:t xml:space="preserve">Data </w:t>
      </w:r>
      <w:r>
        <w:t>are</w:t>
      </w:r>
      <w:r w:rsidRPr="005C748B">
        <w:t xml:space="preserve"> generally comparable across the </w:t>
      </w:r>
      <w:r>
        <w:t xml:space="preserve">historical and forward estimates </w:t>
      </w:r>
      <w:r w:rsidRPr="005C748B">
        <w:t xml:space="preserve">periods, but there are differences in the budget treatment </w:t>
      </w:r>
      <w:r>
        <w:t>of items across jurisdictions.</w:t>
      </w:r>
    </w:p>
    <w:p w:rsidR="00AB532E" w:rsidRPr="00DB1201" w:rsidRDefault="00AB532E" w:rsidP="00AB532E">
      <w:pPr>
        <w:pStyle w:val="BodyText"/>
        <w:rPr>
          <w:spacing w:val="-3"/>
        </w:rPr>
      </w:pPr>
      <w:r w:rsidRPr="00DB1201">
        <w:rPr>
          <w:spacing w:val="-3"/>
        </w:rPr>
        <w:t>The projections of revenue and expenses for New South Wales and Western Australia have been adjusted by the PBO to improve comparability across periods.  These budget estimates exclude Commonwealth transfers that ‘pass through’ their state accounts and, as such, their reported revenue and expenses do not include these amounts (these mainly relate to payments to non</w:t>
      </w:r>
      <w:r w:rsidRPr="00DB1201">
        <w:rPr>
          <w:spacing w:val="-3"/>
        </w:rPr>
        <w:noBreakHyphen/>
        <w:t>government schools and local governments which the Commonwealth makes through the states).  In contrast</w:t>
      </w:r>
      <w:proofErr w:type="gramStart"/>
      <w:r w:rsidR="006F5A9E" w:rsidRPr="00DB1201">
        <w:rPr>
          <w:spacing w:val="-3"/>
        </w:rPr>
        <w:t>,</w:t>
      </w:r>
      <w:proofErr w:type="gramEnd"/>
      <w:r w:rsidR="00FD23F8">
        <w:rPr>
          <w:spacing w:val="-3"/>
        </w:rPr>
        <w:br/>
      </w:r>
      <w:r w:rsidRPr="00DB1201">
        <w:rPr>
          <w:spacing w:val="-3"/>
        </w:rPr>
        <w:t xml:space="preserve">the ABS requires that the full ‘grossed up’ amount be reported.  In this edition of the </w:t>
      </w:r>
      <w:r w:rsidR="00993F48" w:rsidRPr="00DB1201">
        <w:rPr>
          <w:spacing w:val="-3"/>
        </w:rPr>
        <w:t>o</w:t>
      </w:r>
      <w:r w:rsidRPr="00DB1201">
        <w:rPr>
          <w:spacing w:val="-3"/>
        </w:rPr>
        <w:t xml:space="preserve">utlook, </w:t>
      </w:r>
      <w:r w:rsidR="00993F48" w:rsidRPr="00DB1201">
        <w:rPr>
          <w:spacing w:val="-3"/>
        </w:rPr>
        <w:t>t</w:t>
      </w:r>
      <w:r w:rsidRPr="00DB1201">
        <w:rPr>
          <w:spacing w:val="-3"/>
        </w:rPr>
        <w:t xml:space="preserve">he PBO has revised its adjustment for these transfers to gain a more consistent series.  Revenue and expenses </w:t>
      </w:r>
      <w:r w:rsidRPr="00DB1201">
        <w:rPr>
          <w:spacing w:val="-3"/>
        </w:rPr>
        <w:lastRenderedPageBreak/>
        <w:t xml:space="preserve">for New South Wales and Western Australia from </w:t>
      </w:r>
      <w:r w:rsidR="003F048F" w:rsidRPr="00DB1201">
        <w:rPr>
          <w:spacing w:val="-3"/>
        </w:rPr>
        <w:t>2018</w:t>
      </w:r>
      <w:r w:rsidR="00581BA8" w:rsidRPr="00DB1201">
        <w:rPr>
          <w:spacing w:val="-3"/>
        </w:rPr>
        <w:t>–</w:t>
      </w:r>
      <w:r w:rsidRPr="00DB1201">
        <w:rPr>
          <w:spacing w:val="-3"/>
        </w:rPr>
        <w:t>1</w:t>
      </w:r>
      <w:r w:rsidR="003F048F" w:rsidRPr="00DB1201">
        <w:rPr>
          <w:spacing w:val="-3"/>
        </w:rPr>
        <w:t>9</w:t>
      </w:r>
      <w:r w:rsidRPr="00DB1201">
        <w:rPr>
          <w:spacing w:val="-3"/>
        </w:rPr>
        <w:t xml:space="preserve"> onwards are adjusted using the estimates</w:t>
      </w:r>
      <w:r w:rsidR="00FD23F8">
        <w:rPr>
          <w:spacing w:val="-3"/>
        </w:rPr>
        <w:br/>
      </w:r>
      <w:r w:rsidRPr="00DB1201">
        <w:rPr>
          <w:spacing w:val="-3"/>
        </w:rPr>
        <w:t>of these transfers in state and Commonwealth budget papers.</w:t>
      </w:r>
    </w:p>
    <w:p w:rsidR="00FF4D54" w:rsidRDefault="00FF4D54" w:rsidP="002E66D0">
      <w:pPr>
        <w:pStyle w:val="BodyText"/>
      </w:pPr>
      <w:r w:rsidRPr="00F15181">
        <w:t xml:space="preserve">Charts in </w:t>
      </w:r>
      <w:r w:rsidR="006F5A9E">
        <w:t>S</w:t>
      </w:r>
      <w:r w:rsidRPr="00F15181">
        <w:t xml:space="preserve">ection 1 comparing variables from the previous and current outlook (for example, </w:t>
      </w:r>
      <w:r w:rsidRPr="00E424D9">
        <w:fldChar w:fldCharType="begin"/>
      </w:r>
      <w:r w:rsidRPr="00F15181">
        <w:instrText xml:space="preserve"> REF _Ref529189930 \h </w:instrText>
      </w:r>
      <w:r w:rsidR="00675A34" w:rsidRPr="00012723">
        <w:instrText xml:space="preserve"> \* MERGEFORMAT </w:instrText>
      </w:r>
      <w:r w:rsidRPr="00E424D9">
        <w:fldChar w:fldCharType="separate"/>
      </w:r>
      <w:r w:rsidR="0070188F" w:rsidRPr="002E47C9">
        <w:t xml:space="preserve">Figure </w:t>
      </w:r>
      <w:r w:rsidR="0070188F">
        <w:rPr>
          <w:noProof/>
        </w:rPr>
        <w:t>1</w:t>
      </w:r>
      <w:r w:rsidR="0070188F" w:rsidRPr="002E47C9">
        <w:t>–</w:t>
      </w:r>
      <w:r w:rsidR="0070188F">
        <w:t>5</w:t>
      </w:r>
      <w:r w:rsidRPr="00E424D9">
        <w:fldChar w:fldCharType="end"/>
      </w:r>
      <w:r w:rsidR="003C5A52">
        <w:t xml:space="preserve">), use </w:t>
      </w:r>
      <w:r w:rsidR="00675A34" w:rsidRPr="00DB5BCC">
        <w:t xml:space="preserve">the </w:t>
      </w:r>
      <w:r w:rsidRPr="00F15181">
        <w:t xml:space="preserve">GDP </w:t>
      </w:r>
      <w:r w:rsidR="00675A34" w:rsidRPr="00F15181">
        <w:t xml:space="preserve">projections </w:t>
      </w:r>
      <w:r w:rsidR="007A4217" w:rsidRPr="00F15181">
        <w:t>underpinning</w:t>
      </w:r>
      <w:r w:rsidR="00675A34" w:rsidRPr="00F15181">
        <w:t xml:space="preserve"> the </w:t>
      </w:r>
      <w:r w:rsidR="00D4651C">
        <w:t>corresponding</w:t>
      </w:r>
      <w:r w:rsidR="007A4217" w:rsidRPr="00F15181">
        <w:t xml:space="preserve"> Commonwealth</w:t>
      </w:r>
      <w:r w:rsidR="003C5A52">
        <w:t xml:space="preserve"> </w:t>
      </w:r>
      <w:r w:rsidR="006F5A9E">
        <w:t>B</w:t>
      </w:r>
      <w:r w:rsidR="003C5A52">
        <w:t>udget</w:t>
      </w:r>
      <w:r w:rsidRPr="00F15181">
        <w:t xml:space="preserve"> when calculating share</w:t>
      </w:r>
      <w:r w:rsidR="00675A34" w:rsidRPr="00E424D9">
        <w:t>s</w:t>
      </w:r>
      <w:r w:rsidRPr="00EB0474">
        <w:t xml:space="preserve"> of GDP.  For example, the </w:t>
      </w:r>
      <w:r w:rsidR="00675A34" w:rsidRPr="00DB5BCC">
        <w:t xml:space="preserve">net debt projections from the </w:t>
      </w:r>
      <w:r w:rsidRPr="00F15181">
        <w:t>2018</w:t>
      </w:r>
      <w:r w:rsidR="00581BA8">
        <w:t>–</w:t>
      </w:r>
      <w:r w:rsidRPr="00F15181">
        <w:t xml:space="preserve">19 </w:t>
      </w:r>
      <w:proofErr w:type="gramStart"/>
      <w:r w:rsidR="003D3330">
        <w:t>outlook</w:t>
      </w:r>
      <w:proofErr w:type="gramEnd"/>
      <w:r w:rsidR="003D3330">
        <w:t xml:space="preserve"> </w:t>
      </w:r>
      <w:r w:rsidR="00675A34" w:rsidRPr="00F15181">
        <w:t xml:space="preserve">are </w:t>
      </w:r>
      <w:r w:rsidRPr="00F15181">
        <w:t xml:space="preserve">expressed as a share of </w:t>
      </w:r>
      <w:r w:rsidR="00675A34" w:rsidRPr="00F15181">
        <w:t xml:space="preserve">the GDP projection in the </w:t>
      </w:r>
      <w:r w:rsidR="00D4651C" w:rsidRPr="00F15181">
        <w:t>201</w:t>
      </w:r>
      <w:r w:rsidR="00D4651C">
        <w:t>8</w:t>
      </w:r>
      <w:r w:rsidR="00581BA8">
        <w:t>–</w:t>
      </w:r>
      <w:r w:rsidR="00D4651C">
        <w:t>19</w:t>
      </w:r>
      <w:r w:rsidR="00D4651C" w:rsidRPr="00F15181">
        <w:t xml:space="preserve"> </w:t>
      </w:r>
      <w:r w:rsidR="00675A34" w:rsidRPr="00F15181">
        <w:t xml:space="preserve">outlook. </w:t>
      </w:r>
    </w:p>
    <w:p w:rsidR="002E66D0" w:rsidRPr="000E1004" w:rsidRDefault="002E66D0" w:rsidP="002E66D0">
      <w:pPr>
        <w:pStyle w:val="BodyText"/>
      </w:pPr>
      <w:r>
        <w:t>From 20</w:t>
      </w:r>
      <w:r w:rsidR="003F048F">
        <w:t>18</w:t>
      </w:r>
      <w:r w:rsidR="00581BA8">
        <w:t>–</w:t>
      </w:r>
      <w:r w:rsidR="003F048F">
        <w:t>19</w:t>
      </w:r>
      <w:r w:rsidR="004677DD">
        <w:t>,</w:t>
      </w:r>
      <w:r>
        <w:t xml:space="preserve"> </w:t>
      </w:r>
      <w:r w:rsidR="00F905F1">
        <w:t xml:space="preserve">aggregated </w:t>
      </w:r>
      <w:r>
        <w:t xml:space="preserve">local government data </w:t>
      </w:r>
      <w:r w:rsidR="006F5A9E">
        <w:t xml:space="preserve">are </w:t>
      </w:r>
      <w:r>
        <w:t>projected by the PBO using historical trends</w:t>
      </w:r>
      <w:r w:rsidR="00A12806">
        <w:t>.</w:t>
      </w:r>
      <w:r w:rsidR="00487D2C">
        <w:t xml:space="preserve"> </w:t>
      </w:r>
      <w:r w:rsidR="00A12806">
        <w:t xml:space="preserve"> This is </w:t>
      </w:r>
      <w:r w:rsidR="00487D2C">
        <w:t>included in the analysis in Section 1</w:t>
      </w:r>
      <w:r w:rsidR="00334657">
        <w:t xml:space="preserve"> only</w:t>
      </w:r>
      <w:r>
        <w:t>.</w:t>
      </w:r>
    </w:p>
    <w:p w:rsidR="006C0AA2" w:rsidRPr="00183253" w:rsidRDefault="006C0AA2" w:rsidP="00023F62">
      <w:pPr>
        <w:pStyle w:val="Heading4"/>
      </w:pPr>
      <w:r w:rsidRPr="00183253">
        <w:t>Final budget outcomes not included</w:t>
      </w:r>
      <w:r w:rsidR="0072644E">
        <w:t xml:space="preserve"> for 2018–19</w:t>
      </w:r>
    </w:p>
    <w:p w:rsidR="00800F0B" w:rsidRDefault="005C748B" w:rsidP="005C748B">
      <w:pPr>
        <w:pStyle w:val="BodyText"/>
      </w:pPr>
      <w:r w:rsidRPr="00202F3D">
        <w:t>The data in this report do not incorporate 201</w:t>
      </w:r>
      <w:r w:rsidR="00342881">
        <w:t>8–</w:t>
      </w:r>
      <w:r w:rsidRPr="00202F3D">
        <w:t>1</w:t>
      </w:r>
      <w:r w:rsidR="00342881">
        <w:t>9</w:t>
      </w:r>
      <w:r w:rsidRPr="00202F3D">
        <w:t xml:space="preserve"> final budget results of the Commonwealth</w:t>
      </w:r>
      <w:r w:rsidR="00FD23F8">
        <w:br/>
      </w:r>
      <w:r w:rsidRPr="00202F3D">
        <w:t>and states.</w:t>
      </w:r>
      <w:r w:rsidR="00800F0B">
        <w:t xml:space="preserve"> </w:t>
      </w:r>
      <w:r w:rsidR="00B21F37">
        <w:t xml:space="preserve"> </w:t>
      </w:r>
      <w:r w:rsidR="00800F0B">
        <w:t xml:space="preserve">The figures in this report also do not incorporate </w:t>
      </w:r>
      <w:r w:rsidR="002E0A3D">
        <w:t>any announcements since budgets</w:t>
      </w:r>
      <w:r w:rsidR="00236260">
        <w:rPr>
          <w:i/>
        </w:rPr>
        <w:t>.</w:t>
      </w:r>
    </w:p>
    <w:p w:rsidR="00910235" w:rsidRPr="000E1004" w:rsidRDefault="005C748B">
      <w:pPr>
        <w:pStyle w:val="BodyText"/>
      </w:pPr>
      <w:r w:rsidRPr="00202F3D">
        <w:t>Partially updating the forward estimates for final budget results may misrepresent trends across the forward estimates.  For example, the Commonwealth’s 201</w:t>
      </w:r>
      <w:r w:rsidR="00153A4E">
        <w:t>8–</w:t>
      </w:r>
      <w:r w:rsidRPr="00202F3D">
        <w:t>1</w:t>
      </w:r>
      <w:r w:rsidR="00153A4E">
        <w:t>9</w:t>
      </w:r>
      <w:r w:rsidRPr="00202F3D">
        <w:t xml:space="preserve"> Final Budget </w:t>
      </w:r>
      <w:r w:rsidRPr="00507DAB">
        <w:t xml:space="preserve">Outcome </w:t>
      </w:r>
      <w:r w:rsidRPr="00EC2FCF">
        <w:t xml:space="preserve">contained </w:t>
      </w:r>
      <w:r w:rsidR="00DA53FD" w:rsidRPr="00507DAB">
        <w:t>underspends on the NDIS</w:t>
      </w:r>
      <w:r w:rsidRPr="00507DAB">
        <w:t xml:space="preserve">.  </w:t>
      </w:r>
      <w:r w:rsidR="00EC31FD">
        <w:t>As least some of this f</w:t>
      </w:r>
      <w:r w:rsidRPr="00507DAB">
        <w:t xml:space="preserve">unding is likely to be shifted to subsequent years.  Factoring in only the </w:t>
      </w:r>
      <w:r w:rsidR="00153A4E" w:rsidRPr="00507DAB">
        <w:t xml:space="preserve">2018–19 </w:t>
      </w:r>
      <w:r w:rsidRPr="00507DAB">
        <w:t>reduction in expenses without any change in the other years would</w:t>
      </w:r>
      <w:r w:rsidRPr="00560C37">
        <w:t xml:space="preserve"> create an inconsistency within the forward estimates period.</w:t>
      </w:r>
    </w:p>
    <w:sectPr w:rsidR="00910235" w:rsidRPr="000E1004" w:rsidSect="00F54CB8">
      <w:footerReference w:type="even" r:id="rId63"/>
      <w:footerReference w:type="default" r:id="rId64"/>
      <w:pgSz w:w="11907" w:h="16840" w:code="9"/>
      <w:pgMar w:top="1191" w:right="1418" w:bottom="1021" w:left="1418" w:header="567"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23E" w:rsidRDefault="0007123E" w:rsidP="00A20802">
      <w:pPr>
        <w:spacing w:line="240" w:lineRule="auto"/>
      </w:pPr>
      <w:r>
        <w:separator/>
      </w:r>
    </w:p>
    <w:p w:rsidR="0007123E" w:rsidRDefault="0007123E"/>
    <w:p w:rsidR="0007123E" w:rsidRDefault="0007123E"/>
  </w:endnote>
  <w:endnote w:type="continuationSeparator" w:id="0">
    <w:p w:rsidR="0007123E" w:rsidRDefault="0007123E" w:rsidP="00A20802">
      <w:pPr>
        <w:spacing w:line="240" w:lineRule="auto"/>
      </w:pPr>
      <w:r>
        <w:continuationSeparator/>
      </w:r>
    </w:p>
    <w:p w:rsidR="0007123E" w:rsidRDefault="0007123E"/>
    <w:p w:rsidR="0007123E" w:rsidRDefault="000712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Dada Grotesk">
    <w:panose1 w:val="00000000000000000000"/>
    <w:charset w:val="00"/>
    <w:family w:val="swiss"/>
    <w:notTrueType/>
    <w:pitch w:val="variable"/>
    <w:sig w:usb0="A00000AF" w:usb1="4000206A" w:usb2="00000000" w:usb3="00000000" w:csb0="0000009B"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BCC" w:rsidRDefault="00017BC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07123E" w:rsidRPr="00BA1E8D" w:rsidTr="00DB43E0">
      <w:trPr>
        <w:trHeight w:val="879"/>
      </w:trPr>
      <w:tc>
        <w:tcPr>
          <w:tcW w:w="8504" w:type="dxa"/>
        </w:tcPr>
        <w:p w:rsidR="0007123E" w:rsidRPr="00846B2B" w:rsidRDefault="0007123E" w:rsidP="004F6D86">
          <w:pPr>
            <w:pStyle w:val="FooterRight"/>
          </w:pPr>
          <w:r w:rsidRPr="0006653F">
            <w:t>NAT</w:t>
          </w:r>
          <w:r>
            <w:t>IONAL FISCAL OUTLOOK: AS AT 2019</w:t>
          </w:r>
          <w:r w:rsidRPr="0006653F">
            <w:t>–</w:t>
          </w:r>
          <w:r>
            <w:t>20</w:t>
          </w:r>
          <w:r w:rsidRPr="0006653F">
            <w:t xml:space="preserve"> BUDGETS</w:t>
          </w:r>
          <w:r w:rsidRPr="00846B2B">
            <w:fldChar w:fldCharType="begin"/>
          </w:r>
          <w:r w:rsidRPr="00846B2B">
            <w:instrText xml:space="preserve"> if </w:instrText>
          </w:r>
          <w:r w:rsidRPr="00846B2B">
            <w:fldChar w:fldCharType="begin"/>
          </w:r>
          <w:r w:rsidRPr="00846B2B">
            <w:instrText xml:space="preserve"> STYLEREF  Title </w:instrText>
          </w:r>
          <w:r w:rsidRPr="00846B2B">
            <w:fldChar w:fldCharType="end"/>
          </w:r>
          <w:r w:rsidRPr="00846B2B">
            <w:instrText xml:space="preserve">&lt;&gt; "Error*" </w:instrText>
          </w:r>
          <w:r w:rsidRPr="00846B2B">
            <w:fldChar w:fldCharType="begin"/>
          </w:r>
          <w:r w:rsidRPr="00846B2B">
            <w:instrText xml:space="preserve"> STYLEREF  Title </w:instrText>
          </w:r>
          <w:r w:rsidRPr="00846B2B">
            <w:fldChar w:fldCharType="end"/>
          </w:r>
          <w:r w:rsidRPr="00846B2B">
            <w:instrText xml:space="preserve"> </w:instrText>
          </w:r>
          <w:r w:rsidRPr="00846B2B">
            <w:fldChar w:fldCharType="end"/>
          </w:r>
        </w:p>
      </w:tc>
      <w:tc>
        <w:tcPr>
          <w:tcW w:w="1417" w:type="dxa"/>
        </w:tcPr>
        <w:p w:rsidR="0007123E" w:rsidRPr="00BA1E8D" w:rsidRDefault="0007123E" w:rsidP="00023A6F">
          <w:pPr>
            <w:pStyle w:val="FooterRightPageNumber"/>
          </w:pPr>
          <w:r w:rsidRPr="00BA1E8D">
            <w:fldChar w:fldCharType="begin"/>
          </w:r>
          <w:r w:rsidRPr="00BA1E8D">
            <w:instrText xml:space="preserve"> PAGE   \* MERGEFORMAT </w:instrText>
          </w:r>
          <w:r w:rsidRPr="00BA1E8D">
            <w:fldChar w:fldCharType="separate"/>
          </w:r>
          <w:r w:rsidR="00017BCC">
            <w:t>1</w:t>
          </w:r>
          <w:r w:rsidRPr="00BA1E8D">
            <w:fldChar w:fldCharType="end"/>
          </w:r>
        </w:p>
      </w:tc>
    </w:tr>
  </w:tbl>
  <w:p w:rsidR="0007123E" w:rsidRPr="004816D7" w:rsidRDefault="0007123E" w:rsidP="00BA1E8D">
    <w:pPr>
      <w:pStyle w:val="Footer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BCC" w:rsidRDefault="00017BC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BCC" w:rsidRDefault="00017BC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23E" w:rsidRDefault="0007123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23E" w:rsidRDefault="0007123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23E" w:rsidRDefault="0007123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YSpec="bottom"/>
      <w:tblW w:w="9921" w:type="dxa"/>
      <w:tblLayout w:type="fixed"/>
      <w:tblLook w:val="04A0" w:firstRow="1" w:lastRow="0" w:firstColumn="1" w:lastColumn="0" w:noHBand="0" w:noVBand="1"/>
    </w:tblPr>
    <w:tblGrid>
      <w:gridCol w:w="1417"/>
      <w:gridCol w:w="8504"/>
    </w:tblGrid>
    <w:tr w:rsidR="0007123E" w:rsidRPr="00BA1E8D" w:rsidTr="00DB43E0">
      <w:trPr>
        <w:trHeight w:val="879"/>
      </w:trPr>
      <w:tc>
        <w:tcPr>
          <w:tcW w:w="1417" w:type="dxa"/>
        </w:tcPr>
        <w:p w:rsidR="0007123E" w:rsidRPr="00023A6F" w:rsidRDefault="0007123E" w:rsidP="006668D3">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sidR="00DB1201">
            <w:rPr>
              <w:noProof/>
            </w:rPr>
            <w:t>iv</w:t>
          </w:r>
          <w:r w:rsidRPr="00BA1E8D">
            <w:rPr>
              <w:noProof/>
            </w:rPr>
            <w:fldChar w:fldCharType="end"/>
          </w:r>
        </w:p>
      </w:tc>
      <w:tc>
        <w:tcPr>
          <w:tcW w:w="8504" w:type="dxa"/>
        </w:tcPr>
        <w:p w:rsidR="0007123E" w:rsidRPr="00846B2B" w:rsidRDefault="0007123E" w:rsidP="006668D3">
          <w:pPr>
            <w:pStyle w:val="FooterLeftPageNumber"/>
            <w:ind w:left="0"/>
            <w:rPr>
              <w:b w:val="0"/>
              <w:noProof/>
            </w:rPr>
          </w:pPr>
          <w:r w:rsidRPr="00846B2B">
            <w:rPr>
              <w:b w:val="0"/>
              <w:noProof/>
            </w:rPr>
            <w:t>NATIONAL FISCAL OUTLOOK: AS AT 2018–19 BUDGETS</w:t>
          </w:r>
        </w:p>
      </w:tc>
    </w:tr>
  </w:tbl>
  <w:p w:rsidR="0007123E" w:rsidRPr="008E2623" w:rsidRDefault="0007123E" w:rsidP="008E262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07123E" w:rsidRPr="00BA1E8D" w:rsidTr="00DB43E0">
      <w:trPr>
        <w:trHeight w:val="879"/>
      </w:trPr>
      <w:tc>
        <w:tcPr>
          <w:tcW w:w="8504" w:type="dxa"/>
        </w:tcPr>
        <w:p w:rsidR="0007123E" w:rsidRPr="00846B2B" w:rsidRDefault="0007123E" w:rsidP="004F6D86">
          <w:pPr>
            <w:pStyle w:val="FooterRight"/>
          </w:pPr>
          <w:r w:rsidRPr="0006653F">
            <w:t>NAT</w:t>
          </w:r>
          <w:r>
            <w:t>IONAL FISCAL OUTLOOK: AS AT 2019</w:t>
          </w:r>
          <w:r w:rsidRPr="0006653F">
            <w:t>–</w:t>
          </w:r>
          <w:r>
            <w:t>20</w:t>
          </w:r>
          <w:r w:rsidRPr="0006653F">
            <w:t xml:space="preserve"> BUDGETS</w:t>
          </w:r>
          <w:r w:rsidRPr="00846B2B">
            <w:fldChar w:fldCharType="begin"/>
          </w:r>
          <w:r w:rsidRPr="00846B2B">
            <w:instrText xml:space="preserve"> if </w:instrText>
          </w:r>
          <w:r w:rsidRPr="00846B2B">
            <w:fldChar w:fldCharType="begin"/>
          </w:r>
          <w:r w:rsidRPr="00846B2B">
            <w:instrText xml:space="preserve"> STYLEREF  Title </w:instrText>
          </w:r>
          <w:r w:rsidRPr="00846B2B">
            <w:fldChar w:fldCharType="end"/>
          </w:r>
          <w:r w:rsidRPr="00846B2B">
            <w:instrText xml:space="preserve">&lt;&gt; "Error*" </w:instrText>
          </w:r>
          <w:r w:rsidRPr="00846B2B">
            <w:fldChar w:fldCharType="begin"/>
          </w:r>
          <w:r w:rsidRPr="00846B2B">
            <w:instrText xml:space="preserve"> STYLEREF  Title </w:instrText>
          </w:r>
          <w:r w:rsidRPr="00846B2B">
            <w:fldChar w:fldCharType="end"/>
          </w:r>
          <w:r w:rsidRPr="00846B2B">
            <w:instrText xml:space="preserve"> </w:instrText>
          </w:r>
          <w:r w:rsidRPr="00846B2B">
            <w:fldChar w:fldCharType="end"/>
          </w:r>
        </w:p>
      </w:tc>
      <w:tc>
        <w:tcPr>
          <w:tcW w:w="1417" w:type="dxa"/>
        </w:tcPr>
        <w:p w:rsidR="0007123E" w:rsidRPr="00BA1E8D" w:rsidRDefault="0007123E" w:rsidP="00023A6F">
          <w:pPr>
            <w:pStyle w:val="FooterRightPageNumber"/>
          </w:pPr>
          <w:r w:rsidRPr="00BA1E8D">
            <w:fldChar w:fldCharType="begin"/>
          </w:r>
          <w:r w:rsidRPr="00BA1E8D">
            <w:instrText xml:space="preserve"> PAGE   \* MERGEFORMAT </w:instrText>
          </w:r>
          <w:r w:rsidRPr="00BA1E8D">
            <w:fldChar w:fldCharType="separate"/>
          </w:r>
          <w:r w:rsidR="00017BCC">
            <w:t>iii</w:t>
          </w:r>
          <w:r w:rsidRPr="00BA1E8D">
            <w:fldChar w:fldCharType="end"/>
          </w:r>
        </w:p>
      </w:tc>
    </w:tr>
  </w:tbl>
  <w:p w:rsidR="0007123E" w:rsidRPr="004816D7" w:rsidRDefault="0007123E" w:rsidP="00BA1E8D">
    <w:pPr>
      <w:pStyle w:val="Footer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YSpec="bottom"/>
      <w:tblW w:w="9921" w:type="dxa"/>
      <w:tblLayout w:type="fixed"/>
      <w:tblLook w:val="04A0" w:firstRow="1" w:lastRow="0" w:firstColumn="1" w:lastColumn="0" w:noHBand="0" w:noVBand="1"/>
    </w:tblPr>
    <w:tblGrid>
      <w:gridCol w:w="1417"/>
      <w:gridCol w:w="8504"/>
    </w:tblGrid>
    <w:tr w:rsidR="0007123E" w:rsidRPr="00BA1E8D" w:rsidTr="00EE3EB6">
      <w:trPr>
        <w:trHeight w:val="879"/>
      </w:trPr>
      <w:tc>
        <w:tcPr>
          <w:tcW w:w="1417" w:type="dxa"/>
        </w:tcPr>
        <w:p w:rsidR="0007123E" w:rsidRPr="00023A6F" w:rsidRDefault="0007123E" w:rsidP="008E2623">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sidR="00017BCC">
            <w:rPr>
              <w:noProof/>
            </w:rPr>
            <w:t>2</w:t>
          </w:r>
          <w:r w:rsidRPr="00BA1E8D">
            <w:rPr>
              <w:noProof/>
            </w:rPr>
            <w:fldChar w:fldCharType="end"/>
          </w:r>
        </w:p>
      </w:tc>
      <w:tc>
        <w:tcPr>
          <w:tcW w:w="8504" w:type="dxa"/>
        </w:tcPr>
        <w:p w:rsidR="0007123E" w:rsidRPr="00846B2B" w:rsidRDefault="0007123E" w:rsidP="004F6D86">
          <w:pPr>
            <w:pStyle w:val="FooterLeftPageNumber"/>
            <w:ind w:left="0"/>
            <w:rPr>
              <w:b w:val="0"/>
              <w:noProof/>
            </w:rPr>
          </w:pPr>
          <w:r w:rsidRPr="00846B2B">
            <w:rPr>
              <w:b w:val="0"/>
              <w:noProof/>
            </w:rPr>
            <w:t>NATIONAL FISCAL OUTLOOK: AS AT 201</w:t>
          </w:r>
          <w:r>
            <w:rPr>
              <w:b w:val="0"/>
              <w:noProof/>
            </w:rPr>
            <w:t>9</w:t>
          </w:r>
          <w:r w:rsidRPr="00846B2B">
            <w:rPr>
              <w:b w:val="0"/>
              <w:noProof/>
            </w:rPr>
            <w:t>–</w:t>
          </w:r>
          <w:r>
            <w:rPr>
              <w:b w:val="0"/>
              <w:noProof/>
            </w:rPr>
            <w:t>20</w:t>
          </w:r>
          <w:r w:rsidRPr="00846B2B">
            <w:rPr>
              <w:b w:val="0"/>
              <w:noProof/>
            </w:rPr>
            <w:t xml:space="preserve"> BUDGETS</w:t>
          </w:r>
        </w:p>
      </w:tc>
    </w:tr>
  </w:tbl>
  <w:p w:rsidR="0007123E" w:rsidRPr="008E2623" w:rsidRDefault="0007123E" w:rsidP="008E26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23E" w:rsidRPr="000557A7" w:rsidRDefault="0007123E" w:rsidP="008D5A11">
      <w:pPr>
        <w:pBdr>
          <w:top w:val="single" w:sz="4" w:space="1" w:color="auto"/>
        </w:pBdr>
        <w:spacing w:before="240" w:line="60" w:lineRule="exact"/>
        <w:rPr>
          <w:sz w:val="16"/>
          <w:szCs w:val="16"/>
        </w:rPr>
      </w:pPr>
    </w:p>
  </w:footnote>
  <w:footnote w:type="continuationSeparator" w:id="0">
    <w:p w:rsidR="0007123E" w:rsidRDefault="0007123E" w:rsidP="00A20802">
      <w:pPr>
        <w:spacing w:line="240" w:lineRule="auto"/>
      </w:pPr>
      <w:r>
        <w:continuationSeparator/>
      </w:r>
    </w:p>
    <w:p w:rsidR="0007123E" w:rsidRDefault="0007123E"/>
    <w:p w:rsidR="0007123E" w:rsidRDefault="0007123E"/>
  </w:footnote>
  <w:footnote w:type="continuationNotice" w:id="1">
    <w:p w:rsidR="0007123E" w:rsidRDefault="0007123E">
      <w:pPr>
        <w:spacing w:line="240" w:lineRule="auto"/>
      </w:pPr>
    </w:p>
  </w:footnote>
  <w:footnote w:id="2">
    <w:p w:rsidR="0007123E" w:rsidRPr="005516ED" w:rsidRDefault="0007123E" w:rsidP="00DF0236">
      <w:pPr>
        <w:pStyle w:val="FootnoteText"/>
        <w:spacing w:before="0"/>
      </w:pPr>
      <w:r w:rsidRPr="00A10AA5">
        <w:footnoteRef/>
      </w:r>
      <w:r>
        <w:tab/>
      </w:r>
      <w:r w:rsidRPr="00DB1201">
        <w:rPr>
          <w:rFonts w:cs="Times New Roman (Body CS)"/>
          <w:spacing w:val="-3"/>
        </w:rPr>
        <w:t>The data in this report do not incorporate 2018–19 final budget results because partially updating the forward estimates</w:t>
      </w:r>
      <w:r>
        <w:rPr>
          <w:rFonts w:cs="Times New Roman (Body CS)"/>
          <w:spacing w:val="-3"/>
        </w:rPr>
        <w:br/>
      </w:r>
      <w:r w:rsidRPr="00DB1201">
        <w:rPr>
          <w:rFonts w:cs="Times New Roman (Body CS)"/>
          <w:spacing w:val="-3"/>
        </w:rPr>
        <w:t>for final budget results may misrepresent trends across the forward estimates</w:t>
      </w:r>
      <w:r w:rsidRPr="00DB1201">
        <w:rPr>
          <w:rFonts w:cs="Times New Roman (Body CS)"/>
          <w:i/>
          <w:spacing w:val="-3"/>
        </w:rPr>
        <w:t xml:space="preserve">.  </w:t>
      </w:r>
      <w:r w:rsidRPr="00DB1201">
        <w:rPr>
          <w:rFonts w:cs="Times New Roman (Body CS)"/>
          <w:spacing w:val="-3"/>
        </w:rPr>
        <w:t xml:space="preserve">See the </w:t>
      </w:r>
      <w:r w:rsidRPr="00DB1201">
        <w:rPr>
          <w:rFonts w:cs="Times New Roman (Body CS)"/>
          <w:i/>
          <w:spacing w:val="-3"/>
        </w:rPr>
        <w:t>Data and method</w:t>
      </w:r>
      <w:r w:rsidRPr="00DB1201">
        <w:rPr>
          <w:rFonts w:cs="Times New Roman (Body CS)"/>
          <w:spacing w:val="-3"/>
        </w:rPr>
        <w:t xml:space="preserve"> section for further explanation. </w:t>
      </w:r>
      <w:r w:rsidRPr="00DB1201">
        <w:rPr>
          <w:rFonts w:cs="Times New Roman (Body CS)"/>
          <w:i/>
          <w:spacing w:val="-3"/>
        </w:rPr>
        <w:t xml:space="preserve"> </w:t>
      </w:r>
      <w:r w:rsidRPr="00DB1201">
        <w:rPr>
          <w:rFonts w:cs="Times New Roman (Body CS)"/>
          <w:spacing w:val="-3"/>
        </w:rPr>
        <w:t xml:space="preserve">Data and figures in Section 1 have been adjusted to eliminate transfers between levels of government.  </w:t>
      </w:r>
    </w:p>
  </w:footnote>
  <w:footnote w:id="3">
    <w:p w:rsidR="0007123E" w:rsidRPr="00FD54ED" w:rsidRDefault="0007123E" w:rsidP="00DF0236">
      <w:pPr>
        <w:pStyle w:val="FootnoteText"/>
        <w:spacing w:before="0"/>
      </w:pPr>
      <w:r w:rsidRPr="00FD54ED">
        <w:rPr>
          <w:rStyle w:val="FootnoteReference"/>
          <w:vertAlign w:val="baseline"/>
        </w:rPr>
        <w:footnoteRef/>
      </w:r>
      <w:r>
        <w:tab/>
      </w:r>
      <w:r w:rsidRPr="00FD54ED">
        <w:t>This publication uses the net operating balance as the measure of budget balance.  The net operating balance is an accrual aggregate which measures the difference between revenue and expenses</w:t>
      </w:r>
      <w:r>
        <w:t xml:space="preserve"> from transactions</w:t>
      </w:r>
      <w:r w:rsidRPr="00FD54ED">
        <w:t xml:space="preserve">.  </w:t>
      </w:r>
      <w:r w:rsidRPr="00DB5BCC">
        <w:t xml:space="preserve">It does not include net capital investment, but does include the consumption of capital (depreciation).  </w:t>
      </w:r>
      <w:r w:rsidRPr="00FD54ED">
        <w:t xml:space="preserve">See the </w:t>
      </w:r>
      <w:r w:rsidRPr="00DF0236">
        <w:rPr>
          <w:i/>
        </w:rPr>
        <w:t>Glossary</w:t>
      </w:r>
      <w:r w:rsidRPr="00FD54ED">
        <w:t xml:space="preserve"> for a comparison with other measures.</w:t>
      </w:r>
    </w:p>
  </w:footnote>
  <w:footnote w:id="4">
    <w:p w:rsidR="0007123E" w:rsidRDefault="0007123E" w:rsidP="00443EA9">
      <w:pPr>
        <w:pStyle w:val="FootnoteText"/>
      </w:pPr>
      <w:r w:rsidRPr="00443EA9">
        <w:footnoteRef/>
      </w:r>
      <w:r>
        <w:t xml:space="preserve"> </w:t>
      </w:r>
      <w:r>
        <w:tab/>
        <w:t xml:space="preserve">Net capital investment </w:t>
      </w:r>
      <w:r w:rsidRPr="00417ECB">
        <w:t>is primarily the purchase of non-financial assets less asset sales and depreciation</w:t>
      </w:r>
      <w:r>
        <w:t>.  Of these components, only depreciation is included in the net operating balance.  Net capital investment is sometimes referred to as net acquisition of non-financial assets.  ‘Infrastructure’ and ‘capital’ are used interchangeably in this report.</w:t>
      </w:r>
    </w:p>
  </w:footnote>
  <w:footnote w:id="5">
    <w:p w:rsidR="0007123E" w:rsidRPr="00F23AB0" w:rsidRDefault="0007123E">
      <w:pPr>
        <w:pStyle w:val="FootnoteText"/>
      </w:pPr>
      <w:r w:rsidRPr="00DB5BCC">
        <w:rPr>
          <w:rStyle w:val="FootnoteReference"/>
          <w:vertAlign w:val="baseline"/>
        </w:rPr>
        <w:footnoteRef/>
      </w:r>
      <w:r>
        <w:tab/>
      </w:r>
      <w:r w:rsidRPr="00F23AB0">
        <w:t>The difference in 2017</w:t>
      </w:r>
      <w:r>
        <w:t>–</w:t>
      </w:r>
      <w:r w:rsidRPr="00F23AB0">
        <w:t>18 values is driven by a reconciliation difference with the acquisition of new non-financial assets when comparing financial reporting of the Victorian Government to final Government Finance Statistics (GFS) outputs produced by the ABS.  This difference relates to the conceptual treatment of asset transfers in GFS.</w:t>
      </w:r>
    </w:p>
  </w:footnote>
  <w:footnote w:id="6">
    <w:p w:rsidR="0007123E" w:rsidRPr="00274087" w:rsidRDefault="0007123E" w:rsidP="00FD54ED">
      <w:pPr>
        <w:pStyle w:val="FootnoteText"/>
        <w:spacing w:before="0"/>
      </w:pPr>
      <w:r w:rsidRPr="00274087">
        <w:footnoteRef/>
      </w:r>
      <w:r>
        <w:t xml:space="preserve"> </w:t>
      </w:r>
      <w:r>
        <w:tab/>
      </w:r>
      <w:r w:rsidRPr="00274087">
        <w:t xml:space="preserve">The </w:t>
      </w:r>
      <w:r>
        <w:t xml:space="preserve">ten-year </w:t>
      </w:r>
      <w:r w:rsidRPr="00274087">
        <w:t xml:space="preserve">bond </w:t>
      </w:r>
      <w:r w:rsidRPr="00603B3E">
        <w:t>yield assumption used in the 2019–20 Budget was 1.9</w:t>
      </w:r>
      <w:r>
        <w:t xml:space="preserve"> per cent, 0.9</w:t>
      </w:r>
      <w:r w:rsidRPr="00603B3E">
        <w:t xml:space="preserve"> percentage point</w:t>
      </w:r>
      <w:r>
        <w:t>s</w:t>
      </w:r>
      <w:r w:rsidRPr="00603B3E">
        <w:t xml:space="preserve"> lower than</w:t>
      </w:r>
      <w:r>
        <w:br/>
      </w:r>
      <w:r w:rsidRPr="00603B3E">
        <w:t xml:space="preserve">the assumption of 2.8 per cent </w:t>
      </w:r>
      <w:r>
        <w:t>used in the 2018–19 Budget.</w:t>
      </w:r>
    </w:p>
  </w:footnote>
  <w:footnote w:id="7">
    <w:p w:rsidR="0007123E" w:rsidRDefault="0007123E" w:rsidP="00FD54ED">
      <w:pPr>
        <w:pStyle w:val="FootnoteText"/>
      </w:pPr>
      <w:r w:rsidRPr="00AF4905">
        <w:footnoteRef/>
      </w:r>
      <w:r>
        <w:t xml:space="preserve"> </w:t>
      </w:r>
      <w:r>
        <w:tab/>
        <w:t>L</w:t>
      </w:r>
      <w:r w:rsidRPr="00E6277B">
        <w:t>ower interest rates, or bond yields, have two impacts</w:t>
      </w:r>
      <w:r>
        <w:t xml:space="preserve"> on net debt</w:t>
      </w:r>
      <w:r w:rsidRPr="00E6277B">
        <w:t xml:space="preserve">.  On the </w:t>
      </w:r>
      <w:r>
        <w:t>one</w:t>
      </w:r>
      <w:r w:rsidRPr="00E6277B">
        <w:t xml:space="preserve"> hand, lower bond yields lead the existing stock of government debt to be revalued upwards, </w:t>
      </w:r>
      <w:r>
        <w:t xml:space="preserve">initially </w:t>
      </w:r>
      <w:r w:rsidRPr="00E6277B">
        <w:t>increasing net debt.</w:t>
      </w:r>
      <w:r>
        <w:t xml:space="preserve"> </w:t>
      </w:r>
      <w:r w:rsidRPr="00E6277B">
        <w:t xml:space="preserve">On </w:t>
      </w:r>
      <w:r>
        <w:t>the other</w:t>
      </w:r>
      <w:r w:rsidRPr="00E6277B">
        <w:t xml:space="preserve"> hand, lower interest rates result in lower public debt interest payments on new borrowings, which increase the </w:t>
      </w:r>
      <w:r>
        <w:t>net operating balance</w:t>
      </w:r>
      <w:r w:rsidRPr="00E6277B">
        <w:t xml:space="preserve"> and reduce future requirements for raising debt</w:t>
      </w:r>
      <w:r>
        <w:t>, so net debt improves over the long run.</w:t>
      </w:r>
      <w:r>
        <w:br/>
        <w:t>For more details see PBO R</w:t>
      </w:r>
      <w:r w:rsidRPr="009B16B4">
        <w:t>eport</w:t>
      </w:r>
      <w:r>
        <w:t xml:space="preserve"> no. 05/2017 </w:t>
      </w:r>
      <w:r w:rsidRPr="00527545">
        <w:rPr>
          <w:i/>
        </w:rPr>
        <w:t>2017</w:t>
      </w:r>
      <w:r>
        <w:rPr>
          <w:i/>
        </w:rPr>
        <w:t>–</w:t>
      </w:r>
      <w:r w:rsidRPr="00527545">
        <w:rPr>
          <w:i/>
        </w:rPr>
        <w:t>18 Budget medium-term projections: economic scenario analysis</w:t>
      </w:r>
      <w:r>
        <w:rPr>
          <w:i/>
        </w:rPr>
        <w:t xml:space="preserve">. </w:t>
      </w:r>
    </w:p>
  </w:footnote>
  <w:footnote w:id="8">
    <w:p w:rsidR="0007123E" w:rsidRPr="005F2C6D" w:rsidRDefault="0007123E" w:rsidP="00DF0236">
      <w:pPr>
        <w:pStyle w:val="BodyText"/>
        <w:spacing w:before="60" w:line="240" w:lineRule="exact"/>
        <w:ind w:left="284" w:hanging="284"/>
        <w:rPr>
          <w:rStyle w:val="FootnoteTextChar"/>
          <w:rFonts w:cstheme="minorBidi"/>
        </w:rPr>
      </w:pPr>
      <w:r w:rsidRPr="00B8768A">
        <w:rPr>
          <w:rFonts w:cstheme="minorBidi"/>
          <w:kern w:val="16"/>
          <w:sz w:val="18"/>
          <w:szCs w:val="18"/>
        </w:rPr>
        <w:footnoteRef/>
      </w:r>
      <w:r>
        <w:rPr>
          <w:rStyle w:val="FootnoteTextChar"/>
        </w:rPr>
        <w:tab/>
      </w:r>
      <w:r w:rsidRPr="003A41B7">
        <w:rPr>
          <w:rStyle w:val="FootnoteTextChar"/>
        </w:rPr>
        <w:t>The financial statements presented in government budgets are generally reported in line with the accounting standards released by the Australian Accounting Standards Board (AASB).  While changes to these standards can have a significant impact on budget indicators, they are usually technical changes and do not reflect material changes in the economic or legal circumstances of governments or the underlying budget position.</w:t>
      </w:r>
    </w:p>
    <w:p w:rsidR="0007123E" w:rsidRDefault="0007123E" w:rsidP="00C03E26">
      <w:pPr>
        <w:pStyle w:val="FootnoteText"/>
      </w:pPr>
    </w:p>
  </w:footnote>
  <w:footnote w:id="9">
    <w:p w:rsidR="0007123E" w:rsidRDefault="0007123E" w:rsidP="00F43846">
      <w:pPr>
        <w:pStyle w:val="FootnoteText"/>
      </w:pPr>
      <w:r w:rsidRPr="00012723">
        <w:footnoteRef/>
      </w:r>
      <w:r>
        <w:t xml:space="preserve"> </w:t>
      </w:r>
      <w:r>
        <w:tab/>
        <w:t xml:space="preserve">For more details on the drivers of, and risks to, Commonwealth receipts and spending see the PBO’s </w:t>
      </w:r>
      <w:r w:rsidRPr="00DF0236">
        <w:rPr>
          <w:i/>
        </w:rPr>
        <w:t>2019–20 Medium</w:t>
      </w:r>
      <w:r w:rsidRPr="00DF0236">
        <w:rPr>
          <w:i/>
        </w:rPr>
        <w:noBreakHyphen/>
        <w:t>term fiscal projections</w:t>
      </w:r>
      <w:r w:rsidRPr="00DF0236" w:rsidDel="00015CD4">
        <w:rPr>
          <w:i/>
        </w:rPr>
        <w:t xml:space="preserve"> </w:t>
      </w:r>
      <w:r w:rsidRPr="00DF0236">
        <w:rPr>
          <w:i/>
        </w:rPr>
        <w:t>report</w:t>
      </w:r>
      <w:r>
        <w:t xml:space="preserve"> (PBO report no. 03/2019</w:t>
      </w:r>
      <w:r w:rsidRPr="0059775B">
        <w:t>)</w:t>
      </w:r>
      <w:r>
        <w:t xml:space="preserve">, which includes the Commonwealth’s final budget outcomes for 2018–19. </w:t>
      </w:r>
    </w:p>
  </w:footnote>
  <w:footnote w:id="10">
    <w:p w:rsidR="0007123E" w:rsidRPr="00E209E6" w:rsidRDefault="0007123E" w:rsidP="00EB2B99">
      <w:pPr>
        <w:pStyle w:val="FootnoteText"/>
      </w:pPr>
      <w:r w:rsidRPr="00A10AA5">
        <w:footnoteRef/>
      </w:r>
      <w:r>
        <w:tab/>
        <w:t>Government</w:t>
      </w:r>
      <w:r>
        <w:noBreakHyphen/>
        <w:t xml:space="preserve">owned corporations are formally referred to as public non-financial corporations and </w:t>
      </w:r>
      <w:r w:rsidRPr="006E0671">
        <w:t>provide services</w:t>
      </w:r>
      <w:r>
        <w:br/>
      </w:r>
      <w:r w:rsidRPr="006E0671">
        <w:t>to consumers on a fee</w:t>
      </w:r>
      <w:r>
        <w:noBreakHyphen/>
      </w:r>
      <w:r w:rsidRPr="006E0671">
        <w:t>for</w:t>
      </w:r>
      <w:r>
        <w:t>-</w:t>
      </w:r>
      <w:r w:rsidRPr="006E0671">
        <w:t xml:space="preserve">service basis.  </w:t>
      </w:r>
      <w:r>
        <w:t xml:space="preserve">The general government sector </w:t>
      </w:r>
      <w:r w:rsidRPr="00E209E6">
        <w:t xml:space="preserve">primarily consists of </w:t>
      </w:r>
      <w:r w:rsidRPr="00C96E27">
        <w:t>government</w:t>
      </w:r>
      <w:r w:rsidRPr="00E209E6">
        <w:t xml:space="preserve"> departments and agencies providing non-market public services </w:t>
      </w:r>
      <w:r>
        <w:t>that</w:t>
      </w:r>
      <w:r w:rsidRPr="00E209E6">
        <w:t xml:space="preserve"> are funded mainly through taxes.</w:t>
      </w:r>
    </w:p>
  </w:footnote>
  <w:footnote w:id="11">
    <w:p w:rsidR="0007123E" w:rsidRDefault="0007123E" w:rsidP="0091723D">
      <w:pPr>
        <w:pStyle w:val="FootnoteText"/>
      </w:pPr>
      <w:r w:rsidRPr="00D23EEF">
        <w:footnoteRef/>
      </w:r>
      <w:r w:rsidRPr="00561BF1">
        <w:rPr>
          <w:vertAlign w:val="superscript"/>
        </w:rPr>
        <w:t xml:space="preserve"> </w:t>
      </w:r>
      <w:r>
        <w:tab/>
        <w:t xml:space="preserve">Equity injections and concessional loans are ways of paying for policies that do not involve direct financing.  In 2019–20, the PBO intends to publish a report examining these kinds of ‘alternative’ financing arrangements, the use of which has increased over time.  </w:t>
      </w:r>
    </w:p>
  </w:footnote>
  <w:footnote w:id="12">
    <w:p w:rsidR="0007123E" w:rsidRPr="000F378C" w:rsidRDefault="0007123E" w:rsidP="005C4158">
      <w:pPr>
        <w:pStyle w:val="FootnoteText"/>
      </w:pPr>
      <w:r w:rsidRPr="00012723">
        <w:footnoteRef/>
      </w:r>
      <w:r>
        <w:tab/>
        <w:t xml:space="preserve">The PBO’s </w:t>
      </w:r>
      <w:r w:rsidRPr="003335CF">
        <w:t>alternative estimate of net debt, which ‘looks through’ to all underlying assets held by government investment funds, regardless of the investment structures used, is around 21.7 per cent of GDP in 2019–20</w:t>
      </w:r>
      <w:r>
        <w:t xml:space="preserve">, </w:t>
      </w:r>
      <w:r w:rsidRPr="003335CF">
        <w:t>3.7 per cent of GDP higher in 2019–20 than the standard projection.</w:t>
      </w:r>
      <w:r>
        <w:t xml:space="preserve">  For more details</w:t>
      </w:r>
      <w:r w:rsidR="004677DD">
        <w:t>,</w:t>
      </w:r>
      <w:r>
        <w:t xml:space="preserve"> see the PBO Report no. 01/2019 </w:t>
      </w:r>
      <w:r w:rsidRPr="00F858A8">
        <w:rPr>
          <w:i/>
        </w:rPr>
        <w:t>Net debt and investment funds – Trends and balance sheet implications</w:t>
      </w:r>
      <w:r w:rsidRPr="00F858A8">
        <w:t>.</w:t>
      </w:r>
    </w:p>
  </w:footnote>
  <w:footnote w:id="13">
    <w:p w:rsidR="0007123E" w:rsidRDefault="0007123E" w:rsidP="00FD54ED">
      <w:pPr>
        <w:pStyle w:val="FootnoteText"/>
      </w:pPr>
      <w:r w:rsidRPr="005811F9">
        <w:footnoteRef/>
      </w:r>
      <w:r>
        <w:t xml:space="preserve"> </w:t>
      </w:r>
      <w:r>
        <w:tab/>
      </w:r>
      <w:r w:rsidRPr="00DB1201">
        <w:rPr>
          <w:rFonts w:cs="Times New Roman (Body CS)"/>
          <w:spacing w:val="-3"/>
        </w:rPr>
        <w:t xml:space="preserve">The </w:t>
      </w:r>
      <w:r w:rsidRPr="00DB1201">
        <w:rPr>
          <w:rFonts w:cs="Times New Roman (Body CS)"/>
          <w:i/>
          <w:spacing w:val="-3"/>
        </w:rPr>
        <w:t>2018–19 Final Budget Outcome</w:t>
      </w:r>
      <w:r w:rsidRPr="00DB1201">
        <w:rPr>
          <w:rFonts w:cs="Times New Roman (Body CS)"/>
          <w:spacing w:val="-3"/>
        </w:rPr>
        <w:t xml:space="preserve"> reported net financial worth of -$694.4 billion (-35.7 per cent of GDP), much larger than estimated at the 2019–20 Budget.  These revisions since the Budget largely reflect differing valuations for the Government’s defined benefit superannuation liability, due to differences between budget and accounting methodologies.  For more details on the drivers of, and risks to, Commonwealth net debt and net financial worth see the PBO’s 2019–20 </w:t>
      </w:r>
      <w:r w:rsidRPr="00DB1201">
        <w:rPr>
          <w:rFonts w:cs="Times New Roman (Body CS)"/>
          <w:i/>
          <w:spacing w:val="-3"/>
        </w:rPr>
        <w:t>Medium</w:t>
      </w:r>
      <w:r w:rsidRPr="00DB1201">
        <w:rPr>
          <w:rFonts w:cs="Times New Roman (Body CS)"/>
          <w:i/>
          <w:spacing w:val="-3"/>
        </w:rPr>
        <w:noBreakHyphen/>
        <w:t>term fiscal projections</w:t>
      </w:r>
      <w:r w:rsidRPr="00DB1201" w:rsidDel="00015CD4">
        <w:rPr>
          <w:rFonts w:cs="Times New Roman (Body CS)"/>
          <w:i/>
          <w:spacing w:val="-3"/>
        </w:rPr>
        <w:t xml:space="preserve"> </w:t>
      </w:r>
      <w:r w:rsidRPr="00DB1201">
        <w:rPr>
          <w:rFonts w:cs="Times New Roman (Body CS)"/>
          <w:i/>
          <w:spacing w:val="-3"/>
        </w:rPr>
        <w:t>report</w:t>
      </w:r>
      <w:r w:rsidRPr="00DB1201">
        <w:rPr>
          <w:rFonts w:cs="Times New Roman (Body CS)"/>
          <w:spacing w:val="-3"/>
        </w:rPr>
        <w:t xml:space="preserve"> (PBO report no. 03/2019).</w:t>
      </w:r>
      <w:r>
        <w:t xml:space="preserve">  </w:t>
      </w:r>
    </w:p>
  </w:footnote>
  <w:footnote w:id="14">
    <w:p w:rsidR="0007123E" w:rsidRPr="003A0852" w:rsidRDefault="0007123E">
      <w:pPr>
        <w:pStyle w:val="FootnoteText"/>
      </w:pPr>
      <w:r w:rsidRPr="003A0852">
        <w:rPr>
          <w:rStyle w:val="FootnoteReference"/>
          <w:vertAlign w:val="baseline"/>
        </w:rPr>
        <w:footnoteRef/>
      </w:r>
      <w:r>
        <w:tab/>
      </w:r>
      <w:proofErr w:type="gramStart"/>
      <w:r w:rsidRPr="003A0852">
        <w:t>Broadly speaking, that fiscal disparities between states</w:t>
      </w:r>
      <w:r>
        <w:t>, beyond their control,</w:t>
      </w:r>
      <w:r w:rsidRPr="003A0852">
        <w:t xml:space="preserve"> </w:t>
      </w:r>
      <w:r>
        <w:t>should be</w:t>
      </w:r>
      <w:r w:rsidRPr="003A0852">
        <w:t xml:space="preserve"> removed or reduced.</w:t>
      </w:r>
      <w:proofErr w:type="gramEnd"/>
    </w:p>
  </w:footnote>
  <w:footnote w:id="15">
    <w:p w:rsidR="0007123E" w:rsidRDefault="0007123E" w:rsidP="00DF0236">
      <w:pPr>
        <w:pStyle w:val="FootnoteText"/>
        <w:spacing w:before="0"/>
      </w:pPr>
      <w:r w:rsidRPr="00443EA9">
        <w:footnoteRef/>
      </w:r>
      <w:r>
        <w:tab/>
        <w:t xml:space="preserve">This analysis on new infrastructure investment uses gross fixed capital formation by the general government sector.  Gross fixed capital formation largely reflects capital purchases, so is a better measure of infrastructure investment decisions than net capital investment, which is affected by the disposal and depreciation of assets.  </w:t>
      </w:r>
    </w:p>
  </w:footnote>
  <w:footnote w:id="16">
    <w:p w:rsidR="0007123E" w:rsidRPr="00DB1201" w:rsidRDefault="0007123E" w:rsidP="00DF0236">
      <w:pPr>
        <w:pStyle w:val="FootnoteText"/>
        <w:spacing w:before="40"/>
        <w:rPr>
          <w:rFonts w:cs="Times New Roman (Body CS)"/>
          <w:spacing w:val="-3"/>
        </w:rPr>
      </w:pPr>
      <w:r w:rsidRPr="00DB1201">
        <w:rPr>
          <w:rFonts w:cs="Times New Roman (Body CS)"/>
          <w:spacing w:val="-3"/>
        </w:rPr>
        <w:footnoteRef/>
      </w:r>
      <w:r w:rsidRPr="00DB1201">
        <w:rPr>
          <w:rFonts w:cs="Times New Roman (Body CS)"/>
          <w:spacing w:val="-3"/>
        </w:rPr>
        <w:tab/>
        <w:t xml:space="preserve">There are inevitably timing inconsistencies between when grants are recognised as paid by the Commonwealth and when they are received by the states.  The implementation of AASB 15 </w:t>
      </w:r>
      <w:r w:rsidRPr="00DB1201">
        <w:rPr>
          <w:rFonts w:cs="Times New Roman (Body CS)"/>
          <w:i/>
          <w:spacing w:val="-3"/>
        </w:rPr>
        <w:t xml:space="preserve">Revenue from Contracts with Customers </w:t>
      </w:r>
      <w:r w:rsidRPr="00DB1201">
        <w:rPr>
          <w:rFonts w:cs="Times New Roman (Body CS)"/>
          <w:spacing w:val="-3"/>
        </w:rPr>
        <w:t>has cemented timing differences for certain grants by requiring the states to recognise revenue when a performance obligation is met.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23E" w:rsidRDefault="0007123E">
    <w:pPr>
      <w:pStyle w:val="Header"/>
    </w:pPr>
    <w:r>
      <w:rPr>
        <w:noProof/>
        <w:lang w:eastAsia="en-AU"/>
      </w:rPr>
      <mc:AlternateContent>
        <mc:Choice Requires="wps">
          <w:drawing>
            <wp:anchor distT="0" distB="0" distL="114300" distR="114300" simplePos="0" relativeHeight="251646976" behindDoc="1" locked="1" layoutInCell="1" allowOverlap="1" wp14:anchorId="7736B141" wp14:editId="083B0559">
              <wp:simplePos x="0" y="0"/>
              <wp:positionH relativeFrom="page">
                <wp:align>center</wp:align>
              </wp:positionH>
              <wp:positionV relativeFrom="page">
                <wp:align>center</wp:align>
              </wp:positionV>
              <wp:extent cx="7560000" cy="1796400"/>
              <wp:effectExtent l="0" t="0" r="0" b="0"/>
              <wp:wrapNone/>
              <wp:docPr id="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23E" w:rsidRPr="0001226A" w:rsidRDefault="0007123E"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26" type="#_x0000_t202" style="position:absolute;margin-left:0;margin-top:0;width:595.3pt;height:141.45pt;z-index:-2516695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IOtgIAALw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" filled="f" stroked="f">
              <v:textbox>
                <w:txbxContent>
                  <w:p w:rsidR="0007123E" w:rsidRPr="0001226A" w:rsidRDefault="0007123E" w:rsidP="00F45442">
                    <w:pPr>
                      <w:pStyle w:val="xStatus"/>
                      <w:rPr>
                        <w:szCs w:val="120"/>
                      </w:rPr>
                    </w:pPr>
                  </w:p>
                </w:txbxContent>
              </v:textbox>
              <w10:wrap anchorx="page"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23E" w:rsidRDefault="0007123E">
    <w:pPr>
      <w:pStyle w:val="Header"/>
    </w:pPr>
    <w:r>
      <w:rPr>
        <w:noProof/>
        <w:lang w:eastAsia="en-AU"/>
      </w:rPr>
      <mc:AlternateContent>
        <mc:Choice Requires="wps">
          <w:drawing>
            <wp:anchor distT="0" distB="0" distL="114300" distR="114300" simplePos="0" relativeHeight="251653120" behindDoc="1" locked="1" layoutInCell="1" allowOverlap="1" wp14:anchorId="1DDB6053" wp14:editId="040B1B62">
              <wp:simplePos x="0" y="0"/>
              <wp:positionH relativeFrom="page">
                <wp:align>center</wp:align>
              </wp:positionH>
              <wp:positionV relativeFrom="page">
                <wp:align>center</wp:align>
              </wp:positionV>
              <wp:extent cx="7560000" cy="1796400"/>
              <wp:effectExtent l="0" t="0" r="0" b="0"/>
              <wp:wrapNone/>
              <wp:docPr id="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23E" w:rsidRPr="0001226A" w:rsidRDefault="0007123E"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595.3pt;height:141.45pt;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IeAB0W6AgAA&#10;wwUAAA4AAAAAAAAAAAAAAAAALgIAAGRycy9lMm9Eb2MueG1sUEsBAi0AFAAGAAgAAAAhADTFRM7b&#10;AAAABgEAAA8AAAAAAAAAAAAAAAAAFAUAAGRycy9kb3ducmV2LnhtbFBLBQYAAAAABAAEAPMAAAAc&#10;BgAAAAA=&#10;" filled="f" stroked="f">
              <v:textbox>
                <w:txbxContent>
                  <w:p w:rsidR="0007123E" w:rsidRPr="0001226A" w:rsidRDefault="0007123E" w:rsidP="00F45442">
                    <w:pPr>
                      <w:pStyle w:val="xStatus"/>
                      <w:rPr>
                        <w:szCs w:val="120"/>
                      </w:rPr>
                    </w:pPr>
                  </w:p>
                </w:txbxContent>
              </v:textbox>
              <w10:wrap anchorx="page" anchory="pag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23E" w:rsidRDefault="0007123E">
    <w:pPr>
      <w:pStyle w:val="Header"/>
    </w:pPr>
    <w:r>
      <w:rPr>
        <w:noProof/>
        <w:lang w:eastAsia="en-AU"/>
      </w:rPr>
      <w:drawing>
        <wp:anchor distT="0" distB="0" distL="114300" distR="114300" simplePos="0" relativeHeight="251683840" behindDoc="0" locked="1" layoutInCell="1" allowOverlap="1" wp14:anchorId="1B302402" wp14:editId="20E2291C">
          <wp:simplePos x="0" y="0"/>
          <wp:positionH relativeFrom="page">
            <wp:posOffset>939800</wp:posOffset>
          </wp:positionH>
          <wp:positionV relativeFrom="page">
            <wp:posOffset>1260475</wp:posOffset>
          </wp:positionV>
          <wp:extent cx="1918800" cy="586800"/>
          <wp:effectExtent l="0" t="0" r="5715" b="3810"/>
          <wp:wrapNone/>
          <wp:docPr id="5" name="Picture 5" descr="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8800" cy="5868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2816" behindDoc="1" locked="1" layoutInCell="1" allowOverlap="1" wp14:anchorId="1F4FDC7C" wp14:editId="55CA3532">
          <wp:simplePos x="896815" y="509954"/>
          <wp:positionH relativeFrom="page">
            <wp:align>left</wp:align>
          </wp:positionH>
          <wp:positionV relativeFrom="page">
            <wp:align>top</wp:align>
          </wp:positionV>
          <wp:extent cx="7559675" cy="10692765"/>
          <wp:effectExtent l="0" t="0" r="3175" b="0"/>
          <wp:wrapNone/>
          <wp:docPr id="14" name="Picture 14" descr="Decorative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675" cy="1069328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84864" behindDoc="1" locked="1" layoutInCell="1" allowOverlap="1" wp14:anchorId="4967A930" wp14:editId="28D2711A">
              <wp:simplePos x="0" y="0"/>
              <wp:positionH relativeFrom="page">
                <wp:align>center</wp:align>
              </wp:positionH>
              <wp:positionV relativeFrom="page">
                <wp:align>center</wp:align>
              </wp:positionV>
              <wp:extent cx="7560000" cy="1796400"/>
              <wp:effectExtent l="0" t="0" r="0" b="0"/>
              <wp:wrapNone/>
              <wp:docPr id="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23E" w:rsidRPr="0001226A" w:rsidRDefault="0007123E" w:rsidP="000E1004">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0;width:595.3pt;height:141.45pt;z-index:-2516316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Gtyw5K6AgAA&#10;wwUAAA4AAAAAAAAAAAAAAAAALgIAAGRycy9lMm9Eb2MueG1sUEsBAi0AFAAGAAgAAAAhADTFRM7b&#10;AAAABgEAAA8AAAAAAAAAAAAAAAAAFAUAAGRycy9kb3ducmV2LnhtbFBLBQYAAAAABAAEAPMAAAAc&#10;BgAAAAA=&#10;" filled="f" stroked="f">
              <v:textbox>
                <w:txbxContent>
                  <w:p w:rsidR="0007123E" w:rsidRPr="0001226A" w:rsidRDefault="0007123E" w:rsidP="000E1004">
                    <w:pPr>
                      <w:pStyle w:val="xStatus"/>
                      <w:rPr>
                        <w:szCs w:val="120"/>
                      </w:rPr>
                    </w:pPr>
                  </w:p>
                </w:txbxContent>
              </v:textbox>
              <w10:wrap anchorx="page" anchory="page"/>
              <w10:anchorlock/>
            </v:shape>
          </w:pict>
        </mc:Fallback>
      </mc:AlternateContent>
    </w:r>
  </w:p>
  <w:p w:rsidR="0007123E" w:rsidRDefault="0007123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23E" w:rsidRDefault="0007123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23E" w:rsidRDefault="0007123E">
    <w:pPr>
      <w:pStyle w:val="Header"/>
    </w:pPr>
    <w:r>
      <w:rPr>
        <w:noProof/>
        <w:lang w:eastAsia="en-AU"/>
      </w:rPr>
      <mc:AlternateContent>
        <mc:Choice Requires="wps">
          <w:drawing>
            <wp:anchor distT="0" distB="0" distL="114300" distR="114300" simplePos="0" relativeHeight="251678720" behindDoc="1" locked="1" layoutInCell="1" allowOverlap="1" wp14:anchorId="1C5C36F6" wp14:editId="18B53AB0">
              <wp:simplePos x="0" y="0"/>
              <wp:positionH relativeFrom="page">
                <wp:align>center</wp:align>
              </wp:positionH>
              <wp:positionV relativeFrom="page">
                <wp:align>center</wp:align>
              </wp:positionV>
              <wp:extent cx="7560000" cy="1796400"/>
              <wp:effectExtent l="0" t="0" r="0" b="0"/>
              <wp:wrapNone/>
              <wp:docPr id="1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23E" w:rsidRPr="0001226A" w:rsidRDefault="0007123E"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595.3pt;height:141.45pt;z-index:-2516377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CbPD9NuwIA&#10;AMQFAAAOAAAAAAAAAAAAAAAAAC4CAABkcnMvZTJvRG9jLnhtbFBLAQItABQABgAIAAAAIQA0xUTO&#10;2wAAAAYBAAAPAAAAAAAAAAAAAAAAABUFAABkcnMvZG93bnJldi54bWxQSwUGAAAAAAQABADzAAAA&#10;HQYAAAAA&#10;" filled="f" stroked="f">
              <v:textbox>
                <w:txbxContent>
                  <w:p w:rsidR="0007123E" w:rsidRPr="0001226A" w:rsidRDefault="0007123E" w:rsidP="00F45442">
                    <w:pPr>
                      <w:pStyle w:val="xStatus"/>
                      <w:rPr>
                        <w:szCs w:val="120"/>
                      </w:rPr>
                    </w:pPr>
                  </w:p>
                </w:txbxContent>
              </v:textbox>
              <w10:wrap anchorx="page" anchory="page"/>
              <w10:anchorlock/>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23E" w:rsidRDefault="0007123E">
    <w:pPr>
      <w:pStyle w:val="Header"/>
    </w:pPr>
    <w:r>
      <w:rPr>
        <w:noProof/>
        <w:lang w:eastAsia="en-AU"/>
      </w:rPr>
      <mc:AlternateContent>
        <mc:Choice Requires="wps">
          <w:drawing>
            <wp:anchor distT="0" distB="0" distL="114300" distR="114300" simplePos="0" relativeHeight="251674624" behindDoc="1" locked="1" layoutInCell="1" allowOverlap="1" wp14:anchorId="7B9928B5" wp14:editId="3DBB9F7D">
              <wp:simplePos x="0" y="0"/>
              <wp:positionH relativeFrom="page">
                <wp:align>center</wp:align>
              </wp:positionH>
              <wp:positionV relativeFrom="page">
                <wp:align>center</wp:align>
              </wp:positionV>
              <wp:extent cx="7560000" cy="1796400"/>
              <wp:effectExtent l="0" t="0" r="0" b="0"/>
              <wp:wrapNone/>
              <wp:docPr id="1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23E" w:rsidRPr="0001226A" w:rsidRDefault="0007123E"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0;margin-top:0;width:595.3pt;height:141.45pt;z-index:-2516418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E96pnm6AgAA&#10;xAUAAA4AAAAAAAAAAAAAAAAALgIAAGRycy9lMm9Eb2MueG1sUEsBAi0AFAAGAAgAAAAhADTFRM7b&#10;AAAABgEAAA8AAAAAAAAAAAAAAAAAFAUAAGRycy9kb3ducmV2LnhtbFBLBQYAAAAABAAEAPMAAAAc&#10;BgAAAAA=&#10;" filled="f" stroked="f">
              <v:textbox>
                <w:txbxContent>
                  <w:p w:rsidR="0007123E" w:rsidRPr="0001226A" w:rsidRDefault="0007123E" w:rsidP="00F45442">
                    <w:pPr>
                      <w:pStyle w:val="xStatus"/>
                      <w:rPr>
                        <w:szCs w:val="120"/>
                      </w:rPr>
                    </w:pPr>
                  </w:p>
                </w:txbxContent>
              </v:textbox>
              <w10:wrap anchorx="page" anchory="page"/>
              <w10:anchorlock/>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23E" w:rsidRDefault="0007123E">
    <w:pPr>
      <w:pStyle w:val="Header"/>
    </w:pPr>
    <w:r>
      <w:rPr>
        <w:noProof/>
        <w:lang w:eastAsia="en-AU"/>
      </w:rPr>
      <mc:AlternateContent>
        <mc:Choice Requires="wps">
          <w:drawing>
            <wp:anchor distT="0" distB="0" distL="114300" distR="114300" simplePos="0" relativeHeight="251667456" behindDoc="1" locked="1" layoutInCell="1" allowOverlap="1" wp14:anchorId="544A019B" wp14:editId="362C75DE">
              <wp:simplePos x="0" y="0"/>
              <wp:positionH relativeFrom="page">
                <wp:align>center</wp:align>
              </wp:positionH>
              <wp:positionV relativeFrom="page">
                <wp:align>center</wp:align>
              </wp:positionV>
              <wp:extent cx="7560000" cy="1796400"/>
              <wp:effectExtent l="0" t="0" r="0" b="0"/>
              <wp:wrapNone/>
              <wp:docPr id="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23E" w:rsidRPr="0001226A" w:rsidRDefault="0007123E"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595.3pt;height:141.45pt;z-index:-2516490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CV6DtW6AgAA&#10;wwUAAA4AAAAAAAAAAAAAAAAALgIAAGRycy9lMm9Eb2MueG1sUEsBAi0AFAAGAAgAAAAhADTFRM7b&#10;AAAABgEAAA8AAAAAAAAAAAAAAAAAFAUAAGRycy9kb3ducmV2LnhtbFBLBQYAAAAABAAEAPMAAAAc&#10;BgAAAAA=&#10;" filled="f" stroked="f">
              <v:textbox>
                <w:txbxContent>
                  <w:p w:rsidR="0007123E" w:rsidRPr="0001226A" w:rsidRDefault="0007123E" w:rsidP="00F45442">
                    <w:pPr>
                      <w:pStyle w:val="xStatus"/>
                      <w:rPr>
                        <w:szCs w:val="120"/>
                      </w:rPr>
                    </w:pPr>
                  </w:p>
                </w:txbxContent>
              </v:textbox>
              <w10:wrap anchorx="page" anchory="page"/>
              <w10:anchorlock/>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23E" w:rsidRDefault="000712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9A30C234"/>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C2D2723E"/>
    <w:lvl w:ilvl="0">
      <w:start w:val="1"/>
      <w:numFmt w:val="bullet"/>
      <w:lvlText w:val=""/>
      <w:lvlJc w:val="left"/>
      <w:pPr>
        <w:tabs>
          <w:tab w:val="num" w:pos="1209"/>
        </w:tabs>
        <w:ind w:left="1209" w:hanging="360"/>
      </w:pPr>
      <w:rPr>
        <w:rFonts w:ascii="Symbol" w:hAnsi="Symbol" w:hint="default"/>
      </w:rPr>
    </w:lvl>
  </w:abstractNum>
  <w:abstractNum w:abstractNumId="2">
    <w:nsid w:val="FFFFFF89"/>
    <w:multiLevelType w:val="singleLevel"/>
    <w:tmpl w:val="EB48B33E"/>
    <w:lvl w:ilvl="0">
      <w:start w:val="1"/>
      <w:numFmt w:val="bullet"/>
      <w:lvlText w:val=""/>
      <w:lvlJc w:val="left"/>
      <w:pPr>
        <w:tabs>
          <w:tab w:val="num" w:pos="360"/>
        </w:tabs>
        <w:ind w:left="360" w:hanging="360"/>
      </w:pPr>
      <w:rPr>
        <w:rFonts w:ascii="Symbol" w:hAnsi="Symbol" w:hint="default"/>
      </w:rPr>
    </w:lvl>
  </w:abstractNum>
  <w:abstractNum w:abstractNumId="3">
    <w:nsid w:val="068B37FE"/>
    <w:multiLevelType w:val="multilevel"/>
    <w:tmpl w:val="06427902"/>
    <w:name w:val="Bullets"/>
    <w:lvl w:ilvl="0">
      <w:start w:val="1"/>
      <w:numFmt w:val="bullet"/>
      <w:lvlRestart w:val="0"/>
      <w:pStyle w:val="ListBullet"/>
      <w:lvlText w:val="•"/>
      <w:lvlJc w:val="left"/>
      <w:pPr>
        <w:tabs>
          <w:tab w:val="num" w:pos="283"/>
        </w:tabs>
        <w:ind w:left="283" w:hanging="283"/>
      </w:pPr>
      <w:rPr>
        <w:rFonts w:ascii="Calibri" w:hAnsi="Calibri" w:hint="default"/>
        <w:b w:val="0"/>
        <w:i w:val="0"/>
        <w:color w:val="auto"/>
        <w:position w:val="0"/>
        <w:sz w:val="19"/>
      </w:rPr>
    </w:lvl>
    <w:lvl w:ilvl="1">
      <w:start w:val="1"/>
      <w:numFmt w:val="bullet"/>
      <w:pStyle w:val="ListBullet2"/>
      <w:lvlText w:val="–"/>
      <w:lvlJc w:val="left"/>
      <w:pPr>
        <w:tabs>
          <w:tab w:val="num" w:pos="567"/>
        </w:tabs>
        <w:ind w:left="567" w:hanging="284"/>
      </w:pPr>
      <w:rPr>
        <w:rFonts w:ascii="Calibri" w:hAnsi="Calibri" w:hint="default"/>
        <w:b w:val="0"/>
        <w:i w:val="0"/>
        <w:color w:val="auto"/>
        <w:position w:val="0"/>
        <w:sz w:val="19"/>
      </w:rPr>
    </w:lvl>
    <w:lvl w:ilvl="2">
      <w:start w:val="1"/>
      <w:numFmt w:val="bullet"/>
      <w:pStyle w:val="ListBullet3"/>
      <w:lvlText w:val=""/>
      <w:lvlJc w:val="left"/>
      <w:pPr>
        <w:tabs>
          <w:tab w:val="num" w:pos="850"/>
        </w:tabs>
        <w:ind w:left="850" w:hanging="283"/>
      </w:pPr>
      <w:rPr>
        <w:rFonts w:ascii="Wingdings" w:hAnsi="Wingdings" w:hint="default"/>
        <w:b w:val="0"/>
        <w:i w:val="0"/>
        <w:color w:val="auto"/>
        <w:spacing w:val="0"/>
        <w:w w:val="100"/>
        <w:position w:val="0"/>
        <w:sz w:val="19"/>
        <w:szCs w:val="16"/>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4">
    <w:nsid w:val="0D745448"/>
    <w:multiLevelType w:val="multilevel"/>
    <w:tmpl w:val="F516CD7C"/>
    <w:name w:val="PBOHeadings"/>
    <w:lvl w:ilvl="0">
      <w:start w:val="1"/>
      <w:numFmt w:val="decimal"/>
      <w:lvlRestart w:val="0"/>
      <w:pStyle w:val="Heading1"/>
      <w:lvlText w:val="%1"/>
      <w:lvlJc w:val="left"/>
      <w:pPr>
        <w:tabs>
          <w:tab w:val="num" w:pos="765"/>
        </w:tabs>
        <w:ind w:left="765" w:hanging="765"/>
      </w:pPr>
      <w:rPr>
        <w:rFonts w:hint="default"/>
      </w:rPr>
    </w:lvl>
    <w:lvl w:ilvl="1">
      <w:start w:val="1"/>
      <w:numFmt w:val="decimal"/>
      <w:pStyle w:val="Heading2"/>
      <w:lvlText w:val="%1.%2"/>
      <w:lvlJc w:val="left"/>
      <w:pPr>
        <w:tabs>
          <w:tab w:val="num" w:pos="765"/>
        </w:tabs>
        <w:ind w:left="765" w:hanging="765"/>
      </w:pPr>
      <w:rPr>
        <w:rFonts w:hint="default"/>
      </w:rPr>
    </w:lvl>
    <w:lvl w:ilvl="2">
      <w:start w:val="1"/>
      <w:numFmt w:val="decimal"/>
      <w:pStyle w:val="Heading3"/>
      <w:lvlText w:val="%1.%2.%3"/>
      <w:lvlJc w:val="left"/>
      <w:pPr>
        <w:tabs>
          <w:tab w:val="num" w:pos="765"/>
        </w:tabs>
        <w:ind w:left="765" w:hanging="765"/>
      </w:pPr>
      <w:rPr>
        <w:rFonts w:hint="default"/>
      </w:rPr>
    </w:lvl>
    <w:lvl w:ilvl="3">
      <w:start w:val="1"/>
      <w:numFmt w:val="none"/>
      <w:lvlText w:val=""/>
      <w:lvlJc w:val="left"/>
      <w:pPr>
        <w:ind w:left="765" w:hanging="765"/>
      </w:pPr>
      <w:rPr>
        <w:rFonts w:hint="default"/>
      </w:rPr>
    </w:lvl>
    <w:lvl w:ilvl="4">
      <w:start w:val="1"/>
      <w:numFmt w:val="none"/>
      <w:lvlText w:val=""/>
      <w:lvlJc w:val="left"/>
      <w:pPr>
        <w:ind w:left="765" w:hanging="765"/>
      </w:pPr>
      <w:rPr>
        <w:rFonts w:hint="default"/>
      </w:rPr>
    </w:lvl>
    <w:lvl w:ilvl="5">
      <w:start w:val="1"/>
      <w:numFmt w:val="none"/>
      <w:lvlText w:val=""/>
      <w:lvlJc w:val="lef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left"/>
      <w:pPr>
        <w:ind w:left="765" w:hanging="765"/>
      </w:pPr>
      <w:rPr>
        <w:rFonts w:hint="default"/>
      </w:rPr>
    </w:lvl>
  </w:abstractNum>
  <w:abstractNum w:abstractNumId="5">
    <w:nsid w:val="0FB2573F"/>
    <w:multiLevelType w:val="multilevel"/>
    <w:tmpl w:val="CBAACE70"/>
    <w:name w:val="TableFootnotes"/>
    <w:lvl w:ilvl="0">
      <w:start w:val="1"/>
      <w:numFmt w:val="lowerLetter"/>
      <w:pStyle w:val="TableFootnotes"/>
      <w:lvlText w:val="(%1)"/>
      <w:lvlJc w:val="left"/>
      <w:pPr>
        <w:ind w:left="284" w:hanging="284"/>
      </w:pPr>
      <w:rPr>
        <w:rFonts w:hint="default"/>
        <w:color w:val="788184"/>
        <w:spacing w:val="0"/>
        <w:sz w:val="16"/>
        <w:vertAlign w:val="baseline"/>
      </w:rPr>
    </w:lvl>
    <w:lvl w:ilvl="1">
      <w:start w:val="1"/>
      <w:numFmt w:val="bullet"/>
      <w:lvlText w:val=""/>
      <w:lvlJc w:val="left"/>
      <w:pPr>
        <w:tabs>
          <w:tab w:val="num" w:pos="454"/>
        </w:tabs>
        <w:ind w:left="568" w:hanging="284"/>
      </w:pPr>
      <w:rPr>
        <w:rFonts w:ascii="Symbol" w:hAnsi="Symbol" w:hint="default"/>
        <w:spacing w:val="0"/>
        <w:w w:val="100"/>
        <w:kern w:val="0"/>
        <w:position w:val="0"/>
      </w:rPr>
    </w:lvl>
    <w:lvl w:ilvl="2">
      <w:start w:val="1"/>
      <w:numFmt w:val="bullet"/>
      <w:lvlRestart w:val="1"/>
      <w:lvlText w:val=""/>
      <w:lvlJc w:val="left"/>
      <w:pPr>
        <w:tabs>
          <w:tab w:val="num" w:pos="624"/>
        </w:tabs>
        <w:ind w:left="852" w:hanging="284"/>
      </w:pPr>
      <w:rPr>
        <w:rFonts w:ascii="Symbol" w:hAnsi="Symbol" w:hint="default"/>
        <w:color w:val="auto"/>
        <w:spacing w:val="-4"/>
      </w:rPr>
    </w:lvl>
    <w:lvl w:ilvl="3">
      <w:start w:val="1"/>
      <w:numFmt w:val="none"/>
      <w:lvlText w:val=""/>
      <w:lvlJc w:val="left"/>
      <w:pPr>
        <w:tabs>
          <w:tab w:val="num" w:pos="0"/>
        </w:tabs>
        <w:ind w:left="1136" w:hanging="284"/>
      </w:pPr>
      <w:rPr>
        <w:rFonts w:hint="default"/>
        <w:spacing w:val="-10"/>
        <w:w w:val="100"/>
      </w:rPr>
    </w:lvl>
    <w:lvl w:ilvl="4">
      <w:start w:val="1"/>
      <w:numFmt w:val="none"/>
      <w:lvlText w:val=""/>
      <w:lvlJc w:val="left"/>
      <w:pPr>
        <w:tabs>
          <w:tab w:val="num" w:pos="2835"/>
        </w:tabs>
        <w:ind w:left="1420" w:hanging="284"/>
      </w:pPr>
      <w:rPr>
        <w:rFonts w:hint="default"/>
      </w:rPr>
    </w:lvl>
    <w:lvl w:ilvl="5">
      <w:start w:val="1"/>
      <w:numFmt w:val="none"/>
      <w:lvlText w:val=""/>
      <w:lvlJc w:val="left"/>
      <w:pPr>
        <w:tabs>
          <w:tab w:val="num" w:pos="2160"/>
        </w:tabs>
        <w:ind w:left="1704" w:hanging="284"/>
      </w:pPr>
      <w:rPr>
        <w:rFonts w:hint="default"/>
      </w:rPr>
    </w:lvl>
    <w:lvl w:ilvl="6">
      <w:start w:val="1"/>
      <w:numFmt w:val="lowerRoman"/>
      <w:lvlRestart w:val="1"/>
      <w:lvlText w:val="%7"/>
      <w:lvlJc w:val="left"/>
      <w:pPr>
        <w:tabs>
          <w:tab w:val="num" w:pos="369"/>
        </w:tabs>
        <w:ind w:left="1988" w:hanging="284"/>
      </w:pPr>
      <w:rPr>
        <w:rFonts w:hint="default"/>
      </w:rPr>
    </w:lvl>
    <w:lvl w:ilvl="7">
      <w:start w:val="1"/>
      <w:numFmt w:val="lowerLetter"/>
      <w:lvlText w:val="%8."/>
      <w:lvlJc w:val="left"/>
      <w:pPr>
        <w:tabs>
          <w:tab w:val="num" w:pos="737"/>
        </w:tabs>
        <w:ind w:left="2272" w:hanging="284"/>
      </w:pPr>
      <w:rPr>
        <w:rFonts w:hint="default"/>
        <w:position w:val="0"/>
      </w:rPr>
    </w:lvl>
    <w:lvl w:ilvl="8">
      <w:start w:val="1"/>
      <w:numFmt w:val="bullet"/>
      <w:lvlText w:val=""/>
      <w:lvlJc w:val="left"/>
      <w:pPr>
        <w:tabs>
          <w:tab w:val="num" w:pos="1106"/>
        </w:tabs>
        <w:ind w:left="2556" w:hanging="284"/>
      </w:pPr>
      <w:rPr>
        <w:rFonts w:ascii="Symbol" w:hAnsi="Symbol" w:hint="default"/>
        <w:position w:val="2"/>
        <w:sz w:val="20"/>
        <w:szCs w:val="20"/>
      </w:rPr>
    </w:lvl>
  </w:abstractNum>
  <w:abstractNum w:abstractNumId="6">
    <w:nsid w:val="15B44A3F"/>
    <w:multiLevelType w:val="hybridMultilevel"/>
    <w:tmpl w:val="4F48CE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94A695C"/>
    <w:multiLevelType w:val="multilevel"/>
    <w:tmpl w:val="40883434"/>
    <w:name w:val="TableBullets"/>
    <w:lvl w:ilvl="0">
      <w:start w:val="1"/>
      <w:numFmt w:val="bullet"/>
      <w:pStyle w:val="TableTextBullet"/>
      <w:lvlText w:val="–"/>
      <w:lvlJc w:val="left"/>
      <w:pPr>
        <w:ind w:left="255" w:hanging="170"/>
      </w:pPr>
      <w:rPr>
        <w:rFonts w:ascii="Calibri" w:hAnsi="Calibri" w:hint="default"/>
        <w:color w:val="auto"/>
        <w:position w:val="2"/>
        <w:sz w:val="20"/>
        <w:szCs w:val="12"/>
      </w:rPr>
    </w:lvl>
    <w:lvl w:ilvl="1">
      <w:start w:val="1"/>
      <w:numFmt w:val="bullet"/>
      <w:pStyle w:val="TableTextBullet2"/>
      <w:lvlText w:val="–"/>
      <w:lvlJc w:val="left"/>
      <w:pPr>
        <w:ind w:left="425" w:hanging="170"/>
      </w:pPr>
      <w:rPr>
        <w:rFonts w:ascii="Times New Roman" w:hAnsi="Times New Roman" w:cs="Times New Roman" w:hint="default"/>
        <w:b w:val="0"/>
        <w:i w:val="0"/>
        <w:color w:val="auto"/>
        <w:sz w:val="20"/>
        <w:szCs w:val="18"/>
      </w:rPr>
    </w:lvl>
    <w:lvl w:ilvl="2">
      <w:start w:val="1"/>
      <w:numFmt w:val="bullet"/>
      <w:pStyle w:val="TableTextBullet3"/>
      <w:lvlText w:val="–"/>
      <w:lvlJc w:val="left"/>
      <w:pPr>
        <w:ind w:left="595" w:hanging="170"/>
      </w:pPr>
      <w:rPr>
        <w:rFonts w:ascii="Calibri" w:hAnsi="Calibri" w:hint="default"/>
        <w:color w:val="auto"/>
        <w:position w:val="1"/>
        <w:sz w:val="20"/>
      </w:rPr>
    </w:lvl>
    <w:lvl w:ilvl="3">
      <w:start w:val="1"/>
      <w:numFmt w:val="none"/>
      <w:lvlText w:val=""/>
      <w:lvlJc w:val="left"/>
      <w:pPr>
        <w:tabs>
          <w:tab w:val="num" w:pos="794"/>
        </w:tabs>
        <w:ind w:left="765" w:hanging="170"/>
      </w:pPr>
      <w:rPr>
        <w:rFonts w:hint="default"/>
      </w:rPr>
    </w:lvl>
    <w:lvl w:ilvl="4">
      <w:start w:val="1"/>
      <w:numFmt w:val="none"/>
      <w:lvlText w:val=""/>
      <w:lvlJc w:val="left"/>
      <w:pPr>
        <w:tabs>
          <w:tab w:val="num" w:pos="964"/>
        </w:tabs>
        <w:ind w:left="935" w:hanging="170"/>
      </w:pPr>
      <w:rPr>
        <w:rFonts w:hint="default"/>
      </w:rPr>
    </w:lvl>
    <w:lvl w:ilvl="5">
      <w:start w:val="1"/>
      <w:numFmt w:val="none"/>
      <w:lvlText w:val=""/>
      <w:lvlJc w:val="left"/>
      <w:pPr>
        <w:tabs>
          <w:tab w:val="num" w:pos="1134"/>
        </w:tabs>
        <w:ind w:left="1105" w:hanging="170"/>
      </w:pPr>
      <w:rPr>
        <w:rFonts w:hint="default"/>
      </w:rPr>
    </w:lvl>
    <w:lvl w:ilvl="6">
      <w:start w:val="1"/>
      <w:numFmt w:val="none"/>
      <w:lvlText w:val=""/>
      <w:lvlJc w:val="left"/>
      <w:pPr>
        <w:tabs>
          <w:tab w:val="num" w:pos="1304"/>
        </w:tabs>
        <w:ind w:left="1275" w:hanging="170"/>
      </w:pPr>
      <w:rPr>
        <w:rFonts w:hint="default"/>
      </w:rPr>
    </w:lvl>
    <w:lvl w:ilvl="7">
      <w:start w:val="1"/>
      <w:numFmt w:val="none"/>
      <w:lvlText w:val=""/>
      <w:lvlJc w:val="left"/>
      <w:pPr>
        <w:tabs>
          <w:tab w:val="num" w:pos="1474"/>
        </w:tabs>
        <w:ind w:left="1445" w:hanging="170"/>
      </w:pPr>
      <w:rPr>
        <w:rFonts w:hint="default"/>
      </w:rPr>
    </w:lvl>
    <w:lvl w:ilvl="8">
      <w:start w:val="1"/>
      <w:numFmt w:val="none"/>
      <w:lvlText w:val=""/>
      <w:lvlJc w:val="left"/>
      <w:pPr>
        <w:tabs>
          <w:tab w:val="num" w:pos="1644"/>
        </w:tabs>
        <w:ind w:left="1615" w:hanging="170"/>
      </w:pPr>
      <w:rPr>
        <w:rFonts w:hint="default"/>
      </w:rPr>
    </w:lvl>
  </w:abstractNum>
  <w:abstractNum w:abstractNumId="8">
    <w:nsid w:val="25CB236B"/>
    <w:multiLevelType w:val="multilevel"/>
    <w:tmpl w:val="582E5DAA"/>
    <w:name w:val="Pull Box Numbering"/>
    <w:lvl w:ilvl="0">
      <w:start w:val="1"/>
      <w:numFmt w:val="decimal"/>
      <w:pStyle w:val="PullOutBoxNumber"/>
      <w:lvlText w:val="%1"/>
      <w:lvlJc w:val="left"/>
      <w:pPr>
        <w:ind w:left="567" w:hanging="283"/>
      </w:pPr>
      <w:rPr>
        <w:rFonts w:hint="default"/>
      </w:rPr>
    </w:lvl>
    <w:lvl w:ilvl="1">
      <w:start w:val="1"/>
      <w:numFmt w:val="lowerLetter"/>
      <w:pStyle w:val="PullOutBoxNumber2"/>
      <w:lvlText w:val="%2"/>
      <w:lvlJc w:val="left"/>
      <w:pPr>
        <w:ind w:left="851" w:hanging="283"/>
      </w:pPr>
      <w:rPr>
        <w:rFonts w:hint="default"/>
      </w:rPr>
    </w:lvl>
    <w:lvl w:ilvl="2">
      <w:start w:val="1"/>
      <w:numFmt w:val="lowerRoman"/>
      <w:pStyle w:val="PullOutBoxNumber3"/>
      <w:lvlText w:val="%3"/>
      <w:lvlJc w:val="lef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9">
    <w:nsid w:val="277C79BB"/>
    <w:multiLevelType w:val="multilevel"/>
    <w:tmpl w:val="E62A74BC"/>
    <w:name w:val="items"/>
    <w:lvl w:ilvl="0">
      <w:start w:val="1"/>
      <w:numFmt w:val="decimal"/>
      <w:lvlRestart w:val="0"/>
      <w:lvlText w:val="%1"/>
      <w:lvlJc w:val="left"/>
      <w:pPr>
        <w:tabs>
          <w:tab w:val="num" w:pos="454"/>
        </w:tabs>
        <w:ind w:left="454" w:hanging="454"/>
      </w:pPr>
      <w:rPr>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7981AF9"/>
    <w:multiLevelType w:val="multilevel"/>
    <w:tmpl w:val="68087D48"/>
    <w:name w:val="Bullets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11">
    <w:nsid w:val="29670B9F"/>
    <w:multiLevelType w:val="hybridMultilevel"/>
    <w:tmpl w:val="1E46B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C72580B"/>
    <w:multiLevelType w:val="multilevel"/>
    <w:tmpl w:val="A1605A0E"/>
    <w:name w:val="PullOutNumbering"/>
    <w:lvl w:ilvl="0">
      <w:start w:val="1"/>
      <w:numFmt w:val="decimal"/>
      <w:lvlText w:val="%1"/>
      <w:lvlJc w:val="left"/>
      <w:pPr>
        <w:tabs>
          <w:tab w:val="num" w:pos="624"/>
        </w:tabs>
        <w:ind w:left="624" w:hanging="340"/>
      </w:pPr>
      <w:rPr>
        <w:rFonts w:hint="default"/>
      </w:rPr>
    </w:lvl>
    <w:lvl w:ilvl="1">
      <w:start w:val="1"/>
      <w:numFmt w:val="lowerLetter"/>
      <w:lvlText w:val="%2"/>
      <w:lvlJc w:val="left"/>
      <w:pPr>
        <w:tabs>
          <w:tab w:val="num" w:pos="964"/>
        </w:tabs>
        <w:ind w:left="964" w:hanging="340"/>
      </w:pPr>
      <w:rPr>
        <w:rFonts w:hint="default"/>
        <w:color w:val="auto"/>
      </w:rPr>
    </w:lvl>
    <w:lvl w:ilvl="2">
      <w:start w:val="1"/>
      <w:numFmt w:val="lowerRoman"/>
      <w:lvlText w:val="%3"/>
      <w:lvlJc w:val="left"/>
      <w:pPr>
        <w:tabs>
          <w:tab w:val="num" w:pos="1304"/>
        </w:tabs>
        <w:ind w:left="1304" w:hanging="340"/>
      </w:pPr>
      <w:rPr>
        <w:rFonts w:hint="default"/>
        <w:color w:val="auto"/>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nsid w:val="33B606EE"/>
    <w:multiLevelType w:val="hybridMultilevel"/>
    <w:tmpl w:val="B89A6290"/>
    <w:lvl w:ilvl="0" w:tplc="85826380">
      <w:numFmt w:val="bullet"/>
      <w:lvlText w:val="•"/>
      <w:lvlJc w:val="left"/>
      <w:pPr>
        <w:ind w:left="1080" w:hanging="720"/>
      </w:pPr>
      <w:rPr>
        <w:rFonts w:ascii="Calibri" w:eastAsiaTheme="minorHAns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6313D4E"/>
    <w:multiLevelType w:val="hybridMultilevel"/>
    <w:tmpl w:val="46629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8723AD4"/>
    <w:multiLevelType w:val="multilevel"/>
    <w:tmpl w:val="CC2400A2"/>
    <w:name w:val="PullOutBullets"/>
    <w:lvl w:ilvl="0">
      <w:start w:val="1"/>
      <w:numFmt w:val="bullet"/>
      <w:lvlText w:val="•"/>
      <w:lvlJc w:val="left"/>
      <w:pPr>
        <w:tabs>
          <w:tab w:val="num" w:pos="624"/>
        </w:tabs>
        <w:ind w:left="624" w:hanging="340"/>
      </w:pPr>
      <w:rPr>
        <w:rFonts w:ascii="Calibri" w:hAnsi="Calibri" w:hint="default"/>
        <w:color w:val="auto"/>
        <w:sz w:val="22"/>
      </w:rPr>
    </w:lvl>
    <w:lvl w:ilvl="1">
      <w:start w:val="1"/>
      <w:numFmt w:val="bullet"/>
      <w:lvlText w:val="–"/>
      <w:lvlJc w:val="left"/>
      <w:pPr>
        <w:tabs>
          <w:tab w:val="num" w:pos="964"/>
        </w:tabs>
        <w:ind w:left="964" w:hanging="340"/>
      </w:pPr>
      <w:rPr>
        <w:rFonts w:ascii="Calibri" w:hAnsi="Calibri" w:hint="default"/>
        <w:color w:val="auto"/>
        <w:sz w:val="22"/>
      </w:rPr>
    </w:lvl>
    <w:lvl w:ilvl="2">
      <w:start w:val="1"/>
      <w:numFmt w:val="bullet"/>
      <w:lvlText w:val=""/>
      <w:lvlJc w:val="left"/>
      <w:pPr>
        <w:tabs>
          <w:tab w:val="num" w:pos="1304"/>
        </w:tabs>
        <w:ind w:left="1304" w:hanging="340"/>
      </w:pPr>
      <w:rPr>
        <w:rFonts w:ascii="Wingdings" w:hAnsi="Wingdings" w:hint="default"/>
        <w:color w:val="auto"/>
        <w:position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nsid w:val="3FA54DC2"/>
    <w:multiLevelType w:val="multilevel"/>
    <w:tmpl w:val="9BE41134"/>
    <w:lvl w:ilvl="0">
      <w:start w:val="1"/>
      <w:numFmt w:val="bullet"/>
      <w:pStyle w:val="PullOutBoxBullet"/>
      <w:lvlText w:val="•"/>
      <w:lvlJc w:val="left"/>
      <w:pPr>
        <w:ind w:left="567" w:hanging="283"/>
      </w:pPr>
      <w:rPr>
        <w:rFonts w:ascii="Calibri" w:hAnsi="Calibri" w:hint="default"/>
      </w:rPr>
    </w:lvl>
    <w:lvl w:ilvl="1">
      <w:start w:val="1"/>
      <w:numFmt w:val="bullet"/>
      <w:pStyle w:val="PullOutBoxBullet2"/>
      <w:lvlText w:val="–"/>
      <w:lvlJc w:val="left"/>
      <w:pPr>
        <w:ind w:left="851" w:hanging="283"/>
      </w:pPr>
      <w:rPr>
        <w:rFonts w:ascii="Calibri" w:hAnsi="Calibri" w:hint="default"/>
      </w:rPr>
    </w:lvl>
    <w:lvl w:ilvl="2">
      <w:start w:val="1"/>
      <w:numFmt w:val="bullet"/>
      <w:pStyle w:val="PullOutBoxBullet3"/>
      <w:lvlText w:val=""/>
      <w:lvlJc w:val="left"/>
      <w:pPr>
        <w:ind w:left="1135" w:hanging="283"/>
      </w:pPr>
      <w:rPr>
        <w:rFonts w:ascii="Wingdings" w:hAnsi="Wingdings" w:hint="default"/>
      </w:rPr>
    </w:lvl>
    <w:lvl w:ilvl="3">
      <w:start w:val="1"/>
      <w:numFmt w:val="bullet"/>
      <w:lvlText w:val=""/>
      <w:lvlJc w:val="left"/>
      <w:pPr>
        <w:ind w:left="1419" w:hanging="283"/>
      </w:pPr>
      <w:rPr>
        <w:rFonts w:ascii="Symbol" w:hAnsi="Symbol" w:hint="default"/>
      </w:rPr>
    </w:lvl>
    <w:lvl w:ilvl="4">
      <w:start w:val="1"/>
      <w:numFmt w:val="bullet"/>
      <w:lvlText w:val="o"/>
      <w:lvlJc w:val="left"/>
      <w:pPr>
        <w:ind w:left="1703" w:hanging="283"/>
      </w:pPr>
      <w:rPr>
        <w:rFonts w:ascii="Courier New" w:hAnsi="Courier New" w:cs="Courier New"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Symbol" w:hAnsi="Symbol" w:hint="default"/>
      </w:rPr>
    </w:lvl>
    <w:lvl w:ilvl="7">
      <w:start w:val="1"/>
      <w:numFmt w:val="bullet"/>
      <w:lvlText w:val="o"/>
      <w:lvlJc w:val="left"/>
      <w:pPr>
        <w:ind w:left="2555" w:hanging="283"/>
      </w:pPr>
      <w:rPr>
        <w:rFonts w:ascii="Courier New" w:hAnsi="Courier New" w:cs="Courier New" w:hint="default"/>
      </w:rPr>
    </w:lvl>
    <w:lvl w:ilvl="8">
      <w:start w:val="1"/>
      <w:numFmt w:val="bullet"/>
      <w:lvlText w:val=""/>
      <w:lvlJc w:val="left"/>
      <w:pPr>
        <w:ind w:left="2839" w:hanging="283"/>
      </w:pPr>
      <w:rPr>
        <w:rFonts w:ascii="Wingdings" w:hAnsi="Wingdings" w:hint="default"/>
      </w:rPr>
    </w:lvl>
  </w:abstractNum>
  <w:abstractNum w:abstractNumId="17">
    <w:nsid w:val="53750991"/>
    <w:multiLevelType w:val="multilevel"/>
    <w:tmpl w:val="6F0EDC78"/>
    <w:name w:val="NumberedList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7"/>
        </w:tabs>
        <w:ind w:left="568" w:hanging="284"/>
      </w:pPr>
      <w:rPr>
        <w:rFonts w:hint="default"/>
      </w:rPr>
    </w:lvl>
    <w:lvl w:ilvl="2">
      <w:start w:val="1"/>
      <w:numFmt w:val="lowerRoman"/>
      <w:lvlText w:val="%3"/>
      <w:lvlJc w:val="left"/>
      <w:pPr>
        <w:tabs>
          <w:tab w:val="num" w:pos="851"/>
        </w:tabs>
        <w:ind w:left="852" w:hanging="284"/>
      </w:pPr>
      <w:rPr>
        <w:rFonts w:hint="default"/>
      </w:rPr>
    </w:lvl>
    <w:lvl w:ilvl="3">
      <w:start w:val="1"/>
      <w:numFmt w:val="upperLetter"/>
      <w:lvlText w:val="%4"/>
      <w:lvlJc w:val="left"/>
      <w:pPr>
        <w:tabs>
          <w:tab w:val="num" w:pos="1134"/>
        </w:tabs>
        <w:ind w:left="1136" w:hanging="284"/>
      </w:pPr>
      <w:rPr>
        <w:rFonts w:hint="default"/>
      </w:rPr>
    </w:lvl>
    <w:lvl w:ilvl="4">
      <w:start w:val="1"/>
      <w:numFmt w:val="upperRoman"/>
      <w:lvlText w:val="%5"/>
      <w:lvlJc w:val="left"/>
      <w:pPr>
        <w:tabs>
          <w:tab w:val="num" w:pos="1418"/>
        </w:tabs>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nsid w:val="556C597B"/>
    <w:multiLevelType w:val="hybridMultilevel"/>
    <w:tmpl w:val="149ACDAA"/>
    <w:lvl w:ilvl="0" w:tplc="691CAF42">
      <w:numFmt w:val="bullet"/>
      <w:lvlText w:val="•"/>
      <w:lvlJc w:val="left"/>
      <w:pPr>
        <w:ind w:left="1080" w:hanging="720"/>
      </w:pPr>
      <w:rPr>
        <w:rFonts w:ascii="Calibri" w:eastAsiaTheme="minorHAns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C7B378A"/>
    <w:multiLevelType w:val="multilevel"/>
    <w:tmpl w:val="B210BFF6"/>
    <w:name w:val="Bullets"/>
    <w:lvl w:ilvl="0">
      <w:start w:val="1"/>
      <w:numFmt w:val="bullet"/>
      <w:lvlText w:val="•"/>
      <w:lvlJc w:val="left"/>
      <w:pPr>
        <w:tabs>
          <w:tab w:val="num" w:pos="284"/>
        </w:tabs>
        <w:ind w:left="284" w:hanging="284"/>
      </w:pPr>
      <w:rPr>
        <w:rFonts w:ascii="Calibri" w:hAnsi="Calibri" w:hint="default"/>
        <w:color w:val="auto"/>
      </w:rPr>
    </w:lvl>
    <w:lvl w:ilvl="1">
      <w:start w:val="1"/>
      <w:numFmt w:val="bullet"/>
      <w:lvlText w:val="‒"/>
      <w:lvlJc w:val="left"/>
      <w:pPr>
        <w:tabs>
          <w:tab w:val="num" w:pos="567"/>
        </w:tabs>
        <w:ind w:left="568" w:hanging="284"/>
      </w:pPr>
      <w:rPr>
        <w:rFonts w:ascii="Calibri" w:hAnsi="Calibri" w:hint="default"/>
        <w:color w:val="auto"/>
      </w:rPr>
    </w:lvl>
    <w:lvl w:ilvl="2">
      <w:start w:val="1"/>
      <w:numFmt w:val="bullet"/>
      <w:lvlText w:val="s"/>
      <w:lvlJc w:val="left"/>
      <w:pPr>
        <w:tabs>
          <w:tab w:val="num" w:pos="851"/>
        </w:tabs>
        <w:ind w:left="852" w:hanging="284"/>
      </w:pPr>
      <w:rPr>
        <w:rFonts w:ascii="Wingdings" w:hAnsi="Wingding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0">
    <w:nsid w:val="5D0540A9"/>
    <w:multiLevelType w:val="multilevel"/>
    <w:tmpl w:val="983819BC"/>
    <w:name w:val="AppendicesNumbering"/>
    <w:lvl w:ilvl="0">
      <w:start w:val="1"/>
      <w:numFmt w:val="upperLetter"/>
      <w:lvlRestart w:val="0"/>
      <w:pStyle w:val="Heading8"/>
      <w:suff w:val="space"/>
      <w:lvlText w:val="Appendix %1"/>
      <w:lvlJc w:val="left"/>
      <w:pPr>
        <w:ind w:left="0" w:firstLine="0"/>
      </w:pPr>
      <w:rPr>
        <w:rFonts w:ascii="Calibri Light" w:hAnsi="Calibri Light" w:hint="default"/>
        <w:b w:val="0"/>
        <w:i w:val="0"/>
        <w:sz w:val="52"/>
      </w:rPr>
    </w:lvl>
    <w:lvl w:ilvl="1">
      <w:start w:val="1"/>
      <w:numFmt w:val="decimal"/>
      <w:pStyle w:val="Heading9"/>
      <w:lvlText w:val="%1%2."/>
      <w:lvlJc w:val="left"/>
      <w:pPr>
        <w:tabs>
          <w:tab w:val="num" w:pos="765"/>
        </w:tabs>
        <w:ind w:left="765" w:hanging="765"/>
      </w:pPr>
      <w:rPr>
        <w:rFonts w:hint="default"/>
        <w:sz w:val="28"/>
      </w:rPr>
    </w:lvl>
    <w:lvl w:ilvl="2">
      <w:start w:val="1"/>
      <w:numFmt w:val="decimal"/>
      <w:pStyle w:val="AppendixHeading2"/>
      <w:lvlText w:val="%1%2.%3"/>
      <w:lvlJc w:val="left"/>
      <w:pPr>
        <w:tabs>
          <w:tab w:val="num" w:pos="765"/>
        </w:tabs>
        <w:ind w:left="765" w:hanging="765"/>
      </w:pPr>
      <w:rPr>
        <w:rFonts w:hint="default"/>
      </w:rPr>
    </w:lvl>
    <w:lvl w:ilvl="3">
      <w:start w:val="1"/>
      <w:numFmt w:val="decimal"/>
      <w:pStyle w:val="AppendixHeading3"/>
      <w:lvlText w:val="%1%2.%3.%4"/>
      <w:lvlJc w:val="left"/>
      <w:pPr>
        <w:tabs>
          <w:tab w:val="num" w:pos="765"/>
        </w:tabs>
        <w:ind w:left="765" w:hanging="765"/>
      </w:pPr>
      <w:rPr>
        <w:rFonts w:hint="default"/>
      </w:rPr>
    </w:lvl>
    <w:lvl w:ilvl="4">
      <w:start w:val="1"/>
      <w:numFmt w:val="decimal"/>
      <w:lvlText w:val="%1%2.%3.%4.%5"/>
      <w:lvlJc w:val="left"/>
      <w:pPr>
        <w:tabs>
          <w:tab w:val="num" w:pos="1134"/>
        </w:tabs>
        <w:ind w:left="765" w:hanging="765"/>
      </w:pPr>
      <w:rPr>
        <w:rFonts w:hint="default"/>
      </w:rPr>
    </w:lvl>
    <w:lvl w:ilvl="5">
      <w:start w:val="1"/>
      <w:numFmt w:val="none"/>
      <w:lvlText w:val=""/>
      <w:lvlJc w:val="righ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right"/>
      <w:pPr>
        <w:ind w:left="765" w:hanging="765"/>
      </w:pPr>
      <w:rPr>
        <w:rFonts w:hint="default"/>
      </w:rPr>
    </w:lvl>
  </w:abstractNum>
  <w:abstractNum w:abstractNumId="21">
    <w:nsid w:val="639D3F70"/>
    <w:multiLevelType w:val="hybridMultilevel"/>
    <w:tmpl w:val="9CAACC56"/>
    <w:lvl w:ilvl="0" w:tplc="E278C29E">
      <w:numFmt w:val="bullet"/>
      <w:lvlText w:val="•"/>
      <w:lvlJc w:val="left"/>
      <w:pPr>
        <w:ind w:left="720" w:hanging="360"/>
      </w:pPr>
      <w:rPr>
        <w:rFonts w:ascii="Calibri" w:eastAsiaTheme="minorHAnsi" w:hAnsi="Calibri" w:cs="Times New Roman"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4350248"/>
    <w:multiLevelType w:val="hybridMultilevel"/>
    <w:tmpl w:val="7A629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6E247CC"/>
    <w:multiLevelType w:val="multilevel"/>
    <w:tmpl w:val="68087D48"/>
    <w:name w:val="Bullets2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24">
    <w:nsid w:val="6B655F8D"/>
    <w:multiLevelType w:val="multilevel"/>
    <w:tmpl w:val="6CF08D08"/>
    <w:name w:val="NumberedList"/>
    <w:styleLink w:val="NumberedList"/>
    <w:lvl w:ilvl="0">
      <w:start w:val="1"/>
      <w:numFmt w:val="decimal"/>
      <w:lvlRestart w:val="0"/>
      <w:pStyle w:val="ListNumber"/>
      <w:lvlText w:val="%1"/>
      <w:lvlJc w:val="left"/>
      <w:pPr>
        <w:tabs>
          <w:tab w:val="num" w:pos="283"/>
        </w:tabs>
        <w:ind w:left="283" w:hanging="283"/>
      </w:pPr>
      <w:rPr>
        <w:rFonts w:hint="default"/>
      </w:rPr>
    </w:lvl>
    <w:lvl w:ilvl="1">
      <w:start w:val="1"/>
      <w:numFmt w:val="lowerLetter"/>
      <w:pStyle w:val="ListNumber2"/>
      <w:lvlText w:val="%2"/>
      <w:lvlJc w:val="left"/>
      <w:pPr>
        <w:tabs>
          <w:tab w:val="num" w:pos="567"/>
        </w:tabs>
        <w:ind w:left="567" w:hanging="284"/>
      </w:pPr>
      <w:rPr>
        <w:rFonts w:hint="default"/>
      </w:rPr>
    </w:lvl>
    <w:lvl w:ilvl="2">
      <w:start w:val="1"/>
      <w:numFmt w:val="lowerRoman"/>
      <w:pStyle w:val="ListNumber3"/>
      <w:lvlText w:val="%3"/>
      <w:lvlJc w:val="left"/>
      <w:pPr>
        <w:tabs>
          <w:tab w:val="num" w:pos="850"/>
        </w:tabs>
        <w:ind w:left="850" w:hanging="283"/>
      </w:pPr>
      <w:rPr>
        <w:rFonts w:hint="default"/>
      </w:rPr>
    </w:lvl>
    <w:lvl w:ilvl="3">
      <w:start w:val="1"/>
      <w:numFmt w:val="upperLetter"/>
      <w:lvlRestart w:val="2"/>
      <w:pStyle w:val="ListNumber4"/>
      <w:lvlText w:val="%4"/>
      <w:lvlJc w:val="left"/>
      <w:pPr>
        <w:tabs>
          <w:tab w:val="num" w:pos="1134"/>
        </w:tabs>
        <w:ind w:left="1134" w:hanging="284"/>
      </w:pPr>
      <w:rPr>
        <w:rFonts w:hint="default"/>
      </w:rPr>
    </w:lvl>
    <w:lvl w:ilvl="4">
      <w:start w:val="1"/>
      <w:numFmt w:val="upperRoman"/>
      <w:lvlRestart w:val="2"/>
      <w:pStyle w:val="ListNumber5"/>
      <w:lvlText w:val="%5"/>
      <w:lvlJc w:val="left"/>
      <w:pPr>
        <w:tabs>
          <w:tab w:val="num" w:pos="1417"/>
        </w:tabs>
        <w:ind w:left="1417" w:hanging="283"/>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5">
    <w:nsid w:val="6D1D40AC"/>
    <w:multiLevelType w:val="multilevel"/>
    <w:tmpl w:val="2AC4119A"/>
    <w:name w:val="TableNumbering"/>
    <w:lvl w:ilvl="0">
      <w:start w:val="1"/>
      <w:numFmt w:val="decimal"/>
      <w:pStyle w:val="TableTextNumber"/>
      <w:lvlText w:val="%1"/>
      <w:lvlJc w:val="left"/>
      <w:pPr>
        <w:ind w:left="369" w:hanging="284"/>
      </w:pPr>
      <w:rPr>
        <w:rFonts w:hint="default"/>
      </w:rPr>
    </w:lvl>
    <w:lvl w:ilvl="1">
      <w:start w:val="1"/>
      <w:numFmt w:val="lowerLetter"/>
      <w:pStyle w:val="TableTextNumber2"/>
      <w:lvlText w:val="%2"/>
      <w:lvlJc w:val="left"/>
      <w:pPr>
        <w:ind w:left="653" w:hanging="284"/>
      </w:pPr>
      <w:rPr>
        <w:rFonts w:hint="default"/>
      </w:rPr>
    </w:lvl>
    <w:lvl w:ilvl="2">
      <w:start w:val="1"/>
      <w:numFmt w:val="lowerRoman"/>
      <w:pStyle w:val="TableTextNumber3"/>
      <w:lvlText w:val="%3"/>
      <w:lvlJc w:val="left"/>
      <w:pPr>
        <w:tabs>
          <w:tab w:val="num" w:pos="1191"/>
        </w:tabs>
        <w:ind w:left="937" w:hanging="284"/>
      </w:pPr>
      <w:rPr>
        <w:rFonts w:hint="default"/>
      </w:rPr>
    </w:lvl>
    <w:lvl w:ilvl="3">
      <w:start w:val="1"/>
      <w:numFmt w:val="none"/>
      <w:lvlText w:val=""/>
      <w:lvlJc w:val="left"/>
      <w:pPr>
        <w:tabs>
          <w:tab w:val="num" w:pos="1588"/>
        </w:tabs>
        <w:ind w:left="1221" w:hanging="284"/>
      </w:pPr>
      <w:rPr>
        <w:rFonts w:hint="default"/>
      </w:rPr>
    </w:lvl>
    <w:lvl w:ilvl="4">
      <w:start w:val="1"/>
      <w:numFmt w:val="none"/>
      <w:lvlText w:val=""/>
      <w:lvlJc w:val="left"/>
      <w:pPr>
        <w:tabs>
          <w:tab w:val="num" w:pos="1985"/>
        </w:tabs>
        <w:ind w:left="1505" w:hanging="284"/>
      </w:pPr>
      <w:rPr>
        <w:rFonts w:hint="default"/>
      </w:rPr>
    </w:lvl>
    <w:lvl w:ilvl="5">
      <w:start w:val="1"/>
      <w:numFmt w:val="none"/>
      <w:lvlText w:val=""/>
      <w:lvlJc w:val="left"/>
      <w:pPr>
        <w:tabs>
          <w:tab w:val="num" w:pos="2382"/>
        </w:tabs>
        <w:ind w:left="1789" w:hanging="284"/>
      </w:pPr>
      <w:rPr>
        <w:rFonts w:hint="default"/>
      </w:rPr>
    </w:lvl>
    <w:lvl w:ilvl="6">
      <w:start w:val="1"/>
      <w:numFmt w:val="none"/>
      <w:lvlText w:val=""/>
      <w:lvlJc w:val="left"/>
      <w:pPr>
        <w:tabs>
          <w:tab w:val="num" w:pos="2779"/>
        </w:tabs>
        <w:ind w:left="2073" w:hanging="284"/>
      </w:pPr>
      <w:rPr>
        <w:rFonts w:hint="default"/>
      </w:rPr>
    </w:lvl>
    <w:lvl w:ilvl="7">
      <w:start w:val="1"/>
      <w:numFmt w:val="none"/>
      <w:lvlText w:val=""/>
      <w:lvlJc w:val="left"/>
      <w:pPr>
        <w:tabs>
          <w:tab w:val="num" w:pos="3176"/>
        </w:tabs>
        <w:ind w:left="2357" w:hanging="284"/>
      </w:pPr>
      <w:rPr>
        <w:rFonts w:hint="default"/>
      </w:rPr>
    </w:lvl>
    <w:lvl w:ilvl="8">
      <w:start w:val="1"/>
      <w:numFmt w:val="none"/>
      <w:lvlText w:val=""/>
      <w:lvlJc w:val="left"/>
      <w:pPr>
        <w:tabs>
          <w:tab w:val="num" w:pos="3573"/>
        </w:tabs>
        <w:ind w:left="2641" w:hanging="284"/>
      </w:pPr>
      <w:rPr>
        <w:rFonts w:hint="default"/>
      </w:rPr>
    </w:lvl>
  </w:abstractNum>
  <w:abstractNum w:abstractNumId="26">
    <w:nsid w:val="6E644AF7"/>
    <w:multiLevelType w:val="multilevel"/>
    <w:tmpl w:val="9C96D62A"/>
    <w:name w:val="BulletedList"/>
    <w:styleLink w:val="Bullets"/>
    <w:lvl w:ilvl="0">
      <w:start w:val="1"/>
      <w:numFmt w:val="bullet"/>
      <w:lvlText w:val="•"/>
      <w:lvlJc w:val="left"/>
      <w:pPr>
        <w:ind w:left="284" w:hanging="284"/>
      </w:pPr>
      <w:rPr>
        <w:rFonts w:ascii="Calibri" w:hAnsi="Calibri" w:hint="default"/>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7">
    <w:nsid w:val="70250B03"/>
    <w:multiLevelType w:val="multilevel"/>
    <w:tmpl w:val="880A672E"/>
    <w:name w:val="QuoteBullets"/>
    <w:lvl w:ilvl="0">
      <w:start w:val="1"/>
      <w:numFmt w:val="bullet"/>
      <w:pStyle w:val="QuoteBullet"/>
      <w:lvlText w:val="•"/>
      <w:lvlJc w:val="left"/>
      <w:pPr>
        <w:ind w:left="567" w:hanging="283"/>
      </w:pPr>
      <w:rPr>
        <w:rFonts w:ascii="Calibri" w:hAnsi="Calibri" w:hint="default"/>
        <w:color w:val="auto"/>
        <w:sz w:val="22"/>
      </w:rPr>
    </w:lvl>
    <w:lvl w:ilvl="1">
      <w:start w:val="1"/>
      <w:numFmt w:val="bullet"/>
      <w:pStyle w:val="QuoteBullet2"/>
      <w:lvlText w:val="‒"/>
      <w:lvlJc w:val="left"/>
      <w:pPr>
        <w:ind w:left="851" w:hanging="283"/>
      </w:pPr>
      <w:rPr>
        <w:rFonts w:ascii="Calibri" w:hAnsi="Calibri" w:hint="default"/>
        <w:color w:val="auto"/>
      </w:rPr>
    </w:lvl>
    <w:lvl w:ilvl="2">
      <w:start w:val="1"/>
      <w:numFmt w:val="bullet"/>
      <w:lvlText w:val="‒"/>
      <w:lvlJc w:val="left"/>
      <w:pPr>
        <w:tabs>
          <w:tab w:val="num" w:pos="1418"/>
        </w:tabs>
        <w:ind w:left="1135" w:hanging="283"/>
      </w:pPr>
      <w:rPr>
        <w:rFonts w:ascii="Calibri" w:hAnsi="Calibri" w:hint="default"/>
        <w:color w:val="9778B4" w:themeColor="text2"/>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Wingdings" w:hAnsi="Wingdings"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28">
    <w:nsid w:val="74275C4B"/>
    <w:multiLevelType w:val="multilevel"/>
    <w:tmpl w:val="0C09001D"/>
    <w:name w:val="Bullets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7839021E"/>
    <w:multiLevelType w:val="multilevel"/>
    <w:tmpl w:val="464425F6"/>
    <w:name w:val="ListNumbering"/>
    <w:lvl w:ilvl="0">
      <w:start w:val="1"/>
      <w:numFmt w:val="decimal"/>
      <w:lvlText w:val="%1"/>
      <w:lvlJc w:val="left"/>
      <w:pPr>
        <w:ind w:left="397" w:hanging="397"/>
      </w:pPr>
      <w:rPr>
        <w:rFonts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30">
    <w:nsid w:val="7B041D33"/>
    <w:multiLevelType w:val="hybridMultilevel"/>
    <w:tmpl w:val="CFD0F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29"/>
  </w:num>
  <w:num w:numId="4">
    <w:abstractNumId w:val="27"/>
  </w:num>
  <w:num w:numId="5">
    <w:abstractNumId w:val="5"/>
  </w:num>
  <w:num w:numId="6">
    <w:abstractNumId w:val="7"/>
  </w:num>
  <w:num w:numId="7">
    <w:abstractNumId w:val="25"/>
  </w:num>
  <w:num w:numId="8">
    <w:abstractNumId w:val="4"/>
  </w:num>
  <w:num w:numId="9">
    <w:abstractNumId w:val="16"/>
  </w:num>
  <w:num w:numId="10">
    <w:abstractNumId w:val="8"/>
  </w:num>
  <w:num w:numId="11">
    <w:abstractNumId w:val="10"/>
  </w:num>
  <w:num w:numId="12">
    <w:abstractNumId w:val="23"/>
  </w:num>
  <w:num w:numId="13">
    <w:abstractNumId w:val="28"/>
  </w:num>
  <w:num w:numId="14">
    <w:abstractNumId w:val="26"/>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4"/>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0"/>
  </w:num>
  <w:num w:numId="23">
    <w:abstractNumId w:val="17"/>
  </w:num>
  <w:num w:numId="24">
    <w:abstractNumId w:val="9"/>
  </w:num>
  <w:num w:numId="25">
    <w:abstractNumId w:val="4"/>
  </w:num>
  <w:num w:numId="26">
    <w:abstractNumId w:val="9"/>
  </w:num>
  <w:num w:numId="27">
    <w:abstractNumId w:val="9"/>
  </w:num>
  <w:num w:numId="28">
    <w:abstractNumId w:val="9"/>
  </w:num>
  <w:num w:numId="29">
    <w:abstractNumId w:val="9"/>
  </w:num>
  <w:num w:numId="30">
    <w:abstractNumId w:val="4"/>
  </w:num>
  <w:num w:numId="31">
    <w:abstractNumId w:val="2"/>
  </w:num>
  <w:num w:numId="32">
    <w:abstractNumId w:val="30"/>
  </w:num>
  <w:num w:numId="33">
    <w:abstractNumId w:val="18"/>
  </w:num>
  <w:num w:numId="34">
    <w:abstractNumId w:val="22"/>
  </w:num>
  <w:num w:numId="35">
    <w:abstractNumId w:val="6"/>
  </w:num>
  <w:num w:numId="36">
    <w:abstractNumId w:val="21"/>
  </w:num>
  <w:num w:numId="37">
    <w:abstractNumId w:val="13"/>
  </w:num>
  <w:num w:numId="38">
    <w:abstractNumId w:val="14"/>
  </w:num>
  <w:num w:numId="39">
    <w:abstractNumId w:val="11"/>
  </w:num>
  <w:num w:numId="40">
    <w:abstractNumId w:val="4"/>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orinne Steele">
    <w15:presenceInfo w15:providerId="AD" w15:userId="S::csteele@synergygroup.net.au::f984c57d-4f2f-41f2-a6f4-57265655bb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evenAndOddHeaders/>
  <w:characterSpacingControl w:val="doNotCompress"/>
  <w:hdrShapeDefaults>
    <o:shapedefaults v:ext="edit" spidmax="18433"/>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endices" w:val="False"/>
    <w:docVar w:name="AppendixName" w:val="Appendix"/>
    <w:docVar w:name="CoverDesign" w:val="1"/>
    <w:docVar w:name="Disclaimer" w:val="True"/>
    <w:docVar w:name="Foreword" w:val="True"/>
    <w:docVar w:name="Heading1Numbered" w:val="True"/>
    <w:docVar w:name="Heading2Numbered" w:val="True"/>
    <w:docVar w:name="Heading3Numbered" w:val="True"/>
    <w:docVar w:name="IsWordingOverview" w:val="True"/>
    <w:docVar w:name="NumberedBodyText" w:val="False"/>
    <w:docVar w:name="optHeading1OddPage" w:val="True"/>
    <w:docVar w:name="Overview" w:val="True"/>
    <w:docVar w:name="PageSetup" w:val="Double"/>
    <w:docVar w:name="RibbonLabel" w:val="Appendix"/>
    <w:docVar w:name="TOC" w:val="True"/>
    <w:docVar w:name="TOCNew" w:val="True"/>
    <w:docVar w:name="Version" w:val="Version 1"/>
  </w:docVars>
  <w:rsids>
    <w:rsidRoot w:val="00827999"/>
    <w:rsid w:val="000010A0"/>
    <w:rsid w:val="00002D4D"/>
    <w:rsid w:val="0000322C"/>
    <w:rsid w:val="00003304"/>
    <w:rsid w:val="00003CDD"/>
    <w:rsid w:val="00004A86"/>
    <w:rsid w:val="0000791A"/>
    <w:rsid w:val="00007FA1"/>
    <w:rsid w:val="00010B11"/>
    <w:rsid w:val="00010D6D"/>
    <w:rsid w:val="00010F6C"/>
    <w:rsid w:val="00012090"/>
    <w:rsid w:val="00012723"/>
    <w:rsid w:val="00012996"/>
    <w:rsid w:val="00013785"/>
    <w:rsid w:val="00014EA0"/>
    <w:rsid w:val="000159D8"/>
    <w:rsid w:val="00015CD4"/>
    <w:rsid w:val="00015D4C"/>
    <w:rsid w:val="000165A7"/>
    <w:rsid w:val="000168A7"/>
    <w:rsid w:val="00016A96"/>
    <w:rsid w:val="0001712A"/>
    <w:rsid w:val="00017721"/>
    <w:rsid w:val="00017BCC"/>
    <w:rsid w:val="0002012A"/>
    <w:rsid w:val="0002027D"/>
    <w:rsid w:val="000203EA"/>
    <w:rsid w:val="000219E6"/>
    <w:rsid w:val="00021F7C"/>
    <w:rsid w:val="0002283E"/>
    <w:rsid w:val="00023A6F"/>
    <w:rsid w:val="00023F62"/>
    <w:rsid w:val="00025185"/>
    <w:rsid w:val="00025594"/>
    <w:rsid w:val="00025A02"/>
    <w:rsid w:val="00025F25"/>
    <w:rsid w:val="00026EB5"/>
    <w:rsid w:val="000273FF"/>
    <w:rsid w:val="0002780A"/>
    <w:rsid w:val="000278D0"/>
    <w:rsid w:val="00027AE6"/>
    <w:rsid w:val="00027E62"/>
    <w:rsid w:val="000306C1"/>
    <w:rsid w:val="000307C8"/>
    <w:rsid w:val="00030F73"/>
    <w:rsid w:val="0003117A"/>
    <w:rsid w:val="000313A5"/>
    <w:rsid w:val="00032FBE"/>
    <w:rsid w:val="00034A4F"/>
    <w:rsid w:val="00035680"/>
    <w:rsid w:val="00035ADE"/>
    <w:rsid w:val="00036092"/>
    <w:rsid w:val="00037CCA"/>
    <w:rsid w:val="000401FB"/>
    <w:rsid w:val="00040417"/>
    <w:rsid w:val="00040502"/>
    <w:rsid w:val="00040684"/>
    <w:rsid w:val="00040BB0"/>
    <w:rsid w:val="0004224B"/>
    <w:rsid w:val="00043D6D"/>
    <w:rsid w:val="00044A50"/>
    <w:rsid w:val="00046226"/>
    <w:rsid w:val="00046901"/>
    <w:rsid w:val="0004727E"/>
    <w:rsid w:val="00047940"/>
    <w:rsid w:val="00047A3D"/>
    <w:rsid w:val="0005014C"/>
    <w:rsid w:val="000506D8"/>
    <w:rsid w:val="0005330D"/>
    <w:rsid w:val="00053355"/>
    <w:rsid w:val="0005397B"/>
    <w:rsid w:val="0005508A"/>
    <w:rsid w:val="000557A7"/>
    <w:rsid w:val="00055805"/>
    <w:rsid w:val="00055F1D"/>
    <w:rsid w:val="00056BB5"/>
    <w:rsid w:val="00056CB3"/>
    <w:rsid w:val="00056E7B"/>
    <w:rsid w:val="0005727F"/>
    <w:rsid w:val="000621D7"/>
    <w:rsid w:val="00062CCB"/>
    <w:rsid w:val="00063079"/>
    <w:rsid w:val="000632C8"/>
    <w:rsid w:val="000638DF"/>
    <w:rsid w:val="00063A69"/>
    <w:rsid w:val="00064E4D"/>
    <w:rsid w:val="0006653F"/>
    <w:rsid w:val="000669AB"/>
    <w:rsid w:val="00066EDE"/>
    <w:rsid w:val="00067A28"/>
    <w:rsid w:val="00067D32"/>
    <w:rsid w:val="00070CFD"/>
    <w:rsid w:val="0007123E"/>
    <w:rsid w:val="00071E15"/>
    <w:rsid w:val="0007260F"/>
    <w:rsid w:val="000727BF"/>
    <w:rsid w:val="00072B60"/>
    <w:rsid w:val="00072D21"/>
    <w:rsid w:val="000735F7"/>
    <w:rsid w:val="0007404F"/>
    <w:rsid w:val="000757C6"/>
    <w:rsid w:val="00077586"/>
    <w:rsid w:val="00077B43"/>
    <w:rsid w:val="000805D5"/>
    <w:rsid w:val="0008103B"/>
    <w:rsid w:val="00081798"/>
    <w:rsid w:val="00082247"/>
    <w:rsid w:val="0008339A"/>
    <w:rsid w:val="00085F97"/>
    <w:rsid w:val="00086ADA"/>
    <w:rsid w:val="00086FD2"/>
    <w:rsid w:val="000878ED"/>
    <w:rsid w:val="000912EC"/>
    <w:rsid w:val="00091755"/>
    <w:rsid w:val="00091D53"/>
    <w:rsid w:val="0009286F"/>
    <w:rsid w:val="00092A33"/>
    <w:rsid w:val="00092B6C"/>
    <w:rsid w:val="00093E6E"/>
    <w:rsid w:val="00093EB9"/>
    <w:rsid w:val="00095298"/>
    <w:rsid w:val="00096403"/>
    <w:rsid w:val="000A12AD"/>
    <w:rsid w:val="000A15EA"/>
    <w:rsid w:val="000A1B16"/>
    <w:rsid w:val="000A2FEC"/>
    <w:rsid w:val="000A348F"/>
    <w:rsid w:val="000A373F"/>
    <w:rsid w:val="000A4D74"/>
    <w:rsid w:val="000A52BC"/>
    <w:rsid w:val="000A596A"/>
    <w:rsid w:val="000A634A"/>
    <w:rsid w:val="000B0872"/>
    <w:rsid w:val="000B3F9F"/>
    <w:rsid w:val="000B4632"/>
    <w:rsid w:val="000B4750"/>
    <w:rsid w:val="000B4A12"/>
    <w:rsid w:val="000B4EA7"/>
    <w:rsid w:val="000B5421"/>
    <w:rsid w:val="000B55BB"/>
    <w:rsid w:val="000B58CC"/>
    <w:rsid w:val="000B5D81"/>
    <w:rsid w:val="000B631C"/>
    <w:rsid w:val="000B6942"/>
    <w:rsid w:val="000C09FA"/>
    <w:rsid w:val="000C1710"/>
    <w:rsid w:val="000C19F2"/>
    <w:rsid w:val="000C1D87"/>
    <w:rsid w:val="000C2214"/>
    <w:rsid w:val="000C2FB2"/>
    <w:rsid w:val="000C37A9"/>
    <w:rsid w:val="000C3BAE"/>
    <w:rsid w:val="000C3E91"/>
    <w:rsid w:val="000C455B"/>
    <w:rsid w:val="000C6728"/>
    <w:rsid w:val="000C702E"/>
    <w:rsid w:val="000D0508"/>
    <w:rsid w:val="000D15E9"/>
    <w:rsid w:val="000D2128"/>
    <w:rsid w:val="000D22C1"/>
    <w:rsid w:val="000D2740"/>
    <w:rsid w:val="000D287E"/>
    <w:rsid w:val="000D2996"/>
    <w:rsid w:val="000D3182"/>
    <w:rsid w:val="000D3E48"/>
    <w:rsid w:val="000D4494"/>
    <w:rsid w:val="000D45C4"/>
    <w:rsid w:val="000D511C"/>
    <w:rsid w:val="000D5434"/>
    <w:rsid w:val="000D5CEB"/>
    <w:rsid w:val="000D7757"/>
    <w:rsid w:val="000E0508"/>
    <w:rsid w:val="000E0588"/>
    <w:rsid w:val="000E1004"/>
    <w:rsid w:val="000E17E6"/>
    <w:rsid w:val="000E1829"/>
    <w:rsid w:val="000E18F3"/>
    <w:rsid w:val="000E266E"/>
    <w:rsid w:val="000E2C25"/>
    <w:rsid w:val="000E2DF3"/>
    <w:rsid w:val="000E3DF7"/>
    <w:rsid w:val="000E3EDD"/>
    <w:rsid w:val="000E473C"/>
    <w:rsid w:val="000E6752"/>
    <w:rsid w:val="000F017C"/>
    <w:rsid w:val="000F13F6"/>
    <w:rsid w:val="000F1515"/>
    <w:rsid w:val="000F16B5"/>
    <w:rsid w:val="000F17B6"/>
    <w:rsid w:val="000F18FB"/>
    <w:rsid w:val="000F4B5B"/>
    <w:rsid w:val="000F5519"/>
    <w:rsid w:val="000F5894"/>
    <w:rsid w:val="000F5944"/>
    <w:rsid w:val="000F616E"/>
    <w:rsid w:val="00101ECB"/>
    <w:rsid w:val="00102EF5"/>
    <w:rsid w:val="001036B8"/>
    <w:rsid w:val="0010382D"/>
    <w:rsid w:val="00104F78"/>
    <w:rsid w:val="00105475"/>
    <w:rsid w:val="00105976"/>
    <w:rsid w:val="00105D82"/>
    <w:rsid w:val="001061B5"/>
    <w:rsid w:val="0010645E"/>
    <w:rsid w:val="00110D43"/>
    <w:rsid w:val="00112010"/>
    <w:rsid w:val="001128CB"/>
    <w:rsid w:val="00112F5D"/>
    <w:rsid w:val="00113C9E"/>
    <w:rsid w:val="001142E3"/>
    <w:rsid w:val="00114508"/>
    <w:rsid w:val="00115536"/>
    <w:rsid w:val="00115575"/>
    <w:rsid w:val="001159EA"/>
    <w:rsid w:val="00116CCB"/>
    <w:rsid w:val="0012101C"/>
    <w:rsid w:val="001219F6"/>
    <w:rsid w:val="00122A5F"/>
    <w:rsid w:val="0012351B"/>
    <w:rsid w:val="00123889"/>
    <w:rsid w:val="00123D4E"/>
    <w:rsid w:val="0012448F"/>
    <w:rsid w:val="00125410"/>
    <w:rsid w:val="0012635F"/>
    <w:rsid w:val="00126406"/>
    <w:rsid w:val="001275B4"/>
    <w:rsid w:val="00127E75"/>
    <w:rsid w:val="00130057"/>
    <w:rsid w:val="00130858"/>
    <w:rsid w:val="00130DF2"/>
    <w:rsid w:val="00132AD8"/>
    <w:rsid w:val="00132DE1"/>
    <w:rsid w:val="00132F46"/>
    <w:rsid w:val="00135AE8"/>
    <w:rsid w:val="00136C26"/>
    <w:rsid w:val="0013738F"/>
    <w:rsid w:val="0013739C"/>
    <w:rsid w:val="00137ED2"/>
    <w:rsid w:val="0014059F"/>
    <w:rsid w:val="00141551"/>
    <w:rsid w:val="001417CE"/>
    <w:rsid w:val="00141A2B"/>
    <w:rsid w:val="00142520"/>
    <w:rsid w:val="001428DF"/>
    <w:rsid w:val="00142DD3"/>
    <w:rsid w:val="0014479F"/>
    <w:rsid w:val="00144A75"/>
    <w:rsid w:val="00146675"/>
    <w:rsid w:val="001476A4"/>
    <w:rsid w:val="001504F5"/>
    <w:rsid w:val="001507F8"/>
    <w:rsid w:val="001511F0"/>
    <w:rsid w:val="00151BAD"/>
    <w:rsid w:val="00152486"/>
    <w:rsid w:val="001525D6"/>
    <w:rsid w:val="001525FB"/>
    <w:rsid w:val="001530BF"/>
    <w:rsid w:val="0015322D"/>
    <w:rsid w:val="00153A4E"/>
    <w:rsid w:val="00154DC5"/>
    <w:rsid w:val="00154EA5"/>
    <w:rsid w:val="00155078"/>
    <w:rsid w:val="001559DD"/>
    <w:rsid w:val="00156DEC"/>
    <w:rsid w:val="00156ED4"/>
    <w:rsid w:val="00157514"/>
    <w:rsid w:val="00160587"/>
    <w:rsid w:val="00160C8D"/>
    <w:rsid w:val="00161E45"/>
    <w:rsid w:val="00161F6E"/>
    <w:rsid w:val="0016272E"/>
    <w:rsid w:val="001629C0"/>
    <w:rsid w:val="00163018"/>
    <w:rsid w:val="001639F7"/>
    <w:rsid w:val="00163A95"/>
    <w:rsid w:val="001643EB"/>
    <w:rsid w:val="001649ED"/>
    <w:rsid w:val="00164C7C"/>
    <w:rsid w:val="00164EFA"/>
    <w:rsid w:val="00165122"/>
    <w:rsid w:val="00165854"/>
    <w:rsid w:val="0016619A"/>
    <w:rsid w:val="001663E4"/>
    <w:rsid w:val="001666C6"/>
    <w:rsid w:val="00167E58"/>
    <w:rsid w:val="00172244"/>
    <w:rsid w:val="00172846"/>
    <w:rsid w:val="00172D38"/>
    <w:rsid w:val="00172FD0"/>
    <w:rsid w:val="00173B66"/>
    <w:rsid w:val="00173DFD"/>
    <w:rsid w:val="001742CE"/>
    <w:rsid w:val="00175A31"/>
    <w:rsid w:val="00177A61"/>
    <w:rsid w:val="00177D7E"/>
    <w:rsid w:val="00180FF9"/>
    <w:rsid w:val="0018293E"/>
    <w:rsid w:val="00182C70"/>
    <w:rsid w:val="001830F3"/>
    <w:rsid w:val="00183253"/>
    <w:rsid w:val="0018349E"/>
    <w:rsid w:val="001855E4"/>
    <w:rsid w:val="001855F7"/>
    <w:rsid w:val="00187461"/>
    <w:rsid w:val="001901A1"/>
    <w:rsid w:val="00190B97"/>
    <w:rsid w:val="00190DD5"/>
    <w:rsid w:val="00193386"/>
    <w:rsid w:val="001938AF"/>
    <w:rsid w:val="0019433E"/>
    <w:rsid w:val="001949D1"/>
    <w:rsid w:val="00195228"/>
    <w:rsid w:val="00195696"/>
    <w:rsid w:val="001959D1"/>
    <w:rsid w:val="00196532"/>
    <w:rsid w:val="001969C5"/>
    <w:rsid w:val="0019750D"/>
    <w:rsid w:val="001A1EFC"/>
    <w:rsid w:val="001A25BA"/>
    <w:rsid w:val="001A26BE"/>
    <w:rsid w:val="001A474E"/>
    <w:rsid w:val="001A48EF"/>
    <w:rsid w:val="001A4972"/>
    <w:rsid w:val="001A49CC"/>
    <w:rsid w:val="001A5553"/>
    <w:rsid w:val="001A7061"/>
    <w:rsid w:val="001A716E"/>
    <w:rsid w:val="001A7188"/>
    <w:rsid w:val="001B023A"/>
    <w:rsid w:val="001B0565"/>
    <w:rsid w:val="001B2C65"/>
    <w:rsid w:val="001B3A78"/>
    <w:rsid w:val="001B5176"/>
    <w:rsid w:val="001B551D"/>
    <w:rsid w:val="001B613E"/>
    <w:rsid w:val="001B6208"/>
    <w:rsid w:val="001B6269"/>
    <w:rsid w:val="001B7058"/>
    <w:rsid w:val="001B79F4"/>
    <w:rsid w:val="001B7B33"/>
    <w:rsid w:val="001C052E"/>
    <w:rsid w:val="001C256C"/>
    <w:rsid w:val="001C32D0"/>
    <w:rsid w:val="001C3A4F"/>
    <w:rsid w:val="001C3C5B"/>
    <w:rsid w:val="001C3C68"/>
    <w:rsid w:val="001C4121"/>
    <w:rsid w:val="001C48DE"/>
    <w:rsid w:val="001C5C81"/>
    <w:rsid w:val="001C5EE0"/>
    <w:rsid w:val="001C69EC"/>
    <w:rsid w:val="001C6EB4"/>
    <w:rsid w:val="001C7F81"/>
    <w:rsid w:val="001D00B7"/>
    <w:rsid w:val="001D045E"/>
    <w:rsid w:val="001D0588"/>
    <w:rsid w:val="001D0B39"/>
    <w:rsid w:val="001D0CC8"/>
    <w:rsid w:val="001D1435"/>
    <w:rsid w:val="001D14E3"/>
    <w:rsid w:val="001D1AFA"/>
    <w:rsid w:val="001D1BE9"/>
    <w:rsid w:val="001D2BC3"/>
    <w:rsid w:val="001D44AE"/>
    <w:rsid w:val="001D473E"/>
    <w:rsid w:val="001D4894"/>
    <w:rsid w:val="001D52E3"/>
    <w:rsid w:val="001D549E"/>
    <w:rsid w:val="001D576F"/>
    <w:rsid w:val="001D617C"/>
    <w:rsid w:val="001D6C52"/>
    <w:rsid w:val="001D7482"/>
    <w:rsid w:val="001D7C29"/>
    <w:rsid w:val="001E02B5"/>
    <w:rsid w:val="001E0347"/>
    <w:rsid w:val="001E0475"/>
    <w:rsid w:val="001E0710"/>
    <w:rsid w:val="001E0D20"/>
    <w:rsid w:val="001E380A"/>
    <w:rsid w:val="001E3A20"/>
    <w:rsid w:val="001E456D"/>
    <w:rsid w:val="001E4949"/>
    <w:rsid w:val="001E69CE"/>
    <w:rsid w:val="001E6AFD"/>
    <w:rsid w:val="001E7D78"/>
    <w:rsid w:val="001E7EA9"/>
    <w:rsid w:val="001F0631"/>
    <w:rsid w:val="001F09FC"/>
    <w:rsid w:val="001F125F"/>
    <w:rsid w:val="001F18E9"/>
    <w:rsid w:val="001F24F0"/>
    <w:rsid w:val="001F324A"/>
    <w:rsid w:val="001F3FB6"/>
    <w:rsid w:val="001F5C90"/>
    <w:rsid w:val="001F682A"/>
    <w:rsid w:val="001F767C"/>
    <w:rsid w:val="001F779C"/>
    <w:rsid w:val="002003BF"/>
    <w:rsid w:val="00200918"/>
    <w:rsid w:val="00200D7A"/>
    <w:rsid w:val="002016B1"/>
    <w:rsid w:val="002021FB"/>
    <w:rsid w:val="00202F3D"/>
    <w:rsid w:val="0020459D"/>
    <w:rsid w:val="0020606E"/>
    <w:rsid w:val="002068A8"/>
    <w:rsid w:val="00206A63"/>
    <w:rsid w:val="002072ED"/>
    <w:rsid w:val="00207FBC"/>
    <w:rsid w:val="00210B9E"/>
    <w:rsid w:val="00210FCF"/>
    <w:rsid w:val="00211A2C"/>
    <w:rsid w:val="00214D95"/>
    <w:rsid w:val="00215D72"/>
    <w:rsid w:val="00216898"/>
    <w:rsid w:val="00216A5B"/>
    <w:rsid w:val="00216E27"/>
    <w:rsid w:val="00217037"/>
    <w:rsid w:val="00217400"/>
    <w:rsid w:val="00217EF3"/>
    <w:rsid w:val="00220296"/>
    <w:rsid w:val="00220360"/>
    <w:rsid w:val="00220788"/>
    <w:rsid w:val="00220E55"/>
    <w:rsid w:val="002218E7"/>
    <w:rsid w:val="00222EFF"/>
    <w:rsid w:val="002240D5"/>
    <w:rsid w:val="00224121"/>
    <w:rsid w:val="002242C0"/>
    <w:rsid w:val="002246CB"/>
    <w:rsid w:val="00224B4E"/>
    <w:rsid w:val="00224EBB"/>
    <w:rsid w:val="0022505C"/>
    <w:rsid w:val="002261A7"/>
    <w:rsid w:val="0022643C"/>
    <w:rsid w:val="00226AEC"/>
    <w:rsid w:val="00227410"/>
    <w:rsid w:val="00230E00"/>
    <w:rsid w:val="00230E4E"/>
    <w:rsid w:val="00232251"/>
    <w:rsid w:val="0023241B"/>
    <w:rsid w:val="00232DD5"/>
    <w:rsid w:val="002335C4"/>
    <w:rsid w:val="00233853"/>
    <w:rsid w:val="00233BE7"/>
    <w:rsid w:val="00233E7B"/>
    <w:rsid w:val="002357F0"/>
    <w:rsid w:val="00236151"/>
    <w:rsid w:val="00236260"/>
    <w:rsid w:val="00236D68"/>
    <w:rsid w:val="00240650"/>
    <w:rsid w:val="0024131A"/>
    <w:rsid w:val="00243B7B"/>
    <w:rsid w:val="00244142"/>
    <w:rsid w:val="00244690"/>
    <w:rsid w:val="00244BAC"/>
    <w:rsid w:val="00244C4C"/>
    <w:rsid w:val="00244D7D"/>
    <w:rsid w:val="00245043"/>
    <w:rsid w:val="00245306"/>
    <w:rsid w:val="002455BA"/>
    <w:rsid w:val="00245C18"/>
    <w:rsid w:val="002471B9"/>
    <w:rsid w:val="002478BB"/>
    <w:rsid w:val="00247C6E"/>
    <w:rsid w:val="00250A99"/>
    <w:rsid w:val="00250BC8"/>
    <w:rsid w:val="0025378F"/>
    <w:rsid w:val="00253A9C"/>
    <w:rsid w:val="00253EA0"/>
    <w:rsid w:val="002545F3"/>
    <w:rsid w:val="002563DF"/>
    <w:rsid w:val="00256992"/>
    <w:rsid w:val="00256DBB"/>
    <w:rsid w:val="00256E66"/>
    <w:rsid w:val="00257B34"/>
    <w:rsid w:val="0026057C"/>
    <w:rsid w:val="00261154"/>
    <w:rsid w:val="00261B6B"/>
    <w:rsid w:val="002626C2"/>
    <w:rsid w:val="0026344F"/>
    <w:rsid w:val="0026446D"/>
    <w:rsid w:val="002645D1"/>
    <w:rsid w:val="00264AA8"/>
    <w:rsid w:val="00264AEC"/>
    <w:rsid w:val="00266A17"/>
    <w:rsid w:val="00267FD8"/>
    <w:rsid w:val="00270372"/>
    <w:rsid w:val="00270569"/>
    <w:rsid w:val="0027114C"/>
    <w:rsid w:val="0027195D"/>
    <w:rsid w:val="0027400D"/>
    <w:rsid w:val="00274087"/>
    <w:rsid w:val="00274221"/>
    <w:rsid w:val="00274B0E"/>
    <w:rsid w:val="00275534"/>
    <w:rsid w:val="002760FA"/>
    <w:rsid w:val="00277075"/>
    <w:rsid w:val="002775CA"/>
    <w:rsid w:val="002775D2"/>
    <w:rsid w:val="00277EAE"/>
    <w:rsid w:val="0028017B"/>
    <w:rsid w:val="002804B4"/>
    <w:rsid w:val="002818FB"/>
    <w:rsid w:val="00281ADD"/>
    <w:rsid w:val="00282EA8"/>
    <w:rsid w:val="00283CA8"/>
    <w:rsid w:val="0028416F"/>
    <w:rsid w:val="00284577"/>
    <w:rsid w:val="002847E8"/>
    <w:rsid w:val="002848C6"/>
    <w:rsid w:val="00284AF3"/>
    <w:rsid w:val="00285095"/>
    <w:rsid w:val="0028555A"/>
    <w:rsid w:val="00287606"/>
    <w:rsid w:val="002878D8"/>
    <w:rsid w:val="00290FEA"/>
    <w:rsid w:val="002916AD"/>
    <w:rsid w:val="00293699"/>
    <w:rsid w:val="00293E0D"/>
    <w:rsid w:val="00293E80"/>
    <w:rsid w:val="00294E41"/>
    <w:rsid w:val="00294FC8"/>
    <w:rsid w:val="00295994"/>
    <w:rsid w:val="00296013"/>
    <w:rsid w:val="00296BFB"/>
    <w:rsid w:val="002973B0"/>
    <w:rsid w:val="00297971"/>
    <w:rsid w:val="00297B13"/>
    <w:rsid w:val="00297C14"/>
    <w:rsid w:val="00297DC0"/>
    <w:rsid w:val="002A0479"/>
    <w:rsid w:val="002A08F9"/>
    <w:rsid w:val="002A124C"/>
    <w:rsid w:val="002A220F"/>
    <w:rsid w:val="002A24F1"/>
    <w:rsid w:val="002A278B"/>
    <w:rsid w:val="002A28AD"/>
    <w:rsid w:val="002A4155"/>
    <w:rsid w:val="002A47FA"/>
    <w:rsid w:val="002A4D55"/>
    <w:rsid w:val="002A518D"/>
    <w:rsid w:val="002A5778"/>
    <w:rsid w:val="002A6ED3"/>
    <w:rsid w:val="002A72DB"/>
    <w:rsid w:val="002A79F9"/>
    <w:rsid w:val="002B0776"/>
    <w:rsid w:val="002B085D"/>
    <w:rsid w:val="002B0E92"/>
    <w:rsid w:val="002B0F37"/>
    <w:rsid w:val="002B11CD"/>
    <w:rsid w:val="002B1372"/>
    <w:rsid w:val="002B1E84"/>
    <w:rsid w:val="002B2079"/>
    <w:rsid w:val="002B2085"/>
    <w:rsid w:val="002B368A"/>
    <w:rsid w:val="002B3710"/>
    <w:rsid w:val="002B3EC4"/>
    <w:rsid w:val="002B4A26"/>
    <w:rsid w:val="002B4B20"/>
    <w:rsid w:val="002B5F61"/>
    <w:rsid w:val="002B7BAB"/>
    <w:rsid w:val="002C07D4"/>
    <w:rsid w:val="002C11AE"/>
    <w:rsid w:val="002C2959"/>
    <w:rsid w:val="002C37D5"/>
    <w:rsid w:val="002C487E"/>
    <w:rsid w:val="002C6238"/>
    <w:rsid w:val="002C7830"/>
    <w:rsid w:val="002C7DD8"/>
    <w:rsid w:val="002D1358"/>
    <w:rsid w:val="002D13C7"/>
    <w:rsid w:val="002D14CD"/>
    <w:rsid w:val="002D1BA1"/>
    <w:rsid w:val="002D2D2C"/>
    <w:rsid w:val="002D313C"/>
    <w:rsid w:val="002D34BC"/>
    <w:rsid w:val="002D34DB"/>
    <w:rsid w:val="002D4B11"/>
    <w:rsid w:val="002D6C37"/>
    <w:rsid w:val="002D7409"/>
    <w:rsid w:val="002D76AF"/>
    <w:rsid w:val="002D7B39"/>
    <w:rsid w:val="002E05A3"/>
    <w:rsid w:val="002E0A3D"/>
    <w:rsid w:val="002E1312"/>
    <w:rsid w:val="002E1F3F"/>
    <w:rsid w:val="002E3994"/>
    <w:rsid w:val="002E47C9"/>
    <w:rsid w:val="002E5633"/>
    <w:rsid w:val="002E66BB"/>
    <w:rsid w:val="002E66D0"/>
    <w:rsid w:val="002E6B17"/>
    <w:rsid w:val="002E70C4"/>
    <w:rsid w:val="002E7479"/>
    <w:rsid w:val="002E7844"/>
    <w:rsid w:val="002F0536"/>
    <w:rsid w:val="002F123E"/>
    <w:rsid w:val="002F1963"/>
    <w:rsid w:val="002F19EC"/>
    <w:rsid w:val="002F24B0"/>
    <w:rsid w:val="002F2EDE"/>
    <w:rsid w:val="002F3D94"/>
    <w:rsid w:val="002F452D"/>
    <w:rsid w:val="002F46DD"/>
    <w:rsid w:val="002F5B6E"/>
    <w:rsid w:val="002F61B5"/>
    <w:rsid w:val="002F6906"/>
    <w:rsid w:val="002F6F66"/>
    <w:rsid w:val="0030209B"/>
    <w:rsid w:val="00303D1A"/>
    <w:rsid w:val="00304544"/>
    <w:rsid w:val="003045BC"/>
    <w:rsid w:val="003049B6"/>
    <w:rsid w:val="00304B51"/>
    <w:rsid w:val="00305748"/>
    <w:rsid w:val="00305C37"/>
    <w:rsid w:val="003119C4"/>
    <w:rsid w:val="003122D7"/>
    <w:rsid w:val="003124A5"/>
    <w:rsid w:val="003127E4"/>
    <w:rsid w:val="00312DC5"/>
    <w:rsid w:val="003130EF"/>
    <w:rsid w:val="00313215"/>
    <w:rsid w:val="0031588A"/>
    <w:rsid w:val="00315B39"/>
    <w:rsid w:val="00315D23"/>
    <w:rsid w:val="00317152"/>
    <w:rsid w:val="003174C3"/>
    <w:rsid w:val="003206D4"/>
    <w:rsid w:val="003207B5"/>
    <w:rsid w:val="00321047"/>
    <w:rsid w:val="0032196C"/>
    <w:rsid w:val="00321A0E"/>
    <w:rsid w:val="00321C83"/>
    <w:rsid w:val="0032239F"/>
    <w:rsid w:val="0032285D"/>
    <w:rsid w:val="00322F23"/>
    <w:rsid w:val="00323CE7"/>
    <w:rsid w:val="003243F5"/>
    <w:rsid w:val="0032498F"/>
    <w:rsid w:val="0032557A"/>
    <w:rsid w:val="003264BD"/>
    <w:rsid w:val="003279DC"/>
    <w:rsid w:val="00327A85"/>
    <w:rsid w:val="00331065"/>
    <w:rsid w:val="00331B3A"/>
    <w:rsid w:val="00331EA0"/>
    <w:rsid w:val="003321A6"/>
    <w:rsid w:val="003326BD"/>
    <w:rsid w:val="003335CF"/>
    <w:rsid w:val="00334657"/>
    <w:rsid w:val="00334D4F"/>
    <w:rsid w:val="00335CAC"/>
    <w:rsid w:val="00337EA0"/>
    <w:rsid w:val="00340778"/>
    <w:rsid w:val="00341C7C"/>
    <w:rsid w:val="00342625"/>
    <w:rsid w:val="00342881"/>
    <w:rsid w:val="00343999"/>
    <w:rsid w:val="00344D2C"/>
    <w:rsid w:val="003458CE"/>
    <w:rsid w:val="00345A57"/>
    <w:rsid w:val="003463BD"/>
    <w:rsid w:val="00346454"/>
    <w:rsid w:val="00346D90"/>
    <w:rsid w:val="003470C1"/>
    <w:rsid w:val="00347178"/>
    <w:rsid w:val="00347959"/>
    <w:rsid w:val="00350446"/>
    <w:rsid w:val="00351F62"/>
    <w:rsid w:val="0035234F"/>
    <w:rsid w:val="00354567"/>
    <w:rsid w:val="00354765"/>
    <w:rsid w:val="00354A80"/>
    <w:rsid w:val="00355181"/>
    <w:rsid w:val="00355301"/>
    <w:rsid w:val="00355E7A"/>
    <w:rsid w:val="003561F6"/>
    <w:rsid w:val="00356449"/>
    <w:rsid w:val="003601F4"/>
    <w:rsid w:val="00361060"/>
    <w:rsid w:val="00362FC2"/>
    <w:rsid w:val="003634F6"/>
    <w:rsid w:val="00363877"/>
    <w:rsid w:val="00363BD0"/>
    <w:rsid w:val="003656DD"/>
    <w:rsid w:val="003671E2"/>
    <w:rsid w:val="003676A1"/>
    <w:rsid w:val="00370F37"/>
    <w:rsid w:val="003719B4"/>
    <w:rsid w:val="00371AE0"/>
    <w:rsid w:val="00372AE6"/>
    <w:rsid w:val="00373378"/>
    <w:rsid w:val="00373E77"/>
    <w:rsid w:val="0037487D"/>
    <w:rsid w:val="0037598E"/>
    <w:rsid w:val="00375CA3"/>
    <w:rsid w:val="00375D9E"/>
    <w:rsid w:val="00375F2D"/>
    <w:rsid w:val="0037620C"/>
    <w:rsid w:val="003769EC"/>
    <w:rsid w:val="00377599"/>
    <w:rsid w:val="0037781C"/>
    <w:rsid w:val="00380350"/>
    <w:rsid w:val="003819B3"/>
    <w:rsid w:val="00381A23"/>
    <w:rsid w:val="00381BB9"/>
    <w:rsid w:val="00381C0F"/>
    <w:rsid w:val="00381FCA"/>
    <w:rsid w:val="00382310"/>
    <w:rsid w:val="0038257A"/>
    <w:rsid w:val="00382845"/>
    <w:rsid w:val="00383440"/>
    <w:rsid w:val="003837E1"/>
    <w:rsid w:val="00384AC0"/>
    <w:rsid w:val="0038584D"/>
    <w:rsid w:val="003859E0"/>
    <w:rsid w:val="003864F1"/>
    <w:rsid w:val="00390033"/>
    <w:rsid w:val="00390293"/>
    <w:rsid w:val="003907E6"/>
    <w:rsid w:val="003915B1"/>
    <w:rsid w:val="00391B79"/>
    <w:rsid w:val="0039257F"/>
    <w:rsid w:val="003931DE"/>
    <w:rsid w:val="00393DE4"/>
    <w:rsid w:val="00394DB4"/>
    <w:rsid w:val="00395ABA"/>
    <w:rsid w:val="00396F8F"/>
    <w:rsid w:val="00397D1A"/>
    <w:rsid w:val="003A0852"/>
    <w:rsid w:val="003A0B47"/>
    <w:rsid w:val="003A0BFA"/>
    <w:rsid w:val="003A1346"/>
    <w:rsid w:val="003A163C"/>
    <w:rsid w:val="003A1A6E"/>
    <w:rsid w:val="003A2B4E"/>
    <w:rsid w:val="003A2FBB"/>
    <w:rsid w:val="003A360F"/>
    <w:rsid w:val="003A3799"/>
    <w:rsid w:val="003A403B"/>
    <w:rsid w:val="003A4175"/>
    <w:rsid w:val="003A41B7"/>
    <w:rsid w:val="003A41BF"/>
    <w:rsid w:val="003A43A0"/>
    <w:rsid w:val="003A4913"/>
    <w:rsid w:val="003A4BFF"/>
    <w:rsid w:val="003A54A9"/>
    <w:rsid w:val="003A5E44"/>
    <w:rsid w:val="003A5FE3"/>
    <w:rsid w:val="003A7083"/>
    <w:rsid w:val="003A7156"/>
    <w:rsid w:val="003B1CC1"/>
    <w:rsid w:val="003B258B"/>
    <w:rsid w:val="003B2629"/>
    <w:rsid w:val="003B38B3"/>
    <w:rsid w:val="003B3A97"/>
    <w:rsid w:val="003B3D44"/>
    <w:rsid w:val="003B4D39"/>
    <w:rsid w:val="003B4EBC"/>
    <w:rsid w:val="003B52E7"/>
    <w:rsid w:val="003B77DA"/>
    <w:rsid w:val="003B7DC5"/>
    <w:rsid w:val="003C186D"/>
    <w:rsid w:val="003C1957"/>
    <w:rsid w:val="003C1B31"/>
    <w:rsid w:val="003C259D"/>
    <w:rsid w:val="003C2C4F"/>
    <w:rsid w:val="003C4592"/>
    <w:rsid w:val="003C4E7B"/>
    <w:rsid w:val="003C5A52"/>
    <w:rsid w:val="003C72A7"/>
    <w:rsid w:val="003C7640"/>
    <w:rsid w:val="003C7698"/>
    <w:rsid w:val="003C7CC2"/>
    <w:rsid w:val="003D2F86"/>
    <w:rsid w:val="003D3330"/>
    <w:rsid w:val="003D4143"/>
    <w:rsid w:val="003D4457"/>
    <w:rsid w:val="003D48B5"/>
    <w:rsid w:val="003D4DA0"/>
    <w:rsid w:val="003D50B6"/>
    <w:rsid w:val="003D553A"/>
    <w:rsid w:val="003D6459"/>
    <w:rsid w:val="003D6E28"/>
    <w:rsid w:val="003D7FBE"/>
    <w:rsid w:val="003E05DF"/>
    <w:rsid w:val="003E0828"/>
    <w:rsid w:val="003E0A71"/>
    <w:rsid w:val="003E0DDE"/>
    <w:rsid w:val="003E12DD"/>
    <w:rsid w:val="003E15A5"/>
    <w:rsid w:val="003E1F32"/>
    <w:rsid w:val="003E2178"/>
    <w:rsid w:val="003E22CA"/>
    <w:rsid w:val="003E2D3C"/>
    <w:rsid w:val="003E4A0C"/>
    <w:rsid w:val="003E4FC3"/>
    <w:rsid w:val="003E547D"/>
    <w:rsid w:val="003E5C1A"/>
    <w:rsid w:val="003E6085"/>
    <w:rsid w:val="003E6B64"/>
    <w:rsid w:val="003E6CA3"/>
    <w:rsid w:val="003E741A"/>
    <w:rsid w:val="003E7DA1"/>
    <w:rsid w:val="003F028A"/>
    <w:rsid w:val="003F048F"/>
    <w:rsid w:val="003F0756"/>
    <w:rsid w:val="003F128D"/>
    <w:rsid w:val="003F148C"/>
    <w:rsid w:val="003F1E2C"/>
    <w:rsid w:val="003F221D"/>
    <w:rsid w:val="003F4C96"/>
    <w:rsid w:val="003F57BE"/>
    <w:rsid w:val="003F5FD8"/>
    <w:rsid w:val="003F64A2"/>
    <w:rsid w:val="003F66CD"/>
    <w:rsid w:val="003F6A1E"/>
    <w:rsid w:val="003F6C67"/>
    <w:rsid w:val="003F7833"/>
    <w:rsid w:val="0040016B"/>
    <w:rsid w:val="0040056D"/>
    <w:rsid w:val="00401FA1"/>
    <w:rsid w:val="00403A8E"/>
    <w:rsid w:val="00403E52"/>
    <w:rsid w:val="004043D4"/>
    <w:rsid w:val="004043F2"/>
    <w:rsid w:val="00404408"/>
    <w:rsid w:val="00406002"/>
    <w:rsid w:val="00406AD3"/>
    <w:rsid w:val="004074E5"/>
    <w:rsid w:val="004075EE"/>
    <w:rsid w:val="004078F2"/>
    <w:rsid w:val="00410958"/>
    <w:rsid w:val="00412A18"/>
    <w:rsid w:val="00412E42"/>
    <w:rsid w:val="004139C2"/>
    <w:rsid w:val="00413CE6"/>
    <w:rsid w:val="00413DE7"/>
    <w:rsid w:val="00414490"/>
    <w:rsid w:val="004160C5"/>
    <w:rsid w:val="00417ECB"/>
    <w:rsid w:val="00421077"/>
    <w:rsid w:val="00421150"/>
    <w:rsid w:val="0042151F"/>
    <w:rsid w:val="004215A6"/>
    <w:rsid w:val="00421853"/>
    <w:rsid w:val="0042278B"/>
    <w:rsid w:val="004238A3"/>
    <w:rsid w:val="00426356"/>
    <w:rsid w:val="00426851"/>
    <w:rsid w:val="00426929"/>
    <w:rsid w:val="0042746B"/>
    <w:rsid w:val="00427A18"/>
    <w:rsid w:val="00427D45"/>
    <w:rsid w:val="00430EA7"/>
    <w:rsid w:val="00431713"/>
    <w:rsid w:val="00431722"/>
    <w:rsid w:val="00433F1F"/>
    <w:rsid w:val="00434D8D"/>
    <w:rsid w:val="00435F03"/>
    <w:rsid w:val="00436303"/>
    <w:rsid w:val="0043714F"/>
    <w:rsid w:val="004379F8"/>
    <w:rsid w:val="00442598"/>
    <w:rsid w:val="00442798"/>
    <w:rsid w:val="00442C16"/>
    <w:rsid w:val="00442F58"/>
    <w:rsid w:val="00443690"/>
    <w:rsid w:val="00443EA9"/>
    <w:rsid w:val="0044413B"/>
    <w:rsid w:val="004446D6"/>
    <w:rsid w:val="00445A5E"/>
    <w:rsid w:val="00446439"/>
    <w:rsid w:val="00446A62"/>
    <w:rsid w:val="004478FB"/>
    <w:rsid w:val="00450376"/>
    <w:rsid w:val="004509AD"/>
    <w:rsid w:val="00450BDA"/>
    <w:rsid w:val="00450C9B"/>
    <w:rsid w:val="00450D3C"/>
    <w:rsid w:val="00451B62"/>
    <w:rsid w:val="00452508"/>
    <w:rsid w:val="00452B3A"/>
    <w:rsid w:val="00452C88"/>
    <w:rsid w:val="004535BB"/>
    <w:rsid w:val="00453A3E"/>
    <w:rsid w:val="0045452F"/>
    <w:rsid w:val="00455C9E"/>
    <w:rsid w:val="00456381"/>
    <w:rsid w:val="00456DEB"/>
    <w:rsid w:val="00456EAD"/>
    <w:rsid w:val="0045766B"/>
    <w:rsid w:val="00460009"/>
    <w:rsid w:val="00460BD8"/>
    <w:rsid w:val="00460FB2"/>
    <w:rsid w:val="004613A8"/>
    <w:rsid w:val="004616D1"/>
    <w:rsid w:val="004633A1"/>
    <w:rsid w:val="00463A2D"/>
    <w:rsid w:val="00463AB2"/>
    <w:rsid w:val="00464252"/>
    <w:rsid w:val="0046426A"/>
    <w:rsid w:val="00466474"/>
    <w:rsid w:val="00466A97"/>
    <w:rsid w:val="00466F3F"/>
    <w:rsid w:val="0046717C"/>
    <w:rsid w:val="004677DD"/>
    <w:rsid w:val="00467B51"/>
    <w:rsid w:val="00467C85"/>
    <w:rsid w:val="00470328"/>
    <w:rsid w:val="00470607"/>
    <w:rsid w:val="004709E3"/>
    <w:rsid w:val="00471FCF"/>
    <w:rsid w:val="0047367C"/>
    <w:rsid w:val="004737B7"/>
    <w:rsid w:val="00474BB7"/>
    <w:rsid w:val="004759C3"/>
    <w:rsid w:val="004764E9"/>
    <w:rsid w:val="00476DAB"/>
    <w:rsid w:val="004775F5"/>
    <w:rsid w:val="004808A1"/>
    <w:rsid w:val="00480BE4"/>
    <w:rsid w:val="00480C28"/>
    <w:rsid w:val="00480E42"/>
    <w:rsid w:val="00481630"/>
    <w:rsid w:val="004816D7"/>
    <w:rsid w:val="0048268B"/>
    <w:rsid w:val="0048342E"/>
    <w:rsid w:val="00484A86"/>
    <w:rsid w:val="004859F7"/>
    <w:rsid w:val="00485F5D"/>
    <w:rsid w:val="004866B3"/>
    <w:rsid w:val="00487478"/>
    <w:rsid w:val="00487793"/>
    <w:rsid w:val="0048782D"/>
    <w:rsid w:val="004879BA"/>
    <w:rsid w:val="00487A9E"/>
    <w:rsid w:val="00487D2C"/>
    <w:rsid w:val="004905C8"/>
    <w:rsid w:val="00491082"/>
    <w:rsid w:val="00491573"/>
    <w:rsid w:val="00491753"/>
    <w:rsid w:val="00491766"/>
    <w:rsid w:val="00493673"/>
    <w:rsid w:val="004941DE"/>
    <w:rsid w:val="00494959"/>
    <w:rsid w:val="00494DC1"/>
    <w:rsid w:val="004964D6"/>
    <w:rsid w:val="004970AB"/>
    <w:rsid w:val="004972FA"/>
    <w:rsid w:val="004A0260"/>
    <w:rsid w:val="004A0678"/>
    <w:rsid w:val="004A08C2"/>
    <w:rsid w:val="004A0CA5"/>
    <w:rsid w:val="004A1597"/>
    <w:rsid w:val="004A2B4C"/>
    <w:rsid w:val="004A3F56"/>
    <w:rsid w:val="004A4B4C"/>
    <w:rsid w:val="004A5847"/>
    <w:rsid w:val="004A5E21"/>
    <w:rsid w:val="004A666A"/>
    <w:rsid w:val="004A7282"/>
    <w:rsid w:val="004A7340"/>
    <w:rsid w:val="004A741D"/>
    <w:rsid w:val="004A7915"/>
    <w:rsid w:val="004B08F5"/>
    <w:rsid w:val="004B143F"/>
    <w:rsid w:val="004B2B04"/>
    <w:rsid w:val="004B3B6A"/>
    <w:rsid w:val="004B3E13"/>
    <w:rsid w:val="004B49A0"/>
    <w:rsid w:val="004B5441"/>
    <w:rsid w:val="004B5F49"/>
    <w:rsid w:val="004B744D"/>
    <w:rsid w:val="004C09B0"/>
    <w:rsid w:val="004C0E92"/>
    <w:rsid w:val="004C2BCA"/>
    <w:rsid w:val="004C35B7"/>
    <w:rsid w:val="004C46FB"/>
    <w:rsid w:val="004C49FA"/>
    <w:rsid w:val="004C5178"/>
    <w:rsid w:val="004C61C1"/>
    <w:rsid w:val="004C6306"/>
    <w:rsid w:val="004C643C"/>
    <w:rsid w:val="004C66CE"/>
    <w:rsid w:val="004C6F5E"/>
    <w:rsid w:val="004C7140"/>
    <w:rsid w:val="004C7E94"/>
    <w:rsid w:val="004D00F8"/>
    <w:rsid w:val="004D0357"/>
    <w:rsid w:val="004D35D7"/>
    <w:rsid w:val="004D4583"/>
    <w:rsid w:val="004D58BA"/>
    <w:rsid w:val="004D7CF8"/>
    <w:rsid w:val="004D7EDA"/>
    <w:rsid w:val="004E03A4"/>
    <w:rsid w:val="004E0E49"/>
    <w:rsid w:val="004E197A"/>
    <w:rsid w:val="004E1BAC"/>
    <w:rsid w:val="004E34D5"/>
    <w:rsid w:val="004E4EBA"/>
    <w:rsid w:val="004E5059"/>
    <w:rsid w:val="004E5D52"/>
    <w:rsid w:val="004E5FAE"/>
    <w:rsid w:val="004E62D9"/>
    <w:rsid w:val="004E63C1"/>
    <w:rsid w:val="004E6D87"/>
    <w:rsid w:val="004E6D9E"/>
    <w:rsid w:val="004F07D7"/>
    <w:rsid w:val="004F0CC8"/>
    <w:rsid w:val="004F0E5B"/>
    <w:rsid w:val="004F1297"/>
    <w:rsid w:val="004F16DB"/>
    <w:rsid w:val="004F2275"/>
    <w:rsid w:val="004F2F0B"/>
    <w:rsid w:val="004F41B8"/>
    <w:rsid w:val="004F472C"/>
    <w:rsid w:val="004F4A13"/>
    <w:rsid w:val="004F4D7E"/>
    <w:rsid w:val="004F5558"/>
    <w:rsid w:val="004F5A3C"/>
    <w:rsid w:val="004F5B16"/>
    <w:rsid w:val="004F5D9D"/>
    <w:rsid w:val="004F68E5"/>
    <w:rsid w:val="004F6911"/>
    <w:rsid w:val="004F6B5A"/>
    <w:rsid w:val="004F6D86"/>
    <w:rsid w:val="004F7129"/>
    <w:rsid w:val="004F741B"/>
    <w:rsid w:val="004F74D6"/>
    <w:rsid w:val="004F7C34"/>
    <w:rsid w:val="00502179"/>
    <w:rsid w:val="00502AAC"/>
    <w:rsid w:val="00502CDD"/>
    <w:rsid w:val="00503253"/>
    <w:rsid w:val="00503AED"/>
    <w:rsid w:val="00503B7F"/>
    <w:rsid w:val="00503BB0"/>
    <w:rsid w:val="00503E03"/>
    <w:rsid w:val="00504C2E"/>
    <w:rsid w:val="005050DA"/>
    <w:rsid w:val="0050514F"/>
    <w:rsid w:val="00505C87"/>
    <w:rsid w:val="00507DAB"/>
    <w:rsid w:val="0051044E"/>
    <w:rsid w:val="00512040"/>
    <w:rsid w:val="00512226"/>
    <w:rsid w:val="005137F6"/>
    <w:rsid w:val="00513B60"/>
    <w:rsid w:val="005147C6"/>
    <w:rsid w:val="00514EE8"/>
    <w:rsid w:val="0051528F"/>
    <w:rsid w:val="005159B1"/>
    <w:rsid w:val="00516F38"/>
    <w:rsid w:val="005170FD"/>
    <w:rsid w:val="0051715D"/>
    <w:rsid w:val="00517181"/>
    <w:rsid w:val="0051732E"/>
    <w:rsid w:val="00517D9B"/>
    <w:rsid w:val="00517F82"/>
    <w:rsid w:val="005208A8"/>
    <w:rsid w:val="00521063"/>
    <w:rsid w:val="005210DC"/>
    <w:rsid w:val="00522502"/>
    <w:rsid w:val="00522DD9"/>
    <w:rsid w:val="00523FEA"/>
    <w:rsid w:val="00524F5A"/>
    <w:rsid w:val="005255A1"/>
    <w:rsid w:val="00525A73"/>
    <w:rsid w:val="00525D95"/>
    <w:rsid w:val="0052641C"/>
    <w:rsid w:val="00527C64"/>
    <w:rsid w:val="00527E59"/>
    <w:rsid w:val="005303C9"/>
    <w:rsid w:val="005307A9"/>
    <w:rsid w:val="005328BC"/>
    <w:rsid w:val="00532C9B"/>
    <w:rsid w:val="00533E1F"/>
    <w:rsid w:val="005340C1"/>
    <w:rsid w:val="0053530F"/>
    <w:rsid w:val="00536825"/>
    <w:rsid w:val="00536B4C"/>
    <w:rsid w:val="005371D5"/>
    <w:rsid w:val="0053795D"/>
    <w:rsid w:val="00537B19"/>
    <w:rsid w:val="0054029E"/>
    <w:rsid w:val="005410F5"/>
    <w:rsid w:val="00541308"/>
    <w:rsid w:val="00541CCE"/>
    <w:rsid w:val="00542843"/>
    <w:rsid w:val="00543007"/>
    <w:rsid w:val="0054398E"/>
    <w:rsid w:val="00543A2E"/>
    <w:rsid w:val="00544522"/>
    <w:rsid w:val="0054508D"/>
    <w:rsid w:val="005464EE"/>
    <w:rsid w:val="005468AB"/>
    <w:rsid w:val="00547532"/>
    <w:rsid w:val="005501A0"/>
    <w:rsid w:val="00550831"/>
    <w:rsid w:val="00550B5D"/>
    <w:rsid w:val="005516ED"/>
    <w:rsid w:val="00551EFA"/>
    <w:rsid w:val="00552B3A"/>
    <w:rsid w:val="00554273"/>
    <w:rsid w:val="005555EF"/>
    <w:rsid w:val="00560C37"/>
    <w:rsid w:val="00561BF1"/>
    <w:rsid w:val="00562128"/>
    <w:rsid w:val="00562E42"/>
    <w:rsid w:val="00563884"/>
    <w:rsid w:val="005642B6"/>
    <w:rsid w:val="00564BE5"/>
    <w:rsid w:val="005658D6"/>
    <w:rsid w:val="00565FD2"/>
    <w:rsid w:val="00566287"/>
    <w:rsid w:val="005664BF"/>
    <w:rsid w:val="0056758F"/>
    <w:rsid w:val="005679CC"/>
    <w:rsid w:val="005705AA"/>
    <w:rsid w:val="00570D45"/>
    <w:rsid w:val="005719E5"/>
    <w:rsid w:val="00571D5E"/>
    <w:rsid w:val="005738DF"/>
    <w:rsid w:val="00573B90"/>
    <w:rsid w:val="00573FD9"/>
    <w:rsid w:val="005746FD"/>
    <w:rsid w:val="005759CF"/>
    <w:rsid w:val="00577515"/>
    <w:rsid w:val="005779A6"/>
    <w:rsid w:val="00580967"/>
    <w:rsid w:val="005811F9"/>
    <w:rsid w:val="00581BA8"/>
    <w:rsid w:val="005823D0"/>
    <w:rsid w:val="00582509"/>
    <w:rsid w:val="00582D25"/>
    <w:rsid w:val="005833E8"/>
    <w:rsid w:val="0058393F"/>
    <w:rsid w:val="00584BB8"/>
    <w:rsid w:val="00585A14"/>
    <w:rsid w:val="005860AB"/>
    <w:rsid w:val="0058674C"/>
    <w:rsid w:val="005876D0"/>
    <w:rsid w:val="00590F13"/>
    <w:rsid w:val="0059125E"/>
    <w:rsid w:val="0059270B"/>
    <w:rsid w:val="00592AD8"/>
    <w:rsid w:val="00595637"/>
    <w:rsid w:val="00596414"/>
    <w:rsid w:val="005964D3"/>
    <w:rsid w:val="0059775B"/>
    <w:rsid w:val="005A003F"/>
    <w:rsid w:val="005A122F"/>
    <w:rsid w:val="005A2748"/>
    <w:rsid w:val="005A3002"/>
    <w:rsid w:val="005A3BAA"/>
    <w:rsid w:val="005A3C37"/>
    <w:rsid w:val="005A40C5"/>
    <w:rsid w:val="005A443F"/>
    <w:rsid w:val="005A46FE"/>
    <w:rsid w:val="005A4AC7"/>
    <w:rsid w:val="005A522B"/>
    <w:rsid w:val="005A716B"/>
    <w:rsid w:val="005A717F"/>
    <w:rsid w:val="005B1738"/>
    <w:rsid w:val="005B1CFE"/>
    <w:rsid w:val="005B3B32"/>
    <w:rsid w:val="005B403C"/>
    <w:rsid w:val="005B58D4"/>
    <w:rsid w:val="005B7826"/>
    <w:rsid w:val="005C00B2"/>
    <w:rsid w:val="005C07B3"/>
    <w:rsid w:val="005C284E"/>
    <w:rsid w:val="005C39DE"/>
    <w:rsid w:val="005C4158"/>
    <w:rsid w:val="005C47D4"/>
    <w:rsid w:val="005C5141"/>
    <w:rsid w:val="005C593A"/>
    <w:rsid w:val="005C6D2F"/>
    <w:rsid w:val="005C748B"/>
    <w:rsid w:val="005D041A"/>
    <w:rsid w:val="005D0B21"/>
    <w:rsid w:val="005D1338"/>
    <w:rsid w:val="005D40D2"/>
    <w:rsid w:val="005D4490"/>
    <w:rsid w:val="005D5040"/>
    <w:rsid w:val="005D51CE"/>
    <w:rsid w:val="005D51D0"/>
    <w:rsid w:val="005D5845"/>
    <w:rsid w:val="005D5A0E"/>
    <w:rsid w:val="005D66C9"/>
    <w:rsid w:val="005D6F83"/>
    <w:rsid w:val="005D7877"/>
    <w:rsid w:val="005D7941"/>
    <w:rsid w:val="005D7CCF"/>
    <w:rsid w:val="005D7DB8"/>
    <w:rsid w:val="005E0ADB"/>
    <w:rsid w:val="005E17E4"/>
    <w:rsid w:val="005E2B81"/>
    <w:rsid w:val="005E49EC"/>
    <w:rsid w:val="005E58C4"/>
    <w:rsid w:val="005E59A1"/>
    <w:rsid w:val="005E5D8F"/>
    <w:rsid w:val="005F04EC"/>
    <w:rsid w:val="005F0E1B"/>
    <w:rsid w:val="005F2C6D"/>
    <w:rsid w:val="005F3334"/>
    <w:rsid w:val="005F3A7E"/>
    <w:rsid w:val="005F3FB2"/>
    <w:rsid w:val="005F5A5C"/>
    <w:rsid w:val="005F5CD9"/>
    <w:rsid w:val="005F5DCF"/>
    <w:rsid w:val="005F6D78"/>
    <w:rsid w:val="005F6E6E"/>
    <w:rsid w:val="005F6FB4"/>
    <w:rsid w:val="005F754C"/>
    <w:rsid w:val="00600B00"/>
    <w:rsid w:val="00600FCA"/>
    <w:rsid w:val="006021C7"/>
    <w:rsid w:val="00602FBA"/>
    <w:rsid w:val="00603400"/>
    <w:rsid w:val="00603B3E"/>
    <w:rsid w:val="006065B7"/>
    <w:rsid w:val="00607098"/>
    <w:rsid w:val="006101C2"/>
    <w:rsid w:val="0061024E"/>
    <w:rsid w:val="006105E6"/>
    <w:rsid w:val="00610DCA"/>
    <w:rsid w:val="0061135C"/>
    <w:rsid w:val="00611688"/>
    <w:rsid w:val="00612930"/>
    <w:rsid w:val="006136DD"/>
    <w:rsid w:val="00613C87"/>
    <w:rsid w:val="006149F0"/>
    <w:rsid w:val="006159A4"/>
    <w:rsid w:val="00616E13"/>
    <w:rsid w:val="00617026"/>
    <w:rsid w:val="0061721C"/>
    <w:rsid w:val="00620859"/>
    <w:rsid w:val="0062103A"/>
    <w:rsid w:val="00621D8C"/>
    <w:rsid w:val="006220A5"/>
    <w:rsid w:val="00623493"/>
    <w:rsid w:val="00623AEE"/>
    <w:rsid w:val="00623CBC"/>
    <w:rsid w:val="006242BA"/>
    <w:rsid w:val="00624AC8"/>
    <w:rsid w:val="00627792"/>
    <w:rsid w:val="00630FF2"/>
    <w:rsid w:val="0063141D"/>
    <w:rsid w:val="006316F6"/>
    <w:rsid w:val="00631C84"/>
    <w:rsid w:val="00631E21"/>
    <w:rsid w:val="00633A54"/>
    <w:rsid w:val="00633B5E"/>
    <w:rsid w:val="00633C60"/>
    <w:rsid w:val="00633FC2"/>
    <w:rsid w:val="00634A49"/>
    <w:rsid w:val="00635205"/>
    <w:rsid w:val="00636383"/>
    <w:rsid w:val="0063755F"/>
    <w:rsid w:val="00637A15"/>
    <w:rsid w:val="00640B4B"/>
    <w:rsid w:val="0064126D"/>
    <w:rsid w:val="00642799"/>
    <w:rsid w:val="006427B7"/>
    <w:rsid w:val="006428DF"/>
    <w:rsid w:val="006429BA"/>
    <w:rsid w:val="00642B82"/>
    <w:rsid w:val="00644986"/>
    <w:rsid w:val="0064511B"/>
    <w:rsid w:val="0064518D"/>
    <w:rsid w:val="006451B8"/>
    <w:rsid w:val="0064532C"/>
    <w:rsid w:val="006456D3"/>
    <w:rsid w:val="00645722"/>
    <w:rsid w:val="006465F3"/>
    <w:rsid w:val="0064692C"/>
    <w:rsid w:val="00646B1E"/>
    <w:rsid w:val="006477DB"/>
    <w:rsid w:val="00647F71"/>
    <w:rsid w:val="0065025A"/>
    <w:rsid w:val="006504B1"/>
    <w:rsid w:val="00652432"/>
    <w:rsid w:val="00652B66"/>
    <w:rsid w:val="0065370D"/>
    <w:rsid w:val="0065385A"/>
    <w:rsid w:val="00654388"/>
    <w:rsid w:val="006558DA"/>
    <w:rsid w:val="006561E0"/>
    <w:rsid w:val="00656F3D"/>
    <w:rsid w:val="00657647"/>
    <w:rsid w:val="00657840"/>
    <w:rsid w:val="00657D58"/>
    <w:rsid w:val="00657E49"/>
    <w:rsid w:val="0066003C"/>
    <w:rsid w:val="0066041E"/>
    <w:rsid w:val="0066065D"/>
    <w:rsid w:val="00660AD5"/>
    <w:rsid w:val="00660C51"/>
    <w:rsid w:val="006621CF"/>
    <w:rsid w:val="0066370F"/>
    <w:rsid w:val="0066386B"/>
    <w:rsid w:val="0066422B"/>
    <w:rsid w:val="006643E5"/>
    <w:rsid w:val="0066440E"/>
    <w:rsid w:val="00665025"/>
    <w:rsid w:val="006650C5"/>
    <w:rsid w:val="006668D3"/>
    <w:rsid w:val="00666B43"/>
    <w:rsid w:val="006677E1"/>
    <w:rsid w:val="00670614"/>
    <w:rsid w:val="00673CCC"/>
    <w:rsid w:val="006744BD"/>
    <w:rsid w:val="00675081"/>
    <w:rsid w:val="00675A34"/>
    <w:rsid w:val="00675C98"/>
    <w:rsid w:val="006766E0"/>
    <w:rsid w:val="00676B3D"/>
    <w:rsid w:val="0067797F"/>
    <w:rsid w:val="00677C6A"/>
    <w:rsid w:val="00677C80"/>
    <w:rsid w:val="00677D55"/>
    <w:rsid w:val="006802CE"/>
    <w:rsid w:val="0068075E"/>
    <w:rsid w:val="0068107B"/>
    <w:rsid w:val="00681AD4"/>
    <w:rsid w:val="00682150"/>
    <w:rsid w:val="006821EB"/>
    <w:rsid w:val="00682901"/>
    <w:rsid w:val="00682E46"/>
    <w:rsid w:val="0068315C"/>
    <w:rsid w:val="00683570"/>
    <w:rsid w:val="006839F2"/>
    <w:rsid w:val="00683B1A"/>
    <w:rsid w:val="00685519"/>
    <w:rsid w:val="00687B50"/>
    <w:rsid w:val="00687DBB"/>
    <w:rsid w:val="0069026B"/>
    <w:rsid w:val="00691161"/>
    <w:rsid w:val="006917C5"/>
    <w:rsid w:val="006933F6"/>
    <w:rsid w:val="0069364D"/>
    <w:rsid w:val="00694EDA"/>
    <w:rsid w:val="006955F9"/>
    <w:rsid w:val="006956EA"/>
    <w:rsid w:val="006974FC"/>
    <w:rsid w:val="00697716"/>
    <w:rsid w:val="00697CF5"/>
    <w:rsid w:val="00697D59"/>
    <w:rsid w:val="00697EED"/>
    <w:rsid w:val="006A06B6"/>
    <w:rsid w:val="006A1AF8"/>
    <w:rsid w:val="006A2F41"/>
    <w:rsid w:val="006A3932"/>
    <w:rsid w:val="006A490C"/>
    <w:rsid w:val="006A4C4F"/>
    <w:rsid w:val="006A4F91"/>
    <w:rsid w:val="006A6E10"/>
    <w:rsid w:val="006A7541"/>
    <w:rsid w:val="006B0662"/>
    <w:rsid w:val="006B0F05"/>
    <w:rsid w:val="006B148E"/>
    <w:rsid w:val="006B1954"/>
    <w:rsid w:val="006B1CD8"/>
    <w:rsid w:val="006B28F4"/>
    <w:rsid w:val="006B2E12"/>
    <w:rsid w:val="006B444D"/>
    <w:rsid w:val="006B4652"/>
    <w:rsid w:val="006B4F7D"/>
    <w:rsid w:val="006B62CE"/>
    <w:rsid w:val="006B67D0"/>
    <w:rsid w:val="006B6878"/>
    <w:rsid w:val="006C0638"/>
    <w:rsid w:val="006C0AA2"/>
    <w:rsid w:val="006C0E37"/>
    <w:rsid w:val="006C0EE0"/>
    <w:rsid w:val="006C114C"/>
    <w:rsid w:val="006C120C"/>
    <w:rsid w:val="006C1361"/>
    <w:rsid w:val="006C18C4"/>
    <w:rsid w:val="006C220A"/>
    <w:rsid w:val="006C3214"/>
    <w:rsid w:val="006C3864"/>
    <w:rsid w:val="006C3A3C"/>
    <w:rsid w:val="006C473C"/>
    <w:rsid w:val="006C5383"/>
    <w:rsid w:val="006C5C29"/>
    <w:rsid w:val="006C5E72"/>
    <w:rsid w:val="006C6710"/>
    <w:rsid w:val="006C67BC"/>
    <w:rsid w:val="006C6985"/>
    <w:rsid w:val="006D16A3"/>
    <w:rsid w:val="006D2364"/>
    <w:rsid w:val="006D2AEC"/>
    <w:rsid w:val="006D43E0"/>
    <w:rsid w:val="006D4482"/>
    <w:rsid w:val="006D4AC7"/>
    <w:rsid w:val="006D4C8E"/>
    <w:rsid w:val="006D6087"/>
    <w:rsid w:val="006D6296"/>
    <w:rsid w:val="006D7A31"/>
    <w:rsid w:val="006E079F"/>
    <w:rsid w:val="006E19D1"/>
    <w:rsid w:val="006E1CBB"/>
    <w:rsid w:val="006E1E0A"/>
    <w:rsid w:val="006E26A6"/>
    <w:rsid w:val="006E2774"/>
    <w:rsid w:val="006E2BED"/>
    <w:rsid w:val="006E4057"/>
    <w:rsid w:val="006E406B"/>
    <w:rsid w:val="006E4208"/>
    <w:rsid w:val="006E4360"/>
    <w:rsid w:val="006E4C87"/>
    <w:rsid w:val="006E6965"/>
    <w:rsid w:val="006F00B4"/>
    <w:rsid w:val="006F03F1"/>
    <w:rsid w:val="006F100B"/>
    <w:rsid w:val="006F1503"/>
    <w:rsid w:val="006F1A61"/>
    <w:rsid w:val="006F1A8C"/>
    <w:rsid w:val="006F239A"/>
    <w:rsid w:val="006F2559"/>
    <w:rsid w:val="006F2901"/>
    <w:rsid w:val="006F2C9D"/>
    <w:rsid w:val="006F423C"/>
    <w:rsid w:val="006F5A9E"/>
    <w:rsid w:val="006F69FC"/>
    <w:rsid w:val="006F7185"/>
    <w:rsid w:val="006F7709"/>
    <w:rsid w:val="006F7A1C"/>
    <w:rsid w:val="0070056D"/>
    <w:rsid w:val="00701507"/>
    <w:rsid w:val="0070157C"/>
    <w:rsid w:val="0070188F"/>
    <w:rsid w:val="00703216"/>
    <w:rsid w:val="00703AE7"/>
    <w:rsid w:val="007041F3"/>
    <w:rsid w:val="00705556"/>
    <w:rsid w:val="00705C56"/>
    <w:rsid w:val="0070637D"/>
    <w:rsid w:val="007064AF"/>
    <w:rsid w:val="007067D6"/>
    <w:rsid w:val="00706FFB"/>
    <w:rsid w:val="007071DD"/>
    <w:rsid w:val="0070759D"/>
    <w:rsid w:val="0070771F"/>
    <w:rsid w:val="0070784E"/>
    <w:rsid w:val="0071192D"/>
    <w:rsid w:val="00711CD6"/>
    <w:rsid w:val="007128AF"/>
    <w:rsid w:val="00712A14"/>
    <w:rsid w:val="00714E17"/>
    <w:rsid w:val="00716C04"/>
    <w:rsid w:val="00717180"/>
    <w:rsid w:val="007179D2"/>
    <w:rsid w:val="00717CDB"/>
    <w:rsid w:val="00720750"/>
    <w:rsid w:val="0072246F"/>
    <w:rsid w:val="007226A4"/>
    <w:rsid w:val="00722747"/>
    <w:rsid w:val="0072327B"/>
    <w:rsid w:val="00724323"/>
    <w:rsid w:val="0072549C"/>
    <w:rsid w:val="00725A80"/>
    <w:rsid w:val="00725DD1"/>
    <w:rsid w:val="0072644E"/>
    <w:rsid w:val="007275DA"/>
    <w:rsid w:val="00727B85"/>
    <w:rsid w:val="0073071D"/>
    <w:rsid w:val="00731E32"/>
    <w:rsid w:val="007331B3"/>
    <w:rsid w:val="0073345F"/>
    <w:rsid w:val="00733970"/>
    <w:rsid w:val="007340A7"/>
    <w:rsid w:val="00734639"/>
    <w:rsid w:val="00734982"/>
    <w:rsid w:val="00734A8A"/>
    <w:rsid w:val="00736428"/>
    <w:rsid w:val="0073693D"/>
    <w:rsid w:val="00737709"/>
    <w:rsid w:val="00740011"/>
    <w:rsid w:val="00740110"/>
    <w:rsid w:val="0074275C"/>
    <w:rsid w:val="00742C17"/>
    <w:rsid w:val="00742D63"/>
    <w:rsid w:val="007436F4"/>
    <w:rsid w:val="00743F44"/>
    <w:rsid w:val="007461B6"/>
    <w:rsid w:val="00746842"/>
    <w:rsid w:val="00752476"/>
    <w:rsid w:val="0075279C"/>
    <w:rsid w:val="007527CA"/>
    <w:rsid w:val="0075288C"/>
    <w:rsid w:val="007535F3"/>
    <w:rsid w:val="0075380F"/>
    <w:rsid w:val="00753812"/>
    <w:rsid w:val="00753ED0"/>
    <w:rsid w:val="00754C58"/>
    <w:rsid w:val="00756285"/>
    <w:rsid w:val="00756AD5"/>
    <w:rsid w:val="00756E6E"/>
    <w:rsid w:val="00757A25"/>
    <w:rsid w:val="00760087"/>
    <w:rsid w:val="00760330"/>
    <w:rsid w:val="007605BB"/>
    <w:rsid w:val="00760B40"/>
    <w:rsid w:val="00761969"/>
    <w:rsid w:val="00763EAB"/>
    <w:rsid w:val="007669AA"/>
    <w:rsid w:val="007669B6"/>
    <w:rsid w:val="00771D92"/>
    <w:rsid w:val="0077430D"/>
    <w:rsid w:val="007747DB"/>
    <w:rsid w:val="00775A02"/>
    <w:rsid w:val="00775BD2"/>
    <w:rsid w:val="00775D62"/>
    <w:rsid w:val="00776011"/>
    <w:rsid w:val="00776398"/>
    <w:rsid w:val="0077648E"/>
    <w:rsid w:val="00776AC4"/>
    <w:rsid w:val="00776E78"/>
    <w:rsid w:val="00777DD8"/>
    <w:rsid w:val="007805E0"/>
    <w:rsid w:val="0078138A"/>
    <w:rsid w:val="00783014"/>
    <w:rsid w:val="007834DC"/>
    <w:rsid w:val="00784720"/>
    <w:rsid w:val="00784ADB"/>
    <w:rsid w:val="007850F9"/>
    <w:rsid w:val="00785B35"/>
    <w:rsid w:val="0078629D"/>
    <w:rsid w:val="007872AD"/>
    <w:rsid w:val="0079013F"/>
    <w:rsid w:val="0079069C"/>
    <w:rsid w:val="00791B58"/>
    <w:rsid w:val="00792CB6"/>
    <w:rsid w:val="007940A3"/>
    <w:rsid w:val="0079420A"/>
    <w:rsid w:val="007949D7"/>
    <w:rsid w:val="007953B3"/>
    <w:rsid w:val="0079596A"/>
    <w:rsid w:val="007959D8"/>
    <w:rsid w:val="0079630F"/>
    <w:rsid w:val="007966BE"/>
    <w:rsid w:val="00797024"/>
    <w:rsid w:val="00797072"/>
    <w:rsid w:val="007973EA"/>
    <w:rsid w:val="007A04C2"/>
    <w:rsid w:val="007A2223"/>
    <w:rsid w:val="007A2C69"/>
    <w:rsid w:val="007A2F7A"/>
    <w:rsid w:val="007A4217"/>
    <w:rsid w:val="007A4364"/>
    <w:rsid w:val="007A4717"/>
    <w:rsid w:val="007A47FB"/>
    <w:rsid w:val="007A4E03"/>
    <w:rsid w:val="007A609D"/>
    <w:rsid w:val="007B10D6"/>
    <w:rsid w:val="007B146A"/>
    <w:rsid w:val="007B2B88"/>
    <w:rsid w:val="007B2D9E"/>
    <w:rsid w:val="007B3CD3"/>
    <w:rsid w:val="007B42E4"/>
    <w:rsid w:val="007B5994"/>
    <w:rsid w:val="007B6D2B"/>
    <w:rsid w:val="007B7B26"/>
    <w:rsid w:val="007C0767"/>
    <w:rsid w:val="007C0E7C"/>
    <w:rsid w:val="007C0EAA"/>
    <w:rsid w:val="007C44B2"/>
    <w:rsid w:val="007C4EE8"/>
    <w:rsid w:val="007C6496"/>
    <w:rsid w:val="007C6617"/>
    <w:rsid w:val="007C6AD1"/>
    <w:rsid w:val="007C745E"/>
    <w:rsid w:val="007D078E"/>
    <w:rsid w:val="007D129E"/>
    <w:rsid w:val="007D1CC3"/>
    <w:rsid w:val="007D33A7"/>
    <w:rsid w:val="007D34D7"/>
    <w:rsid w:val="007D35FA"/>
    <w:rsid w:val="007D389A"/>
    <w:rsid w:val="007D6EA4"/>
    <w:rsid w:val="007D7460"/>
    <w:rsid w:val="007E0429"/>
    <w:rsid w:val="007E083D"/>
    <w:rsid w:val="007E0BEA"/>
    <w:rsid w:val="007E0BEC"/>
    <w:rsid w:val="007E13BA"/>
    <w:rsid w:val="007E1CE8"/>
    <w:rsid w:val="007E2077"/>
    <w:rsid w:val="007E354D"/>
    <w:rsid w:val="007E3BD9"/>
    <w:rsid w:val="007E3F8C"/>
    <w:rsid w:val="007E5C07"/>
    <w:rsid w:val="007F14E8"/>
    <w:rsid w:val="007F2058"/>
    <w:rsid w:val="007F2370"/>
    <w:rsid w:val="007F2643"/>
    <w:rsid w:val="007F29B4"/>
    <w:rsid w:val="007F3858"/>
    <w:rsid w:val="007F482C"/>
    <w:rsid w:val="007F492C"/>
    <w:rsid w:val="007F5CD7"/>
    <w:rsid w:val="007F5FAD"/>
    <w:rsid w:val="007F60C9"/>
    <w:rsid w:val="007F70E2"/>
    <w:rsid w:val="007F712F"/>
    <w:rsid w:val="007F7685"/>
    <w:rsid w:val="007F7730"/>
    <w:rsid w:val="0080011D"/>
    <w:rsid w:val="00800DB7"/>
    <w:rsid w:val="00800EA5"/>
    <w:rsid w:val="00800F0B"/>
    <w:rsid w:val="00801410"/>
    <w:rsid w:val="00801C01"/>
    <w:rsid w:val="00801D04"/>
    <w:rsid w:val="00802B2C"/>
    <w:rsid w:val="00804D8C"/>
    <w:rsid w:val="00805EF2"/>
    <w:rsid w:val="0080639F"/>
    <w:rsid w:val="0080695F"/>
    <w:rsid w:val="00806DDE"/>
    <w:rsid w:val="00807406"/>
    <w:rsid w:val="0080774A"/>
    <w:rsid w:val="00810794"/>
    <w:rsid w:val="0081085D"/>
    <w:rsid w:val="00810E25"/>
    <w:rsid w:val="00811A74"/>
    <w:rsid w:val="0081218A"/>
    <w:rsid w:val="0081277A"/>
    <w:rsid w:val="00813031"/>
    <w:rsid w:val="008130BB"/>
    <w:rsid w:val="008133AA"/>
    <w:rsid w:val="008134FE"/>
    <w:rsid w:val="008147E1"/>
    <w:rsid w:val="00814882"/>
    <w:rsid w:val="00814E13"/>
    <w:rsid w:val="00816E71"/>
    <w:rsid w:val="00817D03"/>
    <w:rsid w:val="008200C0"/>
    <w:rsid w:val="00821CB8"/>
    <w:rsid w:val="008224A7"/>
    <w:rsid w:val="00823246"/>
    <w:rsid w:val="0082346C"/>
    <w:rsid w:val="008237FA"/>
    <w:rsid w:val="00825621"/>
    <w:rsid w:val="00825AC7"/>
    <w:rsid w:val="00825D37"/>
    <w:rsid w:val="0082702C"/>
    <w:rsid w:val="00827999"/>
    <w:rsid w:val="00827A01"/>
    <w:rsid w:val="00827DEF"/>
    <w:rsid w:val="008300DE"/>
    <w:rsid w:val="00830EC1"/>
    <w:rsid w:val="008332A7"/>
    <w:rsid w:val="00833BAA"/>
    <w:rsid w:val="00833C7A"/>
    <w:rsid w:val="00833E18"/>
    <w:rsid w:val="0083476C"/>
    <w:rsid w:val="00834AE2"/>
    <w:rsid w:val="008365D4"/>
    <w:rsid w:val="008369B0"/>
    <w:rsid w:val="00837A1E"/>
    <w:rsid w:val="00840104"/>
    <w:rsid w:val="00840539"/>
    <w:rsid w:val="0084110D"/>
    <w:rsid w:val="0084136B"/>
    <w:rsid w:val="00841447"/>
    <w:rsid w:val="0084225D"/>
    <w:rsid w:val="00842A38"/>
    <w:rsid w:val="00842AF3"/>
    <w:rsid w:val="0084302E"/>
    <w:rsid w:val="0084403B"/>
    <w:rsid w:val="00844987"/>
    <w:rsid w:val="008450B0"/>
    <w:rsid w:val="0084559F"/>
    <w:rsid w:val="008456FB"/>
    <w:rsid w:val="00846B2B"/>
    <w:rsid w:val="008475C4"/>
    <w:rsid w:val="00850AE8"/>
    <w:rsid w:val="00850DF6"/>
    <w:rsid w:val="00852416"/>
    <w:rsid w:val="008528A2"/>
    <w:rsid w:val="00852FDD"/>
    <w:rsid w:val="0085479B"/>
    <w:rsid w:val="00854857"/>
    <w:rsid w:val="00854E9B"/>
    <w:rsid w:val="00855602"/>
    <w:rsid w:val="00856AA1"/>
    <w:rsid w:val="00856DF9"/>
    <w:rsid w:val="00856EBC"/>
    <w:rsid w:val="0085732C"/>
    <w:rsid w:val="00857E31"/>
    <w:rsid w:val="0086064D"/>
    <w:rsid w:val="0086076E"/>
    <w:rsid w:val="00860B45"/>
    <w:rsid w:val="00860B89"/>
    <w:rsid w:val="00860D48"/>
    <w:rsid w:val="00861156"/>
    <w:rsid w:val="0086155C"/>
    <w:rsid w:val="0086189A"/>
    <w:rsid w:val="008621A9"/>
    <w:rsid w:val="0086268D"/>
    <w:rsid w:val="00862BA9"/>
    <w:rsid w:val="00863860"/>
    <w:rsid w:val="008638B5"/>
    <w:rsid w:val="00864729"/>
    <w:rsid w:val="00865400"/>
    <w:rsid w:val="00865709"/>
    <w:rsid w:val="00866C4D"/>
    <w:rsid w:val="00870715"/>
    <w:rsid w:val="008717A1"/>
    <w:rsid w:val="00871A2C"/>
    <w:rsid w:val="008734DB"/>
    <w:rsid w:val="0087390B"/>
    <w:rsid w:val="00873B4C"/>
    <w:rsid w:val="008745A1"/>
    <w:rsid w:val="00874BA3"/>
    <w:rsid w:val="00874FEF"/>
    <w:rsid w:val="0087609A"/>
    <w:rsid w:val="008768E9"/>
    <w:rsid w:val="0087751B"/>
    <w:rsid w:val="008800AA"/>
    <w:rsid w:val="00880485"/>
    <w:rsid w:val="008805ED"/>
    <w:rsid w:val="00880B44"/>
    <w:rsid w:val="008813F7"/>
    <w:rsid w:val="008815A8"/>
    <w:rsid w:val="00881A54"/>
    <w:rsid w:val="00882FBB"/>
    <w:rsid w:val="00883036"/>
    <w:rsid w:val="0088349D"/>
    <w:rsid w:val="008848A2"/>
    <w:rsid w:val="00884B3C"/>
    <w:rsid w:val="00884D7C"/>
    <w:rsid w:val="008851D0"/>
    <w:rsid w:val="00886480"/>
    <w:rsid w:val="008869A6"/>
    <w:rsid w:val="00887716"/>
    <w:rsid w:val="00887CC6"/>
    <w:rsid w:val="00887DD0"/>
    <w:rsid w:val="00890054"/>
    <w:rsid w:val="00890442"/>
    <w:rsid w:val="00890995"/>
    <w:rsid w:val="0089141D"/>
    <w:rsid w:val="008914FB"/>
    <w:rsid w:val="00891685"/>
    <w:rsid w:val="00891D8A"/>
    <w:rsid w:val="00892EC4"/>
    <w:rsid w:val="00892EEF"/>
    <w:rsid w:val="00893B09"/>
    <w:rsid w:val="00894A32"/>
    <w:rsid w:val="00894F9C"/>
    <w:rsid w:val="00895AFB"/>
    <w:rsid w:val="00895C99"/>
    <w:rsid w:val="0089645A"/>
    <w:rsid w:val="008964D7"/>
    <w:rsid w:val="00897A47"/>
    <w:rsid w:val="00897E99"/>
    <w:rsid w:val="008A041A"/>
    <w:rsid w:val="008A0A35"/>
    <w:rsid w:val="008A0F39"/>
    <w:rsid w:val="008A168A"/>
    <w:rsid w:val="008A1AB7"/>
    <w:rsid w:val="008A4829"/>
    <w:rsid w:val="008A4E09"/>
    <w:rsid w:val="008A621D"/>
    <w:rsid w:val="008A6598"/>
    <w:rsid w:val="008A67A5"/>
    <w:rsid w:val="008B2384"/>
    <w:rsid w:val="008B3264"/>
    <w:rsid w:val="008B38D6"/>
    <w:rsid w:val="008B39F8"/>
    <w:rsid w:val="008B3AE3"/>
    <w:rsid w:val="008B4802"/>
    <w:rsid w:val="008B508C"/>
    <w:rsid w:val="008B559A"/>
    <w:rsid w:val="008B65AA"/>
    <w:rsid w:val="008B69E3"/>
    <w:rsid w:val="008B6B02"/>
    <w:rsid w:val="008B717C"/>
    <w:rsid w:val="008C02A6"/>
    <w:rsid w:val="008C043D"/>
    <w:rsid w:val="008C044B"/>
    <w:rsid w:val="008C1FD1"/>
    <w:rsid w:val="008C2079"/>
    <w:rsid w:val="008C24A8"/>
    <w:rsid w:val="008C2AC7"/>
    <w:rsid w:val="008C2EF6"/>
    <w:rsid w:val="008C35EF"/>
    <w:rsid w:val="008C5996"/>
    <w:rsid w:val="008C7292"/>
    <w:rsid w:val="008C7D84"/>
    <w:rsid w:val="008D190E"/>
    <w:rsid w:val="008D36A7"/>
    <w:rsid w:val="008D3E53"/>
    <w:rsid w:val="008D3EFA"/>
    <w:rsid w:val="008D46B9"/>
    <w:rsid w:val="008D47B9"/>
    <w:rsid w:val="008D5A11"/>
    <w:rsid w:val="008D5E23"/>
    <w:rsid w:val="008D6056"/>
    <w:rsid w:val="008E0182"/>
    <w:rsid w:val="008E101B"/>
    <w:rsid w:val="008E253D"/>
    <w:rsid w:val="008E2623"/>
    <w:rsid w:val="008E3BC8"/>
    <w:rsid w:val="008E448D"/>
    <w:rsid w:val="008E4E4A"/>
    <w:rsid w:val="008E56E3"/>
    <w:rsid w:val="008E5A9B"/>
    <w:rsid w:val="008E6208"/>
    <w:rsid w:val="008E6D59"/>
    <w:rsid w:val="008F1581"/>
    <w:rsid w:val="008F18DE"/>
    <w:rsid w:val="008F2073"/>
    <w:rsid w:val="008F2338"/>
    <w:rsid w:val="008F291A"/>
    <w:rsid w:val="008F4EDF"/>
    <w:rsid w:val="008F5D66"/>
    <w:rsid w:val="008F6607"/>
    <w:rsid w:val="008F689C"/>
    <w:rsid w:val="008F6E06"/>
    <w:rsid w:val="0090045D"/>
    <w:rsid w:val="00900EAC"/>
    <w:rsid w:val="009028AA"/>
    <w:rsid w:val="00902A14"/>
    <w:rsid w:val="00903E3F"/>
    <w:rsid w:val="009045FA"/>
    <w:rsid w:val="0090464E"/>
    <w:rsid w:val="00904935"/>
    <w:rsid w:val="009049C3"/>
    <w:rsid w:val="00904D3B"/>
    <w:rsid w:val="0090552B"/>
    <w:rsid w:val="0090552F"/>
    <w:rsid w:val="009057D9"/>
    <w:rsid w:val="00905D12"/>
    <w:rsid w:val="00906883"/>
    <w:rsid w:val="00907542"/>
    <w:rsid w:val="0090769D"/>
    <w:rsid w:val="0090774A"/>
    <w:rsid w:val="00907ECC"/>
    <w:rsid w:val="00910235"/>
    <w:rsid w:val="00910D07"/>
    <w:rsid w:val="00910F74"/>
    <w:rsid w:val="009115F4"/>
    <w:rsid w:val="00912144"/>
    <w:rsid w:val="00914B19"/>
    <w:rsid w:val="00914B2F"/>
    <w:rsid w:val="009150E6"/>
    <w:rsid w:val="00915810"/>
    <w:rsid w:val="00916916"/>
    <w:rsid w:val="00916CC9"/>
    <w:rsid w:val="0091723D"/>
    <w:rsid w:val="0091785E"/>
    <w:rsid w:val="00917B70"/>
    <w:rsid w:val="00917F89"/>
    <w:rsid w:val="0092088A"/>
    <w:rsid w:val="00920DFA"/>
    <w:rsid w:val="00921137"/>
    <w:rsid w:val="00922378"/>
    <w:rsid w:val="009239F9"/>
    <w:rsid w:val="00923FCA"/>
    <w:rsid w:val="00924801"/>
    <w:rsid w:val="009249BB"/>
    <w:rsid w:val="00924B7F"/>
    <w:rsid w:val="0092525B"/>
    <w:rsid w:val="009255EE"/>
    <w:rsid w:val="00925603"/>
    <w:rsid w:val="0092586A"/>
    <w:rsid w:val="00925F76"/>
    <w:rsid w:val="0093006A"/>
    <w:rsid w:val="0093092A"/>
    <w:rsid w:val="009309FB"/>
    <w:rsid w:val="00931D32"/>
    <w:rsid w:val="00932556"/>
    <w:rsid w:val="00932E89"/>
    <w:rsid w:val="009334E5"/>
    <w:rsid w:val="00933576"/>
    <w:rsid w:val="0093359D"/>
    <w:rsid w:val="009337B4"/>
    <w:rsid w:val="00933F2B"/>
    <w:rsid w:val="00937F9B"/>
    <w:rsid w:val="00941F02"/>
    <w:rsid w:val="00941F0A"/>
    <w:rsid w:val="009427EA"/>
    <w:rsid w:val="00942EA6"/>
    <w:rsid w:val="00942EEB"/>
    <w:rsid w:val="00943716"/>
    <w:rsid w:val="0094461C"/>
    <w:rsid w:val="0094468E"/>
    <w:rsid w:val="00945261"/>
    <w:rsid w:val="00946349"/>
    <w:rsid w:val="009464E2"/>
    <w:rsid w:val="0095033F"/>
    <w:rsid w:val="009506A5"/>
    <w:rsid w:val="00950C37"/>
    <w:rsid w:val="00950F9B"/>
    <w:rsid w:val="00952127"/>
    <w:rsid w:val="009528B3"/>
    <w:rsid w:val="009532BF"/>
    <w:rsid w:val="009534E9"/>
    <w:rsid w:val="00953FC8"/>
    <w:rsid w:val="009541CC"/>
    <w:rsid w:val="00954A1F"/>
    <w:rsid w:val="009559FE"/>
    <w:rsid w:val="00955A46"/>
    <w:rsid w:val="00956564"/>
    <w:rsid w:val="00956B29"/>
    <w:rsid w:val="00956D5A"/>
    <w:rsid w:val="00957B60"/>
    <w:rsid w:val="00957C3C"/>
    <w:rsid w:val="00960304"/>
    <w:rsid w:val="00960BC3"/>
    <w:rsid w:val="00961B2C"/>
    <w:rsid w:val="00961DBB"/>
    <w:rsid w:val="00963001"/>
    <w:rsid w:val="0096412E"/>
    <w:rsid w:val="0096618E"/>
    <w:rsid w:val="009668BB"/>
    <w:rsid w:val="00966BA1"/>
    <w:rsid w:val="009671D4"/>
    <w:rsid w:val="009708C7"/>
    <w:rsid w:val="009752B8"/>
    <w:rsid w:val="00975449"/>
    <w:rsid w:val="0097574B"/>
    <w:rsid w:val="0097649D"/>
    <w:rsid w:val="00976CC3"/>
    <w:rsid w:val="00976D58"/>
    <w:rsid w:val="00980288"/>
    <w:rsid w:val="009810ED"/>
    <w:rsid w:val="00981433"/>
    <w:rsid w:val="009818BF"/>
    <w:rsid w:val="009819CF"/>
    <w:rsid w:val="00981D1C"/>
    <w:rsid w:val="0098269D"/>
    <w:rsid w:val="00982EAD"/>
    <w:rsid w:val="00983182"/>
    <w:rsid w:val="0098331C"/>
    <w:rsid w:val="0098336F"/>
    <w:rsid w:val="0098416B"/>
    <w:rsid w:val="009844DD"/>
    <w:rsid w:val="009849E7"/>
    <w:rsid w:val="00984DA9"/>
    <w:rsid w:val="009851B6"/>
    <w:rsid w:val="0098538D"/>
    <w:rsid w:val="00985C07"/>
    <w:rsid w:val="00991BDB"/>
    <w:rsid w:val="00991D81"/>
    <w:rsid w:val="0099278E"/>
    <w:rsid w:val="00992FD2"/>
    <w:rsid w:val="00993F48"/>
    <w:rsid w:val="00993FF7"/>
    <w:rsid w:val="00994B00"/>
    <w:rsid w:val="009951C9"/>
    <w:rsid w:val="00995B4F"/>
    <w:rsid w:val="0099644D"/>
    <w:rsid w:val="0099692D"/>
    <w:rsid w:val="00997582"/>
    <w:rsid w:val="009A02FB"/>
    <w:rsid w:val="009A0679"/>
    <w:rsid w:val="009A06E9"/>
    <w:rsid w:val="009A1FB9"/>
    <w:rsid w:val="009A25C2"/>
    <w:rsid w:val="009A2C21"/>
    <w:rsid w:val="009A3118"/>
    <w:rsid w:val="009A3E58"/>
    <w:rsid w:val="009A54B3"/>
    <w:rsid w:val="009A5F02"/>
    <w:rsid w:val="009A6016"/>
    <w:rsid w:val="009A78F6"/>
    <w:rsid w:val="009A7AB1"/>
    <w:rsid w:val="009B09D6"/>
    <w:rsid w:val="009B16B5"/>
    <w:rsid w:val="009B1E4D"/>
    <w:rsid w:val="009B2150"/>
    <w:rsid w:val="009B2A6D"/>
    <w:rsid w:val="009B3215"/>
    <w:rsid w:val="009B5764"/>
    <w:rsid w:val="009B6A69"/>
    <w:rsid w:val="009C0D7B"/>
    <w:rsid w:val="009C1BCF"/>
    <w:rsid w:val="009C1D23"/>
    <w:rsid w:val="009C2F20"/>
    <w:rsid w:val="009C318D"/>
    <w:rsid w:val="009C33A1"/>
    <w:rsid w:val="009C4900"/>
    <w:rsid w:val="009C4E71"/>
    <w:rsid w:val="009C502F"/>
    <w:rsid w:val="009C65CA"/>
    <w:rsid w:val="009C6DAA"/>
    <w:rsid w:val="009C768B"/>
    <w:rsid w:val="009C7962"/>
    <w:rsid w:val="009D006D"/>
    <w:rsid w:val="009D0E74"/>
    <w:rsid w:val="009D0F59"/>
    <w:rsid w:val="009D1224"/>
    <w:rsid w:val="009D1A12"/>
    <w:rsid w:val="009D1A96"/>
    <w:rsid w:val="009D1D99"/>
    <w:rsid w:val="009D28A2"/>
    <w:rsid w:val="009D330B"/>
    <w:rsid w:val="009D370B"/>
    <w:rsid w:val="009D627C"/>
    <w:rsid w:val="009D716C"/>
    <w:rsid w:val="009E16A7"/>
    <w:rsid w:val="009E2087"/>
    <w:rsid w:val="009E252B"/>
    <w:rsid w:val="009E26B6"/>
    <w:rsid w:val="009E2E1C"/>
    <w:rsid w:val="009E3265"/>
    <w:rsid w:val="009E3353"/>
    <w:rsid w:val="009E42AB"/>
    <w:rsid w:val="009E446D"/>
    <w:rsid w:val="009E4E31"/>
    <w:rsid w:val="009E5047"/>
    <w:rsid w:val="009E5566"/>
    <w:rsid w:val="009E7083"/>
    <w:rsid w:val="009E7763"/>
    <w:rsid w:val="009E7AF0"/>
    <w:rsid w:val="009E7C09"/>
    <w:rsid w:val="009E7FAD"/>
    <w:rsid w:val="009F146D"/>
    <w:rsid w:val="009F1A2C"/>
    <w:rsid w:val="009F1D45"/>
    <w:rsid w:val="009F1F6E"/>
    <w:rsid w:val="009F2092"/>
    <w:rsid w:val="009F2F6B"/>
    <w:rsid w:val="009F3842"/>
    <w:rsid w:val="009F4072"/>
    <w:rsid w:val="009F46BA"/>
    <w:rsid w:val="009F4ABC"/>
    <w:rsid w:val="009F4F1E"/>
    <w:rsid w:val="009F6B49"/>
    <w:rsid w:val="009F6D7F"/>
    <w:rsid w:val="009F7590"/>
    <w:rsid w:val="00A003B0"/>
    <w:rsid w:val="00A00611"/>
    <w:rsid w:val="00A015E4"/>
    <w:rsid w:val="00A02C3A"/>
    <w:rsid w:val="00A03149"/>
    <w:rsid w:val="00A04B51"/>
    <w:rsid w:val="00A05C2D"/>
    <w:rsid w:val="00A071E8"/>
    <w:rsid w:val="00A075BC"/>
    <w:rsid w:val="00A07BF3"/>
    <w:rsid w:val="00A10AA5"/>
    <w:rsid w:val="00A11222"/>
    <w:rsid w:val="00A11356"/>
    <w:rsid w:val="00A118A8"/>
    <w:rsid w:val="00A11BC0"/>
    <w:rsid w:val="00A12466"/>
    <w:rsid w:val="00A125A4"/>
    <w:rsid w:val="00A12806"/>
    <w:rsid w:val="00A12C39"/>
    <w:rsid w:val="00A12D8B"/>
    <w:rsid w:val="00A13256"/>
    <w:rsid w:val="00A133F8"/>
    <w:rsid w:val="00A134FB"/>
    <w:rsid w:val="00A13964"/>
    <w:rsid w:val="00A14676"/>
    <w:rsid w:val="00A1569D"/>
    <w:rsid w:val="00A16D7D"/>
    <w:rsid w:val="00A16D9C"/>
    <w:rsid w:val="00A16EB0"/>
    <w:rsid w:val="00A17AD4"/>
    <w:rsid w:val="00A20516"/>
    <w:rsid w:val="00A20802"/>
    <w:rsid w:val="00A21772"/>
    <w:rsid w:val="00A223B0"/>
    <w:rsid w:val="00A240B6"/>
    <w:rsid w:val="00A24AC0"/>
    <w:rsid w:val="00A25092"/>
    <w:rsid w:val="00A253C7"/>
    <w:rsid w:val="00A25B4F"/>
    <w:rsid w:val="00A2624E"/>
    <w:rsid w:val="00A31756"/>
    <w:rsid w:val="00A326AE"/>
    <w:rsid w:val="00A32DD0"/>
    <w:rsid w:val="00A3320D"/>
    <w:rsid w:val="00A33563"/>
    <w:rsid w:val="00A33C32"/>
    <w:rsid w:val="00A33FC0"/>
    <w:rsid w:val="00A35B2D"/>
    <w:rsid w:val="00A3601E"/>
    <w:rsid w:val="00A37CAD"/>
    <w:rsid w:val="00A42A2D"/>
    <w:rsid w:val="00A42CA4"/>
    <w:rsid w:val="00A42CBF"/>
    <w:rsid w:val="00A430B3"/>
    <w:rsid w:val="00A442BF"/>
    <w:rsid w:val="00A465B0"/>
    <w:rsid w:val="00A512F7"/>
    <w:rsid w:val="00A516D8"/>
    <w:rsid w:val="00A51D4C"/>
    <w:rsid w:val="00A521D0"/>
    <w:rsid w:val="00A5238D"/>
    <w:rsid w:val="00A52638"/>
    <w:rsid w:val="00A52720"/>
    <w:rsid w:val="00A52999"/>
    <w:rsid w:val="00A53716"/>
    <w:rsid w:val="00A539D4"/>
    <w:rsid w:val="00A5428C"/>
    <w:rsid w:val="00A547E9"/>
    <w:rsid w:val="00A5629E"/>
    <w:rsid w:val="00A56460"/>
    <w:rsid w:val="00A56763"/>
    <w:rsid w:val="00A600BE"/>
    <w:rsid w:val="00A60B83"/>
    <w:rsid w:val="00A62119"/>
    <w:rsid w:val="00A63A5C"/>
    <w:rsid w:val="00A63D65"/>
    <w:rsid w:val="00A64832"/>
    <w:rsid w:val="00A64CDC"/>
    <w:rsid w:val="00A66DA2"/>
    <w:rsid w:val="00A674AB"/>
    <w:rsid w:val="00A676AD"/>
    <w:rsid w:val="00A7074A"/>
    <w:rsid w:val="00A70A55"/>
    <w:rsid w:val="00A72ECE"/>
    <w:rsid w:val="00A732DB"/>
    <w:rsid w:val="00A7475F"/>
    <w:rsid w:val="00A75207"/>
    <w:rsid w:val="00A75572"/>
    <w:rsid w:val="00A766C5"/>
    <w:rsid w:val="00A768C5"/>
    <w:rsid w:val="00A774F3"/>
    <w:rsid w:val="00A7796E"/>
    <w:rsid w:val="00A77F60"/>
    <w:rsid w:val="00A80C82"/>
    <w:rsid w:val="00A81E38"/>
    <w:rsid w:val="00A82086"/>
    <w:rsid w:val="00A8271E"/>
    <w:rsid w:val="00A82AB6"/>
    <w:rsid w:val="00A8301B"/>
    <w:rsid w:val="00A83A76"/>
    <w:rsid w:val="00A845C1"/>
    <w:rsid w:val="00A85AE5"/>
    <w:rsid w:val="00A86F04"/>
    <w:rsid w:val="00A870B8"/>
    <w:rsid w:val="00A87356"/>
    <w:rsid w:val="00A8751D"/>
    <w:rsid w:val="00A90880"/>
    <w:rsid w:val="00A91172"/>
    <w:rsid w:val="00A91FD3"/>
    <w:rsid w:val="00A92491"/>
    <w:rsid w:val="00A9264B"/>
    <w:rsid w:val="00A92C13"/>
    <w:rsid w:val="00A946C4"/>
    <w:rsid w:val="00A94B42"/>
    <w:rsid w:val="00A9502A"/>
    <w:rsid w:val="00A95CA2"/>
    <w:rsid w:val="00AA031D"/>
    <w:rsid w:val="00AA0931"/>
    <w:rsid w:val="00AA0A34"/>
    <w:rsid w:val="00AA10D6"/>
    <w:rsid w:val="00AA2448"/>
    <w:rsid w:val="00AA38E9"/>
    <w:rsid w:val="00AA3F93"/>
    <w:rsid w:val="00AA5624"/>
    <w:rsid w:val="00AA5773"/>
    <w:rsid w:val="00AA5ADC"/>
    <w:rsid w:val="00AA62EF"/>
    <w:rsid w:val="00AA6D74"/>
    <w:rsid w:val="00AA785D"/>
    <w:rsid w:val="00AB0CCC"/>
    <w:rsid w:val="00AB0FA3"/>
    <w:rsid w:val="00AB11EA"/>
    <w:rsid w:val="00AB1F3F"/>
    <w:rsid w:val="00AB20BC"/>
    <w:rsid w:val="00AB45CE"/>
    <w:rsid w:val="00AB464A"/>
    <w:rsid w:val="00AB5170"/>
    <w:rsid w:val="00AB532E"/>
    <w:rsid w:val="00AB6905"/>
    <w:rsid w:val="00AC01F8"/>
    <w:rsid w:val="00AC049D"/>
    <w:rsid w:val="00AC059A"/>
    <w:rsid w:val="00AC0B88"/>
    <w:rsid w:val="00AC1440"/>
    <w:rsid w:val="00AC2283"/>
    <w:rsid w:val="00AC2AF4"/>
    <w:rsid w:val="00AC374D"/>
    <w:rsid w:val="00AC3784"/>
    <w:rsid w:val="00AC3E47"/>
    <w:rsid w:val="00AC44BC"/>
    <w:rsid w:val="00AC4F90"/>
    <w:rsid w:val="00AC7390"/>
    <w:rsid w:val="00AD0308"/>
    <w:rsid w:val="00AD0996"/>
    <w:rsid w:val="00AD10D9"/>
    <w:rsid w:val="00AD1DE2"/>
    <w:rsid w:val="00AD206C"/>
    <w:rsid w:val="00AD2869"/>
    <w:rsid w:val="00AD377A"/>
    <w:rsid w:val="00AD5468"/>
    <w:rsid w:val="00AD5546"/>
    <w:rsid w:val="00AD556B"/>
    <w:rsid w:val="00AD55B1"/>
    <w:rsid w:val="00AD5D7C"/>
    <w:rsid w:val="00AD5EC9"/>
    <w:rsid w:val="00AD601E"/>
    <w:rsid w:val="00AD67BB"/>
    <w:rsid w:val="00AD6B82"/>
    <w:rsid w:val="00AD7346"/>
    <w:rsid w:val="00AD7CE9"/>
    <w:rsid w:val="00AD7F48"/>
    <w:rsid w:val="00AE14E2"/>
    <w:rsid w:val="00AE1CC1"/>
    <w:rsid w:val="00AE1DE7"/>
    <w:rsid w:val="00AE20BA"/>
    <w:rsid w:val="00AE2A87"/>
    <w:rsid w:val="00AE3EA4"/>
    <w:rsid w:val="00AE4F9F"/>
    <w:rsid w:val="00AE5B77"/>
    <w:rsid w:val="00AE67DF"/>
    <w:rsid w:val="00AE6C72"/>
    <w:rsid w:val="00AF044E"/>
    <w:rsid w:val="00AF1B02"/>
    <w:rsid w:val="00AF204B"/>
    <w:rsid w:val="00AF20C5"/>
    <w:rsid w:val="00AF276B"/>
    <w:rsid w:val="00AF41E4"/>
    <w:rsid w:val="00AF4905"/>
    <w:rsid w:val="00AF4AD5"/>
    <w:rsid w:val="00AF5974"/>
    <w:rsid w:val="00AF6161"/>
    <w:rsid w:val="00AF74ED"/>
    <w:rsid w:val="00AF78F9"/>
    <w:rsid w:val="00AF7984"/>
    <w:rsid w:val="00B00721"/>
    <w:rsid w:val="00B01489"/>
    <w:rsid w:val="00B01DAD"/>
    <w:rsid w:val="00B01DBF"/>
    <w:rsid w:val="00B01ED9"/>
    <w:rsid w:val="00B02B3D"/>
    <w:rsid w:val="00B02CE3"/>
    <w:rsid w:val="00B02E93"/>
    <w:rsid w:val="00B0529A"/>
    <w:rsid w:val="00B058A2"/>
    <w:rsid w:val="00B06467"/>
    <w:rsid w:val="00B06A71"/>
    <w:rsid w:val="00B06A75"/>
    <w:rsid w:val="00B06BC3"/>
    <w:rsid w:val="00B07D8D"/>
    <w:rsid w:val="00B100F4"/>
    <w:rsid w:val="00B11DF7"/>
    <w:rsid w:val="00B12769"/>
    <w:rsid w:val="00B13BAD"/>
    <w:rsid w:val="00B14030"/>
    <w:rsid w:val="00B14475"/>
    <w:rsid w:val="00B15202"/>
    <w:rsid w:val="00B15A0F"/>
    <w:rsid w:val="00B16354"/>
    <w:rsid w:val="00B16AC8"/>
    <w:rsid w:val="00B17F75"/>
    <w:rsid w:val="00B20236"/>
    <w:rsid w:val="00B20937"/>
    <w:rsid w:val="00B20EA9"/>
    <w:rsid w:val="00B21D0C"/>
    <w:rsid w:val="00B21F37"/>
    <w:rsid w:val="00B220A0"/>
    <w:rsid w:val="00B2295B"/>
    <w:rsid w:val="00B22B64"/>
    <w:rsid w:val="00B22FEA"/>
    <w:rsid w:val="00B23D42"/>
    <w:rsid w:val="00B24321"/>
    <w:rsid w:val="00B245AF"/>
    <w:rsid w:val="00B24BAE"/>
    <w:rsid w:val="00B25240"/>
    <w:rsid w:val="00B252B2"/>
    <w:rsid w:val="00B3028E"/>
    <w:rsid w:val="00B30B51"/>
    <w:rsid w:val="00B30FEB"/>
    <w:rsid w:val="00B3307E"/>
    <w:rsid w:val="00B33637"/>
    <w:rsid w:val="00B33A8F"/>
    <w:rsid w:val="00B34981"/>
    <w:rsid w:val="00B34E91"/>
    <w:rsid w:val="00B351F5"/>
    <w:rsid w:val="00B35345"/>
    <w:rsid w:val="00B366ED"/>
    <w:rsid w:val="00B37BA9"/>
    <w:rsid w:val="00B40AA3"/>
    <w:rsid w:val="00B40D96"/>
    <w:rsid w:val="00B41E72"/>
    <w:rsid w:val="00B423EF"/>
    <w:rsid w:val="00B42762"/>
    <w:rsid w:val="00B431DB"/>
    <w:rsid w:val="00B43534"/>
    <w:rsid w:val="00B44478"/>
    <w:rsid w:val="00B447B1"/>
    <w:rsid w:val="00B45206"/>
    <w:rsid w:val="00B46B4F"/>
    <w:rsid w:val="00B46E96"/>
    <w:rsid w:val="00B4715B"/>
    <w:rsid w:val="00B4756D"/>
    <w:rsid w:val="00B476D6"/>
    <w:rsid w:val="00B477CC"/>
    <w:rsid w:val="00B50799"/>
    <w:rsid w:val="00B5154C"/>
    <w:rsid w:val="00B51696"/>
    <w:rsid w:val="00B53047"/>
    <w:rsid w:val="00B5469B"/>
    <w:rsid w:val="00B5595E"/>
    <w:rsid w:val="00B55A7E"/>
    <w:rsid w:val="00B55E32"/>
    <w:rsid w:val="00B57AB5"/>
    <w:rsid w:val="00B6002C"/>
    <w:rsid w:val="00B61284"/>
    <w:rsid w:val="00B61662"/>
    <w:rsid w:val="00B619EA"/>
    <w:rsid w:val="00B620EE"/>
    <w:rsid w:val="00B62451"/>
    <w:rsid w:val="00B625BD"/>
    <w:rsid w:val="00B62615"/>
    <w:rsid w:val="00B62E34"/>
    <w:rsid w:val="00B6404E"/>
    <w:rsid w:val="00B640FD"/>
    <w:rsid w:val="00B641D3"/>
    <w:rsid w:val="00B64ED2"/>
    <w:rsid w:val="00B65003"/>
    <w:rsid w:val="00B67429"/>
    <w:rsid w:val="00B674C7"/>
    <w:rsid w:val="00B67B37"/>
    <w:rsid w:val="00B7039D"/>
    <w:rsid w:val="00B70953"/>
    <w:rsid w:val="00B70D5C"/>
    <w:rsid w:val="00B7167E"/>
    <w:rsid w:val="00B72116"/>
    <w:rsid w:val="00B725CD"/>
    <w:rsid w:val="00B7417A"/>
    <w:rsid w:val="00B74AAE"/>
    <w:rsid w:val="00B7516E"/>
    <w:rsid w:val="00B75391"/>
    <w:rsid w:val="00B76F3E"/>
    <w:rsid w:val="00B772ED"/>
    <w:rsid w:val="00B805F9"/>
    <w:rsid w:val="00B81E5A"/>
    <w:rsid w:val="00B8282B"/>
    <w:rsid w:val="00B82C40"/>
    <w:rsid w:val="00B84739"/>
    <w:rsid w:val="00B85366"/>
    <w:rsid w:val="00B85760"/>
    <w:rsid w:val="00B8768A"/>
    <w:rsid w:val="00B87789"/>
    <w:rsid w:val="00B87940"/>
    <w:rsid w:val="00B87F60"/>
    <w:rsid w:val="00B93D3D"/>
    <w:rsid w:val="00B95F0C"/>
    <w:rsid w:val="00B962CD"/>
    <w:rsid w:val="00B962F5"/>
    <w:rsid w:val="00B96629"/>
    <w:rsid w:val="00B97460"/>
    <w:rsid w:val="00B97E9A"/>
    <w:rsid w:val="00BA0753"/>
    <w:rsid w:val="00BA11EB"/>
    <w:rsid w:val="00BA1E8D"/>
    <w:rsid w:val="00BA3759"/>
    <w:rsid w:val="00BA3B7B"/>
    <w:rsid w:val="00BA471F"/>
    <w:rsid w:val="00BA625C"/>
    <w:rsid w:val="00BA72DB"/>
    <w:rsid w:val="00BB0A82"/>
    <w:rsid w:val="00BB2EC7"/>
    <w:rsid w:val="00BB3C52"/>
    <w:rsid w:val="00BB400C"/>
    <w:rsid w:val="00BB5013"/>
    <w:rsid w:val="00BB528E"/>
    <w:rsid w:val="00BB53E9"/>
    <w:rsid w:val="00BB5714"/>
    <w:rsid w:val="00BB58AE"/>
    <w:rsid w:val="00BB7340"/>
    <w:rsid w:val="00BB776A"/>
    <w:rsid w:val="00BB7F51"/>
    <w:rsid w:val="00BC0200"/>
    <w:rsid w:val="00BC08EB"/>
    <w:rsid w:val="00BC0E60"/>
    <w:rsid w:val="00BC1577"/>
    <w:rsid w:val="00BC19B9"/>
    <w:rsid w:val="00BC2600"/>
    <w:rsid w:val="00BC283C"/>
    <w:rsid w:val="00BC3143"/>
    <w:rsid w:val="00BC367F"/>
    <w:rsid w:val="00BC36F0"/>
    <w:rsid w:val="00BC379B"/>
    <w:rsid w:val="00BC4A4C"/>
    <w:rsid w:val="00BC4D5E"/>
    <w:rsid w:val="00BC4DC7"/>
    <w:rsid w:val="00BC4FA7"/>
    <w:rsid w:val="00BC51C7"/>
    <w:rsid w:val="00BC5E30"/>
    <w:rsid w:val="00BC70DB"/>
    <w:rsid w:val="00BD02C5"/>
    <w:rsid w:val="00BD068D"/>
    <w:rsid w:val="00BD2153"/>
    <w:rsid w:val="00BD38C1"/>
    <w:rsid w:val="00BD4A43"/>
    <w:rsid w:val="00BD4C76"/>
    <w:rsid w:val="00BD6628"/>
    <w:rsid w:val="00BD70F5"/>
    <w:rsid w:val="00BE0794"/>
    <w:rsid w:val="00BE0D9A"/>
    <w:rsid w:val="00BE159A"/>
    <w:rsid w:val="00BE1A50"/>
    <w:rsid w:val="00BE2BCD"/>
    <w:rsid w:val="00BE2F0D"/>
    <w:rsid w:val="00BE3337"/>
    <w:rsid w:val="00BE3957"/>
    <w:rsid w:val="00BE42AD"/>
    <w:rsid w:val="00BE45B2"/>
    <w:rsid w:val="00BE4852"/>
    <w:rsid w:val="00BE4A95"/>
    <w:rsid w:val="00BE51FE"/>
    <w:rsid w:val="00BE58A6"/>
    <w:rsid w:val="00BE58D6"/>
    <w:rsid w:val="00BE6F6C"/>
    <w:rsid w:val="00BE700F"/>
    <w:rsid w:val="00BF07EF"/>
    <w:rsid w:val="00BF0BD5"/>
    <w:rsid w:val="00BF2310"/>
    <w:rsid w:val="00BF2624"/>
    <w:rsid w:val="00BF3237"/>
    <w:rsid w:val="00BF55F8"/>
    <w:rsid w:val="00BF64EE"/>
    <w:rsid w:val="00BF65F6"/>
    <w:rsid w:val="00BF6D09"/>
    <w:rsid w:val="00BF7117"/>
    <w:rsid w:val="00C0038E"/>
    <w:rsid w:val="00C00706"/>
    <w:rsid w:val="00C01329"/>
    <w:rsid w:val="00C01839"/>
    <w:rsid w:val="00C02850"/>
    <w:rsid w:val="00C03E26"/>
    <w:rsid w:val="00C04043"/>
    <w:rsid w:val="00C049BE"/>
    <w:rsid w:val="00C051FD"/>
    <w:rsid w:val="00C0678B"/>
    <w:rsid w:val="00C075D7"/>
    <w:rsid w:val="00C07EB5"/>
    <w:rsid w:val="00C10570"/>
    <w:rsid w:val="00C10602"/>
    <w:rsid w:val="00C1075A"/>
    <w:rsid w:val="00C10C82"/>
    <w:rsid w:val="00C110DA"/>
    <w:rsid w:val="00C12AB5"/>
    <w:rsid w:val="00C13BB5"/>
    <w:rsid w:val="00C15752"/>
    <w:rsid w:val="00C15AD4"/>
    <w:rsid w:val="00C16ED2"/>
    <w:rsid w:val="00C175B3"/>
    <w:rsid w:val="00C17686"/>
    <w:rsid w:val="00C17E7D"/>
    <w:rsid w:val="00C17F11"/>
    <w:rsid w:val="00C203D2"/>
    <w:rsid w:val="00C20989"/>
    <w:rsid w:val="00C20C7D"/>
    <w:rsid w:val="00C20D3C"/>
    <w:rsid w:val="00C20DEF"/>
    <w:rsid w:val="00C21D10"/>
    <w:rsid w:val="00C226BC"/>
    <w:rsid w:val="00C22A1C"/>
    <w:rsid w:val="00C22D4E"/>
    <w:rsid w:val="00C22E6F"/>
    <w:rsid w:val="00C23136"/>
    <w:rsid w:val="00C23677"/>
    <w:rsid w:val="00C24B25"/>
    <w:rsid w:val="00C25D0D"/>
    <w:rsid w:val="00C27A84"/>
    <w:rsid w:val="00C32C2F"/>
    <w:rsid w:val="00C34C5F"/>
    <w:rsid w:val="00C367D9"/>
    <w:rsid w:val="00C372A4"/>
    <w:rsid w:val="00C3738A"/>
    <w:rsid w:val="00C37BFB"/>
    <w:rsid w:val="00C4028F"/>
    <w:rsid w:val="00C40C7B"/>
    <w:rsid w:val="00C41CD4"/>
    <w:rsid w:val="00C4315A"/>
    <w:rsid w:val="00C43742"/>
    <w:rsid w:val="00C43F5E"/>
    <w:rsid w:val="00C44074"/>
    <w:rsid w:val="00C44D1C"/>
    <w:rsid w:val="00C44E4F"/>
    <w:rsid w:val="00C4514D"/>
    <w:rsid w:val="00C4635F"/>
    <w:rsid w:val="00C4651F"/>
    <w:rsid w:val="00C46DC3"/>
    <w:rsid w:val="00C477CD"/>
    <w:rsid w:val="00C47931"/>
    <w:rsid w:val="00C50449"/>
    <w:rsid w:val="00C504EA"/>
    <w:rsid w:val="00C5149D"/>
    <w:rsid w:val="00C51D0B"/>
    <w:rsid w:val="00C51D16"/>
    <w:rsid w:val="00C52A50"/>
    <w:rsid w:val="00C52E8B"/>
    <w:rsid w:val="00C544A9"/>
    <w:rsid w:val="00C54DD8"/>
    <w:rsid w:val="00C54F7A"/>
    <w:rsid w:val="00C550E4"/>
    <w:rsid w:val="00C5544C"/>
    <w:rsid w:val="00C55893"/>
    <w:rsid w:val="00C55F7C"/>
    <w:rsid w:val="00C562A1"/>
    <w:rsid w:val="00C571C0"/>
    <w:rsid w:val="00C5752E"/>
    <w:rsid w:val="00C5781E"/>
    <w:rsid w:val="00C57B53"/>
    <w:rsid w:val="00C57BFA"/>
    <w:rsid w:val="00C60F0A"/>
    <w:rsid w:val="00C6120C"/>
    <w:rsid w:val="00C61230"/>
    <w:rsid w:val="00C62485"/>
    <w:rsid w:val="00C627C7"/>
    <w:rsid w:val="00C62C50"/>
    <w:rsid w:val="00C63C8A"/>
    <w:rsid w:val="00C642D4"/>
    <w:rsid w:val="00C648C8"/>
    <w:rsid w:val="00C649D2"/>
    <w:rsid w:val="00C66363"/>
    <w:rsid w:val="00C665C8"/>
    <w:rsid w:val="00C66B9C"/>
    <w:rsid w:val="00C66C46"/>
    <w:rsid w:val="00C66F75"/>
    <w:rsid w:val="00C675D5"/>
    <w:rsid w:val="00C702E1"/>
    <w:rsid w:val="00C708D1"/>
    <w:rsid w:val="00C71155"/>
    <w:rsid w:val="00C71243"/>
    <w:rsid w:val="00C7125B"/>
    <w:rsid w:val="00C7259E"/>
    <w:rsid w:val="00C730F4"/>
    <w:rsid w:val="00C7313E"/>
    <w:rsid w:val="00C733CC"/>
    <w:rsid w:val="00C73F13"/>
    <w:rsid w:val="00C75C9C"/>
    <w:rsid w:val="00C75DD5"/>
    <w:rsid w:val="00C7666D"/>
    <w:rsid w:val="00C800F2"/>
    <w:rsid w:val="00C80200"/>
    <w:rsid w:val="00C8106B"/>
    <w:rsid w:val="00C814E1"/>
    <w:rsid w:val="00C81BFB"/>
    <w:rsid w:val="00C8270B"/>
    <w:rsid w:val="00C8315C"/>
    <w:rsid w:val="00C839D9"/>
    <w:rsid w:val="00C84070"/>
    <w:rsid w:val="00C841A9"/>
    <w:rsid w:val="00C85E66"/>
    <w:rsid w:val="00C86A16"/>
    <w:rsid w:val="00C86CAC"/>
    <w:rsid w:val="00C8728F"/>
    <w:rsid w:val="00C8756B"/>
    <w:rsid w:val="00C87866"/>
    <w:rsid w:val="00C879E7"/>
    <w:rsid w:val="00C908E8"/>
    <w:rsid w:val="00C90E0C"/>
    <w:rsid w:val="00C9185D"/>
    <w:rsid w:val="00C91939"/>
    <w:rsid w:val="00C91E70"/>
    <w:rsid w:val="00C961E9"/>
    <w:rsid w:val="00C96E27"/>
    <w:rsid w:val="00C96EFE"/>
    <w:rsid w:val="00C97FBC"/>
    <w:rsid w:val="00CA0B7E"/>
    <w:rsid w:val="00CA14A7"/>
    <w:rsid w:val="00CA202D"/>
    <w:rsid w:val="00CA2C0B"/>
    <w:rsid w:val="00CA344E"/>
    <w:rsid w:val="00CA5598"/>
    <w:rsid w:val="00CA5C20"/>
    <w:rsid w:val="00CA5EF8"/>
    <w:rsid w:val="00CA690E"/>
    <w:rsid w:val="00CB28A3"/>
    <w:rsid w:val="00CB2FE2"/>
    <w:rsid w:val="00CB3481"/>
    <w:rsid w:val="00CB41A9"/>
    <w:rsid w:val="00CB4545"/>
    <w:rsid w:val="00CB5256"/>
    <w:rsid w:val="00CB58C3"/>
    <w:rsid w:val="00CB6DA7"/>
    <w:rsid w:val="00CB7419"/>
    <w:rsid w:val="00CB7BDC"/>
    <w:rsid w:val="00CC00A0"/>
    <w:rsid w:val="00CC1A44"/>
    <w:rsid w:val="00CC1C2D"/>
    <w:rsid w:val="00CC37CA"/>
    <w:rsid w:val="00CC3CD9"/>
    <w:rsid w:val="00CC427C"/>
    <w:rsid w:val="00CC5455"/>
    <w:rsid w:val="00CC58A2"/>
    <w:rsid w:val="00CC5C90"/>
    <w:rsid w:val="00CC6C06"/>
    <w:rsid w:val="00CD018A"/>
    <w:rsid w:val="00CD0E29"/>
    <w:rsid w:val="00CD1495"/>
    <w:rsid w:val="00CD1F88"/>
    <w:rsid w:val="00CD3823"/>
    <w:rsid w:val="00CD3D71"/>
    <w:rsid w:val="00CD3E84"/>
    <w:rsid w:val="00CD4B8F"/>
    <w:rsid w:val="00CD5232"/>
    <w:rsid w:val="00CD5269"/>
    <w:rsid w:val="00CD5509"/>
    <w:rsid w:val="00CD6357"/>
    <w:rsid w:val="00CD70EC"/>
    <w:rsid w:val="00CD7310"/>
    <w:rsid w:val="00CE1EB0"/>
    <w:rsid w:val="00CE22BD"/>
    <w:rsid w:val="00CE2C09"/>
    <w:rsid w:val="00CE2D49"/>
    <w:rsid w:val="00CE327D"/>
    <w:rsid w:val="00CE339E"/>
    <w:rsid w:val="00CE3DF2"/>
    <w:rsid w:val="00CE4914"/>
    <w:rsid w:val="00CE5BCE"/>
    <w:rsid w:val="00CE6879"/>
    <w:rsid w:val="00CE6B47"/>
    <w:rsid w:val="00CF0C0F"/>
    <w:rsid w:val="00CF1690"/>
    <w:rsid w:val="00CF1980"/>
    <w:rsid w:val="00CF1F2A"/>
    <w:rsid w:val="00CF31E8"/>
    <w:rsid w:val="00CF42C5"/>
    <w:rsid w:val="00CF4601"/>
    <w:rsid w:val="00CF4B90"/>
    <w:rsid w:val="00CF5CE3"/>
    <w:rsid w:val="00CF7056"/>
    <w:rsid w:val="00CF7412"/>
    <w:rsid w:val="00CF7F99"/>
    <w:rsid w:val="00D0005D"/>
    <w:rsid w:val="00D00173"/>
    <w:rsid w:val="00D0061F"/>
    <w:rsid w:val="00D00D2F"/>
    <w:rsid w:val="00D02464"/>
    <w:rsid w:val="00D026DD"/>
    <w:rsid w:val="00D030F8"/>
    <w:rsid w:val="00D069AC"/>
    <w:rsid w:val="00D077B7"/>
    <w:rsid w:val="00D07C61"/>
    <w:rsid w:val="00D10441"/>
    <w:rsid w:val="00D108F6"/>
    <w:rsid w:val="00D11B0E"/>
    <w:rsid w:val="00D135D0"/>
    <w:rsid w:val="00D13BFC"/>
    <w:rsid w:val="00D1528A"/>
    <w:rsid w:val="00D1557B"/>
    <w:rsid w:val="00D15B8C"/>
    <w:rsid w:val="00D174C9"/>
    <w:rsid w:val="00D20230"/>
    <w:rsid w:val="00D20297"/>
    <w:rsid w:val="00D205D8"/>
    <w:rsid w:val="00D21C84"/>
    <w:rsid w:val="00D21E6B"/>
    <w:rsid w:val="00D23634"/>
    <w:rsid w:val="00D24236"/>
    <w:rsid w:val="00D24919"/>
    <w:rsid w:val="00D24C77"/>
    <w:rsid w:val="00D264C9"/>
    <w:rsid w:val="00D26BA4"/>
    <w:rsid w:val="00D27280"/>
    <w:rsid w:val="00D32BD3"/>
    <w:rsid w:val="00D34551"/>
    <w:rsid w:val="00D35192"/>
    <w:rsid w:val="00D35499"/>
    <w:rsid w:val="00D3577B"/>
    <w:rsid w:val="00D36118"/>
    <w:rsid w:val="00D371A1"/>
    <w:rsid w:val="00D371D2"/>
    <w:rsid w:val="00D377B7"/>
    <w:rsid w:val="00D405C7"/>
    <w:rsid w:val="00D413C4"/>
    <w:rsid w:val="00D41A34"/>
    <w:rsid w:val="00D42115"/>
    <w:rsid w:val="00D4294D"/>
    <w:rsid w:val="00D43C50"/>
    <w:rsid w:val="00D4474F"/>
    <w:rsid w:val="00D44993"/>
    <w:rsid w:val="00D44B1A"/>
    <w:rsid w:val="00D44D02"/>
    <w:rsid w:val="00D457D6"/>
    <w:rsid w:val="00D46134"/>
    <w:rsid w:val="00D4651C"/>
    <w:rsid w:val="00D527F9"/>
    <w:rsid w:val="00D53425"/>
    <w:rsid w:val="00D537E2"/>
    <w:rsid w:val="00D53F30"/>
    <w:rsid w:val="00D54D47"/>
    <w:rsid w:val="00D54D53"/>
    <w:rsid w:val="00D555A3"/>
    <w:rsid w:val="00D559DF"/>
    <w:rsid w:val="00D55B16"/>
    <w:rsid w:val="00D5625D"/>
    <w:rsid w:val="00D572F8"/>
    <w:rsid w:val="00D5757A"/>
    <w:rsid w:val="00D60089"/>
    <w:rsid w:val="00D61B12"/>
    <w:rsid w:val="00D61B96"/>
    <w:rsid w:val="00D621C6"/>
    <w:rsid w:val="00D62ACD"/>
    <w:rsid w:val="00D63412"/>
    <w:rsid w:val="00D63790"/>
    <w:rsid w:val="00D64830"/>
    <w:rsid w:val="00D64CE2"/>
    <w:rsid w:val="00D657D6"/>
    <w:rsid w:val="00D669A4"/>
    <w:rsid w:val="00D702A3"/>
    <w:rsid w:val="00D704D3"/>
    <w:rsid w:val="00D71CF8"/>
    <w:rsid w:val="00D7317A"/>
    <w:rsid w:val="00D740C6"/>
    <w:rsid w:val="00D7603F"/>
    <w:rsid w:val="00D76489"/>
    <w:rsid w:val="00D76853"/>
    <w:rsid w:val="00D76B28"/>
    <w:rsid w:val="00D7751B"/>
    <w:rsid w:val="00D77C39"/>
    <w:rsid w:val="00D80C9C"/>
    <w:rsid w:val="00D815DC"/>
    <w:rsid w:val="00D81765"/>
    <w:rsid w:val="00D822B5"/>
    <w:rsid w:val="00D83110"/>
    <w:rsid w:val="00D839AB"/>
    <w:rsid w:val="00D83D3C"/>
    <w:rsid w:val="00D84F42"/>
    <w:rsid w:val="00D8503C"/>
    <w:rsid w:val="00D85395"/>
    <w:rsid w:val="00D85885"/>
    <w:rsid w:val="00D86168"/>
    <w:rsid w:val="00D864B0"/>
    <w:rsid w:val="00D867AE"/>
    <w:rsid w:val="00D869F2"/>
    <w:rsid w:val="00D87522"/>
    <w:rsid w:val="00D87BBB"/>
    <w:rsid w:val="00D87C87"/>
    <w:rsid w:val="00D87CCD"/>
    <w:rsid w:val="00D90BC4"/>
    <w:rsid w:val="00D91929"/>
    <w:rsid w:val="00D921C4"/>
    <w:rsid w:val="00D9296A"/>
    <w:rsid w:val="00D93062"/>
    <w:rsid w:val="00D93C23"/>
    <w:rsid w:val="00D94214"/>
    <w:rsid w:val="00D94EFD"/>
    <w:rsid w:val="00D950F3"/>
    <w:rsid w:val="00D95638"/>
    <w:rsid w:val="00D9584C"/>
    <w:rsid w:val="00D9641B"/>
    <w:rsid w:val="00D9735F"/>
    <w:rsid w:val="00D97906"/>
    <w:rsid w:val="00D97CDC"/>
    <w:rsid w:val="00DA06BC"/>
    <w:rsid w:val="00DA14D9"/>
    <w:rsid w:val="00DA4CEC"/>
    <w:rsid w:val="00DA5125"/>
    <w:rsid w:val="00DA53FD"/>
    <w:rsid w:val="00DA5895"/>
    <w:rsid w:val="00DA58FD"/>
    <w:rsid w:val="00DA7058"/>
    <w:rsid w:val="00DA75C5"/>
    <w:rsid w:val="00DA788E"/>
    <w:rsid w:val="00DA7947"/>
    <w:rsid w:val="00DA7FA0"/>
    <w:rsid w:val="00DB1026"/>
    <w:rsid w:val="00DB1201"/>
    <w:rsid w:val="00DB1313"/>
    <w:rsid w:val="00DB13AD"/>
    <w:rsid w:val="00DB23F9"/>
    <w:rsid w:val="00DB2663"/>
    <w:rsid w:val="00DB2CED"/>
    <w:rsid w:val="00DB336B"/>
    <w:rsid w:val="00DB3A5B"/>
    <w:rsid w:val="00DB43E0"/>
    <w:rsid w:val="00DB44CF"/>
    <w:rsid w:val="00DB58BE"/>
    <w:rsid w:val="00DB5BCC"/>
    <w:rsid w:val="00DB5D02"/>
    <w:rsid w:val="00DB6176"/>
    <w:rsid w:val="00DB651B"/>
    <w:rsid w:val="00DB69E0"/>
    <w:rsid w:val="00DB6AA0"/>
    <w:rsid w:val="00DB75C1"/>
    <w:rsid w:val="00DB7C3A"/>
    <w:rsid w:val="00DB7E31"/>
    <w:rsid w:val="00DC00D7"/>
    <w:rsid w:val="00DC01CD"/>
    <w:rsid w:val="00DC1254"/>
    <w:rsid w:val="00DC206D"/>
    <w:rsid w:val="00DC4440"/>
    <w:rsid w:val="00DC482F"/>
    <w:rsid w:val="00DC6301"/>
    <w:rsid w:val="00DC70C4"/>
    <w:rsid w:val="00DC74F5"/>
    <w:rsid w:val="00DC7945"/>
    <w:rsid w:val="00DC7AD7"/>
    <w:rsid w:val="00DC7C9F"/>
    <w:rsid w:val="00DD1B13"/>
    <w:rsid w:val="00DD32AB"/>
    <w:rsid w:val="00DD35BB"/>
    <w:rsid w:val="00DD45EA"/>
    <w:rsid w:val="00DD5259"/>
    <w:rsid w:val="00DD5BF6"/>
    <w:rsid w:val="00DD67ED"/>
    <w:rsid w:val="00DE16F3"/>
    <w:rsid w:val="00DE1865"/>
    <w:rsid w:val="00DE36BE"/>
    <w:rsid w:val="00DE4A04"/>
    <w:rsid w:val="00DE4BCB"/>
    <w:rsid w:val="00DE5562"/>
    <w:rsid w:val="00DE6965"/>
    <w:rsid w:val="00DE6CEF"/>
    <w:rsid w:val="00DF0236"/>
    <w:rsid w:val="00DF0D08"/>
    <w:rsid w:val="00DF11C2"/>
    <w:rsid w:val="00DF1B2C"/>
    <w:rsid w:val="00DF4593"/>
    <w:rsid w:val="00DF53A6"/>
    <w:rsid w:val="00DF55DF"/>
    <w:rsid w:val="00DF6210"/>
    <w:rsid w:val="00DF6689"/>
    <w:rsid w:val="00DF750E"/>
    <w:rsid w:val="00E00AEC"/>
    <w:rsid w:val="00E00ECB"/>
    <w:rsid w:val="00E018A1"/>
    <w:rsid w:val="00E02CA4"/>
    <w:rsid w:val="00E033B8"/>
    <w:rsid w:val="00E034C7"/>
    <w:rsid w:val="00E04A47"/>
    <w:rsid w:val="00E04F1B"/>
    <w:rsid w:val="00E05DA5"/>
    <w:rsid w:val="00E06CC4"/>
    <w:rsid w:val="00E06CC7"/>
    <w:rsid w:val="00E0716E"/>
    <w:rsid w:val="00E07199"/>
    <w:rsid w:val="00E07242"/>
    <w:rsid w:val="00E102DC"/>
    <w:rsid w:val="00E10D05"/>
    <w:rsid w:val="00E112E7"/>
    <w:rsid w:val="00E115E4"/>
    <w:rsid w:val="00E11CBA"/>
    <w:rsid w:val="00E12950"/>
    <w:rsid w:val="00E12AF3"/>
    <w:rsid w:val="00E136C5"/>
    <w:rsid w:val="00E13F4E"/>
    <w:rsid w:val="00E14554"/>
    <w:rsid w:val="00E150AB"/>
    <w:rsid w:val="00E1661A"/>
    <w:rsid w:val="00E167B4"/>
    <w:rsid w:val="00E20525"/>
    <w:rsid w:val="00E209E6"/>
    <w:rsid w:val="00E21582"/>
    <w:rsid w:val="00E21938"/>
    <w:rsid w:val="00E21FEB"/>
    <w:rsid w:val="00E2223E"/>
    <w:rsid w:val="00E225BB"/>
    <w:rsid w:val="00E22BF6"/>
    <w:rsid w:val="00E22D98"/>
    <w:rsid w:val="00E22EF3"/>
    <w:rsid w:val="00E244CA"/>
    <w:rsid w:val="00E24623"/>
    <w:rsid w:val="00E24EFE"/>
    <w:rsid w:val="00E252E3"/>
    <w:rsid w:val="00E25389"/>
    <w:rsid w:val="00E26E3A"/>
    <w:rsid w:val="00E27337"/>
    <w:rsid w:val="00E2751A"/>
    <w:rsid w:val="00E30CCE"/>
    <w:rsid w:val="00E3105A"/>
    <w:rsid w:val="00E31D30"/>
    <w:rsid w:val="00E32C4E"/>
    <w:rsid w:val="00E33A62"/>
    <w:rsid w:val="00E33CA5"/>
    <w:rsid w:val="00E3472D"/>
    <w:rsid w:val="00E3491A"/>
    <w:rsid w:val="00E34CCC"/>
    <w:rsid w:val="00E36493"/>
    <w:rsid w:val="00E36D9C"/>
    <w:rsid w:val="00E37DDF"/>
    <w:rsid w:val="00E40416"/>
    <w:rsid w:val="00E40505"/>
    <w:rsid w:val="00E40C29"/>
    <w:rsid w:val="00E4184E"/>
    <w:rsid w:val="00E41E26"/>
    <w:rsid w:val="00E41E66"/>
    <w:rsid w:val="00E41FC2"/>
    <w:rsid w:val="00E42236"/>
    <w:rsid w:val="00E424D9"/>
    <w:rsid w:val="00E42A41"/>
    <w:rsid w:val="00E42C06"/>
    <w:rsid w:val="00E43729"/>
    <w:rsid w:val="00E4377A"/>
    <w:rsid w:val="00E43963"/>
    <w:rsid w:val="00E446EF"/>
    <w:rsid w:val="00E455C4"/>
    <w:rsid w:val="00E45766"/>
    <w:rsid w:val="00E45FF2"/>
    <w:rsid w:val="00E4687C"/>
    <w:rsid w:val="00E47727"/>
    <w:rsid w:val="00E5040A"/>
    <w:rsid w:val="00E507DD"/>
    <w:rsid w:val="00E50CC2"/>
    <w:rsid w:val="00E5107C"/>
    <w:rsid w:val="00E51147"/>
    <w:rsid w:val="00E51ACB"/>
    <w:rsid w:val="00E51D28"/>
    <w:rsid w:val="00E52D2C"/>
    <w:rsid w:val="00E52D69"/>
    <w:rsid w:val="00E533BA"/>
    <w:rsid w:val="00E54919"/>
    <w:rsid w:val="00E54E6C"/>
    <w:rsid w:val="00E567E5"/>
    <w:rsid w:val="00E569BF"/>
    <w:rsid w:val="00E5778E"/>
    <w:rsid w:val="00E57C70"/>
    <w:rsid w:val="00E60D7E"/>
    <w:rsid w:val="00E60F4D"/>
    <w:rsid w:val="00E61B0D"/>
    <w:rsid w:val="00E62150"/>
    <w:rsid w:val="00E6277B"/>
    <w:rsid w:val="00E6507B"/>
    <w:rsid w:val="00E657DB"/>
    <w:rsid w:val="00E65844"/>
    <w:rsid w:val="00E660B4"/>
    <w:rsid w:val="00E66B72"/>
    <w:rsid w:val="00E67014"/>
    <w:rsid w:val="00E6708B"/>
    <w:rsid w:val="00E6730F"/>
    <w:rsid w:val="00E67BBF"/>
    <w:rsid w:val="00E70664"/>
    <w:rsid w:val="00E707CD"/>
    <w:rsid w:val="00E70E3D"/>
    <w:rsid w:val="00E71AB8"/>
    <w:rsid w:val="00E726B9"/>
    <w:rsid w:val="00E72983"/>
    <w:rsid w:val="00E729DB"/>
    <w:rsid w:val="00E73A8C"/>
    <w:rsid w:val="00E74E63"/>
    <w:rsid w:val="00E75050"/>
    <w:rsid w:val="00E7578D"/>
    <w:rsid w:val="00E757F4"/>
    <w:rsid w:val="00E759FD"/>
    <w:rsid w:val="00E76F42"/>
    <w:rsid w:val="00E77536"/>
    <w:rsid w:val="00E81DE6"/>
    <w:rsid w:val="00E83562"/>
    <w:rsid w:val="00E84329"/>
    <w:rsid w:val="00E84EFD"/>
    <w:rsid w:val="00E857D1"/>
    <w:rsid w:val="00E85A76"/>
    <w:rsid w:val="00E85E5F"/>
    <w:rsid w:val="00E901DB"/>
    <w:rsid w:val="00E90889"/>
    <w:rsid w:val="00E90A60"/>
    <w:rsid w:val="00E915E6"/>
    <w:rsid w:val="00E917C6"/>
    <w:rsid w:val="00E91C83"/>
    <w:rsid w:val="00E91E89"/>
    <w:rsid w:val="00E9222A"/>
    <w:rsid w:val="00E929D4"/>
    <w:rsid w:val="00E93AF3"/>
    <w:rsid w:val="00E9478C"/>
    <w:rsid w:val="00E95225"/>
    <w:rsid w:val="00E956BB"/>
    <w:rsid w:val="00E958CB"/>
    <w:rsid w:val="00E958E7"/>
    <w:rsid w:val="00E96C8B"/>
    <w:rsid w:val="00E979E3"/>
    <w:rsid w:val="00EA0234"/>
    <w:rsid w:val="00EA055C"/>
    <w:rsid w:val="00EA08B5"/>
    <w:rsid w:val="00EA2038"/>
    <w:rsid w:val="00EA254B"/>
    <w:rsid w:val="00EA3E11"/>
    <w:rsid w:val="00EA46E3"/>
    <w:rsid w:val="00EA5BBD"/>
    <w:rsid w:val="00EA6EB3"/>
    <w:rsid w:val="00EB0474"/>
    <w:rsid w:val="00EB0658"/>
    <w:rsid w:val="00EB1942"/>
    <w:rsid w:val="00EB28E1"/>
    <w:rsid w:val="00EB2B99"/>
    <w:rsid w:val="00EB4A8E"/>
    <w:rsid w:val="00EB4E3E"/>
    <w:rsid w:val="00EB4FFC"/>
    <w:rsid w:val="00EB5EF3"/>
    <w:rsid w:val="00EB695D"/>
    <w:rsid w:val="00EB775D"/>
    <w:rsid w:val="00EB7D1F"/>
    <w:rsid w:val="00EC108C"/>
    <w:rsid w:val="00EC1D27"/>
    <w:rsid w:val="00EC266F"/>
    <w:rsid w:val="00EC27AB"/>
    <w:rsid w:val="00EC2948"/>
    <w:rsid w:val="00EC2B68"/>
    <w:rsid w:val="00EC2E4F"/>
    <w:rsid w:val="00EC2FCF"/>
    <w:rsid w:val="00EC31FD"/>
    <w:rsid w:val="00EC3683"/>
    <w:rsid w:val="00EC4821"/>
    <w:rsid w:val="00EC4CCE"/>
    <w:rsid w:val="00EC4FFB"/>
    <w:rsid w:val="00EC5EED"/>
    <w:rsid w:val="00ED03A2"/>
    <w:rsid w:val="00ED2266"/>
    <w:rsid w:val="00ED32CC"/>
    <w:rsid w:val="00ED39CE"/>
    <w:rsid w:val="00ED3AA1"/>
    <w:rsid w:val="00ED4134"/>
    <w:rsid w:val="00ED456B"/>
    <w:rsid w:val="00ED4938"/>
    <w:rsid w:val="00ED572A"/>
    <w:rsid w:val="00ED5C53"/>
    <w:rsid w:val="00ED631A"/>
    <w:rsid w:val="00ED63D6"/>
    <w:rsid w:val="00ED65ED"/>
    <w:rsid w:val="00EE008C"/>
    <w:rsid w:val="00EE05F1"/>
    <w:rsid w:val="00EE0C22"/>
    <w:rsid w:val="00EE1FF8"/>
    <w:rsid w:val="00EE300C"/>
    <w:rsid w:val="00EE317F"/>
    <w:rsid w:val="00EE3EB6"/>
    <w:rsid w:val="00EE4055"/>
    <w:rsid w:val="00EE44E0"/>
    <w:rsid w:val="00EE471A"/>
    <w:rsid w:val="00EE50D5"/>
    <w:rsid w:val="00EE5316"/>
    <w:rsid w:val="00EE5492"/>
    <w:rsid w:val="00EE62FE"/>
    <w:rsid w:val="00EE6984"/>
    <w:rsid w:val="00EF00BC"/>
    <w:rsid w:val="00EF0406"/>
    <w:rsid w:val="00EF0D3C"/>
    <w:rsid w:val="00EF1E97"/>
    <w:rsid w:val="00EF25E9"/>
    <w:rsid w:val="00EF283A"/>
    <w:rsid w:val="00EF3802"/>
    <w:rsid w:val="00EF3F09"/>
    <w:rsid w:val="00EF4362"/>
    <w:rsid w:val="00EF5D59"/>
    <w:rsid w:val="00EF79B3"/>
    <w:rsid w:val="00EF7ADF"/>
    <w:rsid w:val="00EF7EB3"/>
    <w:rsid w:val="00F00347"/>
    <w:rsid w:val="00F010EE"/>
    <w:rsid w:val="00F01D07"/>
    <w:rsid w:val="00F02C3D"/>
    <w:rsid w:val="00F037FB"/>
    <w:rsid w:val="00F038F2"/>
    <w:rsid w:val="00F05D0D"/>
    <w:rsid w:val="00F05FDC"/>
    <w:rsid w:val="00F07BD5"/>
    <w:rsid w:val="00F10851"/>
    <w:rsid w:val="00F10AB6"/>
    <w:rsid w:val="00F10C3A"/>
    <w:rsid w:val="00F10D4F"/>
    <w:rsid w:val="00F122D6"/>
    <w:rsid w:val="00F12E9E"/>
    <w:rsid w:val="00F13000"/>
    <w:rsid w:val="00F13096"/>
    <w:rsid w:val="00F14875"/>
    <w:rsid w:val="00F14C4E"/>
    <w:rsid w:val="00F14E6A"/>
    <w:rsid w:val="00F14E98"/>
    <w:rsid w:val="00F15137"/>
    <w:rsid w:val="00F15181"/>
    <w:rsid w:val="00F15BF4"/>
    <w:rsid w:val="00F1683F"/>
    <w:rsid w:val="00F174D7"/>
    <w:rsid w:val="00F176BC"/>
    <w:rsid w:val="00F176DD"/>
    <w:rsid w:val="00F17940"/>
    <w:rsid w:val="00F20057"/>
    <w:rsid w:val="00F2046C"/>
    <w:rsid w:val="00F20647"/>
    <w:rsid w:val="00F21514"/>
    <w:rsid w:val="00F21E4B"/>
    <w:rsid w:val="00F23AB0"/>
    <w:rsid w:val="00F23D61"/>
    <w:rsid w:val="00F24520"/>
    <w:rsid w:val="00F24BF6"/>
    <w:rsid w:val="00F2540B"/>
    <w:rsid w:val="00F25987"/>
    <w:rsid w:val="00F25A02"/>
    <w:rsid w:val="00F26FB1"/>
    <w:rsid w:val="00F30E88"/>
    <w:rsid w:val="00F30EB2"/>
    <w:rsid w:val="00F31392"/>
    <w:rsid w:val="00F317A6"/>
    <w:rsid w:val="00F31864"/>
    <w:rsid w:val="00F322DC"/>
    <w:rsid w:val="00F32C92"/>
    <w:rsid w:val="00F32FE6"/>
    <w:rsid w:val="00F33A38"/>
    <w:rsid w:val="00F33D1F"/>
    <w:rsid w:val="00F343E0"/>
    <w:rsid w:val="00F348B5"/>
    <w:rsid w:val="00F34A9B"/>
    <w:rsid w:val="00F353AC"/>
    <w:rsid w:val="00F356C8"/>
    <w:rsid w:val="00F35E96"/>
    <w:rsid w:val="00F3608D"/>
    <w:rsid w:val="00F3652B"/>
    <w:rsid w:val="00F367A9"/>
    <w:rsid w:val="00F367FB"/>
    <w:rsid w:val="00F36C6F"/>
    <w:rsid w:val="00F36EFF"/>
    <w:rsid w:val="00F37043"/>
    <w:rsid w:val="00F372C3"/>
    <w:rsid w:val="00F377B9"/>
    <w:rsid w:val="00F40868"/>
    <w:rsid w:val="00F40BB4"/>
    <w:rsid w:val="00F40F51"/>
    <w:rsid w:val="00F410D0"/>
    <w:rsid w:val="00F41B69"/>
    <w:rsid w:val="00F41FF2"/>
    <w:rsid w:val="00F43846"/>
    <w:rsid w:val="00F4456A"/>
    <w:rsid w:val="00F45442"/>
    <w:rsid w:val="00F45880"/>
    <w:rsid w:val="00F46733"/>
    <w:rsid w:val="00F46E3F"/>
    <w:rsid w:val="00F47012"/>
    <w:rsid w:val="00F474BA"/>
    <w:rsid w:val="00F50AD2"/>
    <w:rsid w:val="00F50C75"/>
    <w:rsid w:val="00F5145E"/>
    <w:rsid w:val="00F52F94"/>
    <w:rsid w:val="00F5323D"/>
    <w:rsid w:val="00F533EE"/>
    <w:rsid w:val="00F53AC1"/>
    <w:rsid w:val="00F53BDB"/>
    <w:rsid w:val="00F53D44"/>
    <w:rsid w:val="00F54A30"/>
    <w:rsid w:val="00F54CB8"/>
    <w:rsid w:val="00F55855"/>
    <w:rsid w:val="00F558C5"/>
    <w:rsid w:val="00F558EA"/>
    <w:rsid w:val="00F55AB6"/>
    <w:rsid w:val="00F55B1B"/>
    <w:rsid w:val="00F5658C"/>
    <w:rsid w:val="00F56614"/>
    <w:rsid w:val="00F574AA"/>
    <w:rsid w:val="00F60768"/>
    <w:rsid w:val="00F60A33"/>
    <w:rsid w:val="00F613CB"/>
    <w:rsid w:val="00F6180C"/>
    <w:rsid w:val="00F61A30"/>
    <w:rsid w:val="00F61AD3"/>
    <w:rsid w:val="00F61F79"/>
    <w:rsid w:val="00F63057"/>
    <w:rsid w:val="00F6326B"/>
    <w:rsid w:val="00F64998"/>
    <w:rsid w:val="00F656A4"/>
    <w:rsid w:val="00F65958"/>
    <w:rsid w:val="00F6665E"/>
    <w:rsid w:val="00F7075F"/>
    <w:rsid w:val="00F7087C"/>
    <w:rsid w:val="00F71562"/>
    <w:rsid w:val="00F71D76"/>
    <w:rsid w:val="00F72708"/>
    <w:rsid w:val="00F72D7F"/>
    <w:rsid w:val="00F7320C"/>
    <w:rsid w:val="00F74A72"/>
    <w:rsid w:val="00F74DBA"/>
    <w:rsid w:val="00F74F4F"/>
    <w:rsid w:val="00F7667E"/>
    <w:rsid w:val="00F77500"/>
    <w:rsid w:val="00F81A53"/>
    <w:rsid w:val="00F81FCF"/>
    <w:rsid w:val="00F8349F"/>
    <w:rsid w:val="00F83788"/>
    <w:rsid w:val="00F83FB7"/>
    <w:rsid w:val="00F843ED"/>
    <w:rsid w:val="00F858A8"/>
    <w:rsid w:val="00F85935"/>
    <w:rsid w:val="00F85D29"/>
    <w:rsid w:val="00F85D85"/>
    <w:rsid w:val="00F85E3C"/>
    <w:rsid w:val="00F86794"/>
    <w:rsid w:val="00F873A9"/>
    <w:rsid w:val="00F87F41"/>
    <w:rsid w:val="00F905F1"/>
    <w:rsid w:val="00F90951"/>
    <w:rsid w:val="00F92C03"/>
    <w:rsid w:val="00F92C47"/>
    <w:rsid w:val="00F92F2B"/>
    <w:rsid w:val="00F94208"/>
    <w:rsid w:val="00F943F5"/>
    <w:rsid w:val="00F9440F"/>
    <w:rsid w:val="00F9649A"/>
    <w:rsid w:val="00F967F9"/>
    <w:rsid w:val="00F968AB"/>
    <w:rsid w:val="00F969D3"/>
    <w:rsid w:val="00F974DE"/>
    <w:rsid w:val="00FA064C"/>
    <w:rsid w:val="00FA190E"/>
    <w:rsid w:val="00FA3421"/>
    <w:rsid w:val="00FA5181"/>
    <w:rsid w:val="00FA52D2"/>
    <w:rsid w:val="00FA54D8"/>
    <w:rsid w:val="00FA5700"/>
    <w:rsid w:val="00FA5A25"/>
    <w:rsid w:val="00FA5D6C"/>
    <w:rsid w:val="00FA6CC9"/>
    <w:rsid w:val="00FA6EED"/>
    <w:rsid w:val="00FA7001"/>
    <w:rsid w:val="00FB055A"/>
    <w:rsid w:val="00FB0580"/>
    <w:rsid w:val="00FB0C89"/>
    <w:rsid w:val="00FB2E01"/>
    <w:rsid w:val="00FB33D3"/>
    <w:rsid w:val="00FB3704"/>
    <w:rsid w:val="00FB4B2F"/>
    <w:rsid w:val="00FB5711"/>
    <w:rsid w:val="00FB5A1F"/>
    <w:rsid w:val="00FB6611"/>
    <w:rsid w:val="00FB6D69"/>
    <w:rsid w:val="00FB7482"/>
    <w:rsid w:val="00FC01A1"/>
    <w:rsid w:val="00FC0445"/>
    <w:rsid w:val="00FC0E08"/>
    <w:rsid w:val="00FC172E"/>
    <w:rsid w:val="00FC2BBB"/>
    <w:rsid w:val="00FC300A"/>
    <w:rsid w:val="00FC3D67"/>
    <w:rsid w:val="00FC438B"/>
    <w:rsid w:val="00FC4903"/>
    <w:rsid w:val="00FC4BA2"/>
    <w:rsid w:val="00FC4FB7"/>
    <w:rsid w:val="00FC6A97"/>
    <w:rsid w:val="00FC70B7"/>
    <w:rsid w:val="00FC7298"/>
    <w:rsid w:val="00FC7814"/>
    <w:rsid w:val="00FC7FAD"/>
    <w:rsid w:val="00FD0280"/>
    <w:rsid w:val="00FD0475"/>
    <w:rsid w:val="00FD0F23"/>
    <w:rsid w:val="00FD0F59"/>
    <w:rsid w:val="00FD1421"/>
    <w:rsid w:val="00FD1499"/>
    <w:rsid w:val="00FD23F8"/>
    <w:rsid w:val="00FD2D7C"/>
    <w:rsid w:val="00FD357B"/>
    <w:rsid w:val="00FD3658"/>
    <w:rsid w:val="00FD38FC"/>
    <w:rsid w:val="00FD3C7E"/>
    <w:rsid w:val="00FD3DC8"/>
    <w:rsid w:val="00FD3E7C"/>
    <w:rsid w:val="00FD4A89"/>
    <w:rsid w:val="00FD4E58"/>
    <w:rsid w:val="00FD5427"/>
    <w:rsid w:val="00FD54A5"/>
    <w:rsid w:val="00FD54ED"/>
    <w:rsid w:val="00FD6119"/>
    <w:rsid w:val="00FD688E"/>
    <w:rsid w:val="00FD79D5"/>
    <w:rsid w:val="00FD7AB2"/>
    <w:rsid w:val="00FD7C0C"/>
    <w:rsid w:val="00FE0142"/>
    <w:rsid w:val="00FE045C"/>
    <w:rsid w:val="00FE04CD"/>
    <w:rsid w:val="00FE07F2"/>
    <w:rsid w:val="00FE0C52"/>
    <w:rsid w:val="00FE12F8"/>
    <w:rsid w:val="00FE15FB"/>
    <w:rsid w:val="00FE1692"/>
    <w:rsid w:val="00FE333A"/>
    <w:rsid w:val="00FE3977"/>
    <w:rsid w:val="00FE3F5C"/>
    <w:rsid w:val="00FE421A"/>
    <w:rsid w:val="00FE4293"/>
    <w:rsid w:val="00FE4F81"/>
    <w:rsid w:val="00FE549E"/>
    <w:rsid w:val="00FE5661"/>
    <w:rsid w:val="00FE6722"/>
    <w:rsid w:val="00FE67D1"/>
    <w:rsid w:val="00FE6BD5"/>
    <w:rsid w:val="00FE746F"/>
    <w:rsid w:val="00FF0454"/>
    <w:rsid w:val="00FF0566"/>
    <w:rsid w:val="00FF0C61"/>
    <w:rsid w:val="00FF0EDA"/>
    <w:rsid w:val="00FF1368"/>
    <w:rsid w:val="00FF1D94"/>
    <w:rsid w:val="00FF22A8"/>
    <w:rsid w:val="00FF2657"/>
    <w:rsid w:val="00FF2995"/>
    <w:rsid w:val="00FF2A46"/>
    <w:rsid w:val="00FF2DD4"/>
    <w:rsid w:val="00FF393F"/>
    <w:rsid w:val="00FF3E62"/>
    <w:rsid w:val="00FF43EC"/>
    <w:rsid w:val="00FF44DA"/>
    <w:rsid w:val="00FF49FB"/>
    <w:rsid w:val="00FF4D54"/>
    <w:rsid w:val="00FF4F83"/>
    <w:rsid w:val="00FF5B5D"/>
    <w:rsid w:val="00FF60B3"/>
    <w:rsid w:val="00FF6218"/>
    <w:rsid w:val="00FF7034"/>
    <w:rsid w:val="00FF72B1"/>
    <w:rsid w:val="00FF775A"/>
    <w:rsid w:val="00FF79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footnote text" w:uiPriority="2"/>
    <w:lsdException w:name="header" w:uiPriority="99"/>
    <w:lsdException w:name="caption" w:qFormat="1"/>
    <w:lsdException w:name="table of figures" w:semiHidden="0" w:uiPriority="99" w:unhideWhenUsed="0"/>
    <w:lsdException w:name="footnote reference" w:uiPriority="2"/>
    <w:lsdException w:name="List Bullet" w:qFormat="1"/>
    <w:lsdException w:name="List Number" w:qFormat="1"/>
    <w:lsdException w:name="List Bullet 2" w:qFormat="1"/>
    <w:lsdException w:name="List Number 2" w:qFormat="1"/>
    <w:lsdException w:name="List Number 3" w:qFormat="1"/>
    <w:lsdException w:name="Title" w:semiHidden="0" w:uiPriority="3" w:unhideWhenUsed="0" w:qFormat="1"/>
    <w:lsdException w:name="Default Paragraph Font" w:uiPriority="1"/>
    <w:lsdException w:name="Body Text" w:qFormat="1"/>
    <w:lsdException w:name="List Continue" w:qFormat="1"/>
    <w:lsdException w:name="List Continue 2"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lsdException w:name="Emphasis" w:semiHidden="0" w:unhideWhenUsed="0"/>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Theme" w:uiPriority="9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qFormat="1"/>
  </w:latentStyles>
  <w:style w:type="paragraph" w:default="1" w:styleId="Normal">
    <w:name w:val="Normal"/>
    <w:qFormat/>
    <w:rsid w:val="00C0678B"/>
  </w:style>
  <w:style w:type="paragraph" w:styleId="Heading1">
    <w:name w:val="heading 1"/>
    <w:basedOn w:val="Normal"/>
    <w:next w:val="BodyText"/>
    <w:link w:val="Heading1Char"/>
    <w:qFormat/>
    <w:rsid w:val="0081085D"/>
    <w:pPr>
      <w:keepNext/>
      <w:keepLines/>
      <w:numPr>
        <w:numId w:val="8"/>
      </w:numPr>
      <w:tabs>
        <w:tab w:val="right" w:pos="1418"/>
        <w:tab w:val="right" w:pos="1701"/>
        <w:tab w:val="right" w:pos="1985"/>
      </w:tabs>
      <w:spacing w:after="600" w:line="204" w:lineRule="auto"/>
      <w:outlineLvl w:val="0"/>
    </w:pPr>
    <w:rPr>
      <w:rFonts w:ascii="Calibri Light" w:hAnsi="Calibri Light"/>
      <w:bCs/>
      <w:color w:val="3D4D7D" w:themeColor="background2"/>
      <w:kern w:val="32"/>
      <w:sz w:val="52"/>
      <w:szCs w:val="32"/>
    </w:rPr>
  </w:style>
  <w:style w:type="paragraph" w:styleId="Heading2">
    <w:name w:val="heading 2"/>
    <w:basedOn w:val="Normal"/>
    <w:next w:val="BodyText"/>
    <w:link w:val="Heading2Char"/>
    <w:qFormat/>
    <w:rsid w:val="0081085D"/>
    <w:pPr>
      <w:keepNext/>
      <w:keepLines/>
      <w:numPr>
        <w:ilvl w:val="1"/>
        <w:numId w:val="8"/>
      </w:numPr>
      <w:tabs>
        <w:tab w:val="left" w:pos="1418"/>
        <w:tab w:val="left" w:pos="1701"/>
        <w:tab w:val="left" w:pos="1985"/>
      </w:tabs>
      <w:spacing w:before="330" w:after="80" w:line="240" w:lineRule="auto"/>
      <w:outlineLvl w:val="1"/>
    </w:pPr>
    <w:rPr>
      <w:rFonts w:asciiTheme="majorHAnsi" w:hAnsiTheme="majorHAnsi"/>
      <w:b/>
      <w:bCs/>
      <w:iCs/>
      <w:color w:val="3D4D7D" w:themeColor="background2"/>
      <w:kern w:val="20"/>
      <w:sz w:val="28"/>
      <w:szCs w:val="28"/>
    </w:rPr>
  </w:style>
  <w:style w:type="paragraph" w:styleId="Heading3">
    <w:name w:val="heading 3"/>
    <w:basedOn w:val="Normal"/>
    <w:next w:val="BodyText"/>
    <w:link w:val="Heading3Char"/>
    <w:qFormat/>
    <w:rsid w:val="00AE1DE7"/>
    <w:pPr>
      <w:keepNext/>
      <w:keepLines/>
      <w:numPr>
        <w:ilvl w:val="2"/>
        <w:numId w:val="8"/>
      </w:numPr>
      <w:tabs>
        <w:tab w:val="left" w:pos="1418"/>
        <w:tab w:val="left" w:pos="1701"/>
        <w:tab w:val="left" w:pos="1985"/>
      </w:tabs>
      <w:spacing w:before="300" w:after="90" w:line="240" w:lineRule="auto"/>
      <w:outlineLvl w:val="2"/>
    </w:pPr>
    <w:rPr>
      <w:b/>
      <w:sz w:val="23"/>
    </w:rPr>
  </w:style>
  <w:style w:type="paragraph" w:styleId="Heading4">
    <w:name w:val="heading 4"/>
    <w:basedOn w:val="Normal"/>
    <w:next w:val="BodyText"/>
    <w:link w:val="Heading4Char"/>
    <w:qFormat/>
    <w:rsid w:val="00AE1DE7"/>
    <w:pPr>
      <w:keepNext/>
      <w:keepLines/>
      <w:tabs>
        <w:tab w:val="left" w:pos="1418"/>
        <w:tab w:val="left" w:pos="1701"/>
        <w:tab w:val="left" w:pos="1985"/>
      </w:tabs>
      <w:spacing w:before="310" w:after="110" w:line="240" w:lineRule="auto"/>
      <w:outlineLvl w:val="3"/>
    </w:pPr>
    <w:rPr>
      <w:rFonts w:eastAsiaTheme="majorEastAsia" w:cstheme="majorBidi"/>
      <w:b/>
      <w:bCs/>
      <w:i/>
      <w:iCs/>
      <w:color w:val="000000" w:themeColor="text1"/>
      <w:sz w:val="23"/>
    </w:rPr>
  </w:style>
  <w:style w:type="paragraph" w:styleId="Heading5">
    <w:name w:val="heading 5"/>
    <w:basedOn w:val="Normal"/>
    <w:next w:val="BodyText"/>
    <w:link w:val="Heading5Char"/>
    <w:qFormat/>
    <w:rsid w:val="00AE1DE7"/>
    <w:pPr>
      <w:keepNext/>
      <w:keepLines/>
      <w:spacing w:before="310" w:after="110" w:line="240" w:lineRule="auto"/>
      <w:outlineLvl w:val="4"/>
    </w:pPr>
    <w:rPr>
      <w:rFonts w:asciiTheme="majorHAnsi" w:eastAsiaTheme="majorEastAsia" w:hAnsiTheme="majorHAnsi" w:cstheme="majorBidi"/>
      <w:i/>
      <w:color w:val="000000" w:themeColor="text1"/>
      <w:sz w:val="23"/>
    </w:rPr>
  </w:style>
  <w:style w:type="paragraph" w:styleId="Heading6">
    <w:name w:val="heading 6"/>
    <w:basedOn w:val="Normal"/>
    <w:next w:val="BodyText"/>
    <w:link w:val="Heading6Char"/>
    <w:qFormat/>
    <w:rsid w:val="0081085D"/>
    <w:pPr>
      <w:keepNext/>
      <w:keepLines/>
      <w:spacing w:before="310" w:after="110" w:line="240" w:lineRule="auto"/>
      <w:outlineLvl w:val="5"/>
    </w:pPr>
    <w:rPr>
      <w:rFonts w:asciiTheme="majorHAnsi" w:eastAsiaTheme="majorEastAsia" w:hAnsiTheme="majorHAnsi" w:cstheme="majorBidi"/>
      <w:i/>
      <w:iCs/>
      <w:color w:val="3D4D7D" w:themeColor="background2"/>
      <w:sz w:val="23"/>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9"/>
    <w:rsid w:val="0081085D"/>
    <w:pPr>
      <w:keepNext/>
      <w:keepLines/>
      <w:numPr>
        <w:numId w:val="1"/>
      </w:numPr>
      <w:tabs>
        <w:tab w:val="left" w:pos="4536"/>
      </w:tabs>
      <w:spacing w:after="600" w:line="204" w:lineRule="auto"/>
      <w:outlineLvl w:val="7"/>
    </w:pPr>
    <w:rPr>
      <w:rFonts w:ascii="Calibri Light" w:eastAsiaTheme="majorEastAsia" w:hAnsi="Calibri Light" w:cstheme="majorBidi"/>
      <w:color w:val="3D4D7D" w:themeColor="background2"/>
      <w:sz w:val="52"/>
    </w:rPr>
  </w:style>
  <w:style w:type="paragraph" w:styleId="Heading9">
    <w:name w:val="heading 9"/>
    <w:aliases w:val="Appendix Heading 1"/>
    <w:basedOn w:val="Normal"/>
    <w:next w:val="BodyText"/>
    <w:link w:val="Heading9Char"/>
    <w:uiPriority w:val="29"/>
    <w:rsid w:val="0081085D"/>
    <w:pPr>
      <w:keepNext/>
      <w:keepLines/>
      <w:numPr>
        <w:ilvl w:val="1"/>
        <w:numId w:val="1"/>
      </w:numPr>
      <w:tabs>
        <w:tab w:val="left" w:pos="1559"/>
        <w:tab w:val="left" w:pos="1843"/>
        <w:tab w:val="left" w:pos="2126"/>
        <w:tab w:val="left" w:pos="2410"/>
      </w:tabs>
      <w:spacing w:before="330" w:after="80" w:line="240" w:lineRule="auto"/>
      <w:outlineLvl w:val="8"/>
    </w:pPr>
    <w:rPr>
      <w:b/>
      <w:color w:val="3D4D7D"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2"/>
    <w:rsid w:val="00F7087C"/>
    <w:pPr>
      <w:tabs>
        <w:tab w:val="left" w:pos="425"/>
      </w:tabs>
      <w:spacing w:before="60" w:line="240" w:lineRule="exact"/>
      <w:ind w:left="284" w:hanging="284"/>
    </w:pPr>
    <w:rPr>
      <w:kern w:val="16"/>
      <w:sz w:val="18"/>
    </w:rPr>
  </w:style>
  <w:style w:type="character" w:customStyle="1" w:styleId="FootnoteTextChar">
    <w:name w:val="Footnote Text Char"/>
    <w:basedOn w:val="DefaultParagraphFont"/>
    <w:link w:val="FootnoteText"/>
    <w:uiPriority w:val="2"/>
    <w:rsid w:val="00F7087C"/>
    <w:rPr>
      <w:kern w:val="16"/>
      <w:sz w:val="18"/>
    </w:rPr>
  </w:style>
  <w:style w:type="character" w:styleId="FootnoteReference">
    <w:name w:val="footnote reference"/>
    <w:basedOn w:val="DefaultParagraphFont"/>
    <w:uiPriority w:val="2"/>
    <w:rsid w:val="00961DBB"/>
    <w:rPr>
      <w:rFonts w:asciiTheme="minorHAnsi" w:hAnsiTheme="minorHAnsi"/>
      <w:color w:val="auto"/>
      <w:vertAlign w:val="superscript"/>
    </w:rPr>
  </w:style>
  <w:style w:type="paragraph" w:styleId="BodyText">
    <w:name w:val="Body Text"/>
    <w:basedOn w:val="Normal"/>
    <w:link w:val="BodyTextChar"/>
    <w:qFormat/>
    <w:rsid w:val="00FF393F"/>
    <w:pPr>
      <w:spacing w:before="120"/>
    </w:pPr>
    <w:rPr>
      <w:rFonts w:cs="Times New Roman"/>
    </w:rPr>
  </w:style>
  <w:style w:type="character" w:customStyle="1" w:styleId="BodyTextChar">
    <w:name w:val="Body Text Char"/>
    <w:basedOn w:val="DefaultParagraphFont"/>
    <w:link w:val="BodyText"/>
    <w:rsid w:val="00D264C9"/>
    <w:rPr>
      <w:rFonts w:cs="Times New Roman"/>
    </w:rPr>
  </w:style>
  <w:style w:type="table" w:customStyle="1" w:styleId="PullOutBoxwithDecorativeLines">
    <w:name w:val="Pull Out Box with Decorative Lines"/>
    <w:basedOn w:val="TableNormal"/>
    <w:uiPriority w:val="99"/>
    <w:rsid w:val="00403A8E"/>
    <w:pPr>
      <w:keepNext/>
      <w:keepLines/>
      <w:spacing w:before="120" w:after="120" w:line="276" w:lineRule="auto"/>
    </w:pPr>
    <w:tblPr>
      <w:tblCellMar>
        <w:top w:w="28" w:type="dxa"/>
        <w:left w:w="0" w:type="dxa"/>
        <w:bottom w:w="28" w:type="dxa"/>
        <w:right w:w="0" w:type="dxa"/>
      </w:tblCellMar>
    </w:tblPr>
    <w:trPr>
      <w:cantSplit/>
    </w:trPr>
    <w:tblStylePr w:type="firstRow">
      <w:pPr>
        <w:keepNext/>
        <w:wordWrap/>
        <w:spacing w:beforeLines="0" w:before="0" w:beforeAutospacing="0" w:afterLines="0" w:after="0" w:afterAutospacing="0" w:line="80" w:lineRule="exact"/>
      </w:pPr>
      <w:rPr>
        <w:sz w:val="14"/>
      </w:rPr>
      <w:tblPr/>
      <w:tcPr>
        <w:tcBorders>
          <w:top w:val="nil"/>
          <w:left w:val="nil"/>
          <w:bottom w:val="nil"/>
          <w:right w:val="nil"/>
          <w:insideH w:val="nil"/>
          <w:insideV w:val="nil"/>
          <w:tl2br w:val="nil"/>
          <w:tr2bl w:val="nil"/>
        </w:tcBorders>
      </w:tcPr>
    </w:tblStylePr>
    <w:tblStylePr w:type="lastRow">
      <w:pPr>
        <w:wordWrap/>
        <w:spacing w:beforeLines="0" w:before="0" w:beforeAutospacing="0" w:afterLines="0" w:after="0" w:afterAutospacing="0" w:line="80" w:lineRule="exact"/>
      </w:pPr>
    </w:tblStylePr>
  </w:style>
  <w:style w:type="character" w:customStyle="1" w:styleId="Heading1Char">
    <w:name w:val="Heading 1 Char"/>
    <w:basedOn w:val="DefaultParagraphFont"/>
    <w:link w:val="Heading1"/>
    <w:rsid w:val="0081085D"/>
    <w:rPr>
      <w:rFonts w:ascii="Calibri Light" w:hAnsi="Calibri Light"/>
      <w:bCs/>
      <w:color w:val="3D4D7D" w:themeColor="background2"/>
      <w:kern w:val="32"/>
      <w:sz w:val="52"/>
      <w:szCs w:val="32"/>
    </w:rPr>
  </w:style>
  <w:style w:type="character" w:customStyle="1" w:styleId="Heading2Char">
    <w:name w:val="Heading 2 Char"/>
    <w:basedOn w:val="DefaultParagraphFont"/>
    <w:link w:val="Heading2"/>
    <w:rsid w:val="0081085D"/>
    <w:rPr>
      <w:rFonts w:asciiTheme="majorHAnsi" w:hAnsiTheme="majorHAnsi"/>
      <w:b/>
      <w:bCs/>
      <w:iCs/>
      <w:color w:val="3D4D7D" w:themeColor="background2"/>
      <w:kern w:val="20"/>
      <w:sz w:val="28"/>
      <w:szCs w:val="28"/>
    </w:rPr>
  </w:style>
  <w:style w:type="character" w:customStyle="1" w:styleId="Heading3Char">
    <w:name w:val="Heading 3 Char"/>
    <w:basedOn w:val="DefaultParagraphFont"/>
    <w:link w:val="Heading3"/>
    <w:rsid w:val="00AE1DE7"/>
    <w:rPr>
      <w:b/>
      <w:sz w:val="23"/>
    </w:rPr>
  </w:style>
  <w:style w:type="character" w:customStyle="1" w:styleId="Heading4Char">
    <w:name w:val="Heading 4 Char"/>
    <w:basedOn w:val="DefaultParagraphFont"/>
    <w:link w:val="Heading4"/>
    <w:rsid w:val="00AE1DE7"/>
    <w:rPr>
      <w:rFonts w:eastAsiaTheme="majorEastAsia" w:cstheme="majorBidi"/>
      <w:b/>
      <w:bCs/>
      <w:i/>
      <w:iCs/>
      <w:color w:val="000000" w:themeColor="text1"/>
      <w:sz w:val="23"/>
    </w:rPr>
  </w:style>
  <w:style w:type="character" w:customStyle="1" w:styleId="Heading5Char">
    <w:name w:val="Heading 5 Char"/>
    <w:basedOn w:val="DefaultParagraphFont"/>
    <w:link w:val="Heading5"/>
    <w:rsid w:val="00AE1DE7"/>
    <w:rPr>
      <w:rFonts w:asciiTheme="majorHAnsi" w:eastAsiaTheme="majorEastAsia" w:hAnsiTheme="majorHAnsi" w:cstheme="majorBidi"/>
      <w:i/>
      <w:color w:val="000000" w:themeColor="text1"/>
      <w:sz w:val="23"/>
    </w:rPr>
  </w:style>
  <w:style w:type="character" w:customStyle="1" w:styleId="Heading6Char">
    <w:name w:val="Heading 6 Char"/>
    <w:basedOn w:val="DefaultParagraphFont"/>
    <w:link w:val="Heading6"/>
    <w:rsid w:val="0081085D"/>
    <w:rPr>
      <w:rFonts w:asciiTheme="majorHAnsi" w:eastAsiaTheme="majorEastAsia" w:hAnsiTheme="majorHAnsi" w:cstheme="majorBidi"/>
      <w:i/>
      <w:iCs/>
      <w:color w:val="3D4D7D" w:themeColor="background2"/>
      <w:sz w:val="23"/>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uiPriority w:val="29"/>
    <w:rsid w:val="0081085D"/>
    <w:rPr>
      <w:rFonts w:ascii="Calibri Light" w:eastAsiaTheme="majorEastAsia" w:hAnsi="Calibri Light" w:cstheme="majorBidi"/>
      <w:color w:val="3D4D7D" w:themeColor="background2"/>
      <w:sz w:val="52"/>
    </w:rPr>
  </w:style>
  <w:style w:type="character" w:customStyle="1" w:styleId="Heading9Char">
    <w:name w:val="Heading 9 Char"/>
    <w:aliases w:val="Appendix Heading 1 Char"/>
    <w:basedOn w:val="DefaultParagraphFont"/>
    <w:link w:val="Heading9"/>
    <w:uiPriority w:val="29"/>
    <w:rsid w:val="0081085D"/>
    <w:rPr>
      <w:b/>
      <w:color w:val="3D4D7D" w:themeColor="background2"/>
      <w:sz w:val="28"/>
    </w:rPr>
  </w:style>
  <w:style w:type="paragraph" w:customStyle="1" w:styleId="AppendixHeading2">
    <w:name w:val="Appendix Heading 2"/>
    <w:basedOn w:val="Normal"/>
    <w:next w:val="BodyText"/>
    <w:uiPriority w:val="30"/>
    <w:rsid w:val="0081085D"/>
    <w:pPr>
      <w:keepNext/>
      <w:keepLines/>
      <w:numPr>
        <w:ilvl w:val="2"/>
        <w:numId w:val="1"/>
      </w:numPr>
      <w:tabs>
        <w:tab w:val="left" w:pos="1559"/>
        <w:tab w:val="left" w:pos="1843"/>
        <w:tab w:val="left" w:pos="2126"/>
        <w:tab w:val="left" w:pos="2410"/>
      </w:tabs>
      <w:spacing w:before="300" w:after="90" w:line="240" w:lineRule="auto"/>
    </w:pPr>
    <w:rPr>
      <w:rFonts w:asciiTheme="majorHAnsi" w:hAnsiTheme="majorHAnsi"/>
      <w:b/>
      <w:sz w:val="23"/>
    </w:rPr>
  </w:style>
  <w:style w:type="paragraph" w:customStyle="1" w:styleId="AppendixHeading3">
    <w:name w:val="Appendix Heading 3"/>
    <w:basedOn w:val="Normal"/>
    <w:next w:val="BodyText"/>
    <w:uiPriority w:val="30"/>
    <w:rsid w:val="0081085D"/>
    <w:pPr>
      <w:keepNext/>
      <w:keepLines/>
      <w:numPr>
        <w:ilvl w:val="3"/>
        <w:numId w:val="1"/>
      </w:numPr>
      <w:tabs>
        <w:tab w:val="left" w:pos="1559"/>
        <w:tab w:val="left" w:pos="1843"/>
        <w:tab w:val="left" w:pos="2126"/>
        <w:tab w:val="left" w:pos="2410"/>
        <w:tab w:val="left" w:pos="6804"/>
      </w:tabs>
      <w:spacing w:before="310" w:after="110" w:line="240" w:lineRule="auto"/>
    </w:pPr>
    <w:rPr>
      <w:rFonts w:asciiTheme="majorHAnsi" w:hAnsiTheme="majorHAnsi"/>
      <w:b/>
      <w:i/>
      <w:color w:val="000000" w:themeColor="text1"/>
      <w:sz w:val="23"/>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CaptionDescriptor"/>
    <w:qFormat/>
    <w:rsid w:val="0081085D"/>
    <w:pPr>
      <w:keepNext/>
      <w:spacing w:before="40" w:after="40" w:line="240" w:lineRule="auto"/>
      <w:jc w:val="center"/>
    </w:pPr>
    <w:rPr>
      <w:b/>
      <w:bCs/>
      <w:color w:val="3D4D7D" w:themeColor="background2"/>
    </w:rPr>
  </w:style>
  <w:style w:type="paragraph" w:styleId="Footer">
    <w:name w:val="footer"/>
    <w:basedOn w:val="Normal"/>
    <w:link w:val="FooterChar"/>
    <w:uiPriority w:val="99"/>
    <w:rsid w:val="00F24BF6"/>
    <w:pPr>
      <w:spacing w:line="240" w:lineRule="auto"/>
    </w:pPr>
    <w:rPr>
      <w:caps/>
      <w:color w:val="000000" w:themeColor="text1"/>
      <w:spacing w:val="5"/>
      <w:sz w:val="16"/>
    </w:rPr>
  </w:style>
  <w:style w:type="character" w:customStyle="1" w:styleId="FooterChar">
    <w:name w:val="Footer Char"/>
    <w:basedOn w:val="DefaultParagraphFont"/>
    <w:link w:val="Footer"/>
    <w:uiPriority w:val="99"/>
    <w:rsid w:val="00F24BF6"/>
    <w:rPr>
      <w:caps/>
      <w:color w:val="000000" w:themeColor="text1"/>
      <w:spacing w:val="5"/>
      <w:sz w:val="16"/>
    </w:rPr>
  </w:style>
  <w:style w:type="paragraph" w:customStyle="1" w:styleId="FooterLeft">
    <w:name w:val="Footer Left"/>
    <w:basedOn w:val="Footer"/>
    <w:uiPriority w:val="99"/>
    <w:rsid w:val="00023A6F"/>
  </w:style>
  <w:style w:type="paragraph" w:customStyle="1" w:styleId="FooterRight">
    <w:name w:val="Footer Right"/>
    <w:basedOn w:val="FooterLeft"/>
    <w:next w:val="Footer"/>
    <w:uiPriority w:val="99"/>
    <w:rsid w:val="00023A6F"/>
    <w:pPr>
      <w:jc w:val="right"/>
    </w:pPr>
    <w:rPr>
      <w:rFonts w:eastAsia="Times New Roman" w:cs="Arial"/>
      <w:noProof/>
      <w:lang w:eastAsia="en-AU"/>
    </w:rPr>
  </w:style>
  <w:style w:type="paragraph" w:customStyle="1" w:styleId="FooterRightPageNumber">
    <w:name w:val="Footer Right Page Number"/>
    <w:basedOn w:val="Normal"/>
    <w:uiPriority w:val="99"/>
    <w:rsid w:val="008E2623"/>
    <w:pPr>
      <w:spacing w:line="240" w:lineRule="auto"/>
      <w:ind w:right="652"/>
      <w:jc w:val="right"/>
    </w:pPr>
    <w:rPr>
      <w:rFonts w:eastAsia="Times New Roman" w:cs="Arial"/>
      <w:b/>
      <w:noProof/>
      <w:color w:val="000000" w:themeColor="text1"/>
      <w:sz w:val="16"/>
      <w:lang w:eastAsia="en-AU"/>
    </w:rPr>
  </w:style>
  <w:style w:type="paragraph" w:customStyle="1" w:styleId="FooterLeftPageNumber">
    <w:name w:val="Footer Left Page Number"/>
    <w:basedOn w:val="Footer"/>
    <w:uiPriority w:val="99"/>
    <w:rsid w:val="008E2623"/>
    <w:pPr>
      <w:ind w:left="652"/>
    </w:pPr>
    <w:rPr>
      <w:b/>
      <w:caps w:val="0"/>
      <w:spacing w:val="0"/>
    </w:rPr>
  </w:style>
  <w:style w:type="paragraph" w:customStyle="1" w:styleId="FootnoteSeparator">
    <w:name w:val="Footnote Separator"/>
    <w:basedOn w:val="Normal"/>
    <w:uiPriority w:val="2"/>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A77F60"/>
  </w:style>
  <w:style w:type="paragraph" w:customStyle="1" w:styleId="Introduction">
    <w:name w:val="Introduction"/>
    <w:basedOn w:val="Normal"/>
    <w:next w:val="BodyText"/>
    <w:qFormat/>
    <w:rsid w:val="00BA1E8D"/>
    <w:pPr>
      <w:spacing w:before="180" w:after="180" w:line="216" w:lineRule="auto"/>
    </w:pPr>
    <w:rPr>
      <w:b/>
      <w:color w:val="8D487F" w:themeColor="accent1"/>
      <w:sz w:val="24"/>
    </w:rPr>
  </w:style>
  <w:style w:type="character" w:customStyle="1" w:styleId="Italics">
    <w:name w:val="Italics"/>
    <w:rsid w:val="00961DBB"/>
    <w:rPr>
      <w:i/>
    </w:rPr>
  </w:style>
  <w:style w:type="paragraph" w:styleId="ListBullet">
    <w:name w:val="List Bullet"/>
    <w:basedOn w:val="Normal"/>
    <w:unhideWhenUsed/>
    <w:qFormat/>
    <w:rsid w:val="00D264C9"/>
    <w:pPr>
      <w:keepLines/>
      <w:numPr>
        <w:numId w:val="2"/>
      </w:numPr>
      <w:spacing w:before="120"/>
    </w:pPr>
  </w:style>
  <w:style w:type="paragraph" w:styleId="ListBullet2">
    <w:name w:val="List Bullet 2"/>
    <w:basedOn w:val="ListBullet"/>
    <w:unhideWhenUsed/>
    <w:qFormat/>
    <w:rsid w:val="00D264C9"/>
    <w:pPr>
      <w:numPr>
        <w:ilvl w:val="1"/>
      </w:numPr>
    </w:pPr>
    <w:rPr>
      <w:color w:val="000000" w:themeColor="text1"/>
    </w:rPr>
  </w:style>
  <w:style w:type="paragraph" w:styleId="ListBullet3">
    <w:name w:val="List Bullet 3"/>
    <w:basedOn w:val="ListBullet2"/>
    <w:unhideWhenUsed/>
    <w:rsid w:val="00D264C9"/>
    <w:pPr>
      <w:numPr>
        <w:ilvl w:val="2"/>
      </w:numPr>
    </w:pPr>
  </w:style>
  <w:style w:type="paragraph" w:styleId="ListContinue">
    <w:name w:val="List Continue"/>
    <w:basedOn w:val="Normal"/>
    <w:qFormat/>
    <w:rsid w:val="00503B7F"/>
    <w:pPr>
      <w:spacing w:before="120"/>
      <w:ind w:left="283"/>
    </w:pPr>
  </w:style>
  <w:style w:type="paragraph" w:styleId="ListContinue2">
    <w:name w:val="List Continue 2"/>
    <w:basedOn w:val="Normal"/>
    <w:qFormat/>
    <w:rsid w:val="00503B7F"/>
    <w:pPr>
      <w:spacing w:before="120"/>
      <w:ind w:left="567"/>
    </w:pPr>
  </w:style>
  <w:style w:type="paragraph" w:styleId="ListNumber">
    <w:name w:val="List Number"/>
    <w:basedOn w:val="Normal"/>
    <w:qFormat/>
    <w:rsid w:val="00503B7F"/>
    <w:pPr>
      <w:numPr>
        <w:numId w:val="17"/>
      </w:numPr>
      <w:spacing w:before="120"/>
    </w:pPr>
  </w:style>
  <w:style w:type="paragraph" w:styleId="ListNumber2">
    <w:name w:val="List Number 2"/>
    <w:basedOn w:val="Normal"/>
    <w:qFormat/>
    <w:rsid w:val="00D264C9"/>
    <w:pPr>
      <w:numPr>
        <w:ilvl w:val="1"/>
        <w:numId w:val="17"/>
      </w:numPr>
      <w:spacing w:before="120"/>
    </w:pPr>
    <w:rPr>
      <w:spacing w:val="-1"/>
    </w:rPr>
  </w:style>
  <w:style w:type="paragraph" w:styleId="ListNumber3">
    <w:name w:val="List Number 3"/>
    <w:basedOn w:val="Normal"/>
    <w:qFormat/>
    <w:rsid w:val="00D264C9"/>
    <w:pPr>
      <w:numPr>
        <w:ilvl w:val="2"/>
        <w:numId w:val="17"/>
      </w:numPr>
      <w:spacing w:before="120"/>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E54919"/>
    <w:pPr>
      <w:spacing w:before="120"/>
    </w:pPr>
  </w:style>
  <w:style w:type="paragraph" w:customStyle="1" w:styleId="OverviewHeading2">
    <w:name w:val="Overview Heading 2"/>
    <w:basedOn w:val="Normal"/>
    <w:next w:val="OverviewBodyText"/>
    <w:rsid w:val="0081085D"/>
    <w:pPr>
      <w:keepNext/>
      <w:keepLines/>
      <w:spacing w:before="330" w:after="80" w:line="240" w:lineRule="auto"/>
    </w:pPr>
    <w:rPr>
      <w:b/>
      <w:color w:val="3D4D7D" w:themeColor="background2"/>
      <w:sz w:val="28"/>
    </w:rPr>
  </w:style>
  <w:style w:type="paragraph" w:customStyle="1" w:styleId="OverviewHeading3">
    <w:name w:val="Overview Heading 3"/>
    <w:basedOn w:val="OverviewHeading2"/>
    <w:next w:val="OverviewBodyText"/>
    <w:rsid w:val="005050DA"/>
    <w:pPr>
      <w:spacing w:before="300" w:after="90"/>
    </w:pPr>
    <w:rPr>
      <w:color w:val="000000" w:themeColor="text1"/>
      <w:sz w:val="23"/>
    </w:rPr>
  </w:style>
  <w:style w:type="character" w:styleId="PageNumber">
    <w:name w:val="page number"/>
    <w:basedOn w:val="DefaultParagraphFont"/>
    <w:semiHidden/>
    <w:rsid w:val="00961DBB"/>
    <w:rPr>
      <w:rFonts w:ascii="Arial" w:hAnsi="Arial"/>
      <w:b/>
      <w:color w:val="auto"/>
      <w:sz w:val="16"/>
    </w:rPr>
  </w:style>
  <w:style w:type="paragraph" w:customStyle="1" w:styleId="PullOutBoxBodyText">
    <w:name w:val="Pull Out Box Body Text"/>
    <w:basedOn w:val="Normal"/>
    <w:qFormat/>
    <w:rsid w:val="0081085D"/>
    <w:pPr>
      <w:spacing w:before="120" w:after="120" w:line="320" w:lineRule="atLeast"/>
      <w:ind w:left="284" w:right="284"/>
    </w:pPr>
    <w:rPr>
      <w:rFonts w:eastAsia="Times New Roman" w:cs="Arial"/>
      <w:b/>
      <w:i/>
      <w:color w:val="3D4D7D" w:themeColor="background2"/>
      <w:spacing w:val="-1"/>
      <w:lang w:eastAsia="en-AU"/>
    </w:rPr>
  </w:style>
  <w:style w:type="paragraph" w:customStyle="1" w:styleId="PullOutBoxBullet">
    <w:name w:val="Pull Out Box Bullet"/>
    <w:basedOn w:val="PullOutBoxBodyText"/>
    <w:qFormat/>
    <w:rsid w:val="00B2295B"/>
    <w:pPr>
      <w:numPr>
        <w:numId w:val="9"/>
      </w:numPr>
      <w:spacing w:before="60" w:after="60"/>
    </w:pPr>
  </w:style>
  <w:style w:type="paragraph" w:customStyle="1" w:styleId="PullOutBoxBullet2">
    <w:name w:val="Pull Out Box Bullet 2"/>
    <w:basedOn w:val="PullOutBoxBodyText"/>
    <w:qFormat/>
    <w:rsid w:val="00B2295B"/>
    <w:pPr>
      <w:numPr>
        <w:ilvl w:val="1"/>
        <w:numId w:val="9"/>
      </w:numPr>
      <w:spacing w:before="60" w:after="60"/>
    </w:pPr>
  </w:style>
  <w:style w:type="paragraph" w:customStyle="1" w:styleId="PullOutBoxBullet3">
    <w:name w:val="Pull Out Box Bullet 3"/>
    <w:basedOn w:val="PullOutBoxBodyText"/>
    <w:semiHidden/>
    <w:qFormat/>
    <w:rsid w:val="00B2295B"/>
    <w:pPr>
      <w:numPr>
        <w:ilvl w:val="2"/>
        <w:numId w:val="9"/>
      </w:numPr>
      <w:spacing w:before="60" w:after="60"/>
    </w:pPr>
  </w:style>
  <w:style w:type="paragraph" w:customStyle="1" w:styleId="PullOutBoxHeading">
    <w:name w:val="Pull Out Box Heading"/>
    <w:basedOn w:val="PullOutBoxBodyText"/>
    <w:qFormat/>
    <w:rsid w:val="00413CE6"/>
    <w:pPr>
      <w:keepNext/>
      <w:keepLines/>
      <w:spacing w:before="114" w:after="114" w:line="360" w:lineRule="atLeast"/>
    </w:pPr>
    <w:rPr>
      <w:sz w:val="28"/>
    </w:rPr>
  </w:style>
  <w:style w:type="paragraph" w:customStyle="1" w:styleId="PullOutBoxNumber">
    <w:name w:val="Pull Out Box Number"/>
    <w:basedOn w:val="PullOutBoxBodyText"/>
    <w:qFormat/>
    <w:rsid w:val="00B2295B"/>
    <w:pPr>
      <w:numPr>
        <w:numId w:val="10"/>
      </w:numPr>
      <w:spacing w:before="60" w:after="60"/>
    </w:pPr>
  </w:style>
  <w:style w:type="paragraph" w:customStyle="1" w:styleId="PullOutBoxNumber2">
    <w:name w:val="Pull Out Box Number 2"/>
    <w:basedOn w:val="PullOutBoxBodyText"/>
    <w:qFormat/>
    <w:rsid w:val="00B2295B"/>
    <w:pPr>
      <w:numPr>
        <w:ilvl w:val="1"/>
        <w:numId w:val="10"/>
      </w:numPr>
      <w:spacing w:before="60" w:after="60"/>
    </w:pPr>
  </w:style>
  <w:style w:type="paragraph" w:customStyle="1" w:styleId="PullOutBoxNumber3">
    <w:name w:val="Pull Out Box Number 3"/>
    <w:basedOn w:val="PullOutBoxBodyText"/>
    <w:qFormat/>
    <w:rsid w:val="00B2295B"/>
    <w:pPr>
      <w:numPr>
        <w:ilvl w:val="2"/>
        <w:numId w:val="10"/>
      </w:numPr>
      <w:spacing w:before="60" w:after="60"/>
    </w:pPr>
  </w:style>
  <w:style w:type="table" w:customStyle="1" w:styleId="PullOutBoxTable">
    <w:name w:val="Pull Out Box Table"/>
    <w:basedOn w:val="TableNormal"/>
    <w:uiPriority w:val="99"/>
    <w:rsid w:val="00AD2869"/>
    <w:pPr>
      <w:spacing w:before="120" w:after="120" w:line="320" w:lineRule="atLeast"/>
      <w:ind w:left="284" w:right="284"/>
    </w:pPr>
    <w:rPr>
      <w:rFonts w:eastAsia="Times New Roman" w:cs="Arial"/>
      <w:color w:val="3D4D7D" w:themeColor="background2"/>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styleId="Quote">
    <w:name w:val="Quote"/>
    <w:basedOn w:val="Normal"/>
    <w:link w:val="QuoteChar"/>
    <w:qFormat/>
    <w:rsid w:val="00A326AE"/>
    <w:pPr>
      <w:tabs>
        <w:tab w:val="left" w:pos="1134"/>
      </w:tabs>
      <w:spacing w:before="120"/>
      <w:ind w:left="284"/>
    </w:pPr>
    <w:rPr>
      <w:i/>
      <w:iCs/>
    </w:rPr>
  </w:style>
  <w:style w:type="character" w:customStyle="1" w:styleId="QuoteChar">
    <w:name w:val="Quote Char"/>
    <w:basedOn w:val="DefaultParagraphFont"/>
    <w:link w:val="Quote"/>
    <w:rsid w:val="00A326AE"/>
    <w:rPr>
      <w:i/>
      <w:iCs/>
    </w:rPr>
  </w:style>
  <w:style w:type="paragraph" w:customStyle="1" w:styleId="QuoteBullet">
    <w:name w:val="Quote Bullet"/>
    <w:basedOn w:val="Quote"/>
    <w:qFormat/>
    <w:rsid w:val="00A326AE"/>
    <w:pPr>
      <w:numPr>
        <w:numId w:val="4"/>
      </w:numPr>
      <w:ind w:left="568" w:hanging="284"/>
    </w:pPr>
  </w:style>
  <w:style w:type="paragraph" w:customStyle="1" w:styleId="QuoteBullet2">
    <w:name w:val="Quote Bullet 2"/>
    <w:basedOn w:val="Quote"/>
    <w:qFormat/>
    <w:rsid w:val="002D14CD"/>
    <w:pPr>
      <w:numPr>
        <w:ilvl w:val="1"/>
        <w:numId w:val="4"/>
      </w:numPr>
      <w:tabs>
        <w:tab w:val="clear" w:pos="1134"/>
      </w:tabs>
    </w:pPr>
  </w:style>
  <w:style w:type="character" w:customStyle="1" w:styleId="Superscript">
    <w:name w:val="Superscript"/>
    <w:rsid w:val="00961DBB"/>
    <w:rPr>
      <w:vertAlign w:val="superscript"/>
    </w:rPr>
  </w:style>
  <w:style w:type="table" w:customStyle="1" w:styleId="TableGridDarkHeader">
    <w:name w:val="Table Grid Dark Header"/>
    <w:basedOn w:val="TableNormal"/>
    <w:uiPriority w:val="99"/>
    <w:rsid w:val="00AD2869"/>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themeColor="background1"/>
      </w:rPr>
      <w:tblPr/>
      <w:tcPr>
        <w:shd w:val="clear" w:color="auto" w:fill="3D4D7D" w:themeFill="background2"/>
      </w:tcPr>
    </w:tblStylePr>
    <w:tblStylePr w:type="lastRow">
      <w:rPr>
        <w:b/>
      </w:rPr>
      <w:tblPr/>
      <w:tcPr>
        <w:shd w:val="clear" w:color="auto" w:fill="A7B2D4" w:themeFill="background2" w:themeFillTint="66"/>
      </w:tcPr>
    </w:tblStylePr>
    <w:tblStylePr w:type="band1Horz">
      <w:tblPr/>
      <w:tcPr>
        <w:shd w:val="clear" w:color="auto" w:fill="D3D8E9" w:themeFill="background2" w:themeFillTint="33"/>
      </w:tcPr>
    </w:tblStylePr>
  </w:style>
  <w:style w:type="paragraph" w:customStyle="1" w:styleId="TableFootnotes">
    <w:name w:val="Table Footnotes"/>
    <w:basedOn w:val="Normal"/>
    <w:rsid w:val="001901A1"/>
    <w:pPr>
      <w:keepLines/>
      <w:numPr>
        <w:numId w:val="5"/>
      </w:numPr>
      <w:spacing w:before="60" w:after="60" w:line="260" w:lineRule="atLeast"/>
    </w:pPr>
    <w:rPr>
      <w:color w:val="788184"/>
      <w:sz w:val="18"/>
    </w:rPr>
  </w:style>
  <w:style w:type="table" w:styleId="TableGrid">
    <w:name w:val="Table Grid"/>
    <w:basedOn w:val="TableNormal"/>
    <w:rsid w:val="00AD2869"/>
    <w:pPr>
      <w:spacing w:before="40" w:after="40" w:line="240" w:lineRule="auto"/>
      <w:ind w:left="85" w:right="85"/>
    </w:pPr>
    <w:rPr>
      <w:sz w:val="20"/>
    </w:rPr>
    <w:tblPr>
      <w:tblStyleRowBandSize w:val="1"/>
      <w:tblBorders>
        <w:top w:val="single" w:sz="4" w:space="0" w:color="000000" w:themeColor="text1"/>
        <w:bottom w:val="single" w:sz="4" w:space="0" w:color="000000" w:themeColor="text1"/>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rPr>
        <w:b/>
      </w:rPr>
      <w:tblPr/>
      <w:tcPr>
        <w:shd w:val="clear" w:color="auto" w:fill="A7B2D4" w:themeFill="background2" w:themeFillTint="66"/>
      </w:tcPr>
    </w:tblStylePr>
    <w:tblStylePr w:type="band2Horz">
      <w:tblPr/>
      <w:tcPr>
        <w:shd w:val="clear" w:color="auto" w:fill="D3D8E9" w:themeFill="background2" w:themeFillTint="33"/>
      </w:tcPr>
    </w:tblStylePr>
    <w:tblStylePr w:type="nwCell">
      <w:rPr>
        <w:color w:val="000000" w:themeColor="text1"/>
      </w:rPr>
    </w:tblStylePr>
  </w:style>
  <w:style w:type="paragraph" w:customStyle="1" w:styleId="TableHeading">
    <w:name w:val="Table Heading"/>
    <w:basedOn w:val="Normal"/>
    <w:qFormat/>
    <w:rsid w:val="00297971"/>
    <w:pPr>
      <w:spacing w:before="40" w:after="40" w:line="240" w:lineRule="auto"/>
      <w:ind w:left="85" w:right="85"/>
    </w:pPr>
    <w:rPr>
      <w:color w:val="FFFFFF" w:themeColor="background1"/>
    </w:rPr>
  </w:style>
  <w:style w:type="paragraph" w:customStyle="1" w:styleId="TableHeadingCentred">
    <w:name w:val="Table Heading Centred"/>
    <w:basedOn w:val="Normal"/>
    <w:qFormat/>
    <w:rsid w:val="00CA5C20"/>
    <w:pPr>
      <w:spacing w:before="40" w:after="40" w:line="240" w:lineRule="auto"/>
      <w:jc w:val="center"/>
    </w:pPr>
  </w:style>
  <w:style w:type="paragraph" w:customStyle="1" w:styleId="TableHeadingRight">
    <w:name w:val="Table Heading Right"/>
    <w:basedOn w:val="Normal"/>
    <w:qFormat/>
    <w:rsid w:val="00CA5C20"/>
    <w:pPr>
      <w:spacing w:before="40" w:after="40" w:line="240" w:lineRule="auto"/>
      <w:jc w:val="right"/>
    </w:pPr>
  </w:style>
  <w:style w:type="paragraph" w:customStyle="1" w:styleId="Source">
    <w:name w:val="Source"/>
    <w:basedOn w:val="Normal"/>
    <w:next w:val="Normal"/>
    <w:rsid w:val="001901A1"/>
    <w:pPr>
      <w:spacing w:before="120" w:after="40" w:line="240" w:lineRule="auto"/>
    </w:pPr>
    <w:rPr>
      <w:rFonts w:cs="Times New Roman"/>
      <w:color w:val="788184"/>
      <w:sz w:val="18"/>
      <w:szCs w:val="14"/>
    </w:rPr>
  </w:style>
  <w:style w:type="paragraph" w:customStyle="1" w:styleId="TableText">
    <w:name w:val="Table Text"/>
    <w:basedOn w:val="Normal"/>
    <w:qFormat/>
    <w:rsid w:val="00456DEB"/>
    <w:pPr>
      <w:spacing w:before="40" w:after="40" w:line="240" w:lineRule="auto"/>
      <w:ind w:left="85" w:right="85"/>
    </w:pPr>
    <w:rPr>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6"/>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7"/>
      </w:numPr>
    </w:pPr>
  </w:style>
  <w:style w:type="paragraph" w:customStyle="1" w:styleId="TableTextNumber2">
    <w:name w:val="Table Text Number 2"/>
    <w:basedOn w:val="TableTextNumber"/>
    <w:qFormat/>
    <w:rsid w:val="00961DBB"/>
    <w:pPr>
      <w:numPr>
        <w:ilvl w:val="1"/>
      </w:numPr>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uiPriority w:val="3"/>
    <w:rsid w:val="00785B35"/>
    <w:pPr>
      <w:spacing w:before="5700" w:after="280" w:line="235" w:lineRule="auto"/>
      <w:ind w:left="227" w:right="3119"/>
      <w:contextualSpacing/>
    </w:pPr>
    <w:rPr>
      <w:rFonts w:ascii="Calibri Light" w:eastAsiaTheme="majorEastAsia" w:hAnsi="Calibri Light" w:cstheme="majorBidi"/>
      <w:caps/>
      <w:color w:val="FFFFFF" w:themeColor="background1"/>
      <w:spacing w:val="14"/>
      <w:sz w:val="44"/>
      <w:szCs w:val="50"/>
      <w:lang w:eastAsia="en-AU"/>
    </w:rPr>
  </w:style>
  <w:style w:type="character" w:customStyle="1" w:styleId="TitleChar">
    <w:name w:val="Title Char"/>
    <w:basedOn w:val="DefaultParagraphFont"/>
    <w:link w:val="Title"/>
    <w:uiPriority w:val="3"/>
    <w:rsid w:val="00785B35"/>
    <w:rPr>
      <w:rFonts w:ascii="Calibri Light" w:eastAsiaTheme="majorEastAsia" w:hAnsi="Calibri Light" w:cstheme="majorBidi"/>
      <w:caps/>
      <w:color w:val="FFFFFF" w:themeColor="background1"/>
      <w:spacing w:val="14"/>
      <w:sz w:val="44"/>
      <w:szCs w:val="50"/>
      <w:lang w:eastAsia="en-AU"/>
    </w:rPr>
  </w:style>
  <w:style w:type="paragraph" w:customStyle="1" w:styleId="Title2">
    <w:name w:val="Title 2"/>
    <w:basedOn w:val="Normal"/>
    <w:link w:val="Title2Char"/>
    <w:uiPriority w:val="3"/>
    <w:rsid w:val="00785B35"/>
    <w:pPr>
      <w:spacing w:line="380" w:lineRule="atLeast"/>
      <w:ind w:left="227" w:right="3119"/>
    </w:pPr>
    <w:rPr>
      <w:rFonts w:asciiTheme="majorHAnsi" w:hAnsiTheme="majorHAnsi"/>
      <w:b/>
      <w:color w:val="FFFFFF" w:themeColor="background1"/>
      <w:spacing w:val="-1"/>
      <w:sz w:val="26"/>
    </w:rPr>
  </w:style>
  <w:style w:type="character" w:customStyle="1" w:styleId="Title2Char">
    <w:name w:val="Title 2 Char"/>
    <w:basedOn w:val="DefaultParagraphFont"/>
    <w:link w:val="Title2"/>
    <w:uiPriority w:val="3"/>
    <w:rsid w:val="00785B35"/>
    <w:rPr>
      <w:rFonts w:asciiTheme="majorHAnsi" w:hAnsiTheme="majorHAnsi"/>
      <w:b/>
      <w:color w:val="FFFFFF" w:themeColor="background1"/>
      <w:spacing w:val="-1"/>
      <w:sz w:val="26"/>
    </w:rPr>
  </w:style>
  <w:style w:type="paragraph" w:customStyle="1" w:styleId="Title3">
    <w:name w:val="Title 3"/>
    <w:basedOn w:val="Title2"/>
    <w:link w:val="Title3Char"/>
    <w:uiPriority w:val="3"/>
    <w:rsid w:val="0081085D"/>
    <w:pPr>
      <w:framePr w:w="2835" w:wrap="around" w:vAnchor="page" w:hAnchor="page" w:x="8591" w:y="7854"/>
      <w:spacing w:after="120" w:line="600" w:lineRule="atLeast"/>
      <w:ind w:right="0"/>
      <w:contextualSpacing/>
    </w:pPr>
    <w:rPr>
      <w:rFonts w:eastAsia="Times New Roman" w:cs="Arial"/>
      <w:b w:val="0"/>
      <w:color w:val="3D4D7D" w:themeColor="background2"/>
      <w:spacing w:val="0"/>
      <w:sz w:val="46"/>
      <w:lang w:eastAsia="en-AU"/>
    </w:rPr>
  </w:style>
  <w:style w:type="paragraph" w:styleId="TOC1">
    <w:name w:val="toc 1"/>
    <w:basedOn w:val="Normal"/>
    <w:next w:val="Normal"/>
    <w:uiPriority w:val="39"/>
    <w:rsid w:val="00E91C83"/>
    <w:pPr>
      <w:tabs>
        <w:tab w:val="left" w:pos="567"/>
        <w:tab w:val="right" w:pos="7654"/>
      </w:tabs>
      <w:spacing w:before="260" w:after="130" w:line="240" w:lineRule="auto"/>
      <w:ind w:left="567" w:right="1983" w:hanging="567"/>
    </w:pPr>
    <w:rPr>
      <w:b/>
      <w:noProof/>
      <w:color w:val="000000" w:themeColor="text1"/>
      <w:sz w:val="24"/>
    </w:rPr>
  </w:style>
  <w:style w:type="paragraph" w:styleId="TOC2">
    <w:name w:val="toc 2"/>
    <w:basedOn w:val="Normal"/>
    <w:next w:val="Normal"/>
    <w:uiPriority w:val="39"/>
    <w:rsid w:val="00E91C83"/>
    <w:pPr>
      <w:tabs>
        <w:tab w:val="left" w:pos="567"/>
        <w:tab w:val="right" w:pos="7654"/>
      </w:tabs>
      <w:spacing w:after="40" w:line="240" w:lineRule="auto"/>
      <w:ind w:left="567" w:right="1985" w:hanging="567"/>
    </w:pPr>
    <w:rPr>
      <w:rFonts w:ascii="Calibri Light" w:eastAsiaTheme="minorEastAsia" w:hAnsi="Calibri Light"/>
      <w:noProof/>
      <w:color w:val="000000" w:themeColor="text1"/>
      <w:sz w:val="24"/>
      <w:lang w:eastAsia="en-AU"/>
    </w:rPr>
  </w:style>
  <w:style w:type="paragraph" w:styleId="TOC3">
    <w:name w:val="toc 3"/>
    <w:basedOn w:val="Normal"/>
    <w:next w:val="Normal"/>
    <w:uiPriority w:val="39"/>
    <w:rsid w:val="00E91C83"/>
    <w:pPr>
      <w:tabs>
        <w:tab w:val="left" w:pos="1417"/>
        <w:tab w:val="right" w:pos="7654"/>
      </w:tabs>
      <w:spacing w:before="120" w:after="120" w:line="240" w:lineRule="auto"/>
      <w:ind w:left="1417" w:right="1985" w:hanging="850"/>
      <w:contextualSpacing/>
    </w:pPr>
    <w:rPr>
      <w:rFonts w:ascii="Calibri Light" w:eastAsiaTheme="minorEastAsia" w:hAnsi="Calibri Light"/>
      <w:noProof/>
      <w:color w:val="000000" w:themeColor="text1"/>
      <w:sz w:val="24"/>
    </w:rPr>
  </w:style>
  <w:style w:type="paragraph" w:styleId="TOC4">
    <w:name w:val="toc 4"/>
    <w:basedOn w:val="Normal"/>
    <w:uiPriority w:val="39"/>
    <w:rsid w:val="00FF1368"/>
    <w:pPr>
      <w:tabs>
        <w:tab w:val="left" w:pos="454"/>
        <w:tab w:val="right" w:pos="7655"/>
      </w:tabs>
      <w:spacing w:after="40" w:line="240" w:lineRule="auto"/>
      <w:ind w:left="454" w:hanging="454"/>
    </w:pPr>
    <w:rPr>
      <w:rFonts w:ascii="Calibri Light" w:hAnsi="Calibri Light"/>
      <w:noProof/>
      <w:color w:val="000000" w:themeColor="text1"/>
      <w:sz w:val="24"/>
    </w:rPr>
  </w:style>
  <w:style w:type="paragraph" w:styleId="TOC5">
    <w:name w:val="toc 5"/>
    <w:basedOn w:val="Normal"/>
    <w:next w:val="Normal"/>
    <w:autoRedefine/>
    <w:uiPriority w:val="39"/>
    <w:rsid w:val="0081085D"/>
    <w:pPr>
      <w:tabs>
        <w:tab w:val="left" w:pos="567"/>
        <w:tab w:val="right" w:pos="7655"/>
      </w:tabs>
      <w:spacing w:after="40" w:line="240" w:lineRule="auto"/>
      <w:ind w:left="567" w:right="1985" w:hanging="567"/>
    </w:pPr>
    <w:rPr>
      <w:rFonts w:ascii="Calibri Light" w:hAnsi="Calibri Light"/>
      <w:b/>
      <w:color w:val="3D4D7D" w:themeColor="background2"/>
      <w:sz w:val="24"/>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semiHidden/>
    <w:rsid w:val="00BE45B2"/>
    <w:pPr>
      <w:tabs>
        <w:tab w:val="left" w:pos="454"/>
        <w:tab w:val="right" w:pos="7626"/>
      </w:tabs>
      <w:spacing w:after="30" w:line="240" w:lineRule="auto"/>
      <w:ind w:left="454" w:hanging="454"/>
    </w:pPr>
    <w:rPr>
      <w:rFonts w:ascii="Calibri Light" w:hAnsi="Calibri Light"/>
      <w:color w:val="000000" w:themeColor="text1"/>
      <w:sz w:val="24"/>
    </w:rPr>
  </w:style>
  <w:style w:type="paragraph" w:styleId="TOCHeading">
    <w:name w:val="TOC Heading"/>
    <w:basedOn w:val="Normal"/>
    <w:uiPriority w:val="39"/>
    <w:rsid w:val="0081085D"/>
    <w:pPr>
      <w:tabs>
        <w:tab w:val="right" w:pos="7655"/>
      </w:tabs>
      <w:spacing w:after="1220" w:line="204" w:lineRule="auto"/>
    </w:pPr>
    <w:rPr>
      <w:rFonts w:ascii="Calibri Light" w:hAnsi="Calibri Light"/>
      <w:color w:val="3D4D7D" w:themeColor="background2"/>
      <w:sz w:val="52"/>
      <w:szCs w:val="40"/>
    </w:rPr>
  </w:style>
  <w:style w:type="paragraph" w:customStyle="1" w:styleId="TOFHeading">
    <w:name w:val="TOF Heading"/>
    <w:basedOn w:val="Normal"/>
    <w:uiPriority w:val="39"/>
    <w:rsid w:val="0081085D"/>
    <w:pPr>
      <w:keepNext/>
      <w:tabs>
        <w:tab w:val="left" w:pos="2268"/>
      </w:tabs>
      <w:spacing w:before="300" w:after="120"/>
    </w:pPr>
    <w:rPr>
      <w:color w:val="3D4D7D" w:themeColor="background2"/>
      <w:sz w:val="28"/>
      <w:szCs w:val="32"/>
    </w:rPr>
  </w:style>
  <w:style w:type="paragraph" w:customStyle="1" w:styleId="xDisclaimerHeading">
    <w:name w:val="xDisclaimer Heading"/>
    <w:basedOn w:val="Normal"/>
    <w:next w:val="xDisclaimerText"/>
    <w:link w:val="xDisclaimerHeadingChar"/>
    <w:uiPriority w:val="3"/>
    <w:rsid w:val="0081085D"/>
    <w:pPr>
      <w:framePr w:hSpace="181" w:wrap="around" w:hAnchor="margin" w:y="4310"/>
      <w:spacing w:before="320" w:line="280" w:lineRule="atLeast"/>
      <w:suppressOverlap/>
    </w:pPr>
    <w:rPr>
      <w:b/>
      <w:color w:val="3D4D7D" w:themeColor="background2"/>
      <w:sz w:val="26"/>
    </w:rPr>
  </w:style>
  <w:style w:type="character" w:customStyle="1" w:styleId="xDisclaimerHeadingChar">
    <w:name w:val="xDisclaimer Heading Char"/>
    <w:basedOn w:val="DefaultParagraphFont"/>
    <w:link w:val="xDisclaimerHeading"/>
    <w:uiPriority w:val="3"/>
    <w:rsid w:val="0081085D"/>
    <w:rPr>
      <w:b/>
      <w:color w:val="3D4D7D" w:themeColor="background2"/>
      <w:sz w:val="26"/>
    </w:rPr>
  </w:style>
  <w:style w:type="paragraph" w:customStyle="1" w:styleId="xDisclaimerText">
    <w:name w:val="xDisclaimer Text"/>
    <w:basedOn w:val="Normal"/>
    <w:uiPriority w:val="3"/>
    <w:rsid w:val="003A43A0"/>
    <w:pPr>
      <w:framePr w:w="7768" w:wrap="around" w:hAnchor="margin" w:yAlign="bottom"/>
      <w:spacing w:after="57"/>
    </w:pPr>
    <w:rPr>
      <w:rFonts w:cs="Times New Roman"/>
      <w:color w:val="000000" w:themeColor="text1"/>
    </w:rPr>
  </w:style>
  <w:style w:type="paragraph" w:customStyle="1" w:styleId="xDisclaimerText2">
    <w:name w:val="xDisclaimer Text 2"/>
    <w:basedOn w:val="xDisclaimerHeading"/>
    <w:uiPriority w:val="3"/>
    <w:rsid w:val="008A0A35"/>
    <w:pPr>
      <w:framePr w:wrap="around"/>
      <w:spacing w:before="0" w:after="170" w:line="302" w:lineRule="atLeast"/>
    </w:pPr>
    <w:rPr>
      <w:b w:val="0"/>
      <w:color w:val="000000" w:themeColor="text1"/>
      <w:sz w:val="22"/>
    </w:rPr>
  </w:style>
  <w:style w:type="table" w:customStyle="1" w:styleId="FooterPlaceholder">
    <w:name w:val="Footer Placeholder"/>
    <w:basedOn w:val="TableNormal"/>
    <w:uiPriority w:val="99"/>
    <w:rsid w:val="00F24BF6"/>
    <w:pPr>
      <w:spacing w:line="240" w:lineRule="auto"/>
    </w:pPr>
    <w:rPr>
      <w:sz w:val="16"/>
    </w:rPr>
    <w:tblPr>
      <w:tblCellMar>
        <w:left w:w="0" w:type="dxa"/>
        <w:right w:w="0" w:type="dxa"/>
      </w:tblCellMar>
    </w:tblPr>
  </w:style>
  <w:style w:type="paragraph" w:customStyle="1" w:styleId="xInlineShape">
    <w:name w:val="xInlineShape"/>
    <w:basedOn w:val="Normal"/>
    <w:next w:val="BodyText"/>
    <w:uiPriority w:val="3"/>
    <w:rsid w:val="00E54919"/>
    <w:pPr>
      <w:keepNext/>
      <w:spacing w:before="60" w:after="60" w:line="240" w:lineRule="auto"/>
      <w:jc w:val="center"/>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E266E"/>
    <w:rPr>
      <w:rFonts w:ascii="Tahoma" w:hAnsi="Tahoma" w:cs="Tahoma"/>
      <w:sz w:val="16"/>
      <w:szCs w:val="16"/>
    </w:rPr>
  </w:style>
  <w:style w:type="paragraph" w:customStyle="1" w:styleId="Heading1NoNumbering">
    <w:name w:val="Heading 1 No Numbering"/>
    <w:basedOn w:val="Heading1"/>
    <w:qFormat/>
    <w:rsid w:val="00FF1368"/>
    <w:pPr>
      <w:numPr>
        <w:numId w:val="0"/>
      </w:numPr>
    </w:pPr>
  </w:style>
  <w:style w:type="paragraph" w:styleId="TableofFigures">
    <w:name w:val="table of figures"/>
    <w:basedOn w:val="Normal"/>
    <w:next w:val="Normal"/>
    <w:uiPriority w:val="99"/>
    <w:rsid w:val="00563884"/>
    <w:pPr>
      <w:tabs>
        <w:tab w:val="right" w:pos="7655"/>
      </w:tabs>
      <w:spacing w:after="40"/>
      <w:ind w:right="1985"/>
    </w:pPr>
    <w:rPr>
      <w:rFonts w:ascii="Calibri Light" w:hAnsi="Calibri Light"/>
    </w:rPr>
  </w:style>
  <w:style w:type="paragraph" w:customStyle="1" w:styleId="TableTextCentred">
    <w:name w:val="Table Text Centred"/>
    <w:basedOn w:val="TableText"/>
    <w:qFormat/>
    <w:rsid w:val="00AE1CC1"/>
    <w:pPr>
      <w:jc w:val="center"/>
    </w:pPr>
    <w:rPr>
      <w:rFonts w:eastAsia="Times New Roman"/>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customStyle="1" w:styleId="BodyTextAfterListTable">
    <w:name w:val="Body Text After List/Table"/>
    <w:basedOn w:val="BodyText"/>
    <w:next w:val="BodyText"/>
    <w:qFormat/>
    <w:rsid w:val="00E167B4"/>
    <w:pPr>
      <w:spacing w:before="240"/>
    </w:pPr>
  </w:style>
  <w:style w:type="paragraph" w:customStyle="1" w:styleId="TableTextIndented">
    <w:name w:val="Table Text Indented"/>
    <w:basedOn w:val="TableText"/>
    <w:qFormat/>
    <w:rsid w:val="009B1E4D"/>
    <w:pPr>
      <w:ind w:left="170"/>
    </w:pPr>
  </w:style>
  <w:style w:type="character" w:customStyle="1" w:styleId="Title3Heading">
    <w:name w:val="Title 3 Heading"/>
    <w:basedOn w:val="DefaultParagraphFont"/>
    <w:uiPriority w:val="3"/>
    <w:qFormat/>
    <w:rsid w:val="008621A9"/>
    <w:rPr>
      <w:sz w:val="36"/>
    </w:rPr>
  </w:style>
  <w:style w:type="character" w:customStyle="1" w:styleId="Title3Char">
    <w:name w:val="Title 3 Char"/>
    <w:basedOn w:val="Title2Char"/>
    <w:link w:val="Title3"/>
    <w:uiPriority w:val="3"/>
    <w:rsid w:val="0081085D"/>
    <w:rPr>
      <w:rFonts w:asciiTheme="majorHAnsi" w:eastAsia="Times New Roman" w:hAnsiTheme="majorHAnsi" w:cs="Arial"/>
      <w:b w:val="0"/>
      <w:color w:val="3D4D7D" w:themeColor="background2"/>
      <w:spacing w:val="-1"/>
      <w:sz w:val="46"/>
      <w:lang w:eastAsia="en-AU"/>
    </w:rPr>
  </w:style>
  <w:style w:type="character" w:styleId="CommentReference">
    <w:name w:val="annotation reference"/>
    <w:basedOn w:val="DefaultParagraphFont"/>
    <w:semiHidden/>
    <w:unhideWhenUsed/>
    <w:rsid w:val="00217EF3"/>
    <w:rPr>
      <w:sz w:val="16"/>
      <w:szCs w:val="16"/>
    </w:rPr>
  </w:style>
  <w:style w:type="paragraph" w:styleId="CommentText">
    <w:name w:val="annotation text"/>
    <w:basedOn w:val="Normal"/>
    <w:link w:val="CommentTextChar"/>
    <w:semiHidden/>
    <w:unhideWhenUsed/>
    <w:rsid w:val="00217EF3"/>
    <w:pPr>
      <w:spacing w:line="240" w:lineRule="auto"/>
    </w:pPr>
    <w:rPr>
      <w:sz w:val="20"/>
      <w:szCs w:val="20"/>
    </w:rPr>
  </w:style>
  <w:style w:type="character" w:customStyle="1" w:styleId="CommentTextChar">
    <w:name w:val="Comment Text Char"/>
    <w:basedOn w:val="DefaultParagraphFont"/>
    <w:link w:val="CommentText"/>
    <w:semiHidden/>
    <w:rsid w:val="00217EF3"/>
    <w:rPr>
      <w:sz w:val="20"/>
      <w:szCs w:val="20"/>
    </w:rPr>
  </w:style>
  <w:style w:type="paragraph" w:styleId="CommentSubject">
    <w:name w:val="annotation subject"/>
    <w:basedOn w:val="CommentText"/>
    <w:next w:val="CommentText"/>
    <w:link w:val="CommentSubjectChar"/>
    <w:semiHidden/>
    <w:unhideWhenUsed/>
    <w:rsid w:val="00217EF3"/>
    <w:rPr>
      <w:b/>
      <w:bCs/>
    </w:rPr>
  </w:style>
  <w:style w:type="character" w:customStyle="1" w:styleId="CommentSubjectChar">
    <w:name w:val="Comment Subject Char"/>
    <w:basedOn w:val="CommentTextChar"/>
    <w:link w:val="CommentSubject"/>
    <w:semiHidden/>
    <w:rsid w:val="00217EF3"/>
    <w:rPr>
      <w:b/>
      <w:bCs/>
      <w:sz w:val="20"/>
      <w:szCs w:val="20"/>
    </w:rPr>
  </w:style>
  <w:style w:type="table" w:styleId="ColorfulGrid">
    <w:name w:val="Colorful Grid"/>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D7E6" w:themeFill="accent1" w:themeFillTint="33"/>
    </w:tcPr>
    <w:tblStylePr w:type="firstRow">
      <w:rPr>
        <w:b/>
        <w:bCs/>
      </w:rPr>
      <w:tblPr/>
      <w:tcPr>
        <w:shd w:val="clear" w:color="auto" w:fill="D6B0CE" w:themeFill="accent1" w:themeFillTint="66"/>
      </w:tcPr>
    </w:tblStylePr>
    <w:tblStylePr w:type="lastRow">
      <w:rPr>
        <w:b/>
        <w:bCs/>
        <w:color w:val="000000" w:themeColor="text1"/>
      </w:rPr>
      <w:tblPr/>
      <w:tcPr>
        <w:shd w:val="clear" w:color="auto" w:fill="D6B0CE" w:themeFill="accent1" w:themeFillTint="66"/>
      </w:tcPr>
    </w:tblStylePr>
    <w:tblStylePr w:type="firstCol">
      <w:rPr>
        <w:color w:val="FFFFFF" w:themeColor="background1"/>
      </w:rPr>
      <w:tblPr/>
      <w:tcPr>
        <w:shd w:val="clear" w:color="auto" w:fill="69365E" w:themeFill="accent1" w:themeFillShade="BF"/>
      </w:tcPr>
    </w:tblStylePr>
    <w:tblStylePr w:type="lastCol">
      <w:rPr>
        <w:color w:val="FFFFFF" w:themeColor="background1"/>
      </w:rPr>
      <w:tblPr/>
      <w:tcPr>
        <w:shd w:val="clear" w:color="auto" w:fill="69365E" w:themeFill="accent1" w:themeFillShade="BF"/>
      </w:tc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ColorfulGrid-Accent2">
    <w:name w:val="Colorful Grid Accent 2"/>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BD9" w:themeFill="accent2" w:themeFillTint="33"/>
    </w:tcPr>
    <w:tblStylePr w:type="firstRow">
      <w:rPr>
        <w:b/>
        <w:bCs/>
      </w:rPr>
      <w:tblPr/>
      <w:tcPr>
        <w:shd w:val="clear" w:color="auto" w:fill="E8B7B4" w:themeFill="accent2" w:themeFillTint="66"/>
      </w:tcPr>
    </w:tblStylePr>
    <w:tblStylePr w:type="lastRow">
      <w:rPr>
        <w:b/>
        <w:bCs/>
        <w:color w:val="000000" w:themeColor="text1"/>
      </w:rPr>
      <w:tblPr/>
      <w:tcPr>
        <w:shd w:val="clear" w:color="auto" w:fill="E8B7B4" w:themeFill="accent2" w:themeFillTint="66"/>
      </w:tcPr>
    </w:tblStylePr>
    <w:tblStylePr w:type="firstCol">
      <w:rPr>
        <w:color w:val="FFFFFF" w:themeColor="background1"/>
      </w:rPr>
      <w:tblPr/>
      <w:tcPr>
        <w:shd w:val="clear" w:color="auto" w:fill="98362F" w:themeFill="accent2" w:themeFillShade="BF"/>
      </w:tcPr>
    </w:tblStylePr>
    <w:tblStylePr w:type="lastCol">
      <w:rPr>
        <w:color w:val="FFFFFF" w:themeColor="background1"/>
      </w:rPr>
      <w:tblPr/>
      <w:tcPr>
        <w:shd w:val="clear" w:color="auto" w:fill="98362F" w:themeFill="accent2" w:themeFillShade="BF"/>
      </w:tc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ColorfulGrid-Accent3">
    <w:name w:val="Colorful Grid Accent 3"/>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6D8" w:themeFill="accent3" w:themeFillTint="33"/>
    </w:tcPr>
    <w:tblStylePr w:type="firstRow">
      <w:rPr>
        <w:b/>
        <w:bCs/>
      </w:rPr>
      <w:tblPr/>
      <w:tcPr>
        <w:shd w:val="clear" w:color="auto" w:fill="F9CEB1" w:themeFill="accent3" w:themeFillTint="66"/>
      </w:tcPr>
    </w:tblStylePr>
    <w:tblStylePr w:type="lastRow">
      <w:rPr>
        <w:b/>
        <w:bCs/>
        <w:color w:val="000000" w:themeColor="text1"/>
      </w:rPr>
      <w:tblPr/>
      <w:tcPr>
        <w:shd w:val="clear" w:color="auto" w:fill="F9CEB1" w:themeFill="accent3" w:themeFillTint="66"/>
      </w:tcPr>
    </w:tblStylePr>
    <w:tblStylePr w:type="firstCol">
      <w:rPr>
        <w:color w:val="FFFFFF" w:themeColor="background1"/>
      </w:rPr>
      <w:tblPr/>
      <w:tcPr>
        <w:shd w:val="clear" w:color="auto" w:fill="D25E0F" w:themeFill="accent3" w:themeFillShade="BF"/>
      </w:tcPr>
    </w:tblStylePr>
    <w:tblStylePr w:type="lastCol">
      <w:rPr>
        <w:color w:val="FFFFFF" w:themeColor="background1"/>
      </w:rPr>
      <w:tblPr/>
      <w:tcPr>
        <w:shd w:val="clear" w:color="auto" w:fill="D25E0F" w:themeFill="accent3" w:themeFillShade="BF"/>
      </w:tc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ColorfulGrid-Accent4">
    <w:name w:val="Colorful Grid Accent 4"/>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A" w:themeFill="accent4" w:themeFillTint="33"/>
    </w:tcPr>
    <w:tblStylePr w:type="firstRow">
      <w:rPr>
        <w:b/>
        <w:bCs/>
      </w:rPr>
      <w:tblPr/>
      <w:tcPr>
        <w:shd w:val="clear" w:color="auto" w:fill="FDE7B5" w:themeFill="accent4" w:themeFillTint="66"/>
      </w:tcPr>
    </w:tblStylePr>
    <w:tblStylePr w:type="lastRow">
      <w:rPr>
        <w:b/>
        <w:bCs/>
        <w:color w:val="000000" w:themeColor="text1"/>
      </w:rPr>
      <w:tblPr/>
      <w:tcPr>
        <w:shd w:val="clear" w:color="auto" w:fill="FDE7B5" w:themeFill="accent4" w:themeFillTint="66"/>
      </w:tcPr>
    </w:tblStylePr>
    <w:tblStylePr w:type="firstCol">
      <w:rPr>
        <w:color w:val="FFFFFF" w:themeColor="background1"/>
      </w:rPr>
      <w:tblPr/>
      <w:tcPr>
        <w:shd w:val="clear" w:color="auto" w:fill="EEA704" w:themeFill="accent4" w:themeFillShade="BF"/>
      </w:tcPr>
    </w:tblStylePr>
    <w:tblStylePr w:type="lastCol">
      <w:rPr>
        <w:color w:val="FFFFFF" w:themeColor="background1"/>
      </w:rPr>
      <w:tblPr/>
      <w:tcPr>
        <w:shd w:val="clear" w:color="auto" w:fill="EEA704" w:themeFill="accent4" w:themeFillShade="BF"/>
      </w:tc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ColorfulGrid-Accent5">
    <w:name w:val="Colorful Grid Accent 5"/>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6F2DD" w:themeFill="accent5" w:themeFillTint="33"/>
    </w:tcPr>
    <w:tblStylePr w:type="firstRow">
      <w:rPr>
        <w:b/>
        <w:bCs/>
      </w:rPr>
      <w:tblPr/>
      <w:tcPr>
        <w:shd w:val="clear" w:color="auto" w:fill="CEE5BB" w:themeFill="accent5" w:themeFillTint="66"/>
      </w:tcPr>
    </w:tblStylePr>
    <w:tblStylePr w:type="lastRow">
      <w:rPr>
        <w:b/>
        <w:bCs/>
        <w:color w:val="000000" w:themeColor="text1"/>
      </w:rPr>
      <w:tblPr/>
      <w:tcPr>
        <w:shd w:val="clear" w:color="auto" w:fill="CEE5BB" w:themeFill="accent5" w:themeFillTint="66"/>
      </w:tcPr>
    </w:tblStylePr>
    <w:tblStylePr w:type="firstCol">
      <w:rPr>
        <w:color w:val="FFFFFF" w:themeColor="background1"/>
      </w:rPr>
      <w:tblPr/>
      <w:tcPr>
        <w:shd w:val="clear" w:color="auto" w:fill="63953A" w:themeFill="accent5" w:themeFillShade="BF"/>
      </w:tcPr>
    </w:tblStylePr>
    <w:tblStylePr w:type="lastCol">
      <w:rPr>
        <w:color w:val="FFFFFF" w:themeColor="background1"/>
      </w:rPr>
      <w:tblPr/>
      <w:tcPr>
        <w:shd w:val="clear" w:color="auto" w:fill="63953A" w:themeFill="accent5" w:themeFillShade="BF"/>
      </w:tc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ColorfulGrid-Accent6">
    <w:name w:val="Colorful Grid Accent 6"/>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5E6" w:themeFill="accent6" w:themeFillTint="33"/>
    </w:tcPr>
    <w:tblStylePr w:type="firstRow">
      <w:rPr>
        <w:b/>
        <w:bCs/>
      </w:rPr>
      <w:tblPr/>
      <w:tcPr>
        <w:shd w:val="clear" w:color="auto" w:fill="C8CCCD" w:themeFill="accent6" w:themeFillTint="66"/>
      </w:tcPr>
    </w:tblStylePr>
    <w:tblStylePr w:type="lastRow">
      <w:rPr>
        <w:b/>
        <w:bCs/>
        <w:color w:val="000000" w:themeColor="text1"/>
      </w:rPr>
      <w:tblPr/>
      <w:tcPr>
        <w:shd w:val="clear" w:color="auto" w:fill="C8CCCD" w:themeFill="accent6" w:themeFillTint="66"/>
      </w:tcPr>
    </w:tblStylePr>
    <w:tblStylePr w:type="firstCol">
      <w:rPr>
        <w:color w:val="FFFFFF" w:themeColor="background1"/>
      </w:rPr>
      <w:tblPr/>
      <w:tcPr>
        <w:shd w:val="clear" w:color="auto" w:fill="5A6062" w:themeFill="accent6" w:themeFillShade="BF"/>
      </w:tcPr>
    </w:tblStylePr>
    <w:tblStylePr w:type="lastCol">
      <w:rPr>
        <w:color w:val="FFFFFF" w:themeColor="background1"/>
      </w:rPr>
      <w:tblPr/>
      <w:tcPr>
        <w:shd w:val="clear" w:color="auto" w:fill="5A6062" w:themeFill="accent6" w:themeFillShade="BF"/>
      </w:tc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ColorfulList">
    <w:name w:val="Colorful List"/>
    <w:basedOn w:val="TableNormal"/>
    <w:uiPriority w:val="72"/>
    <w:semiHidden/>
    <w:rsid w:val="00EE3EB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E3EB6"/>
    <w:pPr>
      <w:spacing w:line="240" w:lineRule="auto"/>
    </w:pPr>
    <w:rPr>
      <w:color w:val="000000" w:themeColor="text1"/>
    </w:rPr>
    <w:tblPr>
      <w:tblStyleRowBandSize w:val="1"/>
      <w:tblStyleColBandSize w:val="1"/>
    </w:tblPr>
    <w:tcPr>
      <w:shd w:val="clear" w:color="auto" w:fill="F5EBF3" w:themeFill="accen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CEE1" w:themeFill="accent1" w:themeFillTint="3F"/>
      </w:tcPr>
    </w:tblStylePr>
    <w:tblStylePr w:type="band1Horz">
      <w:tblPr/>
      <w:tcPr>
        <w:shd w:val="clear" w:color="auto" w:fill="EAD7E6" w:themeFill="accent1" w:themeFillTint="33"/>
      </w:tcPr>
    </w:tblStylePr>
  </w:style>
  <w:style w:type="table" w:styleId="ColorfulList-Accent2">
    <w:name w:val="Colorful List Accent 2"/>
    <w:basedOn w:val="TableNormal"/>
    <w:uiPriority w:val="72"/>
    <w:semiHidden/>
    <w:rsid w:val="00EE3EB6"/>
    <w:pPr>
      <w:spacing w:line="240" w:lineRule="auto"/>
    </w:pPr>
    <w:rPr>
      <w:color w:val="000000" w:themeColor="text1"/>
    </w:rPr>
    <w:tblPr>
      <w:tblStyleRowBandSize w:val="1"/>
      <w:tblStyleColBandSize w:val="1"/>
    </w:tblPr>
    <w:tcPr>
      <w:shd w:val="clear" w:color="auto" w:fill="F9EDEC" w:themeFill="accent2"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D0" w:themeFill="accent2" w:themeFillTint="3F"/>
      </w:tcPr>
    </w:tblStylePr>
    <w:tblStylePr w:type="band1Horz">
      <w:tblPr/>
      <w:tcPr>
        <w:shd w:val="clear" w:color="auto" w:fill="F3DBD9" w:themeFill="accent2" w:themeFillTint="33"/>
      </w:tcPr>
    </w:tblStylePr>
  </w:style>
  <w:style w:type="table" w:styleId="ColorfulList-Accent3">
    <w:name w:val="Colorful List Accent 3"/>
    <w:basedOn w:val="TableNormal"/>
    <w:uiPriority w:val="72"/>
    <w:semiHidden/>
    <w:rsid w:val="00EE3EB6"/>
    <w:pPr>
      <w:spacing w:line="240" w:lineRule="auto"/>
    </w:pPr>
    <w:rPr>
      <w:color w:val="000000" w:themeColor="text1"/>
    </w:rPr>
    <w:tblPr>
      <w:tblStyleRowBandSize w:val="1"/>
      <w:tblStyleColBandSize w:val="1"/>
    </w:tblPr>
    <w:tcPr>
      <w:shd w:val="clear" w:color="auto" w:fill="FDF3EB" w:themeFill="accent3" w:themeFillTint="19"/>
    </w:tcPr>
    <w:tblStylePr w:type="firstRow">
      <w:rPr>
        <w:b/>
        <w:bCs/>
        <w:color w:val="FFFFFF" w:themeColor="background1"/>
      </w:rPr>
      <w:tblPr/>
      <w:tcPr>
        <w:tcBorders>
          <w:bottom w:val="single" w:sz="12" w:space="0" w:color="FFFFFF" w:themeColor="background1"/>
        </w:tcBorders>
        <w:shd w:val="clear" w:color="auto" w:fill="FBB108" w:themeFill="accent4" w:themeFillShade="CC"/>
      </w:tcPr>
    </w:tblStylePr>
    <w:tblStylePr w:type="lastRow">
      <w:rPr>
        <w:b/>
        <w:bCs/>
        <w:color w:val="FBB1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E" w:themeFill="accent3" w:themeFillTint="3F"/>
      </w:tcPr>
    </w:tblStylePr>
    <w:tblStylePr w:type="band1Horz">
      <w:tblPr/>
      <w:tcPr>
        <w:shd w:val="clear" w:color="auto" w:fill="FCE6D8" w:themeFill="accent3" w:themeFillTint="33"/>
      </w:tcPr>
    </w:tblStylePr>
  </w:style>
  <w:style w:type="table" w:styleId="ColorfulList-Accent4">
    <w:name w:val="Colorful List Accent 4"/>
    <w:basedOn w:val="TableNormal"/>
    <w:uiPriority w:val="72"/>
    <w:semiHidden/>
    <w:rsid w:val="00EE3EB6"/>
    <w:pPr>
      <w:spacing w:line="240" w:lineRule="auto"/>
    </w:pPr>
    <w:rPr>
      <w:color w:val="000000" w:themeColor="text1"/>
    </w:rPr>
    <w:tblPr>
      <w:tblStyleRowBandSize w:val="1"/>
      <w:tblStyleColBandSize w:val="1"/>
    </w:tblPr>
    <w:tcPr>
      <w:shd w:val="clear" w:color="auto" w:fill="FEF9EC" w:themeFill="accent4" w:themeFillTint="19"/>
    </w:tcPr>
    <w:tblStylePr w:type="firstRow">
      <w:rPr>
        <w:b/>
        <w:bCs/>
        <w:color w:val="FFFFFF" w:themeColor="background1"/>
      </w:rPr>
      <w:tblPr/>
      <w:tcPr>
        <w:tcBorders>
          <w:bottom w:val="single" w:sz="12" w:space="0" w:color="FFFFFF" w:themeColor="background1"/>
        </w:tcBorders>
        <w:shd w:val="clear" w:color="auto" w:fill="E16510" w:themeFill="accent3" w:themeFillShade="CC"/>
      </w:tcPr>
    </w:tblStylePr>
    <w:tblStylePr w:type="lastRow">
      <w:rPr>
        <w:b/>
        <w:bCs/>
        <w:color w:val="E165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D1" w:themeFill="accent4" w:themeFillTint="3F"/>
      </w:tcPr>
    </w:tblStylePr>
    <w:tblStylePr w:type="band1Horz">
      <w:tblPr/>
      <w:tcPr>
        <w:shd w:val="clear" w:color="auto" w:fill="FEF3DA" w:themeFill="accent4" w:themeFillTint="33"/>
      </w:tcPr>
    </w:tblStylePr>
  </w:style>
  <w:style w:type="table" w:styleId="ColorfulList-Accent5">
    <w:name w:val="Colorful List Accent 5"/>
    <w:basedOn w:val="TableNormal"/>
    <w:uiPriority w:val="72"/>
    <w:semiHidden/>
    <w:rsid w:val="00EE3EB6"/>
    <w:pPr>
      <w:spacing w:line="240" w:lineRule="auto"/>
    </w:pPr>
    <w:rPr>
      <w:color w:val="000000" w:themeColor="text1"/>
    </w:rPr>
    <w:tblPr>
      <w:tblStyleRowBandSize w:val="1"/>
      <w:tblStyleColBandSize w:val="1"/>
    </w:tblPr>
    <w:tcPr>
      <w:shd w:val="clear" w:color="auto" w:fill="F3F8EE" w:themeFill="accent5" w:themeFillTint="19"/>
    </w:tcPr>
    <w:tblStylePr w:type="firstRow">
      <w:rPr>
        <w:b/>
        <w:bCs/>
        <w:color w:val="FFFFFF" w:themeColor="background1"/>
      </w:rPr>
      <w:tblPr/>
      <w:tcPr>
        <w:tcBorders>
          <w:bottom w:val="single" w:sz="12" w:space="0" w:color="FFFFFF" w:themeColor="background1"/>
        </w:tcBorders>
        <w:shd w:val="clear" w:color="auto" w:fill="606768" w:themeFill="accent6" w:themeFillShade="CC"/>
      </w:tcPr>
    </w:tblStylePr>
    <w:tblStylePr w:type="lastRow">
      <w:rPr>
        <w:b/>
        <w:bCs/>
        <w:color w:val="6067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5" w:themeFill="accent5" w:themeFillTint="3F"/>
      </w:tcPr>
    </w:tblStylePr>
    <w:tblStylePr w:type="band1Horz">
      <w:tblPr/>
      <w:tcPr>
        <w:shd w:val="clear" w:color="auto" w:fill="E6F2DD" w:themeFill="accent5" w:themeFillTint="33"/>
      </w:tcPr>
    </w:tblStylePr>
  </w:style>
  <w:style w:type="table" w:styleId="ColorfulList-Accent6">
    <w:name w:val="Colorful List Accent 6"/>
    <w:basedOn w:val="TableNormal"/>
    <w:uiPriority w:val="72"/>
    <w:semiHidden/>
    <w:rsid w:val="00EE3EB6"/>
    <w:pPr>
      <w:spacing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6A9F3D" w:themeFill="accent5" w:themeFillShade="CC"/>
      </w:tcPr>
    </w:tblStylePr>
    <w:tblStylePr w:type="lastRow">
      <w:rPr>
        <w:b/>
        <w:bCs/>
        <w:color w:val="6A9F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FE0" w:themeFill="accent6" w:themeFillTint="3F"/>
      </w:tcPr>
    </w:tblStylePr>
    <w:tblStylePr w:type="band1Horz">
      <w:tblPr/>
      <w:tcPr>
        <w:shd w:val="clear" w:color="auto" w:fill="E3E5E6" w:themeFill="accent6" w:themeFillTint="33"/>
      </w:tcPr>
    </w:tblStylePr>
  </w:style>
  <w:style w:type="table" w:styleId="ColorfulShading">
    <w:name w:val="Colorful Shading"/>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8D487F" w:themeColor="accent1"/>
        <w:bottom w:val="single" w:sz="4" w:space="0" w:color="8D487F" w:themeColor="accent1"/>
        <w:right w:val="single" w:sz="4" w:space="0" w:color="8D487F" w:themeColor="accent1"/>
        <w:insideH w:val="single" w:sz="4" w:space="0" w:color="FFFFFF" w:themeColor="background1"/>
        <w:insideV w:val="single" w:sz="4" w:space="0" w:color="FFFFFF" w:themeColor="background1"/>
      </w:tblBorders>
    </w:tblPr>
    <w:tcPr>
      <w:shd w:val="clear" w:color="auto" w:fill="F5EBF3" w:themeFill="accen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B4B" w:themeFill="accent1" w:themeFillShade="99"/>
      </w:tcPr>
    </w:tblStylePr>
    <w:tblStylePr w:type="firstCol">
      <w:rPr>
        <w:color w:val="FFFFFF" w:themeColor="background1"/>
      </w:rPr>
      <w:tblPr/>
      <w:tcPr>
        <w:tcBorders>
          <w:top w:val="nil"/>
          <w:left w:val="nil"/>
          <w:bottom w:val="nil"/>
          <w:right w:val="nil"/>
          <w:insideH w:val="single" w:sz="4" w:space="0" w:color="542B4B" w:themeColor="accent1" w:themeShade="99"/>
          <w:insideV w:val="nil"/>
        </w:tcBorders>
        <w:shd w:val="clear" w:color="auto" w:fill="542B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42B4B" w:themeFill="accent1" w:themeFillShade="99"/>
      </w:tcPr>
    </w:tblStylePr>
    <w:tblStylePr w:type="band1Vert">
      <w:tblPr/>
      <w:tcPr>
        <w:shd w:val="clear" w:color="auto" w:fill="D6B0CE" w:themeFill="accent1" w:themeFillTint="66"/>
      </w:tcPr>
    </w:tblStylePr>
    <w:tblStylePr w:type="band1Horz">
      <w:tblPr/>
      <w:tcPr>
        <w:shd w:val="clear" w:color="auto" w:fill="CD9DC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C64E45" w:themeColor="accent2"/>
        <w:bottom w:val="single" w:sz="4" w:space="0" w:color="C64E45" w:themeColor="accent2"/>
        <w:right w:val="single" w:sz="4" w:space="0" w:color="C64E45" w:themeColor="accent2"/>
        <w:insideH w:val="single" w:sz="4" w:space="0" w:color="FFFFFF" w:themeColor="background1"/>
        <w:insideV w:val="single" w:sz="4" w:space="0" w:color="FFFFFF" w:themeColor="background1"/>
      </w:tblBorders>
    </w:tblPr>
    <w:tcPr>
      <w:shd w:val="clear" w:color="auto" w:fill="F9EDEC" w:themeFill="accent2"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B25" w:themeFill="accent2" w:themeFillShade="99"/>
      </w:tcPr>
    </w:tblStylePr>
    <w:tblStylePr w:type="firstCol">
      <w:rPr>
        <w:color w:val="FFFFFF" w:themeColor="background1"/>
      </w:rPr>
      <w:tblPr/>
      <w:tcPr>
        <w:tcBorders>
          <w:top w:val="nil"/>
          <w:left w:val="nil"/>
          <w:bottom w:val="nil"/>
          <w:right w:val="nil"/>
          <w:insideH w:val="single" w:sz="4" w:space="0" w:color="7A2B25" w:themeColor="accent2" w:themeShade="99"/>
          <w:insideV w:val="nil"/>
        </w:tcBorders>
        <w:shd w:val="clear" w:color="auto" w:fill="7A2B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2B25" w:themeFill="accent2" w:themeFillShade="99"/>
      </w:tcPr>
    </w:tblStylePr>
    <w:tblStylePr w:type="band1Vert">
      <w:tblPr/>
      <w:tcPr>
        <w:shd w:val="clear" w:color="auto" w:fill="E8B7B4" w:themeFill="accent2" w:themeFillTint="66"/>
      </w:tcPr>
    </w:tblStylePr>
    <w:tblStylePr w:type="band1Horz">
      <w:tblPr/>
      <w:tcPr>
        <w:shd w:val="clear" w:color="auto" w:fill="E2A6A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E3EB6"/>
    <w:pPr>
      <w:spacing w:line="240" w:lineRule="auto"/>
    </w:pPr>
    <w:rPr>
      <w:color w:val="000000" w:themeColor="text1"/>
    </w:rPr>
    <w:tblPr>
      <w:tblStyleRowBandSize w:val="1"/>
      <w:tblStyleColBandSize w:val="1"/>
      <w:tblBorders>
        <w:top w:val="single" w:sz="24" w:space="0" w:color="FCC648" w:themeColor="accent4"/>
        <w:left w:val="single" w:sz="4" w:space="0" w:color="F1873D" w:themeColor="accent3"/>
        <w:bottom w:val="single" w:sz="4" w:space="0" w:color="F1873D" w:themeColor="accent3"/>
        <w:right w:val="single" w:sz="4" w:space="0" w:color="F1873D" w:themeColor="accent3"/>
        <w:insideH w:val="single" w:sz="4" w:space="0" w:color="FFFFFF" w:themeColor="background1"/>
        <w:insideV w:val="single" w:sz="4" w:space="0" w:color="FFFFFF" w:themeColor="background1"/>
      </w:tblBorders>
    </w:tblPr>
    <w:tcPr>
      <w:shd w:val="clear" w:color="auto" w:fill="FDF3EB" w:themeFill="accent3" w:themeFillTint="19"/>
    </w:tcPr>
    <w:tblStylePr w:type="firstRow">
      <w:rPr>
        <w:b/>
        <w:bCs/>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4C0C" w:themeFill="accent3" w:themeFillShade="99"/>
      </w:tcPr>
    </w:tblStylePr>
    <w:tblStylePr w:type="firstCol">
      <w:rPr>
        <w:color w:val="FFFFFF" w:themeColor="background1"/>
      </w:rPr>
      <w:tblPr/>
      <w:tcPr>
        <w:tcBorders>
          <w:top w:val="nil"/>
          <w:left w:val="nil"/>
          <w:bottom w:val="nil"/>
          <w:right w:val="nil"/>
          <w:insideH w:val="single" w:sz="4" w:space="0" w:color="A84C0C" w:themeColor="accent3" w:themeShade="99"/>
          <w:insideV w:val="nil"/>
        </w:tcBorders>
        <w:shd w:val="clear" w:color="auto" w:fill="A84C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4C0C" w:themeFill="accent3" w:themeFillShade="99"/>
      </w:tcPr>
    </w:tblStylePr>
    <w:tblStylePr w:type="band1Vert">
      <w:tblPr/>
      <w:tcPr>
        <w:shd w:val="clear" w:color="auto" w:fill="F9CEB1" w:themeFill="accent3" w:themeFillTint="66"/>
      </w:tcPr>
    </w:tblStylePr>
    <w:tblStylePr w:type="band1Horz">
      <w:tblPr/>
      <w:tcPr>
        <w:shd w:val="clear" w:color="auto" w:fill="F8C29E" w:themeFill="accent3" w:themeFillTint="7F"/>
      </w:tcPr>
    </w:tblStylePr>
  </w:style>
  <w:style w:type="table" w:styleId="ColorfulShading-Accent4">
    <w:name w:val="Colorful Shading Accent 4"/>
    <w:basedOn w:val="TableNormal"/>
    <w:uiPriority w:val="71"/>
    <w:semiHidden/>
    <w:rsid w:val="00EE3EB6"/>
    <w:pPr>
      <w:spacing w:line="240" w:lineRule="auto"/>
    </w:pPr>
    <w:rPr>
      <w:color w:val="000000" w:themeColor="text1"/>
    </w:rPr>
    <w:tblPr>
      <w:tblStyleRowBandSize w:val="1"/>
      <w:tblStyleColBandSize w:val="1"/>
      <w:tblBorders>
        <w:top w:val="single" w:sz="24" w:space="0" w:color="F1873D" w:themeColor="accent3"/>
        <w:left w:val="single" w:sz="4" w:space="0" w:color="FCC648" w:themeColor="accent4"/>
        <w:bottom w:val="single" w:sz="4" w:space="0" w:color="FCC648" w:themeColor="accent4"/>
        <w:right w:val="single" w:sz="4" w:space="0" w:color="FCC648" w:themeColor="accent4"/>
        <w:insideH w:val="single" w:sz="4" w:space="0" w:color="FFFFFF" w:themeColor="background1"/>
        <w:insideV w:val="single" w:sz="4" w:space="0" w:color="FFFFFF" w:themeColor="background1"/>
      </w:tblBorders>
    </w:tblPr>
    <w:tcPr>
      <w:shd w:val="clear" w:color="auto" w:fill="FEF9EC" w:themeFill="accent4" w:themeFillTint="19"/>
    </w:tcPr>
    <w:tblStylePr w:type="firstRow">
      <w:rPr>
        <w:b/>
        <w:bCs/>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8603" w:themeFill="accent4" w:themeFillShade="99"/>
      </w:tcPr>
    </w:tblStylePr>
    <w:tblStylePr w:type="firstCol">
      <w:rPr>
        <w:color w:val="FFFFFF" w:themeColor="background1"/>
      </w:rPr>
      <w:tblPr/>
      <w:tcPr>
        <w:tcBorders>
          <w:top w:val="nil"/>
          <w:left w:val="nil"/>
          <w:bottom w:val="nil"/>
          <w:right w:val="nil"/>
          <w:insideH w:val="single" w:sz="4" w:space="0" w:color="BF8603" w:themeColor="accent4" w:themeShade="99"/>
          <w:insideV w:val="nil"/>
        </w:tcBorders>
        <w:shd w:val="clear" w:color="auto" w:fill="BF8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F8603" w:themeFill="accent4" w:themeFillShade="99"/>
      </w:tcPr>
    </w:tblStylePr>
    <w:tblStylePr w:type="band1Vert">
      <w:tblPr/>
      <w:tcPr>
        <w:shd w:val="clear" w:color="auto" w:fill="FDE7B5" w:themeFill="accent4" w:themeFillTint="66"/>
      </w:tcPr>
    </w:tblStylePr>
    <w:tblStylePr w:type="band1Horz">
      <w:tblPr/>
      <w:tcPr>
        <w:shd w:val="clear" w:color="auto" w:fill="FDE2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E3EB6"/>
    <w:pPr>
      <w:spacing w:line="240" w:lineRule="auto"/>
    </w:pPr>
    <w:rPr>
      <w:color w:val="000000" w:themeColor="text1"/>
    </w:rPr>
    <w:tblPr>
      <w:tblStyleRowBandSize w:val="1"/>
      <w:tblStyleColBandSize w:val="1"/>
      <w:tblBorders>
        <w:top w:val="single" w:sz="24" w:space="0" w:color="788183" w:themeColor="accent6"/>
        <w:left w:val="single" w:sz="4" w:space="0" w:color="86BE57" w:themeColor="accent5"/>
        <w:bottom w:val="single" w:sz="4" w:space="0" w:color="86BE57" w:themeColor="accent5"/>
        <w:right w:val="single" w:sz="4" w:space="0" w:color="86BE57" w:themeColor="accent5"/>
        <w:insideH w:val="single" w:sz="4" w:space="0" w:color="FFFFFF" w:themeColor="background1"/>
        <w:insideV w:val="single" w:sz="4" w:space="0" w:color="FFFFFF" w:themeColor="background1"/>
      </w:tblBorders>
    </w:tblPr>
    <w:tcPr>
      <w:shd w:val="clear" w:color="auto" w:fill="F3F8EE" w:themeFill="accent5" w:themeFillTint="19"/>
    </w:tcPr>
    <w:tblStylePr w:type="firstRow">
      <w:rPr>
        <w:b/>
        <w:bCs/>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72E" w:themeFill="accent5" w:themeFillShade="99"/>
      </w:tcPr>
    </w:tblStylePr>
    <w:tblStylePr w:type="firstCol">
      <w:rPr>
        <w:color w:val="FFFFFF" w:themeColor="background1"/>
      </w:rPr>
      <w:tblPr/>
      <w:tcPr>
        <w:tcBorders>
          <w:top w:val="nil"/>
          <w:left w:val="nil"/>
          <w:bottom w:val="nil"/>
          <w:right w:val="nil"/>
          <w:insideH w:val="single" w:sz="4" w:space="0" w:color="4F772E" w:themeColor="accent5" w:themeShade="99"/>
          <w:insideV w:val="nil"/>
        </w:tcBorders>
        <w:shd w:val="clear" w:color="auto" w:fill="4F77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772E" w:themeFill="accent5" w:themeFillShade="99"/>
      </w:tcPr>
    </w:tblStylePr>
    <w:tblStylePr w:type="band1Vert">
      <w:tblPr/>
      <w:tcPr>
        <w:shd w:val="clear" w:color="auto" w:fill="CEE5BB" w:themeFill="accent5" w:themeFillTint="66"/>
      </w:tcPr>
    </w:tblStylePr>
    <w:tblStylePr w:type="band1Horz">
      <w:tblPr/>
      <w:tcPr>
        <w:shd w:val="clear" w:color="auto" w:fill="C2DEA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E3EB6"/>
    <w:pPr>
      <w:spacing w:line="240" w:lineRule="auto"/>
    </w:pPr>
    <w:rPr>
      <w:color w:val="000000" w:themeColor="text1"/>
    </w:rPr>
    <w:tblPr>
      <w:tblStyleRowBandSize w:val="1"/>
      <w:tblStyleColBandSize w:val="1"/>
      <w:tblBorders>
        <w:top w:val="single" w:sz="24" w:space="0" w:color="86BE57" w:themeColor="accent5"/>
        <w:left w:val="single" w:sz="4" w:space="0" w:color="788183" w:themeColor="accent6"/>
        <w:bottom w:val="single" w:sz="4" w:space="0" w:color="788183" w:themeColor="accent6"/>
        <w:right w:val="single" w:sz="4" w:space="0" w:color="788183" w:themeColor="accent6"/>
        <w:insideH w:val="single" w:sz="4" w:space="0" w:color="FFFFFF" w:themeColor="background1"/>
        <w:insideV w:val="single" w:sz="4" w:space="0" w:color="FFFFFF" w:themeColor="background1"/>
      </w:tblBorders>
    </w:tblPr>
    <w:tcPr>
      <w:shd w:val="clear" w:color="auto" w:fill="F1F2F2" w:themeFill="accent6" w:themeFillTint="19"/>
    </w:tcPr>
    <w:tblStylePr w:type="firstRow">
      <w:rPr>
        <w:b/>
        <w:bCs/>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D4E" w:themeFill="accent6" w:themeFillShade="99"/>
      </w:tcPr>
    </w:tblStylePr>
    <w:tblStylePr w:type="firstCol">
      <w:rPr>
        <w:color w:val="FFFFFF" w:themeColor="background1"/>
      </w:rPr>
      <w:tblPr/>
      <w:tcPr>
        <w:tcBorders>
          <w:top w:val="nil"/>
          <w:left w:val="nil"/>
          <w:bottom w:val="nil"/>
          <w:right w:val="nil"/>
          <w:insideH w:val="single" w:sz="4" w:space="0" w:color="484D4E" w:themeColor="accent6" w:themeShade="99"/>
          <w:insideV w:val="nil"/>
        </w:tcBorders>
        <w:shd w:val="clear" w:color="auto" w:fill="48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D4E" w:themeFill="accent6" w:themeFillShade="99"/>
      </w:tcPr>
    </w:tblStylePr>
    <w:tblStylePr w:type="band1Vert">
      <w:tblPr/>
      <w:tcPr>
        <w:shd w:val="clear" w:color="auto" w:fill="C8CCCD" w:themeFill="accent6" w:themeFillTint="66"/>
      </w:tcPr>
    </w:tblStylePr>
    <w:tblStylePr w:type="band1Horz">
      <w:tblPr/>
      <w:tcPr>
        <w:shd w:val="clear" w:color="auto" w:fill="BBC0C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E3EB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E3EB6"/>
    <w:pPr>
      <w:spacing w:line="240" w:lineRule="auto"/>
    </w:pPr>
    <w:rPr>
      <w:color w:val="FFFFFF" w:themeColor="background1"/>
    </w:rPr>
    <w:tblPr>
      <w:tblStyleRowBandSize w:val="1"/>
      <w:tblStyleColBandSize w:val="1"/>
    </w:tblPr>
    <w:tcPr>
      <w:shd w:val="clear" w:color="auto" w:fill="8D48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243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936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9365E" w:themeFill="accent1" w:themeFillShade="BF"/>
      </w:tcPr>
    </w:tblStylePr>
    <w:tblStylePr w:type="band1Vert">
      <w:tblPr/>
      <w:tcPr>
        <w:tcBorders>
          <w:top w:val="nil"/>
          <w:left w:val="nil"/>
          <w:bottom w:val="nil"/>
          <w:right w:val="nil"/>
          <w:insideH w:val="nil"/>
          <w:insideV w:val="nil"/>
        </w:tcBorders>
        <w:shd w:val="clear" w:color="auto" w:fill="69365E" w:themeFill="accent1" w:themeFillShade="BF"/>
      </w:tcPr>
    </w:tblStylePr>
    <w:tblStylePr w:type="band1Horz">
      <w:tblPr/>
      <w:tcPr>
        <w:tcBorders>
          <w:top w:val="nil"/>
          <w:left w:val="nil"/>
          <w:bottom w:val="nil"/>
          <w:right w:val="nil"/>
          <w:insideH w:val="nil"/>
          <w:insideV w:val="nil"/>
        </w:tcBorders>
        <w:shd w:val="clear" w:color="auto" w:fill="69365E" w:themeFill="accent1" w:themeFillShade="BF"/>
      </w:tcPr>
    </w:tblStylePr>
  </w:style>
  <w:style w:type="table" w:styleId="DarkList-Accent2">
    <w:name w:val="Dark List Accent 2"/>
    <w:basedOn w:val="TableNormal"/>
    <w:uiPriority w:val="70"/>
    <w:semiHidden/>
    <w:rsid w:val="00EE3EB6"/>
    <w:pPr>
      <w:spacing w:line="240" w:lineRule="auto"/>
    </w:pPr>
    <w:rPr>
      <w:color w:val="FFFFFF" w:themeColor="background1"/>
    </w:rPr>
    <w:tblPr>
      <w:tblStyleRowBandSize w:val="1"/>
      <w:tblStyleColBandSize w:val="1"/>
    </w:tblPr>
    <w:tcPr>
      <w:shd w:val="clear" w:color="auto" w:fill="C64E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23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36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362F" w:themeFill="accent2" w:themeFillShade="BF"/>
      </w:tcPr>
    </w:tblStylePr>
    <w:tblStylePr w:type="band1Vert">
      <w:tblPr/>
      <w:tcPr>
        <w:tcBorders>
          <w:top w:val="nil"/>
          <w:left w:val="nil"/>
          <w:bottom w:val="nil"/>
          <w:right w:val="nil"/>
          <w:insideH w:val="nil"/>
          <w:insideV w:val="nil"/>
        </w:tcBorders>
        <w:shd w:val="clear" w:color="auto" w:fill="98362F" w:themeFill="accent2" w:themeFillShade="BF"/>
      </w:tcPr>
    </w:tblStylePr>
    <w:tblStylePr w:type="band1Horz">
      <w:tblPr/>
      <w:tcPr>
        <w:tcBorders>
          <w:top w:val="nil"/>
          <w:left w:val="nil"/>
          <w:bottom w:val="nil"/>
          <w:right w:val="nil"/>
          <w:insideH w:val="nil"/>
          <w:insideV w:val="nil"/>
        </w:tcBorders>
        <w:shd w:val="clear" w:color="auto" w:fill="98362F" w:themeFill="accent2" w:themeFillShade="BF"/>
      </w:tcPr>
    </w:tblStylePr>
  </w:style>
  <w:style w:type="table" w:styleId="DarkList-Accent3">
    <w:name w:val="Dark List Accent 3"/>
    <w:basedOn w:val="TableNormal"/>
    <w:uiPriority w:val="70"/>
    <w:semiHidden/>
    <w:rsid w:val="00EE3EB6"/>
    <w:pPr>
      <w:spacing w:line="240" w:lineRule="auto"/>
    </w:pPr>
    <w:rPr>
      <w:color w:val="FFFFFF" w:themeColor="background1"/>
    </w:rPr>
    <w:tblPr>
      <w:tblStyleRowBandSize w:val="1"/>
      <w:tblStyleColBandSize w:val="1"/>
    </w:tblPr>
    <w:tcPr>
      <w:shd w:val="clear" w:color="auto" w:fill="F1873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3F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5E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5E0F" w:themeFill="accent3" w:themeFillShade="BF"/>
      </w:tcPr>
    </w:tblStylePr>
    <w:tblStylePr w:type="band1Vert">
      <w:tblPr/>
      <w:tcPr>
        <w:tcBorders>
          <w:top w:val="nil"/>
          <w:left w:val="nil"/>
          <w:bottom w:val="nil"/>
          <w:right w:val="nil"/>
          <w:insideH w:val="nil"/>
          <w:insideV w:val="nil"/>
        </w:tcBorders>
        <w:shd w:val="clear" w:color="auto" w:fill="D25E0F" w:themeFill="accent3" w:themeFillShade="BF"/>
      </w:tcPr>
    </w:tblStylePr>
    <w:tblStylePr w:type="band1Horz">
      <w:tblPr/>
      <w:tcPr>
        <w:tcBorders>
          <w:top w:val="nil"/>
          <w:left w:val="nil"/>
          <w:bottom w:val="nil"/>
          <w:right w:val="nil"/>
          <w:insideH w:val="nil"/>
          <w:insideV w:val="nil"/>
        </w:tcBorders>
        <w:shd w:val="clear" w:color="auto" w:fill="D25E0F" w:themeFill="accent3" w:themeFillShade="BF"/>
      </w:tcPr>
    </w:tblStylePr>
  </w:style>
  <w:style w:type="table" w:styleId="DarkList-Accent4">
    <w:name w:val="Dark List Accent 4"/>
    <w:basedOn w:val="TableNormal"/>
    <w:uiPriority w:val="70"/>
    <w:semiHidden/>
    <w:rsid w:val="00EE3EB6"/>
    <w:pPr>
      <w:spacing w:line="240" w:lineRule="auto"/>
    </w:pPr>
    <w:rPr>
      <w:color w:val="FFFFFF" w:themeColor="background1"/>
    </w:rPr>
    <w:tblPr>
      <w:tblStyleRowBandSize w:val="1"/>
      <w:tblStyleColBandSize w:val="1"/>
    </w:tblPr>
    <w:tcPr>
      <w:shd w:val="clear" w:color="auto" w:fill="FCC6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6F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A7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A704" w:themeFill="accent4" w:themeFillShade="BF"/>
      </w:tcPr>
    </w:tblStylePr>
    <w:tblStylePr w:type="band1Vert">
      <w:tblPr/>
      <w:tcPr>
        <w:tcBorders>
          <w:top w:val="nil"/>
          <w:left w:val="nil"/>
          <w:bottom w:val="nil"/>
          <w:right w:val="nil"/>
          <w:insideH w:val="nil"/>
          <w:insideV w:val="nil"/>
        </w:tcBorders>
        <w:shd w:val="clear" w:color="auto" w:fill="EEA704" w:themeFill="accent4" w:themeFillShade="BF"/>
      </w:tcPr>
    </w:tblStylePr>
    <w:tblStylePr w:type="band1Horz">
      <w:tblPr/>
      <w:tcPr>
        <w:tcBorders>
          <w:top w:val="nil"/>
          <w:left w:val="nil"/>
          <w:bottom w:val="nil"/>
          <w:right w:val="nil"/>
          <w:insideH w:val="nil"/>
          <w:insideV w:val="nil"/>
        </w:tcBorders>
        <w:shd w:val="clear" w:color="auto" w:fill="EEA704" w:themeFill="accent4" w:themeFillShade="BF"/>
      </w:tcPr>
    </w:tblStylePr>
  </w:style>
  <w:style w:type="table" w:styleId="DarkList-Accent5">
    <w:name w:val="Dark List Accent 5"/>
    <w:basedOn w:val="TableNormal"/>
    <w:uiPriority w:val="70"/>
    <w:semiHidden/>
    <w:rsid w:val="00EE3EB6"/>
    <w:pPr>
      <w:spacing w:line="240" w:lineRule="auto"/>
    </w:pPr>
    <w:rPr>
      <w:color w:val="FFFFFF" w:themeColor="background1"/>
    </w:rPr>
    <w:tblPr>
      <w:tblStyleRowBandSize w:val="1"/>
      <w:tblStyleColBandSize w:val="1"/>
    </w:tblPr>
    <w:tcPr>
      <w:shd w:val="clear" w:color="auto" w:fill="86BE5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3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953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953A" w:themeFill="accent5" w:themeFillShade="BF"/>
      </w:tcPr>
    </w:tblStylePr>
    <w:tblStylePr w:type="band1Vert">
      <w:tblPr/>
      <w:tcPr>
        <w:tcBorders>
          <w:top w:val="nil"/>
          <w:left w:val="nil"/>
          <w:bottom w:val="nil"/>
          <w:right w:val="nil"/>
          <w:insideH w:val="nil"/>
          <w:insideV w:val="nil"/>
        </w:tcBorders>
        <w:shd w:val="clear" w:color="auto" w:fill="63953A" w:themeFill="accent5" w:themeFillShade="BF"/>
      </w:tcPr>
    </w:tblStylePr>
    <w:tblStylePr w:type="band1Horz">
      <w:tblPr/>
      <w:tcPr>
        <w:tcBorders>
          <w:top w:val="nil"/>
          <w:left w:val="nil"/>
          <w:bottom w:val="nil"/>
          <w:right w:val="nil"/>
          <w:insideH w:val="nil"/>
          <w:insideV w:val="nil"/>
        </w:tcBorders>
        <w:shd w:val="clear" w:color="auto" w:fill="63953A" w:themeFill="accent5" w:themeFillShade="BF"/>
      </w:tcPr>
    </w:tblStylePr>
  </w:style>
  <w:style w:type="table" w:styleId="DarkList-Accent6">
    <w:name w:val="Dark List Accent 6"/>
    <w:basedOn w:val="TableNormal"/>
    <w:uiPriority w:val="70"/>
    <w:semiHidden/>
    <w:rsid w:val="00EE3EB6"/>
    <w:pPr>
      <w:spacing w:line="240" w:lineRule="auto"/>
    </w:pPr>
    <w:rPr>
      <w:color w:val="FFFFFF" w:themeColor="background1"/>
    </w:rPr>
    <w:tblPr>
      <w:tblStyleRowBandSize w:val="1"/>
      <w:tblStyleColBandSize w:val="1"/>
    </w:tblPr>
    <w:tcPr>
      <w:shd w:val="clear" w:color="auto" w:fill="78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6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6062" w:themeFill="accent6" w:themeFillShade="BF"/>
      </w:tcPr>
    </w:tblStylePr>
    <w:tblStylePr w:type="band1Vert">
      <w:tblPr/>
      <w:tcPr>
        <w:tcBorders>
          <w:top w:val="nil"/>
          <w:left w:val="nil"/>
          <w:bottom w:val="nil"/>
          <w:right w:val="nil"/>
          <w:insideH w:val="nil"/>
          <w:insideV w:val="nil"/>
        </w:tcBorders>
        <w:shd w:val="clear" w:color="auto" w:fill="5A6062" w:themeFill="accent6" w:themeFillShade="BF"/>
      </w:tcPr>
    </w:tblStylePr>
    <w:tblStylePr w:type="band1Horz">
      <w:tblPr/>
      <w:tcPr>
        <w:tcBorders>
          <w:top w:val="nil"/>
          <w:left w:val="nil"/>
          <w:bottom w:val="nil"/>
          <w:right w:val="nil"/>
          <w:insideH w:val="nil"/>
          <w:insideV w:val="nil"/>
        </w:tcBorders>
        <w:shd w:val="clear" w:color="auto" w:fill="5A6062" w:themeFill="accent6" w:themeFillShade="BF"/>
      </w:tcPr>
    </w:tblStylePr>
  </w:style>
  <w:style w:type="table" w:customStyle="1" w:styleId="GridTable1Light1">
    <w:name w:val="Grid Table 1 Light1"/>
    <w:basedOn w:val="TableNormal"/>
    <w:uiPriority w:val="46"/>
    <w:semiHidden/>
    <w:rsid w:val="00EE3EB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EE3EB6"/>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EE3EB6"/>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EE3EB6"/>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EE3EB6"/>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EE3EB6"/>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EE3EB6"/>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EE3EB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EE3EB6"/>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1">
    <w:name w:val="Grid Table 2 - Accent 21"/>
    <w:basedOn w:val="TableNormal"/>
    <w:uiPriority w:val="47"/>
    <w:semiHidden/>
    <w:rsid w:val="00EE3EB6"/>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1">
    <w:name w:val="Grid Table 2 - Accent 31"/>
    <w:basedOn w:val="TableNormal"/>
    <w:uiPriority w:val="47"/>
    <w:semiHidden/>
    <w:rsid w:val="00EE3EB6"/>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1">
    <w:name w:val="Grid Table 2 - Accent 41"/>
    <w:basedOn w:val="TableNormal"/>
    <w:uiPriority w:val="47"/>
    <w:semiHidden/>
    <w:rsid w:val="00EE3EB6"/>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1">
    <w:name w:val="Grid Table 2 - Accent 51"/>
    <w:basedOn w:val="TableNormal"/>
    <w:uiPriority w:val="47"/>
    <w:semiHidden/>
    <w:rsid w:val="00EE3EB6"/>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1">
    <w:name w:val="Grid Table 2 - Accent 61"/>
    <w:basedOn w:val="TableNormal"/>
    <w:uiPriority w:val="47"/>
    <w:semiHidden/>
    <w:rsid w:val="00EE3EB6"/>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1">
    <w:name w:val="Grid Table 31"/>
    <w:basedOn w:val="TableNormal"/>
    <w:uiPriority w:val="48"/>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1">
    <w:name w:val="Grid Table 3 - Accent 21"/>
    <w:basedOn w:val="TableNormal"/>
    <w:uiPriority w:val="48"/>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1">
    <w:name w:val="Grid Table 3 - Accent 31"/>
    <w:basedOn w:val="TableNormal"/>
    <w:uiPriority w:val="48"/>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1">
    <w:name w:val="Grid Table 3 - Accent 41"/>
    <w:basedOn w:val="TableNormal"/>
    <w:uiPriority w:val="48"/>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1">
    <w:name w:val="Grid Table 3 - Accent 51"/>
    <w:basedOn w:val="TableNormal"/>
    <w:uiPriority w:val="48"/>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1">
    <w:name w:val="Grid Table 3 - Accent 61"/>
    <w:basedOn w:val="TableNormal"/>
    <w:uiPriority w:val="48"/>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1">
    <w:name w:val="Grid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1">
    <w:name w:val="Grid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1">
    <w:name w:val="Grid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1">
    <w:name w:val="Grid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1">
    <w:name w:val="Grid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1">
    <w:name w:val="Grid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1">
    <w:name w:val="Grid Table 5 Dark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1">
    <w:name w:val="Grid Table 5 Dark - Accent 2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1">
    <w:name w:val="Grid Table 5 Dark - Accent 3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1">
    <w:name w:val="Grid Table 5 Dark - Accent 4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1">
    <w:name w:val="Grid Table 5 Dark - Accent 5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1">
    <w:name w:val="Grid Table 5 Dark - Accent 6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1">
    <w:name w:val="Grid Table 6 Colorful1"/>
    <w:basedOn w:val="TableNormal"/>
    <w:uiPriority w:val="51"/>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1">
    <w:name w:val="Grid Table 6 Colo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1">
    <w:name w:val="Grid Table 6 Colo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1">
    <w:name w:val="Grid Table 6 Colo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1">
    <w:name w:val="Grid Table 6 Colo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1">
    <w:name w:val="Grid Table 6 Colo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1">
    <w:name w:val="Grid Table 7 Colorful1"/>
    <w:basedOn w:val="TableNormal"/>
    <w:uiPriority w:val="52"/>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1">
    <w:name w:val="Grid Table 7 Colorful - Accent 21"/>
    <w:basedOn w:val="TableNormal"/>
    <w:uiPriority w:val="52"/>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1">
    <w:name w:val="Grid Table 7 Colorful - Accent 31"/>
    <w:basedOn w:val="TableNormal"/>
    <w:uiPriority w:val="52"/>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1">
    <w:name w:val="Grid Table 7 Colorful - Accent 41"/>
    <w:basedOn w:val="TableNormal"/>
    <w:uiPriority w:val="52"/>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1">
    <w:name w:val="Grid Table 7 Colorful - Accent 51"/>
    <w:basedOn w:val="TableNormal"/>
    <w:uiPriority w:val="52"/>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1">
    <w:name w:val="Grid Table 7 Colorful - Accent 61"/>
    <w:basedOn w:val="TableNormal"/>
    <w:uiPriority w:val="52"/>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styleId="LightGrid">
    <w:name w:val="Light Grid"/>
    <w:basedOn w:val="TableNormal"/>
    <w:uiPriority w:val="62"/>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18" w:space="0" w:color="8D487F" w:themeColor="accent1"/>
          <w:right w:val="single" w:sz="8" w:space="0" w:color="8D487F" w:themeColor="accent1"/>
          <w:insideH w:val="nil"/>
          <w:insideV w:val="single" w:sz="8" w:space="0" w:color="8D48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insideH w:val="nil"/>
          <w:insideV w:val="single" w:sz="8" w:space="0" w:color="8D48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shd w:val="clear" w:color="auto" w:fill="E6CEE1" w:themeFill="accent1" w:themeFillTint="3F"/>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shd w:val="clear" w:color="auto" w:fill="E6CEE1" w:themeFill="accent1" w:themeFillTint="3F"/>
      </w:tcPr>
    </w:tblStylePr>
    <w:tblStylePr w:type="band2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tcPr>
    </w:tblStylePr>
  </w:style>
  <w:style w:type="table" w:styleId="LightGrid-Accent2">
    <w:name w:val="Light Grid Accent 2"/>
    <w:basedOn w:val="TableNormal"/>
    <w:uiPriority w:val="62"/>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18" w:space="0" w:color="C64E45" w:themeColor="accent2"/>
          <w:right w:val="single" w:sz="8" w:space="0" w:color="C64E45" w:themeColor="accent2"/>
          <w:insideH w:val="nil"/>
          <w:insideV w:val="single" w:sz="8" w:space="0" w:color="C64E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insideH w:val="nil"/>
          <w:insideV w:val="single" w:sz="8" w:space="0" w:color="C64E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shd w:val="clear" w:color="auto" w:fill="F1D2D0" w:themeFill="accent2" w:themeFillTint="3F"/>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shd w:val="clear" w:color="auto" w:fill="F1D2D0" w:themeFill="accent2" w:themeFillTint="3F"/>
      </w:tcPr>
    </w:tblStylePr>
    <w:tblStylePr w:type="band2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tcPr>
    </w:tblStylePr>
  </w:style>
  <w:style w:type="table" w:styleId="LightGrid-Accent3">
    <w:name w:val="Light Grid Accent 3"/>
    <w:basedOn w:val="TableNormal"/>
    <w:uiPriority w:val="62"/>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table" w:styleId="LightGrid-Accent4">
    <w:name w:val="Light Grid Accent 4"/>
    <w:basedOn w:val="TableNormal"/>
    <w:uiPriority w:val="62"/>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18" w:space="0" w:color="FCC648" w:themeColor="accent4"/>
          <w:right w:val="single" w:sz="8" w:space="0" w:color="FCC648" w:themeColor="accent4"/>
          <w:insideH w:val="nil"/>
          <w:insideV w:val="single" w:sz="8" w:space="0" w:color="FCC6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insideH w:val="nil"/>
          <w:insideV w:val="single" w:sz="8" w:space="0" w:color="FCC6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shd w:val="clear" w:color="auto" w:fill="FEF0D1" w:themeFill="accent4" w:themeFillTint="3F"/>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shd w:val="clear" w:color="auto" w:fill="FEF0D1" w:themeFill="accent4" w:themeFillTint="3F"/>
      </w:tcPr>
    </w:tblStylePr>
    <w:tblStylePr w:type="band2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tcPr>
    </w:tblStylePr>
  </w:style>
  <w:style w:type="table" w:styleId="LightGrid-Accent5">
    <w:name w:val="Light Grid Accent 5"/>
    <w:basedOn w:val="TableNormal"/>
    <w:uiPriority w:val="62"/>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18" w:space="0" w:color="86BE57" w:themeColor="accent5"/>
          <w:right w:val="single" w:sz="8" w:space="0" w:color="86BE57" w:themeColor="accent5"/>
          <w:insideH w:val="nil"/>
          <w:insideV w:val="single" w:sz="8" w:space="0" w:color="86BE5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insideH w:val="nil"/>
          <w:insideV w:val="single" w:sz="8" w:space="0" w:color="86BE5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shd w:val="clear" w:color="auto" w:fill="E1EFD5" w:themeFill="accent5" w:themeFillTint="3F"/>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shd w:val="clear" w:color="auto" w:fill="E1EFD5" w:themeFill="accent5" w:themeFillTint="3F"/>
      </w:tcPr>
    </w:tblStylePr>
    <w:tblStylePr w:type="band2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tcPr>
    </w:tblStylePr>
  </w:style>
  <w:style w:type="table" w:styleId="LightGrid-Accent6">
    <w:name w:val="Light Grid Accent 6"/>
    <w:basedOn w:val="TableNormal"/>
    <w:uiPriority w:val="62"/>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List">
    <w:name w:val="Light List"/>
    <w:basedOn w:val="TableNormal"/>
    <w:uiPriority w:val="61"/>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table" w:styleId="LightList-Accent2">
    <w:name w:val="Light List Accent 2"/>
    <w:basedOn w:val="TableNormal"/>
    <w:uiPriority w:val="61"/>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pPr>
        <w:spacing w:before="0" w:after="0" w:line="240" w:lineRule="auto"/>
      </w:pPr>
      <w:rPr>
        <w:b/>
        <w:bCs/>
        <w:color w:val="FFFFFF" w:themeColor="background1"/>
      </w:rPr>
      <w:tblPr/>
      <w:tcPr>
        <w:shd w:val="clear" w:color="auto" w:fill="C64E45" w:themeFill="accent2"/>
      </w:tcPr>
    </w:tblStylePr>
    <w:tblStylePr w:type="lastRow">
      <w:pPr>
        <w:spacing w:before="0" w:after="0" w:line="240" w:lineRule="auto"/>
      </w:pPr>
      <w:rPr>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tcBorders>
      </w:tcPr>
    </w:tblStylePr>
    <w:tblStylePr w:type="firstCol">
      <w:rPr>
        <w:b/>
        <w:bCs/>
      </w:rPr>
    </w:tblStylePr>
    <w:tblStylePr w:type="lastCol">
      <w:rPr>
        <w:b/>
        <w:bCs/>
      </w:r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style>
  <w:style w:type="table" w:styleId="LightList-Accent3">
    <w:name w:val="Light List Accent 3"/>
    <w:basedOn w:val="TableNormal"/>
    <w:uiPriority w:val="61"/>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pPr>
        <w:spacing w:before="0" w:after="0" w:line="240" w:lineRule="auto"/>
      </w:pPr>
      <w:rPr>
        <w:b/>
        <w:bCs/>
        <w:color w:val="FFFFFF" w:themeColor="background1"/>
      </w:rPr>
      <w:tblPr/>
      <w:tcPr>
        <w:shd w:val="clear" w:color="auto" w:fill="F1873D" w:themeFill="accent3"/>
      </w:tcPr>
    </w:tblStylePr>
    <w:tblStylePr w:type="lastRow">
      <w:pPr>
        <w:spacing w:before="0" w:after="0" w:line="240" w:lineRule="auto"/>
      </w:pPr>
      <w:rPr>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tcBorders>
      </w:tcPr>
    </w:tblStylePr>
    <w:tblStylePr w:type="firstCol">
      <w:rPr>
        <w:b/>
        <w:bCs/>
      </w:rPr>
    </w:tblStylePr>
    <w:tblStylePr w:type="lastCol">
      <w:rPr>
        <w:b/>
        <w:bCs/>
      </w:r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style>
  <w:style w:type="table" w:styleId="LightList-Accent4">
    <w:name w:val="Light List Accent 4"/>
    <w:basedOn w:val="TableNormal"/>
    <w:uiPriority w:val="61"/>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pPr>
        <w:spacing w:before="0" w:after="0" w:line="240" w:lineRule="auto"/>
      </w:pPr>
      <w:rPr>
        <w:b/>
        <w:bCs/>
        <w:color w:val="FFFFFF" w:themeColor="background1"/>
      </w:rPr>
      <w:tblPr/>
      <w:tcPr>
        <w:shd w:val="clear" w:color="auto" w:fill="FCC648" w:themeFill="accent4"/>
      </w:tcPr>
    </w:tblStylePr>
    <w:tblStylePr w:type="lastRow">
      <w:pPr>
        <w:spacing w:before="0" w:after="0" w:line="240" w:lineRule="auto"/>
      </w:pPr>
      <w:rPr>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tcBorders>
      </w:tcPr>
    </w:tblStylePr>
    <w:tblStylePr w:type="firstCol">
      <w:rPr>
        <w:b/>
        <w:bCs/>
      </w:rPr>
    </w:tblStylePr>
    <w:tblStylePr w:type="lastCol">
      <w:rPr>
        <w:b/>
        <w:bCs/>
      </w:r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style>
  <w:style w:type="table" w:styleId="LightList-Accent5">
    <w:name w:val="Light List Accent 5"/>
    <w:basedOn w:val="TableNormal"/>
    <w:uiPriority w:val="61"/>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pPr>
        <w:spacing w:before="0" w:after="0" w:line="240" w:lineRule="auto"/>
      </w:pPr>
      <w:rPr>
        <w:b/>
        <w:bCs/>
        <w:color w:val="FFFFFF" w:themeColor="background1"/>
      </w:rPr>
      <w:tblPr/>
      <w:tcPr>
        <w:shd w:val="clear" w:color="auto" w:fill="86BE57" w:themeFill="accent5"/>
      </w:tcPr>
    </w:tblStylePr>
    <w:tblStylePr w:type="lastRow">
      <w:pPr>
        <w:spacing w:before="0" w:after="0" w:line="240" w:lineRule="auto"/>
      </w:pPr>
      <w:rPr>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tcBorders>
      </w:tcPr>
    </w:tblStylePr>
    <w:tblStylePr w:type="firstCol">
      <w:rPr>
        <w:b/>
        <w:bCs/>
      </w:rPr>
    </w:tblStylePr>
    <w:tblStylePr w:type="lastCol">
      <w:rPr>
        <w:b/>
        <w:bCs/>
      </w:r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style>
  <w:style w:type="table" w:styleId="LightList-Accent6">
    <w:name w:val="Light List Accent 6"/>
    <w:basedOn w:val="TableNormal"/>
    <w:uiPriority w:val="61"/>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pPr>
        <w:spacing w:before="0" w:after="0" w:line="240" w:lineRule="auto"/>
      </w:pPr>
      <w:rPr>
        <w:b/>
        <w:bCs/>
        <w:color w:val="FFFFFF" w:themeColor="background1"/>
      </w:rPr>
      <w:tblPr/>
      <w:tcPr>
        <w:shd w:val="clear" w:color="auto" w:fill="788183" w:themeFill="accent6"/>
      </w:tcPr>
    </w:tblStylePr>
    <w:tblStylePr w:type="lastRow">
      <w:pPr>
        <w:spacing w:before="0" w:after="0" w:line="240" w:lineRule="auto"/>
      </w:pPr>
      <w:rPr>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tcBorders>
      </w:tcPr>
    </w:tblStylePr>
    <w:tblStylePr w:type="firstCol">
      <w:rPr>
        <w:b/>
        <w:bCs/>
      </w:rPr>
    </w:tblStylePr>
    <w:tblStylePr w:type="lastCol">
      <w:rPr>
        <w:b/>
        <w:bCs/>
      </w:r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style>
  <w:style w:type="table" w:styleId="LightShading">
    <w:name w:val="Light Shading"/>
    <w:basedOn w:val="TableNormal"/>
    <w:uiPriority w:val="60"/>
    <w:semiHidden/>
    <w:rsid w:val="00EE3EB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E3EB6"/>
    <w:pPr>
      <w:spacing w:line="240" w:lineRule="auto"/>
    </w:pPr>
    <w:rPr>
      <w:color w:val="69365E" w:themeColor="accent1" w:themeShade="BF"/>
    </w:rPr>
    <w:tblPr>
      <w:tblStyleRowBandSize w:val="1"/>
      <w:tblStyleColBandSize w:val="1"/>
      <w:tblBorders>
        <w:top w:val="single" w:sz="8" w:space="0" w:color="8D487F" w:themeColor="accent1"/>
        <w:bottom w:val="single" w:sz="8" w:space="0" w:color="8D487F" w:themeColor="accent1"/>
      </w:tblBorders>
    </w:tblPr>
    <w:tblStylePr w:type="fir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la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left w:val="nil"/>
          <w:right w:val="nil"/>
          <w:insideH w:val="nil"/>
          <w:insideV w:val="nil"/>
        </w:tcBorders>
        <w:shd w:val="clear" w:color="auto" w:fill="E6CEE1" w:themeFill="accent1" w:themeFillTint="3F"/>
      </w:tcPr>
    </w:tblStylePr>
  </w:style>
  <w:style w:type="table" w:styleId="LightShading-Accent2">
    <w:name w:val="Light Shading Accent 2"/>
    <w:basedOn w:val="TableNormal"/>
    <w:uiPriority w:val="60"/>
    <w:semiHidden/>
    <w:rsid w:val="00EE3EB6"/>
    <w:pPr>
      <w:spacing w:line="240" w:lineRule="auto"/>
    </w:pPr>
    <w:rPr>
      <w:color w:val="98362F" w:themeColor="accent2" w:themeShade="BF"/>
    </w:rPr>
    <w:tblPr>
      <w:tblStyleRowBandSize w:val="1"/>
      <w:tblStyleColBandSize w:val="1"/>
      <w:tblBorders>
        <w:top w:val="single" w:sz="8" w:space="0" w:color="C64E45" w:themeColor="accent2"/>
        <w:bottom w:val="single" w:sz="8" w:space="0" w:color="C64E45" w:themeColor="accent2"/>
      </w:tblBorders>
    </w:tblPr>
    <w:tblStylePr w:type="fir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la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left w:val="nil"/>
          <w:right w:val="nil"/>
          <w:insideH w:val="nil"/>
          <w:insideV w:val="nil"/>
        </w:tcBorders>
        <w:shd w:val="clear" w:color="auto" w:fill="F1D2D0" w:themeFill="accent2" w:themeFillTint="3F"/>
      </w:tcPr>
    </w:tblStylePr>
  </w:style>
  <w:style w:type="table" w:styleId="LightShading-Accent3">
    <w:name w:val="Light Shading Accent 3"/>
    <w:basedOn w:val="TableNormal"/>
    <w:uiPriority w:val="60"/>
    <w:semiHidden/>
    <w:rsid w:val="00EE3EB6"/>
    <w:pPr>
      <w:spacing w:line="240" w:lineRule="auto"/>
    </w:pPr>
    <w:rPr>
      <w:color w:val="D25E0F" w:themeColor="accent3" w:themeShade="BF"/>
    </w:rPr>
    <w:tblPr>
      <w:tblStyleRowBandSize w:val="1"/>
      <w:tblStyleColBandSize w:val="1"/>
      <w:tblBorders>
        <w:top w:val="single" w:sz="8" w:space="0" w:color="F1873D" w:themeColor="accent3"/>
        <w:bottom w:val="single" w:sz="8" w:space="0" w:color="F1873D" w:themeColor="accent3"/>
      </w:tblBorders>
    </w:tblPr>
    <w:tblStylePr w:type="fir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la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left w:val="nil"/>
          <w:right w:val="nil"/>
          <w:insideH w:val="nil"/>
          <w:insideV w:val="nil"/>
        </w:tcBorders>
        <w:shd w:val="clear" w:color="auto" w:fill="FBE1CE" w:themeFill="accent3" w:themeFillTint="3F"/>
      </w:tcPr>
    </w:tblStylePr>
  </w:style>
  <w:style w:type="table" w:styleId="LightShading-Accent4">
    <w:name w:val="Light Shading Accent 4"/>
    <w:basedOn w:val="TableNormal"/>
    <w:uiPriority w:val="60"/>
    <w:semiHidden/>
    <w:rsid w:val="00EE3EB6"/>
    <w:pPr>
      <w:spacing w:line="240" w:lineRule="auto"/>
    </w:pPr>
    <w:rPr>
      <w:color w:val="EEA704" w:themeColor="accent4" w:themeShade="BF"/>
    </w:rPr>
    <w:tblPr>
      <w:tblStyleRowBandSize w:val="1"/>
      <w:tblStyleColBandSize w:val="1"/>
      <w:tblBorders>
        <w:top w:val="single" w:sz="8" w:space="0" w:color="FCC648" w:themeColor="accent4"/>
        <w:bottom w:val="single" w:sz="8" w:space="0" w:color="FCC648" w:themeColor="accent4"/>
      </w:tblBorders>
    </w:tblPr>
    <w:tblStylePr w:type="fir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la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left w:val="nil"/>
          <w:right w:val="nil"/>
          <w:insideH w:val="nil"/>
          <w:insideV w:val="nil"/>
        </w:tcBorders>
        <w:shd w:val="clear" w:color="auto" w:fill="FEF0D1" w:themeFill="accent4" w:themeFillTint="3F"/>
      </w:tcPr>
    </w:tblStylePr>
  </w:style>
  <w:style w:type="table" w:styleId="LightShading-Accent5">
    <w:name w:val="Light Shading Accent 5"/>
    <w:basedOn w:val="TableNormal"/>
    <w:uiPriority w:val="60"/>
    <w:semiHidden/>
    <w:rsid w:val="00EE3EB6"/>
    <w:pPr>
      <w:spacing w:line="240" w:lineRule="auto"/>
    </w:pPr>
    <w:rPr>
      <w:color w:val="63953A" w:themeColor="accent5" w:themeShade="BF"/>
    </w:rPr>
    <w:tblPr>
      <w:tblStyleRowBandSize w:val="1"/>
      <w:tblStyleColBandSize w:val="1"/>
      <w:tblBorders>
        <w:top w:val="single" w:sz="8" w:space="0" w:color="86BE57" w:themeColor="accent5"/>
        <w:bottom w:val="single" w:sz="8" w:space="0" w:color="86BE57" w:themeColor="accent5"/>
      </w:tblBorders>
    </w:tblPr>
    <w:tblStylePr w:type="fir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la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left w:val="nil"/>
          <w:right w:val="nil"/>
          <w:insideH w:val="nil"/>
          <w:insideV w:val="nil"/>
        </w:tcBorders>
        <w:shd w:val="clear" w:color="auto" w:fill="E1EFD5" w:themeFill="accent5" w:themeFillTint="3F"/>
      </w:tcPr>
    </w:tblStylePr>
  </w:style>
  <w:style w:type="table" w:styleId="LightShading-Accent6">
    <w:name w:val="Light Shading Accent 6"/>
    <w:basedOn w:val="TableNormal"/>
    <w:uiPriority w:val="60"/>
    <w:semiHidden/>
    <w:rsid w:val="00EE3EB6"/>
    <w:pPr>
      <w:spacing w:line="240" w:lineRule="auto"/>
    </w:pPr>
    <w:rPr>
      <w:color w:val="5A6062" w:themeColor="accent6" w:themeShade="BF"/>
    </w:rPr>
    <w:tblPr>
      <w:tblStyleRowBandSize w:val="1"/>
      <w:tblStyleColBandSize w:val="1"/>
      <w:tblBorders>
        <w:top w:val="single" w:sz="8" w:space="0" w:color="788183" w:themeColor="accent6"/>
        <w:bottom w:val="single" w:sz="8" w:space="0" w:color="788183" w:themeColor="accent6"/>
      </w:tblBorders>
    </w:tblPr>
    <w:tblStylePr w:type="fir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la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left w:val="nil"/>
          <w:right w:val="nil"/>
          <w:insideH w:val="nil"/>
          <w:insideV w:val="nil"/>
        </w:tcBorders>
        <w:shd w:val="clear" w:color="auto" w:fill="DDDFE0" w:themeFill="accent6" w:themeFillTint="3F"/>
      </w:tcPr>
    </w:tblStylePr>
  </w:style>
  <w:style w:type="table" w:customStyle="1" w:styleId="ListTable1Light1">
    <w:name w:val="List Table 1 Light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1">
    <w:name w:val="List Table 1 Light - Accent 2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1">
    <w:name w:val="List Table 1 Light - Accent 3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1">
    <w:name w:val="List Table 1 Light - Accent 4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1">
    <w:name w:val="List Table 1 Light - Accent 5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1">
    <w:name w:val="List Table 1 Light - Accent 6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1">
    <w:name w:val="List Table 21"/>
    <w:basedOn w:val="TableNormal"/>
    <w:uiPriority w:val="47"/>
    <w:semiHidden/>
    <w:rsid w:val="00EE3EB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EE3EB6"/>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1">
    <w:name w:val="List Table 2 - Accent 21"/>
    <w:basedOn w:val="TableNormal"/>
    <w:uiPriority w:val="47"/>
    <w:semiHidden/>
    <w:rsid w:val="00EE3EB6"/>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1">
    <w:name w:val="List Table 2 - Accent 31"/>
    <w:basedOn w:val="TableNormal"/>
    <w:uiPriority w:val="47"/>
    <w:semiHidden/>
    <w:rsid w:val="00EE3EB6"/>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1">
    <w:name w:val="List Table 2 - Accent 41"/>
    <w:basedOn w:val="TableNormal"/>
    <w:uiPriority w:val="47"/>
    <w:semiHidden/>
    <w:rsid w:val="00EE3EB6"/>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1">
    <w:name w:val="List Table 2 - Accent 51"/>
    <w:basedOn w:val="TableNormal"/>
    <w:uiPriority w:val="47"/>
    <w:semiHidden/>
    <w:rsid w:val="00EE3EB6"/>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1">
    <w:name w:val="List Table 2 - Accent 61"/>
    <w:basedOn w:val="TableNormal"/>
    <w:uiPriority w:val="47"/>
    <w:semiHidden/>
    <w:rsid w:val="00EE3EB6"/>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1">
    <w:name w:val="List Table 31"/>
    <w:basedOn w:val="TableNormal"/>
    <w:uiPriority w:val="48"/>
    <w:semiHidden/>
    <w:rsid w:val="00EE3EB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EE3EB6"/>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1">
    <w:name w:val="List Table 3 - Accent 21"/>
    <w:basedOn w:val="TableNormal"/>
    <w:uiPriority w:val="48"/>
    <w:semiHidden/>
    <w:rsid w:val="00EE3EB6"/>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1">
    <w:name w:val="List Table 3 - Accent 31"/>
    <w:basedOn w:val="TableNormal"/>
    <w:uiPriority w:val="48"/>
    <w:semiHidden/>
    <w:rsid w:val="00EE3EB6"/>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1">
    <w:name w:val="List Table 3 - Accent 41"/>
    <w:basedOn w:val="TableNormal"/>
    <w:uiPriority w:val="48"/>
    <w:semiHidden/>
    <w:rsid w:val="00EE3EB6"/>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1">
    <w:name w:val="List Table 3 - Accent 51"/>
    <w:basedOn w:val="TableNormal"/>
    <w:uiPriority w:val="48"/>
    <w:semiHidden/>
    <w:rsid w:val="00EE3EB6"/>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1">
    <w:name w:val="List Table 3 - Accent 61"/>
    <w:basedOn w:val="TableNormal"/>
    <w:uiPriority w:val="48"/>
    <w:semiHidden/>
    <w:rsid w:val="00EE3EB6"/>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1">
    <w:name w:val="List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1">
    <w:name w:val="List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1">
    <w:name w:val="List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1">
    <w:name w:val="List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1">
    <w:name w:val="List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1">
    <w:name w:val="List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1">
    <w:name w:val="List Table 5 Dark1"/>
    <w:basedOn w:val="TableNormal"/>
    <w:uiPriority w:val="50"/>
    <w:semiHidden/>
    <w:rsid w:val="00EE3EB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EE3EB6"/>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EE3EB6"/>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EE3EB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1">
    <w:name w:val="List Table 6 Colo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1">
    <w:name w:val="List Table 6 Colo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1">
    <w:name w:val="List Table 6 Colo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1">
    <w:name w:val="List Table 6 Colo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1">
    <w:name w:val="List Table 6 Colo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1">
    <w:name w:val="List Table 7 Colorful1"/>
    <w:basedOn w:val="TableNormal"/>
    <w:uiPriority w:val="52"/>
    <w:semiHidden/>
    <w:rsid w:val="00EE3EB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EE3EB6"/>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EE3EB6"/>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EE3EB6"/>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EE3EB6"/>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EE3EB6"/>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EE3EB6"/>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insideV w:val="single" w:sz="8" w:space="0" w:color="B36BA5" w:themeColor="accent1" w:themeTint="BF"/>
      </w:tblBorders>
    </w:tblPr>
    <w:tcPr>
      <w:shd w:val="clear" w:color="auto" w:fill="E6CEE1" w:themeFill="accent1" w:themeFillTint="3F"/>
    </w:tcPr>
    <w:tblStylePr w:type="firstRow">
      <w:rPr>
        <w:b/>
        <w:bCs/>
      </w:rPr>
    </w:tblStylePr>
    <w:tblStylePr w:type="lastRow">
      <w:rPr>
        <w:b/>
        <w:bCs/>
      </w:rPr>
      <w:tblPr/>
      <w:tcPr>
        <w:tcBorders>
          <w:top w:val="single" w:sz="18" w:space="0" w:color="B36BA5" w:themeColor="accent1" w:themeTint="BF"/>
        </w:tcBorders>
      </w:tcPr>
    </w:tblStylePr>
    <w:tblStylePr w:type="firstCol">
      <w:rPr>
        <w:b/>
        <w:bCs/>
      </w:rPr>
    </w:tblStylePr>
    <w:tblStylePr w:type="lastCol">
      <w:rPr>
        <w:b/>
        <w:bCs/>
      </w:r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MediumGrid1-Accent2">
    <w:name w:val="Medium Grid 1 Accent 2"/>
    <w:basedOn w:val="TableNormal"/>
    <w:uiPriority w:val="67"/>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insideV w:val="single" w:sz="8" w:space="0" w:color="D47973" w:themeColor="accent2" w:themeTint="BF"/>
      </w:tblBorders>
    </w:tblPr>
    <w:tcPr>
      <w:shd w:val="clear" w:color="auto" w:fill="F1D2D0" w:themeFill="accent2" w:themeFillTint="3F"/>
    </w:tcPr>
    <w:tblStylePr w:type="firstRow">
      <w:rPr>
        <w:b/>
        <w:bCs/>
      </w:rPr>
    </w:tblStylePr>
    <w:tblStylePr w:type="lastRow">
      <w:rPr>
        <w:b/>
        <w:bCs/>
      </w:rPr>
      <w:tblPr/>
      <w:tcPr>
        <w:tcBorders>
          <w:top w:val="single" w:sz="18" w:space="0" w:color="D47973" w:themeColor="accent2" w:themeTint="BF"/>
        </w:tcBorders>
      </w:tcPr>
    </w:tblStylePr>
    <w:tblStylePr w:type="firstCol">
      <w:rPr>
        <w:b/>
        <w:bCs/>
      </w:rPr>
    </w:tblStylePr>
    <w:tblStylePr w:type="lastCol">
      <w:rPr>
        <w:b/>
        <w:bCs/>
      </w:r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MediumGrid1-Accent3">
    <w:name w:val="Medium Grid 1 Accent 3"/>
    <w:basedOn w:val="TableNormal"/>
    <w:uiPriority w:val="67"/>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insideV w:val="single" w:sz="8" w:space="0" w:color="F4A46D" w:themeColor="accent3" w:themeTint="BF"/>
      </w:tblBorders>
    </w:tblPr>
    <w:tcPr>
      <w:shd w:val="clear" w:color="auto" w:fill="FBE1CE" w:themeFill="accent3" w:themeFillTint="3F"/>
    </w:tcPr>
    <w:tblStylePr w:type="firstRow">
      <w:rPr>
        <w:b/>
        <w:bCs/>
      </w:rPr>
    </w:tblStylePr>
    <w:tblStylePr w:type="lastRow">
      <w:rPr>
        <w:b/>
        <w:bCs/>
      </w:rPr>
      <w:tblPr/>
      <w:tcPr>
        <w:tcBorders>
          <w:top w:val="single" w:sz="18" w:space="0" w:color="F4A46D" w:themeColor="accent3" w:themeTint="BF"/>
        </w:tcBorders>
      </w:tcPr>
    </w:tblStylePr>
    <w:tblStylePr w:type="firstCol">
      <w:rPr>
        <w:b/>
        <w:bCs/>
      </w:rPr>
    </w:tblStylePr>
    <w:tblStylePr w:type="lastCol">
      <w:rPr>
        <w:b/>
        <w:bCs/>
      </w:r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MediumGrid1-Accent4">
    <w:name w:val="Medium Grid 1 Accent 4"/>
    <w:basedOn w:val="TableNormal"/>
    <w:uiPriority w:val="67"/>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insideV w:val="single" w:sz="8" w:space="0" w:color="FCD475" w:themeColor="accent4" w:themeTint="BF"/>
      </w:tblBorders>
    </w:tblPr>
    <w:tcPr>
      <w:shd w:val="clear" w:color="auto" w:fill="FEF0D1" w:themeFill="accent4" w:themeFillTint="3F"/>
    </w:tcPr>
    <w:tblStylePr w:type="firstRow">
      <w:rPr>
        <w:b/>
        <w:bCs/>
      </w:rPr>
    </w:tblStylePr>
    <w:tblStylePr w:type="lastRow">
      <w:rPr>
        <w:b/>
        <w:bCs/>
      </w:rPr>
      <w:tblPr/>
      <w:tcPr>
        <w:tcBorders>
          <w:top w:val="single" w:sz="18" w:space="0" w:color="FCD475" w:themeColor="accent4" w:themeTint="BF"/>
        </w:tcBorders>
      </w:tcPr>
    </w:tblStylePr>
    <w:tblStylePr w:type="firstCol">
      <w:rPr>
        <w:b/>
        <w:bCs/>
      </w:rPr>
    </w:tblStylePr>
    <w:tblStylePr w:type="lastCol">
      <w:rPr>
        <w:b/>
        <w:bCs/>
      </w:r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MediumGrid1-Accent5">
    <w:name w:val="Medium Grid 1 Accent 5"/>
    <w:basedOn w:val="TableNormal"/>
    <w:uiPriority w:val="67"/>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insideV w:val="single" w:sz="8" w:space="0" w:color="A4CE81" w:themeColor="accent5" w:themeTint="BF"/>
      </w:tblBorders>
    </w:tblPr>
    <w:tcPr>
      <w:shd w:val="clear" w:color="auto" w:fill="E1EFD5" w:themeFill="accent5" w:themeFillTint="3F"/>
    </w:tcPr>
    <w:tblStylePr w:type="firstRow">
      <w:rPr>
        <w:b/>
        <w:bCs/>
      </w:rPr>
    </w:tblStylePr>
    <w:tblStylePr w:type="lastRow">
      <w:rPr>
        <w:b/>
        <w:bCs/>
      </w:rPr>
      <w:tblPr/>
      <w:tcPr>
        <w:tcBorders>
          <w:top w:val="single" w:sz="18" w:space="0" w:color="A4CE81" w:themeColor="accent5" w:themeTint="BF"/>
        </w:tcBorders>
      </w:tcPr>
    </w:tblStylePr>
    <w:tblStylePr w:type="firstCol">
      <w:rPr>
        <w:b/>
        <w:bCs/>
      </w:rPr>
    </w:tblStylePr>
    <w:tblStylePr w:type="lastCol">
      <w:rPr>
        <w:b/>
        <w:bCs/>
      </w:r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MediumGrid1-Accent6">
    <w:name w:val="Medium Grid 1 Accent 6"/>
    <w:basedOn w:val="TableNormal"/>
    <w:uiPriority w:val="67"/>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insideV w:val="single" w:sz="8" w:space="0" w:color="99A0A2" w:themeColor="accent6" w:themeTint="BF"/>
      </w:tblBorders>
    </w:tblPr>
    <w:tcPr>
      <w:shd w:val="clear" w:color="auto" w:fill="DDDFE0" w:themeFill="accent6" w:themeFillTint="3F"/>
    </w:tcPr>
    <w:tblStylePr w:type="firstRow">
      <w:rPr>
        <w:b/>
        <w:bCs/>
      </w:rPr>
    </w:tblStylePr>
    <w:tblStylePr w:type="lastRow">
      <w:rPr>
        <w:b/>
        <w:bCs/>
      </w:rPr>
      <w:tblPr/>
      <w:tcPr>
        <w:tcBorders>
          <w:top w:val="single" w:sz="18" w:space="0" w:color="99A0A2" w:themeColor="accent6" w:themeTint="BF"/>
        </w:tcBorders>
      </w:tcPr>
    </w:tblStylePr>
    <w:tblStylePr w:type="firstCol">
      <w:rPr>
        <w:b/>
        <w:bCs/>
      </w:rPr>
    </w:tblStylePr>
    <w:tblStylePr w:type="lastCol">
      <w:rPr>
        <w:b/>
        <w:bCs/>
      </w:r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MediumGrid2">
    <w:name w:val="Medium Grid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cPr>
      <w:shd w:val="clear" w:color="auto" w:fill="E6CEE1" w:themeFill="accent1" w:themeFillTint="3F"/>
    </w:tcPr>
    <w:tblStylePr w:type="firstRow">
      <w:rPr>
        <w:b/>
        <w:bCs/>
        <w:color w:val="000000" w:themeColor="text1"/>
      </w:rPr>
      <w:tblPr/>
      <w:tcPr>
        <w:shd w:val="clear" w:color="auto" w:fill="F5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7E6" w:themeFill="accent1" w:themeFillTint="33"/>
      </w:tcPr>
    </w:tblStylePr>
    <w:tblStylePr w:type="band1Vert">
      <w:tblPr/>
      <w:tcPr>
        <w:shd w:val="clear" w:color="auto" w:fill="CD9DC3" w:themeFill="accent1" w:themeFillTint="7F"/>
      </w:tcPr>
    </w:tblStylePr>
    <w:tblStylePr w:type="band1Horz">
      <w:tblPr/>
      <w:tcPr>
        <w:tcBorders>
          <w:insideH w:val="single" w:sz="6" w:space="0" w:color="8D487F" w:themeColor="accent1"/>
          <w:insideV w:val="single" w:sz="6" w:space="0" w:color="8D487F" w:themeColor="accent1"/>
        </w:tcBorders>
        <w:shd w:val="clear" w:color="auto" w:fill="CD9D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cPr>
      <w:shd w:val="clear" w:color="auto" w:fill="F1D2D0" w:themeFill="accent2" w:themeFillTint="3F"/>
    </w:tcPr>
    <w:tblStylePr w:type="firstRow">
      <w:rPr>
        <w:b/>
        <w:bCs/>
        <w:color w:val="000000" w:themeColor="text1"/>
      </w:rPr>
      <w:tblPr/>
      <w:tcPr>
        <w:shd w:val="clear" w:color="auto" w:fill="F9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D9" w:themeFill="accent2" w:themeFillTint="33"/>
      </w:tcPr>
    </w:tblStylePr>
    <w:tblStylePr w:type="band1Vert">
      <w:tblPr/>
      <w:tcPr>
        <w:shd w:val="clear" w:color="auto" w:fill="E2A6A2" w:themeFill="accent2" w:themeFillTint="7F"/>
      </w:tcPr>
    </w:tblStylePr>
    <w:tblStylePr w:type="band1Horz">
      <w:tblPr/>
      <w:tcPr>
        <w:tcBorders>
          <w:insideH w:val="single" w:sz="6" w:space="0" w:color="C64E45" w:themeColor="accent2"/>
          <w:insideV w:val="single" w:sz="6" w:space="0" w:color="C64E45" w:themeColor="accent2"/>
        </w:tcBorders>
        <w:shd w:val="clear" w:color="auto" w:fill="E2A6A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cPr>
      <w:shd w:val="clear" w:color="auto" w:fill="FBE1CE" w:themeFill="accent3" w:themeFillTint="3F"/>
    </w:tcPr>
    <w:tblStylePr w:type="firstRow">
      <w:rPr>
        <w:b/>
        <w:bCs/>
        <w:color w:val="000000" w:themeColor="text1"/>
      </w:rPr>
      <w:tblPr/>
      <w:tcPr>
        <w:shd w:val="clear" w:color="auto" w:fill="FD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8" w:themeFill="accent3" w:themeFillTint="33"/>
      </w:tcPr>
    </w:tblStylePr>
    <w:tblStylePr w:type="band1Vert">
      <w:tblPr/>
      <w:tcPr>
        <w:shd w:val="clear" w:color="auto" w:fill="F8C29E" w:themeFill="accent3" w:themeFillTint="7F"/>
      </w:tcPr>
    </w:tblStylePr>
    <w:tblStylePr w:type="band1Horz">
      <w:tblPr/>
      <w:tcPr>
        <w:tcBorders>
          <w:insideH w:val="single" w:sz="6" w:space="0" w:color="F1873D" w:themeColor="accent3"/>
          <w:insideV w:val="single" w:sz="6" w:space="0" w:color="F1873D" w:themeColor="accent3"/>
        </w:tcBorders>
        <w:shd w:val="clear" w:color="auto" w:fill="F8C2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cPr>
      <w:shd w:val="clear" w:color="auto" w:fill="FEF0D1" w:themeFill="accent4" w:themeFillTint="3F"/>
    </w:tcPr>
    <w:tblStylePr w:type="firstRow">
      <w:rPr>
        <w:b/>
        <w:bCs/>
        <w:color w:val="000000" w:themeColor="text1"/>
      </w:rPr>
      <w:tblPr/>
      <w:tcPr>
        <w:shd w:val="clear" w:color="auto" w:fill="FE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A" w:themeFill="accent4" w:themeFillTint="33"/>
      </w:tcPr>
    </w:tblStylePr>
    <w:tblStylePr w:type="band1Vert">
      <w:tblPr/>
      <w:tcPr>
        <w:shd w:val="clear" w:color="auto" w:fill="FDE2A3" w:themeFill="accent4" w:themeFillTint="7F"/>
      </w:tcPr>
    </w:tblStylePr>
    <w:tblStylePr w:type="band1Horz">
      <w:tblPr/>
      <w:tcPr>
        <w:tcBorders>
          <w:insideH w:val="single" w:sz="6" w:space="0" w:color="FCC648" w:themeColor="accent4"/>
          <w:insideV w:val="single" w:sz="6" w:space="0" w:color="FCC648" w:themeColor="accent4"/>
        </w:tcBorders>
        <w:shd w:val="clear" w:color="auto" w:fill="FDE2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cPr>
      <w:shd w:val="clear" w:color="auto" w:fill="E1EFD5" w:themeFill="accent5" w:themeFillTint="3F"/>
    </w:tcPr>
    <w:tblStylePr w:type="firstRow">
      <w:rPr>
        <w:b/>
        <w:bCs/>
        <w:color w:val="000000" w:themeColor="text1"/>
      </w:rPr>
      <w:tblPr/>
      <w:tcPr>
        <w:shd w:val="clear" w:color="auto" w:fill="F3F8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2DD" w:themeFill="accent5" w:themeFillTint="33"/>
      </w:tcPr>
    </w:tblStylePr>
    <w:tblStylePr w:type="band1Vert">
      <w:tblPr/>
      <w:tcPr>
        <w:shd w:val="clear" w:color="auto" w:fill="C2DEAB" w:themeFill="accent5" w:themeFillTint="7F"/>
      </w:tcPr>
    </w:tblStylePr>
    <w:tblStylePr w:type="band1Horz">
      <w:tblPr/>
      <w:tcPr>
        <w:tcBorders>
          <w:insideH w:val="single" w:sz="6" w:space="0" w:color="86BE57" w:themeColor="accent5"/>
          <w:insideV w:val="single" w:sz="6" w:space="0" w:color="86BE57" w:themeColor="accent5"/>
        </w:tcBorders>
        <w:shd w:val="clear" w:color="auto" w:fill="C2DEA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cPr>
      <w:shd w:val="clear" w:color="auto" w:fill="DDDF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5E6" w:themeFill="accent6" w:themeFillTint="33"/>
      </w:tcPr>
    </w:tblStylePr>
    <w:tblStylePr w:type="band1Vert">
      <w:tblPr/>
      <w:tcPr>
        <w:shd w:val="clear" w:color="auto" w:fill="BBC0C1" w:themeFill="accent6" w:themeFillTint="7F"/>
      </w:tcPr>
    </w:tblStylePr>
    <w:tblStylePr w:type="band1Horz">
      <w:tblPr/>
      <w:tcPr>
        <w:tcBorders>
          <w:insideH w:val="single" w:sz="6" w:space="0" w:color="788183" w:themeColor="accent6"/>
          <w:insideV w:val="single" w:sz="6" w:space="0" w:color="788183" w:themeColor="accent6"/>
        </w:tcBorders>
        <w:shd w:val="clear" w:color="auto" w:fill="BBC0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CE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48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48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9D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9DC3" w:themeFill="accent1" w:themeFillTint="7F"/>
      </w:tcPr>
    </w:tblStylePr>
  </w:style>
  <w:style w:type="table" w:styleId="MediumGrid3-Accent2">
    <w:name w:val="Medium Grid 3 Accent 2"/>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4E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4E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6A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6A2" w:themeFill="accent2" w:themeFillTint="7F"/>
      </w:tcPr>
    </w:tblStylePr>
  </w:style>
  <w:style w:type="table" w:styleId="MediumGrid3-Accent3">
    <w:name w:val="Medium Grid 3 Accent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873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873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2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29E" w:themeFill="accent3" w:themeFillTint="7F"/>
      </w:tcPr>
    </w:tblStylePr>
  </w:style>
  <w:style w:type="table" w:styleId="MediumGrid3-Accent4">
    <w:name w:val="Medium Grid 3 Accent 4"/>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C6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C6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2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2A3" w:themeFill="accent4" w:themeFillTint="7F"/>
      </w:tcPr>
    </w:tblStylePr>
  </w:style>
  <w:style w:type="table" w:styleId="MediumGrid3-Accent5">
    <w:name w:val="Medium Grid 3 Accent 5"/>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E5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E5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E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EAB" w:themeFill="accent5" w:themeFillTint="7F"/>
      </w:tcPr>
    </w:tblStylePr>
  </w:style>
  <w:style w:type="table" w:styleId="MediumGrid3-Accent6">
    <w:name w:val="Medium Grid 3 Accent 6"/>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F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C0C1" w:themeFill="accent6" w:themeFillTint="7F"/>
      </w:tcPr>
    </w:tblStylePr>
  </w:style>
  <w:style w:type="table" w:styleId="MediumList1">
    <w:name w:val="Medium List 1"/>
    <w:basedOn w:val="TableNormal"/>
    <w:uiPriority w:val="65"/>
    <w:semiHidden/>
    <w:rsid w:val="00EE3EB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78B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E3EB6"/>
    <w:pPr>
      <w:spacing w:line="240" w:lineRule="auto"/>
    </w:pPr>
    <w:rPr>
      <w:color w:val="000000" w:themeColor="text1"/>
    </w:rPr>
    <w:tblPr>
      <w:tblStyleRowBandSize w:val="1"/>
      <w:tblStyleColBandSize w:val="1"/>
      <w:tblBorders>
        <w:top w:val="single" w:sz="8" w:space="0" w:color="8D487F" w:themeColor="accent1"/>
        <w:bottom w:val="single" w:sz="8" w:space="0" w:color="8D487F" w:themeColor="accent1"/>
      </w:tblBorders>
    </w:tblPr>
    <w:tblStylePr w:type="firstRow">
      <w:rPr>
        <w:rFonts w:asciiTheme="majorHAnsi" w:eastAsiaTheme="majorEastAsia" w:hAnsiTheme="majorHAnsi" w:cstheme="majorBidi"/>
      </w:rPr>
      <w:tblPr/>
      <w:tcPr>
        <w:tcBorders>
          <w:top w:val="nil"/>
          <w:bottom w:val="single" w:sz="8" w:space="0" w:color="8D487F" w:themeColor="accent1"/>
        </w:tcBorders>
      </w:tcPr>
    </w:tblStylePr>
    <w:tblStylePr w:type="lastRow">
      <w:rPr>
        <w:b/>
        <w:bCs/>
        <w:color w:val="9778B4" w:themeColor="text2"/>
      </w:rPr>
      <w:tblPr/>
      <w:tcPr>
        <w:tcBorders>
          <w:top w:val="single" w:sz="8" w:space="0" w:color="8D487F" w:themeColor="accent1"/>
          <w:bottom w:val="single" w:sz="8" w:space="0" w:color="8D487F" w:themeColor="accent1"/>
        </w:tcBorders>
      </w:tcPr>
    </w:tblStylePr>
    <w:tblStylePr w:type="firstCol">
      <w:rPr>
        <w:b/>
        <w:bCs/>
      </w:rPr>
    </w:tblStylePr>
    <w:tblStylePr w:type="lastCol">
      <w:rPr>
        <w:b/>
        <w:bCs/>
      </w:rPr>
      <w:tblPr/>
      <w:tcPr>
        <w:tcBorders>
          <w:top w:val="single" w:sz="8" w:space="0" w:color="8D487F" w:themeColor="accent1"/>
          <w:bottom w:val="single" w:sz="8" w:space="0" w:color="8D487F" w:themeColor="accent1"/>
        </w:tcBorders>
      </w:tcPr>
    </w:tblStylePr>
    <w:tblStylePr w:type="band1Vert">
      <w:tblPr/>
      <w:tcPr>
        <w:shd w:val="clear" w:color="auto" w:fill="E6CEE1" w:themeFill="accent1" w:themeFillTint="3F"/>
      </w:tcPr>
    </w:tblStylePr>
    <w:tblStylePr w:type="band1Horz">
      <w:tblPr/>
      <w:tcPr>
        <w:shd w:val="clear" w:color="auto" w:fill="E6CEE1" w:themeFill="accent1" w:themeFillTint="3F"/>
      </w:tcPr>
    </w:tblStylePr>
  </w:style>
  <w:style w:type="table" w:styleId="MediumList1-Accent2">
    <w:name w:val="Medium List 1 Accent 2"/>
    <w:basedOn w:val="TableNormal"/>
    <w:uiPriority w:val="65"/>
    <w:semiHidden/>
    <w:rsid w:val="00EE3EB6"/>
    <w:pPr>
      <w:spacing w:line="240" w:lineRule="auto"/>
    </w:pPr>
    <w:rPr>
      <w:color w:val="000000" w:themeColor="text1"/>
    </w:rPr>
    <w:tblPr>
      <w:tblStyleRowBandSize w:val="1"/>
      <w:tblStyleColBandSize w:val="1"/>
      <w:tblBorders>
        <w:top w:val="single" w:sz="8" w:space="0" w:color="C64E45" w:themeColor="accent2"/>
        <w:bottom w:val="single" w:sz="8" w:space="0" w:color="C64E45" w:themeColor="accent2"/>
      </w:tblBorders>
    </w:tblPr>
    <w:tblStylePr w:type="firstRow">
      <w:rPr>
        <w:rFonts w:asciiTheme="majorHAnsi" w:eastAsiaTheme="majorEastAsia" w:hAnsiTheme="majorHAnsi" w:cstheme="majorBidi"/>
      </w:rPr>
      <w:tblPr/>
      <w:tcPr>
        <w:tcBorders>
          <w:top w:val="nil"/>
          <w:bottom w:val="single" w:sz="8" w:space="0" w:color="C64E45" w:themeColor="accent2"/>
        </w:tcBorders>
      </w:tcPr>
    </w:tblStylePr>
    <w:tblStylePr w:type="lastRow">
      <w:rPr>
        <w:b/>
        <w:bCs/>
        <w:color w:val="9778B4" w:themeColor="text2"/>
      </w:rPr>
      <w:tblPr/>
      <w:tcPr>
        <w:tcBorders>
          <w:top w:val="single" w:sz="8" w:space="0" w:color="C64E45" w:themeColor="accent2"/>
          <w:bottom w:val="single" w:sz="8" w:space="0" w:color="C64E45" w:themeColor="accent2"/>
        </w:tcBorders>
      </w:tcPr>
    </w:tblStylePr>
    <w:tblStylePr w:type="firstCol">
      <w:rPr>
        <w:b/>
        <w:bCs/>
      </w:rPr>
    </w:tblStylePr>
    <w:tblStylePr w:type="lastCol">
      <w:rPr>
        <w:b/>
        <w:bCs/>
      </w:rPr>
      <w:tblPr/>
      <w:tcPr>
        <w:tcBorders>
          <w:top w:val="single" w:sz="8" w:space="0" w:color="C64E45" w:themeColor="accent2"/>
          <w:bottom w:val="single" w:sz="8" w:space="0" w:color="C64E45" w:themeColor="accent2"/>
        </w:tcBorders>
      </w:tcPr>
    </w:tblStylePr>
    <w:tblStylePr w:type="band1Vert">
      <w:tblPr/>
      <w:tcPr>
        <w:shd w:val="clear" w:color="auto" w:fill="F1D2D0" w:themeFill="accent2" w:themeFillTint="3F"/>
      </w:tcPr>
    </w:tblStylePr>
    <w:tblStylePr w:type="band1Horz">
      <w:tblPr/>
      <w:tcPr>
        <w:shd w:val="clear" w:color="auto" w:fill="F1D2D0" w:themeFill="accent2" w:themeFillTint="3F"/>
      </w:tcPr>
    </w:tblStylePr>
  </w:style>
  <w:style w:type="table" w:styleId="MediumList1-Accent3">
    <w:name w:val="Medium List 1 Accent 3"/>
    <w:basedOn w:val="TableNormal"/>
    <w:uiPriority w:val="65"/>
    <w:semiHidden/>
    <w:rsid w:val="00EE3EB6"/>
    <w:pPr>
      <w:spacing w:line="240" w:lineRule="auto"/>
    </w:pPr>
    <w:rPr>
      <w:color w:val="000000" w:themeColor="text1"/>
    </w:rPr>
    <w:tblPr>
      <w:tblStyleRowBandSize w:val="1"/>
      <w:tblStyleColBandSize w:val="1"/>
      <w:tblBorders>
        <w:top w:val="single" w:sz="8" w:space="0" w:color="F1873D" w:themeColor="accent3"/>
        <w:bottom w:val="single" w:sz="8" w:space="0" w:color="F1873D" w:themeColor="accent3"/>
      </w:tblBorders>
    </w:tblPr>
    <w:tblStylePr w:type="firstRow">
      <w:rPr>
        <w:rFonts w:asciiTheme="majorHAnsi" w:eastAsiaTheme="majorEastAsia" w:hAnsiTheme="majorHAnsi" w:cstheme="majorBidi"/>
      </w:rPr>
      <w:tblPr/>
      <w:tcPr>
        <w:tcBorders>
          <w:top w:val="nil"/>
          <w:bottom w:val="single" w:sz="8" w:space="0" w:color="F1873D" w:themeColor="accent3"/>
        </w:tcBorders>
      </w:tcPr>
    </w:tblStylePr>
    <w:tblStylePr w:type="lastRow">
      <w:rPr>
        <w:b/>
        <w:bCs/>
        <w:color w:val="9778B4" w:themeColor="text2"/>
      </w:rPr>
      <w:tblPr/>
      <w:tcPr>
        <w:tcBorders>
          <w:top w:val="single" w:sz="8" w:space="0" w:color="F1873D" w:themeColor="accent3"/>
          <w:bottom w:val="single" w:sz="8" w:space="0" w:color="F1873D" w:themeColor="accent3"/>
        </w:tcBorders>
      </w:tcPr>
    </w:tblStylePr>
    <w:tblStylePr w:type="firstCol">
      <w:rPr>
        <w:b/>
        <w:bCs/>
      </w:rPr>
    </w:tblStylePr>
    <w:tblStylePr w:type="lastCol">
      <w:rPr>
        <w:b/>
        <w:bCs/>
      </w:rPr>
      <w:tblPr/>
      <w:tcPr>
        <w:tcBorders>
          <w:top w:val="single" w:sz="8" w:space="0" w:color="F1873D" w:themeColor="accent3"/>
          <w:bottom w:val="single" w:sz="8" w:space="0" w:color="F1873D" w:themeColor="accent3"/>
        </w:tcBorders>
      </w:tcPr>
    </w:tblStylePr>
    <w:tblStylePr w:type="band1Vert">
      <w:tblPr/>
      <w:tcPr>
        <w:shd w:val="clear" w:color="auto" w:fill="FBE1CE" w:themeFill="accent3" w:themeFillTint="3F"/>
      </w:tcPr>
    </w:tblStylePr>
    <w:tblStylePr w:type="band1Horz">
      <w:tblPr/>
      <w:tcPr>
        <w:shd w:val="clear" w:color="auto" w:fill="FBE1CE" w:themeFill="accent3" w:themeFillTint="3F"/>
      </w:tcPr>
    </w:tblStylePr>
  </w:style>
  <w:style w:type="table" w:styleId="MediumList1-Accent4">
    <w:name w:val="Medium List 1 Accent 4"/>
    <w:basedOn w:val="TableNormal"/>
    <w:uiPriority w:val="65"/>
    <w:semiHidden/>
    <w:rsid w:val="00EE3EB6"/>
    <w:pPr>
      <w:spacing w:line="240" w:lineRule="auto"/>
    </w:pPr>
    <w:rPr>
      <w:color w:val="000000" w:themeColor="text1"/>
    </w:rPr>
    <w:tblPr>
      <w:tblStyleRowBandSize w:val="1"/>
      <w:tblStyleColBandSize w:val="1"/>
      <w:tblBorders>
        <w:top w:val="single" w:sz="8" w:space="0" w:color="FCC648" w:themeColor="accent4"/>
        <w:bottom w:val="single" w:sz="8" w:space="0" w:color="FCC648" w:themeColor="accent4"/>
      </w:tblBorders>
    </w:tblPr>
    <w:tblStylePr w:type="firstRow">
      <w:rPr>
        <w:rFonts w:asciiTheme="majorHAnsi" w:eastAsiaTheme="majorEastAsia" w:hAnsiTheme="majorHAnsi" w:cstheme="majorBidi"/>
      </w:rPr>
      <w:tblPr/>
      <w:tcPr>
        <w:tcBorders>
          <w:top w:val="nil"/>
          <w:bottom w:val="single" w:sz="8" w:space="0" w:color="FCC648" w:themeColor="accent4"/>
        </w:tcBorders>
      </w:tcPr>
    </w:tblStylePr>
    <w:tblStylePr w:type="lastRow">
      <w:rPr>
        <w:b/>
        <w:bCs/>
        <w:color w:val="9778B4" w:themeColor="text2"/>
      </w:rPr>
      <w:tblPr/>
      <w:tcPr>
        <w:tcBorders>
          <w:top w:val="single" w:sz="8" w:space="0" w:color="FCC648" w:themeColor="accent4"/>
          <w:bottom w:val="single" w:sz="8" w:space="0" w:color="FCC648" w:themeColor="accent4"/>
        </w:tcBorders>
      </w:tcPr>
    </w:tblStylePr>
    <w:tblStylePr w:type="firstCol">
      <w:rPr>
        <w:b/>
        <w:bCs/>
      </w:rPr>
    </w:tblStylePr>
    <w:tblStylePr w:type="lastCol">
      <w:rPr>
        <w:b/>
        <w:bCs/>
      </w:rPr>
      <w:tblPr/>
      <w:tcPr>
        <w:tcBorders>
          <w:top w:val="single" w:sz="8" w:space="0" w:color="FCC648" w:themeColor="accent4"/>
          <w:bottom w:val="single" w:sz="8" w:space="0" w:color="FCC648" w:themeColor="accent4"/>
        </w:tcBorders>
      </w:tcPr>
    </w:tblStylePr>
    <w:tblStylePr w:type="band1Vert">
      <w:tblPr/>
      <w:tcPr>
        <w:shd w:val="clear" w:color="auto" w:fill="FEF0D1" w:themeFill="accent4" w:themeFillTint="3F"/>
      </w:tcPr>
    </w:tblStylePr>
    <w:tblStylePr w:type="band1Horz">
      <w:tblPr/>
      <w:tcPr>
        <w:shd w:val="clear" w:color="auto" w:fill="FEF0D1" w:themeFill="accent4" w:themeFillTint="3F"/>
      </w:tcPr>
    </w:tblStylePr>
  </w:style>
  <w:style w:type="table" w:styleId="MediumList1-Accent5">
    <w:name w:val="Medium List 1 Accent 5"/>
    <w:basedOn w:val="TableNormal"/>
    <w:uiPriority w:val="65"/>
    <w:semiHidden/>
    <w:rsid w:val="00EE3EB6"/>
    <w:pPr>
      <w:spacing w:line="240" w:lineRule="auto"/>
    </w:pPr>
    <w:rPr>
      <w:color w:val="000000" w:themeColor="text1"/>
    </w:rPr>
    <w:tblPr>
      <w:tblStyleRowBandSize w:val="1"/>
      <w:tblStyleColBandSize w:val="1"/>
      <w:tblBorders>
        <w:top w:val="single" w:sz="8" w:space="0" w:color="86BE57" w:themeColor="accent5"/>
        <w:bottom w:val="single" w:sz="8" w:space="0" w:color="86BE57" w:themeColor="accent5"/>
      </w:tblBorders>
    </w:tblPr>
    <w:tblStylePr w:type="firstRow">
      <w:rPr>
        <w:rFonts w:asciiTheme="majorHAnsi" w:eastAsiaTheme="majorEastAsia" w:hAnsiTheme="majorHAnsi" w:cstheme="majorBidi"/>
      </w:rPr>
      <w:tblPr/>
      <w:tcPr>
        <w:tcBorders>
          <w:top w:val="nil"/>
          <w:bottom w:val="single" w:sz="8" w:space="0" w:color="86BE57" w:themeColor="accent5"/>
        </w:tcBorders>
      </w:tcPr>
    </w:tblStylePr>
    <w:tblStylePr w:type="lastRow">
      <w:rPr>
        <w:b/>
        <w:bCs/>
        <w:color w:val="9778B4" w:themeColor="text2"/>
      </w:rPr>
      <w:tblPr/>
      <w:tcPr>
        <w:tcBorders>
          <w:top w:val="single" w:sz="8" w:space="0" w:color="86BE57" w:themeColor="accent5"/>
          <w:bottom w:val="single" w:sz="8" w:space="0" w:color="86BE57" w:themeColor="accent5"/>
        </w:tcBorders>
      </w:tcPr>
    </w:tblStylePr>
    <w:tblStylePr w:type="firstCol">
      <w:rPr>
        <w:b/>
        <w:bCs/>
      </w:rPr>
    </w:tblStylePr>
    <w:tblStylePr w:type="lastCol">
      <w:rPr>
        <w:b/>
        <w:bCs/>
      </w:rPr>
      <w:tblPr/>
      <w:tcPr>
        <w:tcBorders>
          <w:top w:val="single" w:sz="8" w:space="0" w:color="86BE57" w:themeColor="accent5"/>
          <w:bottom w:val="single" w:sz="8" w:space="0" w:color="86BE57" w:themeColor="accent5"/>
        </w:tcBorders>
      </w:tcPr>
    </w:tblStylePr>
    <w:tblStylePr w:type="band1Vert">
      <w:tblPr/>
      <w:tcPr>
        <w:shd w:val="clear" w:color="auto" w:fill="E1EFD5" w:themeFill="accent5" w:themeFillTint="3F"/>
      </w:tcPr>
    </w:tblStylePr>
    <w:tblStylePr w:type="band1Horz">
      <w:tblPr/>
      <w:tcPr>
        <w:shd w:val="clear" w:color="auto" w:fill="E1EFD5" w:themeFill="accent5" w:themeFillTint="3F"/>
      </w:tcPr>
    </w:tblStylePr>
  </w:style>
  <w:style w:type="table" w:styleId="MediumList1-Accent6">
    <w:name w:val="Medium List 1 Accent 6"/>
    <w:basedOn w:val="TableNormal"/>
    <w:uiPriority w:val="65"/>
    <w:semiHidden/>
    <w:rsid w:val="00EE3EB6"/>
    <w:pPr>
      <w:spacing w:line="240" w:lineRule="auto"/>
    </w:pPr>
    <w:rPr>
      <w:color w:val="000000" w:themeColor="text1"/>
    </w:rPr>
    <w:tblPr>
      <w:tblStyleRowBandSize w:val="1"/>
      <w:tblStyleColBandSize w:val="1"/>
      <w:tblBorders>
        <w:top w:val="single" w:sz="8" w:space="0" w:color="788183" w:themeColor="accent6"/>
        <w:bottom w:val="single" w:sz="8" w:space="0" w:color="788183" w:themeColor="accent6"/>
      </w:tblBorders>
    </w:tblPr>
    <w:tblStylePr w:type="firstRow">
      <w:rPr>
        <w:rFonts w:asciiTheme="majorHAnsi" w:eastAsiaTheme="majorEastAsia" w:hAnsiTheme="majorHAnsi" w:cstheme="majorBidi"/>
      </w:rPr>
      <w:tblPr/>
      <w:tcPr>
        <w:tcBorders>
          <w:top w:val="nil"/>
          <w:bottom w:val="single" w:sz="8" w:space="0" w:color="788183" w:themeColor="accent6"/>
        </w:tcBorders>
      </w:tcPr>
    </w:tblStylePr>
    <w:tblStylePr w:type="lastRow">
      <w:rPr>
        <w:b/>
        <w:bCs/>
        <w:color w:val="9778B4" w:themeColor="text2"/>
      </w:rPr>
      <w:tblPr/>
      <w:tcPr>
        <w:tcBorders>
          <w:top w:val="single" w:sz="8" w:space="0" w:color="788183" w:themeColor="accent6"/>
          <w:bottom w:val="single" w:sz="8" w:space="0" w:color="788183" w:themeColor="accent6"/>
        </w:tcBorders>
      </w:tcPr>
    </w:tblStylePr>
    <w:tblStylePr w:type="firstCol">
      <w:rPr>
        <w:b/>
        <w:bCs/>
      </w:rPr>
    </w:tblStylePr>
    <w:tblStylePr w:type="lastCol">
      <w:rPr>
        <w:b/>
        <w:bCs/>
      </w:rPr>
      <w:tblPr/>
      <w:tcPr>
        <w:tcBorders>
          <w:top w:val="single" w:sz="8" w:space="0" w:color="788183" w:themeColor="accent6"/>
          <w:bottom w:val="single" w:sz="8" w:space="0" w:color="788183" w:themeColor="accent6"/>
        </w:tcBorders>
      </w:tcPr>
    </w:tblStylePr>
    <w:tblStylePr w:type="band1Vert">
      <w:tblPr/>
      <w:tcPr>
        <w:shd w:val="clear" w:color="auto" w:fill="DDDFE0" w:themeFill="accent6" w:themeFillTint="3F"/>
      </w:tcPr>
    </w:tblStylePr>
    <w:tblStylePr w:type="band1Horz">
      <w:tblPr/>
      <w:tcPr>
        <w:shd w:val="clear" w:color="auto" w:fill="DDDFE0" w:themeFill="accent6" w:themeFillTint="3F"/>
      </w:tcPr>
    </w:tblStylePr>
  </w:style>
  <w:style w:type="table" w:styleId="MediumList2">
    <w:name w:val="Medium Lis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rPr>
        <w:sz w:val="24"/>
        <w:szCs w:val="24"/>
      </w:rPr>
      <w:tblPr/>
      <w:tcPr>
        <w:tcBorders>
          <w:top w:val="nil"/>
          <w:left w:val="nil"/>
          <w:bottom w:val="single" w:sz="24" w:space="0" w:color="8D487F" w:themeColor="accent1"/>
          <w:right w:val="nil"/>
          <w:insideH w:val="nil"/>
          <w:insideV w:val="nil"/>
        </w:tcBorders>
        <w:shd w:val="clear" w:color="auto" w:fill="FFFFFF" w:themeFill="background1"/>
      </w:tcPr>
    </w:tblStylePr>
    <w:tblStylePr w:type="lastRow">
      <w:tblPr/>
      <w:tcPr>
        <w:tcBorders>
          <w:top w:val="single" w:sz="8" w:space="0" w:color="8D48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487F" w:themeColor="accent1"/>
          <w:insideH w:val="nil"/>
          <w:insideV w:val="nil"/>
        </w:tcBorders>
        <w:shd w:val="clear" w:color="auto" w:fill="FFFFFF" w:themeFill="background1"/>
      </w:tcPr>
    </w:tblStylePr>
    <w:tblStylePr w:type="lastCol">
      <w:tblPr/>
      <w:tcPr>
        <w:tcBorders>
          <w:top w:val="nil"/>
          <w:left w:val="single" w:sz="8" w:space="0" w:color="8D48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top w:val="nil"/>
          <w:bottom w:val="nil"/>
          <w:insideH w:val="nil"/>
          <w:insideV w:val="nil"/>
        </w:tcBorders>
        <w:shd w:val="clear" w:color="auto" w:fill="E6CE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rPr>
        <w:sz w:val="24"/>
        <w:szCs w:val="24"/>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tblPr/>
      <w:tcPr>
        <w:tcBorders>
          <w:top w:val="single" w:sz="8" w:space="0" w:color="C64E4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4E45" w:themeColor="accent2"/>
          <w:insideH w:val="nil"/>
          <w:insideV w:val="nil"/>
        </w:tcBorders>
        <w:shd w:val="clear" w:color="auto" w:fill="FFFFFF" w:themeFill="background1"/>
      </w:tcPr>
    </w:tblStylePr>
    <w:tblStylePr w:type="lastCol">
      <w:tblPr/>
      <w:tcPr>
        <w:tcBorders>
          <w:top w:val="nil"/>
          <w:left w:val="single" w:sz="8" w:space="0" w:color="C64E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top w:val="nil"/>
          <w:bottom w:val="nil"/>
          <w:insideH w:val="nil"/>
          <w:insideV w:val="nil"/>
        </w:tcBorders>
        <w:shd w:val="clear" w:color="auto" w:fill="F1D2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rPr>
        <w:sz w:val="24"/>
        <w:szCs w:val="24"/>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tblPr/>
      <w:tcPr>
        <w:tcBorders>
          <w:top w:val="single" w:sz="8" w:space="0" w:color="F1873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873D" w:themeColor="accent3"/>
          <w:insideH w:val="nil"/>
          <w:insideV w:val="nil"/>
        </w:tcBorders>
        <w:shd w:val="clear" w:color="auto" w:fill="FFFFFF" w:themeFill="background1"/>
      </w:tcPr>
    </w:tblStylePr>
    <w:tblStylePr w:type="lastCol">
      <w:tblPr/>
      <w:tcPr>
        <w:tcBorders>
          <w:top w:val="nil"/>
          <w:left w:val="single" w:sz="8" w:space="0" w:color="F1873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top w:val="nil"/>
          <w:bottom w:val="nil"/>
          <w:insideH w:val="nil"/>
          <w:insideV w:val="nil"/>
        </w:tcBorders>
        <w:shd w:val="clear" w:color="auto" w:fill="FBE1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rPr>
        <w:sz w:val="24"/>
        <w:szCs w:val="24"/>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tblPr/>
      <w:tcPr>
        <w:tcBorders>
          <w:top w:val="single" w:sz="8" w:space="0" w:color="FCC6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C648" w:themeColor="accent4"/>
          <w:insideH w:val="nil"/>
          <w:insideV w:val="nil"/>
        </w:tcBorders>
        <w:shd w:val="clear" w:color="auto" w:fill="FFFFFF" w:themeFill="background1"/>
      </w:tcPr>
    </w:tblStylePr>
    <w:tblStylePr w:type="lastCol">
      <w:tblPr/>
      <w:tcPr>
        <w:tcBorders>
          <w:top w:val="nil"/>
          <w:left w:val="single" w:sz="8" w:space="0" w:color="FCC6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top w:val="nil"/>
          <w:bottom w:val="nil"/>
          <w:insideH w:val="nil"/>
          <w:insideV w:val="nil"/>
        </w:tcBorders>
        <w:shd w:val="clear" w:color="auto" w:fill="FEF0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rPr>
        <w:sz w:val="24"/>
        <w:szCs w:val="24"/>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tblPr/>
      <w:tcPr>
        <w:tcBorders>
          <w:top w:val="single" w:sz="8" w:space="0" w:color="86BE5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E57" w:themeColor="accent5"/>
          <w:insideH w:val="nil"/>
          <w:insideV w:val="nil"/>
        </w:tcBorders>
        <w:shd w:val="clear" w:color="auto" w:fill="FFFFFF" w:themeFill="background1"/>
      </w:tcPr>
    </w:tblStylePr>
    <w:tblStylePr w:type="lastCol">
      <w:tblPr/>
      <w:tcPr>
        <w:tcBorders>
          <w:top w:val="nil"/>
          <w:left w:val="single" w:sz="8" w:space="0" w:color="86BE5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top w:val="nil"/>
          <w:bottom w:val="nil"/>
          <w:insideH w:val="nil"/>
          <w:insideV w:val="nil"/>
        </w:tcBorders>
        <w:shd w:val="clear" w:color="auto" w:fill="E1EF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rPr>
        <w:sz w:val="24"/>
        <w:szCs w:val="24"/>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tblPr/>
      <w:tcPr>
        <w:tcBorders>
          <w:top w:val="single" w:sz="8" w:space="0" w:color="78818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8183" w:themeColor="accent6"/>
          <w:insideH w:val="nil"/>
          <w:insideV w:val="nil"/>
        </w:tcBorders>
        <w:shd w:val="clear" w:color="auto" w:fill="FFFFFF" w:themeFill="background1"/>
      </w:tcPr>
    </w:tblStylePr>
    <w:tblStylePr w:type="lastCol">
      <w:tblPr/>
      <w:tcPr>
        <w:tcBorders>
          <w:top w:val="nil"/>
          <w:left w:val="single" w:sz="8" w:space="0" w:color="78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top w:val="nil"/>
          <w:bottom w:val="nil"/>
          <w:insideH w:val="nil"/>
          <w:insideV w:val="nil"/>
        </w:tcBorders>
        <w:shd w:val="clear" w:color="auto" w:fill="DDDF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tblBorders>
    </w:tblPr>
    <w:tblStylePr w:type="firstRow">
      <w:pPr>
        <w:spacing w:before="0" w:after="0" w:line="240" w:lineRule="auto"/>
      </w:pPr>
      <w:rPr>
        <w:b/>
        <w:bCs/>
        <w:color w:val="FFFFFF" w:themeColor="background1"/>
      </w:rPr>
      <w:tblPr/>
      <w:tcPr>
        <w:tc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shd w:val="clear" w:color="auto" w:fill="8D487F" w:themeFill="accent1"/>
      </w:tcPr>
    </w:tblStylePr>
    <w:tblStylePr w:type="lastRow">
      <w:pPr>
        <w:spacing w:before="0" w:after="0" w:line="240" w:lineRule="auto"/>
      </w:pPr>
      <w:rPr>
        <w:b/>
        <w:bCs/>
      </w:rPr>
      <w:tblPr/>
      <w:tcPr>
        <w:tcBorders>
          <w:top w:val="double" w:sz="6"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CEE1" w:themeFill="accent1" w:themeFillTint="3F"/>
      </w:tcPr>
    </w:tblStylePr>
    <w:tblStylePr w:type="band1Horz">
      <w:tblPr/>
      <w:tcPr>
        <w:tcBorders>
          <w:insideH w:val="nil"/>
          <w:insideV w:val="nil"/>
        </w:tcBorders>
        <w:shd w:val="clear" w:color="auto" w:fill="E6CE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tblBorders>
    </w:tblPr>
    <w:tblStylePr w:type="firstRow">
      <w:pPr>
        <w:spacing w:before="0" w:after="0" w:line="240" w:lineRule="auto"/>
      </w:pPr>
      <w:rPr>
        <w:b/>
        <w:bCs/>
        <w:color w:val="FFFFFF" w:themeColor="background1"/>
      </w:rPr>
      <w:tblPr/>
      <w:tcPr>
        <w:tc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shd w:val="clear" w:color="auto" w:fill="C64E45" w:themeFill="accent2"/>
      </w:tcPr>
    </w:tblStylePr>
    <w:tblStylePr w:type="lastRow">
      <w:pPr>
        <w:spacing w:before="0" w:after="0" w:line="240" w:lineRule="auto"/>
      </w:pPr>
      <w:rPr>
        <w:b/>
        <w:bCs/>
      </w:rPr>
      <w:tblPr/>
      <w:tcPr>
        <w:tcBorders>
          <w:top w:val="double" w:sz="6"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2D0" w:themeFill="accent2" w:themeFillTint="3F"/>
      </w:tcPr>
    </w:tblStylePr>
    <w:tblStylePr w:type="band1Horz">
      <w:tblPr/>
      <w:tcPr>
        <w:tcBorders>
          <w:insideH w:val="nil"/>
          <w:insideV w:val="nil"/>
        </w:tcBorders>
        <w:shd w:val="clear" w:color="auto" w:fill="F1D2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tblBorders>
    </w:tblPr>
    <w:tblStylePr w:type="firstRow">
      <w:pPr>
        <w:spacing w:before="0" w:after="0" w:line="240" w:lineRule="auto"/>
      </w:pPr>
      <w:rPr>
        <w:b/>
        <w:bCs/>
        <w:color w:val="FFFFFF" w:themeColor="background1"/>
      </w:rPr>
      <w:tblPr/>
      <w:tcPr>
        <w:tc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shd w:val="clear" w:color="auto" w:fill="F1873D" w:themeFill="accent3"/>
      </w:tcPr>
    </w:tblStylePr>
    <w:tblStylePr w:type="lastRow">
      <w:pPr>
        <w:spacing w:before="0" w:after="0" w:line="240" w:lineRule="auto"/>
      </w:pPr>
      <w:rPr>
        <w:b/>
        <w:bCs/>
      </w:rPr>
      <w:tblPr/>
      <w:tcPr>
        <w:tcBorders>
          <w:top w:val="double" w:sz="6"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1CE" w:themeFill="accent3" w:themeFillTint="3F"/>
      </w:tcPr>
    </w:tblStylePr>
    <w:tblStylePr w:type="band1Horz">
      <w:tblPr/>
      <w:tcPr>
        <w:tcBorders>
          <w:insideH w:val="nil"/>
          <w:insideV w:val="nil"/>
        </w:tcBorders>
        <w:shd w:val="clear" w:color="auto" w:fill="FBE1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tblBorders>
    </w:tblPr>
    <w:tblStylePr w:type="firstRow">
      <w:pPr>
        <w:spacing w:before="0" w:after="0" w:line="240" w:lineRule="auto"/>
      </w:pPr>
      <w:rPr>
        <w:b/>
        <w:bCs/>
        <w:color w:val="FFFFFF" w:themeColor="background1"/>
      </w:rPr>
      <w:tblPr/>
      <w:tcPr>
        <w:tc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shd w:val="clear" w:color="auto" w:fill="FCC648" w:themeFill="accent4"/>
      </w:tcPr>
    </w:tblStylePr>
    <w:tblStylePr w:type="lastRow">
      <w:pPr>
        <w:spacing w:before="0" w:after="0" w:line="240" w:lineRule="auto"/>
      </w:pPr>
      <w:rPr>
        <w:b/>
        <w:bCs/>
      </w:rPr>
      <w:tblPr/>
      <w:tcPr>
        <w:tcBorders>
          <w:top w:val="double" w:sz="6"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0D1" w:themeFill="accent4" w:themeFillTint="3F"/>
      </w:tcPr>
    </w:tblStylePr>
    <w:tblStylePr w:type="band1Horz">
      <w:tblPr/>
      <w:tcPr>
        <w:tcBorders>
          <w:insideH w:val="nil"/>
          <w:insideV w:val="nil"/>
        </w:tcBorders>
        <w:shd w:val="clear" w:color="auto" w:fill="FEF0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tblBorders>
    </w:tblPr>
    <w:tblStylePr w:type="firstRow">
      <w:pPr>
        <w:spacing w:before="0" w:after="0" w:line="240" w:lineRule="auto"/>
      </w:pPr>
      <w:rPr>
        <w:b/>
        <w:bCs/>
        <w:color w:val="FFFFFF" w:themeColor="background1"/>
      </w:rPr>
      <w:tblPr/>
      <w:tcPr>
        <w:tc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shd w:val="clear" w:color="auto" w:fill="86BE57" w:themeFill="accent5"/>
      </w:tcPr>
    </w:tblStylePr>
    <w:tblStylePr w:type="lastRow">
      <w:pPr>
        <w:spacing w:before="0" w:after="0" w:line="240" w:lineRule="auto"/>
      </w:pPr>
      <w:rPr>
        <w:b/>
        <w:bCs/>
      </w:rPr>
      <w:tblPr/>
      <w:tcPr>
        <w:tcBorders>
          <w:top w:val="double" w:sz="6"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FD5" w:themeFill="accent5" w:themeFillTint="3F"/>
      </w:tcPr>
    </w:tblStylePr>
    <w:tblStylePr w:type="band1Horz">
      <w:tblPr/>
      <w:tcPr>
        <w:tcBorders>
          <w:insideH w:val="nil"/>
          <w:insideV w:val="nil"/>
        </w:tcBorders>
        <w:shd w:val="clear" w:color="auto" w:fill="E1EF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tblBorders>
    </w:tblPr>
    <w:tblStylePr w:type="firstRow">
      <w:pPr>
        <w:spacing w:before="0" w:after="0" w:line="240" w:lineRule="auto"/>
      </w:pPr>
      <w:rPr>
        <w:b/>
        <w:bCs/>
        <w:color w:val="FFFFFF" w:themeColor="background1"/>
      </w:rPr>
      <w:tblPr/>
      <w:tcPr>
        <w:tc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shd w:val="clear" w:color="auto" w:fill="788183" w:themeFill="accent6"/>
      </w:tcPr>
    </w:tblStylePr>
    <w:tblStylePr w:type="lastRow">
      <w:pPr>
        <w:spacing w:before="0" w:after="0" w:line="240" w:lineRule="auto"/>
      </w:pPr>
      <w:rPr>
        <w:b/>
        <w:bCs/>
      </w:rPr>
      <w:tblPr/>
      <w:tcPr>
        <w:tcBorders>
          <w:top w:val="double" w:sz="6"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FE0" w:themeFill="accent6" w:themeFillTint="3F"/>
      </w:tcPr>
    </w:tblStylePr>
    <w:tblStylePr w:type="band1Horz">
      <w:tblPr/>
      <w:tcPr>
        <w:tcBorders>
          <w:insideH w:val="nil"/>
          <w:insideV w:val="nil"/>
        </w:tcBorders>
        <w:shd w:val="clear" w:color="auto" w:fill="DDDF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48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487F" w:themeFill="accent1"/>
      </w:tcPr>
    </w:tblStylePr>
    <w:tblStylePr w:type="lastCol">
      <w:rPr>
        <w:b/>
        <w:bCs/>
        <w:color w:val="FFFFFF" w:themeColor="background1"/>
      </w:rPr>
      <w:tblPr/>
      <w:tcPr>
        <w:tcBorders>
          <w:left w:val="nil"/>
          <w:right w:val="nil"/>
          <w:insideH w:val="nil"/>
          <w:insideV w:val="nil"/>
        </w:tcBorders>
        <w:shd w:val="clear" w:color="auto" w:fill="8D48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4E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4E45" w:themeFill="accent2"/>
      </w:tcPr>
    </w:tblStylePr>
    <w:tblStylePr w:type="lastCol">
      <w:rPr>
        <w:b/>
        <w:bCs/>
        <w:color w:val="FFFFFF" w:themeColor="background1"/>
      </w:rPr>
      <w:tblPr/>
      <w:tcPr>
        <w:tcBorders>
          <w:left w:val="nil"/>
          <w:right w:val="nil"/>
          <w:insideH w:val="nil"/>
          <w:insideV w:val="nil"/>
        </w:tcBorders>
        <w:shd w:val="clear" w:color="auto" w:fill="C64E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873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873D" w:themeFill="accent3"/>
      </w:tcPr>
    </w:tblStylePr>
    <w:tblStylePr w:type="lastCol">
      <w:rPr>
        <w:b/>
        <w:bCs/>
        <w:color w:val="FFFFFF" w:themeColor="background1"/>
      </w:rPr>
      <w:tblPr/>
      <w:tcPr>
        <w:tcBorders>
          <w:left w:val="nil"/>
          <w:right w:val="nil"/>
          <w:insideH w:val="nil"/>
          <w:insideV w:val="nil"/>
        </w:tcBorders>
        <w:shd w:val="clear" w:color="auto" w:fill="F1873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C6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C648" w:themeFill="accent4"/>
      </w:tcPr>
    </w:tblStylePr>
    <w:tblStylePr w:type="lastCol">
      <w:rPr>
        <w:b/>
        <w:bCs/>
        <w:color w:val="FFFFFF" w:themeColor="background1"/>
      </w:rPr>
      <w:tblPr/>
      <w:tcPr>
        <w:tcBorders>
          <w:left w:val="nil"/>
          <w:right w:val="nil"/>
          <w:insideH w:val="nil"/>
          <w:insideV w:val="nil"/>
        </w:tcBorders>
        <w:shd w:val="clear" w:color="auto" w:fill="FCC6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E5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E57" w:themeFill="accent5"/>
      </w:tcPr>
    </w:tblStylePr>
    <w:tblStylePr w:type="lastCol">
      <w:rPr>
        <w:b/>
        <w:bCs/>
        <w:color w:val="FFFFFF" w:themeColor="background1"/>
      </w:rPr>
      <w:tblPr/>
      <w:tcPr>
        <w:tcBorders>
          <w:left w:val="nil"/>
          <w:right w:val="nil"/>
          <w:insideH w:val="nil"/>
          <w:insideV w:val="nil"/>
        </w:tcBorders>
        <w:shd w:val="clear" w:color="auto" w:fill="86BE5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8183" w:themeFill="accent6"/>
      </w:tcPr>
    </w:tblStylePr>
    <w:tblStylePr w:type="lastCol">
      <w:rPr>
        <w:b/>
        <w:bCs/>
        <w:color w:val="FFFFFF" w:themeColor="background1"/>
      </w:rPr>
      <w:tblPr/>
      <w:tcPr>
        <w:tcBorders>
          <w:left w:val="nil"/>
          <w:right w:val="nil"/>
          <w:insideH w:val="nil"/>
          <w:insideV w:val="nil"/>
        </w:tcBorders>
        <w:shd w:val="clear" w:color="auto" w:fill="78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EE3EB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EE3EB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EE3EB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EE3EB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EE3EB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EE3E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3">
    <w:name w:val="List Continue 3"/>
    <w:basedOn w:val="Normal"/>
    <w:rsid w:val="00503B7F"/>
    <w:pPr>
      <w:spacing w:before="120"/>
      <w:ind w:left="850"/>
    </w:pPr>
  </w:style>
  <w:style w:type="paragraph" w:styleId="ListNumber4">
    <w:name w:val="List Number 4"/>
    <w:basedOn w:val="Normal"/>
    <w:rsid w:val="00D264C9"/>
    <w:pPr>
      <w:numPr>
        <w:ilvl w:val="3"/>
        <w:numId w:val="17"/>
      </w:numPr>
      <w:spacing w:before="120"/>
    </w:pPr>
  </w:style>
  <w:style w:type="paragraph" w:styleId="ListNumber5">
    <w:name w:val="List Number 5"/>
    <w:basedOn w:val="Normal"/>
    <w:rsid w:val="00D264C9"/>
    <w:pPr>
      <w:numPr>
        <w:ilvl w:val="4"/>
        <w:numId w:val="17"/>
      </w:numPr>
      <w:spacing w:before="120"/>
    </w:pPr>
  </w:style>
  <w:style w:type="paragraph" w:styleId="ListContinue4">
    <w:name w:val="List Continue 4"/>
    <w:basedOn w:val="Normal"/>
    <w:rsid w:val="00503B7F"/>
    <w:pPr>
      <w:spacing w:before="120" w:after="60"/>
      <w:ind w:left="1134"/>
    </w:pPr>
  </w:style>
  <w:style w:type="paragraph" w:styleId="ListContinue5">
    <w:name w:val="List Continue 5"/>
    <w:basedOn w:val="Normal"/>
    <w:rsid w:val="00503B7F"/>
    <w:pPr>
      <w:spacing w:before="120"/>
      <w:ind w:left="1417"/>
    </w:pPr>
  </w:style>
  <w:style w:type="table" w:customStyle="1" w:styleId="BoxPlaceholder">
    <w:name w:val="Box Placeholder"/>
    <w:basedOn w:val="TableNormal"/>
    <w:uiPriority w:val="99"/>
    <w:rsid w:val="00BC0200"/>
    <w:pPr>
      <w:spacing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character" w:styleId="PlaceholderText">
    <w:name w:val="Placeholder Text"/>
    <w:basedOn w:val="DefaultParagraphFont"/>
    <w:rsid w:val="004D58BA"/>
    <w:rPr>
      <w:color w:val="808080"/>
    </w:rPr>
  </w:style>
  <w:style w:type="table" w:customStyle="1" w:styleId="PBOFinancial">
    <w:name w:val="PBO Financial"/>
    <w:basedOn w:val="TableNormal"/>
    <w:uiPriority w:val="99"/>
    <w:rsid w:val="00456DEB"/>
    <w:pPr>
      <w:spacing w:before="40" w:after="40" w:line="240" w:lineRule="auto"/>
      <w:jc w:val="right"/>
    </w:pPr>
    <w:rPr>
      <w:sz w:val="20"/>
    </w:rPr>
    <w:tblPr>
      <w:tblCellMar>
        <w:top w:w="11" w:type="dxa"/>
        <w:left w:w="0" w:type="dxa"/>
        <w:bottom w:w="11" w:type="dxa"/>
        <w:right w:w="0" w:type="dxa"/>
      </w:tblCellMar>
    </w:tblPr>
    <w:tblStylePr w:type="firstRow">
      <w:rPr>
        <w:b w:val="0"/>
      </w:rPr>
      <w:tblPr/>
      <w:tcPr>
        <w:tcBorders>
          <w:top w:val="nil"/>
          <w:left w:val="nil"/>
          <w:bottom w:val="single" w:sz="4" w:space="0" w:color="auto"/>
          <w:right w:val="nil"/>
          <w:insideH w:val="nil"/>
          <w:insideV w:val="nil"/>
          <w:tl2br w:val="nil"/>
          <w:tr2bl w:val="nil"/>
        </w:tcBorders>
        <w:tcMar>
          <w:top w:w="11" w:type="dxa"/>
          <w:left w:w="0" w:type="nil"/>
          <w:bottom w:w="11" w:type="dxa"/>
          <w:right w:w="57" w:type="dxa"/>
        </w:tcMar>
      </w:tcPr>
    </w:tblStylePr>
    <w:tblStylePr w:type="lastRow">
      <w:rPr>
        <w:b w:val="0"/>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Mar>
          <w:top w:w="28" w:type="dxa"/>
          <w:left w:w="0" w:type="nil"/>
          <w:bottom w:w="28" w:type="dxa"/>
          <w:right w:w="57" w:type="dxa"/>
        </w:tcMar>
      </w:tcPr>
    </w:tblStylePr>
    <w:tblStylePr w:type="swCell">
      <w:rPr>
        <w:b/>
      </w:rPr>
    </w:tblStylePr>
  </w:style>
  <w:style w:type="paragraph" w:customStyle="1" w:styleId="xTableDecorativeA">
    <w:name w:val="xTableDecorativeA"/>
    <w:basedOn w:val="Normal"/>
    <w:next w:val="Normal"/>
    <w:uiPriority w:val="99"/>
    <w:semiHidden/>
    <w:qFormat/>
    <w:rsid w:val="00FD3658"/>
    <w:pPr>
      <w:keepNext/>
      <w:keepLines/>
      <w:spacing w:line="80" w:lineRule="exact"/>
    </w:pPr>
    <w:rPr>
      <w:b/>
      <w:sz w:val="14"/>
    </w:rPr>
  </w:style>
  <w:style w:type="paragraph" w:customStyle="1" w:styleId="PullQuote">
    <w:name w:val="Pull Quote"/>
    <w:basedOn w:val="Normal"/>
    <w:qFormat/>
    <w:rsid w:val="006242BA"/>
    <w:pPr>
      <w:keepNext/>
      <w:keepLines/>
      <w:spacing w:before="120" w:after="120"/>
    </w:pPr>
    <w:rPr>
      <w:b/>
    </w:rPr>
  </w:style>
  <w:style w:type="paragraph" w:customStyle="1" w:styleId="Heading2NoNumbering">
    <w:name w:val="Heading 2 No Numbering"/>
    <w:basedOn w:val="Heading2"/>
    <w:qFormat/>
    <w:rsid w:val="00904D3B"/>
    <w:pPr>
      <w:numPr>
        <w:ilvl w:val="0"/>
        <w:numId w:val="0"/>
      </w:numPr>
    </w:pPr>
  </w:style>
  <w:style w:type="paragraph" w:customStyle="1" w:styleId="AppendixHeading4">
    <w:name w:val="Appendix Heading 4"/>
    <w:basedOn w:val="Normal"/>
    <w:next w:val="BodyText"/>
    <w:uiPriority w:val="30"/>
    <w:qFormat/>
    <w:rsid w:val="0081085D"/>
    <w:pPr>
      <w:spacing w:before="310" w:after="110" w:line="240" w:lineRule="auto"/>
    </w:pPr>
    <w:rPr>
      <w:rFonts w:asciiTheme="majorHAnsi" w:hAnsiTheme="majorHAnsi"/>
      <w:i/>
      <w:color w:val="000000" w:themeColor="text1"/>
      <w:sz w:val="23"/>
    </w:rPr>
  </w:style>
  <w:style w:type="paragraph" w:customStyle="1" w:styleId="AppendixHeading5">
    <w:name w:val="Appendix Heading 5"/>
    <w:basedOn w:val="Normal"/>
    <w:next w:val="BodyText"/>
    <w:uiPriority w:val="30"/>
    <w:qFormat/>
    <w:rsid w:val="0081085D"/>
    <w:pPr>
      <w:spacing w:before="310" w:after="110" w:line="240" w:lineRule="auto"/>
    </w:pPr>
    <w:rPr>
      <w:rFonts w:asciiTheme="majorHAnsi" w:hAnsiTheme="majorHAnsi"/>
      <w:i/>
      <w:color w:val="3D4D7D" w:themeColor="background2"/>
      <w:sz w:val="23"/>
    </w:rPr>
  </w:style>
  <w:style w:type="paragraph" w:customStyle="1" w:styleId="Heading3NoNumbering">
    <w:name w:val="Heading 3 No Numbering"/>
    <w:basedOn w:val="Heading3"/>
    <w:next w:val="BodyText"/>
    <w:qFormat/>
    <w:rsid w:val="00B245AF"/>
    <w:pPr>
      <w:numPr>
        <w:ilvl w:val="0"/>
        <w:numId w:val="0"/>
      </w:numPr>
    </w:pPr>
  </w:style>
  <w:style w:type="numbering" w:customStyle="1" w:styleId="Bullets">
    <w:name w:val="Bullets"/>
    <w:uiPriority w:val="99"/>
    <w:rsid w:val="005050DA"/>
    <w:pPr>
      <w:numPr>
        <w:numId w:val="14"/>
      </w:numPr>
    </w:pPr>
  </w:style>
  <w:style w:type="numbering" w:customStyle="1" w:styleId="NumberedList">
    <w:name w:val="NumberedList"/>
    <w:uiPriority w:val="99"/>
    <w:rsid w:val="005050DA"/>
    <w:pPr>
      <w:numPr>
        <w:numId w:val="17"/>
      </w:numPr>
    </w:pPr>
  </w:style>
  <w:style w:type="paragraph" w:customStyle="1" w:styleId="CaptionDescriptor">
    <w:name w:val="Caption Descriptor"/>
    <w:basedOn w:val="Caption"/>
    <w:qFormat/>
    <w:rsid w:val="007C0767"/>
    <w:rPr>
      <w:b w:val="0"/>
      <w:sz w:val="20"/>
    </w:rPr>
  </w:style>
  <w:style w:type="table" w:customStyle="1" w:styleId="TablePlaceholder">
    <w:name w:val="Table Placeholder"/>
    <w:basedOn w:val="TableNormal"/>
    <w:uiPriority w:val="99"/>
    <w:rsid w:val="00B366ED"/>
    <w:tblPr>
      <w:tblCellMar>
        <w:left w:w="0" w:type="dxa"/>
        <w:right w:w="0" w:type="dxa"/>
      </w:tblCellMar>
    </w:tblPr>
  </w:style>
  <w:style w:type="paragraph" w:customStyle="1" w:styleId="CaptionLeft">
    <w:name w:val="Caption Left"/>
    <w:basedOn w:val="Caption"/>
    <w:next w:val="BodyText"/>
    <w:qFormat/>
    <w:rsid w:val="00233BE7"/>
    <w:pPr>
      <w:jc w:val="left"/>
    </w:pPr>
  </w:style>
  <w:style w:type="paragraph" w:customStyle="1" w:styleId="TableSubheading">
    <w:name w:val="Table Subheading"/>
    <w:basedOn w:val="TableText"/>
    <w:qFormat/>
    <w:rsid w:val="000B3F9F"/>
    <w:rPr>
      <w:b/>
      <w:szCs w:val="20"/>
    </w:rPr>
  </w:style>
  <w:style w:type="paragraph" w:customStyle="1" w:styleId="TableHeadingBlueAllCaps">
    <w:name w:val="Table Heading Blue All Caps"/>
    <w:basedOn w:val="TableText"/>
    <w:qFormat/>
    <w:rsid w:val="000B3F9F"/>
    <w:rPr>
      <w:b/>
      <w:caps/>
      <w:color w:val="3D4D7D" w:themeColor="background2"/>
      <w:szCs w:val="20"/>
    </w:rPr>
  </w:style>
  <w:style w:type="paragraph" w:customStyle="1" w:styleId="BodyText17ptAbove">
    <w:name w:val="Body Text 17pt Above"/>
    <w:basedOn w:val="BodyText"/>
    <w:next w:val="BodyText"/>
    <w:qFormat/>
    <w:rsid w:val="00FF3E62"/>
    <w:pPr>
      <w:spacing w:before="340" w:after="113"/>
    </w:pPr>
    <w:rPr>
      <w:spacing w:val="-1"/>
    </w:rPr>
  </w:style>
  <w:style w:type="paragraph" w:styleId="Revision">
    <w:name w:val="Revision"/>
    <w:hidden/>
    <w:uiPriority w:val="99"/>
    <w:semiHidden/>
    <w:rsid w:val="00FF43EC"/>
    <w:pPr>
      <w:spacing w:line="240" w:lineRule="auto"/>
    </w:pPr>
  </w:style>
  <w:style w:type="paragraph" w:styleId="ListParagraph">
    <w:name w:val="List Paragraph"/>
    <w:basedOn w:val="Normal"/>
    <w:uiPriority w:val="34"/>
    <w:qFormat/>
    <w:rsid w:val="00113C9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footnote text" w:uiPriority="2"/>
    <w:lsdException w:name="header" w:uiPriority="99"/>
    <w:lsdException w:name="caption" w:qFormat="1"/>
    <w:lsdException w:name="table of figures" w:semiHidden="0" w:uiPriority="99" w:unhideWhenUsed="0"/>
    <w:lsdException w:name="footnote reference" w:uiPriority="2"/>
    <w:lsdException w:name="List Bullet" w:qFormat="1"/>
    <w:lsdException w:name="List Number" w:qFormat="1"/>
    <w:lsdException w:name="List Bullet 2" w:qFormat="1"/>
    <w:lsdException w:name="List Number 2" w:qFormat="1"/>
    <w:lsdException w:name="List Number 3" w:qFormat="1"/>
    <w:lsdException w:name="Title" w:semiHidden="0" w:uiPriority="3" w:unhideWhenUsed="0" w:qFormat="1"/>
    <w:lsdException w:name="Default Paragraph Font" w:uiPriority="1"/>
    <w:lsdException w:name="Body Text" w:qFormat="1"/>
    <w:lsdException w:name="List Continue" w:qFormat="1"/>
    <w:lsdException w:name="List Continue 2"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lsdException w:name="Emphasis" w:semiHidden="0" w:unhideWhenUsed="0"/>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Theme" w:uiPriority="9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qFormat="1"/>
  </w:latentStyles>
  <w:style w:type="paragraph" w:default="1" w:styleId="Normal">
    <w:name w:val="Normal"/>
    <w:qFormat/>
    <w:rsid w:val="00C0678B"/>
  </w:style>
  <w:style w:type="paragraph" w:styleId="Heading1">
    <w:name w:val="heading 1"/>
    <w:basedOn w:val="Normal"/>
    <w:next w:val="BodyText"/>
    <w:link w:val="Heading1Char"/>
    <w:qFormat/>
    <w:rsid w:val="0081085D"/>
    <w:pPr>
      <w:keepNext/>
      <w:keepLines/>
      <w:numPr>
        <w:numId w:val="8"/>
      </w:numPr>
      <w:tabs>
        <w:tab w:val="right" w:pos="1418"/>
        <w:tab w:val="right" w:pos="1701"/>
        <w:tab w:val="right" w:pos="1985"/>
      </w:tabs>
      <w:spacing w:after="600" w:line="204" w:lineRule="auto"/>
      <w:outlineLvl w:val="0"/>
    </w:pPr>
    <w:rPr>
      <w:rFonts w:ascii="Calibri Light" w:hAnsi="Calibri Light"/>
      <w:bCs/>
      <w:color w:val="3D4D7D" w:themeColor="background2"/>
      <w:kern w:val="32"/>
      <w:sz w:val="52"/>
      <w:szCs w:val="32"/>
    </w:rPr>
  </w:style>
  <w:style w:type="paragraph" w:styleId="Heading2">
    <w:name w:val="heading 2"/>
    <w:basedOn w:val="Normal"/>
    <w:next w:val="BodyText"/>
    <w:link w:val="Heading2Char"/>
    <w:qFormat/>
    <w:rsid w:val="0081085D"/>
    <w:pPr>
      <w:keepNext/>
      <w:keepLines/>
      <w:numPr>
        <w:ilvl w:val="1"/>
        <w:numId w:val="8"/>
      </w:numPr>
      <w:tabs>
        <w:tab w:val="left" w:pos="1418"/>
        <w:tab w:val="left" w:pos="1701"/>
        <w:tab w:val="left" w:pos="1985"/>
      </w:tabs>
      <w:spacing w:before="330" w:after="80" w:line="240" w:lineRule="auto"/>
      <w:outlineLvl w:val="1"/>
    </w:pPr>
    <w:rPr>
      <w:rFonts w:asciiTheme="majorHAnsi" w:hAnsiTheme="majorHAnsi"/>
      <w:b/>
      <w:bCs/>
      <w:iCs/>
      <w:color w:val="3D4D7D" w:themeColor="background2"/>
      <w:kern w:val="20"/>
      <w:sz w:val="28"/>
      <w:szCs w:val="28"/>
    </w:rPr>
  </w:style>
  <w:style w:type="paragraph" w:styleId="Heading3">
    <w:name w:val="heading 3"/>
    <w:basedOn w:val="Normal"/>
    <w:next w:val="BodyText"/>
    <w:link w:val="Heading3Char"/>
    <w:qFormat/>
    <w:rsid w:val="00AE1DE7"/>
    <w:pPr>
      <w:keepNext/>
      <w:keepLines/>
      <w:numPr>
        <w:ilvl w:val="2"/>
        <w:numId w:val="8"/>
      </w:numPr>
      <w:tabs>
        <w:tab w:val="left" w:pos="1418"/>
        <w:tab w:val="left" w:pos="1701"/>
        <w:tab w:val="left" w:pos="1985"/>
      </w:tabs>
      <w:spacing w:before="300" w:after="90" w:line="240" w:lineRule="auto"/>
      <w:outlineLvl w:val="2"/>
    </w:pPr>
    <w:rPr>
      <w:b/>
      <w:sz w:val="23"/>
    </w:rPr>
  </w:style>
  <w:style w:type="paragraph" w:styleId="Heading4">
    <w:name w:val="heading 4"/>
    <w:basedOn w:val="Normal"/>
    <w:next w:val="BodyText"/>
    <w:link w:val="Heading4Char"/>
    <w:qFormat/>
    <w:rsid w:val="00AE1DE7"/>
    <w:pPr>
      <w:keepNext/>
      <w:keepLines/>
      <w:tabs>
        <w:tab w:val="left" w:pos="1418"/>
        <w:tab w:val="left" w:pos="1701"/>
        <w:tab w:val="left" w:pos="1985"/>
      </w:tabs>
      <w:spacing w:before="310" w:after="110" w:line="240" w:lineRule="auto"/>
      <w:outlineLvl w:val="3"/>
    </w:pPr>
    <w:rPr>
      <w:rFonts w:eastAsiaTheme="majorEastAsia" w:cstheme="majorBidi"/>
      <w:b/>
      <w:bCs/>
      <w:i/>
      <w:iCs/>
      <w:color w:val="000000" w:themeColor="text1"/>
      <w:sz w:val="23"/>
    </w:rPr>
  </w:style>
  <w:style w:type="paragraph" w:styleId="Heading5">
    <w:name w:val="heading 5"/>
    <w:basedOn w:val="Normal"/>
    <w:next w:val="BodyText"/>
    <w:link w:val="Heading5Char"/>
    <w:qFormat/>
    <w:rsid w:val="00AE1DE7"/>
    <w:pPr>
      <w:keepNext/>
      <w:keepLines/>
      <w:spacing w:before="310" w:after="110" w:line="240" w:lineRule="auto"/>
      <w:outlineLvl w:val="4"/>
    </w:pPr>
    <w:rPr>
      <w:rFonts w:asciiTheme="majorHAnsi" w:eastAsiaTheme="majorEastAsia" w:hAnsiTheme="majorHAnsi" w:cstheme="majorBidi"/>
      <w:i/>
      <w:color w:val="000000" w:themeColor="text1"/>
      <w:sz w:val="23"/>
    </w:rPr>
  </w:style>
  <w:style w:type="paragraph" w:styleId="Heading6">
    <w:name w:val="heading 6"/>
    <w:basedOn w:val="Normal"/>
    <w:next w:val="BodyText"/>
    <w:link w:val="Heading6Char"/>
    <w:qFormat/>
    <w:rsid w:val="0081085D"/>
    <w:pPr>
      <w:keepNext/>
      <w:keepLines/>
      <w:spacing w:before="310" w:after="110" w:line="240" w:lineRule="auto"/>
      <w:outlineLvl w:val="5"/>
    </w:pPr>
    <w:rPr>
      <w:rFonts w:asciiTheme="majorHAnsi" w:eastAsiaTheme="majorEastAsia" w:hAnsiTheme="majorHAnsi" w:cstheme="majorBidi"/>
      <w:i/>
      <w:iCs/>
      <w:color w:val="3D4D7D" w:themeColor="background2"/>
      <w:sz w:val="23"/>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9"/>
    <w:rsid w:val="0081085D"/>
    <w:pPr>
      <w:keepNext/>
      <w:keepLines/>
      <w:numPr>
        <w:numId w:val="1"/>
      </w:numPr>
      <w:tabs>
        <w:tab w:val="left" w:pos="4536"/>
      </w:tabs>
      <w:spacing w:after="600" w:line="204" w:lineRule="auto"/>
      <w:outlineLvl w:val="7"/>
    </w:pPr>
    <w:rPr>
      <w:rFonts w:ascii="Calibri Light" w:eastAsiaTheme="majorEastAsia" w:hAnsi="Calibri Light" w:cstheme="majorBidi"/>
      <w:color w:val="3D4D7D" w:themeColor="background2"/>
      <w:sz w:val="52"/>
    </w:rPr>
  </w:style>
  <w:style w:type="paragraph" w:styleId="Heading9">
    <w:name w:val="heading 9"/>
    <w:aliases w:val="Appendix Heading 1"/>
    <w:basedOn w:val="Normal"/>
    <w:next w:val="BodyText"/>
    <w:link w:val="Heading9Char"/>
    <w:uiPriority w:val="29"/>
    <w:rsid w:val="0081085D"/>
    <w:pPr>
      <w:keepNext/>
      <w:keepLines/>
      <w:numPr>
        <w:ilvl w:val="1"/>
        <w:numId w:val="1"/>
      </w:numPr>
      <w:tabs>
        <w:tab w:val="left" w:pos="1559"/>
        <w:tab w:val="left" w:pos="1843"/>
        <w:tab w:val="left" w:pos="2126"/>
        <w:tab w:val="left" w:pos="2410"/>
      </w:tabs>
      <w:spacing w:before="330" w:after="80" w:line="240" w:lineRule="auto"/>
      <w:outlineLvl w:val="8"/>
    </w:pPr>
    <w:rPr>
      <w:b/>
      <w:color w:val="3D4D7D"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2"/>
    <w:rsid w:val="00F7087C"/>
    <w:pPr>
      <w:tabs>
        <w:tab w:val="left" w:pos="425"/>
      </w:tabs>
      <w:spacing w:before="60" w:line="240" w:lineRule="exact"/>
      <w:ind w:left="284" w:hanging="284"/>
    </w:pPr>
    <w:rPr>
      <w:kern w:val="16"/>
      <w:sz w:val="18"/>
    </w:rPr>
  </w:style>
  <w:style w:type="character" w:customStyle="1" w:styleId="FootnoteTextChar">
    <w:name w:val="Footnote Text Char"/>
    <w:basedOn w:val="DefaultParagraphFont"/>
    <w:link w:val="FootnoteText"/>
    <w:uiPriority w:val="2"/>
    <w:rsid w:val="00F7087C"/>
    <w:rPr>
      <w:kern w:val="16"/>
      <w:sz w:val="18"/>
    </w:rPr>
  </w:style>
  <w:style w:type="character" w:styleId="FootnoteReference">
    <w:name w:val="footnote reference"/>
    <w:basedOn w:val="DefaultParagraphFont"/>
    <w:uiPriority w:val="2"/>
    <w:rsid w:val="00961DBB"/>
    <w:rPr>
      <w:rFonts w:asciiTheme="minorHAnsi" w:hAnsiTheme="minorHAnsi"/>
      <w:color w:val="auto"/>
      <w:vertAlign w:val="superscript"/>
    </w:rPr>
  </w:style>
  <w:style w:type="paragraph" w:styleId="BodyText">
    <w:name w:val="Body Text"/>
    <w:basedOn w:val="Normal"/>
    <w:link w:val="BodyTextChar"/>
    <w:qFormat/>
    <w:rsid w:val="00FF393F"/>
    <w:pPr>
      <w:spacing w:before="120"/>
    </w:pPr>
    <w:rPr>
      <w:rFonts w:cs="Times New Roman"/>
    </w:rPr>
  </w:style>
  <w:style w:type="character" w:customStyle="1" w:styleId="BodyTextChar">
    <w:name w:val="Body Text Char"/>
    <w:basedOn w:val="DefaultParagraphFont"/>
    <w:link w:val="BodyText"/>
    <w:rsid w:val="00D264C9"/>
    <w:rPr>
      <w:rFonts w:cs="Times New Roman"/>
    </w:rPr>
  </w:style>
  <w:style w:type="table" w:customStyle="1" w:styleId="PullOutBoxwithDecorativeLines">
    <w:name w:val="Pull Out Box with Decorative Lines"/>
    <w:basedOn w:val="TableNormal"/>
    <w:uiPriority w:val="99"/>
    <w:rsid w:val="00403A8E"/>
    <w:pPr>
      <w:keepNext/>
      <w:keepLines/>
      <w:spacing w:before="120" w:after="120" w:line="276" w:lineRule="auto"/>
    </w:pPr>
    <w:tblPr>
      <w:tblCellMar>
        <w:top w:w="28" w:type="dxa"/>
        <w:left w:w="0" w:type="dxa"/>
        <w:bottom w:w="28" w:type="dxa"/>
        <w:right w:w="0" w:type="dxa"/>
      </w:tblCellMar>
    </w:tblPr>
    <w:trPr>
      <w:cantSplit/>
    </w:trPr>
    <w:tblStylePr w:type="firstRow">
      <w:pPr>
        <w:keepNext/>
        <w:wordWrap/>
        <w:spacing w:beforeLines="0" w:before="0" w:beforeAutospacing="0" w:afterLines="0" w:after="0" w:afterAutospacing="0" w:line="80" w:lineRule="exact"/>
      </w:pPr>
      <w:rPr>
        <w:sz w:val="14"/>
      </w:rPr>
      <w:tblPr/>
      <w:tcPr>
        <w:tcBorders>
          <w:top w:val="nil"/>
          <w:left w:val="nil"/>
          <w:bottom w:val="nil"/>
          <w:right w:val="nil"/>
          <w:insideH w:val="nil"/>
          <w:insideV w:val="nil"/>
          <w:tl2br w:val="nil"/>
          <w:tr2bl w:val="nil"/>
        </w:tcBorders>
      </w:tcPr>
    </w:tblStylePr>
    <w:tblStylePr w:type="lastRow">
      <w:pPr>
        <w:wordWrap/>
        <w:spacing w:beforeLines="0" w:before="0" w:beforeAutospacing="0" w:afterLines="0" w:after="0" w:afterAutospacing="0" w:line="80" w:lineRule="exact"/>
      </w:pPr>
    </w:tblStylePr>
  </w:style>
  <w:style w:type="character" w:customStyle="1" w:styleId="Heading1Char">
    <w:name w:val="Heading 1 Char"/>
    <w:basedOn w:val="DefaultParagraphFont"/>
    <w:link w:val="Heading1"/>
    <w:rsid w:val="0081085D"/>
    <w:rPr>
      <w:rFonts w:ascii="Calibri Light" w:hAnsi="Calibri Light"/>
      <w:bCs/>
      <w:color w:val="3D4D7D" w:themeColor="background2"/>
      <w:kern w:val="32"/>
      <w:sz w:val="52"/>
      <w:szCs w:val="32"/>
    </w:rPr>
  </w:style>
  <w:style w:type="character" w:customStyle="1" w:styleId="Heading2Char">
    <w:name w:val="Heading 2 Char"/>
    <w:basedOn w:val="DefaultParagraphFont"/>
    <w:link w:val="Heading2"/>
    <w:rsid w:val="0081085D"/>
    <w:rPr>
      <w:rFonts w:asciiTheme="majorHAnsi" w:hAnsiTheme="majorHAnsi"/>
      <w:b/>
      <w:bCs/>
      <w:iCs/>
      <w:color w:val="3D4D7D" w:themeColor="background2"/>
      <w:kern w:val="20"/>
      <w:sz w:val="28"/>
      <w:szCs w:val="28"/>
    </w:rPr>
  </w:style>
  <w:style w:type="character" w:customStyle="1" w:styleId="Heading3Char">
    <w:name w:val="Heading 3 Char"/>
    <w:basedOn w:val="DefaultParagraphFont"/>
    <w:link w:val="Heading3"/>
    <w:rsid w:val="00AE1DE7"/>
    <w:rPr>
      <w:b/>
      <w:sz w:val="23"/>
    </w:rPr>
  </w:style>
  <w:style w:type="character" w:customStyle="1" w:styleId="Heading4Char">
    <w:name w:val="Heading 4 Char"/>
    <w:basedOn w:val="DefaultParagraphFont"/>
    <w:link w:val="Heading4"/>
    <w:rsid w:val="00AE1DE7"/>
    <w:rPr>
      <w:rFonts w:eastAsiaTheme="majorEastAsia" w:cstheme="majorBidi"/>
      <w:b/>
      <w:bCs/>
      <w:i/>
      <w:iCs/>
      <w:color w:val="000000" w:themeColor="text1"/>
      <w:sz w:val="23"/>
    </w:rPr>
  </w:style>
  <w:style w:type="character" w:customStyle="1" w:styleId="Heading5Char">
    <w:name w:val="Heading 5 Char"/>
    <w:basedOn w:val="DefaultParagraphFont"/>
    <w:link w:val="Heading5"/>
    <w:rsid w:val="00AE1DE7"/>
    <w:rPr>
      <w:rFonts w:asciiTheme="majorHAnsi" w:eastAsiaTheme="majorEastAsia" w:hAnsiTheme="majorHAnsi" w:cstheme="majorBidi"/>
      <w:i/>
      <w:color w:val="000000" w:themeColor="text1"/>
      <w:sz w:val="23"/>
    </w:rPr>
  </w:style>
  <w:style w:type="character" w:customStyle="1" w:styleId="Heading6Char">
    <w:name w:val="Heading 6 Char"/>
    <w:basedOn w:val="DefaultParagraphFont"/>
    <w:link w:val="Heading6"/>
    <w:rsid w:val="0081085D"/>
    <w:rPr>
      <w:rFonts w:asciiTheme="majorHAnsi" w:eastAsiaTheme="majorEastAsia" w:hAnsiTheme="majorHAnsi" w:cstheme="majorBidi"/>
      <w:i/>
      <w:iCs/>
      <w:color w:val="3D4D7D" w:themeColor="background2"/>
      <w:sz w:val="23"/>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uiPriority w:val="29"/>
    <w:rsid w:val="0081085D"/>
    <w:rPr>
      <w:rFonts w:ascii="Calibri Light" w:eastAsiaTheme="majorEastAsia" w:hAnsi="Calibri Light" w:cstheme="majorBidi"/>
      <w:color w:val="3D4D7D" w:themeColor="background2"/>
      <w:sz w:val="52"/>
    </w:rPr>
  </w:style>
  <w:style w:type="character" w:customStyle="1" w:styleId="Heading9Char">
    <w:name w:val="Heading 9 Char"/>
    <w:aliases w:val="Appendix Heading 1 Char"/>
    <w:basedOn w:val="DefaultParagraphFont"/>
    <w:link w:val="Heading9"/>
    <w:uiPriority w:val="29"/>
    <w:rsid w:val="0081085D"/>
    <w:rPr>
      <w:b/>
      <w:color w:val="3D4D7D" w:themeColor="background2"/>
      <w:sz w:val="28"/>
    </w:rPr>
  </w:style>
  <w:style w:type="paragraph" w:customStyle="1" w:styleId="AppendixHeading2">
    <w:name w:val="Appendix Heading 2"/>
    <w:basedOn w:val="Normal"/>
    <w:next w:val="BodyText"/>
    <w:uiPriority w:val="30"/>
    <w:rsid w:val="0081085D"/>
    <w:pPr>
      <w:keepNext/>
      <w:keepLines/>
      <w:numPr>
        <w:ilvl w:val="2"/>
        <w:numId w:val="1"/>
      </w:numPr>
      <w:tabs>
        <w:tab w:val="left" w:pos="1559"/>
        <w:tab w:val="left" w:pos="1843"/>
        <w:tab w:val="left" w:pos="2126"/>
        <w:tab w:val="left" w:pos="2410"/>
      </w:tabs>
      <w:spacing w:before="300" w:after="90" w:line="240" w:lineRule="auto"/>
    </w:pPr>
    <w:rPr>
      <w:rFonts w:asciiTheme="majorHAnsi" w:hAnsiTheme="majorHAnsi"/>
      <w:b/>
      <w:sz w:val="23"/>
    </w:rPr>
  </w:style>
  <w:style w:type="paragraph" w:customStyle="1" w:styleId="AppendixHeading3">
    <w:name w:val="Appendix Heading 3"/>
    <w:basedOn w:val="Normal"/>
    <w:next w:val="BodyText"/>
    <w:uiPriority w:val="30"/>
    <w:rsid w:val="0081085D"/>
    <w:pPr>
      <w:keepNext/>
      <w:keepLines/>
      <w:numPr>
        <w:ilvl w:val="3"/>
        <w:numId w:val="1"/>
      </w:numPr>
      <w:tabs>
        <w:tab w:val="left" w:pos="1559"/>
        <w:tab w:val="left" w:pos="1843"/>
        <w:tab w:val="left" w:pos="2126"/>
        <w:tab w:val="left" w:pos="2410"/>
        <w:tab w:val="left" w:pos="6804"/>
      </w:tabs>
      <w:spacing w:before="310" w:after="110" w:line="240" w:lineRule="auto"/>
    </w:pPr>
    <w:rPr>
      <w:rFonts w:asciiTheme="majorHAnsi" w:hAnsiTheme="majorHAnsi"/>
      <w:b/>
      <w:i/>
      <w:color w:val="000000" w:themeColor="text1"/>
      <w:sz w:val="23"/>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CaptionDescriptor"/>
    <w:qFormat/>
    <w:rsid w:val="0081085D"/>
    <w:pPr>
      <w:keepNext/>
      <w:spacing w:before="40" w:after="40" w:line="240" w:lineRule="auto"/>
      <w:jc w:val="center"/>
    </w:pPr>
    <w:rPr>
      <w:b/>
      <w:bCs/>
      <w:color w:val="3D4D7D" w:themeColor="background2"/>
    </w:rPr>
  </w:style>
  <w:style w:type="paragraph" w:styleId="Footer">
    <w:name w:val="footer"/>
    <w:basedOn w:val="Normal"/>
    <w:link w:val="FooterChar"/>
    <w:uiPriority w:val="99"/>
    <w:rsid w:val="00F24BF6"/>
    <w:pPr>
      <w:spacing w:line="240" w:lineRule="auto"/>
    </w:pPr>
    <w:rPr>
      <w:caps/>
      <w:color w:val="000000" w:themeColor="text1"/>
      <w:spacing w:val="5"/>
      <w:sz w:val="16"/>
    </w:rPr>
  </w:style>
  <w:style w:type="character" w:customStyle="1" w:styleId="FooterChar">
    <w:name w:val="Footer Char"/>
    <w:basedOn w:val="DefaultParagraphFont"/>
    <w:link w:val="Footer"/>
    <w:uiPriority w:val="99"/>
    <w:rsid w:val="00F24BF6"/>
    <w:rPr>
      <w:caps/>
      <w:color w:val="000000" w:themeColor="text1"/>
      <w:spacing w:val="5"/>
      <w:sz w:val="16"/>
    </w:rPr>
  </w:style>
  <w:style w:type="paragraph" w:customStyle="1" w:styleId="FooterLeft">
    <w:name w:val="Footer Left"/>
    <w:basedOn w:val="Footer"/>
    <w:uiPriority w:val="99"/>
    <w:rsid w:val="00023A6F"/>
  </w:style>
  <w:style w:type="paragraph" w:customStyle="1" w:styleId="FooterRight">
    <w:name w:val="Footer Right"/>
    <w:basedOn w:val="FooterLeft"/>
    <w:next w:val="Footer"/>
    <w:uiPriority w:val="99"/>
    <w:rsid w:val="00023A6F"/>
    <w:pPr>
      <w:jc w:val="right"/>
    </w:pPr>
    <w:rPr>
      <w:rFonts w:eastAsia="Times New Roman" w:cs="Arial"/>
      <w:noProof/>
      <w:lang w:eastAsia="en-AU"/>
    </w:rPr>
  </w:style>
  <w:style w:type="paragraph" w:customStyle="1" w:styleId="FooterRightPageNumber">
    <w:name w:val="Footer Right Page Number"/>
    <w:basedOn w:val="Normal"/>
    <w:uiPriority w:val="99"/>
    <w:rsid w:val="008E2623"/>
    <w:pPr>
      <w:spacing w:line="240" w:lineRule="auto"/>
      <w:ind w:right="652"/>
      <w:jc w:val="right"/>
    </w:pPr>
    <w:rPr>
      <w:rFonts w:eastAsia="Times New Roman" w:cs="Arial"/>
      <w:b/>
      <w:noProof/>
      <w:color w:val="000000" w:themeColor="text1"/>
      <w:sz w:val="16"/>
      <w:lang w:eastAsia="en-AU"/>
    </w:rPr>
  </w:style>
  <w:style w:type="paragraph" w:customStyle="1" w:styleId="FooterLeftPageNumber">
    <w:name w:val="Footer Left Page Number"/>
    <w:basedOn w:val="Footer"/>
    <w:uiPriority w:val="99"/>
    <w:rsid w:val="008E2623"/>
    <w:pPr>
      <w:ind w:left="652"/>
    </w:pPr>
    <w:rPr>
      <w:b/>
      <w:caps w:val="0"/>
      <w:spacing w:val="0"/>
    </w:rPr>
  </w:style>
  <w:style w:type="paragraph" w:customStyle="1" w:styleId="FootnoteSeparator">
    <w:name w:val="Footnote Separator"/>
    <w:basedOn w:val="Normal"/>
    <w:uiPriority w:val="2"/>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A77F60"/>
  </w:style>
  <w:style w:type="paragraph" w:customStyle="1" w:styleId="Introduction">
    <w:name w:val="Introduction"/>
    <w:basedOn w:val="Normal"/>
    <w:next w:val="BodyText"/>
    <w:qFormat/>
    <w:rsid w:val="00BA1E8D"/>
    <w:pPr>
      <w:spacing w:before="180" w:after="180" w:line="216" w:lineRule="auto"/>
    </w:pPr>
    <w:rPr>
      <w:b/>
      <w:color w:val="8D487F" w:themeColor="accent1"/>
      <w:sz w:val="24"/>
    </w:rPr>
  </w:style>
  <w:style w:type="character" w:customStyle="1" w:styleId="Italics">
    <w:name w:val="Italics"/>
    <w:rsid w:val="00961DBB"/>
    <w:rPr>
      <w:i/>
    </w:rPr>
  </w:style>
  <w:style w:type="paragraph" w:styleId="ListBullet">
    <w:name w:val="List Bullet"/>
    <w:basedOn w:val="Normal"/>
    <w:unhideWhenUsed/>
    <w:qFormat/>
    <w:rsid w:val="00D264C9"/>
    <w:pPr>
      <w:keepLines/>
      <w:numPr>
        <w:numId w:val="2"/>
      </w:numPr>
      <w:spacing w:before="120"/>
    </w:pPr>
  </w:style>
  <w:style w:type="paragraph" w:styleId="ListBullet2">
    <w:name w:val="List Bullet 2"/>
    <w:basedOn w:val="ListBullet"/>
    <w:unhideWhenUsed/>
    <w:qFormat/>
    <w:rsid w:val="00D264C9"/>
    <w:pPr>
      <w:numPr>
        <w:ilvl w:val="1"/>
      </w:numPr>
    </w:pPr>
    <w:rPr>
      <w:color w:val="000000" w:themeColor="text1"/>
    </w:rPr>
  </w:style>
  <w:style w:type="paragraph" w:styleId="ListBullet3">
    <w:name w:val="List Bullet 3"/>
    <w:basedOn w:val="ListBullet2"/>
    <w:unhideWhenUsed/>
    <w:rsid w:val="00D264C9"/>
    <w:pPr>
      <w:numPr>
        <w:ilvl w:val="2"/>
      </w:numPr>
    </w:pPr>
  </w:style>
  <w:style w:type="paragraph" w:styleId="ListContinue">
    <w:name w:val="List Continue"/>
    <w:basedOn w:val="Normal"/>
    <w:qFormat/>
    <w:rsid w:val="00503B7F"/>
    <w:pPr>
      <w:spacing w:before="120"/>
      <w:ind w:left="283"/>
    </w:pPr>
  </w:style>
  <w:style w:type="paragraph" w:styleId="ListContinue2">
    <w:name w:val="List Continue 2"/>
    <w:basedOn w:val="Normal"/>
    <w:qFormat/>
    <w:rsid w:val="00503B7F"/>
    <w:pPr>
      <w:spacing w:before="120"/>
      <w:ind w:left="567"/>
    </w:pPr>
  </w:style>
  <w:style w:type="paragraph" w:styleId="ListNumber">
    <w:name w:val="List Number"/>
    <w:basedOn w:val="Normal"/>
    <w:qFormat/>
    <w:rsid w:val="00503B7F"/>
    <w:pPr>
      <w:numPr>
        <w:numId w:val="17"/>
      </w:numPr>
      <w:spacing w:before="120"/>
    </w:pPr>
  </w:style>
  <w:style w:type="paragraph" w:styleId="ListNumber2">
    <w:name w:val="List Number 2"/>
    <w:basedOn w:val="Normal"/>
    <w:qFormat/>
    <w:rsid w:val="00D264C9"/>
    <w:pPr>
      <w:numPr>
        <w:ilvl w:val="1"/>
        <w:numId w:val="17"/>
      </w:numPr>
      <w:spacing w:before="120"/>
    </w:pPr>
    <w:rPr>
      <w:spacing w:val="-1"/>
    </w:rPr>
  </w:style>
  <w:style w:type="paragraph" w:styleId="ListNumber3">
    <w:name w:val="List Number 3"/>
    <w:basedOn w:val="Normal"/>
    <w:qFormat/>
    <w:rsid w:val="00D264C9"/>
    <w:pPr>
      <w:numPr>
        <w:ilvl w:val="2"/>
        <w:numId w:val="17"/>
      </w:numPr>
      <w:spacing w:before="120"/>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E54919"/>
    <w:pPr>
      <w:spacing w:before="120"/>
    </w:pPr>
  </w:style>
  <w:style w:type="paragraph" w:customStyle="1" w:styleId="OverviewHeading2">
    <w:name w:val="Overview Heading 2"/>
    <w:basedOn w:val="Normal"/>
    <w:next w:val="OverviewBodyText"/>
    <w:rsid w:val="0081085D"/>
    <w:pPr>
      <w:keepNext/>
      <w:keepLines/>
      <w:spacing w:before="330" w:after="80" w:line="240" w:lineRule="auto"/>
    </w:pPr>
    <w:rPr>
      <w:b/>
      <w:color w:val="3D4D7D" w:themeColor="background2"/>
      <w:sz w:val="28"/>
    </w:rPr>
  </w:style>
  <w:style w:type="paragraph" w:customStyle="1" w:styleId="OverviewHeading3">
    <w:name w:val="Overview Heading 3"/>
    <w:basedOn w:val="OverviewHeading2"/>
    <w:next w:val="OverviewBodyText"/>
    <w:rsid w:val="005050DA"/>
    <w:pPr>
      <w:spacing w:before="300" w:after="90"/>
    </w:pPr>
    <w:rPr>
      <w:color w:val="000000" w:themeColor="text1"/>
      <w:sz w:val="23"/>
    </w:rPr>
  </w:style>
  <w:style w:type="character" w:styleId="PageNumber">
    <w:name w:val="page number"/>
    <w:basedOn w:val="DefaultParagraphFont"/>
    <w:semiHidden/>
    <w:rsid w:val="00961DBB"/>
    <w:rPr>
      <w:rFonts w:ascii="Arial" w:hAnsi="Arial"/>
      <w:b/>
      <w:color w:val="auto"/>
      <w:sz w:val="16"/>
    </w:rPr>
  </w:style>
  <w:style w:type="paragraph" w:customStyle="1" w:styleId="PullOutBoxBodyText">
    <w:name w:val="Pull Out Box Body Text"/>
    <w:basedOn w:val="Normal"/>
    <w:qFormat/>
    <w:rsid w:val="0081085D"/>
    <w:pPr>
      <w:spacing w:before="120" w:after="120" w:line="320" w:lineRule="atLeast"/>
      <w:ind w:left="284" w:right="284"/>
    </w:pPr>
    <w:rPr>
      <w:rFonts w:eastAsia="Times New Roman" w:cs="Arial"/>
      <w:b/>
      <w:i/>
      <w:color w:val="3D4D7D" w:themeColor="background2"/>
      <w:spacing w:val="-1"/>
      <w:lang w:eastAsia="en-AU"/>
    </w:rPr>
  </w:style>
  <w:style w:type="paragraph" w:customStyle="1" w:styleId="PullOutBoxBullet">
    <w:name w:val="Pull Out Box Bullet"/>
    <w:basedOn w:val="PullOutBoxBodyText"/>
    <w:qFormat/>
    <w:rsid w:val="00B2295B"/>
    <w:pPr>
      <w:numPr>
        <w:numId w:val="9"/>
      </w:numPr>
      <w:spacing w:before="60" w:after="60"/>
    </w:pPr>
  </w:style>
  <w:style w:type="paragraph" w:customStyle="1" w:styleId="PullOutBoxBullet2">
    <w:name w:val="Pull Out Box Bullet 2"/>
    <w:basedOn w:val="PullOutBoxBodyText"/>
    <w:qFormat/>
    <w:rsid w:val="00B2295B"/>
    <w:pPr>
      <w:numPr>
        <w:ilvl w:val="1"/>
        <w:numId w:val="9"/>
      </w:numPr>
      <w:spacing w:before="60" w:after="60"/>
    </w:pPr>
  </w:style>
  <w:style w:type="paragraph" w:customStyle="1" w:styleId="PullOutBoxBullet3">
    <w:name w:val="Pull Out Box Bullet 3"/>
    <w:basedOn w:val="PullOutBoxBodyText"/>
    <w:semiHidden/>
    <w:qFormat/>
    <w:rsid w:val="00B2295B"/>
    <w:pPr>
      <w:numPr>
        <w:ilvl w:val="2"/>
        <w:numId w:val="9"/>
      </w:numPr>
      <w:spacing w:before="60" w:after="60"/>
    </w:pPr>
  </w:style>
  <w:style w:type="paragraph" w:customStyle="1" w:styleId="PullOutBoxHeading">
    <w:name w:val="Pull Out Box Heading"/>
    <w:basedOn w:val="PullOutBoxBodyText"/>
    <w:qFormat/>
    <w:rsid w:val="00413CE6"/>
    <w:pPr>
      <w:keepNext/>
      <w:keepLines/>
      <w:spacing w:before="114" w:after="114" w:line="360" w:lineRule="atLeast"/>
    </w:pPr>
    <w:rPr>
      <w:sz w:val="28"/>
    </w:rPr>
  </w:style>
  <w:style w:type="paragraph" w:customStyle="1" w:styleId="PullOutBoxNumber">
    <w:name w:val="Pull Out Box Number"/>
    <w:basedOn w:val="PullOutBoxBodyText"/>
    <w:qFormat/>
    <w:rsid w:val="00B2295B"/>
    <w:pPr>
      <w:numPr>
        <w:numId w:val="10"/>
      </w:numPr>
      <w:spacing w:before="60" w:after="60"/>
    </w:pPr>
  </w:style>
  <w:style w:type="paragraph" w:customStyle="1" w:styleId="PullOutBoxNumber2">
    <w:name w:val="Pull Out Box Number 2"/>
    <w:basedOn w:val="PullOutBoxBodyText"/>
    <w:qFormat/>
    <w:rsid w:val="00B2295B"/>
    <w:pPr>
      <w:numPr>
        <w:ilvl w:val="1"/>
        <w:numId w:val="10"/>
      </w:numPr>
      <w:spacing w:before="60" w:after="60"/>
    </w:pPr>
  </w:style>
  <w:style w:type="paragraph" w:customStyle="1" w:styleId="PullOutBoxNumber3">
    <w:name w:val="Pull Out Box Number 3"/>
    <w:basedOn w:val="PullOutBoxBodyText"/>
    <w:qFormat/>
    <w:rsid w:val="00B2295B"/>
    <w:pPr>
      <w:numPr>
        <w:ilvl w:val="2"/>
        <w:numId w:val="10"/>
      </w:numPr>
      <w:spacing w:before="60" w:after="60"/>
    </w:pPr>
  </w:style>
  <w:style w:type="table" w:customStyle="1" w:styleId="PullOutBoxTable">
    <w:name w:val="Pull Out Box Table"/>
    <w:basedOn w:val="TableNormal"/>
    <w:uiPriority w:val="99"/>
    <w:rsid w:val="00AD2869"/>
    <w:pPr>
      <w:spacing w:before="120" w:after="120" w:line="320" w:lineRule="atLeast"/>
      <w:ind w:left="284" w:right="284"/>
    </w:pPr>
    <w:rPr>
      <w:rFonts w:eastAsia="Times New Roman" w:cs="Arial"/>
      <w:color w:val="3D4D7D" w:themeColor="background2"/>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styleId="Quote">
    <w:name w:val="Quote"/>
    <w:basedOn w:val="Normal"/>
    <w:link w:val="QuoteChar"/>
    <w:qFormat/>
    <w:rsid w:val="00A326AE"/>
    <w:pPr>
      <w:tabs>
        <w:tab w:val="left" w:pos="1134"/>
      </w:tabs>
      <w:spacing w:before="120"/>
      <w:ind w:left="284"/>
    </w:pPr>
    <w:rPr>
      <w:i/>
      <w:iCs/>
    </w:rPr>
  </w:style>
  <w:style w:type="character" w:customStyle="1" w:styleId="QuoteChar">
    <w:name w:val="Quote Char"/>
    <w:basedOn w:val="DefaultParagraphFont"/>
    <w:link w:val="Quote"/>
    <w:rsid w:val="00A326AE"/>
    <w:rPr>
      <w:i/>
      <w:iCs/>
    </w:rPr>
  </w:style>
  <w:style w:type="paragraph" w:customStyle="1" w:styleId="QuoteBullet">
    <w:name w:val="Quote Bullet"/>
    <w:basedOn w:val="Quote"/>
    <w:qFormat/>
    <w:rsid w:val="00A326AE"/>
    <w:pPr>
      <w:numPr>
        <w:numId w:val="4"/>
      </w:numPr>
      <w:ind w:left="568" w:hanging="284"/>
    </w:pPr>
  </w:style>
  <w:style w:type="paragraph" w:customStyle="1" w:styleId="QuoteBullet2">
    <w:name w:val="Quote Bullet 2"/>
    <w:basedOn w:val="Quote"/>
    <w:qFormat/>
    <w:rsid w:val="002D14CD"/>
    <w:pPr>
      <w:numPr>
        <w:ilvl w:val="1"/>
        <w:numId w:val="4"/>
      </w:numPr>
      <w:tabs>
        <w:tab w:val="clear" w:pos="1134"/>
      </w:tabs>
    </w:pPr>
  </w:style>
  <w:style w:type="character" w:customStyle="1" w:styleId="Superscript">
    <w:name w:val="Superscript"/>
    <w:rsid w:val="00961DBB"/>
    <w:rPr>
      <w:vertAlign w:val="superscript"/>
    </w:rPr>
  </w:style>
  <w:style w:type="table" w:customStyle="1" w:styleId="TableGridDarkHeader">
    <w:name w:val="Table Grid Dark Header"/>
    <w:basedOn w:val="TableNormal"/>
    <w:uiPriority w:val="99"/>
    <w:rsid w:val="00AD2869"/>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themeColor="background1"/>
      </w:rPr>
      <w:tblPr/>
      <w:tcPr>
        <w:shd w:val="clear" w:color="auto" w:fill="3D4D7D" w:themeFill="background2"/>
      </w:tcPr>
    </w:tblStylePr>
    <w:tblStylePr w:type="lastRow">
      <w:rPr>
        <w:b/>
      </w:rPr>
      <w:tblPr/>
      <w:tcPr>
        <w:shd w:val="clear" w:color="auto" w:fill="A7B2D4" w:themeFill="background2" w:themeFillTint="66"/>
      </w:tcPr>
    </w:tblStylePr>
    <w:tblStylePr w:type="band1Horz">
      <w:tblPr/>
      <w:tcPr>
        <w:shd w:val="clear" w:color="auto" w:fill="D3D8E9" w:themeFill="background2" w:themeFillTint="33"/>
      </w:tcPr>
    </w:tblStylePr>
  </w:style>
  <w:style w:type="paragraph" w:customStyle="1" w:styleId="TableFootnotes">
    <w:name w:val="Table Footnotes"/>
    <w:basedOn w:val="Normal"/>
    <w:rsid w:val="001901A1"/>
    <w:pPr>
      <w:keepLines/>
      <w:numPr>
        <w:numId w:val="5"/>
      </w:numPr>
      <w:spacing w:before="60" w:after="60" w:line="260" w:lineRule="atLeast"/>
    </w:pPr>
    <w:rPr>
      <w:color w:val="788184"/>
      <w:sz w:val="18"/>
    </w:rPr>
  </w:style>
  <w:style w:type="table" w:styleId="TableGrid">
    <w:name w:val="Table Grid"/>
    <w:basedOn w:val="TableNormal"/>
    <w:rsid w:val="00AD2869"/>
    <w:pPr>
      <w:spacing w:before="40" w:after="40" w:line="240" w:lineRule="auto"/>
      <w:ind w:left="85" w:right="85"/>
    </w:pPr>
    <w:rPr>
      <w:sz w:val="20"/>
    </w:rPr>
    <w:tblPr>
      <w:tblStyleRowBandSize w:val="1"/>
      <w:tblBorders>
        <w:top w:val="single" w:sz="4" w:space="0" w:color="000000" w:themeColor="text1"/>
        <w:bottom w:val="single" w:sz="4" w:space="0" w:color="000000" w:themeColor="text1"/>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rPr>
        <w:b/>
      </w:rPr>
      <w:tblPr/>
      <w:tcPr>
        <w:shd w:val="clear" w:color="auto" w:fill="A7B2D4" w:themeFill="background2" w:themeFillTint="66"/>
      </w:tcPr>
    </w:tblStylePr>
    <w:tblStylePr w:type="band2Horz">
      <w:tblPr/>
      <w:tcPr>
        <w:shd w:val="clear" w:color="auto" w:fill="D3D8E9" w:themeFill="background2" w:themeFillTint="33"/>
      </w:tcPr>
    </w:tblStylePr>
    <w:tblStylePr w:type="nwCell">
      <w:rPr>
        <w:color w:val="000000" w:themeColor="text1"/>
      </w:rPr>
    </w:tblStylePr>
  </w:style>
  <w:style w:type="paragraph" w:customStyle="1" w:styleId="TableHeading">
    <w:name w:val="Table Heading"/>
    <w:basedOn w:val="Normal"/>
    <w:qFormat/>
    <w:rsid w:val="00297971"/>
    <w:pPr>
      <w:spacing w:before="40" w:after="40" w:line="240" w:lineRule="auto"/>
      <w:ind w:left="85" w:right="85"/>
    </w:pPr>
    <w:rPr>
      <w:color w:val="FFFFFF" w:themeColor="background1"/>
    </w:rPr>
  </w:style>
  <w:style w:type="paragraph" w:customStyle="1" w:styleId="TableHeadingCentred">
    <w:name w:val="Table Heading Centred"/>
    <w:basedOn w:val="Normal"/>
    <w:qFormat/>
    <w:rsid w:val="00CA5C20"/>
    <w:pPr>
      <w:spacing w:before="40" w:after="40" w:line="240" w:lineRule="auto"/>
      <w:jc w:val="center"/>
    </w:pPr>
  </w:style>
  <w:style w:type="paragraph" w:customStyle="1" w:styleId="TableHeadingRight">
    <w:name w:val="Table Heading Right"/>
    <w:basedOn w:val="Normal"/>
    <w:qFormat/>
    <w:rsid w:val="00CA5C20"/>
    <w:pPr>
      <w:spacing w:before="40" w:after="40" w:line="240" w:lineRule="auto"/>
      <w:jc w:val="right"/>
    </w:pPr>
  </w:style>
  <w:style w:type="paragraph" w:customStyle="1" w:styleId="Source">
    <w:name w:val="Source"/>
    <w:basedOn w:val="Normal"/>
    <w:next w:val="Normal"/>
    <w:rsid w:val="001901A1"/>
    <w:pPr>
      <w:spacing w:before="120" w:after="40" w:line="240" w:lineRule="auto"/>
    </w:pPr>
    <w:rPr>
      <w:rFonts w:cs="Times New Roman"/>
      <w:color w:val="788184"/>
      <w:sz w:val="18"/>
      <w:szCs w:val="14"/>
    </w:rPr>
  </w:style>
  <w:style w:type="paragraph" w:customStyle="1" w:styleId="TableText">
    <w:name w:val="Table Text"/>
    <w:basedOn w:val="Normal"/>
    <w:qFormat/>
    <w:rsid w:val="00456DEB"/>
    <w:pPr>
      <w:spacing w:before="40" w:after="40" w:line="240" w:lineRule="auto"/>
      <w:ind w:left="85" w:right="85"/>
    </w:pPr>
    <w:rPr>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6"/>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7"/>
      </w:numPr>
    </w:pPr>
  </w:style>
  <w:style w:type="paragraph" w:customStyle="1" w:styleId="TableTextNumber2">
    <w:name w:val="Table Text Number 2"/>
    <w:basedOn w:val="TableTextNumber"/>
    <w:qFormat/>
    <w:rsid w:val="00961DBB"/>
    <w:pPr>
      <w:numPr>
        <w:ilvl w:val="1"/>
      </w:numPr>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uiPriority w:val="3"/>
    <w:rsid w:val="00785B35"/>
    <w:pPr>
      <w:spacing w:before="5700" w:after="280" w:line="235" w:lineRule="auto"/>
      <w:ind w:left="227" w:right="3119"/>
      <w:contextualSpacing/>
    </w:pPr>
    <w:rPr>
      <w:rFonts w:ascii="Calibri Light" w:eastAsiaTheme="majorEastAsia" w:hAnsi="Calibri Light" w:cstheme="majorBidi"/>
      <w:caps/>
      <w:color w:val="FFFFFF" w:themeColor="background1"/>
      <w:spacing w:val="14"/>
      <w:sz w:val="44"/>
      <w:szCs w:val="50"/>
      <w:lang w:eastAsia="en-AU"/>
    </w:rPr>
  </w:style>
  <w:style w:type="character" w:customStyle="1" w:styleId="TitleChar">
    <w:name w:val="Title Char"/>
    <w:basedOn w:val="DefaultParagraphFont"/>
    <w:link w:val="Title"/>
    <w:uiPriority w:val="3"/>
    <w:rsid w:val="00785B35"/>
    <w:rPr>
      <w:rFonts w:ascii="Calibri Light" w:eastAsiaTheme="majorEastAsia" w:hAnsi="Calibri Light" w:cstheme="majorBidi"/>
      <w:caps/>
      <w:color w:val="FFFFFF" w:themeColor="background1"/>
      <w:spacing w:val="14"/>
      <w:sz w:val="44"/>
      <w:szCs w:val="50"/>
      <w:lang w:eastAsia="en-AU"/>
    </w:rPr>
  </w:style>
  <w:style w:type="paragraph" w:customStyle="1" w:styleId="Title2">
    <w:name w:val="Title 2"/>
    <w:basedOn w:val="Normal"/>
    <w:link w:val="Title2Char"/>
    <w:uiPriority w:val="3"/>
    <w:rsid w:val="00785B35"/>
    <w:pPr>
      <w:spacing w:line="380" w:lineRule="atLeast"/>
      <w:ind w:left="227" w:right="3119"/>
    </w:pPr>
    <w:rPr>
      <w:rFonts w:asciiTheme="majorHAnsi" w:hAnsiTheme="majorHAnsi"/>
      <w:b/>
      <w:color w:val="FFFFFF" w:themeColor="background1"/>
      <w:spacing w:val="-1"/>
      <w:sz w:val="26"/>
    </w:rPr>
  </w:style>
  <w:style w:type="character" w:customStyle="1" w:styleId="Title2Char">
    <w:name w:val="Title 2 Char"/>
    <w:basedOn w:val="DefaultParagraphFont"/>
    <w:link w:val="Title2"/>
    <w:uiPriority w:val="3"/>
    <w:rsid w:val="00785B35"/>
    <w:rPr>
      <w:rFonts w:asciiTheme="majorHAnsi" w:hAnsiTheme="majorHAnsi"/>
      <w:b/>
      <w:color w:val="FFFFFF" w:themeColor="background1"/>
      <w:spacing w:val="-1"/>
      <w:sz w:val="26"/>
    </w:rPr>
  </w:style>
  <w:style w:type="paragraph" w:customStyle="1" w:styleId="Title3">
    <w:name w:val="Title 3"/>
    <w:basedOn w:val="Title2"/>
    <w:link w:val="Title3Char"/>
    <w:uiPriority w:val="3"/>
    <w:rsid w:val="0081085D"/>
    <w:pPr>
      <w:framePr w:w="2835" w:wrap="around" w:vAnchor="page" w:hAnchor="page" w:x="8591" w:y="7854"/>
      <w:spacing w:after="120" w:line="600" w:lineRule="atLeast"/>
      <w:ind w:right="0"/>
      <w:contextualSpacing/>
    </w:pPr>
    <w:rPr>
      <w:rFonts w:eastAsia="Times New Roman" w:cs="Arial"/>
      <w:b w:val="0"/>
      <w:color w:val="3D4D7D" w:themeColor="background2"/>
      <w:spacing w:val="0"/>
      <w:sz w:val="46"/>
      <w:lang w:eastAsia="en-AU"/>
    </w:rPr>
  </w:style>
  <w:style w:type="paragraph" w:styleId="TOC1">
    <w:name w:val="toc 1"/>
    <w:basedOn w:val="Normal"/>
    <w:next w:val="Normal"/>
    <w:uiPriority w:val="39"/>
    <w:rsid w:val="00E91C83"/>
    <w:pPr>
      <w:tabs>
        <w:tab w:val="left" w:pos="567"/>
        <w:tab w:val="right" w:pos="7654"/>
      </w:tabs>
      <w:spacing w:before="260" w:after="130" w:line="240" w:lineRule="auto"/>
      <w:ind w:left="567" w:right="1983" w:hanging="567"/>
    </w:pPr>
    <w:rPr>
      <w:b/>
      <w:noProof/>
      <w:color w:val="000000" w:themeColor="text1"/>
      <w:sz w:val="24"/>
    </w:rPr>
  </w:style>
  <w:style w:type="paragraph" w:styleId="TOC2">
    <w:name w:val="toc 2"/>
    <w:basedOn w:val="Normal"/>
    <w:next w:val="Normal"/>
    <w:uiPriority w:val="39"/>
    <w:rsid w:val="00E91C83"/>
    <w:pPr>
      <w:tabs>
        <w:tab w:val="left" w:pos="567"/>
        <w:tab w:val="right" w:pos="7654"/>
      </w:tabs>
      <w:spacing w:after="40" w:line="240" w:lineRule="auto"/>
      <w:ind w:left="567" w:right="1985" w:hanging="567"/>
    </w:pPr>
    <w:rPr>
      <w:rFonts w:ascii="Calibri Light" w:eastAsiaTheme="minorEastAsia" w:hAnsi="Calibri Light"/>
      <w:noProof/>
      <w:color w:val="000000" w:themeColor="text1"/>
      <w:sz w:val="24"/>
      <w:lang w:eastAsia="en-AU"/>
    </w:rPr>
  </w:style>
  <w:style w:type="paragraph" w:styleId="TOC3">
    <w:name w:val="toc 3"/>
    <w:basedOn w:val="Normal"/>
    <w:next w:val="Normal"/>
    <w:uiPriority w:val="39"/>
    <w:rsid w:val="00E91C83"/>
    <w:pPr>
      <w:tabs>
        <w:tab w:val="left" w:pos="1417"/>
        <w:tab w:val="right" w:pos="7654"/>
      </w:tabs>
      <w:spacing w:before="120" w:after="120" w:line="240" w:lineRule="auto"/>
      <w:ind w:left="1417" w:right="1985" w:hanging="850"/>
      <w:contextualSpacing/>
    </w:pPr>
    <w:rPr>
      <w:rFonts w:ascii="Calibri Light" w:eastAsiaTheme="minorEastAsia" w:hAnsi="Calibri Light"/>
      <w:noProof/>
      <w:color w:val="000000" w:themeColor="text1"/>
      <w:sz w:val="24"/>
    </w:rPr>
  </w:style>
  <w:style w:type="paragraph" w:styleId="TOC4">
    <w:name w:val="toc 4"/>
    <w:basedOn w:val="Normal"/>
    <w:uiPriority w:val="39"/>
    <w:rsid w:val="00FF1368"/>
    <w:pPr>
      <w:tabs>
        <w:tab w:val="left" w:pos="454"/>
        <w:tab w:val="right" w:pos="7655"/>
      </w:tabs>
      <w:spacing w:after="40" w:line="240" w:lineRule="auto"/>
      <w:ind w:left="454" w:hanging="454"/>
    </w:pPr>
    <w:rPr>
      <w:rFonts w:ascii="Calibri Light" w:hAnsi="Calibri Light"/>
      <w:noProof/>
      <w:color w:val="000000" w:themeColor="text1"/>
      <w:sz w:val="24"/>
    </w:rPr>
  </w:style>
  <w:style w:type="paragraph" w:styleId="TOC5">
    <w:name w:val="toc 5"/>
    <w:basedOn w:val="Normal"/>
    <w:next w:val="Normal"/>
    <w:autoRedefine/>
    <w:uiPriority w:val="39"/>
    <w:rsid w:val="0081085D"/>
    <w:pPr>
      <w:tabs>
        <w:tab w:val="left" w:pos="567"/>
        <w:tab w:val="right" w:pos="7655"/>
      </w:tabs>
      <w:spacing w:after="40" w:line="240" w:lineRule="auto"/>
      <w:ind w:left="567" w:right="1985" w:hanging="567"/>
    </w:pPr>
    <w:rPr>
      <w:rFonts w:ascii="Calibri Light" w:hAnsi="Calibri Light"/>
      <w:b/>
      <w:color w:val="3D4D7D" w:themeColor="background2"/>
      <w:sz w:val="24"/>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semiHidden/>
    <w:rsid w:val="00BE45B2"/>
    <w:pPr>
      <w:tabs>
        <w:tab w:val="left" w:pos="454"/>
        <w:tab w:val="right" w:pos="7626"/>
      </w:tabs>
      <w:spacing w:after="30" w:line="240" w:lineRule="auto"/>
      <w:ind w:left="454" w:hanging="454"/>
    </w:pPr>
    <w:rPr>
      <w:rFonts w:ascii="Calibri Light" w:hAnsi="Calibri Light"/>
      <w:color w:val="000000" w:themeColor="text1"/>
      <w:sz w:val="24"/>
    </w:rPr>
  </w:style>
  <w:style w:type="paragraph" w:styleId="TOCHeading">
    <w:name w:val="TOC Heading"/>
    <w:basedOn w:val="Normal"/>
    <w:uiPriority w:val="39"/>
    <w:rsid w:val="0081085D"/>
    <w:pPr>
      <w:tabs>
        <w:tab w:val="right" w:pos="7655"/>
      </w:tabs>
      <w:spacing w:after="1220" w:line="204" w:lineRule="auto"/>
    </w:pPr>
    <w:rPr>
      <w:rFonts w:ascii="Calibri Light" w:hAnsi="Calibri Light"/>
      <w:color w:val="3D4D7D" w:themeColor="background2"/>
      <w:sz w:val="52"/>
      <w:szCs w:val="40"/>
    </w:rPr>
  </w:style>
  <w:style w:type="paragraph" w:customStyle="1" w:styleId="TOFHeading">
    <w:name w:val="TOF Heading"/>
    <w:basedOn w:val="Normal"/>
    <w:uiPriority w:val="39"/>
    <w:rsid w:val="0081085D"/>
    <w:pPr>
      <w:keepNext/>
      <w:tabs>
        <w:tab w:val="left" w:pos="2268"/>
      </w:tabs>
      <w:spacing w:before="300" w:after="120"/>
    </w:pPr>
    <w:rPr>
      <w:color w:val="3D4D7D" w:themeColor="background2"/>
      <w:sz w:val="28"/>
      <w:szCs w:val="32"/>
    </w:rPr>
  </w:style>
  <w:style w:type="paragraph" w:customStyle="1" w:styleId="xDisclaimerHeading">
    <w:name w:val="xDisclaimer Heading"/>
    <w:basedOn w:val="Normal"/>
    <w:next w:val="xDisclaimerText"/>
    <w:link w:val="xDisclaimerHeadingChar"/>
    <w:uiPriority w:val="3"/>
    <w:rsid w:val="0081085D"/>
    <w:pPr>
      <w:framePr w:hSpace="181" w:wrap="around" w:hAnchor="margin" w:y="4310"/>
      <w:spacing w:before="320" w:line="280" w:lineRule="atLeast"/>
      <w:suppressOverlap/>
    </w:pPr>
    <w:rPr>
      <w:b/>
      <w:color w:val="3D4D7D" w:themeColor="background2"/>
      <w:sz w:val="26"/>
    </w:rPr>
  </w:style>
  <w:style w:type="character" w:customStyle="1" w:styleId="xDisclaimerHeadingChar">
    <w:name w:val="xDisclaimer Heading Char"/>
    <w:basedOn w:val="DefaultParagraphFont"/>
    <w:link w:val="xDisclaimerHeading"/>
    <w:uiPriority w:val="3"/>
    <w:rsid w:val="0081085D"/>
    <w:rPr>
      <w:b/>
      <w:color w:val="3D4D7D" w:themeColor="background2"/>
      <w:sz w:val="26"/>
    </w:rPr>
  </w:style>
  <w:style w:type="paragraph" w:customStyle="1" w:styleId="xDisclaimerText">
    <w:name w:val="xDisclaimer Text"/>
    <w:basedOn w:val="Normal"/>
    <w:uiPriority w:val="3"/>
    <w:rsid w:val="003A43A0"/>
    <w:pPr>
      <w:framePr w:w="7768" w:wrap="around" w:hAnchor="margin" w:yAlign="bottom"/>
      <w:spacing w:after="57"/>
    </w:pPr>
    <w:rPr>
      <w:rFonts w:cs="Times New Roman"/>
      <w:color w:val="000000" w:themeColor="text1"/>
    </w:rPr>
  </w:style>
  <w:style w:type="paragraph" w:customStyle="1" w:styleId="xDisclaimerText2">
    <w:name w:val="xDisclaimer Text 2"/>
    <w:basedOn w:val="xDisclaimerHeading"/>
    <w:uiPriority w:val="3"/>
    <w:rsid w:val="008A0A35"/>
    <w:pPr>
      <w:framePr w:wrap="around"/>
      <w:spacing w:before="0" w:after="170" w:line="302" w:lineRule="atLeast"/>
    </w:pPr>
    <w:rPr>
      <w:b w:val="0"/>
      <w:color w:val="000000" w:themeColor="text1"/>
      <w:sz w:val="22"/>
    </w:rPr>
  </w:style>
  <w:style w:type="table" w:customStyle="1" w:styleId="FooterPlaceholder">
    <w:name w:val="Footer Placeholder"/>
    <w:basedOn w:val="TableNormal"/>
    <w:uiPriority w:val="99"/>
    <w:rsid w:val="00F24BF6"/>
    <w:pPr>
      <w:spacing w:line="240" w:lineRule="auto"/>
    </w:pPr>
    <w:rPr>
      <w:sz w:val="16"/>
    </w:rPr>
    <w:tblPr>
      <w:tblCellMar>
        <w:left w:w="0" w:type="dxa"/>
        <w:right w:w="0" w:type="dxa"/>
      </w:tblCellMar>
    </w:tblPr>
  </w:style>
  <w:style w:type="paragraph" w:customStyle="1" w:styleId="xInlineShape">
    <w:name w:val="xInlineShape"/>
    <w:basedOn w:val="Normal"/>
    <w:next w:val="BodyText"/>
    <w:uiPriority w:val="3"/>
    <w:rsid w:val="00E54919"/>
    <w:pPr>
      <w:keepNext/>
      <w:spacing w:before="60" w:after="60" w:line="240" w:lineRule="auto"/>
      <w:jc w:val="center"/>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E266E"/>
    <w:rPr>
      <w:rFonts w:ascii="Tahoma" w:hAnsi="Tahoma" w:cs="Tahoma"/>
      <w:sz w:val="16"/>
      <w:szCs w:val="16"/>
    </w:rPr>
  </w:style>
  <w:style w:type="paragraph" w:customStyle="1" w:styleId="Heading1NoNumbering">
    <w:name w:val="Heading 1 No Numbering"/>
    <w:basedOn w:val="Heading1"/>
    <w:qFormat/>
    <w:rsid w:val="00FF1368"/>
    <w:pPr>
      <w:numPr>
        <w:numId w:val="0"/>
      </w:numPr>
    </w:pPr>
  </w:style>
  <w:style w:type="paragraph" w:styleId="TableofFigures">
    <w:name w:val="table of figures"/>
    <w:basedOn w:val="Normal"/>
    <w:next w:val="Normal"/>
    <w:uiPriority w:val="99"/>
    <w:rsid w:val="00563884"/>
    <w:pPr>
      <w:tabs>
        <w:tab w:val="right" w:pos="7655"/>
      </w:tabs>
      <w:spacing w:after="40"/>
      <w:ind w:right="1985"/>
    </w:pPr>
    <w:rPr>
      <w:rFonts w:ascii="Calibri Light" w:hAnsi="Calibri Light"/>
    </w:rPr>
  </w:style>
  <w:style w:type="paragraph" w:customStyle="1" w:styleId="TableTextCentred">
    <w:name w:val="Table Text Centred"/>
    <w:basedOn w:val="TableText"/>
    <w:qFormat/>
    <w:rsid w:val="00AE1CC1"/>
    <w:pPr>
      <w:jc w:val="center"/>
    </w:pPr>
    <w:rPr>
      <w:rFonts w:eastAsia="Times New Roman"/>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customStyle="1" w:styleId="BodyTextAfterListTable">
    <w:name w:val="Body Text After List/Table"/>
    <w:basedOn w:val="BodyText"/>
    <w:next w:val="BodyText"/>
    <w:qFormat/>
    <w:rsid w:val="00E167B4"/>
    <w:pPr>
      <w:spacing w:before="240"/>
    </w:pPr>
  </w:style>
  <w:style w:type="paragraph" w:customStyle="1" w:styleId="TableTextIndented">
    <w:name w:val="Table Text Indented"/>
    <w:basedOn w:val="TableText"/>
    <w:qFormat/>
    <w:rsid w:val="009B1E4D"/>
    <w:pPr>
      <w:ind w:left="170"/>
    </w:pPr>
  </w:style>
  <w:style w:type="character" w:customStyle="1" w:styleId="Title3Heading">
    <w:name w:val="Title 3 Heading"/>
    <w:basedOn w:val="DefaultParagraphFont"/>
    <w:uiPriority w:val="3"/>
    <w:qFormat/>
    <w:rsid w:val="008621A9"/>
    <w:rPr>
      <w:sz w:val="36"/>
    </w:rPr>
  </w:style>
  <w:style w:type="character" w:customStyle="1" w:styleId="Title3Char">
    <w:name w:val="Title 3 Char"/>
    <w:basedOn w:val="Title2Char"/>
    <w:link w:val="Title3"/>
    <w:uiPriority w:val="3"/>
    <w:rsid w:val="0081085D"/>
    <w:rPr>
      <w:rFonts w:asciiTheme="majorHAnsi" w:eastAsia="Times New Roman" w:hAnsiTheme="majorHAnsi" w:cs="Arial"/>
      <w:b w:val="0"/>
      <w:color w:val="3D4D7D" w:themeColor="background2"/>
      <w:spacing w:val="-1"/>
      <w:sz w:val="46"/>
      <w:lang w:eastAsia="en-AU"/>
    </w:rPr>
  </w:style>
  <w:style w:type="character" w:styleId="CommentReference">
    <w:name w:val="annotation reference"/>
    <w:basedOn w:val="DefaultParagraphFont"/>
    <w:semiHidden/>
    <w:unhideWhenUsed/>
    <w:rsid w:val="00217EF3"/>
    <w:rPr>
      <w:sz w:val="16"/>
      <w:szCs w:val="16"/>
    </w:rPr>
  </w:style>
  <w:style w:type="paragraph" w:styleId="CommentText">
    <w:name w:val="annotation text"/>
    <w:basedOn w:val="Normal"/>
    <w:link w:val="CommentTextChar"/>
    <w:semiHidden/>
    <w:unhideWhenUsed/>
    <w:rsid w:val="00217EF3"/>
    <w:pPr>
      <w:spacing w:line="240" w:lineRule="auto"/>
    </w:pPr>
    <w:rPr>
      <w:sz w:val="20"/>
      <w:szCs w:val="20"/>
    </w:rPr>
  </w:style>
  <w:style w:type="character" w:customStyle="1" w:styleId="CommentTextChar">
    <w:name w:val="Comment Text Char"/>
    <w:basedOn w:val="DefaultParagraphFont"/>
    <w:link w:val="CommentText"/>
    <w:semiHidden/>
    <w:rsid w:val="00217EF3"/>
    <w:rPr>
      <w:sz w:val="20"/>
      <w:szCs w:val="20"/>
    </w:rPr>
  </w:style>
  <w:style w:type="paragraph" w:styleId="CommentSubject">
    <w:name w:val="annotation subject"/>
    <w:basedOn w:val="CommentText"/>
    <w:next w:val="CommentText"/>
    <w:link w:val="CommentSubjectChar"/>
    <w:semiHidden/>
    <w:unhideWhenUsed/>
    <w:rsid w:val="00217EF3"/>
    <w:rPr>
      <w:b/>
      <w:bCs/>
    </w:rPr>
  </w:style>
  <w:style w:type="character" w:customStyle="1" w:styleId="CommentSubjectChar">
    <w:name w:val="Comment Subject Char"/>
    <w:basedOn w:val="CommentTextChar"/>
    <w:link w:val="CommentSubject"/>
    <w:semiHidden/>
    <w:rsid w:val="00217EF3"/>
    <w:rPr>
      <w:b/>
      <w:bCs/>
      <w:sz w:val="20"/>
      <w:szCs w:val="20"/>
    </w:rPr>
  </w:style>
  <w:style w:type="table" w:styleId="ColorfulGrid">
    <w:name w:val="Colorful Grid"/>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D7E6" w:themeFill="accent1" w:themeFillTint="33"/>
    </w:tcPr>
    <w:tblStylePr w:type="firstRow">
      <w:rPr>
        <w:b/>
        <w:bCs/>
      </w:rPr>
      <w:tblPr/>
      <w:tcPr>
        <w:shd w:val="clear" w:color="auto" w:fill="D6B0CE" w:themeFill="accent1" w:themeFillTint="66"/>
      </w:tcPr>
    </w:tblStylePr>
    <w:tblStylePr w:type="lastRow">
      <w:rPr>
        <w:b/>
        <w:bCs/>
        <w:color w:val="000000" w:themeColor="text1"/>
      </w:rPr>
      <w:tblPr/>
      <w:tcPr>
        <w:shd w:val="clear" w:color="auto" w:fill="D6B0CE" w:themeFill="accent1" w:themeFillTint="66"/>
      </w:tcPr>
    </w:tblStylePr>
    <w:tblStylePr w:type="firstCol">
      <w:rPr>
        <w:color w:val="FFFFFF" w:themeColor="background1"/>
      </w:rPr>
      <w:tblPr/>
      <w:tcPr>
        <w:shd w:val="clear" w:color="auto" w:fill="69365E" w:themeFill="accent1" w:themeFillShade="BF"/>
      </w:tcPr>
    </w:tblStylePr>
    <w:tblStylePr w:type="lastCol">
      <w:rPr>
        <w:color w:val="FFFFFF" w:themeColor="background1"/>
      </w:rPr>
      <w:tblPr/>
      <w:tcPr>
        <w:shd w:val="clear" w:color="auto" w:fill="69365E" w:themeFill="accent1" w:themeFillShade="BF"/>
      </w:tc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ColorfulGrid-Accent2">
    <w:name w:val="Colorful Grid Accent 2"/>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BD9" w:themeFill="accent2" w:themeFillTint="33"/>
    </w:tcPr>
    <w:tblStylePr w:type="firstRow">
      <w:rPr>
        <w:b/>
        <w:bCs/>
      </w:rPr>
      <w:tblPr/>
      <w:tcPr>
        <w:shd w:val="clear" w:color="auto" w:fill="E8B7B4" w:themeFill="accent2" w:themeFillTint="66"/>
      </w:tcPr>
    </w:tblStylePr>
    <w:tblStylePr w:type="lastRow">
      <w:rPr>
        <w:b/>
        <w:bCs/>
        <w:color w:val="000000" w:themeColor="text1"/>
      </w:rPr>
      <w:tblPr/>
      <w:tcPr>
        <w:shd w:val="clear" w:color="auto" w:fill="E8B7B4" w:themeFill="accent2" w:themeFillTint="66"/>
      </w:tcPr>
    </w:tblStylePr>
    <w:tblStylePr w:type="firstCol">
      <w:rPr>
        <w:color w:val="FFFFFF" w:themeColor="background1"/>
      </w:rPr>
      <w:tblPr/>
      <w:tcPr>
        <w:shd w:val="clear" w:color="auto" w:fill="98362F" w:themeFill="accent2" w:themeFillShade="BF"/>
      </w:tcPr>
    </w:tblStylePr>
    <w:tblStylePr w:type="lastCol">
      <w:rPr>
        <w:color w:val="FFFFFF" w:themeColor="background1"/>
      </w:rPr>
      <w:tblPr/>
      <w:tcPr>
        <w:shd w:val="clear" w:color="auto" w:fill="98362F" w:themeFill="accent2" w:themeFillShade="BF"/>
      </w:tc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ColorfulGrid-Accent3">
    <w:name w:val="Colorful Grid Accent 3"/>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6D8" w:themeFill="accent3" w:themeFillTint="33"/>
    </w:tcPr>
    <w:tblStylePr w:type="firstRow">
      <w:rPr>
        <w:b/>
        <w:bCs/>
      </w:rPr>
      <w:tblPr/>
      <w:tcPr>
        <w:shd w:val="clear" w:color="auto" w:fill="F9CEB1" w:themeFill="accent3" w:themeFillTint="66"/>
      </w:tcPr>
    </w:tblStylePr>
    <w:tblStylePr w:type="lastRow">
      <w:rPr>
        <w:b/>
        <w:bCs/>
        <w:color w:val="000000" w:themeColor="text1"/>
      </w:rPr>
      <w:tblPr/>
      <w:tcPr>
        <w:shd w:val="clear" w:color="auto" w:fill="F9CEB1" w:themeFill="accent3" w:themeFillTint="66"/>
      </w:tcPr>
    </w:tblStylePr>
    <w:tblStylePr w:type="firstCol">
      <w:rPr>
        <w:color w:val="FFFFFF" w:themeColor="background1"/>
      </w:rPr>
      <w:tblPr/>
      <w:tcPr>
        <w:shd w:val="clear" w:color="auto" w:fill="D25E0F" w:themeFill="accent3" w:themeFillShade="BF"/>
      </w:tcPr>
    </w:tblStylePr>
    <w:tblStylePr w:type="lastCol">
      <w:rPr>
        <w:color w:val="FFFFFF" w:themeColor="background1"/>
      </w:rPr>
      <w:tblPr/>
      <w:tcPr>
        <w:shd w:val="clear" w:color="auto" w:fill="D25E0F" w:themeFill="accent3" w:themeFillShade="BF"/>
      </w:tc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ColorfulGrid-Accent4">
    <w:name w:val="Colorful Grid Accent 4"/>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A" w:themeFill="accent4" w:themeFillTint="33"/>
    </w:tcPr>
    <w:tblStylePr w:type="firstRow">
      <w:rPr>
        <w:b/>
        <w:bCs/>
      </w:rPr>
      <w:tblPr/>
      <w:tcPr>
        <w:shd w:val="clear" w:color="auto" w:fill="FDE7B5" w:themeFill="accent4" w:themeFillTint="66"/>
      </w:tcPr>
    </w:tblStylePr>
    <w:tblStylePr w:type="lastRow">
      <w:rPr>
        <w:b/>
        <w:bCs/>
        <w:color w:val="000000" w:themeColor="text1"/>
      </w:rPr>
      <w:tblPr/>
      <w:tcPr>
        <w:shd w:val="clear" w:color="auto" w:fill="FDE7B5" w:themeFill="accent4" w:themeFillTint="66"/>
      </w:tcPr>
    </w:tblStylePr>
    <w:tblStylePr w:type="firstCol">
      <w:rPr>
        <w:color w:val="FFFFFF" w:themeColor="background1"/>
      </w:rPr>
      <w:tblPr/>
      <w:tcPr>
        <w:shd w:val="clear" w:color="auto" w:fill="EEA704" w:themeFill="accent4" w:themeFillShade="BF"/>
      </w:tcPr>
    </w:tblStylePr>
    <w:tblStylePr w:type="lastCol">
      <w:rPr>
        <w:color w:val="FFFFFF" w:themeColor="background1"/>
      </w:rPr>
      <w:tblPr/>
      <w:tcPr>
        <w:shd w:val="clear" w:color="auto" w:fill="EEA704" w:themeFill="accent4" w:themeFillShade="BF"/>
      </w:tc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ColorfulGrid-Accent5">
    <w:name w:val="Colorful Grid Accent 5"/>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6F2DD" w:themeFill="accent5" w:themeFillTint="33"/>
    </w:tcPr>
    <w:tblStylePr w:type="firstRow">
      <w:rPr>
        <w:b/>
        <w:bCs/>
      </w:rPr>
      <w:tblPr/>
      <w:tcPr>
        <w:shd w:val="clear" w:color="auto" w:fill="CEE5BB" w:themeFill="accent5" w:themeFillTint="66"/>
      </w:tcPr>
    </w:tblStylePr>
    <w:tblStylePr w:type="lastRow">
      <w:rPr>
        <w:b/>
        <w:bCs/>
        <w:color w:val="000000" w:themeColor="text1"/>
      </w:rPr>
      <w:tblPr/>
      <w:tcPr>
        <w:shd w:val="clear" w:color="auto" w:fill="CEE5BB" w:themeFill="accent5" w:themeFillTint="66"/>
      </w:tcPr>
    </w:tblStylePr>
    <w:tblStylePr w:type="firstCol">
      <w:rPr>
        <w:color w:val="FFFFFF" w:themeColor="background1"/>
      </w:rPr>
      <w:tblPr/>
      <w:tcPr>
        <w:shd w:val="clear" w:color="auto" w:fill="63953A" w:themeFill="accent5" w:themeFillShade="BF"/>
      </w:tcPr>
    </w:tblStylePr>
    <w:tblStylePr w:type="lastCol">
      <w:rPr>
        <w:color w:val="FFFFFF" w:themeColor="background1"/>
      </w:rPr>
      <w:tblPr/>
      <w:tcPr>
        <w:shd w:val="clear" w:color="auto" w:fill="63953A" w:themeFill="accent5" w:themeFillShade="BF"/>
      </w:tc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ColorfulGrid-Accent6">
    <w:name w:val="Colorful Grid Accent 6"/>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5E6" w:themeFill="accent6" w:themeFillTint="33"/>
    </w:tcPr>
    <w:tblStylePr w:type="firstRow">
      <w:rPr>
        <w:b/>
        <w:bCs/>
      </w:rPr>
      <w:tblPr/>
      <w:tcPr>
        <w:shd w:val="clear" w:color="auto" w:fill="C8CCCD" w:themeFill="accent6" w:themeFillTint="66"/>
      </w:tcPr>
    </w:tblStylePr>
    <w:tblStylePr w:type="lastRow">
      <w:rPr>
        <w:b/>
        <w:bCs/>
        <w:color w:val="000000" w:themeColor="text1"/>
      </w:rPr>
      <w:tblPr/>
      <w:tcPr>
        <w:shd w:val="clear" w:color="auto" w:fill="C8CCCD" w:themeFill="accent6" w:themeFillTint="66"/>
      </w:tcPr>
    </w:tblStylePr>
    <w:tblStylePr w:type="firstCol">
      <w:rPr>
        <w:color w:val="FFFFFF" w:themeColor="background1"/>
      </w:rPr>
      <w:tblPr/>
      <w:tcPr>
        <w:shd w:val="clear" w:color="auto" w:fill="5A6062" w:themeFill="accent6" w:themeFillShade="BF"/>
      </w:tcPr>
    </w:tblStylePr>
    <w:tblStylePr w:type="lastCol">
      <w:rPr>
        <w:color w:val="FFFFFF" w:themeColor="background1"/>
      </w:rPr>
      <w:tblPr/>
      <w:tcPr>
        <w:shd w:val="clear" w:color="auto" w:fill="5A6062" w:themeFill="accent6" w:themeFillShade="BF"/>
      </w:tc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ColorfulList">
    <w:name w:val="Colorful List"/>
    <w:basedOn w:val="TableNormal"/>
    <w:uiPriority w:val="72"/>
    <w:semiHidden/>
    <w:rsid w:val="00EE3EB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E3EB6"/>
    <w:pPr>
      <w:spacing w:line="240" w:lineRule="auto"/>
    </w:pPr>
    <w:rPr>
      <w:color w:val="000000" w:themeColor="text1"/>
    </w:rPr>
    <w:tblPr>
      <w:tblStyleRowBandSize w:val="1"/>
      <w:tblStyleColBandSize w:val="1"/>
    </w:tblPr>
    <w:tcPr>
      <w:shd w:val="clear" w:color="auto" w:fill="F5EBF3" w:themeFill="accen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CEE1" w:themeFill="accent1" w:themeFillTint="3F"/>
      </w:tcPr>
    </w:tblStylePr>
    <w:tblStylePr w:type="band1Horz">
      <w:tblPr/>
      <w:tcPr>
        <w:shd w:val="clear" w:color="auto" w:fill="EAD7E6" w:themeFill="accent1" w:themeFillTint="33"/>
      </w:tcPr>
    </w:tblStylePr>
  </w:style>
  <w:style w:type="table" w:styleId="ColorfulList-Accent2">
    <w:name w:val="Colorful List Accent 2"/>
    <w:basedOn w:val="TableNormal"/>
    <w:uiPriority w:val="72"/>
    <w:semiHidden/>
    <w:rsid w:val="00EE3EB6"/>
    <w:pPr>
      <w:spacing w:line="240" w:lineRule="auto"/>
    </w:pPr>
    <w:rPr>
      <w:color w:val="000000" w:themeColor="text1"/>
    </w:rPr>
    <w:tblPr>
      <w:tblStyleRowBandSize w:val="1"/>
      <w:tblStyleColBandSize w:val="1"/>
    </w:tblPr>
    <w:tcPr>
      <w:shd w:val="clear" w:color="auto" w:fill="F9EDEC" w:themeFill="accent2"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D0" w:themeFill="accent2" w:themeFillTint="3F"/>
      </w:tcPr>
    </w:tblStylePr>
    <w:tblStylePr w:type="band1Horz">
      <w:tblPr/>
      <w:tcPr>
        <w:shd w:val="clear" w:color="auto" w:fill="F3DBD9" w:themeFill="accent2" w:themeFillTint="33"/>
      </w:tcPr>
    </w:tblStylePr>
  </w:style>
  <w:style w:type="table" w:styleId="ColorfulList-Accent3">
    <w:name w:val="Colorful List Accent 3"/>
    <w:basedOn w:val="TableNormal"/>
    <w:uiPriority w:val="72"/>
    <w:semiHidden/>
    <w:rsid w:val="00EE3EB6"/>
    <w:pPr>
      <w:spacing w:line="240" w:lineRule="auto"/>
    </w:pPr>
    <w:rPr>
      <w:color w:val="000000" w:themeColor="text1"/>
    </w:rPr>
    <w:tblPr>
      <w:tblStyleRowBandSize w:val="1"/>
      <w:tblStyleColBandSize w:val="1"/>
    </w:tblPr>
    <w:tcPr>
      <w:shd w:val="clear" w:color="auto" w:fill="FDF3EB" w:themeFill="accent3" w:themeFillTint="19"/>
    </w:tcPr>
    <w:tblStylePr w:type="firstRow">
      <w:rPr>
        <w:b/>
        <w:bCs/>
        <w:color w:val="FFFFFF" w:themeColor="background1"/>
      </w:rPr>
      <w:tblPr/>
      <w:tcPr>
        <w:tcBorders>
          <w:bottom w:val="single" w:sz="12" w:space="0" w:color="FFFFFF" w:themeColor="background1"/>
        </w:tcBorders>
        <w:shd w:val="clear" w:color="auto" w:fill="FBB108" w:themeFill="accent4" w:themeFillShade="CC"/>
      </w:tcPr>
    </w:tblStylePr>
    <w:tblStylePr w:type="lastRow">
      <w:rPr>
        <w:b/>
        <w:bCs/>
        <w:color w:val="FBB1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E" w:themeFill="accent3" w:themeFillTint="3F"/>
      </w:tcPr>
    </w:tblStylePr>
    <w:tblStylePr w:type="band1Horz">
      <w:tblPr/>
      <w:tcPr>
        <w:shd w:val="clear" w:color="auto" w:fill="FCE6D8" w:themeFill="accent3" w:themeFillTint="33"/>
      </w:tcPr>
    </w:tblStylePr>
  </w:style>
  <w:style w:type="table" w:styleId="ColorfulList-Accent4">
    <w:name w:val="Colorful List Accent 4"/>
    <w:basedOn w:val="TableNormal"/>
    <w:uiPriority w:val="72"/>
    <w:semiHidden/>
    <w:rsid w:val="00EE3EB6"/>
    <w:pPr>
      <w:spacing w:line="240" w:lineRule="auto"/>
    </w:pPr>
    <w:rPr>
      <w:color w:val="000000" w:themeColor="text1"/>
    </w:rPr>
    <w:tblPr>
      <w:tblStyleRowBandSize w:val="1"/>
      <w:tblStyleColBandSize w:val="1"/>
    </w:tblPr>
    <w:tcPr>
      <w:shd w:val="clear" w:color="auto" w:fill="FEF9EC" w:themeFill="accent4" w:themeFillTint="19"/>
    </w:tcPr>
    <w:tblStylePr w:type="firstRow">
      <w:rPr>
        <w:b/>
        <w:bCs/>
        <w:color w:val="FFFFFF" w:themeColor="background1"/>
      </w:rPr>
      <w:tblPr/>
      <w:tcPr>
        <w:tcBorders>
          <w:bottom w:val="single" w:sz="12" w:space="0" w:color="FFFFFF" w:themeColor="background1"/>
        </w:tcBorders>
        <w:shd w:val="clear" w:color="auto" w:fill="E16510" w:themeFill="accent3" w:themeFillShade="CC"/>
      </w:tcPr>
    </w:tblStylePr>
    <w:tblStylePr w:type="lastRow">
      <w:rPr>
        <w:b/>
        <w:bCs/>
        <w:color w:val="E165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D1" w:themeFill="accent4" w:themeFillTint="3F"/>
      </w:tcPr>
    </w:tblStylePr>
    <w:tblStylePr w:type="band1Horz">
      <w:tblPr/>
      <w:tcPr>
        <w:shd w:val="clear" w:color="auto" w:fill="FEF3DA" w:themeFill="accent4" w:themeFillTint="33"/>
      </w:tcPr>
    </w:tblStylePr>
  </w:style>
  <w:style w:type="table" w:styleId="ColorfulList-Accent5">
    <w:name w:val="Colorful List Accent 5"/>
    <w:basedOn w:val="TableNormal"/>
    <w:uiPriority w:val="72"/>
    <w:semiHidden/>
    <w:rsid w:val="00EE3EB6"/>
    <w:pPr>
      <w:spacing w:line="240" w:lineRule="auto"/>
    </w:pPr>
    <w:rPr>
      <w:color w:val="000000" w:themeColor="text1"/>
    </w:rPr>
    <w:tblPr>
      <w:tblStyleRowBandSize w:val="1"/>
      <w:tblStyleColBandSize w:val="1"/>
    </w:tblPr>
    <w:tcPr>
      <w:shd w:val="clear" w:color="auto" w:fill="F3F8EE" w:themeFill="accent5" w:themeFillTint="19"/>
    </w:tcPr>
    <w:tblStylePr w:type="firstRow">
      <w:rPr>
        <w:b/>
        <w:bCs/>
        <w:color w:val="FFFFFF" w:themeColor="background1"/>
      </w:rPr>
      <w:tblPr/>
      <w:tcPr>
        <w:tcBorders>
          <w:bottom w:val="single" w:sz="12" w:space="0" w:color="FFFFFF" w:themeColor="background1"/>
        </w:tcBorders>
        <w:shd w:val="clear" w:color="auto" w:fill="606768" w:themeFill="accent6" w:themeFillShade="CC"/>
      </w:tcPr>
    </w:tblStylePr>
    <w:tblStylePr w:type="lastRow">
      <w:rPr>
        <w:b/>
        <w:bCs/>
        <w:color w:val="6067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5" w:themeFill="accent5" w:themeFillTint="3F"/>
      </w:tcPr>
    </w:tblStylePr>
    <w:tblStylePr w:type="band1Horz">
      <w:tblPr/>
      <w:tcPr>
        <w:shd w:val="clear" w:color="auto" w:fill="E6F2DD" w:themeFill="accent5" w:themeFillTint="33"/>
      </w:tcPr>
    </w:tblStylePr>
  </w:style>
  <w:style w:type="table" w:styleId="ColorfulList-Accent6">
    <w:name w:val="Colorful List Accent 6"/>
    <w:basedOn w:val="TableNormal"/>
    <w:uiPriority w:val="72"/>
    <w:semiHidden/>
    <w:rsid w:val="00EE3EB6"/>
    <w:pPr>
      <w:spacing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6A9F3D" w:themeFill="accent5" w:themeFillShade="CC"/>
      </w:tcPr>
    </w:tblStylePr>
    <w:tblStylePr w:type="lastRow">
      <w:rPr>
        <w:b/>
        <w:bCs/>
        <w:color w:val="6A9F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FE0" w:themeFill="accent6" w:themeFillTint="3F"/>
      </w:tcPr>
    </w:tblStylePr>
    <w:tblStylePr w:type="band1Horz">
      <w:tblPr/>
      <w:tcPr>
        <w:shd w:val="clear" w:color="auto" w:fill="E3E5E6" w:themeFill="accent6" w:themeFillTint="33"/>
      </w:tcPr>
    </w:tblStylePr>
  </w:style>
  <w:style w:type="table" w:styleId="ColorfulShading">
    <w:name w:val="Colorful Shading"/>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8D487F" w:themeColor="accent1"/>
        <w:bottom w:val="single" w:sz="4" w:space="0" w:color="8D487F" w:themeColor="accent1"/>
        <w:right w:val="single" w:sz="4" w:space="0" w:color="8D487F" w:themeColor="accent1"/>
        <w:insideH w:val="single" w:sz="4" w:space="0" w:color="FFFFFF" w:themeColor="background1"/>
        <w:insideV w:val="single" w:sz="4" w:space="0" w:color="FFFFFF" w:themeColor="background1"/>
      </w:tblBorders>
    </w:tblPr>
    <w:tcPr>
      <w:shd w:val="clear" w:color="auto" w:fill="F5EBF3" w:themeFill="accen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B4B" w:themeFill="accent1" w:themeFillShade="99"/>
      </w:tcPr>
    </w:tblStylePr>
    <w:tblStylePr w:type="firstCol">
      <w:rPr>
        <w:color w:val="FFFFFF" w:themeColor="background1"/>
      </w:rPr>
      <w:tblPr/>
      <w:tcPr>
        <w:tcBorders>
          <w:top w:val="nil"/>
          <w:left w:val="nil"/>
          <w:bottom w:val="nil"/>
          <w:right w:val="nil"/>
          <w:insideH w:val="single" w:sz="4" w:space="0" w:color="542B4B" w:themeColor="accent1" w:themeShade="99"/>
          <w:insideV w:val="nil"/>
        </w:tcBorders>
        <w:shd w:val="clear" w:color="auto" w:fill="542B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42B4B" w:themeFill="accent1" w:themeFillShade="99"/>
      </w:tcPr>
    </w:tblStylePr>
    <w:tblStylePr w:type="band1Vert">
      <w:tblPr/>
      <w:tcPr>
        <w:shd w:val="clear" w:color="auto" w:fill="D6B0CE" w:themeFill="accent1" w:themeFillTint="66"/>
      </w:tcPr>
    </w:tblStylePr>
    <w:tblStylePr w:type="band1Horz">
      <w:tblPr/>
      <w:tcPr>
        <w:shd w:val="clear" w:color="auto" w:fill="CD9DC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C64E45" w:themeColor="accent2"/>
        <w:bottom w:val="single" w:sz="4" w:space="0" w:color="C64E45" w:themeColor="accent2"/>
        <w:right w:val="single" w:sz="4" w:space="0" w:color="C64E45" w:themeColor="accent2"/>
        <w:insideH w:val="single" w:sz="4" w:space="0" w:color="FFFFFF" w:themeColor="background1"/>
        <w:insideV w:val="single" w:sz="4" w:space="0" w:color="FFFFFF" w:themeColor="background1"/>
      </w:tblBorders>
    </w:tblPr>
    <w:tcPr>
      <w:shd w:val="clear" w:color="auto" w:fill="F9EDEC" w:themeFill="accent2"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B25" w:themeFill="accent2" w:themeFillShade="99"/>
      </w:tcPr>
    </w:tblStylePr>
    <w:tblStylePr w:type="firstCol">
      <w:rPr>
        <w:color w:val="FFFFFF" w:themeColor="background1"/>
      </w:rPr>
      <w:tblPr/>
      <w:tcPr>
        <w:tcBorders>
          <w:top w:val="nil"/>
          <w:left w:val="nil"/>
          <w:bottom w:val="nil"/>
          <w:right w:val="nil"/>
          <w:insideH w:val="single" w:sz="4" w:space="0" w:color="7A2B25" w:themeColor="accent2" w:themeShade="99"/>
          <w:insideV w:val="nil"/>
        </w:tcBorders>
        <w:shd w:val="clear" w:color="auto" w:fill="7A2B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2B25" w:themeFill="accent2" w:themeFillShade="99"/>
      </w:tcPr>
    </w:tblStylePr>
    <w:tblStylePr w:type="band1Vert">
      <w:tblPr/>
      <w:tcPr>
        <w:shd w:val="clear" w:color="auto" w:fill="E8B7B4" w:themeFill="accent2" w:themeFillTint="66"/>
      </w:tcPr>
    </w:tblStylePr>
    <w:tblStylePr w:type="band1Horz">
      <w:tblPr/>
      <w:tcPr>
        <w:shd w:val="clear" w:color="auto" w:fill="E2A6A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E3EB6"/>
    <w:pPr>
      <w:spacing w:line="240" w:lineRule="auto"/>
    </w:pPr>
    <w:rPr>
      <w:color w:val="000000" w:themeColor="text1"/>
    </w:rPr>
    <w:tblPr>
      <w:tblStyleRowBandSize w:val="1"/>
      <w:tblStyleColBandSize w:val="1"/>
      <w:tblBorders>
        <w:top w:val="single" w:sz="24" w:space="0" w:color="FCC648" w:themeColor="accent4"/>
        <w:left w:val="single" w:sz="4" w:space="0" w:color="F1873D" w:themeColor="accent3"/>
        <w:bottom w:val="single" w:sz="4" w:space="0" w:color="F1873D" w:themeColor="accent3"/>
        <w:right w:val="single" w:sz="4" w:space="0" w:color="F1873D" w:themeColor="accent3"/>
        <w:insideH w:val="single" w:sz="4" w:space="0" w:color="FFFFFF" w:themeColor="background1"/>
        <w:insideV w:val="single" w:sz="4" w:space="0" w:color="FFFFFF" w:themeColor="background1"/>
      </w:tblBorders>
    </w:tblPr>
    <w:tcPr>
      <w:shd w:val="clear" w:color="auto" w:fill="FDF3EB" w:themeFill="accent3" w:themeFillTint="19"/>
    </w:tcPr>
    <w:tblStylePr w:type="firstRow">
      <w:rPr>
        <w:b/>
        <w:bCs/>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4C0C" w:themeFill="accent3" w:themeFillShade="99"/>
      </w:tcPr>
    </w:tblStylePr>
    <w:tblStylePr w:type="firstCol">
      <w:rPr>
        <w:color w:val="FFFFFF" w:themeColor="background1"/>
      </w:rPr>
      <w:tblPr/>
      <w:tcPr>
        <w:tcBorders>
          <w:top w:val="nil"/>
          <w:left w:val="nil"/>
          <w:bottom w:val="nil"/>
          <w:right w:val="nil"/>
          <w:insideH w:val="single" w:sz="4" w:space="0" w:color="A84C0C" w:themeColor="accent3" w:themeShade="99"/>
          <w:insideV w:val="nil"/>
        </w:tcBorders>
        <w:shd w:val="clear" w:color="auto" w:fill="A84C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4C0C" w:themeFill="accent3" w:themeFillShade="99"/>
      </w:tcPr>
    </w:tblStylePr>
    <w:tblStylePr w:type="band1Vert">
      <w:tblPr/>
      <w:tcPr>
        <w:shd w:val="clear" w:color="auto" w:fill="F9CEB1" w:themeFill="accent3" w:themeFillTint="66"/>
      </w:tcPr>
    </w:tblStylePr>
    <w:tblStylePr w:type="band1Horz">
      <w:tblPr/>
      <w:tcPr>
        <w:shd w:val="clear" w:color="auto" w:fill="F8C29E" w:themeFill="accent3" w:themeFillTint="7F"/>
      </w:tcPr>
    </w:tblStylePr>
  </w:style>
  <w:style w:type="table" w:styleId="ColorfulShading-Accent4">
    <w:name w:val="Colorful Shading Accent 4"/>
    <w:basedOn w:val="TableNormal"/>
    <w:uiPriority w:val="71"/>
    <w:semiHidden/>
    <w:rsid w:val="00EE3EB6"/>
    <w:pPr>
      <w:spacing w:line="240" w:lineRule="auto"/>
    </w:pPr>
    <w:rPr>
      <w:color w:val="000000" w:themeColor="text1"/>
    </w:rPr>
    <w:tblPr>
      <w:tblStyleRowBandSize w:val="1"/>
      <w:tblStyleColBandSize w:val="1"/>
      <w:tblBorders>
        <w:top w:val="single" w:sz="24" w:space="0" w:color="F1873D" w:themeColor="accent3"/>
        <w:left w:val="single" w:sz="4" w:space="0" w:color="FCC648" w:themeColor="accent4"/>
        <w:bottom w:val="single" w:sz="4" w:space="0" w:color="FCC648" w:themeColor="accent4"/>
        <w:right w:val="single" w:sz="4" w:space="0" w:color="FCC648" w:themeColor="accent4"/>
        <w:insideH w:val="single" w:sz="4" w:space="0" w:color="FFFFFF" w:themeColor="background1"/>
        <w:insideV w:val="single" w:sz="4" w:space="0" w:color="FFFFFF" w:themeColor="background1"/>
      </w:tblBorders>
    </w:tblPr>
    <w:tcPr>
      <w:shd w:val="clear" w:color="auto" w:fill="FEF9EC" w:themeFill="accent4" w:themeFillTint="19"/>
    </w:tcPr>
    <w:tblStylePr w:type="firstRow">
      <w:rPr>
        <w:b/>
        <w:bCs/>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8603" w:themeFill="accent4" w:themeFillShade="99"/>
      </w:tcPr>
    </w:tblStylePr>
    <w:tblStylePr w:type="firstCol">
      <w:rPr>
        <w:color w:val="FFFFFF" w:themeColor="background1"/>
      </w:rPr>
      <w:tblPr/>
      <w:tcPr>
        <w:tcBorders>
          <w:top w:val="nil"/>
          <w:left w:val="nil"/>
          <w:bottom w:val="nil"/>
          <w:right w:val="nil"/>
          <w:insideH w:val="single" w:sz="4" w:space="0" w:color="BF8603" w:themeColor="accent4" w:themeShade="99"/>
          <w:insideV w:val="nil"/>
        </w:tcBorders>
        <w:shd w:val="clear" w:color="auto" w:fill="BF8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F8603" w:themeFill="accent4" w:themeFillShade="99"/>
      </w:tcPr>
    </w:tblStylePr>
    <w:tblStylePr w:type="band1Vert">
      <w:tblPr/>
      <w:tcPr>
        <w:shd w:val="clear" w:color="auto" w:fill="FDE7B5" w:themeFill="accent4" w:themeFillTint="66"/>
      </w:tcPr>
    </w:tblStylePr>
    <w:tblStylePr w:type="band1Horz">
      <w:tblPr/>
      <w:tcPr>
        <w:shd w:val="clear" w:color="auto" w:fill="FDE2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E3EB6"/>
    <w:pPr>
      <w:spacing w:line="240" w:lineRule="auto"/>
    </w:pPr>
    <w:rPr>
      <w:color w:val="000000" w:themeColor="text1"/>
    </w:rPr>
    <w:tblPr>
      <w:tblStyleRowBandSize w:val="1"/>
      <w:tblStyleColBandSize w:val="1"/>
      <w:tblBorders>
        <w:top w:val="single" w:sz="24" w:space="0" w:color="788183" w:themeColor="accent6"/>
        <w:left w:val="single" w:sz="4" w:space="0" w:color="86BE57" w:themeColor="accent5"/>
        <w:bottom w:val="single" w:sz="4" w:space="0" w:color="86BE57" w:themeColor="accent5"/>
        <w:right w:val="single" w:sz="4" w:space="0" w:color="86BE57" w:themeColor="accent5"/>
        <w:insideH w:val="single" w:sz="4" w:space="0" w:color="FFFFFF" w:themeColor="background1"/>
        <w:insideV w:val="single" w:sz="4" w:space="0" w:color="FFFFFF" w:themeColor="background1"/>
      </w:tblBorders>
    </w:tblPr>
    <w:tcPr>
      <w:shd w:val="clear" w:color="auto" w:fill="F3F8EE" w:themeFill="accent5" w:themeFillTint="19"/>
    </w:tcPr>
    <w:tblStylePr w:type="firstRow">
      <w:rPr>
        <w:b/>
        <w:bCs/>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72E" w:themeFill="accent5" w:themeFillShade="99"/>
      </w:tcPr>
    </w:tblStylePr>
    <w:tblStylePr w:type="firstCol">
      <w:rPr>
        <w:color w:val="FFFFFF" w:themeColor="background1"/>
      </w:rPr>
      <w:tblPr/>
      <w:tcPr>
        <w:tcBorders>
          <w:top w:val="nil"/>
          <w:left w:val="nil"/>
          <w:bottom w:val="nil"/>
          <w:right w:val="nil"/>
          <w:insideH w:val="single" w:sz="4" w:space="0" w:color="4F772E" w:themeColor="accent5" w:themeShade="99"/>
          <w:insideV w:val="nil"/>
        </w:tcBorders>
        <w:shd w:val="clear" w:color="auto" w:fill="4F77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772E" w:themeFill="accent5" w:themeFillShade="99"/>
      </w:tcPr>
    </w:tblStylePr>
    <w:tblStylePr w:type="band1Vert">
      <w:tblPr/>
      <w:tcPr>
        <w:shd w:val="clear" w:color="auto" w:fill="CEE5BB" w:themeFill="accent5" w:themeFillTint="66"/>
      </w:tcPr>
    </w:tblStylePr>
    <w:tblStylePr w:type="band1Horz">
      <w:tblPr/>
      <w:tcPr>
        <w:shd w:val="clear" w:color="auto" w:fill="C2DEA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E3EB6"/>
    <w:pPr>
      <w:spacing w:line="240" w:lineRule="auto"/>
    </w:pPr>
    <w:rPr>
      <w:color w:val="000000" w:themeColor="text1"/>
    </w:rPr>
    <w:tblPr>
      <w:tblStyleRowBandSize w:val="1"/>
      <w:tblStyleColBandSize w:val="1"/>
      <w:tblBorders>
        <w:top w:val="single" w:sz="24" w:space="0" w:color="86BE57" w:themeColor="accent5"/>
        <w:left w:val="single" w:sz="4" w:space="0" w:color="788183" w:themeColor="accent6"/>
        <w:bottom w:val="single" w:sz="4" w:space="0" w:color="788183" w:themeColor="accent6"/>
        <w:right w:val="single" w:sz="4" w:space="0" w:color="788183" w:themeColor="accent6"/>
        <w:insideH w:val="single" w:sz="4" w:space="0" w:color="FFFFFF" w:themeColor="background1"/>
        <w:insideV w:val="single" w:sz="4" w:space="0" w:color="FFFFFF" w:themeColor="background1"/>
      </w:tblBorders>
    </w:tblPr>
    <w:tcPr>
      <w:shd w:val="clear" w:color="auto" w:fill="F1F2F2" w:themeFill="accent6" w:themeFillTint="19"/>
    </w:tcPr>
    <w:tblStylePr w:type="firstRow">
      <w:rPr>
        <w:b/>
        <w:bCs/>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D4E" w:themeFill="accent6" w:themeFillShade="99"/>
      </w:tcPr>
    </w:tblStylePr>
    <w:tblStylePr w:type="firstCol">
      <w:rPr>
        <w:color w:val="FFFFFF" w:themeColor="background1"/>
      </w:rPr>
      <w:tblPr/>
      <w:tcPr>
        <w:tcBorders>
          <w:top w:val="nil"/>
          <w:left w:val="nil"/>
          <w:bottom w:val="nil"/>
          <w:right w:val="nil"/>
          <w:insideH w:val="single" w:sz="4" w:space="0" w:color="484D4E" w:themeColor="accent6" w:themeShade="99"/>
          <w:insideV w:val="nil"/>
        </w:tcBorders>
        <w:shd w:val="clear" w:color="auto" w:fill="48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D4E" w:themeFill="accent6" w:themeFillShade="99"/>
      </w:tcPr>
    </w:tblStylePr>
    <w:tblStylePr w:type="band1Vert">
      <w:tblPr/>
      <w:tcPr>
        <w:shd w:val="clear" w:color="auto" w:fill="C8CCCD" w:themeFill="accent6" w:themeFillTint="66"/>
      </w:tcPr>
    </w:tblStylePr>
    <w:tblStylePr w:type="band1Horz">
      <w:tblPr/>
      <w:tcPr>
        <w:shd w:val="clear" w:color="auto" w:fill="BBC0C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E3EB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E3EB6"/>
    <w:pPr>
      <w:spacing w:line="240" w:lineRule="auto"/>
    </w:pPr>
    <w:rPr>
      <w:color w:val="FFFFFF" w:themeColor="background1"/>
    </w:rPr>
    <w:tblPr>
      <w:tblStyleRowBandSize w:val="1"/>
      <w:tblStyleColBandSize w:val="1"/>
    </w:tblPr>
    <w:tcPr>
      <w:shd w:val="clear" w:color="auto" w:fill="8D48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243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936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9365E" w:themeFill="accent1" w:themeFillShade="BF"/>
      </w:tcPr>
    </w:tblStylePr>
    <w:tblStylePr w:type="band1Vert">
      <w:tblPr/>
      <w:tcPr>
        <w:tcBorders>
          <w:top w:val="nil"/>
          <w:left w:val="nil"/>
          <w:bottom w:val="nil"/>
          <w:right w:val="nil"/>
          <w:insideH w:val="nil"/>
          <w:insideV w:val="nil"/>
        </w:tcBorders>
        <w:shd w:val="clear" w:color="auto" w:fill="69365E" w:themeFill="accent1" w:themeFillShade="BF"/>
      </w:tcPr>
    </w:tblStylePr>
    <w:tblStylePr w:type="band1Horz">
      <w:tblPr/>
      <w:tcPr>
        <w:tcBorders>
          <w:top w:val="nil"/>
          <w:left w:val="nil"/>
          <w:bottom w:val="nil"/>
          <w:right w:val="nil"/>
          <w:insideH w:val="nil"/>
          <w:insideV w:val="nil"/>
        </w:tcBorders>
        <w:shd w:val="clear" w:color="auto" w:fill="69365E" w:themeFill="accent1" w:themeFillShade="BF"/>
      </w:tcPr>
    </w:tblStylePr>
  </w:style>
  <w:style w:type="table" w:styleId="DarkList-Accent2">
    <w:name w:val="Dark List Accent 2"/>
    <w:basedOn w:val="TableNormal"/>
    <w:uiPriority w:val="70"/>
    <w:semiHidden/>
    <w:rsid w:val="00EE3EB6"/>
    <w:pPr>
      <w:spacing w:line="240" w:lineRule="auto"/>
    </w:pPr>
    <w:rPr>
      <w:color w:val="FFFFFF" w:themeColor="background1"/>
    </w:rPr>
    <w:tblPr>
      <w:tblStyleRowBandSize w:val="1"/>
      <w:tblStyleColBandSize w:val="1"/>
    </w:tblPr>
    <w:tcPr>
      <w:shd w:val="clear" w:color="auto" w:fill="C64E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23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36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362F" w:themeFill="accent2" w:themeFillShade="BF"/>
      </w:tcPr>
    </w:tblStylePr>
    <w:tblStylePr w:type="band1Vert">
      <w:tblPr/>
      <w:tcPr>
        <w:tcBorders>
          <w:top w:val="nil"/>
          <w:left w:val="nil"/>
          <w:bottom w:val="nil"/>
          <w:right w:val="nil"/>
          <w:insideH w:val="nil"/>
          <w:insideV w:val="nil"/>
        </w:tcBorders>
        <w:shd w:val="clear" w:color="auto" w:fill="98362F" w:themeFill="accent2" w:themeFillShade="BF"/>
      </w:tcPr>
    </w:tblStylePr>
    <w:tblStylePr w:type="band1Horz">
      <w:tblPr/>
      <w:tcPr>
        <w:tcBorders>
          <w:top w:val="nil"/>
          <w:left w:val="nil"/>
          <w:bottom w:val="nil"/>
          <w:right w:val="nil"/>
          <w:insideH w:val="nil"/>
          <w:insideV w:val="nil"/>
        </w:tcBorders>
        <w:shd w:val="clear" w:color="auto" w:fill="98362F" w:themeFill="accent2" w:themeFillShade="BF"/>
      </w:tcPr>
    </w:tblStylePr>
  </w:style>
  <w:style w:type="table" w:styleId="DarkList-Accent3">
    <w:name w:val="Dark List Accent 3"/>
    <w:basedOn w:val="TableNormal"/>
    <w:uiPriority w:val="70"/>
    <w:semiHidden/>
    <w:rsid w:val="00EE3EB6"/>
    <w:pPr>
      <w:spacing w:line="240" w:lineRule="auto"/>
    </w:pPr>
    <w:rPr>
      <w:color w:val="FFFFFF" w:themeColor="background1"/>
    </w:rPr>
    <w:tblPr>
      <w:tblStyleRowBandSize w:val="1"/>
      <w:tblStyleColBandSize w:val="1"/>
    </w:tblPr>
    <w:tcPr>
      <w:shd w:val="clear" w:color="auto" w:fill="F1873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3F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5E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5E0F" w:themeFill="accent3" w:themeFillShade="BF"/>
      </w:tcPr>
    </w:tblStylePr>
    <w:tblStylePr w:type="band1Vert">
      <w:tblPr/>
      <w:tcPr>
        <w:tcBorders>
          <w:top w:val="nil"/>
          <w:left w:val="nil"/>
          <w:bottom w:val="nil"/>
          <w:right w:val="nil"/>
          <w:insideH w:val="nil"/>
          <w:insideV w:val="nil"/>
        </w:tcBorders>
        <w:shd w:val="clear" w:color="auto" w:fill="D25E0F" w:themeFill="accent3" w:themeFillShade="BF"/>
      </w:tcPr>
    </w:tblStylePr>
    <w:tblStylePr w:type="band1Horz">
      <w:tblPr/>
      <w:tcPr>
        <w:tcBorders>
          <w:top w:val="nil"/>
          <w:left w:val="nil"/>
          <w:bottom w:val="nil"/>
          <w:right w:val="nil"/>
          <w:insideH w:val="nil"/>
          <w:insideV w:val="nil"/>
        </w:tcBorders>
        <w:shd w:val="clear" w:color="auto" w:fill="D25E0F" w:themeFill="accent3" w:themeFillShade="BF"/>
      </w:tcPr>
    </w:tblStylePr>
  </w:style>
  <w:style w:type="table" w:styleId="DarkList-Accent4">
    <w:name w:val="Dark List Accent 4"/>
    <w:basedOn w:val="TableNormal"/>
    <w:uiPriority w:val="70"/>
    <w:semiHidden/>
    <w:rsid w:val="00EE3EB6"/>
    <w:pPr>
      <w:spacing w:line="240" w:lineRule="auto"/>
    </w:pPr>
    <w:rPr>
      <w:color w:val="FFFFFF" w:themeColor="background1"/>
    </w:rPr>
    <w:tblPr>
      <w:tblStyleRowBandSize w:val="1"/>
      <w:tblStyleColBandSize w:val="1"/>
    </w:tblPr>
    <w:tcPr>
      <w:shd w:val="clear" w:color="auto" w:fill="FCC6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6F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A7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A704" w:themeFill="accent4" w:themeFillShade="BF"/>
      </w:tcPr>
    </w:tblStylePr>
    <w:tblStylePr w:type="band1Vert">
      <w:tblPr/>
      <w:tcPr>
        <w:tcBorders>
          <w:top w:val="nil"/>
          <w:left w:val="nil"/>
          <w:bottom w:val="nil"/>
          <w:right w:val="nil"/>
          <w:insideH w:val="nil"/>
          <w:insideV w:val="nil"/>
        </w:tcBorders>
        <w:shd w:val="clear" w:color="auto" w:fill="EEA704" w:themeFill="accent4" w:themeFillShade="BF"/>
      </w:tcPr>
    </w:tblStylePr>
    <w:tblStylePr w:type="band1Horz">
      <w:tblPr/>
      <w:tcPr>
        <w:tcBorders>
          <w:top w:val="nil"/>
          <w:left w:val="nil"/>
          <w:bottom w:val="nil"/>
          <w:right w:val="nil"/>
          <w:insideH w:val="nil"/>
          <w:insideV w:val="nil"/>
        </w:tcBorders>
        <w:shd w:val="clear" w:color="auto" w:fill="EEA704" w:themeFill="accent4" w:themeFillShade="BF"/>
      </w:tcPr>
    </w:tblStylePr>
  </w:style>
  <w:style w:type="table" w:styleId="DarkList-Accent5">
    <w:name w:val="Dark List Accent 5"/>
    <w:basedOn w:val="TableNormal"/>
    <w:uiPriority w:val="70"/>
    <w:semiHidden/>
    <w:rsid w:val="00EE3EB6"/>
    <w:pPr>
      <w:spacing w:line="240" w:lineRule="auto"/>
    </w:pPr>
    <w:rPr>
      <w:color w:val="FFFFFF" w:themeColor="background1"/>
    </w:rPr>
    <w:tblPr>
      <w:tblStyleRowBandSize w:val="1"/>
      <w:tblStyleColBandSize w:val="1"/>
    </w:tblPr>
    <w:tcPr>
      <w:shd w:val="clear" w:color="auto" w:fill="86BE5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3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953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953A" w:themeFill="accent5" w:themeFillShade="BF"/>
      </w:tcPr>
    </w:tblStylePr>
    <w:tblStylePr w:type="band1Vert">
      <w:tblPr/>
      <w:tcPr>
        <w:tcBorders>
          <w:top w:val="nil"/>
          <w:left w:val="nil"/>
          <w:bottom w:val="nil"/>
          <w:right w:val="nil"/>
          <w:insideH w:val="nil"/>
          <w:insideV w:val="nil"/>
        </w:tcBorders>
        <w:shd w:val="clear" w:color="auto" w:fill="63953A" w:themeFill="accent5" w:themeFillShade="BF"/>
      </w:tcPr>
    </w:tblStylePr>
    <w:tblStylePr w:type="band1Horz">
      <w:tblPr/>
      <w:tcPr>
        <w:tcBorders>
          <w:top w:val="nil"/>
          <w:left w:val="nil"/>
          <w:bottom w:val="nil"/>
          <w:right w:val="nil"/>
          <w:insideH w:val="nil"/>
          <w:insideV w:val="nil"/>
        </w:tcBorders>
        <w:shd w:val="clear" w:color="auto" w:fill="63953A" w:themeFill="accent5" w:themeFillShade="BF"/>
      </w:tcPr>
    </w:tblStylePr>
  </w:style>
  <w:style w:type="table" w:styleId="DarkList-Accent6">
    <w:name w:val="Dark List Accent 6"/>
    <w:basedOn w:val="TableNormal"/>
    <w:uiPriority w:val="70"/>
    <w:semiHidden/>
    <w:rsid w:val="00EE3EB6"/>
    <w:pPr>
      <w:spacing w:line="240" w:lineRule="auto"/>
    </w:pPr>
    <w:rPr>
      <w:color w:val="FFFFFF" w:themeColor="background1"/>
    </w:rPr>
    <w:tblPr>
      <w:tblStyleRowBandSize w:val="1"/>
      <w:tblStyleColBandSize w:val="1"/>
    </w:tblPr>
    <w:tcPr>
      <w:shd w:val="clear" w:color="auto" w:fill="78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6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6062" w:themeFill="accent6" w:themeFillShade="BF"/>
      </w:tcPr>
    </w:tblStylePr>
    <w:tblStylePr w:type="band1Vert">
      <w:tblPr/>
      <w:tcPr>
        <w:tcBorders>
          <w:top w:val="nil"/>
          <w:left w:val="nil"/>
          <w:bottom w:val="nil"/>
          <w:right w:val="nil"/>
          <w:insideH w:val="nil"/>
          <w:insideV w:val="nil"/>
        </w:tcBorders>
        <w:shd w:val="clear" w:color="auto" w:fill="5A6062" w:themeFill="accent6" w:themeFillShade="BF"/>
      </w:tcPr>
    </w:tblStylePr>
    <w:tblStylePr w:type="band1Horz">
      <w:tblPr/>
      <w:tcPr>
        <w:tcBorders>
          <w:top w:val="nil"/>
          <w:left w:val="nil"/>
          <w:bottom w:val="nil"/>
          <w:right w:val="nil"/>
          <w:insideH w:val="nil"/>
          <w:insideV w:val="nil"/>
        </w:tcBorders>
        <w:shd w:val="clear" w:color="auto" w:fill="5A6062" w:themeFill="accent6" w:themeFillShade="BF"/>
      </w:tcPr>
    </w:tblStylePr>
  </w:style>
  <w:style w:type="table" w:customStyle="1" w:styleId="GridTable1Light1">
    <w:name w:val="Grid Table 1 Light1"/>
    <w:basedOn w:val="TableNormal"/>
    <w:uiPriority w:val="46"/>
    <w:semiHidden/>
    <w:rsid w:val="00EE3EB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EE3EB6"/>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EE3EB6"/>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EE3EB6"/>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EE3EB6"/>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EE3EB6"/>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EE3EB6"/>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EE3EB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EE3EB6"/>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1">
    <w:name w:val="Grid Table 2 - Accent 21"/>
    <w:basedOn w:val="TableNormal"/>
    <w:uiPriority w:val="47"/>
    <w:semiHidden/>
    <w:rsid w:val="00EE3EB6"/>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1">
    <w:name w:val="Grid Table 2 - Accent 31"/>
    <w:basedOn w:val="TableNormal"/>
    <w:uiPriority w:val="47"/>
    <w:semiHidden/>
    <w:rsid w:val="00EE3EB6"/>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1">
    <w:name w:val="Grid Table 2 - Accent 41"/>
    <w:basedOn w:val="TableNormal"/>
    <w:uiPriority w:val="47"/>
    <w:semiHidden/>
    <w:rsid w:val="00EE3EB6"/>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1">
    <w:name w:val="Grid Table 2 - Accent 51"/>
    <w:basedOn w:val="TableNormal"/>
    <w:uiPriority w:val="47"/>
    <w:semiHidden/>
    <w:rsid w:val="00EE3EB6"/>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1">
    <w:name w:val="Grid Table 2 - Accent 61"/>
    <w:basedOn w:val="TableNormal"/>
    <w:uiPriority w:val="47"/>
    <w:semiHidden/>
    <w:rsid w:val="00EE3EB6"/>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1">
    <w:name w:val="Grid Table 31"/>
    <w:basedOn w:val="TableNormal"/>
    <w:uiPriority w:val="48"/>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1">
    <w:name w:val="Grid Table 3 - Accent 21"/>
    <w:basedOn w:val="TableNormal"/>
    <w:uiPriority w:val="48"/>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1">
    <w:name w:val="Grid Table 3 - Accent 31"/>
    <w:basedOn w:val="TableNormal"/>
    <w:uiPriority w:val="48"/>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1">
    <w:name w:val="Grid Table 3 - Accent 41"/>
    <w:basedOn w:val="TableNormal"/>
    <w:uiPriority w:val="48"/>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1">
    <w:name w:val="Grid Table 3 - Accent 51"/>
    <w:basedOn w:val="TableNormal"/>
    <w:uiPriority w:val="48"/>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1">
    <w:name w:val="Grid Table 3 - Accent 61"/>
    <w:basedOn w:val="TableNormal"/>
    <w:uiPriority w:val="48"/>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1">
    <w:name w:val="Grid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1">
    <w:name w:val="Grid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1">
    <w:name w:val="Grid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1">
    <w:name w:val="Grid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1">
    <w:name w:val="Grid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1">
    <w:name w:val="Grid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1">
    <w:name w:val="Grid Table 5 Dark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1">
    <w:name w:val="Grid Table 5 Dark - Accent 2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1">
    <w:name w:val="Grid Table 5 Dark - Accent 3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1">
    <w:name w:val="Grid Table 5 Dark - Accent 4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1">
    <w:name w:val="Grid Table 5 Dark - Accent 5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1">
    <w:name w:val="Grid Table 5 Dark - Accent 6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1">
    <w:name w:val="Grid Table 6 Colorful1"/>
    <w:basedOn w:val="TableNormal"/>
    <w:uiPriority w:val="51"/>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1">
    <w:name w:val="Grid Table 6 Colo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1">
    <w:name w:val="Grid Table 6 Colo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1">
    <w:name w:val="Grid Table 6 Colo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1">
    <w:name w:val="Grid Table 6 Colo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1">
    <w:name w:val="Grid Table 6 Colo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1">
    <w:name w:val="Grid Table 7 Colorful1"/>
    <w:basedOn w:val="TableNormal"/>
    <w:uiPriority w:val="52"/>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1">
    <w:name w:val="Grid Table 7 Colorful - Accent 21"/>
    <w:basedOn w:val="TableNormal"/>
    <w:uiPriority w:val="52"/>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1">
    <w:name w:val="Grid Table 7 Colorful - Accent 31"/>
    <w:basedOn w:val="TableNormal"/>
    <w:uiPriority w:val="52"/>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1">
    <w:name w:val="Grid Table 7 Colorful - Accent 41"/>
    <w:basedOn w:val="TableNormal"/>
    <w:uiPriority w:val="52"/>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1">
    <w:name w:val="Grid Table 7 Colorful - Accent 51"/>
    <w:basedOn w:val="TableNormal"/>
    <w:uiPriority w:val="52"/>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1">
    <w:name w:val="Grid Table 7 Colorful - Accent 61"/>
    <w:basedOn w:val="TableNormal"/>
    <w:uiPriority w:val="52"/>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styleId="LightGrid">
    <w:name w:val="Light Grid"/>
    <w:basedOn w:val="TableNormal"/>
    <w:uiPriority w:val="62"/>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18" w:space="0" w:color="8D487F" w:themeColor="accent1"/>
          <w:right w:val="single" w:sz="8" w:space="0" w:color="8D487F" w:themeColor="accent1"/>
          <w:insideH w:val="nil"/>
          <w:insideV w:val="single" w:sz="8" w:space="0" w:color="8D48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insideH w:val="nil"/>
          <w:insideV w:val="single" w:sz="8" w:space="0" w:color="8D48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shd w:val="clear" w:color="auto" w:fill="E6CEE1" w:themeFill="accent1" w:themeFillTint="3F"/>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shd w:val="clear" w:color="auto" w:fill="E6CEE1" w:themeFill="accent1" w:themeFillTint="3F"/>
      </w:tcPr>
    </w:tblStylePr>
    <w:tblStylePr w:type="band2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tcPr>
    </w:tblStylePr>
  </w:style>
  <w:style w:type="table" w:styleId="LightGrid-Accent2">
    <w:name w:val="Light Grid Accent 2"/>
    <w:basedOn w:val="TableNormal"/>
    <w:uiPriority w:val="62"/>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18" w:space="0" w:color="C64E45" w:themeColor="accent2"/>
          <w:right w:val="single" w:sz="8" w:space="0" w:color="C64E45" w:themeColor="accent2"/>
          <w:insideH w:val="nil"/>
          <w:insideV w:val="single" w:sz="8" w:space="0" w:color="C64E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insideH w:val="nil"/>
          <w:insideV w:val="single" w:sz="8" w:space="0" w:color="C64E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shd w:val="clear" w:color="auto" w:fill="F1D2D0" w:themeFill="accent2" w:themeFillTint="3F"/>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shd w:val="clear" w:color="auto" w:fill="F1D2D0" w:themeFill="accent2" w:themeFillTint="3F"/>
      </w:tcPr>
    </w:tblStylePr>
    <w:tblStylePr w:type="band2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tcPr>
    </w:tblStylePr>
  </w:style>
  <w:style w:type="table" w:styleId="LightGrid-Accent3">
    <w:name w:val="Light Grid Accent 3"/>
    <w:basedOn w:val="TableNormal"/>
    <w:uiPriority w:val="62"/>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table" w:styleId="LightGrid-Accent4">
    <w:name w:val="Light Grid Accent 4"/>
    <w:basedOn w:val="TableNormal"/>
    <w:uiPriority w:val="62"/>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18" w:space="0" w:color="FCC648" w:themeColor="accent4"/>
          <w:right w:val="single" w:sz="8" w:space="0" w:color="FCC648" w:themeColor="accent4"/>
          <w:insideH w:val="nil"/>
          <w:insideV w:val="single" w:sz="8" w:space="0" w:color="FCC6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insideH w:val="nil"/>
          <w:insideV w:val="single" w:sz="8" w:space="0" w:color="FCC6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shd w:val="clear" w:color="auto" w:fill="FEF0D1" w:themeFill="accent4" w:themeFillTint="3F"/>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shd w:val="clear" w:color="auto" w:fill="FEF0D1" w:themeFill="accent4" w:themeFillTint="3F"/>
      </w:tcPr>
    </w:tblStylePr>
    <w:tblStylePr w:type="band2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tcPr>
    </w:tblStylePr>
  </w:style>
  <w:style w:type="table" w:styleId="LightGrid-Accent5">
    <w:name w:val="Light Grid Accent 5"/>
    <w:basedOn w:val="TableNormal"/>
    <w:uiPriority w:val="62"/>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18" w:space="0" w:color="86BE57" w:themeColor="accent5"/>
          <w:right w:val="single" w:sz="8" w:space="0" w:color="86BE57" w:themeColor="accent5"/>
          <w:insideH w:val="nil"/>
          <w:insideV w:val="single" w:sz="8" w:space="0" w:color="86BE5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insideH w:val="nil"/>
          <w:insideV w:val="single" w:sz="8" w:space="0" w:color="86BE5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shd w:val="clear" w:color="auto" w:fill="E1EFD5" w:themeFill="accent5" w:themeFillTint="3F"/>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shd w:val="clear" w:color="auto" w:fill="E1EFD5" w:themeFill="accent5" w:themeFillTint="3F"/>
      </w:tcPr>
    </w:tblStylePr>
    <w:tblStylePr w:type="band2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tcPr>
    </w:tblStylePr>
  </w:style>
  <w:style w:type="table" w:styleId="LightGrid-Accent6">
    <w:name w:val="Light Grid Accent 6"/>
    <w:basedOn w:val="TableNormal"/>
    <w:uiPriority w:val="62"/>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List">
    <w:name w:val="Light List"/>
    <w:basedOn w:val="TableNormal"/>
    <w:uiPriority w:val="61"/>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table" w:styleId="LightList-Accent2">
    <w:name w:val="Light List Accent 2"/>
    <w:basedOn w:val="TableNormal"/>
    <w:uiPriority w:val="61"/>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pPr>
        <w:spacing w:before="0" w:after="0" w:line="240" w:lineRule="auto"/>
      </w:pPr>
      <w:rPr>
        <w:b/>
        <w:bCs/>
        <w:color w:val="FFFFFF" w:themeColor="background1"/>
      </w:rPr>
      <w:tblPr/>
      <w:tcPr>
        <w:shd w:val="clear" w:color="auto" w:fill="C64E45" w:themeFill="accent2"/>
      </w:tcPr>
    </w:tblStylePr>
    <w:tblStylePr w:type="lastRow">
      <w:pPr>
        <w:spacing w:before="0" w:after="0" w:line="240" w:lineRule="auto"/>
      </w:pPr>
      <w:rPr>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tcBorders>
      </w:tcPr>
    </w:tblStylePr>
    <w:tblStylePr w:type="firstCol">
      <w:rPr>
        <w:b/>
        <w:bCs/>
      </w:rPr>
    </w:tblStylePr>
    <w:tblStylePr w:type="lastCol">
      <w:rPr>
        <w:b/>
        <w:bCs/>
      </w:r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style>
  <w:style w:type="table" w:styleId="LightList-Accent3">
    <w:name w:val="Light List Accent 3"/>
    <w:basedOn w:val="TableNormal"/>
    <w:uiPriority w:val="61"/>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pPr>
        <w:spacing w:before="0" w:after="0" w:line="240" w:lineRule="auto"/>
      </w:pPr>
      <w:rPr>
        <w:b/>
        <w:bCs/>
        <w:color w:val="FFFFFF" w:themeColor="background1"/>
      </w:rPr>
      <w:tblPr/>
      <w:tcPr>
        <w:shd w:val="clear" w:color="auto" w:fill="F1873D" w:themeFill="accent3"/>
      </w:tcPr>
    </w:tblStylePr>
    <w:tblStylePr w:type="lastRow">
      <w:pPr>
        <w:spacing w:before="0" w:after="0" w:line="240" w:lineRule="auto"/>
      </w:pPr>
      <w:rPr>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tcBorders>
      </w:tcPr>
    </w:tblStylePr>
    <w:tblStylePr w:type="firstCol">
      <w:rPr>
        <w:b/>
        <w:bCs/>
      </w:rPr>
    </w:tblStylePr>
    <w:tblStylePr w:type="lastCol">
      <w:rPr>
        <w:b/>
        <w:bCs/>
      </w:r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style>
  <w:style w:type="table" w:styleId="LightList-Accent4">
    <w:name w:val="Light List Accent 4"/>
    <w:basedOn w:val="TableNormal"/>
    <w:uiPriority w:val="61"/>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pPr>
        <w:spacing w:before="0" w:after="0" w:line="240" w:lineRule="auto"/>
      </w:pPr>
      <w:rPr>
        <w:b/>
        <w:bCs/>
        <w:color w:val="FFFFFF" w:themeColor="background1"/>
      </w:rPr>
      <w:tblPr/>
      <w:tcPr>
        <w:shd w:val="clear" w:color="auto" w:fill="FCC648" w:themeFill="accent4"/>
      </w:tcPr>
    </w:tblStylePr>
    <w:tblStylePr w:type="lastRow">
      <w:pPr>
        <w:spacing w:before="0" w:after="0" w:line="240" w:lineRule="auto"/>
      </w:pPr>
      <w:rPr>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tcBorders>
      </w:tcPr>
    </w:tblStylePr>
    <w:tblStylePr w:type="firstCol">
      <w:rPr>
        <w:b/>
        <w:bCs/>
      </w:rPr>
    </w:tblStylePr>
    <w:tblStylePr w:type="lastCol">
      <w:rPr>
        <w:b/>
        <w:bCs/>
      </w:r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style>
  <w:style w:type="table" w:styleId="LightList-Accent5">
    <w:name w:val="Light List Accent 5"/>
    <w:basedOn w:val="TableNormal"/>
    <w:uiPriority w:val="61"/>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pPr>
        <w:spacing w:before="0" w:after="0" w:line="240" w:lineRule="auto"/>
      </w:pPr>
      <w:rPr>
        <w:b/>
        <w:bCs/>
        <w:color w:val="FFFFFF" w:themeColor="background1"/>
      </w:rPr>
      <w:tblPr/>
      <w:tcPr>
        <w:shd w:val="clear" w:color="auto" w:fill="86BE57" w:themeFill="accent5"/>
      </w:tcPr>
    </w:tblStylePr>
    <w:tblStylePr w:type="lastRow">
      <w:pPr>
        <w:spacing w:before="0" w:after="0" w:line="240" w:lineRule="auto"/>
      </w:pPr>
      <w:rPr>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tcBorders>
      </w:tcPr>
    </w:tblStylePr>
    <w:tblStylePr w:type="firstCol">
      <w:rPr>
        <w:b/>
        <w:bCs/>
      </w:rPr>
    </w:tblStylePr>
    <w:tblStylePr w:type="lastCol">
      <w:rPr>
        <w:b/>
        <w:bCs/>
      </w:r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style>
  <w:style w:type="table" w:styleId="LightList-Accent6">
    <w:name w:val="Light List Accent 6"/>
    <w:basedOn w:val="TableNormal"/>
    <w:uiPriority w:val="61"/>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pPr>
        <w:spacing w:before="0" w:after="0" w:line="240" w:lineRule="auto"/>
      </w:pPr>
      <w:rPr>
        <w:b/>
        <w:bCs/>
        <w:color w:val="FFFFFF" w:themeColor="background1"/>
      </w:rPr>
      <w:tblPr/>
      <w:tcPr>
        <w:shd w:val="clear" w:color="auto" w:fill="788183" w:themeFill="accent6"/>
      </w:tcPr>
    </w:tblStylePr>
    <w:tblStylePr w:type="lastRow">
      <w:pPr>
        <w:spacing w:before="0" w:after="0" w:line="240" w:lineRule="auto"/>
      </w:pPr>
      <w:rPr>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tcBorders>
      </w:tcPr>
    </w:tblStylePr>
    <w:tblStylePr w:type="firstCol">
      <w:rPr>
        <w:b/>
        <w:bCs/>
      </w:rPr>
    </w:tblStylePr>
    <w:tblStylePr w:type="lastCol">
      <w:rPr>
        <w:b/>
        <w:bCs/>
      </w:r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style>
  <w:style w:type="table" w:styleId="LightShading">
    <w:name w:val="Light Shading"/>
    <w:basedOn w:val="TableNormal"/>
    <w:uiPriority w:val="60"/>
    <w:semiHidden/>
    <w:rsid w:val="00EE3EB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E3EB6"/>
    <w:pPr>
      <w:spacing w:line="240" w:lineRule="auto"/>
    </w:pPr>
    <w:rPr>
      <w:color w:val="69365E" w:themeColor="accent1" w:themeShade="BF"/>
    </w:rPr>
    <w:tblPr>
      <w:tblStyleRowBandSize w:val="1"/>
      <w:tblStyleColBandSize w:val="1"/>
      <w:tblBorders>
        <w:top w:val="single" w:sz="8" w:space="0" w:color="8D487F" w:themeColor="accent1"/>
        <w:bottom w:val="single" w:sz="8" w:space="0" w:color="8D487F" w:themeColor="accent1"/>
      </w:tblBorders>
    </w:tblPr>
    <w:tblStylePr w:type="fir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la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left w:val="nil"/>
          <w:right w:val="nil"/>
          <w:insideH w:val="nil"/>
          <w:insideV w:val="nil"/>
        </w:tcBorders>
        <w:shd w:val="clear" w:color="auto" w:fill="E6CEE1" w:themeFill="accent1" w:themeFillTint="3F"/>
      </w:tcPr>
    </w:tblStylePr>
  </w:style>
  <w:style w:type="table" w:styleId="LightShading-Accent2">
    <w:name w:val="Light Shading Accent 2"/>
    <w:basedOn w:val="TableNormal"/>
    <w:uiPriority w:val="60"/>
    <w:semiHidden/>
    <w:rsid w:val="00EE3EB6"/>
    <w:pPr>
      <w:spacing w:line="240" w:lineRule="auto"/>
    </w:pPr>
    <w:rPr>
      <w:color w:val="98362F" w:themeColor="accent2" w:themeShade="BF"/>
    </w:rPr>
    <w:tblPr>
      <w:tblStyleRowBandSize w:val="1"/>
      <w:tblStyleColBandSize w:val="1"/>
      <w:tblBorders>
        <w:top w:val="single" w:sz="8" w:space="0" w:color="C64E45" w:themeColor="accent2"/>
        <w:bottom w:val="single" w:sz="8" w:space="0" w:color="C64E45" w:themeColor="accent2"/>
      </w:tblBorders>
    </w:tblPr>
    <w:tblStylePr w:type="fir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la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left w:val="nil"/>
          <w:right w:val="nil"/>
          <w:insideH w:val="nil"/>
          <w:insideV w:val="nil"/>
        </w:tcBorders>
        <w:shd w:val="clear" w:color="auto" w:fill="F1D2D0" w:themeFill="accent2" w:themeFillTint="3F"/>
      </w:tcPr>
    </w:tblStylePr>
  </w:style>
  <w:style w:type="table" w:styleId="LightShading-Accent3">
    <w:name w:val="Light Shading Accent 3"/>
    <w:basedOn w:val="TableNormal"/>
    <w:uiPriority w:val="60"/>
    <w:semiHidden/>
    <w:rsid w:val="00EE3EB6"/>
    <w:pPr>
      <w:spacing w:line="240" w:lineRule="auto"/>
    </w:pPr>
    <w:rPr>
      <w:color w:val="D25E0F" w:themeColor="accent3" w:themeShade="BF"/>
    </w:rPr>
    <w:tblPr>
      <w:tblStyleRowBandSize w:val="1"/>
      <w:tblStyleColBandSize w:val="1"/>
      <w:tblBorders>
        <w:top w:val="single" w:sz="8" w:space="0" w:color="F1873D" w:themeColor="accent3"/>
        <w:bottom w:val="single" w:sz="8" w:space="0" w:color="F1873D" w:themeColor="accent3"/>
      </w:tblBorders>
    </w:tblPr>
    <w:tblStylePr w:type="fir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la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left w:val="nil"/>
          <w:right w:val="nil"/>
          <w:insideH w:val="nil"/>
          <w:insideV w:val="nil"/>
        </w:tcBorders>
        <w:shd w:val="clear" w:color="auto" w:fill="FBE1CE" w:themeFill="accent3" w:themeFillTint="3F"/>
      </w:tcPr>
    </w:tblStylePr>
  </w:style>
  <w:style w:type="table" w:styleId="LightShading-Accent4">
    <w:name w:val="Light Shading Accent 4"/>
    <w:basedOn w:val="TableNormal"/>
    <w:uiPriority w:val="60"/>
    <w:semiHidden/>
    <w:rsid w:val="00EE3EB6"/>
    <w:pPr>
      <w:spacing w:line="240" w:lineRule="auto"/>
    </w:pPr>
    <w:rPr>
      <w:color w:val="EEA704" w:themeColor="accent4" w:themeShade="BF"/>
    </w:rPr>
    <w:tblPr>
      <w:tblStyleRowBandSize w:val="1"/>
      <w:tblStyleColBandSize w:val="1"/>
      <w:tblBorders>
        <w:top w:val="single" w:sz="8" w:space="0" w:color="FCC648" w:themeColor="accent4"/>
        <w:bottom w:val="single" w:sz="8" w:space="0" w:color="FCC648" w:themeColor="accent4"/>
      </w:tblBorders>
    </w:tblPr>
    <w:tblStylePr w:type="fir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la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left w:val="nil"/>
          <w:right w:val="nil"/>
          <w:insideH w:val="nil"/>
          <w:insideV w:val="nil"/>
        </w:tcBorders>
        <w:shd w:val="clear" w:color="auto" w:fill="FEF0D1" w:themeFill="accent4" w:themeFillTint="3F"/>
      </w:tcPr>
    </w:tblStylePr>
  </w:style>
  <w:style w:type="table" w:styleId="LightShading-Accent5">
    <w:name w:val="Light Shading Accent 5"/>
    <w:basedOn w:val="TableNormal"/>
    <w:uiPriority w:val="60"/>
    <w:semiHidden/>
    <w:rsid w:val="00EE3EB6"/>
    <w:pPr>
      <w:spacing w:line="240" w:lineRule="auto"/>
    </w:pPr>
    <w:rPr>
      <w:color w:val="63953A" w:themeColor="accent5" w:themeShade="BF"/>
    </w:rPr>
    <w:tblPr>
      <w:tblStyleRowBandSize w:val="1"/>
      <w:tblStyleColBandSize w:val="1"/>
      <w:tblBorders>
        <w:top w:val="single" w:sz="8" w:space="0" w:color="86BE57" w:themeColor="accent5"/>
        <w:bottom w:val="single" w:sz="8" w:space="0" w:color="86BE57" w:themeColor="accent5"/>
      </w:tblBorders>
    </w:tblPr>
    <w:tblStylePr w:type="fir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la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left w:val="nil"/>
          <w:right w:val="nil"/>
          <w:insideH w:val="nil"/>
          <w:insideV w:val="nil"/>
        </w:tcBorders>
        <w:shd w:val="clear" w:color="auto" w:fill="E1EFD5" w:themeFill="accent5" w:themeFillTint="3F"/>
      </w:tcPr>
    </w:tblStylePr>
  </w:style>
  <w:style w:type="table" w:styleId="LightShading-Accent6">
    <w:name w:val="Light Shading Accent 6"/>
    <w:basedOn w:val="TableNormal"/>
    <w:uiPriority w:val="60"/>
    <w:semiHidden/>
    <w:rsid w:val="00EE3EB6"/>
    <w:pPr>
      <w:spacing w:line="240" w:lineRule="auto"/>
    </w:pPr>
    <w:rPr>
      <w:color w:val="5A6062" w:themeColor="accent6" w:themeShade="BF"/>
    </w:rPr>
    <w:tblPr>
      <w:tblStyleRowBandSize w:val="1"/>
      <w:tblStyleColBandSize w:val="1"/>
      <w:tblBorders>
        <w:top w:val="single" w:sz="8" w:space="0" w:color="788183" w:themeColor="accent6"/>
        <w:bottom w:val="single" w:sz="8" w:space="0" w:color="788183" w:themeColor="accent6"/>
      </w:tblBorders>
    </w:tblPr>
    <w:tblStylePr w:type="fir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la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left w:val="nil"/>
          <w:right w:val="nil"/>
          <w:insideH w:val="nil"/>
          <w:insideV w:val="nil"/>
        </w:tcBorders>
        <w:shd w:val="clear" w:color="auto" w:fill="DDDFE0" w:themeFill="accent6" w:themeFillTint="3F"/>
      </w:tcPr>
    </w:tblStylePr>
  </w:style>
  <w:style w:type="table" w:customStyle="1" w:styleId="ListTable1Light1">
    <w:name w:val="List Table 1 Light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1">
    <w:name w:val="List Table 1 Light - Accent 2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1">
    <w:name w:val="List Table 1 Light - Accent 3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1">
    <w:name w:val="List Table 1 Light - Accent 4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1">
    <w:name w:val="List Table 1 Light - Accent 5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1">
    <w:name w:val="List Table 1 Light - Accent 6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1">
    <w:name w:val="List Table 21"/>
    <w:basedOn w:val="TableNormal"/>
    <w:uiPriority w:val="47"/>
    <w:semiHidden/>
    <w:rsid w:val="00EE3EB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EE3EB6"/>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1">
    <w:name w:val="List Table 2 - Accent 21"/>
    <w:basedOn w:val="TableNormal"/>
    <w:uiPriority w:val="47"/>
    <w:semiHidden/>
    <w:rsid w:val="00EE3EB6"/>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1">
    <w:name w:val="List Table 2 - Accent 31"/>
    <w:basedOn w:val="TableNormal"/>
    <w:uiPriority w:val="47"/>
    <w:semiHidden/>
    <w:rsid w:val="00EE3EB6"/>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1">
    <w:name w:val="List Table 2 - Accent 41"/>
    <w:basedOn w:val="TableNormal"/>
    <w:uiPriority w:val="47"/>
    <w:semiHidden/>
    <w:rsid w:val="00EE3EB6"/>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1">
    <w:name w:val="List Table 2 - Accent 51"/>
    <w:basedOn w:val="TableNormal"/>
    <w:uiPriority w:val="47"/>
    <w:semiHidden/>
    <w:rsid w:val="00EE3EB6"/>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1">
    <w:name w:val="List Table 2 - Accent 61"/>
    <w:basedOn w:val="TableNormal"/>
    <w:uiPriority w:val="47"/>
    <w:semiHidden/>
    <w:rsid w:val="00EE3EB6"/>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1">
    <w:name w:val="List Table 31"/>
    <w:basedOn w:val="TableNormal"/>
    <w:uiPriority w:val="48"/>
    <w:semiHidden/>
    <w:rsid w:val="00EE3EB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EE3EB6"/>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1">
    <w:name w:val="List Table 3 - Accent 21"/>
    <w:basedOn w:val="TableNormal"/>
    <w:uiPriority w:val="48"/>
    <w:semiHidden/>
    <w:rsid w:val="00EE3EB6"/>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1">
    <w:name w:val="List Table 3 - Accent 31"/>
    <w:basedOn w:val="TableNormal"/>
    <w:uiPriority w:val="48"/>
    <w:semiHidden/>
    <w:rsid w:val="00EE3EB6"/>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1">
    <w:name w:val="List Table 3 - Accent 41"/>
    <w:basedOn w:val="TableNormal"/>
    <w:uiPriority w:val="48"/>
    <w:semiHidden/>
    <w:rsid w:val="00EE3EB6"/>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1">
    <w:name w:val="List Table 3 - Accent 51"/>
    <w:basedOn w:val="TableNormal"/>
    <w:uiPriority w:val="48"/>
    <w:semiHidden/>
    <w:rsid w:val="00EE3EB6"/>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1">
    <w:name w:val="List Table 3 - Accent 61"/>
    <w:basedOn w:val="TableNormal"/>
    <w:uiPriority w:val="48"/>
    <w:semiHidden/>
    <w:rsid w:val="00EE3EB6"/>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1">
    <w:name w:val="List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1">
    <w:name w:val="List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1">
    <w:name w:val="List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1">
    <w:name w:val="List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1">
    <w:name w:val="List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1">
    <w:name w:val="List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1">
    <w:name w:val="List Table 5 Dark1"/>
    <w:basedOn w:val="TableNormal"/>
    <w:uiPriority w:val="50"/>
    <w:semiHidden/>
    <w:rsid w:val="00EE3EB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EE3EB6"/>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EE3EB6"/>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EE3EB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1">
    <w:name w:val="List Table 6 Colo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1">
    <w:name w:val="List Table 6 Colo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1">
    <w:name w:val="List Table 6 Colo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1">
    <w:name w:val="List Table 6 Colo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1">
    <w:name w:val="List Table 6 Colo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1">
    <w:name w:val="List Table 7 Colorful1"/>
    <w:basedOn w:val="TableNormal"/>
    <w:uiPriority w:val="52"/>
    <w:semiHidden/>
    <w:rsid w:val="00EE3EB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EE3EB6"/>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EE3EB6"/>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EE3EB6"/>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EE3EB6"/>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EE3EB6"/>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EE3EB6"/>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insideV w:val="single" w:sz="8" w:space="0" w:color="B36BA5" w:themeColor="accent1" w:themeTint="BF"/>
      </w:tblBorders>
    </w:tblPr>
    <w:tcPr>
      <w:shd w:val="clear" w:color="auto" w:fill="E6CEE1" w:themeFill="accent1" w:themeFillTint="3F"/>
    </w:tcPr>
    <w:tblStylePr w:type="firstRow">
      <w:rPr>
        <w:b/>
        <w:bCs/>
      </w:rPr>
    </w:tblStylePr>
    <w:tblStylePr w:type="lastRow">
      <w:rPr>
        <w:b/>
        <w:bCs/>
      </w:rPr>
      <w:tblPr/>
      <w:tcPr>
        <w:tcBorders>
          <w:top w:val="single" w:sz="18" w:space="0" w:color="B36BA5" w:themeColor="accent1" w:themeTint="BF"/>
        </w:tcBorders>
      </w:tcPr>
    </w:tblStylePr>
    <w:tblStylePr w:type="firstCol">
      <w:rPr>
        <w:b/>
        <w:bCs/>
      </w:rPr>
    </w:tblStylePr>
    <w:tblStylePr w:type="lastCol">
      <w:rPr>
        <w:b/>
        <w:bCs/>
      </w:r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MediumGrid1-Accent2">
    <w:name w:val="Medium Grid 1 Accent 2"/>
    <w:basedOn w:val="TableNormal"/>
    <w:uiPriority w:val="67"/>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insideV w:val="single" w:sz="8" w:space="0" w:color="D47973" w:themeColor="accent2" w:themeTint="BF"/>
      </w:tblBorders>
    </w:tblPr>
    <w:tcPr>
      <w:shd w:val="clear" w:color="auto" w:fill="F1D2D0" w:themeFill="accent2" w:themeFillTint="3F"/>
    </w:tcPr>
    <w:tblStylePr w:type="firstRow">
      <w:rPr>
        <w:b/>
        <w:bCs/>
      </w:rPr>
    </w:tblStylePr>
    <w:tblStylePr w:type="lastRow">
      <w:rPr>
        <w:b/>
        <w:bCs/>
      </w:rPr>
      <w:tblPr/>
      <w:tcPr>
        <w:tcBorders>
          <w:top w:val="single" w:sz="18" w:space="0" w:color="D47973" w:themeColor="accent2" w:themeTint="BF"/>
        </w:tcBorders>
      </w:tcPr>
    </w:tblStylePr>
    <w:tblStylePr w:type="firstCol">
      <w:rPr>
        <w:b/>
        <w:bCs/>
      </w:rPr>
    </w:tblStylePr>
    <w:tblStylePr w:type="lastCol">
      <w:rPr>
        <w:b/>
        <w:bCs/>
      </w:r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MediumGrid1-Accent3">
    <w:name w:val="Medium Grid 1 Accent 3"/>
    <w:basedOn w:val="TableNormal"/>
    <w:uiPriority w:val="67"/>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insideV w:val="single" w:sz="8" w:space="0" w:color="F4A46D" w:themeColor="accent3" w:themeTint="BF"/>
      </w:tblBorders>
    </w:tblPr>
    <w:tcPr>
      <w:shd w:val="clear" w:color="auto" w:fill="FBE1CE" w:themeFill="accent3" w:themeFillTint="3F"/>
    </w:tcPr>
    <w:tblStylePr w:type="firstRow">
      <w:rPr>
        <w:b/>
        <w:bCs/>
      </w:rPr>
    </w:tblStylePr>
    <w:tblStylePr w:type="lastRow">
      <w:rPr>
        <w:b/>
        <w:bCs/>
      </w:rPr>
      <w:tblPr/>
      <w:tcPr>
        <w:tcBorders>
          <w:top w:val="single" w:sz="18" w:space="0" w:color="F4A46D" w:themeColor="accent3" w:themeTint="BF"/>
        </w:tcBorders>
      </w:tcPr>
    </w:tblStylePr>
    <w:tblStylePr w:type="firstCol">
      <w:rPr>
        <w:b/>
        <w:bCs/>
      </w:rPr>
    </w:tblStylePr>
    <w:tblStylePr w:type="lastCol">
      <w:rPr>
        <w:b/>
        <w:bCs/>
      </w:r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MediumGrid1-Accent4">
    <w:name w:val="Medium Grid 1 Accent 4"/>
    <w:basedOn w:val="TableNormal"/>
    <w:uiPriority w:val="67"/>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insideV w:val="single" w:sz="8" w:space="0" w:color="FCD475" w:themeColor="accent4" w:themeTint="BF"/>
      </w:tblBorders>
    </w:tblPr>
    <w:tcPr>
      <w:shd w:val="clear" w:color="auto" w:fill="FEF0D1" w:themeFill="accent4" w:themeFillTint="3F"/>
    </w:tcPr>
    <w:tblStylePr w:type="firstRow">
      <w:rPr>
        <w:b/>
        <w:bCs/>
      </w:rPr>
    </w:tblStylePr>
    <w:tblStylePr w:type="lastRow">
      <w:rPr>
        <w:b/>
        <w:bCs/>
      </w:rPr>
      <w:tblPr/>
      <w:tcPr>
        <w:tcBorders>
          <w:top w:val="single" w:sz="18" w:space="0" w:color="FCD475" w:themeColor="accent4" w:themeTint="BF"/>
        </w:tcBorders>
      </w:tcPr>
    </w:tblStylePr>
    <w:tblStylePr w:type="firstCol">
      <w:rPr>
        <w:b/>
        <w:bCs/>
      </w:rPr>
    </w:tblStylePr>
    <w:tblStylePr w:type="lastCol">
      <w:rPr>
        <w:b/>
        <w:bCs/>
      </w:r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MediumGrid1-Accent5">
    <w:name w:val="Medium Grid 1 Accent 5"/>
    <w:basedOn w:val="TableNormal"/>
    <w:uiPriority w:val="67"/>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insideV w:val="single" w:sz="8" w:space="0" w:color="A4CE81" w:themeColor="accent5" w:themeTint="BF"/>
      </w:tblBorders>
    </w:tblPr>
    <w:tcPr>
      <w:shd w:val="clear" w:color="auto" w:fill="E1EFD5" w:themeFill="accent5" w:themeFillTint="3F"/>
    </w:tcPr>
    <w:tblStylePr w:type="firstRow">
      <w:rPr>
        <w:b/>
        <w:bCs/>
      </w:rPr>
    </w:tblStylePr>
    <w:tblStylePr w:type="lastRow">
      <w:rPr>
        <w:b/>
        <w:bCs/>
      </w:rPr>
      <w:tblPr/>
      <w:tcPr>
        <w:tcBorders>
          <w:top w:val="single" w:sz="18" w:space="0" w:color="A4CE81" w:themeColor="accent5" w:themeTint="BF"/>
        </w:tcBorders>
      </w:tcPr>
    </w:tblStylePr>
    <w:tblStylePr w:type="firstCol">
      <w:rPr>
        <w:b/>
        <w:bCs/>
      </w:rPr>
    </w:tblStylePr>
    <w:tblStylePr w:type="lastCol">
      <w:rPr>
        <w:b/>
        <w:bCs/>
      </w:r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MediumGrid1-Accent6">
    <w:name w:val="Medium Grid 1 Accent 6"/>
    <w:basedOn w:val="TableNormal"/>
    <w:uiPriority w:val="67"/>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insideV w:val="single" w:sz="8" w:space="0" w:color="99A0A2" w:themeColor="accent6" w:themeTint="BF"/>
      </w:tblBorders>
    </w:tblPr>
    <w:tcPr>
      <w:shd w:val="clear" w:color="auto" w:fill="DDDFE0" w:themeFill="accent6" w:themeFillTint="3F"/>
    </w:tcPr>
    <w:tblStylePr w:type="firstRow">
      <w:rPr>
        <w:b/>
        <w:bCs/>
      </w:rPr>
    </w:tblStylePr>
    <w:tblStylePr w:type="lastRow">
      <w:rPr>
        <w:b/>
        <w:bCs/>
      </w:rPr>
      <w:tblPr/>
      <w:tcPr>
        <w:tcBorders>
          <w:top w:val="single" w:sz="18" w:space="0" w:color="99A0A2" w:themeColor="accent6" w:themeTint="BF"/>
        </w:tcBorders>
      </w:tcPr>
    </w:tblStylePr>
    <w:tblStylePr w:type="firstCol">
      <w:rPr>
        <w:b/>
        <w:bCs/>
      </w:rPr>
    </w:tblStylePr>
    <w:tblStylePr w:type="lastCol">
      <w:rPr>
        <w:b/>
        <w:bCs/>
      </w:r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MediumGrid2">
    <w:name w:val="Medium Grid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cPr>
      <w:shd w:val="clear" w:color="auto" w:fill="E6CEE1" w:themeFill="accent1" w:themeFillTint="3F"/>
    </w:tcPr>
    <w:tblStylePr w:type="firstRow">
      <w:rPr>
        <w:b/>
        <w:bCs/>
        <w:color w:val="000000" w:themeColor="text1"/>
      </w:rPr>
      <w:tblPr/>
      <w:tcPr>
        <w:shd w:val="clear" w:color="auto" w:fill="F5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7E6" w:themeFill="accent1" w:themeFillTint="33"/>
      </w:tcPr>
    </w:tblStylePr>
    <w:tblStylePr w:type="band1Vert">
      <w:tblPr/>
      <w:tcPr>
        <w:shd w:val="clear" w:color="auto" w:fill="CD9DC3" w:themeFill="accent1" w:themeFillTint="7F"/>
      </w:tcPr>
    </w:tblStylePr>
    <w:tblStylePr w:type="band1Horz">
      <w:tblPr/>
      <w:tcPr>
        <w:tcBorders>
          <w:insideH w:val="single" w:sz="6" w:space="0" w:color="8D487F" w:themeColor="accent1"/>
          <w:insideV w:val="single" w:sz="6" w:space="0" w:color="8D487F" w:themeColor="accent1"/>
        </w:tcBorders>
        <w:shd w:val="clear" w:color="auto" w:fill="CD9D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cPr>
      <w:shd w:val="clear" w:color="auto" w:fill="F1D2D0" w:themeFill="accent2" w:themeFillTint="3F"/>
    </w:tcPr>
    <w:tblStylePr w:type="firstRow">
      <w:rPr>
        <w:b/>
        <w:bCs/>
        <w:color w:val="000000" w:themeColor="text1"/>
      </w:rPr>
      <w:tblPr/>
      <w:tcPr>
        <w:shd w:val="clear" w:color="auto" w:fill="F9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D9" w:themeFill="accent2" w:themeFillTint="33"/>
      </w:tcPr>
    </w:tblStylePr>
    <w:tblStylePr w:type="band1Vert">
      <w:tblPr/>
      <w:tcPr>
        <w:shd w:val="clear" w:color="auto" w:fill="E2A6A2" w:themeFill="accent2" w:themeFillTint="7F"/>
      </w:tcPr>
    </w:tblStylePr>
    <w:tblStylePr w:type="band1Horz">
      <w:tblPr/>
      <w:tcPr>
        <w:tcBorders>
          <w:insideH w:val="single" w:sz="6" w:space="0" w:color="C64E45" w:themeColor="accent2"/>
          <w:insideV w:val="single" w:sz="6" w:space="0" w:color="C64E45" w:themeColor="accent2"/>
        </w:tcBorders>
        <w:shd w:val="clear" w:color="auto" w:fill="E2A6A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cPr>
      <w:shd w:val="clear" w:color="auto" w:fill="FBE1CE" w:themeFill="accent3" w:themeFillTint="3F"/>
    </w:tcPr>
    <w:tblStylePr w:type="firstRow">
      <w:rPr>
        <w:b/>
        <w:bCs/>
        <w:color w:val="000000" w:themeColor="text1"/>
      </w:rPr>
      <w:tblPr/>
      <w:tcPr>
        <w:shd w:val="clear" w:color="auto" w:fill="FD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8" w:themeFill="accent3" w:themeFillTint="33"/>
      </w:tcPr>
    </w:tblStylePr>
    <w:tblStylePr w:type="band1Vert">
      <w:tblPr/>
      <w:tcPr>
        <w:shd w:val="clear" w:color="auto" w:fill="F8C29E" w:themeFill="accent3" w:themeFillTint="7F"/>
      </w:tcPr>
    </w:tblStylePr>
    <w:tblStylePr w:type="band1Horz">
      <w:tblPr/>
      <w:tcPr>
        <w:tcBorders>
          <w:insideH w:val="single" w:sz="6" w:space="0" w:color="F1873D" w:themeColor="accent3"/>
          <w:insideV w:val="single" w:sz="6" w:space="0" w:color="F1873D" w:themeColor="accent3"/>
        </w:tcBorders>
        <w:shd w:val="clear" w:color="auto" w:fill="F8C2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cPr>
      <w:shd w:val="clear" w:color="auto" w:fill="FEF0D1" w:themeFill="accent4" w:themeFillTint="3F"/>
    </w:tcPr>
    <w:tblStylePr w:type="firstRow">
      <w:rPr>
        <w:b/>
        <w:bCs/>
        <w:color w:val="000000" w:themeColor="text1"/>
      </w:rPr>
      <w:tblPr/>
      <w:tcPr>
        <w:shd w:val="clear" w:color="auto" w:fill="FE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A" w:themeFill="accent4" w:themeFillTint="33"/>
      </w:tcPr>
    </w:tblStylePr>
    <w:tblStylePr w:type="band1Vert">
      <w:tblPr/>
      <w:tcPr>
        <w:shd w:val="clear" w:color="auto" w:fill="FDE2A3" w:themeFill="accent4" w:themeFillTint="7F"/>
      </w:tcPr>
    </w:tblStylePr>
    <w:tblStylePr w:type="band1Horz">
      <w:tblPr/>
      <w:tcPr>
        <w:tcBorders>
          <w:insideH w:val="single" w:sz="6" w:space="0" w:color="FCC648" w:themeColor="accent4"/>
          <w:insideV w:val="single" w:sz="6" w:space="0" w:color="FCC648" w:themeColor="accent4"/>
        </w:tcBorders>
        <w:shd w:val="clear" w:color="auto" w:fill="FDE2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cPr>
      <w:shd w:val="clear" w:color="auto" w:fill="E1EFD5" w:themeFill="accent5" w:themeFillTint="3F"/>
    </w:tcPr>
    <w:tblStylePr w:type="firstRow">
      <w:rPr>
        <w:b/>
        <w:bCs/>
        <w:color w:val="000000" w:themeColor="text1"/>
      </w:rPr>
      <w:tblPr/>
      <w:tcPr>
        <w:shd w:val="clear" w:color="auto" w:fill="F3F8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2DD" w:themeFill="accent5" w:themeFillTint="33"/>
      </w:tcPr>
    </w:tblStylePr>
    <w:tblStylePr w:type="band1Vert">
      <w:tblPr/>
      <w:tcPr>
        <w:shd w:val="clear" w:color="auto" w:fill="C2DEAB" w:themeFill="accent5" w:themeFillTint="7F"/>
      </w:tcPr>
    </w:tblStylePr>
    <w:tblStylePr w:type="band1Horz">
      <w:tblPr/>
      <w:tcPr>
        <w:tcBorders>
          <w:insideH w:val="single" w:sz="6" w:space="0" w:color="86BE57" w:themeColor="accent5"/>
          <w:insideV w:val="single" w:sz="6" w:space="0" w:color="86BE57" w:themeColor="accent5"/>
        </w:tcBorders>
        <w:shd w:val="clear" w:color="auto" w:fill="C2DEA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cPr>
      <w:shd w:val="clear" w:color="auto" w:fill="DDDF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5E6" w:themeFill="accent6" w:themeFillTint="33"/>
      </w:tcPr>
    </w:tblStylePr>
    <w:tblStylePr w:type="band1Vert">
      <w:tblPr/>
      <w:tcPr>
        <w:shd w:val="clear" w:color="auto" w:fill="BBC0C1" w:themeFill="accent6" w:themeFillTint="7F"/>
      </w:tcPr>
    </w:tblStylePr>
    <w:tblStylePr w:type="band1Horz">
      <w:tblPr/>
      <w:tcPr>
        <w:tcBorders>
          <w:insideH w:val="single" w:sz="6" w:space="0" w:color="788183" w:themeColor="accent6"/>
          <w:insideV w:val="single" w:sz="6" w:space="0" w:color="788183" w:themeColor="accent6"/>
        </w:tcBorders>
        <w:shd w:val="clear" w:color="auto" w:fill="BBC0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CE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48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48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9D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9DC3" w:themeFill="accent1" w:themeFillTint="7F"/>
      </w:tcPr>
    </w:tblStylePr>
  </w:style>
  <w:style w:type="table" w:styleId="MediumGrid3-Accent2">
    <w:name w:val="Medium Grid 3 Accent 2"/>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4E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4E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6A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6A2" w:themeFill="accent2" w:themeFillTint="7F"/>
      </w:tcPr>
    </w:tblStylePr>
  </w:style>
  <w:style w:type="table" w:styleId="MediumGrid3-Accent3">
    <w:name w:val="Medium Grid 3 Accent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873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873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2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29E" w:themeFill="accent3" w:themeFillTint="7F"/>
      </w:tcPr>
    </w:tblStylePr>
  </w:style>
  <w:style w:type="table" w:styleId="MediumGrid3-Accent4">
    <w:name w:val="Medium Grid 3 Accent 4"/>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C6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C6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2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2A3" w:themeFill="accent4" w:themeFillTint="7F"/>
      </w:tcPr>
    </w:tblStylePr>
  </w:style>
  <w:style w:type="table" w:styleId="MediumGrid3-Accent5">
    <w:name w:val="Medium Grid 3 Accent 5"/>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E5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E5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E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EAB" w:themeFill="accent5" w:themeFillTint="7F"/>
      </w:tcPr>
    </w:tblStylePr>
  </w:style>
  <w:style w:type="table" w:styleId="MediumGrid3-Accent6">
    <w:name w:val="Medium Grid 3 Accent 6"/>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F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C0C1" w:themeFill="accent6" w:themeFillTint="7F"/>
      </w:tcPr>
    </w:tblStylePr>
  </w:style>
  <w:style w:type="table" w:styleId="MediumList1">
    <w:name w:val="Medium List 1"/>
    <w:basedOn w:val="TableNormal"/>
    <w:uiPriority w:val="65"/>
    <w:semiHidden/>
    <w:rsid w:val="00EE3EB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78B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E3EB6"/>
    <w:pPr>
      <w:spacing w:line="240" w:lineRule="auto"/>
    </w:pPr>
    <w:rPr>
      <w:color w:val="000000" w:themeColor="text1"/>
    </w:rPr>
    <w:tblPr>
      <w:tblStyleRowBandSize w:val="1"/>
      <w:tblStyleColBandSize w:val="1"/>
      <w:tblBorders>
        <w:top w:val="single" w:sz="8" w:space="0" w:color="8D487F" w:themeColor="accent1"/>
        <w:bottom w:val="single" w:sz="8" w:space="0" w:color="8D487F" w:themeColor="accent1"/>
      </w:tblBorders>
    </w:tblPr>
    <w:tblStylePr w:type="firstRow">
      <w:rPr>
        <w:rFonts w:asciiTheme="majorHAnsi" w:eastAsiaTheme="majorEastAsia" w:hAnsiTheme="majorHAnsi" w:cstheme="majorBidi"/>
      </w:rPr>
      <w:tblPr/>
      <w:tcPr>
        <w:tcBorders>
          <w:top w:val="nil"/>
          <w:bottom w:val="single" w:sz="8" w:space="0" w:color="8D487F" w:themeColor="accent1"/>
        </w:tcBorders>
      </w:tcPr>
    </w:tblStylePr>
    <w:tblStylePr w:type="lastRow">
      <w:rPr>
        <w:b/>
        <w:bCs/>
        <w:color w:val="9778B4" w:themeColor="text2"/>
      </w:rPr>
      <w:tblPr/>
      <w:tcPr>
        <w:tcBorders>
          <w:top w:val="single" w:sz="8" w:space="0" w:color="8D487F" w:themeColor="accent1"/>
          <w:bottom w:val="single" w:sz="8" w:space="0" w:color="8D487F" w:themeColor="accent1"/>
        </w:tcBorders>
      </w:tcPr>
    </w:tblStylePr>
    <w:tblStylePr w:type="firstCol">
      <w:rPr>
        <w:b/>
        <w:bCs/>
      </w:rPr>
    </w:tblStylePr>
    <w:tblStylePr w:type="lastCol">
      <w:rPr>
        <w:b/>
        <w:bCs/>
      </w:rPr>
      <w:tblPr/>
      <w:tcPr>
        <w:tcBorders>
          <w:top w:val="single" w:sz="8" w:space="0" w:color="8D487F" w:themeColor="accent1"/>
          <w:bottom w:val="single" w:sz="8" w:space="0" w:color="8D487F" w:themeColor="accent1"/>
        </w:tcBorders>
      </w:tcPr>
    </w:tblStylePr>
    <w:tblStylePr w:type="band1Vert">
      <w:tblPr/>
      <w:tcPr>
        <w:shd w:val="clear" w:color="auto" w:fill="E6CEE1" w:themeFill="accent1" w:themeFillTint="3F"/>
      </w:tcPr>
    </w:tblStylePr>
    <w:tblStylePr w:type="band1Horz">
      <w:tblPr/>
      <w:tcPr>
        <w:shd w:val="clear" w:color="auto" w:fill="E6CEE1" w:themeFill="accent1" w:themeFillTint="3F"/>
      </w:tcPr>
    </w:tblStylePr>
  </w:style>
  <w:style w:type="table" w:styleId="MediumList1-Accent2">
    <w:name w:val="Medium List 1 Accent 2"/>
    <w:basedOn w:val="TableNormal"/>
    <w:uiPriority w:val="65"/>
    <w:semiHidden/>
    <w:rsid w:val="00EE3EB6"/>
    <w:pPr>
      <w:spacing w:line="240" w:lineRule="auto"/>
    </w:pPr>
    <w:rPr>
      <w:color w:val="000000" w:themeColor="text1"/>
    </w:rPr>
    <w:tblPr>
      <w:tblStyleRowBandSize w:val="1"/>
      <w:tblStyleColBandSize w:val="1"/>
      <w:tblBorders>
        <w:top w:val="single" w:sz="8" w:space="0" w:color="C64E45" w:themeColor="accent2"/>
        <w:bottom w:val="single" w:sz="8" w:space="0" w:color="C64E45" w:themeColor="accent2"/>
      </w:tblBorders>
    </w:tblPr>
    <w:tblStylePr w:type="firstRow">
      <w:rPr>
        <w:rFonts w:asciiTheme="majorHAnsi" w:eastAsiaTheme="majorEastAsia" w:hAnsiTheme="majorHAnsi" w:cstheme="majorBidi"/>
      </w:rPr>
      <w:tblPr/>
      <w:tcPr>
        <w:tcBorders>
          <w:top w:val="nil"/>
          <w:bottom w:val="single" w:sz="8" w:space="0" w:color="C64E45" w:themeColor="accent2"/>
        </w:tcBorders>
      </w:tcPr>
    </w:tblStylePr>
    <w:tblStylePr w:type="lastRow">
      <w:rPr>
        <w:b/>
        <w:bCs/>
        <w:color w:val="9778B4" w:themeColor="text2"/>
      </w:rPr>
      <w:tblPr/>
      <w:tcPr>
        <w:tcBorders>
          <w:top w:val="single" w:sz="8" w:space="0" w:color="C64E45" w:themeColor="accent2"/>
          <w:bottom w:val="single" w:sz="8" w:space="0" w:color="C64E45" w:themeColor="accent2"/>
        </w:tcBorders>
      </w:tcPr>
    </w:tblStylePr>
    <w:tblStylePr w:type="firstCol">
      <w:rPr>
        <w:b/>
        <w:bCs/>
      </w:rPr>
    </w:tblStylePr>
    <w:tblStylePr w:type="lastCol">
      <w:rPr>
        <w:b/>
        <w:bCs/>
      </w:rPr>
      <w:tblPr/>
      <w:tcPr>
        <w:tcBorders>
          <w:top w:val="single" w:sz="8" w:space="0" w:color="C64E45" w:themeColor="accent2"/>
          <w:bottom w:val="single" w:sz="8" w:space="0" w:color="C64E45" w:themeColor="accent2"/>
        </w:tcBorders>
      </w:tcPr>
    </w:tblStylePr>
    <w:tblStylePr w:type="band1Vert">
      <w:tblPr/>
      <w:tcPr>
        <w:shd w:val="clear" w:color="auto" w:fill="F1D2D0" w:themeFill="accent2" w:themeFillTint="3F"/>
      </w:tcPr>
    </w:tblStylePr>
    <w:tblStylePr w:type="band1Horz">
      <w:tblPr/>
      <w:tcPr>
        <w:shd w:val="clear" w:color="auto" w:fill="F1D2D0" w:themeFill="accent2" w:themeFillTint="3F"/>
      </w:tcPr>
    </w:tblStylePr>
  </w:style>
  <w:style w:type="table" w:styleId="MediumList1-Accent3">
    <w:name w:val="Medium List 1 Accent 3"/>
    <w:basedOn w:val="TableNormal"/>
    <w:uiPriority w:val="65"/>
    <w:semiHidden/>
    <w:rsid w:val="00EE3EB6"/>
    <w:pPr>
      <w:spacing w:line="240" w:lineRule="auto"/>
    </w:pPr>
    <w:rPr>
      <w:color w:val="000000" w:themeColor="text1"/>
    </w:rPr>
    <w:tblPr>
      <w:tblStyleRowBandSize w:val="1"/>
      <w:tblStyleColBandSize w:val="1"/>
      <w:tblBorders>
        <w:top w:val="single" w:sz="8" w:space="0" w:color="F1873D" w:themeColor="accent3"/>
        <w:bottom w:val="single" w:sz="8" w:space="0" w:color="F1873D" w:themeColor="accent3"/>
      </w:tblBorders>
    </w:tblPr>
    <w:tblStylePr w:type="firstRow">
      <w:rPr>
        <w:rFonts w:asciiTheme="majorHAnsi" w:eastAsiaTheme="majorEastAsia" w:hAnsiTheme="majorHAnsi" w:cstheme="majorBidi"/>
      </w:rPr>
      <w:tblPr/>
      <w:tcPr>
        <w:tcBorders>
          <w:top w:val="nil"/>
          <w:bottom w:val="single" w:sz="8" w:space="0" w:color="F1873D" w:themeColor="accent3"/>
        </w:tcBorders>
      </w:tcPr>
    </w:tblStylePr>
    <w:tblStylePr w:type="lastRow">
      <w:rPr>
        <w:b/>
        <w:bCs/>
        <w:color w:val="9778B4" w:themeColor="text2"/>
      </w:rPr>
      <w:tblPr/>
      <w:tcPr>
        <w:tcBorders>
          <w:top w:val="single" w:sz="8" w:space="0" w:color="F1873D" w:themeColor="accent3"/>
          <w:bottom w:val="single" w:sz="8" w:space="0" w:color="F1873D" w:themeColor="accent3"/>
        </w:tcBorders>
      </w:tcPr>
    </w:tblStylePr>
    <w:tblStylePr w:type="firstCol">
      <w:rPr>
        <w:b/>
        <w:bCs/>
      </w:rPr>
    </w:tblStylePr>
    <w:tblStylePr w:type="lastCol">
      <w:rPr>
        <w:b/>
        <w:bCs/>
      </w:rPr>
      <w:tblPr/>
      <w:tcPr>
        <w:tcBorders>
          <w:top w:val="single" w:sz="8" w:space="0" w:color="F1873D" w:themeColor="accent3"/>
          <w:bottom w:val="single" w:sz="8" w:space="0" w:color="F1873D" w:themeColor="accent3"/>
        </w:tcBorders>
      </w:tcPr>
    </w:tblStylePr>
    <w:tblStylePr w:type="band1Vert">
      <w:tblPr/>
      <w:tcPr>
        <w:shd w:val="clear" w:color="auto" w:fill="FBE1CE" w:themeFill="accent3" w:themeFillTint="3F"/>
      </w:tcPr>
    </w:tblStylePr>
    <w:tblStylePr w:type="band1Horz">
      <w:tblPr/>
      <w:tcPr>
        <w:shd w:val="clear" w:color="auto" w:fill="FBE1CE" w:themeFill="accent3" w:themeFillTint="3F"/>
      </w:tcPr>
    </w:tblStylePr>
  </w:style>
  <w:style w:type="table" w:styleId="MediumList1-Accent4">
    <w:name w:val="Medium List 1 Accent 4"/>
    <w:basedOn w:val="TableNormal"/>
    <w:uiPriority w:val="65"/>
    <w:semiHidden/>
    <w:rsid w:val="00EE3EB6"/>
    <w:pPr>
      <w:spacing w:line="240" w:lineRule="auto"/>
    </w:pPr>
    <w:rPr>
      <w:color w:val="000000" w:themeColor="text1"/>
    </w:rPr>
    <w:tblPr>
      <w:tblStyleRowBandSize w:val="1"/>
      <w:tblStyleColBandSize w:val="1"/>
      <w:tblBorders>
        <w:top w:val="single" w:sz="8" w:space="0" w:color="FCC648" w:themeColor="accent4"/>
        <w:bottom w:val="single" w:sz="8" w:space="0" w:color="FCC648" w:themeColor="accent4"/>
      </w:tblBorders>
    </w:tblPr>
    <w:tblStylePr w:type="firstRow">
      <w:rPr>
        <w:rFonts w:asciiTheme="majorHAnsi" w:eastAsiaTheme="majorEastAsia" w:hAnsiTheme="majorHAnsi" w:cstheme="majorBidi"/>
      </w:rPr>
      <w:tblPr/>
      <w:tcPr>
        <w:tcBorders>
          <w:top w:val="nil"/>
          <w:bottom w:val="single" w:sz="8" w:space="0" w:color="FCC648" w:themeColor="accent4"/>
        </w:tcBorders>
      </w:tcPr>
    </w:tblStylePr>
    <w:tblStylePr w:type="lastRow">
      <w:rPr>
        <w:b/>
        <w:bCs/>
        <w:color w:val="9778B4" w:themeColor="text2"/>
      </w:rPr>
      <w:tblPr/>
      <w:tcPr>
        <w:tcBorders>
          <w:top w:val="single" w:sz="8" w:space="0" w:color="FCC648" w:themeColor="accent4"/>
          <w:bottom w:val="single" w:sz="8" w:space="0" w:color="FCC648" w:themeColor="accent4"/>
        </w:tcBorders>
      </w:tcPr>
    </w:tblStylePr>
    <w:tblStylePr w:type="firstCol">
      <w:rPr>
        <w:b/>
        <w:bCs/>
      </w:rPr>
    </w:tblStylePr>
    <w:tblStylePr w:type="lastCol">
      <w:rPr>
        <w:b/>
        <w:bCs/>
      </w:rPr>
      <w:tblPr/>
      <w:tcPr>
        <w:tcBorders>
          <w:top w:val="single" w:sz="8" w:space="0" w:color="FCC648" w:themeColor="accent4"/>
          <w:bottom w:val="single" w:sz="8" w:space="0" w:color="FCC648" w:themeColor="accent4"/>
        </w:tcBorders>
      </w:tcPr>
    </w:tblStylePr>
    <w:tblStylePr w:type="band1Vert">
      <w:tblPr/>
      <w:tcPr>
        <w:shd w:val="clear" w:color="auto" w:fill="FEF0D1" w:themeFill="accent4" w:themeFillTint="3F"/>
      </w:tcPr>
    </w:tblStylePr>
    <w:tblStylePr w:type="band1Horz">
      <w:tblPr/>
      <w:tcPr>
        <w:shd w:val="clear" w:color="auto" w:fill="FEF0D1" w:themeFill="accent4" w:themeFillTint="3F"/>
      </w:tcPr>
    </w:tblStylePr>
  </w:style>
  <w:style w:type="table" w:styleId="MediumList1-Accent5">
    <w:name w:val="Medium List 1 Accent 5"/>
    <w:basedOn w:val="TableNormal"/>
    <w:uiPriority w:val="65"/>
    <w:semiHidden/>
    <w:rsid w:val="00EE3EB6"/>
    <w:pPr>
      <w:spacing w:line="240" w:lineRule="auto"/>
    </w:pPr>
    <w:rPr>
      <w:color w:val="000000" w:themeColor="text1"/>
    </w:rPr>
    <w:tblPr>
      <w:tblStyleRowBandSize w:val="1"/>
      <w:tblStyleColBandSize w:val="1"/>
      <w:tblBorders>
        <w:top w:val="single" w:sz="8" w:space="0" w:color="86BE57" w:themeColor="accent5"/>
        <w:bottom w:val="single" w:sz="8" w:space="0" w:color="86BE57" w:themeColor="accent5"/>
      </w:tblBorders>
    </w:tblPr>
    <w:tblStylePr w:type="firstRow">
      <w:rPr>
        <w:rFonts w:asciiTheme="majorHAnsi" w:eastAsiaTheme="majorEastAsia" w:hAnsiTheme="majorHAnsi" w:cstheme="majorBidi"/>
      </w:rPr>
      <w:tblPr/>
      <w:tcPr>
        <w:tcBorders>
          <w:top w:val="nil"/>
          <w:bottom w:val="single" w:sz="8" w:space="0" w:color="86BE57" w:themeColor="accent5"/>
        </w:tcBorders>
      </w:tcPr>
    </w:tblStylePr>
    <w:tblStylePr w:type="lastRow">
      <w:rPr>
        <w:b/>
        <w:bCs/>
        <w:color w:val="9778B4" w:themeColor="text2"/>
      </w:rPr>
      <w:tblPr/>
      <w:tcPr>
        <w:tcBorders>
          <w:top w:val="single" w:sz="8" w:space="0" w:color="86BE57" w:themeColor="accent5"/>
          <w:bottom w:val="single" w:sz="8" w:space="0" w:color="86BE57" w:themeColor="accent5"/>
        </w:tcBorders>
      </w:tcPr>
    </w:tblStylePr>
    <w:tblStylePr w:type="firstCol">
      <w:rPr>
        <w:b/>
        <w:bCs/>
      </w:rPr>
    </w:tblStylePr>
    <w:tblStylePr w:type="lastCol">
      <w:rPr>
        <w:b/>
        <w:bCs/>
      </w:rPr>
      <w:tblPr/>
      <w:tcPr>
        <w:tcBorders>
          <w:top w:val="single" w:sz="8" w:space="0" w:color="86BE57" w:themeColor="accent5"/>
          <w:bottom w:val="single" w:sz="8" w:space="0" w:color="86BE57" w:themeColor="accent5"/>
        </w:tcBorders>
      </w:tcPr>
    </w:tblStylePr>
    <w:tblStylePr w:type="band1Vert">
      <w:tblPr/>
      <w:tcPr>
        <w:shd w:val="clear" w:color="auto" w:fill="E1EFD5" w:themeFill="accent5" w:themeFillTint="3F"/>
      </w:tcPr>
    </w:tblStylePr>
    <w:tblStylePr w:type="band1Horz">
      <w:tblPr/>
      <w:tcPr>
        <w:shd w:val="clear" w:color="auto" w:fill="E1EFD5" w:themeFill="accent5" w:themeFillTint="3F"/>
      </w:tcPr>
    </w:tblStylePr>
  </w:style>
  <w:style w:type="table" w:styleId="MediumList1-Accent6">
    <w:name w:val="Medium List 1 Accent 6"/>
    <w:basedOn w:val="TableNormal"/>
    <w:uiPriority w:val="65"/>
    <w:semiHidden/>
    <w:rsid w:val="00EE3EB6"/>
    <w:pPr>
      <w:spacing w:line="240" w:lineRule="auto"/>
    </w:pPr>
    <w:rPr>
      <w:color w:val="000000" w:themeColor="text1"/>
    </w:rPr>
    <w:tblPr>
      <w:tblStyleRowBandSize w:val="1"/>
      <w:tblStyleColBandSize w:val="1"/>
      <w:tblBorders>
        <w:top w:val="single" w:sz="8" w:space="0" w:color="788183" w:themeColor="accent6"/>
        <w:bottom w:val="single" w:sz="8" w:space="0" w:color="788183" w:themeColor="accent6"/>
      </w:tblBorders>
    </w:tblPr>
    <w:tblStylePr w:type="firstRow">
      <w:rPr>
        <w:rFonts w:asciiTheme="majorHAnsi" w:eastAsiaTheme="majorEastAsia" w:hAnsiTheme="majorHAnsi" w:cstheme="majorBidi"/>
      </w:rPr>
      <w:tblPr/>
      <w:tcPr>
        <w:tcBorders>
          <w:top w:val="nil"/>
          <w:bottom w:val="single" w:sz="8" w:space="0" w:color="788183" w:themeColor="accent6"/>
        </w:tcBorders>
      </w:tcPr>
    </w:tblStylePr>
    <w:tblStylePr w:type="lastRow">
      <w:rPr>
        <w:b/>
        <w:bCs/>
        <w:color w:val="9778B4" w:themeColor="text2"/>
      </w:rPr>
      <w:tblPr/>
      <w:tcPr>
        <w:tcBorders>
          <w:top w:val="single" w:sz="8" w:space="0" w:color="788183" w:themeColor="accent6"/>
          <w:bottom w:val="single" w:sz="8" w:space="0" w:color="788183" w:themeColor="accent6"/>
        </w:tcBorders>
      </w:tcPr>
    </w:tblStylePr>
    <w:tblStylePr w:type="firstCol">
      <w:rPr>
        <w:b/>
        <w:bCs/>
      </w:rPr>
    </w:tblStylePr>
    <w:tblStylePr w:type="lastCol">
      <w:rPr>
        <w:b/>
        <w:bCs/>
      </w:rPr>
      <w:tblPr/>
      <w:tcPr>
        <w:tcBorders>
          <w:top w:val="single" w:sz="8" w:space="0" w:color="788183" w:themeColor="accent6"/>
          <w:bottom w:val="single" w:sz="8" w:space="0" w:color="788183" w:themeColor="accent6"/>
        </w:tcBorders>
      </w:tcPr>
    </w:tblStylePr>
    <w:tblStylePr w:type="band1Vert">
      <w:tblPr/>
      <w:tcPr>
        <w:shd w:val="clear" w:color="auto" w:fill="DDDFE0" w:themeFill="accent6" w:themeFillTint="3F"/>
      </w:tcPr>
    </w:tblStylePr>
    <w:tblStylePr w:type="band1Horz">
      <w:tblPr/>
      <w:tcPr>
        <w:shd w:val="clear" w:color="auto" w:fill="DDDFE0" w:themeFill="accent6" w:themeFillTint="3F"/>
      </w:tcPr>
    </w:tblStylePr>
  </w:style>
  <w:style w:type="table" w:styleId="MediumList2">
    <w:name w:val="Medium Lis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rPr>
        <w:sz w:val="24"/>
        <w:szCs w:val="24"/>
      </w:rPr>
      <w:tblPr/>
      <w:tcPr>
        <w:tcBorders>
          <w:top w:val="nil"/>
          <w:left w:val="nil"/>
          <w:bottom w:val="single" w:sz="24" w:space="0" w:color="8D487F" w:themeColor="accent1"/>
          <w:right w:val="nil"/>
          <w:insideH w:val="nil"/>
          <w:insideV w:val="nil"/>
        </w:tcBorders>
        <w:shd w:val="clear" w:color="auto" w:fill="FFFFFF" w:themeFill="background1"/>
      </w:tcPr>
    </w:tblStylePr>
    <w:tblStylePr w:type="lastRow">
      <w:tblPr/>
      <w:tcPr>
        <w:tcBorders>
          <w:top w:val="single" w:sz="8" w:space="0" w:color="8D48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487F" w:themeColor="accent1"/>
          <w:insideH w:val="nil"/>
          <w:insideV w:val="nil"/>
        </w:tcBorders>
        <w:shd w:val="clear" w:color="auto" w:fill="FFFFFF" w:themeFill="background1"/>
      </w:tcPr>
    </w:tblStylePr>
    <w:tblStylePr w:type="lastCol">
      <w:tblPr/>
      <w:tcPr>
        <w:tcBorders>
          <w:top w:val="nil"/>
          <w:left w:val="single" w:sz="8" w:space="0" w:color="8D48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top w:val="nil"/>
          <w:bottom w:val="nil"/>
          <w:insideH w:val="nil"/>
          <w:insideV w:val="nil"/>
        </w:tcBorders>
        <w:shd w:val="clear" w:color="auto" w:fill="E6CE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rPr>
        <w:sz w:val="24"/>
        <w:szCs w:val="24"/>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tblPr/>
      <w:tcPr>
        <w:tcBorders>
          <w:top w:val="single" w:sz="8" w:space="0" w:color="C64E4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4E45" w:themeColor="accent2"/>
          <w:insideH w:val="nil"/>
          <w:insideV w:val="nil"/>
        </w:tcBorders>
        <w:shd w:val="clear" w:color="auto" w:fill="FFFFFF" w:themeFill="background1"/>
      </w:tcPr>
    </w:tblStylePr>
    <w:tblStylePr w:type="lastCol">
      <w:tblPr/>
      <w:tcPr>
        <w:tcBorders>
          <w:top w:val="nil"/>
          <w:left w:val="single" w:sz="8" w:space="0" w:color="C64E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top w:val="nil"/>
          <w:bottom w:val="nil"/>
          <w:insideH w:val="nil"/>
          <w:insideV w:val="nil"/>
        </w:tcBorders>
        <w:shd w:val="clear" w:color="auto" w:fill="F1D2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rPr>
        <w:sz w:val="24"/>
        <w:szCs w:val="24"/>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tblPr/>
      <w:tcPr>
        <w:tcBorders>
          <w:top w:val="single" w:sz="8" w:space="0" w:color="F1873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873D" w:themeColor="accent3"/>
          <w:insideH w:val="nil"/>
          <w:insideV w:val="nil"/>
        </w:tcBorders>
        <w:shd w:val="clear" w:color="auto" w:fill="FFFFFF" w:themeFill="background1"/>
      </w:tcPr>
    </w:tblStylePr>
    <w:tblStylePr w:type="lastCol">
      <w:tblPr/>
      <w:tcPr>
        <w:tcBorders>
          <w:top w:val="nil"/>
          <w:left w:val="single" w:sz="8" w:space="0" w:color="F1873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top w:val="nil"/>
          <w:bottom w:val="nil"/>
          <w:insideH w:val="nil"/>
          <w:insideV w:val="nil"/>
        </w:tcBorders>
        <w:shd w:val="clear" w:color="auto" w:fill="FBE1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rPr>
        <w:sz w:val="24"/>
        <w:szCs w:val="24"/>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tblPr/>
      <w:tcPr>
        <w:tcBorders>
          <w:top w:val="single" w:sz="8" w:space="0" w:color="FCC6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C648" w:themeColor="accent4"/>
          <w:insideH w:val="nil"/>
          <w:insideV w:val="nil"/>
        </w:tcBorders>
        <w:shd w:val="clear" w:color="auto" w:fill="FFFFFF" w:themeFill="background1"/>
      </w:tcPr>
    </w:tblStylePr>
    <w:tblStylePr w:type="lastCol">
      <w:tblPr/>
      <w:tcPr>
        <w:tcBorders>
          <w:top w:val="nil"/>
          <w:left w:val="single" w:sz="8" w:space="0" w:color="FCC6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top w:val="nil"/>
          <w:bottom w:val="nil"/>
          <w:insideH w:val="nil"/>
          <w:insideV w:val="nil"/>
        </w:tcBorders>
        <w:shd w:val="clear" w:color="auto" w:fill="FEF0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rPr>
        <w:sz w:val="24"/>
        <w:szCs w:val="24"/>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tblPr/>
      <w:tcPr>
        <w:tcBorders>
          <w:top w:val="single" w:sz="8" w:space="0" w:color="86BE5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E57" w:themeColor="accent5"/>
          <w:insideH w:val="nil"/>
          <w:insideV w:val="nil"/>
        </w:tcBorders>
        <w:shd w:val="clear" w:color="auto" w:fill="FFFFFF" w:themeFill="background1"/>
      </w:tcPr>
    </w:tblStylePr>
    <w:tblStylePr w:type="lastCol">
      <w:tblPr/>
      <w:tcPr>
        <w:tcBorders>
          <w:top w:val="nil"/>
          <w:left w:val="single" w:sz="8" w:space="0" w:color="86BE5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top w:val="nil"/>
          <w:bottom w:val="nil"/>
          <w:insideH w:val="nil"/>
          <w:insideV w:val="nil"/>
        </w:tcBorders>
        <w:shd w:val="clear" w:color="auto" w:fill="E1EF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rPr>
        <w:sz w:val="24"/>
        <w:szCs w:val="24"/>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tblPr/>
      <w:tcPr>
        <w:tcBorders>
          <w:top w:val="single" w:sz="8" w:space="0" w:color="78818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8183" w:themeColor="accent6"/>
          <w:insideH w:val="nil"/>
          <w:insideV w:val="nil"/>
        </w:tcBorders>
        <w:shd w:val="clear" w:color="auto" w:fill="FFFFFF" w:themeFill="background1"/>
      </w:tcPr>
    </w:tblStylePr>
    <w:tblStylePr w:type="lastCol">
      <w:tblPr/>
      <w:tcPr>
        <w:tcBorders>
          <w:top w:val="nil"/>
          <w:left w:val="single" w:sz="8" w:space="0" w:color="78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top w:val="nil"/>
          <w:bottom w:val="nil"/>
          <w:insideH w:val="nil"/>
          <w:insideV w:val="nil"/>
        </w:tcBorders>
        <w:shd w:val="clear" w:color="auto" w:fill="DDDF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tblBorders>
    </w:tblPr>
    <w:tblStylePr w:type="firstRow">
      <w:pPr>
        <w:spacing w:before="0" w:after="0" w:line="240" w:lineRule="auto"/>
      </w:pPr>
      <w:rPr>
        <w:b/>
        <w:bCs/>
        <w:color w:val="FFFFFF" w:themeColor="background1"/>
      </w:rPr>
      <w:tblPr/>
      <w:tcPr>
        <w:tc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shd w:val="clear" w:color="auto" w:fill="8D487F" w:themeFill="accent1"/>
      </w:tcPr>
    </w:tblStylePr>
    <w:tblStylePr w:type="lastRow">
      <w:pPr>
        <w:spacing w:before="0" w:after="0" w:line="240" w:lineRule="auto"/>
      </w:pPr>
      <w:rPr>
        <w:b/>
        <w:bCs/>
      </w:rPr>
      <w:tblPr/>
      <w:tcPr>
        <w:tcBorders>
          <w:top w:val="double" w:sz="6"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CEE1" w:themeFill="accent1" w:themeFillTint="3F"/>
      </w:tcPr>
    </w:tblStylePr>
    <w:tblStylePr w:type="band1Horz">
      <w:tblPr/>
      <w:tcPr>
        <w:tcBorders>
          <w:insideH w:val="nil"/>
          <w:insideV w:val="nil"/>
        </w:tcBorders>
        <w:shd w:val="clear" w:color="auto" w:fill="E6CE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tblBorders>
    </w:tblPr>
    <w:tblStylePr w:type="firstRow">
      <w:pPr>
        <w:spacing w:before="0" w:after="0" w:line="240" w:lineRule="auto"/>
      </w:pPr>
      <w:rPr>
        <w:b/>
        <w:bCs/>
        <w:color w:val="FFFFFF" w:themeColor="background1"/>
      </w:rPr>
      <w:tblPr/>
      <w:tcPr>
        <w:tc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shd w:val="clear" w:color="auto" w:fill="C64E45" w:themeFill="accent2"/>
      </w:tcPr>
    </w:tblStylePr>
    <w:tblStylePr w:type="lastRow">
      <w:pPr>
        <w:spacing w:before="0" w:after="0" w:line="240" w:lineRule="auto"/>
      </w:pPr>
      <w:rPr>
        <w:b/>
        <w:bCs/>
      </w:rPr>
      <w:tblPr/>
      <w:tcPr>
        <w:tcBorders>
          <w:top w:val="double" w:sz="6"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2D0" w:themeFill="accent2" w:themeFillTint="3F"/>
      </w:tcPr>
    </w:tblStylePr>
    <w:tblStylePr w:type="band1Horz">
      <w:tblPr/>
      <w:tcPr>
        <w:tcBorders>
          <w:insideH w:val="nil"/>
          <w:insideV w:val="nil"/>
        </w:tcBorders>
        <w:shd w:val="clear" w:color="auto" w:fill="F1D2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tblBorders>
    </w:tblPr>
    <w:tblStylePr w:type="firstRow">
      <w:pPr>
        <w:spacing w:before="0" w:after="0" w:line="240" w:lineRule="auto"/>
      </w:pPr>
      <w:rPr>
        <w:b/>
        <w:bCs/>
        <w:color w:val="FFFFFF" w:themeColor="background1"/>
      </w:rPr>
      <w:tblPr/>
      <w:tcPr>
        <w:tc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shd w:val="clear" w:color="auto" w:fill="F1873D" w:themeFill="accent3"/>
      </w:tcPr>
    </w:tblStylePr>
    <w:tblStylePr w:type="lastRow">
      <w:pPr>
        <w:spacing w:before="0" w:after="0" w:line="240" w:lineRule="auto"/>
      </w:pPr>
      <w:rPr>
        <w:b/>
        <w:bCs/>
      </w:rPr>
      <w:tblPr/>
      <w:tcPr>
        <w:tcBorders>
          <w:top w:val="double" w:sz="6"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1CE" w:themeFill="accent3" w:themeFillTint="3F"/>
      </w:tcPr>
    </w:tblStylePr>
    <w:tblStylePr w:type="band1Horz">
      <w:tblPr/>
      <w:tcPr>
        <w:tcBorders>
          <w:insideH w:val="nil"/>
          <w:insideV w:val="nil"/>
        </w:tcBorders>
        <w:shd w:val="clear" w:color="auto" w:fill="FBE1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tblBorders>
    </w:tblPr>
    <w:tblStylePr w:type="firstRow">
      <w:pPr>
        <w:spacing w:before="0" w:after="0" w:line="240" w:lineRule="auto"/>
      </w:pPr>
      <w:rPr>
        <w:b/>
        <w:bCs/>
        <w:color w:val="FFFFFF" w:themeColor="background1"/>
      </w:rPr>
      <w:tblPr/>
      <w:tcPr>
        <w:tc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shd w:val="clear" w:color="auto" w:fill="FCC648" w:themeFill="accent4"/>
      </w:tcPr>
    </w:tblStylePr>
    <w:tblStylePr w:type="lastRow">
      <w:pPr>
        <w:spacing w:before="0" w:after="0" w:line="240" w:lineRule="auto"/>
      </w:pPr>
      <w:rPr>
        <w:b/>
        <w:bCs/>
      </w:rPr>
      <w:tblPr/>
      <w:tcPr>
        <w:tcBorders>
          <w:top w:val="double" w:sz="6"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0D1" w:themeFill="accent4" w:themeFillTint="3F"/>
      </w:tcPr>
    </w:tblStylePr>
    <w:tblStylePr w:type="band1Horz">
      <w:tblPr/>
      <w:tcPr>
        <w:tcBorders>
          <w:insideH w:val="nil"/>
          <w:insideV w:val="nil"/>
        </w:tcBorders>
        <w:shd w:val="clear" w:color="auto" w:fill="FEF0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tblBorders>
    </w:tblPr>
    <w:tblStylePr w:type="firstRow">
      <w:pPr>
        <w:spacing w:before="0" w:after="0" w:line="240" w:lineRule="auto"/>
      </w:pPr>
      <w:rPr>
        <w:b/>
        <w:bCs/>
        <w:color w:val="FFFFFF" w:themeColor="background1"/>
      </w:rPr>
      <w:tblPr/>
      <w:tcPr>
        <w:tc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shd w:val="clear" w:color="auto" w:fill="86BE57" w:themeFill="accent5"/>
      </w:tcPr>
    </w:tblStylePr>
    <w:tblStylePr w:type="lastRow">
      <w:pPr>
        <w:spacing w:before="0" w:after="0" w:line="240" w:lineRule="auto"/>
      </w:pPr>
      <w:rPr>
        <w:b/>
        <w:bCs/>
      </w:rPr>
      <w:tblPr/>
      <w:tcPr>
        <w:tcBorders>
          <w:top w:val="double" w:sz="6"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FD5" w:themeFill="accent5" w:themeFillTint="3F"/>
      </w:tcPr>
    </w:tblStylePr>
    <w:tblStylePr w:type="band1Horz">
      <w:tblPr/>
      <w:tcPr>
        <w:tcBorders>
          <w:insideH w:val="nil"/>
          <w:insideV w:val="nil"/>
        </w:tcBorders>
        <w:shd w:val="clear" w:color="auto" w:fill="E1EF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tblBorders>
    </w:tblPr>
    <w:tblStylePr w:type="firstRow">
      <w:pPr>
        <w:spacing w:before="0" w:after="0" w:line="240" w:lineRule="auto"/>
      </w:pPr>
      <w:rPr>
        <w:b/>
        <w:bCs/>
        <w:color w:val="FFFFFF" w:themeColor="background1"/>
      </w:rPr>
      <w:tblPr/>
      <w:tcPr>
        <w:tc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shd w:val="clear" w:color="auto" w:fill="788183" w:themeFill="accent6"/>
      </w:tcPr>
    </w:tblStylePr>
    <w:tblStylePr w:type="lastRow">
      <w:pPr>
        <w:spacing w:before="0" w:after="0" w:line="240" w:lineRule="auto"/>
      </w:pPr>
      <w:rPr>
        <w:b/>
        <w:bCs/>
      </w:rPr>
      <w:tblPr/>
      <w:tcPr>
        <w:tcBorders>
          <w:top w:val="double" w:sz="6"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FE0" w:themeFill="accent6" w:themeFillTint="3F"/>
      </w:tcPr>
    </w:tblStylePr>
    <w:tblStylePr w:type="band1Horz">
      <w:tblPr/>
      <w:tcPr>
        <w:tcBorders>
          <w:insideH w:val="nil"/>
          <w:insideV w:val="nil"/>
        </w:tcBorders>
        <w:shd w:val="clear" w:color="auto" w:fill="DDDF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48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487F" w:themeFill="accent1"/>
      </w:tcPr>
    </w:tblStylePr>
    <w:tblStylePr w:type="lastCol">
      <w:rPr>
        <w:b/>
        <w:bCs/>
        <w:color w:val="FFFFFF" w:themeColor="background1"/>
      </w:rPr>
      <w:tblPr/>
      <w:tcPr>
        <w:tcBorders>
          <w:left w:val="nil"/>
          <w:right w:val="nil"/>
          <w:insideH w:val="nil"/>
          <w:insideV w:val="nil"/>
        </w:tcBorders>
        <w:shd w:val="clear" w:color="auto" w:fill="8D48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4E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4E45" w:themeFill="accent2"/>
      </w:tcPr>
    </w:tblStylePr>
    <w:tblStylePr w:type="lastCol">
      <w:rPr>
        <w:b/>
        <w:bCs/>
        <w:color w:val="FFFFFF" w:themeColor="background1"/>
      </w:rPr>
      <w:tblPr/>
      <w:tcPr>
        <w:tcBorders>
          <w:left w:val="nil"/>
          <w:right w:val="nil"/>
          <w:insideH w:val="nil"/>
          <w:insideV w:val="nil"/>
        </w:tcBorders>
        <w:shd w:val="clear" w:color="auto" w:fill="C64E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873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873D" w:themeFill="accent3"/>
      </w:tcPr>
    </w:tblStylePr>
    <w:tblStylePr w:type="lastCol">
      <w:rPr>
        <w:b/>
        <w:bCs/>
        <w:color w:val="FFFFFF" w:themeColor="background1"/>
      </w:rPr>
      <w:tblPr/>
      <w:tcPr>
        <w:tcBorders>
          <w:left w:val="nil"/>
          <w:right w:val="nil"/>
          <w:insideH w:val="nil"/>
          <w:insideV w:val="nil"/>
        </w:tcBorders>
        <w:shd w:val="clear" w:color="auto" w:fill="F1873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C6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C648" w:themeFill="accent4"/>
      </w:tcPr>
    </w:tblStylePr>
    <w:tblStylePr w:type="lastCol">
      <w:rPr>
        <w:b/>
        <w:bCs/>
        <w:color w:val="FFFFFF" w:themeColor="background1"/>
      </w:rPr>
      <w:tblPr/>
      <w:tcPr>
        <w:tcBorders>
          <w:left w:val="nil"/>
          <w:right w:val="nil"/>
          <w:insideH w:val="nil"/>
          <w:insideV w:val="nil"/>
        </w:tcBorders>
        <w:shd w:val="clear" w:color="auto" w:fill="FCC6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E5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E57" w:themeFill="accent5"/>
      </w:tcPr>
    </w:tblStylePr>
    <w:tblStylePr w:type="lastCol">
      <w:rPr>
        <w:b/>
        <w:bCs/>
        <w:color w:val="FFFFFF" w:themeColor="background1"/>
      </w:rPr>
      <w:tblPr/>
      <w:tcPr>
        <w:tcBorders>
          <w:left w:val="nil"/>
          <w:right w:val="nil"/>
          <w:insideH w:val="nil"/>
          <w:insideV w:val="nil"/>
        </w:tcBorders>
        <w:shd w:val="clear" w:color="auto" w:fill="86BE5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8183" w:themeFill="accent6"/>
      </w:tcPr>
    </w:tblStylePr>
    <w:tblStylePr w:type="lastCol">
      <w:rPr>
        <w:b/>
        <w:bCs/>
        <w:color w:val="FFFFFF" w:themeColor="background1"/>
      </w:rPr>
      <w:tblPr/>
      <w:tcPr>
        <w:tcBorders>
          <w:left w:val="nil"/>
          <w:right w:val="nil"/>
          <w:insideH w:val="nil"/>
          <w:insideV w:val="nil"/>
        </w:tcBorders>
        <w:shd w:val="clear" w:color="auto" w:fill="78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EE3EB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EE3EB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EE3EB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EE3EB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EE3EB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EE3E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3">
    <w:name w:val="List Continue 3"/>
    <w:basedOn w:val="Normal"/>
    <w:rsid w:val="00503B7F"/>
    <w:pPr>
      <w:spacing w:before="120"/>
      <w:ind w:left="850"/>
    </w:pPr>
  </w:style>
  <w:style w:type="paragraph" w:styleId="ListNumber4">
    <w:name w:val="List Number 4"/>
    <w:basedOn w:val="Normal"/>
    <w:rsid w:val="00D264C9"/>
    <w:pPr>
      <w:numPr>
        <w:ilvl w:val="3"/>
        <w:numId w:val="17"/>
      </w:numPr>
      <w:spacing w:before="120"/>
    </w:pPr>
  </w:style>
  <w:style w:type="paragraph" w:styleId="ListNumber5">
    <w:name w:val="List Number 5"/>
    <w:basedOn w:val="Normal"/>
    <w:rsid w:val="00D264C9"/>
    <w:pPr>
      <w:numPr>
        <w:ilvl w:val="4"/>
        <w:numId w:val="17"/>
      </w:numPr>
      <w:spacing w:before="120"/>
    </w:pPr>
  </w:style>
  <w:style w:type="paragraph" w:styleId="ListContinue4">
    <w:name w:val="List Continue 4"/>
    <w:basedOn w:val="Normal"/>
    <w:rsid w:val="00503B7F"/>
    <w:pPr>
      <w:spacing w:before="120" w:after="60"/>
      <w:ind w:left="1134"/>
    </w:pPr>
  </w:style>
  <w:style w:type="paragraph" w:styleId="ListContinue5">
    <w:name w:val="List Continue 5"/>
    <w:basedOn w:val="Normal"/>
    <w:rsid w:val="00503B7F"/>
    <w:pPr>
      <w:spacing w:before="120"/>
      <w:ind w:left="1417"/>
    </w:pPr>
  </w:style>
  <w:style w:type="table" w:customStyle="1" w:styleId="BoxPlaceholder">
    <w:name w:val="Box Placeholder"/>
    <w:basedOn w:val="TableNormal"/>
    <w:uiPriority w:val="99"/>
    <w:rsid w:val="00BC0200"/>
    <w:pPr>
      <w:spacing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character" w:styleId="PlaceholderText">
    <w:name w:val="Placeholder Text"/>
    <w:basedOn w:val="DefaultParagraphFont"/>
    <w:rsid w:val="004D58BA"/>
    <w:rPr>
      <w:color w:val="808080"/>
    </w:rPr>
  </w:style>
  <w:style w:type="table" w:customStyle="1" w:styleId="PBOFinancial">
    <w:name w:val="PBO Financial"/>
    <w:basedOn w:val="TableNormal"/>
    <w:uiPriority w:val="99"/>
    <w:rsid w:val="00456DEB"/>
    <w:pPr>
      <w:spacing w:before="40" w:after="40" w:line="240" w:lineRule="auto"/>
      <w:jc w:val="right"/>
    </w:pPr>
    <w:rPr>
      <w:sz w:val="20"/>
    </w:rPr>
    <w:tblPr>
      <w:tblCellMar>
        <w:top w:w="11" w:type="dxa"/>
        <w:left w:w="0" w:type="dxa"/>
        <w:bottom w:w="11" w:type="dxa"/>
        <w:right w:w="0" w:type="dxa"/>
      </w:tblCellMar>
    </w:tblPr>
    <w:tblStylePr w:type="firstRow">
      <w:rPr>
        <w:b w:val="0"/>
      </w:rPr>
      <w:tblPr/>
      <w:tcPr>
        <w:tcBorders>
          <w:top w:val="nil"/>
          <w:left w:val="nil"/>
          <w:bottom w:val="single" w:sz="4" w:space="0" w:color="auto"/>
          <w:right w:val="nil"/>
          <w:insideH w:val="nil"/>
          <w:insideV w:val="nil"/>
          <w:tl2br w:val="nil"/>
          <w:tr2bl w:val="nil"/>
        </w:tcBorders>
        <w:tcMar>
          <w:top w:w="11" w:type="dxa"/>
          <w:left w:w="0" w:type="nil"/>
          <w:bottom w:w="11" w:type="dxa"/>
          <w:right w:w="57" w:type="dxa"/>
        </w:tcMar>
      </w:tcPr>
    </w:tblStylePr>
    <w:tblStylePr w:type="lastRow">
      <w:rPr>
        <w:b w:val="0"/>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Mar>
          <w:top w:w="28" w:type="dxa"/>
          <w:left w:w="0" w:type="nil"/>
          <w:bottom w:w="28" w:type="dxa"/>
          <w:right w:w="57" w:type="dxa"/>
        </w:tcMar>
      </w:tcPr>
    </w:tblStylePr>
    <w:tblStylePr w:type="swCell">
      <w:rPr>
        <w:b/>
      </w:rPr>
    </w:tblStylePr>
  </w:style>
  <w:style w:type="paragraph" w:customStyle="1" w:styleId="xTableDecorativeA">
    <w:name w:val="xTableDecorativeA"/>
    <w:basedOn w:val="Normal"/>
    <w:next w:val="Normal"/>
    <w:uiPriority w:val="99"/>
    <w:semiHidden/>
    <w:qFormat/>
    <w:rsid w:val="00FD3658"/>
    <w:pPr>
      <w:keepNext/>
      <w:keepLines/>
      <w:spacing w:line="80" w:lineRule="exact"/>
    </w:pPr>
    <w:rPr>
      <w:b/>
      <w:sz w:val="14"/>
    </w:rPr>
  </w:style>
  <w:style w:type="paragraph" w:customStyle="1" w:styleId="PullQuote">
    <w:name w:val="Pull Quote"/>
    <w:basedOn w:val="Normal"/>
    <w:qFormat/>
    <w:rsid w:val="006242BA"/>
    <w:pPr>
      <w:keepNext/>
      <w:keepLines/>
      <w:spacing w:before="120" w:after="120"/>
    </w:pPr>
    <w:rPr>
      <w:b/>
    </w:rPr>
  </w:style>
  <w:style w:type="paragraph" w:customStyle="1" w:styleId="Heading2NoNumbering">
    <w:name w:val="Heading 2 No Numbering"/>
    <w:basedOn w:val="Heading2"/>
    <w:qFormat/>
    <w:rsid w:val="00904D3B"/>
    <w:pPr>
      <w:numPr>
        <w:ilvl w:val="0"/>
        <w:numId w:val="0"/>
      </w:numPr>
    </w:pPr>
  </w:style>
  <w:style w:type="paragraph" w:customStyle="1" w:styleId="AppendixHeading4">
    <w:name w:val="Appendix Heading 4"/>
    <w:basedOn w:val="Normal"/>
    <w:next w:val="BodyText"/>
    <w:uiPriority w:val="30"/>
    <w:qFormat/>
    <w:rsid w:val="0081085D"/>
    <w:pPr>
      <w:spacing w:before="310" w:after="110" w:line="240" w:lineRule="auto"/>
    </w:pPr>
    <w:rPr>
      <w:rFonts w:asciiTheme="majorHAnsi" w:hAnsiTheme="majorHAnsi"/>
      <w:i/>
      <w:color w:val="000000" w:themeColor="text1"/>
      <w:sz w:val="23"/>
    </w:rPr>
  </w:style>
  <w:style w:type="paragraph" w:customStyle="1" w:styleId="AppendixHeading5">
    <w:name w:val="Appendix Heading 5"/>
    <w:basedOn w:val="Normal"/>
    <w:next w:val="BodyText"/>
    <w:uiPriority w:val="30"/>
    <w:qFormat/>
    <w:rsid w:val="0081085D"/>
    <w:pPr>
      <w:spacing w:before="310" w:after="110" w:line="240" w:lineRule="auto"/>
    </w:pPr>
    <w:rPr>
      <w:rFonts w:asciiTheme="majorHAnsi" w:hAnsiTheme="majorHAnsi"/>
      <w:i/>
      <w:color w:val="3D4D7D" w:themeColor="background2"/>
      <w:sz w:val="23"/>
    </w:rPr>
  </w:style>
  <w:style w:type="paragraph" w:customStyle="1" w:styleId="Heading3NoNumbering">
    <w:name w:val="Heading 3 No Numbering"/>
    <w:basedOn w:val="Heading3"/>
    <w:next w:val="BodyText"/>
    <w:qFormat/>
    <w:rsid w:val="00B245AF"/>
    <w:pPr>
      <w:numPr>
        <w:ilvl w:val="0"/>
        <w:numId w:val="0"/>
      </w:numPr>
    </w:pPr>
  </w:style>
  <w:style w:type="numbering" w:customStyle="1" w:styleId="Bullets">
    <w:name w:val="Bullets"/>
    <w:uiPriority w:val="99"/>
    <w:rsid w:val="005050DA"/>
    <w:pPr>
      <w:numPr>
        <w:numId w:val="14"/>
      </w:numPr>
    </w:pPr>
  </w:style>
  <w:style w:type="numbering" w:customStyle="1" w:styleId="NumberedList">
    <w:name w:val="NumberedList"/>
    <w:uiPriority w:val="99"/>
    <w:rsid w:val="005050DA"/>
    <w:pPr>
      <w:numPr>
        <w:numId w:val="17"/>
      </w:numPr>
    </w:pPr>
  </w:style>
  <w:style w:type="paragraph" w:customStyle="1" w:styleId="CaptionDescriptor">
    <w:name w:val="Caption Descriptor"/>
    <w:basedOn w:val="Caption"/>
    <w:qFormat/>
    <w:rsid w:val="007C0767"/>
    <w:rPr>
      <w:b w:val="0"/>
      <w:sz w:val="20"/>
    </w:rPr>
  </w:style>
  <w:style w:type="table" w:customStyle="1" w:styleId="TablePlaceholder">
    <w:name w:val="Table Placeholder"/>
    <w:basedOn w:val="TableNormal"/>
    <w:uiPriority w:val="99"/>
    <w:rsid w:val="00B366ED"/>
    <w:tblPr>
      <w:tblCellMar>
        <w:left w:w="0" w:type="dxa"/>
        <w:right w:w="0" w:type="dxa"/>
      </w:tblCellMar>
    </w:tblPr>
  </w:style>
  <w:style w:type="paragraph" w:customStyle="1" w:styleId="CaptionLeft">
    <w:name w:val="Caption Left"/>
    <w:basedOn w:val="Caption"/>
    <w:next w:val="BodyText"/>
    <w:qFormat/>
    <w:rsid w:val="00233BE7"/>
    <w:pPr>
      <w:jc w:val="left"/>
    </w:pPr>
  </w:style>
  <w:style w:type="paragraph" w:customStyle="1" w:styleId="TableSubheading">
    <w:name w:val="Table Subheading"/>
    <w:basedOn w:val="TableText"/>
    <w:qFormat/>
    <w:rsid w:val="000B3F9F"/>
    <w:rPr>
      <w:b/>
      <w:szCs w:val="20"/>
    </w:rPr>
  </w:style>
  <w:style w:type="paragraph" w:customStyle="1" w:styleId="TableHeadingBlueAllCaps">
    <w:name w:val="Table Heading Blue All Caps"/>
    <w:basedOn w:val="TableText"/>
    <w:qFormat/>
    <w:rsid w:val="000B3F9F"/>
    <w:rPr>
      <w:b/>
      <w:caps/>
      <w:color w:val="3D4D7D" w:themeColor="background2"/>
      <w:szCs w:val="20"/>
    </w:rPr>
  </w:style>
  <w:style w:type="paragraph" w:customStyle="1" w:styleId="BodyText17ptAbove">
    <w:name w:val="Body Text 17pt Above"/>
    <w:basedOn w:val="BodyText"/>
    <w:next w:val="BodyText"/>
    <w:qFormat/>
    <w:rsid w:val="00FF3E62"/>
    <w:pPr>
      <w:spacing w:before="340" w:after="113"/>
    </w:pPr>
    <w:rPr>
      <w:spacing w:val="-1"/>
    </w:rPr>
  </w:style>
  <w:style w:type="paragraph" w:styleId="Revision">
    <w:name w:val="Revision"/>
    <w:hidden/>
    <w:uiPriority w:val="99"/>
    <w:semiHidden/>
    <w:rsid w:val="00FF43EC"/>
    <w:pPr>
      <w:spacing w:line="240" w:lineRule="auto"/>
    </w:pPr>
  </w:style>
  <w:style w:type="paragraph" w:styleId="ListParagraph">
    <w:name w:val="List Paragraph"/>
    <w:basedOn w:val="Normal"/>
    <w:uiPriority w:val="34"/>
    <w:qFormat/>
    <w:rsid w:val="00113C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496041">
      <w:bodyDiv w:val="1"/>
      <w:marLeft w:val="0"/>
      <w:marRight w:val="0"/>
      <w:marTop w:val="0"/>
      <w:marBottom w:val="0"/>
      <w:divBdr>
        <w:top w:val="none" w:sz="0" w:space="0" w:color="auto"/>
        <w:left w:val="none" w:sz="0" w:space="0" w:color="auto"/>
        <w:bottom w:val="none" w:sz="0" w:space="0" w:color="auto"/>
        <w:right w:val="none" w:sz="0" w:space="0" w:color="auto"/>
      </w:divBdr>
    </w:div>
    <w:div w:id="230234839">
      <w:bodyDiv w:val="1"/>
      <w:marLeft w:val="0"/>
      <w:marRight w:val="0"/>
      <w:marTop w:val="0"/>
      <w:marBottom w:val="0"/>
      <w:divBdr>
        <w:top w:val="none" w:sz="0" w:space="0" w:color="auto"/>
        <w:left w:val="none" w:sz="0" w:space="0" w:color="auto"/>
        <w:bottom w:val="none" w:sz="0" w:space="0" w:color="auto"/>
        <w:right w:val="none" w:sz="0" w:space="0" w:color="auto"/>
      </w:divBdr>
    </w:div>
    <w:div w:id="1263227147">
      <w:bodyDiv w:val="1"/>
      <w:marLeft w:val="0"/>
      <w:marRight w:val="0"/>
      <w:marTop w:val="0"/>
      <w:marBottom w:val="0"/>
      <w:divBdr>
        <w:top w:val="none" w:sz="0" w:space="0" w:color="auto"/>
        <w:left w:val="none" w:sz="0" w:space="0" w:color="auto"/>
        <w:bottom w:val="none" w:sz="0" w:space="0" w:color="auto"/>
        <w:right w:val="none" w:sz="0" w:space="0" w:color="auto"/>
      </w:divBdr>
    </w:div>
    <w:div w:id="1295713149">
      <w:bodyDiv w:val="1"/>
      <w:marLeft w:val="0"/>
      <w:marRight w:val="0"/>
      <w:marTop w:val="0"/>
      <w:marBottom w:val="0"/>
      <w:divBdr>
        <w:top w:val="none" w:sz="0" w:space="0" w:color="auto"/>
        <w:left w:val="none" w:sz="0" w:space="0" w:color="auto"/>
        <w:bottom w:val="none" w:sz="0" w:space="0" w:color="auto"/>
        <w:right w:val="none" w:sz="0" w:space="0" w:color="auto"/>
      </w:divBdr>
    </w:div>
    <w:div w:id="1539271343">
      <w:bodyDiv w:val="1"/>
      <w:marLeft w:val="0"/>
      <w:marRight w:val="0"/>
      <w:marTop w:val="0"/>
      <w:marBottom w:val="0"/>
      <w:divBdr>
        <w:top w:val="none" w:sz="0" w:space="0" w:color="auto"/>
        <w:left w:val="none" w:sz="0" w:space="0" w:color="auto"/>
        <w:bottom w:val="none" w:sz="0" w:space="0" w:color="auto"/>
        <w:right w:val="none" w:sz="0" w:space="0" w:color="auto"/>
      </w:divBdr>
    </w:div>
    <w:div w:id="1665233909">
      <w:bodyDiv w:val="1"/>
      <w:marLeft w:val="0"/>
      <w:marRight w:val="0"/>
      <w:marTop w:val="0"/>
      <w:marBottom w:val="0"/>
      <w:divBdr>
        <w:top w:val="none" w:sz="0" w:space="0" w:color="auto"/>
        <w:left w:val="none" w:sz="0" w:space="0" w:color="auto"/>
        <w:bottom w:val="none" w:sz="0" w:space="0" w:color="auto"/>
        <w:right w:val="none" w:sz="0" w:space="0" w:color="auto"/>
      </w:divBdr>
    </w:div>
    <w:div w:id="1695958263">
      <w:bodyDiv w:val="1"/>
      <w:marLeft w:val="0"/>
      <w:marRight w:val="0"/>
      <w:marTop w:val="0"/>
      <w:marBottom w:val="0"/>
      <w:divBdr>
        <w:top w:val="none" w:sz="0" w:space="0" w:color="auto"/>
        <w:left w:val="none" w:sz="0" w:space="0" w:color="auto"/>
        <w:bottom w:val="none" w:sz="0" w:space="0" w:color="auto"/>
        <w:right w:val="none" w:sz="0" w:space="0" w:color="auto"/>
      </w:divBdr>
    </w:div>
    <w:div w:id="1829705948">
      <w:bodyDiv w:val="1"/>
      <w:marLeft w:val="0"/>
      <w:marRight w:val="0"/>
      <w:marTop w:val="0"/>
      <w:marBottom w:val="0"/>
      <w:divBdr>
        <w:top w:val="none" w:sz="0" w:space="0" w:color="auto"/>
        <w:left w:val="none" w:sz="0" w:space="0" w:color="auto"/>
        <w:bottom w:val="none" w:sz="0" w:space="0" w:color="auto"/>
        <w:right w:val="none" w:sz="0" w:space="0" w:color="auto"/>
      </w:divBdr>
    </w:div>
    <w:div w:id="2039625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feedback@pbo.gov.au" TargetMode="External"/><Relationship Id="rId26" Type="http://schemas.openxmlformats.org/officeDocument/2006/relationships/header" Target="header8.xml"/><Relationship Id="rId39" Type="http://schemas.openxmlformats.org/officeDocument/2006/relationships/image" Target="media/image14.jpeg"/><Relationship Id="rId21" Type="http://schemas.openxmlformats.org/officeDocument/2006/relationships/footer" Target="footer4.xm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png"/><Relationship Id="rId55" Type="http://schemas.openxmlformats.org/officeDocument/2006/relationships/image" Target="media/image30.jpeg"/><Relationship Id="rId63" Type="http://schemas.openxmlformats.org/officeDocument/2006/relationships/footer" Target="footer9.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7.jpeg"/><Relationship Id="rId37" Type="http://schemas.openxmlformats.org/officeDocument/2006/relationships/image" Target="media/image12.pn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png"/><Relationship Id="rId58" Type="http://schemas.openxmlformats.org/officeDocument/2006/relationships/image" Target="media/image33.jpeg"/><Relationship Id="rId66" Type="http://schemas.openxmlformats.org/officeDocument/2006/relationships/theme" Target="theme/theme1.xml"/><Relationship Id="rId87"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creativecommons.org/licenses/by-nc-nd/3.0/au/" TargetMode="Externa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image" Target="media/image11.jpeg"/><Relationship Id="rId49" Type="http://schemas.openxmlformats.org/officeDocument/2006/relationships/image" Target="media/image24.png"/><Relationship Id="rId57" Type="http://schemas.openxmlformats.org/officeDocument/2006/relationships/image" Target="media/image32.jpeg"/><Relationship Id="rId61" Type="http://schemas.openxmlformats.org/officeDocument/2006/relationships/image" Target="media/image36.jpeg"/><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footer" Target="footer10.xml"/><Relationship Id="rId8" Type="http://schemas.openxmlformats.org/officeDocument/2006/relationships/endnotes" Target="endnotes.xml"/><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pmc.gov.au/government/commonwealth-coat-arms" TargetMode="External"/><Relationship Id="rId25" Type="http://schemas.openxmlformats.org/officeDocument/2006/relationships/header" Target="header7.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image" Target="media/image34.jpeg"/><Relationship Id="rId20" Type="http://schemas.openxmlformats.org/officeDocument/2006/relationships/header" Target="header5.xml"/><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image" Target="media/image37.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BO 2018">
      <a:dk1>
        <a:srgbClr val="000000"/>
      </a:dk1>
      <a:lt1>
        <a:srgbClr val="FFFFFF"/>
      </a:lt1>
      <a:dk2>
        <a:srgbClr val="9778B4"/>
      </a:dk2>
      <a:lt2>
        <a:srgbClr val="3D4D7D"/>
      </a:lt2>
      <a:accent1>
        <a:srgbClr val="8D487F"/>
      </a:accent1>
      <a:accent2>
        <a:srgbClr val="C64E45"/>
      </a:accent2>
      <a:accent3>
        <a:srgbClr val="F1873D"/>
      </a:accent3>
      <a:accent4>
        <a:srgbClr val="FCC648"/>
      </a:accent4>
      <a:accent5>
        <a:srgbClr val="86BE57"/>
      </a:accent5>
      <a:accent6>
        <a:srgbClr val="788183"/>
      </a:accent6>
      <a:hlink>
        <a:srgbClr val="000000"/>
      </a:hlink>
      <a:folHlink>
        <a:srgbClr val="3D4D7D"/>
      </a:folHlink>
    </a:clrScheme>
    <a:fontScheme name="PBO v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504AC-044D-4CA5-9B64-8F5C8007C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7565</Words>
  <Characters>43121</Characters>
  <Application>Microsoft Office Word</Application>
  <DocSecurity>0</DocSecurity>
  <Lines>359</Lines>
  <Paragraphs>101</Paragraphs>
  <ScaleCrop>false</ScaleCrop>
  <Company/>
  <LinksUpToDate>false</LinksUpToDate>
  <CharactersWithSpaces>50585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2019-11-26T06:52:00Z</dcterms:created>
  <dcterms:modified xsi:type="dcterms:W3CDTF">2019-11-26T06:52:00Z</dcterms:modified>
</cp:coreProperties>
</file>