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Pr="00D1571C" w:rsidRDefault="002400BD" w:rsidP="00D1571C">
      <w:pPr>
        <w:pStyle w:val="Title"/>
        <w:spacing w:before="6100"/>
        <w:rPr>
          <w:b/>
          <w:color w:val="FFFFFF"/>
          <w:sz w:val="52"/>
          <w:szCs w:val="52"/>
        </w:rPr>
      </w:pPr>
      <w:r w:rsidRPr="00D1571C">
        <w:rPr>
          <w:b/>
          <w:sz w:val="52"/>
          <w:szCs w:val="52"/>
        </w:rPr>
        <w:t>201</w:t>
      </w:r>
      <w:r w:rsidR="005D4E08">
        <w:rPr>
          <w:b/>
          <w:sz w:val="52"/>
          <w:szCs w:val="52"/>
        </w:rPr>
        <w:t>9</w:t>
      </w:r>
      <w:r w:rsidR="005853B9">
        <w:rPr>
          <w:b/>
          <w:sz w:val="52"/>
          <w:szCs w:val="52"/>
        </w:rPr>
        <w:t>–</w:t>
      </w:r>
      <w:r w:rsidR="005D4E08">
        <w:rPr>
          <w:b/>
          <w:sz w:val="52"/>
          <w:szCs w:val="52"/>
        </w:rPr>
        <w:t>20</w:t>
      </w:r>
      <w:r w:rsidR="00AB1ED5" w:rsidRPr="00D1571C">
        <w:rPr>
          <w:b/>
          <w:sz w:val="52"/>
          <w:szCs w:val="52"/>
        </w:rPr>
        <w:br/>
      </w:r>
      <w:r w:rsidRPr="00D1571C">
        <w:rPr>
          <w:b/>
          <w:sz w:val="52"/>
          <w:szCs w:val="52"/>
        </w:rPr>
        <w:t>Medium-term</w:t>
      </w:r>
      <w:r w:rsidR="00F40248">
        <w:rPr>
          <w:b/>
          <w:sz w:val="52"/>
          <w:szCs w:val="52"/>
        </w:rPr>
        <w:t xml:space="preserve"> </w:t>
      </w:r>
      <w:r w:rsidR="005853B9">
        <w:rPr>
          <w:b/>
          <w:sz w:val="52"/>
          <w:szCs w:val="52"/>
        </w:rPr>
        <w:br/>
      </w:r>
      <w:r w:rsidR="00F40248">
        <w:rPr>
          <w:b/>
          <w:sz w:val="52"/>
          <w:szCs w:val="52"/>
        </w:rPr>
        <w:t>FISCAL</w:t>
      </w:r>
      <w:r w:rsidRPr="00D1571C">
        <w:rPr>
          <w:b/>
          <w:sz w:val="52"/>
          <w:szCs w:val="52"/>
        </w:rPr>
        <w:t xml:space="preserve"> projections</w:t>
      </w:r>
    </w:p>
    <w:p w:rsidR="00086FD2" w:rsidRPr="001C2B0F" w:rsidRDefault="00086FD2" w:rsidP="00D1571C">
      <w:pPr>
        <w:pStyle w:val="Title3"/>
        <w:framePr w:w="3244" w:wrap="around" w:x="8153"/>
        <w:spacing w:after="60"/>
        <w:rPr>
          <w:b/>
        </w:rPr>
      </w:pPr>
      <w:r w:rsidRPr="001C2B0F">
        <w:rPr>
          <w:rStyle w:val="Title3Heading"/>
          <w:b/>
        </w:rPr>
        <w:t xml:space="preserve">Report </w:t>
      </w:r>
      <w:r w:rsidRPr="00FA64AB">
        <w:rPr>
          <w:rStyle w:val="Title3Heading"/>
          <w:b/>
        </w:rPr>
        <w:t>No.</w:t>
      </w:r>
      <w:r w:rsidR="005D4E08" w:rsidRPr="00FA64AB">
        <w:rPr>
          <w:rStyle w:val="Title3Heading"/>
          <w:b/>
        </w:rPr>
        <w:t xml:space="preserve"> </w:t>
      </w:r>
      <w:r w:rsidR="00FA64AB" w:rsidRPr="000D4C9A">
        <w:rPr>
          <w:rStyle w:val="Title3Heading"/>
          <w:b/>
        </w:rPr>
        <w:t>03</w:t>
      </w:r>
      <w:r w:rsidR="002400BD" w:rsidRPr="001C2B0F">
        <w:rPr>
          <w:rStyle w:val="Title3Heading"/>
          <w:b/>
        </w:rPr>
        <w:t>/201</w:t>
      </w:r>
      <w:r w:rsidR="005D4E08">
        <w:rPr>
          <w:rStyle w:val="Title3Heading"/>
          <w:b/>
        </w:rPr>
        <w:t>9</w:t>
      </w:r>
    </w:p>
    <w:p w:rsidR="00086FD2" w:rsidRDefault="00086FD2" w:rsidP="002400BD">
      <w:pPr>
        <w:pStyle w:val="Title2"/>
        <w:ind w:left="0"/>
        <w:sectPr w:rsidR="00086FD2" w:rsidSect="00A16EB0">
          <w:headerReference w:type="even" r:id="rId9"/>
          <w:headerReference w:type="default" r:id="rId10"/>
          <w:footerReference w:type="even" r:id="rId11"/>
          <w:footerReference w:type="default" r:id="rId12"/>
          <w:headerReference w:type="first" r:id="rId13"/>
          <w:footerReference w:type="first" r:id="rId14"/>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2400BD">
              <w:t>201</w:t>
            </w:r>
            <w:r w:rsidR="005D4E08">
              <w:t>9</w:t>
            </w:r>
          </w:p>
          <w:p w:rsidR="001830F3" w:rsidRPr="001830F3" w:rsidRDefault="00FA64AB" w:rsidP="00CC37CA">
            <w:pPr>
              <w:pStyle w:val="xDisclaimerText2"/>
              <w:framePr w:hSpace="0" w:wrap="auto" w:hAnchor="text" w:yAlign="inline"/>
              <w:suppressOverlap w:val="0"/>
            </w:pPr>
            <w:r w:rsidRPr="000D4C9A">
              <w:t>ISBN 978-0-6483701-3-0</w:t>
            </w:r>
            <w:r>
              <w:rPr>
                <w:b/>
              </w:rPr>
              <w:t xml:space="preserve"> </w:t>
            </w:r>
            <w:r w:rsidR="006A4C4F" w:rsidRPr="000C5170">
              <w:rPr>
                <w:color w:val="auto"/>
              </w:rPr>
              <w:t>(</w:t>
            </w:r>
            <w:r>
              <w:rPr>
                <w:color w:val="auto"/>
              </w:rPr>
              <w:t>online</w:t>
            </w:r>
            <w:r w:rsidR="006A4C4F" w:rsidRPr="000C5170">
              <w:rPr>
                <w:color w:val="auto"/>
              </w:rPr>
              <w:t>)</w:t>
            </w:r>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081BF9AB" wp14:editId="3445DB2E">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0C5170" w:rsidRPr="000C5170">
              <w:t>201</w:t>
            </w:r>
            <w:r w:rsidR="005D4E08">
              <w:t>9</w:t>
            </w:r>
            <w:r w:rsidR="005D5A0B">
              <w:t>–</w:t>
            </w:r>
            <w:r w:rsidR="005D4E08">
              <w:t>20</w:t>
            </w:r>
            <w:r w:rsidR="000C5170" w:rsidRPr="000C5170">
              <w:t xml:space="preserve"> </w:t>
            </w:r>
            <w:r w:rsidR="00470F7D">
              <w:t>M</w:t>
            </w:r>
            <w:r w:rsidR="000C5170" w:rsidRPr="000C5170">
              <w:t xml:space="preserve">edium-term </w:t>
            </w:r>
            <w:r w:rsidR="00DA0BF4">
              <w:t xml:space="preserve">fiscal </w:t>
            </w:r>
            <w:r w:rsidR="000C5170" w:rsidRPr="000C5170">
              <w:t>projections</w:t>
            </w:r>
            <w:r w:rsidR="000C5170">
              <w:t>.</w:t>
            </w:r>
          </w:p>
          <w:p w:rsidR="00395ABA" w:rsidRDefault="00395ABA" w:rsidP="00395ABA">
            <w:pPr>
              <w:pStyle w:val="xDisclaimerHeading"/>
              <w:framePr w:hSpace="0" w:wrap="auto" w:hAnchor="text" w:yAlign="inline"/>
              <w:suppressOverlap w:val="0"/>
            </w:pPr>
            <w:r>
              <w:t>Use of the Coat of Arms</w:t>
            </w:r>
          </w:p>
          <w:p w:rsidR="001830F3" w:rsidRDefault="00395ABA" w:rsidP="00CC37CA">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7" w:history="1">
              <w:r w:rsidR="009864E5">
                <w:rPr>
                  <w:rStyle w:val="Hyperlink"/>
                </w:rPr>
                <w:t>https://www.pmc.gov.au/government/commonwealth-coat-arms</w:t>
              </w:r>
            </w:hyperlink>
          </w:p>
          <w:p w:rsidR="00DA0BF4" w:rsidRDefault="00DA0BF4" w:rsidP="00DA0BF4">
            <w:pPr>
              <w:pStyle w:val="xDisclaimerHeading"/>
              <w:framePr w:hSpace="0" w:wrap="auto" w:hAnchor="text" w:yAlign="inline"/>
              <w:suppressOverlap w:val="0"/>
              <w:rPr>
                <w:rFonts w:ascii="Calibri" w:eastAsia="Calibri" w:hAnsi="Calibri" w:cs="Times New Roman"/>
                <w:u w:val="single"/>
              </w:rPr>
            </w:pPr>
            <w:r>
              <w:t>Feedback</w:t>
            </w:r>
          </w:p>
          <w:p w:rsidR="00DA0BF4" w:rsidRPr="001830F3" w:rsidRDefault="00DA0BF4" w:rsidP="00DA0BF4">
            <w:pPr>
              <w:pStyle w:val="xDisclaimerText2"/>
              <w:framePr w:hSpace="0" w:wrap="auto" w:hAnchor="text" w:yAlign="inline"/>
              <w:suppressOverlap w:val="0"/>
            </w:pPr>
            <w:r>
              <w:rPr>
                <w:rFonts w:ascii="Calibri" w:eastAsia="Calibri" w:hAnsi="Calibri" w:cs="Times New Roman"/>
              </w:rPr>
              <w:t xml:space="preserve">If you found this report useful, or have suggestions for improvement, please provide feedback to </w:t>
            </w:r>
            <w:hyperlink r:id="rId18" w:history="1">
              <w:r>
                <w:rPr>
                  <w:rStyle w:val="Hyperlink"/>
                </w:rPr>
                <w:t>feedback@pbo.gov.au</w:t>
              </w:r>
            </w:hyperlink>
            <w:r>
              <w:rPr>
                <w:rFonts w:ascii="Calibri" w:eastAsia="Calibri" w:hAnsi="Calibri" w:cs="Times New Roman"/>
              </w:rPr>
              <w:t>.</w:t>
            </w:r>
          </w:p>
        </w:tc>
      </w:tr>
    </w:tbl>
    <w:p w:rsidR="00924801" w:rsidRDefault="00924801"/>
    <w:p w:rsidR="00C800F2" w:rsidRDefault="00C800F2"/>
    <w:p w:rsidR="001830F3" w:rsidRDefault="001830F3" w:rsidP="001830F3">
      <w:pPr>
        <w:sectPr w:rsidR="001830F3" w:rsidSect="00AB1ED5">
          <w:headerReference w:type="even" r:id="rId19"/>
          <w:headerReference w:type="default" r:id="rId20"/>
          <w:footerReference w:type="even" r:id="rId21"/>
          <w:footerReference w:type="default" r:id="rId22"/>
          <w:headerReference w:type="first" r:id="rId23"/>
          <w:footerReference w:type="first" r:id="rId24"/>
          <w:pgSz w:w="11907" w:h="16840" w:code="9"/>
          <w:pgMar w:top="1191" w:right="1418" w:bottom="1021" w:left="1418" w:header="567" w:footer="709" w:gutter="0"/>
          <w:pgNumType w:fmt="lowerRoman"/>
          <w:cols w:space="708"/>
          <w:docGrid w:linePitch="360"/>
        </w:sectPr>
      </w:pPr>
    </w:p>
    <w:p w:rsidR="00D559DF" w:rsidRPr="00A117C9" w:rsidRDefault="00D559DF" w:rsidP="00A117C9">
      <w:pPr>
        <w:pStyle w:val="TOCHeading"/>
        <w:spacing w:after="320"/>
        <w:rPr>
          <w:sz w:val="48"/>
        </w:rPr>
      </w:pPr>
      <w:r w:rsidRPr="00A117C9">
        <w:rPr>
          <w:sz w:val="48"/>
        </w:rPr>
        <w:lastRenderedPageBreak/>
        <w:t>Contents</w:t>
      </w:r>
      <w:bookmarkStart w:id="1" w:name="_TOCMarker"/>
      <w:bookmarkEnd w:id="1"/>
    </w:p>
    <w:p w:rsidR="003D4FB5" w:rsidRDefault="00014976">
      <w:pPr>
        <w:pStyle w:val="TOC1"/>
        <w:rPr>
          <w:rFonts w:eastAsiaTheme="minorEastAsia"/>
          <w:b w:val="0"/>
          <w:color w:val="auto"/>
          <w:sz w:val="22"/>
          <w:lang w:eastAsia="en-AU"/>
        </w:rPr>
      </w:pPr>
      <w:r>
        <w:rPr>
          <w:b w:val="0"/>
          <w:color w:val="9778B4" w:themeColor="text2"/>
        </w:rPr>
        <w:fldChar w:fldCharType="begin"/>
      </w:r>
      <w:r>
        <w:rPr>
          <w:b w:val="0"/>
          <w:color w:val="9778B4" w:themeColor="text2"/>
        </w:rPr>
        <w:instrText xml:space="preserve"> TOC \o "1-2" \h \z \u </w:instrText>
      </w:r>
      <w:r>
        <w:rPr>
          <w:b w:val="0"/>
          <w:color w:val="9778B4" w:themeColor="text2"/>
        </w:rPr>
        <w:fldChar w:fldCharType="separate"/>
      </w:r>
      <w:hyperlink w:anchor="_Toc19801224" w:history="1">
        <w:r w:rsidR="003D4FB5" w:rsidRPr="008B56FA">
          <w:rPr>
            <w:rStyle w:val="Hyperlink"/>
          </w:rPr>
          <w:t>Overview</w:t>
        </w:r>
        <w:r w:rsidR="003D4FB5">
          <w:rPr>
            <w:webHidden/>
          </w:rPr>
          <w:tab/>
        </w:r>
        <w:r w:rsidR="003D4FB5">
          <w:rPr>
            <w:webHidden/>
          </w:rPr>
          <w:fldChar w:fldCharType="begin"/>
        </w:r>
        <w:r w:rsidR="003D4FB5">
          <w:rPr>
            <w:webHidden/>
          </w:rPr>
          <w:instrText xml:space="preserve"> PAGEREF _Toc19801224 \h </w:instrText>
        </w:r>
        <w:r w:rsidR="003D4FB5">
          <w:rPr>
            <w:webHidden/>
          </w:rPr>
        </w:r>
        <w:r w:rsidR="003D4FB5">
          <w:rPr>
            <w:webHidden/>
          </w:rPr>
          <w:fldChar w:fldCharType="separate"/>
        </w:r>
        <w:r w:rsidR="0010108E">
          <w:rPr>
            <w:webHidden/>
          </w:rPr>
          <w:t>1</w:t>
        </w:r>
        <w:r w:rsidR="003D4FB5">
          <w:rPr>
            <w:webHidden/>
          </w:rPr>
          <w:fldChar w:fldCharType="end"/>
        </w:r>
      </w:hyperlink>
    </w:p>
    <w:p w:rsidR="003D4FB5" w:rsidRDefault="0010108E" w:rsidP="003D4FB5">
      <w:pPr>
        <w:pStyle w:val="TOC1"/>
        <w:spacing w:before="240" w:after="120"/>
        <w:ind w:right="1985"/>
        <w:rPr>
          <w:rFonts w:eastAsiaTheme="minorEastAsia"/>
          <w:b w:val="0"/>
          <w:color w:val="auto"/>
          <w:sz w:val="22"/>
          <w:lang w:eastAsia="en-AU"/>
        </w:rPr>
      </w:pPr>
      <w:hyperlink w:anchor="_Toc19801225" w:history="1">
        <w:r w:rsidR="003D4FB5" w:rsidRPr="008B56FA">
          <w:rPr>
            <w:rStyle w:val="Hyperlink"/>
          </w:rPr>
          <w:t>1</w:t>
        </w:r>
        <w:r w:rsidR="003D4FB5">
          <w:rPr>
            <w:rFonts w:eastAsiaTheme="minorEastAsia"/>
            <w:b w:val="0"/>
            <w:color w:val="auto"/>
            <w:sz w:val="22"/>
            <w:lang w:eastAsia="en-AU"/>
          </w:rPr>
          <w:tab/>
        </w:r>
        <w:r w:rsidR="003D4FB5" w:rsidRPr="008B56FA">
          <w:rPr>
            <w:rStyle w:val="Hyperlink"/>
          </w:rPr>
          <w:t>Projected underlying cash balance</w:t>
        </w:r>
        <w:r w:rsidR="003D4FB5">
          <w:rPr>
            <w:webHidden/>
          </w:rPr>
          <w:tab/>
        </w:r>
        <w:r w:rsidR="003D4FB5">
          <w:rPr>
            <w:webHidden/>
          </w:rPr>
          <w:fldChar w:fldCharType="begin"/>
        </w:r>
        <w:r w:rsidR="003D4FB5">
          <w:rPr>
            <w:webHidden/>
          </w:rPr>
          <w:instrText xml:space="preserve"> PAGEREF _Toc19801225 \h </w:instrText>
        </w:r>
        <w:r w:rsidR="003D4FB5">
          <w:rPr>
            <w:webHidden/>
          </w:rPr>
        </w:r>
        <w:r w:rsidR="003D4FB5">
          <w:rPr>
            <w:webHidden/>
          </w:rPr>
          <w:fldChar w:fldCharType="separate"/>
        </w:r>
        <w:r>
          <w:rPr>
            <w:webHidden/>
          </w:rPr>
          <w:t>2</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26" w:history="1">
        <w:r w:rsidR="003D4FB5" w:rsidRPr="008B56FA">
          <w:rPr>
            <w:rStyle w:val="Hyperlink"/>
          </w:rPr>
          <w:t>1.1</w:t>
        </w:r>
        <w:r w:rsidR="003D4FB5">
          <w:rPr>
            <w:rFonts w:asciiTheme="minorHAnsi" w:hAnsiTheme="minorHAnsi"/>
            <w:color w:val="auto"/>
            <w:sz w:val="22"/>
          </w:rPr>
          <w:tab/>
        </w:r>
        <w:r w:rsidR="003D4FB5" w:rsidRPr="008B56FA">
          <w:rPr>
            <w:rStyle w:val="Hyperlink"/>
          </w:rPr>
          <w:t>Underlying cash balance</w:t>
        </w:r>
        <w:r w:rsidR="003D4FB5">
          <w:rPr>
            <w:webHidden/>
          </w:rPr>
          <w:tab/>
        </w:r>
        <w:r w:rsidR="003D4FB5">
          <w:rPr>
            <w:webHidden/>
          </w:rPr>
          <w:fldChar w:fldCharType="begin"/>
        </w:r>
        <w:r w:rsidR="003D4FB5">
          <w:rPr>
            <w:webHidden/>
          </w:rPr>
          <w:instrText xml:space="preserve"> PAGEREF _Toc19801226 \h </w:instrText>
        </w:r>
        <w:r w:rsidR="003D4FB5">
          <w:rPr>
            <w:webHidden/>
          </w:rPr>
        </w:r>
        <w:r w:rsidR="003D4FB5">
          <w:rPr>
            <w:webHidden/>
          </w:rPr>
          <w:fldChar w:fldCharType="separate"/>
        </w:r>
        <w:r>
          <w:rPr>
            <w:webHidden/>
          </w:rPr>
          <w:t>2</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27" w:history="1">
        <w:r w:rsidR="003D4FB5" w:rsidRPr="008B56FA">
          <w:rPr>
            <w:rStyle w:val="Hyperlink"/>
          </w:rPr>
          <w:t>1.2</w:t>
        </w:r>
        <w:r w:rsidR="003D4FB5">
          <w:rPr>
            <w:rFonts w:asciiTheme="minorHAnsi" w:hAnsiTheme="minorHAnsi"/>
            <w:color w:val="auto"/>
            <w:sz w:val="22"/>
          </w:rPr>
          <w:tab/>
        </w:r>
        <w:r w:rsidR="003D4FB5" w:rsidRPr="008B56FA">
          <w:rPr>
            <w:rStyle w:val="Hyperlink"/>
          </w:rPr>
          <w:t>Changes since the 2018</w:t>
        </w:r>
        <w:r w:rsidR="003D4FB5" w:rsidRPr="008B56FA">
          <w:rPr>
            <w:rStyle w:val="Hyperlink"/>
            <w:spacing w:val="-3"/>
          </w:rPr>
          <w:t>–</w:t>
        </w:r>
        <w:r w:rsidR="003D4FB5" w:rsidRPr="008B56FA">
          <w:rPr>
            <w:rStyle w:val="Hyperlink"/>
          </w:rPr>
          <w:t>19 Medium-term projections</w:t>
        </w:r>
        <w:r w:rsidR="003D4FB5">
          <w:rPr>
            <w:webHidden/>
          </w:rPr>
          <w:tab/>
        </w:r>
        <w:r w:rsidR="003D4FB5">
          <w:rPr>
            <w:webHidden/>
          </w:rPr>
          <w:fldChar w:fldCharType="begin"/>
        </w:r>
        <w:r w:rsidR="003D4FB5">
          <w:rPr>
            <w:webHidden/>
          </w:rPr>
          <w:instrText xml:space="preserve"> PAGEREF _Toc19801227 \h </w:instrText>
        </w:r>
        <w:r w:rsidR="003D4FB5">
          <w:rPr>
            <w:webHidden/>
          </w:rPr>
        </w:r>
        <w:r w:rsidR="003D4FB5">
          <w:rPr>
            <w:webHidden/>
          </w:rPr>
          <w:fldChar w:fldCharType="separate"/>
        </w:r>
        <w:r>
          <w:rPr>
            <w:webHidden/>
          </w:rPr>
          <w:t>4</w:t>
        </w:r>
        <w:r w:rsidR="003D4FB5">
          <w:rPr>
            <w:webHidden/>
          </w:rPr>
          <w:fldChar w:fldCharType="end"/>
        </w:r>
      </w:hyperlink>
    </w:p>
    <w:p w:rsidR="003D4FB5" w:rsidRDefault="0010108E" w:rsidP="003D4FB5">
      <w:pPr>
        <w:pStyle w:val="TOC1"/>
        <w:spacing w:before="240" w:after="120"/>
        <w:ind w:right="1985"/>
        <w:rPr>
          <w:rFonts w:eastAsiaTheme="minorEastAsia"/>
          <w:b w:val="0"/>
          <w:color w:val="auto"/>
          <w:sz w:val="22"/>
          <w:lang w:eastAsia="en-AU"/>
        </w:rPr>
      </w:pPr>
      <w:hyperlink w:anchor="_Toc19801228" w:history="1">
        <w:r w:rsidR="003D4FB5" w:rsidRPr="008B56FA">
          <w:rPr>
            <w:rStyle w:val="Hyperlink"/>
          </w:rPr>
          <w:t>2</w:t>
        </w:r>
        <w:r w:rsidR="003D4FB5">
          <w:rPr>
            <w:rFonts w:eastAsiaTheme="minorEastAsia"/>
            <w:b w:val="0"/>
            <w:color w:val="auto"/>
            <w:sz w:val="22"/>
            <w:lang w:eastAsia="en-AU"/>
          </w:rPr>
          <w:tab/>
        </w:r>
        <w:r w:rsidR="003D4FB5" w:rsidRPr="008B56FA">
          <w:rPr>
            <w:rStyle w:val="Hyperlink"/>
          </w:rPr>
          <w:t>Projected receipts</w:t>
        </w:r>
        <w:r w:rsidR="003D4FB5">
          <w:rPr>
            <w:webHidden/>
          </w:rPr>
          <w:tab/>
        </w:r>
        <w:r w:rsidR="003D4FB5">
          <w:rPr>
            <w:webHidden/>
          </w:rPr>
          <w:fldChar w:fldCharType="begin"/>
        </w:r>
        <w:r w:rsidR="003D4FB5">
          <w:rPr>
            <w:webHidden/>
          </w:rPr>
          <w:instrText xml:space="preserve"> PAGEREF _Toc19801228 \h </w:instrText>
        </w:r>
        <w:r w:rsidR="003D4FB5">
          <w:rPr>
            <w:webHidden/>
          </w:rPr>
        </w:r>
        <w:r w:rsidR="003D4FB5">
          <w:rPr>
            <w:webHidden/>
          </w:rPr>
          <w:fldChar w:fldCharType="separate"/>
        </w:r>
        <w:r>
          <w:rPr>
            <w:webHidden/>
          </w:rPr>
          <w:t>6</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29" w:history="1">
        <w:r w:rsidR="003D4FB5" w:rsidRPr="008B56FA">
          <w:rPr>
            <w:rStyle w:val="Hyperlink"/>
          </w:rPr>
          <w:t>2.1</w:t>
        </w:r>
        <w:r w:rsidR="003D4FB5">
          <w:rPr>
            <w:rFonts w:asciiTheme="minorHAnsi" w:hAnsiTheme="minorHAnsi"/>
            <w:color w:val="auto"/>
            <w:sz w:val="22"/>
          </w:rPr>
          <w:tab/>
        </w:r>
        <w:r w:rsidR="003D4FB5" w:rsidRPr="008B56FA">
          <w:rPr>
            <w:rStyle w:val="Hyperlink"/>
          </w:rPr>
          <w:t>Total receipts</w:t>
        </w:r>
        <w:r w:rsidR="003D4FB5">
          <w:rPr>
            <w:webHidden/>
          </w:rPr>
          <w:tab/>
        </w:r>
        <w:r w:rsidR="003D4FB5">
          <w:rPr>
            <w:webHidden/>
          </w:rPr>
          <w:fldChar w:fldCharType="begin"/>
        </w:r>
        <w:r w:rsidR="003D4FB5">
          <w:rPr>
            <w:webHidden/>
          </w:rPr>
          <w:instrText xml:space="preserve"> PAGEREF _Toc19801229 \h </w:instrText>
        </w:r>
        <w:r w:rsidR="003D4FB5">
          <w:rPr>
            <w:webHidden/>
          </w:rPr>
        </w:r>
        <w:r w:rsidR="003D4FB5">
          <w:rPr>
            <w:webHidden/>
          </w:rPr>
          <w:fldChar w:fldCharType="separate"/>
        </w:r>
        <w:r>
          <w:rPr>
            <w:webHidden/>
          </w:rPr>
          <w:t>6</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0" w:history="1">
        <w:r w:rsidR="003D4FB5" w:rsidRPr="008B56FA">
          <w:rPr>
            <w:rStyle w:val="Hyperlink"/>
          </w:rPr>
          <w:t>2.2</w:t>
        </w:r>
        <w:r w:rsidR="003D4FB5">
          <w:rPr>
            <w:rFonts w:asciiTheme="minorHAnsi" w:hAnsiTheme="minorHAnsi"/>
            <w:color w:val="auto"/>
            <w:sz w:val="22"/>
          </w:rPr>
          <w:tab/>
        </w:r>
        <w:r w:rsidR="003D4FB5" w:rsidRPr="008B56FA">
          <w:rPr>
            <w:rStyle w:val="Hyperlink"/>
          </w:rPr>
          <w:t>Personal income tax and fringe benefits tax receipts</w:t>
        </w:r>
        <w:r w:rsidR="003D4FB5">
          <w:rPr>
            <w:webHidden/>
          </w:rPr>
          <w:tab/>
        </w:r>
        <w:r w:rsidR="003D4FB5">
          <w:rPr>
            <w:webHidden/>
          </w:rPr>
          <w:fldChar w:fldCharType="begin"/>
        </w:r>
        <w:r w:rsidR="003D4FB5">
          <w:rPr>
            <w:webHidden/>
          </w:rPr>
          <w:instrText xml:space="preserve"> PAGEREF _Toc19801230 \h </w:instrText>
        </w:r>
        <w:r w:rsidR="003D4FB5">
          <w:rPr>
            <w:webHidden/>
          </w:rPr>
        </w:r>
        <w:r w:rsidR="003D4FB5">
          <w:rPr>
            <w:webHidden/>
          </w:rPr>
          <w:fldChar w:fldCharType="separate"/>
        </w:r>
        <w:r>
          <w:rPr>
            <w:webHidden/>
          </w:rPr>
          <w:t>8</w:t>
        </w:r>
        <w:r w:rsidR="003D4FB5">
          <w:rPr>
            <w:webHidden/>
          </w:rPr>
          <w:fldChar w:fldCharType="end"/>
        </w:r>
      </w:hyperlink>
      <w:bookmarkStart w:id="2" w:name="_GoBack"/>
      <w:bookmarkEnd w:id="2"/>
    </w:p>
    <w:p w:rsidR="003D4FB5" w:rsidRDefault="0010108E" w:rsidP="003D4FB5">
      <w:pPr>
        <w:pStyle w:val="TOC2"/>
        <w:ind w:left="1134"/>
        <w:rPr>
          <w:rFonts w:asciiTheme="minorHAnsi" w:hAnsiTheme="minorHAnsi"/>
          <w:color w:val="auto"/>
          <w:sz w:val="22"/>
        </w:rPr>
      </w:pPr>
      <w:hyperlink w:anchor="_Toc19801231" w:history="1">
        <w:r w:rsidR="003D4FB5" w:rsidRPr="008B56FA">
          <w:rPr>
            <w:rStyle w:val="Hyperlink"/>
          </w:rPr>
          <w:t>2.3</w:t>
        </w:r>
        <w:r w:rsidR="003D4FB5">
          <w:rPr>
            <w:rFonts w:asciiTheme="minorHAnsi" w:hAnsiTheme="minorHAnsi"/>
            <w:color w:val="auto"/>
            <w:sz w:val="22"/>
          </w:rPr>
          <w:tab/>
        </w:r>
        <w:r w:rsidR="003D4FB5" w:rsidRPr="008B56FA">
          <w:rPr>
            <w:rStyle w:val="Hyperlink"/>
          </w:rPr>
          <w:t>Company tax receipts</w:t>
        </w:r>
        <w:r w:rsidR="003D4FB5">
          <w:rPr>
            <w:webHidden/>
          </w:rPr>
          <w:tab/>
        </w:r>
        <w:r>
          <w:rPr>
            <w:webHidden/>
          </w:rPr>
          <w:t>8</w:t>
        </w:r>
      </w:hyperlink>
    </w:p>
    <w:p w:rsidR="003D4FB5" w:rsidRDefault="0010108E" w:rsidP="003D4FB5">
      <w:pPr>
        <w:pStyle w:val="TOC2"/>
        <w:ind w:left="1134"/>
        <w:rPr>
          <w:rFonts w:asciiTheme="minorHAnsi" w:hAnsiTheme="minorHAnsi"/>
          <w:color w:val="auto"/>
          <w:sz w:val="22"/>
        </w:rPr>
      </w:pPr>
      <w:hyperlink w:anchor="_Toc19801232" w:history="1">
        <w:r w:rsidR="003D4FB5" w:rsidRPr="008B56FA">
          <w:rPr>
            <w:rStyle w:val="Hyperlink"/>
          </w:rPr>
          <w:t>2.4</w:t>
        </w:r>
        <w:r w:rsidR="003D4FB5">
          <w:rPr>
            <w:rFonts w:asciiTheme="minorHAnsi" w:hAnsiTheme="minorHAnsi"/>
            <w:color w:val="auto"/>
            <w:sz w:val="22"/>
          </w:rPr>
          <w:tab/>
        </w:r>
        <w:r w:rsidR="003D4FB5" w:rsidRPr="008B56FA">
          <w:rPr>
            <w:rStyle w:val="Hyperlink"/>
          </w:rPr>
          <w:t>Goods and services tax receipts</w:t>
        </w:r>
        <w:r w:rsidR="003D4FB5">
          <w:rPr>
            <w:webHidden/>
          </w:rPr>
          <w:tab/>
        </w:r>
        <w:r w:rsidR="003D4FB5">
          <w:rPr>
            <w:webHidden/>
          </w:rPr>
          <w:fldChar w:fldCharType="begin"/>
        </w:r>
        <w:r w:rsidR="003D4FB5">
          <w:rPr>
            <w:webHidden/>
          </w:rPr>
          <w:instrText xml:space="preserve"> PAGEREF _Toc19801232 \h </w:instrText>
        </w:r>
        <w:r w:rsidR="003D4FB5">
          <w:rPr>
            <w:webHidden/>
          </w:rPr>
        </w:r>
        <w:r w:rsidR="003D4FB5">
          <w:rPr>
            <w:webHidden/>
          </w:rPr>
          <w:fldChar w:fldCharType="separate"/>
        </w:r>
        <w:r>
          <w:rPr>
            <w:webHidden/>
          </w:rPr>
          <w:t>10</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3" w:history="1">
        <w:r w:rsidR="003D4FB5" w:rsidRPr="008B56FA">
          <w:rPr>
            <w:rStyle w:val="Hyperlink"/>
          </w:rPr>
          <w:t>2.5</w:t>
        </w:r>
        <w:r w:rsidR="003D4FB5">
          <w:rPr>
            <w:rFonts w:asciiTheme="minorHAnsi" w:hAnsiTheme="minorHAnsi"/>
            <w:color w:val="auto"/>
            <w:sz w:val="22"/>
          </w:rPr>
          <w:tab/>
        </w:r>
        <w:r w:rsidR="003D4FB5" w:rsidRPr="008B56FA">
          <w:rPr>
            <w:rStyle w:val="Hyperlink"/>
          </w:rPr>
          <w:t>Excise, customs duty, and wine equalisation tax receipts</w:t>
        </w:r>
        <w:r w:rsidR="003D4FB5">
          <w:rPr>
            <w:webHidden/>
          </w:rPr>
          <w:tab/>
        </w:r>
        <w:r w:rsidR="003D4FB5">
          <w:rPr>
            <w:webHidden/>
          </w:rPr>
          <w:fldChar w:fldCharType="begin"/>
        </w:r>
        <w:r w:rsidR="003D4FB5">
          <w:rPr>
            <w:webHidden/>
          </w:rPr>
          <w:instrText xml:space="preserve"> PAGEREF _Toc19801233 \h </w:instrText>
        </w:r>
        <w:r w:rsidR="003D4FB5">
          <w:rPr>
            <w:webHidden/>
          </w:rPr>
        </w:r>
        <w:r w:rsidR="003D4FB5">
          <w:rPr>
            <w:webHidden/>
          </w:rPr>
          <w:fldChar w:fldCharType="separate"/>
        </w:r>
        <w:r>
          <w:rPr>
            <w:webHidden/>
          </w:rPr>
          <w:t>10</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4" w:history="1">
        <w:r w:rsidR="003D4FB5" w:rsidRPr="008B56FA">
          <w:rPr>
            <w:rStyle w:val="Hyperlink"/>
          </w:rPr>
          <w:t>2.6</w:t>
        </w:r>
        <w:r w:rsidR="003D4FB5">
          <w:rPr>
            <w:rFonts w:asciiTheme="minorHAnsi" w:hAnsiTheme="minorHAnsi"/>
            <w:color w:val="auto"/>
            <w:sz w:val="22"/>
          </w:rPr>
          <w:tab/>
        </w:r>
        <w:r w:rsidR="003D4FB5" w:rsidRPr="008B56FA">
          <w:rPr>
            <w:rStyle w:val="Hyperlink"/>
          </w:rPr>
          <w:t>Non-tax receipts</w:t>
        </w:r>
        <w:r w:rsidR="003D4FB5">
          <w:rPr>
            <w:webHidden/>
          </w:rPr>
          <w:tab/>
        </w:r>
        <w:r w:rsidR="003D4FB5">
          <w:rPr>
            <w:webHidden/>
          </w:rPr>
          <w:fldChar w:fldCharType="begin"/>
        </w:r>
        <w:r w:rsidR="003D4FB5">
          <w:rPr>
            <w:webHidden/>
          </w:rPr>
          <w:instrText xml:space="preserve"> PAGEREF _Toc19801234 \h </w:instrText>
        </w:r>
        <w:r w:rsidR="003D4FB5">
          <w:rPr>
            <w:webHidden/>
          </w:rPr>
        </w:r>
        <w:r w:rsidR="003D4FB5">
          <w:rPr>
            <w:webHidden/>
          </w:rPr>
          <w:fldChar w:fldCharType="separate"/>
        </w:r>
        <w:r>
          <w:rPr>
            <w:webHidden/>
          </w:rPr>
          <w:t>10</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5" w:history="1">
        <w:r w:rsidR="003D4FB5" w:rsidRPr="008B56FA">
          <w:rPr>
            <w:rStyle w:val="Hyperlink"/>
          </w:rPr>
          <w:t>2.7</w:t>
        </w:r>
        <w:r w:rsidR="003D4FB5">
          <w:rPr>
            <w:rFonts w:asciiTheme="minorHAnsi" w:hAnsiTheme="minorHAnsi"/>
            <w:color w:val="auto"/>
            <w:sz w:val="22"/>
          </w:rPr>
          <w:tab/>
        </w:r>
        <w:r w:rsidR="003D4FB5" w:rsidRPr="008B56FA">
          <w:rPr>
            <w:rStyle w:val="Hyperlink"/>
          </w:rPr>
          <w:t>Superannuation fund tax receipts</w:t>
        </w:r>
        <w:r w:rsidR="003D4FB5">
          <w:rPr>
            <w:webHidden/>
          </w:rPr>
          <w:tab/>
        </w:r>
        <w:r w:rsidR="003D4FB5">
          <w:rPr>
            <w:webHidden/>
          </w:rPr>
          <w:fldChar w:fldCharType="begin"/>
        </w:r>
        <w:r w:rsidR="003D4FB5">
          <w:rPr>
            <w:webHidden/>
          </w:rPr>
          <w:instrText xml:space="preserve"> PAGEREF _Toc19801235 \h </w:instrText>
        </w:r>
        <w:r w:rsidR="003D4FB5">
          <w:rPr>
            <w:webHidden/>
          </w:rPr>
        </w:r>
        <w:r w:rsidR="003D4FB5">
          <w:rPr>
            <w:webHidden/>
          </w:rPr>
          <w:fldChar w:fldCharType="separate"/>
        </w:r>
        <w:r>
          <w:rPr>
            <w:webHidden/>
          </w:rPr>
          <w:t>11</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6" w:history="1">
        <w:r w:rsidR="003D4FB5" w:rsidRPr="008B56FA">
          <w:rPr>
            <w:rStyle w:val="Hyperlink"/>
          </w:rPr>
          <w:t>2.8</w:t>
        </w:r>
        <w:r w:rsidR="003D4FB5">
          <w:rPr>
            <w:rFonts w:asciiTheme="minorHAnsi" w:hAnsiTheme="minorHAnsi"/>
            <w:color w:val="auto"/>
            <w:sz w:val="22"/>
          </w:rPr>
          <w:tab/>
        </w:r>
        <w:r w:rsidR="003D4FB5" w:rsidRPr="008B56FA">
          <w:rPr>
            <w:rStyle w:val="Hyperlink"/>
          </w:rPr>
          <w:t>Resource rent tax receipts</w:t>
        </w:r>
        <w:r w:rsidR="003D4FB5">
          <w:rPr>
            <w:webHidden/>
          </w:rPr>
          <w:tab/>
        </w:r>
        <w:r w:rsidR="003D4FB5">
          <w:rPr>
            <w:webHidden/>
          </w:rPr>
          <w:fldChar w:fldCharType="begin"/>
        </w:r>
        <w:r w:rsidR="003D4FB5">
          <w:rPr>
            <w:webHidden/>
          </w:rPr>
          <w:instrText xml:space="preserve"> PAGEREF _Toc19801236 \h </w:instrText>
        </w:r>
        <w:r w:rsidR="003D4FB5">
          <w:rPr>
            <w:webHidden/>
          </w:rPr>
        </w:r>
        <w:r w:rsidR="003D4FB5">
          <w:rPr>
            <w:webHidden/>
          </w:rPr>
          <w:fldChar w:fldCharType="separate"/>
        </w:r>
        <w:r>
          <w:rPr>
            <w:webHidden/>
          </w:rPr>
          <w:t>11</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7" w:history="1">
        <w:r w:rsidR="003D4FB5" w:rsidRPr="008B56FA">
          <w:rPr>
            <w:rStyle w:val="Hyperlink"/>
          </w:rPr>
          <w:t>2.9</w:t>
        </w:r>
        <w:r w:rsidR="003D4FB5">
          <w:rPr>
            <w:rFonts w:asciiTheme="minorHAnsi" w:hAnsiTheme="minorHAnsi"/>
            <w:color w:val="auto"/>
            <w:sz w:val="22"/>
          </w:rPr>
          <w:tab/>
        </w:r>
        <w:r w:rsidR="003D4FB5" w:rsidRPr="008B56FA">
          <w:rPr>
            <w:rStyle w:val="Hyperlink"/>
          </w:rPr>
          <w:t>Risks around projected receipts</w:t>
        </w:r>
        <w:r w:rsidR="003D4FB5">
          <w:rPr>
            <w:webHidden/>
          </w:rPr>
          <w:tab/>
        </w:r>
        <w:r w:rsidR="003D4FB5">
          <w:rPr>
            <w:webHidden/>
          </w:rPr>
          <w:fldChar w:fldCharType="begin"/>
        </w:r>
        <w:r w:rsidR="003D4FB5">
          <w:rPr>
            <w:webHidden/>
          </w:rPr>
          <w:instrText xml:space="preserve"> PAGEREF _Toc19801237 \h </w:instrText>
        </w:r>
        <w:r w:rsidR="003D4FB5">
          <w:rPr>
            <w:webHidden/>
          </w:rPr>
        </w:r>
        <w:r w:rsidR="003D4FB5">
          <w:rPr>
            <w:webHidden/>
          </w:rPr>
          <w:fldChar w:fldCharType="separate"/>
        </w:r>
        <w:r>
          <w:rPr>
            <w:webHidden/>
          </w:rPr>
          <w:t>11</w:t>
        </w:r>
        <w:r w:rsidR="003D4FB5">
          <w:rPr>
            <w:webHidden/>
          </w:rPr>
          <w:fldChar w:fldCharType="end"/>
        </w:r>
      </w:hyperlink>
    </w:p>
    <w:p w:rsidR="003D4FB5" w:rsidRDefault="0010108E" w:rsidP="003D4FB5">
      <w:pPr>
        <w:pStyle w:val="TOC1"/>
        <w:spacing w:before="240" w:after="120"/>
        <w:ind w:right="1985"/>
        <w:rPr>
          <w:rFonts w:eastAsiaTheme="minorEastAsia"/>
          <w:b w:val="0"/>
          <w:color w:val="auto"/>
          <w:sz w:val="22"/>
          <w:lang w:eastAsia="en-AU"/>
        </w:rPr>
      </w:pPr>
      <w:hyperlink w:anchor="_Toc19801238" w:history="1">
        <w:r w:rsidR="003D4FB5" w:rsidRPr="008B56FA">
          <w:rPr>
            <w:rStyle w:val="Hyperlink"/>
          </w:rPr>
          <w:t>3</w:t>
        </w:r>
        <w:r w:rsidR="003D4FB5">
          <w:rPr>
            <w:rFonts w:eastAsiaTheme="minorEastAsia"/>
            <w:b w:val="0"/>
            <w:color w:val="auto"/>
            <w:sz w:val="22"/>
            <w:lang w:eastAsia="en-AU"/>
          </w:rPr>
          <w:tab/>
        </w:r>
        <w:r w:rsidR="003D4FB5" w:rsidRPr="008B56FA">
          <w:rPr>
            <w:rStyle w:val="Hyperlink"/>
          </w:rPr>
          <w:t>Projected spending</w:t>
        </w:r>
        <w:r w:rsidR="003D4FB5">
          <w:rPr>
            <w:webHidden/>
          </w:rPr>
          <w:tab/>
        </w:r>
        <w:r w:rsidR="003D4FB5">
          <w:rPr>
            <w:webHidden/>
          </w:rPr>
          <w:fldChar w:fldCharType="begin"/>
        </w:r>
        <w:r w:rsidR="003D4FB5">
          <w:rPr>
            <w:webHidden/>
          </w:rPr>
          <w:instrText xml:space="preserve"> PAGEREF _Toc19801238 \h </w:instrText>
        </w:r>
        <w:r w:rsidR="003D4FB5">
          <w:rPr>
            <w:webHidden/>
          </w:rPr>
        </w:r>
        <w:r w:rsidR="003D4FB5">
          <w:rPr>
            <w:webHidden/>
          </w:rPr>
          <w:fldChar w:fldCharType="separate"/>
        </w:r>
        <w:r>
          <w:rPr>
            <w:webHidden/>
          </w:rPr>
          <w:t>13</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39" w:history="1">
        <w:r w:rsidR="003D4FB5" w:rsidRPr="008B56FA">
          <w:rPr>
            <w:rStyle w:val="Hyperlink"/>
          </w:rPr>
          <w:t>3.1</w:t>
        </w:r>
        <w:r w:rsidR="003D4FB5">
          <w:rPr>
            <w:rFonts w:asciiTheme="minorHAnsi" w:hAnsiTheme="minorHAnsi"/>
            <w:color w:val="auto"/>
            <w:sz w:val="22"/>
          </w:rPr>
          <w:tab/>
        </w:r>
        <w:r w:rsidR="003D4FB5" w:rsidRPr="008B56FA">
          <w:rPr>
            <w:rStyle w:val="Hyperlink"/>
          </w:rPr>
          <w:t>Total spending</w:t>
        </w:r>
        <w:r w:rsidR="003D4FB5">
          <w:rPr>
            <w:webHidden/>
          </w:rPr>
          <w:tab/>
        </w:r>
        <w:r w:rsidR="003D4FB5">
          <w:rPr>
            <w:webHidden/>
          </w:rPr>
          <w:fldChar w:fldCharType="begin"/>
        </w:r>
        <w:r w:rsidR="003D4FB5">
          <w:rPr>
            <w:webHidden/>
          </w:rPr>
          <w:instrText xml:space="preserve"> PAGEREF _Toc19801239 \h </w:instrText>
        </w:r>
        <w:r w:rsidR="003D4FB5">
          <w:rPr>
            <w:webHidden/>
          </w:rPr>
        </w:r>
        <w:r w:rsidR="003D4FB5">
          <w:rPr>
            <w:webHidden/>
          </w:rPr>
          <w:fldChar w:fldCharType="separate"/>
        </w:r>
        <w:r>
          <w:rPr>
            <w:webHidden/>
          </w:rPr>
          <w:t>13</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0" w:history="1">
        <w:r w:rsidR="003D4FB5" w:rsidRPr="008B56FA">
          <w:rPr>
            <w:rStyle w:val="Hyperlink"/>
          </w:rPr>
          <w:t>3.2</w:t>
        </w:r>
        <w:r w:rsidR="003D4FB5">
          <w:rPr>
            <w:rFonts w:asciiTheme="minorHAnsi" w:hAnsiTheme="minorHAnsi"/>
            <w:color w:val="auto"/>
            <w:sz w:val="22"/>
          </w:rPr>
          <w:tab/>
        </w:r>
        <w:r w:rsidR="003D4FB5" w:rsidRPr="008B56FA">
          <w:rPr>
            <w:rStyle w:val="Hyperlink"/>
          </w:rPr>
          <w:t>Spending growth by program</w:t>
        </w:r>
        <w:r w:rsidR="003D4FB5">
          <w:rPr>
            <w:webHidden/>
          </w:rPr>
          <w:tab/>
        </w:r>
        <w:r w:rsidR="003D4FB5">
          <w:rPr>
            <w:webHidden/>
          </w:rPr>
          <w:fldChar w:fldCharType="begin"/>
        </w:r>
        <w:r w:rsidR="003D4FB5">
          <w:rPr>
            <w:webHidden/>
          </w:rPr>
          <w:instrText xml:space="preserve"> PAGEREF _Toc19801240 \h </w:instrText>
        </w:r>
        <w:r w:rsidR="003D4FB5">
          <w:rPr>
            <w:webHidden/>
          </w:rPr>
        </w:r>
        <w:r w:rsidR="003D4FB5">
          <w:rPr>
            <w:webHidden/>
          </w:rPr>
          <w:fldChar w:fldCharType="separate"/>
        </w:r>
        <w:r>
          <w:rPr>
            <w:webHidden/>
          </w:rPr>
          <w:t>14</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1" w:history="1">
        <w:r w:rsidR="003D4FB5" w:rsidRPr="008B56FA">
          <w:rPr>
            <w:rStyle w:val="Hyperlink"/>
          </w:rPr>
          <w:t>3.3</w:t>
        </w:r>
        <w:r w:rsidR="003D4FB5">
          <w:rPr>
            <w:rFonts w:asciiTheme="minorHAnsi" w:hAnsiTheme="minorHAnsi"/>
            <w:color w:val="auto"/>
            <w:sz w:val="22"/>
          </w:rPr>
          <w:tab/>
        </w:r>
        <w:r w:rsidR="003D4FB5" w:rsidRPr="008B56FA">
          <w:rPr>
            <w:rStyle w:val="Hyperlink"/>
          </w:rPr>
          <w:t>National Disability Insurance Scheme</w:t>
        </w:r>
        <w:r w:rsidR="003D4FB5">
          <w:rPr>
            <w:webHidden/>
          </w:rPr>
          <w:tab/>
        </w:r>
        <w:r w:rsidR="003D4FB5">
          <w:rPr>
            <w:webHidden/>
          </w:rPr>
          <w:fldChar w:fldCharType="begin"/>
        </w:r>
        <w:r w:rsidR="003D4FB5">
          <w:rPr>
            <w:webHidden/>
          </w:rPr>
          <w:instrText xml:space="preserve"> PAGEREF _Toc19801241 \h </w:instrText>
        </w:r>
        <w:r w:rsidR="003D4FB5">
          <w:rPr>
            <w:webHidden/>
          </w:rPr>
        </w:r>
        <w:r w:rsidR="003D4FB5">
          <w:rPr>
            <w:webHidden/>
          </w:rPr>
          <w:fldChar w:fldCharType="separate"/>
        </w:r>
        <w:r>
          <w:rPr>
            <w:webHidden/>
          </w:rPr>
          <w:t>16</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2" w:history="1">
        <w:r w:rsidR="003D4FB5" w:rsidRPr="008B56FA">
          <w:rPr>
            <w:rStyle w:val="Hyperlink"/>
          </w:rPr>
          <w:t>3.4</w:t>
        </w:r>
        <w:r w:rsidR="003D4FB5">
          <w:rPr>
            <w:rFonts w:asciiTheme="minorHAnsi" w:hAnsiTheme="minorHAnsi"/>
            <w:color w:val="auto"/>
            <w:sz w:val="22"/>
          </w:rPr>
          <w:tab/>
        </w:r>
        <w:r w:rsidR="003D4FB5" w:rsidRPr="008B56FA">
          <w:rPr>
            <w:rStyle w:val="Hyperlink"/>
          </w:rPr>
          <w:t>Defence</w:t>
        </w:r>
        <w:r w:rsidR="003D4FB5">
          <w:rPr>
            <w:webHidden/>
          </w:rPr>
          <w:tab/>
        </w:r>
        <w:r w:rsidR="003D4FB5">
          <w:rPr>
            <w:webHidden/>
          </w:rPr>
          <w:fldChar w:fldCharType="begin"/>
        </w:r>
        <w:r w:rsidR="003D4FB5">
          <w:rPr>
            <w:webHidden/>
          </w:rPr>
          <w:instrText xml:space="preserve"> PAGEREF _Toc19801242 \h </w:instrText>
        </w:r>
        <w:r w:rsidR="003D4FB5">
          <w:rPr>
            <w:webHidden/>
          </w:rPr>
        </w:r>
        <w:r w:rsidR="003D4FB5">
          <w:rPr>
            <w:webHidden/>
          </w:rPr>
          <w:fldChar w:fldCharType="separate"/>
        </w:r>
        <w:r>
          <w:rPr>
            <w:webHidden/>
          </w:rPr>
          <w:t>17</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3" w:history="1">
        <w:r w:rsidR="003D4FB5" w:rsidRPr="008B56FA">
          <w:rPr>
            <w:rStyle w:val="Hyperlink"/>
          </w:rPr>
          <w:t>3.5</w:t>
        </w:r>
        <w:r w:rsidR="003D4FB5">
          <w:rPr>
            <w:rFonts w:asciiTheme="minorHAnsi" w:hAnsiTheme="minorHAnsi"/>
            <w:color w:val="auto"/>
            <w:sz w:val="22"/>
          </w:rPr>
          <w:tab/>
        </w:r>
        <w:r w:rsidR="003D4FB5" w:rsidRPr="008B56FA">
          <w:rPr>
            <w:rStyle w:val="Hyperlink"/>
          </w:rPr>
          <w:t>Medicare</w:t>
        </w:r>
        <w:r w:rsidR="003D4FB5">
          <w:rPr>
            <w:webHidden/>
          </w:rPr>
          <w:tab/>
        </w:r>
        <w:r w:rsidR="003D4FB5">
          <w:rPr>
            <w:webHidden/>
          </w:rPr>
          <w:fldChar w:fldCharType="begin"/>
        </w:r>
        <w:r w:rsidR="003D4FB5">
          <w:rPr>
            <w:webHidden/>
          </w:rPr>
          <w:instrText xml:space="preserve"> PAGEREF _Toc19801243 \h </w:instrText>
        </w:r>
        <w:r w:rsidR="003D4FB5">
          <w:rPr>
            <w:webHidden/>
          </w:rPr>
        </w:r>
        <w:r w:rsidR="003D4FB5">
          <w:rPr>
            <w:webHidden/>
          </w:rPr>
          <w:fldChar w:fldCharType="separate"/>
        </w:r>
        <w:r>
          <w:rPr>
            <w:webHidden/>
          </w:rPr>
          <w:t>17</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4" w:history="1">
        <w:r w:rsidR="003D4FB5" w:rsidRPr="008B56FA">
          <w:rPr>
            <w:rStyle w:val="Hyperlink"/>
          </w:rPr>
          <w:t>3.6</w:t>
        </w:r>
        <w:r w:rsidR="003D4FB5">
          <w:rPr>
            <w:rFonts w:asciiTheme="minorHAnsi" w:hAnsiTheme="minorHAnsi"/>
            <w:color w:val="auto"/>
            <w:sz w:val="22"/>
          </w:rPr>
          <w:tab/>
        </w:r>
        <w:r w:rsidR="003D4FB5" w:rsidRPr="008B56FA">
          <w:rPr>
            <w:rStyle w:val="Hyperlink"/>
          </w:rPr>
          <w:t>Pharmaceutical benefits</w:t>
        </w:r>
        <w:r w:rsidR="003D4FB5">
          <w:rPr>
            <w:webHidden/>
          </w:rPr>
          <w:tab/>
        </w:r>
        <w:r w:rsidR="003D4FB5">
          <w:rPr>
            <w:webHidden/>
          </w:rPr>
          <w:fldChar w:fldCharType="begin"/>
        </w:r>
        <w:r w:rsidR="003D4FB5">
          <w:rPr>
            <w:webHidden/>
          </w:rPr>
          <w:instrText xml:space="preserve"> PAGEREF _Toc19801244 \h </w:instrText>
        </w:r>
        <w:r w:rsidR="003D4FB5">
          <w:rPr>
            <w:webHidden/>
          </w:rPr>
        </w:r>
        <w:r w:rsidR="003D4FB5">
          <w:rPr>
            <w:webHidden/>
          </w:rPr>
          <w:fldChar w:fldCharType="separate"/>
        </w:r>
        <w:r>
          <w:rPr>
            <w:webHidden/>
          </w:rPr>
          <w:t>17</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5" w:history="1">
        <w:r w:rsidR="003D4FB5" w:rsidRPr="008B56FA">
          <w:rPr>
            <w:rStyle w:val="Hyperlink"/>
          </w:rPr>
          <w:t>3.7</w:t>
        </w:r>
        <w:r w:rsidR="003D4FB5">
          <w:rPr>
            <w:rFonts w:asciiTheme="minorHAnsi" w:hAnsiTheme="minorHAnsi"/>
            <w:color w:val="auto"/>
            <w:sz w:val="22"/>
          </w:rPr>
          <w:tab/>
        </w:r>
        <w:r w:rsidR="003D4FB5" w:rsidRPr="008B56FA">
          <w:rPr>
            <w:rStyle w:val="Hyperlink"/>
          </w:rPr>
          <w:t>Aged care and the age pension</w:t>
        </w:r>
        <w:r w:rsidR="003D4FB5">
          <w:rPr>
            <w:webHidden/>
          </w:rPr>
          <w:tab/>
        </w:r>
        <w:r w:rsidR="003D4FB5">
          <w:rPr>
            <w:webHidden/>
          </w:rPr>
          <w:fldChar w:fldCharType="begin"/>
        </w:r>
        <w:r w:rsidR="003D4FB5">
          <w:rPr>
            <w:webHidden/>
          </w:rPr>
          <w:instrText xml:space="preserve"> PAGEREF _Toc19801245 \h </w:instrText>
        </w:r>
        <w:r w:rsidR="003D4FB5">
          <w:rPr>
            <w:webHidden/>
          </w:rPr>
        </w:r>
        <w:r w:rsidR="003D4FB5">
          <w:rPr>
            <w:webHidden/>
          </w:rPr>
          <w:fldChar w:fldCharType="separate"/>
        </w:r>
        <w:r>
          <w:rPr>
            <w:webHidden/>
          </w:rPr>
          <w:t>18</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6" w:history="1">
        <w:r w:rsidR="003D4FB5" w:rsidRPr="008B56FA">
          <w:rPr>
            <w:rStyle w:val="Hyperlink"/>
          </w:rPr>
          <w:t>3.8</w:t>
        </w:r>
        <w:r w:rsidR="003D4FB5">
          <w:rPr>
            <w:rFonts w:asciiTheme="minorHAnsi" w:hAnsiTheme="minorHAnsi"/>
            <w:color w:val="auto"/>
            <w:sz w:val="22"/>
          </w:rPr>
          <w:tab/>
        </w:r>
        <w:r w:rsidR="003D4FB5" w:rsidRPr="008B56FA">
          <w:rPr>
            <w:rStyle w:val="Hyperlink"/>
          </w:rPr>
          <w:t>Family tax benefit</w:t>
        </w:r>
        <w:r w:rsidR="003D4FB5">
          <w:rPr>
            <w:webHidden/>
          </w:rPr>
          <w:tab/>
        </w:r>
        <w:r w:rsidR="003D4FB5">
          <w:rPr>
            <w:webHidden/>
          </w:rPr>
          <w:fldChar w:fldCharType="begin"/>
        </w:r>
        <w:r w:rsidR="003D4FB5">
          <w:rPr>
            <w:webHidden/>
          </w:rPr>
          <w:instrText xml:space="preserve"> PAGEREF _Toc19801246 \h </w:instrText>
        </w:r>
        <w:r w:rsidR="003D4FB5">
          <w:rPr>
            <w:webHidden/>
          </w:rPr>
        </w:r>
        <w:r w:rsidR="003D4FB5">
          <w:rPr>
            <w:webHidden/>
          </w:rPr>
          <w:fldChar w:fldCharType="separate"/>
        </w:r>
        <w:r>
          <w:rPr>
            <w:webHidden/>
          </w:rPr>
          <w:t>18</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7" w:history="1">
        <w:r w:rsidR="003D4FB5" w:rsidRPr="008B56FA">
          <w:rPr>
            <w:rStyle w:val="Hyperlink"/>
          </w:rPr>
          <w:t>3.9</w:t>
        </w:r>
        <w:r w:rsidR="003D4FB5">
          <w:rPr>
            <w:rFonts w:asciiTheme="minorHAnsi" w:hAnsiTheme="minorHAnsi"/>
            <w:color w:val="auto"/>
            <w:sz w:val="22"/>
          </w:rPr>
          <w:tab/>
        </w:r>
        <w:r w:rsidR="003D4FB5" w:rsidRPr="008B56FA">
          <w:rPr>
            <w:rStyle w:val="Hyperlink"/>
          </w:rPr>
          <w:t>Disability support pension</w:t>
        </w:r>
        <w:r w:rsidR="003D4FB5">
          <w:rPr>
            <w:webHidden/>
          </w:rPr>
          <w:tab/>
        </w:r>
        <w:r w:rsidR="003D4FB5">
          <w:rPr>
            <w:webHidden/>
          </w:rPr>
          <w:fldChar w:fldCharType="begin"/>
        </w:r>
        <w:r w:rsidR="003D4FB5">
          <w:rPr>
            <w:webHidden/>
          </w:rPr>
          <w:instrText xml:space="preserve"> PAGEREF _Toc19801247 \h </w:instrText>
        </w:r>
        <w:r w:rsidR="003D4FB5">
          <w:rPr>
            <w:webHidden/>
          </w:rPr>
        </w:r>
        <w:r w:rsidR="003D4FB5">
          <w:rPr>
            <w:webHidden/>
          </w:rPr>
          <w:fldChar w:fldCharType="separate"/>
        </w:r>
        <w:r>
          <w:rPr>
            <w:webHidden/>
          </w:rPr>
          <w:t>18</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8" w:history="1">
        <w:r w:rsidR="003D4FB5" w:rsidRPr="008B56FA">
          <w:rPr>
            <w:rStyle w:val="Hyperlink"/>
          </w:rPr>
          <w:t>3.10</w:t>
        </w:r>
        <w:r w:rsidR="003D4FB5">
          <w:rPr>
            <w:rFonts w:asciiTheme="minorHAnsi" w:hAnsiTheme="minorHAnsi"/>
            <w:color w:val="auto"/>
            <w:sz w:val="22"/>
          </w:rPr>
          <w:tab/>
        </w:r>
        <w:r w:rsidR="003D4FB5" w:rsidRPr="008B56FA">
          <w:rPr>
            <w:rStyle w:val="Hyperlink"/>
          </w:rPr>
          <w:t>Public hospitals</w:t>
        </w:r>
        <w:r w:rsidR="003D4FB5">
          <w:rPr>
            <w:webHidden/>
          </w:rPr>
          <w:tab/>
        </w:r>
        <w:r w:rsidR="003D4FB5">
          <w:rPr>
            <w:webHidden/>
          </w:rPr>
          <w:fldChar w:fldCharType="begin"/>
        </w:r>
        <w:r w:rsidR="003D4FB5">
          <w:rPr>
            <w:webHidden/>
          </w:rPr>
          <w:instrText xml:space="preserve"> PAGEREF _Toc19801248 \h </w:instrText>
        </w:r>
        <w:r w:rsidR="003D4FB5">
          <w:rPr>
            <w:webHidden/>
          </w:rPr>
        </w:r>
        <w:r w:rsidR="003D4FB5">
          <w:rPr>
            <w:webHidden/>
          </w:rPr>
          <w:fldChar w:fldCharType="separate"/>
        </w:r>
        <w:r>
          <w:rPr>
            <w:webHidden/>
          </w:rPr>
          <w:t>19</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49" w:history="1">
        <w:r w:rsidR="003D4FB5" w:rsidRPr="008B56FA">
          <w:rPr>
            <w:rStyle w:val="Hyperlink"/>
          </w:rPr>
          <w:t>3.11</w:t>
        </w:r>
        <w:r w:rsidR="003D4FB5">
          <w:rPr>
            <w:rFonts w:asciiTheme="minorHAnsi" w:hAnsiTheme="minorHAnsi"/>
            <w:color w:val="auto"/>
            <w:sz w:val="22"/>
          </w:rPr>
          <w:tab/>
        </w:r>
        <w:r w:rsidR="003D4FB5" w:rsidRPr="008B56FA">
          <w:rPr>
            <w:rStyle w:val="Hyperlink"/>
          </w:rPr>
          <w:t>Child care</w:t>
        </w:r>
        <w:r w:rsidR="003D4FB5">
          <w:rPr>
            <w:webHidden/>
          </w:rPr>
          <w:tab/>
        </w:r>
        <w:r w:rsidR="003D4FB5">
          <w:rPr>
            <w:webHidden/>
          </w:rPr>
          <w:fldChar w:fldCharType="begin"/>
        </w:r>
        <w:r w:rsidR="003D4FB5">
          <w:rPr>
            <w:webHidden/>
          </w:rPr>
          <w:instrText xml:space="preserve"> PAGEREF _Toc19801249 \h </w:instrText>
        </w:r>
        <w:r w:rsidR="003D4FB5">
          <w:rPr>
            <w:webHidden/>
          </w:rPr>
        </w:r>
        <w:r w:rsidR="003D4FB5">
          <w:rPr>
            <w:webHidden/>
          </w:rPr>
          <w:fldChar w:fldCharType="separate"/>
        </w:r>
        <w:r>
          <w:rPr>
            <w:webHidden/>
          </w:rPr>
          <w:t>19</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50" w:history="1">
        <w:r w:rsidR="003D4FB5" w:rsidRPr="008B56FA">
          <w:rPr>
            <w:rStyle w:val="Hyperlink"/>
          </w:rPr>
          <w:t>3.12</w:t>
        </w:r>
        <w:r w:rsidR="003D4FB5">
          <w:rPr>
            <w:rFonts w:asciiTheme="minorHAnsi" w:hAnsiTheme="minorHAnsi"/>
            <w:color w:val="auto"/>
            <w:sz w:val="22"/>
          </w:rPr>
          <w:tab/>
        </w:r>
        <w:r w:rsidR="003D4FB5" w:rsidRPr="008B56FA">
          <w:rPr>
            <w:rStyle w:val="Hyperlink"/>
          </w:rPr>
          <w:t>Schools</w:t>
        </w:r>
        <w:r w:rsidR="003D4FB5">
          <w:rPr>
            <w:webHidden/>
          </w:rPr>
          <w:tab/>
        </w:r>
        <w:r w:rsidR="003D4FB5">
          <w:rPr>
            <w:webHidden/>
          </w:rPr>
          <w:fldChar w:fldCharType="begin"/>
        </w:r>
        <w:r w:rsidR="003D4FB5">
          <w:rPr>
            <w:webHidden/>
          </w:rPr>
          <w:instrText xml:space="preserve"> PAGEREF _Toc19801250 \h </w:instrText>
        </w:r>
        <w:r w:rsidR="003D4FB5">
          <w:rPr>
            <w:webHidden/>
          </w:rPr>
        </w:r>
        <w:r w:rsidR="003D4FB5">
          <w:rPr>
            <w:webHidden/>
          </w:rPr>
          <w:fldChar w:fldCharType="separate"/>
        </w:r>
        <w:r>
          <w:rPr>
            <w:webHidden/>
          </w:rPr>
          <w:t>19</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51" w:history="1">
        <w:r w:rsidR="003D4FB5" w:rsidRPr="008B56FA">
          <w:rPr>
            <w:rStyle w:val="Hyperlink"/>
          </w:rPr>
          <w:t>3.13</w:t>
        </w:r>
        <w:r w:rsidR="003D4FB5">
          <w:rPr>
            <w:rFonts w:asciiTheme="minorHAnsi" w:hAnsiTheme="minorHAnsi"/>
            <w:color w:val="auto"/>
            <w:sz w:val="22"/>
          </w:rPr>
          <w:tab/>
        </w:r>
        <w:r w:rsidR="003D4FB5" w:rsidRPr="008B56FA">
          <w:rPr>
            <w:rStyle w:val="Hyperlink"/>
          </w:rPr>
          <w:t>Road and rail infrastructure</w:t>
        </w:r>
        <w:r w:rsidR="003D4FB5">
          <w:rPr>
            <w:webHidden/>
          </w:rPr>
          <w:tab/>
        </w:r>
        <w:r w:rsidR="003D4FB5">
          <w:rPr>
            <w:webHidden/>
          </w:rPr>
          <w:fldChar w:fldCharType="begin"/>
        </w:r>
        <w:r w:rsidR="003D4FB5">
          <w:rPr>
            <w:webHidden/>
          </w:rPr>
          <w:instrText xml:space="preserve"> PAGEREF _Toc19801251 \h </w:instrText>
        </w:r>
        <w:r w:rsidR="003D4FB5">
          <w:rPr>
            <w:webHidden/>
          </w:rPr>
        </w:r>
        <w:r w:rsidR="003D4FB5">
          <w:rPr>
            <w:webHidden/>
          </w:rPr>
          <w:fldChar w:fldCharType="separate"/>
        </w:r>
        <w:r>
          <w:rPr>
            <w:webHidden/>
          </w:rPr>
          <w:t>20</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52" w:history="1">
        <w:r w:rsidR="003D4FB5" w:rsidRPr="008B56FA">
          <w:rPr>
            <w:rStyle w:val="Hyperlink"/>
          </w:rPr>
          <w:t>3.14</w:t>
        </w:r>
        <w:r w:rsidR="003D4FB5">
          <w:rPr>
            <w:rFonts w:asciiTheme="minorHAnsi" w:hAnsiTheme="minorHAnsi"/>
            <w:color w:val="auto"/>
            <w:sz w:val="22"/>
          </w:rPr>
          <w:tab/>
        </w:r>
        <w:r w:rsidR="003D4FB5" w:rsidRPr="008B56FA">
          <w:rPr>
            <w:rStyle w:val="Hyperlink"/>
          </w:rPr>
          <w:t>Risks around projected spending</w:t>
        </w:r>
        <w:r w:rsidR="003D4FB5">
          <w:rPr>
            <w:webHidden/>
          </w:rPr>
          <w:tab/>
        </w:r>
        <w:r w:rsidR="003D4FB5">
          <w:rPr>
            <w:webHidden/>
          </w:rPr>
          <w:fldChar w:fldCharType="begin"/>
        </w:r>
        <w:r w:rsidR="003D4FB5">
          <w:rPr>
            <w:webHidden/>
          </w:rPr>
          <w:instrText xml:space="preserve"> PAGEREF _Toc19801252 \h </w:instrText>
        </w:r>
        <w:r w:rsidR="003D4FB5">
          <w:rPr>
            <w:webHidden/>
          </w:rPr>
        </w:r>
        <w:r w:rsidR="003D4FB5">
          <w:rPr>
            <w:webHidden/>
          </w:rPr>
          <w:fldChar w:fldCharType="separate"/>
        </w:r>
        <w:r>
          <w:rPr>
            <w:webHidden/>
          </w:rPr>
          <w:t>20</w:t>
        </w:r>
        <w:r w:rsidR="003D4FB5">
          <w:rPr>
            <w:webHidden/>
          </w:rPr>
          <w:fldChar w:fldCharType="end"/>
        </w:r>
      </w:hyperlink>
    </w:p>
    <w:p w:rsidR="003D4FB5" w:rsidRDefault="0010108E" w:rsidP="003D4FB5">
      <w:pPr>
        <w:pStyle w:val="TOC1"/>
        <w:spacing w:before="240" w:after="120"/>
        <w:ind w:right="1985"/>
        <w:rPr>
          <w:rFonts w:eastAsiaTheme="minorEastAsia"/>
          <w:b w:val="0"/>
          <w:color w:val="auto"/>
          <w:sz w:val="22"/>
          <w:lang w:eastAsia="en-AU"/>
        </w:rPr>
      </w:pPr>
      <w:hyperlink w:anchor="_Toc19801253" w:history="1">
        <w:r w:rsidR="003D4FB5" w:rsidRPr="008B56FA">
          <w:rPr>
            <w:rStyle w:val="Hyperlink"/>
            <w:rFonts w:cs="Times New Roman (Body CS)"/>
            <w:spacing w:val="-20"/>
          </w:rPr>
          <w:t>4</w:t>
        </w:r>
        <w:r w:rsidR="003D4FB5">
          <w:rPr>
            <w:rFonts w:eastAsiaTheme="minorEastAsia"/>
            <w:b w:val="0"/>
            <w:color w:val="auto"/>
            <w:sz w:val="22"/>
            <w:lang w:eastAsia="en-AU"/>
          </w:rPr>
          <w:tab/>
        </w:r>
        <w:r w:rsidR="003D4FB5" w:rsidRPr="003D4FB5">
          <w:rPr>
            <w:rStyle w:val="Hyperlink"/>
            <w:rFonts w:cs="Times New Roman (Body CS)"/>
          </w:rPr>
          <w:t>Projected net debt and net financial worth</w:t>
        </w:r>
        <w:r w:rsidR="003D4FB5">
          <w:rPr>
            <w:webHidden/>
          </w:rPr>
          <w:tab/>
        </w:r>
        <w:r w:rsidR="003D4FB5">
          <w:rPr>
            <w:webHidden/>
          </w:rPr>
          <w:fldChar w:fldCharType="begin"/>
        </w:r>
        <w:r w:rsidR="003D4FB5">
          <w:rPr>
            <w:webHidden/>
          </w:rPr>
          <w:instrText xml:space="preserve"> PAGEREF _Toc19801253 \h </w:instrText>
        </w:r>
        <w:r w:rsidR="003D4FB5">
          <w:rPr>
            <w:webHidden/>
          </w:rPr>
        </w:r>
        <w:r w:rsidR="003D4FB5">
          <w:rPr>
            <w:webHidden/>
          </w:rPr>
          <w:fldChar w:fldCharType="separate"/>
        </w:r>
        <w:r>
          <w:rPr>
            <w:webHidden/>
          </w:rPr>
          <w:t>22</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54" w:history="1">
        <w:r w:rsidR="003D4FB5" w:rsidRPr="008B56FA">
          <w:rPr>
            <w:rStyle w:val="Hyperlink"/>
          </w:rPr>
          <w:t>4.1</w:t>
        </w:r>
        <w:r w:rsidR="003D4FB5">
          <w:rPr>
            <w:rFonts w:asciiTheme="minorHAnsi" w:hAnsiTheme="minorHAnsi"/>
            <w:color w:val="auto"/>
            <w:sz w:val="22"/>
          </w:rPr>
          <w:tab/>
        </w:r>
        <w:r w:rsidR="003D4FB5" w:rsidRPr="008B56FA">
          <w:rPr>
            <w:rStyle w:val="Hyperlink"/>
          </w:rPr>
          <w:t>Net debt</w:t>
        </w:r>
        <w:r w:rsidR="003D4FB5">
          <w:rPr>
            <w:webHidden/>
          </w:rPr>
          <w:tab/>
        </w:r>
        <w:r w:rsidR="003D4FB5">
          <w:rPr>
            <w:webHidden/>
          </w:rPr>
          <w:fldChar w:fldCharType="begin"/>
        </w:r>
        <w:r w:rsidR="003D4FB5">
          <w:rPr>
            <w:webHidden/>
          </w:rPr>
          <w:instrText xml:space="preserve"> PAGEREF _Toc19801254 \h </w:instrText>
        </w:r>
        <w:r w:rsidR="003D4FB5">
          <w:rPr>
            <w:webHidden/>
          </w:rPr>
        </w:r>
        <w:r w:rsidR="003D4FB5">
          <w:rPr>
            <w:webHidden/>
          </w:rPr>
          <w:fldChar w:fldCharType="separate"/>
        </w:r>
        <w:r>
          <w:rPr>
            <w:webHidden/>
          </w:rPr>
          <w:t>22</w:t>
        </w:r>
        <w:r w:rsidR="003D4FB5">
          <w:rPr>
            <w:webHidden/>
          </w:rPr>
          <w:fldChar w:fldCharType="end"/>
        </w:r>
      </w:hyperlink>
    </w:p>
    <w:p w:rsidR="003D4FB5" w:rsidRDefault="0010108E" w:rsidP="003D4FB5">
      <w:pPr>
        <w:pStyle w:val="TOC2"/>
        <w:ind w:left="1134"/>
        <w:rPr>
          <w:rFonts w:asciiTheme="minorHAnsi" w:hAnsiTheme="minorHAnsi"/>
          <w:color w:val="auto"/>
          <w:sz w:val="22"/>
        </w:rPr>
      </w:pPr>
      <w:hyperlink w:anchor="_Toc19801255" w:history="1">
        <w:r w:rsidR="003D4FB5" w:rsidRPr="008B56FA">
          <w:rPr>
            <w:rStyle w:val="Hyperlink"/>
          </w:rPr>
          <w:t>4.2</w:t>
        </w:r>
        <w:r w:rsidR="003D4FB5">
          <w:rPr>
            <w:rFonts w:asciiTheme="minorHAnsi" w:hAnsiTheme="minorHAnsi"/>
            <w:color w:val="auto"/>
            <w:sz w:val="22"/>
          </w:rPr>
          <w:tab/>
        </w:r>
        <w:r w:rsidR="003D4FB5" w:rsidRPr="008B56FA">
          <w:rPr>
            <w:rStyle w:val="Hyperlink"/>
          </w:rPr>
          <w:t>Net financial worth</w:t>
        </w:r>
        <w:r w:rsidR="003D4FB5">
          <w:rPr>
            <w:webHidden/>
          </w:rPr>
          <w:tab/>
        </w:r>
        <w:r w:rsidR="003D4FB5">
          <w:rPr>
            <w:webHidden/>
          </w:rPr>
          <w:fldChar w:fldCharType="begin"/>
        </w:r>
        <w:r w:rsidR="003D4FB5">
          <w:rPr>
            <w:webHidden/>
          </w:rPr>
          <w:instrText xml:space="preserve"> PAGEREF _Toc19801255 \h </w:instrText>
        </w:r>
        <w:r w:rsidR="003D4FB5">
          <w:rPr>
            <w:webHidden/>
          </w:rPr>
        </w:r>
        <w:r w:rsidR="003D4FB5">
          <w:rPr>
            <w:webHidden/>
          </w:rPr>
          <w:fldChar w:fldCharType="separate"/>
        </w:r>
        <w:r>
          <w:rPr>
            <w:webHidden/>
          </w:rPr>
          <w:t>24</w:t>
        </w:r>
        <w:r w:rsidR="003D4FB5">
          <w:rPr>
            <w:webHidden/>
          </w:rPr>
          <w:fldChar w:fldCharType="end"/>
        </w:r>
      </w:hyperlink>
    </w:p>
    <w:p w:rsidR="003D4FB5" w:rsidRDefault="0010108E" w:rsidP="003D4FB5">
      <w:pPr>
        <w:pStyle w:val="TOC1"/>
        <w:spacing w:before="240" w:after="120"/>
        <w:ind w:right="1985"/>
        <w:rPr>
          <w:rFonts w:eastAsiaTheme="minorEastAsia"/>
          <w:b w:val="0"/>
          <w:color w:val="auto"/>
          <w:sz w:val="22"/>
          <w:lang w:eastAsia="en-AU"/>
        </w:rPr>
      </w:pPr>
      <w:hyperlink w:anchor="_Toc19801256" w:history="1">
        <w:r w:rsidR="003D4FB5" w:rsidRPr="008B56FA">
          <w:rPr>
            <w:rStyle w:val="Hyperlink"/>
          </w:rPr>
          <w:t>Appendix A – Receipt projection methodology</w:t>
        </w:r>
        <w:r w:rsidR="003D4FB5">
          <w:rPr>
            <w:webHidden/>
          </w:rPr>
          <w:tab/>
        </w:r>
        <w:r w:rsidR="003D4FB5">
          <w:rPr>
            <w:webHidden/>
          </w:rPr>
          <w:fldChar w:fldCharType="begin"/>
        </w:r>
        <w:r w:rsidR="003D4FB5">
          <w:rPr>
            <w:webHidden/>
          </w:rPr>
          <w:instrText xml:space="preserve"> PAGEREF _Toc19801256 \h </w:instrText>
        </w:r>
        <w:r w:rsidR="003D4FB5">
          <w:rPr>
            <w:webHidden/>
          </w:rPr>
        </w:r>
        <w:r w:rsidR="003D4FB5">
          <w:rPr>
            <w:webHidden/>
          </w:rPr>
          <w:fldChar w:fldCharType="separate"/>
        </w:r>
        <w:r>
          <w:rPr>
            <w:webHidden/>
          </w:rPr>
          <w:t>25</w:t>
        </w:r>
        <w:r w:rsidR="003D4FB5">
          <w:rPr>
            <w:webHidden/>
          </w:rPr>
          <w:fldChar w:fldCharType="end"/>
        </w:r>
      </w:hyperlink>
    </w:p>
    <w:p w:rsidR="003D4FB5" w:rsidRDefault="0010108E" w:rsidP="003D4FB5">
      <w:pPr>
        <w:pStyle w:val="TOC1"/>
        <w:spacing w:before="240" w:after="480"/>
        <w:ind w:right="1985"/>
        <w:rPr>
          <w:rFonts w:eastAsiaTheme="minorEastAsia"/>
          <w:b w:val="0"/>
          <w:color w:val="auto"/>
          <w:sz w:val="22"/>
          <w:lang w:eastAsia="en-AU"/>
        </w:rPr>
      </w:pPr>
      <w:hyperlink w:anchor="_Toc19801257" w:history="1">
        <w:r w:rsidR="003D4FB5" w:rsidRPr="008B56FA">
          <w:rPr>
            <w:rStyle w:val="Hyperlink"/>
          </w:rPr>
          <w:t>Appendix B – Spending projection methodology</w:t>
        </w:r>
        <w:r w:rsidR="003D4FB5">
          <w:rPr>
            <w:webHidden/>
          </w:rPr>
          <w:tab/>
        </w:r>
        <w:r w:rsidR="003D4FB5">
          <w:rPr>
            <w:webHidden/>
          </w:rPr>
          <w:fldChar w:fldCharType="begin"/>
        </w:r>
        <w:r w:rsidR="003D4FB5">
          <w:rPr>
            <w:webHidden/>
          </w:rPr>
          <w:instrText xml:space="preserve"> PAGEREF _Toc19801257 \h </w:instrText>
        </w:r>
        <w:r w:rsidR="003D4FB5">
          <w:rPr>
            <w:webHidden/>
          </w:rPr>
        </w:r>
        <w:r w:rsidR="003D4FB5">
          <w:rPr>
            <w:webHidden/>
          </w:rPr>
          <w:fldChar w:fldCharType="separate"/>
        </w:r>
        <w:r>
          <w:rPr>
            <w:webHidden/>
          </w:rPr>
          <w:t>28</w:t>
        </w:r>
        <w:r w:rsidR="003D4FB5">
          <w:rPr>
            <w:webHidden/>
          </w:rPr>
          <w:fldChar w:fldCharType="end"/>
        </w:r>
      </w:hyperlink>
    </w:p>
    <w:p w:rsidR="00A70E94" w:rsidRDefault="00014976" w:rsidP="00CB3885">
      <w:pPr>
        <w:tabs>
          <w:tab w:val="right" w:pos="8080"/>
        </w:tabs>
        <w:spacing w:before="120" w:line="260" w:lineRule="atLeast"/>
        <w:rPr>
          <w:sz w:val="18"/>
        </w:rPr>
      </w:pPr>
      <w:r>
        <w:rPr>
          <w:b/>
          <w:noProof/>
          <w:color w:val="9778B4" w:themeColor="text2"/>
          <w:sz w:val="24"/>
        </w:rPr>
        <w:fldChar w:fldCharType="end"/>
      </w:r>
      <w:r w:rsidR="00A70E94" w:rsidRPr="00104AEC">
        <w:rPr>
          <w:sz w:val="18"/>
        </w:rPr>
        <w:t xml:space="preserve">This report was authored by John Clark, </w:t>
      </w:r>
      <w:r w:rsidR="00D46E8A" w:rsidRPr="00104AEC">
        <w:rPr>
          <w:sz w:val="18"/>
        </w:rPr>
        <w:t xml:space="preserve">Anthea Guthrie, </w:t>
      </w:r>
      <w:r w:rsidR="00A70E94" w:rsidRPr="00104AEC">
        <w:rPr>
          <w:sz w:val="18"/>
        </w:rPr>
        <w:t>Liyi Pan and Lok Potticary</w:t>
      </w:r>
      <w:r w:rsidR="00FF0B8B" w:rsidRPr="00104AEC">
        <w:rPr>
          <w:sz w:val="18"/>
        </w:rPr>
        <w:t>,</w:t>
      </w:r>
      <w:r w:rsidR="00FF0B8B">
        <w:rPr>
          <w:sz w:val="18"/>
        </w:rPr>
        <w:t xml:space="preserve"> </w:t>
      </w:r>
      <w:r w:rsidR="00FF0B8B" w:rsidRPr="00104AEC">
        <w:rPr>
          <w:sz w:val="18"/>
        </w:rPr>
        <w:t>with the benefit of comments from Linda Ward</w:t>
      </w:r>
      <w:r w:rsidR="00A70E94" w:rsidRPr="00104AEC">
        <w:rPr>
          <w:sz w:val="18"/>
        </w:rPr>
        <w:t>.</w:t>
      </w:r>
      <w:r w:rsidR="00FF0B8B" w:rsidRPr="00104AEC">
        <w:rPr>
          <w:sz w:val="18"/>
        </w:rPr>
        <w:t xml:space="preserve">  </w:t>
      </w:r>
      <w:r w:rsidR="00A70E94" w:rsidRPr="00104AEC">
        <w:rPr>
          <w:sz w:val="18"/>
        </w:rPr>
        <w:t xml:space="preserve">The contents of the report are the sole responsibility of the Parliamentary Budget Office. </w:t>
      </w:r>
    </w:p>
    <w:p w:rsidR="00CC37CA" w:rsidRDefault="00CC37CA">
      <w:pPr>
        <w:rPr>
          <w:bCs/>
        </w:rPr>
        <w:sectPr w:rsidR="00CC37CA" w:rsidSect="00AB1ED5">
          <w:headerReference w:type="even" r:id="rId25"/>
          <w:headerReference w:type="default" r:id="rId26"/>
          <w:footerReference w:type="even" r:id="rId27"/>
          <w:footerReference w:type="default" r:id="rId28"/>
          <w:pgSz w:w="11907" w:h="16840" w:code="9"/>
          <w:pgMar w:top="1191" w:right="1418" w:bottom="1021" w:left="1418" w:header="567" w:footer="709" w:gutter="0"/>
          <w:pgNumType w:fmt="lowerRoman"/>
          <w:cols w:space="708"/>
          <w:docGrid w:linePitch="360"/>
        </w:sectPr>
      </w:pPr>
    </w:p>
    <w:p w:rsidR="00CC37CA" w:rsidRPr="00C51D0B" w:rsidRDefault="00CC37CA" w:rsidP="0003175E">
      <w:pPr>
        <w:pStyle w:val="Heading1NoNumbering"/>
        <w:spacing w:after="400"/>
      </w:pPr>
      <w:bookmarkStart w:id="3" w:name="_Toc396331954"/>
      <w:bookmarkStart w:id="4" w:name="_Toc523757304"/>
      <w:bookmarkStart w:id="5" w:name="_Toc19801224"/>
      <w:r w:rsidRPr="00C51D0B">
        <w:lastRenderedPageBreak/>
        <w:t>Overview</w:t>
      </w:r>
      <w:bookmarkStart w:id="6" w:name="_OverviewMarker"/>
      <w:bookmarkEnd w:id="3"/>
      <w:bookmarkEnd w:id="4"/>
      <w:bookmarkEnd w:id="5"/>
      <w:bookmarkEnd w:id="6"/>
    </w:p>
    <w:p w:rsidR="008A003A" w:rsidRDefault="007B7D2A" w:rsidP="0003175E">
      <w:pPr>
        <w:pStyle w:val="OverviewHeading3"/>
        <w:spacing w:before="240"/>
        <w:rPr>
          <w:i/>
          <w:color w:val="3D4D7D" w:themeColor="background2"/>
        </w:rPr>
      </w:pPr>
      <w:r w:rsidRPr="00AE719E">
        <w:rPr>
          <w:i/>
          <w:color w:val="3D4D7D" w:themeColor="background2"/>
        </w:rPr>
        <w:t xml:space="preserve">This fourth edition of the </w:t>
      </w:r>
      <w:r w:rsidR="000B5FCE">
        <w:rPr>
          <w:i/>
          <w:color w:val="3D4D7D" w:themeColor="background2"/>
        </w:rPr>
        <w:t>Parliamentary Budget Office’s (</w:t>
      </w:r>
      <w:r w:rsidRPr="00AE719E">
        <w:rPr>
          <w:i/>
          <w:color w:val="3D4D7D" w:themeColor="background2"/>
        </w:rPr>
        <w:t>PBO’s</w:t>
      </w:r>
      <w:r w:rsidR="000B5FCE">
        <w:rPr>
          <w:i/>
          <w:color w:val="3D4D7D" w:themeColor="background2"/>
        </w:rPr>
        <w:t>)</w:t>
      </w:r>
      <w:r w:rsidRPr="00AE719E">
        <w:rPr>
          <w:i/>
          <w:color w:val="3D4D7D" w:themeColor="background2"/>
        </w:rPr>
        <w:t xml:space="preserve"> medium-term projections report</w:t>
      </w:r>
      <w:r w:rsidRPr="007B7D2A" w:rsidDel="007B7D2A">
        <w:rPr>
          <w:i/>
          <w:color w:val="3D4D7D" w:themeColor="background2"/>
        </w:rPr>
        <w:t xml:space="preserve"> </w:t>
      </w:r>
      <w:r>
        <w:rPr>
          <w:i/>
          <w:color w:val="3D4D7D" w:themeColor="background2"/>
        </w:rPr>
        <w:t xml:space="preserve">shows that </w:t>
      </w:r>
      <w:r w:rsidR="00836D13">
        <w:rPr>
          <w:i/>
          <w:color w:val="3D4D7D" w:themeColor="background2"/>
        </w:rPr>
        <w:t xml:space="preserve">ongoing </w:t>
      </w:r>
      <w:r>
        <w:rPr>
          <w:i/>
          <w:color w:val="3D4D7D" w:themeColor="background2"/>
        </w:rPr>
        <w:t>g</w:t>
      </w:r>
      <w:r w:rsidR="008A003A">
        <w:rPr>
          <w:i/>
          <w:color w:val="3D4D7D" w:themeColor="background2"/>
        </w:rPr>
        <w:t>overnment spending restraint</w:t>
      </w:r>
      <w:r w:rsidR="000B5FCE">
        <w:rPr>
          <w:i/>
          <w:color w:val="3D4D7D" w:themeColor="background2"/>
        </w:rPr>
        <w:t>,</w:t>
      </w:r>
      <w:r w:rsidR="008A003A">
        <w:rPr>
          <w:i/>
          <w:color w:val="3D4D7D" w:themeColor="background2"/>
        </w:rPr>
        <w:t xml:space="preserve"> </w:t>
      </w:r>
      <w:r w:rsidR="00836D13">
        <w:rPr>
          <w:i/>
          <w:color w:val="3D4D7D" w:themeColor="background2"/>
        </w:rPr>
        <w:t>combined with lower public debt interest payments</w:t>
      </w:r>
      <w:r w:rsidR="000B5FCE">
        <w:rPr>
          <w:i/>
          <w:color w:val="3D4D7D" w:themeColor="background2"/>
        </w:rPr>
        <w:t>,</w:t>
      </w:r>
      <w:r w:rsidR="00836D13">
        <w:rPr>
          <w:i/>
          <w:color w:val="3D4D7D" w:themeColor="background2"/>
        </w:rPr>
        <w:t xml:space="preserve"> are </w:t>
      </w:r>
      <w:r w:rsidR="002C27B9">
        <w:rPr>
          <w:i/>
          <w:color w:val="3D4D7D" w:themeColor="background2"/>
        </w:rPr>
        <w:t>driv</w:t>
      </w:r>
      <w:r w:rsidR="005A2ECE">
        <w:rPr>
          <w:i/>
          <w:color w:val="3D4D7D" w:themeColor="background2"/>
        </w:rPr>
        <w:t>ing</w:t>
      </w:r>
      <w:r w:rsidR="008A003A">
        <w:rPr>
          <w:i/>
          <w:color w:val="3D4D7D" w:themeColor="background2"/>
        </w:rPr>
        <w:t xml:space="preserve"> an improving fiscal position…</w:t>
      </w:r>
    </w:p>
    <w:p w:rsidR="00434DD7" w:rsidRDefault="001F218A" w:rsidP="00434DD7">
      <w:pPr>
        <w:pStyle w:val="OverviewBodyText"/>
      </w:pPr>
      <w:r>
        <w:t xml:space="preserve">The underlying cash </w:t>
      </w:r>
      <w:r w:rsidRPr="006F178D">
        <w:t>balance</w:t>
      </w:r>
      <w:r w:rsidR="00FD0C3F">
        <w:t xml:space="preserve"> </w:t>
      </w:r>
      <w:r w:rsidRPr="006F178D">
        <w:t xml:space="preserve">is projected to </w:t>
      </w:r>
      <w:r>
        <w:t xml:space="preserve">improve </w:t>
      </w:r>
      <w:r w:rsidR="00836D13">
        <w:t>over the next decade</w:t>
      </w:r>
      <w:r w:rsidRPr="006F178D">
        <w:t xml:space="preserve"> to a surplus </w:t>
      </w:r>
      <w:r w:rsidR="00E75588">
        <w:t xml:space="preserve">of </w:t>
      </w:r>
      <w:r w:rsidRPr="00067DAE">
        <w:t>1.</w:t>
      </w:r>
      <w:r>
        <w:t>6</w:t>
      </w:r>
      <w:r w:rsidRPr="00067DAE">
        <w:t xml:space="preserve"> </w:t>
      </w:r>
      <w:r w:rsidRPr="006F178D">
        <w:t xml:space="preserve">per cent of </w:t>
      </w:r>
      <w:r w:rsidR="000B5FCE">
        <w:t>gross domestic product (</w:t>
      </w:r>
      <w:r w:rsidRPr="006F178D">
        <w:t>GDP</w:t>
      </w:r>
      <w:r w:rsidR="000B5FCE">
        <w:t>)</w:t>
      </w:r>
      <w:r w:rsidRPr="006F178D">
        <w:t xml:space="preserve"> by </w:t>
      </w:r>
      <w:r w:rsidRPr="00067DAE">
        <w:t>2029</w:t>
      </w:r>
      <w:r>
        <w:t>–</w:t>
      </w:r>
      <w:r w:rsidRPr="00067DAE">
        <w:t>30</w:t>
      </w:r>
      <w:r w:rsidR="00E75588">
        <w:t xml:space="preserve">. </w:t>
      </w:r>
      <w:r w:rsidR="00836D13">
        <w:t xml:space="preserve"> </w:t>
      </w:r>
      <w:r w:rsidR="000503E3">
        <w:t>This</w:t>
      </w:r>
      <w:r w:rsidR="00E75588">
        <w:t xml:space="preserve"> is projected to</w:t>
      </w:r>
      <w:r w:rsidR="00C156C9">
        <w:t xml:space="preserve"> result in a significant reduction in government </w:t>
      </w:r>
      <w:r w:rsidRPr="00CF468C">
        <w:t>debt</w:t>
      </w:r>
      <w:r w:rsidR="00E75588" w:rsidRPr="00F46619">
        <w:t xml:space="preserve">, with </w:t>
      </w:r>
      <w:r w:rsidR="00E75588" w:rsidRPr="00AE719E">
        <w:t>n</w:t>
      </w:r>
      <w:r w:rsidR="00434DD7" w:rsidRPr="00F46619">
        <w:t>et debt projected to</w:t>
      </w:r>
      <w:r w:rsidR="006309D5" w:rsidRPr="00AE719E">
        <w:t xml:space="preserve"> </w:t>
      </w:r>
      <w:r w:rsidR="006309D5" w:rsidRPr="00F46619">
        <w:t>have</w:t>
      </w:r>
      <w:r w:rsidR="006309D5" w:rsidRPr="006309D5">
        <w:t xml:space="preserve"> peaked in 2018–19 and </w:t>
      </w:r>
      <w:r w:rsidR="00836D13">
        <w:t xml:space="preserve">to </w:t>
      </w:r>
      <w:r w:rsidR="006309D5" w:rsidRPr="006309D5">
        <w:t xml:space="preserve">then </w:t>
      </w:r>
      <w:r w:rsidR="006309D5" w:rsidRPr="00F46619">
        <w:t xml:space="preserve">decline </w:t>
      </w:r>
      <w:r w:rsidR="00434DD7" w:rsidRPr="00F46619">
        <w:t xml:space="preserve">to </w:t>
      </w:r>
      <w:r w:rsidR="006309D5" w:rsidRPr="00F46619">
        <w:rPr>
          <w:spacing w:val="-3"/>
        </w:rPr>
        <w:t>1.6 per</w:t>
      </w:r>
      <w:r w:rsidR="006309D5" w:rsidRPr="00CE38F9">
        <w:rPr>
          <w:spacing w:val="-3"/>
        </w:rPr>
        <w:t xml:space="preserve"> cent of GDP</w:t>
      </w:r>
      <w:r w:rsidR="006309D5">
        <w:rPr>
          <w:spacing w:val="-3"/>
        </w:rPr>
        <w:t xml:space="preserve"> by 2029</w:t>
      </w:r>
      <w:r w:rsidR="001D1D4D">
        <w:t>–</w:t>
      </w:r>
      <w:r w:rsidR="006309D5">
        <w:rPr>
          <w:spacing w:val="-3"/>
        </w:rPr>
        <w:t>30</w:t>
      </w:r>
      <w:r w:rsidR="006309D5">
        <w:t>.</w:t>
      </w:r>
    </w:p>
    <w:p w:rsidR="007F6F30" w:rsidRDefault="003D5E37" w:rsidP="00434DD7">
      <w:pPr>
        <w:pStyle w:val="OverviewBodyText"/>
      </w:pPr>
      <w:r>
        <w:t xml:space="preserve">The </w:t>
      </w:r>
      <w:r w:rsidR="00CC54B8">
        <w:t xml:space="preserve">improvement is driven by a </w:t>
      </w:r>
      <w:r>
        <w:t>decline in spending</w:t>
      </w:r>
      <w:r w:rsidR="00836D13">
        <w:t xml:space="preserve"> over the next decade of around 1.0</w:t>
      </w:r>
      <w:r w:rsidR="00097D86">
        <w:t xml:space="preserve"> </w:t>
      </w:r>
      <w:r w:rsidR="00097D86" w:rsidRPr="00097D86">
        <w:t>per cent of GDP</w:t>
      </w:r>
      <w:r w:rsidR="00836D13">
        <w:t>,</w:t>
      </w:r>
      <w:r w:rsidR="00097D86" w:rsidRPr="00097D86">
        <w:t xml:space="preserve"> to</w:t>
      </w:r>
      <w:r w:rsidR="00E75588">
        <w:t xml:space="preserve"> </w:t>
      </w:r>
      <w:r w:rsidR="00097D86" w:rsidRPr="00097D86">
        <w:t>23.9</w:t>
      </w:r>
      <w:r w:rsidR="00457184">
        <w:t> </w:t>
      </w:r>
      <w:r w:rsidR="00097D86" w:rsidRPr="00097D86">
        <w:t>per</w:t>
      </w:r>
      <w:r w:rsidR="00457184">
        <w:t> </w:t>
      </w:r>
      <w:r w:rsidR="00097D86" w:rsidRPr="00097D86">
        <w:t>cent of GDP</w:t>
      </w:r>
      <w:r w:rsidR="00097D86">
        <w:t xml:space="preserve">, </w:t>
      </w:r>
      <w:r w:rsidR="00364D00">
        <w:t xml:space="preserve">largely </w:t>
      </w:r>
      <w:r w:rsidR="007F6F30">
        <w:t>reflect</w:t>
      </w:r>
      <w:r>
        <w:t>ing</w:t>
      </w:r>
      <w:r w:rsidR="007F6F30">
        <w:t xml:space="preserve"> the ongoing impact of policy changes</w:t>
      </w:r>
      <w:r w:rsidR="00364D00">
        <w:t xml:space="preserve"> to tighten eligibility and constrain payments growth in a number of major programs, along with</w:t>
      </w:r>
      <w:r>
        <w:t xml:space="preserve"> </w:t>
      </w:r>
      <w:r w:rsidR="00364D00">
        <w:t>declining</w:t>
      </w:r>
      <w:r>
        <w:t xml:space="preserve"> public debt interest</w:t>
      </w:r>
      <w:r w:rsidR="00805619">
        <w:t xml:space="preserve"> </w:t>
      </w:r>
      <w:r w:rsidR="00F119CB">
        <w:t xml:space="preserve">payments </w:t>
      </w:r>
      <w:r w:rsidR="00364D00">
        <w:t>as debt is paid down</w:t>
      </w:r>
      <w:r>
        <w:t>.</w:t>
      </w:r>
    </w:p>
    <w:p w:rsidR="00F86F70" w:rsidRDefault="008A003A" w:rsidP="0003175E">
      <w:pPr>
        <w:pStyle w:val="OverviewHeading3"/>
        <w:spacing w:before="240"/>
        <w:rPr>
          <w:i/>
          <w:color w:val="3D4D7D" w:themeColor="background2"/>
        </w:rPr>
      </w:pPr>
      <w:proofErr w:type="gramStart"/>
      <w:r w:rsidRPr="002C27B9">
        <w:rPr>
          <w:i/>
          <w:color w:val="3D4D7D" w:themeColor="background2"/>
        </w:rPr>
        <w:t>…</w:t>
      </w:r>
      <w:r w:rsidR="00F119CB">
        <w:rPr>
          <w:i/>
          <w:color w:val="3D4D7D" w:themeColor="background2"/>
        </w:rPr>
        <w:t>with significant</w:t>
      </w:r>
      <w:r w:rsidRPr="001F218A">
        <w:rPr>
          <w:i/>
          <w:color w:val="3D4D7D" w:themeColor="background2"/>
        </w:rPr>
        <w:t xml:space="preserve"> personal income tax cuts</w:t>
      </w:r>
      <w:r w:rsidR="00F119CB">
        <w:rPr>
          <w:i/>
          <w:color w:val="3D4D7D" w:themeColor="background2"/>
        </w:rPr>
        <w:t xml:space="preserve"> offsetting </w:t>
      </w:r>
      <w:r w:rsidR="00836D13">
        <w:rPr>
          <w:i/>
          <w:color w:val="3D4D7D" w:themeColor="background2"/>
        </w:rPr>
        <w:t xml:space="preserve">much </w:t>
      </w:r>
      <w:r w:rsidR="00F119CB">
        <w:rPr>
          <w:i/>
          <w:color w:val="3D4D7D" w:themeColor="background2"/>
        </w:rPr>
        <w:t>of the impact of bracket creep</w:t>
      </w:r>
      <w:r w:rsidRPr="001F218A">
        <w:rPr>
          <w:i/>
          <w:color w:val="3D4D7D" w:themeColor="background2"/>
        </w:rPr>
        <w:t>…</w:t>
      </w:r>
      <w:proofErr w:type="gramEnd"/>
    </w:p>
    <w:p w:rsidR="00E31A06" w:rsidRDefault="00E31A06" w:rsidP="003D5E37">
      <w:pPr>
        <w:pStyle w:val="BodyText"/>
      </w:pPr>
      <w:r w:rsidRPr="00F46619">
        <w:t>Personal income tax receipts are</w:t>
      </w:r>
      <w:r w:rsidR="00735A78" w:rsidRPr="00AE719E">
        <w:t xml:space="preserve"> also </w:t>
      </w:r>
      <w:r w:rsidRPr="00F46619">
        <w:t xml:space="preserve">projected to </w:t>
      </w:r>
      <w:r w:rsidR="00735A78" w:rsidRPr="00F46619">
        <w:t>contribute to an improving fiscal position</w:t>
      </w:r>
      <w:r w:rsidR="00735A78" w:rsidRPr="00AE719E">
        <w:t xml:space="preserve">, driven by bracket creep, </w:t>
      </w:r>
      <w:r w:rsidR="00836D13">
        <w:t xml:space="preserve">although this effect is somewhat </w:t>
      </w:r>
      <w:r w:rsidR="00735A78" w:rsidRPr="00AE719E">
        <w:t xml:space="preserve">offset by cumulative tax cuts worth </w:t>
      </w:r>
      <w:r w:rsidR="00735A78" w:rsidRPr="00F119CB">
        <w:t xml:space="preserve">around </w:t>
      </w:r>
      <w:r w:rsidR="00735A78" w:rsidRPr="00A117C9">
        <w:t>1.</w:t>
      </w:r>
      <w:r w:rsidR="00F119CB" w:rsidRPr="00F119CB">
        <w:t>6</w:t>
      </w:r>
      <w:r w:rsidR="00D13B30">
        <w:t> </w:t>
      </w:r>
      <w:r w:rsidR="00735A78" w:rsidRPr="00AE719E">
        <w:t>per cent of GDP</w:t>
      </w:r>
      <w:r w:rsidR="00722B42">
        <w:t xml:space="preserve"> in 2029–30</w:t>
      </w:r>
      <w:r w:rsidR="00735A78" w:rsidRPr="00AE719E">
        <w:t>.</w:t>
      </w:r>
    </w:p>
    <w:p w:rsidR="00434DD7" w:rsidRDefault="007257CE" w:rsidP="003D5E37">
      <w:pPr>
        <w:pStyle w:val="BodyText"/>
      </w:pPr>
      <w:r>
        <w:t>E</w:t>
      </w:r>
      <w:r w:rsidR="006309D5">
        <w:t>ven with the tax cuts, average tax rates</w:t>
      </w:r>
      <w:r w:rsidR="006309D5" w:rsidRPr="006309D5">
        <w:t xml:space="preserve"> </w:t>
      </w:r>
      <w:r w:rsidR="00364D00">
        <w:t>are projected to</w:t>
      </w:r>
      <w:r w:rsidR="006309D5" w:rsidRPr="006309D5">
        <w:t xml:space="preserve"> continue </w:t>
      </w:r>
      <w:r w:rsidR="00E75588">
        <w:t xml:space="preserve">to </w:t>
      </w:r>
      <w:r w:rsidR="006309D5" w:rsidRPr="006309D5">
        <w:t>increase with growth in incomes, particularly for low- to middle-income groups</w:t>
      </w:r>
      <w:r w:rsidR="006309D5">
        <w:t xml:space="preserve"> (those with a </w:t>
      </w:r>
      <w:r w:rsidR="006309D5" w:rsidRPr="001A43D1">
        <w:rPr>
          <w:lang w:eastAsia="en-AU"/>
        </w:rPr>
        <w:t xml:space="preserve">taxable income </w:t>
      </w:r>
      <w:r w:rsidR="006309D5">
        <w:rPr>
          <w:lang w:eastAsia="en-AU"/>
        </w:rPr>
        <w:t xml:space="preserve">in the </w:t>
      </w:r>
      <w:r w:rsidR="006309D5" w:rsidRPr="001A43D1">
        <w:rPr>
          <w:lang w:eastAsia="en-AU"/>
        </w:rPr>
        <w:t>range</w:t>
      </w:r>
      <w:r w:rsidR="006309D5">
        <w:rPr>
          <w:lang w:eastAsia="en-AU"/>
        </w:rPr>
        <w:t xml:space="preserve"> of</w:t>
      </w:r>
      <w:r w:rsidR="006309D5" w:rsidRPr="001A43D1">
        <w:rPr>
          <w:lang w:eastAsia="en-AU"/>
        </w:rPr>
        <w:t xml:space="preserve"> $20,000 to $58,000</w:t>
      </w:r>
      <w:r w:rsidR="006309D5">
        <w:rPr>
          <w:lang w:eastAsia="en-AU"/>
        </w:rPr>
        <w:t>).  In contrast, t</w:t>
      </w:r>
      <w:r w:rsidR="00C4181F">
        <w:rPr>
          <w:lang w:eastAsia="en-AU"/>
        </w:rPr>
        <w:t>he average tax rate for the</w:t>
      </w:r>
      <w:r w:rsidR="006309D5">
        <w:rPr>
          <w:lang w:eastAsia="en-AU"/>
        </w:rPr>
        <w:t xml:space="preserve"> top 20</w:t>
      </w:r>
      <w:r w:rsidR="00491F03">
        <w:rPr>
          <w:lang w:eastAsia="en-AU"/>
        </w:rPr>
        <w:t xml:space="preserve"> per cent </w:t>
      </w:r>
      <w:r w:rsidR="006309D5">
        <w:rPr>
          <w:lang w:eastAsia="en-AU"/>
        </w:rPr>
        <w:t xml:space="preserve">of income earners (those with a taxable income above $90,000) </w:t>
      </w:r>
      <w:r w:rsidR="00C4181F">
        <w:rPr>
          <w:lang w:eastAsia="en-AU"/>
        </w:rPr>
        <w:t>is projected to</w:t>
      </w:r>
      <w:r w:rsidR="00E75588">
        <w:rPr>
          <w:lang w:eastAsia="en-AU"/>
        </w:rPr>
        <w:t xml:space="preserve"> </w:t>
      </w:r>
      <w:r w:rsidR="00722B42">
        <w:rPr>
          <w:lang w:eastAsia="en-AU"/>
        </w:rPr>
        <w:t>be little changed</w:t>
      </w:r>
      <w:r w:rsidR="006309D5">
        <w:rPr>
          <w:lang w:eastAsia="en-AU"/>
        </w:rPr>
        <w:t>.</w:t>
      </w:r>
    </w:p>
    <w:p w:rsidR="0026131F" w:rsidRDefault="008A003A" w:rsidP="0003175E">
      <w:pPr>
        <w:pStyle w:val="OverviewHeading3"/>
        <w:spacing w:before="240"/>
        <w:rPr>
          <w:i/>
          <w:color w:val="3D4D7D" w:themeColor="background2"/>
        </w:rPr>
      </w:pPr>
      <w:r w:rsidRPr="00434DD7">
        <w:rPr>
          <w:i/>
          <w:color w:val="3D4D7D" w:themeColor="background2"/>
        </w:rPr>
        <w:t>…</w:t>
      </w:r>
      <w:r w:rsidR="002C27B9" w:rsidRPr="00434DD7">
        <w:rPr>
          <w:i/>
          <w:color w:val="3D4D7D" w:themeColor="background2"/>
        </w:rPr>
        <w:t>but</w:t>
      </w:r>
      <w:r w:rsidR="00722B42">
        <w:rPr>
          <w:i/>
          <w:color w:val="3D4D7D" w:themeColor="background2"/>
        </w:rPr>
        <w:t xml:space="preserve"> this has removed</w:t>
      </w:r>
      <w:r w:rsidR="0026131F" w:rsidRPr="00434DD7">
        <w:rPr>
          <w:i/>
          <w:color w:val="3D4D7D" w:themeColor="background2"/>
        </w:rPr>
        <w:t xml:space="preserve"> the buffer against </w:t>
      </w:r>
      <w:r w:rsidR="00F119CB">
        <w:rPr>
          <w:i/>
          <w:color w:val="3D4D7D" w:themeColor="background2"/>
        </w:rPr>
        <w:t xml:space="preserve">adverse </w:t>
      </w:r>
      <w:r w:rsidR="0026131F" w:rsidRPr="00434DD7">
        <w:rPr>
          <w:i/>
          <w:color w:val="3D4D7D" w:themeColor="background2"/>
        </w:rPr>
        <w:t xml:space="preserve">revenue shocks… </w:t>
      </w:r>
    </w:p>
    <w:p w:rsidR="003D5E37" w:rsidRDefault="00364D00" w:rsidP="00434DD7">
      <w:pPr>
        <w:pStyle w:val="BodyText"/>
      </w:pPr>
      <w:r>
        <w:t>Until recently</w:t>
      </w:r>
      <w:r w:rsidR="00F71364">
        <w:t xml:space="preserve">, </w:t>
      </w:r>
      <w:r w:rsidR="006C0CF7">
        <w:t xml:space="preserve">tax receipts </w:t>
      </w:r>
      <w:r>
        <w:t xml:space="preserve">were projected to exceed </w:t>
      </w:r>
      <w:r w:rsidR="006C0CF7">
        <w:t xml:space="preserve">the government’s tax cap, </w:t>
      </w:r>
      <w:r w:rsidR="00722B42">
        <w:t>so</w:t>
      </w:r>
      <w:r w:rsidR="006C0CF7">
        <w:t xml:space="preserve"> </w:t>
      </w:r>
      <w:r w:rsidR="00F71364">
        <w:t xml:space="preserve">the </w:t>
      </w:r>
      <w:r w:rsidR="003D5E37" w:rsidRPr="00067DAE">
        <w:t xml:space="preserve">budget position </w:t>
      </w:r>
      <w:r w:rsidR="00F71364">
        <w:t xml:space="preserve">was </w:t>
      </w:r>
      <w:r w:rsidR="00685098">
        <w:t>partly</w:t>
      </w:r>
      <w:r w:rsidR="000D0776">
        <w:t xml:space="preserve"> </w:t>
      </w:r>
      <w:r w:rsidR="00F119CB">
        <w:t xml:space="preserve">shielded </w:t>
      </w:r>
      <w:r w:rsidR="00F71364">
        <w:t xml:space="preserve">from the risk of adverse economic shocks.  </w:t>
      </w:r>
      <w:r>
        <w:t xml:space="preserve">That is, there was an in-built allowance for unspecified tax cuts that could be adjusted </w:t>
      </w:r>
      <w:r w:rsidR="00F119CB">
        <w:t>depending on how</w:t>
      </w:r>
      <w:r>
        <w:t xml:space="preserve"> economic conditions</w:t>
      </w:r>
      <w:r w:rsidR="00F119CB">
        <w:t xml:space="preserve"> evolved</w:t>
      </w:r>
      <w:r>
        <w:t>.</w:t>
      </w:r>
      <w:r w:rsidR="00974976">
        <w:t xml:space="preserve">  </w:t>
      </w:r>
      <w:r w:rsidR="00F71364">
        <w:t xml:space="preserve">The </w:t>
      </w:r>
      <w:r>
        <w:t xml:space="preserve">effect of the government’s </w:t>
      </w:r>
      <w:r w:rsidR="00F71364">
        <w:t>p</w:t>
      </w:r>
      <w:r w:rsidR="003D5E37">
        <w:t xml:space="preserve">ersonal income </w:t>
      </w:r>
      <w:r w:rsidR="003D5E37" w:rsidRPr="00647887">
        <w:t>tax cuts</w:t>
      </w:r>
      <w:r w:rsidR="00F71364">
        <w:t xml:space="preserve"> </w:t>
      </w:r>
      <w:r>
        <w:t xml:space="preserve">has been to remove this buffer, </w:t>
      </w:r>
      <w:r w:rsidR="00722B42">
        <w:t>so</w:t>
      </w:r>
      <w:r>
        <w:t xml:space="preserve"> </w:t>
      </w:r>
      <w:r w:rsidR="003D5E37">
        <w:t xml:space="preserve">any weakness in tax receipts before </w:t>
      </w:r>
      <w:r>
        <w:t>2029</w:t>
      </w:r>
      <w:r w:rsidR="001D1D4D">
        <w:t>–</w:t>
      </w:r>
      <w:r>
        <w:t>30</w:t>
      </w:r>
      <w:r w:rsidR="003D5E37">
        <w:t xml:space="preserve"> </w:t>
      </w:r>
      <w:r w:rsidR="000503E3">
        <w:t>would</w:t>
      </w:r>
      <w:r>
        <w:t xml:space="preserve"> </w:t>
      </w:r>
      <w:r w:rsidR="003D5E37">
        <w:t xml:space="preserve">directly </w:t>
      </w:r>
      <w:r w:rsidR="000503E3">
        <w:t>affect</w:t>
      </w:r>
      <w:r>
        <w:t xml:space="preserve"> </w:t>
      </w:r>
      <w:r w:rsidR="003D5E37">
        <w:t>the budget balance.</w:t>
      </w:r>
    </w:p>
    <w:p w:rsidR="008A003A" w:rsidRPr="00434DD7" w:rsidRDefault="008A003A" w:rsidP="0003175E">
      <w:pPr>
        <w:pStyle w:val="OverviewHeading3"/>
        <w:spacing w:before="240"/>
        <w:rPr>
          <w:i/>
          <w:color w:val="3D4D7D" w:themeColor="background2"/>
        </w:rPr>
      </w:pPr>
      <w:r w:rsidRPr="00434DD7">
        <w:rPr>
          <w:i/>
          <w:color w:val="3D4D7D" w:themeColor="background2"/>
        </w:rPr>
        <w:t>…</w:t>
      </w:r>
      <w:r w:rsidR="005A2ECE">
        <w:rPr>
          <w:i/>
          <w:color w:val="3D4D7D" w:themeColor="background2"/>
        </w:rPr>
        <w:t xml:space="preserve">and significant risks </w:t>
      </w:r>
      <w:r w:rsidR="00F119CB">
        <w:rPr>
          <w:i/>
          <w:color w:val="3D4D7D" w:themeColor="background2"/>
        </w:rPr>
        <w:t>to the fiscal projecti</w:t>
      </w:r>
      <w:r w:rsidR="000D0776">
        <w:rPr>
          <w:i/>
          <w:color w:val="3D4D7D" w:themeColor="background2"/>
        </w:rPr>
        <w:t>o</w:t>
      </w:r>
      <w:r w:rsidR="00F119CB">
        <w:rPr>
          <w:i/>
          <w:color w:val="3D4D7D" w:themeColor="background2"/>
        </w:rPr>
        <w:t xml:space="preserve">ns </w:t>
      </w:r>
      <w:r w:rsidR="005A2ECE">
        <w:rPr>
          <w:i/>
          <w:color w:val="3D4D7D" w:themeColor="background2"/>
        </w:rPr>
        <w:t>remain</w:t>
      </w:r>
      <w:r w:rsidRPr="00434DD7">
        <w:rPr>
          <w:i/>
          <w:color w:val="3D4D7D" w:themeColor="background2"/>
        </w:rPr>
        <w:t>.</w:t>
      </w:r>
    </w:p>
    <w:p w:rsidR="005A2ECE" w:rsidRDefault="005A2ECE" w:rsidP="00CF1627">
      <w:pPr>
        <w:pStyle w:val="BodyText"/>
      </w:pPr>
      <w:r w:rsidRPr="00067DAE">
        <w:t>The projected surpluses over the medium term are predicated on above</w:t>
      </w:r>
      <w:r w:rsidR="000B5FCE">
        <w:t>-</w:t>
      </w:r>
      <w:r w:rsidRPr="00067DAE">
        <w:t>trend economic growth for much of the period and a return to close</w:t>
      </w:r>
      <w:r w:rsidR="000B5FCE">
        <w:t>-</w:t>
      </w:r>
      <w:r w:rsidRPr="00067DAE">
        <w:t>to</w:t>
      </w:r>
      <w:r w:rsidR="000B5FCE">
        <w:t>-</w:t>
      </w:r>
      <w:r w:rsidRPr="00067DAE">
        <w:t xml:space="preserve">trend wages growth by the end of </w:t>
      </w:r>
      <w:r w:rsidR="00F119CB">
        <w:t>2022</w:t>
      </w:r>
      <w:r w:rsidR="000B5FCE">
        <w:t>–</w:t>
      </w:r>
      <w:r w:rsidR="00F119CB">
        <w:t>23</w:t>
      </w:r>
      <w:r w:rsidRPr="00067DAE">
        <w:t>.</w:t>
      </w:r>
      <w:r>
        <w:t xml:space="preserve"> </w:t>
      </w:r>
      <w:r w:rsidRPr="00067DAE">
        <w:t xml:space="preserve"> </w:t>
      </w:r>
      <w:r>
        <w:t>W</w:t>
      </w:r>
      <w:r w:rsidRPr="00067DAE">
        <w:t>eaker</w:t>
      </w:r>
      <w:r w:rsidR="000B5FCE">
        <w:t>-</w:t>
      </w:r>
      <w:r>
        <w:t>than</w:t>
      </w:r>
      <w:r w:rsidR="000B5FCE">
        <w:t>-</w:t>
      </w:r>
      <w:r>
        <w:t xml:space="preserve">projected </w:t>
      </w:r>
      <w:r w:rsidRPr="00067DAE">
        <w:t xml:space="preserve">economic circumstances, </w:t>
      </w:r>
      <w:r w:rsidR="00722B42">
        <w:t xml:space="preserve">such as </w:t>
      </w:r>
      <w:r>
        <w:t xml:space="preserve">lower-than-assumed commodity prices, would </w:t>
      </w:r>
      <w:r w:rsidR="00722B42">
        <w:t>deteriorate</w:t>
      </w:r>
      <w:r w:rsidR="00722B42" w:rsidRPr="00067DAE">
        <w:t xml:space="preserve"> </w:t>
      </w:r>
      <w:r>
        <w:t>the budget position.</w:t>
      </w:r>
      <w:r w:rsidR="00722B42">
        <w:t xml:space="preserve">  </w:t>
      </w:r>
      <w:r w:rsidR="00722B42" w:rsidRPr="00722B42">
        <w:t>On the other hand, stronger-than-expected economic activity would improve the budget position.</w:t>
      </w:r>
    </w:p>
    <w:p w:rsidR="005A4564" w:rsidRDefault="005A4564" w:rsidP="005A4564">
      <w:pPr>
        <w:pStyle w:val="BodyText"/>
      </w:pPr>
      <w:r w:rsidRPr="00067DAE">
        <w:t xml:space="preserve">The spending restraint seen over the past few years may be increasingly difficult to maintain </w:t>
      </w:r>
      <w:r w:rsidR="00434DD7">
        <w:t xml:space="preserve">over coming years </w:t>
      </w:r>
      <w:r>
        <w:t>given the length of time</w:t>
      </w:r>
      <w:r w:rsidR="00722B42">
        <w:t xml:space="preserve"> over which</w:t>
      </w:r>
      <w:r>
        <w:t xml:space="preserve"> restraint has been applied, the pressures emerging in some spending areas, and the potential need for fiscal stimulus</w:t>
      </w:r>
      <w:r w:rsidR="001B27C6">
        <w:t xml:space="preserve">, noting that the </w:t>
      </w:r>
      <w:r w:rsidR="00364D00">
        <w:t xml:space="preserve">projected </w:t>
      </w:r>
      <w:r w:rsidR="00F119CB">
        <w:t xml:space="preserve">improvement </w:t>
      </w:r>
      <w:r w:rsidR="00364D00">
        <w:t xml:space="preserve">in the </w:t>
      </w:r>
      <w:r w:rsidR="000503E3">
        <w:t>budget balance</w:t>
      </w:r>
      <w:r w:rsidR="001B27C6">
        <w:t xml:space="preserve"> </w:t>
      </w:r>
      <w:r>
        <w:t xml:space="preserve">is </w:t>
      </w:r>
      <w:r w:rsidR="00F119CB">
        <w:t>mild</w:t>
      </w:r>
      <w:r w:rsidR="000D0776">
        <w:t>l</w:t>
      </w:r>
      <w:r w:rsidR="00F119CB">
        <w:t xml:space="preserve">y </w:t>
      </w:r>
      <w:r>
        <w:t>contractionary.</w:t>
      </w:r>
    </w:p>
    <w:p w:rsidR="005A4564" w:rsidRDefault="0097595C" w:rsidP="00CF1627">
      <w:pPr>
        <w:pStyle w:val="BodyText"/>
      </w:pPr>
      <w:r>
        <w:t>Notwithstanding these risks, t</w:t>
      </w:r>
      <w:r w:rsidR="00434DD7">
        <w:t xml:space="preserve">hese projections </w:t>
      </w:r>
      <w:r>
        <w:t>do not include predictions about the possible future direction of government policy.  Th</w:t>
      </w:r>
      <w:r w:rsidR="00744FDB">
        <w:t>is</w:t>
      </w:r>
      <w:r>
        <w:t xml:space="preserve"> is not the role of the PBO.  Rather, these projections </w:t>
      </w:r>
      <w:r w:rsidR="00434DD7">
        <w:t xml:space="preserve">inform Parliament and </w:t>
      </w:r>
      <w:r w:rsidR="00722B42">
        <w:t xml:space="preserve">the </w:t>
      </w:r>
      <w:r w:rsidR="00434DD7">
        <w:t xml:space="preserve">general public about the </w:t>
      </w:r>
      <w:r w:rsidR="00F119CB">
        <w:t xml:space="preserve">underlying </w:t>
      </w:r>
      <w:r w:rsidR="00434DD7">
        <w:t xml:space="preserve">trajectory </w:t>
      </w:r>
      <w:r w:rsidR="00F119CB">
        <w:t xml:space="preserve">for the </w:t>
      </w:r>
      <w:r w:rsidR="000503E3">
        <w:t>budget balance</w:t>
      </w:r>
      <w:r w:rsidR="00F119CB">
        <w:t xml:space="preserve"> under </w:t>
      </w:r>
      <w:r w:rsidR="00434DD7">
        <w:t>current policy</w:t>
      </w:r>
      <w:r>
        <w:t xml:space="preserve"> </w:t>
      </w:r>
      <w:proofErr w:type="gramStart"/>
      <w:r w:rsidR="00F119CB">
        <w:t>settings, which provides</w:t>
      </w:r>
      <w:proofErr w:type="gramEnd"/>
      <w:r w:rsidR="00F119CB">
        <w:t xml:space="preserve"> a baseline against which future decisions can be compared</w:t>
      </w:r>
      <w:r w:rsidR="00434DD7">
        <w:t xml:space="preserve">. </w:t>
      </w:r>
    </w:p>
    <w:p w:rsidR="00E76098" w:rsidRDefault="00E76098" w:rsidP="00E76098">
      <w:pPr>
        <w:pStyle w:val="Heading1"/>
      </w:pPr>
      <w:bookmarkStart w:id="7" w:name="_Toc19530905"/>
      <w:bookmarkStart w:id="8" w:name="_Toc19536258"/>
      <w:bookmarkStart w:id="9" w:name="_Toc19536542"/>
      <w:bookmarkStart w:id="10" w:name="_Toc19530906"/>
      <w:bookmarkStart w:id="11" w:name="_Toc19536259"/>
      <w:bookmarkStart w:id="12" w:name="_Toc19536543"/>
      <w:bookmarkStart w:id="13" w:name="_Toc19530907"/>
      <w:bookmarkStart w:id="14" w:name="_Toc19536260"/>
      <w:bookmarkStart w:id="15" w:name="_Toc19536544"/>
      <w:bookmarkStart w:id="16" w:name="_Toc19530908"/>
      <w:bookmarkStart w:id="17" w:name="_Toc19536261"/>
      <w:bookmarkStart w:id="18" w:name="_Toc19536545"/>
      <w:bookmarkStart w:id="19" w:name="_Toc19530909"/>
      <w:bookmarkStart w:id="20" w:name="_Toc19536262"/>
      <w:bookmarkStart w:id="21" w:name="_Toc19536546"/>
      <w:bookmarkStart w:id="22" w:name="_Toc19530910"/>
      <w:bookmarkStart w:id="23" w:name="_Toc19536263"/>
      <w:bookmarkStart w:id="24" w:name="_Toc19536547"/>
      <w:bookmarkStart w:id="25" w:name="_Toc19530911"/>
      <w:bookmarkStart w:id="26" w:name="_Toc19536264"/>
      <w:bookmarkStart w:id="27" w:name="_Toc19536548"/>
      <w:bookmarkStart w:id="28" w:name="_Toc523757306"/>
      <w:bookmarkStart w:id="29" w:name="_Toc198012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lastRenderedPageBreak/>
        <w:t>Projected underlying cash balance</w:t>
      </w:r>
      <w:bookmarkEnd w:id="28"/>
      <w:bookmarkEnd w:id="29"/>
    </w:p>
    <w:p w:rsidR="00AF5E30" w:rsidRDefault="00AF5E30" w:rsidP="00434DD7">
      <w:pPr>
        <w:pStyle w:val="Heading2"/>
      </w:pPr>
      <w:bookmarkStart w:id="30" w:name="_Toc19801226"/>
      <w:r>
        <w:t>Underlying cash balance</w:t>
      </w:r>
      <w:bookmarkEnd w:id="30"/>
    </w:p>
    <w:p w:rsidR="00E76098" w:rsidRPr="00A117C9" w:rsidRDefault="00E76098" w:rsidP="00E76098">
      <w:pPr>
        <w:pStyle w:val="BodyText"/>
      </w:pPr>
      <w:r w:rsidRPr="00A117C9">
        <w:t xml:space="preserve">The </w:t>
      </w:r>
      <w:r w:rsidR="000503E3">
        <w:t>underlying cash balance</w:t>
      </w:r>
      <w:r w:rsidR="00ED68D8" w:rsidRPr="00A117C9">
        <w:t xml:space="preserve"> is projected by the G</w:t>
      </w:r>
      <w:r w:rsidRPr="00A117C9">
        <w:t xml:space="preserve">overnment to move from a </w:t>
      </w:r>
      <w:r w:rsidR="00722B42">
        <w:t xml:space="preserve">small </w:t>
      </w:r>
      <w:r w:rsidR="00947288">
        <w:t xml:space="preserve">deficit </w:t>
      </w:r>
      <w:r w:rsidR="0075750C" w:rsidRPr="00A117C9">
        <w:t>in 2018</w:t>
      </w:r>
      <w:r w:rsidR="005D5A0B" w:rsidRPr="00A117C9">
        <w:t>–</w:t>
      </w:r>
      <w:r w:rsidR="0075750C" w:rsidRPr="00A117C9">
        <w:t xml:space="preserve">19 </w:t>
      </w:r>
      <w:r w:rsidRPr="00A117C9">
        <w:t xml:space="preserve">to a surplus of </w:t>
      </w:r>
      <w:r w:rsidR="005A0172" w:rsidRPr="00A117C9">
        <w:t>0.4</w:t>
      </w:r>
      <w:r w:rsidR="00E260D4" w:rsidRPr="00A117C9">
        <w:t> </w:t>
      </w:r>
      <w:r w:rsidR="00525E7E" w:rsidRPr="00A117C9">
        <w:t>per</w:t>
      </w:r>
      <w:r w:rsidR="00E260D4" w:rsidRPr="00A117C9">
        <w:t> </w:t>
      </w:r>
      <w:r w:rsidR="00525E7E" w:rsidRPr="00A117C9">
        <w:t xml:space="preserve">cent of GDP </w:t>
      </w:r>
      <w:r w:rsidRPr="00A117C9">
        <w:t>(</w:t>
      </w:r>
      <w:r w:rsidR="00525E7E" w:rsidRPr="00A117C9">
        <w:t>$</w:t>
      </w:r>
      <w:r w:rsidR="0075750C" w:rsidRPr="00A117C9">
        <w:t>9.2</w:t>
      </w:r>
      <w:r w:rsidR="00E260D4" w:rsidRPr="00A117C9">
        <w:t> </w:t>
      </w:r>
      <w:r w:rsidR="00525E7E" w:rsidRPr="00A117C9">
        <w:t>billion</w:t>
      </w:r>
      <w:r w:rsidRPr="00A117C9">
        <w:t>) by 202</w:t>
      </w:r>
      <w:r w:rsidR="005D4E08" w:rsidRPr="00A117C9">
        <w:t>2</w:t>
      </w:r>
      <w:r w:rsidR="005D5A0B" w:rsidRPr="00A117C9">
        <w:t>–</w:t>
      </w:r>
      <w:r w:rsidRPr="00A117C9">
        <w:t>2</w:t>
      </w:r>
      <w:r w:rsidR="005D4E08" w:rsidRPr="00A117C9">
        <w:t>3</w:t>
      </w:r>
      <w:r w:rsidRPr="00A117C9">
        <w:t>.  Beyond the forward estimates</w:t>
      </w:r>
      <w:r w:rsidR="00182D1C" w:rsidRPr="00A117C9">
        <w:t xml:space="preserve"> period</w:t>
      </w:r>
      <w:r w:rsidR="00944AB2" w:rsidRPr="00A117C9">
        <w:t>,</w:t>
      </w:r>
      <w:r w:rsidRPr="00A117C9">
        <w:t xml:space="preserve"> </w:t>
      </w:r>
      <w:r w:rsidR="008E3AC0" w:rsidRPr="00A117C9">
        <w:t xml:space="preserve">the PBO </w:t>
      </w:r>
      <w:r w:rsidRPr="00A117C9">
        <w:t>project</w:t>
      </w:r>
      <w:r w:rsidR="008E3AC0" w:rsidRPr="00A117C9">
        <w:t>s</w:t>
      </w:r>
      <w:r w:rsidRPr="00A117C9">
        <w:t xml:space="preserve"> the surplus to reach </w:t>
      </w:r>
      <w:r w:rsidR="005A0172" w:rsidRPr="00A117C9">
        <w:t>1.</w:t>
      </w:r>
      <w:r w:rsidR="005C4E74" w:rsidRPr="00A117C9">
        <w:t>6</w:t>
      </w:r>
      <w:r w:rsidR="00E260D4" w:rsidRPr="00A117C9">
        <w:t> </w:t>
      </w:r>
      <w:r w:rsidR="00525E7E" w:rsidRPr="00A117C9">
        <w:t>per</w:t>
      </w:r>
      <w:r w:rsidR="00E260D4" w:rsidRPr="00A117C9">
        <w:t> </w:t>
      </w:r>
      <w:r w:rsidR="00525E7E" w:rsidRPr="00A117C9">
        <w:t>cent of GDP</w:t>
      </w:r>
      <w:r w:rsidR="005C4E74" w:rsidRPr="00A117C9">
        <w:t xml:space="preserve"> </w:t>
      </w:r>
      <w:r w:rsidR="002E3181" w:rsidRPr="00A117C9">
        <w:t>(</w:t>
      </w:r>
      <w:r w:rsidR="00525E7E" w:rsidRPr="00A117C9">
        <w:t>$</w:t>
      </w:r>
      <w:r w:rsidR="005C4E74" w:rsidRPr="00A117C9">
        <w:t>53.7</w:t>
      </w:r>
      <w:r w:rsidR="00E260D4" w:rsidRPr="00A117C9">
        <w:t> </w:t>
      </w:r>
      <w:r w:rsidR="00525E7E" w:rsidRPr="00A117C9">
        <w:t>billion</w:t>
      </w:r>
      <w:r w:rsidR="003C7464" w:rsidRPr="00A117C9">
        <w:t>) by 202</w:t>
      </w:r>
      <w:r w:rsidR="005B6541" w:rsidRPr="00A117C9">
        <w:t>9</w:t>
      </w:r>
      <w:r w:rsidR="005D5A0B" w:rsidRPr="00A117C9">
        <w:t>–</w:t>
      </w:r>
      <w:r w:rsidR="005B6541" w:rsidRPr="00A117C9">
        <w:t>30</w:t>
      </w:r>
      <w:r w:rsidR="003C7464" w:rsidRPr="00A117C9">
        <w:t xml:space="preserve"> (</w:t>
      </w:r>
      <w:r w:rsidR="003C7464" w:rsidRPr="00A117C9">
        <w:fldChar w:fldCharType="begin"/>
      </w:r>
      <w:r w:rsidR="003C7464" w:rsidRPr="00A117C9">
        <w:instrText xml:space="preserve"> REF _Ref520381208 \h </w:instrText>
      </w:r>
      <w:r w:rsidR="00692527" w:rsidRPr="00A117C9">
        <w:instrText xml:space="preserve"> \* MERGEFORMAT </w:instrText>
      </w:r>
      <w:r w:rsidR="003C7464" w:rsidRPr="00A117C9">
        <w:fldChar w:fldCharType="separate"/>
      </w:r>
      <w:r w:rsidR="00CD4258" w:rsidRPr="00E76098">
        <w:t xml:space="preserve">Figure </w:t>
      </w:r>
      <w:r w:rsidR="00CD4258">
        <w:rPr>
          <w:noProof/>
        </w:rPr>
        <w:t>1</w:t>
      </w:r>
      <w:r w:rsidR="00CD4258" w:rsidRPr="00E76098">
        <w:t>–</w:t>
      </w:r>
      <w:r w:rsidR="00CD4258">
        <w:rPr>
          <w:noProof/>
        </w:rPr>
        <w:t>1</w:t>
      </w:r>
      <w:r w:rsidR="003C7464" w:rsidRPr="00A117C9">
        <w:fldChar w:fldCharType="end"/>
      </w:r>
      <w:r w:rsidRPr="00A117C9">
        <w:t xml:space="preserve">).  </w:t>
      </w:r>
      <w:r w:rsidR="00B63240">
        <w:t>The PBO’s</w:t>
      </w:r>
      <w:r w:rsidR="00B63240" w:rsidRPr="00A117C9">
        <w:t xml:space="preserve"> </w:t>
      </w:r>
      <w:r w:rsidRPr="00A117C9">
        <w:t>projection over the next decade is broadly consistent with the medium-term budge</w:t>
      </w:r>
      <w:r w:rsidR="005B6541" w:rsidRPr="00A117C9">
        <w:t>t position presented in the 2019</w:t>
      </w:r>
      <w:r w:rsidR="005D5A0B" w:rsidRPr="00A117C9">
        <w:t>–</w:t>
      </w:r>
      <w:r w:rsidR="005B6541" w:rsidRPr="00A117C9">
        <w:t>20</w:t>
      </w:r>
      <w:r w:rsidRPr="00A117C9">
        <w:t xml:space="preserve"> Budget</w:t>
      </w:r>
      <w:r w:rsidR="00F119CB">
        <w:t xml:space="preserve">, </w:t>
      </w:r>
      <w:r w:rsidR="009A6639">
        <w:t>although</w:t>
      </w:r>
      <w:r w:rsidR="00F119CB">
        <w:t xml:space="preserve"> </w:t>
      </w:r>
      <w:r w:rsidR="00722B42">
        <w:t>th</w:t>
      </w:r>
      <w:r w:rsidR="005E0AAF">
        <w:t>e</w:t>
      </w:r>
      <w:r w:rsidR="00F119CB">
        <w:t xml:space="preserve"> </w:t>
      </w:r>
      <w:r w:rsidR="00207557">
        <w:t xml:space="preserve">profile </w:t>
      </w:r>
      <w:r w:rsidR="00722B42">
        <w:t>varies somewhat from year to year resulting in a slightly higher projection for net debt (</w:t>
      </w:r>
      <w:r w:rsidR="000503E3">
        <w:t xml:space="preserve">Section </w:t>
      </w:r>
      <w:r w:rsidR="00722B42">
        <w:t>4)</w:t>
      </w:r>
      <w:r w:rsidRPr="00A117C9">
        <w:t>.</w:t>
      </w:r>
      <w:r w:rsidR="003142AB" w:rsidRPr="00A117C9">
        <w:t xml:space="preserve"> </w:t>
      </w:r>
    </w:p>
    <w:p w:rsidR="002F3E07" w:rsidRPr="007F1FBB" w:rsidRDefault="002F3E07" w:rsidP="007F1FBB">
      <w:pPr>
        <w:pStyle w:val="BodyText"/>
      </w:pPr>
    </w:p>
    <w:p w:rsidR="00E76098" w:rsidRDefault="00E76098">
      <w:pPr>
        <w:pStyle w:val="Caption"/>
      </w:pPr>
      <w:bookmarkStart w:id="31" w:name="_Ref520381208"/>
      <w:r w:rsidRPr="00E76098">
        <w:t xml:space="preserve">Figure </w:t>
      </w:r>
      <w:r w:rsidR="00080176">
        <w:t>1</w:t>
      </w:r>
      <w:r w:rsidRPr="00E76098">
        <w:t>–</w:t>
      </w:r>
      <w:fldSimple w:instr=" SEQ Figure \* ARABIC \s 1 ">
        <w:r w:rsidR="00CD4258">
          <w:rPr>
            <w:noProof/>
          </w:rPr>
          <w:t>1</w:t>
        </w:r>
      </w:fldSimple>
      <w:bookmarkEnd w:id="31"/>
      <w:r w:rsidRPr="00E76098">
        <w:t>: Underlying cash balance</w:t>
      </w:r>
    </w:p>
    <w:p w:rsidR="00AF47DC" w:rsidRDefault="00125F95" w:rsidP="00346C27">
      <w:pPr>
        <w:pStyle w:val="BodyText"/>
        <w:jc w:val="center"/>
      </w:pPr>
      <w:r>
        <w:rPr>
          <w:noProof/>
          <w:lang w:eastAsia="en-AU"/>
        </w:rPr>
        <w:drawing>
          <wp:inline distT="0" distB="0" distL="0" distR="0" wp14:anchorId="3490DC16" wp14:editId="3457FAAE">
            <wp:extent cx="4859020" cy="3066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3066415"/>
                    </a:xfrm>
                    <a:prstGeom prst="rect">
                      <a:avLst/>
                    </a:prstGeom>
                    <a:noFill/>
                  </pic:spPr>
                </pic:pic>
              </a:graphicData>
            </a:graphic>
          </wp:inline>
        </w:drawing>
      </w:r>
    </w:p>
    <w:p w:rsidR="002F3E07" w:rsidRPr="007F1FBB" w:rsidRDefault="00722B42" w:rsidP="003D2759">
      <w:pPr>
        <w:pStyle w:val="SourceIndent"/>
        <w:tabs>
          <w:tab w:val="clear" w:pos="624"/>
          <w:tab w:val="left" w:pos="8222"/>
        </w:tabs>
        <w:spacing w:before="0"/>
        <w:ind w:left="992" w:right="992"/>
      </w:pPr>
      <w:r>
        <w:t>Note: Dots represent the 2018</w:t>
      </w:r>
      <w:r w:rsidR="000B5FCE">
        <w:t>–</w:t>
      </w:r>
      <w:r>
        <w:t xml:space="preserve">19 </w:t>
      </w:r>
      <w:r w:rsidR="00270373">
        <w:t>f</w:t>
      </w:r>
      <w:r>
        <w:t xml:space="preserve">inal </w:t>
      </w:r>
      <w:r w:rsidR="00270373">
        <w:t>b</w:t>
      </w:r>
      <w:r>
        <w:t xml:space="preserve">udget </w:t>
      </w:r>
      <w:r w:rsidR="00270373">
        <w:t>o</w:t>
      </w:r>
      <w:r>
        <w:t>utcomes</w:t>
      </w:r>
      <w:r w:rsidR="00E9230F">
        <w:t>, for</w:t>
      </w:r>
      <w:r>
        <w:t xml:space="preserve"> total receipts of 24.9</w:t>
      </w:r>
      <w:r w:rsidR="00664F2C">
        <w:t xml:space="preserve"> </w:t>
      </w:r>
      <w:r>
        <w:t>per cent of GDP, payments of 24.6 per cent of GDP and a</w:t>
      </w:r>
      <w:r w:rsidR="00E9230F">
        <w:t>n</w:t>
      </w:r>
      <w:r>
        <w:t xml:space="preserve"> </w:t>
      </w:r>
      <w:r w:rsidR="00AA2C2C">
        <w:t xml:space="preserve">underlying cash balance </w:t>
      </w:r>
      <w:r>
        <w:t>of 0.0 per cent of GDP</w:t>
      </w:r>
      <w:r w:rsidR="000503E3">
        <w:t xml:space="preserve"> in</w:t>
      </w:r>
      <w:r w:rsidR="00664F2C">
        <w:t xml:space="preserve"> 2018</w:t>
      </w:r>
      <w:r w:rsidR="00664F2C">
        <w:rPr>
          <w:spacing w:val="-3"/>
        </w:rPr>
        <w:t>–19</w:t>
      </w:r>
      <w:r>
        <w:t>.</w:t>
      </w:r>
      <w:r w:rsidR="008B5096">
        <w:t xml:space="preserve">  </w:t>
      </w:r>
      <w:r w:rsidR="003C7464" w:rsidRPr="007F1FBB">
        <w:t>Net Future Fund earnings are included in the underlying cash balance from 2020</w:t>
      </w:r>
      <w:r w:rsidR="000B5FCE">
        <w:t>–</w:t>
      </w:r>
      <w:r w:rsidR="003C7464" w:rsidRPr="007F1FBB">
        <w:t>21</w:t>
      </w:r>
      <w:r w:rsidR="00E260D4">
        <w:t>,</w:t>
      </w:r>
      <w:r w:rsidR="003C7464" w:rsidRPr="007F1FBB">
        <w:t xml:space="preserve"> consistent with the 201</w:t>
      </w:r>
      <w:r w:rsidR="007F2F31" w:rsidRPr="007F1FBB">
        <w:t>9</w:t>
      </w:r>
      <w:r w:rsidR="00E260D4">
        <w:rPr>
          <w:spacing w:val="-3"/>
        </w:rPr>
        <w:t>–</w:t>
      </w:r>
      <w:r w:rsidR="007F2F31" w:rsidRPr="007F1FBB">
        <w:t>20</w:t>
      </w:r>
      <w:r w:rsidR="003C7464" w:rsidRPr="007F1FBB">
        <w:t xml:space="preserve"> Budget treatment.</w:t>
      </w:r>
      <w:r w:rsidR="00392A7F">
        <w:br/>
      </w:r>
      <w:r w:rsidR="007A237E" w:rsidRPr="007F1FBB">
        <w:t>Source: 20</w:t>
      </w:r>
      <w:r w:rsidR="007F2F31" w:rsidRPr="007F1FBB">
        <w:t>1</w:t>
      </w:r>
      <w:r w:rsidR="007A237E" w:rsidRPr="007F1FBB">
        <w:t>9</w:t>
      </w:r>
      <w:r w:rsidR="00E260D4">
        <w:rPr>
          <w:spacing w:val="-3"/>
        </w:rPr>
        <w:t>–</w:t>
      </w:r>
      <w:r w:rsidR="007F2F31" w:rsidRPr="007F1FBB">
        <w:t>20</w:t>
      </w:r>
      <w:r w:rsidR="007A237E" w:rsidRPr="007F1FBB">
        <w:t xml:space="preserve"> Budget</w:t>
      </w:r>
      <w:r w:rsidR="005148CD">
        <w:t>, 2018</w:t>
      </w:r>
      <w:r w:rsidR="005148CD">
        <w:rPr>
          <w:spacing w:val="-3"/>
        </w:rPr>
        <w:t>–19 Final Budget Outcome</w:t>
      </w:r>
      <w:r w:rsidR="007A237E" w:rsidRPr="007F1FBB">
        <w:t xml:space="preserve"> and PBO analysis.</w:t>
      </w:r>
    </w:p>
    <w:p w:rsidR="003034AA" w:rsidRPr="00A117C9" w:rsidRDefault="00AF5E30" w:rsidP="00525E7E">
      <w:pPr>
        <w:pStyle w:val="BodyText"/>
      </w:pPr>
      <w:r w:rsidRPr="00A117C9">
        <w:t xml:space="preserve">The improvement in the </w:t>
      </w:r>
      <w:r w:rsidR="008B5096">
        <w:t>budget balance</w:t>
      </w:r>
      <w:r w:rsidRPr="00A117C9">
        <w:t xml:space="preserve"> </w:t>
      </w:r>
      <w:r w:rsidR="00F119CB">
        <w:t xml:space="preserve">over the medium term </w:t>
      </w:r>
      <w:r w:rsidRPr="00A117C9">
        <w:t xml:space="preserve">reflects declining spending as a share of GDP, which </w:t>
      </w:r>
      <w:r w:rsidR="00E260D4" w:rsidRPr="00A117C9">
        <w:t xml:space="preserve">the PBO </w:t>
      </w:r>
      <w:r w:rsidRPr="00A117C9">
        <w:t>project</w:t>
      </w:r>
      <w:r w:rsidR="00E260D4" w:rsidRPr="00A117C9">
        <w:t>s</w:t>
      </w:r>
      <w:r w:rsidRPr="00A117C9">
        <w:t xml:space="preserve"> to fall </w:t>
      </w:r>
      <w:r w:rsidR="00722B42">
        <w:t>by around 1.0</w:t>
      </w:r>
      <w:r w:rsidR="00E260D4" w:rsidRPr="00A117C9">
        <w:t> </w:t>
      </w:r>
      <w:r w:rsidRPr="00A117C9">
        <w:t>per</w:t>
      </w:r>
      <w:r w:rsidR="00E260D4" w:rsidRPr="00A117C9">
        <w:t> </w:t>
      </w:r>
      <w:r w:rsidRPr="00A117C9">
        <w:t xml:space="preserve">cent of GDP </w:t>
      </w:r>
      <w:r w:rsidR="00722B42">
        <w:t>over the decade to</w:t>
      </w:r>
      <w:r w:rsidRPr="00A117C9">
        <w:t xml:space="preserve"> </w:t>
      </w:r>
      <w:r w:rsidR="00722B42" w:rsidRPr="00A117C9">
        <w:t>2029–30</w:t>
      </w:r>
      <w:r w:rsidR="00722B42">
        <w:t xml:space="preserve">, </w:t>
      </w:r>
      <w:r w:rsidRPr="00A117C9">
        <w:t>to 23.9</w:t>
      </w:r>
      <w:r w:rsidR="00E260D4" w:rsidRPr="00A117C9">
        <w:t> </w:t>
      </w:r>
      <w:r w:rsidRPr="00A117C9">
        <w:t>per</w:t>
      </w:r>
      <w:r w:rsidR="00E260D4" w:rsidRPr="00A117C9">
        <w:t> </w:t>
      </w:r>
      <w:r w:rsidRPr="00A117C9">
        <w:t xml:space="preserve">cent of GDP.  </w:t>
      </w:r>
    </w:p>
    <w:p w:rsidR="00525E7E" w:rsidRDefault="003C7464" w:rsidP="00525E7E">
      <w:pPr>
        <w:pStyle w:val="BodyText"/>
      </w:pPr>
      <w:r w:rsidRPr="00A117C9">
        <w:t>Beyond the forward estimates</w:t>
      </w:r>
      <w:r w:rsidR="00182D1C" w:rsidRPr="00A117C9">
        <w:t xml:space="preserve"> period</w:t>
      </w:r>
      <w:r w:rsidR="00AC3F82" w:rsidRPr="00A117C9">
        <w:t>,</w:t>
      </w:r>
      <w:r w:rsidRPr="00A117C9">
        <w:t xml:space="preserve"> </w:t>
      </w:r>
      <w:r w:rsidR="008E3AC0" w:rsidRPr="00A117C9">
        <w:t>the</w:t>
      </w:r>
      <w:r w:rsidRPr="00A117C9">
        <w:t xml:space="preserve"> </w:t>
      </w:r>
      <w:r w:rsidR="008E3AC0" w:rsidRPr="00A117C9">
        <w:t xml:space="preserve">PBO </w:t>
      </w:r>
      <w:r w:rsidRPr="00A117C9">
        <w:t>project</w:t>
      </w:r>
      <w:r w:rsidR="008E3AC0" w:rsidRPr="00A117C9">
        <w:t>s</w:t>
      </w:r>
      <w:r w:rsidRPr="00A117C9">
        <w:t xml:space="preserve"> total receipts to </w:t>
      </w:r>
      <w:r w:rsidR="00EC1CB4" w:rsidRPr="00A117C9">
        <w:t>fall in 2024</w:t>
      </w:r>
      <w:r w:rsidR="000B5FCE">
        <w:t>–</w:t>
      </w:r>
      <w:r w:rsidR="00EC1CB4" w:rsidRPr="00A117C9">
        <w:t>25 with the implementation of Stage</w:t>
      </w:r>
      <w:r w:rsidR="00E260D4" w:rsidRPr="00A117C9">
        <w:t> </w:t>
      </w:r>
      <w:r w:rsidR="00EC1CB4" w:rsidRPr="00A117C9">
        <w:t xml:space="preserve">3 of the Government’s </w:t>
      </w:r>
      <w:r w:rsidR="00884125" w:rsidRPr="00A117C9">
        <w:t xml:space="preserve">personal income </w:t>
      </w:r>
      <w:r w:rsidR="00CF4D43" w:rsidRPr="00A117C9">
        <w:t>tax cuts</w:t>
      </w:r>
      <w:r w:rsidR="00722B42">
        <w:t>,</w:t>
      </w:r>
      <w:r w:rsidR="00EC1CB4" w:rsidRPr="00A117C9">
        <w:t xml:space="preserve"> but to continue to increase as a share of GDP thereafter</w:t>
      </w:r>
      <w:r w:rsidR="007F2F31" w:rsidRPr="00A117C9">
        <w:t xml:space="preserve">.  </w:t>
      </w:r>
      <w:r w:rsidR="00744FDB" w:rsidRPr="00A117C9">
        <w:t>N</w:t>
      </w:r>
      <w:r w:rsidR="003034AA" w:rsidRPr="00A117C9">
        <w:t xml:space="preserve">et </w:t>
      </w:r>
      <w:r w:rsidR="00525E7E" w:rsidRPr="00A117C9">
        <w:t>Future Fund earnings</w:t>
      </w:r>
      <w:r w:rsidR="003034AA" w:rsidRPr="00A117C9">
        <w:t xml:space="preserve"> </w:t>
      </w:r>
      <w:r w:rsidR="00525E7E" w:rsidRPr="00A117C9">
        <w:t xml:space="preserve">contribute </w:t>
      </w:r>
      <w:r w:rsidR="00AD63B8" w:rsidRPr="00A117C9">
        <w:t>0.3</w:t>
      </w:r>
      <w:r w:rsidR="00E260D4" w:rsidRPr="00A117C9">
        <w:t> </w:t>
      </w:r>
      <w:r w:rsidR="00AD63B8" w:rsidRPr="00A117C9">
        <w:t>per</w:t>
      </w:r>
      <w:r w:rsidR="00E260D4" w:rsidRPr="00A117C9">
        <w:t> </w:t>
      </w:r>
      <w:r w:rsidR="00AD63B8" w:rsidRPr="00A117C9">
        <w:t xml:space="preserve">cent of GDP to the </w:t>
      </w:r>
      <w:r w:rsidR="00AA2C2C">
        <w:t xml:space="preserve">underlying cash balance </w:t>
      </w:r>
      <w:r w:rsidR="00525E7E" w:rsidRPr="00A117C9">
        <w:t>from 2020</w:t>
      </w:r>
      <w:r w:rsidR="005D5A0B" w:rsidRPr="00A117C9">
        <w:t>–</w:t>
      </w:r>
      <w:r w:rsidR="00525E7E" w:rsidRPr="00A117C9">
        <w:t>21</w:t>
      </w:r>
      <w:r w:rsidR="00722B42">
        <w:t>, the first year these earnings become available to meet the Government’s superannuation liability.</w:t>
      </w:r>
    </w:p>
    <w:p w:rsidR="00433EE5" w:rsidRDefault="00433EE5" w:rsidP="00525E7E">
      <w:pPr>
        <w:pStyle w:val="BodyText"/>
      </w:pPr>
    </w:p>
    <w:p w:rsidR="00433EE5" w:rsidRDefault="00433EE5" w:rsidP="00525E7E">
      <w:pPr>
        <w:pStyle w:val="BodyText"/>
      </w:pPr>
    </w:p>
    <w:p w:rsidR="003049A9" w:rsidRDefault="003049A9" w:rsidP="00525E7E">
      <w:pPr>
        <w:pStyle w:val="BodyText"/>
      </w:pPr>
    </w:p>
    <w:p w:rsidR="007F0090" w:rsidRDefault="00992D4B" w:rsidP="003D2759">
      <w:pPr>
        <w:pStyle w:val="BodyText"/>
      </w:pPr>
      <w:r>
        <w:lastRenderedPageBreak/>
        <w:t>T</w:t>
      </w:r>
      <w:r w:rsidR="00490AF1" w:rsidRPr="00A117C9">
        <w:t xml:space="preserve">hese projections </w:t>
      </w:r>
      <w:r w:rsidR="008B5096">
        <w:t>are based on</w:t>
      </w:r>
      <w:r w:rsidR="008B5096" w:rsidRPr="00A117C9">
        <w:t xml:space="preserve"> </w:t>
      </w:r>
      <w:r w:rsidR="00490AF1" w:rsidRPr="00A117C9">
        <w:t xml:space="preserve">the </w:t>
      </w:r>
      <w:r w:rsidR="00525E7E" w:rsidRPr="00A117C9">
        <w:t>policy settings</w:t>
      </w:r>
      <w:r w:rsidR="008B5096">
        <w:t>, budget estimates</w:t>
      </w:r>
      <w:r w:rsidR="00525E7E" w:rsidRPr="00A117C9">
        <w:t xml:space="preserve"> and the economic parameters </w:t>
      </w:r>
      <w:r w:rsidR="00490AF1" w:rsidRPr="00A117C9">
        <w:t>at the time of the 201</w:t>
      </w:r>
      <w:r w:rsidR="00692527" w:rsidRPr="00A117C9">
        <w:t>9</w:t>
      </w:r>
      <w:r w:rsidR="005D5A0B" w:rsidRPr="00A117C9">
        <w:t>–</w:t>
      </w:r>
      <w:r w:rsidR="00ED28DF" w:rsidRPr="00A117C9">
        <w:t>20</w:t>
      </w:r>
      <w:r w:rsidR="007F1FBB" w:rsidRPr="00A117C9">
        <w:t xml:space="preserve"> </w:t>
      </w:r>
      <w:r w:rsidR="00490AF1" w:rsidRPr="00A117C9">
        <w:t>Budget</w:t>
      </w:r>
      <w:r w:rsidR="00631688">
        <w:t xml:space="preserve"> (</w:t>
      </w:r>
      <w:r w:rsidR="00086980">
        <w:t xml:space="preserve">see </w:t>
      </w:r>
      <w:r w:rsidR="00270373">
        <w:t>B</w:t>
      </w:r>
      <w:r w:rsidR="00631688">
        <w:t>ox</w:t>
      </w:r>
      <w:r w:rsidR="00086980">
        <w:t>es</w:t>
      </w:r>
      <w:r w:rsidR="00631688">
        <w:t xml:space="preserve"> 1 and 2</w:t>
      </w:r>
      <w:r w:rsidR="00086980">
        <w:t xml:space="preserve"> below</w:t>
      </w:r>
      <w:r w:rsidR="00631688">
        <w:t>)</w:t>
      </w:r>
      <w:r w:rsidR="00F119CB">
        <w:t xml:space="preserve">, and include the impact of underlying trends, such as ageing, which will have a noticeable fiscal impact over the </w:t>
      </w:r>
      <w:r w:rsidR="00722B42">
        <w:t xml:space="preserve">next two </w:t>
      </w:r>
      <w:r>
        <w:t>decades</w:t>
      </w:r>
      <w:r w:rsidR="00490AF1" w:rsidRPr="00A117C9">
        <w:t>.</w:t>
      </w:r>
      <w:r w:rsidRPr="004E6A22">
        <w:rPr>
          <w:rStyle w:val="FootnoteReference"/>
        </w:rPr>
        <w:footnoteReference w:id="1"/>
      </w:r>
      <w:r w:rsidR="003034AA" w:rsidRPr="00A117C9">
        <w:t xml:space="preserve">  </w:t>
      </w:r>
      <w:r w:rsidR="008B5096">
        <w:t>The outcomes reported in the </w:t>
      </w:r>
      <w:r w:rsidR="008B5096" w:rsidRPr="00B3549B">
        <w:rPr>
          <w:i/>
        </w:rPr>
        <w:t>2018–19</w:t>
      </w:r>
      <w:r w:rsidR="008B5096">
        <w:t xml:space="preserve"> </w:t>
      </w:r>
      <w:r w:rsidR="008B5096">
        <w:rPr>
          <w:i/>
        </w:rPr>
        <w:t xml:space="preserve">Final Budget </w:t>
      </w:r>
      <w:r w:rsidR="008B5096" w:rsidRPr="00086715">
        <w:rPr>
          <w:i/>
        </w:rPr>
        <w:t>Outcome</w:t>
      </w:r>
      <w:r w:rsidR="008B5096">
        <w:t xml:space="preserve">, released in September and noted in the figures for comparison, would not be expected to materially change the medium-term trends and pressures presented in this report. </w:t>
      </w:r>
      <w:r w:rsidR="003034AA" w:rsidRPr="00A117C9">
        <w:t>T</w:t>
      </w:r>
      <w:r w:rsidR="003C7464" w:rsidRPr="004E6A22">
        <w:t xml:space="preserve">he </w:t>
      </w:r>
      <w:r w:rsidR="006D483E" w:rsidRPr="004E6A22">
        <w:t xml:space="preserve">underlying trends in the components of </w:t>
      </w:r>
      <w:r w:rsidR="003C7464" w:rsidRPr="004E6A22">
        <w:t>receipts and spending are explored in more detail in the following sections.</w:t>
      </w:r>
      <w:r w:rsidR="00F119CB" w:rsidRPr="00F119CB">
        <w:rPr>
          <w:rStyle w:val="FootnoteReference"/>
        </w:rPr>
        <w:t xml:space="preserve"> </w:t>
      </w:r>
    </w:p>
    <w:p w:rsidR="004A3FF1" w:rsidRPr="002C27E6" w:rsidRDefault="004A3FF1" w:rsidP="00D46A0C">
      <w:pPr>
        <w:pStyle w:val="BodyText"/>
        <w:spacing w:before="240"/>
      </w:pPr>
    </w:p>
    <w:tbl>
      <w:tblPr>
        <w:tblStyle w:val="BoxPlaceholder"/>
        <w:tblW w:w="8789" w:type="dxa"/>
        <w:tblLayout w:type="fixed"/>
        <w:tblLook w:val="04A0" w:firstRow="1" w:lastRow="0" w:firstColumn="1" w:lastColumn="0" w:noHBand="0" w:noVBand="1"/>
      </w:tblPr>
      <w:tblGrid>
        <w:gridCol w:w="8789"/>
      </w:tblGrid>
      <w:tr w:rsidR="004A3FF1" w:rsidTr="00E30137">
        <w:tc>
          <w:tcPr>
            <w:tcW w:w="8789" w:type="dxa"/>
          </w:tcPr>
          <w:p w:rsidR="004A3FF1" w:rsidRPr="000B2E31" w:rsidRDefault="004A3FF1" w:rsidP="00E30137">
            <w:pPr>
              <w:pStyle w:val="CaptionLeft"/>
              <w:rPr>
                <w:sz w:val="28"/>
                <w:szCs w:val="28"/>
              </w:rPr>
            </w:pPr>
            <w:r w:rsidRPr="000B2E31">
              <w:rPr>
                <w:sz w:val="28"/>
                <w:szCs w:val="28"/>
              </w:rPr>
              <w:t xml:space="preserve">Box </w:t>
            </w:r>
            <w:r w:rsidR="00086980">
              <w:rPr>
                <w:sz w:val="28"/>
                <w:szCs w:val="28"/>
              </w:rPr>
              <w:t>1</w:t>
            </w:r>
            <w:r w:rsidRPr="000B2E31">
              <w:rPr>
                <w:sz w:val="28"/>
                <w:szCs w:val="28"/>
              </w:rPr>
              <w:t xml:space="preserve">: </w:t>
            </w:r>
            <w:r>
              <w:rPr>
                <w:sz w:val="28"/>
                <w:szCs w:val="28"/>
              </w:rPr>
              <w:t>Medium-term projections vs predictions</w:t>
            </w:r>
          </w:p>
          <w:p w:rsidR="004A3FF1" w:rsidRDefault="004A3FF1" w:rsidP="00E30137">
            <w:pPr>
              <w:pStyle w:val="BodyText"/>
            </w:pPr>
            <w:r>
              <w:t xml:space="preserve">One criticism of medium-term projections can be that they largely reflect current government policy and do not incorporate </w:t>
            </w:r>
            <w:r w:rsidR="00722B42">
              <w:t xml:space="preserve">likely </w:t>
            </w:r>
            <w:r>
              <w:t>future government decisions.</w:t>
            </w:r>
          </w:p>
          <w:p w:rsidR="004A3FF1" w:rsidRDefault="00722B42" w:rsidP="00E30137">
            <w:pPr>
              <w:pStyle w:val="BodyText"/>
            </w:pPr>
            <w:r>
              <w:t xml:space="preserve">This is intentional.  </w:t>
            </w:r>
            <w:r w:rsidR="004A3FF1">
              <w:t>The PBO’s projections are not attempts to predict the future,</w:t>
            </w:r>
            <w:r w:rsidR="00B56E2C">
              <w:t xml:space="preserve"> or future policy decisions,</w:t>
            </w:r>
            <w:r w:rsidR="004A3FF1">
              <w:t xml:space="preserve"> but rather to provide a reasonable quantitative basis on which to assess the strength and sustainability of the </w:t>
            </w:r>
            <w:r w:rsidR="00B56E2C">
              <w:t xml:space="preserve">current </w:t>
            </w:r>
            <w:r w:rsidR="004A3FF1">
              <w:t>fiscal position</w:t>
            </w:r>
            <w:r w:rsidR="00FD0C3F">
              <w:t>,</w:t>
            </w:r>
            <w:r w:rsidR="004A3FF1">
              <w:t xml:space="preserve"> and </w:t>
            </w:r>
            <w:r w:rsidR="00B56E2C">
              <w:t>to provide a</w:t>
            </w:r>
            <w:r w:rsidR="004A3FF1">
              <w:t xml:space="preserve"> baseline </w:t>
            </w:r>
            <w:r>
              <w:t xml:space="preserve">to </w:t>
            </w:r>
            <w:r w:rsidR="004A3FF1">
              <w:t>which future decisions should be added or subtracted.</w:t>
            </w:r>
          </w:p>
          <w:p w:rsidR="004A3FF1" w:rsidRDefault="004A3FF1" w:rsidP="00E30137">
            <w:pPr>
              <w:pStyle w:val="BodyText"/>
            </w:pPr>
            <w:r>
              <w:t>The projections are designed to perform the following functions.</w:t>
            </w:r>
          </w:p>
          <w:p w:rsidR="004A3FF1" w:rsidRDefault="00B56E2C" w:rsidP="00E30137">
            <w:pPr>
              <w:pStyle w:val="BodyText"/>
            </w:pPr>
            <w:r>
              <w:t>First, they present significant</w:t>
            </w:r>
            <w:r w:rsidR="004A3FF1">
              <w:t xml:space="preserve"> detail beyond the forward estimates period </w:t>
            </w:r>
            <w:r>
              <w:t>for major receipts and spending programs</w:t>
            </w:r>
            <w:r w:rsidR="004A3FF1">
              <w:t xml:space="preserve">.  The 2019–20 Budget papers included projections of the </w:t>
            </w:r>
            <w:r w:rsidR="008B5096">
              <w:t>underlying cash balance</w:t>
            </w:r>
            <w:r w:rsidR="004A3FF1">
              <w:t xml:space="preserve">, </w:t>
            </w:r>
            <w:r w:rsidR="00722B42">
              <w:t xml:space="preserve">total receipts, total payments, </w:t>
            </w:r>
            <w:r w:rsidR="004A3FF1">
              <w:t xml:space="preserve">net debt and net financial worth to 2029–30, but did not include detailed </w:t>
            </w:r>
            <w:r w:rsidR="00722B42">
              <w:t>breakdowns</w:t>
            </w:r>
            <w:r w:rsidR="004A3FF1">
              <w:t xml:space="preserve"> of receipts and spending beyond the forward estimates period, which ends in 2022–23.  The additional detail</w:t>
            </w:r>
            <w:r w:rsidR="00722B42">
              <w:t xml:space="preserve"> provided in this report</w:t>
            </w:r>
            <w:r w:rsidR="004A3FF1">
              <w:t xml:space="preserve"> enables a more informed assessment of the fiscal policy settings, including the impact on the budget of significant programs that mature beyond the forward estimates period.</w:t>
            </w:r>
          </w:p>
          <w:p w:rsidR="004A3FF1" w:rsidRDefault="004A3FF1" w:rsidP="00E30137">
            <w:pPr>
              <w:pStyle w:val="BodyText"/>
            </w:pPr>
            <w:r>
              <w:t xml:space="preserve">Second, although the PBO’s legislation requires it to use the economic </w:t>
            </w:r>
            <w:r w:rsidR="00433EE5">
              <w:t xml:space="preserve">parameters </w:t>
            </w:r>
            <w:r>
              <w:t>that underpin the 2019–20 Budget (Box </w:t>
            </w:r>
            <w:r w:rsidR="004824A0">
              <w:t>2</w:t>
            </w:r>
            <w:r>
              <w:t xml:space="preserve">), the PBO’s projections provide an independent assessment of how those economic </w:t>
            </w:r>
            <w:r w:rsidR="0029321B">
              <w:t>parameters</w:t>
            </w:r>
            <w:r w:rsidR="00B56E2C">
              <w:t>, along with underlying demographic</w:t>
            </w:r>
            <w:r w:rsidR="00722B42">
              <w:t xml:space="preserve"> trends</w:t>
            </w:r>
            <w:r w:rsidR="00B56E2C">
              <w:t xml:space="preserve"> and developments in individual program areas,</w:t>
            </w:r>
            <w:r>
              <w:t xml:space="preserve"> translate into fiscal aggregates.</w:t>
            </w:r>
          </w:p>
          <w:p w:rsidR="004A3FF1" w:rsidRDefault="004A3FF1" w:rsidP="00E30137">
            <w:pPr>
              <w:pStyle w:val="BodyText"/>
            </w:pPr>
            <w:r>
              <w:t>Third, the projections provide a</w:t>
            </w:r>
            <w:r w:rsidR="00722B42">
              <w:t>n</w:t>
            </w:r>
            <w:r w:rsidR="00B56E2C">
              <w:t xml:space="preserve"> annual update </w:t>
            </w:r>
            <w:r>
              <w:t>o</w:t>
            </w:r>
            <w:r w:rsidR="00B56E2C">
              <w:t>n</w:t>
            </w:r>
            <w:r>
              <w:t xml:space="preserve"> the strength of the budget position </w:t>
            </w:r>
            <w:r w:rsidR="00B56E2C">
              <w:t>over the next decade</w:t>
            </w:r>
            <w:r>
              <w:t xml:space="preserve">.  The major development in fiscal policy architecture in Australia over the past twenty years has been extending budgeting over a longer timeframe, but the </w:t>
            </w:r>
            <w:r w:rsidRPr="00434DD7">
              <w:rPr>
                <w:i/>
              </w:rPr>
              <w:t>Intergenerational Report</w:t>
            </w:r>
            <w:r>
              <w:t xml:space="preserve">, first published in 2002, is updated only every five years.  The economic and policy contexts can evolve more quickly, even over a decade horizon, </w:t>
            </w:r>
            <w:r w:rsidR="00433EE5">
              <w:t xml:space="preserve">suggesting a benefit of </w:t>
            </w:r>
            <w:r>
              <w:t>more regular updates.</w:t>
            </w:r>
          </w:p>
          <w:p w:rsidR="004A3FF1" w:rsidRPr="00FF786D" w:rsidRDefault="004A3FF1" w:rsidP="009864E5">
            <w:pPr>
              <w:pStyle w:val="BodyText"/>
            </w:pPr>
            <w:r>
              <w:t xml:space="preserve">Fourth, the projections provide an assessment of the Government’s capacity to fund </w:t>
            </w:r>
            <w:r w:rsidR="009864E5">
              <w:t xml:space="preserve">both </w:t>
            </w:r>
            <w:r>
              <w:t>commitments that mature beyond the forward estimates period</w:t>
            </w:r>
            <w:r w:rsidR="00B56E2C">
              <w:t xml:space="preserve"> </w:t>
            </w:r>
            <w:r w:rsidR="009864E5">
              <w:t>and</w:t>
            </w:r>
            <w:r w:rsidR="00B56E2C">
              <w:t xml:space="preserve"> future policy decisions</w:t>
            </w:r>
            <w:r>
              <w:t xml:space="preserve">.  The PBO includes the Government’s policy settings </w:t>
            </w:r>
            <w:r w:rsidR="00B56E2C">
              <w:t>as presented</w:t>
            </w:r>
            <w:r>
              <w:t xml:space="preserve"> in the </w:t>
            </w:r>
            <w:r w:rsidR="00B56E2C">
              <w:t>most recent</w:t>
            </w:r>
            <w:r>
              <w:t xml:space="preserve"> </w:t>
            </w:r>
            <w:r w:rsidR="0091585F">
              <w:t>b</w:t>
            </w:r>
            <w:r>
              <w:t>udget.  Where government policy has not been made explicit beyond the forward estimates period, the PBO’s projections broadly assume the continuation of current policy settings</w:t>
            </w:r>
            <w:r w:rsidR="00722B42">
              <w:t xml:space="preserve"> and arrangements</w:t>
            </w:r>
            <w:r>
              <w:t>.  The PBO does not speculate on future government</w:t>
            </w:r>
            <w:r w:rsidR="00B56E2C">
              <w:t xml:space="preserve"> policy</w:t>
            </w:r>
            <w:r>
              <w:t xml:space="preserve"> decisions.</w:t>
            </w:r>
          </w:p>
        </w:tc>
      </w:tr>
    </w:tbl>
    <w:p w:rsidR="004A3FF1" w:rsidRDefault="004A3FF1" w:rsidP="004A3FF1">
      <w:pPr>
        <w:rPr>
          <w:rFonts w:cs="Times New Roman"/>
        </w:rPr>
      </w:pPr>
    </w:p>
    <w:p w:rsidR="004A3FF1" w:rsidRPr="004E6A22" w:rsidRDefault="004A3FF1" w:rsidP="008C6B4D">
      <w:pPr>
        <w:pStyle w:val="BodyText"/>
        <w:ind w:right="-143"/>
      </w:pPr>
    </w:p>
    <w:p w:rsidR="004A3FF1" w:rsidRDefault="004A3FF1">
      <w:pPr>
        <w:rPr>
          <w:rFonts w:asciiTheme="majorHAnsi" w:hAnsiTheme="majorHAnsi"/>
          <w:b/>
          <w:bCs/>
          <w:iCs/>
          <w:color w:val="3D4D7D" w:themeColor="background2"/>
          <w:kern w:val="20"/>
          <w:sz w:val="28"/>
          <w:szCs w:val="28"/>
        </w:rPr>
      </w:pPr>
      <w:r>
        <w:br w:type="page"/>
      </w:r>
    </w:p>
    <w:p w:rsidR="00AF5E30" w:rsidRPr="00C91139" w:rsidRDefault="003034AA" w:rsidP="00434DD7">
      <w:pPr>
        <w:pStyle w:val="Heading2"/>
      </w:pPr>
      <w:bookmarkStart w:id="32" w:name="_Toc19801227"/>
      <w:r>
        <w:lastRenderedPageBreak/>
        <w:t xml:space="preserve">Changes </w:t>
      </w:r>
      <w:r w:rsidR="00AF5E30">
        <w:t>since the 2018</w:t>
      </w:r>
      <w:r w:rsidR="00D2087E">
        <w:rPr>
          <w:spacing w:val="-3"/>
        </w:rPr>
        <w:t>–</w:t>
      </w:r>
      <w:r w:rsidR="00AF5E30">
        <w:t xml:space="preserve">19 </w:t>
      </w:r>
      <w:r w:rsidR="003D4FB5">
        <w:t>M</w:t>
      </w:r>
      <w:r w:rsidR="00AF5E30">
        <w:t>edium-</w:t>
      </w:r>
      <w:r w:rsidR="00D2087E">
        <w:t>t</w:t>
      </w:r>
      <w:r w:rsidR="00AF5E30">
        <w:t xml:space="preserve">erm </w:t>
      </w:r>
      <w:r w:rsidR="00D2087E">
        <w:t>p</w:t>
      </w:r>
      <w:r w:rsidR="00AF5E30">
        <w:t>rojections</w:t>
      </w:r>
      <w:bookmarkEnd w:id="32"/>
    </w:p>
    <w:p w:rsidR="00992D4B" w:rsidRDefault="00722B42" w:rsidP="00AF5E30">
      <w:pPr>
        <w:pStyle w:val="BodyText"/>
      </w:pPr>
      <w:r>
        <w:t>As well as presenting the latest estimate of the PBO’s medium</w:t>
      </w:r>
      <w:r w:rsidR="0091585F">
        <w:t>-</w:t>
      </w:r>
      <w:r>
        <w:t xml:space="preserve">term projections, this report can be used to analyse how these projections have changed over time.  </w:t>
      </w:r>
      <w:r w:rsidRPr="004E6A22">
        <w:t>Figure 1–2</w:t>
      </w:r>
      <w:r>
        <w:t xml:space="preserve"> shows how projections for </w:t>
      </w:r>
      <w:r w:rsidR="00992D4B" w:rsidRPr="004E6A22">
        <w:t xml:space="preserve">total receipts, total spending and the </w:t>
      </w:r>
      <w:r w:rsidR="00433EE5">
        <w:t>underlying cash balance</w:t>
      </w:r>
      <w:r w:rsidR="00433EE5" w:rsidRPr="004E6A22">
        <w:t xml:space="preserve"> </w:t>
      </w:r>
      <w:r>
        <w:t xml:space="preserve">have changed </w:t>
      </w:r>
      <w:r w:rsidR="00992D4B" w:rsidRPr="004E6A22">
        <w:t>since the</w:t>
      </w:r>
      <w:r>
        <w:t xml:space="preserve"> PBO’s</w:t>
      </w:r>
      <w:r w:rsidR="00992D4B" w:rsidRPr="004E6A22">
        <w:t xml:space="preserve"> 2018</w:t>
      </w:r>
      <w:r w:rsidR="00992D4B" w:rsidRPr="00CD3535">
        <w:t>–</w:t>
      </w:r>
      <w:r w:rsidR="00992D4B" w:rsidRPr="004E6A22">
        <w:t>19 projections.</w:t>
      </w:r>
      <w:r w:rsidRPr="00A117C9">
        <w:rPr>
          <w:rStyle w:val="FootnoteReference"/>
        </w:rPr>
        <w:footnoteReference w:id="2"/>
      </w:r>
    </w:p>
    <w:p w:rsidR="003034AA" w:rsidRPr="00A117C9" w:rsidRDefault="00AF5E30" w:rsidP="00AF5E30">
      <w:pPr>
        <w:pStyle w:val="BodyText"/>
      </w:pPr>
      <w:r w:rsidRPr="00A117C9">
        <w:t xml:space="preserve">The increase in the </w:t>
      </w:r>
      <w:r w:rsidR="00433EE5">
        <w:t>underlying cash balance</w:t>
      </w:r>
      <w:r w:rsidRPr="00A117C9">
        <w:t xml:space="preserve"> in 2018–19 relative to the previous </w:t>
      </w:r>
      <w:r w:rsidR="00E75588" w:rsidRPr="00A117C9">
        <w:t xml:space="preserve">projections </w:t>
      </w:r>
      <w:r w:rsidRPr="00A117C9">
        <w:t>is largely due to upward revision</w:t>
      </w:r>
      <w:r w:rsidR="00992D4B">
        <w:t>s to</w:t>
      </w:r>
      <w:r w:rsidRPr="00A117C9">
        <w:t xml:space="preserve"> receipts, particularly personal income tax, company tax and superannuation fund taxes.  Over the remainder of the projection period, receipts have been revised downward, with the main contributors being personal income tax and the goods and services tax (GST), partly offset by upward revisions in company tax.  The primary cause of the lower personal income tax projections is the Government’s second round of personal income tax cuts.</w:t>
      </w:r>
      <w:r w:rsidR="003034AA" w:rsidRPr="00A117C9">
        <w:t xml:space="preserve">  </w:t>
      </w:r>
    </w:p>
    <w:p w:rsidR="009D438E" w:rsidRDefault="00AF5E30" w:rsidP="00AF5E30">
      <w:pPr>
        <w:pStyle w:val="BodyText"/>
      </w:pPr>
      <w:r w:rsidRPr="004E6A22">
        <w:t xml:space="preserve">Offsetting the downward revisions to projections for receipts are downward revisions to projections for payments.  </w:t>
      </w:r>
      <w:r w:rsidR="00722B42">
        <w:t>The decrease in payments in 2018</w:t>
      </w:r>
      <w:r w:rsidR="00722B42" w:rsidRPr="004E6A22">
        <w:t>–</w:t>
      </w:r>
      <w:r w:rsidR="00722B42">
        <w:t xml:space="preserve">19 relative to the previous projections </w:t>
      </w:r>
      <w:r w:rsidR="0003175E">
        <w:t xml:space="preserve">is </w:t>
      </w:r>
      <w:r w:rsidR="00722B42">
        <w:t xml:space="preserve">mainly due to downward revisions to spending on the National Disability Insurance Scheme (NDIS).  </w:t>
      </w:r>
      <w:r w:rsidRPr="004E6A22">
        <w:t xml:space="preserve">The largest contributors to the downward revision </w:t>
      </w:r>
      <w:r w:rsidR="00D2087E" w:rsidRPr="004E6A22">
        <w:t xml:space="preserve">for </w:t>
      </w:r>
      <w:r w:rsidRPr="004E6A22">
        <w:t xml:space="preserve">payments </w:t>
      </w:r>
      <w:r w:rsidR="00722B42">
        <w:t xml:space="preserve">over the remainder of the projection period </w:t>
      </w:r>
      <w:r w:rsidRPr="004E6A22">
        <w:t>are GST transfers to the states</w:t>
      </w:r>
      <w:r w:rsidR="00D2087E" w:rsidRPr="004E6A22">
        <w:t xml:space="preserve"> and territories,</w:t>
      </w:r>
      <w:r w:rsidRPr="004E6A22">
        <w:t xml:space="preserve"> and public debt interest payments.  As the GST is collected by the Commonwealth and then paid out to the states and territories, the downward revision in GST payments reflects the lower</w:t>
      </w:r>
      <w:r w:rsidR="00D2087E" w:rsidRPr="004E6A22">
        <w:t>-</w:t>
      </w:r>
      <w:r w:rsidRPr="004E6A22">
        <w:t>than</w:t>
      </w:r>
      <w:r w:rsidR="00D2087E" w:rsidRPr="004E6A22">
        <w:t>-</w:t>
      </w:r>
      <w:r w:rsidRPr="004E6A22">
        <w:t xml:space="preserve">expected GST receipts.  </w:t>
      </w:r>
    </w:p>
    <w:p w:rsidR="00AF5E30" w:rsidRDefault="00AF5E30" w:rsidP="00AF5E30">
      <w:pPr>
        <w:pStyle w:val="BodyText"/>
      </w:pPr>
      <w:r w:rsidRPr="004E6A22">
        <w:t xml:space="preserve">The downward revision to public debt interest payments is the result of two main factors: a lower bond yield assumption in this report relative to the previous report (consistent with the budget), and a lower amount of debt being expected to be issued due to the higher </w:t>
      </w:r>
      <w:r w:rsidR="00433EE5">
        <w:t>underlying cash balance</w:t>
      </w:r>
      <w:r w:rsidRPr="004E6A22">
        <w:t xml:space="preserve"> over the period 2018–19 to 2021–22.</w:t>
      </w:r>
      <w:r w:rsidR="0003175E">
        <w:rPr>
          <w:rStyle w:val="FootnoteReference"/>
        </w:rPr>
        <w:footnoteReference w:id="3"/>
      </w:r>
      <w:r w:rsidRPr="004E6A22">
        <w:t xml:space="preserve">  The downward revision in GST and public debt interest payments are partly offset by upward revisions to spending on infrastructure and pharmaceutical benefits.</w:t>
      </w:r>
    </w:p>
    <w:p w:rsidR="00AF5E30" w:rsidRDefault="00AF5E30" w:rsidP="003D2759">
      <w:pPr>
        <w:pStyle w:val="Caption"/>
        <w:spacing w:before="240"/>
      </w:pPr>
      <w:r>
        <w:t xml:space="preserve">Figure </w:t>
      </w:r>
      <w:r w:rsidR="00080176">
        <w:t>1</w:t>
      </w:r>
      <w:r>
        <w:t>–2: Revisions to projections</w:t>
      </w:r>
    </w:p>
    <w:p w:rsidR="00AF5E30" w:rsidRDefault="00B10973" w:rsidP="00AF5E30">
      <w:pPr>
        <w:pStyle w:val="Caption"/>
      </w:pPr>
      <w:r>
        <w:rPr>
          <w:noProof/>
          <w:lang w:eastAsia="en-AU"/>
        </w:rPr>
        <w:drawing>
          <wp:inline distT="0" distB="0" distL="0" distR="0" wp14:anchorId="10CEDA08" wp14:editId="6A8F13F5">
            <wp:extent cx="4827320" cy="28978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2- Revisions to projections-01-01.pn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831496" cy="2900335"/>
                    </a:xfrm>
                    <a:prstGeom prst="rect">
                      <a:avLst/>
                    </a:prstGeom>
                    <a:ln>
                      <a:noFill/>
                    </a:ln>
                    <a:extLst>
                      <a:ext uri="{53640926-AAD7-44D8-BBD7-CCE9431645EC}">
                        <a14:shadowObscured xmlns:a14="http://schemas.microsoft.com/office/drawing/2010/main"/>
                      </a:ext>
                    </a:extLst>
                  </pic:spPr>
                </pic:pic>
              </a:graphicData>
            </a:graphic>
          </wp:inline>
        </w:drawing>
      </w:r>
    </w:p>
    <w:p w:rsidR="00AF5E30" w:rsidRPr="007F1FBB" w:rsidRDefault="00AF5E30" w:rsidP="003D2759">
      <w:pPr>
        <w:pStyle w:val="SourceIndent"/>
        <w:tabs>
          <w:tab w:val="clear" w:pos="624"/>
        </w:tabs>
        <w:spacing w:before="0"/>
        <w:ind w:left="993" w:right="849"/>
      </w:pPr>
      <w:r w:rsidRPr="00690F71">
        <w:t xml:space="preserve">Note: Revisions in Future Fund earnings are included in total receipts in this </w:t>
      </w:r>
      <w:r w:rsidR="00D2087E">
        <w:t>figure</w:t>
      </w:r>
      <w:r w:rsidRPr="00690F71">
        <w:t xml:space="preserve">, however they are only included in the </w:t>
      </w:r>
      <w:r w:rsidR="00AA2C2C">
        <w:t>underlying cash balance</w:t>
      </w:r>
      <w:r w:rsidR="00AA2C2C" w:rsidRPr="00690F71">
        <w:t xml:space="preserve"> </w:t>
      </w:r>
      <w:r w:rsidRPr="00690F71">
        <w:t>from 2020</w:t>
      </w:r>
      <w:r>
        <w:t>–</w:t>
      </w:r>
      <w:r w:rsidRPr="00690F71">
        <w:t>21, consistent with the treatment in the 2019</w:t>
      </w:r>
      <w:r>
        <w:t>–</w:t>
      </w:r>
      <w:r w:rsidRPr="00690F71">
        <w:t>20 Budget.</w:t>
      </w:r>
      <w:r w:rsidRPr="00690F71">
        <w:br/>
        <w:t>Source: PBO analysis.</w:t>
      </w:r>
    </w:p>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2D120B" w:rsidTr="0051653D">
        <w:trPr>
          <w:trHeight w:val="12207"/>
        </w:trPr>
        <w:tc>
          <w:tcPr>
            <w:tcW w:w="8789" w:type="dxa"/>
          </w:tcPr>
          <w:p w:rsidR="00AF5E30" w:rsidRPr="00844FC4" w:rsidRDefault="002D120B" w:rsidP="00AF5E30">
            <w:pPr>
              <w:pStyle w:val="CaptionLeft"/>
              <w:rPr>
                <w:sz w:val="28"/>
                <w:szCs w:val="28"/>
              </w:rPr>
            </w:pPr>
            <w:r w:rsidRPr="00C91139">
              <w:rPr>
                <w:sz w:val="28"/>
                <w:szCs w:val="28"/>
              </w:rPr>
              <w:lastRenderedPageBreak/>
              <w:t xml:space="preserve">Box </w:t>
            </w:r>
            <w:r w:rsidR="00086980">
              <w:rPr>
                <w:sz w:val="28"/>
                <w:szCs w:val="28"/>
              </w:rPr>
              <w:t>2</w:t>
            </w:r>
            <w:r w:rsidR="00AF5E30" w:rsidRPr="00844FC4">
              <w:rPr>
                <w:sz w:val="28"/>
                <w:szCs w:val="28"/>
              </w:rPr>
              <w:t xml:space="preserve">: </w:t>
            </w:r>
            <w:r w:rsidR="003034AA">
              <w:rPr>
                <w:sz w:val="28"/>
                <w:szCs w:val="28"/>
              </w:rPr>
              <w:t xml:space="preserve">Understanding the </w:t>
            </w:r>
            <w:r w:rsidR="002D53D4">
              <w:rPr>
                <w:sz w:val="28"/>
                <w:szCs w:val="28"/>
              </w:rPr>
              <w:t>budget’s</w:t>
            </w:r>
            <w:r w:rsidR="003034AA">
              <w:rPr>
                <w:sz w:val="28"/>
                <w:szCs w:val="28"/>
              </w:rPr>
              <w:t xml:space="preserve"> economic </w:t>
            </w:r>
            <w:r w:rsidR="00AF5E30">
              <w:rPr>
                <w:sz w:val="28"/>
                <w:szCs w:val="28"/>
              </w:rPr>
              <w:t>parameters</w:t>
            </w:r>
          </w:p>
          <w:p w:rsidR="003034AA" w:rsidRDefault="00AF5E30" w:rsidP="00AF5E30">
            <w:pPr>
              <w:pStyle w:val="BodyText"/>
            </w:pPr>
            <w:r>
              <w:t xml:space="preserve">The </w:t>
            </w:r>
            <w:r w:rsidR="003034AA">
              <w:t xml:space="preserve">budget’s </w:t>
            </w:r>
            <w:r>
              <w:t xml:space="preserve">economic </w:t>
            </w:r>
            <w:r w:rsidRPr="003E2E88">
              <w:rPr>
                <w:i/>
              </w:rPr>
              <w:t>forecasts</w:t>
            </w:r>
            <w:r>
              <w:t xml:space="preserve"> represent the </w:t>
            </w:r>
            <w:r w:rsidR="0091585F">
              <w:t>G</w:t>
            </w:r>
            <w:r w:rsidR="003034AA">
              <w:t xml:space="preserve">overnment’s </w:t>
            </w:r>
            <w:r>
              <w:t xml:space="preserve">estimate of how the economy will unfold over the next two years (the </w:t>
            </w:r>
            <w:r w:rsidR="0015611E">
              <w:t>b</w:t>
            </w:r>
            <w:r>
              <w:t xml:space="preserve">udget year and the following year).  The economic </w:t>
            </w:r>
            <w:r w:rsidRPr="003E2E88">
              <w:rPr>
                <w:i/>
              </w:rPr>
              <w:t>projections</w:t>
            </w:r>
            <w:r>
              <w:t>, over the subsequent nine years, are based on an assessment of the sustainable level of output, given projections for population, labour participation and productivity</w:t>
            </w:r>
            <w:proofErr w:type="gramStart"/>
            <w:r>
              <w:t>.</w:t>
            </w:r>
            <w:r w:rsidR="00305C20">
              <w:rPr>
                <w:rStyle w:val="FootnoteReference"/>
              </w:rPr>
              <w:footnoteReference w:id="4"/>
            </w:r>
            <w:r w:rsidR="00305C20" w:rsidRPr="00223691">
              <w:rPr>
                <w:vertAlign w:val="superscript"/>
              </w:rPr>
              <w:t>,</w:t>
            </w:r>
            <w:proofErr w:type="gramEnd"/>
            <w:r w:rsidRPr="005258D8">
              <w:rPr>
                <w:rStyle w:val="FootnoteReference"/>
              </w:rPr>
              <w:footnoteReference w:id="5"/>
            </w:r>
            <w:r>
              <w:t xml:space="preserve">  </w:t>
            </w:r>
          </w:p>
          <w:p w:rsidR="00305C20" w:rsidRDefault="00305C20" w:rsidP="00305C20">
            <w:pPr>
              <w:pStyle w:val="BodyText"/>
            </w:pPr>
            <w:r>
              <w:t xml:space="preserve">Taken together, the forecasts and projections comprise the economic </w:t>
            </w:r>
            <w:r w:rsidRPr="003D2759">
              <w:rPr>
                <w:i/>
              </w:rPr>
              <w:t>parameters</w:t>
            </w:r>
            <w:r>
              <w:t xml:space="preserve"> that underpin the </w:t>
            </w:r>
            <w:r w:rsidR="0091585F">
              <w:t>G</w:t>
            </w:r>
            <w:r>
              <w:t>overnment’s budget.  The PBO is required, under legislation, to use these parameters when constructing the medium</w:t>
            </w:r>
            <w:r w:rsidR="0091585F">
              <w:t>-</w:t>
            </w:r>
            <w:r>
              <w:t xml:space="preserve">term projections.  </w:t>
            </w:r>
          </w:p>
          <w:p w:rsidR="00305C20" w:rsidRDefault="00305C20" w:rsidP="00305C20">
            <w:pPr>
              <w:pStyle w:val="BodyText"/>
            </w:pPr>
            <w:r>
              <w:t xml:space="preserve">Given economic activity has been operating below its sustainable level for the past decade, with inflation below its target range, the projections assume there will be a period of ‘catch-up’ (the </w:t>
            </w:r>
            <w:r w:rsidRPr="003E2E88">
              <w:rPr>
                <w:i/>
              </w:rPr>
              <w:t>adjustment period</w:t>
            </w:r>
            <w:r>
              <w:t xml:space="preserve">) during which growth is above its sustainable rate.  This is often referred to as </w:t>
            </w:r>
            <w:r w:rsidR="0091585F">
              <w:t>‘</w:t>
            </w:r>
            <w:r>
              <w:t>closing the output gap</w:t>
            </w:r>
            <w:r w:rsidR="0091585F">
              <w:t>’</w:t>
            </w:r>
            <w:r>
              <w:t>.  Once the output gap has been closed, the economy is assumed to return to growing at its sustainable rate.</w:t>
            </w:r>
          </w:p>
          <w:p w:rsidR="002D53D4" w:rsidRDefault="00AF5E30" w:rsidP="002D53D4">
            <w:pPr>
              <w:pStyle w:val="BodyText"/>
            </w:pPr>
            <w:r>
              <w:t>Figure 1–</w:t>
            </w:r>
            <w:r w:rsidR="00080176">
              <w:t xml:space="preserve">3 </w:t>
            </w:r>
            <w:r>
              <w:t xml:space="preserve">shows the real GDP projections for each of the last four </w:t>
            </w:r>
            <w:r w:rsidR="0015611E">
              <w:t>b</w:t>
            </w:r>
            <w:r>
              <w:t xml:space="preserve">udgets relative to the </w:t>
            </w:r>
            <w:r w:rsidR="0015611E">
              <w:t>b</w:t>
            </w:r>
            <w:r>
              <w:t>udget year</w:t>
            </w:r>
            <w:r w:rsidR="00BD61AD">
              <w:t xml:space="preserve">.  </w:t>
            </w:r>
            <w:r w:rsidR="002D53D4">
              <w:t xml:space="preserve">Other parameters, including inflation, unemployment, consumption, profits and wages, are projected </w:t>
            </w:r>
            <w:r w:rsidR="00992D4B">
              <w:t xml:space="preserve">consistently </w:t>
            </w:r>
            <w:r w:rsidR="002D53D4">
              <w:t>within this methodology.</w:t>
            </w:r>
          </w:p>
          <w:p w:rsidR="00AF5E30" w:rsidRPr="00F210CE" w:rsidRDefault="00AF5E30" w:rsidP="003D2759">
            <w:pPr>
              <w:pStyle w:val="Caption"/>
              <w:spacing w:before="120" w:after="0"/>
              <w:rPr>
                <w:sz w:val="8"/>
                <w:szCs w:val="8"/>
              </w:rPr>
            </w:pPr>
          </w:p>
          <w:p w:rsidR="00AF5E30" w:rsidRDefault="00AF5E30" w:rsidP="00AF5E30">
            <w:pPr>
              <w:pStyle w:val="Caption"/>
            </w:pPr>
            <w:r>
              <w:t>Figure 1–</w:t>
            </w:r>
            <w:r w:rsidR="00080176">
              <w:t>3</w:t>
            </w:r>
            <w:r>
              <w:t>: Real GDP growth</w:t>
            </w:r>
          </w:p>
          <w:p w:rsidR="00AF5E30" w:rsidRPr="00A023BF" w:rsidRDefault="00AF5E30" w:rsidP="00AF5E30">
            <w:pPr>
              <w:pStyle w:val="BodyText"/>
              <w:jc w:val="center"/>
            </w:pPr>
            <w:r>
              <w:rPr>
                <w:noProof/>
                <w:lang w:eastAsia="en-AU"/>
              </w:rPr>
              <w:drawing>
                <wp:inline distT="0" distB="0" distL="0" distR="0" wp14:anchorId="4E2A40DA" wp14:editId="4606C45C">
                  <wp:extent cx="4860000" cy="27945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1- Real GDP growth.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860000" cy="2794500"/>
                          </a:xfrm>
                          <a:prstGeom prst="rect">
                            <a:avLst/>
                          </a:prstGeom>
                          <a:ln>
                            <a:noFill/>
                          </a:ln>
                          <a:extLst>
                            <a:ext uri="{53640926-AAD7-44D8-BBD7-CCE9431645EC}">
                              <a14:shadowObscured xmlns:a14="http://schemas.microsoft.com/office/drawing/2010/main"/>
                            </a:ext>
                          </a:extLst>
                        </pic:spPr>
                      </pic:pic>
                    </a:graphicData>
                  </a:graphic>
                </wp:inline>
              </w:drawing>
            </w:r>
          </w:p>
          <w:p w:rsidR="00A1090F" w:rsidRDefault="002D53D4" w:rsidP="0066160B">
            <w:pPr>
              <w:pStyle w:val="CaptionLeft"/>
              <w:spacing w:after="240"/>
              <w:ind w:left="888"/>
              <w:rPr>
                <w:rFonts w:cs="Times New Roman"/>
                <w:b w:val="0"/>
                <w:bCs w:val="0"/>
                <w:color w:val="788184"/>
                <w:sz w:val="18"/>
                <w:szCs w:val="14"/>
              </w:rPr>
            </w:pPr>
            <w:r>
              <w:rPr>
                <w:rFonts w:cs="Times New Roman"/>
                <w:b w:val="0"/>
                <w:bCs w:val="0"/>
                <w:color w:val="788184"/>
                <w:sz w:val="18"/>
                <w:szCs w:val="14"/>
              </w:rPr>
              <w:t xml:space="preserve">Note: </w:t>
            </w:r>
            <w:r w:rsidRPr="00AE719E">
              <w:rPr>
                <w:rFonts w:cs="Times New Roman"/>
                <w:b w:val="0"/>
                <w:bCs w:val="0"/>
                <w:color w:val="788184"/>
                <w:sz w:val="18"/>
                <w:szCs w:val="14"/>
              </w:rPr>
              <w:t>For the 2019–20 Budget, the tenth year is 2029–30.</w:t>
            </w:r>
            <w:r w:rsidR="0015611E">
              <w:rPr>
                <w:rFonts w:cs="Times New Roman"/>
                <w:b w:val="0"/>
                <w:bCs w:val="0"/>
                <w:color w:val="788184"/>
                <w:sz w:val="18"/>
                <w:szCs w:val="14"/>
              </w:rPr>
              <w:br/>
            </w:r>
            <w:r w:rsidR="0015611E" w:rsidRPr="00AF5E30">
              <w:rPr>
                <w:rFonts w:cs="Times New Roman"/>
                <w:b w:val="0"/>
                <w:bCs w:val="0"/>
                <w:color w:val="788184"/>
                <w:sz w:val="18"/>
                <w:szCs w:val="14"/>
              </w:rPr>
              <w:t>Source: Budget papers</w:t>
            </w:r>
            <w:r w:rsidR="0015611E">
              <w:rPr>
                <w:rFonts w:cs="Times New Roman"/>
                <w:b w:val="0"/>
                <w:bCs w:val="0"/>
                <w:color w:val="788184"/>
                <w:sz w:val="18"/>
                <w:szCs w:val="14"/>
              </w:rPr>
              <w:t>.</w:t>
            </w:r>
          </w:p>
          <w:p w:rsidR="002D53D4" w:rsidRPr="002D53D4" w:rsidRDefault="002D53D4" w:rsidP="00270373">
            <w:pPr>
              <w:pStyle w:val="BodyText"/>
            </w:pPr>
            <w:r>
              <w:t xml:space="preserve">The majority of </w:t>
            </w:r>
            <w:r w:rsidR="00B63240">
              <w:t xml:space="preserve">the PBO’s </w:t>
            </w:r>
            <w:r>
              <w:t>payment and receipt projections use a framework</w:t>
            </w:r>
            <w:r w:rsidR="00992D4B">
              <w:t xml:space="preserve"> </w:t>
            </w:r>
            <w:r>
              <w:t>whereby the latest budget outcomes are grown forward in line with the relevant economic parameters.  This is often called a ‘base</w:t>
            </w:r>
            <w:r w:rsidR="00270373">
              <w:t>-</w:t>
            </w:r>
            <w:r>
              <w:t>plus</w:t>
            </w:r>
            <w:r w:rsidR="00270373">
              <w:t>-</w:t>
            </w:r>
            <w:r>
              <w:t>growth’ framework.</w:t>
            </w:r>
            <w:r w:rsidR="00A92D74" w:rsidRPr="005258D8">
              <w:rPr>
                <w:rStyle w:val="FootnoteReference"/>
              </w:rPr>
              <w:footnoteReference w:id="6"/>
            </w:r>
            <w:r w:rsidR="00305C20">
              <w:t xml:space="preserve">  </w:t>
            </w:r>
            <w:r>
              <w:t>Revisions</w:t>
            </w:r>
            <w:r w:rsidRPr="009B16B4">
              <w:t xml:space="preserve"> to the economic projections </w:t>
            </w:r>
            <w:r>
              <w:t xml:space="preserve">will </w:t>
            </w:r>
            <w:r w:rsidR="00992D4B">
              <w:t>flow through</w:t>
            </w:r>
            <w:r w:rsidR="00992D4B" w:rsidRPr="009B16B4">
              <w:t xml:space="preserve"> </w:t>
            </w:r>
            <w:r w:rsidRPr="009B16B4">
              <w:t xml:space="preserve">to </w:t>
            </w:r>
            <w:r>
              <w:t xml:space="preserve">the receipt and payment </w:t>
            </w:r>
            <w:r w:rsidRPr="009B16B4">
              <w:t>projections</w:t>
            </w:r>
            <w:r w:rsidR="00675DFE">
              <w:t>,</w:t>
            </w:r>
            <w:r>
              <w:t xml:space="preserve"> and thereby the overall budget position</w:t>
            </w:r>
            <w:r w:rsidRPr="009B16B4">
              <w:t>.</w:t>
            </w:r>
            <w:r>
              <w:t xml:space="preserve">  A structural change in the economy, such as an enduring change in the rate of productivity growth, would have a significant and </w:t>
            </w:r>
            <w:r w:rsidRPr="00062B5E">
              <w:rPr>
                <w:rFonts w:cstheme="minorBidi"/>
              </w:rPr>
              <w:t xml:space="preserve">compounding effect on </w:t>
            </w:r>
            <w:r>
              <w:rPr>
                <w:rFonts w:cstheme="minorBidi"/>
              </w:rPr>
              <w:t>the budget position over time</w:t>
            </w:r>
            <w:r w:rsidRPr="00EB5D54">
              <w:rPr>
                <w:rFonts w:cstheme="minorBidi"/>
              </w:rPr>
              <w:t>.</w:t>
            </w:r>
            <w:r w:rsidRPr="005258D8">
              <w:rPr>
                <w:rStyle w:val="FootnoteReference"/>
              </w:rPr>
              <w:footnoteReference w:id="7"/>
            </w:r>
          </w:p>
        </w:tc>
      </w:tr>
    </w:tbl>
    <w:p w:rsidR="00E853AE" w:rsidRDefault="00E853AE" w:rsidP="007F1FBB">
      <w:pPr>
        <w:pStyle w:val="BodyText"/>
      </w:pPr>
      <w:bookmarkStart w:id="33" w:name="_Toc523757307"/>
    </w:p>
    <w:p w:rsidR="003C7464" w:rsidRDefault="003C7464" w:rsidP="003C7464">
      <w:pPr>
        <w:pStyle w:val="Heading1"/>
      </w:pPr>
      <w:bookmarkStart w:id="34" w:name="_Toc19801228"/>
      <w:r w:rsidRPr="003C7464">
        <w:t>Projected receipts</w:t>
      </w:r>
      <w:bookmarkEnd w:id="33"/>
      <w:bookmarkEnd w:id="34"/>
    </w:p>
    <w:p w:rsidR="00051600" w:rsidRDefault="00051600" w:rsidP="00AB79E1">
      <w:pPr>
        <w:pStyle w:val="Heading2"/>
      </w:pPr>
      <w:bookmarkStart w:id="35" w:name="_Toc523757308"/>
      <w:bookmarkStart w:id="36" w:name="_Toc19801229"/>
      <w:r>
        <w:t>Total receipts</w:t>
      </w:r>
      <w:bookmarkEnd w:id="35"/>
      <w:bookmarkEnd w:id="36"/>
    </w:p>
    <w:p w:rsidR="003C7464" w:rsidRDefault="004E7DC3">
      <w:pPr>
        <w:pStyle w:val="BodyText"/>
      </w:pPr>
      <w:r>
        <w:t xml:space="preserve">Total receipts are </w:t>
      </w:r>
      <w:r w:rsidR="00305C20">
        <w:t>expected to be broadly flat over the forward estimates</w:t>
      </w:r>
      <w:r w:rsidR="00675DFE">
        <w:t xml:space="preserve"> period</w:t>
      </w:r>
      <w:r w:rsidR="00305C20">
        <w:t>, and to increase to around</w:t>
      </w:r>
      <w:r w:rsidR="005758A7" w:rsidRPr="004670D5">
        <w:t xml:space="preserve"> </w:t>
      </w:r>
      <w:r w:rsidR="007F69D5">
        <w:t>25.5</w:t>
      </w:r>
      <w:r w:rsidR="0015611E">
        <w:t> </w:t>
      </w:r>
      <w:r w:rsidR="007F69D5">
        <w:t>per</w:t>
      </w:r>
      <w:r w:rsidR="0015611E">
        <w:t> </w:t>
      </w:r>
      <w:r w:rsidR="007F69D5">
        <w:t>cent of GDP in 2029</w:t>
      </w:r>
      <w:r w:rsidR="007D470B">
        <w:t>–</w:t>
      </w:r>
      <w:r w:rsidR="007F69D5">
        <w:t>30</w:t>
      </w:r>
      <w:r w:rsidR="00305C20">
        <w:t xml:space="preserve"> </w:t>
      </w:r>
      <w:r w:rsidR="00305C20" w:rsidRPr="00B044F6">
        <w:rPr>
          <w:lang w:eastAsia="en-AU"/>
        </w:rPr>
        <w:t>(</w:t>
      </w:r>
      <w:r w:rsidR="00305C20" w:rsidRPr="00B044F6">
        <w:rPr>
          <w:lang w:eastAsia="en-AU"/>
        </w:rPr>
        <w:fldChar w:fldCharType="begin"/>
      </w:r>
      <w:r w:rsidR="00305C20" w:rsidRPr="00B044F6">
        <w:rPr>
          <w:lang w:eastAsia="en-AU"/>
        </w:rPr>
        <w:instrText xml:space="preserve"> REF _Ref523488578 \h </w:instrText>
      </w:r>
      <w:r w:rsidR="00305C20">
        <w:rPr>
          <w:lang w:eastAsia="en-AU"/>
        </w:rPr>
        <w:instrText xml:space="preserve"> \* MERGEFORMAT </w:instrText>
      </w:r>
      <w:r w:rsidR="00305C20" w:rsidRPr="00B044F6">
        <w:rPr>
          <w:lang w:eastAsia="en-AU"/>
        </w:rPr>
      </w:r>
      <w:r w:rsidR="00305C20" w:rsidRPr="00B044F6">
        <w:rPr>
          <w:lang w:eastAsia="en-AU"/>
        </w:rPr>
        <w:fldChar w:fldCharType="separate"/>
      </w:r>
      <w:r w:rsidR="00CD4258" w:rsidRPr="00AA00D8">
        <w:t xml:space="preserve">Figure </w:t>
      </w:r>
      <w:r w:rsidR="00CD4258">
        <w:rPr>
          <w:noProof/>
        </w:rPr>
        <w:t>2</w:t>
      </w:r>
      <w:r w:rsidR="00CD4258" w:rsidRPr="00AA00D8">
        <w:t>–</w:t>
      </w:r>
      <w:r w:rsidR="00CD4258">
        <w:rPr>
          <w:noProof/>
        </w:rPr>
        <w:t>1</w:t>
      </w:r>
      <w:r w:rsidR="00305C20" w:rsidRPr="00B044F6">
        <w:rPr>
          <w:lang w:eastAsia="en-AU"/>
        </w:rPr>
        <w:fldChar w:fldCharType="end"/>
      </w:r>
      <w:r w:rsidR="00305C20" w:rsidRPr="00B044F6">
        <w:rPr>
          <w:lang w:eastAsia="en-AU"/>
        </w:rPr>
        <w:t>)</w:t>
      </w:r>
      <w:r w:rsidR="00305C20">
        <w:rPr>
          <w:lang w:eastAsia="en-AU"/>
        </w:rPr>
        <w:t xml:space="preserve">. </w:t>
      </w:r>
      <w:r w:rsidR="00A81F79">
        <w:rPr>
          <w:lang w:eastAsia="en-AU"/>
        </w:rPr>
        <w:t xml:space="preserve"> </w:t>
      </w:r>
      <w:r w:rsidR="00305C20">
        <w:rPr>
          <w:lang w:eastAsia="en-AU"/>
        </w:rPr>
        <w:t>T</w:t>
      </w:r>
      <w:r w:rsidR="007F69D5">
        <w:t xml:space="preserve">he </w:t>
      </w:r>
      <w:r w:rsidR="005758A7" w:rsidRPr="004670D5">
        <w:t>Government’s tax-to-G</w:t>
      </w:r>
      <w:r w:rsidR="005758A7">
        <w:t>DP cap of 23.9</w:t>
      </w:r>
      <w:r w:rsidR="0015611E">
        <w:t> </w:t>
      </w:r>
      <w:r w:rsidR="005758A7">
        <w:t>per</w:t>
      </w:r>
      <w:r w:rsidR="0015611E">
        <w:t> </w:t>
      </w:r>
      <w:r w:rsidR="005758A7">
        <w:t xml:space="preserve">cent of GDP </w:t>
      </w:r>
      <w:r w:rsidR="00A81F79">
        <w:t xml:space="preserve">is </w:t>
      </w:r>
      <w:r w:rsidR="00305C20">
        <w:t>expected to bind in 2029–30</w:t>
      </w:r>
      <w:r w:rsidR="006D06D5">
        <w:t xml:space="preserve"> (see Box 4)</w:t>
      </w:r>
      <w:r w:rsidR="0060129B" w:rsidRPr="00B044F6">
        <w:t>.</w:t>
      </w:r>
      <w:r w:rsidR="005758A7">
        <w:t xml:space="preserve">  </w:t>
      </w:r>
      <w:r w:rsidR="00FC3891">
        <w:t>W</w:t>
      </w:r>
      <w:r w:rsidR="00305C20">
        <w:t xml:space="preserve">ithout this constraint, </w:t>
      </w:r>
      <w:r w:rsidR="00FC3891" w:rsidRPr="003C7464">
        <w:t>t</w:t>
      </w:r>
      <w:r w:rsidR="00FC3891">
        <w:t>ax</w:t>
      </w:r>
      <w:r w:rsidR="00FC3891" w:rsidRPr="003C7464">
        <w:t xml:space="preserve"> </w:t>
      </w:r>
      <w:r w:rsidR="005758A7" w:rsidRPr="003C7464">
        <w:t xml:space="preserve">receipts </w:t>
      </w:r>
      <w:r w:rsidR="00305C20">
        <w:t>would have been</w:t>
      </w:r>
      <w:r w:rsidR="00305C20" w:rsidRPr="003C7464">
        <w:t xml:space="preserve"> </w:t>
      </w:r>
      <w:r w:rsidR="005758A7" w:rsidRPr="003C7464">
        <w:t>projected to be</w:t>
      </w:r>
      <w:r w:rsidR="00502FAE">
        <w:t xml:space="preserve"> </w:t>
      </w:r>
      <w:r w:rsidR="00FC3891">
        <w:t xml:space="preserve">above the </w:t>
      </w:r>
      <w:r w:rsidR="00502FAE">
        <w:t>cap</w:t>
      </w:r>
      <w:r w:rsidR="00FC3891">
        <w:t>,</w:t>
      </w:r>
      <w:r w:rsidR="00502FAE">
        <w:t xml:space="preserve"> at</w:t>
      </w:r>
      <w:r w:rsidR="005758A7" w:rsidRPr="003C7464">
        <w:t xml:space="preserve"> </w:t>
      </w:r>
      <w:r w:rsidR="005758A7">
        <w:t>2</w:t>
      </w:r>
      <w:r w:rsidR="00FC3891">
        <w:t>4.1</w:t>
      </w:r>
      <w:r w:rsidR="003E2D32" w:rsidRPr="003C7464">
        <w:t xml:space="preserve"> </w:t>
      </w:r>
      <w:r w:rsidR="005758A7" w:rsidRPr="003C7464">
        <w:t>per cent of GDP</w:t>
      </w:r>
      <w:r w:rsidR="00F73F29">
        <w:t xml:space="preserve"> in 2029</w:t>
      </w:r>
      <w:r w:rsidR="00AA2C2C">
        <w:t>–</w:t>
      </w:r>
      <w:r w:rsidR="00F73F29">
        <w:t>30</w:t>
      </w:r>
      <w:r w:rsidR="00FC3891">
        <w:t xml:space="preserve">, and </w:t>
      </w:r>
      <w:r w:rsidR="007A0EF0">
        <w:t>consequently</w:t>
      </w:r>
      <w:r w:rsidR="00FC3891">
        <w:t xml:space="preserve"> total receipts would have been projected to rise to 25.7 per cent of GDP</w:t>
      </w:r>
      <w:r w:rsidR="005758A7">
        <w:t>.</w:t>
      </w:r>
      <w:r w:rsidR="00305C20">
        <w:rPr>
          <w:rStyle w:val="FootnoteReference"/>
        </w:rPr>
        <w:footnoteReference w:id="8"/>
      </w:r>
    </w:p>
    <w:p w:rsidR="004F277A" w:rsidRPr="00816093" w:rsidRDefault="004F277A" w:rsidP="00A117C9">
      <w:pPr>
        <w:pStyle w:val="Caption"/>
        <w:spacing w:before="120"/>
        <w:rPr>
          <w:sz w:val="20"/>
          <w:szCs w:val="20"/>
        </w:rPr>
      </w:pPr>
      <w:bookmarkStart w:id="37" w:name="_Ref520381399"/>
    </w:p>
    <w:p w:rsidR="003C7464" w:rsidRDefault="003C7464" w:rsidP="003C7464">
      <w:pPr>
        <w:pStyle w:val="Caption"/>
      </w:pPr>
      <w:bookmarkStart w:id="38" w:name="_Ref523488578"/>
      <w:r w:rsidRPr="00AA00D8">
        <w:t xml:space="preserve">Figure </w:t>
      </w:r>
      <w:r w:rsidR="00080176">
        <w:t>2</w:t>
      </w:r>
      <w:r w:rsidRPr="00AA00D8">
        <w:t>–</w:t>
      </w:r>
      <w:fldSimple w:instr=" SEQ Figure \* ARABIC \s 1 ">
        <w:r w:rsidR="00CD4258">
          <w:rPr>
            <w:noProof/>
          </w:rPr>
          <w:t>1</w:t>
        </w:r>
      </w:fldSimple>
      <w:bookmarkEnd w:id="37"/>
      <w:bookmarkEnd w:id="38"/>
      <w:r w:rsidRPr="00AA00D8">
        <w:t xml:space="preserve">: </w:t>
      </w:r>
      <w:r w:rsidR="006F2593">
        <w:t>R</w:t>
      </w:r>
      <w:r w:rsidRPr="00AA00D8">
        <w:t>eceipts</w:t>
      </w:r>
    </w:p>
    <w:p w:rsidR="003E2D32" w:rsidRPr="003E2D32" w:rsidRDefault="00992D4B" w:rsidP="00067DAE">
      <w:pPr>
        <w:pStyle w:val="CaptionDescriptor"/>
      </w:pPr>
      <w:r>
        <w:rPr>
          <w:noProof/>
          <w:lang w:eastAsia="en-AU"/>
        </w:rPr>
        <w:drawing>
          <wp:inline distT="0" distB="0" distL="0" distR="0" wp14:anchorId="492E226B" wp14:editId="09EB2D94">
            <wp:extent cx="4860000" cy="308946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860000" cy="3089469"/>
                    </a:xfrm>
                    <a:prstGeom prst="rect">
                      <a:avLst/>
                    </a:prstGeom>
                    <a:noFill/>
                  </pic:spPr>
                </pic:pic>
              </a:graphicData>
            </a:graphic>
          </wp:inline>
        </w:drawing>
      </w:r>
    </w:p>
    <w:p w:rsidR="00A81CA9" w:rsidRDefault="00A81CA9" w:rsidP="005148CD">
      <w:pPr>
        <w:pStyle w:val="SourceIndent"/>
        <w:tabs>
          <w:tab w:val="clear" w:pos="624"/>
        </w:tabs>
        <w:ind w:left="992" w:right="991"/>
        <w:contextualSpacing/>
      </w:pPr>
      <w:r>
        <w:t>Note: Dots represent the 2018</w:t>
      </w:r>
      <w:r w:rsidR="00270373">
        <w:rPr>
          <w:lang w:eastAsia="en-AU"/>
        </w:rPr>
        <w:t>–</w:t>
      </w:r>
      <w:r>
        <w:t xml:space="preserve">19 </w:t>
      </w:r>
      <w:r w:rsidR="00270373">
        <w:t>f</w:t>
      </w:r>
      <w:r>
        <w:t xml:space="preserve">inal </w:t>
      </w:r>
      <w:r w:rsidR="00270373">
        <w:t>b</w:t>
      </w:r>
      <w:r>
        <w:t xml:space="preserve">udget </w:t>
      </w:r>
      <w:r w:rsidR="00270373">
        <w:t>o</w:t>
      </w:r>
      <w:r>
        <w:t>utcome</w:t>
      </w:r>
      <w:r w:rsidR="00270373">
        <w:t>s</w:t>
      </w:r>
      <w:r>
        <w:t xml:space="preserve"> for total receipts of 24.9 per cent of GDP and tax receipts of 23.0 per cent of GDP.</w:t>
      </w:r>
      <w:r w:rsidRPr="007F1FBB">
        <w:t xml:space="preserve"> </w:t>
      </w:r>
    </w:p>
    <w:p w:rsidR="003C7464" w:rsidRPr="007F1FBB" w:rsidRDefault="003C7464" w:rsidP="005148CD">
      <w:pPr>
        <w:pStyle w:val="SourceIndent"/>
        <w:tabs>
          <w:tab w:val="clear" w:pos="624"/>
        </w:tabs>
        <w:ind w:left="993" w:right="991"/>
      </w:pPr>
      <w:r w:rsidRPr="007F1FBB">
        <w:t>Source: 201</w:t>
      </w:r>
      <w:r w:rsidR="008C2736" w:rsidRPr="007F1FBB">
        <w:t>9</w:t>
      </w:r>
      <w:r w:rsidR="00B220DE">
        <w:rPr>
          <w:lang w:eastAsia="en-AU"/>
        </w:rPr>
        <w:t>–</w:t>
      </w:r>
      <w:r w:rsidR="008C2736" w:rsidRPr="007F1FBB">
        <w:t>20 Budget</w:t>
      </w:r>
      <w:r w:rsidR="005148CD">
        <w:t>,</w:t>
      </w:r>
      <w:r w:rsidR="005148CD" w:rsidRPr="005148CD">
        <w:t xml:space="preserve"> </w:t>
      </w:r>
      <w:r w:rsidR="005148CD">
        <w:t>2018</w:t>
      </w:r>
      <w:r w:rsidR="005148CD">
        <w:rPr>
          <w:spacing w:val="-3"/>
        </w:rPr>
        <w:t>–19 Final Budget Outcome</w:t>
      </w:r>
      <w:r w:rsidRPr="007F1FBB">
        <w:t xml:space="preserve"> and PBO analysis.</w:t>
      </w:r>
    </w:p>
    <w:p w:rsidR="003C7464" w:rsidRPr="003C7464" w:rsidRDefault="003C7464" w:rsidP="009D6FBE">
      <w:pPr>
        <w:pStyle w:val="BodyText"/>
        <w:spacing w:after="240"/>
        <w:rPr>
          <w:lang w:eastAsia="en-AU"/>
        </w:rPr>
      </w:pPr>
      <w:r w:rsidRPr="00727D7B">
        <w:rPr>
          <w:lang w:eastAsia="en-AU"/>
        </w:rPr>
        <w:t xml:space="preserve">The main driver of the increase in </w:t>
      </w:r>
      <w:r w:rsidR="00AD6982" w:rsidRPr="00727D7B">
        <w:rPr>
          <w:lang w:eastAsia="en-AU"/>
        </w:rPr>
        <w:t xml:space="preserve">total </w:t>
      </w:r>
      <w:r w:rsidRPr="00727D7B">
        <w:rPr>
          <w:lang w:eastAsia="en-AU"/>
        </w:rPr>
        <w:t xml:space="preserve">receipts </w:t>
      </w:r>
      <w:r w:rsidR="00305C20">
        <w:rPr>
          <w:lang w:eastAsia="en-AU"/>
        </w:rPr>
        <w:t xml:space="preserve">in the second half of the decade </w:t>
      </w:r>
      <w:r w:rsidRPr="00727D7B">
        <w:rPr>
          <w:lang w:eastAsia="en-AU"/>
        </w:rPr>
        <w:t xml:space="preserve">is </w:t>
      </w:r>
      <w:r w:rsidR="00305C20">
        <w:rPr>
          <w:lang w:eastAsia="en-AU"/>
        </w:rPr>
        <w:t>a</w:t>
      </w:r>
      <w:r w:rsidR="00305C20" w:rsidRPr="00727D7B">
        <w:rPr>
          <w:lang w:eastAsia="en-AU"/>
        </w:rPr>
        <w:t xml:space="preserve"> </w:t>
      </w:r>
      <w:r w:rsidRPr="00727D7B">
        <w:rPr>
          <w:lang w:eastAsia="en-AU"/>
        </w:rPr>
        <w:t xml:space="preserve">projected rise in </w:t>
      </w:r>
      <w:r w:rsidR="005D5E74" w:rsidRPr="00727D7B">
        <w:rPr>
          <w:lang w:eastAsia="en-AU"/>
        </w:rPr>
        <w:t xml:space="preserve">personal income tax (reported in the </w:t>
      </w:r>
      <w:r w:rsidR="00B220DE">
        <w:rPr>
          <w:lang w:eastAsia="en-AU"/>
        </w:rPr>
        <w:t>b</w:t>
      </w:r>
      <w:r w:rsidR="005D5E74" w:rsidRPr="00727D7B">
        <w:rPr>
          <w:lang w:eastAsia="en-AU"/>
        </w:rPr>
        <w:t>udget as ‘</w:t>
      </w:r>
      <w:r w:rsidRPr="00727D7B">
        <w:rPr>
          <w:lang w:eastAsia="en-AU"/>
        </w:rPr>
        <w:t>Individuals and Other Withholding Tax</w:t>
      </w:r>
      <w:r w:rsidR="005D5E74" w:rsidRPr="00727D7B">
        <w:rPr>
          <w:lang w:eastAsia="en-AU"/>
        </w:rPr>
        <w:t>’</w:t>
      </w:r>
      <w:r w:rsidRPr="00727D7B">
        <w:rPr>
          <w:lang w:eastAsia="en-AU"/>
        </w:rPr>
        <w:t xml:space="preserve"> receipts</w:t>
      </w:r>
      <w:r w:rsidR="005D5E74" w:rsidRPr="00727D7B">
        <w:rPr>
          <w:lang w:eastAsia="en-AU"/>
        </w:rPr>
        <w:t>)</w:t>
      </w:r>
      <w:r w:rsidRPr="00727D7B">
        <w:rPr>
          <w:lang w:eastAsia="en-AU"/>
        </w:rPr>
        <w:t xml:space="preserve">.  This increase occurs even </w:t>
      </w:r>
      <w:r w:rsidR="00EA355B">
        <w:rPr>
          <w:lang w:eastAsia="en-AU"/>
        </w:rPr>
        <w:t>after</w:t>
      </w:r>
      <w:r w:rsidR="00EA355B" w:rsidRPr="00727D7B">
        <w:rPr>
          <w:lang w:eastAsia="en-AU"/>
        </w:rPr>
        <w:t xml:space="preserve"> </w:t>
      </w:r>
      <w:r w:rsidRPr="00727D7B">
        <w:rPr>
          <w:lang w:eastAsia="en-AU"/>
        </w:rPr>
        <w:t>fa</w:t>
      </w:r>
      <w:r w:rsidR="00727D7B" w:rsidRPr="00727D7B">
        <w:rPr>
          <w:lang w:eastAsia="en-AU"/>
        </w:rPr>
        <w:t xml:space="preserve">ctoring </w:t>
      </w:r>
      <w:r w:rsidR="00A92D74">
        <w:rPr>
          <w:lang w:eastAsia="en-AU"/>
        </w:rPr>
        <w:t xml:space="preserve">in </w:t>
      </w:r>
      <w:r w:rsidR="00727D7B" w:rsidRPr="00727D7B">
        <w:rPr>
          <w:lang w:eastAsia="en-AU"/>
        </w:rPr>
        <w:t>all stages of</w:t>
      </w:r>
      <w:r w:rsidRPr="00727D7B">
        <w:rPr>
          <w:lang w:eastAsia="en-AU"/>
        </w:rPr>
        <w:t xml:space="preserve"> the </w:t>
      </w:r>
      <w:r w:rsidR="00884125">
        <w:t>Government’s personal income tax cuts</w:t>
      </w:r>
      <w:r w:rsidR="00305C20">
        <w:t>,</w:t>
      </w:r>
      <w:r w:rsidR="00884125">
        <w:t xml:space="preserve"> </w:t>
      </w:r>
      <w:r w:rsidR="00727D7B" w:rsidRPr="00727D7B">
        <w:rPr>
          <w:lang w:eastAsia="en-AU"/>
        </w:rPr>
        <w:t xml:space="preserve">as </w:t>
      </w:r>
      <w:r w:rsidRPr="00727D7B">
        <w:rPr>
          <w:lang w:eastAsia="en-AU"/>
        </w:rPr>
        <w:t>announced i</w:t>
      </w:r>
      <w:r w:rsidR="00B1233B" w:rsidRPr="00727D7B">
        <w:rPr>
          <w:lang w:eastAsia="en-AU"/>
        </w:rPr>
        <w:t>n the 2018</w:t>
      </w:r>
      <w:r w:rsidR="007D470B">
        <w:rPr>
          <w:lang w:eastAsia="en-AU"/>
        </w:rPr>
        <w:t>–</w:t>
      </w:r>
      <w:r w:rsidR="00B1233B" w:rsidRPr="00727D7B">
        <w:rPr>
          <w:lang w:eastAsia="en-AU"/>
        </w:rPr>
        <w:t xml:space="preserve">19 </w:t>
      </w:r>
      <w:r w:rsidR="00727D7B" w:rsidRPr="00727D7B">
        <w:rPr>
          <w:lang w:eastAsia="en-AU"/>
        </w:rPr>
        <w:t>and 2019</w:t>
      </w:r>
      <w:r w:rsidR="007D470B">
        <w:rPr>
          <w:lang w:eastAsia="en-AU"/>
        </w:rPr>
        <w:t>–</w:t>
      </w:r>
      <w:r w:rsidR="00727D7B" w:rsidRPr="00727D7B">
        <w:rPr>
          <w:lang w:eastAsia="en-AU"/>
        </w:rPr>
        <w:t xml:space="preserve">20 </w:t>
      </w:r>
      <w:r w:rsidR="00B1233B" w:rsidRPr="00727D7B">
        <w:rPr>
          <w:lang w:eastAsia="en-AU"/>
        </w:rPr>
        <w:t>Budget</w:t>
      </w:r>
      <w:r w:rsidR="00727D7B" w:rsidRPr="00727D7B">
        <w:rPr>
          <w:lang w:eastAsia="en-AU"/>
        </w:rPr>
        <w:t>s</w:t>
      </w:r>
      <w:r w:rsidR="00B1233B" w:rsidRPr="00727D7B">
        <w:rPr>
          <w:lang w:eastAsia="en-AU"/>
        </w:rPr>
        <w:t xml:space="preserve"> (</w:t>
      </w:r>
      <w:r w:rsidR="00B1233B" w:rsidRPr="00727D7B">
        <w:rPr>
          <w:lang w:eastAsia="en-AU"/>
        </w:rPr>
        <w:fldChar w:fldCharType="begin"/>
      </w:r>
      <w:r w:rsidR="00B1233B" w:rsidRPr="00727D7B">
        <w:rPr>
          <w:lang w:eastAsia="en-AU"/>
        </w:rPr>
        <w:instrText xml:space="preserve"> REF _Ref520381503 \h  \* MERGEFORMAT </w:instrText>
      </w:r>
      <w:r w:rsidR="00B1233B" w:rsidRPr="00727D7B">
        <w:rPr>
          <w:lang w:eastAsia="en-AU"/>
        </w:rPr>
      </w:r>
      <w:r w:rsidR="00B1233B" w:rsidRPr="00727D7B">
        <w:rPr>
          <w:lang w:eastAsia="en-AU"/>
        </w:rPr>
        <w:fldChar w:fldCharType="separate"/>
      </w:r>
      <w:r w:rsidR="00CD4258" w:rsidRPr="00AA00D8">
        <w:t xml:space="preserve">Figure </w:t>
      </w:r>
      <w:r w:rsidR="00CD4258">
        <w:rPr>
          <w:noProof/>
        </w:rPr>
        <w:t>2</w:t>
      </w:r>
      <w:r w:rsidR="00CD4258" w:rsidRPr="00AA00D8">
        <w:t>–</w:t>
      </w:r>
      <w:r w:rsidR="00CD4258">
        <w:rPr>
          <w:noProof/>
        </w:rPr>
        <w:t>2</w:t>
      </w:r>
      <w:r w:rsidR="00B1233B" w:rsidRPr="00727D7B">
        <w:rPr>
          <w:lang w:eastAsia="en-AU"/>
        </w:rPr>
        <w:fldChar w:fldCharType="end"/>
      </w:r>
      <w:r w:rsidRPr="00727D7B">
        <w:rPr>
          <w:lang w:eastAsia="en-AU"/>
        </w:rPr>
        <w:t>)</w:t>
      </w:r>
      <w:r w:rsidR="00305C20" w:rsidRPr="00632FA5">
        <w:rPr>
          <w:lang w:eastAsia="en-AU"/>
        </w:rPr>
        <w:t>,</w:t>
      </w:r>
      <w:r w:rsidR="00305C20">
        <w:rPr>
          <w:lang w:eastAsia="en-AU"/>
        </w:rPr>
        <w:t xml:space="preserve"> </w:t>
      </w:r>
      <w:r w:rsidR="00305C20" w:rsidRPr="00992D4B">
        <w:rPr>
          <w:lang w:eastAsia="en-AU"/>
        </w:rPr>
        <w:t>worth around 1.6 per cent of GDP</w:t>
      </w:r>
      <w:r w:rsidR="00305C20">
        <w:rPr>
          <w:lang w:eastAsia="en-AU"/>
        </w:rPr>
        <w:t xml:space="preserve"> by the end of the decade</w:t>
      </w:r>
      <w:r w:rsidRPr="00727D7B">
        <w:rPr>
          <w:lang w:eastAsia="en-AU"/>
        </w:rPr>
        <w:t>.</w:t>
      </w:r>
      <w:r w:rsidR="002D53D4">
        <w:rPr>
          <w:lang w:eastAsia="en-AU"/>
        </w:rPr>
        <w:t xml:space="preserve">  </w:t>
      </w:r>
      <w:r w:rsidR="002D53D4" w:rsidRPr="00632FA5">
        <w:rPr>
          <w:lang w:eastAsia="en-AU"/>
        </w:rPr>
        <w:t>Without the personal income tax changes</w:t>
      </w:r>
      <w:r w:rsidR="00992D4B">
        <w:rPr>
          <w:lang w:eastAsia="en-AU"/>
        </w:rPr>
        <w:t>,</w:t>
      </w:r>
      <w:r w:rsidR="002D53D4" w:rsidRPr="00632FA5">
        <w:rPr>
          <w:lang w:eastAsia="en-AU"/>
        </w:rPr>
        <w:t xml:space="preserve"> </w:t>
      </w:r>
      <w:r w:rsidR="00CC3DC7" w:rsidRPr="00632FA5">
        <w:rPr>
          <w:lang w:eastAsia="en-AU"/>
        </w:rPr>
        <w:t xml:space="preserve">the tax cap would </w:t>
      </w:r>
      <w:r w:rsidR="00305C20">
        <w:rPr>
          <w:lang w:eastAsia="en-AU"/>
        </w:rPr>
        <w:t>have been expected to bind</w:t>
      </w:r>
      <w:r w:rsidR="00CC3DC7" w:rsidRPr="00632FA5">
        <w:rPr>
          <w:lang w:eastAsia="en-AU"/>
        </w:rPr>
        <w:t xml:space="preserve"> </w:t>
      </w:r>
      <w:r w:rsidR="00CC3DC7" w:rsidRPr="00992D4B">
        <w:rPr>
          <w:lang w:eastAsia="en-AU"/>
        </w:rPr>
        <w:t xml:space="preserve">in </w:t>
      </w:r>
      <w:r w:rsidR="00CC3DC7" w:rsidRPr="00A117C9">
        <w:rPr>
          <w:lang w:eastAsia="en-AU"/>
        </w:rPr>
        <w:t>20</w:t>
      </w:r>
      <w:r w:rsidR="00992D4B" w:rsidRPr="00A117C9">
        <w:rPr>
          <w:lang w:eastAsia="en-AU"/>
        </w:rPr>
        <w:t>21</w:t>
      </w:r>
      <w:r w:rsidR="00080CA6">
        <w:rPr>
          <w:lang w:eastAsia="en-AU"/>
        </w:rPr>
        <w:t>–</w:t>
      </w:r>
      <w:r w:rsidR="00992D4B" w:rsidRPr="00992D4B">
        <w:rPr>
          <w:lang w:eastAsia="en-AU"/>
        </w:rPr>
        <w:t>22</w:t>
      </w:r>
      <w:r w:rsidR="002D53D4" w:rsidRPr="00632FA5">
        <w:rPr>
          <w:lang w:eastAsia="en-AU"/>
        </w:rPr>
        <w:t>.</w:t>
      </w:r>
    </w:p>
    <w:p w:rsidR="00B1233B" w:rsidRDefault="00B1233B" w:rsidP="00B1233B">
      <w:pPr>
        <w:pStyle w:val="Caption"/>
      </w:pPr>
      <w:bookmarkStart w:id="39" w:name="_Ref520381503"/>
      <w:r w:rsidRPr="00AA00D8">
        <w:lastRenderedPageBreak/>
        <w:t xml:space="preserve">Figure </w:t>
      </w:r>
      <w:r w:rsidR="00080176">
        <w:t>2</w:t>
      </w:r>
      <w:r w:rsidRPr="00AA00D8">
        <w:t>–</w:t>
      </w:r>
      <w:fldSimple w:instr=" SEQ Figure \* ARABIC \s 1 ">
        <w:r w:rsidR="00CD4258">
          <w:rPr>
            <w:noProof/>
          </w:rPr>
          <w:t>2</w:t>
        </w:r>
      </w:fldSimple>
      <w:bookmarkEnd w:id="39"/>
      <w:r w:rsidRPr="00AA00D8">
        <w:t>: Breakdown of receipts</w:t>
      </w:r>
    </w:p>
    <w:p w:rsidR="00727D7B" w:rsidRPr="00727D7B" w:rsidRDefault="000370F3" w:rsidP="00067DAE">
      <w:pPr>
        <w:pStyle w:val="CaptionDescriptor"/>
      </w:pPr>
      <w:r>
        <w:rPr>
          <w:noProof/>
          <w:lang w:eastAsia="en-AU"/>
        </w:rPr>
        <w:drawing>
          <wp:inline distT="0" distB="0" distL="0" distR="0" wp14:anchorId="1E403DEA" wp14:editId="219407DC">
            <wp:extent cx="4860000" cy="2856696"/>
            <wp:effectExtent l="0" t="0" r="444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3–2- Breakdown of receipts-01.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860000" cy="2856696"/>
                    </a:xfrm>
                    <a:prstGeom prst="rect">
                      <a:avLst/>
                    </a:prstGeom>
                    <a:ln>
                      <a:noFill/>
                    </a:ln>
                    <a:extLst>
                      <a:ext uri="{53640926-AAD7-44D8-BBD7-CCE9431645EC}">
                        <a14:shadowObscured xmlns:a14="http://schemas.microsoft.com/office/drawing/2010/main"/>
                      </a:ext>
                    </a:extLst>
                  </pic:spPr>
                </pic:pic>
              </a:graphicData>
            </a:graphic>
          </wp:inline>
        </w:drawing>
      </w:r>
    </w:p>
    <w:p w:rsidR="00B1233B" w:rsidRPr="00392A7F" w:rsidRDefault="0077695C" w:rsidP="003D2759">
      <w:pPr>
        <w:pStyle w:val="Sourcenospacing"/>
        <w:tabs>
          <w:tab w:val="clear" w:pos="624"/>
        </w:tabs>
        <w:spacing w:before="120" w:after="240"/>
        <w:ind w:left="1134"/>
      </w:pPr>
      <w:r w:rsidRPr="00392A7F">
        <w:t xml:space="preserve">Note: </w:t>
      </w:r>
      <w:r w:rsidR="00606785" w:rsidRPr="00392A7F">
        <w:t>T</w:t>
      </w:r>
      <w:r w:rsidRPr="00392A7F">
        <w:t xml:space="preserve">he breakdown shows the two largest heads of revenue, with all other receipts grouped </w:t>
      </w:r>
      <w:r w:rsidR="00B169A3">
        <w:br/>
      </w:r>
      <w:r w:rsidRPr="00392A7F">
        <w:t>together</w:t>
      </w:r>
      <w:r w:rsidR="007F69D5" w:rsidRPr="00392A7F">
        <w:t xml:space="preserve"> as ‘other receipts’</w:t>
      </w:r>
      <w:r w:rsidRPr="00392A7F">
        <w:t xml:space="preserve">.  </w:t>
      </w:r>
      <w:r w:rsidR="00392A7F">
        <w:br/>
      </w:r>
      <w:r w:rsidR="00B1233B" w:rsidRPr="00392A7F">
        <w:t>Source: 201</w:t>
      </w:r>
      <w:r w:rsidR="00A91006" w:rsidRPr="00392A7F">
        <w:t>9</w:t>
      </w:r>
      <w:r w:rsidR="00611B0D">
        <w:rPr>
          <w:rFonts w:cs="Times New Roman (Body CS)"/>
          <w:spacing w:val="-4"/>
        </w:rPr>
        <w:t>–</w:t>
      </w:r>
      <w:r w:rsidR="00A91006" w:rsidRPr="00392A7F">
        <w:t>20</w:t>
      </w:r>
      <w:r w:rsidR="00B1233B" w:rsidRPr="00392A7F">
        <w:t xml:space="preserve"> Budget and PBO analysis.</w:t>
      </w:r>
    </w:p>
    <w:p w:rsidR="000F6738" w:rsidRPr="00A117C9" w:rsidRDefault="000F6738" w:rsidP="003D2759">
      <w:pPr>
        <w:spacing w:before="120"/>
        <w:rPr>
          <w:rFonts w:cs="Times New Roman (Body CS)"/>
        </w:rPr>
      </w:pPr>
      <w:r w:rsidRPr="00A117C9">
        <w:rPr>
          <w:rFonts w:cs="Times New Roman (Body CS)"/>
        </w:rPr>
        <w:fldChar w:fldCharType="begin"/>
      </w:r>
      <w:r w:rsidRPr="00A117C9">
        <w:rPr>
          <w:rFonts w:cs="Times New Roman (Body CS)"/>
        </w:rPr>
        <w:instrText xml:space="preserve"> REF _Ref520382636 \h </w:instrText>
      </w:r>
      <w:r w:rsidR="000370F3" w:rsidRPr="00A117C9">
        <w:rPr>
          <w:rFonts w:cs="Times New Roman (Body CS)"/>
        </w:rPr>
        <w:instrText xml:space="preserve"> \* MERGEFORMAT </w:instrText>
      </w:r>
      <w:r w:rsidRPr="00A117C9">
        <w:rPr>
          <w:rFonts w:cs="Times New Roman (Body CS)"/>
        </w:rPr>
      </w:r>
      <w:r w:rsidRPr="00A117C9">
        <w:rPr>
          <w:rFonts w:cs="Times New Roman (Body CS)"/>
        </w:rPr>
        <w:fldChar w:fldCharType="separate"/>
      </w:r>
      <w:r w:rsidR="00CD4258" w:rsidRPr="0043221E">
        <w:rPr>
          <w:rFonts w:cs="Times New Roman (Body CS)"/>
        </w:rPr>
        <w:t xml:space="preserve">Table </w:t>
      </w:r>
      <w:r w:rsidR="00CD4258" w:rsidRPr="008D47DB">
        <w:rPr>
          <w:rFonts w:cs="Times New Roman (Body CS)"/>
          <w:noProof/>
        </w:rPr>
        <w:t>2</w:t>
      </w:r>
      <w:r w:rsidR="00CD4258" w:rsidRPr="008D47DB">
        <w:rPr>
          <w:rFonts w:cs="Times New Roman (Body CS)"/>
        </w:rPr>
        <w:t>–</w:t>
      </w:r>
      <w:r w:rsidR="00CD4258" w:rsidRPr="008D47DB">
        <w:rPr>
          <w:rFonts w:cs="Times New Roman (Body CS)"/>
          <w:noProof/>
        </w:rPr>
        <w:t>1</w:t>
      </w:r>
      <w:r w:rsidRPr="00A117C9">
        <w:rPr>
          <w:rFonts w:cs="Times New Roman (Body CS)"/>
        </w:rPr>
        <w:fldChar w:fldCharType="end"/>
      </w:r>
      <w:r w:rsidRPr="00A117C9">
        <w:rPr>
          <w:rFonts w:cs="Times New Roman (Body CS)"/>
        </w:rPr>
        <w:t xml:space="preserve"> shows </w:t>
      </w:r>
      <w:r w:rsidR="00D742EE" w:rsidRPr="00A117C9">
        <w:rPr>
          <w:rFonts w:cs="Times New Roman (Body CS)"/>
        </w:rPr>
        <w:t xml:space="preserve">the PBO’s </w:t>
      </w:r>
      <w:r w:rsidRPr="00A117C9">
        <w:rPr>
          <w:rFonts w:cs="Times New Roman (Body CS)"/>
        </w:rPr>
        <w:t>projections of the change in receipts by each major category over the period 2018</w:t>
      </w:r>
      <w:r w:rsidR="00694937" w:rsidRPr="00A117C9">
        <w:rPr>
          <w:rFonts w:cs="Times New Roman (Body CS)"/>
        </w:rPr>
        <w:t>–</w:t>
      </w:r>
      <w:r w:rsidRPr="00A117C9">
        <w:rPr>
          <w:rFonts w:cs="Times New Roman (Body CS)"/>
        </w:rPr>
        <w:t>19 to 2029</w:t>
      </w:r>
      <w:r w:rsidR="00694937" w:rsidRPr="00A117C9">
        <w:rPr>
          <w:rFonts w:cs="Times New Roman (Body CS)"/>
        </w:rPr>
        <w:t>–</w:t>
      </w:r>
      <w:r w:rsidRPr="00A117C9">
        <w:rPr>
          <w:rFonts w:cs="Times New Roman (Body CS)"/>
        </w:rPr>
        <w:t>30</w:t>
      </w:r>
      <w:r w:rsidR="00D742EE" w:rsidRPr="00A117C9">
        <w:rPr>
          <w:rFonts w:cs="Times New Roman (Body CS)"/>
        </w:rPr>
        <w:t>,</w:t>
      </w:r>
      <w:r w:rsidRPr="00A117C9">
        <w:rPr>
          <w:rFonts w:cs="Times New Roman (Body CS)"/>
        </w:rPr>
        <w:t xml:space="preserve"> and their projected contribution to growth in total receipts.</w:t>
      </w:r>
      <w:r w:rsidR="00A2109F" w:rsidRPr="00A117C9">
        <w:rPr>
          <w:rFonts w:cs="Times New Roman (Body CS)"/>
        </w:rPr>
        <w:t xml:space="preserve">  It shows that there is expected to be little change in receipts as a percentage of GDP, other than </w:t>
      </w:r>
      <w:r w:rsidR="00DF44F3">
        <w:rPr>
          <w:rFonts w:cs="Times New Roman (Body CS)"/>
        </w:rPr>
        <w:t xml:space="preserve">in </w:t>
      </w:r>
      <w:r w:rsidR="00A2109F" w:rsidRPr="00A117C9">
        <w:rPr>
          <w:rFonts w:cs="Times New Roman (Body CS)"/>
        </w:rPr>
        <w:t xml:space="preserve">those </w:t>
      </w:r>
      <w:r w:rsidR="00DF44F3">
        <w:rPr>
          <w:rFonts w:cs="Times New Roman (Body CS)"/>
        </w:rPr>
        <w:t>categories</w:t>
      </w:r>
      <w:r w:rsidR="00DF44F3" w:rsidRPr="00A117C9">
        <w:rPr>
          <w:rFonts w:cs="Times New Roman (Body CS)"/>
        </w:rPr>
        <w:t xml:space="preserve"> </w:t>
      </w:r>
      <w:r w:rsidR="00A2109F" w:rsidRPr="00A117C9">
        <w:rPr>
          <w:rFonts w:cs="Times New Roman (Body CS)"/>
        </w:rPr>
        <w:t>discussed above.</w:t>
      </w:r>
    </w:p>
    <w:p w:rsidR="00CD3DB8" w:rsidRPr="00A117C9" w:rsidRDefault="00CD3DB8" w:rsidP="003D2759">
      <w:pPr>
        <w:pStyle w:val="Default"/>
        <w:spacing w:before="120"/>
        <w:rPr>
          <w:sz w:val="22"/>
        </w:rPr>
      </w:pPr>
    </w:p>
    <w:p w:rsidR="00CD3DB8" w:rsidRPr="00B84BD3" w:rsidRDefault="00CD3DB8" w:rsidP="001933FB">
      <w:pPr>
        <w:pStyle w:val="Caption"/>
      </w:pPr>
      <w:bookmarkStart w:id="40" w:name="_Ref520382636"/>
      <w:r w:rsidRPr="00ED2AB6">
        <w:t xml:space="preserve">Table </w:t>
      </w:r>
      <w:r w:rsidR="00080176">
        <w:t>2</w:t>
      </w:r>
      <w:r w:rsidRPr="00ED2AB6">
        <w:t>–</w:t>
      </w:r>
      <w:fldSimple w:instr=" SEQ Table \* ARABIC \s 1 ">
        <w:r w:rsidR="00CD4258">
          <w:rPr>
            <w:noProof/>
          </w:rPr>
          <w:t>1</w:t>
        </w:r>
      </w:fldSimple>
      <w:bookmarkEnd w:id="40"/>
      <w:r w:rsidRPr="00ED2AB6">
        <w:t>: Receipts</w:t>
      </w:r>
    </w:p>
    <w:tbl>
      <w:tblPr>
        <w:tblStyle w:val="TableGridDarkHeader"/>
        <w:tblW w:w="9214" w:type="dxa"/>
        <w:tblCellMar>
          <w:top w:w="17" w:type="dxa"/>
          <w:bottom w:w="17" w:type="dxa"/>
        </w:tblCellMar>
        <w:tblLook w:val="04A0" w:firstRow="1" w:lastRow="0" w:firstColumn="1" w:lastColumn="0" w:noHBand="0" w:noVBand="1"/>
      </w:tblPr>
      <w:tblGrid>
        <w:gridCol w:w="2219"/>
        <w:gridCol w:w="847"/>
        <w:gridCol w:w="847"/>
        <w:gridCol w:w="847"/>
        <w:gridCol w:w="847"/>
        <w:gridCol w:w="1162"/>
        <w:gridCol w:w="1162"/>
        <w:gridCol w:w="1274"/>
        <w:gridCol w:w="9"/>
      </w:tblGrid>
      <w:tr w:rsidR="00A117C9" w:rsidRPr="00080CA6" w:rsidTr="003D2759">
        <w:trPr>
          <w:gridAfter w:val="1"/>
          <w:cnfStyle w:val="100000000000" w:firstRow="1" w:lastRow="0" w:firstColumn="0" w:lastColumn="0" w:oddVBand="0" w:evenVBand="0" w:oddHBand="0" w:evenHBand="0" w:firstRowFirstColumn="0" w:firstRowLastColumn="0" w:lastRowFirstColumn="0" w:lastRowLastColumn="0"/>
          <w:wAfter w:w="9" w:type="dxa"/>
          <w:trHeight w:val="576"/>
        </w:trPr>
        <w:tc>
          <w:tcPr>
            <w:tcW w:w="2219" w:type="dxa"/>
            <w:vMerge w:val="restart"/>
            <w:tcBorders>
              <w:bottom w:val="single" w:sz="4" w:space="0" w:color="FFFFFF" w:themeColor="background1"/>
              <w:right w:val="single" w:sz="4" w:space="0" w:color="FFFFFF" w:themeColor="background1"/>
            </w:tcBorders>
            <w:vAlign w:val="center"/>
            <w:hideMark/>
          </w:tcPr>
          <w:p w:rsidR="00CD3DB8" w:rsidRPr="00A117C9" w:rsidRDefault="00CD3DB8" w:rsidP="000D0CCD">
            <w:pPr>
              <w:pStyle w:val="TableHeading"/>
              <w:jc w:val="center"/>
              <w:rPr>
                <w:sz w:val="18"/>
              </w:rPr>
            </w:pPr>
            <w:r w:rsidRPr="00A117C9">
              <w:rPr>
                <w:sz w:val="18"/>
              </w:rPr>
              <w:t>Receipts</w:t>
            </w:r>
          </w:p>
        </w:tc>
        <w:tc>
          <w:tcPr>
            <w:tcW w:w="1694"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CD3DB8" w:rsidRPr="00A117C9" w:rsidRDefault="00CD3DB8" w:rsidP="00392A7F">
            <w:pPr>
              <w:pStyle w:val="TableHeading"/>
              <w:spacing w:before="0" w:after="0"/>
              <w:jc w:val="center"/>
              <w:rPr>
                <w:sz w:val="18"/>
              </w:rPr>
            </w:pPr>
            <w:r w:rsidRPr="00A117C9">
              <w:rPr>
                <w:sz w:val="18"/>
              </w:rPr>
              <w:t>Nominal receipts</w:t>
            </w:r>
          </w:p>
        </w:tc>
        <w:tc>
          <w:tcPr>
            <w:tcW w:w="1694"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CD3DB8" w:rsidRPr="00A117C9" w:rsidRDefault="00CD3DB8" w:rsidP="00392A7F">
            <w:pPr>
              <w:pStyle w:val="TableHeading"/>
              <w:spacing w:before="0" w:after="0"/>
              <w:jc w:val="center"/>
              <w:rPr>
                <w:sz w:val="18"/>
              </w:rPr>
            </w:pPr>
            <w:r w:rsidRPr="00A117C9">
              <w:rPr>
                <w:sz w:val="18"/>
              </w:rPr>
              <w:t>Per cent of GDP</w:t>
            </w:r>
          </w:p>
        </w:tc>
        <w:tc>
          <w:tcPr>
            <w:tcW w:w="1162" w:type="dxa"/>
            <w:tcBorders>
              <w:left w:val="single" w:sz="4" w:space="0" w:color="FFFFFF" w:themeColor="background1"/>
              <w:bottom w:val="single" w:sz="4" w:space="0" w:color="FFFFFF" w:themeColor="background1"/>
              <w:right w:val="single" w:sz="4" w:space="0" w:color="FFFFFF" w:themeColor="background1"/>
            </w:tcBorders>
            <w:hideMark/>
          </w:tcPr>
          <w:p w:rsidR="00CD3DB8" w:rsidRPr="00A117C9" w:rsidRDefault="00CD3DB8" w:rsidP="00392A7F">
            <w:pPr>
              <w:pStyle w:val="TableHeading"/>
              <w:spacing w:before="0" w:after="0"/>
              <w:jc w:val="center"/>
              <w:rPr>
                <w:sz w:val="18"/>
              </w:rPr>
            </w:pPr>
            <w:r w:rsidRPr="00A117C9">
              <w:rPr>
                <w:sz w:val="18"/>
              </w:rPr>
              <w:t>Change in per cent of GDP</w:t>
            </w:r>
          </w:p>
        </w:tc>
        <w:tc>
          <w:tcPr>
            <w:tcW w:w="1162" w:type="dxa"/>
            <w:tcBorders>
              <w:left w:val="single" w:sz="4" w:space="0" w:color="FFFFFF" w:themeColor="background1"/>
              <w:bottom w:val="single" w:sz="4" w:space="0" w:color="FFFFFF" w:themeColor="background1"/>
              <w:right w:val="single" w:sz="4" w:space="0" w:color="FFFFFF" w:themeColor="background1"/>
            </w:tcBorders>
            <w:vAlign w:val="center"/>
            <w:hideMark/>
          </w:tcPr>
          <w:p w:rsidR="00CD3DB8" w:rsidRPr="00A117C9" w:rsidRDefault="00CD3DB8" w:rsidP="00D742EE">
            <w:pPr>
              <w:pStyle w:val="TableHeading"/>
              <w:spacing w:before="0" w:after="0"/>
              <w:jc w:val="center"/>
              <w:rPr>
                <w:sz w:val="18"/>
              </w:rPr>
            </w:pPr>
            <w:r w:rsidRPr="00A117C9">
              <w:rPr>
                <w:sz w:val="18"/>
              </w:rPr>
              <w:t>Annual real growth</w:t>
            </w:r>
          </w:p>
        </w:tc>
        <w:tc>
          <w:tcPr>
            <w:tcW w:w="1274" w:type="dxa"/>
            <w:tcBorders>
              <w:left w:val="single" w:sz="4" w:space="0" w:color="FFFFFF" w:themeColor="background1"/>
              <w:bottom w:val="single" w:sz="4" w:space="0" w:color="FFFFFF" w:themeColor="background1"/>
            </w:tcBorders>
            <w:vAlign w:val="center"/>
            <w:hideMark/>
          </w:tcPr>
          <w:p w:rsidR="00CD3DB8" w:rsidRPr="00A117C9" w:rsidRDefault="00CD3DB8" w:rsidP="00675DFE">
            <w:pPr>
              <w:pStyle w:val="TableHeading"/>
              <w:spacing w:before="0" w:after="0"/>
              <w:jc w:val="center"/>
              <w:rPr>
                <w:sz w:val="18"/>
              </w:rPr>
            </w:pPr>
            <w:r w:rsidRPr="00A117C9">
              <w:rPr>
                <w:sz w:val="18"/>
              </w:rPr>
              <w:t>Share of total receipts</w:t>
            </w:r>
          </w:p>
        </w:tc>
      </w:tr>
      <w:tr w:rsidR="00A117C9" w:rsidRPr="00080CA6" w:rsidTr="00080CA6">
        <w:trPr>
          <w:gridAfter w:val="1"/>
          <w:cnfStyle w:val="000000100000" w:firstRow="0" w:lastRow="0" w:firstColumn="0" w:lastColumn="0" w:oddVBand="0" w:evenVBand="0" w:oddHBand="1" w:evenHBand="0" w:firstRowFirstColumn="0" w:firstRowLastColumn="0" w:lastRowFirstColumn="0" w:lastRowLastColumn="0"/>
          <w:wAfter w:w="9" w:type="dxa"/>
          <w:trHeight w:val="320"/>
        </w:trPr>
        <w:tc>
          <w:tcPr>
            <w:tcW w:w="0" w:type="auto"/>
            <w:vMerge/>
            <w:tcBorders>
              <w:top w:val="single" w:sz="4" w:space="0" w:color="FFFFFF" w:themeColor="background1"/>
              <w:right w:val="single" w:sz="4" w:space="0" w:color="FFFFFF" w:themeColor="background1"/>
            </w:tcBorders>
            <w:shd w:val="clear" w:color="auto" w:fill="3D4D7D" w:themeFill="background2"/>
            <w:hideMark/>
          </w:tcPr>
          <w:p w:rsidR="00CD3DB8" w:rsidRPr="00A117C9" w:rsidRDefault="00CD3DB8" w:rsidP="000D0CCD">
            <w:pPr>
              <w:pStyle w:val="TableHeading"/>
              <w:rPr>
                <w:b/>
                <w:sz w:val="18"/>
              </w:rPr>
            </w:pPr>
          </w:p>
        </w:tc>
        <w:tc>
          <w:tcPr>
            <w:tcW w:w="847" w:type="dxa"/>
            <w:tcBorders>
              <w:top w:val="single" w:sz="4" w:space="0" w:color="FFFFFF" w:themeColor="background1"/>
              <w:lef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2018</w:t>
            </w:r>
            <w:r w:rsidR="007D470B" w:rsidRPr="00A117C9">
              <w:rPr>
                <w:rFonts w:cs="Arial"/>
                <w:b/>
                <w:bCs/>
                <w:color w:val="FFFFFF"/>
                <w:sz w:val="18"/>
                <w:szCs w:val="20"/>
              </w:rPr>
              <w:t>–</w:t>
            </w:r>
            <w:r w:rsidRPr="00A117C9">
              <w:rPr>
                <w:rFonts w:cs="Arial"/>
                <w:b/>
                <w:bCs/>
                <w:color w:val="FFFFFF"/>
                <w:sz w:val="18"/>
                <w:szCs w:val="20"/>
              </w:rPr>
              <w:t>19</w:t>
            </w:r>
          </w:p>
        </w:tc>
        <w:tc>
          <w:tcPr>
            <w:tcW w:w="847" w:type="dxa"/>
            <w:tcBorders>
              <w:top w:val="single" w:sz="4" w:space="0" w:color="FFFFFF" w:themeColor="background1"/>
              <w:righ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2029</w:t>
            </w:r>
            <w:r w:rsidR="007D470B" w:rsidRPr="00A117C9">
              <w:rPr>
                <w:rFonts w:cs="Arial"/>
                <w:b/>
                <w:bCs/>
                <w:color w:val="FFFFFF"/>
                <w:sz w:val="18"/>
                <w:szCs w:val="20"/>
              </w:rPr>
              <w:t>–</w:t>
            </w:r>
            <w:r w:rsidRPr="00A117C9">
              <w:rPr>
                <w:rFonts w:cs="Arial"/>
                <w:b/>
                <w:bCs/>
                <w:color w:val="FFFFFF"/>
                <w:sz w:val="18"/>
                <w:szCs w:val="20"/>
              </w:rPr>
              <w:t>30</w:t>
            </w:r>
          </w:p>
        </w:tc>
        <w:tc>
          <w:tcPr>
            <w:tcW w:w="847" w:type="dxa"/>
            <w:tcBorders>
              <w:top w:val="single" w:sz="4" w:space="0" w:color="FFFFFF" w:themeColor="background1"/>
              <w:lef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2018</w:t>
            </w:r>
            <w:r w:rsidR="007D470B" w:rsidRPr="00A117C9">
              <w:rPr>
                <w:rFonts w:cs="Arial"/>
                <w:b/>
                <w:bCs/>
                <w:color w:val="FFFFFF"/>
                <w:sz w:val="18"/>
                <w:szCs w:val="20"/>
              </w:rPr>
              <w:softHyphen/>
              <w:t>–</w:t>
            </w:r>
            <w:r w:rsidRPr="00A117C9">
              <w:rPr>
                <w:rFonts w:cs="Arial"/>
                <w:b/>
                <w:bCs/>
                <w:color w:val="FFFFFF"/>
                <w:sz w:val="18"/>
                <w:szCs w:val="20"/>
              </w:rPr>
              <w:t>19</w:t>
            </w:r>
          </w:p>
        </w:tc>
        <w:tc>
          <w:tcPr>
            <w:tcW w:w="847" w:type="dxa"/>
            <w:tcBorders>
              <w:top w:val="single" w:sz="4" w:space="0" w:color="FFFFFF" w:themeColor="background1"/>
              <w:righ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2029</w:t>
            </w:r>
            <w:r w:rsidR="007D470B" w:rsidRPr="00A117C9">
              <w:rPr>
                <w:rFonts w:cs="Arial"/>
                <w:b/>
                <w:bCs/>
                <w:color w:val="FFFFFF"/>
                <w:sz w:val="18"/>
                <w:szCs w:val="20"/>
              </w:rPr>
              <w:t>–</w:t>
            </w:r>
            <w:r w:rsidRPr="00A117C9">
              <w:rPr>
                <w:rFonts w:cs="Arial"/>
                <w:b/>
                <w:bCs/>
                <w:color w:val="FFFFFF"/>
                <w:sz w:val="18"/>
                <w:szCs w:val="20"/>
              </w:rPr>
              <w:t>30</w:t>
            </w:r>
          </w:p>
        </w:tc>
        <w:tc>
          <w:tcPr>
            <w:tcW w:w="2324" w:type="dxa"/>
            <w:gridSpan w:val="2"/>
            <w:tcBorders>
              <w:top w:val="single" w:sz="4" w:space="0" w:color="FFFFFF" w:themeColor="background1"/>
              <w:left w:val="single" w:sz="4" w:space="0" w:color="FFFFFF" w:themeColor="background1"/>
              <w:righ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2018</w:t>
            </w:r>
            <w:r w:rsidR="007D470B" w:rsidRPr="00A117C9">
              <w:rPr>
                <w:rFonts w:cs="Arial"/>
                <w:b/>
                <w:bCs/>
                <w:color w:val="FFFFFF"/>
                <w:sz w:val="18"/>
                <w:szCs w:val="20"/>
              </w:rPr>
              <w:t>–</w:t>
            </w:r>
            <w:r w:rsidRPr="00A117C9">
              <w:rPr>
                <w:rFonts w:cs="Arial"/>
                <w:b/>
                <w:bCs/>
                <w:color w:val="FFFFFF"/>
                <w:sz w:val="18"/>
                <w:szCs w:val="20"/>
              </w:rPr>
              <w:t>19 to 2029</w:t>
            </w:r>
            <w:r w:rsidR="007D470B" w:rsidRPr="00A117C9">
              <w:rPr>
                <w:rFonts w:cs="Arial"/>
                <w:b/>
                <w:bCs/>
                <w:color w:val="FFFFFF"/>
                <w:sz w:val="18"/>
                <w:szCs w:val="20"/>
              </w:rPr>
              <w:t>–</w:t>
            </w:r>
            <w:r w:rsidRPr="00A117C9">
              <w:rPr>
                <w:rFonts w:cs="Arial"/>
                <w:b/>
                <w:bCs/>
                <w:color w:val="FFFFFF"/>
                <w:sz w:val="18"/>
                <w:szCs w:val="20"/>
              </w:rPr>
              <w:t>30</w:t>
            </w:r>
          </w:p>
        </w:tc>
        <w:tc>
          <w:tcPr>
            <w:tcW w:w="1274" w:type="dxa"/>
            <w:tcBorders>
              <w:top w:val="single" w:sz="4" w:space="0" w:color="FFFFFF" w:themeColor="background1"/>
              <w:left w:val="single" w:sz="4" w:space="0" w:color="FFFFFF" w:themeColor="background1"/>
            </w:tcBorders>
            <w:shd w:val="clear" w:color="auto" w:fill="3D4D7D" w:themeFill="background2"/>
            <w:vAlign w:val="center"/>
            <w:hideMark/>
          </w:tcPr>
          <w:p w:rsidR="00CD3DB8" w:rsidRPr="00A117C9" w:rsidRDefault="00CD3DB8" w:rsidP="000D0CCD">
            <w:pPr>
              <w:jc w:val="center"/>
              <w:rPr>
                <w:rFonts w:cs="Arial"/>
                <w:b/>
                <w:bCs/>
                <w:color w:val="FFFFFF"/>
                <w:sz w:val="18"/>
                <w:szCs w:val="20"/>
              </w:rPr>
            </w:pPr>
            <w:r w:rsidRPr="00A117C9">
              <w:rPr>
                <w:rFonts w:cs="Arial"/>
                <w:b/>
                <w:bCs/>
                <w:color w:val="FFFFFF"/>
                <w:sz w:val="18"/>
                <w:szCs w:val="20"/>
              </w:rPr>
              <w:t>2029</w:t>
            </w:r>
            <w:r w:rsidR="007D470B" w:rsidRPr="00A117C9">
              <w:rPr>
                <w:rFonts w:cs="Arial"/>
                <w:b/>
                <w:bCs/>
                <w:color w:val="FFFFFF"/>
                <w:sz w:val="18"/>
                <w:szCs w:val="20"/>
              </w:rPr>
              <w:t>–</w:t>
            </w:r>
            <w:r w:rsidRPr="00A117C9">
              <w:rPr>
                <w:rFonts w:cs="Arial"/>
                <w:b/>
                <w:bCs/>
                <w:color w:val="FFFFFF"/>
                <w:sz w:val="18"/>
                <w:szCs w:val="20"/>
              </w:rPr>
              <w:t>30</w:t>
            </w:r>
          </w:p>
        </w:tc>
      </w:tr>
      <w:tr w:rsidR="00080CA6" w:rsidTr="00080CA6">
        <w:trPr>
          <w:trHeight w:hRule="exact" w:val="284"/>
        </w:trPr>
        <w:tc>
          <w:tcPr>
            <w:tcW w:w="2219" w:type="dxa"/>
            <w:tcBorders>
              <w:right w:val="single" w:sz="4" w:space="0" w:color="3D4D7D" w:themeColor="background2"/>
            </w:tcBorders>
            <w:shd w:val="clear" w:color="auto" w:fill="7C8CBF" w:themeFill="background2" w:themeFillTint="99"/>
            <w:vAlign w:val="center"/>
            <w:hideMark/>
          </w:tcPr>
          <w:p w:rsidR="00CD3DB8" w:rsidRPr="00A117C9" w:rsidRDefault="00CD3DB8" w:rsidP="000D0CCD">
            <w:pPr>
              <w:rPr>
                <w:rFonts w:ascii="Calibri" w:hAnsi="Calibri"/>
                <w:sz w:val="18"/>
                <w:szCs w:val="14"/>
              </w:rPr>
            </w:pPr>
            <w:r w:rsidRPr="00A117C9">
              <w:rPr>
                <w:rFonts w:ascii="Calibri" w:hAnsi="Calibri"/>
                <w:sz w:val="18"/>
                <w:szCs w:val="14"/>
              </w:rPr>
              <w:t> </w:t>
            </w:r>
          </w:p>
        </w:tc>
        <w:tc>
          <w:tcPr>
            <w:tcW w:w="1694"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CD3DB8" w:rsidRPr="00A117C9" w:rsidRDefault="00CD3DB8" w:rsidP="000D0CCD">
            <w:pPr>
              <w:pStyle w:val="TableSubheading"/>
              <w:jc w:val="center"/>
              <w:rPr>
                <w:color w:val="FFFFFF" w:themeColor="background1"/>
                <w:sz w:val="18"/>
              </w:rPr>
            </w:pPr>
            <w:r w:rsidRPr="00A117C9">
              <w:rPr>
                <w:color w:val="FFFFFF" w:themeColor="background1"/>
                <w:sz w:val="18"/>
              </w:rPr>
              <w:t>$b</w:t>
            </w:r>
          </w:p>
        </w:tc>
        <w:tc>
          <w:tcPr>
            <w:tcW w:w="1694"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CD3DB8" w:rsidRPr="00A117C9" w:rsidRDefault="00CD3DB8" w:rsidP="000D0CCD">
            <w:pPr>
              <w:pStyle w:val="TableSubheading"/>
              <w:jc w:val="center"/>
              <w:rPr>
                <w:color w:val="FFFFFF" w:themeColor="background1"/>
                <w:sz w:val="18"/>
              </w:rPr>
            </w:pPr>
            <w:r w:rsidRPr="00A117C9">
              <w:rPr>
                <w:color w:val="FFFFFF" w:themeColor="background1"/>
                <w:sz w:val="18"/>
              </w:rPr>
              <w:t>%</w:t>
            </w:r>
          </w:p>
        </w:tc>
        <w:tc>
          <w:tcPr>
            <w:tcW w:w="1162"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CD3DB8" w:rsidRPr="00A117C9" w:rsidRDefault="00CD3DB8" w:rsidP="000D0CCD">
            <w:pPr>
              <w:pStyle w:val="TableSubheading"/>
              <w:jc w:val="center"/>
              <w:rPr>
                <w:color w:val="FFFFFF" w:themeColor="background1"/>
                <w:sz w:val="18"/>
              </w:rPr>
            </w:pPr>
            <w:r w:rsidRPr="00A117C9">
              <w:rPr>
                <w:color w:val="FFFFFF" w:themeColor="background1"/>
                <w:sz w:val="18"/>
              </w:rPr>
              <w:t>%</w:t>
            </w:r>
          </w:p>
        </w:tc>
        <w:tc>
          <w:tcPr>
            <w:tcW w:w="1162"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CD3DB8" w:rsidRPr="00A117C9" w:rsidRDefault="00CD3DB8" w:rsidP="000D0CCD">
            <w:pPr>
              <w:pStyle w:val="TableSubheading"/>
              <w:jc w:val="center"/>
              <w:rPr>
                <w:color w:val="FFFFFF" w:themeColor="background1"/>
                <w:sz w:val="18"/>
              </w:rPr>
            </w:pPr>
            <w:r w:rsidRPr="00A117C9">
              <w:rPr>
                <w:color w:val="FFFFFF" w:themeColor="background1"/>
                <w:sz w:val="18"/>
              </w:rPr>
              <w:t>%</w:t>
            </w:r>
          </w:p>
        </w:tc>
        <w:tc>
          <w:tcPr>
            <w:tcW w:w="1283" w:type="dxa"/>
            <w:gridSpan w:val="2"/>
            <w:tcBorders>
              <w:left w:val="single" w:sz="4" w:space="0" w:color="3D4D7D" w:themeColor="background2"/>
            </w:tcBorders>
            <w:shd w:val="clear" w:color="auto" w:fill="7C8CBF" w:themeFill="background2" w:themeFillTint="99"/>
            <w:vAlign w:val="center"/>
            <w:hideMark/>
          </w:tcPr>
          <w:p w:rsidR="00CD3DB8" w:rsidRPr="00A117C9" w:rsidRDefault="00CD3DB8" w:rsidP="000D0CCD">
            <w:pPr>
              <w:pStyle w:val="TableSubheading"/>
              <w:jc w:val="center"/>
              <w:rPr>
                <w:color w:val="FFFFFF" w:themeColor="background1"/>
                <w:sz w:val="18"/>
              </w:rPr>
            </w:pPr>
            <w:r w:rsidRPr="00A117C9">
              <w:rPr>
                <w:color w:val="FFFFFF" w:themeColor="background1"/>
                <w:sz w:val="18"/>
              </w:rPr>
              <w:t>%</w:t>
            </w:r>
          </w:p>
        </w:tc>
      </w:tr>
      <w:tr w:rsidR="00A117C9" w:rsidTr="00A117C9">
        <w:trPr>
          <w:cnfStyle w:val="000000100000" w:firstRow="0" w:lastRow="0" w:firstColumn="0" w:lastColumn="0" w:oddVBand="0" w:evenVBand="0" w:oddHBand="1" w:evenHBand="0" w:firstRowFirstColumn="0" w:firstRowLastColumn="0" w:lastRowFirstColumn="0" w:lastRowLastColumn="0"/>
        </w:trPr>
        <w:tc>
          <w:tcPr>
            <w:tcW w:w="2219" w:type="dxa"/>
            <w:tcBorders>
              <w:right w:val="single" w:sz="4" w:space="0" w:color="3D4D7D" w:themeColor="background2"/>
            </w:tcBorders>
            <w:vAlign w:val="center"/>
          </w:tcPr>
          <w:p w:rsidR="00080CA6" w:rsidRPr="00A117C9" w:rsidRDefault="00080CA6" w:rsidP="00B63240">
            <w:pPr>
              <w:pStyle w:val="TableSubheading"/>
              <w:rPr>
                <w:b w:val="0"/>
                <w:sz w:val="18"/>
              </w:rPr>
            </w:pPr>
            <w:r w:rsidRPr="00A117C9">
              <w:rPr>
                <w:rFonts w:ascii="Calibri" w:hAnsi="Calibri"/>
                <w:b w:val="0"/>
                <w:color w:val="000000"/>
                <w:sz w:val="18"/>
              </w:rPr>
              <w:t>Individuals and other withholding taxes</w:t>
            </w:r>
            <w:r w:rsidRPr="00A117C9" w:rsidDel="00080CA6">
              <w:rPr>
                <w:b w:val="0"/>
                <w:sz w:val="18"/>
              </w:rPr>
              <w:t xml:space="preserve"> </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223</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393</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11.5</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12.0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0.5</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2.9</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47.2</w:t>
            </w:r>
          </w:p>
        </w:tc>
      </w:tr>
      <w:tr w:rsidR="00080CA6" w:rsidTr="00080CA6">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Superannuation fund taxes</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24</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0.6</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0.7</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0.2</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4.7</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2.9</w:t>
            </w:r>
          </w:p>
        </w:tc>
      </w:tr>
      <w:tr w:rsidR="00A117C9" w:rsidTr="00A117C9">
        <w:trPr>
          <w:cnfStyle w:val="000000100000" w:firstRow="0" w:lastRow="0" w:firstColumn="0" w:lastColumn="0" w:oddVBand="0" w:evenVBand="0" w:oddHBand="1" w:evenHBand="0" w:firstRowFirstColumn="0" w:firstRowLastColumn="0" w:lastRowFirstColumn="0" w:lastRowLastColumn="0"/>
        </w:trPr>
        <w:tc>
          <w:tcPr>
            <w:tcW w:w="2219" w:type="dxa"/>
            <w:tcBorders>
              <w:right w:val="single" w:sz="4" w:space="0" w:color="3D4D7D" w:themeColor="background2"/>
            </w:tcBorders>
            <w:vAlign w:val="center"/>
          </w:tcPr>
          <w:p w:rsidR="00080CA6" w:rsidRPr="00A117C9" w:rsidRDefault="00080CA6" w:rsidP="000D0CCD">
            <w:pPr>
              <w:pStyle w:val="TableSubheading"/>
              <w:rPr>
                <w:rFonts w:cs="Times New Roman (Body CS)"/>
                <w:b w:val="0"/>
                <w:spacing w:val="-8"/>
                <w:sz w:val="18"/>
              </w:rPr>
            </w:pPr>
            <w:r w:rsidRPr="00A117C9">
              <w:rPr>
                <w:rFonts w:ascii="Calibri" w:hAnsi="Calibri"/>
                <w:b w:val="0"/>
                <w:color w:val="000000"/>
                <w:sz w:val="18"/>
              </w:rPr>
              <w:t>Company tax</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94</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160</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4.8</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4.9</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2.6</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19.3</w:t>
            </w:r>
          </w:p>
        </w:tc>
      </w:tr>
      <w:tr w:rsidR="00080CA6" w:rsidTr="00080CA6">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Excise and customs duty</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40</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67</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2.0</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2.1</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2.5</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8.1</w:t>
            </w:r>
          </w:p>
        </w:tc>
      </w:tr>
      <w:tr w:rsidR="00A117C9" w:rsidTr="00A117C9">
        <w:trPr>
          <w:cnfStyle w:val="000000100000" w:firstRow="0" w:lastRow="0" w:firstColumn="0" w:lastColumn="0" w:oddVBand="0" w:evenVBand="0" w:oddHBand="1" w:evenHBand="0" w:firstRowFirstColumn="0" w:firstRowLastColumn="0" w:lastRowFirstColumn="0" w:lastRowLastColumn="0"/>
        </w:trPr>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Fringe benefits tax</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4</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6</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0.2</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0.2</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2.7</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0.8</w:t>
            </w:r>
          </w:p>
        </w:tc>
      </w:tr>
      <w:tr w:rsidR="00080CA6" w:rsidTr="00080CA6">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Wine equalisation tax</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2.6</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0.2</w:t>
            </w:r>
          </w:p>
        </w:tc>
      </w:tr>
      <w:tr w:rsidR="00A117C9" w:rsidTr="00A117C9">
        <w:trPr>
          <w:cnfStyle w:val="000000100000" w:firstRow="0" w:lastRow="0" w:firstColumn="0" w:lastColumn="0" w:oddVBand="0" w:evenVBand="0" w:oddHBand="1" w:evenHBand="0" w:firstRowFirstColumn="0" w:firstRowLastColumn="0" w:lastRowFirstColumn="0" w:lastRowLastColumn="0"/>
        </w:trPr>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Other taxes and charges</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9</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15</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0.4</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0.4</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2.4</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1.7</w:t>
            </w:r>
          </w:p>
        </w:tc>
      </w:tr>
      <w:tr w:rsidR="00080CA6" w:rsidTr="00080CA6">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Luxury car tax</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2.2</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r>
      <w:tr w:rsidR="00A117C9" w:rsidTr="00A117C9">
        <w:trPr>
          <w:cnfStyle w:val="000000100000" w:firstRow="0" w:lastRow="0" w:firstColumn="0" w:lastColumn="0" w:oddVBand="0" w:evenVBand="0" w:oddHBand="1" w:evenHBand="0" w:firstRowFirstColumn="0" w:firstRowLastColumn="0" w:lastRowFirstColumn="0" w:lastRowLastColumn="0"/>
        </w:trPr>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Goods and services tax</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66</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110</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3.4</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3.4</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2.4</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13.2</w:t>
            </w:r>
          </w:p>
        </w:tc>
      </w:tr>
      <w:tr w:rsidR="00080CA6" w:rsidTr="00080CA6">
        <w:tc>
          <w:tcPr>
            <w:tcW w:w="2219" w:type="dxa"/>
            <w:tcBorders>
              <w:right w:val="single" w:sz="4" w:space="0" w:color="3D4D7D" w:themeColor="background2"/>
            </w:tcBorders>
            <w:vAlign w:val="center"/>
          </w:tcPr>
          <w:p w:rsidR="00080CA6" w:rsidRPr="00A117C9" w:rsidRDefault="00080CA6" w:rsidP="000D0CCD">
            <w:pPr>
              <w:pStyle w:val="TableSubheading"/>
              <w:rPr>
                <w:b w:val="0"/>
                <w:sz w:val="18"/>
              </w:rPr>
            </w:pPr>
            <w:r w:rsidRPr="00A117C9">
              <w:rPr>
                <w:rFonts w:ascii="Calibri" w:hAnsi="Calibri"/>
                <w:b w:val="0"/>
                <w:color w:val="000000"/>
                <w:sz w:val="18"/>
              </w:rPr>
              <w:t>Resource rent taxes</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1</w:t>
            </w:r>
          </w:p>
        </w:tc>
        <w:tc>
          <w:tcPr>
            <w:tcW w:w="847" w:type="dxa"/>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c>
          <w:tcPr>
            <w:tcW w:w="847" w:type="dxa"/>
            <w:tcBorders>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0.0</w:t>
            </w:r>
          </w:p>
        </w:tc>
        <w:tc>
          <w:tcPr>
            <w:tcW w:w="1162" w:type="dxa"/>
            <w:tcBorders>
              <w:left w:val="single" w:sz="4" w:space="0" w:color="3D4D7D" w:themeColor="background2"/>
              <w:righ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-3.8</w:t>
            </w:r>
          </w:p>
        </w:tc>
        <w:tc>
          <w:tcPr>
            <w:tcW w:w="1283" w:type="dxa"/>
            <w:gridSpan w:val="2"/>
            <w:tcBorders>
              <w:left w:val="single" w:sz="4" w:space="0" w:color="3D4D7D" w:themeColor="background2"/>
            </w:tcBorders>
            <w:vAlign w:val="center"/>
          </w:tcPr>
          <w:p w:rsidR="00080CA6" w:rsidRPr="00A117C9" w:rsidRDefault="00080CA6" w:rsidP="00A117C9">
            <w:pPr>
              <w:ind w:right="17"/>
              <w:jc w:val="center"/>
              <w:rPr>
                <w:color w:val="000000"/>
                <w:sz w:val="18"/>
                <w:szCs w:val="20"/>
              </w:rPr>
            </w:pPr>
            <w:r w:rsidRPr="00A117C9">
              <w:rPr>
                <w:rFonts w:ascii="Calibri" w:hAnsi="Calibri"/>
                <w:color w:val="000000"/>
                <w:sz w:val="18"/>
                <w:szCs w:val="20"/>
              </w:rPr>
              <w:t>0.1</w:t>
            </w:r>
          </w:p>
        </w:tc>
      </w:tr>
      <w:tr w:rsidR="00F119CB" w:rsidTr="00080CA6">
        <w:trPr>
          <w:cnfStyle w:val="000000100000" w:firstRow="0" w:lastRow="0" w:firstColumn="0" w:lastColumn="0" w:oddVBand="0" w:evenVBand="0" w:oddHBand="1" w:evenHBand="0" w:firstRowFirstColumn="0" w:firstRowLastColumn="0" w:lastRowFirstColumn="0" w:lastRowLastColumn="0"/>
          <w:trHeight w:hRule="exact" w:val="312"/>
        </w:trPr>
        <w:tc>
          <w:tcPr>
            <w:tcW w:w="2219" w:type="dxa"/>
            <w:tcBorders>
              <w:right w:val="single" w:sz="4" w:space="0" w:color="3D4D7D" w:themeColor="background2"/>
            </w:tcBorders>
            <w:vAlign w:val="center"/>
            <w:hideMark/>
          </w:tcPr>
          <w:p w:rsidR="007C2ECB" w:rsidRPr="00A117C9" w:rsidRDefault="007C2ECB" w:rsidP="000D0CCD">
            <w:pPr>
              <w:pStyle w:val="TableSubheading"/>
              <w:rPr>
                <w:bCs/>
                <w:sz w:val="18"/>
              </w:rPr>
            </w:pPr>
            <w:r w:rsidRPr="00A117C9">
              <w:rPr>
                <w:bCs/>
                <w:sz w:val="18"/>
              </w:rPr>
              <w:t>Total tax receipts</w:t>
            </w:r>
          </w:p>
        </w:tc>
        <w:tc>
          <w:tcPr>
            <w:tcW w:w="847" w:type="dxa"/>
            <w:tcBorders>
              <w:lef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449</w:t>
            </w:r>
          </w:p>
        </w:tc>
        <w:tc>
          <w:tcPr>
            <w:tcW w:w="847" w:type="dxa"/>
            <w:tcBorders>
              <w:righ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780</w:t>
            </w:r>
          </w:p>
        </w:tc>
        <w:tc>
          <w:tcPr>
            <w:tcW w:w="847" w:type="dxa"/>
            <w:tcBorders>
              <w:lef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23.1</w:t>
            </w:r>
          </w:p>
        </w:tc>
        <w:tc>
          <w:tcPr>
            <w:tcW w:w="847" w:type="dxa"/>
            <w:tcBorders>
              <w:righ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23.9</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0.8</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2.7</w:t>
            </w:r>
          </w:p>
        </w:tc>
        <w:tc>
          <w:tcPr>
            <w:tcW w:w="1283" w:type="dxa"/>
            <w:gridSpan w:val="2"/>
            <w:tcBorders>
              <w:left w:val="single" w:sz="4" w:space="0" w:color="3D4D7D" w:themeColor="background2"/>
            </w:tcBorders>
            <w:vAlign w:val="center"/>
          </w:tcPr>
          <w:p w:rsidR="007C2ECB" w:rsidRPr="00A117C9" w:rsidRDefault="007C2ECB" w:rsidP="00A117C9">
            <w:pPr>
              <w:ind w:right="17"/>
              <w:jc w:val="center"/>
              <w:rPr>
                <w:b/>
                <w:bCs/>
                <w:color w:val="000000"/>
                <w:sz w:val="18"/>
                <w:szCs w:val="20"/>
              </w:rPr>
            </w:pPr>
            <w:r w:rsidRPr="00A117C9">
              <w:rPr>
                <w:b/>
                <w:bCs/>
                <w:color w:val="000000"/>
                <w:sz w:val="18"/>
                <w:szCs w:val="20"/>
              </w:rPr>
              <w:t>93.7</w:t>
            </w:r>
          </w:p>
        </w:tc>
      </w:tr>
      <w:tr w:rsidR="00A117C9" w:rsidTr="00A117C9">
        <w:trPr>
          <w:trHeight w:hRule="exact" w:val="312"/>
        </w:trPr>
        <w:tc>
          <w:tcPr>
            <w:tcW w:w="2219" w:type="dxa"/>
            <w:tcBorders>
              <w:right w:val="single" w:sz="4" w:space="0" w:color="3D4D7D" w:themeColor="background2"/>
            </w:tcBorders>
            <w:vAlign w:val="center"/>
            <w:hideMark/>
          </w:tcPr>
          <w:p w:rsidR="007C2ECB" w:rsidRPr="00A117C9" w:rsidRDefault="007C2ECB" w:rsidP="000D0CCD">
            <w:pPr>
              <w:pStyle w:val="TableSubheading"/>
              <w:rPr>
                <w:b w:val="0"/>
                <w:sz w:val="18"/>
              </w:rPr>
            </w:pPr>
            <w:r w:rsidRPr="00A117C9">
              <w:rPr>
                <w:b w:val="0"/>
                <w:sz w:val="18"/>
              </w:rPr>
              <w:t>Non-tax receipts</w:t>
            </w: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36</w:t>
            </w: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53</w:t>
            </w: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1.9</w:t>
            </w: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1.6</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-0.3</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1.0</w:t>
            </w:r>
          </w:p>
        </w:tc>
        <w:tc>
          <w:tcPr>
            <w:tcW w:w="1283" w:type="dxa"/>
            <w:gridSpan w:val="2"/>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6.3</w:t>
            </w:r>
          </w:p>
        </w:tc>
      </w:tr>
      <w:tr w:rsidR="00F119CB" w:rsidTr="00080CA6">
        <w:trPr>
          <w:cnfStyle w:val="000000100000" w:firstRow="0" w:lastRow="0" w:firstColumn="0" w:lastColumn="0" w:oddVBand="0" w:evenVBand="0" w:oddHBand="1" w:evenHBand="0" w:firstRowFirstColumn="0" w:firstRowLastColumn="0" w:lastRowFirstColumn="0" w:lastRowLastColumn="0"/>
          <w:trHeight w:hRule="exact" w:val="312"/>
        </w:trPr>
        <w:tc>
          <w:tcPr>
            <w:tcW w:w="2219" w:type="dxa"/>
            <w:tcBorders>
              <w:right w:val="single" w:sz="4" w:space="0" w:color="3D4D7D" w:themeColor="background2"/>
            </w:tcBorders>
            <w:shd w:val="clear" w:color="auto" w:fill="3D4D7D" w:themeFill="background2"/>
            <w:vAlign w:val="center"/>
            <w:hideMark/>
          </w:tcPr>
          <w:p w:rsidR="007C2ECB" w:rsidRPr="00A117C9" w:rsidRDefault="007C2ECB" w:rsidP="000D0CCD">
            <w:pPr>
              <w:pStyle w:val="TableSubheading"/>
              <w:rPr>
                <w:bCs/>
                <w:color w:val="FFFFFF"/>
                <w:sz w:val="18"/>
              </w:rPr>
            </w:pPr>
            <w:r w:rsidRPr="00A117C9">
              <w:rPr>
                <w:bCs/>
                <w:color w:val="FFFFFF"/>
                <w:sz w:val="18"/>
              </w:rPr>
              <w:t>Total receipts</w:t>
            </w:r>
          </w:p>
        </w:tc>
        <w:tc>
          <w:tcPr>
            <w:tcW w:w="847" w:type="dxa"/>
            <w:tcBorders>
              <w:lef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485</w:t>
            </w:r>
          </w:p>
        </w:tc>
        <w:tc>
          <w:tcPr>
            <w:tcW w:w="847" w:type="dxa"/>
            <w:tcBorders>
              <w:righ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832</w:t>
            </w:r>
          </w:p>
        </w:tc>
        <w:tc>
          <w:tcPr>
            <w:tcW w:w="847" w:type="dxa"/>
            <w:tcBorders>
              <w:lef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25.0</w:t>
            </w:r>
          </w:p>
        </w:tc>
        <w:tc>
          <w:tcPr>
            <w:tcW w:w="847" w:type="dxa"/>
            <w:tcBorders>
              <w:righ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25.5</w:t>
            </w:r>
          </w:p>
        </w:tc>
        <w:tc>
          <w:tcPr>
            <w:tcW w:w="1162"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0.5</w:t>
            </w:r>
          </w:p>
        </w:tc>
        <w:tc>
          <w:tcPr>
            <w:tcW w:w="1162"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2.6</w:t>
            </w:r>
          </w:p>
        </w:tc>
        <w:tc>
          <w:tcPr>
            <w:tcW w:w="1283" w:type="dxa"/>
            <w:gridSpan w:val="2"/>
            <w:tcBorders>
              <w:left w:val="single" w:sz="4" w:space="0" w:color="3D4D7D" w:themeColor="background2"/>
            </w:tcBorders>
            <w:shd w:val="clear" w:color="auto" w:fill="3D4D7D" w:themeFill="background2"/>
            <w:vAlign w:val="center"/>
          </w:tcPr>
          <w:p w:rsidR="007C2ECB" w:rsidRPr="00A117C9" w:rsidRDefault="007C2ECB" w:rsidP="00A117C9">
            <w:pPr>
              <w:ind w:right="17"/>
              <w:jc w:val="center"/>
              <w:rPr>
                <w:b/>
                <w:bCs/>
                <w:color w:val="FFFFFF"/>
                <w:sz w:val="18"/>
                <w:szCs w:val="20"/>
              </w:rPr>
            </w:pPr>
            <w:r w:rsidRPr="00A117C9">
              <w:rPr>
                <w:b/>
                <w:bCs/>
                <w:color w:val="FFFFFF"/>
                <w:sz w:val="18"/>
                <w:szCs w:val="20"/>
              </w:rPr>
              <w:t>100.0</w:t>
            </w:r>
          </w:p>
        </w:tc>
      </w:tr>
      <w:tr w:rsidR="00A117C9" w:rsidTr="00A117C9">
        <w:trPr>
          <w:trHeight w:hRule="exact" w:val="312"/>
        </w:trPr>
        <w:tc>
          <w:tcPr>
            <w:tcW w:w="0" w:type="auto"/>
            <w:tcBorders>
              <w:right w:val="single" w:sz="4" w:space="0" w:color="3D4D7D" w:themeColor="background2"/>
            </w:tcBorders>
            <w:noWrap/>
            <w:vAlign w:val="center"/>
            <w:hideMark/>
          </w:tcPr>
          <w:p w:rsidR="007C2ECB" w:rsidRPr="00A117C9" w:rsidRDefault="007C2ECB" w:rsidP="000D0CCD">
            <w:pPr>
              <w:pStyle w:val="TableSubheading"/>
              <w:rPr>
                <w:rFonts w:ascii="Calibri" w:hAnsi="Calibri"/>
                <w:b w:val="0"/>
                <w:bCs/>
                <w:i/>
                <w:iCs/>
                <w:color w:val="2B3B5F"/>
                <w:sz w:val="18"/>
              </w:rPr>
            </w:pPr>
            <w:r w:rsidRPr="00A117C9">
              <w:rPr>
                <w:rFonts w:ascii="Calibri" w:hAnsi="Calibri"/>
                <w:b w:val="0"/>
                <w:bCs/>
                <w:i/>
                <w:iCs/>
                <w:color w:val="2B3B5F"/>
                <w:sz w:val="18"/>
              </w:rPr>
              <w:t>Memorandum item:</w:t>
            </w: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p>
        </w:tc>
        <w:tc>
          <w:tcPr>
            <w:tcW w:w="1283" w:type="dxa"/>
            <w:gridSpan w:val="2"/>
            <w:tcBorders>
              <w:left w:val="single" w:sz="4" w:space="0" w:color="3D4D7D" w:themeColor="background2"/>
            </w:tcBorders>
            <w:vAlign w:val="center"/>
          </w:tcPr>
          <w:p w:rsidR="007C2ECB" w:rsidRPr="00A117C9" w:rsidRDefault="007C2ECB" w:rsidP="00A117C9">
            <w:pPr>
              <w:ind w:right="17"/>
              <w:jc w:val="center"/>
              <w:rPr>
                <w:color w:val="000000"/>
                <w:sz w:val="18"/>
                <w:szCs w:val="20"/>
              </w:rPr>
            </w:pPr>
          </w:p>
        </w:tc>
      </w:tr>
      <w:tr w:rsidR="00F119CB" w:rsidTr="00080CA6">
        <w:trPr>
          <w:cnfStyle w:val="000000100000" w:firstRow="0" w:lastRow="0" w:firstColumn="0" w:lastColumn="0" w:oddVBand="0" w:evenVBand="0" w:oddHBand="1" w:evenHBand="0" w:firstRowFirstColumn="0" w:firstRowLastColumn="0" w:lastRowFirstColumn="0" w:lastRowLastColumn="0"/>
          <w:trHeight w:hRule="exact" w:val="312"/>
        </w:trPr>
        <w:tc>
          <w:tcPr>
            <w:tcW w:w="2219" w:type="dxa"/>
            <w:tcBorders>
              <w:right w:val="single" w:sz="4" w:space="0" w:color="3D4D7D" w:themeColor="background2"/>
            </w:tcBorders>
            <w:vAlign w:val="center"/>
            <w:hideMark/>
          </w:tcPr>
          <w:p w:rsidR="007C2ECB" w:rsidRPr="00A117C9" w:rsidRDefault="007C2ECB" w:rsidP="000D0CCD">
            <w:pPr>
              <w:pStyle w:val="TableSubheading"/>
              <w:rPr>
                <w:b w:val="0"/>
                <w:sz w:val="18"/>
              </w:rPr>
            </w:pPr>
            <w:r w:rsidRPr="00A117C9">
              <w:rPr>
                <w:b w:val="0"/>
                <w:sz w:val="18"/>
              </w:rPr>
              <w:t>Capital gains tax</w:t>
            </w: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18</w:t>
            </w: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32</w:t>
            </w:r>
          </w:p>
        </w:tc>
        <w:tc>
          <w:tcPr>
            <w:tcW w:w="847" w:type="dxa"/>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0.9</w:t>
            </w:r>
          </w:p>
        </w:tc>
        <w:tc>
          <w:tcPr>
            <w:tcW w:w="847" w:type="dxa"/>
            <w:tcBorders>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1.0</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0.1</w:t>
            </w:r>
          </w:p>
        </w:tc>
        <w:tc>
          <w:tcPr>
            <w:tcW w:w="1162" w:type="dxa"/>
            <w:tcBorders>
              <w:left w:val="single" w:sz="4" w:space="0" w:color="3D4D7D" w:themeColor="background2"/>
              <w:righ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3.3</w:t>
            </w:r>
          </w:p>
        </w:tc>
        <w:tc>
          <w:tcPr>
            <w:tcW w:w="1283" w:type="dxa"/>
            <w:gridSpan w:val="2"/>
            <w:tcBorders>
              <w:left w:val="single" w:sz="4" w:space="0" w:color="3D4D7D" w:themeColor="background2"/>
            </w:tcBorders>
            <w:vAlign w:val="center"/>
          </w:tcPr>
          <w:p w:rsidR="007C2ECB" w:rsidRPr="00A117C9" w:rsidRDefault="007C2ECB" w:rsidP="00A117C9">
            <w:pPr>
              <w:ind w:right="17"/>
              <w:jc w:val="center"/>
              <w:rPr>
                <w:color w:val="000000"/>
                <w:sz w:val="18"/>
                <w:szCs w:val="20"/>
              </w:rPr>
            </w:pPr>
            <w:r w:rsidRPr="00A117C9">
              <w:rPr>
                <w:color w:val="000000"/>
                <w:sz w:val="18"/>
                <w:szCs w:val="20"/>
              </w:rPr>
              <w:t>2.0</w:t>
            </w:r>
          </w:p>
        </w:tc>
      </w:tr>
    </w:tbl>
    <w:p w:rsidR="00CD3DB8" w:rsidRPr="00392A7F" w:rsidRDefault="00CD3DB8" w:rsidP="00A117C9">
      <w:pPr>
        <w:pStyle w:val="SourceIndent"/>
        <w:tabs>
          <w:tab w:val="clear" w:pos="624"/>
        </w:tabs>
        <w:spacing w:before="60" w:after="120"/>
        <w:ind w:left="0"/>
      </w:pPr>
      <w:r w:rsidRPr="00392A7F">
        <w:t>Source: 2019</w:t>
      </w:r>
      <w:r w:rsidR="00611B0D">
        <w:rPr>
          <w:rFonts w:cs="Times New Roman (Body CS)"/>
          <w:spacing w:val="-4"/>
        </w:rPr>
        <w:t>–</w:t>
      </w:r>
      <w:r w:rsidRPr="00392A7F">
        <w:t>20 Budget and PBO analysis.</w:t>
      </w:r>
    </w:p>
    <w:p w:rsidR="00AD6982" w:rsidRDefault="00AD6982" w:rsidP="00527545">
      <w:pPr>
        <w:pStyle w:val="Heading2"/>
      </w:pPr>
      <w:bookmarkStart w:id="41" w:name="_Toc523757309"/>
      <w:bookmarkStart w:id="42" w:name="_Toc19801230"/>
      <w:r>
        <w:lastRenderedPageBreak/>
        <w:t xml:space="preserve">Personal </w:t>
      </w:r>
      <w:r w:rsidR="00D742EE">
        <w:t>i</w:t>
      </w:r>
      <w:r>
        <w:t xml:space="preserve">ncome </w:t>
      </w:r>
      <w:bookmarkEnd w:id="41"/>
      <w:r w:rsidR="00D742EE">
        <w:t>t</w:t>
      </w:r>
      <w:r w:rsidR="00AF5E30">
        <w:t xml:space="preserve">ax </w:t>
      </w:r>
      <w:r w:rsidR="00E71683">
        <w:t xml:space="preserve">and </w:t>
      </w:r>
      <w:r w:rsidR="00D742EE">
        <w:t>f</w:t>
      </w:r>
      <w:r w:rsidR="00E71683">
        <w:t xml:space="preserve">ringe </w:t>
      </w:r>
      <w:r w:rsidR="00D742EE">
        <w:t>b</w:t>
      </w:r>
      <w:r w:rsidR="00E71683">
        <w:t xml:space="preserve">enefits </w:t>
      </w:r>
      <w:r w:rsidR="00D742EE">
        <w:t>t</w:t>
      </w:r>
      <w:r w:rsidR="00E71683">
        <w:t>ax receipts</w:t>
      </w:r>
      <w:bookmarkEnd w:id="42"/>
    </w:p>
    <w:p w:rsidR="00B1233B" w:rsidRPr="004E6A22" w:rsidRDefault="00B1233B" w:rsidP="00B1233B">
      <w:pPr>
        <w:pStyle w:val="BodyText"/>
      </w:pPr>
      <w:r w:rsidRPr="004E6A22">
        <w:t xml:space="preserve">Personal income tax receipts are projected to increase by </w:t>
      </w:r>
      <w:r w:rsidR="00D91B27" w:rsidRPr="004E6A22">
        <w:t>0.</w:t>
      </w:r>
      <w:r w:rsidR="007F69D5" w:rsidRPr="004E6A22">
        <w:t>5</w:t>
      </w:r>
      <w:r w:rsidR="00D742EE" w:rsidRPr="004E6A22">
        <w:t> </w:t>
      </w:r>
      <w:r w:rsidRPr="004E6A22">
        <w:t>per</w:t>
      </w:r>
      <w:r w:rsidR="00D742EE" w:rsidRPr="004E6A22">
        <w:t> </w:t>
      </w:r>
      <w:r w:rsidRPr="004E6A22">
        <w:t xml:space="preserve">cent of GDP over the next decade, from </w:t>
      </w:r>
      <w:r w:rsidR="00D91B27" w:rsidRPr="004E6A22">
        <w:t>11.5</w:t>
      </w:r>
      <w:r w:rsidR="00D742EE" w:rsidRPr="004E6A22">
        <w:t> </w:t>
      </w:r>
      <w:r w:rsidRPr="004E6A22">
        <w:t>per</w:t>
      </w:r>
      <w:r w:rsidR="00D742EE" w:rsidRPr="004E6A22">
        <w:t> </w:t>
      </w:r>
      <w:r w:rsidRPr="004E6A22">
        <w:t>cent of GDP in 20</w:t>
      </w:r>
      <w:r w:rsidR="00C073B8" w:rsidRPr="004E6A22">
        <w:t>18</w:t>
      </w:r>
      <w:r w:rsidR="007D470B" w:rsidRPr="004E6A22">
        <w:t>–</w:t>
      </w:r>
      <w:r w:rsidR="00C073B8" w:rsidRPr="004E6A22">
        <w:t>19</w:t>
      </w:r>
      <w:r w:rsidRPr="004E6A22">
        <w:t xml:space="preserve"> to </w:t>
      </w:r>
      <w:r w:rsidR="00D91B27" w:rsidRPr="004E6A22">
        <w:t>12.</w:t>
      </w:r>
      <w:r w:rsidR="007F69D5" w:rsidRPr="004E6A22">
        <w:t>0</w:t>
      </w:r>
      <w:r w:rsidR="003516EB" w:rsidRPr="004E6A22">
        <w:t> </w:t>
      </w:r>
      <w:r w:rsidRPr="004E6A22">
        <w:t>per</w:t>
      </w:r>
      <w:r w:rsidR="003516EB" w:rsidRPr="004E6A22">
        <w:t> </w:t>
      </w:r>
      <w:r w:rsidRPr="004E6A22">
        <w:t>cent of GDP in 202</w:t>
      </w:r>
      <w:r w:rsidR="00C073B8" w:rsidRPr="004E6A22">
        <w:t>9</w:t>
      </w:r>
      <w:r w:rsidR="007D470B" w:rsidRPr="004E6A22">
        <w:t>–</w:t>
      </w:r>
      <w:r w:rsidR="00C073B8" w:rsidRPr="004E6A22">
        <w:t>30</w:t>
      </w:r>
      <w:r w:rsidRPr="004E6A22">
        <w:t xml:space="preserve">.  </w:t>
      </w:r>
      <w:r w:rsidR="00DF44F3">
        <w:t>For these projections, we assume that when</w:t>
      </w:r>
      <w:r w:rsidR="00390D57" w:rsidRPr="004E6A22">
        <w:t xml:space="preserve"> the tax cap </w:t>
      </w:r>
      <w:r w:rsidR="00DF44F3">
        <w:t xml:space="preserve">binds, it </w:t>
      </w:r>
      <w:r w:rsidR="00390D57" w:rsidRPr="004E6A22">
        <w:t xml:space="preserve">will be met through </w:t>
      </w:r>
      <w:r w:rsidR="002D53D4" w:rsidRPr="004E6A22">
        <w:t xml:space="preserve">additional unspecified </w:t>
      </w:r>
      <w:r w:rsidR="00390D57" w:rsidRPr="004E6A22">
        <w:t>personal income tax cuts</w:t>
      </w:r>
      <w:r w:rsidRPr="004E6A22">
        <w:t>.</w:t>
      </w:r>
    </w:p>
    <w:p w:rsidR="0008427F" w:rsidRPr="00A117C9" w:rsidRDefault="00B1233B" w:rsidP="00B1233B">
      <w:pPr>
        <w:pStyle w:val="BodyText"/>
      </w:pPr>
      <w:r w:rsidRPr="00A117C9">
        <w:t xml:space="preserve">The profile </w:t>
      </w:r>
      <w:r w:rsidR="005D5E74" w:rsidRPr="00A117C9">
        <w:t xml:space="preserve">for </w:t>
      </w:r>
      <w:r w:rsidRPr="00A117C9">
        <w:t xml:space="preserve">personal income tax receipts largely </w:t>
      </w:r>
      <w:r w:rsidR="005D5E74" w:rsidRPr="00A117C9">
        <w:t xml:space="preserve">reflects </w:t>
      </w:r>
      <w:r w:rsidRPr="00A117C9">
        <w:t xml:space="preserve">the staged </w:t>
      </w:r>
      <w:r w:rsidR="005D5E74" w:rsidRPr="00A117C9">
        <w:t>implem</w:t>
      </w:r>
      <w:r w:rsidR="00A66526" w:rsidRPr="00A117C9">
        <w:t>en</w:t>
      </w:r>
      <w:r w:rsidR="005D5E74" w:rsidRPr="00A117C9">
        <w:t>tation</w:t>
      </w:r>
      <w:r w:rsidRPr="00A117C9">
        <w:t xml:space="preserve"> of the Government’s </w:t>
      </w:r>
      <w:r w:rsidR="00884125" w:rsidRPr="00A117C9">
        <w:t>personal income tax cuts</w:t>
      </w:r>
      <w:r w:rsidR="007F69D5" w:rsidRPr="00A117C9">
        <w:t xml:space="preserve">, which are discussed further in Box </w:t>
      </w:r>
      <w:r w:rsidR="004824A0">
        <w:t>3</w:t>
      </w:r>
      <w:r w:rsidRPr="00A117C9">
        <w:t xml:space="preserve">.  These changes to the personal income tax system reduce the impact of bracket creep, but bracket creep will continue to occur as average tax rates increase </w:t>
      </w:r>
      <w:r w:rsidR="00D02956" w:rsidRPr="00A117C9">
        <w:t>with growth in incomes</w:t>
      </w:r>
      <w:r w:rsidR="00AD6641" w:rsidRPr="00A117C9">
        <w:t>, particularly for low- to middle-income groups</w:t>
      </w:r>
      <w:r w:rsidRPr="00A117C9">
        <w:t>.</w:t>
      </w:r>
      <w:r w:rsidR="0008427F" w:rsidRPr="00A117C9">
        <w:t xml:space="preserve"> </w:t>
      </w:r>
    </w:p>
    <w:p w:rsidR="00FA3CD6" w:rsidRPr="004E6A22" w:rsidRDefault="0079786D" w:rsidP="00FA3CD6">
      <w:pPr>
        <w:pStyle w:val="BodyText"/>
      </w:pPr>
      <w:r w:rsidRPr="004E6A22">
        <w:t xml:space="preserve">Personal income tax receipts have been revised downward </w:t>
      </w:r>
      <w:r w:rsidR="003516EB" w:rsidRPr="004E6A22">
        <w:t>by $11.4 billion over the four</w:t>
      </w:r>
      <w:r w:rsidR="005506B2" w:rsidRPr="004E6A22">
        <w:t> </w:t>
      </w:r>
      <w:r w:rsidR="003516EB" w:rsidRPr="004E6A22">
        <w:t xml:space="preserve">years to 2022–23 </w:t>
      </w:r>
      <w:r w:rsidRPr="004E6A22">
        <w:t xml:space="preserve">compared to the previous report. </w:t>
      </w:r>
      <w:r w:rsidR="002D53D4" w:rsidRPr="004E6A22">
        <w:t xml:space="preserve"> </w:t>
      </w:r>
      <w:r w:rsidR="00FA3CD6" w:rsidRPr="004E6A22">
        <w:t>Downward revisions to personal income tax receipts since the previous report</w:t>
      </w:r>
      <w:r w:rsidR="00FA3CD6" w:rsidRPr="004E6A22">
        <w:rPr>
          <w:i/>
        </w:rPr>
        <w:t xml:space="preserve"> </w:t>
      </w:r>
      <w:r w:rsidR="00FA3CD6" w:rsidRPr="004E6A22">
        <w:t xml:space="preserve">are mainly due to the additional tax measures announced in the </w:t>
      </w:r>
      <w:r w:rsidR="003516EB" w:rsidRPr="004E6A22">
        <w:br/>
      </w:r>
      <w:r w:rsidR="00FA3CD6" w:rsidRPr="004E6A22">
        <w:t>2019</w:t>
      </w:r>
      <w:r w:rsidR="007D470B" w:rsidRPr="004E6A22">
        <w:t>–</w:t>
      </w:r>
      <w:r w:rsidR="00FA3CD6" w:rsidRPr="004E6A22">
        <w:t>20</w:t>
      </w:r>
      <w:r w:rsidR="003516EB" w:rsidRPr="004E6A22">
        <w:t> </w:t>
      </w:r>
      <w:proofErr w:type="gramStart"/>
      <w:r w:rsidR="00FA3CD6" w:rsidRPr="004E6A22">
        <w:t>Budget</w:t>
      </w:r>
      <w:proofErr w:type="gramEnd"/>
      <w:r w:rsidR="00FA3CD6" w:rsidRPr="004E6A22">
        <w:t>, particularly the reduction of the 32.5</w:t>
      </w:r>
      <w:r w:rsidR="003516EB" w:rsidRPr="004E6A22">
        <w:t> </w:t>
      </w:r>
      <w:r w:rsidR="00FA3CD6" w:rsidRPr="004E6A22">
        <w:t>per</w:t>
      </w:r>
      <w:r w:rsidR="003516EB" w:rsidRPr="004E6A22">
        <w:t> </w:t>
      </w:r>
      <w:r w:rsidR="00FA3CD6" w:rsidRPr="004E6A22">
        <w:t>cent bracket to 30</w:t>
      </w:r>
      <w:r w:rsidR="003516EB" w:rsidRPr="004E6A22">
        <w:t> </w:t>
      </w:r>
      <w:r w:rsidR="00FA3CD6" w:rsidRPr="004E6A22">
        <w:t>per</w:t>
      </w:r>
      <w:r w:rsidR="003516EB" w:rsidRPr="004E6A22">
        <w:t> </w:t>
      </w:r>
      <w:r w:rsidR="00FA3CD6" w:rsidRPr="004E6A22">
        <w:t xml:space="preserve">cent, with some contribution from the downward revisions to </w:t>
      </w:r>
      <w:r w:rsidR="00AF22B0">
        <w:t>forecast</w:t>
      </w:r>
      <w:r w:rsidR="00E20765">
        <w:t xml:space="preserve"> wage growth.</w:t>
      </w:r>
      <w:r w:rsidR="00FA3CD6" w:rsidRPr="004E6A22">
        <w:t xml:space="preserve">  </w:t>
      </w:r>
    </w:p>
    <w:p w:rsidR="00B808D8" w:rsidRDefault="00AF5E30" w:rsidP="00B808D8">
      <w:pPr>
        <w:pStyle w:val="BodyText"/>
      </w:pPr>
      <w:r w:rsidRPr="004E6A22">
        <w:t>T</w:t>
      </w:r>
      <w:r w:rsidR="00B808D8" w:rsidRPr="004E6A22">
        <w:t xml:space="preserve">he income tax changes are also expected to </w:t>
      </w:r>
      <w:r w:rsidR="00FA3CD6" w:rsidRPr="004E6A22">
        <w:t>affect</w:t>
      </w:r>
      <w:r w:rsidR="00B808D8" w:rsidRPr="004E6A22">
        <w:t xml:space="preserve"> </w:t>
      </w:r>
      <w:r w:rsidR="005506B2" w:rsidRPr="004E6A22">
        <w:t>f</w:t>
      </w:r>
      <w:r w:rsidR="00B808D8" w:rsidRPr="004E6A22">
        <w:t xml:space="preserve">ringe </w:t>
      </w:r>
      <w:r w:rsidR="005506B2" w:rsidRPr="004E6A22">
        <w:t>b</w:t>
      </w:r>
      <w:r w:rsidR="00B808D8" w:rsidRPr="004E6A22">
        <w:t xml:space="preserve">enefits </w:t>
      </w:r>
      <w:r w:rsidR="005506B2" w:rsidRPr="004E6A22">
        <w:t>t</w:t>
      </w:r>
      <w:r w:rsidR="00B808D8" w:rsidRPr="004E6A22">
        <w:t xml:space="preserve">ax receipts towards the end of the medium term, as the reduction in </w:t>
      </w:r>
      <w:r w:rsidR="0085087F" w:rsidRPr="004E6A22">
        <w:t xml:space="preserve">marginal </w:t>
      </w:r>
      <w:r w:rsidR="00B808D8" w:rsidRPr="004E6A22">
        <w:t xml:space="preserve">tax rates reduces the incentive for </w:t>
      </w:r>
      <w:r w:rsidR="0085087F" w:rsidRPr="004E6A22">
        <w:t xml:space="preserve">those </w:t>
      </w:r>
      <w:r w:rsidR="00B808D8" w:rsidRPr="004E6A22">
        <w:t xml:space="preserve">employees </w:t>
      </w:r>
      <w:r w:rsidR="0085087F" w:rsidRPr="004E6A22">
        <w:t xml:space="preserve">who are no longer in the top tax bracket </w:t>
      </w:r>
      <w:r w:rsidR="00B808D8" w:rsidRPr="004E6A22">
        <w:t xml:space="preserve">to take additional compensation in the form of fringe benefits.  </w:t>
      </w:r>
      <w:r w:rsidRPr="004E6A22">
        <w:t xml:space="preserve">Although not factored into the projections, </w:t>
      </w:r>
      <w:r w:rsidR="005506B2" w:rsidRPr="004E6A22">
        <w:t xml:space="preserve">the PBO </w:t>
      </w:r>
      <w:r w:rsidRPr="004E6A22">
        <w:t xml:space="preserve">would </w:t>
      </w:r>
      <w:r w:rsidR="00B808D8" w:rsidRPr="004E6A22">
        <w:t>ex</w:t>
      </w:r>
      <w:r w:rsidR="00E71683" w:rsidRPr="004E6A22">
        <w:t xml:space="preserve">pect the decrease in </w:t>
      </w:r>
      <w:r w:rsidR="00DF44F3">
        <w:t>fringe benefits tax</w:t>
      </w:r>
      <w:r w:rsidR="00305C20">
        <w:t xml:space="preserve"> receipts</w:t>
      </w:r>
      <w:r w:rsidR="00DF44F3" w:rsidRPr="004E6A22">
        <w:t xml:space="preserve"> </w:t>
      </w:r>
      <w:r w:rsidR="00E71683" w:rsidRPr="004E6A22">
        <w:t>to be</w:t>
      </w:r>
      <w:r w:rsidR="007257CE" w:rsidRPr="004E6A22">
        <w:t xml:space="preserve"> mostly</w:t>
      </w:r>
      <w:r w:rsidR="00E71683" w:rsidRPr="004E6A22">
        <w:t xml:space="preserve"> </w:t>
      </w:r>
      <w:r w:rsidR="00B808D8" w:rsidRPr="004E6A22">
        <w:t>offset by a corresponding increase in personal income tax</w:t>
      </w:r>
      <w:r w:rsidR="00305C20">
        <w:t xml:space="preserve"> receipts</w:t>
      </w:r>
      <w:r w:rsidR="00897C15" w:rsidRPr="004E6A22">
        <w:t>.</w:t>
      </w:r>
      <w:r w:rsidR="00B808D8" w:rsidRPr="004E6A22">
        <w:t xml:space="preserve"> </w:t>
      </w:r>
    </w:p>
    <w:p w:rsidR="00852825" w:rsidRDefault="00852825" w:rsidP="0010108E">
      <w:pPr>
        <w:pStyle w:val="Heading2"/>
      </w:pPr>
      <w:r>
        <w:t>Company tax receipts</w:t>
      </w:r>
    </w:p>
    <w:p w:rsidR="00852825" w:rsidRDefault="00852825" w:rsidP="00852825">
      <w:pPr>
        <w:pStyle w:val="BodyText"/>
        <w:spacing w:before="100" w:line="290" w:lineRule="atLeast"/>
      </w:pPr>
      <w:r>
        <w:t>Company tax receipts are projected to</w:t>
      </w:r>
      <w:r w:rsidRPr="00201818">
        <w:t xml:space="preserve"> </w:t>
      </w:r>
      <w:r>
        <w:t xml:space="preserve">remain relatively stable as a share of GDP over the medium </w:t>
      </w:r>
      <w:r w:rsidRPr="002143C8">
        <w:t>term, increasing from</w:t>
      </w:r>
      <w:r>
        <w:t xml:space="preserve"> 4.8 per cent of GDP in 2018–19 to 4.9 per cent of GDP in 2029–30.  </w:t>
      </w:r>
      <w:r w:rsidRPr="001B0FE9">
        <w:t xml:space="preserve">Company tax receipts have been revised </w:t>
      </w:r>
      <w:r>
        <w:t>upward</w:t>
      </w:r>
      <w:r w:rsidRPr="001B0FE9">
        <w:t xml:space="preserve"> by $6.7</w:t>
      </w:r>
      <w:r>
        <w:t> </w:t>
      </w:r>
      <w:r w:rsidRPr="001B0FE9">
        <w:t>b</w:t>
      </w:r>
      <w:r>
        <w:t>illion</w:t>
      </w:r>
      <w:r w:rsidRPr="001B0FE9">
        <w:t xml:space="preserve"> over the four</w:t>
      </w:r>
      <w:r>
        <w:t> </w:t>
      </w:r>
      <w:r w:rsidRPr="001B0FE9">
        <w:t>years to 2022</w:t>
      </w:r>
      <w:r>
        <w:t>–</w:t>
      </w:r>
      <w:r w:rsidRPr="001B0FE9">
        <w:t>23</w:t>
      </w:r>
      <w:r>
        <w:t xml:space="preserve"> </w:t>
      </w:r>
      <w:r w:rsidRPr="001B0FE9">
        <w:t xml:space="preserve">compared to </w:t>
      </w:r>
      <w:r>
        <w:t>the previous report</w:t>
      </w:r>
      <w:r w:rsidRPr="001B0FE9">
        <w:t>, largely due to expected strong mining profits over the forward estimates period.</w:t>
      </w:r>
      <w:r>
        <w:t xml:space="preserve"> </w:t>
      </w:r>
      <w:r w:rsidRPr="001B0FE9">
        <w:t xml:space="preserve"> </w:t>
      </w:r>
      <w:r w:rsidR="00A078FC">
        <w:t>While e</w:t>
      </w:r>
      <w:r w:rsidRPr="001B0FE9">
        <w:t>levated commodity prices have contributed to the strength over the forward estimates</w:t>
      </w:r>
      <w:r>
        <w:t xml:space="preserve"> period</w:t>
      </w:r>
      <w:r w:rsidRPr="001B0FE9">
        <w:t xml:space="preserve">, their impact on profits is expected to diminish </w:t>
      </w:r>
      <w:r>
        <w:t xml:space="preserve">over the medium term </w:t>
      </w:r>
      <w:r w:rsidRPr="001B0FE9">
        <w:t xml:space="preserve">as commodity prices </w:t>
      </w:r>
      <w:r>
        <w:t xml:space="preserve">are assumed to </w:t>
      </w:r>
      <w:r w:rsidRPr="001B0FE9">
        <w:t>revert towards historical</w:t>
      </w:r>
      <w:r>
        <w:t xml:space="preserve"> levels</w:t>
      </w:r>
      <w:r w:rsidRPr="001B0FE9">
        <w:t>.</w:t>
      </w:r>
    </w:p>
    <w:p w:rsidR="0010108E" w:rsidRDefault="00852825" w:rsidP="0010108E">
      <w:pPr>
        <w:pStyle w:val="BodyText"/>
      </w:pPr>
      <w:r>
        <w:t>The future path of key commodity prices remains, as always, one of the significant risks to the budget projections.</w:t>
      </w:r>
      <w:r w:rsidR="0010108E" w:rsidRPr="0010108E">
        <w:t xml:space="preserve"> </w:t>
      </w:r>
      <w:r w:rsidR="0010108E">
        <w:br/>
      </w:r>
    </w:p>
    <w:p w:rsidR="00852825" w:rsidRDefault="00852825" w:rsidP="00852825">
      <w:pPr>
        <w:pStyle w:val="BodyText"/>
        <w:spacing w:before="100" w:line="290" w:lineRule="atLeast"/>
      </w:pPr>
    </w:p>
    <w:p w:rsidR="00852825" w:rsidRPr="004E6A22" w:rsidRDefault="00852825" w:rsidP="00B808D8">
      <w:pPr>
        <w:pStyle w:val="BodyText"/>
      </w:pPr>
    </w:p>
    <w:tbl>
      <w:tblPr>
        <w:tblStyle w:val="BoxPlaceholder"/>
        <w:tblW w:w="8789" w:type="dxa"/>
        <w:tblLayout w:type="fixed"/>
        <w:tblLook w:val="04A0" w:firstRow="1" w:lastRow="0" w:firstColumn="1" w:lastColumn="0" w:noHBand="0" w:noVBand="1"/>
      </w:tblPr>
      <w:tblGrid>
        <w:gridCol w:w="8789"/>
      </w:tblGrid>
      <w:tr w:rsidR="00B53EE1" w:rsidTr="00B83AE2">
        <w:tc>
          <w:tcPr>
            <w:tcW w:w="8789" w:type="dxa"/>
          </w:tcPr>
          <w:p w:rsidR="00B53EE1" w:rsidRPr="00844FC4" w:rsidRDefault="00B53EE1" w:rsidP="00E160BB">
            <w:pPr>
              <w:pStyle w:val="CaptionLeft"/>
              <w:rPr>
                <w:sz w:val="28"/>
                <w:szCs w:val="28"/>
              </w:rPr>
            </w:pPr>
            <w:r w:rsidRPr="0003726E">
              <w:rPr>
                <w:sz w:val="28"/>
                <w:szCs w:val="28"/>
              </w:rPr>
              <w:lastRenderedPageBreak/>
              <w:t xml:space="preserve">Box </w:t>
            </w:r>
            <w:r w:rsidR="004824A0">
              <w:rPr>
                <w:sz w:val="28"/>
                <w:szCs w:val="28"/>
              </w:rPr>
              <w:t>3</w:t>
            </w:r>
            <w:r w:rsidRPr="0003726E">
              <w:rPr>
                <w:sz w:val="28"/>
                <w:szCs w:val="28"/>
              </w:rPr>
              <w:t xml:space="preserve">: </w:t>
            </w:r>
            <w:r w:rsidR="005E5F20" w:rsidRPr="0003726E">
              <w:rPr>
                <w:sz w:val="28"/>
                <w:szCs w:val="28"/>
              </w:rPr>
              <w:t>Distributional effects of personal income tax chang</w:t>
            </w:r>
            <w:r w:rsidRPr="0003726E">
              <w:rPr>
                <w:sz w:val="28"/>
                <w:szCs w:val="28"/>
              </w:rPr>
              <w:t>es</w:t>
            </w:r>
          </w:p>
          <w:p w:rsidR="001A43D1" w:rsidRPr="004E6A22" w:rsidRDefault="001A43D1" w:rsidP="00B33CFC">
            <w:pPr>
              <w:pStyle w:val="BodyText"/>
              <w:rPr>
                <w:lang w:eastAsia="en-AU"/>
              </w:rPr>
            </w:pPr>
            <w:r w:rsidRPr="004E6A22">
              <w:rPr>
                <w:lang w:eastAsia="en-AU"/>
              </w:rPr>
              <w:t>The past two budgets have seen substantial changes to the personal income tax system.</w:t>
            </w:r>
            <w:r w:rsidR="00A73258" w:rsidRPr="004E6A22">
              <w:rPr>
                <w:rStyle w:val="FootnoteReference"/>
                <w:lang w:eastAsia="en-AU"/>
              </w:rPr>
              <w:footnoteReference w:id="9"/>
            </w:r>
            <w:r w:rsidRPr="004E6A22">
              <w:rPr>
                <w:lang w:eastAsia="en-AU"/>
              </w:rPr>
              <w:t xml:space="preserve">  </w:t>
            </w:r>
          </w:p>
          <w:p w:rsidR="00FC14DD" w:rsidRDefault="001A43D1" w:rsidP="00FC14DD">
            <w:pPr>
              <w:pStyle w:val="BodyText"/>
              <w:rPr>
                <w:lang w:eastAsia="en-AU"/>
              </w:rPr>
            </w:pPr>
            <w:r w:rsidRPr="00A117C9">
              <w:rPr>
                <w:lang w:eastAsia="en-AU"/>
              </w:rPr>
              <w:t xml:space="preserve">These changes will have the effect of decreasing personal income tax rates over </w:t>
            </w:r>
            <w:r w:rsidR="007D470B" w:rsidRPr="00A117C9">
              <w:rPr>
                <w:lang w:eastAsia="en-AU"/>
              </w:rPr>
              <w:br/>
            </w:r>
            <w:r w:rsidRPr="00A117C9">
              <w:rPr>
                <w:lang w:eastAsia="en-AU"/>
              </w:rPr>
              <w:t>the coming years.  Countering this</w:t>
            </w:r>
            <w:r w:rsidR="00B73F7A" w:rsidRPr="00A117C9">
              <w:rPr>
                <w:lang w:eastAsia="en-AU"/>
              </w:rPr>
              <w:t>,</w:t>
            </w:r>
            <w:r w:rsidRPr="00A117C9">
              <w:rPr>
                <w:lang w:eastAsia="en-AU"/>
              </w:rPr>
              <w:t xml:space="preserve"> bracket creep</w:t>
            </w:r>
            <w:r w:rsidR="00211355" w:rsidRPr="00A117C9">
              <w:rPr>
                <w:lang w:eastAsia="en-AU"/>
              </w:rPr>
              <w:t xml:space="preserve"> </w:t>
            </w:r>
            <w:r w:rsidR="00B73F7A" w:rsidRPr="00A117C9">
              <w:rPr>
                <w:lang w:eastAsia="en-AU"/>
              </w:rPr>
              <w:t>(</w:t>
            </w:r>
            <w:r w:rsidR="00211355" w:rsidRPr="00A117C9">
              <w:rPr>
                <w:lang w:eastAsia="en-AU"/>
              </w:rPr>
              <w:t xml:space="preserve">driven by </w:t>
            </w:r>
            <w:r w:rsidR="00DF44F3">
              <w:rPr>
                <w:lang w:eastAsia="en-AU"/>
              </w:rPr>
              <w:t>ongoing growth in</w:t>
            </w:r>
            <w:r w:rsidR="00211355" w:rsidRPr="00A117C9">
              <w:rPr>
                <w:lang w:eastAsia="en-AU"/>
              </w:rPr>
              <w:t xml:space="preserve"> wages</w:t>
            </w:r>
            <w:r w:rsidR="00B73F7A" w:rsidRPr="00A117C9">
              <w:rPr>
                <w:lang w:eastAsia="en-AU"/>
              </w:rPr>
              <w:t>)</w:t>
            </w:r>
            <w:r w:rsidRPr="00A117C9">
              <w:rPr>
                <w:lang w:eastAsia="en-AU"/>
              </w:rPr>
              <w:t xml:space="preserve"> </w:t>
            </w:r>
            <w:r w:rsidR="007D470B" w:rsidRPr="00A117C9">
              <w:rPr>
                <w:lang w:eastAsia="en-AU"/>
              </w:rPr>
              <w:br/>
            </w:r>
            <w:r w:rsidRPr="00A117C9">
              <w:rPr>
                <w:lang w:eastAsia="en-AU"/>
              </w:rPr>
              <w:t xml:space="preserve">is projected to have the effect of increasing </w:t>
            </w:r>
            <w:r w:rsidR="00DF44F3">
              <w:rPr>
                <w:lang w:eastAsia="en-AU"/>
              </w:rPr>
              <w:t xml:space="preserve">average </w:t>
            </w:r>
            <w:r w:rsidRPr="00A117C9">
              <w:rPr>
                <w:lang w:eastAsia="en-AU"/>
              </w:rPr>
              <w:t xml:space="preserve">personal income tax rates.  The overall change in </w:t>
            </w:r>
            <w:r w:rsidR="00DF44F3">
              <w:rPr>
                <w:lang w:eastAsia="en-AU"/>
              </w:rPr>
              <w:t xml:space="preserve">the average </w:t>
            </w:r>
            <w:r w:rsidRPr="00A117C9">
              <w:rPr>
                <w:lang w:eastAsia="en-AU"/>
              </w:rPr>
              <w:t xml:space="preserve">tax rate is the combined impact of these two effects.  </w:t>
            </w:r>
            <w:r w:rsidR="00AF5E30" w:rsidRPr="00A117C9">
              <w:rPr>
                <w:lang w:eastAsia="en-AU"/>
              </w:rPr>
              <w:t xml:space="preserve">The overall effect on an individual’s </w:t>
            </w:r>
            <w:r w:rsidR="00DF44F3">
              <w:rPr>
                <w:lang w:eastAsia="en-AU"/>
              </w:rPr>
              <w:t xml:space="preserve">average </w:t>
            </w:r>
            <w:r w:rsidR="00AF5E30" w:rsidRPr="00A117C9">
              <w:rPr>
                <w:lang w:eastAsia="en-AU"/>
              </w:rPr>
              <w:t>tax rate over the period 2017–18 to 2028–29 depend</w:t>
            </w:r>
            <w:r w:rsidR="00305C20">
              <w:rPr>
                <w:lang w:eastAsia="en-AU"/>
              </w:rPr>
              <w:t>s</w:t>
            </w:r>
            <w:r w:rsidR="00AF5E30" w:rsidRPr="00A117C9">
              <w:rPr>
                <w:lang w:eastAsia="en-AU"/>
              </w:rPr>
              <w:t xml:space="preserve"> on their </w:t>
            </w:r>
            <w:r w:rsidRPr="00A117C9">
              <w:rPr>
                <w:lang w:eastAsia="en-AU"/>
              </w:rPr>
              <w:t>taxable income.</w:t>
            </w:r>
            <w:r w:rsidR="0097595C" w:rsidRPr="004E6A22">
              <w:rPr>
                <w:lang w:eastAsia="en-AU"/>
              </w:rPr>
              <w:t xml:space="preserve">  Figure</w:t>
            </w:r>
            <w:r w:rsidR="00B12B80" w:rsidRPr="004E6A22">
              <w:rPr>
                <w:lang w:eastAsia="en-AU"/>
              </w:rPr>
              <w:t> </w:t>
            </w:r>
            <w:r w:rsidR="0097595C" w:rsidRPr="004E6A22">
              <w:rPr>
                <w:lang w:eastAsia="en-AU"/>
              </w:rPr>
              <w:t xml:space="preserve">2–3 shows the projected change in average tax rates for different taxable income quintiles.  </w:t>
            </w:r>
          </w:p>
          <w:p w:rsidR="00F84F40" w:rsidRPr="00A117C9" w:rsidRDefault="00F84F40" w:rsidP="00FC14DD">
            <w:pPr>
              <w:pStyle w:val="BodyText"/>
              <w:rPr>
                <w:lang w:eastAsia="en-AU"/>
              </w:rPr>
            </w:pPr>
          </w:p>
          <w:p w:rsidR="00B53EE1" w:rsidRDefault="00686390" w:rsidP="003D2759">
            <w:pPr>
              <w:pStyle w:val="Caption"/>
            </w:pPr>
            <w:bookmarkStart w:id="43" w:name="_Ref520382086"/>
            <w:r w:rsidRPr="00500EEC">
              <w:t>F</w:t>
            </w:r>
            <w:r w:rsidR="00B53EE1" w:rsidRPr="00500EEC">
              <w:t xml:space="preserve">igure </w:t>
            </w:r>
            <w:r w:rsidR="00080176">
              <w:t>2</w:t>
            </w:r>
            <w:r w:rsidR="00B53EE1" w:rsidRPr="00500EEC">
              <w:t>–</w:t>
            </w:r>
            <w:bookmarkEnd w:id="43"/>
            <w:r w:rsidR="00E37F00">
              <w:t>3</w:t>
            </w:r>
            <w:r w:rsidR="00B53EE1" w:rsidRPr="00500EEC">
              <w:t xml:space="preserve">: </w:t>
            </w:r>
            <w:r w:rsidR="005E5F20" w:rsidRPr="005E5F20">
              <w:t>Change in average tax rates by income quintile, 2017</w:t>
            </w:r>
            <w:r w:rsidR="00B12B80">
              <w:rPr>
                <w:lang w:eastAsia="en-AU"/>
              </w:rPr>
              <w:t>–</w:t>
            </w:r>
            <w:r w:rsidR="005E5F20" w:rsidRPr="005E5F20">
              <w:t xml:space="preserve">18 to </w:t>
            </w:r>
            <w:r w:rsidR="00DB62B4" w:rsidRPr="005E5F20">
              <w:t>202</w:t>
            </w:r>
            <w:r w:rsidR="00DB62B4">
              <w:t>8</w:t>
            </w:r>
            <w:r w:rsidR="00B12B80">
              <w:rPr>
                <w:lang w:eastAsia="en-AU"/>
              </w:rPr>
              <w:t>–</w:t>
            </w:r>
            <w:r w:rsidR="005E5F20" w:rsidRPr="005E5F20">
              <w:t>2</w:t>
            </w:r>
            <w:r w:rsidR="00DB62B4">
              <w:t>9</w:t>
            </w:r>
          </w:p>
          <w:p w:rsidR="00183B13" w:rsidRPr="00183B13" w:rsidRDefault="00183B13" w:rsidP="00183B13">
            <w:pPr>
              <w:pStyle w:val="CaptionDescriptor"/>
            </w:pPr>
          </w:p>
          <w:p w:rsidR="00A14C11" w:rsidRPr="00F114DE" w:rsidRDefault="00183B13" w:rsidP="000D4C9A">
            <w:pPr>
              <w:pStyle w:val="CaptionDescriptor"/>
            </w:pPr>
            <w:r>
              <w:rPr>
                <w:noProof/>
                <w:lang w:eastAsia="en-AU"/>
              </w:rPr>
              <w:drawing>
                <wp:inline distT="0" distB="0" distL="0" distR="0" wp14:anchorId="46FE5232" wp14:editId="25A428C0">
                  <wp:extent cx="4860000" cy="281169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3–3- Change in average tax rates by income quintile, 2017-18 to 2028-29-01.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860000" cy="2811695"/>
                          </a:xfrm>
                          <a:prstGeom prst="rect">
                            <a:avLst/>
                          </a:prstGeom>
                          <a:ln>
                            <a:noFill/>
                          </a:ln>
                          <a:extLst>
                            <a:ext uri="{53640926-AAD7-44D8-BBD7-CCE9431645EC}">
                              <a14:shadowObscured xmlns:a14="http://schemas.microsoft.com/office/drawing/2010/main"/>
                            </a:ext>
                          </a:extLst>
                        </pic:spPr>
                      </pic:pic>
                    </a:graphicData>
                  </a:graphic>
                </wp:inline>
              </w:drawing>
            </w:r>
          </w:p>
          <w:p w:rsidR="005E5DF6" w:rsidRDefault="005E5DF6" w:rsidP="00A11F68">
            <w:pPr>
              <w:pStyle w:val="SourceIndent"/>
              <w:ind w:right="567"/>
              <w:rPr>
                <w:noProof/>
                <w:lang w:eastAsia="en-AU"/>
              </w:rPr>
            </w:pPr>
            <w:r w:rsidRPr="00A14C11">
              <w:rPr>
                <w:noProof/>
                <w:lang w:eastAsia="en-AU"/>
              </w:rPr>
              <w:t>Note: Analysis comprises individuals who filed a tax return in 201</w:t>
            </w:r>
            <w:r w:rsidR="002158A2" w:rsidRPr="00A14C11">
              <w:rPr>
                <w:noProof/>
                <w:lang w:eastAsia="en-AU"/>
              </w:rPr>
              <w:t>6</w:t>
            </w:r>
            <w:r w:rsidR="007D470B">
              <w:rPr>
                <w:noProof/>
                <w:lang w:eastAsia="en-AU"/>
              </w:rPr>
              <w:t>–</w:t>
            </w:r>
            <w:r w:rsidRPr="00A14C11">
              <w:rPr>
                <w:noProof/>
                <w:lang w:eastAsia="en-AU"/>
              </w:rPr>
              <w:t>1</w:t>
            </w:r>
            <w:r w:rsidR="002158A2" w:rsidRPr="00A14C11">
              <w:rPr>
                <w:noProof/>
                <w:lang w:eastAsia="en-AU"/>
              </w:rPr>
              <w:t>7</w:t>
            </w:r>
            <w:r w:rsidRPr="00A14C11">
              <w:rPr>
                <w:noProof/>
                <w:lang w:eastAsia="en-AU"/>
              </w:rPr>
              <w:t>, divided into quintiles according to taxable income.</w:t>
            </w:r>
            <w:r w:rsidR="00A43BC7" w:rsidRPr="00A14C11">
              <w:rPr>
                <w:noProof/>
                <w:lang w:eastAsia="en-AU"/>
              </w:rPr>
              <w:t xml:space="preserve">  Taxable income ranges are for 2018</w:t>
            </w:r>
            <w:r w:rsidR="00B12B80">
              <w:rPr>
                <w:lang w:eastAsia="en-AU"/>
              </w:rPr>
              <w:t>–</w:t>
            </w:r>
            <w:r w:rsidR="00A43BC7" w:rsidRPr="00A14C11">
              <w:rPr>
                <w:noProof/>
                <w:lang w:eastAsia="en-AU"/>
              </w:rPr>
              <w:t xml:space="preserve">19. </w:t>
            </w:r>
            <w:r w:rsidR="00392A7F">
              <w:rPr>
                <w:noProof/>
                <w:lang w:eastAsia="en-AU"/>
              </w:rPr>
              <w:br/>
            </w:r>
            <w:r>
              <w:rPr>
                <w:noProof/>
                <w:lang w:eastAsia="en-AU"/>
              </w:rPr>
              <w:t xml:space="preserve">Source: PBO analysis, </w:t>
            </w:r>
            <w:r w:rsidR="00B12B80">
              <w:rPr>
                <w:noProof/>
                <w:lang w:eastAsia="en-AU"/>
              </w:rPr>
              <w:t xml:space="preserve">Australian Taxation Office </w:t>
            </w:r>
            <w:r>
              <w:rPr>
                <w:noProof/>
                <w:lang w:eastAsia="en-AU"/>
              </w:rPr>
              <w:t>data, and parameters underlying the 2019</w:t>
            </w:r>
            <w:r w:rsidR="007D470B">
              <w:rPr>
                <w:noProof/>
                <w:lang w:eastAsia="en-AU"/>
              </w:rPr>
              <w:t>–</w:t>
            </w:r>
            <w:r>
              <w:rPr>
                <w:noProof/>
                <w:lang w:eastAsia="en-AU"/>
              </w:rPr>
              <w:t>20 Budget.</w:t>
            </w:r>
          </w:p>
          <w:p w:rsidR="0097595C" w:rsidRPr="00AE719E" w:rsidRDefault="00305C20" w:rsidP="00502FAE">
            <w:pPr>
              <w:pStyle w:val="BodyText"/>
            </w:pPr>
            <w:r w:rsidRPr="001A43D1">
              <w:rPr>
                <w:lang w:eastAsia="en-AU"/>
              </w:rPr>
              <w:t>Th</w:t>
            </w:r>
            <w:r>
              <w:rPr>
                <w:lang w:eastAsia="en-AU"/>
              </w:rPr>
              <w:t xml:space="preserve">is analysis shows that </w:t>
            </w:r>
            <w:r w:rsidRPr="001A43D1">
              <w:rPr>
                <w:lang w:eastAsia="en-AU"/>
              </w:rPr>
              <w:t>individuals in the second and third quintiles (together spanning the taxable income range $20,00</w:t>
            </w:r>
            <w:r w:rsidR="00F84F40">
              <w:rPr>
                <w:lang w:eastAsia="en-AU"/>
              </w:rPr>
              <w:t>1</w:t>
            </w:r>
            <w:r w:rsidRPr="001A43D1">
              <w:rPr>
                <w:lang w:eastAsia="en-AU"/>
              </w:rPr>
              <w:t xml:space="preserve"> to $58,000), </w:t>
            </w:r>
            <w:r>
              <w:rPr>
                <w:lang w:eastAsia="en-AU"/>
              </w:rPr>
              <w:t xml:space="preserve">are expected to face the largest effects of bracket creep, while the benefits of the tax cuts are greater at higher quintiles.  Overall, average tax rates for individuals in the second and third quintiles </w:t>
            </w:r>
            <w:r w:rsidRPr="001A43D1">
              <w:rPr>
                <w:lang w:eastAsia="en-AU"/>
              </w:rPr>
              <w:t xml:space="preserve">are projected to increase </w:t>
            </w:r>
            <w:r>
              <w:rPr>
                <w:lang w:eastAsia="en-AU"/>
              </w:rPr>
              <w:t>by</w:t>
            </w:r>
            <w:r w:rsidRPr="001A43D1">
              <w:rPr>
                <w:lang w:eastAsia="en-AU"/>
              </w:rPr>
              <w:t xml:space="preserve"> </w:t>
            </w:r>
            <w:r>
              <w:rPr>
                <w:lang w:eastAsia="en-AU"/>
              </w:rPr>
              <w:t>4.5 </w:t>
            </w:r>
            <w:r w:rsidRPr="001A43D1">
              <w:rPr>
                <w:lang w:eastAsia="en-AU"/>
              </w:rPr>
              <w:t xml:space="preserve">percentage points and </w:t>
            </w:r>
            <w:r>
              <w:rPr>
                <w:lang w:eastAsia="en-AU"/>
              </w:rPr>
              <w:t>3.9 </w:t>
            </w:r>
            <w:r w:rsidRPr="001A43D1">
              <w:rPr>
                <w:lang w:eastAsia="en-AU"/>
              </w:rPr>
              <w:t>percentage points</w:t>
            </w:r>
            <w:r>
              <w:rPr>
                <w:lang w:eastAsia="en-AU"/>
              </w:rPr>
              <w:t xml:space="preserve"> respectively over the period to 2028</w:t>
            </w:r>
            <w:r w:rsidR="00F84F40" w:rsidRPr="00A117C9">
              <w:rPr>
                <w:lang w:eastAsia="en-AU"/>
              </w:rPr>
              <w:t>–</w:t>
            </w:r>
            <w:r>
              <w:rPr>
                <w:lang w:eastAsia="en-AU"/>
              </w:rPr>
              <w:t>29, while average tax rates for</w:t>
            </w:r>
            <w:r w:rsidRPr="001A43D1">
              <w:rPr>
                <w:lang w:eastAsia="en-AU"/>
              </w:rPr>
              <w:t xml:space="preserve"> individuals </w:t>
            </w:r>
            <w:r>
              <w:rPr>
                <w:lang w:eastAsia="en-AU"/>
              </w:rPr>
              <w:t xml:space="preserve">in the top quintile (with </w:t>
            </w:r>
            <w:r w:rsidRPr="001A43D1">
              <w:rPr>
                <w:lang w:eastAsia="en-AU"/>
              </w:rPr>
              <w:t>taxable income</w:t>
            </w:r>
            <w:r>
              <w:rPr>
                <w:lang w:eastAsia="en-AU"/>
              </w:rPr>
              <w:t>s</w:t>
            </w:r>
            <w:r w:rsidRPr="001A43D1">
              <w:rPr>
                <w:lang w:eastAsia="en-AU"/>
              </w:rPr>
              <w:t xml:space="preserve"> </w:t>
            </w:r>
            <w:r w:rsidR="00502FAE">
              <w:rPr>
                <w:lang w:eastAsia="en-AU"/>
              </w:rPr>
              <w:t>above</w:t>
            </w:r>
            <w:r w:rsidR="00502FAE" w:rsidRPr="001A43D1">
              <w:rPr>
                <w:lang w:eastAsia="en-AU"/>
              </w:rPr>
              <w:t xml:space="preserve"> </w:t>
            </w:r>
            <w:r w:rsidRPr="001A43D1">
              <w:rPr>
                <w:lang w:eastAsia="en-AU"/>
              </w:rPr>
              <w:t>$90,00</w:t>
            </w:r>
            <w:r>
              <w:rPr>
                <w:lang w:eastAsia="en-AU"/>
              </w:rPr>
              <w:t>0)</w:t>
            </w:r>
            <w:r w:rsidRPr="001A43D1">
              <w:rPr>
                <w:lang w:eastAsia="en-AU"/>
              </w:rPr>
              <w:t xml:space="preserve"> </w:t>
            </w:r>
            <w:r>
              <w:rPr>
                <w:lang w:eastAsia="en-AU"/>
              </w:rPr>
              <w:t>are projected to fall marginally</w:t>
            </w:r>
            <w:r w:rsidRPr="001A43D1">
              <w:rPr>
                <w:lang w:eastAsia="en-AU"/>
              </w:rPr>
              <w:t xml:space="preserve">.  </w:t>
            </w:r>
          </w:p>
        </w:tc>
      </w:tr>
    </w:tbl>
    <w:p w:rsidR="0010108E" w:rsidRPr="0010108E" w:rsidRDefault="0010108E" w:rsidP="0010108E">
      <w:pPr>
        <w:pStyle w:val="BodyTextAfterListTable"/>
      </w:pPr>
      <w:bookmarkStart w:id="44" w:name="_Toc523757310"/>
      <w:bookmarkStart w:id="45" w:name="_Toc19801231"/>
    </w:p>
    <w:p w:rsidR="0008427F" w:rsidRPr="00F6778E" w:rsidRDefault="0008427F" w:rsidP="0008427F">
      <w:pPr>
        <w:pStyle w:val="Heading2"/>
      </w:pPr>
      <w:bookmarkStart w:id="46" w:name="_Toc19801232"/>
      <w:bookmarkStart w:id="47" w:name="_Toc523757311"/>
      <w:bookmarkEnd w:id="44"/>
      <w:bookmarkEnd w:id="45"/>
      <w:r w:rsidRPr="00F6778E">
        <w:lastRenderedPageBreak/>
        <w:t>Goods and services tax receipts</w:t>
      </w:r>
      <w:bookmarkEnd w:id="46"/>
    </w:p>
    <w:p w:rsidR="00E5110E" w:rsidRDefault="00270373" w:rsidP="008E1681">
      <w:pPr>
        <w:pStyle w:val="BodyText"/>
      </w:pPr>
      <w:r>
        <w:t xml:space="preserve">Goods and services tax </w:t>
      </w:r>
      <w:r w:rsidR="002B235D">
        <w:t xml:space="preserve">receipts are expected to </w:t>
      </w:r>
      <w:r w:rsidR="002611D7">
        <w:t>remain flat at around 3.4</w:t>
      </w:r>
      <w:r w:rsidR="00182D1C">
        <w:t> </w:t>
      </w:r>
      <w:r w:rsidR="002611D7">
        <w:t>per</w:t>
      </w:r>
      <w:r w:rsidR="00182D1C">
        <w:t> </w:t>
      </w:r>
      <w:r w:rsidR="002611D7">
        <w:t xml:space="preserve">cent of GDP over the next decade.  </w:t>
      </w:r>
      <w:r w:rsidR="00B73F7A">
        <w:t xml:space="preserve">Compared to the previous report, GST receipts have been revised downward </w:t>
      </w:r>
      <w:r w:rsidR="00B73F7A" w:rsidRPr="001B0FE9">
        <w:t>by $</w:t>
      </w:r>
      <w:r w:rsidR="00B73F7A">
        <w:t>13.9</w:t>
      </w:r>
      <w:r w:rsidR="00182D1C">
        <w:t> </w:t>
      </w:r>
      <w:r w:rsidR="00B73F7A" w:rsidRPr="001B0FE9">
        <w:t>b</w:t>
      </w:r>
      <w:r w:rsidR="00B73F7A">
        <w:t>illion</w:t>
      </w:r>
      <w:r w:rsidR="00182D1C">
        <w:t xml:space="preserve"> </w:t>
      </w:r>
      <w:r w:rsidR="00B73F7A" w:rsidRPr="001B0FE9">
        <w:t>over the four</w:t>
      </w:r>
      <w:r w:rsidR="00182D1C">
        <w:t> </w:t>
      </w:r>
      <w:r w:rsidR="00B73F7A" w:rsidRPr="001B0FE9">
        <w:t>years to 2022</w:t>
      </w:r>
      <w:r w:rsidR="007D470B">
        <w:t>–</w:t>
      </w:r>
      <w:r w:rsidR="00B73F7A" w:rsidRPr="001B0FE9">
        <w:t>23</w:t>
      </w:r>
      <w:r w:rsidR="00893C29">
        <w:t xml:space="preserve">, driven by downward revisions to the forecast growth in </w:t>
      </w:r>
      <w:r w:rsidR="00852825">
        <w:t>prices</w:t>
      </w:r>
      <w:r w:rsidR="00893C29">
        <w:t>, consumption and dwelling investment.</w:t>
      </w:r>
      <w:r w:rsidR="002611D7">
        <w:t xml:space="preserve"> </w:t>
      </w:r>
    </w:p>
    <w:p w:rsidR="007F4E98" w:rsidRDefault="007F4E98" w:rsidP="007F4E98">
      <w:pPr>
        <w:pStyle w:val="BodyText"/>
      </w:pPr>
      <w:r>
        <w:t xml:space="preserve">The profile of GST receipts is </w:t>
      </w:r>
      <w:r w:rsidR="00B22BF4">
        <w:t>affected</w:t>
      </w:r>
      <w:r>
        <w:t xml:space="preserve"> by </w:t>
      </w:r>
      <w:r w:rsidR="00502FAE">
        <w:t xml:space="preserve">a </w:t>
      </w:r>
      <w:r>
        <w:t>2018</w:t>
      </w:r>
      <w:r w:rsidR="007D470B">
        <w:t>–</w:t>
      </w:r>
      <w:r>
        <w:t xml:space="preserve">19 </w:t>
      </w:r>
      <w:r w:rsidR="00182D1C">
        <w:t>Mid-year Economic and Fiscal Outlook</w:t>
      </w:r>
      <w:r w:rsidR="00F44DCC">
        <w:t xml:space="preserve"> </w:t>
      </w:r>
      <w:r w:rsidR="005151DC">
        <w:t>measure</w:t>
      </w:r>
      <w:r w:rsidR="00AF5E30">
        <w:t xml:space="preserve"> which provides additional funding to the </w:t>
      </w:r>
      <w:r w:rsidR="00182D1C">
        <w:t>Australian Taxation O</w:t>
      </w:r>
      <w:r w:rsidR="00AF5E30">
        <w:t>ffice</w:t>
      </w:r>
      <w:r w:rsidR="005151DC">
        <w:t xml:space="preserve"> to </w:t>
      </w:r>
      <w:r w:rsidR="00AF5E30">
        <w:t xml:space="preserve">enforce </w:t>
      </w:r>
      <w:r w:rsidRPr="00036B53">
        <w:t>GST compliance</w:t>
      </w:r>
      <w:r w:rsidR="00AF5E30">
        <w:t>.  This</w:t>
      </w:r>
      <w:r>
        <w:t xml:space="preserve"> </w:t>
      </w:r>
      <w:r w:rsidR="005151DC">
        <w:t xml:space="preserve">is expected to </w:t>
      </w:r>
      <w:r>
        <w:t>boost receipts from 2019</w:t>
      </w:r>
      <w:r w:rsidR="007D470B">
        <w:t>–</w:t>
      </w:r>
      <w:r>
        <w:t xml:space="preserve">20 but </w:t>
      </w:r>
      <w:r w:rsidR="00AF5E30">
        <w:t>winds down</w:t>
      </w:r>
      <w:r>
        <w:t xml:space="preserve"> in 2023</w:t>
      </w:r>
      <w:r w:rsidR="007D470B">
        <w:t>–</w:t>
      </w:r>
      <w:r>
        <w:t>24.</w:t>
      </w:r>
      <w:r w:rsidR="00BB34DC">
        <w:t xml:space="preserve">  </w:t>
      </w:r>
      <w:r w:rsidR="00F6778E">
        <w:t xml:space="preserve">The projections assume </w:t>
      </w:r>
      <w:r w:rsidR="008B6624">
        <w:t xml:space="preserve">that </w:t>
      </w:r>
      <w:r w:rsidR="00BB34DC">
        <w:t xml:space="preserve">the </w:t>
      </w:r>
      <w:r w:rsidR="00F6778E">
        <w:t xml:space="preserve">expected effectiveness of the measure </w:t>
      </w:r>
      <w:r w:rsidR="00BB34DC">
        <w:t>is reali</w:t>
      </w:r>
      <w:r w:rsidR="00F6778E">
        <w:t>s</w:t>
      </w:r>
      <w:r w:rsidR="00BB34DC">
        <w:t>ed</w:t>
      </w:r>
      <w:r w:rsidR="00F44DCC">
        <w:t xml:space="preserve"> and then ceases</w:t>
      </w:r>
      <w:r w:rsidR="00AF5E30">
        <w:t xml:space="preserve"> as planned, however</w:t>
      </w:r>
      <w:r w:rsidR="008B6624">
        <w:t xml:space="preserve"> </w:t>
      </w:r>
      <w:r w:rsidR="00305C20">
        <w:t xml:space="preserve">we note that </w:t>
      </w:r>
      <w:r w:rsidR="00AF5E30">
        <w:t>s</w:t>
      </w:r>
      <w:r w:rsidR="00F44DCC">
        <w:t xml:space="preserve">uccessive governments have </w:t>
      </w:r>
      <w:r w:rsidR="008B6624">
        <w:t xml:space="preserve">often </w:t>
      </w:r>
      <w:r w:rsidR="00F44DCC">
        <w:t>extended previous GST compliance activities before they have expired.</w:t>
      </w:r>
      <w:r w:rsidR="00BB34DC">
        <w:t xml:space="preserve"> </w:t>
      </w:r>
      <w:r w:rsidR="00E20765">
        <w:t xml:space="preserve"> An extension of the measure would be expected to boost GST receipts.</w:t>
      </w:r>
    </w:p>
    <w:p w:rsidR="008E1681" w:rsidRDefault="00931CBA" w:rsidP="00D942FE">
      <w:pPr>
        <w:pStyle w:val="Heading2"/>
      </w:pPr>
      <w:bookmarkStart w:id="48" w:name="_Toc19801233"/>
      <w:r>
        <w:t>Excise,</w:t>
      </w:r>
      <w:r w:rsidR="008E1681">
        <w:t xml:space="preserve"> customs duty</w:t>
      </w:r>
      <w:r>
        <w:t>,</w:t>
      </w:r>
      <w:r w:rsidR="008E1681">
        <w:t xml:space="preserve"> </w:t>
      </w:r>
      <w:r>
        <w:t xml:space="preserve">and </w:t>
      </w:r>
      <w:r w:rsidR="00CB4DC4">
        <w:t>w</w:t>
      </w:r>
      <w:r>
        <w:t>ine equalisation tax receipts</w:t>
      </w:r>
      <w:bookmarkEnd w:id="48"/>
    </w:p>
    <w:p w:rsidR="009E44A8" w:rsidRPr="004E6A22" w:rsidRDefault="009D02D5" w:rsidP="009E44A8">
      <w:pPr>
        <w:pStyle w:val="BodyText"/>
      </w:pPr>
      <w:r w:rsidRPr="004E6A22">
        <w:t>Excise and customs duty</w:t>
      </w:r>
      <w:r w:rsidR="005E5F20" w:rsidRPr="004E6A22">
        <w:t xml:space="preserve"> receipts are projected to peak at 2.3</w:t>
      </w:r>
      <w:r w:rsidR="00182D1C" w:rsidRPr="004E6A22">
        <w:t> </w:t>
      </w:r>
      <w:r w:rsidR="005E5F20" w:rsidRPr="004E6A22">
        <w:t>per</w:t>
      </w:r>
      <w:r w:rsidR="00182D1C" w:rsidRPr="004E6A22">
        <w:t> </w:t>
      </w:r>
      <w:r w:rsidR="005E5F20" w:rsidRPr="004E6A22">
        <w:t>cent of GDP in 2019</w:t>
      </w:r>
      <w:r w:rsidR="007D470B" w:rsidRPr="004E6A22">
        <w:t>–</w:t>
      </w:r>
      <w:r w:rsidR="005E5F20" w:rsidRPr="004E6A22">
        <w:t>20 before declining to 2.1</w:t>
      </w:r>
      <w:r w:rsidR="00182D1C" w:rsidRPr="004E6A22">
        <w:t> </w:t>
      </w:r>
      <w:r w:rsidR="005E5F20" w:rsidRPr="004E6A22">
        <w:t>per</w:t>
      </w:r>
      <w:r w:rsidR="00182D1C" w:rsidRPr="004E6A22">
        <w:t> </w:t>
      </w:r>
      <w:r w:rsidR="005E5F20" w:rsidRPr="004E6A22">
        <w:t xml:space="preserve">cent of GDP </w:t>
      </w:r>
      <w:r w:rsidR="008E1681" w:rsidRPr="004E6A22">
        <w:t>in 2029</w:t>
      </w:r>
      <w:r w:rsidR="007D470B" w:rsidRPr="004E6A22">
        <w:t>–</w:t>
      </w:r>
      <w:r w:rsidR="008E1681" w:rsidRPr="004E6A22">
        <w:t>30.</w:t>
      </w:r>
      <w:r w:rsidR="00CB4DC4" w:rsidRPr="004E6A22">
        <w:t xml:space="preserve"> </w:t>
      </w:r>
      <w:r w:rsidR="006B42F2" w:rsidRPr="004E6A22">
        <w:t xml:space="preserve"> </w:t>
      </w:r>
      <w:r w:rsidR="00CB4DC4" w:rsidRPr="004E6A22">
        <w:t>The peak in 2019</w:t>
      </w:r>
      <w:r w:rsidR="007D470B" w:rsidRPr="004E6A22">
        <w:t>–</w:t>
      </w:r>
      <w:r w:rsidR="00CB4DC4" w:rsidRPr="004E6A22">
        <w:t>20 is driven by tobacco excise, reflecting additional receipts due to the commencement of the 2018</w:t>
      </w:r>
      <w:r w:rsidR="00182D1C" w:rsidRPr="004E6A22">
        <w:t>–</w:t>
      </w:r>
      <w:r w:rsidR="00CB4DC4" w:rsidRPr="004E6A22">
        <w:t xml:space="preserve">19 Budget measure </w:t>
      </w:r>
      <w:r w:rsidR="00CB4DC4" w:rsidRPr="004E6A22">
        <w:rPr>
          <w:i/>
        </w:rPr>
        <w:t>Black</w:t>
      </w:r>
      <w:r w:rsidR="00182D1C" w:rsidRPr="004E6A22">
        <w:rPr>
          <w:i/>
        </w:rPr>
        <w:t> </w:t>
      </w:r>
      <w:r w:rsidR="00CB4DC4" w:rsidRPr="004E6A22">
        <w:rPr>
          <w:i/>
        </w:rPr>
        <w:t>Economy Package – Combatting illicit tobacco</w:t>
      </w:r>
      <w:r w:rsidR="00CB4DC4" w:rsidRPr="004E6A22">
        <w:t xml:space="preserve">.  </w:t>
      </w:r>
      <w:r w:rsidR="009E44A8" w:rsidRPr="004E6A22">
        <w:t>Excise and customs duty receipts have been revised downward</w:t>
      </w:r>
      <w:r w:rsidR="00C702A0" w:rsidRPr="004E6A22">
        <w:t xml:space="preserve"> over the forward estimates</w:t>
      </w:r>
      <w:r w:rsidR="00182D1C" w:rsidRPr="004E6A22">
        <w:t xml:space="preserve"> period</w:t>
      </w:r>
      <w:r w:rsidR="009E44A8" w:rsidRPr="004E6A22">
        <w:t>, driven by downward revisions to the forecast growth in household consumption</w:t>
      </w:r>
      <w:r w:rsidR="00C702A0" w:rsidRPr="004E6A22">
        <w:t xml:space="preserve"> since the previous report</w:t>
      </w:r>
      <w:r w:rsidR="009E44A8" w:rsidRPr="004E6A22">
        <w:t>.</w:t>
      </w:r>
    </w:p>
    <w:p w:rsidR="006B42F2" w:rsidRPr="00A117C9" w:rsidRDefault="002B5AE8" w:rsidP="006B42F2">
      <w:pPr>
        <w:pStyle w:val="BodyText"/>
      </w:pPr>
      <w:r w:rsidRPr="00A117C9">
        <w:t>Over the medium</w:t>
      </w:r>
      <w:r w:rsidR="00182D1C" w:rsidRPr="00A117C9">
        <w:t xml:space="preserve"> </w:t>
      </w:r>
      <w:r w:rsidRPr="00A117C9">
        <w:t>term, e</w:t>
      </w:r>
      <w:r w:rsidR="006B42F2" w:rsidRPr="00A117C9">
        <w:t>xcise and customs duty receipts are expected to grow at rates slower than t</w:t>
      </w:r>
      <w:r w:rsidRPr="00A117C9">
        <w:t>he historical average</w:t>
      </w:r>
      <w:r w:rsidR="00BE3045" w:rsidRPr="00A117C9">
        <w:t xml:space="preserve">, </w:t>
      </w:r>
      <w:r w:rsidR="006B42F2" w:rsidRPr="00A117C9">
        <w:t>reflect</w:t>
      </w:r>
      <w:r w:rsidR="00BE3045" w:rsidRPr="00A117C9">
        <w:t>ing</w:t>
      </w:r>
      <w:r w:rsidRPr="00A117C9">
        <w:t xml:space="preserve"> both</w:t>
      </w:r>
      <w:r w:rsidR="006B42F2" w:rsidRPr="00A117C9">
        <w:t xml:space="preserve"> the implementation of free trade agreements</w:t>
      </w:r>
      <w:r w:rsidRPr="00A117C9">
        <w:t>,</w:t>
      </w:r>
      <w:r w:rsidR="006B42F2" w:rsidRPr="00A117C9">
        <w:t xml:space="preserve"> which reduce the </w:t>
      </w:r>
      <w:r w:rsidR="00765AA5" w:rsidRPr="00A117C9">
        <w:t xml:space="preserve">proportion of </w:t>
      </w:r>
      <w:r w:rsidR="006B42F2" w:rsidRPr="00A117C9">
        <w:t xml:space="preserve">imports subject to </w:t>
      </w:r>
      <w:r w:rsidR="00765AA5" w:rsidRPr="00A117C9">
        <w:t>excise and customs duties</w:t>
      </w:r>
      <w:r w:rsidRPr="00A117C9">
        <w:t xml:space="preserve"> (particularly for textiles, clothing and footwear</w:t>
      </w:r>
      <w:r w:rsidR="003E30BB">
        <w:t>,</w:t>
      </w:r>
      <w:r w:rsidRPr="00A117C9">
        <w:t xml:space="preserve"> and motor vehicles),</w:t>
      </w:r>
      <w:r w:rsidR="00765AA5" w:rsidRPr="00A117C9">
        <w:t xml:space="preserve"> and dec</w:t>
      </w:r>
      <w:r w:rsidR="00A536F9" w:rsidRPr="00A117C9">
        <w:t>lin</w:t>
      </w:r>
      <w:r w:rsidR="00765AA5" w:rsidRPr="00A117C9">
        <w:t>ing demand for highly taxed items such as tobacco, fuel and alcohol.</w:t>
      </w:r>
      <w:r w:rsidR="009E44A8" w:rsidRPr="00A117C9">
        <w:t xml:space="preserve">  </w:t>
      </w:r>
    </w:p>
    <w:p w:rsidR="00975F74" w:rsidRDefault="00931CBA" w:rsidP="00D46A0C">
      <w:pPr>
        <w:pStyle w:val="BodyText"/>
      </w:pPr>
      <w:r w:rsidRPr="004E6A22">
        <w:t>Wine equalisation tax receipts are expected to remain flat at around 0.05</w:t>
      </w:r>
      <w:r w:rsidR="00182D1C" w:rsidRPr="004E6A22">
        <w:t> </w:t>
      </w:r>
      <w:r w:rsidRPr="004E6A22">
        <w:t>per</w:t>
      </w:r>
      <w:r w:rsidR="00182D1C" w:rsidRPr="004E6A22">
        <w:t> </w:t>
      </w:r>
      <w:r w:rsidRPr="004E6A22">
        <w:t xml:space="preserve">cent of GDP over the next decade.  </w:t>
      </w:r>
      <w:r w:rsidR="00033FE4" w:rsidRPr="004E6A22">
        <w:t>Wine equalisation tax</w:t>
      </w:r>
      <w:r w:rsidR="00463F12" w:rsidRPr="004E6A22">
        <w:t xml:space="preserve"> receipts have been revised upward by $500</w:t>
      </w:r>
      <w:r w:rsidR="00182D1C" w:rsidRPr="004E6A22">
        <w:t> </w:t>
      </w:r>
      <w:r w:rsidR="00463F12" w:rsidRPr="004E6A22">
        <w:t>m</w:t>
      </w:r>
      <w:r w:rsidR="00B83600" w:rsidRPr="004E6A22">
        <w:t>illion</w:t>
      </w:r>
      <w:r w:rsidR="00463F12" w:rsidRPr="004E6A22">
        <w:t xml:space="preserve"> over the four</w:t>
      </w:r>
      <w:r w:rsidR="00182D1C" w:rsidRPr="004E6A22">
        <w:t> </w:t>
      </w:r>
      <w:r w:rsidR="00463F12" w:rsidRPr="004E6A22">
        <w:t>years to 2022</w:t>
      </w:r>
      <w:r w:rsidR="007D470B" w:rsidRPr="004E6A22">
        <w:t>–</w:t>
      </w:r>
      <w:r w:rsidR="00463F12" w:rsidRPr="004E6A22">
        <w:t xml:space="preserve">23.  </w:t>
      </w:r>
      <w:r w:rsidRPr="004E6A22">
        <w:t xml:space="preserve">The stability in </w:t>
      </w:r>
      <w:r w:rsidR="00033FE4">
        <w:t>w</w:t>
      </w:r>
      <w:r w:rsidR="00033FE4" w:rsidRPr="004E6A22">
        <w:t>ine equalisation tax</w:t>
      </w:r>
      <w:r w:rsidRPr="004E6A22">
        <w:t xml:space="preserve"> receipts </w:t>
      </w:r>
      <w:r w:rsidR="005F0652" w:rsidRPr="004E6A22">
        <w:t>over the forward estimates</w:t>
      </w:r>
      <w:r w:rsidR="00182D1C" w:rsidRPr="004E6A22">
        <w:t xml:space="preserve"> period</w:t>
      </w:r>
      <w:r w:rsidR="005F0652" w:rsidRPr="004E6A22">
        <w:t xml:space="preserve"> </w:t>
      </w:r>
      <w:r w:rsidRPr="004E6A22">
        <w:t xml:space="preserve">reflects the interaction between changing consumption patterns, with falling consumption of alcohol per capita offset by </w:t>
      </w:r>
      <w:r w:rsidR="00502FAE">
        <w:t>shifting</w:t>
      </w:r>
      <w:r w:rsidR="00502FAE" w:rsidRPr="004E6A22">
        <w:t xml:space="preserve"> </w:t>
      </w:r>
      <w:r w:rsidRPr="004E6A22">
        <w:t xml:space="preserve">consumer preferences </w:t>
      </w:r>
      <w:r w:rsidR="00BE3045" w:rsidRPr="004E6A22">
        <w:t>towards</w:t>
      </w:r>
      <w:r w:rsidRPr="004E6A22">
        <w:t xml:space="preserve"> wine</w:t>
      </w:r>
      <w:r w:rsidR="00BE3045" w:rsidRPr="004E6A22">
        <w:t xml:space="preserve"> rather than beer</w:t>
      </w:r>
      <w:r w:rsidRPr="004E6A22">
        <w:t xml:space="preserve">.  </w:t>
      </w:r>
      <w:r w:rsidR="00463F12" w:rsidRPr="004E6A22">
        <w:t>Over the medium term these shifts in alcohol consumption</w:t>
      </w:r>
      <w:r w:rsidR="00F114DE" w:rsidRPr="004E6A22">
        <w:t xml:space="preserve"> patterns</w:t>
      </w:r>
      <w:r w:rsidR="00463F12" w:rsidRPr="004E6A22">
        <w:t xml:space="preserve"> are a downside risk</w:t>
      </w:r>
      <w:r w:rsidR="00F114DE" w:rsidRPr="004E6A22">
        <w:t xml:space="preserve"> to revenue projections</w:t>
      </w:r>
      <w:r w:rsidR="00463F12" w:rsidRPr="004E6A22">
        <w:t>, as</w:t>
      </w:r>
      <w:r w:rsidR="00AF5E30" w:rsidRPr="004E6A22">
        <w:t xml:space="preserve"> the two different alcohol tax systems mean that most beer categories are subject to a higher effective rate of taxation than most of the wine consumed in Australia.</w:t>
      </w:r>
      <w:r w:rsidR="000F2403" w:rsidRPr="004E6A22">
        <w:rPr>
          <w:rStyle w:val="FootnoteReference"/>
        </w:rPr>
        <w:footnoteReference w:id="10"/>
      </w:r>
    </w:p>
    <w:p w:rsidR="000F2403" w:rsidRDefault="000F2403" w:rsidP="000F2403">
      <w:pPr>
        <w:pStyle w:val="Heading2"/>
      </w:pPr>
      <w:bookmarkStart w:id="49" w:name="_Toc19801234"/>
      <w:r>
        <w:t>Non-tax receipts</w:t>
      </w:r>
      <w:bookmarkEnd w:id="49"/>
    </w:p>
    <w:p w:rsidR="00B77E4E" w:rsidRDefault="00B77E4E" w:rsidP="008E1681">
      <w:pPr>
        <w:pStyle w:val="BodyText"/>
      </w:pPr>
      <w:r>
        <w:t>Non-tax</w:t>
      </w:r>
      <w:r w:rsidRPr="00B77E4E">
        <w:t xml:space="preserve"> receipts (including Future Fund earnings) are</w:t>
      </w:r>
      <w:r>
        <w:t xml:space="preserve"> projected to de</w:t>
      </w:r>
      <w:r w:rsidRPr="005E5F20">
        <w:t xml:space="preserve">crease </w:t>
      </w:r>
      <w:r>
        <w:t xml:space="preserve">slightly </w:t>
      </w:r>
      <w:r w:rsidR="00F114DE">
        <w:t>from a peak of</w:t>
      </w:r>
      <w:r>
        <w:t xml:space="preserve"> 2.0</w:t>
      </w:r>
      <w:r w:rsidR="001D1D4D">
        <w:t> </w:t>
      </w:r>
      <w:r>
        <w:t>per</w:t>
      </w:r>
      <w:r w:rsidR="001D1D4D">
        <w:t> </w:t>
      </w:r>
      <w:r>
        <w:t>cent of GDP in 2019</w:t>
      </w:r>
      <w:r w:rsidR="007D470B">
        <w:t>–</w:t>
      </w:r>
      <w:r>
        <w:t>20 to 1.</w:t>
      </w:r>
      <w:r w:rsidR="00B73F7A">
        <w:t>6</w:t>
      </w:r>
      <w:r w:rsidR="001D1D4D">
        <w:t> </w:t>
      </w:r>
      <w:r>
        <w:t>per</w:t>
      </w:r>
      <w:r w:rsidR="001D1D4D">
        <w:t> </w:t>
      </w:r>
      <w:r>
        <w:t>cent of GDP in 2029</w:t>
      </w:r>
      <w:r w:rsidR="007D470B">
        <w:t>–</w:t>
      </w:r>
      <w:r>
        <w:t xml:space="preserve">30. </w:t>
      </w:r>
      <w:r w:rsidRPr="00B77E4E">
        <w:t xml:space="preserve"> </w:t>
      </w:r>
      <w:r>
        <w:t xml:space="preserve">Non-tax </w:t>
      </w:r>
      <w:r w:rsidRPr="008E1681">
        <w:t>re</w:t>
      </w:r>
      <w:r>
        <w:t>ceipts have been revised upward</w:t>
      </w:r>
      <w:r w:rsidR="005F0652">
        <w:t xml:space="preserve"> by $6.3</w:t>
      </w:r>
      <w:r w:rsidR="001D1D4D">
        <w:t> </w:t>
      </w:r>
      <w:r w:rsidR="005F0652">
        <w:t>billion over the four</w:t>
      </w:r>
      <w:r w:rsidR="001D1D4D">
        <w:t> </w:t>
      </w:r>
      <w:r w:rsidR="005F0652">
        <w:t>years to 2022</w:t>
      </w:r>
      <w:r w:rsidR="007D470B">
        <w:t>–</w:t>
      </w:r>
      <w:r w:rsidR="005F0652">
        <w:t xml:space="preserve">23 </w:t>
      </w:r>
      <w:r w:rsidRPr="008E1681">
        <w:t xml:space="preserve">compared to </w:t>
      </w:r>
      <w:r w:rsidR="005C6BDB">
        <w:t>the previous report</w:t>
      </w:r>
      <w:r w:rsidRPr="00B77E4E">
        <w:t>, primarily due to increased Future Fund earnings.</w:t>
      </w:r>
    </w:p>
    <w:p w:rsidR="00852825" w:rsidRDefault="00852825" w:rsidP="008E1681">
      <w:pPr>
        <w:pStyle w:val="BodyText"/>
      </w:pPr>
    </w:p>
    <w:p w:rsidR="00D02956" w:rsidRPr="0098441D" w:rsidRDefault="00D02956" w:rsidP="00D942FE">
      <w:pPr>
        <w:pStyle w:val="Heading2"/>
      </w:pPr>
      <w:bookmarkStart w:id="50" w:name="_Toc19801235"/>
      <w:r w:rsidRPr="0098441D">
        <w:lastRenderedPageBreak/>
        <w:t>Superannuation fund tax receipts</w:t>
      </w:r>
      <w:bookmarkEnd w:id="47"/>
      <w:bookmarkEnd w:id="50"/>
    </w:p>
    <w:p w:rsidR="009C35BB" w:rsidRDefault="00B83AE2" w:rsidP="00B83AE2">
      <w:pPr>
        <w:pStyle w:val="BodyText"/>
      </w:pPr>
      <w:r w:rsidRPr="0098441D">
        <w:t>Superannuation fund tax</w:t>
      </w:r>
      <w:r w:rsidR="00F50A9D" w:rsidRPr="0098441D">
        <w:t xml:space="preserve"> receipts </w:t>
      </w:r>
      <w:r w:rsidRPr="0098441D">
        <w:t xml:space="preserve">are projected to </w:t>
      </w:r>
      <w:r w:rsidR="009C35BB">
        <w:t>increas</w:t>
      </w:r>
      <w:r w:rsidR="00F114DE">
        <w:t>e</w:t>
      </w:r>
      <w:r w:rsidR="009C35BB">
        <w:t xml:space="preserve"> to 0.7</w:t>
      </w:r>
      <w:r w:rsidR="001D1D4D">
        <w:t> </w:t>
      </w:r>
      <w:r w:rsidR="009C35BB">
        <w:t>per</w:t>
      </w:r>
      <w:r w:rsidR="001D1D4D">
        <w:t> </w:t>
      </w:r>
      <w:r w:rsidR="009C35BB">
        <w:t>cent of GDP in 2022</w:t>
      </w:r>
      <w:r w:rsidR="007D470B">
        <w:t>–</w:t>
      </w:r>
      <w:r w:rsidR="009C35BB">
        <w:t>23</w:t>
      </w:r>
      <w:r w:rsidR="00F114DE">
        <w:t xml:space="preserve"> and remain around that level for the rest </w:t>
      </w:r>
      <w:r w:rsidR="001D1D4D">
        <w:t xml:space="preserve">of the </w:t>
      </w:r>
      <w:r w:rsidR="00F114DE">
        <w:t>medium term.</w:t>
      </w:r>
    </w:p>
    <w:p w:rsidR="00B83AE2" w:rsidRDefault="009C35BB" w:rsidP="00B83AE2">
      <w:pPr>
        <w:pStyle w:val="BodyText"/>
      </w:pPr>
      <w:r>
        <w:t>Compared to the previous report, superannuation fund taxes have been revised down</w:t>
      </w:r>
      <w:r w:rsidR="001D1D4D">
        <w:t>ward</w:t>
      </w:r>
      <w:r>
        <w:t xml:space="preserve"> by around $400 million over the four</w:t>
      </w:r>
      <w:r w:rsidR="001D1D4D">
        <w:t> </w:t>
      </w:r>
      <w:r>
        <w:t>years to 2022</w:t>
      </w:r>
      <w:r w:rsidR="007D470B">
        <w:t>–</w:t>
      </w:r>
      <w:r>
        <w:t xml:space="preserve">23, largely reflecting a downward revision in </w:t>
      </w:r>
      <w:r w:rsidR="001D1D4D">
        <w:br/>
      </w:r>
      <w:r>
        <w:t>2019</w:t>
      </w:r>
      <w:r w:rsidR="007D470B">
        <w:t>–</w:t>
      </w:r>
      <w:r>
        <w:t xml:space="preserve">20 </w:t>
      </w:r>
      <w:r w:rsidR="00DF44F3">
        <w:t xml:space="preserve">attributable </w:t>
      </w:r>
      <w:r>
        <w:t>to the impact of recent off-market share buybacks</w:t>
      </w:r>
      <w:r w:rsidR="00F50A9D" w:rsidRPr="0098441D">
        <w:t>.</w:t>
      </w:r>
      <w:r w:rsidR="009B16B4" w:rsidRPr="005258D8">
        <w:rPr>
          <w:rStyle w:val="FootnoteReference"/>
        </w:rPr>
        <w:footnoteReference w:id="11"/>
      </w:r>
      <w:r w:rsidR="00B83AE2" w:rsidRPr="0098441D">
        <w:t xml:space="preserve">  </w:t>
      </w:r>
    </w:p>
    <w:p w:rsidR="00D02956" w:rsidRPr="00FF3721" w:rsidRDefault="00463F12" w:rsidP="00527545">
      <w:pPr>
        <w:pStyle w:val="Heading2"/>
      </w:pPr>
      <w:bookmarkStart w:id="51" w:name="_Toc523757312"/>
      <w:bookmarkStart w:id="52" w:name="_Toc19801236"/>
      <w:r w:rsidRPr="00FF3721">
        <w:t>Resource rent tax</w:t>
      </w:r>
      <w:r w:rsidR="00D02956" w:rsidRPr="00FF3721">
        <w:t xml:space="preserve"> receipts</w:t>
      </w:r>
      <w:bookmarkEnd w:id="51"/>
      <w:bookmarkEnd w:id="52"/>
    </w:p>
    <w:p w:rsidR="00787718" w:rsidRPr="004E6A22" w:rsidRDefault="00463F12" w:rsidP="00463F12">
      <w:pPr>
        <w:pStyle w:val="BodyText"/>
      </w:pPr>
      <w:r w:rsidRPr="00A117C9">
        <w:t xml:space="preserve">Resource rent taxes are primarily comprised of the </w:t>
      </w:r>
      <w:r w:rsidR="001D1D4D" w:rsidRPr="00A117C9">
        <w:t>p</w:t>
      </w:r>
      <w:r w:rsidRPr="00A117C9">
        <w:t xml:space="preserve">etroleum resource rent tax (PRRT). </w:t>
      </w:r>
      <w:r w:rsidR="00E7154F" w:rsidRPr="00A117C9">
        <w:t xml:space="preserve"> </w:t>
      </w:r>
      <w:r w:rsidR="003E30BB">
        <w:t>P</w:t>
      </w:r>
      <w:r w:rsidR="003E30BB" w:rsidRPr="00A117C9">
        <w:t>etroleum resource rent tax</w:t>
      </w:r>
      <w:r w:rsidRPr="00A117C9">
        <w:t xml:space="preserve"> receipts are projected </w:t>
      </w:r>
      <w:r w:rsidR="003B0F72" w:rsidRPr="00A117C9">
        <w:t>to increase over the period to 2026</w:t>
      </w:r>
      <w:r w:rsidR="007D470B" w:rsidRPr="00A117C9">
        <w:t>–</w:t>
      </w:r>
      <w:r w:rsidR="003B0F72" w:rsidRPr="00A117C9">
        <w:t>27 and then decline as a result of more established projects paying less PRRT</w:t>
      </w:r>
      <w:r w:rsidR="003E30BB">
        <w:t>,</w:t>
      </w:r>
      <w:r w:rsidR="003B0F72" w:rsidRPr="00A117C9">
        <w:t xml:space="preserve"> and a gap between that and newer projects becoming liable for PRRT</w:t>
      </w:r>
      <w:r w:rsidR="00213E94" w:rsidRPr="00A117C9">
        <w:t>, which may occur beyond the end of the medium</w:t>
      </w:r>
      <w:r w:rsidR="001D1D4D" w:rsidRPr="00A117C9">
        <w:t>-</w:t>
      </w:r>
      <w:r w:rsidR="00213E94" w:rsidRPr="00A117C9">
        <w:t>term projection period</w:t>
      </w:r>
      <w:r w:rsidR="000E1E2B" w:rsidRPr="00A117C9">
        <w:t>.</w:t>
      </w:r>
      <w:r w:rsidR="00213E94" w:rsidRPr="00A117C9">
        <w:t xml:space="preserve">  The PRRT is particularly sensitive to the oil price assumption.</w:t>
      </w:r>
    </w:p>
    <w:p w:rsidR="00AF5E30" w:rsidRDefault="00AF5E30" w:rsidP="00434DD7">
      <w:pPr>
        <w:pStyle w:val="Heading2"/>
      </w:pPr>
      <w:bookmarkStart w:id="53" w:name="_Toc19801237"/>
      <w:r>
        <w:t>Risks around projected receipts</w:t>
      </w:r>
      <w:bookmarkEnd w:id="53"/>
    </w:p>
    <w:p w:rsidR="00CC3DC7" w:rsidRDefault="00CC3DC7" w:rsidP="00AF5E30">
      <w:pPr>
        <w:pStyle w:val="BodyText"/>
      </w:pPr>
      <w:r>
        <w:t xml:space="preserve">As discussed in Box </w:t>
      </w:r>
      <w:r w:rsidR="004824A0">
        <w:t>2</w:t>
      </w:r>
      <w:r>
        <w:t>, the projections over the medium term are predicated on above</w:t>
      </w:r>
      <w:r w:rsidR="001D1D4D">
        <w:t>-</w:t>
      </w:r>
      <w:r>
        <w:t>trend economic growth for much of the period and return</w:t>
      </w:r>
      <w:r w:rsidR="001D1D4D">
        <w:t>-</w:t>
      </w:r>
      <w:r>
        <w:t>to</w:t>
      </w:r>
      <w:r w:rsidR="001D1D4D">
        <w:t>-</w:t>
      </w:r>
      <w:r>
        <w:t>trend wages growth by the end of the forward estimates period.  The receipts projections have become more sensitive to macroeconomic risks because the Government’s personal income tax cuts</w:t>
      </w:r>
      <w:r w:rsidR="0002323E">
        <w:t xml:space="preserve"> mean</w:t>
      </w:r>
      <w:r>
        <w:t xml:space="preserve"> the tax cap</w:t>
      </w:r>
      <w:r w:rsidR="00DF44F3">
        <w:t xml:space="preserve"> </w:t>
      </w:r>
      <w:r w:rsidR="0002323E">
        <w:t xml:space="preserve">now </w:t>
      </w:r>
      <w:r w:rsidR="00DF44F3">
        <w:t>binds</w:t>
      </w:r>
      <w:r>
        <w:t xml:space="preserve"> </w:t>
      </w:r>
      <w:r w:rsidR="0002323E">
        <w:t xml:space="preserve">in </w:t>
      </w:r>
      <w:r>
        <w:t xml:space="preserve">the final year of the medium term (see Box </w:t>
      </w:r>
      <w:r w:rsidR="004824A0">
        <w:t>4</w:t>
      </w:r>
      <w:r>
        <w:t>).  As a result, any weakness in tax receipts before that point will directly affect the receipts projections, and therefore the budget balance.</w:t>
      </w:r>
    </w:p>
    <w:p w:rsidR="00566796" w:rsidRDefault="00566796" w:rsidP="00AF5E30">
      <w:pPr>
        <w:pStyle w:val="BodyText"/>
      </w:pPr>
      <w:r>
        <w:t xml:space="preserve">The most significant </w:t>
      </w:r>
      <w:r w:rsidR="00896C21">
        <w:t>short</w:t>
      </w:r>
      <w:r w:rsidR="001D1D4D">
        <w:t>-</w:t>
      </w:r>
      <w:r w:rsidR="00896C21">
        <w:t xml:space="preserve">term </w:t>
      </w:r>
      <w:r>
        <w:t>macroeconomic risks affecting receipts include weaker</w:t>
      </w:r>
      <w:r w:rsidR="00B544CF">
        <w:noBreakHyphen/>
      </w:r>
      <w:r>
        <w:t>than</w:t>
      </w:r>
      <w:r w:rsidR="003E30BB">
        <w:t>-</w:t>
      </w:r>
      <w:r>
        <w:t>expected commodity</w:t>
      </w:r>
      <w:r w:rsidR="00896C21">
        <w:t xml:space="preserve"> prices</w:t>
      </w:r>
      <w:r w:rsidR="00DF44F3">
        <w:t>, wages</w:t>
      </w:r>
      <w:r w:rsidR="003E30BB">
        <w:t>,</w:t>
      </w:r>
      <w:r w:rsidR="00896C21">
        <w:t xml:space="preserve"> and</w:t>
      </w:r>
      <w:r>
        <w:t xml:space="preserve"> labour market outcomes.</w:t>
      </w:r>
      <w:r w:rsidR="00896C21">
        <w:t xml:space="preserve">  In the long term, weaker-than-assumed productivity growth would have a large and compounding effect on tax receipts.</w:t>
      </w:r>
    </w:p>
    <w:p w:rsidR="00AF5E30" w:rsidRDefault="00031075" w:rsidP="00AF5E30">
      <w:pPr>
        <w:pStyle w:val="BodyText"/>
      </w:pPr>
      <w:r w:rsidRPr="002439F9">
        <w:t xml:space="preserve">Owing to the aggregated nature of the medium-term economic parameters, the projection for receipts </w:t>
      </w:r>
      <w:r w:rsidR="00F650F6">
        <w:t>may</w:t>
      </w:r>
      <w:r w:rsidRPr="002439F9">
        <w:t xml:space="preserve"> </w:t>
      </w:r>
      <w:r w:rsidR="00DF44F3">
        <w:t xml:space="preserve">also </w:t>
      </w:r>
      <w:r w:rsidRPr="002439F9">
        <w:t xml:space="preserve">be overstated, as </w:t>
      </w:r>
      <w:r w:rsidR="00F650F6">
        <w:t xml:space="preserve">the </w:t>
      </w:r>
      <w:r w:rsidR="00DF44F3">
        <w:t>economic parameters do not capture</w:t>
      </w:r>
      <w:r w:rsidR="00F650F6">
        <w:t xml:space="preserve"> some</w:t>
      </w:r>
      <w:r w:rsidRPr="002439F9">
        <w:t xml:space="preserve"> of the significant trends </w:t>
      </w:r>
      <w:r w:rsidR="00F650F6">
        <w:t>expected to</w:t>
      </w:r>
      <w:r w:rsidRPr="002439F9">
        <w:t xml:space="preserve"> reduce revenue</w:t>
      </w:r>
      <w:r w:rsidR="00F650F6">
        <w:t xml:space="preserve"> in the coming years</w:t>
      </w:r>
      <w:r w:rsidRPr="002439F9">
        <w:t xml:space="preserve">.  </w:t>
      </w:r>
      <w:r w:rsidR="00416A7C" w:rsidRPr="002439F9">
        <w:t>For example, the economic projections</w:t>
      </w:r>
      <w:r w:rsidR="00A81CA9">
        <w:t>, being at an aggregated level,</w:t>
      </w:r>
      <w:r w:rsidR="00416A7C" w:rsidRPr="002439F9">
        <w:t xml:space="preserve"> </w:t>
      </w:r>
      <w:r w:rsidR="00566796">
        <w:t xml:space="preserve">do not </w:t>
      </w:r>
      <w:r w:rsidR="00A81CA9">
        <w:t>capture</w:t>
      </w:r>
      <w:r w:rsidR="00416A7C" w:rsidRPr="002439F9">
        <w:t xml:space="preserve"> trends towards low emission veh</w:t>
      </w:r>
      <w:r w:rsidR="00416A7C">
        <w:t>icles</w:t>
      </w:r>
      <w:r w:rsidR="001D1D4D">
        <w:t>,</w:t>
      </w:r>
      <w:r w:rsidR="00F650F6">
        <w:t xml:space="preserve"> which will </w:t>
      </w:r>
      <w:r w:rsidR="00A81CA9">
        <w:t xml:space="preserve">reduce </w:t>
      </w:r>
      <w:r w:rsidR="00416A7C">
        <w:t>fuel excise</w:t>
      </w:r>
      <w:r w:rsidR="001D1D4D">
        <w:t>,</w:t>
      </w:r>
      <w:r w:rsidR="00416A7C">
        <w:t xml:space="preserve"> or </w:t>
      </w:r>
      <w:r w:rsidR="00416A7C" w:rsidRPr="002439F9">
        <w:t xml:space="preserve">declining smoking rates, </w:t>
      </w:r>
      <w:r w:rsidR="00F650F6">
        <w:t xml:space="preserve">which will </w:t>
      </w:r>
      <w:r w:rsidR="00A81CA9">
        <w:t>reduce</w:t>
      </w:r>
      <w:r w:rsidR="00A81CA9" w:rsidRPr="002439F9">
        <w:t xml:space="preserve"> </w:t>
      </w:r>
      <w:r w:rsidR="00416A7C" w:rsidRPr="002439F9">
        <w:t xml:space="preserve">tobacco excise.  </w:t>
      </w:r>
      <w:r w:rsidRPr="002439F9">
        <w:t xml:space="preserve">Many of these issues were </w:t>
      </w:r>
      <w:r>
        <w:t>discussed</w:t>
      </w:r>
      <w:r w:rsidRPr="002439F9">
        <w:t xml:space="preserve"> in </w:t>
      </w:r>
      <w:r>
        <w:t xml:space="preserve">the </w:t>
      </w:r>
      <w:r w:rsidRPr="002439F9">
        <w:t xml:space="preserve">PBO </w:t>
      </w:r>
      <w:r>
        <w:t xml:space="preserve">report </w:t>
      </w:r>
      <w:r w:rsidRPr="000F2403">
        <w:rPr>
          <w:i/>
        </w:rPr>
        <w:t>Trends affecting the sustainability of Commonwealth taxes</w:t>
      </w:r>
      <w:r>
        <w:t>.</w:t>
      </w:r>
      <w:r>
        <w:rPr>
          <w:rStyle w:val="FootnoteReference"/>
        </w:rPr>
        <w:footnoteReference w:id="12"/>
      </w:r>
      <w:r>
        <w:t xml:space="preserve"> </w:t>
      </w:r>
      <w:r w:rsidR="00E75588">
        <w:t xml:space="preserve"> </w:t>
      </w:r>
      <w:r>
        <w:t xml:space="preserve">Further work </w:t>
      </w:r>
      <w:r w:rsidR="00097D86">
        <w:t>to quantify the fiscal impact of these trends</w:t>
      </w:r>
      <w:r>
        <w:t xml:space="preserve"> </w:t>
      </w:r>
      <w:r w:rsidR="00F650F6">
        <w:t xml:space="preserve">will be undertaken by the PBO </w:t>
      </w:r>
      <w:r w:rsidR="0097595C">
        <w:t xml:space="preserve">to inform the </w:t>
      </w:r>
      <w:r w:rsidR="003E30BB">
        <w:br/>
      </w:r>
      <w:r w:rsidR="0097595C">
        <w:t>2020</w:t>
      </w:r>
      <w:r w:rsidR="00B2780F">
        <w:t>–</w:t>
      </w:r>
      <w:r w:rsidR="0097595C">
        <w:t>21 medium</w:t>
      </w:r>
      <w:r w:rsidR="00B2780F">
        <w:t>-</w:t>
      </w:r>
      <w:r w:rsidR="0097595C">
        <w:t>term projections</w:t>
      </w:r>
      <w:r>
        <w:t>.</w:t>
      </w:r>
    </w:p>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9B16B4" w:rsidTr="0020645E">
        <w:tc>
          <w:tcPr>
            <w:tcW w:w="8789" w:type="dxa"/>
          </w:tcPr>
          <w:p w:rsidR="009B16B4" w:rsidRPr="00844FC4" w:rsidRDefault="009B16B4" w:rsidP="00E160BB">
            <w:pPr>
              <w:pStyle w:val="CaptionLeft"/>
              <w:rPr>
                <w:sz w:val="28"/>
                <w:szCs w:val="28"/>
              </w:rPr>
            </w:pPr>
            <w:r w:rsidRPr="00844FC4">
              <w:rPr>
                <w:sz w:val="28"/>
                <w:szCs w:val="28"/>
              </w:rPr>
              <w:lastRenderedPageBreak/>
              <w:t xml:space="preserve">Box </w:t>
            </w:r>
            <w:r w:rsidR="004824A0">
              <w:rPr>
                <w:sz w:val="28"/>
                <w:szCs w:val="28"/>
              </w:rPr>
              <w:t>4</w:t>
            </w:r>
            <w:r w:rsidRPr="00844FC4">
              <w:rPr>
                <w:sz w:val="28"/>
                <w:szCs w:val="28"/>
              </w:rPr>
              <w:t xml:space="preserve">: </w:t>
            </w:r>
            <w:r w:rsidR="00D942FE" w:rsidRPr="00956A2B">
              <w:rPr>
                <w:sz w:val="28"/>
                <w:szCs w:val="28"/>
              </w:rPr>
              <w:t>Fiscal risk and the tax cap</w:t>
            </w:r>
          </w:p>
          <w:p w:rsidR="00416A7C" w:rsidRDefault="00416A7C" w:rsidP="00F83154">
            <w:pPr>
              <w:spacing w:before="120"/>
            </w:pPr>
            <w:r>
              <w:t xml:space="preserve">In the absence of changes to tax </w:t>
            </w:r>
            <w:r w:rsidR="00A81CA9">
              <w:t>rates and thresholds</w:t>
            </w:r>
            <w:r>
              <w:t>, project</w:t>
            </w:r>
            <w:r w:rsidR="00A81CA9">
              <w:t>ed</w:t>
            </w:r>
            <w:r>
              <w:t xml:space="preserve"> personal income tax receipts increase </w:t>
            </w:r>
            <w:r w:rsidR="00DF44F3">
              <w:t xml:space="preserve">over time </w:t>
            </w:r>
            <w:r w:rsidR="00B2780F">
              <w:t xml:space="preserve">due </w:t>
            </w:r>
            <w:r>
              <w:t xml:space="preserve">to the impact of bracket creep.  In previous medium-term projections, the projected path for receipts has included the </w:t>
            </w:r>
            <w:r w:rsidR="003E30BB">
              <w:t>G</w:t>
            </w:r>
            <w:r>
              <w:t>overnment’s commitment to maintain tax receipts at or below a ‘cap’ of 23.9</w:t>
            </w:r>
            <w:r w:rsidR="00C519C7">
              <w:t> </w:t>
            </w:r>
            <w:r>
              <w:t>per</w:t>
            </w:r>
            <w:r w:rsidR="00C519C7">
              <w:t> </w:t>
            </w:r>
            <w:r>
              <w:t xml:space="preserve">cent of GDP.  The receipts projections have therefore incorporated future unspecified tax cuts.  </w:t>
            </w:r>
          </w:p>
          <w:p w:rsidR="00031075" w:rsidRDefault="00C519C7" w:rsidP="00F83154">
            <w:pPr>
              <w:spacing w:before="120"/>
            </w:pPr>
            <w:r>
              <w:t>The tax-to-GDP</w:t>
            </w:r>
            <w:r w:rsidR="00031075">
              <w:t xml:space="preserve"> cap has </w:t>
            </w:r>
            <w:r w:rsidR="0097595C">
              <w:t xml:space="preserve">historically </w:t>
            </w:r>
            <w:r w:rsidR="00031075">
              <w:t xml:space="preserve">applied well before the end of the medium term, giving ample fiscal space to absorb any downside risks to receipts.  The personal income tax cuts </w:t>
            </w:r>
            <w:r w:rsidR="00A81CA9">
              <w:t xml:space="preserve">announced in </w:t>
            </w:r>
            <w:r w:rsidR="00031075">
              <w:t xml:space="preserve">the </w:t>
            </w:r>
            <w:r w:rsidR="00A81CA9">
              <w:t xml:space="preserve">last </w:t>
            </w:r>
            <w:r w:rsidR="00031075">
              <w:t xml:space="preserve">two budgets have, however, </w:t>
            </w:r>
            <w:r w:rsidR="00A81CA9">
              <w:t xml:space="preserve">now specified (and legislated) </w:t>
            </w:r>
            <w:r w:rsidR="00031075">
              <w:t>the majority of the ‘unspecified tax cuts’ that were previously implicitly factored into the medium</w:t>
            </w:r>
            <w:r>
              <w:t xml:space="preserve"> </w:t>
            </w:r>
            <w:r w:rsidR="00031075">
              <w:t xml:space="preserve">term, with the result that the tax-to-GDP cap is now not projected to bind until 2029–30 (see Figure </w:t>
            </w:r>
            <w:r w:rsidR="00080176">
              <w:t>2</w:t>
            </w:r>
            <w:r w:rsidR="00031075">
              <w:t>–4</w:t>
            </w:r>
            <w:r w:rsidR="00A81CA9">
              <w:t xml:space="preserve"> below</w:t>
            </w:r>
            <w:r w:rsidR="00031075">
              <w:t>)</w:t>
            </w:r>
            <w:r w:rsidR="00031075" w:rsidRPr="003C6126">
              <w:t>.</w:t>
            </w:r>
          </w:p>
          <w:p w:rsidR="00285AA0" w:rsidRDefault="00285AA0" w:rsidP="00F83154">
            <w:pPr>
              <w:spacing w:before="120"/>
            </w:pPr>
          </w:p>
          <w:p w:rsidR="003A6ACA" w:rsidRDefault="003A6ACA" w:rsidP="003D2759">
            <w:pPr>
              <w:pStyle w:val="Caption"/>
            </w:pPr>
            <w:r w:rsidRPr="00AA00D8">
              <w:t xml:space="preserve">Figure </w:t>
            </w:r>
            <w:r w:rsidR="00080176">
              <w:t>2</w:t>
            </w:r>
            <w:r w:rsidRPr="00AA00D8">
              <w:t>–</w:t>
            </w:r>
            <w:r>
              <w:t>4</w:t>
            </w:r>
            <w:r w:rsidRPr="00AA00D8">
              <w:t xml:space="preserve">: </w:t>
            </w:r>
            <w:r w:rsidR="00DF44F3">
              <w:t>Tax</w:t>
            </w:r>
            <w:r w:rsidR="00DF44F3" w:rsidRPr="00AA00D8">
              <w:t xml:space="preserve"> </w:t>
            </w:r>
            <w:r w:rsidRPr="00AA00D8">
              <w:t>receipts</w:t>
            </w:r>
            <w:r w:rsidR="00A05A60">
              <w:t xml:space="preserve"> </w:t>
            </w:r>
            <w:r w:rsidR="00DF44F3">
              <w:t>- unconstrained</w:t>
            </w:r>
          </w:p>
          <w:p w:rsidR="003A6ACA" w:rsidRPr="00A71B05" w:rsidRDefault="00B10973" w:rsidP="00201BF0">
            <w:pPr>
              <w:pStyle w:val="CaptionDescriptor"/>
              <w:rPr>
                <w:vertAlign w:val="subscript"/>
              </w:rPr>
            </w:pPr>
            <w:r w:rsidRPr="00A71B05">
              <w:rPr>
                <w:noProof/>
                <w:vertAlign w:val="subscript"/>
                <w:lang w:eastAsia="en-AU"/>
              </w:rPr>
              <w:drawing>
                <wp:inline distT="0" distB="0" distL="0" distR="0" wp14:anchorId="571A2D95" wp14:editId="22539F52">
                  <wp:extent cx="4860000" cy="3104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4 - Unconstrained tax receipts (PBO projections)-01.pn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60000" cy="3104405"/>
                          </a:xfrm>
                          <a:prstGeom prst="rect">
                            <a:avLst/>
                          </a:prstGeom>
                          <a:ln>
                            <a:noFill/>
                          </a:ln>
                          <a:extLst>
                            <a:ext uri="{53640926-AAD7-44D8-BBD7-CCE9431645EC}">
                              <a14:shadowObscured xmlns:a14="http://schemas.microsoft.com/office/drawing/2010/main"/>
                            </a:ext>
                          </a:extLst>
                        </pic:spPr>
                      </pic:pic>
                    </a:graphicData>
                  </a:graphic>
                </wp:inline>
              </w:drawing>
            </w:r>
          </w:p>
          <w:p w:rsidR="0097595C" w:rsidRPr="00AE719E" w:rsidRDefault="003A6ACA" w:rsidP="00223691">
            <w:pPr>
              <w:pStyle w:val="SourceIndent"/>
              <w:tabs>
                <w:tab w:val="clear" w:pos="624"/>
              </w:tabs>
              <w:ind w:left="741"/>
            </w:pPr>
            <w:r w:rsidRPr="00FA3CD6">
              <w:rPr>
                <w:noProof/>
                <w:lang w:eastAsia="en-AU"/>
              </w:rPr>
              <w:t xml:space="preserve">Source: </w:t>
            </w:r>
            <w:r w:rsidR="00BB3D81">
              <w:rPr>
                <w:noProof/>
                <w:lang w:eastAsia="en-AU"/>
              </w:rPr>
              <w:t>PBO analysis</w:t>
            </w:r>
            <w:r w:rsidR="00351BBC">
              <w:rPr>
                <w:noProof/>
                <w:lang w:eastAsia="en-AU"/>
              </w:rPr>
              <w:t>.</w:t>
            </w:r>
          </w:p>
        </w:tc>
      </w:tr>
    </w:tbl>
    <w:p w:rsidR="00632FA5" w:rsidRDefault="00632FA5">
      <w:pPr>
        <w:rPr>
          <w:rFonts w:ascii="Calibri Light" w:hAnsi="Calibri Light"/>
          <w:bCs/>
          <w:color w:val="3D4D7D" w:themeColor="background2"/>
          <w:kern w:val="32"/>
          <w:sz w:val="52"/>
          <w:szCs w:val="32"/>
        </w:rPr>
      </w:pPr>
      <w:bookmarkStart w:id="54" w:name="_Toc16501193"/>
      <w:bookmarkStart w:id="55" w:name="_Toc523757314"/>
      <w:bookmarkEnd w:id="54"/>
      <w:r>
        <w:br w:type="page"/>
      </w:r>
    </w:p>
    <w:p w:rsidR="005E452A" w:rsidRDefault="009B16B4" w:rsidP="00F913C5">
      <w:pPr>
        <w:pStyle w:val="Heading1"/>
      </w:pPr>
      <w:bookmarkStart w:id="56" w:name="_Toc19801238"/>
      <w:r w:rsidRPr="009B16B4">
        <w:lastRenderedPageBreak/>
        <w:t>Projected spending</w:t>
      </w:r>
      <w:bookmarkEnd w:id="55"/>
      <w:bookmarkEnd w:id="56"/>
    </w:p>
    <w:p w:rsidR="00867ED9" w:rsidRDefault="00867ED9" w:rsidP="00867ED9">
      <w:pPr>
        <w:pStyle w:val="Heading2"/>
      </w:pPr>
      <w:bookmarkStart w:id="57" w:name="_Toc19801239"/>
      <w:r>
        <w:t>Total spending</w:t>
      </w:r>
      <w:bookmarkEnd w:id="57"/>
    </w:p>
    <w:p w:rsidR="00914021" w:rsidRDefault="00A81CA9" w:rsidP="0043221E">
      <w:pPr>
        <w:pStyle w:val="BodyText"/>
      </w:pPr>
      <w:r>
        <w:t>Total spending has reduced considerably since 2013–14 and, u</w:t>
      </w:r>
      <w:r w:rsidR="00B107BF">
        <w:t>nder current policy settings</w:t>
      </w:r>
      <w:r w:rsidR="00C519C7">
        <w:t>,</w:t>
      </w:r>
      <w:r w:rsidR="00F04B95">
        <w:t xml:space="preserve"> </w:t>
      </w:r>
      <w:r w:rsidR="00215F4B">
        <w:t>is</w:t>
      </w:r>
      <w:r w:rsidR="00F04B95">
        <w:t xml:space="preserve"> </w:t>
      </w:r>
      <w:r w:rsidR="00215F4B">
        <w:t xml:space="preserve">projected to continue </w:t>
      </w:r>
      <w:r w:rsidR="00F04B95">
        <w:t xml:space="preserve">to decline </w:t>
      </w:r>
      <w:r w:rsidR="00215F4B">
        <w:t>over the medium term</w:t>
      </w:r>
      <w:r w:rsidR="0049268F">
        <w:t>,</w:t>
      </w:r>
      <w:r w:rsidR="00AB164F">
        <w:t xml:space="preserve"> reaching 23</w:t>
      </w:r>
      <w:r w:rsidR="00F04B95">
        <w:t>.</w:t>
      </w:r>
      <w:r w:rsidR="00AB164F">
        <w:t>9</w:t>
      </w:r>
      <w:r w:rsidR="00C519C7">
        <w:t> </w:t>
      </w:r>
      <w:r w:rsidR="00F04B95">
        <w:t>per</w:t>
      </w:r>
      <w:r w:rsidR="00C519C7">
        <w:t> </w:t>
      </w:r>
      <w:r w:rsidR="00F04B95">
        <w:t>cent of GDP</w:t>
      </w:r>
      <w:r w:rsidR="0049268F">
        <w:t xml:space="preserve"> by 202</w:t>
      </w:r>
      <w:r w:rsidR="00AB164F">
        <w:t>9</w:t>
      </w:r>
      <w:r w:rsidR="007D470B">
        <w:t>–</w:t>
      </w:r>
      <w:r w:rsidR="00AB164F">
        <w:t>30</w:t>
      </w:r>
      <w:r w:rsidR="00F26FE1">
        <w:t>.</w:t>
      </w:r>
      <w:r w:rsidR="00914021">
        <w:t xml:space="preserve"> </w:t>
      </w:r>
    </w:p>
    <w:p w:rsidR="003A7A82" w:rsidRDefault="003766B8" w:rsidP="0043221E">
      <w:pPr>
        <w:pStyle w:val="BodyText"/>
      </w:pPr>
      <w:r>
        <w:t xml:space="preserve">A </w:t>
      </w:r>
      <w:r w:rsidRPr="00F26FE1">
        <w:t>key driver of</w:t>
      </w:r>
      <w:r>
        <w:t xml:space="preserve"> the decline in spending </w:t>
      </w:r>
      <w:r w:rsidR="00215F4B">
        <w:t xml:space="preserve">over the next decade </w:t>
      </w:r>
      <w:r w:rsidRPr="00F26FE1">
        <w:t xml:space="preserve">is </w:t>
      </w:r>
      <w:r w:rsidR="00C519C7">
        <w:t>p</w:t>
      </w:r>
      <w:r w:rsidRPr="00F26FE1">
        <w:t xml:space="preserve">ublic </w:t>
      </w:r>
      <w:r w:rsidR="00C519C7">
        <w:t>d</w:t>
      </w:r>
      <w:r w:rsidRPr="00F26FE1">
        <w:t xml:space="preserve">ebt </w:t>
      </w:r>
      <w:r w:rsidR="00C519C7">
        <w:t>i</w:t>
      </w:r>
      <w:r w:rsidRPr="00F26FE1">
        <w:t xml:space="preserve">nterest payments, which are projected to </w:t>
      </w:r>
      <w:r>
        <w:t>fall by 0.5</w:t>
      </w:r>
      <w:r w:rsidR="00C519C7">
        <w:t> </w:t>
      </w:r>
      <w:r>
        <w:t>per</w:t>
      </w:r>
      <w:r w:rsidR="00C519C7">
        <w:t> </w:t>
      </w:r>
      <w:r>
        <w:t xml:space="preserve">cent of GDP over the </w:t>
      </w:r>
      <w:r w:rsidR="00A100FC">
        <w:t>period 2018</w:t>
      </w:r>
      <w:r w:rsidR="007D470B">
        <w:t>–</w:t>
      </w:r>
      <w:r w:rsidR="00A100FC">
        <w:t>19 to 2029</w:t>
      </w:r>
      <w:r w:rsidR="007D470B">
        <w:t>–</w:t>
      </w:r>
      <w:r w:rsidR="00A100FC">
        <w:t>30</w:t>
      </w:r>
      <w:r>
        <w:t xml:space="preserve"> </w:t>
      </w:r>
      <w:r w:rsidR="00215F4B">
        <w:t>due to</w:t>
      </w:r>
      <w:r>
        <w:t xml:space="preserve"> the projected improvement in the budget balance</w:t>
      </w:r>
      <w:r w:rsidR="00215F4B">
        <w:t xml:space="preserve"> </w:t>
      </w:r>
      <w:r w:rsidR="00C845CF">
        <w:t>and a reduction in government debt.</w:t>
      </w:r>
      <w:r w:rsidR="00914021">
        <w:t xml:space="preserve">  </w:t>
      </w:r>
      <w:r w:rsidR="000C4EC9">
        <w:t xml:space="preserve">All other payments combined are projected to fall by </w:t>
      </w:r>
      <w:r w:rsidR="000C4EC9" w:rsidRPr="00F26FE1">
        <w:t>0.5</w:t>
      </w:r>
      <w:r w:rsidR="000C4EC9">
        <w:t> </w:t>
      </w:r>
      <w:r w:rsidR="000C4EC9" w:rsidRPr="00F26FE1">
        <w:t>per</w:t>
      </w:r>
      <w:r w:rsidR="000C4EC9">
        <w:t> </w:t>
      </w:r>
      <w:r w:rsidR="000C4EC9" w:rsidRPr="00F26FE1">
        <w:t>cent of GDP</w:t>
      </w:r>
      <w:r w:rsidR="000C4EC9">
        <w:t xml:space="preserve"> over the same period (Figure 3–1)</w:t>
      </w:r>
      <w:r w:rsidR="000C4EC9" w:rsidRPr="00A12DA7">
        <w:t>.</w:t>
      </w:r>
      <w:r w:rsidR="000C4EC9">
        <w:t xml:space="preserve">  </w:t>
      </w:r>
    </w:p>
    <w:p w:rsidR="00B17D95" w:rsidRDefault="003A7A82" w:rsidP="0043221E">
      <w:pPr>
        <w:pStyle w:val="BodyText"/>
      </w:pPr>
      <w:r>
        <w:t>Compared to the PBO’s previous projections, total spending has been revised downward by around 0.</w:t>
      </w:r>
      <w:r w:rsidR="002124EF">
        <w:t>4</w:t>
      </w:r>
      <w:r>
        <w:t xml:space="preserve"> per cent of GDP each year.  Around </w:t>
      </w:r>
      <w:r w:rsidR="002124EF">
        <w:t>a quarter</w:t>
      </w:r>
      <w:r>
        <w:t xml:space="preserve"> of the revision reflects lower public debt interest payments, </w:t>
      </w:r>
      <w:r w:rsidR="003F4BA5">
        <w:t xml:space="preserve">largely </w:t>
      </w:r>
      <w:r>
        <w:t xml:space="preserve">owing to a reduction in </w:t>
      </w:r>
      <w:r w:rsidR="00B44674">
        <w:t xml:space="preserve">the </w:t>
      </w:r>
      <w:r w:rsidR="00215F4B">
        <w:t>assum</w:t>
      </w:r>
      <w:r w:rsidR="00B44674">
        <w:t>ption for</w:t>
      </w:r>
      <w:r w:rsidR="00215F4B">
        <w:t xml:space="preserve"> </w:t>
      </w:r>
      <w:r w:rsidR="00B17D95">
        <w:t>long</w:t>
      </w:r>
      <w:r w:rsidR="0014664C">
        <w:noBreakHyphen/>
      </w:r>
      <w:r w:rsidR="00B17D95">
        <w:t>term government bond yield</w:t>
      </w:r>
      <w:r w:rsidR="00215F4B">
        <w:t>s</w:t>
      </w:r>
      <w:r w:rsidR="00B17D95">
        <w:t xml:space="preserve"> </w:t>
      </w:r>
      <w:r w:rsidR="00215F4B">
        <w:t>from</w:t>
      </w:r>
      <w:r w:rsidR="00B17D95">
        <w:t xml:space="preserve"> 2.5</w:t>
      </w:r>
      <w:r>
        <w:t> </w:t>
      </w:r>
      <w:r w:rsidR="00B17D95">
        <w:t>per</w:t>
      </w:r>
      <w:r>
        <w:t> </w:t>
      </w:r>
      <w:r w:rsidR="007978C4">
        <w:t xml:space="preserve">cent </w:t>
      </w:r>
      <w:r w:rsidR="00285AA0">
        <w:t xml:space="preserve">in </w:t>
      </w:r>
      <w:r w:rsidR="00215F4B">
        <w:t>last year’s report to 1.9 per cent for this report</w:t>
      </w:r>
      <w:r>
        <w:t>.</w:t>
      </w:r>
    </w:p>
    <w:p w:rsidR="00285AA0" w:rsidRDefault="00285AA0" w:rsidP="003766B8">
      <w:pPr>
        <w:pStyle w:val="BodyText"/>
      </w:pPr>
    </w:p>
    <w:p w:rsidR="00907536" w:rsidRDefault="00907536" w:rsidP="003D2759">
      <w:pPr>
        <w:pStyle w:val="Caption"/>
      </w:pPr>
      <w:bookmarkStart w:id="58" w:name="_Ref520987330"/>
      <w:r w:rsidRPr="00A12DA7">
        <w:t xml:space="preserve">Figure </w:t>
      </w:r>
      <w:r w:rsidR="00080176">
        <w:t>3</w:t>
      </w:r>
      <w:r w:rsidR="007D470B">
        <w:t>–</w:t>
      </w:r>
      <w:fldSimple w:instr=" SEQ Figure \* ARABIC \s 1 ">
        <w:r w:rsidR="00CD4258">
          <w:rPr>
            <w:noProof/>
          </w:rPr>
          <w:t>1</w:t>
        </w:r>
      </w:fldSimple>
      <w:bookmarkEnd w:id="58"/>
      <w:r w:rsidRPr="00A12DA7">
        <w:t xml:space="preserve">: </w:t>
      </w:r>
      <w:r>
        <w:t>Total spending</w:t>
      </w:r>
    </w:p>
    <w:p w:rsidR="000A314E" w:rsidRPr="0044217D" w:rsidRDefault="00EC5D31" w:rsidP="00FA3CD6">
      <w:pPr>
        <w:pStyle w:val="CaptionDescriptor"/>
      </w:pPr>
      <w:r>
        <w:rPr>
          <w:noProof/>
          <w:lang w:eastAsia="en-AU"/>
        </w:rPr>
        <w:drawing>
          <wp:inline distT="0" distB="0" distL="0" distR="0" wp14:anchorId="7D13DFBB" wp14:editId="7E7B0C0E">
            <wp:extent cx="4860000" cy="2646964"/>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4–1- Total spending-01.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860000" cy="2646964"/>
                    </a:xfrm>
                    <a:prstGeom prst="rect">
                      <a:avLst/>
                    </a:prstGeom>
                    <a:ln>
                      <a:noFill/>
                    </a:ln>
                    <a:extLst>
                      <a:ext uri="{53640926-AAD7-44D8-BBD7-CCE9431645EC}">
                        <a14:shadowObscured xmlns:a14="http://schemas.microsoft.com/office/drawing/2010/main"/>
                      </a:ext>
                    </a:extLst>
                  </pic:spPr>
                </pic:pic>
              </a:graphicData>
            </a:graphic>
          </wp:inline>
        </w:drawing>
      </w:r>
    </w:p>
    <w:p w:rsidR="00215F4B" w:rsidRDefault="00215F4B" w:rsidP="00A11F68">
      <w:pPr>
        <w:pStyle w:val="SourceIndent"/>
        <w:tabs>
          <w:tab w:val="clear" w:pos="624"/>
        </w:tabs>
        <w:ind w:left="1134" w:right="991"/>
        <w:contextualSpacing/>
        <w:rPr>
          <w:noProof/>
          <w:lang w:eastAsia="en-AU"/>
        </w:rPr>
      </w:pPr>
      <w:bookmarkStart w:id="59" w:name="PasteHere"/>
      <w:bookmarkStart w:id="60" w:name="PasteEndHere"/>
      <w:bookmarkEnd w:id="59"/>
      <w:bookmarkEnd w:id="60"/>
      <w:r>
        <w:t>Note: The dot represents the 2018</w:t>
      </w:r>
      <w:r w:rsidR="00285AA0" w:rsidRPr="00A117C9">
        <w:rPr>
          <w:rFonts w:cs="Times New Roman (Body CS)"/>
        </w:rPr>
        <w:t>–</w:t>
      </w:r>
      <w:r>
        <w:t xml:space="preserve">19 </w:t>
      </w:r>
      <w:r w:rsidR="00285AA0">
        <w:t>f</w:t>
      </w:r>
      <w:r>
        <w:t xml:space="preserve">inal </w:t>
      </w:r>
      <w:r w:rsidR="00285AA0">
        <w:t>b</w:t>
      </w:r>
      <w:r>
        <w:t xml:space="preserve">udget </w:t>
      </w:r>
      <w:proofErr w:type="gramStart"/>
      <w:r w:rsidR="00285AA0">
        <w:t>o</w:t>
      </w:r>
      <w:r>
        <w:t>utcome</w:t>
      </w:r>
      <w:proofErr w:type="gramEnd"/>
      <w:r>
        <w:t xml:space="preserve"> for total payments of 24.6</w:t>
      </w:r>
      <w:r w:rsidR="003E717E">
        <w:t> </w:t>
      </w:r>
      <w:r>
        <w:t>per</w:t>
      </w:r>
      <w:r w:rsidR="003E717E">
        <w:t> </w:t>
      </w:r>
      <w:r>
        <w:t>cent of GDP</w:t>
      </w:r>
      <w:r>
        <w:rPr>
          <w:noProof/>
          <w:lang w:eastAsia="en-AU"/>
        </w:rPr>
        <w:t>.</w:t>
      </w:r>
    </w:p>
    <w:p w:rsidR="00EC5D31" w:rsidRDefault="00907536" w:rsidP="00A11F68">
      <w:pPr>
        <w:pStyle w:val="SourceIndent"/>
        <w:tabs>
          <w:tab w:val="clear" w:pos="624"/>
        </w:tabs>
        <w:ind w:left="1134" w:right="991"/>
        <w:contextualSpacing/>
        <w:rPr>
          <w:noProof/>
          <w:lang w:eastAsia="en-AU"/>
        </w:rPr>
      </w:pPr>
      <w:r>
        <w:rPr>
          <w:noProof/>
          <w:lang w:eastAsia="en-AU"/>
        </w:rPr>
        <w:t xml:space="preserve">Source: </w:t>
      </w:r>
      <w:r w:rsidRPr="007A237E">
        <w:rPr>
          <w:noProof/>
          <w:lang w:eastAsia="en-AU"/>
        </w:rPr>
        <w:t>201</w:t>
      </w:r>
      <w:r w:rsidR="00AC0FB2">
        <w:rPr>
          <w:noProof/>
          <w:lang w:eastAsia="en-AU"/>
        </w:rPr>
        <w:t>9</w:t>
      </w:r>
      <w:r w:rsidR="007D470B">
        <w:rPr>
          <w:noProof/>
          <w:lang w:eastAsia="en-AU"/>
        </w:rPr>
        <w:t>–</w:t>
      </w:r>
      <w:r w:rsidR="00AC0FB2">
        <w:rPr>
          <w:noProof/>
          <w:lang w:eastAsia="en-AU"/>
        </w:rPr>
        <w:t>20</w:t>
      </w:r>
      <w:r w:rsidRPr="007A237E">
        <w:rPr>
          <w:noProof/>
          <w:lang w:eastAsia="en-AU"/>
        </w:rPr>
        <w:t xml:space="preserve"> Budget</w:t>
      </w:r>
      <w:r w:rsidR="00A11F68">
        <w:rPr>
          <w:noProof/>
          <w:lang w:eastAsia="en-AU"/>
        </w:rPr>
        <w:t>,</w:t>
      </w:r>
      <w:r w:rsidR="00A11F68" w:rsidRPr="00A11F68">
        <w:t xml:space="preserve"> </w:t>
      </w:r>
      <w:r w:rsidR="00A11F68">
        <w:t>2018</w:t>
      </w:r>
      <w:r w:rsidR="00A11F68">
        <w:rPr>
          <w:spacing w:val="-3"/>
        </w:rPr>
        <w:t>–19 Final Budget Outcome</w:t>
      </w:r>
      <w:r w:rsidRPr="007A237E">
        <w:rPr>
          <w:noProof/>
          <w:lang w:eastAsia="en-AU"/>
        </w:rPr>
        <w:t xml:space="preserve"> and PBO analysis.</w:t>
      </w:r>
    </w:p>
    <w:p w:rsidR="00EC5D31" w:rsidRDefault="003A6ACA" w:rsidP="003D2759">
      <w:pPr>
        <w:pStyle w:val="BodyText"/>
      </w:pPr>
      <w:r w:rsidRPr="00986DB5">
        <w:t>The decline in spending as</w:t>
      </w:r>
      <w:r>
        <w:t xml:space="preserve"> a </w:t>
      </w:r>
      <w:r w:rsidR="00F4544E">
        <w:t>proportion</w:t>
      </w:r>
      <w:r>
        <w:t xml:space="preserve"> of GDP over the next decade also reflects the ongoing impact of policy changes and spending restraint</w:t>
      </w:r>
      <w:r w:rsidR="00EC6380">
        <w:t>s</w:t>
      </w:r>
      <w:r>
        <w:t xml:space="preserve"> that have seen growth across a number of key payments slow significantly over the past six </w:t>
      </w:r>
      <w:r w:rsidRPr="00785571">
        <w:t>years</w:t>
      </w:r>
      <w:r>
        <w:t xml:space="preserve">.  </w:t>
      </w:r>
      <w:r w:rsidRPr="00F26FE1">
        <w:t xml:space="preserve">These </w:t>
      </w:r>
      <w:r w:rsidR="00EC6380">
        <w:t xml:space="preserve">payments </w:t>
      </w:r>
      <w:r w:rsidRPr="00F26FE1">
        <w:t xml:space="preserve">include the </w:t>
      </w:r>
      <w:r w:rsidR="00285AA0">
        <w:t>a</w:t>
      </w:r>
      <w:r w:rsidRPr="00F26FE1">
        <w:t xml:space="preserve">ge </w:t>
      </w:r>
      <w:r w:rsidR="00285AA0">
        <w:t>p</w:t>
      </w:r>
      <w:r w:rsidRPr="00F26FE1">
        <w:t xml:space="preserve">ension, Medicare, </w:t>
      </w:r>
      <w:r w:rsidR="004526FB">
        <w:t>f</w:t>
      </w:r>
      <w:r w:rsidR="004526FB" w:rsidRPr="00F26FE1">
        <w:t xml:space="preserve">amily </w:t>
      </w:r>
      <w:r w:rsidR="004526FB">
        <w:t>t</w:t>
      </w:r>
      <w:r w:rsidR="004526FB" w:rsidRPr="00F26FE1">
        <w:t xml:space="preserve">ax </w:t>
      </w:r>
      <w:r w:rsidR="004526FB">
        <w:t>b</w:t>
      </w:r>
      <w:r w:rsidR="004526FB" w:rsidRPr="00F26FE1">
        <w:t>enefit</w:t>
      </w:r>
      <w:r w:rsidRPr="00F26FE1">
        <w:t xml:space="preserve">, </w:t>
      </w:r>
      <w:r w:rsidR="00285AA0">
        <w:t>d</w:t>
      </w:r>
      <w:r w:rsidRPr="00F26FE1">
        <w:t xml:space="preserve">isability </w:t>
      </w:r>
      <w:r w:rsidR="00285AA0">
        <w:t>s</w:t>
      </w:r>
      <w:r w:rsidRPr="00F26FE1">
        <w:t xml:space="preserve">upport </w:t>
      </w:r>
      <w:r w:rsidR="00285AA0">
        <w:t>p</w:t>
      </w:r>
      <w:r w:rsidRPr="00F26FE1">
        <w:t xml:space="preserve">ension, </w:t>
      </w:r>
      <w:r w:rsidR="00285AA0">
        <w:t>p</w:t>
      </w:r>
      <w:r w:rsidR="00F4544E" w:rsidRPr="00F26FE1">
        <w:t xml:space="preserve">harmaceutical </w:t>
      </w:r>
      <w:r w:rsidR="00285AA0">
        <w:t>b</w:t>
      </w:r>
      <w:r w:rsidR="00F4544E" w:rsidRPr="00F26FE1">
        <w:t>enefits</w:t>
      </w:r>
      <w:r w:rsidR="00EC6380">
        <w:t>,</w:t>
      </w:r>
      <w:r w:rsidR="00F4544E" w:rsidRPr="00F26FE1">
        <w:t xml:space="preserve"> </w:t>
      </w:r>
      <w:r w:rsidRPr="00F26FE1">
        <w:t xml:space="preserve">and </w:t>
      </w:r>
      <w:r w:rsidR="00285AA0">
        <w:t>c</w:t>
      </w:r>
      <w:r w:rsidR="00F4544E" w:rsidRPr="00F26FE1">
        <w:t xml:space="preserve">arer </w:t>
      </w:r>
      <w:r w:rsidR="00285AA0">
        <w:t>i</w:t>
      </w:r>
      <w:r w:rsidRPr="00F26FE1">
        <w:t xml:space="preserve">ncome </w:t>
      </w:r>
      <w:r w:rsidR="00285AA0">
        <w:t>s</w:t>
      </w:r>
      <w:r w:rsidR="00285AA0" w:rsidRPr="00F26FE1">
        <w:t>upport</w:t>
      </w:r>
      <w:r w:rsidRPr="00F26FE1">
        <w:t>.</w:t>
      </w:r>
      <w:r>
        <w:t xml:space="preserve">  T</w:t>
      </w:r>
      <w:r w:rsidRPr="00785571">
        <w:t>he</w:t>
      </w:r>
      <w:r>
        <w:t xml:space="preserve"> decline occurs notwithstanding the increase in spending on the NDIS as it approaches maturity.</w:t>
      </w:r>
    </w:p>
    <w:p w:rsidR="000F378C" w:rsidRDefault="000F378C" w:rsidP="000F378C">
      <w:pPr>
        <w:pStyle w:val="BodyText"/>
      </w:pPr>
      <w:r>
        <w:t xml:space="preserve">While government spending is projected to decline as a proportion of GDP, </w:t>
      </w:r>
      <w:r w:rsidR="00215F4B">
        <w:t xml:space="preserve">real </w:t>
      </w:r>
      <w:r>
        <w:t xml:space="preserve">government spending </w:t>
      </w:r>
      <w:r w:rsidR="00215F4B">
        <w:t xml:space="preserve">per capita (which adjusts for inflation and population growth) </w:t>
      </w:r>
      <w:r>
        <w:t xml:space="preserve">is projected to grow over the next decade (see Figure </w:t>
      </w:r>
      <w:r w:rsidR="00080176">
        <w:t>3</w:t>
      </w:r>
      <w:r>
        <w:t xml:space="preserve">–2).  Over </w:t>
      </w:r>
      <w:r w:rsidRPr="00785571">
        <w:t>the forward estimates period</w:t>
      </w:r>
      <w:r w:rsidR="00587614">
        <w:t>,</w:t>
      </w:r>
      <w:r w:rsidRPr="00785571">
        <w:t xml:space="preserve"> the Government projects that real </w:t>
      </w:r>
      <w:r w:rsidR="00EC6380" w:rsidRPr="00785571">
        <w:t>per</w:t>
      </w:r>
      <w:r w:rsidR="00EC6380">
        <w:t>-</w:t>
      </w:r>
      <w:r w:rsidRPr="00785571">
        <w:t>capita spending will increase by 0.3</w:t>
      </w:r>
      <w:r w:rsidR="00EC6380">
        <w:t> </w:t>
      </w:r>
      <w:r w:rsidRPr="00785571">
        <w:t>per</w:t>
      </w:r>
      <w:r w:rsidR="00EC6380">
        <w:t> </w:t>
      </w:r>
      <w:r w:rsidRPr="00785571">
        <w:t>cent per</w:t>
      </w:r>
      <w:r w:rsidR="00EC6380">
        <w:t> </w:t>
      </w:r>
      <w:r w:rsidRPr="00785571">
        <w:t xml:space="preserve">year.  Beyond the forward estimates </w:t>
      </w:r>
      <w:r>
        <w:t xml:space="preserve">period, </w:t>
      </w:r>
      <w:r w:rsidRPr="00785571">
        <w:t>the PBO projects that it will increase by 0.9</w:t>
      </w:r>
      <w:r w:rsidR="00EC6380">
        <w:t> </w:t>
      </w:r>
      <w:r w:rsidRPr="00785571">
        <w:t>per</w:t>
      </w:r>
      <w:r w:rsidR="00EC6380">
        <w:t> </w:t>
      </w:r>
      <w:r w:rsidRPr="00785571">
        <w:t>cent</w:t>
      </w:r>
      <w:r>
        <w:t xml:space="preserve"> per</w:t>
      </w:r>
      <w:r w:rsidR="00EC6380">
        <w:t> </w:t>
      </w:r>
      <w:r>
        <w:t>year.  This is a reversal of the negative growth trend over the period 2012–13 to 2017–18, but</w:t>
      </w:r>
      <w:r w:rsidRPr="00F26FE1">
        <w:t xml:space="preserve"> real government spending per capita is not </w:t>
      </w:r>
      <w:r>
        <w:t>projected</w:t>
      </w:r>
      <w:r w:rsidRPr="00F26FE1">
        <w:t xml:space="preserve"> to return to its pre-</w:t>
      </w:r>
      <w:r w:rsidR="00285AA0">
        <w:t>global financial crisis</w:t>
      </w:r>
      <w:r w:rsidRPr="00F26FE1">
        <w:t xml:space="preserve"> growth, or its long</w:t>
      </w:r>
      <w:r w:rsidR="00285AA0">
        <w:t>-</w:t>
      </w:r>
      <w:r w:rsidR="00215F4B">
        <w:t>run</w:t>
      </w:r>
      <w:r w:rsidRPr="00F26FE1">
        <w:t xml:space="preserve"> average</w:t>
      </w:r>
      <w:r w:rsidR="004526FB">
        <w:t xml:space="preserve"> growth</w:t>
      </w:r>
      <w:r w:rsidRPr="00F26FE1">
        <w:t xml:space="preserve"> of 1.</w:t>
      </w:r>
      <w:r>
        <w:t>8</w:t>
      </w:r>
      <w:r w:rsidR="00EC6380">
        <w:t> </w:t>
      </w:r>
      <w:r w:rsidRPr="00F26FE1">
        <w:t>per</w:t>
      </w:r>
      <w:r w:rsidR="00EC6380">
        <w:t> </w:t>
      </w:r>
      <w:r w:rsidRPr="00F26FE1">
        <w:t>cent.</w:t>
      </w:r>
    </w:p>
    <w:p w:rsidR="000F378C" w:rsidRPr="00CF5B71" w:rsidRDefault="000F378C" w:rsidP="003D2759">
      <w:pPr>
        <w:pStyle w:val="Caption"/>
        <w:spacing w:before="120" w:after="0"/>
        <w:jc w:val="left"/>
      </w:pPr>
    </w:p>
    <w:p w:rsidR="000F378C" w:rsidRDefault="000F378C" w:rsidP="000F378C">
      <w:pPr>
        <w:pStyle w:val="Caption"/>
      </w:pPr>
      <w:r w:rsidRPr="008D47DB">
        <w:t xml:space="preserve">Figure </w:t>
      </w:r>
      <w:r w:rsidR="00080176" w:rsidRPr="008D47DB">
        <w:t>3</w:t>
      </w:r>
      <w:r w:rsidRPr="008D47DB">
        <w:t>–2:</w:t>
      </w:r>
      <w:r w:rsidRPr="00F26FE1">
        <w:t xml:space="preserve"> </w:t>
      </w:r>
      <w:r>
        <w:t>Average annual growth in real spending per capita</w:t>
      </w:r>
    </w:p>
    <w:p w:rsidR="000F378C" w:rsidRDefault="00C4181F" w:rsidP="000F378C">
      <w:pPr>
        <w:pStyle w:val="CaptionDescriptor"/>
      </w:pPr>
      <w:r>
        <w:rPr>
          <w:noProof/>
          <w:lang w:eastAsia="en-AU"/>
        </w:rPr>
        <w:drawing>
          <wp:inline distT="0" distB="0" distL="0" distR="0" wp14:anchorId="168C0C7B" wp14:editId="15C77758">
            <wp:extent cx="4860000" cy="308946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860000" cy="3089469"/>
                    </a:xfrm>
                    <a:prstGeom prst="rect">
                      <a:avLst/>
                    </a:prstGeom>
                    <a:noFill/>
                  </pic:spPr>
                </pic:pic>
              </a:graphicData>
            </a:graphic>
          </wp:inline>
        </w:drawing>
      </w:r>
    </w:p>
    <w:p w:rsidR="000F378C" w:rsidRDefault="000F378C" w:rsidP="00AE719E">
      <w:pPr>
        <w:pStyle w:val="SourceIndent"/>
        <w:tabs>
          <w:tab w:val="clear" w:pos="624"/>
        </w:tabs>
        <w:ind w:left="1134"/>
      </w:pPr>
      <w:r>
        <w:t xml:space="preserve">Source: </w:t>
      </w:r>
      <w:r w:rsidRPr="007A237E">
        <w:rPr>
          <w:noProof/>
          <w:lang w:eastAsia="en-AU"/>
        </w:rPr>
        <w:t>201</w:t>
      </w:r>
      <w:r>
        <w:rPr>
          <w:noProof/>
          <w:lang w:eastAsia="en-AU"/>
        </w:rPr>
        <w:t>9–20</w:t>
      </w:r>
      <w:r w:rsidRPr="007A237E">
        <w:rPr>
          <w:noProof/>
          <w:lang w:eastAsia="en-AU"/>
        </w:rPr>
        <w:t xml:space="preserve"> Budget and PBO analysis.</w:t>
      </w:r>
    </w:p>
    <w:p w:rsidR="009D7A93" w:rsidRDefault="009D7A93" w:rsidP="00321DD0">
      <w:pPr>
        <w:pStyle w:val="Heading2"/>
      </w:pPr>
      <w:bookmarkStart w:id="61" w:name="_Toc19801240"/>
      <w:r>
        <w:t>Spending growth by program</w:t>
      </w:r>
      <w:bookmarkEnd w:id="61"/>
    </w:p>
    <w:p w:rsidR="00215F4B" w:rsidRDefault="00F50FF8" w:rsidP="008805F2">
      <w:pPr>
        <w:pStyle w:val="BodyText"/>
      </w:pPr>
      <w:r>
        <w:t xml:space="preserve">The PBO’s spending projections are based on individual analysis of 23 major program areas.  </w:t>
      </w:r>
      <w:r w:rsidR="008805F2" w:rsidRPr="00A117C9">
        <w:t xml:space="preserve">Projections of spending </w:t>
      </w:r>
      <w:r w:rsidR="005524D2" w:rsidRPr="00A117C9">
        <w:t xml:space="preserve">generally </w:t>
      </w:r>
      <w:r w:rsidR="008805F2" w:rsidRPr="00A117C9">
        <w:t xml:space="preserve">assume </w:t>
      </w:r>
      <w:r w:rsidR="00A11F68">
        <w:t>policy settings and arrang</w:t>
      </w:r>
      <w:r w:rsidR="004526FB">
        <w:t>e</w:t>
      </w:r>
      <w:r w:rsidR="00A11F68">
        <w:t>ments as</w:t>
      </w:r>
      <w:r w:rsidR="008805F2" w:rsidRPr="00A117C9">
        <w:t xml:space="preserve"> contained in the budget estimates</w:t>
      </w:r>
      <w:r w:rsidR="00A11F68">
        <w:t>.</w:t>
      </w:r>
      <w:r>
        <w:t xml:space="preserve"> </w:t>
      </w:r>
      <w:r w:rsidR="00A11F68">
        <w:t xml:space="preserve"> Spending </w:t>
      </w:r>
      <w:r>
        <w:t xml:space="preserve">on new pharmaceutical benefits listings is assumed to be in line with historical trends in </w:t>
      </w:r>
      <w:r w:rsidR="00FD46CA" w:rsidRPr="00A117C9">
        <w:t>Pharmaceutical Benefits Advisory Committee</w:t>
      </w:r>
      <w:r>
        <w:t xml:space="preserve"> approvals</w:t>
      </w:r>
      <w:r w:rsidR="00FD46CA" w:rsidRPr="00A117C9">
        <w:t xml:space="preserve">.  </w:t>
      </w:r>
      <w:r w:rsidR="00215F4B">
        <w:t>The profile of infrastructure spending in the medium term is projected to return to pre-GFC levels as a share of GDP.</w:t>
      </w:r>
    </w:p>
    <w:p w:rsidR="008805F2" w:rsidRPr="00A117C9" w:rsidRDefault="00974F67" w:rsidP="008805F2">
      <w:pPr>
        <w:pStyle w:val="BodyText"/>
      </w:pPr>
      <w:r w:rsidRPr="00A117C9">
        <w:t xml:space="preserve">For </w:t>
      </w:r>
      <w:r w:rsidR="00A11F68">
        <w:t xml:space="preserve">remaining </w:t>
      </w:r>
      <w:r w:rsidRPr="00A117C9">
        <w:t>spending</w:t>
      </w:r>
      <w:r w:rsidR="00D65AC1">
        <w:t xml:space="preserve"> (</w:t>
      </w:r>
      <w:r w:rsidR="00F50FF8">
        <w:t xml:space="preserve">outside </w:t>
      </w:r>
      <w:r w:rsidR="00D65AC1">
        <w:t xml:space="preserve">of </w:t>
      </w:r>
      <w:r w:rsidR="00F50FF8">
        <w:t xml:space="preserve">the </w:t>
      </w:r>
      <w:r w:rsidR="00987285">
        <w:t xml:space="preserve">23 major </w:t>
      </w:r>
      <w:r w:rsidR="00F50FF8">
        <w:t>programs</w:t>
      </w:r>
      <w:r w:rsidR="00D65AC1">
        <w:t>),</w:t>
      </w:r>
      <w:r w:rsidR="00327C54" w:rsidRPr="00A117C9">
        <w:t xml:space="preserve"> </w:t>
      </w:r>
      <w:r w:rsidR="00B41BAA" w:rsidRPr="00A117C9">
        <w:t>amounting to around 18</w:t>
      </w:r>
      <w:r w:rsidR="004940B6" w:rsidRPr="00A117C9">
        <w:t> </w:t>
      </w:r>
      <w:r w:rsidR="00B41BAA" w:rsidRPr="00A117C9">
        <w:t>per</w:t>
      </w:r>
      <w:r w:rsidR="004940B6" w:rsidRPr="00A117C9">
        <w:t> </w:t>
      </w:r>
      <w:r w:rsidR="00B41BAA" w:rsidRPr="00A117C9">
        <w:t xml:space="preserve">cent of total spending, </w:t>
      </w:r>
      <w:r w:rsidR="00AF5541" w:rsidRPr="00A117C9">
        <w:t xml:space="preserve">the fiscal implications of current policies are </w:t>
      </w:r>
      <w:r w:rsidR="00215F4B">
        <w:t xml:space="preserve">less </w:t>
      </w:r>
      <w:r w:rsidR="00AF5541" w:rsidRPr="00A117C9">
        <w:t>clear over the medium term</w:t>
      </w:r>
      <w:r w:rsidR="00597BD5" w:rsidRPr="00A117C9">
        <w:t xml:space="preserve">.  </w:t>
      </w:r>
      <w:r w:rsidR="008805F2" w:rsidRPr="00BF3AC6">
        <w:t>The approach used by the PBO is to projec</w:t>
      </w:r>
      <w:r w:rsidR="008805F2" w:rsidRPr="00AD7993">
        <w:t xml:space="preserve">t </w:t>
      </w:r>
      <w:r w:rsidR="008810D6">
        <w:t xml:space="preserve">spending in </w:t>
      </w:r>
      <w:r w:rsidR="008805F2" w:rsidRPr="00AD7993">
        <w:t>these areas i</w:t>
      </w:r>
      <w:r w:rsidR="008805F2" w:rsidRPr="00BF3AC6">
        <w:t>n aggregate</w:t>
      </w:r>
      <w:r w:rsidR="00DC424C" w:rsidRPr="00BF3AC6">
        <w:t xml:space="preserve">, </w:t>
      </w:r>
      <w:r w:rsidR="008805F2" w:rsidRPr="00BF3AC6">
        <w:t xml:space="preserve">and assume that continuing government policy </w:t>
      </w:r>
      <w:r w:rsidR="00F50FF8" w:rsidRPr="00BF3AC6">
        <w:t>will</w:t>
      </w:r>
      <w:r w:rsidR="008805F2" w:rsidRPr="00BF3AC6">
        <w:t xml:space="preserve"> </w:t>
      </w:r>
      <w:r w:rsidR="00215F4B" w:rsidRPr="00BF3AC6">
        <w:t xml:space="preserve">maintain </w:t>
      </w:r>
      <w:r w:rsidR="008810D6">
        <w:t xml:space="preserve">this </w:t>
      </w:r>
      <w:r w:rsidR="00F50FF8" w:rsidRPr="00BF3AC6">
        <w:t xml:space="preserve">spending </w:t>
      </w:r>
      <w:r w:rsidR="008805F2" w:rsidRPr="00BF3AC6">
        <w:t>as a proportion of GDP</w:t>
      </w:r>
      <w:r w:rsidR="00215F4B" w:rsidRPr="00BF3AC6">
        <w:t>, noting that</w:t>
      </w:r>
      <w:r w:rsidR="00215F4B">
        <w:t xml:space="preserve"> specific elements may change</w:t>
      </w:r>
      <w:r w:rsidR="008805F2" w:rsidRPr="00A117C9">
        <w:t>.  Appendix</w:t>
      </w:r>
      <w:r w:rsidR="004940B6" w:rsidRPr="00A117C9">
        <w:t> </w:t>
      </w:r>
      <w:r w:rsidR="008805F2" w:rsidRPr="00A117C9">
        <w:t xml:space="preserve">B provides further detail on the approaches taken </w:t>
      </w:r>
      <w:r w:rsidR="004526FB">
        <w:t>to generate</w:t>
      </w:r>
      <w:r w:rsidR="004526FB" w:rsidRPr="00A117C9">
        <w:t xml:space="preserve"> </w:t>
      </w:r>
      <w:r w:rsidR="008805F2" w:rsidRPr="00A117C9">
        <w:t xml:space="preserve">the projections for each </w:t>
      </w:r>
      <w:r w:rsidR="00F50FF8">
        <w:t xml:space="preserve">major </w:t>
      </w:r>
      <w:r w:rsidR="008805F2" w:rsidRPr="00A117C9">
        <w:t>program.</w:t>
      </w:r>
    </w:p>
    <w:p w:rsidR="009D7A93" w:rsidRPr="004E6A22" w:rsidRDefault="00C257A3" w:rsidP="009D7A93">
      <w:pPr>
        <w:pStyle w:val="BodyText"/>
      </w:pPr>
      <w:r w:rsidRPr="004E6A22">
        <w:t xml:space="preserve">As illustrated in Figure </w:t>
      </w:r>
      <w:r w:rsidR="00080176" w:rsidRPr="004E6A22">
        <w:t>3</w:t>
      </w:r>
      <w:r w:rsidRPr="004E6A22">
        <w:t>–</w:t>
      </w:r>
      <w:r w:rsidR="00327C54" w:rsidRPr="004E6A22">
        <w:t>3</w:t>
      </w:r>
      <w:r w:rsidRPr="004E6A22">
        <w:t>, t</w:t>
      </w:r>
      <w:r w:rsidR="009D7A93" w:rsidRPr="004E6A22">
        <w:t xml:space="preserve">he largest contributor to the growth in spending over the next decade is spending on </w:t>
      </w:r>
      <w:r w:rsidRPr="004E6A22">
        <w:t xml:space="preserve">the NDIS, </w:t>
      </w:r>
      <w:r w:rsidR="009D7A93" w:rsidRPr="004E6A22">
        <w:t>which is projected to increase</w:t>
      </w:r>
      <w:r w:rsidR="007F39BB" w:rsidRPr="004E6A22">
        <w:t xml:space="preserve"> as a share of GDP by</w:t>
      </w:r>
      <w:r w:rsidR="009D7A93" w:rsidRPr="004E6A22">
        <w:t xml:space="preserve"> 0.</w:t>
      </w:r>
      <w:r w:rsidR="0078251B" w:rsidRPr="004E6A22">
        <w:t>4</w:t>
      </w:r>
      <w:r w:rsidR="004940B6" w:rsidRPr="004E6A22">
        <w:t> </w:t>
      </w:r>
      <w:r w:rsidR="009D7A93" w:rsidRPr="004E6A22">
        <w:t>per</w:t>
      </w:r>
      <w:r w:rsidR="004940B6" w:rsidRPr="004E6A22">
        <w:t> </w:t>
      </w:r>
      <w:r w:rsidR="009D7A93" w:rsidRPr="004E6A22">
        <w:t>cent.</w:t>
      </w:r>
      <w:r w:rsidR="007F39BB" w:rsidRPr="004E6A22">
        <w:t xml:space="preserve">  The next largest contributor </w:t>
      </w:r>
      <w:r w:rsidR="00DA64E5" w:rsidRPr="004E6A22">
        <w:t xml:space="preserve">to growth is </w:t>
      </w:r>
      <w:r w:rsidR="004940B6" w:rsidRPr="004E6A22">
        <w:t>d</w:t>
      </w:r>
      <w:r w:rsidR="00DA64E5" w:rsidRPr="004E6A22">
        <w:t>efence spending (</w:t>
      </w:r>
      <w:r w:rsidR="004940B6" w:rsidRPr="004E6A22">
        <w:t xml:space="preserve">projected to </w:t>
      </w:r>
      <w:r w:rsidR="00DA64E5" w:rsidRPr="004E6A22">
        <w:t xml:space="preserve">increase by </w:t>
      </w:r>
      <w:r w:rsidR="007F39BB" w:rsidRPr="004E6A22">
        <w:t>0.3</w:t>
      </w:r>
      <w:r w:rsidR="004940B6" w:rsidRPr="004E6A22">
        <w:t> </w:t>
      </w:r>
      <w:r w:rsidR="002A5A01" w:rsidRPr="004E6A22">
        <w:t>per</w:t>
      </w:r>
      <w:r w:rsidR="004940B6" w:rsidRPr="004E6A22">
        <w:t> </w:t>
      </w:r>
      <w:r w:rsidR="002A5A01" w:rsidRPr="004E6A22">
        <w:t>cent</w:t>
      </w:r>
      <w:r w:rsidR="007F39BB" w:rsidRPr="004E6A22">
        <w:t xml:space="preserve"> of GDP), followed by spending on </w:t>
      </w:r>
      <w:r w:rsidR="004940B6" w:rsidRPr="004E6A22">
        <w:t>a</w:t>
      </w:r>
      <w:r w:rsidR="007F39BB" w:rsidRPr="004E6A22">
        <w:t>ged care (</w:t>
      </w:r>
      <w:r w:rsidR="004940B6" w:rsidRPr="004E6A22">
        <w:t xml:space="preserve">projected to </w:t>
      </w:r>
      <w:r w:rsidR="00DA64E5" w:rsidRPr="004E6A22">
        <w:t xml:space="preserve">increase by </w:t>
      </w:r>
      <w:r w:rsidR="007F39BB" w:rsidRPr="004E6A22">
        <w:t>0.2</w:t>
      </w:r>
      <w:r w:rsidR="004940B6" w:rsidRPr="004E6A22">
        <w:t> </w:t>
      </w:r>
      <w:r w:rsidR="007F39BB" w:rsidRPr="004E6A22">
        <w:t>per</w:t>
      </w:r>
      <w:r w:rsidR="004940B6" w:rsidRPr="004E6A22">
        <w:t> </w:t>
      </w:r>
      <w:r w:rsidR="007F39BB" w:rsidRPr="004E6A22">
        <w:t>cent of GDP) and spending on the Medicare Benefits Schedule (</w:t>
      </w:r>
      <w:r w:rsidR="004940B6" w:rsidRPr="004E6A22">
        <w:t xml:space="preserve">projected to </w:t>
      </w:r>
      <w:r w:rsidR="00DA64E5" w:rsidRPr="004E6A22">
        <w:t xml:space="preserve">increase by </w:t>
      </w:r>
      <w:r w:rsidR="007F39BB" w:rsidRPr="004E6A22">
        <w:t>0.1</w:t>
      </w:r>
      <w:r w:rsidR="004940B6" w:rsidRPr="004E6A22">
        <w:t> </w:t>
      </w:r>
      <w:r w:rsidR="007F39BB" w:rsidRPr="004E6A22">
        <w:t>per</w:t>
      </w:r>
      <w:r w:rsidR="004940B6" w:rsidRPr="004E6A22">
        <w:t> </w:t>
      </w:r>
      <w:r w:rsidR="007F39BB" w:rsidRPr="004E6A22">
        <w:t>cent of GDP).</w:t>
      </w:r>
    </w:p>
    <w:p w:rsidR="007D741C" w:rsidRPr="006D7B94" w:rsidRDefault="007D741C" w:rsidP="009D7A93">
      <w:pPr>
        <w:pStyle w:val="BodyText"/>
      </w:pPr>
    </w:p>
    <w:p w:rsidR="007B1DF7" w:rsidRDefault="007B1DF7" w:rsidP="007B1DF7">
      <w:pPr>
        <w:pStyle w:val="Caption"/>
      </w:pPr>
      <w:bookmarkStart w:id="62" w:name="_Ref520987247"/>
      <w:r w:rsidRPr="00321DD0">
        <w:lastRenderedPageBreak/>
        <w:t xml:space="preserve">Figure </w:t>
      </w:r>
      <w:r w:rsidR="00080176">
        <w:t>3</w:t>
      </w:r>
      <w:r w:rsidRPr="00321DD0">
        <w:t>–</w:t>
      </w:r>
      <w:bookmarkEnd w:id="62"/>
      <w:r w:rsidR="00327C54">
        <w:t>3</w:t>
      </w:r>
      <w:r w:rsidRPr="00321DD0">
        <w:t xml:space="preserve">: </w:t>
      </w:r>
      <w:r>
        <w:t>P</w:t>
      </w:r>
      <w:r w:rsidRPr="00321DD0">
        <w:t>rojected spending over the next decade</w:t>
      </w:r>
    </w:p>
    <w:p w:rsidR="00415EBD" w:rsidRDefault="007B1DF7" w:rsidP="00415EBD">
      <w:pPr>
        <w:pStyle w:val="CaptionDescriptor"/>
      </w:pPr>
      <w:r w:rsidRPr="00321DD0">
        <w:t>Change from 201</w:t>
      </w:r>
      <w:r>
        <w:t>8</w:t>
      </w:r>
      <w:r w:rsidR="000737FE" w:rsidRPr="00321DD0">
        <w:t>–</w:t>
      </w:r>
      <w:r w:rsidRPr="00321DD0">
        <w:t>1</w:t>
      </w:r>
      <w:r>
        <w:t>9</w:t>
      </w:r>
      <w:r w:rsidRPr="00321DD0">
        <w:t xml:space="preserve"> to 202</w:t>
      </w:r>
      <w:r>
        <w:t>9</w:t>
      </w:r>
      <w:r w:rsidR="000737FE" w:rsidRPr="00321DD0">
        <w:t>–</w:t>
      </w:r>
      <w:r>
        <w:t>30</w:t>
      </w:r>
    </w:p>
    <w:p w:rsidR="00C7398C" w:rsidRDefault="00B10973">
      <w:pPr>
        <w:pStyle w:val="CaptionDescriptor"/>
      </w:pPr>
      <w:r>
        <w:rPr>
          <w:noProof/>
          <w:lang w:eastAsia="en-AU"/>
        </w:rPr>
        <w:drawing>
          <wp:inline distT="0" distB="0" distL="0" distR="0" wp14:anchorId="708DDCC4" wp14:editId="0D5B444A">
            <wp:extent cx="4860000" cy="3603476"/>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860000" cy="3603476"/>
                    </a:xfrm>
                    <a:prstGeom prst="rect">
                      <a:avLst/>
                    </a:prstGeom>
                    <a:noFill/>
                  </pic:spPr>
                </pic:pic>
              </a:graphicData>
            </a:graphic>
          </wp:inline>
        </w:drawing>
      </w:r>
    </w:p>
    <w:p w:rsidR="00A11F68" w:rsidRDefault="00A11F68" w:rsidP="00B66518">
      <w:pPr>
        <w:pStyle w:val="SourceIndent"/>
        <w:tabs>
          <w:tab w:val="clear" w:pos="624"/>
        </w:tabs>
        <w:ind w:left="709"/>
        <w:contextualSpacing/>
        <w:rPr>
          <w:noProof/>
          <w:lang w:eastAsia="en-AU"/>
        </w:rPr>
      </w:pPr>
      <w:r>
        <w:rPr>
          <w:noProof/>
          <w:lang w:eastAsia="en-AU"/>
        </w:rPr>
        <w:t>Note: All other spending includes the total of all spending programs not separately identified</w:t>
      </w:r>
      <w:r w:rsidR="00483FE3">
        <w:rPr>
          <w:noProof/>
          <w:lang w:eastAsia="en-AU"/>
        </w:rPr>
        <w:t xml:space="preserve"> in</w:t>
      </w:r>
      <w:r w:rsidR="00BC3E29">
        <w:rPr>
          <w:noProof/>
          <w:lang w:eastAsia="en-AU"/>
        </w:rPr>
        <w:t xml:space="preserve"> this </w:t>
      </w:r>
      <w:r w:rsidR="00A81DA9">
        <w:rPr>
          <w:noProof/>
          <w:lang w:eastAsia="en-AU"/>
        </w:rPr>
        <w:t>chart</w:t>
      </w:r>
      <w:r>
        <w:rPr>
          <w:noProof/>
          <w:lang w:eastAsia="en-AU"/>
        </w:rPr>
        <w:t>.</w:t>
      </w:r>
    </w:p>
    <w:p w:rsidR="007B1DF7" w:rsidRDefault="007B1DF7" w:rsidP="00B66518">
      <w:pPr>
        <w:pStyle w:val="SourceIndent"/>
        <w:tabs>
          <w:tab w:val="clear" w:pos="624"/>
        </w:tabs>
        <w:ind w:left="709"/>
        <w:contextualSpacing/>
        <w:rPr>
          <w:noProof/>
          <w:lang w:eastAsia="en-AU"/>
        </w:rPr>
      </w:pPr>
      <w:r>
        <w:rPr>
          <w:noProof/>
          <w:lang w:eastAsia="en-AU"/>
        </w:rPr>
        <w:t xml:space="preserve">Source: </w:t>
      </w:r>
      <w:r w:rsidR="00921F2C">
        <w:rPr>
          <w:noProof/>
          <w:lang w:eastAsia="en-AU"/>
        </w:rPr>
        <w:t>20</w:t>
      </w:r>
      <w:r w:rsidRPr="007A237E">
        <w:rPr>
          <w:noProof/>
          <w:lang w:eastAsia="en-AU"/>
        </w:rPr>
        <w:t>19</w:t>
      </w:r>
      <w:r w:rsidR="007D470B">
        <w:rPr>
          <w:noProof/>
          <w:lang w:eastAsia="en-AU"/>
        </w:rPr>
        <w:t>–</w:t>
      </w:r>
      <w:r w:rsidR="00921F2C">
        <w:rPr>
          <w:noProof/>
          <w:lang w:eastAsia="en-AU"/>
        </w:rPr>
        <w:t>20</w:t>
      </w:r>
      <w:r w:rsidRPr="007A237E">
        <w:rPr>
          <w:noProof/>
          <w:lang w:eastAsia="en-AU"/>
        </w:rPr>
        <w:t xml:space="preserve"> Budget and PBO analysis.</w:t>
      </w:r>
    </w:p>
    <w:p w:rsidR="007F39BB" w:rsidRDefault="007F39BB" w:rsidP="003305B8">
      <w:pPr>
        <w:spacing w:before="120"/>
      </w:pPr>
      <w:r w:rsidRPr="007F39BB">
        <w:t xml:space="preserve">More than offsetting the above increases </w:t>
      </w:r>
      <w:r w:rsidR="00BF1445">
        <w:t>are</w:t>
      </w:r>
      <w:r w:rsidRPr="007F39BB">
        <w:t xml:space="preserve"> decline</w:t>
      </w:r>
      <w:r w:rsidR="00BF1445">
        <w:t>s</w:t>
      </w:r>
      <w:r w:rsidRPr="007F39BB">
        <w:t xml:space="preserve"> </w:t>
      </w:r>
      <w:r w:rsidR="00BF1445">
        <w:t>in</w:t>
      </w:r>
      <w:r w:rsidR="00BF1445" w:rsidRPr="007F39BB">
        <w:t xml:space="preserve"> </w:t>
      </w:r>
      <w:r w:rsidRPr="007F39BB">
        <w:t>spending as a proportion of GDP</w:t>
      </w:r>
      <w:r w:rsidR="00BF1445">
        <w:t xml:space="preserve"> for other </w:t>
      </w:r>
      <w:r w:rsidR="00630598">
        <w:t>items</w:t>
      </w:r>
      <w:r>
        <w:t xml:space="preserve">. </w:t>
      </w:r>
      <w:r w:rsidRPr="007F39BB">
        <w:t xml:space="preserve"> </w:t>
      </w:r>
      <w:r>
        <w:t xml:space="preserve">The largest decline is in </w:t>
      </w:r>
      <w:r w:rsidR="000737FE">
        <w:t>p</w:t>
      </w:r>
      <w:r>
        <w:t xml:space="preserve">ublic debt interest, which </w:t>
      </w:r>
      <w:r w:rsidR="00215F4B">
        <w:t xml:space="preserve">is </w:t>
      </w:r>
      <w:r>
        <w:t xml:space="preserve">projected to decrease </w:t>
      </w:r>
      <w:r w:rsidR="00E3168D">
        <w:t xml:space="preserve">as a share of GDP </w:t>
      </w:r>
      <w:r>
        <w:t>by 0.</w:t>
      </w:r>
      <w:r w:rsidR="00921F2C">
        <w:t>5</w:t>
      </w:r>
      <w:r w:rsidR="000737FE">
        <w:t> </w:t>
      </w:r>
      <w:r>
        <w:t>per</w:t>
      </w:r>
      <w:r w:rsidR="000737FE">
        <w:t> </w:t>
      </w:r>
      <w:r>
        <w:t>cent over the next decade</w:t>
      </w:r>
      <w:r w:rsidR="000737FE">
        <w:t>,</w:t>
      </w:r>
      <w:r>
        <w:t xml:space="preserve"> in line with the improvement in the budget balance.</w:t>
      </w:r>
      <w:r w:rsidR="00813030">
        <w:t xml:space="preserve">  </w:t>
      </w:r>
    </w:p>
    <w:p w:rsidR="007F39BB" w:rsidRDefault="007F39BB" w:rsidP="009D7A93">
      <w:pPr>
        <w:pStyle w:val="BodyText"/>
      </w:pPr>
      <w:r>
        <w:t>Declines are projected across</w:t>
      </w:r>
      <w:r w:rsidRPr="007F39BB">
        <w:t xml:space="preserve"> a range of payment programs, a significant proportion of which are expected to occu</w:t>
      </w:r>
      <w:r>
        <w:t>r over the forward estimates</w:t>
      </w:r>
      <w:r w:rsidR="00182D1C">
        <w:t xml:space="preserve"> period</w:t>
      </w:r>
      <w:r>
        <w:t xml:space="preserve">.  The largest decline in spending on payments programs over the next decade is on </w:t>
      </w:r>
      <w:r w:rsidR="000737FE">
        <w:t>p</w:t>
      </w:r>
      <w:r>
        <w:t>harmaceutical benefits</w:t>
      </w:r>
      <w:r w:rsidR="00C1759C">
        <w:t xml:space="preserve">, which is projected to </w:t>
      </w:r>
      <w:r w:rsidR="00DA64E5">
        <w:t xml:space="preserve">decrease by </w:t>
      </w:r>
      <w:r>
        <w:t>0.2</w:t>
      </w:r>
      <w:r w:rsidR="000737FE">
        <w:t> </w:t>
      </w:r>
      <w:r>
        <w:t>per</w:t>
      </w:r>
      <w:r w:rsidR="000737FE">
        <w:t> </w:t>
      </w:r>
      <w:r>
        <w:t>cent of GDP</w:t>
      </w:r>
      <w:r w:rsidR="00F50FF8">
        <w:t>, although this reflects a change in administrative arrangements rather than policy restraint</w:t>
      </w:r>
      <w:r>
        <w:t>.</w:t>
      </w:r>
      <w:r w:rsidR="00A113C2">
        <w:t xml:space="preserve">  </w:t>
      </w:r>
      <w:r w:rsidR="00470F7D">
        <w:t>The decline in spending on government administration</w:t>
      </w:r>
      <w:r w:rsidR="00F50FF8">
        <w:t xml:space="preserve"> over the forward estimates</w:t>
      </w:r>
      <w:r w:rsidR="00470F7D">
        <w:t xml:space="preserve"> </w:t>
      </w:r>
      <w:r w:rsidR="00216205">
        <w:t xml:space="preserve">period </w:t>
      </w:r>
      <w:r w:rsidR="00470F7D">
        <w:t>is also a significant source of restraint</w:t>
      </w:r>
      <w:r w:rsidR="00F50FF8">
        <w:t xml:space="preserve">, after which it is </w:t>
      </w:r>
      <w:r w:rsidR="00470F7D">
        <w:t>projected by the PBO to remain stable as a share of GDP for the rest of the decade.</w:t>
      </w:r>
      <w:r w:rsidR="00C64A14">
        <w:rPr>
          <w:rStyle w:val="FootnoteReference"/>
        </w:rPr>
        <w:footnoteReference w:id="13"/>
      </w:r>
    </w:p>
    <w:p w:rsidR="00EC5D31" w:rsidRDefault="005B4794" w:rsidP="000D4C9A">
      <w:pPr>
        <w:pStyle w:val="BodyText"/>
      </w:pPr>
      <w:r w:rsidRPr="005B4794">
        <w:t xml:space="preserve">Table </w:t>
      </w:r>
      <w:r w:rsidR="00080176">
        <w:t>3</w:t>
      </w:r>
      <w:r w:rsidRPr="005B4794">
        <w:t xml:space="preserve">–1 shows </w:t>
      </w:r>
      <w:r w:rsidR="000737FE">
        <w:t>the PBO’s</w:t>
      </w:r>
      <w:r w:rsidR="000737FE" w:rsidRPr="005B4794">
        <w:t xml:space="preserve"> </w:t>
      </w:r>
      <w:r w:rsidRPr="005B4794">
        <w:t>projections of th</w:t>
      </w:r>
      <w:r>
        <w:t>e change in spending</w:t>
      </w:r>
      <w:r w:rsidRPr="005B4794">
        <w:t xml:space="preserve"> by each major category over the period 2018</w:t>
      </w:r>
      <w:r w:rsidR="007D470B">
        <w:t>–</w:t>
      </w:r>
      <w:r w:rsidRPr="005B4794">
        <w:t>19 to 2029</w:t>
      </w:r>
      <w:r w:rsidR="007D470B">
        <w:t>–</w:t>
      </w:r>
      <w:r w:rsidRPr="005B4794">
        <w:t xml:space="preserve">30 and </w:t>
      </w:r>
      <w:r w:rsidR="000737FE">
        <w:t>each category’s</w:t>
      </w:r>
      <w:r w:rsidR="000737FE" w:rsidRPr="005B4794">
        <w:t xml:space="preserve"> </w:t>
      </w:r>
      <w:r w:rsidRPr="005B4794">
        <w:t>projected c</w:t>
      </w:r>
      <w:r>
        <w:t>ontribution to growth in total spending</w:t>
      </w:r>
      <w:r w:rsidRPr="005B4794">
        <w:t>.</w:t>
      </w:r>
      <w:r>
        <w:t xml:space="preserve">  T</w:t>
      </w:r>
      <w:r w:rsidR="003911F2">
        <w:t xml:space="preserve">rends </w:t>
      </w:r>
      <w:r>
        <w:t xml:space="preserve">in each of the major spending categories </w:t>
      </w:r>
      <w:r w:rsidR="003911F2">
        <w:t>are further discussed below.</w:t>
      </w:r>
    </w:p>
    <w:p w:rsidR="00EC5D31" w:rsidRDefault="00EC5D31">
      <w:pPr>
        <w:rPr>
          <w:rFonts w:cs="Times New Roman"/>
        </w:rPr>
      </w:pPr>
      <w:r>
        <w:br w:type="page"/>
      </w:r>
    </w:p>
    <w:p w:rsidR="007B1DF7" w:rsidRPr="004C63E5" w:rsidRDefault="007B1DF7" w:rsidP="007B1DF7">
      <w:pPr>
        <w:pStyle w:val="Caption"/>
      </w:pPr>
      <w:bookmarkStart w:id="63" w:name="_Ref520451970"/>
      <w:r w:rsidRPr="00D306AE">
        <w:lastRenderedPageBreak/>
        <w:t xml:space="preserve">Table </w:t>
      </w:r>
      <w:r w:rsidR="00080176">
        <w:t>3</w:t>
      </w:r>
      <w:r w:rsidRPr="00D306AE">
        <w:t>–</w:t>
      </w:r>
      <w:fldSimple w:instr=" SEQ Table \* ARABIC \s 1 ">
        <w:r w:rsidR="00CD4258">
          <w:rPr>
            <w:noProof/>
          </w:rPr>
          <w:t>1</w:t>
        </w:r>
      </w:fldSimple>
      <w:bookmarkEnd w:id="63"/>
      <w:r w:rsidRPr="00D306AE">
        <w:t>: Spending by key program area</w:t>
      </w:r>
    </w:p>
    <w:tbl>
      <w:tblPr>
        <w:tblStyle w:val="TableGridDarkHeader"/>
        <w:tblW w:w="9120" w:type="dxa"/>
        <w:tblCellMar>
          <w:top w:w="11" w:type="dxa"/>
          <w:bottom w:w="11" w:type="dxa"/>
        </w:tblCellMar>
        <w:tblLook w:val="04A0" w:firstRow="1" w:lastRow="0" w:firstColumn="1" w:lastColumn="0" w:noHBand="0" w:noVBand="1"/>
      </w:tblPr>
      <w:tblGrid>
        <w:gridCol w:w="2551"/>
        <w:gridCol w:w="867"/>
        <w:gridCol w:w="868"/>
        <w:gridCol w:w="865"/>
        <w:gridCol w:w="868"/>
        <w:gridCol w:w="1067"/>
        <w:gridCol w:w="1038"/>
        <w:gridCol w:w="996"/>
      </w:tblGrid>
      <w:tr w:rsidR="00A117C9" w:rsidRPr="002E3181" w:rsidTr="00A117C9">
        <w:trPr>
          <w:cnfStyle w:val="100000000000" w:firstRow="1" w:lastRow="0" w:firstColumn="0" w:lastColumn="0" w:oddVBand="0" w:evenVBand="0" w:oddHBand="0" w:evenHBand="0" w:firstRowFirstColumn="0" w:firstRowLastColumn="0" w:lastRowFirstColumn="0" w:lastRowLastColumn="0"/>
          <w:trHeight w:val="557"/>
        </w:trPr>
        <w:tc>
          <w:tcPr>
            <w:tcW w:w="2551" w:type="dxa"/>
            <w:vMerge w:val="restart"/>
            <w:vAlign w:val="center"/>
            <w:hideMark/>
          </w:tcPr>
          <w:p w:rsidR="007B1DF7" w:rsidRPr="00A117C9" w:rsidRDefault="007B1DF7" w:rsidP="000D0CCD">
            <w:pPr>
              <w:pStyle w:val="TableHeading"/>
              <w:jc w:val="center"/>
              <w:rPr>
                <w:sz w:val="18"/>
              </w:rPr>
            </w:pPr>
            <w:r w:rsidRPr="00A117C9">
              <w:rPr>
                <w:sz w:val="18"/>
              </w:rPr>
              <w:t>Payments</w:t>
            </w:r>
          </w:p>
        </w:tc>
        <w:tc>
          <w:tcPr>
            <w:tcW w:w="1735" w:type="dxa"/>
            <w:gridSpan w:val="2"/>
            <w:tcBorders>
              <w:bottom w:val="single" w:sz="4" w:space="0" w:color="FFFFFF" w:themeColor="background1"/>
              <w:right w:val="single" w:sz="4" w:space="0" w:color="FFFFFF" w:themeColor="background1"/>
            </w:tcBorders>
            <w:vAlign w:val="center"/>
            <w:hideMark/>
          </w:tcPr>
          <w:p w:rsidR="007B1DF7" w:rsidRPr="00A117C9" w:rsidRDefault="007B1DF7" w:rsidP="000D0CCD">
            <w:pPr>
              <w:pStyle w:val="TableHeading"/>
              <w:jc w:val="center"/>
              <w:rPr>
                <w:sz w:val="18"/>
              </w:rPr>
            </w:pPr>
            <w:r w:rsidRPr="00A117C9">
              <w:rPr>
                <w:sz w:val="18"/>
              </w:rPr>
              <w:t>Nominal payments</w:t>
            </w:r>
          </w:p>
        </w:tc>
        <w:tc>
          <w:tcPr>
            <w:tcW w:w="1733"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7B1DF7" w:rsidRPr="00A117C9" w:rsidRDefault="007B1DF7" w:rsidP="000D0CCD">
            <w:pPr>
              <w:pStyle w:val="TableHeading"/>
              <w:jc w:val="center"/>
              <w:rPr>
                <w:sz w:val="18"/>
              </w:rPr>
            </w:pPr>
            <w:r w:rsidRPr="00A117C9">
              <w:rPr>
                <w:sz w:val="18"/>
              </w:rPr>
              <w:t>Per cent of GDP</w:t>
            </w:r>
          </w:p>
        </w:tc>
        <w:tc>
          <w:tcPr>
            <w:tcW w:w="1067" w:type="dxa"/>
            <w:tcBorders>
              <w:left w:val="single" w:sz="4" w:space="0" w:color="FFFFFF" w:themeColor="background1"/>
              <w:bottom w:val="single" w:sz="4" w:space="0" w:color="FFFFFF" w:themeColor="background1"/>
              <w:right w:val="single" w:sz="4" w:space="0" w:color="FFFFFF" w:themeColor="background1"/>
            </w:tcBorders>
            <w:vAlign w:val="center"/>
            <w:hideMark/>
          </w:tcPr>
          <w:p w:rsidR="007B1DF7" w:rsidRPr="00A117C9" w:rsidRDefault="007B1DF7" w:rsidP="000D0CCD">
            <w:pPr>
              <w:pStyle w:val="TableHeading"/>
              <w:jc w:val="center"/>
              <w:rPr>
                <w:sz w:val="18"/>
              </w:rPr>
            </w:pPr>
            <w:r w:rsidRPr="00A117C9">
              <w:rPr>
                <w:sz w:val="18"/>
              </w:rPr>
              <w:t>Change in per cent of GDP</w:t>
            </w:r>
          </w:p>
        </w:tc>
        <w:tc>
          <w:tcPr>
            <w:tcW w:w="1038" w:type="dxa"/>
            <w:tcBorders>
              <w:left w:val="single" w:sz="4" w:space="0" w:color="FFFFFF" w:themeColor="background1"/>
              <w:bottom w:val="single" w:sz="4" w:space="0" w:color="FFFFFF" w:themeColor="background1"/>
              <w:right w:val="single" w:sz="4" w:space="0" w:color="FFFFFF" w:themeColor="background1"/>
            </w:tcBorders>
            <w:vAlign w:val="center"/>
            <w:hideMark/>
          </w:tcPr>
          <w:p w:rsidR="007B1DF7" w:rsidRPr="00A117C9" w:rsidRDefault="007B1DF7" w:rsidP="000D0CCD">
            <w:pPr>
              <w:pStyle w:val="TableHeading"/>
              <w:jc w:val="center"/>
              <w:rPr>
                <w:sz w:val="18"/>
              </w:rPr>
            </w:pPr>
            <w:r w:rsidRPr="00A117C9">
              <w:rPr>
                <w:sz w:val="18"/>
              </w:rPr>
              <w:t>Annual real growth</w:t>
            </w:r>
          </w:p>
        </w:tc>
        <w:tc>
          <w:tcPr>
            <w:tcW w:w="996" w:type="dxa"/>
            <w:tcBorders>
              <w:left w:val="single" w:sz="4" w:space="0" w:color="FFFFFF" w:themeColor="background1"/>
              <w:bottom w:val="single" w:sz="4" w:space="0" w:color="FFFFFF" w:themeColor="background1"/>
            </w:tcBorders>
            <w:vAlign w:val="center"/>
            <w:hideMark/>
          </w:tcPr>
          <w:p w:rsidR="007B1DF7" w:rsidRPr="00A117C9" w:rsidRDefault="007B1DF7" w:rsidP="000D0CCD">
            <w:pPr>
              <w:pStyle w:val="TableHeading"/>
              <w:jc w:val="center"/>
              <w:rPr>
                <w:sz w:val="18"/>
              </w:rPr>
            </w:pPr>
            <w:r w:rsidRPr="00A117C9">
              <w:rPr>
                <w:sz w:val="18"/>
              </w:rPr>
              <w:t>Share of total payments</w:t>
            </w:r>
          </w:p>
        </w:tc>
      </w:tr>
      <w:tr w:rsidR="00A117C9" w:rsidRPr="002E3181" w:rsidTr="000737FE">
        <w:trPr>
          <w:cnfStyle w:val="000000100000" w:firstRow="0" w:lastRow="0" w:firstColumn="0" w:lastColumn="0" w:oddVBand="0" w:evenVBand="0" w:oddHBand="1" w:evenHBand="0" w:firstRowFirstColumn="0" w:firstRowLastColumn="0" w:lastRowFirstColumn="0" w:lastRowLastColumn="0"/>
          <w:trHeight w:val="310"/>
        </w:trPr>
        <w:tc>
          <w:tcPr>
            <w:tcW w:w="2551" w:type="dxa"/>
            <w:vMerge/>
            <w:tcBorders>
              <w:right w:val="single" w:sz="4" w:space="0" w:color="FFFFFF" w:themeColor="background1"/>
            </w:tcBorders>
            <w:hideMark/>
          </w:tcPr>
          <w:p w:rsidR="00470F7D" w:rsidRPr="00A117C9" w:rsidRDefault="00470F7D" w:rsidP="000D0CCD">
            <w:pPr>
              <w:pStyle w:val="TableHeading"/>
              <w:jc w:val="center"/>
              <w:rPr>
                <w:b/>
                <w:sz w:val="18"/>
              </w:rPr>
            </w:pPr>
          </w:p>
        </w:tc>
        <w:tc>
          <w:tcPr>
            <w:tcW w:w="867" w:type="dxa"/>
            <w:tcBorders>
              <w:top w:val="single" w:sz="4" w:space="0" w:color="FFFFFF" w:themeColor="background1"/>
              <w:left w:val="single" w:sz="4" w:space="0" w:color="FFFFFF" w:themeColor="background1"/>
            </w:tcBorders>
            <w:shd w:val="clear" w:color="auto" w:fill="3D4D7D" w:themeFill="background2"/>
            <w:vAlign w:val="center"/>
            <w:hideMark/>
          </w:tcPr>
          <w:p w:rsidR="00470F7D" w:rsidRPr="00B63240" w:rsidRDefault="00470F7D" w:rsidP="000D0CCD">
            <w:pPr>
              <w:pStyle w:val="TableHeading"/>
              <w:ind w:left="0" w:right="0"/>
              <w:jc w:val="center"/>
              <w:rPr>
                <w:b/>
                <w:sz w:val="18"/>
              </w:rPr>
            </w:pPr>
            <w:r w:rsidRPr="00A117C9">
              <w:rPr>
                <w:rFonts w:cs="Arial"/>
                <w:b/>
                <w:bCs/>
                <w:color w:val="FFFFFF"/>
                <w:sz w:val="18"/>
                <w:szCs w:val="20"/>
              </w:rPr>
              <w:t>2018</w:t>
            </w:r>
            <w:r w:rsidR="007D470B" w:rsidRPr="00A117C9">
              <w:rPr>
                <w:rFonts w:cs="Arial"/>
                <w:b/>
                <w:bCs/>
                <w:color w:val="FFFFFF"/>
                <w:sz w:val="18"/>
                <w:szCs w:val="20"/>
              </w:rPr>
              <w:t>–</w:t>
            </w:r>
            <w:r w:rsidRPr="00A117C9">
              <w:rPr>
                <w:rFonts w:cs="Arial"/>
                <w:b/>
                <w:bCs/>
                <w:color w:val="FFFFFF"/>
                <w:sz w:val="18"/>
                <w:szCs w:val="20"/>
              </w:rPr>
              <w:t>19</w:t>
            </w:r>
          </w:p>
        </w:tc>
        <w:tc>
          <w:tcPr>
            <w:tcW w:w="868" w:type="dxa"/>
            <w:tcBorders>
              <w:top w:val="single" w:sz="4" w:space="0" w:color="FFFFFF" w:themeColor="background1"/>
              <w:right w:val="single" w:sz="4" w:space="0" w:color="FFFFFF" w:themeColor="background1"/>
            </w:tcBorders>
            <w:shd w:val="clear" w:color="auto" w:fill="3D4D7D" w:themeFill="background2"/>
            <w:vAlign w:val="center"/>
            <w:hideMark/>
          </w:tcPr>
          <w:p w:rsidR="00470F7D" w:rsidRPr="00B63240" w:rsidRDefault="00470F7D" w:rsidP="000D0CCD">
            <w:pPr>
              <w:pStyle w:val="TableHeading"/>
              <w:ind w:left="0" w:right="0"/>
              <w:jc w:val="center"/>
              <w:rPr>
                <w:b/>
                <w:sz w:val="18"/>
              </w:rPr>
            </w:pPr>
            <w:r w:rsidRPr="00A117C9">
              <w:rPr>
                <w:rFonts w:cs="Arial"/>
                <w:b/>
                <w:bCs/>
                <w:color w:val="FFFFFF"/>
                <w:sz w:val="18"/>
                <w:szCs w:val="20"/>
              </w:rPr>
              <w:t>2029</w:t>
            </w:r>
            <w:r w:rsidR="007D470B" w:rsidRPr="00A117C9">
              <w:rPr>
                <w:rFonts w:cs="Arial"/>
                <w:b/>
                <w:bCs/>
                <w:color w:val="FFFFFF"/>
                <w:sz w:val="18"/>
                <w:szCs w:val="20"/>
              </w:rPr>
              <w:t>–</w:t>
            </w:r>
            <w:r w:rsidRPr="00A117C9">
              <w:rPr>
                <w:rFonts w:cs="Arial"/>
                <w:b/>
                <w:bCs/>
                <w:color w:val="FFFFFF"/>
                <w:sz w:val="18"/>
                <w:szCs w:val="20"/>
              </w:rPr>
              <w:t>30</w:t>
            </w:r>
          </w:p>
        </w:tc>
        <w:tc>
          <w:tcPr>
            <w:tcW w:w="865" w:type="dxa"/>
            <w:tcBorders>
              <w:top w:val="single" w:sz="4" w:space="0" w:color="FFFFFF" w:themeColor="background1"/>
              <w:left w:val="single" w:sz="4" w:space="0" w:color="FFFFFF" w:themeColor="background1"/>
            </w:tcBorders>
            <w:shd w:val="clear" w:color="auto" w:fill="3D4D7D" w:themeFill="background2"/>
            <w:vAlign w:val="center"/>
            <w:hideMark/>
          </w:tcPr>
          <w:p w:rsidR="00470F7D" w:rsidRPr="00B63240" w:rsidRDefault="00470F7D" w:rsidP="000D0CCD">
            <w:pPr>
              <w:pStyle w:val="TableHeading"/>
              <w:ind w:left="0" w:right="0"/>
              <w:jc w:val="center"/>
              <w:rPr>
                <w:b/>
                <w:spacing w:val="-4"/>
                <w:sz w:val="18"/>
              </w:rPr>
            </w:pPr>
            <w:r w:rsidRPr="00A117C9">
              <w:rPr>
                <w:rFonts w:cs="Arial"/>
                <w:b/>
                <w:bCs/>
                <w:color w:val="FFFFFF"/>
                <w:spacing w:val="-4"/>
                <w:sz w:val="18"/>
                <w:szCs w:val="20"/>
              </w:rPr>
              <w:t>2018</w:t>
            </w:r>
            <w:r w:rsidR="007D470B" w:rsidRPr="00A117C9">
              <w:rPr>
                <w:rFonts w:cs="Arial"/>
                <w:b/>
                <w:bCs/>
                <w:color w:val="FFFFFF"/>
                <w:spacing w:val="-4"/>
                <w:sz w:val="18"/>
                <w:szCs w:val="20"/>
              </w:rPr>
              <w:t>–</w:t>
            </w:r>
            <w:r w:rsidRPr="00A117C9">
              <w:rPr>
                <w:rFonts w:cs="Arial"/>
                <w:b/>
                <w:bCs/>
                <w:color w:val="FFFFFF"/>
                <w:spacing w:val="-4"/>
                <w:sz w:val="18"/>
                <w:szCs w:val="20"/>
              </w:rPr>
              <w:t>19</w:t>
            </w:r>
          </w:p>
        </w:tc>
        <w:tc>
          <w:tcPr>
            <w:tcW w:w="868" w:type="dxa"/>
            <w:tcBorders>
              <w:top w:val="single" w:sz="4" w:space="0" w:color="FFFFFF" w:themeColor="background1"/>
              <w:right w:val="single" w:sz="4" w:space="0" w:color="FFFFFF" w:themeColor="background1"/>
            </w:tcBorders>
            <w:shd w:val="clear" w:color="auto" w:fill="3D4D7D" w:themeFill="background2"/>
            <w:vAlign w:val="center"/>
            <w:hideMark/>
          </w:tcPr>
          <w:p w:rsidR="00470F7D" w:rsidRPr="00B63240" w:rsidRDefault="00470F7D" w:rsidP="000D0CCD">
            <w:pPr>
              <w:pStyle w:val="TableHeading"/>
              <w:jc w:val="center"/>
              <w:rPr>
                <w:b/>
                <w:spacing w:val="-4"/>
                <w:sz w:val="18"/>
              </w:rPr>
            </w:pPr>
            <w:r w:rsidRPr="00A117C9">
              <w:rPr>
                <w:rFonts w:cs="Arial"/>
                <w:b/>
                <w:bCs/>
                <w:color w:val="FFFFFF"/>
                <w:spacing w:val="-4"/>
                <w:sz w:val="18"/>
                <w:szCs w:val="20"/>
              </w:rPr>
              <w:t>2029</w:t>
            </w:r>
            <w:r w:rsidR="007D470B" w:rsidRPr="00A117C9">
              <w:rPr>
                <w:rFonts w:cs="Arial"/>
                <w:b/>
                <w:bCs/>
                <w:color w:val="FFFFFF"/>
                <w:spacing w:val="-4"/>
                <w:sz w:val="18"/>
                <w:szCs w:val="20"/>
              </w:rPr>
              <w:t>–</w:t>
            </w:r>
            <w:r w:rsidRPr="00A117C9">
              <w:rPr>
                <w:rFonts w:cs="Arial"/>
                <w:b/>
                <w:bCs/>
                <w:color w:val="FFFFFF"/>
                <w:spacing w:val="-4"/>
                <w:sz w:val="18"/>
                <w:szCs w:val="20"/>
              </w:rPr>
              <w:t>30</w:t>
            </w:r>
          </w:p>
        </w:tc>
        <w:tc>
          <w:tcPr>
            <w:tcW w:w="2105" w:type="dxa"/>
            <w:gridSpan w:val="2"/>
            <w:tcBorders>
              <w:top w:val="single" w:sz="4" w:space="0" w:color="FFFFFF" w:themeColor="background1"/>
              <w:left w:val="single" w:sz="4" w:space="0" w:color="FFFFFF" w:themeColor="background1"/>
              <w:right w:val="single" w:sz="4" w:space="0" w:color="FFFFFF" w:themeColor="background1"/>
            </w:tcBorders>
            <w:shd w:val="clear" w:color="auto" w:fill="3D4D7D" w:themeFill="background2"/>
            <w:vAlign w:val="center"/>
            <w:hideMark/>
          </w:tcPr>
          <w:p w:rsidR="00470F7D" w:rsidRPr="00B63240" w:rsidRDefault="00470F7D" w:rsidP="000D0CCD">
            <w:pPr>
              <w:pStyle w:val="TableHeading"/>
              <w:jc w:val="center"/>
              <w:rPr>
                <w:b/>
                <w:sz w:val="18"/>
              </w:rPr>
            </w:pPr>
            <w:r w:rsidRPr="00A117C9">
              <w:rPr>
                <w:rFonts w:cs="Arial"/>
                <w:b/>
                <w:bCs/>
                <w:color w:val="FFFFFF"/>
                <w:sz w:val="18"/>
                <w:szCs w:val="20"/>
              </w:rPr>
              <w:t>2018</w:t>
            </w:r>
            <w:r w:rsidR="007D470B" w:rsidRPr="00A117C9">
              <w:rPr>
                <w:rFonts w:cs="Arial"/>
                <w:b/>
                <w:bCs/>
                <w:color w:val="FFFFFF"/>
                <w:sz w:val="18"/>
                <w:szCs w:val="20"/>
              </w:rPr>
              <w:t>–</w:t>
            </w:r>
            <w:r w:rsidRPr="00A117C9">
              <w:rPr>
                <w:rFonts w:cs="Arial"/>
                <w:b/>
                <w:bCs/>
                <w:color w:val="FFFFFF"/>
                <w:sz w:val="18"/>
                <w:szCs w:val="20"/>
              </w:rPr>
              <w:t>19 to 2029</w:t>
            </w:r>
            <w:r w:rsidR="007D470B" w:rsidRPr="00A117C9">
              <w:rPr>
                <w:rFonts w:cs="Arial"/>
                <w:b/>
                <w:bCs/>
                <w:color w:val="FFFFFF"/>
                <w:sz w:val="18"/>
                <w:szCs w:val="20"/>
              </w:rPr>
              <w:t>–</w:t>
            </w:r>
            <w:r w:rsidRPr="00A117C9">
              <w:rPr>
                <w:rFonts w:cs="Arial"/>
                <w:b/>
                <w:bCs/>
                <w:color w:val="FFFFFF"/>
                <w:sz w:val="18"/>
                <w:szCs w:val="20"/>
              </w:rPr>
              <w:t>30</w:t>
            </w:r>
          </w:p>
        </w:tc>
        <w:tc>
          <w:tcPr>
            <w:tcW w:w="996" w:type="dxa"/>
            <w:tcBorders>
              <w:top w:val="single" w:sz="4" w:space="0" w:color="FFFFFF" w:themeColor="background1"/>
              <w:left w:val="single" w:sz="4" w:space="0" w:color="FFFFFF" w:themeColor="background1"/>
            </w:tcBorders>
            <w:shd w:val="clear" w:color="auto" w:fill="3D4D7D" w:themeFill="background2"/>
            <w:vAlign w:val="center"/>
            <w:hideMark/>
          </w:tcPr>
          <w:p w:rsidR="00470F7D" w:rsidRPr="00B63240" w:rsidRDefault="00470F7D" w:rsidP="000D0CCD">
            <w:pPr>
              <w:pStyle w:val="TableHeading"/>
              <w:jc w:val="center"/>
              <w:rPr>
                <w:b/>
                <w:sz w:val="18"/>
              </w:rPr>
            </w:pPr>
            <w:r w:rsidRPr="00A117C9">
              <w:rPr>
                <w:rFonts w:cs="Arial"/>
                <w:b/>
                <w:bCs/>
                <w:color w:val="FFFFFF"/>
                <w:sz w:val="18"/>
                <w:szCs w:val="20"/>
              </w:rPr>
              <w:t>2029</w:t>
            </w:r>
            <w:r w:rsidR="007D470B" w:rsidRPr="00A117C9">
              <w:rPr>
                <w:rFonts w:cs="Arial"/>
                <w:b/>
                <w:bCs/>
                <w:color w:val="FFFFFF"/>
                <w:sz w:val="18"/>
                <w:szCs w:val="20"/>
              </w:rPr>
              <w:t>–</w:t>
            </w:r>
            <w:r w:rsidRPr="00A117C9">
              <w:rPr>
                <w:rFonts w:cs="Arial"/>
                <w:b/>
                <w:bCs/>
                <w:color w:val="FFFFFF"/>
                <w:sz w:val="18"/>
                <w:szCs w:val="20"/>
              </w:rPr>
              <w:t>30</w:t>
            </w:r>
          </w:p>
        </w:tc>
      </w:tr>
      <w:tr w:rsidR="00A117C9" w:rsidRPr="002E3181" w:rsidTr="00A117C9">
        <w:trPr>
          <w:trHeight w:val="371"/>
        </w:trPr>
        <w:tc>
          <w:tcPr>
            <w:tcW w:w="2551" w:type="dxa"/>
            <w:tcBorders>
              <w:right w:val="single" w:sz="4" w:space="0" w:color="3D4D7D" w:themeColor="background2"/>
            </w:tcBorders>
            <w:shd w:val="clear" w:color="auto" w:fill="7C8CBF" w:themeFill="background2" w:themeFillTint="99"/>
            <w:hideMark/>
          </w:tcPr>
          <w:p w:rsidR="007B1DF7" w:rsidRPr="00A117C9" w:rsidRDefault="007B1DF7" w:rsidP="000D0CCD">
            <w:pPr>
              <w:rPr>
                <w:rFonts w:ascii="Calibri" w:eastAsia="Times New Roman" w:hAnsi="Calibri" w:cs="Times New Roman"/>
                <w:sz w:val="18"/>
                <w:szCs w:val="14"/>
                <w:lang w:eastAsia="en-AU"/>
              </w:rPr>
            </w:pPr>
            <w:r w:rsidRPr="00A117C9">
              <w:rPr>
                <w:rFonts w:ascii="Calibri" w:eastAsia="Times New Roman" w:hAnsi="Calibri" w:cs="Times New Roman"/>
                <w:sz w:val="18"/>
                <w:szCs w:val="14"/>
                <w:lang w:eastAsia="en-AU"/>
              </w:rPr>
              <w:t> </w:t>
            </w:r>
          </w:p>
        </w:tc>
        <w:tc>
          <w:tcPr>
            <w:tcW w:w="1735"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7B1DF7" w:rsidRPr="00A117C9" w:rsidRDefault="007B1DF7" w:rsidP="00B63240">
            <w:pPr>
              <w:pStyle w:val="TableSubheading"/>
              <w:jc w:val="center"/>
              <w:rPr>
                <w:color w:val="FFFFFF" w:themeColor="background1"/>
                <w:sz w:val="18"/>
              </w:rPr>
            </w:pPr>
            <w:r w:rsidRPr="00A117C9">
              <w:rPr>
                <w:color w:val="FFFFFF" w:themeColor="background1"/>
                <w:sz w:val="18"/>
              </w:rPr>
              <w:t>$b</w:t>
            </w:r>
          </w:p>
        </w:tc>
        <w:tc>
          <w:tcPr>
            <w:tcW w:w="1733"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7B1DF7" w:rsidRPr="00A117C9" w:rsidRDefault="007B1DF7" w:rsidP="00B63240">
            <w:pPr>
              <w:pStyle w:val="TableSubheading"/>
              <w:jc w:val="center"/>
              <w:rPr>
                <w:color w:val="FFFFFF" w:themeColor="background1"/>
                <w:sz w:val="18"/>
              </w:rPr>
            </w:pPr>
            <w:r w:rsidRPr="00A117C9">
              <w:rPr>
                <w:color w:val="FFFFFF" w:themeColor="background1"/>
                <w:sz w:val="18"/>
              </w:rPr>
              <w:t>%</w:t>
            </w:r>
          </w:p>
        </w:tc>
        <w:tc>
          <w:tcPr>
            <w:tcW w:w="1067"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7B1DF7" w:rsidRPr="00A117C9" w:rsidRDefault="007B1DF7" w:rsidP="00655C26">
            <w:pPr>
              <w:pStyle w:val="TableSubheading"/>
              <w:jc w:val="center"/>
              <w:rPr>
                <w:color w:val="FFFFFF" w:themeColor="background1"/>
                <w:sz w:val="18"/>
              </w:rPr>
            </w:pPr>
            <w:r w:rsidRPr="00A117C9">
              <w:rPr>
                <w:color w:val="FFFFFF" w:themeColor="background1"/>
                <w:sz w:val="18"/>
              </w:rPr>
              <w:t>%</w:t>
            </w:r>
          </w:p>
        </w:tc>
        <w:tc>
          <w:tcPr>
            <w:tcW w:w="1038"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7B1DF7" w:rsidRPr="00A117C9" w:rsidRDefault="007B1DF7" w:rsidP="00655C26">
            <w:pPr>
              <w:pStyle w:val="TableSubheading"/>
              <w:jc w:val="center"/>
              <w:rPr>
                <w:color w:val="FFFFFF" w:themeColor="background1"/>
                <w:sz w:val="18"/>
              </w:rPr>
            </w:pPr>
            <w:r w:rsidRPr="00A117C9">
              <w:rPr>
                <w:color w:val="FFFFFF" w:themeColor="background1"/>
                <w:sz w:val="18"/>
              </w:rPr>
              <w:t>%</w:t>
            </w:r>
          </w:p>
        </w:tc>
        <w:tc>
          <w:tcPr>
            <w:tcW w:w="996" w:type="dxa"/>
            <w:tcBorders>
              <w:left w:val="single" w:sz="4" w:space="0" w:color="3D4D7D" w:themeColor="background2"/>
            </w:tcBorders>
            <w:shd w:val="clear" w:color="auto" w:fill="7C8CBF" w:themeFill="background2" w:themeFillTint="99"/>
            <w:vAlign w:val="center"/>
            <w:hideMark/>
          </w:tcPr>
          <w:p w:rsidR="007B1DF7" w:rsidRPr="00A117C9" w:rsidRDefault="007B1DF7" w:rsidP="00A117C9">
            <w:pPr>
              <w:pStyle w:val="TableSubheading"/>
              <w:ind w:left="0" w:right="0"/>
              <w:jc w:val="center"/>
              <w:rPr>
                <w:color w:val="FFFFFF" w:themeColor="background1"/>
                <w:sz w:val="18"/>
              </w:rPr>
            </w:pPr>
            <w:r w:rsidRPr="00A117C9">
              <w:rPr>
                <w:color w:val="FFFFFF" w:themeColor="background1"/>
                <w:sz w:val="18"/>
              </w:rPr>
              <w:t>%</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National Disability Insurance Scheme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32</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7.2</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4.1</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Defence spending</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71</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1.9</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2.2</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9.1</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Aged care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20</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42</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1.3</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4.3</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5.4</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Medicare Benefits Schedule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45</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3.2</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5.8</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Child care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8</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15</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3.6</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1.9</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Public hospitals</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22</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38</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1.2</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4.9</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Government superannuation</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12</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3.0</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1.6</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Carer income support</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9</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15</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2.0</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 xml:space="preserve">Fuel </w:t>
            </w:r>
            <w:r w:rsidR="00A11F68">
              <w:rPr>
                <w:rFonts w:ascii="Calibri" w:hAnsi="Calibri"/>
                <w:b w:val="0"/>
                <w:color w:val="000000"/>
                <w:sz w:val="18"/>
              </w:rPr>
              <w:t>t</w:t>
            </w:r>
            <w:r w:rsidR="00A11F68" w:rsidRPr="00A117C9">
              <w:rPr>
                <w:rFonts w:ascii="Calibri" w:hAnsi="Calibri"/>
                <w:b w:val="0"/>
                <w:color w:val="000000"/>
                <w:sz w:val="18"/>
              </w:rPr>
              <w:t xml:space="preserve">ax </w:t>
            </w:r>
            <w:r w:rsidR="00A11F68">
              <w:rPr>
                <w:rFonts w:ascii="Calibri" w:hAnsi="Calibri"/>
                <w:b w:val="0"/>
                <w:color w:val="000000"/>
                <w:sz w:val="18"/>
              </w:rPr>
              <w:t>c</w:t>
            </w:r>
            <w:r w:rsidR="00A11F68" w:rsidRPr="00A117C9">
              <w:rPr>
                <w:rFonts w:ascii="Calibri" w:hAnsi="Calibri"/>
                <w:b w:val="0"/>
                <w:color w:val="000000"/>
                <w:sz w:val="18"/>
              </w:rPr>
              <w:t xml:space="preserve">redit </w:t>
            </w:r>
            <w:r w:rsidR="00A11F68">
              <w:rPr>
                <w:rFonts w:ascii="Calibri" w:hAnsi="Calibri"/>
                <w:b w:val="0"/>
                <w:color w:val="000000"/>
                <w:sz w:val="18"/>
              </w:rPr>
              <w:t>s</w:t>
            </w:r>
            <w:r w:rsidR="00A11F68" w:rsidRPr="00A117C9">
              <w:rPr>
                <w:rFonts w:ascii="Calibri" w:hAnsi="Calibri"/>
                <w:b w:val="0"/>
                <w:color w:val="000000"/>
                <w:sz w:val="18"/>
              </w:rPr>
              <w:t>cheme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12</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1.5</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Schools</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20</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33</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2.4</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4.3</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 xml:space="preserve">Age </w:t>
            </w:r>
            <w:r w:rsidR="00A11F68">
              <w:rPr>
                <w:rFonts w:ascii="Calibri" w:hAnsi="Calibri"/>
                <w:b w:val="0"/>
                <w:color w:val="000000"/>
                <w:sz w:val="18"/>
              </w:rPr>
              <w:t>p</w:t>
            </w:r>
            <w:r w:rsidR="00A11F68" w:rsidRPr="00A117C9">
              <w:rPr>
                <w:rFonts w:ascii="Calibri" w:hAnsi="Calibri"/>
                <w:b w:val="0"/>
                <w:color w:val="000000"/>
                <w:sz w:val="18"/>
              </w:rPr>
              <w:t>ension</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78</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2.3</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10.1</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GST transfers to states</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66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110</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2.3</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14.1</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Private Health Insurance Rebate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9</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1.2</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Parenting payments</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5</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0.0</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Official Development Assistance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5</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-1.3</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0.6</w:t>
            </w:r>
          </w:p>
        </w:tc>
      </w:tr>
      <w:tr w:rsidR="00E30137" w:rsidRPr="002E3181" w:rsidTr="00E30137">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 xml:space="preserve">Job </w:t>
            </w:r>
            <w:r w:rsidR="00A11F68">
              <w:rPr>
                <w:rFonts w:ascii="Calibri" w:hAnsi="Calibri"/>
                <w:b w:val="0"/>
                <w:color w:val="000000"/>
                <w:sz w:val="18"/>
              </w:rPr>
              <w:t>s</w:t>
            </w:r>
            <w:r w:rsidR="00A11F68" w:rsidRPr="00A117C9">
              <w:rPr>
                <w:rFonts w:ascii="Calibri" w:hAnsi="Calibri"/>
                <w:b w:val="0"/>
                <w:color w:val="000000"/>
                <w:sz w:val="18"/>
              </w:rPr>
              <w:t xml:space="preserve">eeker </w:t>
            </w:r>
            <w:r w:rsidR="00A11F68">
              <w:rPr>
                <w:rFonts w:ascii="Calibri" w:hAnsi="Calibri"/>
                <w:b w:val="0"/>
                <w:color w:val="000000"/>
                <w:sz w:val="18"/>
              </w:rPr>
              <w:t>i</w:t>
            </w:r>
            <w:r w:rsidR="00A11F68" w:rsidRPr="00A117C9">
              <w:rPr>
                <w:rFonts w:ascii="Calibri" w:hAnsi="Calibri"/>
                <w:b w:val="0"/>
                <w:color w:val="000000"/>
                <w:sz w:val="18"/>
              </w:rPr>
              <w:t xml:space="preserve">ncome </w:t>
            </w:r>
            <w:r w:rsidR="00A11F68">
              <w:rPr>
                <w:rFonts w:ascii="Calibri" w:hAnsi="Calibri"/>
                <w:b w:val="0"/>
                <w:color w:val="000000"/>
                <w:sz w:val="18"/>
              </w:rPr>
              <w:t>s</w:t>
            </w:r>
            <w:r w:rsidR="00A11F68" w:rsidRPr="00A117C9">
              <w:rPr>
                <w:rFonts w:ascii="Calibri" w:hAnsi="Calibri"/>
                <w:b w:val="0"/>
                <w:color w:val="000000"/>
                <w:sz w:val="18"/>
              </w:rPr>
              <w:t>upport</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16</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2.0</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Road and rail infrastructure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-0.7</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1.0</w:t>
            </w:r>
          </w:p>
        </w:tc>
      </w:tr>
      <w:tr w:rsidR="00E30137" w:rsidRPr="002E3181" w:rsidTr="00E30137">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Commonwealth Grant Scheme</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8</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-0.9</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1.1</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 xml:space="preserve">Disability </w:t>
            </w:r>
            <w:r w:rsidR="00A11F68">
              <w:rPr>
                <w:rFonts w:ascii="Calibri" w:hAnsi="Calibri"/>
                <w:b w:val="0"/>
                <w:color w:val="000000"/>
                <w:sz w:val="18"/>
              </w:rPr>
              <w:t>s</w:t>
            </w:r>
            <w:r w:rsidR="00A11F68" w:rsidRPr="00A117C9">
              <w:rPr>
                <w:rFonts w:ascii="Calibri" w:hAnsi="Calibri"/>
                <w:b w:val="0"/>
                <w:color w:val="000000"/>
                <w:sz w:val="18"/>
              </w:rPr>
              <w:t xml:space="preserve">upport </w:t>
            </w:r>
            <w:r w:rsidR="00A11F68">
              <w:rPr>
                <w:rFonts w:ascii="Calibri" w:hAnsi="Calibri"/>
                <w:b w:val="0"/>
                <w:color w:val="000000"/>
                <w:sz w:val="18"/>
              </w:rPr>
              <w:t>p</w:t>
            </w:r>
            <w:r w:rsidRPr="00A117C9">
              <w:rPr>
                <w:rFonts w:ascii="Calibri" w:hAnsi="Calibri"/>
                <w:b w:val="0"/>
                <w:color w:val="000000"/>
                <w:sz w:val="18"/>
              </w:rPr>
              <w:t>ension</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23</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0.9</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0.7</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3.0</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Veterans</w:t>
            </w:r>
            <w:r w:rsidR="00A11F68">
              <w:rPr>
                <w:rFonts w:ascii="Calibri" w:hAnsi="Calibri"/>
                <w:b w:val="0"/>
                <w:color w:val="000000"/>
                <w:sz w:val="18"/>
              </w:rPr>
              <w:t>’</w:t>
            </w:r>
            <w:r w:rsidRPr="00A117C9">
              <w:rPr>
                <w:rFonts w:ascii="Calibri" w:hAnsi="Calibri"/>
                <w:b w:val="0"/>
                <w:color w:val="000000"/>
                <w:sz w:val="18"/>
              </w:rPr>
              <w:t xml:space="preserve"> support</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6</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5</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0.1</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-4.4</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0.6</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8B5096">
            <w:pPr>
              <w:pStyle w:val="TableSubheading"/>
              <w:rPr>
                <w:b w:val="0"/>
                <w:sz w:val="18"/>
              </w:rPr>
            </w:pPr>
            <w:r w:rsidRPr="00A117C9">
              <w:rPr>
                <w:rFonts w:ascii="Calibri" w:hAnsi="Calibri"/>
                <w:b w:val="0"/>
                <w:color w:val="000000"/>
                <w:sz w:val="18"/>
              </w:rPr>
              <w:t xml:space="preserve">Family </w:t>
            </w:r>
            <w:r w:rsidR="00A11F68">
              <w:rPr>
                <w:rFonts w:ascii="Calibri" w:hAnsi="Calibri"/>
                <w:b w:val="0"/>
                <w:color w:val="000000"/>
                <w:sz w:val="18"/>
              </w:rPr>
              <w:t>t</w:t>
            </w:r>
            <w:r w:rsidR="00A11F68" w:rsidRPr="00A117C9">
              <w:rPr>
                <w:rFonts w:ascii="Calibri" w:hAnsi="Calibri"/>
                <w:b w:val="0"/>
                <w:color w:val="000000"/>
                <w:sz w:val="18"/>
              </w:rPr>
              <w:t xml:space="preserve">ax </w:t>
            </w:r>
            <w:r w:rsidR="00A11F68">
              <w:rPr>
                <w:rFonts w:ascii="Calibri" w:hAnsi="Calibri"/>
                <w:b w:val="0"/>
                <w:color w:val="000000"/>
                <w:sz w:val="18"/>
              </w:rPr>
              <w:t>b</w:t>
            </w:r>
            <w:r w:rsidR="00A11F68" w:rsidRPr="00A117C9">
              <w:rPr>
                <w:rFonts w:ascii="Calibri" w:hAnsi="Calibri"/>
                <w:b w:val="0"/>
                <w:color w:val="000000"/>
                <w:sz w:val="18"/>
              </w:rPr>
              <w:t>enefit</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18</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24</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0.9</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0.7</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3.1</w:t>
            </w:r>
          </w:p>
        </w:tc>
      </w:tr>
      <w:tr w:rsidR="00E30137" w:rsidRPr="002E3181" w:rsidTr="00E30137">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Pharmaceutical benefits</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13</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16</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0.7</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-0.6</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2.0</w:t>
            </w:r>
          </w:p>
        </w:tc>
      </w:tr>
      <w:tr w:rsidR="00A117C9" w:rsidRPr="002E3181" w:rsidTr="00A117C9">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vAlign w:val="center"/>
          </w:tcPr>
          <w:p w:rsidR="00E30137" w:rsidRPr="00A117C9" w:rsidRDefault="00E30137" w:rsidP="000737FE">
            <w:pPr>
              <w:pStyle w:val="TableSubheading"/>
              <w:rPr>
                <w:b w:val="0"/>
                <w:sz w:val="18"/>
              </w:rPr>
            </w:pPr>
            <w:r w:rsidRPr="00A117C9">
              <w:rPr>
                <w:rFonts w:ascii="Calibri" w:hAnsi="Calibri"/>
                <w:b w:val="0"/>
                <w:color w:val="000000"/>
                <w:sz w:val="18"/>
              </w:rPr>
              <w:t>Public debt interest</w:t>
            </w:r>
          </w:p>
        </w:tc>
        <w:tc>
          <w:tcPr>
            <w:tcW w:w="867"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18</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14</w:t>
            </w:r>
          </w:p>
        </w:tc>
        <w:tc>
          <w:tcPr>
            <w:tcW w:w="865"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0.9</w:t>
            </w:r>
          </w:p>
        </w:tc>
        <w:tc>
          <w:tcPr>
            <w:tcW w:w="868" w:type="dxa"/>
            <w:tcBorders>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0.4</w:t>
            </w:r>
          </w:p>
        </w:tc>
        <w:tc>
          <w:tcPr>
            <w:tcW w:w="1067"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-0.5</w:t>
            </w:r>
          </w:p>
        </w:tc>
        <w:tc>
          <w:tcPr>
            <w:tcW w:w="1038" w:type="dxa"/>
            <w:tcBorders>
              <w:left w:val="single" w:sz="4" w:space="0" w:color="3D4D7D" w:themeColor="background2"/>
              <w:righ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-4.9</w:t>
            </w:r>
          </w:p>
        </w:tc>
        <w:tc>
          <w:tcPr>
            <w:tcW w:w="996" w:type="dxa"/>
            <w:tcBorders>
              <w:left w:val="single" w:sz="4" w:space="0" w:color="3D4D7D" w:themeColor="background2"/>
            </w:tcBorders>
            <w:vAlign w:val="center"/>
          </w:tcPr>
          <w:p w:rsidR="00E30137" w:rsidRPr="00A117C9" w:rsidRDefault="00E30137" w:rsidP="00A117C9">
            <w:pPr>
              <w:ind w:right="16"/>
              <w:jc w:val="center"/>
              <w:rPr>
                <w:color w:val="000000"/>
                <w:sz w:val="18"/>
                <w:szCs w:val="20"/>
              </w:rPr>
            </w:pPr>
            <w:r w:rsidRPr="00A117C9">
              <w:rPr>
                <w:rFonts w:ascii="Calibri" w:hAnsi="Calibri"/>
                <w:color w:val="000000"/>
                <w:sz w:val="18"/>
                <w:szCs w:val="20"/>
              </w:rPr>
              <w:t>1.7</w:t>
            </w:r>
          </w:p>
        </w:tc>
      </w:tr>
      <w:tr w:rsidR="00E30137" w:rsidRPr="002E3181" w:rsidTr="000737FE">
        <w:tc>
          <w:tcPr>
            <w:tcW w:w="2551" w:type="dxa"/>
            <w:tcBorders>
              <w:right w:val="single" w:sz="4" w:space="0" w:color="3D4D7D" w:themeColor="background2"/>
            </w:tcBorders>
            <w:hideMark/>
          </w:tcPr>
          <w:p w:rsidR="007C2ECB" w:rsidRPr="00A117C9" w:rsidRDefault="007C2ECB" w:rsidP="000737FE">
            <w:pPr>
              <w:pStyle w:val="TableSubheading"/>
              <w:rPr>
                <w:sz w:val="18"/>
              </w:rPr>
            </w:pPr>
            <w:r w:rsidRPr="00A117C9">
              <w:rPr>
                <w:sz w:val="18"/>
              </w:rPr>
              <w:t>Total modelled spending</w:t>
            </w:r>
          </w:p>
        </w:tc>
        <w:tc>
          <w:tcPr>
            <w:tcW w:w="867"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388</w:t>
            </w:r>
          </w:p>
        </w:tc>
        <w:tc>
          <w:tcPr>
            <w:tcW w:w="868" w:type="dxa"/>
            <w:tcBorders>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639</w:t>
            </w:r>
          </w:p>
        </w:tc>
        <w:tc>
          <w:tcPr>
            <w:tcW w:w="865"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20.0</w:t>
            </w:r>
          </w:p>
        </w:tc>
        <w:tc>
          <w:tcPr>
            <w:tcW w:w="868" w:type="dxa"/>
            <w:tcBorders>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19.6</w:t>
            </w:r>
          </w:p>
        </w:tc>
        <w:tc>
          <w:tcPr>
            <w:tcW w:w="1067"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-0.4</w:t>
            </w:r>
          </w:p>
        </w:tc>
        <w:tc>
          <w:tcPr>
            <w:tcW w:w="1038"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2.1</w:t>
            </w:r>
          </w:p>
        </w:tc>
        <w:tc>
          <w:tcPr>
            <w:tcW w:w="996"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82.1</w:t>
            </w:r>
          </w:p>
        </w:tc>
      </w:tr>
      <w:tr w:rsidR="00F119CB" w:rsidRPr="002E3181" w:rsidTr="000737FE">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hideMark/>
          </w:tcPr>
          <w:p w:rsidR="007C2ECB" w:rsidRPr="00A117C9" w:rsidRDefault="007C2ECB" w:rsidP="000737FE">
            <w:pPr>
              <w:pStyle w:val="TableSubheading"/>
              <w:rPr>
                <w:sz w:val="18"/>
              </w:rPr>
            </w:pPr>
            <w:r w:rsidRPr="00A117C9">
              <w:rPr>
                <w:sz w:val="18"/>
              </w:rPr>
              <w:t>Other spending</w:t>
            </w:r>
          </w:p>
        </w:tc>
        <w:tc>
          <w:tcPr>
            <w:tcW w:w="867"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94</w:t>
            </w:r>
          </w:p>
        </w:tc>
        <w:tc>
          <w:tcPr>
            <w:tcW w:w="868" w:type="dxa"/>
            <w:tcBorders>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140</w:t>
            </w:r>
          </w:p>
        </w:tc>
        <w:tc>
          <w:tcPr>
            <w:tcW w:w="865"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4.9</w:t>
            </w:r>
          </w:p>
        </w:tc>
        <w:tc>
          <w:tcPr>
            <w:tcW w:w="868" w:type="dxa"/>
            <w:tcBorders>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4.3</w:t>
            </w:r>
          </w:p>
        </w:tc>
        <w:tc>
          <w:tcPr>
            <w:tcW w:w="1067"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-0.6</w:t>
            </w:r>
          </w:p>
        </w:tc>
        <w:tc>
          <w:tcPr>
            <w:tcW w:w="1038"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1.2</w:t>
            </w:r>
          </w:p>
        </w:tc>
        <w:tc>
          <w:tcPr>
            <w:tcW w:w="996" w:type="dxa"/>
            <w:tcBorders>
              <w:left w:val="single" w:sz="4" w:space="0" w:color="3D4D7D" w:themeColor="background2"/>
            </w:tcBorders>
            <w:vAlign w:val="center"/>
          </w:tcPr>
          <w:p w:rsidR="007C2ECB" w:rsidRPr="00A117C9" w:rsidRDefault="007C2ECB" w:rsidP="00A117C9">
            <w:pPr>
              <w:ind w:right="16"/>
              <w:jc w:val="center"/>
              <w:rPr>
                <w:b/>
                <w:bCs/>
                <w:color w:val="000000"/>
                <w:sz w:val="18"/>
                <w:szCs w:val="20"/>
              </w:rPr>
            </w:pPr>
            <w:r w:rsidRPr="00A117C9">
              <w:rPr>
                <w:b/>
                <w:bCs/>
                <w:color w:val="000000"/>
                <w:sz w:val="18"/>
                <w:szCs w:val="20"/>
              </w:rPr>
              <w:t>17.9</w:t>
            </w:r>
          </w:p>
        </w:tc>
      </w:tr>
      <w:tr w:rsidR="00E30137" w:rsidRPr="002E3181" w:rsidTr="000737FE">
        <w:tc>
          <w:tcPr>
            <w:tcW w:w="2551" w:type="dxa"/>
            <w:tcBorders>
              <w:right w:val="single" w:sz="4" w:space="0" w:color="3D4D7D" w:themeColor="background2"/>
            </w:tcBorders>
            <w:hideMark/>
          </w:tcPr>
          <w:p w:rsidR="007C2ECB" w:rsidRPr="00A117C9" w:rsidRDefault="007C2ECB" w:rsidP="000737FE">
            <w:pPr>
              <w:pStyle w:val="TableSubheading"/>
              <w:ind w:left="284"/>
              <w:rPr>
                <w:rFonts w:ascii="Calibri" w:hAnsi="Calibri"/>
                <w:b w:val="0"/>
                <w:bCs/>
                <w:i/>
                <w:iCs/>
                <w:color w:val="2B3B5F"/>
                <w:sz w:val="18"/>
              </w:rPr>
            </w:pPr>
            <w:r w:rsidRPr="00A117C9">
              <w:rPr>
                <w:rFonts w:ascii="Calibri" w:hAnsi="Calibri"/>
                <w:b w:val="0"/>
                <w:bCs/>
                <w:i/>
                <w:iCs/>
                <w:color w:val="2B3B5F"/>
                <w:sz w:val="18"/>
              </w:rPr>
              <w:t>Government administration</w:t>
            </w:r>
          </w:p>
        </w:tc>
        <w:tc>
          <w:tcPr>
            <w:tcW w:w="867"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37</w:t>
            </w:r>
          </w:p>
        </w:tc>
        <w:tc>
          <w:tcPr>
            <w:tcW w:w="868" w:type="dxa"/>
            <w:tcBorders>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49</w:t>
            </w:r>
          </w:p>
        </w:tc>
        <w:tc>
          <w:tcPr>
            <w:tcW w:w="865"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1.9</w:t>
            </w:r>
          </w:p>
        </w:tc>
        <w:tc>
          <w:tcPr>
            <w:tcW w:w="868" w:type="dxa"/>
            <w:tcBorders>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1.5</w:t>
            </w:r>
          </w:p>
        </w:tc>
        <w:tc>
          <w:tcPr>
            <w:tcW w:w="1067"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-0.4</w:t>
            </w:r>
          </w:p>
        </w:tc>
        <w:tc>
          <w:tcPr>
            <w:tcW w:w="1038"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0.3</w:t>
            </w:r>
          </w:p>
        </w:tc>
        <w:tc>
          <w:tcPr>
            <w:tcW w:w="996"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6.3</w:t>
            </w:r>
          </w:p>
        </w:tc>
      </w:tr>
      <w:tr w:rsidR="00F119CB" w:rsidRPr="002E3181" w:rsidTr="000737FE">
        <w:trPr>
          <w:cnfStyle w:val="000000100000" w:firstRow="0" w:lastRow="0" w:firstColumn="0" w:lastColumn="0" w:oddVBand="0" w:evenVBand="0" w:oddHBand="1" w:evenHBand="0" w:firstRowFirstColumn="0" w:firstRowLastColumn="0" w:lastRowFirstColumn="0" w:lastRowLastColumn="0"/>
        </w:trPr>
        <w:tc>
          <w:tcPr>
            <w:tcW w:w="2551" w:type="dxa"/>
            <w:tcBorders>
              <w:right w:val="single" w:sz="4" w:space="0" w:color="3D4D7D" w:themeColor="background2"/>
            </w:tcBorders>
            <w:hideMark/>
          </w:tcPr>
          <w:p w:rsidR="007C2ECB" w:rsidRPr="00A117C9" w:rsidRDefault="007C2ECB" w:rsidP="000737FE">
            <w:pPr>
              <w:pStyle w:val="TableSubheading"/>
              <w:ind w:left="284"/>
              <w:rPr>
                <w:rFonts w:ascii="Calibri" w:hAnsi="Calibri"/>
                <w:b w:val="0"/>
                <w:bCs/>
                <w:i/>
                <w:iCs/>
                <w:color w:val="2B3B5F"/>
                <w:sz w:val="18"/>
              </w:rPr>
            </w:pPr>
            <w:r w:rsidRPr="00A117C9">
              <w:rPr>
                <w:rFonts w:ascii="Calibri" w:hAnsi="Calibri"/>
                <w:b w:val="0"/>
                <w:bCs/>
                <w:i/>
                <w:iCs/>
                <w:color w:val="2B3B5F"/>
                <w:sz w:val="18"/>
              </w:rPr>
              <w:t>Remaining spending</w:t>
            </w:r>
          </w:p>
        </w:tc>
        <w:tc>
          <w:tcPr>
            <w:tcW w:w="867"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58</w:t>
            </w:r>
          </w:p>
        </w:tc>
        <w:tc>
          <w:tcPr>
            <w:tcW w:w="868" w:type="dxa"/>
            <w:tcBorders>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90</w:t>
            </w:r>
          </w:p>
        </w:tc>
        <w:tc>
          <w:tcPr>
            <w:tcW w:w="865"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3.0</w:t>
            </w:r>
          </w:p>
        </w:tc>
        <w:tc>
          <w:tcPr>
            <w:tcW w:w="868" w:type="dxa"/>
            <w:tcBorders>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2.8</w:t>
            </w:r>
          </w:p>
        </w:tc>
        <w:tc>
          <w:tcPr>
            <w:tcW w:w="1067"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-0.2</w:t>
            </w:r>
          </w:p>
        </w:tc>
        <w:tc>
          <w:tcPr>
            <w:tcW w:w="1038" w:type="dxa"/>
            <w:tcBorders>
              <w:left w:val="single" w:sz="4" w:space="0" w:color="3D4D7D" w:themeColor="background2"/>
              <w:righ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1.7</w:t>
            </w:r>
          </w:p>
        </w:tc>
        <w:tc>
          <w:tcPr>
            <w:tcW w:w="996" w:type="dxa"/>
            <w:tcBorders>
              <w:left w:val="single" w:sz="4" w:space="0" w:color="3D4D7D" w:themeColor="background2"/>
            </w:tcBorders>
            <w:vAlign w:val="center"/>
          </w:tcPr>
          <w:p w:rsidR="007C2ECB" w:rsidRPr="00A117C9" w:rsidRDefault="007C2ECB" w:rsidP="00A117C9">
            <w:pPr>
              <w:ind w:right="16"/>
              <w:jc w:val="center"/>
              <w:rPr>
                <w:i/>
                <w:iCs/>
                <w:color w:val="000000"/>
                <w:sz w:val="18"/>
                <w:szCs w:val="20"/>
              </w:rPr>
            </w:pPr>
            <w:r w:rsidRPr="00A117C9">
              <w:rPr>
                <w:i/>
                <w:iCs/>
                <w:color w:val="000000"/>
                <w:sz w:val="18"/>
                <w:szCs w:val="20"/>
              </w:rPr>
              <w:t>11.6</w:t>
            </w:r>
          </w:p>
        </w:tc>
      </w:tr>
      <w:tr w:rsidR="00F119CB" w:rsidRPr="002E3181" w:rsidTr="000737FE">
        <w:tc>
          <w:tcPr>
            <w:tcW w:w="2551" w:type="dxa"/>
            <w:tcBorders>
              <w:right w:val="single" w:sz="4" w:space="0" w:color="3D4D7D" w:themeColor="background2"/>
            </w:tcBorders>
            <w:shd w:val="clear" w:color="auto" w:fill="3D4D7D" w:themeFill="background2"/>
            <w:hideMark/>
          </w:tcPr>
          <w:p w:rsidR="007C2ECB" w:rsidRPr="00A117C9" w:rsidRDefault="007C2ECB" w:rsidP="000737FE">
            <w:pPr>
              <w:pStyle w:val="TableSubheading"/>
              <w:rPr>
                <w:b w:val="0"/>
                <w:bCs/>
                <w:color w:val="FFFFFF"/>
                <w:sz w:val="18"/>
              </w:rPr>
            </w:pPr>
            <w:r w:rsidRPr="00A117C9">
              <w:rPr>
                <w:bCs/>
                <w:color w:val="FFFFFF"/>
                <w:sz w:val="18"/>
              </w:rPr>
              <w:t>Total spending</w:t>
            </w:r>
          </w:p>
        </w:tc>
        <w:tc>
          <w:tcPr>
            <w:tcW w:w="867"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483</w:t>
            </w:r>
          </w:p>
        </w:tc>
        <w:tc>
          <w:tcPr>
            <w:tcW w:w="868"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778</w:t>
            </w:r>
          </w:p>
        </w:tc>
        <w:tc>
          <w:tcPr>
            <w:tcW w:w="865"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24.9</w:t>
            </w:r>
          </w:p>
        </w:tc>
        <w:tc>
          <w:tcPr>
            <w:tcW w:w="868"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23.9</w:t>
            </w:r>
          </w:p>
        </w:tc>
        <w:tc>
          <w:tcPr>
            <w:tcW w:w="1067"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-1.0</w:t>
            </w:r>
          </w:p>
        </w:tc>
        <w:tc>
          <w:tcPr>
            <w:tcW w:w="1038" w:type="dxa"/>
            <w:tcBorders>
              <w:left w:val="single" w:sz="4" w:space="0" w:color="3D4D7D" w:themeColor="background2"/>
              <w:righ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2.0</w:t>
            </w:r>
          </w:p>
        </w:tc>
        <w:tc>
          <w:tcPr>
            <w:tcW w:w="996" w:type="dxa"/>
            <w:tcBorders>
              <w:left w:val="single" w:sz="4" w:space="0" w:color="3D4D7D" w:themeColor="background2"/>
            </w:tcBorders>
            <w:shd w:val="clear" w:color="auto" w:fill="3D4D7D" w:themeFill="background2"/>
            <w:vAlign w:val="center"/>
          </w:tcPr>
          <w:p w:rsidR="007C2ECB" w:rsidRPr="00A117C9" w:rsidRDefault="007C2ECB" w:rsidP="00A117C9">
            <w:pPr>
              <w:ind w:right="16"/>
              <w:jc w:val="center"/>
              <w:rPr>
                <w:b/>
                <w:bCs/>
                <w:color w:val="FFFFFF"/>
                <w:sz w:val="18"/>
                <w:szCs w:val="20"/>
              </w:rPr>
            </w:pPr>
            <w:r w:rsidRPr="00A117C9">
              <w:rPr>
                <w:b/>
                <w:bCs/>
                <w:color w:val="FFFFFF"/>
                <w:sz w:val="18"/>
                <w:szCs w:val="20"/>
              </w:rPr>
              <w:t>100.0</w:t>
            </w:r>
          </w:p>
        </w:tc>
      </w:tr>
    </w:tbl>
    <w:p w:rsidR="007B1DF7" w:rsidRPr="009D7A93" w:rsidRDefault="007B1DF7" w:rsidP="00552C4C">
      <w:pPr>
        <w:pStyle w:val="SourceIndent"/>
        <w:tabs>
          <w:tab w:val="clear" w:pos="624"/>
        </w:tabs>
        <w:ind w:left="0"/>
      </w:pPr>
      <w:r>
        <w:t xml:space="preserve">Source: </w:t>
      </w:r>
      <w:r w:rsidRPr="00363711">
        <w:t>201</w:t>
      </w:r>
      <w:r w:rsidR="00921F2C">
        <w:t>9</w:t>
      </w:r>
      <w:r w:rsidR="007D470B">
        <w:t>–</w:t>
      </w:r>
      <w:r w:rsidR="00921F2C">
        <w:t>20</w:t>
      </w:r>
      <w:r w:rsidRPr="00363711">
        <w:t xml:space="preserve"> Budget and PBO analysis.</w:t>
      </w:r>
    </w:p>
    <w:p w:rsidR="00321DD0" w:rsidRPr="00321DD0" w:rsidRDefault="000737FE" w:rsidP="00C257A3">
      <w:pPr>
        <w:pStyle w:val="Heading2"/>
      </w:pPr>
      <w:bookmarkStart w:id="64" w:name="_Toc19801241"/>
      <w:r>
        <w:t>National Disability Insurance Scheme</w:t>
      </w:r>
      <w:bookmarkEnd w:id="64"/>
    </w:p>
    <w:p w:rsidR="007127C5" w:rsidRPr="00A117C9" w:rsidRDefault="00AC6174" w:rsidP="00AC6174">
      <w:pPr>
        <w:pStyle w:val="BodyText"/>
      </w:pPr>
      <w:r w:rsidRPr="00A117C9">
        <w:t xml:space="preserve">The largest </w:t>
      </w:r>
      <w:r w:rsidR="002E2BB5" w:rsidRPr="00A117C9">
        <w:t>contributor to</w:t>
      </w:r>
      <w:r w:rsidR="00CA3323" w:rsidRPr="00A117C9">
        <w:t xml:space="preserve"> the growth </w:t>
      </w:r>
      <w:r w:rsidRPr="00A117C9">
        <w:t xml:space="preserve">in spending over the next decade is spending on the NDIS, </w:t>
      </w:r>
      <w:r w:rsidR="00445A21" w:rsidRPr="00A117C9">
        <w:br/>
      </w:r>
      <w:r w:rsidRPr="00A117C9">
        <w:t>which is projected to increase by 0.</w:t>
      </w:r>
      <w:r w:rsidR="00255DDA" w:rsidRPr="00A117C9">
        <w:t>4</w:t>
      </w:r>
      <w:r w:rsidR="000737FE" w:rsidRPr="00A117C9">
        <w:t> </w:t>
      </w:r>
      <w:r w:rsidRPr="00A117C9">
        <w:t>per</w:t>
      </w:r>
      <w:r w:rsidR="000737FE" w:rsidRPr="00A117C9">
        <w:t> </w:t>
      </w:r>
      <w:r w:rsidRPr="00A117C9">
        <w:t>cent of GDP.  Growth in NDIS spending is expected to increase significantly to 20</w:t>
      </w:r>
      <w:r w:rsidR="00101581" w:rsidRPr="00A117C9">
        <w:t>20</w:t>
      </w:r>
      <w:r w:rsidR="007D470B" w:rsidRPr="00A117C9">
        <w:t>–</w:t>
      </w:r>
      <w:r w:rsidRPr="00A117C9">
        <w:t>2</w:t>
      </w:r>
      <w:r w:rsidR="00101581" w:rsidRPr="00A117C9">
        <w:t>1</w:t>
      </w:r>
      <w:r w:rsidR="007127C5" w:rsidRPr="00A117C9">
        <w:t>,</w:t>
      </w:r>
      <w:r w:rsidRPr="00A117C9">
        <w:t xml:space="preserve"> at which point the </w:t>
      </w:r>
      <w:r w:rsidR="000737FE" w:rsidRPr="00A117C9">
        <w:t>S</w:t>
      </w:r>
      <w:r w:rsidRPr="00A117C9">
        <w:t xml:space="preserve">cheme achieves national coverage.  </w:t>
      </w:r>
      <w:r w:rsidR="00101581" w:rsidRPr="00A117C9">
        <w:t xml:space="preserve">From </w:t>
      </w:r>
      <w:r w:rsidRPr="00A117C9">
        <w:t>20</w:t>
      </w:r>
      <w:r w:rsidR="00101581" w:rsidRPr="00A117C9">
        <w:t>20</w:t>
      </w:r>
      <w:r w:rsidR="007D470B" w:rsidRPr="00A117C9">
        <w:t>–</w:t>
      </w:r>
      <w:r w:rsidRPr="00A117C9">
        <w:t>2</w:t>
      </w:r>
      <w:r w:rsidR="00101581" w:rsidRPr="00A117C9">
        <w:t>1</w:t>
      </w:r>
      <w:r w:rsidRPr="00A117C9">
        <w:t xml:space="preserve"> spending is expected to stabilise</w:t>
      </w:r>
      <w:r w:rsidR="00255DDA" w:rsidRPr="00A117C9">
        <w:t xml:space="preserve"> at 1.0</w:t>
      </w:r>
      <w:r w:rsidR="000737FE" w:rsidRPr="00A117C9">
        <w:t> </w:t>
      </w:r>
      <w:r w:rsidR="00255DDA" w:rsidRPr="00A117C9">
        <w:t>per</w:t>
      </w:r>
      <w:r w:rsidR="000737FE" w:rsidRPr="00A117C9">
        <w:t> </w:t>
      </w:r>
      <w:r w:rsidR="00255DDA" w:rsidRPr="00A117C9">
        <w:t>cent of GDP</w:t>
      </w:r>
      <w:r w:rsidRPr="00A117C9">
        <w:t xml:space="preserve"> as the </w:t>
      </w:r>
      <w:r w:rsidR="008F39EF" w:rsidRPr="00A117C9">
        <w:t xml:space="preserve">NDIS </w:t>
      </w:r>
      <w:r w:rsidR="003911F2" w:rsidRPr="00A117C9">
        <w:t xml:space="preserve">reaches </w:t>
      </w:r>
      <w:r w:rsidRPr="00A117C9">
        <w:t>matur</w:t>
      </w:r>
      <w:r w:rsidR="003911F2" w:rsidRPr="00A117C9">
        <w:t>ity</w:t>
      </w:r>
      <w:r w:rsidRPr="00A117C9">
        <w:t>.</w:t>
      </w:r>
      <w:r w:rsidR="007127C5" w:rsidRPr="00A117C9">
        <w:t xml:space="preserve">  Although NDIS </w:t>
      </w:r>
      <w:r w:rsidR="00C10928" w:rsidRPr="00A117C9">
        <w:t xml:space="preserve">spending </w:t>
      </w:r>
      <w:r w:rsidR="007127C5" w:rsidRPr="00A117C9">
        <w:t xml:space="preserve">has </w:t>
      </w:r>
      <w:r w:rsidR="00C702A0" w:rsidRPr="00A117C9">
        <w:t xml:space="preserve">been </w:t>
      </w:r>
      <w:r w:rsidR="007127C5" w:rsidRPr="00A117C9">
        <w:t xml:space="preserve">lower than expected </w:t>
      </w:r>
      <w:r w:rsidR="00921F2C" w:rsidRPr="00A117C9">
        <w:t>over the past few years</w:t>
      </w:r>
      <w:r w:rsidR="007127C5" w:rsidRPr="00A117C9">
        <w:t>, reflecting lower</w:t>
      </w:r>
      <w:r w:rsidR="00B1291F">
        <w:noBreakHyphen/>
      </w:r>
      <w:r w:rsidR="007127C5" w:rsidRPr="00A117C9">
        <w:t xml:space="preserve">than-expected </w:t>
      </w:r>
      <w:r w:rsidR="00A11F68">
        <w:t>number</w:t>
      </w:r>
      <w:r w:rsidR="00EA1073">
        <w:t>s</w:t>
      </w:r>
      <w:r w:rsidR="00A11F68">
        <w:t xml:space="preserve"> of </w:t>
      </w:r>
      <w:r w:rsidR="007127C5" w:rsidRPr="00A117C9">
        <w:t>participants entering the NDIS and lower utilisation of support packages, projections of the fully rolled</w:t>
      </w:r>
      <w:r w:rsidR="00203121" w:rsidRPr="00A117C9">
        <w:noBreakHyphen/>
      </w:r>
      <w:r w:rsidR="007127C5" w:rsidRPr="00A117C9">
        <w:t>out scheme over the medium term have remained consistent between updates.</w:t>
      </w:r>
    </w:p>
    <w:p w:rsidR="007B1DF7" w:rsidRPr="004E6A22" w:rsidRDefault="007B1DF7" w:rsidP="00AC6174">
      <w:pPr>
        <w:pStyle w:val="BodyText"/>
      </w:pPr>
      <w:r w:rsidRPr="004E6A22">
        <w:lastRenderedPageBreak/>
        <w:t>The NDIS is still in the early stages of implementation and, as with any program which is yet to mature, there are risks that the longer-term costs associated with the NDIS may increase.  While the Productivity Commission noted that preliminary data indicated that the costs of the NDIS were broadly in line with National Disability Insurance Agency</w:t>
      </w:r>
      <w:r w:rsidR="00216205">
        <w:t>’s</w:t>
      </w:r>
      <w:r w:rsidRPr="004E6A22">
        <w:t xml:space="preserve"> long-term estimates, it is </w:t>
      </w:r>
      <w:r w:rsidR="00DD04AB" w:rsidRPr="004E6A22">
        <w:t>possible</w:t>
      </w:r>
      <w:r w:rsidRPr="004E6A22">
        <w:t xml:space="preserve"> that spending pressures will emerge as the NDIS is fully rolled out.</w:t>
      </w:r>
      <w:r w:rsidR="000D7D69" w:rsidRPr="004E6A22">
        <w:rPr>
          <w:rStyle w:val="FootnoteReference"/>
        </w:rPr>
        <w:footnoteReference w:id="14"/>
      </w:r>
    </w:p>
    <w:p w:rsidR="00EF1B4A" w:rsidRPr="001B0FE9" w:rsidRDefault="00EF1B4A" w:rsidP="00EF1B4A">
      <w:pPr>
        <w:pStyle w:val="Heading2"/>
      </w:pPr>
      <w:bookmarkStart w:id="65" w:name="_Toc19801242"/>
      <w:bookmarkStart w:id="66" w:name="_Toc17809964"/>
      <w:bookmarkStart w:id="67" w:name="_Toc17818090"/>
      <w:bookmarkStart w:id="68" w:name="_Toc17884217"/>
      <w:r>
        <w:t>Defence</w:t>
      </w:r>
      <w:bookmarkEnd w:id="65"/>
    </w:p>
    <w:p w:rsidR="00EF1B4A" w:rsidRDefault="00EF1B4A" w:rsidP="00EF1B4A">
      <w:pPr>
        <w:pStyle w:val="BodyText"/>
      </w:pPr>
      <w:r>
        <w:t>Defence</w:t>
      </w:r>
      <w:r w:rsidRPr="00464F27">
        <w:t xml:space="preserve"> spending</w:t>
      </w:r>
      <w:r>
        <w:t xml:space="preserve"> is projected</w:t>
      </w:r>
      <w:r w:rsidRPr="00464F27">
        <w:t xml:space="preserve"> to increase by 0.</w:t>
      </w:r>
      <w:r>
        <w:t>3</w:t>
      </w:r>
      <w:r w:rsidR="00F13F01">
        <w:t> </w:t>
      </w:r>
      <w:r w:rsidRPr="00464F27">
        <w:t>per</w:t>
      </w:r>
      <w:r w:rsidR="00F13F01">
        <w:t> </w:t>
      </w:r>
      <w:r w:rsidRPr="00464F27">
        <w:t>cent of GDP over the next decade</w:t>
      </w:r>
      <w:r w:rsidR="00F13F01">
        <w:t>,</w:t>
      </w:r>
      <w:r w:rsidRPr="00464F27">
        <w:t xml:space="preserve"> reflecting the Government’s funding commitments in the </w:t>
      </w:r>
      <w:r w:rsidRPr="003D2759">
        <w:rPr>
          <w:i/>
        </w:rPr>
        <w:t>2016 Defence White Paper</w:t>
      </w:r>
      <w:r w:rsidRPr="00464F27">
        <w:t xml:space="preserve">.  </w:t>
      </w:r>
      <w:r>
        <w:t xml:space="preserve">This is broadly consistent with projections included in the previous report.  </w:t>
      </w:r>
      <w:r w:rsidR="00DD04AB">
        <w:t>There remains</w:t>
      </w:r>
      <w:r>
        <w:t xml:space="preserve"> </w:t>
      </w:r>
      <w:r w:rsidRPr="002D2315">
        <w:t>uncertainty around the projections in individual years, given that the acquisition of military equipment is inherently ‘lumpy’ in nature and can be subject to changes in the timing of delivery</w:t>
      </w:r>
      <w:r>
        <w:t>.</w:t>
      </w:r>
    </w:p>
    <w:p w:rsidR="00717A6C" w:rsidRDefault="00717A6C" w:rsidP="00717A6C">
      <w:pPr>
        <w:pStyle w:val="Heading2"/>
      </w:pPr>
      <w:bookmarkStart w:id="69" w:name="_Toc19801243"/>
      <w:r>
        <w:t>Medicare</w:t>
      </w:r>
      <w:bookmarkEnd w:id="69"/>
    </w:p>
    <w:p w:rsidR="00717A6C" w:rsidRPr="00F412CF" w:rsidRDefault="00717A6C" w:rsidP="00717A6C">
      <w:pPr>
        <w:pStyle w:val="BodyText"/>
      </w:pPr>
      <w:r>
        <w:t>Spending on Medicare is projected to be relatively stable as a proportion of GDP, increasing from 1.3 per</w:t>
      </w:r>
      <w:r w:rsidR="00F13F01">
        <w:t> </w:t>
      </w:r>
      <w:r>
        <w:t>cent of GDP</w:t>
      </w:r>
      <w:r w:rsidRPr="005E5F20">
        <w:t xml:space="preserve"> </w:t>
      </w:r>
      <w:r>
        <w:t>in 2018</w:t>
      </w:r>
      <w:r w:rsidR="007D470B">
        <w:t>–</w:t>
      </w:r>
      <w:r>
        <w:t>19 to 1.4</w:t>
      </w:r>
      <w:r w:rsidR="00F13F01">
        <w:t> </w:t>
      </w:r>
      <w:r>
        <w:t>per</w:t>
      </w:r>
      <w:r w:rsidR="00F13F01">
        <w:t> </w:t>
      </w:r>
      <w:r>
        <w:t>cent of GDP in 2029</w:t>
      </w:r>
      <w:r w:rsidR="007D470B">
        <w:t>–</w:t>
      </w:r>
      <w:r>
        <w:t xml:space="preserve">30.  </w:t>
      </w:r>
      <w:r w:rsidRPr="005B1251">
        <w:t xml:space="preserve">Growth in Medicare services in recent years has been driven by increased usage, particularly by </w:t>
      </w:r>
      <w:r w:rsidR="008C6B4D">
        <w:t>people aged 65 and over</w:t>
      </w:r>
      <w:r w:rsidRPr="005B1251">
        <w:t>.</w:t>
      </w:r>
      <w:r>
        <w:t xml:space="preserve">  Medicare payments are projected to experience price growth over the medium term as </w:t>
      </w:r>
      <w:r w:rsidR="00DD04AB">
        <w:t xml:space="preserve">the freeze on indexation is lifted on </w:t>
      </w:r>
      <w:r>
        <w:t>more Medicare items in 2019 and 2020.</w:t>
      </w:r>
    </w:p>
    <w:p w:rsidR="00717A6C" w:rsidRPr="00376227" w:rsidRDefault="00717A6C" w:rsidP="00717A6C">
      <w:pPr>
        <w:pStyle w:val="Heading2"/>
      </w:pPr>
      <w:bookmarkStart w:id="70" w:name="_Toc19801244"/>
      <w:r>
        <w:t xml:space="preserve">Pharmaceutical </w:t>
      </w:r>
      <w:r w:rsidR="00F13F01">
        <w:t>b</w:t>
      </w:r>
      <w:r>
        <w:t>enefits</w:t>
      </w:r>
      <w:bookmarkEnd w:id="70"/>
    </w:p>
    <w:p w:rsidR="00717A6C" w:rsidRPr="00A117C9" w:rsidRDefault="00717A6C" w:rsidP="00717A6C">
      <w:pPr>
        <w:pStyle w:val="BodyText"/>
        <w:rPr>
          <w:lang w:eastAsia="en-AU"/>
        </w:rPr>
      </w:pPr>
      <w:r w:rsidRPr="00A117C9">
        <w:rPr>
          <w:lang w:eastAsia="en-AU"/>
        </w:rPr>
        <w:t>Spending on the Pharmaceutical Benefits Scheme (PBS) is projected to decline by 0.2</w:t>
      </w:r>
      <w:r w:rsidR="00F13F01" w:rsidRPr="00A117C9">
        <w:rPr>
          <w:lang w:eastAsia="en-AU"/>
        </w:rPr>
        <w:t> </w:t>
      </w:r>
      <w:r w:rsidRPr="00A117C9">
        <w:rPr>
          <w:lang w:eastAsia="en-AU"/>
        </w:rPr>
        <w:t>per</w:t>
      </w:r>
      <w:r w:rsidR="00F13F01" w:rsidRPr="00A117C9">
        <w:rPr>
          <w:lang w:eastAsia="en-AU"/>
        </w:rPr>
        <w:t> </w:t>
      </w:r>
      <w:r w:rsidRPr="00A117C9">
        <w:rPr>
          <w:lang w:eastAsia="en-AU"/>
        </w:rPr>
        <w:t>cent of GDP to 0.5</w:t>
      </w:r>
      <w:r w:rsidR="00F13F01" w:rsidRPr="00A117C9">
        <w:rPr>
          <w:lang w:eastAsia="en-AU"/>
        </w:rPr>
        <w:t> </w:t>
      </w:r>
      <w:r w:rsidRPr="00A117C9">
        <w:rPr>
          <w:lang w:eastAsia="en-AU"/>
        </w:rPr>
        <w:t>per</w:t>
      </w:r>
      <w:r w:rsidR="00F13F01" w:rsidRPr="00A117C9">
        <w:rPr>
          <w:lang w:eastAsia="en-AU"/>
        </w:rPr>
        <w:t> </w:t>
      </w:r>
      <w:r w:rsidRPr="00A117C9">
        <w:rPr>
          <w:lang w:eastAsia="en-AU"/>
        </w:rPr>
        <w:t>cent</w:t>
      </w:r>
      <w:r w:rsidR="00F13F01" w:rsidRPr="00A117C9">
        <w:rPr>
          <w:lang w:eastAsia="en-AU"/>
        </w:rPr>
        <w:t xml:space="preserve"> of GDP</w:t>
      </w:r>
      <w:r w:rsidRPr="00A117C9">
        <w:rPr>
          <w:lang w:eastAsia="en-AU"/>
        </w:rPr>
        <w:t xml:space="preserve"> in 2020</w:t>
      </w:r>
      <w:r w:rsidR="007D470B" w:rsidRPr="00A117C9">
        <w:rPr>
          <w:lang w:eastAsia="en-AU"/>
        </w:rPr>
        <w:t>–</w:t>
      </w:r>
      <w:r w:rsidRPr="00A117C9">
        <w:rPr>
          <w:lang w:eastAsia="en-AU"/>
        </w:rPr>
        <w:t>21 before stabilising as a proportion of GDP over the medium</w:t>
      </w:r>
      <w:r w:rsidR="00F13F01" w:rsidRPr="00A117C9">
        <w:rPr>
          <w:lang w:eastAsia="en-AU"/>
        </w:rPr>
        <w:t xml:space="preserve"> </w:t>
      </w:r>
      <w:r w:rsidRPr="00A117C9">
        <w:rPr>
          <w:lang w:eastAsia="en-AU"/>
        </w:rPr>
        <w:t>term.  The significant fall within the forward estimates</w:t>
      </w:r>
      <w:r w:rsidR="00182D1C" w:rsidRPr="00A117C9">
        <w:rPr>
          <w:lang w:eastAsia="en-AU"/>
        </w:rPr>
        <w:t xml:space="preserve"> period</w:t>
      </w:r>
      <w:r w:rsidRPr="00A117C9">
        <w:rPr>
          <w:lang w:eastAsia="en-AU"/>
        </w:rPr>
        <w:t xml:space="preserve"> </w:t>
      </w:r>
      <w:r w:rsidRPr="00A117C9">
        <w:t>does not represent a real saving in budget balance terms but is the result of a change in administrative arrangements and is offset by a reduction in non-tax receipts.</w:t>
      </w:r>
      <w:r w:rsidR="00215F4B" w:rsidRPr="00A117C9">
        <w:rPr>
          <w:rStyle w:val="FootnoteReference"/>
        </w:rPr>
        <w:footnoteReference w:id="15"/>
      </w:r>
      <w:r w:rsidRPr="00A117C9">
        <w:t xml:space="preserve">  </w:t>
      </w:r>
    </w:p>
    <w:p w:rsidR="00717A6C" w:rsidRPr="004E6A22" w:rsidRDefault="00717A6C" w:rsidP="00717A6C">
      <w:pPr>
        <w:pStyle w:val="BodyText"/>
        <w:rPr>
          <w:lang w:eastAsia="en-AU"/>
        </w:rPr>
      </w:pPr>
      <w:r w:rsidRPr="004E6A22">
        <w:rPr>
          <w:lang w:eastAsia="en-AU"/>
        </w:rPr>
        <w:t xml:space="preserve">There remains a large degree of uncertainty regarding projections for spending on </w:t>
      </w:r>
      <w:r w:rsidR="00F13F01" w:rsidRPr="004E6A22">
        <w:rPr>
          <w:lang w:eastAsia="en-AU"/>
        </w:rPr>
        <w:t>p</w:t>
      </w:r>
      <w:r w:rsidRPr="004E6A22">
        <w:rPr>
          <w:lang w:eastAsia="en-AU"/>
        </w:rPr>
        <w:t xml:space="preserve">harmaceutical </w:t>
      </w:r>
      <w:r w:rsidR="00F13F01" w:rsidRPr="004E6A22">
        <w:rPr>
          <w:lang w:eastAsia="en-AU"/>
        </w:rPr>
        <w:t>b</w:t>
      </w:r>
      <w:r w:rsidRPr="004E6A22">
        <w:rPr>
          <w:lang w:eastAsia="en-AU"/>
        </w:rPr>
        <w:t>enefits.  The PBO’s projections include the costs for currently listed medicines</w:t>
      </w:r>
      <w:r w:rsidR="00203121" w:rsidRPr="004E6A22">
        <w:rPr>
          <w:lang w:eastAsia="en-AU"/>
        </w:rPr>
        <w:t xml:space="preserve"> </w:t>
      </w:r>
      <w:r w:rsidRPr="004E6A22">
        <w:rPr>
          <w:lang w:eastAsia="en-AU"/>
        </w:rPr>
        <w:t>and an allowance for new listings over the medium term</w:t>
      </w:r>
      <w:r w:rsidR="00F13F01" w:rsidRPr="004E6A22">
        <w:rPr>
          <w:lang w:eastAsia="en-AU"/>
        </w:rPr>
        <w:t>,</w:t>
      </w:r>
      <w:r w:rsidRPr="004E6A22">
        <w:rPr>
          <w:lang w:eastAsia="en-AU"/>
        </w:rPr>
        <w:t xml:space="preserve"> based on historical trends</w:t>
      </w:r>
      <w:r w:rsidR="00215F4B">
        <w:rPr>
          <w:lang w:eastAsia="en-AU"/>
        </w:rPr>
        <w:t xml:space="preserve"> in listings</w:t>
      </w:r>
      <w:r w:rsidRPr="004E6A22">
        <w:rPr>
          <w:lang w:eastAsia="en-AU"/>
        </w:rPr>
        <w:t>.</w:t>
      </w:r>
      <w:r w:rsidRPr="004E6A22">
        <w:rPr>
          <w:rStyle w:val="FootnoteReference"/>
          <w:lang w:eastAsia="en-AU"/>
        </w:rPr>
        <w:footnoteReference w:id="16"/>
      </w:r>
      <w:r w:rsidRPr="004E6A22">
        <w:rPr>
          <w:lang w:eastAsia="en-AU"/>
        </w:rPr>
        <w:t xml:space="preserve">  While this methodology captures the potential influence of population ageing and new listings, it does not capture the potential impact of the listing of revolutionary medicines, which is difficult to project. </w:t>
      </w:r>
      <w:r w:rsidR="00203121" w:rsidRPr="004E6A22">
        <w:rPr>
          <w:lang w:eastAsia="en-AU"/>
        </w:rPr>
        <w:t xml:space="preserve"> </w:t>
      </w:r>
      <w:r w:rsidRPr="004E6A22">
        <w:rPr>
          <w:lang w:eastAsia="en-AU"/>
        </w:rPr>
        <w:t>A recent example is the listing of Hepatitis</w:t>
      </w:r>
      <w:r w:rsidR="00F13F01" w:rsidRPr="004E6A22">
        <w:rPr>
          <w:lang w:eastAsia="en-AU"/>
        </w:rPr>
        <w:t> </w:t>
      </w:r>
      <w:r w:rsidRPr="004E6A22">
        <w:rPr>
          <w:lang w:eastAsia="en-AU"/>
        </w:rPr>
        <w:t>C medicines in early 2016, which resulted in volatility in PBS spending over the following 18 months, although it did not have a significant medium</w:t>
      </w:r>
      <w:r w:rsidR="00F13F01" w:rsidRPr="004E6A22">
        <w:rPr>
          <w:lang w:eastAsia="en-AU"/>
        </w:rPr>
        <w:t>-</w:t>
      </w:r>
      <w:r w:rsidRPr="004E6A22">
        <w:rPr>
          <w:lang w:eastAsia="en-AU"/>
        </w:rPr>
        <w:t xml:space="preserve">term impact on PBS spending due to the nature of the treatment. </w:t>
      </w:r>
    </w:p>
    <w:p w:rsidR="00867ED9" w:rsidRDefault="00867ED9" w:rsidP="00C257A3">
      <w:pPr>
        <w:pStyle w:val="Heading2"/>
      </w:pPr>
      <w:bookmarkStart w:id="71" w:name="_Toc19801245"/>
      <w:bookmarkEnd w:id="66"/>
      <w:bookmarkEnd w:id="67"/>
      <w:bookmarkEnd w:id="68"/>
      <w:r>
        <w:lastRenderedPageBreak/>
        <w:t xml:space="preserve">Aged </w:t>
      </w:r>
      <w:r w:rsidR="00ED7A51">
        <w:t>c</w:t>
      </w:r>
      <w:r>
        <w:t>are</w:t>
      </w:r>
      <w:r w:rsidR="007B1DF7">
        <w:t xml:space="preserve"> and the </w:t>
      </w:r>
      <w:r w:rsidR="00F50FF8">
        <w:t>age pension</w:t>
      </w:r>
      <w:bookmarkEnd w:id="71"/>
    </w:p>
    <w:p w:rsidR="00B00647" w:rsidRPr="004E6A22" w:rsidRDefault="00CA3323" w:rsidP="00B00647">
      <w:pPr>
        <w:pStyle w:val="BodyText"/>
      </w:pPr>
      <w:r w:rsidRPr="004E6A22">
        <w:t>Aged care spending is project</w:t>
      </w:r>
      <w:r w:rsidR="00391D30" w:rsidRPr="004E6A22">
        <w:t xml:space="preserve">ed </w:t>
      </w:r>
      <w:r w:rsidR="008679B4" w:rsidRPr="004E6A22">
        <w:t>to increase by 0.2</w:t>
      </w:r>
      <w:r w:rsidR="00F13F01" w:rsidRPr="004E6A22">
        <w:t> </w:t>
      </w:r>
      <w:r w:rsidRPr="004E6A22">
        <w:t>per</w:t>
      </w:r>
      <w:r w:rsidR="00F13F01" w:rsidRPr="004E6A22">
        <w:t> </w:t>
      </w:r>
      <w:r w:rsidRPr="004E6A22">
        <w:t>cent of GDP over the next decade</w:t>
      </w:r>
      <w:r w:rsidR="00BA12D6" w:rsidRPr="004E6A22">
        <w:t>, from 1.</w:t>
      </w:r>
      <w:r w:rsidR="00C10928" w:rsidRPr="004E6A22">
        <w:t>1 </w:t>
      </w:r>
      <w:r w:rsidR="00BA12D6" w:rsidRPr="004E6A22">
        <w:t>per</w:t>
      </w:r>
      <w:r w:rsidR="00F13F01" w:rsidRPr="004E6A22">
        <w:t> </w:t>
      </w:r>
      <w:r w:rsidR="00BA12D6" w:rsidRPr="004E6A22">
        <w:t xml:space="preserve">cent of GDP </w:t>
      </w:r>
      <w:r w:rsidR="00751171" w:rsidRPr="004E6A22">
        <w:t>in 2018</w:t>
      </w:r>
      <w:r w:rsidR="007D470B" w:rsidRPr="004E6A22">
        <w:t>–</w:t>
      </w:r>
      <w:r w:rsidR="00751171" w:rsidRPr="004E6A22">
        <w:t xml:space="preserve">19 </w:t>
      </w:r>
      <w:r w:rsidR="00BA12D6" w:rsidRPr="004E6A22">
        <w:t>to 1.3</w:t>
      </w:r>
      <w:r w:rsidR="00F13F01" w:rsidRPr="004E6A22">
        <w:t> </w:t>
      </w:r>
      <w:r w:rsidR="00BA12D6" w:rsidRPr="004E6A22">
        <w:t>per</w:t>
      </w:r>
      <w:r w:rsidR="00F13F01" w:rsidRPr="004E6A22">
        <w:t> </w:t>
      </w:r>
      <w:r w:rsidR="00BA12D6" w:rsidRPr="004E6A22">
        <w:t>cent in 2029</w:t>
      </w:r>
      <w:r w:rsidR="007D470B" w:rsidRPr="004E6A22">
        <w:t>–</w:t>
      </w:r>
      <w:r w:rsidR="00BA12D6" w:rsidRPr="004E6A22">
        <w:t>30</w:t>
      </w:r>
      <w:r w:rsidR="008679B4" w:rsidRPr="004E6A22">
        <w:t xml:space="preserve">, </w:t>
      </w:r>
      <w:r w:rsidRPr="004E6A22">
        <w:t>reflecting the impact of the ageing population on the demand for aged care services.</w:t>
      </w:r>
      <w:r w:rsidR="00B00647" w:rsidRPr="004E6A22">
        <w:t xml:space="preserve"> </w:t>
      </w:r>
    </w:p>
    <w:p w:rsidR="00CA3323" w:rsidRPr="004E6A22" w:rsidRDefault="00B00647" w:rsidP="00B00647">
      <w:pPr>
        <w:pStyle w:val="BodyText"/>
      </w:pPr>
      <w:r w:rsidRPr="004E6A22">
        <w:t xml:space="preserve">Aged </w:t>
      </w:r>
      <w:r w:rsidR="00F13F01" w:rsidRPr="004E6A22">
        <w:t>c</w:t>
      </w:r>
      <w:r w:rsidRPr="004E6A22">
        <w:t>are is currently a $20</w:t>
      </w:r>
      <w:r w:rsidR="00F13F01" w:rsidRPr="004E6A22">
        <w:t> </w:t>
      </w:r>
      <w:r w:rsidRPr="004E6A22">
        <w:t xml:space="preserve">billion program with </w:t>
      </w:r>
      <w:r w:rsidR="00062416" w:rsidRPr="004E6A22">
        <w:t xml:space="preserve">around </w:t>
      </w:r>
      <w:r w:rsidRPr="004E6A22">
        <w:t>70</w:t>
      </w:r>
      <w:r w:rsidR="00F13F01" w:rsidRPr="004E6A22">
        <w:t> </w:t>
      </w:r>
      <w:r w:rsidRPr="004E6A22">
        <w:t>per</w:t>
      </w:r>
      <w:r w:rsidR="00F13F01" w:rsidRPr="004E6A22">
        <w:t> </w:t>
      </w:r>
      <w:r w:rsidRPr="004E6A22">
        <w:t>cent</w:t>
      </w:r>
      <w:r w:rsidR="00F13F01" w:rsidRPr="004E6A22">
        <w:t xml:space="preserve"> of spending</w:t>
      </w:r>
      <w:r w:rsidRPr="004E6A22">
        <w:t xml:space="preserve"> devoted to subsidies for residential care places and the remainder to the </w:t>
      </w:r>
      <w:r w:rsidR="00F13F01" w:rsidRPr="004E6A22">
        <w:t xml:space="preserve">Government’s </w:t>
      </w:r>
      <w:r w:rsidRPr="004E6A22">
        <w:t>two home care programs.  Indexation applied to the aged care subsidies has gen</w:t>
      </w:r>
      <w:r w:rsidR="00BA12D6" w:rsidRPr="004E6A22">
        <w:t xml:space="preserve">erally </w:t>
      </w:r>
      <w:r w:rsidR="00215F4B" w:rsidRPr="004E6A22">
        <w:t xml:space="preserve">been </w:t>
      </w:r>
      <w:r w:rsidR="00BA12D6" w:rsidRPr="004E6A22">
        <w:t xml:space="preserve">below </w:t>
      </w:r>
      <w:proofErr w:type="gramStart"/>
      <w:r w:rsidR="00BA12D6" w:rsidRPr="004E6A22">
        <w:t>inflation</w:t>
      </w:r>
      <w:r w:rsidR="00F13F01" w:rsidRPr="004E6A22">
        <w:t>,</w:t>
      </w:r>
      <w:proofErr w:type="gramEnd"/>
      <w:r w:rsidR="008C624F" w:rsidRPr="004E6A22">
        <w:t xml:space="preserve"> </w:t>
      </w:r>
      <w:r w:rsidR="00BA12D6" w:rsidRPr="004E6A22">
        <w:t>however</w:t>
      </w:r>
      <w:r w:rsidRPr="004E6A22">
        <w:t xml:space="preserve"> the average c</w:t>
      </w:r>
      <w:r w:rsidR="00BA12D6" w:rsidRPr="004E6A22">
        <w:t>ost has grown strongly</w:t>
      </w:r>
      <w:r w:rsidRPr="004E6A22">
        <w:t xml:space="preserve"> due to the</w:t>
      </w:r>
      <w:r w:rsidR="00BA12D6" w:rsidRPr="004E6A22">
        <w:t xml:space="preserve"> steady increase in the</w:t>
      </w:r>
      <w:r w:rsidRPr="004E6A22">
        <w:t xml:space="preserve"> average intensity of care needed by reside</w:t>
      </w:r>
      <w:r w:rsidR="00BA12D6" w:rsidRPr="004E6A22">
        <w:t>nts</w:t>
      </w:r>
      <w:r w:rsidRPr="004E6A22">
        <w:t xml:space="preserve">.  </w:t>
      </w:r>
      <w:r w:rsidR="00062416" w:rsidRPr="004E6A22">
        <w:t>T</w:t>
      </w:r>
      <w:r w:rsidRPr="004E6A22">
        <w:t>h</w:t>
      </w:r>
      <w:r w:rsidR="00062416" w:rsidRPr="004E6A22">
        <w:t>e rate of</w:t>
      </w:r>
      <w:r w:rsidRPr="004E6A22">
        <w:t xml:space="preserve"> increase</w:t>
      </w:r>
      <w:r w:rsidR="0090243A" w:rsidRPr="004E6A22">
        <w:t xml:space="preserve"> in</w:t>
      </w:r>
      <w:r w:rsidRPr="004E6A22">
        <w:t xml:space="preserve"> average cost</w:t>
      </w:r>
      <w:r w:rsidR="003911F2" w:rsidRPr="004E6A22">
        <w:t>s</w:t>
      </w:r>
      <w:r w:rsidRPr="004E6A22">
        <w:t xml:space="preserve"> is expected to slow </w:t>
      </w:r>
      <w:r w:rsidR="0090243A" w:rsidRPr="004E6A22">
        <w:t xml:space="preserve">due to the </w:t>
      </w:r>
      <w:r w:rsidRPr="004E6A22">
        <w:t>implement</w:t>
      </w:r>
      <w:r w:rsidR="0090243A" w:rsidRPr="004E6A22">
        <w:t>ation of</w:t>
      </w:r>
      <w:r w:rsidRPr="004E6A22">
        <w:t xml:space="preserve"> compliance measures on the </w:t>
      </w:r>
      <w:r w:rsidR="003911F2" w:rsidRPr="004E6A22">
        <w:t xml:space="preserve">care requirement </w:t>
      </w:r>
      <w:r w:rsidRPr="004E6A22">
        <w:t>rating system</w:t>
      </w:r>
      <w:r w:rsidR="00F13F01" w:rsidRPr="004E6A22">
        <w:t>,</w:t>
      </w:r>
      <w:r w:rsidRPr="004E6A22">
        <w:t xml:space="preserve"> </w:t>
      </w:r>
      <w:r w:rsidR="0090243A" w:rsidRPr="004E6A22">
        <w:t>as well as</w:t>
      </w:r>
      <w:r w:rsidRPr="004E6A22">
        <w:t xml:space="preserve"> </w:t>
      </w:r>
      <w:r w:rsidR="0090243A" w:rsidRPr="004E6A22">
        <w:t>reduced space for</w:t>
      </w:r>
      <w:r w:rsidRPr="004E6A22">
        <w:t xml:space="preserve"> further increases in the average </w:t>
      </w:r>
      <w:r w:rsidR="0090243A" w:rsidRPr="004E6A22">
        <w:t xml:space="preserve">cost, </w:t>
      </w:r>
      <w:r w:rsidRPr="004E6A22">
        <w:t xml:space="preserve">with </w:t>
      </w:r>
      <w:r w:rsidR="00C10928" w:rsidRPr="004E6A22">
        <w:t>31</w:t>
      </w:r>
      <w:r w:rsidR="00F13F01" w:rsidRPr="004E6A22">
        <w:t> </w:t>
      </w:r>
      <w:r w:rsidRPr="004E6A22">
        <w:t>per</w:t>
      </w:r>
      <w:r w:rsidR="00F13F01" w:rsidRPr="004E6A22">
        <w:t> </w:t>
      </w:r>
      <w:r w:rsidRPr="004E6A22">
        <w:t>cent of residents cu</w:t>
      </w:r>
      <w:r w:rsidR="00FB26B9" w:rsidRPr="004E6A22">
        <w:t xml:space="preserve">rrently on the highest rating.  </w:t>
      </w:r>
      <w:r w:rsidR="00215F4B">
        <w:t>Indexation</w:t>
      </w:r>
      <w:r w:rsidR="00DD04AB" w:rsidRPr="004E6A22">
        <w:t xml:space="preserve"> </w:t>
      </w:r>
      <w:r w:rsidRPr="004E6A22">
        <w:t xml:space="preserve">of aged care </w:t>
      </w:r>
      <w:r w:rsidR="00FB26B9" w:rsidRPr="004E6A22">
        <w:t xml:space="preserve">spending is </w:t>
      </w:r>
      <w:r w:rsidR="003B38F7" w:rsidRPr="004E6A22">
        <w:t>assumed</w:t>
      </w:r>
      <w:r w:rsidR="00FB26B9" w:rsidRPr="004E6A22">
        <w:t xml:space="preserve"> to </w:t>
      </w:r>
      <w:r w:rsidRPr="004E6A22">
        <w:t xml:space="preserve">move towards wages </w:t>
      </w:r>
      <w:r w:rsidR="00F50FF8">
        <w:t xml:space="preserve">growth </w:t>
      </w:r>
      <w:r w:rsidRPr="004E6A22">
        <w:t>over the medium term</w:t>
      </w:r>
      <w:r w:rsidR="00F13F01" w:rsidRPr="004E6A22">
        <w:t>,</w:t>
      </w:r>
      <w:r w:rsidRPr="004E6A22">
        <w:t xml:space="preserve"> reflecting the cost pressures </w:t>
      </w:r>
      <w:r w:rsidR="00F50FF8">
        <w:t>facing</w:t>
      </w:r>
      <w:r w:rsidRPr="004E6A22">
        <w:t xml:space="preserve"> aged care providers, including the competition for health care workers </w:t>
      </w:r>
      <w:r w:rsidR="00BF3AC6">
        <w:t>as a result of</w:t>
      </w:r>
      <w:r w:rsidR="00BF3AC6" w:rsidRPr="004E6A22">
        <w:t xml:space="preserve"> </w:t>
      </w:r>
      <w:r w:rsidRPr="004E6A22">
        <w:t>the expansion of the NDIS.</w:t>
      </w:r>
    </w:p>
    <w:p w:rsidR="00682BA4" w:rsidRPr="004E6A22" w:rsidRDefault="0090243A" w:rsidP="00682BA4">
      <w:pPr>
        <w:pStyle w:val="BodyText"/>
      </w:pPr>
      <w:r w:rsidRPr="004E6A22">
        <w:t xml:space="preserve">Spending on the </w:t>
      </w:r>
      <w:r w:rsidR="00F50FF8">
        <w:t>a</w:t>
      </w:r>
      <w:r w:rsidR="00F50FF8" w:rsidRPr="004E6A22">
        <w:t xml:space="preserve">ge </w:t>
      </w:r>
      <w:r w:rsidR="00F50FF8">
        <w:t>p</w:t>
      </w:r>
      <w:r w:rsidR="00F50FF8" w:rsidRPr="004E6A22">
        <w:t xml:space="preserve">ension </w:t>
      </w:r>
      <w:r w:rsidRPr="004E6A22">
        <w:t>is expected to remain steady at 2.4</w:t>
      </w:r>
      <w:r w:rsidR="00064DD1" w:rsidRPr="004E6A22">
        <w:t> </w:t>
      </w:r>
      <w:r w:rsidR="00C10928" w:rsidRPr="004E6A22">
        <w:t>per</w:t>
      </w:r>
      <w:r w:rsidR="00064DD1" w:rsidRPr="004E6A22">
        <w:t> </w:t>
      </w:r>
      <w:r w:rsidR="00C10928" w:rsidRPr="004E6A22">
        <w:t xml:space="preserve">cent </w:t>
      </w:r>
      <w:r w:rsidRPr="004E6A22">
        <w:t xml:space="preserve">of GDP over the next decade.  </w:t>
      </w:r>
      <w:r w:rsidR="007B1DF7" w:rsidRPr="004E6A22">
        <w:t xml:space="preserve">Growth in </w:t>
      </w:r>
      <w:r w:rsidR="003911F2" w:rsidRPr="004E6A22">
        <w:t xml:space="preserve">the number of </w:t>
      </w:r>
      <w:r w:rsidR="007B1DF7" w:rsidRPr="004E6A22">
        <w:t xml:space="preserve">recipients over the </w:t>
      </w:r>
      <w:r w:rsidR="008C624F" w:rsidRPr="004E6A22">
        <w:t>f</w:t>
      </w:r>
      <w:r w:rsidR="007B1DF7" w:rsidRPr="004E6A22">
        <w:t xml:space="preserve">orward </w:t>
      </w:r>
      <w:r w:rsidR="008C624F" w:rsidRPr="004E6A22">
        <w:t>e</w:t>
      </w:r>
      <w:r w:rsidR="007B1DF7" w:rsidRPr="004E6A22">
        <w:t>stimates</w:t>
      </w:r>
      <w:r w:rsidR="00064DD1" w:rsidRPr="004E6A22">
        <w:t xml:space="preserve"> period</w:t>
      </w:r>
      <w:r w:rsidR="007B1DF7" w:rsidRPr="004E6A22">
        <w:t xml:space="preserve"> has been revised down over </w:t>
      </w:r>
      <w:r w:rsidR="003911F2" w:rsidRPr="004E6A22">
        <w:t>time</w:t>
      </w:r>
      <w:r w:rsidR="00795B6C" w:rsidRPr="004E6A22">
        <w:t>,</w:t>
      </w:r>
      <w:r w:rsidR="007B1DF7" w:rsidRPr="004E6A22">
        <w:t xml:space="preserve"> with the tightening of the assets test applied in 2017 appearing to have a larger effect than originally </w:t>
      </w:r>
      <w:r w:rsidR="003911F2" w:rsidRPr="004E6A22">
        <w:t>expected</w:t>
      </w:r>
      <w:r w:rsidR="007B1DF7" w:rsidRPr="004E6A22">
        <w:t>.</w:t>
      </w:r>
      <w:r w:rsidR="00795B6C" w:rsidRPr="004E6A22">
        <w:t xml:space="preserve">  Conversely, g</w:t>
      </w:r>
      <w:r w:rsidR="007B1DF7" w:rsidRPr="004E6A22">
        <w:t>rowth from 2025</w:t>
      </w:r>
      <w:r w:rsidR="007D470B" w:rsidRPr="004E6A22">
        <w:t>–</w:t>
      </w:r>
      <w:r w:rsidR="007B1DF7" w:rsidRPr="004E6A22">
        <w:t xml:space="preserve">26 has been revised up from the previous </w:t>
      </w:r>
      <w:r w:rsidR="00215F4B">
        <w:t>projections</w:t>
      </w:r>
      <w:r w:rsidR="00215F4B" w:rsidRPr="004E6A22">
        <w:t xml:space="preserve"> </w:t>
      </w:r>
      <w:r w:rsidR="007B1DF7" w:rsidRPr="004E6A22">
        <w:t xml:space="preserve">due to the decision to not proceed with </w:t>
      </w:r>
      <w:r w:rsidR="00064DD1" w:rsidRPr="004E6A22">
        <w:t xml:space="preserve">the </w:t>
      </w:r>
      <w:r w:rsidR="007B1DF7" w:rsidRPr="004E6A22">
        <w:t>increase in the qualifying age to age</w:t>
      </w:r>
      <w:r w:rsidR="00BF3AC6">
        <w:t> </w:t>
      </w:r>
      <w:r w:rsidR="007B1DF7" w:rsidRPr="004E6A22">
        <w:t xml:space="preserve">70.  This increase is partially offset </w:t>
      </w:r>
      <w:r w:rsidR="00F50FF8">
        <w:t>by</w:t>
      </w:r>
      <w:r w:rsidR="007B1DF7" w:rsidRPr="004E6A22">
        <w:t xml:space="preserve"> corresponding reductions in </w:t>
      </w:r>
      <w:r w:rsidR="00BF3AC6">
        <w:t>j</w:t>
      </w:r>
      <w:r w:rsidR="007B1DF7" w:rsidRPr="004E6A22">
        <w:t xml:space="preserve">ob </w:t>
      </w:r>
      <w:r w:rsidR="00BF3AC6">
        <w:t>s</w:t>
      </w:r>
      <w:r w:rsidR="007B1DF7" w:rsidRPr="004E6A22">
        <w:t xml:space="preserve">eeker </w:t>
      </w:r>
      <w:r w:rsidR="00BF3AC6">
        <w:t>i</w:t>
      </w:r>
      <w:r w:rsidR="007B1DF7" w:rsidRPr="004E6A22">
        <w:t xml:space="preserve">ncome </w:t>
      </w:r>
      <w:r w:rsidR="00BF3AC6">
        <w:t>s</w:t>
      </w:r>
      <w:r w:rsidR="007B1DF7" w:rsidRPr="004E6A22">
        <w:t>upport</w:t>
      </w:r>
      <w:r w:rsidR="007C5142" w:rsidRPr="004E6A22">
        <w:t xml:space="preserve">, </w:t>
      </w:r>
      <w:r w:rsidR="00BF3AC6">
        <w:t>d</w:t>
      </w:r>
      <w:r w:rsidR="007B1DF7" w:rsidRPr="004E6A22">
        <w:t xml:space="preserve">isability </w:t>
      </w:r>
      <w:r w:rsidR="00BF3AC6">
        <w:t>s</w:t>
      </w:r>
      <w:r w:rsidR="007B1DF7" w:rsidRPr="004E6A22">
        <w:t xml:space="preserve">upport </w:t>
      </w:r>
      <w:r w:rsidR="00BF3AC6">
        <w:t>p</w:t>
      </w:r>
      <w:r w:rsidR="007B1DF7" w:rsidRPr="004E6A22">
        <w:t>ension</w:t>
      </w:r>
      <w:r w:rsidR="007C5142" w:rsidRPr="004E6A22">
        <w:t xml:space="preserve">, and </w:t>
      </w:r>
      <w:r w:rsidR="00BF3AC6">
        <w:t>c</w:t>
      </w:r>
      <w:r w:rsidR="007C5142" w:rsidRPr="004E6A22">
        <w:t xml:space="preserve">arer </w:t>
      </w:r>
      <w:r w:rsidR="00BF3AC6">
        <w:t>i</w:t>
      </w:r>
      <w:r w:rsidR="007C5142" w:rsidRPr="004E6A22">
        <w:t xml:space="preserve">ncome </w:t>
      </w:r>
      <w:r w:rsidR="00BF3AC6">
        <w:t>s</w:t>
      </w:r>
      <w:r w:rsidR="007C5142" w:rsidRPr="004E6A22">
        <w:t>upport</w:t>
      </w:r>
      <w:r w:rsidR="003B38F7" w:rsidRPr="004E6A22">
        <w:t xml:space="preserve"> that older people would have otherwise acce</w:t>
      </w:r>
      <w:r w:rsidR="00860ADF" w:rsidRPr="004E6A22">
        <w:t>s</w:t>
      </w:r>
      <w:r w:rsidR="003B38F7" w:rsidRPr="004E6A22">
        <w:t>sed</w:t>
      </w:r>
      <w:r w:rsidR="007B1DF7" w:rsidRPr="004E6A22">
        <w:t>.</w:t>
      </w:r>
    </w:p>
    <w:p w:rsidR="00682BA4" w:rsidRPr="004E6A22" w:rsidRDefault="00682BA4" w:rsidP="00682BA4">
      <w:pPr>
        <w:pStyle w:val="BodyText"/>
      </w:pPr>
      <w:r w:rsidRPr="004E6A22">
        <w:t>Future fiscal risks related to the ageing population may come from the Royal Commission into Aged</w:t>
      </w:r>
      <w:r w:rsidR="00064DD1" w:rsidRPr="004E6A22">
        <w:t> </w:t>
      </w:r>
      <w:r w:rsidRPr="004E6A22">
        <w:t xml:space="preserve">Care Quality and Safety, which has the potential to motivate further reforms, and </w:t>
      </w:r>
      <w:r w:rsidR="00215F4B">
        <w:t>potential</w:t>
      </w:r>
      <w:r w:rsidRPr="004E6A22">
        <w:t xml:space="preserve"> </w:t>
      </w:r>
      <w:r w:rsidRPr="00A117C9">
        <w:t xml:space="preserve">changes to the composition of consumption not currently factored into the medium-term economic parameters, </w:t>
      </w:r>
      <w:r w:rsidR="00215F4B">
        <w:t>due to</w:t>
      </w:r>
      <w:r w:rsidRPr="00A117C9">
        <w:t xml:space="preserve"> an increase in the relative size of the health </w:t>
      </w:r>
      <w:r w:rsidR="00215F4B">
        <w:t xml:space="preserve">and aged care </w:t>
      </w:r>
      <w:r w:rsidRPr="00A117C9">
        <w:t>sector</w:t>
      </w:r>
      <w:r w:rsidR="00215F4B">
        <w:t>s</w:t>
      </w:r>
      <w:r w:rsidRPr="00A117C9">
        <w:t>.</w:t>
      </w:r>
    </w:p>
    <w:p w:rsidR="00376227" w:rsidRPr="001B0FE9" w:rsidRDefault="00376227" w:rsidP="00376227">
      <w:pPr>
        <w:pStyle w:val="Heading2"/>
        <w:rPr>
          <w:lang w:eastAsia="en-AU"/>
        </w:rPr>
      </w:pPr>
      <w:bookmarkStart w:id="72" w:name="_Toc16501201"/>
      <w:bookmarkStart w:id="73" w:name="_Toc18310338"/>
      <w:bookmarkStart w:id="74" w:name="_Toc18310339"/>
      <w:bookmarkStart w:id="75" w:name="_Toc16501203"/>
      <w:bookmarkStart w:id="76" w:name="_Toc18310340"/>
      <w:bookmarkStart w:id="77" w:name="_Toc18310341"/>
      <w:bookmarkStart w:id="78" w:name="_Toc18310342"/>
      <w:bookmarkStart w:id="79" w:name="_Toc19801246"/>
      <w:bookmarkEnd w:id="72"/>
      <w:bookmarkEnd w:id="73"/>
      <w:bookmarkEnd w:id="74"/>
      <w:bookmarkEnd w:id="75"/>
      <w:bookmarkEnd w:id="76"/>
      <w:bookmarkEnd w:id="77"/>
      <w:bookmarkEnd w:id="78"/>
      <w:r>
        <w:rPr>
          <w:lang w:eastAsia="en-AU"/>
        </w:rPr>
        <w:t xml:space="preserve">Family </w:t>
      </w:r>
      <w:r w:rsidR="00F50FF8">
        <w:rPr>
          <w:lang w:eastAsia="en-AU"/>
        </w:rPr>
        <w:t>tax benefit</w:t>
      </w:r>
      <w:bookmarkEnd w:id="79"/>
    </w:p>
    <w:p w:rsidR="004F1F94" w:rsidRPr="004F1F94" w:rsidRDefault="004F1F94" w:rsidP="004F1F94">
      <w:pPr>
        <w:pStyle w:val="BodyText"/>
      </w:pPr>
      <w:r w:rsidRPr="004F1F94">
        <w:t xml:space="preserve">Spending on the </w:t>
      </w:r>
      <w:r w:rsidR="006D3A1D">
        <w:t>f</w:t>
      </w:r>
      <w:r w:rsidR="006D3A1D" w:rsidRPr="004F1F94">
        <w:t xml:space="preserve">amily </w:t>
      </w:r>
      <w:r w:rsidR="00F50FF8">
        <w:t>t</w:t>
      </w:r>
      <w:r w:rsidR="00F50FF8" w:rsidRPr="004F1F94">
        <w:t xml:space="preserve">ax </w:t>
      </w:r>
      <w:r w:rsidR="00F50FF8">
        <w:t>b</w:t>
      </w:r>
      <w:r w:rsidRPr="004F1F94">
        <w:t>enefit payment is projected to decline by 0.</w:t>
      </w:r>
      <w:r w:rsidR="00E44051">
        <w:t>2</w:t>
      </w:r>
      <w:r w:rsidR="00064DD1">
        <w:t> </w:t>
      </w:r>
      <w:r w:rsidR="00E44051">
        <w:t>per</w:t>
      </w:r>
      <w:r w:rsidR="00064DD1">
        <w:t> </w:t>
      </w:r>
      <w:r w:rsidR="00E44051">
        <w:t>cent</w:t>
      </w:r>
      <w:r w:rsidRPr="004F1F94">
        <w:t xml:space="preserve"> of GDP over the </w:t>
      </w:r>
      <w:r w:rsidR="00E44051">
        <w:t>next decade</w:t>
      </w:r>
      <w:r w:rsidRPr="004F1F94">
        <w:t xml:space="preserve">.  Much of this decline occurs over the forward estimates period, due in part to the freeze </w:t>
      </w:r>
      <w:r w:rsidR="00BE7C7B">
        <w:t>in the</w:t>
      </w:r>
      <w:r w:rsidRPr="004F1F94">
        <w:t xml:space="preserve"> indexation of payment rates</w:t>
      </w:r>
      <w:r w:rsidR="00064DD1">
        <w:t>,</w:t>
      </w:r>
      <w:r w:rsidRPr="004F1F94">
        <w:t xml:space="preserve"> and income thresholds that affect access to the payment. While this indexation freeze is scheduled to end on 1 July 2021, the PBO projects that this payment will continue to decline relative to GDP over the medium term, reflecting low</w:t>
      </w:r>
      <w:r w:rsidR="00587614">
        <w:t>er</w:t>
      </w:r>
      <w:r w:rsidRPr="004F1F94">
        <w:t xml:space="preserve"> projected birth rates and wages growth</w:t>
      </w:r>
      <w:r w:rsidR="00BF3AC6">
        <w:t>,</w:t>
      </w:r>
      <w:r w:rsidRPr="004F1F94">
        <w:t xml:space="preserve"> which will continue to </w:t>
      </w:r>
      <w:r w:rsidR="00860ADF">
        <w:t xml:space="preserve">reduce </w:t>
      </w:r>
      <w:r w:rsidRPr="004F1F94">
        <w:t>the number of people able to access the payment.</w:t>
      </w:r>
      <w:r>
        <w:t xml:space="preserve">  </w:t>
      </w:r>
    </w:p>
    <w:p w:rsidR="00376227" w:rsidRDefault="00376227" w:rsidP="00376227">
      <w:pPr>
        <w:pStyle w:val="Heading2"/>
      </w:pPr>
      <w:bookmarkStart w:id="80" w:name="_Toc18310344"/>
      <w:bookmarkStart w:id="81" w:name="_Toc18310345"/>
      <w:bookmarkStart w:id="82" w:name="_Toc19801247"/>
      <w:bookmarkEnd w:id="80"/>
      <w:bookmarkEnd w:id="81"/>
      <w:r>
        <w:t xml:space="preserve">Disability </w:t>
      </w:r>
      <w:r w:rsidR="00F50FF8">
        <w:t>support pension</w:t>
      </w:r>
      <w:bookmarkEnd w:id="82"/>
    </w:p>
    <w:p w:rsidR="00376227" w:rsidRDefault="00376227" w:rsidP="00A117C9">
      <w:pPr>
        <w:pStyle w:val="BodyTextAfterListTable"/>
        <w:spacing w:before="120"/>
      </w:pPr>
      <w:r>
        <w:t xml:space="preserve">Spending on the </w:t>
      </w:r>
      <w:r w:rsidR="006D3A1D">
        <w:t xml:space="preserve">disability </w:t>
      </w:r>
      <w:r w:rsidR="00F50FF8">
        <w:t>support pension</w:t>
      </w:r>
      <w:r w:rsidR="00F14115">
        <w:t xml:space="preserve"> </w:t>
      </w:r>
      <w:r>
        <w:t>is projected to fall by 0.2</w:t>
      </w:r>
      <w:r w:rsidR="00064DD1">
        <w:t> </w:t>
      </w:r>
      <w:r>
        <w:t>per</w:t>
      </w:r>
      <w:r w:rsidR="00064DD1">
        <w:t> </w:t>
      </w:r>
      <w:r>
        <w:t xml:space="preserve">cent of GDP over the next decade.  The main driver of this is past policies </w:t>
      </w:r>
      <w:r w:rsidR="00BF3AC6">
        <w:t xml:space="preserve">that </w:t>
      </w:r>
      <w:r>
        <w:t xml:space="preserve">have focussed on </w:t>
      </w:r>
      <w:r w:rsidR="00A11F68">
        <w:t>tightening eligibility for</w:t>
      </w:r>
      <w:r>
        <w:t xml:space="preserve"> the payment</w:t>
      </w:r>
      <w:r w:rsidR="00A11F68">
        <w:t>, i</w:t>
      </w:r>
      <w:r>
        <w:t xml:space="preserve">n particular compliance and assessment measures </w:t>
      </w:r>
      <w:r w:rsidR="00BF3AC6">
        <w:t xml:space="preserve">that </w:t>
      </w:r>
      <w:r>
        <w:t>applied from 1</w:t>
      </w:r>
      <w:r w:rsidR="00064DD1">
        <w:t> </w:t>
      </w:r>
      <w:r>
        <w:t>January</w:t>
      </w:r>
      <w:r w:rsidR="00064DD1">
        <w:t> </w:t>
      </w:r>
      <w:r>
        <w:t>2012.</w:t>
      </w:r>
      <w:r w:rsidRPr="005258D8">
        <w:rPr>
          <w:rStyle w:val="FootnoteReference"/>
        </w:rPr>
        <w:footnoteReference w:id="17"/>
      </w:r>
      <w:r>
        <w:t xml:space="preserve">  </w:t>
      </w:r>
      <w:r w:rsidR="00860ADF">
        <w:t>T</w:t>
      </w:r>
      <w:r>
        <w:t xml:space="preserve">hese measures </w:t>
      </w:r>
      <w:r w:rsidR="00860ADF">
        <w:t xml:space="preserve">are projected to </w:t>
      </w:r>
      <w:r>
        <w:t>have an ongoing effect, such that the impact on spending over the next decade is shared equally between the forward estimates</w:t>
      </w:r>
      <w:r w:rsidR="00182D1C">
        <w:t xml:space="preserve"> period</w:t>
      </w:r>
      <w:r>
        <w:t xml:space="preserve"> and the period beyond.  </w:t>
      </w:r>
    </w:p>
    <w:p w:rsidR="00376227" w:rsidRDefault="00376227" w:rsidP="00376227">
      <w:pPr>
        <w:pStyle w:val="BodyText"/>
      </w:pPr>
      <w:r w:rsidRPr="00A4062E">
        <w:lastRenderedPageBreak/>
        <w:t xml:space="preserve">Tightening the eligibility criteria around the </w:t>
      </w:r>
      <w:r w:rsidR="00F50FF8">
        <w:t>disability support pension</w:t>
      </w:r>
      <w:r w:rsidRPr="00A4062E">
        <w:t xml:space="preserve"> may reduce direct expenditure on </w:t>
      </w:r>
      <w:r w:rsidR="00F50FF8">
        <w:t>this payment</w:t>
      </w:r>
      <w:r w:rsidRPr="00A4062E">
        <w:t xml:space="preserve">, but this </w:t>
      </w:r>
      <w:r w:rsidR="00215F4B">
        <w:t>is generally</w:t>
      </w:r>
      <w:r w:rsidRPr="00A4062E">
        <w:t xml:space="preserve"> partly offset by expenditure increases on other payments such as </w:t>
      </w:r>
      <w:proofErr w:type="spellStart"/>
      <w:r w:rsidRPr="00A4062E">
        <w:t>Newstart</w:t>
      </w:r>
      <w:proofErr w:type="spellEnd"/>
      <w:r w:rsidR="00664F36">
        <w:t xml:space="preserve"> (a main component of </w:t>
      </w:r>
      <w:r w:rsidR="00BF3AC6">
        <w:t>j</w:t>
      </w:r>
      <w:r w:rsidR="00664F36">
        <w:t xml:space="preserve">ob </w:t>
      </w:r>
      <w:r w:rsidR="00BF3AC6">
        <w:t>s</w:t>
      </w:r>
      <w:r w:rsidR="00664F36">
        <w:t xml:space="preserve">eeker </w:t>
      </w:r>
      <w:r w:rsidR="00BF3AC6">
        <w:t>i</w:t>
      </w:r>
      <w:r w:rsidR="00664F36">
        <w:t xml:space="preserve">ncome </w:t>
      </w:r>
      <w:r w:rsidR="00BF3AC6">
        <w:t>s</w:t>
      </w:r>
      <w:r w:rsidR="00664F36">
        <w:t>upport)</w:t>
      </w:r>
      <w:r w:rsidR="000B4FA0">
        <w:t>,</w:t>
      </w:r>
      <w:r w:rsidRPr="00A4062E">
        <w:t xml:space="preserve"> which is paid at a lower rate.</w:t>
      </w:r>
      <w:r w:rsidRPr="005258D8">
        <w:rPr>
          <w:rStyle w:val="FootnoteReference"/>
        </w:rPr>
        <w:footnoteReference w:id="18"/>
      </w:r>
      <w:r w:rsidRPr="00A4062E">
        <w:t xml:space="preserve"> </w:t>
      </w:r>
      <w:r>
        <w:t xml:space="preserve"> </w:t>
      </w:r>
    </w:p>
    <w:p w:rsidR="00B00647" w:rsidRDefault="00B00647" w:rsidP="00376227">
      <w:pPr>
        <w:pStyle w:val="BodyText"/>
      </w:pPr>
      <w:r>
        <w:t xml:space="preserve">The projections </w:t>
      </w:r>
      <w:r w:rsidR="00215F4B">
        <w:t xml:space="preserve">for </w:t>
      </w:r>
      <w:r w:rsidR="004A3FF1">
        <w:t xml:space="preserve">disability </w:t>
      </w:r>
      <w:r w:rsidR="004A3FF1" w:rsidRPr="00AD7993">
        <w:t>support pension payments</w:t>
      </w:r>
      <w:r w:rsidR="00A117C9" w:rsidRPr="00AD7993">
        <w:t xml:space="preserve"> </w:t>
      </w:r>
      <w:r w:rsidRPr="00AD7993">
        <w:t xml:space="preserve">have been revised down over </w:t>
      </w:r>
      <w:r w:rsidR="00215F4B" w:rsidRPr="003305B8">
        <w:t>the past two</w:t>
      </w:r>
      <w:r w:rsidR="00BF3AC6" w:rsidRPr="003305B8">
        <w:t> </w:t>
      </w:r>
      <w:r w:rsidR="00215F4B" w:rsidRPr="003305B8">
        <w:t>updates</w:t>
      </w:r>
      <w:r w:rsidR="00FF288D" w:rsidRPr="003305B8">
        <w:t>,</w:t>
      </w:r>
      <w:r w:rsidRPr="003305B8">
        <w:t xml:space="preserve"> reflecting the obse</w:t>
      </w:r>
      <w:r>
        <w:t>rved falls in recipients, particularly older cohorts</w:t>
      </w:r>
      <w:r w:rsidR="00FF288D">
        <w:t>, which have been</w:t>
      </w:r>
      <w:r>
        <w:t xml:space="preserve"> driven by eligibility criteria and compliance measures.</w:t>
      </w:r>
      <w:r w:rsidR="00A73258" w:rsidRPr="005258D8">
        <w:rPr>
          <w:rStyle w:val="FootnoteReference"/>
        </w:rPr>
        <w:footnoteReference w:id="19"/>
      </w:r>
      <w:r>
        <w:t xml:space="preserve"> </w:t>
      </w:r>
    </w:p>
    <w:p w:rsidR="00F23686" w:rsidRDefault="00F23686" w:rsidP="000D4C9A">
      <w:pPr>
        <w:pStyle w:val="Heading2"/>
      </w:pPr>
      <w:bookmarkStart w:id="83" w:name="_Toc15480272"/>
      <w:bookmarkStart w:id="84" w:name="_Toc18310347"/>
      <w:bookmarkStart w:id="85" w:name="_Toc19801248"/>
      <w:bookmarkEnd w:id="83"/>
      <w:bookmarkEnd w:id="84"/>
      <w:r>
        <w:t>Public h</w:t>
      </w:r>
      <w:r w:rsidR="001211C3">
        <w:t>ospitals</w:t>
      </w:r>
      <w:bookmarkEnd w:id="85"/>
      <w:r w:rsidR="001211C3">
        <w:t xml:space="preserve"> </w:t>
      </w:r>
    </w:p>
    <w:p w:rsidR="00B00647" w:rsidRDefault="00B1103C" w:rsidP="00B00647">
      <w:pPr>
        <w:pStyle w:val="BodyText"/>
      </w:pPr>
      <w:r>
        <w:t>Spending on public</w:t>
      </w:r>
      <w:r w:rsidR="00B00647">
        <w:t xml:space="preserve"> hospitals</w:t>
      </w:r>
      <w:r>
        <w:t xml:space="preserve"> is projected to remain steady at </w:t>
      </w:r>
      <w:r w:rsidR="00415480">
        <w:t>1.2</w:t>
      </w:r>
      <w:r w:rsidR="00FF288D">
        <w:t> </w:t>
      </w:r>
      <w:r w:rsidR="00B00647">
        <w:t>per</w:t>
      </w:r>
      <w:r w:rsidR="00FF288D">
        <w:t> </w:t>
      </w:r>
      <w:r w:rsidR="00B00647">
        <w:t>cent of GDP</w:t>
      </w:r>
      <w:r>
        <w:t xml:space="preserve"> from 2022</w:t>
      </w:r>
      <w:r w:rsidR="00961EA1">
        <w:t>–</w:t>
      </w:r>
      <w:r>
        <w:t>23 onwards</w:t>
      </w:r>
      <w:r w:rsidR="00B00647">
        <w:t xml:space="preserve">. </w:t>
      </w:r>
      <w:r w:rsidR="00415480">
        <w:t xml:space="preserve"> </w:t>
      </w:r>
      <w:r w:rsidR="00B00647">
        <w:t>Public hospital funding to the states</w:t>
      </w:r>
      <w:r w:rsidR="00FF288D">
        <w:t xml:space="preserve"> and territories</w:t>
      </w:r>
      <w:r w:rsidR="00B00647">
        <w:t xml:space="preserve"> is based on the National Health Reform Agreement under which the Commonwealth contributes 45</w:t>
      </w:r>
      <w:r w:rsidR="00FF288D">
        <w:t> </w:t>
      </w:r>
      <w:r w:rsidR="00B00647">
        <w:t>per</w:t>
      </w:r>
      <w:r w:rsidR="00FF288D">
        <w:t> </w:t>
      </w:r>
      <w:r w:rsidR="00B00647">
        <w:t xml:space="preserve">cent of the growth in the ‘efficient cost’ of hospital services, as determined by an independent Commonwealth agency.  </w:t>
      </w:r>
    </w:p>
    <w:p w:rsidR="00B00647" w:rsidRDefault="00B00647" w:rsidP="00B00647">
      <w:pPr>
        <w:pStyle w:val="BodyText"/>
      </w:pPr>
      <w:r>
        <w:t xml:space="preserve">The fiscal risk of the payment has been limited through the imposition of a cap </w:t>
      </w:r>
      <w:r w:rsidR="00A4349B">
        <w:t>o</w:t>
      </w:r>
      <w:r>
        <w:t xml:space="preserve">n the growth of </w:t>
      </w:r>
      <w:r w:rsidR="008A4D0A">
        <w:br/>
      </w:r>
      <w:r>
        <w:t>total Commonwealth funding at 6.5</w:t>
      </w:r>
      <w:r w:rsidR="00FF288D">
        <w:t> </w:t>
      </w:r>
      <w:r>
        <w:t>per</w:t>
      </w:r>
      <w:r w:rsidR="00FF288D">
        <w:t> </w:t>
      </w:r>
      <w:r>
        <w:t>cent per</w:t>
      </w:r>
      <w:r w:rsidR="00FF288D">
        <w:t> </w:t>
      </w:r>
      <w:r>
        <w:t xml:space="preserve">annum.  </w:t>
      </w:r>
      <w:r w:rsidR="00A4349B">
        <w:t xml:space="preserve">This </w:t>
      </w:r>
      <w:r>
        <w:t>cap was reached in 2018</w:t>
      </w:r>
      <w:r w:rsidR="00961EA1">
        <w:t>–</w:t>
      </w:r>
      <w:r>
        <w:t>19</w:t>
      </w:r>
      <w:r w:rsidR="00587614">
        <w:t>,</w:t>
      </w:r>
      <w:r>
        <w:t xml:space="preserve"> but is </w:t>
      </w:r>
      <w:r w:rsidR="008A4D0A">
        <w:br/>
      </w:r>
      <w:r w:rsidR="00A4349B">
        <w:t xml:space="preserve">not </w:t>
      </w:r>
      <w:r>
        <w:t xml:space="preserve">projected to </w:t>
      </w:r>
      <w:r w:rsidR="00A4349B">
        <w:t>bind</w:t>
      </w:r>
      <w:r>
        <w:t xml:space="preserve"> over the medium term</w:t>
      </w:r>
      <w:r w:rsidR="00FF288D">
        <w:t>.</w:t>
      </w:r>
    </w:p>
    <w:p w:rsidR="00F23686" w:rsidRDefault="001211C3" w:rsidP="000D4C9A">
      <w:pPr>
        <w:pStyle w:val="Heading2"/>
      </w:pPr>
      <w:bookmarkStart w:id="86" w:name="_Toc19801249"/>
      <w:r>
        <w:t>Child care</w:t>
      </w:r>
      <w:bookmarkEnd w:id="86"/>
      <w:r>
        <w:t xml:space="preserve"> </w:t>
      </w:r>
    </w:p>
    <w:p w:rsidR="00D51986" w:rsidRPr="00A117C9" w:rsidRDefault="00BC684E" w:rsidP="00B00647">
      <w:pPr>
        <w:pStyle w:val="BodyText"/>
      </w:pPr>
      <w:r w:rsidRPr="00A117C9">
        <w:t xml:space="preserve">Spending on </w:t>
      </w:r>
      <w:r w:rsidR="00B1103C" w:rsidRPr="00A117C9">
        <w:t>c</w:t>
      </w:r>
      <w:r w:rsidRPr="00A117C9">
        <w:t>hild care is projected to increase by 0.1</w:t>
      </w:r>
      <w:r w:rsidR="00FF288D" w:rsidRPr="00A117C9">
        <w:t> </w:t>
      </w:r>
      <w:r w:rsidRPr="00A117C9">
        <w:t>per</w:t>
      </w:r>
      <w:r w:rsidR="00FF288D" w:rsidRPr="00A117C9">
        <w:t> </w:t>
      </w:r>
      <w:r w:rsidRPr="00A117C9">
        <w:t xml:space="preserve">cent of GDP over the next decade.  </w:t>
      </w:r>
      <w:r w:rsidR="00D51986" w:rsidRPr="00A117C9">
        <w:t xml:space="preserve">The Child Care Subsidy introduced in July 2018 </w:t>
      </w:r>
      <w:r w:rsidR="00A533EF">
        <w:t>p</w:t>
      </w:r>
      <w:r w:rsidR="00914A12">
        <w:t>rovides a higher subsidy</w:t>
      </w:r>
      <w:r w:rsidR="00A533EF">
        <w:t xml:space="preserve"> on average compared to the old system, but </w:t>
      </w:r>
      <w:r w:rsidR="009C59B3">
        <w:t xml:space="preserve">this has been partly offset by restrictions in </w:t>
      </w:r>
      <w:r w:rsidR="00A533EF">
        <w:t xml:space="preserve">access to </w:t>
      </w:r>
      <w:r w:rsidR="00914A12">
        <w:t>subsidised hours of care</w:t>
      </w:r>
      <w:r w:rsidR="00A533EF">
        <w:t xml:space="preserve"> </w:t>
      </w:r>
      <w:r w:rsidR="009C59B3">
        <w:t>through</w:t>
      </w:r>
      <w:r w:rsidR="00A533EF">
        <w:t xml:space="preserve"> </w:t>
      </w:r>
      <w:r w:rsidR="00D51986" w:rsidRPr="00A117C9">
        <w:t>a</w:t>
      </w:r>
      <w:r w:rsidR="00914A12">
        <w:t xml:space="preserve"> revised</w:t>
      </w:r>
      <w:r w:rsidR="00D51986" w:rsidRPr="00A117C9">
        <w:t xml:space="preserve"> activity test.  The imposition of a fee cap also meant the exposure of the Commonwealth to price growth in child care has been reduced under the </w:t>
      </w:r>
      <w:r w:rsidR="002648AB">
        <w:t>Child Care Subsidy</w:t>
      </w:r>
      <w:r w:rsidR="00D51986" w:rsidRPr="00A117C9">
        <w:t>.</w:t>
      </w:r>
    </w:p>
    <w:p w:rsidR="00B00647" w:rsidRPr="00975F74" w:rsidRDefault="000A2B3F" w:rsidP="00B00647">
      <w:pPr>
        <w:pStyle w:val="BodyText"/>
        <w:rPr>
          <w:spacing w:val="-3"/>
        </w:rPr>
      </w:pPr>
      <w:r w:rsidRPr="00975F74">
        <w:rPr>
          <w:spacing w:val="-3"/>
        </w:rPr>
        <w:t xml:space="preserve">The first </w:t>
      </w:r>
      <w:r w:rsidR="00330029" w:rsidRPr="00975F74">
        <w:rPr>
          <w:spacing w:val="-3"/>
        </w:rPr>
        <w:t>six </w:t>
      </w:r>
      <w:r w:rsidRPr="00975F74">
        <w:rPr>
          <w:spacing w:val="-3"/>
        </w:rPr>
        <w:t xml:space="preserve">months of </w:t>
      </w:r>
      <w:r w:rsidR="002648AB" w:rsidRPr="00A117C9">
        <w:t>Child Care Subsidy</w:t>
      </w:r>
      <w:r w:rsidRPr="00975F74">
        <w:rPr>
          <w:spacing w:val="-3"/>
        </w:rPr>
        <w:t xml:space="preserve"> data contained in the recent quarterly </w:t>
      </w:r>
      <w:r w:rsidRPr="00975F74">
        <w:rPr>
          <w:i/>
          <w:spacing w:val="-3"/>
        </w:rPr>
        <w:t>Child Care in Australia</w:t>
      </w:r>
      <w:r w:rsidR="00751171" w:rsidRPr="003305B8">
        <w:rPr>
          <w:rStyle w:val="FootnoteReference"/>
          <w:spacing w:val="-3"/>
        </w:rPr>
        <w:footnoteReference w:id="20"/>
      </w:r>
      <w:r w:rsidRPr="00AD7993">
        <w:rPr>
          <w:spacing w:val="-3"/>
        </w:rPr>
        <w:t xml:space="preserve"> </w:t>
      </w:r>
      <w:r w:rsidRPr="00975F74">
        <w:rPr>
          <w:spacing w:val="-3"/>
        </w:rPr>
        <w:t xml:space="preserve">report suggests relatively minor changes in overall child care use since the start of the new system.  Consistent with this, the </w:t>
      </w:r>
      <w:r w:rsidR="00D51986" w:rsidRPr="00975F74">
        <w:rPr>
          <w:spacing w:val="-3"/>
        </w:rPr>
        <w:t xml:space="preserve">current projections </w:t>
      </w:r>
      <w:r w:rsidRPr="00975F74">
        <w:rPr>
          <w:spacing w:val="-3"/>
        </w:rPr>
        <w:t>have allowed for</w:t>
      </w:r>
      <w:r w:rsidR="00D51986" w:rsidRPr="00975F74">
        <w:rPr>
          <w:spacing w:val="-3"/>
        </w:rPr>
        <w:t xml:space="preserve"> no </w:t>
      </w:r>
      <w:r w:rsidR="00B1103C" w:rsidRPr="00975F74">
        <w:rPr>
          <w:spacing w:val="-3"/>
        </w:rPr>
        <w:t>behavioural</w:t>
      </w:r>
      <w:r w:rsidR="00D51986" w:rsidRPr="00975F74">
        <w:rPr>
          <w:spacing w:val="-3"/>
        </w:rPr>
        <w:t xml:space="preserve"> </w:t>
      </w:r>
      <w:r w:rsidRPr="00975F74">
        <w:rPr>
          <w:spacing w:val="-3"/>
        </w:rPr>
        <w:t>responses to the new system.</w:t>
      </w:r>
    </w:p>
    <w:p w:rsidR="00F23686" w:rsidRDefault="00B00647" w:rsidP="000D4C9A">
      <w:pPr>
        <w:pStyle w:val="Heading2"/>
      </w:pPr>
      <w:bookmarkStart w:id="87" w:name="_Toc18310350"/>
      <w:bookmarkStart w:id="88" w:name="_Toc18310351"/>
      <w:bookmarkStart w:id="89" w:name="_Toc18310352"/>
      <w:bookmarkStart w:id="90" w:name="_Toc18310353"/>
      <w:bookmarkStart w:id="91" w:name="_Toc19801250"/>
      <w:bookmarkEnd w:id="87"/>
      <w:bookmarkEnd w:id="88"/>
      <w:bookmarkEnd w:id="89"/>
      <w:bookmarkEnd w:id="90"/>
      <w:r w:rsidRPr="001211C3">
        <w:t>Schools</w:t>
      </w:r>
      <w:bookmarkEnd w:id="91"/>
      <w:r>
        <w:t xml:space="preserve"> </w:t>
      </w:r>
    </w:p>
    <w:p w:rsidR="005B3820" w:rsidRDefault="00F23686" w:rsidP="00B00647">
      <w:pPr>
        <w:pStyle w:val="BodyText"/>
      </w:pPr>
      <w:r>
        <w:t>S</w:t>
      </w:r>
      <w:r w:rsidR="004A3FF1">
        <w:t>pending on s</w:t>
      </w:r>
      <w:r>
        <w:t xml:space="preserve">chools </w:t>
      </w:r>
      <w:r w:rsidR="00B00647">
        <w:t xml:space="preserve">is projected to grow at </w:t>
      </w:r>
      <w:r w:rsidR="00215F4B">
        <w:t>above 6</w:t>
      </w:r>
      <w:r w:rsidR="002A0DE1">
        <w:t> </w:t>
      </w:r>
      <w:r w:rsidR="00B00647">
        <w:t>per</w:t>
      </w:r>
      <w:r w:rsidR="002A0DE1">
        <w:t> </w:t>
      </w:r>
      <w:r w:rsidR="00B00647">
        <w:t>cent per</w:t>
      </w:r>
      <w:r w:rsidR="002A0DE1">
        <w:t> </w:t>
      </w:r>
      <w:r w:rsidR="00B00647">
        <w:t>annum over the forward estimates period</w:t>
      </w:r>
      <w:r w:rsidR="002A0DE1">
        <w:t>,</w:t>
      </w:r>
      <w:r w:rsidR="00B00647">
        <w:t xml:space="preserve"> before stabilising at a growth </w:t>
      </w:r>
      <w:r w:rsidR="00402F97">
        <w:t xml:space="preserve">rate </w:t>
      </w:r>
      <w:r w:rsidR="00B00647">
        <w:t>of just below 4</w:t>
      </w:r>
      <w:r w:rsidR="002A0DE1">
        <w:t> </w:t>
      </w:r>
      <w:r w:rsidR="00B00647">
        <w:t>per</w:t>
      </w:r>
      <w:r w:rsidR="002A0DE1">
        <w:t> </w:t>
      </w:r>
      <w:r w:rsidR="00B00647">
        <w:t xml:space="preserve">cent over the medium term.  </w:t>
      </w:r>
      <w:proofErr w:type="gramStart"/>
      <w:r w:rsidR="00B00647">
        <w:t>Schools spending as a share of GDP is</w:t>
      </w:r>
      <w:proofErr w:type="gramEnd"/>
      <w:r w:rsidR="00B00647">
        <w:t xml:space="preserve"> projected to increase slightly from 1.0 per cent of GDP in </w:t>
      </w:r>
      <w:r w:rsidR="002A0DE1">
        <w:br/>
      </w:r>
      <w:r w:rsidR="00B00647">
        <w:t>2019</w:t>
      </w:r>
      <w:r w:rsidR="00961EA1">
        <w:t>–</w:t>
      </w:r>
      <w:r w:rsidR="00B00647">
        <w:t>20 to peak at 1.1</w:t>
      </w:r>
      <w:r w:rsidR="002A0DE1">
        <w:t> </w:t>
      </w:r>
      <w:r w:rsidR="00B00647">
        <w:t>per</w:t>
      </w:r>
      <w:r w:rsidR="002A0DE1">
        <w:t> </w:t>
      </w:r>
      <w:r w:rsidR="00B00647">
        <w:t>cent of GDP in 202</w:t>
      </w:r>
      <w:r w:rsidR="00862027">
        <w:t>0</w:t>
      </w:r>
      <w:r w:rsidR="00961EA1">
        <w:t>–</w:t>
      </w:r>
      <w:r w:rsidR="00B00647">
        <w:t>2</w:t>
      </w:r>
      <w:r w:rsidR="00862027">
        <w:t>1</w:t>
      </w:r>
      <w:r w:rsidR="002A0DE1">
        <w:t>,</w:t>
      </w:r>
      <w:r w:rsidR="00817654">
        <w:t xml:space="preserve"> </w:t>
      </w:r>
      <w:r w:rsidR="00B00647">
        <w:t xml:space="preserve">before </w:t>
      </w:r>
      <w:r w:rsidR="002A0DE1">
        <w:t>returning</w:t>
      </w:r>
      <w:r w:rsidR="00B00647">
        <w:t xml:space="preserve"> to 1.0</w:t>
      </w:r>
      <w:r w:rsidR="002A0DE1">
        <w:t> </w:t>
      </w:r>
      <w:r w:rsidR="00B00647">
        <w:t>per</w:t>
      </w:r>
      <w:r w:rsidR="002A0DE1">
        <w:t> </w:t>
      </w:r>
      <w:r w:rsidR="00B00647">
        <w:t xml:space="preserve">cent of GDP towards the end of the medium term.  </w:t>
      </w:r>
    </w:p>
    <w:p w:rsidR="00B00647" w:rsidRDefault="00B00647" w:rsidP="00B00647">
      <w:pPr>
        <w:pStyle w:val="BodyText"/>
      </w:pPr>
      <w:r>
        <w:t>The current projections are around $</w:t>
      </w:r>
      <w:r w:rsidR="006C0C24">
        <w:t>3.9</w:t>
      </w:r>
      <w:r w:rsidR="002A0DE1">
        <w:t> </w:t>
      </w:r>
      <w:r>
        <w:t xml:space="preserve">billion higher </w:t>
      </w:r>
      <w:r w:rsidR="002A0DE1">
        <w:t xml:space="preserve">over the ten years to 2028–29 </w:t>
      </w:r>
      <w:r>
        <w:t xml:space="preserve">than the projections in the </w:t>
      </w:r>
      <w:r w:rsidR="00402F97">
        <w:t>previous</w:t>
      </w:r>
      <w:r>
        <w:t xml:space="preserve"> report.  Th</w:t>
      </w:r>
      <w:r w:rsidR="00860ADF">
        <w:t xml:space="preserve">is </w:t>
      </w:r>
      <w:r>
        <w:t xml:space="preserve">primarily reflects the recent reforms </w:t>
      </w:r>
      <w:r w:rsidR="004A3FF1">
        <w:t xml:space="preserve">affecting funding for </w:t>
      </w:r>
      <w:r>
        <w:t>the non</w:t>
      </w:r>
      <w:r>
        <w:noBreakHyphen/>
        <w:t xml:space="preserve">government schools sector, which allowed for additional funding to assist non-government schools to transition to the new funding framework over the three years from 2020.  The higher spending growth over the forward estimates period is also consistent with the Government’s </w:t>
      </w:r>
      <w:r>
        <w:lastRenderedPageBreak/>
        <w:t xml:space="preserve">commitment to ensuring all schools currently funded below the </w:t>
      </w:r>
      <w:r w:rsidR="00CC6C72">
        <w:t>Schooling Resource Standard</w:t>
      </w:r>
      <w:r>
        <w:t xml:space="preserve"> target will reach the target by 2023.</w:t>
      </w:r>
      <w:r w:rsidR="00CC6C72">
        <w:t xml:space="preserve">  </w:t>
      </w:r>
    </w:p>
    <w:p w:rsidR="00F23686" w:rsidRDefault="00F23686" w:rsidP="000D4C9A">
      <w:pPr>
        <w:pStyle w:val="Heading2"/>
      </w:pPr>
      <w:bookmarkStart w:id="92" w:name="_Toc18310355"/>
      <w:bookmarkStart w:id="93" w:name="_Toc18310356"/>
      <w:bookmarkStart w:id="94" w:name="_Toc18310357"/>
      <w:bookmarkStart w:id="95" w:name="_Toc18310358"/>
      <w:bookmarkStart w:id="96" w:name="_Toc18310359"/>
      <w:bookmarkStart w:id="97" w:name="_Toc18310360"/>
      <w:bookmarkStart w:id="98" w:name="_Toc18310361"/>
      <w:bookmarkStart w:id="99" w:name="_Toc18310362"/>
      <w:bookmarkStart w:id="100" w:name="_Toc18310363"/>
      <w:bookmarkStart w:id="101" w:name="_Toc18310364"/>
      <w:bookmarkStart w:id="102" w:name="_Toc18310365"/>
      <w:bookmarkStart w:id="103" w:name="_Toc18310366"/>
      <w:bookmarkStart w:id="104" w:name="_Toc19801251"/>
      <w:bookmarkEnd w:id="92"/>
      <w:bookmarkEnd w:id="93"/>
      <w:bookmarkEnd w:id="94"/>
      <w:bookmarkEnd w:id="95"/>
      <w:bookmarkEnd w:id="96"/>
      <w:bookmarkEnd w:id="97"/>
      <w:bookmarkEnd w:id="98"/>
      <w:bookmarkEnd w:id="99"/>
      <w:bookmarkEnd w:id="100"/>
      <w:bookmarkEnd w:id="101"/>
      <w:bookmarkEnd w:id="102"/>
      <w:bookmarkEnd w:id="103"/>
      <w:r w:rsidRPr="009C29F1">
        <w:t>Ro</w:t>
      </w:r>
      <w:r>
        <w:t xml:space="preserve">ad and rail </w:t>
      </w:r>
      <w:r w:rsidR="004A3FF1">
        <w:t>i</w:t>
      </w:r>
      <w:r w:rsidR="004A3FF1" w:rsidRPr="00F412CF">
        <w:t>nfrast</w:t>
      </w:r>
      <w:r w:rsidR="004A3FF1">
        <w:t>r</w:t>
      </w:r>
      <w:r w:rsidR="004A3FF1" w:rsidRPr="00F412CF">
        <w:t>u</w:t>
      </w:r>
      <w:r w:rsidR="004A3FF1">
        <w:t>c</w:t>
      </w:r>
      <w:r w:rsidR="004A3FF1" w:rsidRPr="00F412CF">
        <w:t>ture</w:t>
      </w:r>
      <w:bookmarkEnd w:id="104"/>
    </w:p>
    <w:p w:rsidR="00A60D0B" w:rsidRDefault="00817272" w:rsidP="000C0E84">
      <w:pPr>
        <w:pStyle w:val="BodyText"/>
        <w:rPr>
          <w:lang w:eastAsia="en-AU"/>
        </w:rPr>
      </w:pPr>
      <w:r w:rsidRPr="009C29F1">
        <w:rPr>
          <w:lang w:eastAsia="en-AU"/>
        </w:rPr>
        <w:t xml:space="preserve">Spending on road and rail infrastructure is projected to </w:t>
      </w:r>
      <w:r w:rsidR="009C29F1" w:rsidRPr="009C29F1">
        <w:t xml:space="preserve">increase </w:t>
      </w:r>
      <w:r w:rsidR="009C29F1">
        <w:t>from 0.3</w:t>
      </w:r>
      <w:r w:rsidR="002A0DE1">
        <w:t> </w:t>
      </w:r>
      <w:r w:rsidR="009C29F1">
        <w:t>per</w:t>
      </w:r>
      <w:r w:rsidR="002A0DE1">
        <w:t> </w:t>
      </w:r>
      <w:r w:rsidR="009C29F1">
        <w:t>cent of GDP in 2018</w:t>
      </w:r>
      <w:r w:rsidR="00961EA1">
        <w:t>–</w:t>
      </w:r>
      <w:r w:rsidR="009C29F1">
        <w:t>19 to 0.4</w:t>
      </w:r>
      <w:r w:rsidR="002A0DE1">
        <w:t> </w:t>
      </w:r>
      <w:r w:rsidR="009C29F1">
        <w:t>per</w:t>
      </w:r>
      <w:r w:rsidR="002A0DE1">
        <w:t> </w:t>
      </w:r>
      <w:r w:rsidR="009C29F1">
        <w:t>cent of GDP in 2022</w:t>
      </w:r>
      <w:r w:rsidR="00961EA1">
        <w:t>–</w:t>
      </w:r>
      <w:r w:rsidR="009C29F1">
        <w:t xml:space="preserve">23, before falling to </w:t>
      </w:r>
      <w:r w:rsidR="00F2735F">
        <w:rPr>
          <w:lang w:eastAsia="en-AU"/>
        </w:rPr>
        <w:t xml:space="preserve">around </w:t>
      </w:r>
      <w:r w:rsidR="009C29F1">
        <w:t>0.2</w:t>
      </w:r>
      <w:r w:rsidR="002A0DE1">
        <w:t> </w:t>
      </w:r>
      <w:r w:rsidR="009C29F1">
        <w:t>per</w:t>
      </w:r>
      <w:r w:rsidR="002A0DE1">
        <w:t> </w:t>
      </w:r>
      <w:r w:rsidR="009C29F1">
        <w:t xml:space="preserve">cent </w:t>
      </w:r>
      <w:r w:rsidR="00F00629">
        <w:t>of GDP by the end of the decade</w:t>
      </w:r>
      <w:r w:rsidR="00B1630D">
        <w:t xml:space="preserve"> (Figure </w:t>
      </w:r>
      <w:r w:rsidR="00080176">
        <w:t>3</w:t>
      </w:r>
      <w:r w:rsidR="00961EA1">
        <w:t>–</w:t>
      </w:r>
      <w:r w:rsidR="00080176">
        <w:t>4</w:t>
      </w:r>
      <w:r w:rsidR="00B1630D">
        <w:t>)</w:t>
      </w:r>
      <w:r w:rsidR="002F3766">
        <w:t xml:space="preserve">, close to the </w:t>
      </w:r>
      <w:r w:rsidR="002F3766">
        <w:rPr>
          <w:lang w:eastAsia="en-AU"/>
        </w:rPr>
        <w:t>pre-GFC level</w:t>
      </w:r>
      <w:r w:rsidR="00F00629">
        <w:t>.</w:t>
      </w:r>
      <w:r w:rsidR="00B1630D">
        <w:t xml:space="preserve">  </w:t>
      </w:r>
      <w:r w:rsidR="00B63240">
        <w:rPr>
          <w:lang w:eastAsia="en-AU"/>
        </w:rPr>
        <w:t xml:space="preserve">The PBO’s </w:t>
      </w:r>
      <w:r w:rsidR="00B1630D">
        <w:rPr>
          <w:lang w:eastAsia="en-AU"/>
        </w:rPr>
        <w:t>projections into the medium term account for all announced projects.</w:t>
      </w:r>
    </w:p>
    <w:p w:rsidR="00574317" w:rsidRDefault="00574317" w:rsidP="000C0E84">
      <w:pPr>
        <w:pStyle w:val="BodyText"/>
        <w:rPr>
          <w:lang w:eastAsia="en-AU"/>
        </w:rPr>
      </w:pPr>
    </w:p>
    <w:p w:rsidR="00D51986" w:rsidRDefault="00D51986" w:rsidP="00D51986">
      <w:pPr>
        <w:pStyle w:val="Caption"/>
      </w:pPr>
      <w:r w:rsidRPr="00AA00D8">
        <w:t xml:space="preserve">Figure </w:t>
      </w:r>
      <w:r w:rsidR="00080176">
        <w:t>3</w:t>
      </w:r>
      <w:r w:rsidRPr="00AA00D8">
        <w:t>–</w:t>
      </w:r>
      <w:r w:rsidR="00080176">
        <w:t>4</w:t>
      </w:r>
      <w:r w:rsidRPr="00AA00D8">
        <w:t xml:space="preserve">: </w:t>
      </w:r>
      <w:r w:rsidRPr="000C0E84">
        <w:t>Road and rail infrastructure spending</w:t>
      </w:r>
    </w:p>
    <w:p w:rsidR="00D51986" w:rsidRPr="00FA3CD6" w:rsidRDefault="00FF786D" w:rsidP="00552C4C">
      <w:pPr>
        <w:pStyle w:val="CaptionDescriptor"/>
        <w:rPr>
          <w:sz w:val="22"/>
        </w:rPr>
      </w:pPr>
      <w:r>
        <w:rPr>
          <w:noProof/>
          <w:sz w:val="22"/>
          <w:lang w:eastAsia="en-AU"/>
        </w:rPr>
        <w:drawing>
          <wp:inline distT="0" distB="0" distL="0" distR="0" wp14:anchorId="48DB9BC8" wp14:editId="2BF4228C">
            <wp:extent cx="4860000" cy="2893909"/>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4–5- Road and rail infrastructure spending-01.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860000" cy="2893909"/>
                    </a:xfrm>
                    <a:prstGeom prst="rect">
                      <a:avLst/>
                    </a:prstGeom>
                    <a:ln>
                      <a:noFill/>
                    </a:ln>
                    <a:extLst>
                      <a:ext uri="{53640926-AAD7-44D8-BBD7-CCE9431645EC}">
                        <a14:shadowObscured xmlns:a14="http://schemas.microsoft.com/office/drawing/2010/main"/>
                      </a:ext>
                    </a:extLst>
                  </pic:spPr>
                </pic:pic>
              </a:graphicData>
            </a:graphic>
          </wp:inline>
        </w:drawing>
      </w:r>
    </w:p>
    <w:p w:rsidR="00D51986" w:rsidRPr="00E35A72" w:rsidRDefault="00D51986" w:rsidP="00A117C9">
      <w:pPr>
        <w:spacing w:before="120" w:after="240"/>
        <w:ind w:left="1134"/>
        <w:rPr>
          <w:rFonts w:cs="Times New Roman"/>
          <w:noProof/>
          <w:color w:val="788184"/>
          <w:sz w:val="18"/>
          <w:szCs w:val="14"/>
          <w:lang w:eastAsia="en-AU"/>
        </w:rPr>
      </w:pPr>
      <w:r w:rsidRPr="00E35A72">
        <w:rPr>
          <w:rFonts w:cs="Times New Roman"/>
          <w:noProof/>
          <w:color w:val="788184"/>
          <w:sz w:val="18"/>
          <w:szCs w:val="14"/>
          <w:lang w:eastAsia="en-AU"/>
        </w:rPr>
        <w:t>Source: 2019</w:t>
      </w:r>
      <w:r w:rsidR="00961EA1">
        <w:rPr>
          <w:rFonts w:cs="Times New Roman"/>
          <w:noProof/>
          <w:color w:val="788184"/>
          <w:sz w:val="18"/>
          <w:szCs w:val="14"/>
          <w:lang w:eastAsia="en-AU"/>
        </w:rPr>
        <w:t>–</w:t>
      </w:r>
      <w:r w:rsidRPr="00E35A72">
        <w:rPr>
          <w:rFonts w:cs="Times New Roman"/>
          <w:noProof/>
          <w:color w:val="788184"/>
          <w:sz w:val="18"/>
          <w:szCs w:val="14"/>
          <w:lang w:eastAsia="en-AU"/>
        </w:rPr>
        <w:t>20 Budget and PBO analysis</w:t>
      </w:r>
      <w:r w:rsidR="002A0DE1">
        <w:rPr>
          <w:rFonts w:cs="Times New Roman"/>
          <w:noProof/>
          <w:color w:val="788184"/>
          <w:sz w:val="18"/>
          <w:szCs w:val="14"/>
          <w:lang w:eastAsia="en-AU"/>
        </w:rPr>
        <w:t>.</w:t>
      </w:r>
    </w:p>
    <w:p w:rsidR="00215F4B" w:rsidRDefault="00215F4B" w:rsidP="000C4A6B">
      <w:pPr>
        <w:pStyle w:val="BodyText"/>
        <w:rPr>
          <w:lang w:eastAsia="en-AU"/>
        </w:rPr>
      </w:pPr>
      <w:r>
        <w:rPr>
          <w:lang w:eastAsia="en-AU"/>
        </w:rPr>
        <w:t>There is a possibility that lower ongoing funding costs result in an increased willingness by government to fund projects than in the past, however this has not been factored into the projections.</w:t>
      </w:r>
    </w:p>
    <w:p w:rsidR="000C4A6B" w:rsidRPr="00A117C9" w:rsidRDefault="000C4A6B" w:rsidP="000C4A6B">
      <w:pPr>
        <w:pStyle w:val="BodyText"/>
        <w:rPr>
          <w:lang w:eastAsia="en-AU"/>
        </w:rPr>
      </w:pPr>
      <w:r w:rsidRPr="00A117C9">
        <w:rPr>
          <w:lang w:eastAsia="en-AU"/>
        </w:rPr>
        <w:t xml:space="preserve">These figures include spending relating to road and rail infrastructure, including grants to state, territory and local governments.  They understate the Government’s total investment in infrastructure as they do not capture infrastructure investment funded through equity injections into public non‐financial corporations such as the Australian Rail Track Corporation, or concessional loans such as the loan to the New South Wales Government for the </w:t>
      </w:r>
      <w:proofErr w:type="spellStart"/>
      <w:r w:rsidRPr="00A117C9">
        <w:rPr>
          <w:lang w:eastAsia="en-AU"/>
        </w:rPr>
        <w:t>WestConnex</w:t>
      </w:r>
      <w:proofErr w:type="spellEnd"/>
      <w:r w:rsidRPr="00A117C9">
        <w:rPr>
          <w:lang w:eastAsia="en-AU"/>
        </w:rPr>
        <w:t xml:space="preserve"> project.</w:t>
      </w:r>
    </w:p>
    <w:p w:rsidR="00F83154" w:rsidRDefault="00F83154" w:rsidP="00434DD7">
      <w:pPr>
        <w:pStyle w:val="Heading2"/>
        <w:rPr>
          <w:lang w:eastAsia="en-AU"/>
        </w:rPr>
      </w:pPr>
      <w:bookmarkStart w:id="105" w:name="_Toc19530939"/>
      <w:bookmarkStart w:id="106" w:name="_Toc19536292"/>
      <w:bookmarkStart w:id="107" w:name="_Toc19536585"/>
      <w:bookmarkStart w:id="108" w:name="_Toc19530940"/>
      <w:bookmarkStart w:id="109" w:name="_Toc19536293"/>
      <w:bookmarkStart w:id="110" w:name="_Toc19536586"/>
      <w:bookmarkStart w:id="111" w:name="_Toc19530941"/>
      <w:bookmarkStart w:id="112" w:name="_Toc19536294"/>
      <w:bookmarkStart w:id="113" w:name="_Toc19536587"/>
      <w:bookmarkStart w:id="114" w:name="_Toc19530942"/>
      <w:bookmarkStart w:id="115" w:name="_Toc19536295"/>
      <w:bookmarkStart w:id="116" w:name="_Toc19536588"/>
      <w:bookmarkStart w:id="117" w:name="_Toc19530943"/>
      <w:bookmarkStart w:id="118" w:name="_Toc19536296"/>
      <w:bookmarkStart w:id="119" w:name="_Toc19536589"/>
      <w:bookmarkStart w:id="120" w:name="_Toc19530944"/>
      <w:bookmarkStart w:id="121" w:name="_Toc19536297"/>
      <w:bookmarkStart w:id="122" w:name="_Toc19536590"/>
      <w:bookmarkStart w:id="123" w:name="_Toc1980125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lang w:eastAsia="en-AU"/>
        </w:rPr>
        <w:t>Risks around projected spending</w:t>
      </w:r>
      <w:bookmarkEnd w:id="123"/>
    </w:p>
    <w:p w:rsidR="00215F4B" w:rsidRDefault="00215F4B" w:rsidP="00F83154">
      <w:pPr>
        <w:pStyle w:val="BodyText"/>
      </w:pPr>
      <w:r>
        <w:t>As mentioned earlier, t</w:t>
      </w:r>
      <w:r w:rsidR="00F83154" w:rsidRPr="00A117C9">
        <w:t xml:space="preserve">he PBO’s projections are based on the policy settings underlying the 2019–20 </w:t>
      </w:r>
      <w:proofErr w:type="gramStart"/>
      <w:r w:rsidR="00F83154" w:rsidRPr="00A117C9">
        <w:t>Budget</w:t>
      </w:r>
      <w:proofErr w:type="gramEnd"/>
      <w:r w:rsidR="00573F79" w:rsidRPr="00A117C9">
        <w:t xml:space="preserve"> and</w:t>
      </w:r>
      <w:r w:rsidR="00F83154" w:rsidRPr="00A117C9">
        <w:t xml:space="preserve"> assum</w:t>
      </w:r>
      <w:r w:rsidR="00573F79" w:rsidRPr="00A117C9">
        <w:t>e</w:t>
      </w:r>
      <w:r w:rsidR="00F83154" w:rsidRPr="00A117C9">
        <w:t xml:space="preserve"> no change to these settings over the medium term.  That is, the projections </w:t>
      </w:r>
      <w:r w:rsidR="004A3FF1">
        <w:t>for</w:t>
      </w:r>
      <w:r w:rsidR="004A3FF1" w:rsidRPr="00A117C9">
        <w:t xml:space="preserve"> </w:t>
      </w:r>
      <w:r w:rsidR="00F83154" w:rsidRPr="00A117C9">
        <w:t xml:space="preserve">spending assume no new spending initiatives beyond those </w:t>
      </w:r>
      <w:r w:rsidR="004A3FF1">
        <w:t>that have been announced by Government</w:t>
      </w:r>
      <w:r w:rsidR="00F83154" w:rsidRPr="00A117C9">
        <w:t xml:space="preserve">.  </w:t>
      </w:r>
    </w:p>
    <w:p w:rsidR="00F83154" w:rsidRPr="002C27E6" w:rsidRDefault="00215F4B" w:rsidP="00F83154">
      <w:pPr>
        <w:pStyle w:val="BodyText"/>
      </w:pPr>
      <w:r>
        <w:t xml:space="preserve">The key risks around these projections for spending are </w:t>
      </w:r>
      <w:r w:rsidR="00CF7D63">
        <w:t xml:space="preserve">that </w:t>
      </w:r>
      <w:r>
        <w:t>t</w:t>
      </w:r>
      <w:r w:rsidR="00F83154" w:rsidRPr="00A117C9">
        <w:t>he spending restraint seen over the past few years may be increasingly difficult to maintain given the length of time restraint has been applied</w:t>
      </w:r>
      <w:r w:rsidR="004A3FF1">
        <w:t xml:space="preserve"> and</w:t>
      </w:r>
      <w:r w:rsidR="00F83154" w:rsidRPr="00A117C9">
        <w:t xml:space="preserve"> the pressures emerging in some spending areas.</w:t>
      </w:r>
      <w:r w:rsidR="008B0D74">
        <w:t xml:space="preserve">  </w:t>
      </w:r>
      <w:r w:rsidR="00203121" w:rsidRPr="002C27E6">
        <w:t>Many commentators</w:t>
      </w:r>
      <w:r w:rsidR="004A3FF1">
        <w:t>, for example,</w:t>
      </w:r>
      <w:r w:rsidR="00203121" w:rsidRPr="002C27E6">
        <w:t xml:space="preserve"> have identified potential sources of spending</w:t>
      </w:r>
      <w:r w:rsidR="00F83154" w:rsidRPr="002C27E6">
        <w:t xml:space="preserve"> pressure</w:t>
      </w:r>
      <w:r w:rsidR="00C1759C" w:rsidRPr="002C27E6">
        <w:t xml:space="preserve">, such as in </w:t>
      </w:r>
      <w:proofErr w:type="spellStart"/>
      <w:r w:rsidR="00C1759C" w:rsidRPr="002C27E6">
        <w:t>Newstart</w:t>
      </w:r>
      <w:proofErr w:type="spellEnd"/>
      <w:r w:rsidR="00C1759C" w:rsidRPr="002C27E6">
        <w:t xml:space="preserve"> and aged care,</w:t>
      </w:r>
      <w:r w:rsidR="00F83154" w:rsidRPr="002C27E6">
        <w:t xml:space="preserve"> </w:t>
      </w:r>
      <w:r w:rsidR="004A3FF1">
        <w:t xml:space="preserve">reflecting </w:t>
      </w:r>
      <w:r w:rsidR="00F83154" w:rsidRPr="002C27E6">
        <w:lastRenderedPageBreak/>
        <w:t xml:space="preserve">community expectations around the level of income support and services that the </w:t>
      </w:r>
      <w:r>
        <w:t>g</w:t>
      </w:r>
      <w:r w:rsidRPr="002C27E6">
        <w:t xml:space="preserve">overnment </w:t>
      </w:r>
      <w:r w:rsidR="00F83154" w:rsidRPr="002C27E6">
        <w:t xml:space="preserve">should provide.  </w:t>
      </w:r>
    </w:p>
    <w:p w:rsidR="00F83154" w:rsidRDefault="00215F4B" w:rsidP="00F83154">
      <w:pPr>
        <w:pStyle w:val="BodyText"/>
      </w:pPr>
      <w:r>
        <w:t>A further risk is that w</w:t>
      </w:r>
      <w:r w:rsidR="00F83154" w:rsidRPr="002C27E6">
        <w:t>eaknesses in GST receipts and other state and territory revenue sources, as well as disparities in growth across the states and territories, could result in calls for the Commonwealth to provide greater transfer payments to the states and territories.</w:t>
      </w:r>
      <w:r w:rsidR="00C64A14" w:rsidRPr="002C27E6">
        <w:rPr>
          <w:rStyle w:val="FootnoteReference"/>
        </w:rPr>
        <w:footnoteReference w:id="21"/>
      </w:r>
    </w:p>
    <w:p w:rsidR="00215F4B" w:rsidRPr="002C27E6" w:rsidRDefault="00215F4B" w:rsidP="00F83154">
      <w:pPr>
        <w:pStyle w:val="BodyText"/>
      </w:pPr>
      <w:r>
        <w:t xml:space="preserve">On the other hand, if lower long term interest rates are sustained, public debt interest payments could be lowered even further, putting downward pressure on payments.  </w:t>
      </w:r>
    </w:p>
    <w:p w:rsidR="000128A5" w:rsidRDefault="008B0D74" w:rsidP="00223691">
      <w:pPr>
        <w:pStyle w:val="BodyText"/>
        <w:rPr>
          <w:rFonts w:ascii="Calibri Light" w:hAnsi="Calibri Light" w:cs="Times New Roman (Body CS)"/>
          <w:bCs/>
          <w:color w:val="3D4D7D" w:themeColor="background2"/>
          <w:spacing w:val="-20"/>
          <w:kern w:val="32"/>
          <w:sz w:val="52"/>
          <w:szCs w:val="32"/>
        </w:rPr>
      </w:pPr>
      <w:r w:rsidRPr="002C27E6">
        <w:rPr>
          <w:lang w:eastAsia="en-AU"/>
        </w:rPr>
        <w:t>Finally, w</w:t>
      </w:r>
      <w:r w:rsidRPr="002C27E6">
        <w:t xml:space="preserve">ith monetary policy close to the lower bound, there could be pressure in the future for fiscal stimulus.  While such stimulus would present a risk to the current budget projections, it would not necessarily present a risk to medium-term fiscal sustainability.  </w:t>
      </w:r>
      <w:r>
        <w:t>This would depend on the nature of stimulus spending</w:t>
      </w:r>
      <w:r w:rsidRPr="002C27E6">
        <w:t>.</w:t>
      </w:r>
      <w:bookmarkStart w:id="124" w:name="_Toc522875103"/>
      <w:bookmarkStart w:id="125" w:name="_Toc523757317"/>
      <w:bookmarkEnd w:id="124"/>
      <w:r w:rsidR="000128A5">
        <w:rPr>
          <w:rFonts w:cs="Times New Roman (Body CS)"/>
          <w:spacing w:val="-20"/>
        </w:rPr>
        <w:br w:type="page"/>
      </w:r>
    </w:p>
    <w:p w:rsidR="00E809F6" w:rsidRPr="00124871" w:rsidRDefault="00E809F6" w:rsidP="00E809F6">
      <w:pPr>
        <w:pStyle w:val="Heading1"/>
        <w:rPr>
          <w:rFonts w:cs="Times New Roman (Body CS)"/>
          <w:spacing w:val="-20"/>
        </w:rPr>
      </w:pPr>
      <w:bookmarkStart w:id="126" w:name="_Toc19801253"/>
      <w:r w:rsidRPr="00124871">
        <w:rPr>
          <w:rFonts w:cs="Times New Roman (Body CS)"/>
          <w:spacing w:val="-20"/>
        </w:rPr>
        <w:lastRenderedPageBreak/>
        <w:t>Projected net debt and net financial worth</w:t>
      </w:r>
      <w:bookmarkEnd w:id="125"/>
      <w:bookmarkEnd w:id="126"/>
    </w:p>
    <w:p w:rsidR="00E84310" w:rsidRPr="003533B7" w:rsidRDefault="00E84310" w:rsidP="00E95B0B">
      <w:pPr>
        <w:pStyle w:val="Heading2"/>
      </w:pPr>
      <w:bookmarkStart w:id="127" w:name="_Toc523757318"/>
      <w:bookmarkStart w:id="128" w:name="_Toc19801254"/>
      <w:r w:rsidRPr="003533B7">
        <w:t>Net debt</w:t>
      </w:r>
      <w:bookmarkEnd w:id="127"/>
      <w:bookmarkEnd w:id="128"/>
    </w:p>
    <w:p w:rsidR="00703A5C" w:rsidRDefault="00215F4B" w:rsidP="00E809F6">
      <w:pPr>
        <w:pStyle w:val="BodyText"/>
      </w:pPr>
      <w:r>
        <w:t>In the 2019</w:t>
      </w:r>
      <w:r w:rsidRPr="00A117C9">
        <w:t>–</w:t>
      </w:r>
      <w:r>
        <w:t>20 Budget, t</w:t>
      </w:r>
      <w:r w:rsidR="000547F6" w:rsidRPr="00A117C9">
        <w:t>he Government project</w:t>
      </w:r>
      <w:r>
        <w:t>ed</w:t>
      </w:r>
      <w:r w:rsidR="000547F6" w:rsidRPr="00A117C9">
        <w:t xml:space="preserve"> that net debt will fall </w:t>
      </w:r>
      <w:r w:rsidR="00391D30" w:rsidRPr="00A117C9">
        <w:t xml:space="preserve">from </w:t>
      </w:r>
      <w:r w:rsidR="00C91139" w:rsidRPr="00A117C9">
        <w:t>19</w:t>
      </w:r>
      <w:r w:rsidR="007A7381" w:rsidRPr="00A117C9">
        <w:t>.</w:t>
      </w:r>
      <w:r w:rsidR="00C91139" w:rsidRPr="00A117C9">
        <w:t>2</w:t>
      </w:r>
      <w:r w:rsidR="00573F79" w:rsidRPr="00A117C9">
        <w:t> </w:t>
      </w:r>
      <w:r w:rsidR="007A7381" w:rsidRPr="00A117C9">
        <w:t>per</w:t>
      </w:r>
      <w:r w:rsidR="00573F79" w:rsidRPr="00A117C9">
        <w:t> </w:t>
      </w:r>
      <w:r w:rsidR="007A7381" w:rsidRPr="00A117C9">
        <w:t>cent of GDP (</w:t>
      </w:r>
      <w:r w:rsidR="00C91139" w:rsidRPr="00A117C9">
        <w:t>$373</w:t>
      </w:r>
      <w:r w:rsidR="00391D30" w:rsidRPr="00A117C9">
        <w:t>.</w:t>
      </w:r>
      <w:r w:rsidR="00C91139" w:rsidRPr="00A117C9">
        <w:t>5</w:t>
      </w:r>
      <w:r w:rsidR="00573F79" w:rsidRPr="00A117C9">
        <w:t> </w:t>
      </w:r>
      <w:r w:rsidR="000547F6" w:rsidRPr="00A117C9">
        <w:t>billion</w:t>
      </w:r>
      <w:r w:rsidR="007A7381" w:rsidRPr="00A117C9">
        <w:t>)</w:t>
      </w:r>
      <w:r w:rsidR="000547F6" w:rsidRPr="00A117C9">
        <w:t xml:space="preserve"> </w:t>
      </w:r>
      <w:r w:rsidR="007A7381" w:rsidRPr="00A117C9">
        <w:t>in</w:t>
      </w:r>
      <w:r w:rsidR="0051389D" w:rsidRPr="00A117C9">
        <w:t xml:space="preserve"> </w:t>
      </w:r>
      <w:r w:rsidR="00C91139" w:rsidRPr="00A117C9">
        <w:t>2018</w:t>
      </w:r>
      <w:r w:rsidR="00961EA1" w:rsidRPr="00A117C9">
        <w:t>–</w:t>
      </w:r>
      <w:r w:rsidR="000547F6" w:rsidRPr="00A117C9">
        <w:t>1</w:t>
      </w:r>
      <w:r w:rsidR="00C91139" w:rsidRPr="00A117C9">
        <w:t>9 to 14.4</w:t>
      </w:r>
      <w:r w:rsidR="00573F79" w:rsidRPr="00A117C9">
        <w:t> </w:t>
      </w:r>
      <w:r w:rsidR="007A7381" w:rsidRPr="00A117C9">
        <w:t>per</w:t>
      </w:r>
      <w:r w:rsidR="00573F79" w:rsidRPr="00A117C9">
        <w:t xml:space="preserve"> </w:t>
      </w:r>
      <w:r w:rsidR="007A7381" w:rsidRPr="00A117C9">
        <w:t xml:space="preserve">cent of GDP </w:t>
      </w:r>
      <w:r w:rsidR="000547F6" w:rsidRPr="00A117C9">
        <w:t>(</w:t>
      </w:r>
      <w:r w:rsidR="007A7381" w:rsidRPr="00A117C9">
        <w:t>$</w:t>
      </w:r>
      <w:r w:rsidR="00C91139" w:rsidRPr="00A117C9">
        <w:t>326.1</w:t>
      </w:r>
      <w:r w:rsidR="00573F79" w:rsidRPr="00A117C9">
        <w:t> </w:t>
      </w:r>
      <w:r w:rsidR="007A7381" w:rsidRPr="00A117C9">
        <w:t>billion</w:t>
      </w:r>
      <w:r w:rsidR="000547F6" w:rsidRPr="00A117C9">
        <w:t>) in 202</w:t>
      </w:r>
      <w:r w:rsidR="0051389D" w:rsidRPr="00A117C9">
        <w:t>2</w:t>
      </w:r>
      <w:r w:rsidR="00AA2C2C">
        <w:t>–</w:t>
      </w:r>
      <w:r w:rsidR="000547F6" w:rsidRPr="00A117C9">
        <w:t>2</w:t>
      </w:r>
      <w:r w:rsidR="0051389D" w:rsidRPr="00A117C9">
        <w:t>3</w:t>
      </w:r>
      <w:r w:rsidR="000547F6" w:rsidRPr="00A117C9">
        <w:t>.</w:t>
      </w:r>
      <w:r w:rsidRPr="00A117C9">
        <w:rPr>
          <w:rStyle w:val="FootnoteReference"/>
        </w:rPr>
        <w:footnoteReference w:id="22"/>
      </w:r>
      <w:r w:rsidR="000547F6" w:rsidRPr="00A117C9">
        <w:t xml:space="preserve">  Beyond the forward estimates</w:t>
      </w:r>
      <w:r w:rsidR="00182D1C" w:rsidRPr="00A117C9">
        <w:t xml:space="preserve"> period</w:t>
      </w:r>
      <w:r w:rsidR="00DF7B03" w:rsidRPr="00A117C9">
        <w:t>,</w:t>
      </w:r>
      <w:r w:rsidR="000547F6" w:rsidRPr="00A117C9">
        <w:t xml:space="preserve"> </w:t>
      </w:r>
      <w:r w:rsidR="00F96881" w:rsidRPr="00A117C9">
        <w:t xml:space="preserve">the PBO </w:t>
      </w:r>
      <w:r w:rsidR="000547F6" w:rsidRPr="00A117C9">
        <w:t>project</w:t>
      </w:r>
      <w:r w:rsidR="00F96881" w:rsidRPr="00A117C9">
        <w:t>s</w:t>
      </w:r>
      <w:r w:rsidR="000547F6" w:rsidRPr="00A117C9">
        <w:t xml:space="preserve"> that net debt will fall to </w:t>
      </w:r>
      <w:r w:rsidR="00C91139" w:rsidRPr="00A117C9">
        <w:t>1</w:t>
      </w:r>
      <w:r w:rsidR="007A7381" w:rsidRPr="00A117C9">
        <w:t>.</w:t>
      </w:r>
      <w:r w:rsidR="00C91139" w:rsidRPr="00A117C9">
        <w:t>6</w:t>
      </w:r>
      <w:r w:rsidR="004C2EB4" w:rsidRPr="00A117C9">
        <w:t> </w:t>
      </w:r>
      <w:r w:rsidR="007A7381" w:rsidRPr="00A117C9">
        <w:t>per</w:t>
      </w:r>
      <w:r w:rsidR="004C2EB4" w:rsidRPr="00A117C9">
        <w:t> </w:t>
      </w:r>
      <w:r w:rsidR="007A7381" w:rsidRPr="00A117C9">
        <w:t>cent of GDP (</w:t>
      </w:r>
      <w:r w:rsidR="00C91139" w:rsidRPr="00A117C9">
        <w:t>$5</w:t>
      </w:r>
      <w:r w:rsidR="0051389D" w:rsidRPr="00A117C9">
        <w:t>1.8</w:t>
      </w:r>
      <w:r w:rsidR="004C2EB4" w:rsidRPr="00A117C9">
        <w:t> </w:t>
      </w:r>
      <w:r w:rsidR="000547F6" w:rsidRPr="00A117C9">
        <w:t>billion</w:t>
      </w:r>
      <w:r w:rsidR="007A7381" w:rsidRPr="00A117C9">
        <w:t>)</w:t>
      </w:r>
      <w:r w:rsidR="000547F6" w:rsidRPr="00A117C9">
        <w:t xml:space="preserve"> by 202</w:t>
      </w:r>
      <w:r w:rsidR="00C91139" w:rsidRPr="00A117C9">
        <w:t>9</w:t>
      </w:r>
      <w:r w:rsidR="00961EA1" w:rsidRPr="00A117C9">
        <w:t>–</w:t>
      </w:r>
      <w:r w:rsidR="00C91139" w:rsidRPr="00A117C9">
        <w:t>30</w:t>
      </w:r>
      <w:r w:rsidR="000547F6" w:rsidRPr="00A117C9">
        <w:t xml:space="preserve"> (</w:t>
      </w:r>
      <w:r w:rsidR="00DD57A0" w:rsidRPr="00A117C9">
        <w:fldChar w:fldCharType="begin"/>
      </w:r>
      <w:r w:rsidR="00DD57A0" w:rsidRPr="00A117C9">
        <w:instrText xml:space="preserve"> REF  _Ref520986428 \h </w:instrText>
      </w:r>
      <w:r w:rsidR="00CE38F9" w:rsidRPr="00A117C9">
        <w:instrText xml:space="preserve"> \* MERGEFORMAT </w:instrText>
      </w:r>
      <w:r w:rsidR="00DD57A0" w:rsidRPr="00A117C9">
        <w:fldChar w:fldCharType="separate"/>
      </w:r>
      <w:r w:rsidR="00CD4258" w:rsidRPr="00E809F6">
        <w:t xml:space="preserve">Figure </w:t>
      </w:r>
      <w:r w:rsidR="00CD4258">
        <w:rPr>
          <w:noProof/>
        </w:rPr>
        <w:t>4</w:t>
      </w:r>
      <w:r w:rsidR="00CD4258" w:rsidRPr="00E809F6">
        <w:t>–</w:t>
      </w:r>
      <w:r w:rsidR="00CD4258">
        <w:rPr>
          <w:noProof/>
        </w:rPr>
        <w:t>1</w:t>
      </w:r>
      <w:r w:rsidR="00DD57A0" w:rsidRPr="00A117C9">
        <w:fldChar w:fldCharType="end"/>
      </w:r>
      <w:r w:rsidR="000547F6" w:rsidRPr="00A117C9">
        <w:t>).</w:t>
      </w:r>
    </w:p>
    <w:p w:rsidR="00563C8C" w:rsidRDefault="00563C8C" w:rsidP="00E809F6">
      <w:pPr>
        <w:pStyle w:val="BodyText"/>
      </w:pPr>
      <w:r>
        <w:t xml:space="preserve">Net debt is projected </w:t>
      </w:r>
      <w:r w:rsidRPr="00080483">
        <w:t>to have peaked in</w:t>
      </w:r>
      <w:r>
        <w:t xml:space="preserve"> 2018–19 and is expected to decline over the next decade, reflecting the reduced financing task from the projected move to budget surpluses.  Based on this trend, net debt is projected to fall to zero in 2030–31, one year later than the projection in the </w:t>
      </w:r>
      <w:r w:rsidR="00192EF1">
        <w:br/>
      </w:r>
      <w:r>
        <w:t>2019–20 Budget.  This difference reflects cumulative minor differences in the profile for the underlying cash balance projection.</w:t>
      </w:r>
      <w:r>
        <w:rPr>
          <w:rStyle w:val="FootnoteReference"/>
        </w:rPr>
        <w:footnoteReference w:id="23"/>
      </w:r>
    </w:p>
    <w:p w:rsidR="00FD3EC1" w:rsidRDefault="00FD3EC1" w:rsidP="003305B8">
      <w:pPr>
        <w:pStyle w:val="BodyText"/>
      </w:pPr>
    </w:p>
    <w:p w:rsidR="00FD3EC1" w:rsidRDefault="00FD3EC1" w:rsidP="00FD3EC1">
      <w:pPr>
        <w:pStyle w:val="Caption"/>
      </w:pPr>
      <w:bookmarkStart w:id="129" w:name="_Ref520986428"/>
      <w:r w:rsidRPr="00E809F6">
        <w:t xml:space="preserve">Figure </w:t>
      </w:r>
      <w:r w:rsidR="00080176">
        <w:t>4</w:t>
      </w:r>
      <w:r w:rsidRPr="00E809F6">
        <w:t>–</w:t>
      </w:r>
      <w:fldSimple w:instr=" SEQ Figure \* ARABIC \s 1 ">
        <w:r w:rsidR="00CD4258">
          <w:rPr>
            <w:noProof/>
          </w:rPr>
          <w:t>1</w:t>
        </w:r>
      </w:fldSimple>
      <w:bookmarkEnd w:id="129"/>
      <w:r w:rsidRPr="00E809F6">
        <w:t xml:space="preserve">: </w:t>
      </w:r>
      <w:r>
        <w:t>Net debt</w:t>
      </w:r>
    </w:p>
    <w:p w:rsidR="007D35E0" w:rsidRPr="00552C4C" w:rsidRDefault="009F53DD" w:rsidP="00552C4C">
      <w:pPr>
        <w:pStyle w:val="BodyText"/>
        <w:jc w:val="center"/>
      </w:pPr>
      <w:r>
        <w:rPr>
          <w:noProof/>
          <w:lang w:eastAsia="en-AU"/>
        </w:rPr>
        <w:drawing>
          <wp:inline distT="0" distB="0" distL="0" distR="0" wp14:anchorId="17732D9B" wp14:editId="38A93ED8">
            <wp:extent cx="4859655" cy="2571115"/>
            <wp:effectExtent l="0" t="0" r="0" b="635"/>
            <wp:docPr id="5" name="Picture 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859655" cy="25711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p>
    <w:p w:rsidR="00EF1FC5" w:rsidRDefault="00EF1FC5" w:rsidP="00124871">
      <w:pPr>
        <w:pStyle w:val="SourceIndent"/>
        <w:tabs>
          <w:tab w:val="clear" w:pos="624"/>
        </w:tabs>
        <w:ind w:left="1134"/>
        <w:contextualSpacing/>
      </w:pPr>
      <w:r>
        <w:t>Note: The dot represents the 2018</w:t>
      </w:r>
      <w:r w:rsidR="00AA2C2C">
        <w:t>–</w:t>
      </w:r>
      <w:r>
        <w:t xml:space="preserve">19 </w:t>
      </w:r>
      <w:r w:rsidR="009F53DD">
        <w:t>f</w:t>
      </w:r>
      <w:r>
        <w:t xml:space="preserve">inal </w:t>
      </w:r>
      <w:r w:rsidR="009F53DD">
        <w:t>b</w:t>
      </w:r>
      <w:r>
        <w:t xml:space="preserve">udget </w:t>
      </w:r>
      <w:proofErr w:type="gramStart"/>
      <w:r w:rsidR="009F53DD">
        <w:t>o</w:t>
      </w:r>
      <w:r>
        <w:t>utcome</w:t>
      </w:r>
      <w:proofErr w:type="gramEnd"/>
      <w:r>
        <w:t xml:space="preserve"> for net debt of 19.2 per cent of GDP.</w:t>
      </w:r>
    </w:p>
    <w:p w:rsidR="00FD3EC1" w:rsidRDefault="00FD3EC1" w:rsidP="00124871">
      <w:pPr>
        <w:pStyle w:val="SourceIndent"/>
        <w:tabs>
          <w:tab w:val="clear" w:pos="624"/>
        </w:tabs>
        <w:ind w:left="1134"/>
        <w:contextualSpacing/>
      </w:pPr>
      <w:r>
        <w:t xml:space="preserve">Source: </w:t>
      </w:r>
      <w:r w:rsidRPr="00363711">
        <w:t>201</w:t>
      </w:r>
      <w:r w:rsidR="00C91139">
        <w:t>9</w:t>
      </w:r>
      <w:r w:rsidR="004C2EB4">
        <w:rPr>
          <w:spacing w:val="-3"/>
        </w:rPr>
        <w:t>–</w:t>
      </w:r>
      <w:r w:rsidR="00C91139">
        <w:t>20</w:t>
      </w:r>
      <w:r w:rsidRPr="00363711">
        <w:t xml:space="preserve"> Budget</w:t>
      </w:r>
      <w:r w:rsidR="009F53DD">
        <w:t>, 2018</w:t>
      </w:r>
      <w:r w:rsidR="00AA2C2C">
        <w:t>–</w:t>
      </w:r>
      <w:r w:rsidR="009F53DD">
        <w:t>19 Final Budget Outcome</w:t>
      </w:r>
      <w:r w:rsidRPr="00363711">
        <w:t xml:space="preserve"> and PBO analysis.</w:t>
      </w:r>
    </w:p>
    <w:p w:rsidR="00563C8C" w:rsidRPr="00A117C9" w:rsidRDefault="00563C8C" w:rsidP="00563C8C">
      <w:pPr>
        <w:pStyle w:val="BodyText"/>
      </w:pPr>
      <w:r w:rsidRPr="00A117C9">
        <w:rPr>
          <w:lang w:eastAsia="en-AU"/>
        </w:rPr>
        <w:t>The PBO’s alternative estimate of net debt, which looks through to all underlying assets</w:t>
      </w:r>
      <w:r>
        <w:rPr>
          <w:lang w:eastAsia="en-AU"/>
        </w:rPr>
        <w:t xml:space="preserve"> held by government investment funds</w:t>
      </w:r>
      <w:r w:rsidRPr="00A117C9">
        <w:rPr>
          <w:lang w:eastAsia="en-AU"/>
        </w:rPr>
        <w:t xml:space="preserve"> regardless of the investment structures used (see Box 5), is around 21.7 per cent of GDP in 2019–20.</w:t>
      </w:r>
      <w:r w:rsidRPr="004E6A22">
        <w:rPr>
          <w:rStyle w:val="FootnoteReference"/>
          <w:lang w:eastAsia="en-AU"/>
        </w:rPr>
        <w:footnoteReference w:id="24"/>
      </w:r>
      <w:r w:rsidRPr="00A117C9">
        <w:rPr>
          <w:lang w:eastAsia="en-AU"/>
        </w:rPr>
        <w:t xml:space="preserve">  This is 3.7 per cent of GDP higher in 2019–20 than the standard projection.  The alternative estimate of net debt would be expected to equal 5.5 per cent of GDP in 2029–30, 3.9 per cent of GDP higher than the standard projection</w:t>
      </w:r>
      <w:r w:rsidRPr="00A117C9">
        <w:rPr>
          <w:rStyle w:val="CommentReference"/>
        </w:rPr>
        <w:t>.</w:t>
      </w:r>
    </w:p>
    <w:p w:rsidR="00563C8C" w:rsidRDefault="00563C8C" w:rsidP="003E377D">
      <w:pPr>
        <w:pStyle w:val="BodyText"/>
      </w:pPr>
    </w:p>
    <w:p w:rsidR="008442D6" w:rsidRDefault="003E377D" w:rsidP="003E377D">
      <w:pPr>
        <w:pStyle w:val="BodyText"/>
      </w:pPr>
      <w:r>
        <w:t>Net debt is affected by l</w:t>
      </w:r>
      <w:r w:rsidRPr="003B0208">
        <w:t xml:space="preserve">ower interest rates, or bond yields, </w:t>
      </w:r>
      <w:r>
        <w:t xml:space="preserve">which have two offsetting impacts.  On one hand, lower interest rates result in </w:t>
      </w:r>
      <w:r w:rsidRPr="003B0208">
        <w:t>lower public debt interest payments on new borrowings, which increase</w:t>
      </w:r>
      <w:r>
        <w:t>s the</w:t>
      </w:r>
      <w:r w:rsidRPr="004526FB">
        <w:t xml:space="preserve"> </w:t>
      </w:r>
      <w:r>
        <w:t>underlying cash balance and reduces future requirements for raising debt</w:t>
      </w:r>
      <w:r w:rsidRPr="003B0208">
        <w:t>.</w:t>
      </w:r>
      <w:r>
        <w:t xml:space="preserve">  </w:t>
      </w:r>
      <w:r w:rsidRPr="003B0208">
        <w:t>On the other hand, lower bond yields lead the existing stock of government debt to be revalued upwards</w:t>
      </w:r>
      <w:r>
        <w:t>, increasing</w:t>
      </w:r>
      <w:r w:rsidRPr="003B0208">
        <w:t xml:space="preserve"> net debt.</w:t>
      </w:r>
      <w:r>
        <w:rPr>
          <w:rStyle w:val="FootnoteReference"/>
        </w:rPr>
        <w:footnoteReference w:id="25"/>
      </w:r>
    </w:p>
    <w:p w:rsidR="00C268D8" w:rsidRDefault="00F472CE" w:rsidP="00E809F6">
      <w:pPr>
        <w:pStyle w:val="BodyText"/>
      </w:pPr>
      <w:r>
        <w:t xml:space="preserve">As </w:t>
      </w:r>
      <w:r w:rsidR="00DD57A0">
        <w:fldChar w:fldCharType="begin"/>
      </w:r>
      <w:r w:rsidR="00DD57A0">
        <w:instrText xml:space="preserve"> REF  _Ref520986428 \h </w:instrText>
      </w:r>
      <w:r w:rsidR="00DD57A0">
        <w:fldChar w:fldCharType="separate"/>
      </w:r>
      <w:r w:rsidR="00CD4258" w:rsidRPr="00E809F6">
        <w:t xml:space="preserve">Figure </w:t>
      </w:r>
      <w:r w:rsidR="00CD4258">
        <w:t>4</w:t>
      </w:r>
      <w:r w:rsidR="00CD4258" w:rsidRPr="00E809F6">
        <w:t>–</w:t>
      </w:r>
      <w:r w:rsidR="00CD4258">
        <w:rPr>
          <w:noProof/>
        </w:rPr>
        <w:t>1</w:t>
      </w:r>
      <w:r w:rsidR="00DD57A0">
        <w:fldChar w:fldCharType="end"/>
      </w:r>
      <w:r w:rsidR="004A1C74">
        <w:t xml:space="preserve"> </w:t>
      </w:r>
      <w:r>
        <w:t xml:space="preserve">illustrates, the projected improvement in the net debt position </w:t>
      </w:r>
      <w:r w:rsidR="003575A2">
        <w:t xml:space="preserve">over the next decade </w:t>
      </w:r>
      <w:r>
        <w:t xml:space="preserve">is not without precedent.  </w:t>
      </w:r>
      <w:r w:rsidR="00743CCB">
        <w:t xml:space="preserve">Following expansionary fiscal policy in the wake of the early 1990s recession, net debt </w:t>
      </w:r>
      <w:r w:rsidR="00F327BA">
        <w:t>increased to</w:t>
      </w:r>
      <w:r w:rsidR="00743CCB">
        <w:t xml:space="preserve"> </w:t>
      </w:r>
      <w:r w:rsidR="00C939E8">
        <w:t>18.2</w:t>
      </w:r>
      <w:r w:rsidR="004C2EB4">
        <w:t> </w:t>
      </w:r>
      <w:r w:rsidR="00C939E8">
        <w:t>per</w:t>
      </w:r>
      <w:r w:rsidR="004C2EB4">
        <w:t> </w:t>
      </w:r>
      <w:r w:rsidR="00C939E8">
        <w:t>cent of GDP in 1995</w:t>
      </w:r>
      <w:r w:rsidR="00961EA1">
        <w:t>–</w:t>
      </w:r>
      <w:r w:rsidR="00C939E8">
        <w:t>96</w:t>
      </w:r>
      <w:r w:rsidR="00743CCB">
        <w:t xml:space="preserve">.  Net debt </w:t>
      </w:r>
      <w:r w:rsidR="00C939E8">
        <w:t xml:space="preserve">fell continuously </w:t>
      </w:r>
      <w:r w:rsidR="00743CCB">
        <w:t xml:space="preserve">over the next decade </w:t>
      </w:r>
      <w:r w:rsidR="00C939E8">
        <w:t>to reach -3.</w:t>
      </w:r>
      <w:r w:rsidR="00DF7B03">
        <w:t>4</w:t>
      </w:r>
      <w:r w:rsidR="004C2EB4">
        <w:t> </w:t>
      </w:r>
      <w:r w:rsidR="00C939E8">
        <w:t>per</w:t>
      </w:r>
      <w:r w:rsidR="004C2EB4">
        <w:t> </w:t>
      </w:r>
      <w:r w:rsidR="00C939E8">
        <w:t>cent of GDP in 2007</w:t>
      </w:r>
      <w:r w:rsidR="00961EA1">
        <w:t>–</w:t>
      </w:r>
      <w:r w:rsidR="00C939E8">
        <w:t>08.</w:t>
      </w:r>
      <w:r w:rsidR="005E3033">
        <w:t xml:space="preserve">  </w:t>
      </w:r>
      <w:r w:rsidR="00B33CB7">
        <w:t>T</w:t>
      </w:r>
      <w:r w:rsidR="00065ABE">
        <w:t>here were unique factors</w:t>
      </w:r>
      <w:r w:rsidR="00B33CB7">
        <w:t>, however,</w:t>
      </w:r>
      <w:r w:rsidR="00065ABE">
        <w:t xml:space="preserve"> behind th</w:t>
      </w:r>
      <w:r w:rsidR="00B33CB7">
        <w:t>is</w:t>
      </w:r>
      <w:r w:rsidR="00065ABE">
        <w:t xml:space="preserve"> improvement in the budget balance and net debt over this period</w:t>
      </w:r>
      <w:r w:rsidR="00B33CB7">
        <w:t>, such as the sale of major government assets.</w:t>
      </w:r>
    </w:p>
    <w:p w:rsidR="005D690D" w:rsidRDefault="00A069ED" w:rsidP="00A069ED">
      <w:pPr>
        <w:pStyle w:val="BodyText"/>
      </w:pPr>
      <w:r w:rsidRPr="00F14342">
        <w:t xml:space="preserve">The </w:t>
      </w:r>
      <w:r>
        <w:t xml:space="preserve">net debt position </w:t>
      </w:r>
      <w:r w:rsidRPr="00F14342">
        <w:t xml:space="preserve">is a consequence of the accumulated </w:t>
      </w:r>
      <w:r>
        <w:t xml:space="preserve">receipt and spending </w:t>
      </w:r>
      <w:r w:rsidRPr="00F14342">
        <w:t xml:space="preserve">flows discussed </w:t>
      </w:r>
      <w:r w:rsidR="008A4D0A">
        <w:br/>
      </w:r>
      <w:r w:rsidRPr="00F14342">
        <w:t>in previous chapters.</w:t>
      </w:r>
      <w:r>
        <w:t xml:space="preserve">  To the extent that the downside risks to </w:t>
      </w:r>
      <w:r w:rsidR="009D1299">
        <w:t xml:space="preserve">the budget balance </w:t>
      </w:r>
      <w:r>
        <w:t>identified in this report eventuate, this will result in higher levels of net debt over the next decade.</w:t>
      </w:r>
    </w:p>
    <w:p w:rsidR="0028027D" w:rsidRDefault="0028027D" w:rsidP="00D46A0C">
      <w:pPr>
        <w:pStyle w:val="BodyText"/>
        <w:spacing w:before="240"/>
      </w:pPr>
    </w:p>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28027D" w:rsidTr="0083566C">
        <w:tc>
          <w:tcPr>
            <w:tcW w:w="8789" w:type="dxa"/>
          </w:tcPr>
          <w:p w:rsidR="0028027D" w:rsidRPr="00C91139" w:rsidRDefault="0028027D" w:rsidP="007B47CC">
            <w:pPr>
              <w:pStyle w:val="CaptionLeft"/>
              <w:rPr>
                <w:sz w:val="28"/>
                <w:szCs w:val="28"/>
              </w:rPr>
            </w:pPr>
            <w:r w:rsidRPr="00C91139">
              <w:rPr>
                <w:sz w:val="28"/>
                <w:szCs w:val="28"/>
              </w:rPr>
              <w:t xml:space="preserve">Box </w:t>
            </w:r>
            <w:r w:rsidR="00080176">
              <w:rPr>
                <w:sz w:val="28"/>
                <w:szCs w:val="28"/>
              </w:rPr>
              <w:t>5</w:t>
            </w:r>
            <w:r w:rsidRPr="00C91139">
              <w:rPr>
                <w:sz w:val="28"/>
                <w:szCs w:val="28"/>
              </w:rPr>
              <w:t>: An alternative estimate of net debt</w:t>
            </w:r>
          </w:p>
          <w:p w:rsidR="00AB6179" w:rsidRPr="002C27E6" w:rsidRDefault="00AB6179" w:rsidP="00AB6179">
            <w:pPr>
              <w:pStyle w:val="ListBullet"/>
              <w:numPr>
                <w:ilvl w:val="0"/>
                <w:numId w:val="0"/>
              </w:numPr>
              <w:spacing w:line="276" w:lineRule="auto"/>
              <w:rPr>
                <w:lang w:eastAsia="en-AU"/>
              </w:rPr>
            </w:pPr>
            <w:r w:rsidRPr="002C27E6">
              <w:rPr>
                <w:lang w:eastAsia="en-AU"/>
              </w:rPr>
              <w:t xml:space="preserve">Net debt, as a partial measure of the Commonwealth balance sheet, </w:t>
            </w:r>
            <w:r w:rsidR="00566EEB" w:rsidRPr="002C27E6">
              <w:rPr>
                <w:lang w:eastAsia="en-AU"/>
              </w:rPr>
              <w:t xml:space="preserve">is sensitive to the investment strategies and the investment structures used by the </w:t>
            </w:r>
            <w:r w:rsidR="00E35A72" w:rsidRPr="002C27E6">
              <w:rPr>
                <w:lang w:eastAsia="en-AU"/>
              </w:rPr>
              <w:t xml:space="preserve">government investment funds, most notably the </w:t>
            </w:r>
            <w:r w:rsidR="00566EEB" w:rsidRPr="002C27E6">
              <w:rPr>
                <w:lang w:eastAsia="en-AU"/>
              </w:rPr>
              <w:t>Future Fund</w:t>
            </w:r>
            <w:r w:rsidRPr="002C27E6">
              <w:rPr>
                <w:lang w:eastAsia="en-AU"/>
              </w:rPr>
              <w:t xml:space="preserve">.  </w:t>
            </w:r>
          </w:p>
          <w:p w:rsidR="00AB6179" w:rsidRPr="002C27E6" w:rsidRDefault="00AB6179" w:rsidP="00AB6179">
            <w:pPr>
              <w:pStyle w:val="ListBullet"/>
              <w:numPr>
                <w:ilvl w:val="0"/>
                <w:numId w:val="0"/>
              </w:numPr>
              <w:spacing w:line="276" w:lineRule="auto"/>
              <w:rPr>
                <w:lang w:eastAsia="en-AU"/>
              </w:rPr>
            </w:pPr>
            <w:r w:rsidRPr="002C27E6">
              <w:rPr>
                <w:lang w:eastAsia="en-AU"/>
              </w:rPr>
              <w:t xml:space="preserve">Future Fund investments made through investment structures called ‘collective investment vehicles’ are treated as debt-like assets </w:t>
            </w:r>
            <w:r w:rsidR="00566EEB" w:rsidRPr="002C27E6">
              <w:rPr>
                <w:lang w:eastAsia="en-AU"/>
              </w:rPr>
              <w:t xml:space="preserve">on the Commonwealth balance sheet and therefore contribute to offsetting debt liabilities </w:t>
            </w:r>
            <w:r w:rsidRPr="002C27E6">
              <w:rPr>
                <w:lang w:eastAsia="en-AU"/>
              </w:rPr>
              <w:t>in the calculation of net debt</w:t>
            </w:r>
            <w:r w:rsidR="00566EEB" w:rsidRPr="002C27E6">
              <w:rPr>
                <w:lang w:eastAsia="en-AU"/>
              </w:rPr>
              <w:t xml:space="preserve">.  This is </w:t>
            </w:r>
            <w:r w:rsidRPr="002C27E6">
              <w:rPr>
                <w:lang w:eastAsia="en-AU"/>
              </w:rPr>
              <w:t>despite a significant share of the underlying assets appearing to be equity-like in nature.</w:t>
            </w:r>
            <w:r w:rsidR="00566EEB" w:rsidRPr="002C27E6">
              <w:rPr>
                <w:lang w:eastAsia="en-AU"/>
              </w:rPr>
              <w:t xml:space="preserve">  Equity investments are not included </w:t>
            </w:r>
            <w:r w:rsidR="00B33CFC" w:rsidRPr="002C27E6">
              <w:rPr>
                <w:lang w:eastAsia="en-AU"/>
              </w:rPr>
              <w:t xml:space="preserve">as an offsetting asset </w:t>
            </w:r>
            <w:r w:rsidR="00566EEB" w:rsidRPr="002C27E6">
              <w:rPr>
                <w:lang w:eastAsia="en-AU"/>
              </w:rPr>
              <w:t>in the calculation of net debt.</w:t>
            </w:r>
            <w:r w:rsidRPr="002C27E6">
              <w:rPr>
                <w:lang w:eastAsia="en-AU"/>
              </w:rPr>
              <w:t xml:space="preserve">  </w:t>
            </w:r>
          </w:p>
          <w:p w:rsidR="00AB6179" w:rsidRPr="002C27E6" w:rsidRDefault="00AB6179" w:rsidP="00AB6179">
            <w:pPr>
              <w:pStyle w:val="ListBullet"/>
              <w:numPr>
                <w:ilvl w:val="0"/>
                <w:numId w:val="0"/>
              </w:numPr>
              <w:spacing w:line="276" w:lineRule="auto"/>
              <w:rPr>
                <w:lang w:eastAsia="en-AU"/>
              </w:rPr>
            </w:pPr>
            <w:r w:rsidRPr="002C27E6">
              <w:rPr>
                <w:lang w:eastAsia="en-AU"/>
              </w:rPr>
              <w:t xml:space="preserve">As discussed in </w:t>
            </w:r>
            <w:r w:rsidR="0054036F" w:rsidRPr="002C27E6">
              <w:rPr>
                <w:lang w:eastAsia="en-AU"/>
              </w:rPr>
              <w:t xml:space="preserve">the </w:t>
            </w:r>
            <w:r w:rsidRPr="002C27E6">
              <w:rPr>
                <w:lang w:eastAsia="en-AU"/>
              </w:rPr>
              <w:t>PBO report</w:t>
            </w:r>
            <w:r w:rsidR="0054036F" w:rsidRPr="002C27E6">
              <w:rPr>
                <w:lang w:eastAsia="en-AU"/>
              </w:rPr>
              <w:t xml:space="preserve"> </w:t>
            </w:r>
            <w:r w:rsidR="0054036F" w:rsidRPr="002C27E6">
              <w:rPr>
                <w:i/>
                <w:lang w:eastAsia="en-AU"/>
              </w:rPr>
              <w:t>Net debt and investment funds – Trends and balance sheet implications</w:t>
            </w:r>
            <w:r w:rsidR="0054036F" w:rsidRPr="003305B8">
              <w:rPr>
                <w:rStyle w:val="FootnoteReference"/>
                <w:lang w:eastAsia="en-AU"/>
              </w:rPr>
              <w:footnoteReference w:id="26"/>
            </w:r>
            <w:r w:rsidRPr="002C27E6">
              <w:rPr>
                <w:lang w:eastAsia="en-AU"/>
              </w:rPr>
              <w:t xml:space="preserve">, an alternate approach to calculating net debt would </w:t>
            </w:r>
            <w:r w:rsidR="00064DD1" w:rsidRPr="002C27E6">
              <w:rPr>
                <w:lang w:eastAsia="en-AU"/>
              </w:rPr>
              <w:t>‘</w:t>
            </w:r>
            <w:r w:rsidRPr="002C27E6">
              <w:rPr>
                <w:lang w:eastAsia="en-AU"/>
              </w:rPr>
              <w:t>look through</w:t>
            </w:r>
            <w:r w:rsidR="00064DD1" w:rsidRPr="002C27E6">
              <w:rPr>
                <w:lang w:eastAsia="en-AU"/>
              </w:rPr>
              <w:t>’</w:t>
            </w:r>
            <w:r w:rsidRPr="002C27E6">
              <w:rPr>
                <w:lang w:eastAsia="en-AU"/>
              </w:rPr>
              <w:t xml:space="preserve"> these investment structures to the underlying asset.  Figure </w:t>
            </w:r>
            <w:r w:rsidR="003535BB">
              <w:rPr>
                <w:lang w:eastAsia="en-AU"/>
              </w:rPr>
              <w:t>4</w:t>
            </w:r>
            <w:r w:rsidR="00961EA1" w:rsidRPr="002C27E6">
              <w:rPr>
                <w:lang w:eastAsia="en-AU"/>
              </w:rPr>
              <w:t>–</w:t>
            </w:r>
            <w:r w:rsidR="00566D0E" w:rsidRPr="002C27E6">
              <w:rPr>
                <w:lang w:eastAsia="en-AU"/>
              </w:rPr>
              <w:t xml:space="preserve">1 </w:t>
            </w:r>
            <w:r w:rsidRPr="002C27E6">
              <w:rPr>
                <w:lang w:eastAsia="en-AU"/>
              </w:rPr>
              <w:t>illustrates the upper bound of the impact of a look-through calculation of net debt</w:t>
            </w:r>
            <w:r w:rsidR="00587614">
              <w:rPr>
                <w:lang w:eastAsia="en-AU"/>
              </w:rPr>
              <w:t xml:space="preserve"> -</w:t>
            </w:r>
            <w:r w:rsidRPr="002C27E6">
              <w:rPr>
                <w:lang w:eastAsia="en-AU"/>
              </w:rPr>
              <w:t xml:space="preserve"> that is, if all investment fund assets in collective investment vehicles were determined to be equity-like in nature.  </w:t>
            </w:r>
          </w:p>
          <w:p w:rsidR="00C91139" w:rsidRPr="00233BE7" w:rsidRDefault="00AB6179" w:rsidP="0031524D">
            <w:pPr>
              <w:pStyle w:val="ListBullet"/>
              <w:numPr>
                <w:ilvl w:val="0"/>
                <w:numId w:val="0"/>
              </w:numPr>
              <w:spacing w:line="276" w:lineRule="auto"/>
            </w:pPr>
            <w:r w:rsidRPr="002C27E6">
              <w:rPr>
                <w:lang w:eastAsia="en-AU"/>
              </w:rPr>
              <w:t xml:space="preserve">This alternative estimate </w:t>
            </w:r>
            <w:r w:rsidR="00B33CFC" w:rsidRPr="002C27E6">
              <w:rPr>
                <w:lang w:eastAsia="en-AU"/>
              </w:rPr>
              <w:t xml:space="preserve">of net debt </w:t>
            </w:r>
            <w:r w:rsidRPr="002C27E6">
              <w:rPr>
                <w:lang w:eastAsia="en-AU"/>
              </w:rPr>
              <w:t>demonstrates the degree to which investment structures can affect the measure of net debt.</w:t>
            </w:r>
            <w:r w:rsidR="004A3FF1">
              <w:rPr>
                <w:lang w:eastAsia="en-AU"/>
              </w:rPr>
              <w:t xml:space="preserve">  This paper also highlights the benefit of analysing broader measures of the balance sheet.</w:t>
            </w:r>
          </w:p>
        </w:tc>
      </w:tr>
    </w:tbl>
    <w:p w:rsidR="004A3FF1" w:rsidRDefault="004A3FF1" w:rsidP="00B56E2C">
      <w:pPr>
        <w:rPr>
          <w:rFonts w:asciiTheme="majorHAnsi" w:hAnsiTheme="majorHAnsi"/>
          <w:color w:val="3D4D7D" w:themeColor="background2"/>
          <w:kern w:val="20"/>
          <w:sz w:val="28"/>
          <w:szCs w:val="28"/>
        </w:rPr>
      </w:pPr>
      <w:r>
        <w:br w:type="page"/>
      </w:r>
    </w:p>
    <w:p w:rsidR="00E84310" w:rsidRPr="003533B7" w:rsidRDefault="00E84310" w:rsidP="004C2EB4">
      <w:pPr>
        <w:pStyle w:val="Heading2"/>
      </w:pPr>
      <w:bookmarkStart w:id="130" w:name="_Toc523757319"/>
      <w:bookmarkStart w:id="131" w:name="_Toc19801255"/>
      <w:r>
        <w:lastRenderedPageBreak/>
        <w:t>Net financial worth</w:t>
      </w:r>
      <w:bookmarkEnd w:id="130"/>
      <w:bookmarkEnd w:id="131"/>
    </w:p>
    <w:p w:rsidR="004C21C4" w:rsidRPr="004E6A22" w:rsidRDefault="004C21C4" w:rsidP="00703A5C">
      <w:pPr>
        <w:pStyle w:val="BodyText"/>
      </w:pPr>
      <w:r w:rsidRPr="004E6A22">
        <w:t>Net financial worth is a broader measure</w:t>
      </w:r>
      <w:r w:rsidR="004E746D" w:rsidRPr="004E6A22">
        <w:t xml:space="preserve"> of the strength of the </w:t>
      </w:r>
      <w:r w:rsidR="004E6A22" w:rsidRPr="004E6A22">
        <w:t>G</w:t>
      </w:r>
      <w:r w:rsidR="004E746D" w:rsidRPr="004E6A22">
        <w:t>overnment’s balance sheet</w:t>
      </w:r>
      <w:r w:rsidRPr="004E6A22">
        <w:t xml:space="preserve"> than net debt as it includes all of the Commonwealth’s </w:t>
      </w:r>
      <w:r w:rsidRPr="00A117C9">
        <w:t>financial assets and liabilities, including the unfunded superannuation liability and equity investment</w:t>
      </w:r>
      <w:r w:rsidR="00E84310" w:rsidRPr="00A117C9">
        <w:t>s</w:t>
      </w:r>
      <w:r w:rsidRPr="00A117C9">
        <w:t>.</w:t>
      </w:r>
      <w:r w:rsidRPr="004E6A22">
        <w:t xml:space="preserve">  </w:t>
      </w:r>
    </w:p>
    <w:p w:rsidR="00EF1FC5" w:rsidRDefault="004C21C4" w:rsidP="00703A5C">
      <w:pPr>
        <w:pStyle w:val="BodyText"/>
      </w:pPr>
      <w:r>
        <w:t>Net financial worth</w:t>
      </w:r>
      <w:r w:rsidR="009D1299">
        <w:t xml:space="preserve"> shows a broadly similar improvement to that projected for net debt, </w:t>
      </w:r>
      <w:r>
        <w:t>improv</w:t>
      </w:r>
      <w:r w:rsidR="009D1299">
        <w:t>ing</w:t>
      </w:r>
      <w:r>
        <w:t xml:space="preserve"> from</w:t>
      </w:r>
      <w:r w:rsidR="00EF1FC5">
        <w:t xml:space="preserve"> a 2019–20 Budget estimate of</w:t>
      </w:r>
      <w:r>
        <w:t xml:space="preserve"> </w:t>
      </w:r>
      <w:r w:rsidR="00C91139">
        <w:t>-25.3</w:t>
      </w:r>
      <w:r w:rsidR="004E6A22">
        <w:t> </w:t>
      </w:r>
      <w:r w:rsidR="007A7381">
        <w:t>per</w:t>
      </w:r>
      <w:r w:rsidR="004E6A22">
        <w:t> </w:t>
      </w:r>
      <w:r w:rsidR="007A7381">
        <w:t>cent of GDP (</w:t>
      </w:r>
      <w:r w:rsidR="00C91139">
        <w:t>-$490.8</w:t>
      </w:r>
      <w:r w:rsidR="004E6A22">
        <w:t> </w:t>
      </w:r>
      <w:r>
        <w:t>billion</w:t>
      </w:r>
      <w:r w:rsidR="007A7381">
        <w:t>)</w:t>
      </w:r>
      <w:r>
        <w:t xml:space="preserve"> in 201</w:t>
      </w:r>
      <w:r w:rsidR="00C91139">
        <w:t>8</w:t>
      </w:r>
      <w:r w:rsidR="00961EA1">
        <w:t>–</w:t>
      </w:r>
      <w:r>
        <w:t>1</w:t>
      </w:r>
      <w:r w:rsidR="00C91139">
        <w:t>9</w:t>
      </w:r>
      <w:r>
        <w:t xml:space="preserve"> to </w:t>
      </w:r>
    </w:p>
    <w:p w:rsidR="002F6DEC" w:rsidRDefault="007A7381" w:rsidP="00703A5C">
      <w:pPr>
        <w:pStyle w:val="BodyText"/>
        <w:contextualSpacing/>
      </w:pPr>
      <w:r>
        <w:t>-</w:t>
      </w:r>
      <w:r w:rsidR="00C91139">
        <w:t>1.</w:t>
      </w:r>
      <w:r w:rsidR="0051389D">
        <w:t>8</w:t>
      </w:r>
      <w:r w:rsidR="004E6A22">
        <w:t> </w:t>
      </w:r>
      <w:r>
        <w:t>per</w:t>
      </w:r>
      <w:r w:rsidR="004E6A22">
        <w:t> </w:t>
      </w:r>
      <w:r>
        <w:t xml:space="preserve">cent of GDP </w:t>
      </w:r>
      <w:r w:rsidR="004012E7">
        <w:t>(</w:t>
      </w:r>
      <w:r w:rsidR="00C91139">
        <w:t>-$</w:t>
      </w:r>
      <w:r w:rsidR="0051389D">
        <w:t>59.7</w:t>
      </w:r>
      <w:r w:rsidR="004E6A22">
        <w:t> </w:t>
      </w:r>
      <w:r w:rsidR="004C21C4">
        <w:t>billion</w:t>
      </w:r>
      <w:r w:rsidR="004012E7">
        <w:t>)</w:t>
      </w:r>
      <w:r w:rsidR="004C21C4">
        <w:t xml:space="preserve"> in 202</w:t>
      </w:r>
      <w:r w:rsidR="00C91139">
        <w:t>9</w:t>
      </w:r>
      <w:r w:rsidR="00961EA1">
        <w:t>–</w:t>
      </w:r>
      <w:r w:rsidR="00C91139">
        <w:t>30</w:t>
      </w:r>
      <w:r w:rsidR="004C21C4">
        <w:t xml:space="preserve"> (</w:t>
      </w:r>
      <w:r w:rsidR="00F327BA">
        <w:fldChar w:fldCharType="begin"/>
      </w:r>
      <w:r w:rsidR="00F327BA">
        <w:instrText xml:space="preserve"> REF _Ref520986320 \h </w:instrText>
      </w:r>
      <w:r w:rsidR="00F327BA">
        <w:fldChar w:fldCharType="separate"/>
      </w:r>
      <w:r w:rsidR="00CD4258" w:rsidRPr="003533B7">
        <w:t xml:space="preserve">Figure </w:t>
      </w:r>
      <w:r w:rsidR="00CD4258">
        <w:t>4</w:t>
      </w:r>
      <w:r w:rsidR="00CD4258" w:rsidRPr="003533B7">
        <w:t>–</w:t>
      </w:r>
      <w:r w:rsidR="00F327BA">
        <w:fldChar w:fldCharType="end"/>
      </w:r>
      <w:r w:rsidR="0051389D">
        <w:t>2</w:t>
      </w:r>
      <w:r w:rsidR="004C21C4">
        <w:t>).  The improvement in net financial worth is driven by the same factors driving the reduction in net debt, along with a projected increase in the value of the Future Fund.</w:t>
      </w:r>
    </w:p>
    <w:p w:rsidR="00F327BA" w:rsidRDefault="00F327BA" w:rsidP="00626663">
      <w:pPr>
        <w:pStyle w:val="Caption"/>
      </w:pPr>
    </w:p>
    <w:p w:rsidR="00065ABE" w:rsidRDefault="00F327BA" w:rsidP="003A609C">
      <w:pPr>
        <w:pStyle w:val="Caption"/>
      </w:pPr>
      <w:bookmarkStart w:id="132" w:name="_Ref520986320"/>
      <w:r w:rsidRPr="003533B7">
        <w:t xml:space="preserve">Figure </w:t>
      </w:r>
      <w:r w:rsidR="00080176">
        <w:t>4</w:t>
      </w:r>
      <w:r w:rsidRPr="003533B7">
        <w:t>–</w:t>
      </w:r>
      <w:bookmarkEnd w:id="132"/>
      <w:r w:rsidR="00566D0E">
        <w:t>2</w:t>
      </w:r>
      <w:r w:rsidRPr="00E95B0B">
        <w:t xml:space="preserve">: </w:t>
      </w:r>
      <w:r>
        <w:t>Net financial worth</w:t>
      </w:r>
    </w:p>
    <w:p w:rsidR="007C2ECB" w:rsidRPr="007C2ECB" w:rsidRDefault="00C4181F" w:rsidP="007C2ECB">
      <w:pPr>
        <w:pStyle w:val="CaptionDescriptor"/>
      </w:pPr>
      <w:r>
        <w:rPr>
          <w:noProof/>
          <w:lang w:eastAsia="en-AU"/>
        </w:rPr>
        <w:drawing>
          <wp:inline distT="0" distB="0" distL="0" distR="0" wp14:anchorId="6D9D5CBE" wp14:editId="48FBD531">
            <wp:extent cx="4864735" cy="285554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864735" cy="2855547"/>
                    </a:xfrm>
                    <a:prstGeom prst="rect">
                      <a:avLst/>
                    </a:prstGeom>
                    <a:noFill/>
                  </pic:spPr>
                </pic:pic>
              </a:graphicData>
            </a:graphic>
          </wp:inline>
        </w:drawing>
      </w:r>
    </w:p>
    <w:p w:rsidR="00F327BA" w:rsidRDefault="00EF1FC5" w:rsidP="003D2759">
      <w:pPr>
        <w:pStyle w:val="SourceIndent"/>
        <w:tabs>
          <w:tab w:val="clear" w:pos="624"/>
        </w:tabs>
        <w:ind w:left="1134" w:right="991"/>
        <w:contextualSpacing/>
        <w:rPr>
          <w:noProof/>
          <w:lang w:eastAsia="en-AU"/>
        </w:rPr>
      </w:pPr>
      <w:r>
        <w:t>Note: The dot represents the 2018</w:t>
      </w:r>
      <w:r w:rsidR="00AA2C2C">
        <w:t>–</w:t>
      </w:r>
      <w:r>
        <w:t xml:space="preserve">19 </w:t>
      </w:r>
      <w:r w:rsidR="009F53DD">
        <w:t>f</w:t>
      </w:r>
      <w:r>
        <w:t xml:space="preserve">inal </w:t>
      </w:r>
      <w:r w:rsidR="009F53DD">
        <w:t>b</w:t>
      </w:r>
      <w:r>
        <w:t xml:space="preserve">udget </w:t>
      </w:r>
      <w:proofErr w:type="gramStart"/>
      <w:r w:rsidR="009F53DD">
        <w:t>o</w:t>
      </w:r>
      <w:r>
        <w:t>utcome</w:t>
      </w:r>
      <w:proofErr w:type="gramEnd"/>
      <w:r>
        <w:t xml:space="preserve"> for net financial worth</w:t>
      </w:r>
      <w:r w:rsidR="009F53DD">
        <w:t xml:space="preserve"> of -35.7 per cent</w:t>
      </w:r>
      <w:r>
        <w:t xml:space="preserve"> of GDP.</w:t>
      </w:r>
      <w:r w:rsidR="009F53DD">
        <w:rPr>
          <w:noProof/>
          <w:lang w:eastAsia="en-AU"/>
        </w:rPr>
        <w:t xml:space="preserve">  </w:t>
      </w:r>
      <w:r w:rsidR="00F327BA">
        <w:rPr>
          <w:noProof/>
          <w:lang w:eastAsia="en-AU"/>
        </w:rPr>
        <w:t>Consistent data for net financial worth is only available from 1999</w:t>
      </w:r>
      <w:r w:rsidR="00961EA1">
        <w:t>–</w:t>
      </w:r>
      <w:r w:rsidR="00F327BA">
        <w:rPr>
          <w:noProof/>
          <w:lang w:eastAsia="en-AU"/>
        </w:rPr>
        <w:t>00.</w:t>
      </w:r>
      <w:r w:rsidR="00690F71">
        <w:rPr>
          <w:noProof/>
          <w:lang w:eastAsia="en-AU"/>
        </w:rPr>
        <w:br/>
      </w:r>
      <w:r w:rsidR="00F327BA">
        <w:t xml:space="preserve">Source: </w:t>
      </w:r>
      <w:r w:rsidR="00F327BA" w:rsidRPr="00363711">
        <w:t>201</w:t>
      </w:r>
      <w:r w:rsidR="00C91139">
        <w:t>9</w:t>
      </w:r>
      <w:r w:rsidR="00961EA1">
        <w:t>–</w:t>
      </w:r>
      <w:r w:rsidR="00C91139">
        <w:t>20</w:t>
      </w:r>
      <w:r w:rsidR="00F327BA" w:rsidRPr="00363711">
        <w:t xml:space="preserve"> Budget</w:t>
      </w:r>
      <w:r w:rsidR="009F53DD">
        <w:t>, 2018</w:t>
      </w:r>
      <w:r w:rsidR="00AA2C2C">
        <w:t>–</w:t>
      </w:r>
      <w:r w:rsidR="009F53DD">
        <w:t>19 Final Budget Outcome</w:t>
      </w:r>
      <w:r w:rsidR="00F327BA" w:rsidRPr="00363711">
        <w:t xml:space="preserve"> and PBO analysis.</w:t>
      </w:r>
    </w:p>
    <w:p w:rsidR="00CF3402" w:rsidRDefault="00CF3402" w:rsidP="00CF3402">
      <w:pPr>
        <w:pStyle w:val="BodyText"/>
      </w:pPr>
      <w:r>
        <w:t xml:space="preserve">The </w:t>
      </w:r>
      <w:r w:rsidRPr="003D2759">
        <w:rPr>
          <w:i/>
        </w:rPr>
        <w:t>2018–19 Final Budget Outcome</w:t>
      </w:r>
      <w:r>
        <w:t xml:space="preserve"> reported net financial worth of -$694.4 billion (-35.7 per cent of GDP), much larger than estimated at the 2019–20 Budget.  </w:t>
      </w:r>
      <w:r w:rsidR="00735C02">
        <w:t xml:space="preserve">These revisions </w:t>
      </w:r>
      <w:r>
        <w:t>largely reflect differ</w:t>
      </w:r>
      <w:r w:rsidR="00365299">
        <w:t>ing</w:t>
      </w:r>
      <w:r>
        <w:t xml:space="preserve"> valuation</w:t>
      </w:r>
      <w:r w:rsidR="00365299">
        <w:t>s</w:t>
      </w:r>
      <w:r>
        <w:t xml:space="preserve"> for the Government’s defined benefit superannuation liability</w:t>
      </w:r>
      <w:r w:rsidR="00365299">
        <w:t>,</w:t>
      </w:r>
      <w:r w:rsidR="00365299" w:rsidRPr="00365299">
        <w:t xml:space="preserve"> </w:t>
      </w:r>
      <w:r w:rsidR="00365299">
        <w:t>due to differences between budget and accounting methodologies.</w:t>
      </w:r>
      <w:r w:rsidR="00365299">
        <w:rPr>
          <w:rStyle w:val="FootnoteReference"/>
        </w:rPr>
        <w:footnoteReference w:id="27"/>
      </w:r>
    </w:p>
    <w:p w:rsidR="00EF1FC5" w:rsidRDefault="00EF1FC5" w:rsidP="00703A5C">
      <w:pPr>
        <w:pStyle w:val="BodyText"/>
        <w:sectPr w:rsidR="00EF1FC5" w:rsidSect="00560DD4">
          <w:headerReference w:type="default" r:id="rId42"/>
          <w:footerReference w:type="default" r:id="rId43"/>
          <w:pgSz w:w="11907" w:h="16840" w:code="9"/>
          <w:pgMar w:top="1191" w:right="1418" w:bottom="1021" w:left="1418" w:header="567" w:footer="709" w:gutter="0"/>
          <w:pgNumType w:start="1"/>
          <w:cols w:space="708"/>
          <w:docGrid w:linePitch="360"/>
        </w:sectPr>
      </w:pPr>
    </w:p>
    <w:p w:rsidR="007676C0" w:rsidRDefault="007979E1" w:rsidP="007979E1">
      <w:pPr>
        <w:pStyle w:val="Heading1NoNumbering"/>
      </w:pPr>
      <w:bookmarkStart w:id="133" w:name="_Toc523757320"/>
      <w:bookmarkStart w:id="134" w:name="_Toc19801256"/>
      <w:bookmarkStart w:id="135" w:name="ReturnHere"/>
      <w:r>
        <w:lastRenderedPageBreak/>
        <w:t xml:space="preserve">Appendix A </w:t>
      </w:r>
      <w:r w:rsidR="007676C0">
        <w:t xml:space="preserve">– </w:t>
      </w:r>
      <w:r w:rsidR="004F6010">
        <w:br/>
      </w:r>
      <w:r w:rsidR="007676C0" w:rsidRPr="0029340A">
        <w:t>Receipt projection methodology</w:t>
      </w:r>
      <w:bookmarkEnd w:id="133"/>
      <w:bookmarkEnd w:id="134"/>
    </w:p>
    <w:bookmarkEnd w:id="135"/>
    <w:p w:rsidR="00D2397F" w:rsidRPr="00A117C9" w:rsidRDefault="00D2397F" w:rsidP="0029340A">
      <w:pPr>
        <w:pStyle w:val="BodyText"/>
      </w:pPr>
      <w:r w:rsidRPr="00A117C9">
        <w:t>The PBO’s projections comprise individual receipt projections of all of the Commonwealth Government’s major heads of revenue.</w:t>
      </w:r>
    </w:p>
    <w:p w:rsidR="00D2397F" w:rsidRPr="004E6A22" w:rsidRDefault="00D2397F" w:rsidP="0029340A">
      <w:pPr>
        <w:pStyle w:val="BodyText"/>
      </w:pPr>
      <w:r w:rsidRPr="004E6A22">
        <w:t>The PBO’s projections of receipts are generally prepared using a base</w:t>
      </w:r>
      <w:r w:rsidR="002C27E6">
        <w:t>-</w:t>
      </w:r>
      <w:r w:rsidRPr="004E6A22">
        <w:t>plus</w:t>
      </w:r>
      <w:r w:rsidR="002C27E6">
        <w:t>-</w:t>
      </w:r>
      <w:r w:rsidRPr="004E6A22">
        <w:t>growth methodology.  Economic parameters are used to estimate growth rates</w:t>
      </w:r>
      <w:r w:rsidR="002C27E6">
        <w:t>,</w:t>
      </w:r>
      <w:r w:rsidRPr="004E6A22">
        <w:t xml:space="preserve"> which are then applied to the relevant </w:t>
      </w:r>
      <w:r w:rsidR="004F6010" w:rsidRPr="004E6A22">
        <w:br/>
      </w:r>
      <w:r w:rsidRPr="004E6A22">
        <w:t xml:space="preserve">base.  The economic parameters used to estimate growth rates in this report are the same as </w:t>
      </w:r>
      <w:r w:rsidR="004F6010" w:rsidRPr="004E6A22">
        <w:br/>
      </w:r>
      <w:r w:rsidRPr="004E6A22">
        <w:t>those underpinning the 201</w:t>
      </w:r>
      <w:r w:rsidR="00F532B4" w:rsidRPr="004E6A22">
        <w:t>9</w:t>
      </w:r>
      <w:r w:rsidR="00961EA1" w:rsidRPr="004E6A22">
        <w:t>–</w:t>
      </w:r>
      <w:r w:rsidR="00F532B4" w:rsidRPr="004E6A22">
        <w:t>20</w:t>
      </w:r>
      <w:r w:rsidRPr="004E6A22">
        <w:t xml:space="preserve"> Budget, as required by the PBO’s legislation.</w:t>
      </w:r>
    </w:p>
    <w:p w:rsidR="00D2397F" w:rsidRPr="004E6A22" w:rsidRDefault="00D2397F" w:rsidP="0029340A">
      <w:pPr>
        <w:pStyle w:val="BodyText"/>
      </w:pPr>
      <w:r w:rsidRPr="004E6A22">
        <w:t>For policy decisions where the impact is not already factored into the base</w:t>
      </w:r>
      <w:r w:rsidR="002C27E6">
        <w:t>-</w:t>
      </w:r>
      <w:r w:rsidRPr="004E6A22">
        <w:t>year data or the economic parameters, the projected impact of these measures are added to the base projections.</w:t>
      </w:r>
    </w:p>
    <w:p w:rsidR="00D2397F" w:rsidRPr="00A117C9" w:rsidRDefault="00D2397F" w:rsidP="0029340A">
      <w:pPr>
        <w:pStyle w:val="BodyText"/>
      </w:pPr>
      <w:r w:rsidRPr="00A117C9">
        <w:t xml:space="preserve">In order to incorporate the impact of recent trends in tax collection, the PBO uses the </w:t>
      </w:r>
      <w:r w:rsidR="002C27E6">
        <w:br/>
      </w:r>
      <w:r w:rsidR="00F532B4" w:rsidRPr="00A117C9">
        <w:t>2019</w:t>
      </w:r>
      <w:r w:rsidR="00961EA1" w:rsidRPr="00A117C9">
        <w:t>–</w:t>
      </w:r>
      <w:r w:rsidR="00F532B4" w:rsidRPr="00A117C9">
        <w:t>20</w:t>
      </w:r>
      <w:r w:rsidRPr="00A117C9">
        <w:t xml:space="preserve"> Budget receipt forecasts for 2019</w:t>
      </w:r>
      <w:r w:rsidR="00961EA1" w:rsidRPr="00A117C9">
        <w:t>–</w:t>
      </w:r>
      <w:r w:rsidRPr="00A117C9">
        <w:t>20, 2020</w:t>
      </w:r>
      <w:r w:rsidR="00961EA1" w:rsidRPr="00A117C9">
        <w:t>–</w:t>
      </w:r>
      <w:r w:rsidRPr="00A117C9">
        <w:t>21</w:t>
      </w:r>
      <w:r w:rsidR="00F532B4" w:rsidRPr="00A117C9">
        <w:t xml:space="preserve">, </w:t>
      </w:r>
      <w:r w:rsidRPr="00A117C9">
        <w:t>2021</w:t>
      </w:r>
      <w:r w:rsidR="00961EA1" w:rsidRPr="00A117C9">
        <w:t>–</w:t>
      </w:r>
      <w:r w:rsidRPr="00A117C9">
        <w:t xml:space="preserve">22 </w:t>
      </w:r>
      <w:r w:rsidR="00F532B4" w:rsidRPr="00A117C9">
        <w:t>and 2022</w:t>
      </w:r>
      <w:r w:rsidR="00961EA1" w:rsidRPr="00A117C9">
        <w:t>–</w:t>
      </w:r>
      <w:r w:rsidR="00F532B4" w:rsidRPr="00A117C9">
        <w:t xml:space="preserve">23 </w:t>
      </w:r>
      <w:r w:rsidRPr="00A117C9">
        <w:t xml:space="preserve">as the base years for </w:t>
      </w:r>
      <w:r w:rsidR="002C27E6">
        <w:t>its</w:t>
      </w:r>
      <w:r w:rsidRPr="00A117C9">
        <w:t xml:space="preserve"> projections.</w:t>
      </w:r>
    </w:p>
    <w:p w:rsidR="00D2397F" w:rsidRPr="004E6A22" w:rsidRDefault="00D2397F" w:rsidP="0029340A">
      <w:pPr>
        <w:pStyle w:val="BodyText"/>
      </w:pPr>
      <w:r w:rsidRPr="004E6A22">
        <w:t xml:space="preserve">Details of the methodology used to arrive at projections for </w:t>
      </w:r>
      <w:r w:rsidR="005221BC">
        <w:t>the</w:t>
      </w:r>
      <w:r w:rsidR="005221BC" w:rsidRPr="004E6A22">
        <w:t xml:space="preserve"> </w:t>
      </w:r>
      <w:r w:rsidR="00393B29">
        <w:t xml:space="preserve">heads of </w:t>
      </w:r>
      <w:r w:rsidRPr="004E6A22">
        <w:t xml:space="preserve">revenue are outlined </w:t>
      </w:r>
      <w:r w:rsidR="004F6010" w:rsidRPr="004E6A22">
        <w:br/>
      </w:r>
      <w:r w:rsidRPr="004E6A22">
        <w:t>in the table below.</w:t>
      </w:r>
    </w:p>
    <w:p w:rsidR="00D2397F" w:rsidRDefault="00D2397F" w:rsidP="0029340A">
      <w:pPr>
        <w:pStyle w:val="CaptionDescriptor"/>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1965"/>
        <w:gridCol w:w="2938"/>
        <w:gridCol w:w="4170"/>
      </w:tblGrid>
      <w:tr w:rsidR="00D2397F" w:rsidRPr="002C27E6" w:rsidTr="00E31F3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tcBorders>
              <w:bottom w:val="none" w:sz="0" w:space="0" w:color="auto"/>
            </w:tcBorders>
            <w:shd w:val="clear" w:color="auto" w:fill="3D4D7D" w:themeFill="background2"/>
            <w:hideMark/>
          </w:tcPr>
          <w:p w:rsidR="00D2397F" w:rsidRPr="002C27E6" w:rsidRDefault="00D2397F" w:rsidP="0029340A">
            <w:pPr>
              <w:pStyle w:val="TableHeading"/>
              <w:rPr>
                <w:szCs w:val="20"/>
              </w:rPr>
            </w:pPr>
            <w:r w:rsidRPr="002C27E6">
              <w:rPr>
                <w:szCs w:val="20"/>
              </w:rPr>
              <w:t xml:space="preserve">Model </w:t>
            </w:r>
          </w:p>
        </w:tc>
        <w:tc>
          <w:tcPr>
            <w:tcW w:w="1619" w:type="pct"/>
            <w:tcBorders>
              <w:bottom w:val="none" w:sz="0" w:space="0" w:color="auto"/>
            </w:tcBorders>
            <w:shd w:val="clear" w:color="auto" w:fill="3D4D7D" w:themeFill="background2"/>
            <w:hideMark/>
          </w:tcPr>
          <w:p w:rsidR="00D2397F" w:rsidRPr="002C27E6" w:rsidRDefault="00D2397F" w:rsidP="0029340A">
            <w:pPr>
              <w:pStyle w:val="TableHeading"/>
              <w:cnfStyle w:val="100000000000" w:firstRow="1" w:lastRow="0" w:firstColumn="0" w:lastColumn="0" w:oddVBand="0" w:evenVBand="0" w:oddHBand="0" w:evenHBand="0" w:firstRowFirstColumn="0" w:firstRowLastColumn="0" w:lastRowFirstColumn="0" w:lastRowLastColumn="0"/>
              <w:rPr>
                <w:szCs w:val="20"/>
              </w:rPr>
            </w:pPr>
            <w:r w:rsidRPr="002C27E6">
              <w:rPr>
                <w:szCs w:val="20"/>
              </w:rPr>
              <w:t xml:space="preserve">Description </w:t>
            </w:r>
          </w:p>
        </w:tc>
        <w:tc>
          <w:tcPr>
            <w:tcW w:w="2298" w:type="pct"/>
            <w:tcBorders>
              <w:bottom w:val="none" w:sz="0" w:space="0" w:color="auto"/>
            </w:tcBorders>
            <w:shd w:val="clear" w:color="auto" w:fill="3D4D7D" w:themeFill="background2"/>
            <w:hideMark/>
          </w:tcPr>
          <w:p w:rsidR="00D2397F" w:rsidRPr="002C27E6" w:rsidRDefault="00D2397F" w:rsidP="0029340A">
            <w:pPr>
              <w:pStyle w:val="TableHeading"/>
              <w:cnfStyle w:val="100000000000" w:firstRow="1" w:lastRow="0" w:firstColumn="0" w:lastColumn="0" w:oddVBand="0" w:evenVBand="0" w:oddHBand="0" w:evenHBand="0" w:firstRowFirstColumn="0" w:firstRowLastColumn="0" w:lastRowFirstColumn="0" w:lastRowLastColumn="0"/>
              <w:rPr>
                <w:szCs w:val="20"/>
              </w:rPr>
            </w:pPr>
            <w:r w:rsidRPr="002C27E6">
              <w:rPr>
                <w:szCs w:val="20"/>
              </w:rPr>
              <w:t>Methodology</w:t>
            </w:r>
          </w:p>
        </w:tc>
      </w:tr>
      <w:tr w:rsidR="00D2397F" w:rsidRPr="002C27E6" w:rsidTr="00E31F39">
        <w:trPr>
          <w:trHeight w:val="3628"/>
        </w:trPr>
        <w:tc>
          <w:tcPr>
            <w:tcW w:w="1083" w:type="pct"/>
            <w:shd w:val="clear" w:color="auto" w:fill="auto"/>
            <w:hideMark/>
          </w:tcPr>
          <w:p w:rsidR="00D2397F" w:rsidRPr="002C27E6" w:rsidRDefault="00D2397F" w:rsidP="0029340A">
            <w:pPr>
              <w:pStyle w:val="TableSubheading"/>
            </w:pPr>
            <w:r w:rsidRPr="002C27E6">
              <w:t>Gross income tax withholding and gross other individuals and refunds</w:t>
            </w:r>
          </w:p>
        </w:tc>
        <w:tc>
          <w:tcPr>
            <w:tcW w:w="1619" w:type="pct"/>
            <w:shd w:val="clear" w:color="auto" w:fill="auto"/>
            <w:hideMark/>
          </w:tcPr>
          <w:p w:rsidR="00D2397F" w:rsidRPr="00A117C9" w:rsidRDefault="00D2397F" w:rsidP="0029340A">
            <w:pPr>
              <w:rPr>
                <w:color w:val="000000"/>
                <w:szCs w:val="20"/>
              </w:rPr>
            </w:pPr>
            <w:r w:rsidRPr="00A117C9">
              <w:rPr>
                <w:color w:val="000000"/>
                <w:szCs w:val="20"/>
              </w:rPr>
              <w:t xml:space="preserve">These </w:t>
            </w:r>
            <w:r w:rsidR="00393B29">
              <w:rPr>
                <w:color w:val="000000"/>
                <w:szCs w:val="20"/>
              </w:rPr>
              <w:t xml:space="preserve">heads of </w:t>
            </w:r>
            <w:r w:rsidRPr="00A117C9">
              <w:rPr>
                <w:color w:val="000000"/>
                <w:szCs w:val="20"/>
              </w:rPr>
              <w:t>revenue broadly cover all personal income tax, including revenue from salary and wages, the Medicare Levy and Medicare Levy Surcharge, personal income tax offsets, income from profits from unincorporated businesses, primary production and investment activities, as well as capital gains.</w:t>
            </w:r>
          </w:p>
        </w:tc>
        <w:tc>
          <w:tcPr>
            <w:tcW w:w="2298" w:type="pct"/>
            <w:shd w:val="clear" w:color="auto" w:fill="auto"/>
            <w:hideMark/>
          </w:tcPr>
          <w:p w:rsidR="00D2397F" w:rsidRPr="00A117C9" w:rsidRDefault="00D2397F" w:rsidP="0029340A">
            <w:pPr>
              <w:pStyle w:val="TableText"/>
              <w:rPr>
                <w:rFonts w:cs="Times New Roman (Body CS)"/>
                <w:szCs w:val="20"/>
              </w:rPr>
            </w:pPr>
            <w:r w:rsidRPr="00A117C9">
              <w:rPr>
                <w:rFonts w:cs="Times New Roman (Body CS)"/>
                <w:szCs w:val="20"/>
              </w:rPr>
              <w:t xml:space="preserve">The aggregate taxable income for individuals over the medium term is calculated by growing individual income items from the </w:t>
            </w:r>
            <w:r w:rsidR="00F55BB5">
              <w:rPr>
                <w:rFonts w:cs="Times New Roman (Body CS)"/>
                <w:szCs w:val="20"/>
              </w:rPr>
              <w:t>Australian Taxation Office</w:t>
            </w:r>
            <w:r w:rsidRPr="00A117C9">
              <w:rPr>
                <w:rFonts w:cs="Times New Roman (Body CS)"/>
                <w:szCs w:val="20"/>
              </w:rPr>
              <w:t xml:space="preserve">’s Taxation Statistics data by the relevant economic parameters, most notably compensation of employees.  </w:t>
            </w:r>
          </w:p>
          <w:p w:rsidR="00D2397F" w:rsidRPr="002C27E6" w:rsidRDefault="00D2397F" w:rsidP="0029340A">
            <w:pPr>
              <w:pStyle w:val="TableText"/>
              <w:rPr>
                <w:szCs w:val="20"/>
              </w:rPr>
            </w:pPr>
            <w:r w:rsidRPr="002C27E6">
              <w:rPr>
                <w:szCs w:val="20"/>
              </w:rPr>
              <w:t>For each year, an average gross tax rate is applied</w:t>
            </w:r>
            <w:r w:rsidR="002C27E6">
              <w:rPr>
                <w:szCs w:val="20"/>
              </w:rPr>
              <w:t>,</w:t>
            </w:r>
            <w:r w:rsidRPr="002C27E6">
              <w:rPr>
                <w:szCs w:val="20"/>
              </w:rPr>
              <w:t xml:space="preserve"> </w:t>
            </w:r>
            <w:r w:rsidR="00DF7B03" w:rsidRPr="002C27E6">
              <w:rPr>
                <w:szCs w:val="20"/>
              </w:rPr>
              <w:t xml:space="preserve">reflecting the policy settings and the economic parameters at the time of the </w:t>
            </w:r>
            <w:r w:rsidR="00961EA1" w:rsidRPr="002C27E6">
              <w:rPr>
                <w:szCs w:val="20"/>
              </w:rPr>
              <w:br/>
            </w:r>
            <w:r w:rsidR="00DF7B03" w:rsidRPr="002C27E6">
              <w:rPr>
                <w:szCs w:val="20"/>
              </w:rPr>
              <w:t>201</w:t>
            </w:r>
            <w:r w:rsidR="00213288" w:rsidRPr="002C27E6">
              <w:rPr>
                <w:szCs w:val="20"/>
              </w:rPr>
              <w:t>9</w:t>
            </w:r>
            <w:r w:rsidR="00961EA1" w:rsidRPr="002C27E6">
              <w:rPr>
                <w:szCs w:val="20"/>
              </w:rPr>
              <w:t>–</w:t>
            </w:r>
            <w:r w:rsidR="00213288" w:rsidRPr="002C27E6">
              <w:rPr>
                <w:szCs w:val="20"/>
              </w:rPr>
              <w:t>20</w:t>
            </w:r>
            <w:r w:rsidR="00DF7B03" w:rsidRPr="002C27E6">
              <w:rPr>
                <w:szCs w:val="20"/>
              </w:rPr>
              <w:t xml:space="preserve"> Budget.  </w:t>
            </w:r>
          </w:p>
          <w:p w:rsidR="00D2397F" w:rsidRPr="002C27E6" w:rsidRDefault="00D2397F" w:rsidP="0029340A">
            <w:pPr>
              <w:pStyle w:val="TableText"/>
              <w:rPr>
                <w:szCs w:val="20"/>
              </w:rPr>
            </w:pPr>
            <w:r w:rsidRPr="002C27E6">
              <w:rPr>
                <w:szCs w:val="20"/>
              </w:rPr>
              <w:t xml:space="preserve">Projected tax offsets are applied and the timing of tax collections is taken into account to arrive at the receipts projections.  </w:t>
            </w:r>
          </w:p>
          <w:p w:rsidR="00D2397F" w:rsidRPr="002C27E6" w:rsidRDefault="00D2397F">
            <w:pPr>
              <w:pStyle w:val="TableText"/>
              <w:rPr>
                <w:szCs w:val="20"/>
              </w:rPr>
            </w:pPr>
            <w:r w:rsidRPr="002C27E6">
              <w:rPr>
                <w:szCs w:val="20"/>
              </w:rPr>
              <w:t xml:space="preserve">From </w:t>
            </w:r>
            <w:r w:rsidR="00213288" w:rsidRPr="002C27E6">
              <w:rPr>
                <w:szCs w:val="20"/>
              </w:rPr>
              <w:t>2029</w:t>
            </w:r>
            <w:r w:rsidR="00AA2C2C">
              <w:t>–</w:t>
            </w:r>
            <w:r w:rsidR="00213288" w:rsidRPr="002C27E6">
              <w:rPr>
                <w:szCs w:val="20"/>
              </w:rPr>
              <w:t>30</w:t>
            </w:r>
            <w:r w:rsidRPr="002C27E6">
              <w:rPr>
                <w:szCs w:val="20"/>
              </w:rPr>
              <w:t>, the PBO adjusts the individual and other withholding tax receipt projections such that total tax receipts remain at 23.9</w:t>
            </w:r>
            <w:r w:rsidR="002C27E6">
              <w:rPr>
                <w:szCs w:val="20"/>
              </w:rPr>
              <w:t> </w:t>
            </w:r>
            <w:r w:rsidRPr="002C27E6">
              <w:rPr>
                <w:szCs w:val="20"/>
              </w:rPr>
              <w:t>per</w:t>
            </w:r>
            <w:r w:rsidR="002C27E6">
              <w:rPr>
                <w:szCs w:val="20"/>
              </w:rPr>
              <w:t> </w:t>
            </w:r>
            <w:r w:rsidRPr="002C27E6">
              <w:rPr>
                <w:szCs w:val="20"/>
              </w:rPr>
              <w:t xml:space="preserve">cent of GDP, </w:t>
            </w:r>
            <w:r w:rsidR="00EF1FC5">
              <w:rPr>
                <w:szCs w:val="20"/>
              </w:rPr>
              <w:t>reflecting</w:t>
            </w:r>
            <w:r w:rsidRPr="002C27E6">
              <w:rPr>
                <w:szCs w:val="20"/>
              </w:rPr>
              <w:t xml:space="preserve"> the Government’s commitment of a tax-to-GDP cap.</w:t>
            </w:r>
          </w:p>
        </w:tc>
      </w:tr>
      <w:tr w:rsidR="00D2397F" w:rsidRPr="002C27E6" w:rsidTr="00961EA1">
        <w:trPr>
          <w:cnfStyle w:val="000000010000" w:firstRow="0" w:lastRow="0" w:firstColumn="0" w:lastColumn="0" w:oddVBand="0" w:evenVBand="0" w:oddHBand="0" w:evenHBand="1" w:firstRowFirstColumn="0" w:firstRowLastColumn="0" w:lastRowFirstColumn="0" w:lastRowLastColumn="0"/>
          <w:trHeight w:val="925"/>
        </w:trPr>
        <w:tc>
          <w:tcPr>
            <w:tcW w:w="1083" w:type="pct"/>
            <w:hideMark/>
          </w:tcPr>
          <w:p w:rsidR="00D2397F" w:rsidRPr="002C27E6" w:rsidRDefault="00D2397F" w:rsidP="0029340A">
            <w:pPr>
              <w:pStyle w:val="TableSubheading"/>
            </w:pPr>
            <w:r w:rsidRPr="002C27E6">
              <w:t>Company tax</w:t>
            </w:r>
          </w:p>
        </w:tc>
        <w:tc>
          <w:tcPr>
            <w:tcW w:w="1619" w:type="pct"/>
            <w:hideMark/>
          </w:tcPr>
          <w:p w:rsidR="00D2397F" w:rsidRPr="00A117C9" w:rsidRDefault="00D2397F" w:rsidP="0029340A">
            <w:pPr>
              <w:spacing w:after="720"/>
              <w:rPr>
                <w:color w:val="000000"/>
                <w:szCs w:val="20"/>
              </w:rPr>
            </w:pPr>
            <w:r w:rsidRPr="00A117C9">
              <w:rPr>
                <w:color w:val="000000"/>
                <w:szCs w:val="20"/>
              </w:rPr>
              <w:t>Tax on profits, including capital gains, of incorporated businesses.</w:t>
            </w:r>
          </w:p>
        </w:tc>
        <w:tc>
          <w:tcPr>
            <w:tcW w:w="2298" w:type="pct"/>
            <w:hideMark/>
          </w:tcPr>
          <w:p w:rsidR="00D2397F" w:rsidRPr="002C27E6" w:rsidRDefault="00D2397F" w:rsidP="0029340A">
            <w:pPr>
              <w:rPr>
                <w:szCs w:val="20"/>
              </w:rPr>
            </w:pPr>
            <w:r w:rsidRPr="002C27E6">
              <w:rPr>
                <w:szCs w:val="20"/>
              </w:rPr>
              <w:t>The projections are based on an approach whereby company tax revenue is recognised at the point that a company</w:t>
            </w:r>
            <w:r w:rsidR="002C27E6">
              <w:rPr>
                <w:szCs w:val="20"/>
              </w:rPr>
              <w:t>-</w:t>
            </w:r>
            <w:r w:rsidRPr="002C27E6">
              <w:rPr>
                <w:szCs w:val="20"/>
              </w:rPr>
              <w:t>tax</w:t>
            </w:r>
            <w:r w:rsidR="002C27E6">
              <w:rPr>
                <w:szCs w:val="20"/>
              </w:rPr>
              <w:t>-</w:t>
            </w:r>
            <w:r w:rsidRPr="002C27E6">
              <w:rPr>
                <w:szCs w:val="20"/>
              </w:rPr>
              <w:t>payable liability arises for a company from its underlying economic activity.  Three industry groupings, Mining, Finance and all Other companies</w:t>
            </w:r>
            <w:r w:rsidR="002C27E6">
              <w:rPr>
                <w:szCs w:val="20"/>
              </w:rPr>
              <w:t>,</w:t>
            </w:r>
            <w:r w:rsidRPr="002C27E6">
              <w:rPr>
                <w:szCs w:val="20"/>
              </w:rPr>
              <w:t xml:space="preserve"> are utilised in the projection modelling, to reflect structural differences in companies from different industries.</w:t>
            </w:r>
            <w:r w:rsidRPr="002C27E6">
              <w:rPr>
                <w:szCs w:val="20"/>
              </w:rPr>
              <w:br/>
            </w:r>
            <w:r w:rsidRPr="00A117C9">
              <w:rPr>
                <w:rFonts w:cs="Times New Roman (Body CS)"/>
                <w:szCs w:val="20"/>
              </w:rPr>
              <w:t xml:space="preserve">The tax base across the three sector groupings </w:t>
            </w:r>
            <w:r w:rsidR="00961EA1" w:rsidRPr="00A117C9">
              <w:rPr>
                <w:rFonts w:cs="Times New Roman (Body CS)"/>
                <w:szCs w:val="20"/>
              </w:rPr>
              <w:br/>
            </w:r>
            <w:r w:rsidRPr="00A117C9">
              <w:rPr>
                <w:rFonts w:cs="Times New Roman (Body CS)"/>
                <w:szCs w:val="20"/>
              </w:rPr>
              <w:t xml:space="preserve">is grown with the Gross Operating Surplus economic parameter corresponding to the </w:t>
            </w:r>
            <w:r w:rsidRPr="00A117C9">
              <w:rPr>
                <w:rFonts w:cs="Times New Roman (Body CS)"/>
                <w:szCs w:val="20"/>
              </w:rPr>
              <w:lastRenderedPageBreak/>
              <w:t>relevant industry grouping.  Adjustments are made to capture depreciation and net capital gains.</w:t>
            </w:r>
            <w:r w:rsidRPr="002C27E6">
              <w:rPr>
                <w:szCs w:val="20"/>
              </w:rPr>
              <w:t xml:space="preserve"> </w:t>
            </w:r>
          </w:p>
          <w:p w:rsidR="00D2397F" w:rsidRPr="00A117C9" w:rsidRDefault="00D2397F" w:rsidP="002C27E6">
            <w:pPr>
              <w:rPr>
                <w:color w:val="000000"/>
                <w:szCs w:val="20"/>
                <w:highlight w:val="yellow"/>
              </w:rPr>
            </w:pPr>
            <w:r w:rsidRPr="002C27E6">
              <w:rPr>
                <w:szCs w:val="20"/>
              </w:rPr>
              <w:t xml:space="preserve">Adjustments are made to account for other elements (principally the </w:t>
            </w:r>
            <w:r w:rsidR="002C27E6">
              <w:rPr>
                <w:szCs w:val="20"/>
              </w:rPr>
              <w:t>research and development</w:t>
            </w:r>
            <w:r w:rsidRPr="002C27E6">
              <w:rPr>
                <w:szCs w:val="20"/>
              </w:rPr>
              <w:t xml:space="preserve"> tax offset) that are reported against company tax receipts. </w:t>
            </w:r>
          </w:p>
        </w:tc>
      </w:tr>
      <w:tr w:rsidR="00D2397F" w:rsidRPr="002C27E6" w:rsidTr="00E31F39">
        <w:trPr>
          <w:trHeight w:val="3564"/>
        </w:trPr>
        <w:tc>
          <w:tcPr>
            <w:tcW w:w="1083" w:type="pct"/>
            <w:shd w:val="clear" w:color="auto" w:fill="auto"/>
            <w:hideMark/>
          </w:tcPr>
          <w:p w:rsidR="00D2397F" w:rsidRPr="002C27E6" w:rsidRDefault="00D2397F" w:rsidP="0029340A">
            <w:pPr>
              <w:pStyle w:val="TableSubheading"/>
            </w:pPr>
            <w:r w:rsidRPr="002C27E6">
              <w:lastRenderedPageBreak/>
              <w:t xml:space="preserve">Superannuation </w:t>
            </w:r>
            <w:r w:rsidR="0073484E" w:rsidRPr="002C27E6">
              <w:br/>
            </w:r>
            <w:r w:rsidRPr="002C27E6">
              <w:t>fund taxes</w:t>
            </w:r>
          </w:p>
        </w:tc>
        <w:tc>
          <w:tcPr>
            <w:tcW w:w="1619" w:type="pct"/>
            <w:shd w:val="clear" w:color="auto" w:fill="auto"/>
            <w:hideMark/>
          </w:tcPr>
          <w:p w:rsidR="00D2397F" w:rsidRPr="00A117C9" w:rsidRDefault="00D2397F" w:rsidP="002C27E6">
            <w:pPr>
              <w:rPr>
                <w:color w:val="000000"/>
                <w:szCs w:val="20"/>
              </w:rPr>
            </w:pPr>
            <w:r w:rsidRPr="00A117C9">
              <w:rPr>
                <w:color w:val="000000"/>
                <w:szCs w:val="20"/>
              </w:rPr>
              <w:t>Tax on super</w:t>
            </w:r>
            <w:r w:rsidR="002C27E6">
              <w:rPr>
                <w:color w:val="000000"/>
                <w:szCs w:val="20"/>
              </w:rPr>
              <w:t>annuation</w:t>
            </w:r>
            <w:r w:rsidRPr="00A117C9">
              <w:rPr>
                <w:color w:val="000000"/>
                <w:szCs w:val="20"/>
              </w:rPr>
              <w:t xml:space="preserve"> fund contributions and investment earnings, including capital gains, of Australian Prudential Regulation Authority</w:t>
            </w:r>
            <w:r w:rsidR="002C27E6">
              <w:rPr>
                <w:color w:val="000000"/>
                <w:szCs w:val="20"/>
              </w:rPr>
              <w:t xml:space="preserve"> (APRA) </w:t>
            </w:r>
            <w:r w:rsidRPr="00A117C9">
              <w:rPr>
                <w:color w:val="000000"/>
                <w:szCs w:val="20"/>
              </w:rPr>
              <w:t>funds and self-managed super funds.</w:t>
            </w:r>
          </w:p>
        </w:tc>
        <w:tc>
          <w:tcPr>
            <w:tcW w:w="2298" w:type="pct"/>
            <w:shd w:val="clear" w:color="auto" w:fill="auto"/>
            <w:hideMark/>
          </w:tcPr>
          <w:p w:rsidR="00D2397F" w:rsidRPr="00A117C9" w:rsidRDefault="00D2397F" w:rsidP="0029340A">
            <w:pPr>
              <w:rPr>
                <w:rFonts w:cs="Times New Roman (Body CS)"/>
                <w:szCs w:val="20"/>
              </w:rPr>
            </w:pPr>
            <w:r w:rsidRPr="00A117C9">
              <w:rPr>
                <w:rFonts w:cs="Times New Roman (Body CS)"/>
                <w:szCs w:val="20"/>
              </w:rPr>
              <w:t xml:space="preserve">Projections for the taxable income of </w:t>
            </w:r>
            <w:r w:rsidRPr="00A117C9">
              <w:rPr>
                <w:rFonts w:cs="Times New Roman (Body CS)"/>
                <w:szCs w:val="20"/>
              </w:rPr>
              <w:br/>
              <w:t xml:space="preserve">APRA-regulated superannuation funds and </w:t>
            </w:r>
            <w:r w:rsidRPr="00A117C9">
              <w:rPr>
                <w:rFonts w:cs="Times New Roman (Body CS)"/>
                <w:szCs w:val="20"/>
              </w:rPr>
              <w:br/>
              <w:t xml:space="preserve">self-managed superannuation funds are based on the structure of a superannuation fund’s tax return.  </w:t>
            </w:r>
          </w:p>
          <w:p w:rsidR="00D2397F" w:rsidRPr="002C27E6" w:rsidRDefault="00D2397F" w:rsidP="0029340A">
            <w:pPr>
              <w:rPr>
                <w:szCs w:val="20"/>
              </w:rPr>
            </w:pPr>
            <w:r w:rsidRPr="002C27E6">
              <w:rPr>
                <w:szCs w:val="20"/>
              </w:rPr>
              <w:t xml:space="preserve">Historical data from APRA’s Annual Superannuation Bulletin and the </w:t>
            </w:r>
            <w:r w:rsidR="002C27E6">
              <w:rPr>
                <w:szCs w:val="20"/>
              </w:rPr>
              <w:t>Australian Taxation Office</w:t>
            </w:r>
            <w:r w:rsidRPr="002C27E6">
              <w:rPr>
                <w:szCs w:val="20"/>
              </w:rPr>
              <w:t xml:space="preserve">’s Taxation Statistics data are grown by relevant economic parameters for projections of taxable income.  Statutory tax rates are then applied to the projections of taxable income.  </w:t>
            </w:r>
          </w:p>
          <w:p w:rsidR="00D2397F" w:rsidRPr="00A117C9" w:rsidRDefault="00D2397F" w:rsidP="0029340A">
            <w:pPr>
              <w:rPr>
                <w:color w:val="000000"/>
                <w:szCs w:val="20"/>
              </w:rPr>
            </w:pPr>
            <w:r w:rsidRPr="00A117C9">
              <w:rPr>
                <w:color w:val="000000"/>
                <w:szCs w:val="20"/>
              </w:rPr>
              <w:t>Projected tax offsets are applied and the timing of tax collections is taken into account to arrive at the receipts</w:t>
            </w:r>
            <w:r w:rsidR="002C27E6">
              <w:rPr>
                <w:color w:val="000000"/>
                <w:szCs w:val="20"/>
              </w:rPr>
              <w:t>’</w:t>
            </w:r>
            <w:r w:rsidRPr="00A117C9">
              <w:rPr>
                <w:color w:val="000000"/>
                <w:szCs w:val="20"/>
              </w:rPr>
              <w:t xml:space="preserve"> projections.  </w:t>
            </w:r>
          </w:p>
        </w:tc>
      </w:tr>
      <w:tr w:rsidR="00D2397F" w:rsidRPr="002C27E6" w:rsidTr="00E31F39">
        <w:trPr>
          <w:cnfStyle w:val="000000010000" w:firstRow="0" w:lastRow="0" w:firstColumn="0" w:lastColumn="0" w:oddVBand="0" w:evenVBand="0" w:oddHBand="0" w:evenHBand="1" w:firstRowFirstColumn="0" w:firstRowLastColumn="0" w:lastRowFirstColumn="0" w:lastRowLastColumn="0"/>
          <w:trHeight w:val="866"/>
        </w:trPr>
        <w:tc>
          <w:tcPr>
            <w:tcW w:w="1083" w:type="pct"/>
            <w:hideMark/>
          </w:tcPr>
          <w:p w:rsidR="00D2397F" w:rsidRPr="002C27E6" w:rsidRDefault="00D2397F" w:rsidP="0029340A">
            <w:pPr>
              <w:pStyle w:val="TableSubheading"/>
            </w:pPr>
            <w:r w:rsidRPr="002C27E6">
              <w:t>Customs and excise</w:t>
            </w:r>
          </w:p>
        </w:tc>
        <w:tc>
          <w:tcPr>
            <w:tcW w:w="1619" w:type="pct"/>
            <w:hideMark/>
          </w:tcPr>
          <w:p w:rsidR="00D2397F" w:rsidRPr="00A117C9" w:rsidRDefault="00D2397F" w:rsidP="0029340A">
            <w:pPr>
              <w:rPr>
                <w:color w:val="000000"/>
                <w:szCs w:val="20"/>
              </w:rPr>
            </w:pPr>
            <w:r w:rsidRPr="00A117C9">
              <w:rPr>
                <w:color w:val="000000"/>
                <w:szCs w:val="20"/>
              </w:rPr>
              <w:t>Includes customs duties on textiles, clothing and footwear, passenger motor vehicles and other imports, excise on fuel</w:t>
            </w:r>
            <w:r w:rsidR="002C27E6">
              <w:rPr>
                <w:color w:val="000000"/>
                <w:szCs w:val="20"/>
              </w:rPr>
              <w:t>,</w:t>
            </w:r>
            <w:r w:rsidRPr="00A117C9">
              <w:rPr>
                <w:color w:val="000000"/>
                <w:szCs w:val="20"/>
              </w:rPr>
              <w:t xml:space="preserve"> and excise and customs duties on tobacco and alcohol (except wine, for which WET applies).</w:t>
            </w:r>
          </w:p>
        </w:tc>
        <w:tc>
          <w:tcPr>
            <w:tcW w:w="2298" w:type="pct"/>
            <w:hideMark/>
          </w:tcPr>
          <w:p w:rsidR="00D2397F" w:rsidRPr="00A117C9" w:rsidRDefault="00D2397F" w:rsidP="0029340A">
            <w:pPr>
              <w:rPr>
                <w:color w:val="000000"/>
                <w:szCs w:val="20"/>
              </w:rPr>
            </w:pPr>
            <w:r w:rsidRPr="00A117C9">
              <w:rPr>
                <w:color w:val="000000"/>
                <w:szCs w:val="20"/>
              </w:rPr>
              <w:t xml:space="preserve">Receipts from each category of excise and customs duty are projected in a similar way: </w:t>
            </w:r>
            <w:r w:rsidR="00961EA1" w:rsidRPr="00A117C9">
              <w:rPr>
                <w:color w:val="000000"/>
                <w:szCs w:val="20"/>
              </w:rPr>
              <w:br/>
            </w:r>
            <w:r w:rsidRPr="00A117C9">
              <w:rPr>
                <w:color w:val="000000"/>
                <w:szCs w:val="20"/>
              </w:rPr>
              <w:t>a growth rate is determined using a quantity parameter, and where appropriate, prices are grown using the appropriate price parameter.</w:t>
            </w:r>
          </w:p>
          <w:p w:rsidR="00D2397F" w:rsidRPr="00A117C9" w:rsidRDefault="00D2397F" w:rsidP="0029340A">
            <w:pPr>
              <w:rPr>
                <w:color w:val="000000"/>
                <w:szCs w:val="20"/>
              </w:rPr>
            </w:pPr>
            <w:r w:rsidRPr="00A117C9">
              <w:rPr>
                <w:color w:val="000000"/>
                <w:szCs w:val="20"/>
              </w:rPr>
              <w:t>The relevant parameters are:</w:t>
            </w:r>
          </w:p>
          <w:p w:rsidR="00D2397F" w:rsidRPr="002C27E6" w:rsidRDefault="00D2397F" w:rsidP="0029340A">
            <w:pPr>
              <w:pStyle w:val="TableTextBullet"/>
              <w:numPr>
                <w:ilvl w:val="0"/>
                <w:numId w:val="33"/>
              </w:numPr>
              <w:rPr>
                <w:szCs w:val="20"/>
              </w:rPr>
            </w:pPr>
            <w:r w:rsidRPr="002C27E6">
              <w:rPr>
                <w:szCs w:val="20"/>
              </w:rPr>
              <w:t xml:space="preserve">fuel—private consumption of fuel, real GDP and the </w:t>
            </w:r>
            <w:r w:rsidR="00755C78">
              <w:rPr>
                <w:szCs w:val="20"/>
              </w:rPr>
              <w:t>CPI</w:t>
            </w:r>
          </w:p>
          <w:p w:rsidR="00D2397F" w:rsidRPr="002C27E6" w:rsidRDefault="00D2397F" w:rsidP="0029340A">
            <w:pPr>
              <w:pStyle w:val="TableTextBullet"/>
              <w:numPr>
                <w:ilvl w:val="0"/>
                <w:numId w:val="33"/>
              </w:numPr>
              <w:rPr>
                <w:szCs w:val="20"/>
              </w:rPr>
            </w:pPr>
            <w:r w:rsidRPr="002C27E6">
              <w:rPr>
                <w:szCs w:val="20"/>
              </w:rPr>
              <w:t>textile, clothing and footwear—</w:t>
            </w:r>
            <w:r w:rsidRPr="00A117C9">
              <w:rPr>
                <w:color w:val="000000"/>
                <w:szCs w:val="20"/>
              </w:rPr>
              <w:t>imports of textiles, clothing</w:t>
            </w:r>
            <w:r w:rsidR="00755C78">
              <w:rPr>
                <w:color w:val="000000"/>
                <w:szCs w:val="20"/>
              </w:rPr>
              <w:t xml:space="preserve"> and</w:t>
            </w:r>
            <w:r w:rsidR="00755C78" w:rsidRPr="00A117C9">
              <w:rPr>
                <w:color w:val="000000"/>
                <w:szCs w:val="20"/>
              </w:rPr>
              <w:t xml:space="preserve"> </w:t>
            </w:r>
            <w:r w:rsidRPr="00A117C9">
              <w:rPr>
                <w:color w:val="000000"/>
                <w:szCs w:val="20"/>
              </w:rPr>
              <w:t>footwear</w:t>
            </w:r>
          </w:p>
          <w:p w:rsidR="00D2397F" w:rsidRPr="002C27E6" w:rsidRDefault="00D2397F" w:rsidP="0029340A">
            <w:pPr>
              <w:pStyle w:val="TableTextBullet"/>
              <w:numPr>
                <w:ilvl w:val="0"/>
                <w:numId w:val="33"/>
              </w:numPr>
              <w:rPr>
                <w:szCs w:val="20"/>
              </w:rPr>
            </w:pPr>
            <w:r w:rsidRPr="00A117C9">
              <w:rPr>
                <w:color w:val="000000"/>
                <w:szCs w:val="20"/>
              </w:rPr>
              <w:t>passenger motor vehicles—</w:t>
            </w:r>
            <w:r w:rsidRPr="002C27E6">
              <w:rPr>
                <w:szCs w:val="20"/>
              </w:rPr>
              <w:t>imports of non-industrial transport equipment</w:t>
            </w:r>
          </w:p>
          <w:p w:rsidR="00887468" w:rsidRPr="00A117C9" w:rsidRDefault="00D2397F" w:rsidP="0029340A">
            <w:pPr>
              <w:pStyle w:val="TableTextBullet"/>
              <w:numPr>
                <w:ilvl w:val="0"/>
                <w:numId w:val="33"/>
              </w:numPr>
              <w:rPr>
                <w:rFonts w:cs="Times New Roman (Body CS)"/>
                <w:szCs w:val="20"/>
              </w:rPr>
            </w:pPr>
            <w:r w:rsidRPr="002C27E6">
              <w:rPr>
                <w:szCs w:val="20"/>
              </w:rPr>
              <w:t>o</w:t>
            </w:r>
            <w:r w:rsidRPr="00A117C9">
              <w:rPr>
                <w:rFonts w:cs="Times New Roman (Body CS)"/>
                <w:szCs w:val="20"/>
              </w:rPr>
              <w:t>ther imports—imports of endogenous goods less imports of non-industrial transport equipment</w:t>
            </w:r>
            <w:r w:rsidR="00755C78">
              <w:rPr>
                <w:rFonts w:cs="Times New Roman (Body CS)"/>
                <w:szCs w:val="20"/>
              </w:rPr>
              <w:t>,</w:t>
            </w:r>
            <w:r w:rsidRPr="00A117C9">
              <w:rPr>
                <w:rFonts w:cs="Times New Roman (Body CS)"/>
                <w:szCs w:val="20"/>
              </w:rPr>
              <w:t xml:space="preserve"> textiles, clothing</w:t>
            </w:r>
            <w:r w:rsidR="00755C78">
              <w:rPr>
                <w:rFonts w:cs="Times New Roman (Body CS)"/>
                <w:szCs w:val="20"/>
              </w:rPr>
              <w:t xml:space="preserve"> and</w:t>
            </w:r>
            <w:r w:rsidRPr="00A117C9">
              <w:rPr>
                <w:rFonts w:cs="Times New Roman (Body CS)"/>
                <w:szCs w:val="20"/>
              </w:rPr>
              <w:t xml:space="preserve"> footwear</w:t>
            </w:r>
          </w:p>
          <w:p w:rsidR="00D2397F" w:rsidRPr="002C27E6" w:rsidRDefault="00D2397F" w:rsidP="0029340A">
            <w:pPr>
              <w:pStyle w:val="TableTextBullet"/>
              <w:numPr>
                <w:ilvl w:val="0"/>
                <w:numId w:val="33"/>
              </w:numPr>
              <w:rPr>
                <w:szCs w:val="20"/>
              </w:rPr>
            </w:pPr>
            <w:r w:rsidRPr="002C27E6">
              <w:rPr>
                <w:szCs w:val="20"/>
              </w:rPr>
              <w:t>tobacco—private consumption of cigarettes and Adult Ordinary Time Earnings</w:t>
            </w:r>
          </w:p>
          <w:p w:rsidR="00D2397F" w:rsidRPr="00A117C9" w:rsidRDefault="00D2397F" w:rsidP="00755C78">
            <w:pPr>
              <w:pStyle w:val="TableTextBullet"/>
              <w:numPr>
                <w:ilvl w:val="0"/>
                <w:numId w:val="33"/>
              </w:numPr>
              <w:rPr>
                <w:color w:val="000000"/>
                <w:szCs w:val="20"/>
              </w:rPr>
            </w:pPr>
            <w:proofErr w:type="gramStart"/>
            <w:r w:rsidRPr="002C27E6">
              <w:rPr>
                <w:szCs w:val="20"/>
              </w:rPr>
              <w:t>alcohol—</w:t>
            </w:r>
            <w:proofErr w:type="gramEnd"/>
            <w:r w:rsidRPr="002C27E6">
              <w:rPr>
                <w:szCs w:val="20"/>
              </w:rPr>
              <w:t xml:space="preserve">private consumption of alcohol and the </w:t>
            </w:r>
            <w:r w:rsidR="00755C78">
              <w:rPr>
                <w:szCs w:val="20"/>
              </w:rPr>
              <w:t>CPI</w:t>
            </w:r>
            <w:r w:rsidRPr="002C27E6">
              <w:rPr>
                <w:szCs w:val="20"/>
              </w:rPr>
              <w:t>.</w:t>
            </w:r>
          </w:p>
        </w:tc>
      </w:tr>
      <w:tr w:rsidR="00D2397F" w:rsidRPr="002C27E6" w:rsidTr="00E31F39">
        <w:tc>
          <w:tcPr>
            <w:tcW w:w="1083" w:type="pct"/>
            <w:shd w:val="clear" w:color="auto" w:fill="auto"/>
            <w:hideMark/>
          </w:tcPr>
          <w:p w:rsidR="00D2397F" w:rsidRPr="002C27E6" w:rsidRDefault="00D2397F" w:rsidP="0029340A">
            <w:pPr>
              <w:pStyle w:val="TableSubheading"/>
            </w:pPr>
            <w:r w:rsidRPr="002C27E6">
              <w:t>Petroleum Resources Rent Tax (PRRT)</w:t>
            </w:r>
          </w:p>
        </w:tc>
        <w:tc>
          <w:tcPr>
            <w:tcW w:w="1619" w:type="pct"/>
            <w:shd w:val="clear" w:color="auto" w:fill="auto"/>
            <w:hideMark/>
          </w:tcPr>
          <w:p w:rsidR="00D2397F" w:rsidRPr="00A117C9" w:rsidRDefault="00D2397F" w:rsidP="0029340A">
            <w:pPr>
              <w:rPr>
                <w:color w:val="000000"/>
                <w:szCs w:val="20"/>
              </w:rPr>
            </w:pPr>
            <w:r w:rsidRPr="00A117C9">
              <w:rPr>
                <w:color w:val="000000"/>
                <w:szCs w:val="20"/>
              </w:rPr>
              <w:t>Tax on profits from sales of petroleum products.</w:t>
            </w:r>
          </w:p>
        </w:tc>
        <w:tc>
          <w:tcPr>
            <w:tcW w:w="2298" w:type="pct"/>
            <w:shd w:val="clear" w:color="auto" w:fill="auto"/>
            <w:hideMark/>
          </w:tcPr>
          <w:p w:rsidR="00D2397F" w:rsidRPr="00A117C9" w:rsidRDefault="00D2397F" w:rsidP="00755C78">
            <w:pPr>
              <w:rPr>
                <w:color w:val="000000"/>
                <w:szCs w:val="20"/>
              </w:rPr>
            </w:pPr>
            <w:r w:rsidRPr="00A117C9">
              <w:rPr>
                <w:color w:val="000000"/>
                <w:szCs w:val="20"/>
              </w:rPr>
              <w:t xml:space="preserve">PRRT receipts are </w:t>
            </w:r>
            <w:r w:rsidR="00A92F3F" w:rsidRPr="00A117C9">
              <w:rPr>
                <w:color w:val="000000"/>
                <w:szCs w:val="20"/>
              </w:rPr>
              <w:t>calculated on a project</w:t>
            </w:r>
            <w:r w:rsidR="00755C78">
              <w:rPr>
                <w:color w:val="000000"/>
                <w:szCs w:val="20"/>
              </w:rPr>
              <w:t>-</w:t>
            </w:r>
            <w:r w:rsidR="00A92F3F" w:rsidRPr="00A117C9">
              <w:rPr>
                <w:color w:val="000000"/>
                <w:szCs w:val="20"/>
              </w:rPr>
              <w:t>by</w:t>
            </w:r>
            <w:r w:rsidR="00755C78">
              <w:rPr>
                <w:color w:val="000000"/>
                <w:szCs w:val="20"/>
              </w:rPr>
              <w:t>-</w:t>
            </w:r>
            <w:r w:rsidR="00A92F3F" w:rsidRPr="00A117C9">
              <w:rPr>
                <w:color w:val="000000"/>
                <w:szCs w:val="20"/>
              </w:rPr>
              <w:t xml:space="preserve">project basis using </w:t>
            </w:r>
            <w:r w:rsidR="00896BB7" w:rsidRPr="00A117C9">
              <w:rPr>
                <w:color w:val="000000"/>
                <w:szCs w:val="20"/>
              </w:rPr>
              <w:t>expenditure and output</w:t>
            </w:r>
            <w:r w:rsidR="00A92F3F" w:rsidRPr="00A117C9">
              <w:rPr>
                <w:color w:val="000000"/>
                <w:szCs w:val="20"/>
              </w:rPr>
              <w:t xml:space="preserve"> </w:t>
            </w:r>
            <w:r w:rsidR="004947A5" w:rsidRPr="00A117C9">
              <w:rPr>
                <w:color w:val="000000"/>
                <w:szCs w:val="20"/>
              </w:rPr>
              <w:t>data</w:t>
            </w:r>
            <w:r w:rsidRPr="00A117C9">
              <w:rPr>
                <w:color w:val="000000"/>
                <w:szCs w:val="20"/>
              </w:rPr>
              <w:t xml:space="preserve"> and </w:t>
            </w:r>
            <w:r w:rsidR="00A92F3F" w:rsidRPr="00A117C9">
              <w:rPr>
                <w:color w:val="000000"/>
                <w:szCs w:val="20"/>
              </w:rPr>
              <w:t>the oil price parameter underpinning the 2019</w:t>
            </w:r>
            <w:r w:rsidR="00961EA1" w:rsidRPr="00A117C9">
              <w:rPr>
                <w:color w:val="000000"/>
                <w:szCs w:val="20"/>
              </w:rPr>
              <w:t>–</w:t>
            </w:r>
            <w:r w:rsidR="00A92F3F" w:rsidRPr="00A117C9">
              <w:rPr>
                <w:color w:val="000000"/>
                <w:szCs w:val="20"/>
              </w:rPr>
              <w:t xml:space="preserve">20 </w:t>
            </w:r>
            <w:proofErr w:type="gramStart"/>
            <w:r w:rsidR="00A92F3F" w:rsidRPr="00A117C9">
              <w:rPr>
                <w:color w:val="000000"/>
                <w:szCs w:val="20"/>
              </w:rPr>
              <w:t>Budget</w:t>
            </w:r>
            <w:proofErr w:type="gramEnd"/>
            <w:r w:rsidR="00896BB7" w:rsidRPr="00A117C9">
              <w:rPr>
                <w:color w:val="000000"/>
                <w:szCs w:val="20"/>
              </w:rPr>
              <w:t>, which is grown by CPI beyond the forward estimates period</w:t>
            </w:r>
            <w:r w:rsidRPr="00A117C9">
              <w:rPr>
                <w:color w:val="000000"/>
                <w:szCs w:val="20"/>
              </w:rPr>
              <w:t>.</w:t>
            </w:r>
          </w:p>
        </w:tc>
      </w:tr>
      <w:tr w:rsidR="00D2397F" w:rsidRPr="002C27E6" w:rsidTr="00E31F39">
        <w:trPr>
          <w:cnfStyle w:val="000000010000" w:firstRow="0" w:lastRow="0" w:firstColumn="0" w:lastColumn="0" w:oddVBand="0" w:evenVBand="0" w:oddHBand="0" w:evenHBand="1" w:firstRowFirstColumn="0" w:firstRowLastColumn="0" w:lastRowFirstColumn="0" w:lastRowLastColumn="0"/>
        </w:trPr>
        <w:tc>
          <w:tcPr>
            <w:tcW w:w="1083" w:type="pct"/>
            <w:hideMark/>
          </w:tcPr>
          <w:p w:rsidR="00D2397F" w:rsidRPr="002C27E6" w:rsidRDefault="00D2397F" w:rsidP="0029340A">
            <w:pPr>
              <w:pStyle w:val="TableSubheading"/>
            </w:pPr>
            <w:r w:rsidRPr="002C27E6">
              <w:t>Goods and services tax (GST)</w:t>
            </w:r>
          </w:p>
        </w:tc>
        <w:tc>
          <w:tcPr>
            <w:tcW w:w="1619" w:type="pct"/>
            <w:hideMark/>
          </w:tcPr>
          <w:p w:rsidR="00D2397F" w:rsidRPr="00A117C9" w:rsidRDefault="00D2397F" w:rsidP="0029340A">
            <w:pPr>
              <w:rPr>
                <w:color w:val="000000"/>
                <w:szCs w:val="20"/>
              </w:rPr>
            </w:pPr>
            <w:r w:rsidRPr="00A117C9">
              <w:rPr>
                <w:color w:val="000000"/>
                <w:szCs w:val="20"/>
              </w:rPr>
              <w:t>Indirect tax on the consumption of certain goods and services.</w:t>
            </w:r>
          </w:p>
        </w:tc>
        <w:tc>
          <w:tcPr>
            <w:tcW w:w="2298" w:type="pct"/>
            <w:hideMark/>
          </w:tcPr>
          <w:p w:rsidR="00D2397F" w:rsidRPr="00A117C9" w:rsidRDefault="00D2397F" w:rsidP="00A93560">
            <w:pPr>
              <w:rPr>
                <w:color w:val="000000"/>
                <w:szCs w:val="20"/>
              </w:rPr>
            </w:pPr>
            <w:r w:rsidRPr="00A117C9">
              <w:rPr>
                <w:color w:val="000000"/>
                <w:szCs w:val="20"/>
              </w:rPr>
              <w:t>GST receipts are projected</w:t>
            </w:r>
            <w:r w:rsidR="00755C78">
              <w:rPr>
                <w:color w:val="000000"/>
                <w:szCs w:val="20"/>
              </w:rPr>
              <w:t xml:space="preserve"> </w:t>
            </w:r>
            <w:r w:rsidRPr="00A117C9">
              <w:rPr>
                <w:color w:val="000000"/>
                <w:szCs w:val="20"/>
              </w:rPr>
              <w:t>based on the growth in consumption, private dwelling investment, and ownership transfer costs.</w:t>
            </w:r>
          </w:p>
        </w:tc>
      </w:tr>
      <w:tr w:rsidR="00D2397F" w:rsidRPr="002C27E6" w:rsidTr="00E31F39">
        <w:tc>
          <w:tcPr>
            <w:tcW w:w="1083" w:type="pct"/>
            <w:shd w:val="clear" w:color="auto" w:fill="auto"/>
            <w:hideMark/>
          </w:tcPr>
          <w:p w:rsidR="00D2397F" w:rsidRPr="002C27E6" w:rsidRDefault="00D2397F" w:rsidP="0029340A">
            <w:pPr>
              <w:pStyle w:val="TableSubheading"/>
            </w:pPr>
            <w:r w:rsidRPr="002C27E6">
              <w:t>Wine equalisation tax (WET)</w:t>
            </w:r>
          </w:p>
        </w:tc>
        <w:tc>
          <w:tcPr>
            <w:tcW w:w="1619" w:type="pct"/>
            <w:shd w:val="clear" w:color="auto" w:fill="auto"/>
            <w:hideMark/>
          </w:tcPr>
          <w:p w:rsidR="00D2397F" w:rsidRPr="00A117C9" w:rsidRDefault="00D2397F" w:rsidP="0029340A">
            <w:pPr>
              <w:rPr>
                <w:color w:val="000000"/>
                <w:szCs w:val="20"/>
              </w:rPr>
            </w:pPr>
            <w:r w:rsidRPr="00A117C9">
              <w:rPr>
                <w:color w:val="000000"/>
                <w:szCs w:val="20"/>
              </w:rPr>
              <w:t>A value-based tax on wine consumed in Australia.</w:t>
            </w:r>
          </w:p>
        </w:tc>
        <w:tc>
          <w:tcPr>
            <w:tcW w:w="2298" w:type="pct"/>
            <w:shd w:val="clear" w:color="auto" w:fill="auto"/>
            <w:hideMark/>
          </w:tcPr>
          <w:p w:rsidR="00D2397F" w:rsidRPr="00A117C9" w:rsidRDefault="00D2397F" w:rsidP="0029340A">
            <w:pPr>
              <w:rPr>
                <w:color w:val="000000"/>
                <w:szCs w:val="20"/>
              </w:rPr>
            </w:pPr>
            <w:r w:rsidRPr="00A117C9">
              <w:rPr>
                <w:color w:val="000000"/>
                <w:szCs w:val="20"/>
              </w:rPr>
              <w:t>WET receipts are projected based on the growth in private consumption of alcohol.</w:t>
            </w:r>
          </w:p>
        </w:tc>
      </w:tr>
      <w:tr w:rsidR="00295D49" w:rsidRPr="002C27E6" w:rsidTr="00E31F39">
        <w:trPr>
          <w:cnfStyle w:val="000000010000" w:firstRow="0" w:lastRow="0" w:firstColumn="0" w:lastColumn="0" w:oddVBand="0" w:evenVBand="0" w:oddHBand="0" w:evenHBand="1" w:firstRowFirstColumn="0" w:firstRowLastColumn="0" w:lastRowFirstColumn="0" w:lastRowLastColumn="0"/>
        </w:trPr>
        <w:tc>
          <w:tcPr>
            <w:tcW w:w="1083" w:type="pct"/>
          </w:tcPr>
          <w:p w:rsidR="00295D49" w:rsidRPr="002C27E6" w:rsidRDefault="00295D49" w:rsidP="00755C78">
            <w:pPr>
              <w:pStyle w:val="TableSubheading"/>
            </w:pPr>
            <w:r w:rsidRPr="002C27E6">
              <w:lastRenderedPageBreak/>
              <w:t xml:space="preserve">Fringe </w:t>
            </w:r>
            <w:r w:rsidR="00755C78">
              <w:t>b</w:t>
            </w:r>
            <w:r w:rsidRPr="002C27E6">
              <w:t xml:space="preserve">enefits </w:t>
            </w:r>
            <w:r w:rsidR="00755C78">
              <w:t>t</w:t>
            </w:r>
            <w:r w:rsidRPr="002C27E6">
              <w:t>ax (FBT)</w:t>
            </w:r>
          </w:p>
        </w:tc>
        <w:tc>
          <w:tcPr>
            <w:tcW w:w="1619" w:type="pct"/>
          </w:tcPr>
          <w:p w:rsidR="00295D49" w:rsidRPr="00A117C9" w:rsidRDefault="00295D49" w:rsidP="0029340A">
            <w:pPr>
              <w:rPr>
                <w:color w:val="000000"/>
                <w:szCs w:val="20"/>
              </w:rPr>
            </w:pPr>
            <w:r w:rsidRPr="00A117C9">
              <w:rPr>
                <w:color w:val="000000"/>
                <w:szCs w:val="20"/>
              </w:rPr>
              <w:t>FBT is separate to income tax and is paid by employers</w:t>
            </w:r>
            <w:r w:rsidR="00755C78">
              <w:rPr>
                <w:color w:val="000000"/>
                <w:szCs w:val="20"/>
              </w:rPr>
              <w:t>,</w:t>
            </w:r>
            <w:r w:rsidRPr="00A117C9">
              <w:rPr>
                <w:color w:val="000000"/>
                <w:szCs w:val="20"/>
              </w:rPr>
              <w:t xml:space="preserve"> based on the taxable value of the fringe benefit provided to employees.</w:t>
            </w:r>
          </w:p>
        </w:tc>
        <w:tc>
          <w:tcPr>
            <w:tcW w:w="2298" w:type="pct"/>
          </w:tcPr>
          <w:p w:rsidR="00295D49" w:rsidRPr="00A117C9" w:rsidRDefault="00295D49" w:rsidP="0029340A">
            <w:pPr>
              <w:rPr>
                <w:color w:val="000000"/>
                <w:szCs w:val="20"/>
              </w:rPr>
            </w:pPr>
            <w:r w:rsidRPr="00A117C9">
              <w:rPr>
                <w:color w:val="000000"/>
                <w:szCs w:val="20"/>
              </w:rPr>
              <w:t xml:space="preserve">FBT receipts are projected based on the compensation of </w:t>
            </w:r>
            <w:proofErr w:type="gramStart"/>
            <w:r w:rsidRPr="00A117C9">
              <w:rPr>
                <w:color w:val="000000"/>
                <w:szCs w:val="20"/>
              </w:rPr>
              <w:t>employees</w:t>
            </w:r>
            <w:proofErr w:type="gramEnd"/>
            <w:r w:rsidRPr="00A117C9">
              <w:rPr>
                <w:color w:val="000000"/>
                <w:szCs w:val="20"/>
              </w:rPr>
              <w:t xml:space="preserve"> parameter.</w:t>
            </w:r>
          </w:p>
        </w:tc>
      </w:tr>
      <w:tr w:rsidR="00295D49" w:rsidRPr="002C27E6" w:rsidTr="00E31F39">
        <w:tc>
          <w:tcPr>
            <w:tcW w:w="1083" w:type="pct"/>
            <w:hideMark/>
          </w:tcPr>
          <w:p w:rsidR="00295D49" w:rsidRPr="002C27E6" w:rsidRDefault="00295D49" w:rsidP="0029340A">
            <w:pPr>
              <w:pStyle w:val="TableSubheading"/>
            </w:pPr>
            <w:r w:rsidRPr="002C27E6">
              <w:t>Luxury car tax (LCT)</w:t>
            </w:r>
          </w:p>
        </w:tc>
        <w:tc>
          <w:tcPr>
            <w:tcW w:w="1619" w:type="pct"/>
            <w:hideMark/>
          </w:tcPr>
          <w:p w:rsidR="00295D49" w:rsidRPr="00A117C9" w:rsidRDefault="00295D49" w:rsidP="0029340A">
            <w:pPr>
              <w:rPr>
                <w:color w:val="000000"/>
                <w:szCs w:val="20"/>
              </w:rPr>
            </w:pPr>
            <w:r w:rsidRPr="00A117C9">
              <w:rPr>
                <w:color w:val="000000"/>
                <w:szCs w:val="20"/>
              </w:rPr>
              <w:t>A tax on luxury cars sold or imported, where their value exceeds a threshold.</w:t>
            </w:r>
          </w:p>
        </w:tc>
        <w:tc>
          <w:tcPr>
            <w:tcW w:w="2298" w:type="pct"/>
            <w:hideMark/>
          </w:tcPr>
          <w:p w:rsidR="00295D49" w:rsidRPr="00A117C9" w:rsidRDefault="00295D49" w:rsidP="006D73EA">
            <w:pPr>
              <w:rPr>
                <w:color w:val="000000"/>
                <w:szCs w:val="20"/>
              </w:rPr>
            </w:pPr>
            <w:r w:rsidRPr="00A117C9">
              <w:rPr>
                <w:color w:val="000000"/>
                <w:szCs w:val="20"/>
              </w:rPr>
              <w:t>LCT receipts are projected based on the growth in sales of cars</w:t>
            </w:r>
            <w:r w:rsidR="006D73EA">
              <w:rPr>
                <w:color w:val="000000"/>
                <w:szCs w:val="20"/>
              </w:rPr>
              <w:t>,</w:t>
            </w:r>
            <w:r w:rsidRPr="00A117C9">
              <w:rPr>
                <w:color w:val="000000"/>
                <w:szCs w:val="20"/>
              </w:rPr>
              <w:t xml:space="preserve"> and the motor vehicle price indicator.</w:t>
            </w:r>
          </w:p>
        </w:tc>
      </w:tr>
      <w:tr w:rsidR="00295D49" w:rsidRPr="002C27E6" w:rsidTr="00FA3CD6">
        <w:trPr>
          <w:cnfStyle w:val="000000010000" w:firstRow="0" w:lastRow="0" w:firstColumn="0" w:lastColumn="0" w:oddVBand="0" w:evenVBand="0" w:oddHBand="0" w:evenHBand="1" w:firstRowFirstColumn="0" w:firstRowLastColumn="0" w:lastRowFirstColumn="0" w:lastRowLastColumn="0"/>
        </w:trPr>
        <w:tc>
          <w:tcPr>
            <w:tcW w:w="1083" w:type="pct"/>
          </w:tcPr>
          <w:p w:rsidR="00295D49" w:rsidRPr="002C27E6" w:rsidRDefault="00295D49" w:rsidP="0029340A">
            <w:pPr>
              <w:pStyle w:val="TableSubheading"/>
              <w:rPr>
                <w:highlight w:val="yellow"/>
              </w:rPr>
            </w:pPr>
            <w:r w:rsidRPr="002C27E6">
              <w:t>Other taxes and charges</w:t>
            </w:r>
          </w:p>
        </w:tc>
        <w:tc>
          <w:tcPr>
            <w:tcW w:w="1619" w:type="pct"/>
          </w:tcPr>
          <w:p w:rsidR="00295D49" w:rsidRPr="00A117C9" w:rsidRDefault="00295D49" w:rsidP="0029340A">
            <w:pPr>
              <w:rPr>
                <w:color w:val="000000"/>
                <w:szCs w:val="20"/>
                <w:highlight w:val="yellow"/>
              </w:rPr>
            </w:pPr>
            <w:r w:rsidRPr="00A117C9">
              <w:rPr>
                <w:color w:val="000000"/>
                <w:szCs w:val="20"/>
              </w:rPr>
              <w:t>Other indirect taxes and levies, including the major bank levy, agricultural levies and the Skilling Australians Fund levy.</w:t>
            </w:r>
          </w:p>
        </w:tc>
        <w:tc>
          <w:tcPr>
            <w:tcW w:w="2298" w:type="pct"/>
          </w:tcPr>
          <w:p w:rsidR="00295D49" w:rsidRPr="00A117C9" w:rsidRDefault="00295D49" w:rsidP="006D73EA">
            <w:pPr>
              <w:rPr>
                <w:color w:val="000000"/>
                <w:szCs w:val="20"/>
              </w:rPr>
            </w:pPr>
            <w:r w:rsidRPr="00A117C9">
              <w:rPr>
                <w:color w:val="000000"/>
                <w:szCs w:val="20"/>
              </w:rPr>
              <w:t>Other taxes and charges are projected based on the growth in nominal GDP.</w:t>
            </w:r>
          </w:p>
        </w:tc>
      </w:tr>
      <w:tr w:rsidR="00295D49" w:rsidRPr="002C27E6" w:rsidTr="00E31F39">
        <w:tc>
          <w:tcPr>
            <w:tcW w:w="1083" w:type="pct"/>
            <w:hideMark/>
          </w:tcPr>
          <w:p w:rsidR="00295D49" w:rsidRPr="002C27E6" w:rsidRDefault="00295D49" w:rsidP="0029340A">
            <w:pPr>
              <w:pStyle w:val="TableSubheading"/>
            </w:pPr>
            <w:r w:rsidRPr="002C27E6">
              <w:t>Non-tax receipts</w:t>
            </w:r>
          </w:p>
        </w:tc>
        <w:tc>
          <w:tcPr>
            <w:tcW w:w="1619" w:type="pct"/>
            <w:hideMark/>
          </w:tcPr>
          <w:p w:rsidR="00295D49" w:rsidRPr="00A117C9" w:rsidRDefault="00295D49" w:rsidP="006D73EA">
            <w:pPr>
              <w:rPr>
                <w:color w:val="000000"/>
                <w:szCs w:val="20"/>
              </w:rPr>
            </w:pPr>
            <w:r w:rsidRPr="00A117C9">
              <w:rPr>
                <w:color w:val="000000"/>
                <w:szCs w:val="20"/>
              </w:rPr>
              <w:t xml:space="preserve">Includes interest and dividend earnings (including Future Fund earnings), NDIS contributions from the </w:t>
            </w:r>
            <w:r w:rsidR="006D73EA">
              <w:rPr>
                <w:color w:val="000000"/>
                <w:szCs w:val="20"/>
              </w:rPr>
              <w:t>s</w:t>
            </w:r>
            <w:r w:rsidRPr="00A117C9">
              <w:rPr>
                <w:color w:val="000000"/>
                <w:szCs w:val="20"/>
              </w:rPr>
              <w:t xml:space="preserve">tates and </w:t>
            </w:r>
            <w:r w:rsidR="006D73EA">
              <w:rPr>
                <w:color w:val="000000"/>
                <w:szCs w:val="20"/>
              </w:rPr>
              <w:t>t</w:t>
            </w:r>
            <w:r w:rsidRPr="00A117C9">
              <w:rPr>
                <w:color w:val="000000"/>
                <w:szCs w:val="20"/>
              </w:rPr>
              <w:t xml:space="preserve">erritories, sale of non-financial assets, and other non-tax receipts. </w:t>
            </w:r>
          </w:p>
        </w:tc>
        <w:tc>
          <w:tcPr>
            <w:tcW w:w="2298" w:type="pct"/>
            <w:hideMark/>
          </w:tcPr>
          <w:p w:rsidR="00295D49" w:rsidRPr="00A117C9" w:rsidRDefault="00295D49" w:rsidP="0029340A">
            <w:pPr>
              <w:rPr>
                <w:color w:val="000000"/>
                <w:szCs w:val="20"/>
              </w:rPr>
            </w:pPr>
            <w:r w:rsidRPr="00A117C9">
              <w:rPr>
                <w:color w:val="000000"/>
                <w:szCs w:val="20"/>
              </w:rPr>
              <w:t xml:space="preserve">The largest component of receipts from the sales of goods and services are NDIS contributions from the </w:t>
            </w:r>
            <w:r w:rsidR="006D73EA">
              <w:rPr>
                <w:color w:val="000000"/>
                <w:szCs w:val="20"/>
              </w:rPr>
              <w:t>s</w:t>
            </w:r>
            <w:r w:rsidRPr="00A117C9">
              <w:rPr>
                <w:color w:val="000000"/>
                <w:szCs w:val="20"/>
              </w:rPr>
              <w:t xml:space="preserve">tates and </w:t>
            </w:r>
            <w:r w:rsidR="006D73EA">
              <w:rPr>
                <w:color w:val="000000"/>
                <w:szCs w:val="20"/>
              </w:rPr>
              <w:t>t</w:t>
            </w:r>
            <w:r w:rsidRPr="00A117C9">
              <w:rPr>
                <w:color w:val="000000"/>
                <w:szCs w:val="20"/>
              </w:rPr>
              <w:t>erritories, which are consistent with the PBO’s profile of NDIS expenditure over the medium</w:t>
            </w:r>
            <w:r w:rsidR="006D73EA">
              <w:rPr>
                <w:color w:val="000000"/>
                <w:szCs w:val="20"/>
              </w:rPr>
              <w:t xml:space="preserve"> </w:t>
            </w:r>
            <w:r w:rsidRPr="00A117C9">
              <w:rPr>
                <w:color w:val="000000"/>
                <w:szCs w:val="20"/>
              </w:rPr>
              <w:t xml:space="preserve">term.  </w:t>
            </w:r>
          </w:p>
          <w:p w:rsidR="00295D49" w:rsidRPr="002C27E6" w:rsidRDefault="00295D49" w:rsidP="0029340A">
            <w:pPr>
              <w:pStyle w:val="TableText"/>
              <w:rPr>
                <w:szCs w:val="20"/>
              </w:rPr>
            </w:pPr>
            <w:r w:rsidRPr="002C27E6">
              <w:rPr>
                <w:szCs w:val="20"/>
              </w:rPr>
              <w:t>Future Fund earnings are projected over the medium</w:t>
            </w:r>
            <w:r w:rsidR="006D73EA">
              <w:rPr>
                <w:szCs w:val="20"/>
              </w:rPr>
              <w:t xml:space="preserve"> </w:t>
            </w:r>
            <w:r w:rsidRPr="002C27E6">
              <w:rPr>
                <w:szCs w:val="20"/>
              </w:rPr>
              <w:t>term using the projection methodology from PBO Report no. 01/2017</w:t>
            </w:r>
            <w:r w:rsidR="006D73EA">
              <w:rPr>
                <w:szCs w:val="20"/>
              </w:rPr>
              <w:t xml:space="preserve"> </w:t>
            </w:r>
            <w:r w:rsidR="006D73EA">
              <w:rPr>
                <w:i/>
                <w:szCs w:val="20"/>
              </w:rPr>
              <w:t>Future Fund drawdown scenarios: Budget implications</w:t>
            </w:r>
            <w:r w:rsidRPr="002C27E6">
              <w:rPr>
                <w:szCs w:val="20"/>
              </w:rPr>
              <w:t>.  Reflecting the Government’s decision to delay the drawdown of the Future Fund and to reduce its target return to at least the CPI plus 4</w:t>
            </w:r>
            <w:r w:rsidR="002A041F">
              <w:rPr>
                <w:szCs w:val="20"/>
              </w:rPr>
              <w:t> </w:t>
            </w:r>
            <w:r w:rsidRPr="002C27E6">
              <w:rPr>
                <w:szCs w:val="20"/>
              </w:rPr>
              <w:t>to 5</w:t>
            </w:r>
            <w:r w:rsidR="002A041F">
              <w:rPr>
                <w:szCs w:val="20"/>
              </w:rPr>
              <w:t> </w:t>
            </w:r>
            <w:r w:rsidRPr="002C27E6">
              <w:rPr>
                <w:szCs w:val="20"/>
              </w:rPr>
              <w:t>per</w:t>
            </w:r>
            <w:r w:rsidR="002A041F">
              <w:rPr>
                <w:szCs w:val="20"/>
              </w:rPr>
              <w:t> </w:t>
            </w:r>
            <w:r w:rsidRPr="002C27E6">
              <w:rPr>
                <w:szCs w:val="20"/>
              </w:rPr>
              <w:t>cent, drawdowns are assumed to occur in 2027</w:t>
            </w:r>
            <w:r w:rsidR="00961EA1" w:rsidRPr="002C27E6">
              <w:rPr>
                <w:szCs w:val="20"/>
              </w:rPr>
              <w:t>–</w:t>
            </w:r>
            <w:r w:rsidRPr="002C27E6">
              <w:rPr>
                <w:szCs w:val="20"/>
              </w:rPr>
              <w:t xml:space="preserve">28.  Assumed asset allocations and benchmark returns are used to project future earnings and balances for the Future Fund.  Under the </w:t>
            </w:r>
            <w:r w:rsidRPr="002C27E6">
              <w:rPr>
                <w:i/>
                <w:szCs w:val="20"/>
              </w:rPr>
              <w:t>Future Fund Act 2006</w:t>
            </w:r>
            <w:r w:rsidRPr="002C27E6">
              <w:rPr>
                <w:szCs w:val="20"/>
              </w:rPr>
              <w:t>, net Future Fund earnings will be available to meet the Government superannuation liability in 2020</w:t>
            </w:r>
            <w:r w:rsidR="00961EA1" w:rsidRPr="002C27E6">
              <w:rPr>
                <w:szCs w:val="20"/>
              </w:rPr>
              <w:t>–</w:t>
            </w:r>
            <w:r w:rsidRPr="002C27E6">
              <w:rPr>
                <w:szCs w:val="20"/>
              </w:rPr>
              <w:t>21.  Consistent with the 2019</w:t>
            </w:r>
            <w:r w:rsidR="00961EA1" w:rsidRPr="002C27E6">
              <w:rPr>
                <w:szCs w:val="20"/>
              </w:rPr>
              <w:t>–</w:t>
            </w:r>
            <w:r w:rsidRPr="002C27E6">
              <w:rPr>
                <w:szCs w:val="20"/>
              </w:rPr>
              <w:t xml:space="preserve">20 Budget assumption, the </w:t>
            </w:r>
            <w:r w:rsidR="00AA2C2C">
              <w:rPr>
                <w:szCs w:val="20"/>
              </w:rPr>
              <w:t>underlying cash balance</w:t>
            </w:r>
            <w:r w:rsidR="00AA2C2C" w:rsidRPr="002C27E6">
              <w:rPr>
                <w:szCs w:val="20"/>
              </w:rPr>
              <w:t xml:space="preserve"> </w:t>
            </w:r>
            <w:r w:rsidRPr="002C27E6">
              <w:rPr>
                <w:szCs w:val="20"/>
              </w:rPr>
              <w:t>includes expected net Future Fund earnings from 2020</w:t>
            </w:r>
            <w:r w:rsidR="00961EA1" w:rsidRPr="002C27E6">
              <w:rPr>
                <w:szCs w:val="20"/>
              </w:rPr>
              <w:t>–</w:t>
            </w:r>
            <w:r w:rsidRPr="002C27E6">
              <w:rPr>
                <w:szCs w:val="20"/>
              </w:rPr>
              <w:t>21.</w:t>
            </w:r>
          </w:p>
          <w:p w:rsidR="00295D49" w:rsidRPr="00A117C9" w:rsidRDefault="00295D49" w:rsidP="0029340A">
            <w:pPr>
              <w:rPr>
                <w:color w:val="000000"/>
                <w:szCs w:val="20"/>
              </w:rPr>
            </w:pPr>
            <w:r w:rsidRPr="00A117C9">
              <w:rPr>
                <w:color w:val="000000"/>
                <w:szCs w:val="20"/>
              </w:rPr>
              <w:t xml:space="preserve">Other interest receipts and dividend receipt projections are consistent with the </w:t>
            </w:r>
            <w:r w:rsidR="002A041F">
              <w:rPr>
                <w:color w:val="000000"/>
                <w:szCs w:val="20"/>
              </w:rPr>
              <w:br/>
            </w:r>
            <w:r w:rsidR="00213288" w:rsidRPr="00A117C9">
              <w:rPr>
                <w:color w:val="000000"/>
                <w:szCs w:val="20"/>
              </w:rPr>
              <w:t>2019</w:t>
            </w:r>
            <w:r w:rsidR="00961EA1" w:rsidRPr="00A117C9">
              <w:rPr>
                <w:color w:val="000000"/>
                <w:szCs w:val="20"/>
              </w:rPr>
              <w:t>–</w:t>
            </w:r>
            <w:r w:rsidR="00213288" w:rsidRPr="00A117C9">
              <w:rPr>
                <w:color w:val="000000"/>
                <w:szCs w:val="20"/>
              </w:rPr>
              <w:t>20</w:t>
            </w:r>
            <w:r w:rsidRPr="00A117C9">
              <w:rPr>
                <w:color w:val="000000"/>
                <w:szCs w:val="20"/>
              </w:rPr>
              <w:t xml:space="preserve"> Budget forward estimates period and then grown consistent with recent history over the medium</w:t>
            </w:r>
            <w:r w:rsidR="002A041F">
              <w:rPr>
                <w:color w:val="000000"/>
                <w:szCs w:val="20"/>
              </w:rPr>
              <w:t xml:space="preserve"> </w:t>
            </w:r>
            <w:r w:rsidRPr="00A117C9">
              <w:rPr>
                <w:color w:val="000000"/>
                <w:szCs w:val="20"/>
              </w:rPr>
              <w:t>term.</w:t>
            </w:r>
          </w:p>
          <w:p w:rsidR="00295D49" w:rsidRPr="00A117C9" w:rsidRDefault="00295D49" w:rsidP="00896BB7">
            <w:pPr>
              <w:rPr>
                <w:color w:val="000000"/>
                <w:szCs w:val="20"/>
              </w:rPr>
            </w:pPr>
            <w:r w:rsidRPr="00A117C9">
              <w:rPr>
                <w:color w:val="000000"/>
                <w:szCs w:val="20"/>
              </w:rPr>
              <w:t xml:space="preserve">The remainder of non-tax receipts are consistent with the </w:t>
            </w:r>
            <w:r w:rsidR="00213288" w:rsidRPr="00A117C9">
              <w:rPr>
                <w:color w:val="000000"/>
                <w:szCs w:val="20"/>
              </w:rPr>
              <w:t>2019</w:t>
            </w:r>
            <w:r w:rsidR="00961EA1" w:rsidRPr="00A117C9">
              <w:rPr>
                <w:color w:val="000000"/>
                <w:szCs w:val="20"/>
              </w:rPr>
              <w:t>–</w:t>
            </w:r>
            <w:r w:rsidR="00213288" w:rsidRPr="00A117C9">
              <w:rPr>
                <w:color w:val="000000"/>
                <w:szCs w:val="20"/>
              </w:rPr>
              <w:t>20</w:t>
            </w:r>
            <w:r w:rsidRPr="00A117C9">
              <w:rPr>
                <w:color w:val="000000"/>
                <w:szCs w:val="20"/>
              </w:rPr>
              <w:t xml:space="preserve"> Budget forward estimates period and then assumed to remain as a constant share of nominal GDP over the medium</w:t>
            </w:r>
            <w:r w:rsidR="002A041F">
              <w:rPr>
                <w:color w:val="000000"/>
                <w:szCs w:val="20"/>
              </w:rPr>
              <w:t xml:space="preserve"> </w:t>
            </w:r>
            <w:r w:rsidRPr="00A117C9">
              <w:rPr>
                <w:color w:val="000000"/>
                <w:szCs w:val="20"/>
              </w:rPr>
              <w:t>term.</w:t>
            </w:r>
          </w:p>
        </w:tc>
      </w:tr>
    </w:tbl>
    <w:p w:rsidR="0053015E" w:rsidRDefault="0053015E" w:rsidP="0029340A">
      <w:pPr>
        <w:pStyle w:val="BodyText"/>
        <w:sectPr w:rsidR="0053015E" w:rsidSect="007676C0">
          <w:headerReference w:type="even" r:id="rId44"/>
          <w:headerReference w:type="default" r:id="rId45"/>
          <w:footerReference w:type="even" r:id="rId46"/>
          <w:footerReference w:type="default" r:id="rId47"/>
          <w:headerReference w:type="first" r:id="rId48"/>
          <w:footerReference w:type="first" r:id="rId49"/>
          <w:pgSz w:w="11907" w:h="16839" w:code="9"/>
          <w:pgMar w:top="1191" w:right="1417" w:bottom="1020" w:left="1417" w:header="567" w:footer="709" w:gutter="0"/>
          <w:cols w:space="708"/>
          <w:docGrid w:linePitch="360"/>
        </w:sectPr>
      </w:pPr>
    </w:p>
    <w:p w:rsidR="007676C0" w:rsidRDefault="007979E1" w:rsidP="007979E1">
      <w:pPr>
        <w:pStyle w:val="Heading1NoNumbering"/>
      </w:pPr>
      <w:bookmarkStart w:id="136" w:name="_Toc523757321"/>
      <w:bookmarkStart w:id="137" w:name="_Toc19801257"/>
      <w:r>
        <w:lastRenderedPageBreak/>
        <w:t xml:space="preserve">Appendix B – </w:t>
      </w:r>
      <w:r w:rsidR="004F6010">
        <w:br/>
      </w:r>
      <w:r w:rsidR="007676C0">
        <w:t>Spending</w:t>
      </w:r>
      <w:r w:rsidR="007676C0" w:rsidRPr="001F76A3">
        <w:t xml:space="preserve"> projection methodology</w:t>
      </w:r>
      <w:bookmarkEnd w:id="136"/>
      <w:bookmarkEnd w:id="137"/>
    </w:p>
    <w:p w:rsidR="0053015E" w:rsidRDefault="002A041F" w:rsidP="0029340A">
      <w:pPr>
        <w:pStyle w:val="BodyText"/>
      </w:pPr>
      <w:r>
        <w:t xml:space="preserve">The PBO’s </w:t>
      </w:r>
      <w:r w:rsidR="0053015E">
        <w:t>spending projections comprise 23 individual projections of key Government payments, which in total comprise approximately 80</w:t>
      </w:r>
      <w:r>
        <w:t> </w:t>
      </w:r>
      <w:r w:rsidR="0053015E">
        <w:t>per</w:t>
      </w:r>
      <w:r>
        <w:t xml:space="preserve"> </w:t>
      </w:r>
      <w:r w:rsidR="0053015E">
        <w:t xml:space="preserve">cent of total government </w:t>
      </w:r>
      <w:r w:rsidR="00853A08">
        <w:t>spending</w:t>
      </w:r>
      <w:r w:rsidR="0053015E">
        <w:t>.</w:t>
      </w:r>
      <w:r w:rsidR="0053015E" w:rsidRPr="008D6E0C">
        <w:t xml:space="preserve"> </w:t>
      </w:r>
    </w:p>
    <w:p w:rsidR="0053015E" w:rsidRDefault="00853A08" w:rsidP="0029340A">
      <w:pPr>
        <w:pStyle w:val="BodyText"/>
      </w:pPr>
      <w:r>
        <w:t xml:space="preserve">Up to </w:t>
      </w:r>
      <w:r w:rsidR="00F532B4">
        <w:t>2022</w:t>
      </w:r>
      <w:r w:rsidR="00961EA1">
        <w:t>–</w:t>
      </w:r>
      <w:r>
        <w:t>2</w:t>
      </w:r>
      <w:r w:rsidR="00F532B4">
        <w:t>3</w:t>
      </w:r>
      <w:r>
        <w:t xml:space="preserve">, </w:t>
      </w:r>
      <w:r w:rsidR="002A041F">
        <w:t xml:space="preserve">the PBO’s </w:t>
      </w:r>
      <w:r>
        <w:t xml:space="preserve">spending </w:t>
      </w:r>
      <w:r w:rsidR="0053015E">
        <w:t xml:space="preserve">projections are consistent with the </w:t>
      </w:r>
      <w:r w:rsidR="00F532B4">
        <w:t>2019</w:t>
      </w:r>
      <w:r w:rsidR="00961EA1">
        <w:t>–</w:t>
      </w:r>
      <w:r w:rsidR="00F532B4">
        <w:t>20</w:t>
      </w:r>
      <w:r w:rsidR="0053015E">
        <w:t> Budget forward estimates</w:t>
      </w:r>
      <w:r w:rsidR="00182D1C">
        <w:t xml:space="preserve"> period</w:t>
      </w:r>
      <w:r w:rsidR="0053015E">
        <w:t xml:space="preserve"> and are used as the base for projecting expenditure over the medium term. </w:t>
      </w:r>
    </w:p>
    <w:p w:rsidR="0053015E" w:rsidRDefault="0053015E" w:rsidP="0029340A">
      <w:pPr>
        <w:pStyle w:val="BodyText"/>
      </w:pPr>
      <w:r w:rsidRPr="009E29E1">
        <w:t>Projecte</w:t>
      </w:r>
      <w:r>
        <w:t>d levels of spending beyond 202</w:t>
      </w:r>
      <w:r w:rsidR="00213288">
        <w:t>2</w:t>
      </w:r>
      <w:r w:rsidR="00961EA1">
        <w:t>–</w:t>
      </w:r>
      <w:r>
        <w:t>2</w:t>
      </w:r>
      <w:r w:rsidR="00213288">
        <w:t>3</w:t>
      </w:r>
      <w:r w:rsidRPr="009E29E1">
        <w:t xml:space="preserve"> have been prepared </w:t>
      </w:r>
      <w:r w:rsidR="004F2C3C">
        <w:t>using</w:t>
      </w:r>
      <w:r w:rsidR="004F2C3C" w:rsidRPr="009E29E1">
        <w:t xml:space="preserve"> a range of PBO models </w:t>
      </w:r>
      <w:r w:rsidRPr="009E29E1">
        <w:t xml:space="preserve">based on information provided by </w:t>
      </w:r>
      <w:r>
        <w:t xml:space="preserve">government </w:t>
      </w:r>
      <w:r w:rsidRPr="009E29E1">
        <w:t>agencies</w:t>
      </w:r>
      <w:r w:rsidR="002A041F">
        <w:t>,</w:t>
      </w:r>
      <w:r w:rsidRPr="009E29E1">
        <w:t xml:space="preserve"> which take account of population growth, the age structure of the population, estimates of trends in the demand for government services</w:t>
      </w:r>
      <w:r w:rsidR="002A041F">
        <w:t>,</w:t>
      </w:r>
      <w:r w:rsidRPr="009E29E1">
        <w:t xml:space="preserve"> and program indexation arrangements.</w:t>
      </w:r>
    </w:p>
    <w:p w:rsidR="0053015E" w:rsidRDefault="002A041F" w:rsidP="0029340A">
      <w:pPr>
        <w:pStyle w:val="BodyText"/>
      </w:pPr>
      <w:r>
        <w:t xml:space="preserve">The PBO’s </w:t>
      </w:r>
      <w:r w:rsidR="0053015E">
        <w:t>projections are based on the policy settings underlying the 201</w:t>
      </w:r>
      <w:r w:rsidR="00213288">
        <w:t>9</w:t>
      </w:r>
      <w:r w:rsidR="00961EA1">
        <w:t>–</w:t>
      </w:r>
      <w:r w:rsidR="00213288">
        <w:t>20</w:t>
      </w:r>
      <w:r w:rsidR="0053015E">
        <w:t xml:space="preserve"> </w:t>
      </w:r>
      <w:proofErr w:type="gramStart"/>
      <w:r w:rsidR="0053015E">
        <w:t>Budget</w:t>
      </w:r>
      <w:proofErr w:type="gramEnd"/>
      <w:r>
        <w:t xml:space="preserve"> and</w:t>
      </w:r>
      <w:r w:rsidR="0053015E">
        <w:t xml:space="preserve"> assum</w:t>
      </w:r>
      <w:r>
        <w:t>e</w:t>
      </w:r>
      <w:r w:rsidR="0053015E">
        <w:t xml:space="preserve"> no change to these settings over the medium term.  </w:t>
      </w:r>
      <w:r w:rsidR="0053015E" w:rsidRPr="00634284">
        <w:t>Where government policy has not been made explicit beyond the forward estimates period</w:t>
      </w:r>
      <w:r>
        <w:t>,</w:t>
      </w:r>
      <w:r w:rsidR="0053015E" w:rsidRPr="00634284">
        <w:t xml:space="preserve"> the PBO’s projections assume the continuation of the current policy settings.</w:t>
      </w:r>
    </w:p>
    <w:p w:rsidR="00A82125" w:rsidRPr="00E809F6" w:rsidRDefault="00A82125" w:rsidP="0029340A">
      <w:pPr>
        <w:pStyle w:val="BodyText"/>
      </w:pPr>
      <w:r w:rsidRPr="00E809F6">
        <w:t xml:space="preserve">The </w:t>
      </w:r>
      <w:r w:rsidR="00EF1FC5">
        <w:t>main</w:t>
      </w:r>
      <w:r w:rsidRPr="00E809F6">
        <w:t xml:space="preserve"> exception to this </w:t>
      </w:r>
      <w:r w:rsidR="00EF1FC5">
        <w:t xml:space="preserve">is the </w:t>
      </w:r>
      <w:r>
        <w:t>projection for spending on</w:t>
      </w:r>
      <w:r w:rsidRPr="00E809F6">
        <w:t xml:space="preserve"> pharmaceutical benefits, which </w:t>
      </w:r>
      <w:r w:rsidR="00EF1FC5">
        <w:t>is</w:t>
      </w:r>
      <w:r w:rsidR="00EF1FC5" w:rsidRPr="00E809F6">
        <w:t xml:space="preserve"> </w:t>
      </w:r>
      <w:r w:rsidRPr="00E809F6">
        <w:t xml:space="preserve">inextricably linked to decisions of government.  To not factor </w:t>
      </w:r>
      <w:r w:rsidR="00EF1FC5">
        <w:t xml:space="preserve">in </w:t>
      </w:r>
      <w:r w:rsidRPr="00E809F6">
        <w:t xml:space="preserve">any policy decisions would result in implausibly low estimates </w:t>
      </w:r>
      <w:r>
        <w:t xml:space="preserve">of spending </w:t>
      </w:r>
      <w:r w:rsidRPr="00E809F6">
        <w:t xml:space="preserve">over the next decade.  </w:t>
      </w:r>
    </w:p>
    <w:p w:rsidR="0053015E" w:rsidRDefault="0053015E" w:rsidP="0029340A">
      <w:pPr>
        <w:pStyle w:val="BodyText"/>
      </w:pPr>
      <w:r>
        <w:t>Departmental expenses have been excluded from modelled programs</w:t>
      </w:r>
      <w:r w:rsidR="002A041F">
        <w:t>,</w:t>
      </w:r>
      <w:r>
        <w:t xml:space="preserve"> except in the cases of </w:t>
      </w:r>
      <w:r w:rsidR="002A041F">
        <w:t>d</w:t>
      </w:r>
      <w:r>
        <w:t>efence spending and the NDIS where departmental costs are an integral part of the program.</w:t>
      </w:r>
    </w:p>
    <w:p w:rsidR="00A82125" w:rsidRDefault="0053015E" w:rsidP="0029340A">
      <w:pPr>
        <w:pStyle w:val="BodyText"/>
      </w:pPr>
      <w:r>
        <w:t>Details of the methodology used to arrive at projections for individual programs are outlined in the table below.</w:t>
      </w:r>
    </w:p>
    <w:p w:rsidR="00A82125" w:rsidRDefault="00A82125" w:rsidP="0029340A">
      <w:pPr>
        <w:pStyle w:val="BodyText"/>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1965"/>
        <w:gridCol w:w="2938"/>
        <w:gridCol w:w="4170"/>
      </w:tblGrid>
      <w:tr w:rsidR="0053015E" w:rsidRPr="002A041F" w:rsidTr="00E31F3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tcBorders>
              <w:bottom w:val="none" w:sz="0" w:space="0" w:color="auto"/>
            </w:tcBorders>
            <w:shd w:val="clear" w:color="auto" w:fill="3D4D7D" w:themeFill="background2"/>
            <w:hideMark/>
          </w:tcPr>
          <w:p w:rsidR="0053015E" w:rsidRPr="002A041F" w:rsidRDefault="0053015E" w:rsidP="0029340A">
            <w:pPr>
              <w:pStyle w:val="TableHeading"/>
              <w:rPr>
                <w:szCs w:val="20"/>
              </w:rPr>
            </w:pPr>
            <w:r w:rsidRPr="002A041F">
              <w:rPr>
                <w:szCs w:val="20"/>
              </w:rPr>
              <w:t xml:space="preserve">Model </w:t>
            </w:r>
          </w:p>
        </w:tc>
        <w:tc>
          <w:tcPr>
            <w:tcW w:w="1619" w:type="pct"/>
            <w:tcBorders>
              <w:bottom w:val="none" w:sz="0" w:space="0" w:color="auto"/>
            </w:tcBorders>
            <w:shd w:val="clear" w:color="auto" w:fill="3D4D7D" w:themeFill="background2"/>
            <w:hideMark/>
          </w:tcPr>
          <w:p w:rsidR="0053015E" w:rsidRPr="002A041F" w:rsidRDefault="0053015E" w:rsidP="0029340A">
            <w:pPr>
              <w:pStyle w:val="TableHeading"/>
              <w:cnfStyle w:val="100000000000" w:firstRow="1" w:lastRow="0" w:firstColumn="0" w:lastColumn="0" w:oddVBand="0" w:evenVBand="0" w:oddHBand="0" w:evenHBand="0" w:firstRowFirstColumn="0" w:firstRowLastColumn="0" w:lastRowFirstColumn="0" w:lastRowLastColumn="0"/>
              <w:rPr>
                <w:szCs w:val="20"/>
              </w:rPr>
            </w:pPr>
            <w:r w:rsidRPr="002A041F">
              <w:rPr>
                <w:szCs w:val="20"/>
              </w:rPr>
              <w:t xml:space="preserve">Description </w:t>
            </w:r>
          </w:p>
        </w:tc>
        <w:tc>
          <w:tcPr>
            <w:tcW w:w="2298" w:type="pct"/>
            <w:tcBorders>
              <w:bottom w:val="none" w:sz="0" w:space="0" w:color="auto"/>
            </w:tcBorders>
            <w:shd w:val="clear" w:color="auto" w:fill="3D4D7D" w:themeFill="background2"/>
            <w:hideMark/>
          </w:tcPr>
          <w:p w:rsidR="0053015E" w:rsidRPr="002A041F" w:rsidRDefault="0053015E" w:rsidP="0029340A">
            <w:pPr>
              <w:pStyle w:val="TableHeading"/>
              <w:cnfStyle w:val="100000000000" w:firstRow="1" w:lastRow="0" w:firstColumn="0" w:lastColumn="0" w:oddVBand="0" w:evenVBand="0" w:oddHBand="0" w:evenHBand="0" w:firstRowFirstColumn="0" w:firstRowLastColumn="0" w:lastRowFirstColumn="0" w:lastRowLastColumn="0"/>
              <w:rPr>
                <w:szCs w:val="20"/>
              </w:rPr>
            </w:pPr>
            <w:r w:rsidRPr="002A041F">
              <w:rPr>
                <w:szCs w:val="20"/>
              </w:rPr>
              <w:t>Methodology</w:t>
            </w:r>
          </w:p>
        </w:tc>
      </w:tr>
      <w:tr w:rsidR="0053015E" w:rsidRPr="002A041F" w:rsidTr="00E31F39">
        <w:trPr>
          <w:cantSplit/>
        </w:trPr>
        <w:tc>
          <w:tcPr>
            <w:tcW w:w="1083" w:type="pct"/>
          </w:tcPr>
          <w:p w:rsidR="0053015E" w:rsidRPr="002A041F" w:rsidRDefault="0053015E" w:rsidP="0029340A">
            <w:pPr>
              <w:pStyle w:val="TableSubheading"/>
            </w:pPr>
            <w:r w:rsidRPr="002A041F">
              <w:t>National Disability Insurance Scheme (NDIS)</w:t>
            </w:r>
          </w:p>
        </w:tc>
        <w:tc>
          <w:tcPr>
            <w:tcW w:w="1619" w:type="pct"/>
          </w:tcPr>
          <w:p w:rsidR="0053015E" w:rsidRPr="00A117C9" w:rsidRDefault="0053015E" w:rsidP="00D46E8A">
            <w:pPr>
              <w:rPr>
                <w:color w:val="000000"/>
                <w:szCs w:val="20"/>
              </w:rPr>
            </w:pPr>
            <w:r w:rsidRPr="00A117C9">
              <w:rPr>
                <w:color w:val="000000"/>
                <w:szCs w:val="20"/>
              </w:rPr>
              <w:t>The coverage of the NDIS projections is the administered and departmental spending of the National Disability Insurance Agency</w:t>
            </w:r>
            <w:r w:rsidR="002A041F">
              <w:rPr>
                <w:color w:val="000000"/>
                <w:szCs w:val="20"/>
              </w:rPr>
              <w:t xml:space="preserve"> (NDIA)</w:t>
            </w:r>
            <w:r w:rsidR="00587614">
              <w:rPr>
                <w:color w:val="000000"/>
                <w:szCs w:val="20"/>
              </w:rPr>
              <w:t>.</w:t>
            </w:r>
          </w:p>
        </w:tc>
        <w:tc>
          <w:tcPr>
            <w:tcW w:w="2298" w:type="pct"/>
          </w:tcPr>
          <w:p w:rsidR="0053015E" w:rsidRPr="002A041F" w:rsidRDefault="0053015E" w:rsidP="0029340A">
            <w:pPr>
              <w:pStyle w:val="TableText"/>
              <w:rPr>
                <w:szCs w:val="20"/>
              </w:rPr>
            </w:pPr>
            <w:r w:rsidRPr="002A041F">
              <w:rPr>
                <w:szCs w:val="20"/>
              </w:rPr>
              <w:t>Expenditure projections (in accrual terms) of recipients’ care and support are based on projections of the number of recipients and the average disability package costs of two cohorts, those aged 0</w:t>
            </w:r>
            <w:r w:rsidR="0073484E" w:rsidRPr="002A041F">
              <w:rPr>
                <w:szCs w:val="20"/>
              </w:rPr>
              <w:t>–</w:t>
            </w:r>
            <w:r w:rsidRPr="002A041F">
              <w:rPr>
                <w:szCs w:val="20"/>
              </w:rPr>
              <w:t xml:space="preserve">64 years and those aged 65 years and over.  </w:t>
            </w:r>
          </w:p>
          <w:p w:rsidR="0053015E" w:rsidRPr="002A041F" w:rsidRDefault="0053015E" w:rsidP="0029340A">
            <w:pPr>
              <w:pStyle w:val="TableText"/>
              <w:rPr>
                <w:szCs w:val="20"/>
              </w:rPr>
            </w:pPr>
            <w:r w:rsidRPr="002A041F">
              <w:rPr>
                <w:szCs w:val="20"/>
              </w:rPr>
              <w:t xml:space="preserve">Spending projections (in cash terms) are calculated by applying a ratio of payments to expenses.  From around </w:t>
            </w:r>
            <w:r w:rsidR="00587614" w:rsidRPr="002A041F">
              <w:rPr>
                <w:szCs w:val="20"/>
              </w:rPr>
              <w:t>9</w:t>
            </w:r>
            <w:r w:rsidR="00587614">
              <w:rPr>
                <w:szCs w:val="20"/>
              </w:rPr>
              <w:t>2 </w:t>
            </w:r>
            <w:r w:rsidRPr="002A041F">
              <w:rPr>
                <w:szCs w:val="20"/>
              </w:rPr>
              <w:t>per</w:t>
            </w:r>
            <w:r w:rsidR="002A041F">
              <w:rPr>
                <w:szCs w:val="20"/>
              </w:rPr>
              <w:t> </w:t>
            </w:r>
            <w:r w:rsidRPr="002A041F">
              <w:rPr>
                <w:szCs w:val="20"/>
              </w:rPr>
              <w:t xml:space="preserve">cent by the end of the forward estimates period, this ratio increases to around </w:t>
            </w:r>
            <w:r w:rsidR="00587614" w:rsidRPr="002A041F">
              <w:rPr>
                <w:szCs w:val="20"/>
              </w:rPr>
              <w:t>9</w:t>
            </w:r>
            <w:r w:rsidR="00587614">
              <w:rPr>
                <w:szCs w:val="20"/>
              </w:rPr>
              <w:t>6 </w:t>
            </w:r>
            <w:r w:rsidRPr="002A041F">
              <w:rPr>
                <w:szCs w:val="20"/>
              </w:rPr>
              <w:t>per</w:t>
            </w:r>
            <w:r w:rsidR="002A041F">
              <w:rPr>
                <w:szCs w:val="20"/>
              </w:rPr>
              <w:t> </w:t>
            </w:r>
            <w:r w:rsidRPr="002A041F">
              <w:rPr>
                <w:szCs w:val="20"/>
              </w:rPr>
              <w:t>cent by the end of the medium</w:t>
            </w:r>
            <w:r w:rsidR="002A041F">
              <w:rPr>
                <w:szCs w:val="20"/>
              </w:rPr>
              <w:t xml:space="preserve"> </w:t>
            </w:r>
            <w:r w:rsidRPr="002A041F">
              <w:rPr>
                <w:szCs w:val="20"/>
              </w:rPr>
              <w:t>term</w:t>
            </w:r>
            <w:r w:rsidR="002A041F">
              <w:rPr>
                <w:szCs w:val="20"/>
              </w:rPr>
              <w:t>,</w:t>
            </w:r>
            <w:r w:rsidRPr="002A041F">
              <w:rPr>
                <w:szCs w:val="20"/>
              </w:rPr>
              <w:t xml:space="preserve"> largely reflecting a reduction of in-kind payment arrangements between </w:t>
            </w:r>
            <w:r w:rsidR="002A041F">
              <w:rPr>
                <w:szCs w:val="20"/>
              </w:rPr>
              <w:t>s</w:t>
            </w:r>
            <w:r w:rsidRPr="002A041F">
              <w:rPr>
                <w:szCs w:val="20"/>
              </w:rPr>
              <w:t>tates</w:t>
            </w:r>
            <w:r w:rsidR="002A041F">
              <w:rPr>
                <w:szCs w:val="20"/>
              </w:rPr>
              <w:t xml:space="preserve"> and territories</w:t>
            </w:r>
            <w:r w:rsidRPr="002A041F">
              <w:rPr>
                <w:szCs w:val="20"/>
              </w:rPr>
              <w:t xml:space="preserve"> and the Commonwealth.</w:t>
            </w:r>
          </w:p>
          <w:p w:rsidR="0053015E" w:rsidRPr="002A041F" w:rsidRDefault="0053015E" w:rsidP="002A041F">
            <w:pPr>
              <w:pStyle w:val="TableText"/>
              <w:rPr>
                <w:szCs w:val="20"/>
              </w:rPr>
            </w:pPr>
            <w:r w:rsidRPr="002A041F">
              <w:rPr>
                <w:szCs w:val="20"/>
              </w:rPr>
              <w:t xml:space="preserve">The departmental spending of the NDIA is assumed to be relatively flat over the </w:t>
            </w:r>
            <w:r w:rsidR="0073484E" w:rsidRPr="002A041F">
              <w:rPr>
                <w:szCs w:val="20"/>
              </w:rPr>
              <w:br/>
            </w:r>
            <w:r w:rsidRPr="002A041F">
              <w:rPr>
                <w:szCs w:val="20"/>
              </w:rPr>
              <w:t>medium</w:t>
            </w:r>
            <w:r w:rsidR="002A041F">
              <w:rPr>
                <w:szCs w:val="20"/>
              </w:rPr>
              <w:t xml:space="preserve"> </w:t>
            </w:r>
            <w:r w:rsidRPr="002A041F">
              <w:rPr>
                <w:szCs w:val="20"/>
              </w:rPr>
              <w:t>term.</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2A041F">
            <w:pPr>
              <w:pStyle w:val="TableSubheading"/>
            </w:pPr>
            <w:r w:rsidRPr="002A041F">
              <w:lastRenderedPageBreak/>
              <w:t xml:space="preserve">Aged </w:t>
            </w:r>
            <w:r w:rsidR="002A041F">
              <w:t>c</w:t>
            </w:r>
            <w:r w:rsidRPr="002A041F">
              <w:t>are</w:t>
            </w:r>
          </w:p>
        </w:tc>
        <w:tc>
          <w:tcPr>
            <w:tcW w:w="1619" w:type="pct"/>
          </w:tcPr>
          <w:p w:rsidR="0053015E" w:rsidRPr="00A117C9" w:rsidRDefault="00773CBF" w:rsidP="0029340A">
            <w:pPr>
              <w:rPr>
                <w:color w:val="000000"/>
                <w:szCs w:val="20"/>
              </w:rPr>
            </w:pPr>
            <w:r w:rsidRPr="00A117C9">
              <w:rPr>
                <w:color w:val="000000"/>
                <w:szCs w:val="20"/>
              </w:rPr>
              <w:t>Consists of subsidies for residential care, the Commonwealth Home Support Program</w:t>
            </w:r>
            <w:r w:rsidR="002A041F">
              <w:rPr>
                <w:color w:val="000000"/>
                <w:szCs w:val="20"/>
              </w:rPr>
              <w:t>,</w:t>
            </w:r>
            <w:r w:rsidRPr="00A117C9">
              <w:rPr>
                <w:color w:val="000000"/>
                <w:szCs w:val="20"/>
              </w:rPr>
              <w:t xml:space="preserve"> and subsidies for Home Care Packages.</w:t>
            </w:r>
          </w:p>
        </w:tc>
        <w:tc>
          <w:tcPr>
            <w:tcW w:w="2298" w:type="pct"/>
          </w:tcPr>
          <w:p w:rsidR="0053015E" w:rsidRPr="00A117C9" w:rsidRDefault="0053015E" w:rsidP="0029340A">
            <w:pPr>
              <w:rPr>
                <w:color w:val="000000"/>
                <w:szCs w:val="20"/>
              </w:rPr>
            </w:pPr>
            <w:r w:rsidRPr="00A117C9">
              <w:rPr>
                <w:color w:val="000000"/>
                <w:szCs w:val="20"/>
              </w:rPr>
              <w:t>The number of subsidised aged care places follows Government policy to provide 125</w:t>
            </w:r>
            <w:r w:rsidR="002A041F">
              <w:rPr>
                <w:color w:val="000000"/>
                <w:szCs w:val="20"/>
              </w:rPr>
              <w:t> </w:t>
            </w:r>
            <w:r w:rsidRPr="00A117C9">
              <w:rPr>
                <w:color w:val="000000"/>
                <w:szCs w:val="20"/>
              </w:rPr>
              <w:t>aged care places per 1,000</w:t>
            </w:r>
            <w:r w:rsidR="002A041F">
              <w:rPr>
                <w:color w:val="000000"/>
                <w:szCs w:val="20"/>
              </w:rPr>
              <w:t> </w:t>
            </w:r>
            <w:r w:rsidRPr="00A117C9">
              <w:rPr>
                <w:color w:val="000000"/>
                <w:szCs w:val="20"/>
              </w:rPr>
              <w:t>persons aged over 70</w:t>
            </w:r>
            <w:r w:rsidR="002A041F">
              <w:rPr>
                <w:color w:val="000000"/>
                <w:szCs w:val="20"/>
              </w:rPr>
              <w:t> </w:t>
            </w:r>
            <w:r w:rsidRPr="00A117C9">
              <w:rPr>
                <w:color w:val="000000"/>
                <w:szCs w:val="20"/>
              </w:rPr>
              <w:t>years by 2021</w:t>
            </w:r>
            <w:r w:rsidR="00961EA1" w:rsidRPr="002A041F">
              <w:rPr>
                <w:szCs w:val="20"/>
              </w:rPr>
              <w:t>–</w:t>
            </w:r>
            <w:r w:rsidRPr="00A117C9">
              <w:rPr>
                <w:color w:val="000000"/>
                <w:szCs w:val="20"/>
              </w:rPr>
              <w:t>22 and maintains this ratio beyond 2021</w:t>
            </w:r>
            <w:r w:rsidR="00961EA1" w:rsidRPr="00A117C9">
              <w:rPr>
                <w:color w:val="000000"/>
                <w:szCs w:val="20"/>
              </w:rPr>
              <w:t>–</w:t>
            </w:r>
            <w:r w:rsidRPr="00A117C9">
              <w:rPr>
                <w:color w:val="000000"/>
                <w:szCs w:val="20"/>
              </w:rPr>
              <w:t xml:space="preserve">22. </w:t>
            </w:r>
            <w:r w:rsidR="002A041F">
              <w:rPr>
                <w:color w:val="000000"/>
                <w:szCs w:val="20"/>
              </w:rPr>
              <w:t xml:space="preserve"> </w:t>
            </w:r>
            <w:r w:rsidRPr="00A117C9">
              <w:rPr>
                <w:color w:val="000000"/>
                <w:szCs w:val="20"/>
              </w:rPr>
              <w:t>The value of residential care and home care packages subsidies are assumed</w:t>
            </w:r>
            <w:r w:rsidR="002A041F">
              <w:rPr>
                <w:color w:val="000000"/>
                <w:szCs w:val="20"/>
              </w:rPr>
              <w:t>,</w:t>
            </w:r>
            <w:r w:rsidRPr="00A117C9">
              <w:rPr>
                <w:color w:val="000000"/>
                <w:szCs w:val="20"/>
              </w:rPr>
              <w:t xml:space="preserve"> by the PBO</w:t>
            </w:r>
            <w:r w:rsidR="002A041F">
              <w:rPr>
                <w:color w:val="000000"/>
                <w:szCs w:val="20"/>
              </w:rPr>
              <w:t>,</w:t>
            </w:r>
            <w:r w:rsidRPr="00A117C9">
              <w:rPr>
                <w:color w:val="000000"/>
                <w:szCs w:val="20"/>
              </w:rPr>
              <w:t xml:space="preserve"> to grow by the growth in wages beyond the forward estimates period.  </w:t>
            </w:r>
          </w:p>
          <w:p w:rsidR="0053015E" w:rsidRPr="00A117C9" w:rsidRDefault="0053015E" w:rsidP="002A041F">
            <w:pPr>
              <w:rPr>
                <w:color w:val="000000"/>
                <w:szCs w:val="20"/>
              </w:rPr>
            </w:pPr>
            <w:r w:rsidRPr="00A117C9">
              <w:rPr>
                <w:color w:val="000000"/>
                <w:szCs w:val="20"/>
              </w:rPr>
              <w:t>The Commonwealth Home Support Program is an annual appropriation projected to grow at a wage cost index plus 3.5</w:t>
            </w:r>
            <w:r w:rsidR="002A041F">
              <w:rPr>
                <w:color w:val="000000"/>
                <w:szCs w:val="20"/>
              </w:rPr>
              <w:t> </w:t>
            </w:r>
            <w:r w:rsidRPr="00A117C9">
              <w:rPr>
                <w:color w:val="000000"/>
                <w:szCs w:val="20"/>
              </w:rPr>
              <w:t>per</w:t>
            </w:r>
            <w:r w:rsidR="002A041F">
              <w:rPr>
                <w:color w:val="000000"/>
                <w:szCs w:val="20"/>
              </w:rPr>
              <w:t> </w:t>
            </w:r>
            <w:r w:rsidRPr="00A117C9">
              <w:rPr>
                <w:color w:val="000000"/>
                <w:szCs w:val="20"/>
              </w:rPr>
              <w:t xml:space="preserve">cent (in line with the aged care measure announced in the </w:t>
            </w:r>
            <w:r w:rsidR="009D04E4" w:rsidRPr="00A117C9">
              <w:rPr>
                <w:color w:val="000000"/>
                <w:szCs w:val="20"/>
              </w:rPr>
              <w:br/>
            </w:r>
            <w:r w:rsidRPr="00A117C9">
              <w:rPr>
                <w:color w:val="000000"/>
                <w:szCs w:val="20"/>
              </w:rPr>
              <w:t>2014</w:t>
            </w:r>
            <w:r w:rsidR="00961EA1" w:rsidRPr="00A117C9">
              <w:rPr>
                <w:color w:val="000000"/>
                <w:szCs w:val="20"/>
              </w:rPr>
              <w:t>–</w:t>
            </w:r>
            <w:r w:rsidRPr="00A117C9">
              <w:rPr>
                <w:color w:val="000000"/>
                <w:szCs w:val="20"/>
              </w:rPr>
              <w:t>15 Budget).</w:t>
            </w:r>
          </w:p>
        </w:tc>
      </w:tr>
      <w:tr w:rsidR="0053015E" w:rsidRPr="002A041F" w:rsidTr="00E31F39">
        <w:trPr>
          <w:cantSplit/>
        </w:trPr>
        <w:tc>
          <w:tcPr>
            <w:tcW w:w="1083" w:type="pct"/>
          </w:tcPr>
          <w:p w:rsidR="0053015E" w:rsidRPr="002A041F" w:rsidRDefault="0053015E" w:rsidP="002A041F">
            <w:pPr>
              <w:pStyle w:val="TableSubheading"/>
            </w:pPr>
            <w:r w:rsidRPr="002A041F">
              <w:t xml:space="preserve">Child </w:t>
            </w:r>
            <w:r w:rsidR="002A041F">
              <w:t>c</w:t>
            </w:r>
            <w:r w:rsidRPr="002A041F">
              <w:t>are</w:t>
            </w:r>
          </w:p>
        </w:tc>
        <w:tc>
          <w:tcPr>
            <w:tcW w:w="1619" w:type="pct"/>
          </w:tcPr>
          <w:p w:rsidR="0053015E" w:rsidRPr="00A117C9" w:rsidRDefault="00074485" w:rsidP="00D46E8A">
            <w:pPr>
              <w:rPr>
                <w:color w:val="000000"/>
                <w:szCs w:val="20"/>
              </w:rPr>
            </w:pPr>
            <w:r w:rsidRPr="00A117C9">
              <w:rPr>
                <w:color w:val="000000"/>
                <w:szCs w:val="20"/>
              </w:rPr>
              <w:t>Includes the Child Care Subsidy</w:t>
            </w:r>
            <w:r w:rsidR="002A041F">
              <w:rPr>
                <w:color w:val="000000"/>
                <w:szCs w:val="20"/>
              </w:rPr>
              <w:t xml:space="preserve"> (CCS)</w:t>
            </w:r>
            <w:r w:rsidR="00587614">
              <w:rPr>
                <w:color w:val="000000"/>
                <w:szCs w:val="20"/>
              </w:rPr>
              <w:t>.</w:t>
            </w:r>
          </w:p>
        </w:tc>
        <w:tc>
          <w:tcPr>
            <w:tcW w:w="2298" w:type="pct"/>
          </w:tcPr>
          <w:p w:rsidR="0053015E" w:rsidRPr="00A117C9" w:rsidRDefault="0053015E" w:rsidP="0029340A">
            <w:pPr>
              <w:rPr>
                <w:rFonts w:cs="Times New Roman (Body CS)"/>
                <w:color w:val="000000"/>
                <w:szCs w:val="20"/>
              </w:rPr>
            </w:pPr>
            <w:r w:rsidRPr="00A117C9">
              <w:rPr>
                <w:rFonts w:cs="Times New Roman (Body CS)"/>
                <w:color w:val="000000"/>
                <w:szCs w:val="20"/>
              </w:rPr>
              <w:t xml:space="preserve">The number of recipients of the </w:t>
            </w:r>
            <w:r w:rsidR="002A041F">
              <w:rPr>
                <w:rFonts w:cs="Times New Roman (Body CS)"/>
                <w:color w:val="000000"/>
                <w:szCs w:val="20"/>
              </w:rPr>
              <w:t>CCS</w:t>
            </w:r>
            <w:r w:rsidRPr="00A117C9">
              <w:rPr>
                <w:rFonts w:cs="Times New Roman (Body CS)"/>
                <w:color w:val="000000"/>
                <w:szCs w:val="20"/>
              </w:rPr>
              <w:t xml:space="preserve"> is projected based on the rate of population growth of young children plus an additional growth factor (based on historical data) </w:t>
            </w:r>
            <w:r w:rsidR="00587614">
              <w:rPr>
                <w:rFonts w:cs="Times New Roman (Body CS)"/>
                <w:color w:val="000000"/>
                <w:szCs w:val="20"/>
              </w:rPr>
              <w:t>to account for usage growing</w:t>
            </w:r>
            <w:r w:rsidRPr="00A117C9">
              <w:rPr>
                <w:rFonts w:cs="Times New Roman (Body CS)"/>
                <w:color w:val="000000"/>
                <w:szCs w:val="20"/>
              </w:rPr>
              <w:t xml:space="preserve"> faster than </w:t>
            </w:r>
            <w:r w:rsidR="00587614">
              <w:rPr>
                <w:rFonts w:cs="Times New Roman (Body CS)"/>
                <w:color w:val="000000"/>
                <w:szCs w:val="20"/>
              </w:rPr>
              <w:t xml:space="preserve">the </w:t>
            </w:r>
            <w:r w:rsidRPr="00A117C9">
              <w:rPr>
                <w:rFonts w:cs="Times New Roman (Body CS)"/>
                <w:color w:val="000000"/>
                <w:szCs w:val="20"/>
              </w:rPr>
              <w:t xml:space="preserve">eligible population.  </w:t>
            </w:r>
          </w:p>
          <w:p w:rsidR="0053015E" w:rsidRPr="00A117C9" w:rsidRDefault="00074485" w:rsidP="0029340A">
            <w:pPr>
              <w:rPr>
                <w:rFonts w:cs="Times New Roman (Body CS)"/>
                <w:color w:val="000000"/>
                <w:szCs w:val="20"/>
              </w:rPr>
            </w:pPr>
            <w:r w:rsidRPr="00A117C9">
              <w:rPr>
                <w:rFonts w:cs="Times New Roman (Body CS)"/>
                <w:color w:val="000000"/>
                <w:szCs w:val="20"/>
              </w:rPr>
              <w:t>Child care prices are projected to grow in line with recent historical trends in child care fees, adjusted to account for the impact of the fee cap.</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29340A">
            <w:pPr>
              <w:pStyle w:val="TableSubheading"/>
            </w:pPr>
            <w:r w:rsidRPr="002A041F">
              <w:t>Defence spending</w:t>
            </w:r>
          </w:p>
        </w:tc>
        <w:tc>
          <w:tcPr>
            <w:tcW w:w="1619" w:type="pct"/>
          </w:tcPr>
          <w:p w:rsidR="0053015E" w:rsidRPr="00A117C9" w:rsidRDefault="0053015E" w:rsidP="00295D49">
            <w:pPr>
              <w:rPr>
                <w:color w:val="000000"/>
                <w:szCs w:val="20"/>
              </w:rPr>
            </w:pPr>
            <w:r w:rsidRPr="00A117C9">
              <w:rPr>
                <w:color w:val="000000"/>
                <w:szCs w:val="20"/>
              </w:rPr>
              <w:t xml:space="preserve">The net cost of service for the Department of Defence </w:t>
            </w:r>
            <w:r w:rsidR="001E1361" w:rsidRPr="00A117C9">
              <w:rPr>
                <w:color w:val="000000"/>
                <w:szCs w:val="20"/>
              </w:rPr>
              <w:t>(</w:t>
            </w:r>
            <w:r w:rsidR="00295D49" w:rsidRPr="00A117C9">
              <w:rPr>
                <w:color w:val="000000"/>
                <w:szCs w:val="20"/>
              </w:rPr>
              <w:t>ex</w:t>
            </w:r>
            <w:r w:rsidR="001E1361" w:rsidRPr="00A117C9">
              <w:rPr>
                <w:color w:val="000000"/>
                <w:szCs w:val="20"/>
              </w:rPr>
              <w:t>cluding the Australian Signals Directorate)</w:t>
            </w:r>
            <w:r w:rsidR="002A041F">
              <w:rPr>
                <w:color w:val="000000"/>
                <w:szCs w:val="20"/>
              </w:rPr>
              <w:t>,</w:t>
            </w:r>
            <w:r w:rsidR="001E1361" w:rsidRPr="00A117C9">
              <w:rPr>
                <w:color w:val="000000"/>
                <w:szCs w:val="20"/>
              </w:rPr>
              <w:t xml:space="preserve"> </w:t>
            </w:r>
            <w:r w:rsidRPr="00A117C9">
              <w:rPr>
                <w:color w:val="000000"/>
                <w:szCs w:val="20"/>
              </w:rPr>
              <w:t>including employee costs, supplies</w:t>
            </w:r>
            <w:r w:rsidR="002A041F">
              <w:rPr>
                <w:color w:val="000000"/>
                <w:szCs w:val="20"/>
              </w:rPr>
              <w:t>,</w:t>
            </w:r>
            <w:r w:rsidRPr="00A117C9">
              <w:rPr>
                <w:color w:val="000000"/>
                <w:szCs w:val="20"/>
              </w:rPr>
              <w:t xml:space="preserve"> and purchases of capital including specialist military equipment.</w:t>
            </w:r>
          </w:p>
        </w:tc>
        <w:tc>
          <w:tcPr>
            <w:tcW w:w="2298" w:type="pct"/>
          </w:tcPr>
          <w:p w:rsidR="00B96F75" w:rsidRPr="00A117C9" w:rsidRDefault="00B96F75" w:rsidP="0029340A">
            <w:pPr>
              <w:rPr>
                <w:rFonts w:cs="Times New Roman (Body CS)"/>
                <w:color w:val="000000"/>
                <w:szCs w:val="20"/>
              </w:rPr>
            </w:pPr>
            <w:r w:rsidRPr="00A117C9">
              <w:rPr>
                <w:rFonts w:cs="Times New Roman (Body CS)"/>
                <w:color w:val="000000"/>
                <w:szCs w:val="20"/>
              </w:rPr>
              <w:t>Projections of defence spending over the medium term are based on long-term funding commitments to 2025</w:t>
            </w:r>
            <w:r w:rsidR="00961EA1" w:rsidRPr="00A117C9">
              <w:rPr>
                <w:rFonts w:cs="Times New Roman (Body CS)"/>
                <w:color w:val="000000"/>
                <w:szCs w:val="20"/>
              </w:rPr>
              <w:t>–</w:t>
            </w:r>
            <w:r w:rsidRPr="00A117C9">
              <w:rPr>
                <w:rFonts w:cs="Times New Roman (Body CS)"/>
                <w:color w:val="000000"/>
                <w:szCs w:val="20"/>
              </w:rPr>
              <w:t>26 made in the 2016</w:t>
            </w:r>
            <w:r w:rsidR="002A041F">
              <w:rPr>
                <w:rFonts w:cs="Times New Roman (Body CS)"/>
                <w:color w:val="000000"/>
                <w:szCs w:val="20"/>
              </w:rPr>
              <w:t> </w:t>
            </w:r>
            <w:r w:rsidRPr="00A117C9">
              <w:rPr>
                <w:rFonts w:cs="Times New Roman (Body CS)"/>
                <w:color w:val="000000"/>
                <w:szCs w:val="20"/>
              </w:rPr>
              <w:t>Defence White Paper</w:t>
            </w:r>
            <w:r w:rsidR="002A041F">
              <w:rPr>
                <w:rFonts w:cs="Times New Roman (Body CS)"/>
                <w:color w:val="000000"/>
                <w:szCs w:val="20"/>
              </w:rPr>
              <w:t>,</w:t>
            </w:r>
            <w:r w:rsidRPr="00A117C9">
              <w:rPr>
                <w:rFonts w:cs="Times New Roman (Body CS)"/>
                <w:color w:val="000000"/>
                <w:szCs w:val="20"/>
              </w:rPr>
              <w:t xml:space="preserve"> updated for developments in subsequent budgets. </w:t>
            </w:r>
          </w:p>
          <w:p w:rsidR="0053015E" w:rsidRPr="00A117C9" w:rsidRDefault="00B96F75" w:rsidP="002A041F">
            <w:pPr>
              <w:rPr>
                <w:color w:val="000000"/>
                <w:szCs w:val="20"/>
              </w:rPr>
            </w:pPr>
            <w:r w:rsidRPr="00A117C9">
              <w:rPr>
                <w:rFonts w:cs="Times New Roman (Body CS)"/>
                <w:color w:val="000000"/>
                <w:szCs w:val="20"/>
              </w:rPr>
              <w:t>From 2026</w:t>
            </w:r>
            <w:r w:rsidR="00961EA1" w:rsidRPr="00A117C9">
              <w:rPr>
                <w:rFonts w:cs="Times New Roman (Body CS)"/>
                <w:color w:val="000000"/>
                <w:szCs w:val="20"/>
              </w:rPr>
              <w:t>–</w:t>
            </w:r>
            <w:r w:rsidRPr="00A117C9">
              <w:rPr>
                <w:rFonts w:cs="Times New Roman (Body CS)"/>
                <w:color w:val="000000"/>
                <w:szCs w:val="20"/>
              </w:rPr>
              <w:t xml:space="preserve">27 the PBO has assumed growth in </w:t>
            </w:r>
            <w:r w:rsidR="002A041F">
              <w:rPr>
                <w:rFonts w:cs="Times New Roman (Body CS)"/>
                <w:color w:val="000000"/>
                <w:szCs w:val="20"/>
              </w:rPr>
              <w:t>d</w:t>
            </w:r>
            <w:r w:rsidRPr="00A117C9">
              <w:rPr>
                <w:rFonts w:cs="Times New Roman (Body CS)"/>
                <w:color w:val="000000"/>
                <w:szCs w:val="20"/>
              </w:rPr>
              <w:t>efence spending</w:t>
            </w:r>
            <w:r w:rsidR="00792DDA" w:rsidRPr="00A117C9">
              <w:rPr>
                <w:rFonts w:cs="Times New Roman (Body CS)"/>
                <w:color w:val="000000"/>
                <w:szCs w:val="20"/>
              </w:rPr>
              <w:t xml:space="preserve"> is maintained at the 2025</w:t>
            </w:r>
            <w:r w:rsidR="00961EA1" w:rsidRPr="00A117C9">
              <w:rPr>
                <w:rFonts w:cs="Times New Roman (Body CS)"/>
                <w:color w:val="000000"/>
                <w:szCs w:val="20"/>
              </w:rPr>
              <w:t>–</w:t>
            </w:r>
            <w:r w:rsidR="00792DDA" w:rsidRPr="00A117C9">
              <w:rPr>
                <w:rFonts w:cs="Times New Roman (Body CS)"/>
                <w:color w:val="000000"/>
                <w:szCs w:val="20"/>
              </w:rPr>
              <w:t>26 rate</w:t>
            </w:r>
            <w:r w:rsidRPr="00A117C9">
              <w:rPr>
                <w:rFonts w:cs="Times New Roman (Body CS)"/>
                <w:color w:val="000000"/>
                <w:szCs w:val="20"/>
              </w:rPr>
              <w:t>.</w:t>
            </w:r>
          </w:p>
        </w:tc>
      </w:tr>
      <w:tr w:rsidR="0053015E" w:rsidRPr="002A041F" w:rsidTr="00E31F39">
        <w:trPr>
          <w:cantSplit/>
        </w:trPr>
        <w:tc>
          <w:tcPr>
            <w:tcW w:w="1083" w:type="pct"/>
          </w:tcPr>
          <w:p w:rsidR="0053015E" w:rsidRPr="002A041F" w:rsidRDefault="0053015E" w:rsidP="0029340A">
            <w:pPr>
              <w:pStyle w:val="TableSubheading"/>
            </w:pPr>
            <w:r w:rsidRPr="002A041F">
              <w:t>Schools</w:t>
            </w:r>
          </w:p>
        </w:tc>
        <w:tc>
          <w:tcPr>
            <w:tcW w:w="1619" w:type="pct"/>
          </w:tcPr>
          <w:p w:rsidR="0053015E" w:rsidRPr="00A117C9" w:rsidRDefault="00EC6FDB" w:rsidP="00D46E8A">
            <w:pPr>
              <w:rPr>
                <w:rFonts w:cs="Times New Roman (Body CS)"/>
                <w:color w:val="000000"/>
                <w:szCs w:val="20"/>
              </w:rPr>
            </w:pPr>
            <w:r w:rsidRPr="00A117C9">
              <w:rPr>
                <w:rFonts w:cs="Times New Roman (Body CS)"/>
                <w:color w:val="000000"/>
                <w:szCs w:val="20"/>
              </w:rPr>
              <w:t xml:space="preserve">Comprises the Quality Schools National Specific Purpose Payment from the Commonwealth to states </w:t>
            </w:r>
            <w:r w:rsidR="00961EA1" w:rsidRPr="00A117C9">
              <w:rPr>
                <w:rFonts w:cs="Times New Roman (Body CS)"/>
                <w:color w:val="000000"/>
                <w:szCs w:val="20"/>
              </w:rPr>
              <w:br/>
            </w:r>
            <w:r w:rsidRPr="00A117C9">
              <w:rPr>
                <w:rFonts w:cs="Times New Roman (Body CS)"/>
                <w:color w:val="000000"/>
                <w:szCs w:val="20"/>
              </w:rPr>
              <w:t>and territories</w:t>
            </w:r>
            <w:r w:rsidR="00961EA1" w:rsidRPr="00A117C9">
              <w:rPr>
                <w:rFonts w:cs="Times New Roman (Body CS)"/>
                <w:color w:val="000000"/>
                <w:szCs w:val="20"/>
              </w:rPr>
              <w:br/>
            </w:r>
            <w:r w:rsidRPr="00A117C9">
              <w:rPr>
                <w:rFonts w:cs="Times New Roman (Body CS)"/>
                <w:color w:val="000000"/>
                <w:szCs w:val="20"/>
              </w:rPr>
              <w:t>for government</w:t>
            </w:r>
            <w:r w:rsidR="00295D49" w:rsidRPr="00A117C9">
              <w:rPr>
                <w:rFonts w:cs="Times New Roman (Body CS)"/>
                <w:color w:val="000000"/>
                <w:szCs w:val="20"/>
              </w:rPr>
              <w:t xml:space="preserve"> and </w:t>
            </w:r>
            <w:r w:rsidR="00961EA1" w:rsidRPr="00A117C9">
              <w:rPr>
                <w:rFonts w:cs="Times New Roman (Body CS)"/>
                <w:color w:val="000000"/>
                <w:szCs w:val="20"/>
              </w:rPr>
              <w:br/>
            </w:r>
            <w:r w:rsidR="00295D49" w:rsidRPr="00A117C9">
              <w:rPr>
                <w:rFonts w:cs="Times New Roman (Body CS)"/>
                <w:color w:val="000000"/>
                <w:szCs w:val="20"/>
              </w:rPr>
              <w:t>non</w:t>
            </w:r>
            <w:r w:rsidR="00295D49" w:rsidRPr="00A117C9">
              <w:rPr>
                <w:rFonts w:cs="Times New Roman (Body CS)"/>
                <w:color w:val="000000"/>
                <w:szCs w:val="20"/>
              </w:rPr>
              <w:noBreakHyphen/>
              <w:t>government</w:t>
            </w:r>
            <w:r w:rsidRPr="00A117C9">
              <w:rPr>
                <w:rFonts w:cs="Times New Roman (Body CS)"/>
                <w:color w:val="000000"/>
                <w:szCs w:val="20"/>
              </w:rPr>
              <w:t xml:space="preserve"> schools.</w:t>
            </w:r>
          </w:p>
        </w:tc>
        <w:tc>
          <w:tcPr>
            <w:tcW w:w="2298" w:type="pct"/>
          </w:tcPr>
          <w:p w:rsidR="00B96F75" w:rsidRPr="00A117C9" w:rsidRDefault="009D04E4" w:rsidP="0029340A">
            <w:pPr>
              <w:rPr>
                <w:color w:val="000000"/>
                <w:szCs w:val="20"/>
              </w:rPr>
            </w:pPr>
            <w:r w:rsidRPr="00A117C9">
              <w:rPr>
                <w:color w:val="000000"/>
                <w:szCs w:val="20"/>
              </w:rPr>
              <w:t xml:space="preserve">Projections are based on the </w:t>
            </w:r>
            <w:r w:rsidR="00B96F75" w:rsidRPr="00A117C9">
              <w:rPr>
                <w:color w:val="000000"/>
                <w:szCs w:val="20"/>
              </w:rPr>
              <w:t xml:space="preserve">Quality Schools policy as legislated under the </w:t>
            </w:r>
            <w:r w:rsidR="00B96F75" w:rsidRPr="00A117C9">
              <w:rPr>
                <w:i/>
                <w:color w:val="000000"/>
                <w:szCs w:val="20"/>
              </w:rPr>
              <w:t>Australian Education Act 2013</w:t>
            </w:r>
            <w:r w:rsidR="00B96F75" w:rsidRPr="00A117C9">
              <w:rPr>
                <w:color w:val="000000"/>
                <w:szCs w:val="20"/>
              </w:rPr>
              <w:t>.</w:t>
            </w:r>
            <w:r w:rsidR="00C9003C">
              <w:rPr>
                <w:color w:val="000000"/>
                <w:szCs w:val="20"/>
              </w:rPr>
              <w:t xml:space="preserve"> </w:t>
            </w:r>
            <w:r w:rsidR="00B96F75" w:rsidRPr="00A117C9">
              <w:rPr>
                <w:color w:val="000000"/>
                <w:szCs w:val="20"/>
              </w:rPr>
              <w:t xml:space="preserve"> </w:t>
            </w:r>
            <w:r w:rsidR="00295D49" w:rsidRPr="00A117C9">
              <w:rPr>
                <w:color w:val="000000"/>
                <w:szCs w:val="20"/>
              </w:rPr>
              <w:t xml:space="preserve">This was further enhanced through the legislation of the </w:t>
            </w:r>
            <w:r w:rsidR="00295D49" w:rsidRPr="00A117C9">
              <w:rPr>
                <w:i/>
                <w:color w:val="000000"/>
                <w:szCs w:val="20"/>
              </w:rPr>
              <w:t>Australian Education Amendment Act 2017</w:t>
            </w:r>
            <w:r w:rsidR="00295D49" w:rsidRPr="00A117C9">
              <w:rPr>
                <w:color w:val="000000"/>
                <w:szCs w:val="20"/>
              </w:rPr>
              <w:t xml:space="preserve">, which introduced, amongst other reform measures, a new method for calculating a school communities’ capacity to contribute based on a direct measure of income and additional funding to assist transition for non-government schools.  </w:t>
            </w:r>
            <w:r w:rsidR="00B96F75" w:rsidRPr="00A117C9">
              <w:rPr>
                <w:color w:val="000000"/>
                <w:szCs w:val="20"/>
              </w:rPr>
              <w:t>Schools are funded by a per</w:t>
            </w:r>
            <w:r w:rsidR="00C9003C">
              <w:rPr>
                <w:color w:val="000000"/>
                <w:szCs w:val="20"/>
              </w:rPr>
              <w:t>-</w:t>
            </w:r>
            <w:r w:rsidR="00B96F75" w:rsidRPr="00A117C9">
              <w:rPr>
                <w:color w:val="000000"/>
                <w:szCs w:val="20"/>
              </w:rPr>
              <w:t>student amount based on the Schooling Resource Standard and additional amounts for six loadings that reflect the student profile</w:t>
            </w:r>
            <w:r w:rsidR="00C9003C">
              <w:rPr>
                <w:color w:val="000000"/>
                <w:szCs w:val="20"/>
              </w:rPr>
              <w:t>,</w:t>
            </w:r>
            <w:r w:rsidR="00B96F75" w:rsidRPr="00A117C9">
              <w:rPr>
                <w:color w:val="000000"/>
                <w:szCs w:val="20"/>
              </w:rPr>
              <w:t xml:space="preserve"> location and size of the school. </w:t>
            </w:r>
          </w:p>
          <w:p w:rsidR="0053015E" w:rsidRPr="00A117C9" w:rsidRDefault="00B96F75" w:rsidP="00C9003C">
            <w:pPr>
              <w:rPr>
                <w:color w:val="000000"/>
                <w:szCs w:val="20"/>
              </w:rPr>
            </w:pPr>
            <w:r w:rsidRPr="00A117C9">
              <w:rPr>
                <w:color w:val="000000"/>
                <w:szCs w:val="20"/>
              </w:rPr>
              <w:t xml:space="preserve">Schools expenditure over the medium term is calculated based on achieving target levels of the funding as </w:t>
            </w:r>
            <w:r w:rsidR="00C9003C">
              <w:rPr>
                <w:color w:val="000000"/>
                <w:szCs w:val="20"/>
              </w:rPr>
              <w:t xml:space="preserve">a </w:t>
            </w:r>
            <w:r w:rsidRPr="00A117C9">
              <w:rPr>
                <w:color w:val="000000"/>
                <w:szCs w:val="20"/>
              </w:rPr>
              <w:t xml:space="preserve">share of the </w:t>
            </w:r>
            <w:r w:rsidR="00C9003C" w:rsidRPr="009D3DC4">
              <w:rPr>
                <w:color w:val="000000"/>
                <w:szCs w:val="20"/>
              </w:rPr>
              <w:t>Schooling Resource Standard</w:t>
            </w:r>
            <w:r w:rsidRPr="00A117C9">
              <w:rPr>
                <w:color w:val="000000"/>
                <w:szCs w:val="20"/>
              </w:rPr>
              <w:t xml:space="preserve"> </w:t>
            </w:r>
            <w:r w:rsidR="00295D49" w:rsidRPr="00A117C9">
              <w:rPr>
                <w:color w:val="000000"/>
                <w:szCs w:val="20"/>
              </w:rPr>
              <w:t>by</w:t>
            </w:r>
            <w:r w:rsidRPr="00A117C9">
              <w:rPr>
                <w:color w:val="000000"/>
                <w:szCs w:val="20"/>
              </w:rPr>
              <w:t xml:space="preserve"> 202</w:t>
            </w:r>
            <w:r w:rsidR="00295D49" w:rsidRPr="00A117C9">
              <w:rPr>
                <w:color w:val="000000"/>
                <w:szCs w:val="20"/>
              </w:rPr>
              <w:t>9</w:t>
            </w:r>
            <w:r w:rsidRPr="00A117C9">
              <w:rPr>
                <w:color w:val="000000"/>
                <w:szCs w:val="20"/>
              </w:rPr>
              <w:t xml:space="preserve">. </w:t>
            </w:r>
            <w:r w:rsidR="00C9003C">
              <w:rPr>
                <w:color w:val="000000"/>
                <w:szCs w:val="20"/>
              </w:rPr>
              <w:t xml:space="preserve"> </w:t>
            </w:r>
            <w:r w:rsidRPr="00A117C9">
              <w:rPr>
                <w:color w:val="000000"/>
                <w:szCs w:val="20"/>
              </w:rPr>
              <w:t xml:space="preserve">The target for non-government schools (Catholic and </w:t>
            </w:r>
            <w:r w:rsidR="00C9003C">
              <w:rPr>
                <w:color w:val="000000"/>
                <w:szCs w:val="20"/>
              </w:rPr>
              <w:t>i</w:t>
            </w:r>
            <w:r w:rsidR="00C9003C" w:rsidRPr="00A117C9">
              <w:rPr>
                <w:color w:val="000000"/>
                <w:szCs w:val="20"/>
              </w:rPr>
              <w:t>ndependent</w:t>
            </w:r>
            <w:r w:rsidRPr="00A117C9">
              <w:rPr>
                <w:color w:val="000000"/>
                <w:szCs w:val="20"/>
              </w:rPr>
              <w:t>) is 80</w:t>
            </w:r>
            <w:r w:rsidR="00C9003C">
              <w:rPr>
                <w:color w:val="000000"/>
                <w:szCs w:val="20"/>
              </w:rPr>
              <w:t> </w:t>
            </w:r>
            <w:r w:rsidRPr="00A117C9">
              <w:rPr>
                <w:color w:val="000000"/>
                <w:szCs w:val="20"/>
              </w:rPr>
              <w:t>per</w:t>
            </w:r>
            <w:r w:rsidR="00C9003C">
              <w:rPr>
                <w:color w:val="000000"/>
                <w:szCs w:val="20"/>
              </w:rPr>
              <w:t> </w:t>
            </w:r>
            <w:r w:rsidRPr="00A117C9">
              <w:rPr>
                <w:color w:val="000000"/>
                <w:szCs w:val="20"/>
              </w:rPr>
              <w:t xml:space="preserve">cent. </w:t>
            </w:r>
            <w:r w:rsidR="00C9003C">
              <w:rPr>
                <w:color w:val="000000"/>
                <w:szCs w:val="20"/>
              </w:rPr>
              <w:t xml:space="preserve"> </w:t>
            </w:r>
            <w:r w:rsidRPr="00A117C9">
              <w:rPr>
                <w:color w:val="000000"/>
                <w:szCs w:val="20"/>
              </w:rPr>
              <w:t>The target for government schools is 20</w:t>
            </w:r>
            <w:r w:rsidR="00C9003C">
              <w:rPr>
                <w:color w:val="000000"/>
                <w:szCs w:val="20"/>
              </w:rPr>
              <w:t> </w:t>
            </w:r>
            <w:r w:rsidRPr="00A117C9">
              <w:rPr>
                <w:color w:val="000000"/>
                <w:szCs w:val="20"/>
              </w:rPr>
              <w:t>per</w:t>
            </w:r>
            <w:r w:rsidR="00C9003C">
              <w:rPr>
                <w:color w:val="000000"/>
                <w:szCs w:val="20"/>
              </w:rPr>
              <w:t> </w:t>
            </w:r>
            <w:r w:rsidRPr="00A117C9">
              <w:rPr>
                <w:color w:val="000000"/>
                <w:szCs w:val="20"/>
              </w:rPr>
              <w:t>cent.  Schools funded below the target will transition by 2023</w:t>
            </w:r>
            <w:r w:rsidR="00C9003C">
              <w:rPr>
                <w:color w:val="000000"/>
                <w:szCs w:val="20"/>
              </w:rPr>
              <w:t>, while</w:t>
            </w:r>
            <w:r w:rsidRPr="00A117C9">
              <w:rPr>
                <w:color w:val="000000"/>
                <w:szCs w:val="20"/>
              </w:rPr>
              <w:t xml:space="preserve"> those above the target will transition by </w:t>
            </w:r>
            <w:r w:rsidR="00295D49" w:rsidRPr="00A117C9">
              <w:rPr>
                <w:color w:val="000000"/>
                <w:szCs w:val="20"/>
              </w:rPr>
              <w:t>2029</w:t>
            </w:r>
            <w:r w:rsidRPr="00A117C9">
              <w:rPr>
                <w:color w:val="000000"/>
                <w:szCs w:val="20"/>
              </w:rPr>
              <w:t>.</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Height w:val="3428"/>
        </w:trPr>
        <w:tc>
          <w:tcPr>
            <w:tcW w:w="1083" w:type="pct"/>
          </w:tcPr>
          <w:p w:rsidR="0053015E" w:rsidRPr="002A041F" w:rsidRDefault="0053015E" w:rsidP="0029340A">
            <w:pPr>
              <w:pStyle w:val="TableSubheading"/>
            </w:pPr>
            <w:r w:rsidRPr="002A041F">
              <w:lastRenderedPageBreak/>
              <w:t>Payments to individuals</w:t>
            </w:r>
          </w:p>
        </w:tc>
        <w:tc>
          <w:tcPr>
            <w:tcW w:w="1619" w:type="pct"/>
          </w:tcPr>
          <w:p w:rsidR="0053015E" w:rsidRPr="00A117C9" w:rsidRDefault="0053015E" w:rsidP="0029340A">
            <w:pPr>
              <w:rPr>
                <w:color w:val="000000"/>
                <w:szCs w:val="20"/>
              </w:rPr>
            </w:pPr>
            <w:r w:rsidRPr="00A117C9">
              <w:rPr>
                <w:color w:val="000000"/>
                <w:szCs w:val="20"/>
              </w:rPr>
              <w:t>Social security payments including the Family Tax Benefit; Disability Support Pension; Carer income support (primarily Carer Payment and Carer Allowance); Parenting Payments (Single and Partnered); and Job Seeker Income Support (</w:t>
            </w:r>
            <w:proofErr w:type="spellStart"/>
            <w:r w:rsidRPr="00A117C9">
              <w:rPr>
                <w:color w:val="000000"/>
                <w:szCs w:val="20"/>
              </w:rPr>
              <w:t>Newstart</w:t>
            </w:r>
            <w:proofErr w:type="spellEnd"/>
            <w:r w:rsidRPr="00A117C9">
              <w:rPr>
                <w:color w:val="000000"/>
                <w:szCs w:val="20"/>
              </w:rPr>
              <w:t>, Youth Allowance (Other), Sickness Allowance, becoming Jobseeker Payment).</w:t>
            </w:r>
          </w:p>
        </w:tc>
        <w:tc>
          <w:tcPr>
            <w:tcW w:w="2298" w:type="pct"/>
          </w:tcPr>
          <w:p w:rsidR="0053015E" w:rsidRPr="002A041F" w:rsidRDefault="0053015E" w:rsidP="0029340A">
            <w:pPr>
              <w:pStyle w:val="TableText"/>
              <w:rPr>
                <w:szCs w:val="20"/>
              </w:rPr>
            </w:pPr>
            <w:r w:rsidRPr="002A041F">
              <w:rPr>
                <w:szCs w:val="20"/>
              </w:rPr>
              <w:t>Projected expenditure on these payments is calculated as projected recipients multiplied by the average payment rate.</w:t>
            </w:r>
          </w:p>
          <w:p w:rsidR="0053015E" w:rsidRPr="002A041F" w:rsidRDefault="0053015E" w:rsidP="0029340A">
            <w:pPr>
              <w:pStyle w:val="TableText"/>
              <w:rPr>
                <w:szCs w:val="20"/>
              </w:rPr>
            </w:pPr>
            <w:r w:rsidRPr="002A041F">
              <w:rPr>
                <w:szCs w:val="20"/>
              </w:rPr>
              <w:t xml:space="preserve">Recipient numbers are projected by </w:t>
            </w:r>
            <w:r w:rsidR="00587614">
              <w:rPr>
                <w:szCs w:val="20"/>
              </w:rPr>
              <w:t>applying the latest historical per-capita take-up of payments (by</w:t>
            </w:r>
            <w:r w:rsidRPr="002A041F">
              <w:rPr>
                <w:szCs w:val="20"/>
              </w:rPr>
              <w:t xml:space="preserve"> age and gender cohorts</w:t>
            </w:r>
            <w:r w:rsidR="00587614">
              <w:rPr>
                <w:szCs w:val="20"/>
              </w:rPr>
              <w:t>) to</w:t>
            </w:r>
            <w:r w:rsidRPr="002A041F">
              <w:rPr>
                <w:szCs w:val="20"/>
              </w:rPr>
              <w:t xml:space="preserve"> medium-term population projections.</w:t>
            </w:r>
            <w:r w:rsidR="00C9003C">
              <w:rPr>
                <w:szCs w:val="20"/>
              </w:rPr>
              <w:t xml:space="preserve"> </w:t>
            </w:r>
            <w:r w:rsidRPr="002A041F">
              <w:rPr>
                <w:szCs w:val="20"/>
              </w:rPr>
              <w:t xml:space="preserve"> Job seeker income support </w:t>
            </w:r>
            <w:r w:rsidR="00587614">
              <w:rPr>
                <w:szCs w:val="20"/>
              </w:rPr>
              <w:t xml:space="preserve">payments are also </w:t>
            </w:r>
            <w:r w:rsidR="00587614" w:rsidRPr="002A041F">
              <w:rPr>
                <w:szCs w:val="20"/>
              </w:rPr>
              <w:t>adjust</w:t>
            </w:r>
            <w:r w:rsidR="00587614">
              <w:rPr>
                <w:szCs w:val="20"/>
              </w:rPr>
              <w:t>ed</w:t>
            </w:r>
            <w:r w:rsidR="00587614" w:rsidRPr="002A041F">
              <w:rPr>
                <w:szCs w:val="20"/>
              </w:rPr>
              <w:t xml:space="preserve"> </w:t>
            </w:r>
            <w:r w:rsidRPr="002A041F">
              <w:rPr>
                <w:szCs w:val="20"/>
              </w:rPr>
              <w:t>for projected changes in unemployment.</w:t>
            </w:r>
            <w:r w:rsidR="00074485" w:rsidRPr="002A041F">
              <w:rPr>
                <w:szCs w:val="20"/>
              </w:rPr>
              <w:t xml:space="preserve"> </w:t>
            </w:r>
            <w:r w:rsidR="00C9003C">
              <w:rPr>
                <w:szCs w:val="20"/>
              </w:rPr>
              <w:t xml:space="preserve"> </w:t>
            </w:r>
            <w:r w:rsidR="00074485" w:rsidRPr="002A041F">
              <w:rPr>
                <w:szCs w:val="20"/>
              </w:rPr>
              <w:t xml:space="preserve">Some working age payments are also adjusted to </w:t>
            </w:r>
            <w:r w:rsidR="00587614">
              <w:rPr>
                <w:szCs w:val="20"/>
              </w:rPr>
              <w:t>reflect</w:t>
            </w:r>
            <w:r w:rsidR="00074485" w:rsidRPr="002A041F">
              <w:rPr>
                <w:szCs w:val="20"/>
              </w:rPr>
              <w:t xml:space="preserve"> the </w:t>
            </w:r>
            <w:r w:rsidR="00587614">
              <w:rPr>
                <w:szCs w:val="20"/>
              </w:rPr>
              <w:t>increase in the a</w:t>
            </w:r>
            <w:r w:rsidR="00074485" w:rsidRPr="002A041F">
              <w:rPr>
                <w:szCs w:val="20"/>
              </w:rPr>
              <w:t xml:space="preserve">ge </w:t>
            </w:r>
            <w:r w:rsidR="00587614">
              <w:rPr>
                <w:szCs w:val="20"/>
              </w:rPr>
              <w:t>p</w:t>
            </w:r>
            <w:r w:rsidR="00074485" w:rsidRPr="002A041F">
              <w:rPr>
                <w:szCs w:val="20"/>
              </w:rPr>
              <w:t xml:space="preserve">ension eligibility age </w:t>
            </w:r>
            <w:r w:rsidR="00587614">
              <w:rPr>
                <w:szCs w:val="20"/>
              </w:rPr>
              <w:t xml:space="preserve">from 65 </w:t>
            </w:r>
            <w:r w:rsidR="00E57052" w:rsidRPr="002A041F">
              <w:rPr>
                <w:szCs w:val="20"/>
              </w:rPr>
              <w:t>to 67</w:t>
            </w:r>
            <w:r w:rsidR="00074485" w:rsidRPr="002A041F">
              <w:rPr>
                <w:szCs w:val="20"/>
              </w:rPr>
              <w:t>.</w:t>
            </w:r>
          </w:p>
          <w:p w:rsidR="0053015E" w:rsidRPr="002A041F" w:rsidRDefault="0053015E" w:rsidP="00D46E8A">
            <w:pPr>
              <w:pStyle w:val="TableText"/>
              <w:rPr>
                <w:szCs w:val="20"/>
              </w:rPr>
            </w:pPr>
            <w:r w:rsidRPr="002A041F">
              <w:rPr>
                <w:szCs w:val="20"/>
              </w:rPr>
              <w:t xml:space="preserve">The average rate of payment is grown by the </w:t>
            </w:r>
            <w:r w:rsidR="00587614">
              <w:rPr>
                <w:szCs w:val="20"/>
              </w:rPr>
              <w:t xml:space="preserve">respective </w:t>
            </w:r>
            <w:r w:rsidRPr="002A041F">
              <w:rPr>
                <w:szCs w:val="20"/>
              </w:rPr>
              <w:t>legislated indexation factor (</w:t>
            </w:r>
            <w:r w:rsidR="00587614">
              <w:rPr>
                <w:szCs w:val="20"/>
              </w:rPr>
              <w:t>i.e.</w:t>
            </w:r>
            <w:r w:rsidRPr="002A041F">
              <w:rPr>
                <w:szCs w:val="20"/>
              </w:rPr>
              <w:t xml:space="preserve"> CPI or wages).</w:t>
            </w:r>
          </w:p>
        </w:tc>
      </w:tr>
      <w:tr w:rsidR="0053015E" w:rsidRPr="002A041F" w:rsidTr="00961EA1">
        <w:trPr>
          <w:cantSplit/>
          <w:trHeight w:val="1597"/>
        </w:trPr>
        <w:tc>
          <w:tcPr>
            <w:tcW w:w="1083" w:type="pct"/>
          </w:tcPr>
          <w:p w:rsidR="0053015E" w:rsidRPr="002A041F" w:rsidRDefault="0053015E" w:rsidP="0029340A">
            <w:pPr>
              <w:pStyle w:val="TableSubheading"/>
            </w:pPr>
            <w:r w:rsidRPr="002A041F">
              <w:t>Medicare Benefits Schedule</w:t>
            </w:r>
            <w:r w:rsidR="00C9003C">
              <w:t xml:space="preserve"> (MBS)</w:t>
            </w:r>
          </w:p>
        </w:tc>
        <w:tc>
          <w:tcPr>
            <w:tcW w:w="1619" w:type="pct"/>
          </w:tcPr>
          <w:p w:rsidR="0053015E" w:rsidRPr="00A117C9" w:rsidRDefault="00800B80" w:rsidP="00D46E8A">
            <w:pPr>
              <w:rPr>
                <w:color w:val="000000"/>
                <w:szCs w:val="20"/>
              </w:rPr>
            </w:pPr>
            <w:r>
              <w:rPr>
                <w:color w:val="000000"/>
                <w:szCs w:val="20"/>
              </w:rPr>
              <w:t>Comprise</w:t>
            </w:r>
            <w:r w:rsidRPr="00A117C9">
              <w:rPr>
                <w:color w:val="000000"/>
                <w:szCs w:val="20"/>
              </w:rPr>
              <w:t xml:space="preserve">s </w:t>
            </w:r>
            <w:r w:rsidR="0053015E" w:rsidRPr="00A117C9">
              <w:rPr>
                <w:color w:val="000000"/>
                <w:szCs w:val="20"/>
              </w:rPr>
              <w:t>D</w:t>
            </w:r>
            <w:r w:rsidR="00C9003C">
              <w:rPr>
                <w:color w:val="000000"/>
                <w:szCs w:val="20"/>
              </w:rPr>
              <w:t xml:space="preserve">epartment of </w:t>
            </w:r>
            <w:r>
              <w:rPr>
                <w:color w:val="000000"/>
                <w:szCs w:val="20"/>
              </w:rPr>
              <w:t>Health</w:t>
            </w:r>
            <w:r w:rsidR="0053015E" w:rsidRPr="00A117C9">
              <w:rPr>
                <w:color w:val="000000"/>
                <w:szCs w:val="20"/>
              </w:rPr>
              <w:t xml:space="preserve"> related expenditure under the Medicare Benefits Schedule.</w:t>
            </w:r>
          </w:p>
        </w:tc>
        <w:tc>
          <w:tcPr>
            <w:tcW w:w="2298" w:type="pct"/>
          </w:tcPr>
          <w:p w:rsidR="0053015E" w:rsidRPr="00A117C9" w:rsidRDefault="0053015E" w:rsidP="00C9003C">
            <w:pPr>
              <w:rPr>
                <w:rFonts w:cs="Times New Roman (Body CS)"/>
                <w:color w:val="000000"/>
                <w:szCs w:val="20"/>
              </w:rPr>
            </w:pPr>
            <w:r w:rsidRPr="00A117C9">
              <w:rPr>
                <w:rFonts w:cs="Times New Roman (Body CS)"/>
                <w:color w:val="000000"/>
                <w:szCs w:val="20"/>
              </w:rPr>
              <w:t>Detailed historical data is used to model expenditure by age, gender and service type (</w:t>
            </w:r>
            <w:proofErr w:type="spellStart"/>
            <w:r w:rsidRPr="00A117C9">
              <w:rPr>
                <w:rFonts w:cs="Times New Roman (Body CS)"/>
                <w:color w:val="000000"/>
                <w:szCs w:val="20"/>
              </w:rPr>
              <w:t>eg</w:t>
            </w:r>
            <w:proofErr w:type="spellEnd"/>
            <w:r w:rsidR="00C9003C">
              <w:rPr>
                <w:rFonts w:cs="Times New Roman (Body CS)"/>
                <w:color w:val="000000"/>
                <w:szCs w:val="20"/>
              </w:rPr>
              <w:t> general practitioner</w:t>
            </w:r>
            <w:r w:rsidR="00C9003C" w:rsidRPr="00A117C9">
              <w:rPr>
                <w:rFonts w:cs="Times New Roman (Body CS)"/>
                <w:color w:val="000000"/>
                <w:szCs w:val="20"/>
              </w:rPr>
              <w:t xml:space="preserve"> </w:t>
            </w:r>
            <w:r w:rsidRPr="00A117C9">
              <w:rPr>
                <w:rFonts w:cs="Times New Roman (Body CS)"/>
                <w:color w:val="000000"/>
                <w:szCs w:val="20"/>
              </w:rPr>
              <w:t>services, allied health</w:t>
            </w:r>
            <w:r w:rsidR="00C9003C">
              <w:rPr>
                <w:rFonts w:cs="Times New Roman (Body CS)"/>
                <w:color w:val="000000"/>
                <w:szCs w:val="20"/>
              </w:rPr>
              <w:t>,</w:t>
            </w:r>
            <w:r w:rsidRPr="00A117C9">
              <w:rPr>
                <w:rFonts w:cs="Times New Roman (Body CS)"/>
                <w:color w:val="000000"/>
                <w:szCs w:val="20"/>
              </w:rPr>
              <w:t xml:space="preserve"> </w:t>
            </w:r>
            <w:proofErr w:type="spellStart"/>
            <w:r w:rsidRPr="00A117C9">
              <w:rPr>
                <w:rFonts w:cs="Times New Roman (Body CS)"/>
                <w:color w:val="000000"/>
                <w:szCs w:val="20"/>
              </w:rPr>
              <w:t>etc</w:t>
            </w:r>
            <w:proofErr w:type="spellEnd"/>
            <w:r w:rsidRPr="00A117C9">
              <w:rPr>
                <w:rFonts w:cs="Times New Roman (Body CS)"/>
                <w:color w:val="000000"/>
                <w:szCs w:val="20"/>
              </w:rPr>
              <w:t xml:space="preserve">). </w:t>
            </w:r>
            <w:r w:rsidR="00C9003C">
              <w:rPr>
                <w:rFonts w:cs="Times New Roman (Body CS)"/>
                <w:color w:val="000000"/>
                <w:szCs w:val="20"/>
              </w:rPr>
              <w:t xml:space="preserve"> </w:t>
            </w:r>
            <w:r w:rsidRPr="00A117C9">
              <w:rPr>
                <w:rFonts w:cs="Times New Roman (Body CS)"/>
                <w:color w:val="000000"/>
                <w:szCs w:val="20"/>
              </w:rPr>
              <w:t xml:space="preserve">The MBS projection methodology is described in detail in Appendix C </w:t>
            </w:r>
            <w:r w:rsidR="00C9003C" w:rsidRPr="009D3DC4">
              <w:rPr>
                <w:rFonts w:cs="Times New Roman (Body CS)"/>
                <w:color w:val="000000"/>
                <w:szCs w:val="20"/>
              </w:rPr>
              <w:t>–</w:t>
            </w:r>
            <w:r w:rsidRPr="00A117C9">
              <w:rPr>
                <w:rFonts w:cs="Times New Roman (Body CS)"/>
                <w:color w:val="000000"/>
                <w:szCs w:val="20"/>
              </w:rPr>
              <w:t xml:space="preserve"> Technical</w:t>
            </w:r>
            <w:r w:rsidR="00C9003C">
              <w:rPr>
                <w:rFonts w:cs="Times New Roman (Body CS)"/>
                <w:color w:val="000000"/>
                <w:szCs w:val="20"/>
              </w:rPr>
              <w:t> n</w:t>
            </w:r>
            <w:r w:rsidRPr="00A117C9">
              <w:rPr>
                <w:rFonts w:cs="Times New Roman (Body CS)"/>
                <w:color w:val="000000"/>
                <w:szCs w:val="20"/>
              </w:rPr>
              <w:t xml:space="preserve">otes and </w:t>
            </w:r>
            <w:r w:rsidR="00C9003C">
              <w:rPr>
                <w:rFonts w:cs="Times New Roman (Body CS)"/>
                <w:color w:val="000000"/>
                <w:szCs w:val="20"/>
              </w:rPr>
              <w:t>s</w:t>
            </w:r>
            <w:r w:rsidRPr="00A117C9">
              <w:rPr>
                <w:rFonts w:cs="Times New Roman (Body CS)"/>
                <w:color w:val="000000"/>
                <w:szCs w:val="20"/>
              </w:rPr>
              <w:t>ources of the PBO</w:t>
            </w:r>
            <w:r w:rsidR="00C9003C">
              <w:rPr>
                <w:rFonts w:cs="Times New Roman (Body CS)"/>
                <w:color w:val="000000"/>
                <w:szCs w:val="20"/>
              </w:rPr>
              <w:t> </w:t>
            </w:r>
            <w:r w:rsidR="002D497D" w:rsidRPr="00A117C9">
              <w:rPr>
                <w:rFonts w:cs="Times New Roman (Body CS)"/>
                <w:color w:val="000000"/>
                <w:szCs w:val="20"/>
              </w:rPr>
              <w:t>R</w:t>
            </w:r>
            <w:r w:rsidRPr="00A117C9">
              <w:rPr>
                <w:rFonts w:cs="Times New Roman (Body CS)"/>
                <w:color w:val="000000"/>
                <w:szCs w:val="20"/>
              </w:rPr>
              <w:t>eport</w:t>
            </w:r>
            <w:r w:rsidR="00C9003C">
              <w:rPr>
                <w:rFonts w:cs="Times New Roman (Body CS)"/>
                <w:color w:val="000000"/>
                <w:szCs w:val="20"/>
              </w:rPr>
              <w:t> </w:t>
            </w:r>
            <w:r w:rsidR="002D497D" w:rsidRPr="00A117C9">
              <w:rPr>
                <w:rFonts w:cs="Times New Roman (Body CS)"/>
                <w:color w:val="000000"/>
                <w:szCs w:val="20"/>
              </w:rPr>
              <w:t>no</w:t>
            </w:r>
            <w:r w:rsidR="00C9003C" w:rsidRPr="00A117C9">
              <w:rPr>
                <w:rFonts w:cs="Times New Roman (Body CS)"/>
                <w:color w:val="000000"/>
                <w:szCs w:val="20"/>
              </w:rPr>
              <w:t>.</w:t>
            </w:r>
            <w:r w:rsidR="00C9003C">
              <w:rPr>
                <w:rFonts w:cs="Times New Roman (Body CS)"/>
                <w:color w:val="000000"/>
                <w:szCs w:val="20"/>
              </w:rPr>
              <w:t> </w:t>
            </w:r>
            <w:r w:rsidRPr="00A117C9">
              <w:rPr>
                <w:rFonts w:cs="Times New Roman (Body CS)"/>
                <w:color w:val="000000"/>
                <w:szCs w:val="20"/>
              </w:rPr>
              <w:t>04/2015</w:t>
            </w:r>
            <w:r w:rsidRPr="00A117C9">
              <w:rPr>
                <w:rFonts w:cs="Times New Roman (Body CS)"/>
                <w:i/>
                <w:color w:val="000000"/>
                <w:szCs w:val="20"/>
              </w:rPr>
              <w:t xml:space="preserve"> Medicare Benefits Schedule</w:t>
            </w:r>
            <w:r w:rsidR="00C9003C">
              <w:rPr>
                <w:rFonts w:cs="Times New Roman (Body CS)"/>
                <w:i/>
                <w:color w:val="000000"/>
                <w:szCs w:val="20"/>
              </w:rPr>
              <w:t>: Spending trends and projections</w:t>
            </w:r>
            <w:r w:rsidRPr="00A117C9">
              <w:rPr>
                <w:rFonts w:cs="Times New Roman (Body CS)"/>
                <w:color w:val="000000"/>
                <w:szCs w:val="20"/>
              </w:rPr>
              <w:t>.</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29340A">
            <w:pPr>
              <w:pStyle w:val="TableSubheading"/>
            </w:pPr>
            <w:r w:rsidRPr="002A041F">
              <w:t>Public hospitals</w:t>
            </w:r>
          </w:p>
        </w:tc>
        <w:tc>
          <w:tcPr>
            <w:tcW w:w="1619" w:type="pct"/>
          </w:tcPr>
          <w:p w:rsidR="0053015E" w:rsidRPr="00A117C9" w:rsidRDefault="0053015E" w:rsidP="0029340A">
            <w:pPr>
              <w:rPr>
                <w:color w:val="000000"/>
                <w:szCs w:val="20"/>
              </w:rPr>
            </w:pPr>
            <w:r w:rsidRPr="00A117C9">
              <w:rPr>
                <w:color w:val="000000"/>
                <w:szCs w:val="20"/>
              </w:rPr>
              <w:t xml:space="preserve">Commonwealth funding of </w:t>
            </w:r>
            <w:r w:rsidR="00961EA1" w:rsidRPr="00A117C9">
              <w:rPr>
                <w:color w:val="000000"/>
                <w:szCs w:val="20"/>
              </w:rPr>
              <w:br/>
            </w:r>
            <w:r w:rsidRPr="00A117C9">
              <w:rPr>
                <w:color w:val="000000"/>
                <w:szCs w:val="20"/>
              </w:rPr>
              <w:t>public hospitals</w:t>
            </w:r>
          </w:p>
        </w:tc>
        <w:tc>
          <w:tcPr>
            <w:tcW w:w="2298" w:type="pct"/>
          </w:tcPr>
          <w:p w:rsidR="00074485" w:rsidRPr="00A117C9" w:rsidRDefault="00074485" w:rsidP="0029340A">
            <w:pPr>
              <w:rPr>
                <w:color w:val="000000"/>
                <w:szCs w:val="20"/>
              </w:rPr>
            </w:pPr>
            <w:r w:rsidRPr="00A117C9">
              <w:rPr>
                <w:color w:val="000000"/>
                <w:szCs w:val="20"/>
              </w:rPr>
              <w:t>Projected Commonwealth funding for public hospitals over the medium term is set with reference to the annual determination of the National Efficient Price (NEP).</w:t>
            </w:r>
          </w:p>
          <w:p w:rsidR="00074485" w:rsidRPr="00A117C9" w:rsidRDefault="00074485" w:rsidP="0029340A">
            <w:pPr>
              <w:rPr>
                <w:rFonts w:cs="Times New Roman (Body CS)"/>
                <w:color w:val="000000"/>
                <w:szCs w:val="20"/>
              </w:rPr>
            </w:pPr>
            <w:r w:rsidRPr="00A117C9">
              <w:rPr>
                <w:rFonts w:cs="Times New Roman (Body CS)"/>
                <w:color w:val="000000"/>
                <w:szCs w:val="20"/>
              </w:rPr>
              <w:t xml:space="preserve">This funding profile is based on the current National Health Reform Agreement that expires in 2020, and the proposed agreement to extend the funding arrangement to 2025. </w:t>
            </w:r>
            <w:r w:rsidR="00C9003C">
              <w:rPr>
                <w:rFonts w:cs="Times New Roman (Body CS)"/>
                <w:color w:val="000000"/>
                <w:szCs w:val="20"/>
              </w:rPr>
              <w:t xml:space="preserve"> </w:t>
            </w:r>
            <w:r w:rsidRPr="00A117C9">
              <w:rPr>
                <w:rFonts w:cs="Times New Roman (Body CS)"/>
                <w:color w:val="000000"/>
                <w:szCs w:val="20"/>
              </w:rPr>
              <w:t xml:space="preserve">The PBO </w:t>
            </w:r>
            <w:r w:rsidR="00800B80">
              <w:rPr>
                <w:rFonts w:cs="Times New Roman (Body CS)"/>
                <w:color w:val="000000"/>
                <w:szCs w:val="20"/>
              </w:rPr>
              <w:t>assumes</w:t>
            </w:r>
            <w:r w:rsidRPr="00A117C9">
              <w:rPr>
                <w:rFonts w:cs="Times New Roman (Body CS)"/>
                <w:color w:val="000000"/>
                <w:szCs w:val="20"/>
              </w:rPr>
              <w:t xml:space="preserve"> that the funding arrangement will continue over the projection period.</w:t>
            </w:r>
          </w:p>
          <w:p w:rsidR="00074485" w:rsidRPr="00A117C9" w:rsidRDefault="00074485" w:rsidP="0029340A">
            <w:pPr>
              <w:rPr>
                <w:color w:val="000000"/>
                <w:szCs w:val="20"/>
              </w:rPr>
            </w:pPr>
            <w:r w:rsidRPr="00A117C9">
              <w:rPr>
                <w:color w:val="000000"/>
                <w:szCs w:val="20"/>
              </w:rPr>
              <w:t>The projection of price growth in providing hospital services is based on the indexation rate in the latest NEP determination.</w:t>
            </w:r>
          </w:p>
          <w:p w:rsidR="0053015E" w:rsidRPr="00A117C9" w:rsidRDefault="00074485" w:rsidP="0029340A">
            <w:pPr>
              <w:rPr>
                <w:color w:val="000000"/>
                <w:szCs w:val="20"/>
              </w:rPr>
            </w:pPr>
            <w:r w:rsidRPr="00A117C9">
              <w:rPr>
                <w:color w:val="000000"/>
                <w:szCs w:val="20"/>
              </w:rPr>
              <w:t>Growth in the number of patient services is projected based on the trend of historical number of services provided annually.</w:t>
            </w:r>
          </w:p>
        </w:tc>
      </w:tr>
      <w:tr w:rsidR="0053015E" w:rsidRPr="002A041F" w:rsidTr="00E31F39">
        <w:trPr>
          <w:cantSplit/>
          <w:trHeight w:val="544"/>
        </w:trPr>
        <w:tc>
          <w:tcPr>
            <w:tcW w:w="1083" w:type="pct"/>
          </w:tcPr>
          <w:p w:rsidR="0053015E" w:rsidRPr="002A041F" w:rsidRDefault="0053015E" w:rsidP="0029340A">
            <w:pPr>
              <w:pStyle w:val="TableSubheading"/>
            </w:pPr>
            <w:r w:rsidRPr="002A041F">
              <w:t>GST transfers to states</w:t>
            </w:r>
          </w:p>
        </w:tc>
        <w:tc>
          <w:tcPr>
            <w:tcW w:w="1619" w:type="pct"/>
          </w:tcPr>
          <w:p w:rsidR="0053015E" w:rsidRPr="00A117C9" w:rsidRDefault="0053015E" w:rsidP="0029340A">
            <w:pPr>
              <w:rPr>
                <w:color w:val="000000"/>
                <w:szCs w:val="20"/>
              </w:rPr>
            </w:pPr>
            <w:r w:rsidRPr="00A117C9">
              <w:rPr>
                <w:color w:val="000000"/>
                <w:szCs w:val="20"/>
              </w:rPr>
              <w:t xml:space="preserve">GST receipts less non-general interest charge penalties collected. </w:t>
            </w:r>
          </w:p>
        </w:tc>
        <w:tc>
          <w:tcPr>
            <w:tcW w:w="2298" w:type="pct"/>
          </w:tcPr>
          <w:p w:rsidR="0053015E" w:rsidRPr="00A117C9" w:rsidRDefault="0053015E" w:rsidP="0029340A">
            <w:pPr>
              <w:rPr>
                <w:rFonts w:cs="Times New Roman (Body CS)"/>
                <w:color w:val="000000"/>
                <w:szCs w:val="20"/>
              </w:rPr>
            </w:pPr>
            <w:r w:rsidRPr="00A117C9">
              <w:rPr>
                <w:rFonts w:cs="Times New Roman (Body CS)"/>
                <w:color w:val="000000"/>
                <w:szCs w:val="20"/>
              </w:rPr>
              <w:t xml:space="preserve">See </w:t>
            </w:r>
            <w:r w:rsidR="00F55BB5">
              <w:rPr>
                <w:rFonts w:cs="Times New Roman (Body CS)"/>
                <w:color w:val="000000"/>
                <w:szCs w:val="20"/>
              </w:rPr>
              <w:t xml:space="preserve">Appendix A </w:t>
            </w:r>
            <w:r w:rsidR="00F55BB5" w:rsidRPr="009D3DC4">
              <w:rPr>
                <w:rFonts w:cs="Times New Roman (Body CS)"/>
                <w:color w:val="000000"/>
                <w:szCs w:val="20"/>
              </w:rPr>
              <w:t>–</w:t>
            </w:r>
            <w:r w:rsidR="00F55BB5">
              <w:rPr>
                <w:rFonts w:cs="Times New Roman (Body CS)"/>
                <w:color w:val="000000"/>
                <w:szCs w:val="20"/>
              </w:rPr>
              <w:t xml:space="preserve"> </w:t>
            </w:r>
            <w:r w:rsidRPr="00A117C9">
              <w:rPr>
                <w:rFonts w:cs="Times New Roman (Body CS)"/>
                <w:color w:val="000000"/>
                <w:szCs w:val="20"/>
              </w:rPr>
              <w:t>Receipts projection methodology, GST receipts.</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D46E8A">
            <w:pPr>
              <w:pStyle w:val="TableSubheading"/>
            </w:pPr>
            <w:r w:rsidRPr="002A041F">
              <w:t xml:space="preserve">Fuel </w:t>
            </w:r>
            <w:r w:rsidR="00800B80">
              <w:t>t</w:t>
            </w:r>
            <w:r w:rsidR="00800B80" w:rsidRPr="002A041F">
              <w:t xml:space="preserve">ax </w:t>
            </w:r>
            <w:r w:rsidR="00800B80">
              <w:t>c</w:t>
            </w:r>
            <w:r w:rsidR="00800B80" w:rsidRPr="002A041F">
              <w:t xml:space="preserve">redit </w:t>
            </w:r>
            <w:r w:rsidR="00800B80">
              <w:t>s</w:t>
            </w:r>
            <w:r w:rsidR="00800B80" w:rsidRPr="002A041F">
              <w:t>cheme</w:t>
            </w:r>
          </w:p>
        </w:tc>
        <w:tc>
          <w:tcPr>
            <w:tcW w:w="1619" w:type="pct"/>
          </w:tcPr>
          <w:p w:rsidR="0053015E" w:rsidRPr="00A117C9" w:rsidRDefault="0053015E" w:rsidP="0029340A">
            <w:pPr>
              <w:rPr>
                <w:color w:val="000000"/>
                <w:szCs w:val="20"/>
              </w:rPr>
            </w:pPr>
            <w:r w:rsidRPr="00A117C9">
              <w:rPr>
                <w:color w:val="000000"/>
                <w:szCs w:val="20"/>
              </w:rPr>
              <w:t>Credits for the excise or customs duty on fuel a business uses in machinery, plant, equipment, heavy vehicles and light vehicles travelling off pub</w:t>
            </w:r>
            <w:r w:rsidR="00F55BB5">
              <w:rPr>
                <w:color w:val="000000"/>
                <w:szCs w:val="20"/>
              </w:rPr>
              <w:t>l</w:t>
            </w:r>
            <w:r w:rsidRPr="00A117C9">
              <w:rPr>
                <w:color w:val="000000"/>
                <w:szCs w:val="20"/>
              </w:rPr>
              <w:t>ic roads or on private roads.</w:t>
            </w:r>
          </w:p>
        </w:tc>
        <w:tc>
          <w:tcPr>
            <w:tcW w:w="2298" w:type="pct"/>
          </w:tcPr>
          <w:p w:rsidR="0053015E" w:rsidRPr="00A117C9" w:rsidRDefault="0053015E" w:rsidP="0029340A">
            <w:pPr>
              <w:rPr>
                <w:color w:val="000000"/>
                <w:szCs w:val="20"/>
              </w:rPr>
            </w:pPr>
            <w:r w:rsidRPr="00A117C9">
              <w:rPr>
                <w:color w:val="000000"/>
                <w:szCs w:val="20"/>
              </w:rPr>
              <w:t xml:space="preserve">Fuel Tax Credit Scheme expenditure is calculated by applying credit scheme rates on projected fuel excise and customs duty revenue collections (see </w:t>
            </w:r>
            <w:r w:rsidR="00F55BB5">
              <w:rPr>
                <w:color w:val="000000"/>
                <w:szCs w:val="20"/>
              </w:rPr>
              <w:t xml:space="preserve">Appendix A </w:t>
            </w:r>
            <w:r w:rsidR="00F55BB5" w:rsidRPr="009D3DC4">
              <w:rPr>
                <w:rFonts w:cs="Times New Roman (Body CS)"/>
                <w:color w:val="000000"/>
                <w:szCs w:val="20"/>
              </w:rPr>
              <w:t>–</w:t>
            </w:r>
            <w:r w:rsidR="00F55BB5">
              <w:rPr>
                <w:rFonts w:cs="Times New Roman (Body CS)"/>
                <w:color w:val="000000"/>
                <w:szCs w:val="20"/>
              </w:rPr>
              <w:t xml:space="preserve"> </w:t>
            </w:r>
            <w:r w:rsidRPr="00A117C9">
              <w:rPr>
                <w:color w:val="000000"/>
                <w:szCs w:val="20"/>
              </w:rPr>
              <w:t>Receipts projection methodology, Customs and excise).  Credit scheme rates are projected by indexing them in line with the CPI.</w:t>
            </w:r>
          </w:p>
        </w:tc>
      </w:tr>
      <w:tr w:rsidR="0053015E" w:rsidRPr="002A041F" w:rsidTr="00E31F39">
        <w:trPr>
          <w:cantSplit/>
        </w:trPr>
        <w:tc>
          <w:tcPr>
            <w:tcW w:w="1083" w:type="pct"/>
          </w:tcPr>
          <w:p w:rsidR="0053015E" w:rsidRPr="002A041F" w:rsidRDefault="0053015E" w:rsidP="0029340A">
            <w:pPr>
              <w:pStyle w:val="TableSubheading"/>
            </w:pPr>
            <w:r w:rsidRPr="002A041F">
              <w:t>Government superannuation</w:t>
            </w:r>
          </w:p>
        </w:tc>
        <w:tc>
          <w:tcPr>
            <w:tcW w:w="1619" w:type="pct"/>
          </w:tcPr>
          <w:p w:rsidR="0053015E" w:rsidRPr="00A117C9" w:rsidRDefault="0053015E" w:rsidP="0029340A">
            <w:pPr>
              <w:rPr>
                <w:color w:val="000000"/>
                <w:szCs w:val="20"/>
              </w:rPr>
            </w:pPr>
            <w:r w:rsidRPr="00A117C9">
              <w:rPr>
                <w:color w:val="000000"/>
                <w:szCs w:val="20"/>
              </w:rPr>
              <w:t xml:space="preserve">Cash payments associated with the unfunded civilian and military schemes. </w:t>
            </w:r>
          </w:p>
        </w:tc>
        <w:tc>
          <w:tcPr>
            <w:tcW w:w="2298" w:type="pct"/>
          </w:tcPr>
          <w:p w:rsidR="0053015E" w:rsidRPr="00A117C9" w:rsidRDefault="0053015E" w:rsidP="0029340A">
            <w:pPr>
              <w:rPr>
                <w:color w:val="000000"/>
                <w:szCs w:val="20"/>
              </w:rPr>
            </w:pPr>
            <w:r w:rsidRPr="00A117C9">
              <w:rPr>
                <w:color w:val="000000"/>
                <w:szCs w:val="20"/>
              </w:rPr>
              <w:t xml:space="preserve">Projections are based on the </w:t>
            </w:r>
            <w:r w:rsidRPr="00A117C9">
              <w:rPr>
                <w:i/>
                <w:color w:val="000000"/>
                <w:szCs w:val="20"/>
              </w:rPr>
              <w:t>Long Term Cost Reports</w:t>
            </w:r>
            <w:r w:rsidRPr="00A117C9">
              <w:rPr>
                <w:color w:val="000000"/>
                <w:szCs w:val="20"/>
              </w:rPr>
              <w:t xml:space="preserve"> </w:t>
            </w:r>
            <w:r w:rsidRPr="002A041F">
              <w:rPr>
                <w:szCs w:val="20"/>
              </w:rPr>
              <w:t>updated for developments in subsequent budgets.</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D46E8A">
            <w:pPr>
              <w:pStyle w:val="TableSubheading"/>
            </w:pPr>
            <w:r w:rsidRPr="002A041F">
              <w:lastRenderedPageBreak/>
              <w:t xml:space="preserve">Age </w:t>
            </w:r>
            <w:r w:rsidR="00800B80">
              <w:t>p</w:t>
            </w:r>
            <w:r w:rsidR="00800B80" w:rsidRPr="002A041F">
              <w:t>ension</w:t>
            </w:r>
          </w:p>
        </w:tc>
        <w:tc>
          <w:tcPr>
            <w:tcW w:w="1619" w:type="pct"/>
          </w:tcPr>
          <w:p w:rsidR="0053015E" w:rsidRPr="00A117C9" w:rsidRDefault="0053015E" w:rsidP="0029340A">
            <w:pPr>
              <w:rPr>
                <w:color w:val="000000"/>
                <w:szCs w:val="20"/>
              </w:rPr>
            </w:pPr>
            <w:r w:rsidRPr="00A117C9">
              <w:rPr>
                <w:color w:val="000000"/>
                <w:szCs w:val="20"/>
              </w:rPr>
              <w:t xml:space="preserve">Includes the </w:t>
            </w:r>
            <w:r w:rsidR="009762A3">
              <w:rPr>
                <w:color w:val="000000"/>
                <w:szCs w:val="20"/>
              </w:rPr>
              <w:t>a</w:t>
            </w:r>
            <w:r w:rsidRPr="00A117C9">
              <w:rPr>
                <w:color w:val="000000"/>
                <w:szCs w:val="20"/>
              </w:rPr>
              <w:t xml:space="preserve">ge </w:t>
            </w:r>
            <w:r w:rsidR="00350B30">
              <w:rPr>
                <w:color w:val="000000"/>
                <w:szCs w:val="20"/>
              </w:rPr>
              <w:t>p</w:t>
            </w:r>
            <w:r w:rsidRPr="00A117C9">
              <w:rPr>
                <w:color w:val="000000"/>
                <w:szCs w:val="20"/>
              </w:rPr>
              <w:t xml:space="preserve">ension under the Income Support for Seniors program. </w:t>
            </w:r>
          </w:p>
        </w:tc>
        <w:tc>
          <w:tcPr>
            <w:tcW w:w="2298" w:type="pct"/>
          </w:tcPr>
          <w:p w:rsidR="0053015E" w:rsidRPr="002A041F" w:rsidRDefault="0053015E" w:rsidP="0029340A">
            <w:pPr>
              <w:pStyle w:val="TableText"/>
              <w:rPr>
                <w:szCs w:val="20"/>
              </w:rPr>
            </w:pPr>
            <w:r w:rsidRPr="002A041F">
              <w:rPr>
                <w:szCs w:val="20"/>
              </w:rPr>
              <w:t xml:space="preserve">Projected expenditure for the </w:t>
            </w:r>
            <w:r w:rsidR="00350B30">
              <w:rPr>
                <w:szCs w:val="20"/>
              </w:rPr>
              <w:t>a</w:t>
            </w:r>
            <w:r w:rsidRPr="002A041F">
              <w:rPr>
                <w:szCs w:val="20"/>
              </w:rPr>
              <w:t xml:space="preserve">ge </w:t>
            </w:r>
            <w:r w:rsidR="00350B30">
              <w:rPr>
                <w:szCs w:val="20"/>
              </w:rPr>
              <w:t>p</w:t>
            </w:r>
            <w:r w:rsidRPr="002A041F">
              <w:rPr>
                <w:szCs w:val="20"/>
              </w:rPr>
              <w:t>ension is calculated as projected recipients multiplied by the average payment rate.</w:t>
            </w:r>
          </w:p>
          <w:p w:rsidR="0053015E" w:rsidRPr="00A117C9" w:rsidRDefault="0053015E" w:rsidP="0029340A">
            <w:pPr>
              <w:pStyle w:val="TableText"/>
              <w:rPr>
                <w:rFonts w:cs="Times New Roman (Body CS)"/>
                <w:szCs w:val="20"/>
              </w:rPr>
            </w:pPr>
            <w:r w:rsidRPr="00A117C9">
              <w:rPr>
                <w:rFonts w:cs="Times New Roman (Body CS)"/>
                <w:szCs w:val="20"/>
              </w:rPr>
              <w:t xml:space="preserve">Age </w:t>
            </w:r>
            <w:r w:rsidR="00800B80">
              <w:rPr>
                <w:rFonts w:cs="Times New Roman (Body CS)"/>
                <w:szCs w:val="20"/>
              </w:rPr>
              <w:t>p</w:t>
            </w:r>
            <w:r w:rsidR="00800B80" w:rsidRPr="00A117C9">
              <w:rPr>
                <w:rFonts w:cs="Times New Roman (Body CS)"/>
                <w:szCs w:val="20"/>
              </w:rPr>
              <w:t xml:space="preserve">ension </w:t>
            </w:r>
            <w:r w:rsidRPr="00A117C9">
              <w:rPr>
                <w:rFonts w:cs="Times New Roman (Body CS)"/>
                <w:szCs w:val="20"/>
              </w:rPr>
              <w:t>recipient</w:t>
            </w:r>
            <w:r w:rsidR="00800B80">
              <w:rPr>
                <w:rFonts w:cs="Times New Roman (Body CS)"/>
                <w:szCs w:val="20"/>
              </w:rPr>
              <w:t>s</w:t>
            </w:r>
            <w:r w:rsidRPr="00A117C9">
              <w:rPr>
                <w:rFonts w:cs="Times New Roman (Body CS)"/>
                <w:szCs w:val="20"/>
              </w:rPr>
              <w:t xml:space="preserve"> </w:t>
            </w:r>
            <w:r w:rsidR="00800B80">
              <w:rPr>
                <w:rFonts w:cs="Times New Roman (Body CS)"/>
                <w:szCs w:val="20"/>
              </w:rPr>
              <w:t xml:space="preserve">are assumed to grow broadly in line with </w:t>
            </w:r>
            <w:r w:rsidRPr="00A117C9">
              <w:rPr>
                <w:rFonts w:cs="Times New Roman (Body CS)"/>
                <w:szCs w:val="20"/>
              </w:rPr>
              <w:t xml:space="preserve">the Australian population of </w:t>
            </w:r>
            <w:r w:rsidR="00350B30">
              <w:rPr>
                <w:rFonts w:cs="Times New Roman (Body CS)"/>
                <w:szCs w:val="20"/>
              </w:rPr>
              <w:t>a</w:t>
            </w:r>
            <w:r w:rsidRPr="00A117C9">
              <w:rPr>
                <w:rFonts w:cs="Times New Roman (Body CS)"/>
                <w:szCs w:val="20"/>
              </w:rPr>
              <w:t xml:space="preserve">ge </w:t>
            </w:r>
            <w:r w:rsidR="00350B30">
              <w:rPr>
                <w:rFonts w:cs="Times New Roman (Body CS)"/>
                <w:szCs w:val="20"/>
              </w:rPr>
              <w:t>p</w:t>
            </w:r>
            <w:r w:rsidRPr="00A117C9">
              <w:rPr>
                <w:rFonts w:cs="Times New Roman (Body CS)"/>
                <w:szCs w:val="20"/>
              </w:rPr>
              <w:t>ension age</w:t>
            </w:r>
            <w:r w:rsidR="00800B80">
              <w:rPr>
                <w:rFonts w:cs="Times New Roman (Body CS)"/>
                <w:szCs w:val="20"/>
              </w:rPr>
              <w:t>, adjusted for t</w:t>
            </w:r>
            <w:r w:rsidRPr="00A117C9">
              <w:rPr>
                <w:rFonts w:cs="Times New Roman (Body CS)"/>
                <w:szCs w:val="20"/>
              </w:rPr>
              <w:t xml:space="preserve">he impact of the increase </w:t>
            </w:r>
            <w:r w:rsidR="00A06B0D" w:rsidRPr="00A117C9">
              <w:rPr>
                <w:rFonts w:cs="Times New Roman (Body CS)"/>
                <w:szCs w:val="20"/>
              </w:rPr>
              <w:t>in</w:t>
            </w:r>
            <w:r w:rsidRPr="00A117C9">
              <w:rPr>
                <w:rFonts w:cs="Times New Roman (Body CS)"/>
                <w:szCs w:val="20"/>
              </w:rPr>
              <w:t xml:space="preserve"> the </w:t>
            </w:r>
            <w:r w:rsidR="00350B30">
              <w:rPr>
                <w:rFonts w:cs="Times New Roman (Body CS)"/>
                <w:szCs w:val="20"/>
              </w:rPr>
              <w:t>a</w:t>
            </w:r>
            <w:r w:rsidRPr="00A117C9">
              <w:rPr>
                <w:rFonts w:cs="Times New Roman (Body CS)"/>
                <w:szCs w:val="20"/>
              </w:rPr>
              <w:t xml:space="preserve">ge </w:t>
            </w:r>
            <w:r w:rsidR="00350B30">
              <w:rPr>
                <w:rFonts w:cs="Times New Roman (Body CS)"/>
                <w:szCs w:val="20"/>
              </w:rPr>
              <w:t>p</w:t>
            </w:r>
            <w:r w:rsidRPr="00A117C9">
              <w:rPr>
                <w:rFonts w:cs="Times New Roman (Body CS)"/>
                <w:szCs w:val="20"/>
              </w:rPr>
              <w:t>ension eligibility age</w:t>
            </w:r>
            <w:r w:rsidR="00A06B0D" w:rsidRPr="00A117C9">
              <w:rPr>
                <w:rFonts w:cs="Times New Roman (Body CS)"/>
                <w:szCs w:val="20"/>
              </w:rPr>
              <w:t xml:space="preserve"> to </w:t>
            </w:r>
            <w:r w:rsidR="00EF1FC5">
              <w:rPr>
                <w:rFonts w:cs="Times New Roman (Body CS)"/>
                <w:szCs w:val="20"/>
              </w:rPr>
              <w:t>67</w:t>
            </w:r>
            <w:r w:rsidRPr="00A117C9">
              <w:rPr>
                <w:rFonts w:cs="Times New Roman (Body CS)"/>
                <w:szCs w:val="20"/>
              </w:rPr>
              <w:t xml:space="preserve">. </w:t>
            </w:r>
          </w:p>
          <w:p w:rsidR="0053015E" w:rsidRPr="002A041F" w:rsidRDefault="0053015E" w:rsidP="00F55BB5">
            <w:pPr>
              <w:pStyle w:val="TableText"/>
              <w:rPr>
                <w:szCs w:val="20"/>
              </w:rPr>
            </w:pPr>
            <w:r w:rsidRPr="002A041F">
              <w:rPr>
                <w:szCs w:val="20"/>
              </w:rPr>
              <w:t xml:space="preserve">The projected average rate of payment is based on projections of </w:t>
            </w:r>
            <w:r w:rsidR="00F55BB5">
              <w:rPr>
                <w:szCs w:val="20"/>
              </w:rPr>
              <w:t>Male Total Average Weekly Earnings</w:t>
            </w:r>
            <w:r w:rsidRPr="002A041F">
              <w:rPr>
                <w:szCs w:val="20"/>
              </w:rPr>
              <w:t>, CPI</w:t>
            </w:r>
            <w:r w:rsidR="00F55BB5">
              <w:rPr>
                <w:szCs w:val="20"/>
              </w:rPr>
              <w:t>,</w:t>
            </w:r>
            <w:r w:rsidRPr="002A041F">
              <w:rPr>
                <w:szCs w:val="20"/>
              </w:rPr>
              <w:t xml:space="preserve"> and Pensioner and Beneficiary Cost of Living Index</w:t>
            </w:r>
            <w:r w:rsidR="00F55BB5">
              <w:rPr>
                <w:szCs w:val="20"/>
              </w:rPr>
              <w:t>,</w:t>
            </w:r>
            <w:r w:rsidRPr="002A041F">
              <w:rPr>
                <w:szCs w:val="20"/>
              </w:rPr>
              <w:t xml:space="preserve"> and the proportions of full-rate and part-rate </w:t>
            </w:r>
            <w:r w:rsidR="00350B30">
              <w:rPr>
                <w:szCs w:val="20"/>
              </w:rPr>
              <w:t>a</w:t>
            </w:r>
            <w:r w:rsidRPr="002A041F">
              <w:rPr>
                <w:szCs w:val="20"/>
              </w:rPr>
              <w:t xml:space="preserve">ge Pension recipients.  It is assumed that the proportion of part-rate </w:t>
            </w:r>
            <w:r w:rsidR="00350B30">
              <w:rPr>
                <w:szCs w:val="20"/>
              </w:rPr>
              <w:t>a</w:t>
            </w:r>
            <w:r w:rsidRPr="002A041F">
              <w:rPr>
                <w:szCs w:val="20"/>
              </w:rPr>
              <w:t>ge</w:t>
            </w:r>
            <w:r w:rsidR="00F55BB5">
              <w:rPr>
                <w:szCs w:val="20"/>
              </w:rPr>
              <w:t> </w:t>
            </w:r>
            <w:r w:rsidR="00350B30">
              <w:rPr>
                <w:szCs w:val="20"/>
              </w:rPr>
              <w:t>p</w:t>
            </w:r>
            <w:r w:rsidRPr="002A041F">
              <w:rPr>
                <w:szCs w:val="20"/>
              </w:rPr>
              <w:t xml:space="preserve">ension recipients gradually increases over the medium term in line with increasing superannuation balances. </w:t>
            </w:r>
          </w:p>
        </w:tc>
      </w:tr>
      <w:tr w:rsidR="0053015E" w:rsidRPr="002A041F" w:rsidTr="00E31F39">
        <w:trPr>
          <w:cantSplit/>
        </w:trPr>
        <w:tc>
          <w:tcPr>
            <w:tcW w:w="1083" w:type="pct"/>
          </w:tcPr>
          <w:p w:rsidR="0053015E" w:rsidRPr="002A041F" w:rsidRDefault="0053015E" w:rsidP="00D46E8A">
            <w:pPr>
              <w:pStyle w:val="TableSubheading"/>
            </w:pPr>
            <w:r w:rsidRPr="002A041F">
              <w:t xml:space="preserve">Private </w:t>
            </w:r>
            <w:r w:rsidR="00800B80">
              <w:t>h</w:t>
            </w:r>
            <w:r w:rsidR="00800B80" w:rsidRPr="002A041F">
              <w:t xml:space="preserve">ealth </w:t>
            </w:r>
            <w:r w:rsidR="00800B80">
              <w:t>i</w:t>
            </w:r>
            <w:r w:rsidR="00800B80" w:rsidRPr="002A041F">
              <w:t xml:space="preserve">nsurance </w:t>
            </w:r>
            <w:r w:rsidRPr="002A041F">
              <w:t>(PHI) rebate</w:t>
            </w:r>
          </w:p>
        </w:tc>
        <w:tc>
          <w:tcPr>
            <w:tcW w:w="1619" w:type="pct"/>
          </w:tcPr>
          <w:p w:rsidR="0053015E" w:rsidRPr="00A117C9" w:rsidRDefault="0053015E" w:rsidP="0029340A">
            <w:pPr>
              <w:rPr>
                <w:color w:val="000000"/>
                <w:szCs w:val="20"/>
              </w:rPr>
            </w:pPr>
            <w:r w:rsidRPr="00A117C9">
              <w:rPr>
                <w:color w:val="000000"/>
                <w:szCs w:val="20"/>
              </w:rPr>
              <w:t xml:space="preserve">Department of Health and Australian Taxation Office payments related to the </w:t>
            </w:r>
            <w:r w:rsidR="00BE7DFB" w:rsidRPr="00A117C9">
              <w:rPr>
                <w:color w:val="000000"/>
                <w:szCs w:val="20"/>
              </w:rPr>
              <w:br/>
            </w:r>
            <w:r w:rsidRPr="00A117C9">
              <w:rPr>
                <w:color w:val="000000"/>
                <w:szCs w:val="20"/>
              </w:rPr>
              <w:t>PHI rebate.</w:t>
            </w:r>
          </w:p>
        </w:tc>
        <w:tc>
          <w:tcPr>
            <w:tcW w:w="2298" w:type="pct"/>
          </w:tcPr>
          <w:p w:rsidR="0053015E" w:rsidRPr="00A117C9" w:rsidRDefault="00800B80" w:rsidP="00D46E8A">
            <w:pPr>
              <w:rPr>
                <w:rFonts w:cs="Times New Roman (Body CS)"/>
                <w:color w:val="000000"/>
                <w:szCs w:val="20"/>
              </w:rPr>
            </w:pPr>
            <w:r>
              <w:rPr>
                <w:rFonts w:cs="Times New Roman (Body CS)"/>
                <w:color w:val="000000"/>
                <w:szCs w:val="20"/>
              </w:rPr>
              <w:t>Expenditure on PHI is projected to grow in line with the population and CPI, with the insurance coverage ratio assumed to be unchanged through the medium term at the estimated 2022</w:t>
            </w:r>
            <w:r w:rsidRPr="00A117C9">
              <w:rPr>
                <w:color w:val="000000"/>
                <w:szCs w:val="20"/>
                <w:lang w:eastAsia="en-AU"/>
              </w:rPr>
              <w:t>–</w:t>
            </w:r>
            <w:r>
              <w:rPr>
                <w:rFonts w:cs="Times New Roman (Body CS)"/>
                <w:color w:val="000000"/>
                <w:szCs w:val="20"/>
              </w:rPr>
              <w:t>23 level</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Height w:val="1510"/>
        </w:trPr>
        <w:tc>
          <w:tcPr>
            <w:tcW w:w="1083" w:type="pct"/>
          </w:tcPr>
          <w:p w:rsidR="0053015E" w:rsidRPr="002A041F" w:rsidRDefault="0053015E" w:rsidP="0029340A">
            <w:pPr>
              <w:pStyle w:val="TableSubheading"/>
            </w:pPr>
            <w:r w:rsidRPr="002A041F">
              <w:t>Official Development Assistance</w:t>
            </w:r>
          </w:p>
        </w:tc>
        <w:tc>
          <w:tcPr>
            <w:tcW w:w="1619" w:type="pct"/>
          </w:tcPr>
          <w:p w:rsidR="0053015E" w:rsidRPr="00A117C9" w:rsidRDefault="0053015E" w:rsidP="0029340A">
            <w:pPr>
              <w:rPr>
                <w:color w:val="000000"/>
                <w:szCs w:val="20"/>
              </w:rPr>
            </w:pPr>
            <w:r w:rsidRPr="00A117C9">
              <w:rPr>
                <w:color w:val="000000"/>
                <w:szCs w:val="20"/>
              </w:rPr>
              <w:t xml:space="preserve">Comprises expenditure on foreign aid administered by the Department of Foreign Affairs </w:t>
            </w:r>
            <w:r w:rsidR="00F55BB5">
              <w:rPr>
                <w:color w:val="000000"/>
                <w:szCs w:val="20"/>
              </w:rPr>
              <w:t xml:space="preserve">and Trade, </w:t>
            </w:r>
            <w:r w:rsidRPr="00A117C9">
              <w:rPr>
                <w:color w:val="000000"/>
                <w:szCs w:val="20"/>
              </w:rPr>
              <w:t>and a small component for associated spending in other departments.</w:t>
            </w:r>
          </w:p>
        </w:tc>
        <w:tc>
          <w:tcPr>
            <w:tcW w:w="2298" w:type="pct"/>
          </w:tcPr>
          <w:p w:rsidR="0053015E" w:rsidRPr="00A117C9" w:rsidRDefault="00867E43" w:rsidP="00D46E8A">
            <w:pPr>
              <w:rPr>
                <w:color w:val="000000"/>
                <w:szCs w:val="20"/>
              </w:rPr>
            </w:pPr>
            <w:r w:rsidRPr="00A117C9">
              <w:rPr>
                <w:color w:val="000000"/>
                <w:szCs w:val="20"/>
                <w:lang w:eastAsia="en-AU"/>
              </w:rPr>
              <w:t>After a</w:t>
            </w:r>
            <w:r w:rsidR="00E57052" w:rsidRPr="00A117C9">
              <w:rPr>
                <w:color w:val="000000"/>
                <w:szCs w:val="20"/>
                <w:lang w:eastAsia="en-AU"/>
              </w:rPr>
              <w:t xml:space="preserve">n </w:t>
            </w:r>
            <w:r w:rsidRPr="00A117C9">
              <w:rPr>
                <w:color w:val="000000"/>
                <w:szCs w:val="20"/>
                <w:lang w:eastAsia="en-AU"/>
              </w:rPr>
              <w:t>indexation freeze introduced in the 2017</w:t>
            </w:r>
            <w:r w:rsidR="004012E7" w:rsidRPr="002A041F">
              <w:rPr>
                <w:szCs w:val="20"/>
                <w:lang w:eastAsia="en-AU"/>
              </w:rPr>
              <w:t>-</w:t>
            </w:r>
            <w:r w:rsidRPr="00A117C9">
              <w:rPr>
                <w:color w:val="000000"/>
                <w:szCs w:val="20"/>
                <w:lang w:eastAsia="en-AU"/>
              </w:rPr>
              <w:t>18 Budget, Official Development Assistance has been capped at $4.0</w:t>
            </w:r>
            <w:r w:rsidR="00F55BB5">
              <w:rPr>
                <w:color w:val="000000"/>
                <w:szCs w:val="20"/>
                <w:lang w:eastAsia="en-AU"/>
              </w:rPr>
              <w:t> </w:t>
            </w:r>
            <w:r w:rsidRPr="00A117C9">
              <w:rPr>
                <w:color w:val="000000"/>
                <w:szCs w:val="20"/>
                <w:lang w:eastAsia="en-AU"/>
              </w:rPr>
              <w:t xml:space="preserve">billion </w:t>
            </w:r>
            <w:r w:rsidR="00E57052" w:rsidRPr="00A117C9">
              <w:rPr>
                <w:color w:val="000000"/>
                <w:szCs w:val="20"/>
                <w:lang w:eastAsia="en-AU"/>
              </w:rPr>
              <w:t>to</w:t>
            </w:r>
            <w:r w:rsidRPr="00A117C9">
              <w:rPr>
                <w:color w:val="000000"/>
                <w:szCs w:val="20"/>
                <w:lang w:eastAsia="en-AU"/>
              </w:rPr>
              <w:t xml:space="preserve"> 2021</w:t>
            </w:r>
            <w:r w:rsidR="00BE7DFB" w:rsidRPr="00A117C9">
              <w:rPr>
                <w:color w:val="000000"/>
                <w:szCs w:val="20"/>
                <w:lang w:eastAsia="en-AU"/>
              </w:rPr>
              <w:t>–</w:t>
            </w:r>
            <w:r w:rsidRPr="00A117C9">
              <w:rPr>
                <w:color w:val="000000"/>
                <w:szCs w:val="20"/>
                <w:lang w:eastAsia="en-AU"/>
              </w:rPr>
              <w:t xml:space="preserve">22. </w:t>
            </w:r>
            <w:r w:rsidR="00EB5D54" w:rsidRPr="00A117C9">
              <w:rPr>
                <w:color w:val="000000"/>
                <w:szCs w:val="20"/>
                <w:lang w:eastAsia="en-AU"/>
              </w:rPr>
              <w:t xml:space="preserve"> </w:t>
            </w:r>
            <w:r w:rsidRPr="00A117C9">
              <w:rPr>
                <w:color w:val="000000"/>
                <w:szCs w:val="20"/>
                <w:lang w:eastAsia="en-AU"/>
              </w:rPr>
              <w:t xml:space="preserve">Expenditure </w:t>
            </w:r>
            <w:r w:rsidR="00800B80">
              <w:rPr>
                <w:color w:val="000000"/>
                <w:szCs w:val="20"/>
                <w:lang w:eastAsia="en-AU"/>
              </w:rPr>
              <w:t xml:space="preserve">beyond </w:t>
            </w:r>
            <w:r w:rsidR="00800B80" w:rsidRPr="00A117C9">
              <w:rPr>
                <w:color w:val="000000"/>
                <w:szCs w:val="20"/>
                <w:lang w:eastAsia="en-AU"/>
              </w:rPr>
              <w:t>2021–22</w:t>
            </w:r>
            <w:r w:rsidRPr="00A117C9">
              <w:rPr>
                <w:color w:val="000000"/>
                <w:szCs w:val="20"/>
                <w:lang w:eastAsia="en-AU"/>
              </w:rPr>
              <w:t xml:space="preserve"> is projected by indexing the payment to growth in the CPI.</w:t>
            </w:r>
          </w:p>
        </w:tc>
      </w:tr>
      <w:tr w:rsidR="0053015E" w:rsidRPr="002A041F" w:rsidTr="00E31F39">
        <w:trPr>
          <w:cantSplit/>
        </w:trPr>
        <w:tc>
          <w:tcPr>
            <w:tcW w:w="1083" w:type="pct"/>
          </w:tcPr>
          <w:p w:rsidR="0053015E" w:rsidRPr="002A041F" w:rsidRDefault="0053015E" w:rsidP="00D46E8A">
            <w:pPr>
              <w:pStyle w:val="TableSubheading"/>
            </w:pPr>
            <w:r w:rsidRPr="002A041F">
              <w:t>Commonwealth Grant Scheme</w:t>
            </w:r>
            <w:r w:rsidR="00F55BB5">
              <w:t xml:space="preserve"> (CGS)</w:t>
            </w:r>
          </w:p>
        </w:tc>
        <w:tc>
          <w:tcPr>
            <w:tcW w:w="1619" w:type="pct"/>
          </w:tcPr>
          <w:p w:rsidR="0053015E" w:rsidRPr="00A117C9" w:rsidRDefault="0053015E" w:rsidP="00CC6ACA">
            <w:pPr>
              <w:rPr>
                <w:color w:val="000000"/>
                <w:szCs w:val="20"/>
              </w:rPr>
            </w:pPr>
            <w:r w:rsidRPr="00A117C9">
              <w:rPr>
                <w:color w:val="000000"/>
                <w:szCs w:val="20"/>
              </w:rPr>
              <w:t>Grant funding to higher education providers</w:t>
            </w:r>
            <w:r w:rsidR="00CC6ACA" w:rsidRPr="00A117C9">
              <w:rPr>
                <w:color w:val="000000"/>
                <w:szCs w:val="20"/>
              </w:rPr>
              <w:t xml:space="preserve"> </w:t>
            </w:r>
            <w:r w:rsidRPr="00A117C9">
              <w:rPr>
                <w:color w:val="000000"/>
                <w:szCs w:val="20"/>
              </w:rPr>
              <w:t>for student</w:t>
            </w:r>
            <w:r w:rsidR="00CC6ACA" w:rsidRPr="00A117C9">
              <w:rPr>
                <w:color w:val="000000"/>
                <w:szCs w:val="20"/>
              </w:rPr>
              <w:t>s</w:t>
            </w:r>
            <w:r w:rsidRPr="00A117C9">
              <w:rPr>
                <w:color w:val="000000"/>
                <w:szCs w:val="20"/>
              </w:rPr>
              <w:t xml:space="preserve"> enrolled in a Commonwealth Supported Place (CSP) at the institution. </w:t>
            </w:r>
          </w:p>
        </w:tc>
        <w:tc>
          <w:tcPr>
            <w:tcW w:w="2298" w:type="pct"/>
          </w:tcPr>
          <w:p w:rsidR="0053015E" w:rsidRPr="00A117C9" w:rsidRDefault="0053015E" w:rsidP="00F55BB5">
            <w:pPr>
              <w:rPr>
                <w:rFonts w:cs="Times New Roman (Body CS)"/>
                <w:color w:val="000000"/>
                <w:szCs w:val="20"/>
              </w:rPr>
            </w:pPr>
            <w:r w:rsidRPr="00A117C9">
              <w:rPr>
                <w:rFonts w:cs="Times New Roman (Body CS)"/>
                <w:color w:val="000000"/>
                <w:szCs w:val="20"/>
              </w:rPr>
              <w:t>CGS expenditure is calculated based on recent trends in CSP student enrolment projections across eight clusters</w:t>
            </w:r>
            <w:r w:rsidR="00F55BB5">
              <w:rPr>
                <w:rFonts w:cs="Times New Roman (Body CS)"/>
                <w:color w:val="000000"/>
                <w:szCs w:val="20"/>
              </w:rPr>
              <w:t>,</w:t>
            </w:r>
            <w:r w:rsidRPr="00A117C9">
              <w:rPr>
                <w:rFonts w:cs="Times New Roman (Body CS)"/>
                <w:color w:val="000000"/>
                <w:szCs w:val="20"/>
              </w:rPr>
              <w:t xml:space="preserve"> with varying per</w:t>
            </w:r>
            <w:r w:rsidR="00F55BB5">
              <w:rPr>
                <w:rFonts w:cs="Times New Roman (Body CS)"/>
                <w:color w:val="000000"/>
                <w:szCs w:val="20"/>
              </w:rPr>
              <w:t>-</w:t>
            </w:r>
            <w:r w:rsidRPr="00A117C9">
              <w:rPr>
                <w:rFonts w:cs="Times New Roman (Body CS)"/>
                <w:color w:val="000000"/>
                <w:szCs w:val="20"/>
              </w:rPr>
              <w:t xml:space="preserve">student amounts for areas of study reflecting associated course costs. </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29340A">
            <w:pPr>
              <w:pStyle w:val="TableSubheading"/>
            </w:pPr>
            <w:r w:rsidRPr="002A041F">
              <w:t xml:space="preserve">Pharmaceutical benefits </w:t>
            </w:r>
          </w:p>
        </w:tc>
        <w:tc>
          <w:tcPr>
            <w:tcW w:w="1619" w:type="pct"/>
          </w:tcPr>
          <w:p w:rsidR="0053015E" w:rsidRPr="00A117C9" w:rsidRDefault="0053015E" w:rsidP="0029340A">
            <w:pPr>
              <w:rPr>
                <w:color w:val="000000"/>
                <w:szCs w:val="20"/>
              </w:rPr>
            </w:pPr>
            <w:r w:rsidRPr="00A117C9">
              <w:rPr>
                <w:color w:val="000000"/>
                <w:szCs w:val="20"/>
              </w:rPr>
              <w:t>Comprises the special appropriation of the Pharmaceutical Benefits Scheme.</w:t>
            </w:r>
          </w:p>
        </w:tc>
        <w:tc>
          <w:tcPr>
            <w:tcW w:w="2298" w:type="pct"/>
          </w:tcPr>
          <w:p w:rsidR="0053015E" w:rsidRPr="00A117C9" w:rsidRDefault="00471320" w:rsidP="00BF3AC6">
            <w:pPr>
              <w:keepLines/>
              <w:pageBreakBefore/>
              <w:rPr>
                <w:color w:val="000000"/>
                <w:szCs w:val="20"/>
              </w:rPr>
            </w:pPr>
            <w:r w:rsidRPr="00A117C9">
              <w:rPr>
                <w:color w:val="000000"/>
                <w:szCs w:val="20"/>
              </w:rPr>
              <w:t>Pharmaceutical benefit</w:t>
            </w:r>
            <w:r w:rsidR="0053015E" w:rsidRPr="00A117C9">
              <w:rPr>
                <w:color w:val="000000"/>
                <w:szCs w:val="20"/>
              </w:rPr>
              <w:t xml:space="preserve"> projections are calculated by taking historical expenditure data</w:t>
            </w:r>
            <w:r w:rsidR="00216205">
              <w:rPr>
                <w:color w:val="000000"/>
                <w:szCs w:val="20"/>
              </w:rPr>
              <w:t>,</w:t>
            </w:r>
            <w:r w:rsidR="0053015E" w:rsidRPr="00A117C9">
              <w:rPr>
                <w:color w:val="000000"/>
                <w:szCs w:val="20"/>
              </w:rPr>
              <w:t xml:space="preserve"> grouped by age and gender cohorts</w:t>
            </w:r>
            <w:r w:rsidR="00F55BB5">
              <w:rPr>
                <w:color w:val="000000"/>
                <w:szCs w:val="20"/>
              </w:rPr>
              <w:t>,</w:t>
            </w:r>
            <w:r w:rsidR="0053015E" w:rsidRPr="00A117C9">
              <w:rPr>
                <w:color w:val="000000"/>
                <w:szCs w:val="20"/>
              </w:rPr>
              <w:t xml:space="preserve"> and calculating the historical per</w:t>
            </w:r>
            <w:r w:rsidR="00F55BB5">
              <w:rPr>
                <w:color w:val="000000"/>
                <w:szCs w:val="20"/>
              </w:rPr>
              <w:t>-</w:t>
            </w:r>
            <w:r w:rsidR="0053015E" w:rsidRPr="00A117C9">
              <w:rPr>
                <w:color w:val="000000"/>
                <w:szCs w:val="20"/>
              </w:rPr>
              <w:t xml:space="preserve">capita growth in expenditure. </w:t>
            </w:r>
            <w:r w:rsidR="00EB5D54" w:rsidRPr="00A117C9">
              <w:rPr>
                <w:color w:val="000000"/>
                <w:szCs w:val="20"/>
              </w:rPr>
              <w:t xml:space="preserve"> </w:t>
            </w:r>
            <w:r w:rsidR="0053015E" w:rsidRPr="00A117C9">
              <w:rPr>
                <w:color w:val="000000"/>
                <w:szCs w:val="20"/>
              </w:rPr>
              <w:t xml:space="preserve">This is then used to derive a trend growth for </w:t>
            </w:r>
            <w:r w:rsidRPr="00A117C9">
              <w:rPr>
                <w:color w:val="000000"/>
                <w:szCs w:val="20"/>
              </w:rPr>
              <w:t xml:space="preserve">pharmaceutical benefits </w:t>
            </w:r>
            <w:r w:rsidR="0053015E" w:rsidRPr="00A117C9">
              <w:rPr>
                <w:color w:val="000000"/>
                <w:szCs w:val="20"/>
              </w:rPr>
              <w:t>spending per capita over the medium term.</w:t>
            </w:r>
          </w:p>
        </w:tc>
      </w:tr>
      <w:tr w:rsidR="0053015E" w:rsidRPr="002A041F" w:rsidTr="00E31F39">
        <w:trPr>
          <w:cantSplit/>
        </w:trPr>
        <w:tc>
          <w:tcPr>
            <w:tcW w:w="1083" w:type="pct"/>
          </w:tcPr>
          <w:p w:rsidR="0053015E" w:rsidRPr="002A041F" w:rsidRDefault="0053015E" w:rsidP="00F55BB5">
            <w:pPr>
              <w:pStyle w:val="TableSubheading"/>
            </w:pPr>
            <w:r w:rsidRPr="002A041F">
              <w:t>Veterans</w:t>
            </w:r>
            <w:r w:rsidR="00F55BB5">
              <w:t>’</w:t>
            </w:r>
            <w:r w:rsidRPr="002A041F">
              <w:t xml:space="preserve"> </w:t>
            </w:r>
            <w:r w:rsidR="00F55BB5">
              <w:t>s</w:t>
            </w:r>
            <w:r w:rsidRPr="002A041F">
              <w:t>upport</w:t>
            </w:r>
          </w:p>
        </w:tc>
        <w:tc>
          <w:tcPr>
            <w:tcW w:w="1619" w:type="pct"/>
          </w:tcPr>
          <w:p w:rsidR="0053015E" w:rsidRPr="00A117C9" w:rsidRDefault="0053015E" w:rsidP="0029340A">
            <w:pPr>
              <w:rPr>
                <w:color w:val="000000"/>
                <w:szCs w:val="20"/>
              </w:rPr>
            </w:pPr>
            <w:r w:rsidRPr="00A117C9">
              <w:rPr>
                <w:color w:val="000000"/>
                <w:szCs w:val="20"/>
              </w:rPr>
              <w:t>Comprises expenditure on income support and health programs for veterans.</w:t>
            </w:r>
          </w:p>
        </w:tc>
        <w:tc>
          <w:tcPr>
            <w:tcW w:w="2298" w:type="pct"/>
          </w:tcPr>
          <w:p w:rsidR="0053015E" w:rsidRPr="002A041F" w:rsidRDefault="0053015E" w:rsidP="0029340A">
            <w:pPr>
              <w:pStyle w:val="TableText"/>
              <w:rPr>
                <w:szCs w:val="20"/>
              </w:rPr>
            </w:pPr>
            <w:r w:rsidRPr="002A041F">
              <w:rPr>
                <w:szCs w:val="20"/>
              </w:rPr>
              <w:t>Projections of expenditure on veterans</w:t>
            </w:r>
            <w:r w:rsidR="00F55BB5">
              <w:rPr>
                <w:szCs w:val="20"/>
              </w:rPr>
              <w:t>’</w:t>
            </w:r>
            <w:r w:rsidRPr="002A041F">
              <w:rPr>
                <w:szCs w:val="20"/>
              </w:rPr>
              <w:t xml:space="preserve"> support are based on projected growth in recipient numbers and the average payment for the service provided.</w:t>
            </w:r>
          </w:p>
          <w:p w:rsidR="0053015E" w:rsidRPr="002A041F" w:rsidRDefault="0053015E" w:rsidP="0029340A">
            <w:pPr>
              <w:pStyle w:val="TableText"/>
              <w:rPr>
                <w:szCs w:val="20"/>
              </w:rPr>
            </w:pPr>
            <w:r w:rsidRPr="002A041F">
              <w:rPr>
                <w:szCs w:val="20"/>
              </w:rPr>
              <w:t xml:space="preserve">Recipient projections are based on 10-year Pensioner Beneficiary Statistics prepared by </w:t>
            </w:r>
            <w:r w:rsidR="00BE7DFB" w:rsidRPr="002A041F">
              <w:rPr>
                <w:szCs w:val="20"/>
              </w:rPr>
              <w:br/>
            </w:r>
            <w:r w:rsidRPr="002A041F">
              <w:rPr>
                <w:szCs w:val="20"/>
              </w:rPr>
              <w:t>the Department of Veterans</w:t>
            </w:r>
            <w:r w:rsidR="00F55BB5">
              <w:rPr>
                <w:szCs w:val="20"/>
              </w:rPr>
              <w:t>’</w:t>
            </w:r>
            <w:r w:rsidRPr="002A041F">
              <w:rPr>
                <w:szCs w:val="20"/>
              </w:rPr>
              <w:t xml:space="preserve"> Affairs. </w:t>
            </w:r>
          </w:p>
          <w:p w:rsidR="0053015E" w:rsidRPr="002A041F" w:rsidRDefault="0053015E" w:rsidP="0029340A">
            <w:pPr>
              <w:pStyle w:val="TableText"/>
              <w:rPr>
                <w:szCs w:val="20"/>
              </w:rPr>
            </w:pPr>
            <w:r w:rsidRPr="002A041F">
              <w:rPr>
                <w:szCs w:val="20"/>
              </w:rPr>
              <w:t>The average rate of payment is grown by the relevant indexation factor for that program.</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2A041F" w:rsidRDefault="0053015E" w:rsidP="0029340A">
            <w:pPr>
              <w:pStyle w:val="TableSubheading"/>
            </w:pPr>
            <w:r w:rsidRPr="002A041F">
              <w:lastRenderedPageBreak/>
              <w:t>Road and rail Infrastructure</w:t>
            </w:r>
          </w:p>
        </w:tc>
        <w:tc>
          <w:tcPr>
            <w:tcW w:w="1619" w:type="pct"/>
          </w:tcPr>
          <w:p w:rsidR="0053015E" w:rsidRPr="00A117C9" w:rsidRDefault="0053015E" w:rsidP="0029340A">
            <w:pPr>
              <w:rPr>
                <w:color w:val="000000"/>
                <w:szCs w:val="20"/>
              </w:rPr>
            </w:pPr>
            <w:r w:rsidRPr="00A117C9">
              <w:rPr>
                <w:color w:val="000000"/>
                <w:szCs w:val="20"/>
              </w:rPr>
              <w:t xml:space="preserve">Comprises expenses for road and rail projects. </w:t>
            </w:r>
          </w:p>
        </w:tc>
        <w:tc>
          <w:tcPr>
            <w:tcW w:w="2298" w:type="pct"/>
          </w:tcPr>
          <w:p w:rsidR="008B6913" w:rsidRPr="00A117C9" w:rsidRDefault="008B6913" w:rsidP="00D46E8A">
            <w:pPr>
              <w:rPr>
                <w:color w:val="000000"/>
                <w:szCs w:val="20"/>
              </w:rPr>
            </w:pPr>
            <w:r w:rsidRPr="00A117C9">
              <w:rPr>
                <w:color w:val="000000"/>
                <w:szCs w:val="20"/>
              </w:rPr>
              <w:t>Expenditure f</w:t>
            </w:r>
            <w:r w:rsidR="00EE0647" w:rsidRPr="00A117C9">
              <w:rPr>
                <w:color w:val="000000"/>
                <w:szCs w:val="20"/>
              </w:rPr>
              <w:t xml:space="preserve">rom </w:t>
            </w:r>
            <w:r w:rsidR="007C067C" w:rsidRPr="00A117C9">
              <w:rPr>
                <w:color w:val="000000"/>
                <w:szCs w:val="20"/>
              </w:rPr>
              <w:t>2018</w:t>
            </w:r>
            <w:r w:rsidR="00BE7DFB" w:rsidRPr="00A117C9">
              <w:rPr>
                <w:color w:val="000000"/>
                <w:szCs w:val="20"/>
              </w:rPr>
              <w:t>–</w:t>
            </w:r>
            <w:r w:rsidR="007C067C" w:rsidRPr="00A117C9">
              <w:rPr>
                <w:color w:val="000000"/>
                <w:szCs w:val="20"/>
              </w:rPr>
              <w:t xml:space="preserve">19 </w:t>
            </w:r>
            <w:r w:rsidR="00867E43" w:rsidRPr="00A117C9">
              <w:rPr>
                <w:color w:val="000000"/>
                <w:szCs w:val="20"/>
              </w:rPr>
              <w:t xml:space="preserve">to </w:t>
            </w:r>
            <w:r w:rsidR="007C067C" w:rsidRPr="00A117C9">
              <w:rPr>
                <w:color w:val="000000"/>
                <w:szCs w:val="20"/>
              </w:rPr>
              <w:t>2027</w:t>
            </w:r>
            <w:r w:rsidR="00BE7DFB" w:rsidRPr="00A117C9">
              <w:rPr>
                <w:color w:val="000000"/>
                <w:szCs w:val="20"/>
              </w:rPr>
              <w:t>–</w:t>
            </w:r>
            <w:r w:rsidR="007C067C" w:rsidRPr="00A117C9">
              <w:rPr>
                <w:color w:val="000000"/>
                <w:szCs w:val="20"/>
              </w:rPr>
              <w:t xml:space="preserve">28 </w:t>
            </w:r>
            <w:r w:rsidRPr="00A117C9">
              <w:rPr>
                <w:color w:val="000000"/>
                <w:szCs w:val="20"/>
              </w:rPr>
              <w:t xml:space="preserve">reflects the </w:t>
            </w:r>
            <w:r w:rsidRPr="002A041F">
              <w:rPr>
                <w:szCs w:val="20"/>
                <w:lang w:eastAsia="en-AU"/>
              </w:rPr>
              <w:t>PBO’s projected profile of spending on currently agreed road and rail infrastructure projects included in the 201</w:t>
            </w:r>
            <w:r w:rsidR="003B0992" w:rsidRPr="002A041F">
              <w:rPr>
                <w:szCs w:val="20"/>
                <w:lang w:eastAsia="en-AU"/>
              </w:rPr>
              <w:t>9</w:t>
            </w:r>
            <w:r w:rsidR="00BE7DFB" w:rsidRPr="002A041F">
              <w:rPr>
                <w:szCs w:val="20"/>
                <w:lang w:eastAsia="en-AU"/>
              </w:rPr>
              <w:t>–</w:t>
            </w:r>
            <w:r w:rsidR="003B0992" w:rsidRPr="002A041F">
              <w:rPr>
                <w:szCs w:val="20"/>
                <w:lang w:eastAsia="en-AU"/>
              </w:rPr>
              <w:t>20</w:t>
            </w:r>
            <w:r w:rsidRPr="002A041F">
              <w:rPr>
                <w:szCs w:val="20"/>
                <w:lang w:eastAsia="en-AU"/>
              </w:rPr>
              <w:t xml:space="preserve"> Budget.  </w:t>
            </w:r>
            <w:r w:rsidRPr="00A117C9">
              <w:rPr>
                <w:color w:val="000000"/>
                <w:szCs w:val="20"/>
              </w:rPr>
              <w:t>From</w:t>
            </w:r>
            <w:r w:rsidR="00867E43" w:rsidRPr="00A117C9">
              <w:rPr>
                <w:color w:val="000000"/>
                <w:szCs w:val="20"/>
              </w:rPr>
              <w:t xml:space="preserve"> </w:t>
            </w:r>
            <w:r w:rsidR="007C067C" w:rsidRPr="00A117C9">
              <w:rPr>
                <w:color w:val="000000"/>
                <w:szCs w:val="20"/>
              </w:rPr>
              <w:t>2028</w:t>
            </w:r>
            <w:r w:rsidR="00BE7DFB" w:rsidRPr="00A117C9">
              <w:rPr>
                <w:color w:val="000000"/>
                <w:szCs w:val="20"/>
              </w:rPr>
              <w:t>–</w:t>
            </w:r>
            <w:r w:rsidR="007C067C" w:rsidRPr="00A117C9">
              <w:rPr>
                <w:color w:val="000000"/>
                <w:szCs w:val="20"/>
              </w:rPr>
              <w:t xml:space="preserve">29 </w:t>
            </w:r>
            <w:r w:rsidR="00867E43" w:rsidRPr="00A117C9">
              <w:rPr>
                <w:color w:val="000000"/>
                <w:szCs w:val="20"/>
              </w:rPr>
              <w:t xml:space="preserve">to </w:t>
            </w:r>
            <w:r w:rsidR="007C067C" w:rsidRPr="00A117C9">
              <w:rPr>
                <w:color w:val="000000"/>
                <w:szCs w:val="20"/>
              </w:rPr>
              <w:t>2029</w:t>
            </w:r>
            <w:r w:rsidR="00BE7DFB" w:rsidRPr="00A117C9">
              <w:rPr>
                <w:color w:val="000000"/>
                <w:szCs w:val="20"/>
              </w:rPr>
              <w:t>–</w:t>
            </w:r>
            <w:r w:rsidR="007C067C" w:rsidRPr="00A117C9">
              <w:rPr>
                <w:color w:val="000000"/>
                <w:szCs w:val="20"/>
              </w:rPr>
              <w:t xml:space="preserve">30 </w:t>
            </w:r>
            <w:r w:rsidR="00867E43" w:rsidRPr="00A117C9">
              <w:rPr>
                <w:color w:val="000000"/>
                <w:szCs w:val="20"/>
              </w:rPr>
              <w:t>road and rail expenditure is projected to grow in line with nominal GDP.</w:t>
            </w:r>
          </w:p>
        </w:tc>
      </w:tr>
      <w:tr w:rsidR="0053015E" w:rsidRPr="002A041F" w:rsidTr="00E31F39">
        <w:trPr>
          <w:cantSplit/>
        </w:trPr>
        <w:tc>
          <w:tcPr>
            <w:tcW w:w="1083" w:type="pct"/>
          </w:tcPr>
          <w:p w:rsidR="0053015E" w:rsidRPr="002A041F" w:rsidRDefault="0053015E" w:rsidP="0029340A">
            <w:pPr>
              <w:pStyle w:val="TableSubheading"/>
            </w:pPr>
            <w:r w:rsidRPr="002A041F">
              <w:t>Public debt interest</w:t>
            </w:r>
            <w:r w:rsidR="00800B80">
              <w:t xml:space="preserve"> (PDI)</w:t>
            </w:r>
          </w:p>
        </w:tc>
        <w:tc>
          <w:tcPr>
            <w:tcW w:w="1619" w:type="pct"/>
          </w:tcPr>
          <w:p w:rsidR="0053015E" w:rsidRPr="00A117C9" w:rsidRDefault="0053015E" w:rsidP="0029340A">
            <w:pPr>
              <w:rPr>
                <w:color w:val="000000"/>
                <w:szCs w:val="20"/>
              </w:rPr>
            </w:pPr>
            <w:r w:rsidRPr="00A117C9">
              <w:rPr>
                <w:color w:val="000000"/>
                <w:szCs w:val="20"/>
              </w:rPr>
              <w:t>Interest paid on Commonwealth Government Securities on issue.</w:t>
            </w:r>
          </w:p>
        </w:tc>
        <w:tc>
          <w:tcPr>
            <w:tcW w:w="2298" w:type="pct"/>
          </w:tcPr>
          <w:p w:rsidR="0053015E" w:rsidRPr="00A117C9" w:rsidRDefault="0053015E" w:rsidP="00896BB7">
            <w:pPr>
              <w:rPr>
                <w:color w:val="000000"/>
                <w:szCs w:val="20"/>
              </w:rPr>
            </w:pPr>
            <w:r w:rsidRPr="00A117C9">
              <w:rPr>
                <w:color w:val="000000"/>
                <w:szCs w:val="20"/>
              </w:rPr>
              <w:t>Public debt interest payments are projected based on the financing task implied by PBO projections of receipts and all other payments</w:t>
            </w:r>
            <w:r w:rsidR="00800B80">
              <w:rPr>
                <w:color w:val="000000"/>
                <w:szCs w:val="20"/>
              </w:rPr>
              <w:t xml:space="preserve"> (excluding PDI payments)</w:t>
            </w:r>
            <w:r w:rsidRPr="00A117C9">
              <w:rPr>
                <w:color w:val="000000"/>
                <w:szCs w:val="20"/>
              </w:rPr>
              <w:t>, and adopt the same assumptions regarding interest rates on Commonwealth Government Securities as the 201</w:t>
            </w:r>
            <w:r w:rsidR="006B643F" w:rsidRPr="00A117C9">
              <w:rPr>
                <w:color w:val="000000"/>
                <w:szCs w:val="20"/>
              </w:rPr>
              <w:t>9</w:t>
            </w:r>
            <w:r w:rsidR="00BE7DFB" w:rsidRPr="00A117C9">
              <w:rPr>
                <w:color w:val="000000"/>
                <w:szCs w:val="20"/>
              </w:rPr>
              <w:t>–</w:t>
            </w:r>
            <w:r w:rsidR="006B643F" w:rsidRPr="00A117C9">
              <w:rPr>
                <w:color w:val="000000"/>
                <w:szCs w:val="20"/>
              </w:rPr>
              <w:t>20</w:t>
            </w:r>
            <w:r w:rsidRPr="00A117C9">
              <w:rPr>
                <w:color w:val="000000"/>
                <w:szCs w:val="20"/>
              </w:rPr>
              <w:t xml:space="preserve"> Budget.  </w:t>
            </w:r>
          </w:p>
        </w:tc>
      </w:tr>
      <w:tr w:rsidR="0053015E" w:rsidRPr="002A041F" w:rsidTr="00E31F39">
        <w:trPr>
          <w:cnfStyle w:val="000000010000" w:firstRow="0" w:lastRow="0" w:firstColumn="0" w:lastColumn="0" w:oddVBand="0" w:evenVBand="0" w:oddHBand="0" w:evenHBand="1" w:firstRowFirstColumn="0" w:firstRowLastColumn="0" w:lastRowFirstColumn="0" w:lastRowLastColumn="0"/>
          <w:cantSplit/>
          <w:trHeight w:val="845"/>
        </w:trPr>
        <w:tc>
          <w:tcPr>
            <w:tcW w:w="1083" w:type="pct"/>
          </w:tcPr>
          <w:p w:rsidR="0053015E" w:rsidRPr="002A041F" w:rsidRDefault="0053015E" w:rsidP="0029340A">
            <w:pPr>
              <w:pStyle w:val="TableSubheading"/>
            </w:pPr>
            <w:r w:rsidRPr="002A041F">
              <w:t>Other payments</w:t>
            </w:r>
          </w:p>
        </w:tc>
        <w:tc>
          <w:tcPr>
            <w:tcW w:w="1619" w:type="pct"/>
          </w:tcPr>
          <w:p w:rsidR="0053015E" w:rsidRPr="00A117C9" w:rsidRDefault="0053015E" w:rsidP="00F55BB5">
            <w:pPr>
              <w:rPr>
                <w:color w:val="000000"/>
                <w:szCs w:val="20"/>
              </w:rPr>
            </w:pPr>
            <w:r w:rsidRPr="00A117C9">
              <w:rPr>
                <w:color w:val="000000"/>
                <w:szCs w:val="20"/>
              </w:rPr>
              <w:t>Other payments include payments that are not modelled by the PBO.</w:t>
            </w:r>
            <w:r w:rsidR="00035B32" w:rsidRPr="00A117C9">
              <w:rPr>
                <w:color w:val="000000"/>
                <w:szCs w:val="20"/>
              </w:rPr>
              <w:t xml:space="preserve">  This covers</w:t>
            </w:r>
            <w:r w:rsidR="00DB261D" w:rsidRPr="00A117C9">
              <w:rPr>
                <w:color w:val="000000"/>
                <w:szCs w:val="20"/>
              </w:rPr>
              <w:t xml:space="preserve"> government administration,</w:t>
            </w:r>
            <w:r w:rsidR="00035B32" w:rsidRPr="00A117C9">
              <w:rPr>
                <w:color w:val="000000"/>
                <w:szCs w:val="20"/>
              </w:rPr>
              <w:t xml:space="preserve"> a range of small grant and subsidy programs, smaller specific purpose payments to the states (</w:t>
            </w:r>
            <w:proofErr w:type="spellStart"/>
            <w:r w:rsidR="00035B32" w:rsidRPr="00A117C9">
              <w:rPr>
                <w:color w:val="000000"/>
                <w:szCs w:val="20"/>
              </w:rPr>
              <w:t>ie</w:t>
            </w:r>
            <w:proofErr w:type="spellEnd"/>
            <w:r w:rsidR="00F55BB5">
              <w:rPr>
                <w:color w:val="000000"/>
                <w:szCs w:val="20"/>
              </w:rPr>
              <w:t> </w:t>
            </w:r>
            <w:r w:rsidR="00035B32" w:rsidRPr="00A117C9">
              <w:rPr>
                <w:color w:val="000000"/>
                <w:szCs w:val="20"/>
              </w:rPr>
              <w:t>other than health, education and infrastructure)</w:t>
            </w:r>
            <w:r w:rsidR="00F55BB5">
              <w:rPr>
                <w:color w:val="000000"/>
                <w:szCs w:val="20"/>
              </w:rPr>
              <w:t>,</w:t>
            </w:r>
            <w:r w:rsidR="00035B32" w:rsidRPr="00A117C9">
              <w:rPr>
                <w:color w:val="000000"/>
                <w:szCs w:val="20"/>
              </w:rPr>
              <w:t xml:space="preserve"> and the conservative bias allowance</w:t>
            </w:r>
            <w:r w:rsidR="00DB261D" w:rsidRPr="00A117C9">
              <w:rPr>
                <w:color w:val="000000"/>
                <w:szCs w:val="20"/>
              </w:rPr>
              <w:t>.</w:t>
            </w:r>
          </w:p>
        </w:tc>
        <w:tc>
          <w:tcPr>
            <w:tcW w:w="2298" w:type="pct"/>
          </w:tcPr>
          <w:p w:rsidR="0053015E" w:rsidRPr="00A117C9" w:rsidRDefault="0053015E" w:rsidP="0029340A">
            <w:pPr>
              <w:rPr>
                <w:color w:val="000000"/>
                <w:szCs w:val="20"/>
              </w:rPr>
            </w:pPr>
            <w:r w:rsidRPr="00A117C9">
              <w:rPr>
                <w:color w:val="000000"/>
                <w:szCs w:val="20"/>
              </w:rPr>
              <w:t>Payments not modelled by the PBO are grown</w:t>
            </w:r>
            <w:r w:rsidR="00AB0288" w:rsidRPr="00A117C9">
              <w:rPr>
                <w:color w:val="000000"/>
                <w:szCs w:val="20"/>
              </w:rPr>
              <w:br/>
            </w:r>
            <w:r w:rsidRPr="00A117C9">
              <w:rPr>
                <w:color w:val="000000"/>
                <w:szCs w:val="20"/>
              </w:rPr>
              <w:t xml:space="preserve">by the growth rate of nominal GDP over the medium term. </w:t>
            </w:r>
          </w:p>
        </w:tc>
      </w:tr>
    </w:tbl>
    <w:p w:rsidR="000F1C7C" w:rsidRDefault="000F1C7C" w:rsidP="00240065">
      <w:pPr>
        <w:pStyle w:val="BodyText"/>
      </w:pPr>
    </w:p>
    <w:p w:rsidR="007B47CC" w:rsidRPr="0053015E" w:rsidRDefault="007B47CC" w:rsidP="000D4C9A"/>
    <w:sectPr w:rsidR="007B47CC" w:rsidRPr="0053015E" w:rsidSect="00AB79E1">
      <w:headerReference w:type="even" r:id="rId50"/>
      <w:headerReference w:type="default" r:id="rId51"/>
      <w:footerReference w:type="even" r:id="rId52"/>
      <w:footerReference w:type="default" r:id="rId53"/>
      <w:headerReference w:type="first" r:id="rId54"/>
      <w:footerReference w:type="first" r:id="rId55"/>
      <w:pgSz w:w="11907" w:h="16839" w:code="9"/>
      <w:pgMar w:top="1191" w:right="1417" w:bottom="1020" w:left="141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C2C" w:rsidRDefault="00AA2C2C" w:rsidP="00A20802">
      <w:pPr>
        <w:spacing w:line="240" w:lineRule="auto"/>
      </w:pPr>
      <w:r>
        <w:separator/>
      </w:r>
    </w:p>
    <w:p w:rsidR="00AA2C2C" w:rsidRDefault="00AA2C2C"/>
    <w:p w:rsidR="00AA2C2C" w:rsidRDefault="00AA2C2C"/>
  </w:endnote>
  <w:endnote w:type="continuationSeparator" w:id="0">
    <w:p w:rsidR="00AA2C2C" w:rsidRDefault="00AA2C2C" w:rsidP="00A20802">
      <w:pPr>
        <w:spacing w:line="240" w:lineRule="auto"/>
      </w:pPr>
      <w:r>
        <w:continuationSeparator/>
      </w:r>
    </w:p>
    <w:p w:rsidR="00AA2C2C" w:rsidRDefault="00AA2C2C"/>
    <w:p w:rsidR="00AA2C2C" w:rsidRDefault="00AA2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dy CS)">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EE" w:rsidRDefault="00B640E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YSpec="bottom"/>
      <w:tblW w:w="9921" w:type="dxa"/>
      <w:tblLayout w:type="fixed"/>
      <w:tblLook w:val="04A0" w:firstRow="1" w:lastRow="0" w:firstColumn="1" w:lastColumn="0" w:noHBand="0" w:noVBand="1"/>
    </w:tblPr>
    <w:tblGrid>
      <w:gridCol w:w="1417"/>
      <w:gridCol w:w="8504"/>
    </w:tblGrid>
    <w:tr w:rsidR="00AA2C2C" w:rsidRPr="00BA1E8D" w:rsidTr="007676C0">
      <w:trPr>
        <w:trHeight w:val="879"/>
      </w:trPr>
      <w:tc>
        <w:tcPr>
          <w:tcW w:w="1417" w:type="dxa"/>
        </w:tcPr>
        <w:p w:rsidR="00AA2C2C" w:rsidRPr="00023A6F" w:rsidRDefault="00AA2C2C" w:rsidP="007676C0">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10108E">
            <w:rPr>
              <w:noProof/>
            </w:rPr>
            <w:t>26</w:t>
          </w:r>
          <w:r w:rsidRPr="00BA1E8D">
            <w:rPr>
              <w:noProof/>
            </w:rPr>
            <w:fldChar w:fldCharType="end"/>
          </w:r>
        </w:p>
      </w:tc>
      <w:tc>
        <w:tcPr>
          <w:tcW w:w="8504" w:type="dxa"/>
        </w:tcPr>
        <w:p w:rsidR="00AA2C2C" w:rsidRPr="00BA1E8D" w:rsidRDefault="00AA2C2C" w:rsidP="00033EDC">
          <w:pPr>
            <w:pStyle w:val="FooterLeft"/>
          </w:pPr>
          <w:r>
            <w:t xml:space="preserve">2019–20 Medium-term FISCAL </w:t>
          </w:r>
          <w:r w:rsidRPr="00AB1ED5">
            <w:t>projections</w:t>
          </w:r>
        </w:p>
      </w:tc>
    </w:tr>
  </w:tbl>
  <w:p w:rsidR="00AA2C2C" w:rsidRPr="008E2623" w:rsidRDefault="00AA2C2C" w:rsidP="00560DD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AA2C2C" w:rsidRPr="00BA1E8D" w:rsidTr="007676C0">
      <w:trPr>
        <w:trHeight w:val="879"/>
      </w:trPr>
      <w:tc>
        <w:tcPr>
          <w:tcW w:w="8504" w:type="dxa"/>
        </w:tcPr>
        <w:p w:rsidR="00AA2C2C" w:rsidRPr="00BA1E8D" w:rsidRDefault="00AA2C2C" w:rsidP="00033EDC">
          <w:pPr>
            <w:pStyle w:val="FooterRight"/>
          </w:pPr>
          <w:r>
            <w:t xml:space="preserve">2019–20 Medium-term FISCAL </w:t>
          </w:r>
          <w:r w:rsidRPr="00AB1ED5">
            <w:t>projections</w:t>
          </w:r>
        </w:p>
      </w:tc>
      <w:tc>
        <w:tcPr>
          <w:tcW w:w="1417" w:type="dxa"/>
        </w:tcPr>
        <w:p w:rsidR="00AA2C2C" w:rsidRPr="00F24BF6" w:rsidRDefault="00AA2C2C" w:rsidP="007676C0">
          <w:pPr>
            <w:pStyle w:val="FooterRightPageNumber"/>
          </w:pPr>
          <w:r w:rsidRPr="00F24BF6">
            <w:fldChar w:fldCharType="begin"/>
          </w:r>
          <w:r w:rsidRPr="00F24BF6">
            <w:instrText xml:space="preserve"> PAGE   \* MERGEFORMAT </w:instrText>
          </w:r>
          <w:r w:rsidRPr="00F24BF6">
            <w:fldChar w:fldCharType="separate"/>
          </w:r>
          <w:r w:rsidR="0010108E">
            <w:t>27</w:t>
          </w:r>
          <w:r w:rsidRPr="00F24BF6">
            <w:fldChar w:fldCharType="end"/>
          </w:r>
        </w:p>
      </w:tc>
    </w:tr>
  </w:tbl>
  <w:p w:rsidR="00AA2C2C" w:rsidRDefault="00AA2C2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YSpec="bottom"/>
      <w:tblW w:w="9921" w:type="dxa"/>
      <w:tblLayout w:type="fixed"/>
      <w:tblLook w:val="04A0" w:firstRow="1" w:lastRow="0" w:firstColumn="1" w:lastColumn="0" w:noHBand="0" w:noVBand="1"/>
    </w:tblPr>
    <w:tblGrid>
      <w:gridCol w:w="1417"/>
      <w:gridCol w:w="8504"/>
    </w:tblGrid>
    <w:tr w:rsidR="00AA2C2C" w:rsidRPr="00BA1E8D" w:rsidTr="00AB79E1">
      <w:trPr>
        <w:trHeight w:val="879"/>
      </w:trPr>
      <w:tc>
        <w:tcPr>
          <w:tcW w:w="1417" w:type="dxa"/>
        </w:tcPr>
        <w:p w:rsidR="00AA2C2C" w:rsidRPr="00023A6F" w:rsidRDefault="00AA2C2C" w:rsidP="00AB79E1">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10108E">
            <w:rPr>
              <w:noProof/>
            </w:rPr>
            <w:t>32</w:t>
          </w:r>
          <w:r w:rsidRPr="00BA1E8D">
            <w:rPr>
              <w:noProof/>
            </w:rPr>
            <w:fldChar w:fldCharType="end"/>
          </w:r>
        </w:p>
      </w:tc>
      <w:tc>
        <w:tcPr>
          <w:tcW w:w="8504" w:type="dxa"/>
        </w:tcPr>
        <w:p w:rsidR="00AA2C2C" w:rsidRPr="00BA1E8D" w:rsidRDefault="00AA2C2C" w:rsidP="00033EDC">
          <w:pPr>
            <w:pStyle w:val="FooterLeft"/>
          </w:pPr>
          <w:r>
            <w:t xml:space="preserve">2019–20 Medium-term FISCAL </w:t>
          </w:r>
          <w:r w:rsidRPr="00AB1ED5">
            <w:t>projections</w:t>
          </w:r>
        </w:p>
      </w:tc>
    </w:tr>
  </w:tbl>
  <w:p w:rsidR="00AA2C2C" w:rsidRPr="008E2623" w:rsidRDefault="00AA2C2C" w:rsidP="007979E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AA2C2C" w:rsidRPr="00BA1E8D" w:rsidTr="00AB79E1">
      <w:trPr>
        <w:trHeight w:val="879"/>
      </w:trPr>
      <w:tc>
        <w:tcPr>
          <w:tcW w:w="8504" w:type="dxa"/>
        </w:tcPr>
        <w:p w:rsidR="00AA2C2C" w:rsidRPr="00BA1E8D" w:rsidRDefault="00AA2C2C" w:rsidP="00033EDC">
          <w:pPr>
            <w:pStyle w:val="FooterRight"/>
          </w:pPr>
          <w:r>
            <w:t xml:space="preserve">2019–20 Medium-term FISCAL </w:t>
          </w:r>
          <w:r w:rsidRPr="00AB1ED5">
            <w:t>projections</w:t>
          </w:r>
        </w:p>
      </w:tc>
      <w:tc>
        <w:tcPr>
          <w:tcW w:w="1417" w:type="dxa"/>
        </w:tcPr>
        <w:p w:rsidR="00AA2C2C" w:rsidRPr="00F24BF6" w:rsidRDefault="00AA2C2C" w:rsidP="00AB79E1">
          <w:pPr>
            <w:pStyle w:val="FooterRightPageNumber"/>
          </w:pPr>
          <w:r w:rsidRPr="00F24BF6">
            <w:fldChar w:fldCharType="begin"/>
          </w:r>
          <w:r w:rsidRPr="00F24BF6">
            <w:instrText xml:space="preserve"> PAGE   \* MERGEFORMAT </w:instrText>
          </w:r>
          <w:r w:rsidRPr="00F24BF6">
            <w:fldChar w:fldCharType="separate"/>
          </w:r>
          <w:r w:rsidR="0010108E">
            <w:t>31</w:t>
          </w:r>
          <w:r w:rsidRPr="00F24BF6">
            <w:fldChar w:fldCharType="end"/>
          </w:r>
        </w:p>
      </w:tc>
    </w:tr>
  </w:tbl>
  <w:p w:rsidR="00AA2C2C" w:rsidRDefault="00AA2C2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EE" w:rsidRDefault="00B640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EE" w:rsidRDefault="00B640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AA2C2C" w:rsidRPr="00BA1E8D" w:rsidTr="00DB43E0">
      <w:trPr>
        <w:trHeight w:val="879"/>
      </w:trPr>
      <w:tc>
        <w:tcPr>
          <w:tcW w:w="1417" w:type="dxa"/>
        </w:tcPr>
        <w:p w:rsidR="00AA2C2C" w:rsidRPr="00023A6F" w:rsidRDefault="00AA2C2C"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10108E">
            <w:rPr>
              <w:noProof/>
            </w:rPr>
            <w:t>2</w:t>
          </w:r>
          <w:r w:rsidRPr="00BA1E8D">
            <w:rPr>
              <w:noProof/>
            </w:rPr>
            <w:fldChar w:fldCharType="end"/>
          </w:r>
        </w:p>
      </w:tc>
      <w:tc>
        <w:tcPr>
          <w:tcW w:w="8504" w:type="dxa"/>
        </w:tcPr>
        <w:p w:rsidR="00AA2C2C" w:rsidRPr="00BA1E8D" w:rsidRDefault="00AA2C2C" w:rsidP="00B60E45">
          <w:pPr>
            <w:pStyle w:val="FooterLeft"/>
          </w:pPr>
          <w:r>
            <w:t xml:space="preserve">2019–20 Medium-term FISCAL </w:t>
          </w:r>
          <w:r w:rsidRPr="00AB1ED5">
            <w:t>projections</w:t>
          </w:r>
        </w:p>
      </w:tc>
    </w:tr>
  </w:tbl>
  <w:p w:rsidR="00AA2C2C" w:rsidRPr="008E2623" w:rsidRDefault="00AA2C2C"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AA2C2C" w:rsidRPr="00BA1E8D" w:rsidTr="00DB43E0">
      <w:trPr>
        <w:trHeight w:val="879"/>
      </w:trPr>
      <w:tc>
        <w:tcPr>
          <w:tcW w:w="8504" w:type="dxa"/>
        </w:tcPr>
        <w:p w:rsidR="00AA2C2C" w:rsidRPr="00BA1E8D" w:rsidRDefault="00AA2C2C" w:rsidP="0028300F">
          <w:pPr>
            <w:pStyle w:val="FooterRight"/>
          </w:pPr>
          <w:r>
            <w:t xml:space="preserve">2019–20 PBO Medium-term </w:t>
          </w:r>
          <w:r w:rsidRPr="00AB1ED5">
            <w:t>projections</w:t>
          </w:r>
        </w:p>
      </w:tc>
      <w:tc>
        <w:tcPr>
          <w:tcW w:w="1417" w:type="dxa"/>
        </w:tcPr>
        <w:p w:rsidR="00AA2C2C" w:rsidRPr="00BA1E8D" w:rsidRDefault="00AA2C2C" w:rsidP="00023A6F">
          <w:pPr>
            <w:pStyle w:val="FooterRightPageNumber"/>
          </w:pPr>
          <w:r w:rsidRPr="00BA1E8D">
            <w:fldChar w:fldCharType="begin"/>
          </w:r>
          <w:r w:rsidRPr="00BA1E8D">
            <w:instrText xml:space="preserve"> PAGE   \* MERGEFORMAT </w:instrText>
          </w:r>
          <w:r w:rsidRPr="00BA1E8D">
            <w:fldChar w:fldCharType="separate"/>
          </w:r>
          <w:r w:rsidR="0010108E">
            <w:t>iii</w:t>
          </w:r>
          <w:r w:rsidRPr="00BA1E8D">
            <w:fldChar w:fldCharType="end"/>
          </w:r>
        </w:p>
      </w:tc>
    </w:tr>
  </w:tbl>
  <w:p w:rsidR="00AA2C2C" w:rsidRPr="004816D7" w:rsidRDefault="00AA2C2C"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AA2C2C" w:rsidRPr="00BA1E8D" w:rsidTr="00A71C44">
      <w:trPr>
        <w:trHeight w:val="879"/>
      </w:trPr>
      <w:tc>
        <w:tcPr>
          <w:tcW w:w="8504" w:type="dxa"/>
        </w:tcPr>
        <w:p w:rsidR="00AA2C2C" w:rsidRPr="00BA1E8D" w:rsidRDefault="00AA2C2C" w:rsidP="00B60E45">
          <w:pPr>
            <w:pStyle w:val="FooterRight"/>
          </w:pPr>
          <w:r>
            <w:t>2019</w:t>
          </w:r>
          <w:r>
            <w:softHyphen/>
            <w:t xml:space="preserve">–20 Medium-term FISCAL </w:t>
          </w:r>
          <w:r w:rsidRPr="00AB1ED5">
            <w:t>projections</w:t>
          </w:r>
        </w:p>
      </w:tc>
      <w:tc>
        <w:tcPr>
          <w:tcW w:w="1417" w:type="dxa"/>
        </w:tcPr>
        <w:p w:rsidR="00AA2C2C" w:rsidRPr="00F24BF6" w:rsidRDefault="00AA2C2C" w:rsidP="00A71C44">
          <w:pPr>
            <w:pStyle w:val="FooterRightPageNumber"/>
          </w:pPr>
          <w:r w:rsidRPr="00F24BF6">
            <w:fldChar w:fldCharType="begin"/>
          </w:r>
          <w:r w:rsidRPr="00F24BF6">
            <w:instrText xml:space="preserve"> PAGE   \* MERGEFORMAT </w:instrText>
          </w:r>
          <w:r w:rsidRPr="00F24BF6">
            <w:fldChar w:fldCharType="separate"/>
          </w:r>
          <w:r w:rsidR="0010108E">
            <w:t>1</w:t>
          </w:r>
          <w:r w:rsidRPr="00F24BF6">
            <w:fldChar w:fldCharType="end"/>
          </w:r>
        </w:p>
      </w:tc>
    </w:tr>
  </w:tbl>
  <w:p w:rsidR="00AA2C2C" w:rsidRDefault="00AA2C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C2C" w:rsidRPr="000557A7" w:rsidRDefault="00AA2C2C" w:rsidP="008D5A11">
      <w:pPr>
        <w:pBdr>
          <w:top w:val="single" w:sz="4" w:space="1" w:color="auto"/>
        </w:pBdr>
        <w:spacing w:before="240" w:line="60" w:lineRule="exact"/>
        <w:rPr>
          <w:sz w:val="16"/>
          <w:szCs w:val="16"/>
        </w:rPr>
      </w:pPr>
    </w:p>
  </w:footnote>
  <w:footnote w:type="continuationSeparator" w:id="0">
    <w:p w:rsidR="00AA2C2C" w:rsidRDefault="00AA2C2C" w:rsidP="00A20802">
      <w:pPr>
        <w:spacing w:line="240" w:lineRule="auto"/>
      </w:pPr>
      <w:r>
        <w:continuationSeparator/>
      </w:r>
    </w:p>
    <w:p w:rsidR="00AA2C2C" w:rsidRDefault="00AA2C2C"/>
    <w:p w:rsidR="00AA2C2C" w:rsidRDefault="00AA2C2C"/>
  </w:footnote>
  <w:footnote w:id="1">
    <w:p w:rsidR="00AA2C2C" w:rsidRPr="004955F3" w:rsidRDefault="00AA2C2C" w:rsidP="00992D4B">
      <w:pPr>
        <w:pStyle w:val="FootnoteText"/>
      </w:pPr>
      <w:r w:rsidRPr="004955F3">
        <w:footnoteRef/>
      </w:r>
      <w:r>
        <w:tab/>
      </w:r>
      <w:r w:rsidRPr="004955F3">
        <w:t xml:space="preserve">See PBO </w:t>
      </w:r>
      <w:r>
        <w:t>R</w:t>
      </w:r>
      <w:r w:rsidRPr="004955F3">
        <w:t xml:space="preserve">eport no. 02/2019 </w:t>
      </w:r>
      <w:r w:rsidRPr="004955F3">
        <w:rPr>
          <w:i/>
        </w:rPr>
        <w:t>Australia’s ageing population – Understanding the fiscal impacts over the next decade</w:t>
      </w:r>
      <w:r w:rsidRPr="004955F3">
        <w:t>.</w:t>
      </w:r>
      <w:r>
        <w:t xml:space="preserve">  </w:t>
      </w:r>
      <w:r>
        <w:br/>
      </w:r>
    </w:p>
  </w:footnote>
  <w:footnote w:id="2">
    <w:p w:rsidR="00AA2C2C" w:rsidRPr="00E75588" w:rsidRDefault="00AA2C2C" w:rsidP="00722B42">
      <w:pPr>
        <w:pStyle w:val="FootnoteText"/>
      </w:pPr>
      <w:r w:rsidRPr="00AE719E">
        <w:footnoteRef/>
      </w:r>
      <w:r>
        <w:tab/>
        <w:t xml:space="preserve">See PBO Report no. 03/2018 </w:t>
      </w:r>
      <w:r w:rsidRPr="00AD6641">
        <w:rPr>
          <w:i/>
        </w:rPr>
        <w:t>201</w:t>
      </w:r>
      <w:r w:rsidRPr="00E75588">
        <w:rPr>
          <w:i/>
        </w:rPr>
        <w:t>8–19</w:t>
      </w:r>
      <w:r w:rsidRPr="00AE719E">
        <w:rPr>
          <w:i/>
        </w:rPr>
        <w:t xml:space="preserve"> Budget: </w:t>
      </w:r>
      <w:r w:rsidRPr="00E75588">
        <w:rPr>
          <w:i/>
        </w:rPr>
        <w:t>Medium</w:t>
      </w:r>
      <w:r w:rsidRPr="00AD6641">
        <w:rPr>
          <w:i/>
        </w:rPr>
        <w:t xml:space="preserve">-term projections </w:t>
      </w:r>
      <w:r w:rsidRPr="00E75588">
        <w:t>(hereafter referred to as ‘the previous report’</w:t>
      </w:r>
      <w:r>
        <w:t>).</w:t>
      </w:r>
    </w:p>
  </w:footnote>
  <w:footnote w:id="3">
    <w:p w:rsidR="00AA2C2C" w:rsidRPr="00497DA5" w:rsidRDefault="00AA2C2C" w:rsidP="0003175E">
      <w:pPr>
        <w:pStyle w:val="FootnoteText"/>
      </w:pPr>
      <w:r w:rsidRPr="00241257">
        <w:footnoteRef/>
      </w:r>
      <w:r>
        <w:tab/>
        <w:t>T</w:t>
      </w:r>
      <w:r w:rsidRPr="00497DA5">
        <w:t xml:space="preserve">he ten-year bond yield assumption used in this report </w:t>
      </w:r>
      <w:r>
        <w:t>was</w:t>
      </w:r>
      <w:r w:rsidRPr="00497DA5">
        <w:t xml:space="preserve"> 1.9 per cent, </w:t>
      </w:r>
      <w:r>
        <w:t>0.6 per</w:t>
      </w:r>
      <w:r w:rsidRPr="00497DA5">
        <w:t>cent</w:t>
      </w:r>
      <w:r>
        <w:t>age points lower</w:t>
      </w:r>
      <w:r w:rsidRPr="00497DA5">
        <w:t xml:space="preserve"> </w:t>
      </w:r>
      <w:r>
        <w:t>than</w:t>
      </w:r>
      <w:r w:rsidRPr="00497DA5">
        <w:t xml:space="preserve"> </w:t>
      </w:r>
      <w:r>
        <w:t>the assumption</w:t>
      </w:r>
      <w:r w:rsidRPr="00497DA5">
        <w:t xml:space="preserve"> of 2.5 per cent </w:t>
      </w:r>
      <w:r>
        <w:t>used in</w:t>
      </w:r>
      <w:r w:rsidRPr="00497DA5">
        <w:t xml:space="preserve"> last year</w:t>
      </w:r>
      <w:r>
        <w:t>’s</w:t>
      </w:r>
      <w:r w:rsidRPr="00497DA5">
        <w:t xml:space="preserve"> report</w:t>
      </w:r>
      <w:r>
        <w:t>.</w:t>
      </w:r>
    </w:p>
  </w:footnote>
  <w:footnote w:id="4">
    <w:p w:rsidR="00AA2C2C" w:rsidRPr="002446E8" w:rsidRDefault="00AA2C2C" w:rsidP="00305C20">
      <w:pPr>
        <w:pStyle w:val="FootnoteText"/>
      </w:pPr>
      <w:r w:rsidRPr="00A117C9">
        <w:footnoteRef/>
      </w:r>
      <w:r>
        <w:tab/>
        <w:t>Sustainable output is the level of economic activity consistent with a stable unemployment rate and stable inflation, often referred to as the economy operating ‘at potential’.</w:t>
      </w:r>
    </w:p>
  </w:footnote>
  <w:footnote w:id="5">
    <w:p w:rsidR="00AA2C2C" w:rsidRPr="006974E5" w:rsidRDefault="00AA2C2C" w:rsidP="00AF5E30">
      <w:pPr>
        <w:pStyle w:val="FootnoteText"/>
      </w:pPr>
      <w:r w:rsidRPr="00EF02F5">
        <w:footnoteRef/>
      </w:r>
      <w:r w:rsidRPr="00E31DAF">
        <w:tab/>
      </w:r>
      <w:proofErr w:type="gramStart"/>
      <w:r w:rsidRPr="00E31DAF">
        <w:t xml:space="preserve">Bullen, J., Greenwell, J., </w:t>
      </w:r>
      <w:proofErr w:type="spellStart"/>
      <w:r w:rsidRPr="00E31DAF">
        <w:t>Kouparitsas</w:t>
      </w:r>
      <w:proofErr w:type="spellEnd"/>
      <w:r w:rsidRPr="00E31DAF">
        <w:t>, M., Muller, D., O’Leary, J. &amp; Wilcox, R., 2014b.</w:t>
      </w:r>
      <w:proofErr w:type="gramEnd"/>
      <w:r w:rsidRPr="00E31DAF">
        <w:t xml:space="preserve"> </w:t>
      </w:r>
      <w:r w:rsidRPr="00EF02F5">
        <w:rPr>
          <w:i/>
        </w:rPr>
        <w:t>Treasury’s Medium</w:t>
      </w:r>
      <w:r w:rsidRPr="00EF02F5">
        <w:rPr>
          <w:i/>
        </w:rPr>
        <w:noBreakHyphen/>
        <w:t>Term Economic Projection Methodology</w:t>
      </w:r>
      <w:r w:rsidRPr="00E31DAF">
        <w:t xml:space="preserve">. </w:t>
      </w:r>
      <w:proofErr w:type="gramStart"/>
      <w:r w:rsidRPr="00E31DAF">
        <w:t>Treasury Working Paper, 2014–02.</w:t>
      </w:r>
      <w:proofErr w:type="gramEnd"/>
    </w:p>
  </w:footnote>
  <w:footnote w:id="6">
    <w:p w:rsidR="00AA2C2C" w:rsidRPr="003E6810" w:rsidRDefault="00AA2C2C" w:rsidP="00A92D74">
      <w:pPr>
        <w:pStyle w:val="FootnoteText"/>
      </w:pPr>
      <w:r w:rsidRPr="003E6810">
        <w:footnoteRef/>
      </w:r>
      <w:r>
        <w:tab/>
        <w:t>I</w:t>
      </w:r>
      <w:r w:rsidRPr="003E6810">
        <w:t xml:space="preserve">nformation on the projection methodology for individual revenue and payments </w:t>
      </w:r>
      <w:r>
        <w:t>items is</w:t>
      </w:r>
      <w:r w:rsidRPr="003E6810">
        <w:t xml:space="preserve"> in </w:t>
      </w:r>
      <w:r>
        <w:t>Appendices A and B</w:t>
      </w:r>
      <w:r w:rsidRPr="003E6810">
        <w:t>.</w:t>
      </w:r>
    </w:p>
  </w:footnote>
  <w:footnote w:id="7">
    <w:p w:rsidR="00AA2C2C" w:rsidRPr="00B2780F" w:rsidRDefault="00AA2C2C" w:rsidP="002D53D4">
      <w:pPr>
        <w:pStyle w:val="FootnoteText"/>
      </w:pPr>
      <w:r w:rsidRPr="009E2264">
        <w:footnoteRef/>
      </w:r>
      <w:r>
        <w:tab/>
        <w:t xml:space="preserve">See </w:t>
      </w:r>
      <w:r w:rsidRPr="009B16B4">
        <w:t xml:space="preserve">PBO </w:t>
      </w:r>
      <w:r>
        <w:t>R</w:t>
      </w:r>
      <w:r w:rsidRPr="009B16B4">
        <w:t>eport</w:t>
      </w:r>
      <w:r>
        <w:t xml:space="preserve"> no. 05/2017 </w:t>
      </w:r>
      <w:r w:rsidRPr="00527545">
        <w:rPr>
          <w:i/>
        </w:rPr>
        <w:t>2017</w:t>
      </w:r>
      <w:r>
        <w:rPr>
          <w:i/>
        </w:rPr>
        <w:t>–</w:t>
      </w:r>
      <w:r w:rsidRPr="00527545">
        <w:rPr>
          <w:i/>
        </w:rPr>
        <w:t>18 Budget medium-term projections: economic scenario analysis</w:t>
      </w:r>
      <w:r>
        <w:t>.</w:t>
      </w:r>
    </w:p>
  </w:footnote>
  <w:footnote w:id="8">
    <w:p w:rsidR="00AA2C2C" w:rsidRPr="00AF5E30" w:rsidRDefault="00AA2C2C" w:rsidP="00305C20">
      <w:pPr>
        <w:pStyle w:val="FootnoteText"/>
      </w:pPr>
      <w:r w:rsidRPr="00434DD7">
        <w:footnoteRef/>
      </w:r>
      <w:r>
        <w:tab/>
        <w:t>Total receipts are equal to tax receipts plus non-tax receipts.  As part of its fiscal strategy, the Government has a commitment to maintaining the ratio of tax receipts to GDP at or below 23.9 per cent of GDP.  The tax cap does not apply to non-tax receipts.</w:t>
      </w:r>
    </w:p>
  </w:footnote>
  <w:footnote w:id="9">
    <w:p w:rsidR="00AA2C2C" w:rsidRPr="00F44DCC" w:rsidRDefault="00AA2C2C" w:rsidP="00A73258">
      <w:pPr>
        <w:pStyle w:val="FootnoteText"/>
      </w:pPr>
      <w:r w:rsidRPr="00036B53">
        <w:footnoteRef/>
      </w:r>
      <w:r>
        <w:tab/>
        <w:t xml:space="preserve">The 2018–19 </w:t>
      </w:r>
      <w:proofErr w:type="gramStart"/>
      <w:r>
        <w:t>Budget</w:t>
      </w:r>
      <w:proofErr w:type="gramEnd"/>
      <w:r>
        <w:t xml:space="preserve"> included the Government’s </w:t>
      </w:r>
      <w:r w:rsidRPr="000D4C9A">
        <w:rPr>
          <w:i/>
        </w:rPr>
        <w:t>Personal Income Tax Plan</w:t>
      </w:r>
      <w:r>
        <w:t xml:space="preserve">, and the 2019–20 Budget included </w:t>
      </w:r>
      <w:r w:rsidRPr="000D4C9A">
        <w:rPr>
          <w:i/>
        </w:rPr>
        <w:t>Lower taxes for hard-working Australians: Building on the Personal Income Tax Plan</w:t>
      </w:r>
      <w:r>
        <w:t>.  The 2019–20 Budget included an increase in tax offsets for low- and middle-income earners, increasing the top threshold of the 19 per cent bracket from $41,001 to $45,000, and reducing the 32.5 per cent marginal tax rate to 30 per cent.  These changes are staged, with the first changes implemented from the 2018–19 tax year, and the final changes implemented from 2024–25.</w:t>
      </w:r>
    </w:p>
  </w:footnote>
  <w:footnote w:id="10">
    <w:p w:rsidR="00AA2C2C" w:rsidRPr="00B2780F" w:rsidRDefault="00AA2C2C" w:rsidP="000F2403">
      <w:pPr>
        <w:pStyle w:val="FootnoteText"/>
      </w:pPr>
      <w:r w:rsidRPr="000F2403">
        <w:footnoteRef/>
      </w:r>
      <w:r>
        <w:tab/>
        <w:t xml:space="preserve">See PBO Report no. 02/2018 </w:t>
      </w:r>
      <w:r w:rsidRPr="000F2403">
        <w:rPr>
          <w:i/>
        </w:rPr>
        <w:t>Trends affecting the sustainability of Commonwealth taxes</w:t>
      </w:r>
      <w:r>
        <w:t>.</w:t>
      </w:r>
    </w:p>
  </w:footnote>
  <w:footnote w:id="11">
    <w:p w:rsidR="00AA2C2C" w:rsidRPr="00C95E72" w:rsidRDefault="00AA2C2C" w:rsidP="009B16B4">
      <w:pPr>
        <w:pStyle w:val="FootnoteText"/>
      </w:pPr>
      <w:r w:rsidRPr="0098441D">
        <w:footnoteRef/>
      </w:r>
      <w:r w:rsidRPr="0098441D">
        <w:tab/>
      </w:r>
      <w:r w:rsidRPr="00A73258">
        <w:t>Australian Government (2019), 2019–20 Budget, Budget Paper No. 1, page 4–12</w:t>
      </w:r>
      <w:r>
        <w:t>.</w:t>
      </w:r>
    </w:p>
  </w:footnote>
  <w:footnote w:id="12">
    <w:p w:rsidR="00AA2C2C" w:rsidRPr="00B2780F" w:rsidRDefault="00AA2C2C" w:rsidP="00031075">
      <w:pPr>
        <w:pStyle w:val="FootnoteText"/>
      </w:pPr>
      <w:r w:rsidRPr="00FA3CD6">
        <w:footnoteRef/>
      </w:r>
      <w:r>
        <w:tab/>
        <w:t xml:space="preserve">PBO report no. 02/2018 </w:t>
      </w:r>
      <w:r w:rsidRPr="000F2403">
        <w:rPr>
          <w:i/>
        </w:rPr>
        <w:t>Trends affecting the sustainability of Commonwealth taxes</w:t>
      </w:r>
      <w:r>
        <w:t>.</w:t>
      </w:r>
    </w:p>
  </w:footnote>
  <w:footnote w:id="13">
    <w:p w:rsidR="00AA2C2C" w:rsidRPr="00C64A14" w:rsidRDefault="00AA2C2C" w:rsidP="00C64A14">
      <w:pPr>
        <w:pStyle w:val="FootnoteText"/>
      </w:pPr>
      <w:r w:rsidRPr="00AE719E">
        <w:footnoteRef/>
      </w:r>
      <w:r>
        <w:tab/>
      </w:r>
      <w:r w:rsidRPr="00AE719E">
        <w:t>The projections incorporate the Government’s policy as at the 2019</w:t>
      </w:r>
      <w:r w:rsidRPr="00321DD0">
        <w:t>–</w:t>
      </w:r>
      <w:r w:rsidRPr="00AE719E">
        <w:t>20 Budget</w:t>
      </w:r>
      <w:r>
        <w:t>, but do not incorporate the</w:t>
      </w:r>
      <w:r w:rsidRPr="00AE719E">
        <w:t xml:space="preserve"> election commitment to continue the </w:t>
      </w:r>
      <w:r>
        <w:t>e</w:t>
      </w:r>
      <w:r w:rsidRPr="00AE719E">
        <w:t xml:space="preserve">fficiency </w:t>
      </w:r>
      <w:r>
        <w:t>d</w:t>
      </w:r>
      <w:r w:rsidRPr="00AE719E">
        <w:t>ividend rate at its 2018</w:t>
      </w:r>
      <w:r w:rsidRPr="00321DD0">
        <w:t>–</w:t>
      </w:r>
      <w:r w:rsidRPr="00AE719E">
        <w:t>19 level of 2</w:t>
      </w:r>
      <w:r>
        <w:t> </w:t>
      </w:r>
      <w:r w:rsidRPr="00AE719E">
        <w:t>per</w:t>
      </w:r>
      <w:r>
        <w:t> </w:t>
      </w:r>
      <w:r w:rsidRPr="00AE719E">
        <w:t>cent for two</w:t>
      </w:r>
      <w:r>
        <w:t> </w:t>
      </w:r>
      <w:r w:rsidRPr="00AE719E">
        <w:t>additional years (2019</w:t>
      </w:r>
      <w:r w:rsidRPr="00321DD0">
        <w:t>–</w:t>
      </w:r>
      <w:r w:rsidRPr="00AE719E">
        <w:t>20 and 2020</w:t>
      </w:r>
      <w:r w:rsidRPr="00321DD0">
        <w:t>–</w:t>
      </w:r>
      <w:r w:rsidRPr="00AE719E">
        <w:t xml:space="preserve">21) and set the </w:t>
      </w:r>
      <w:r>
        <w:t>e</w:t>
      </w:r>
      <w:r w:rsidRPr="00AE719E">
        <w:t xml:space="preserve">fficiency </w:t>
      </w:r>
      <w:r>
        <w:t>d</w:t>
      </w:r>
      <w:r w:rsidRPr="00AE719E">
        <w:t>ividend rate at 1.5</w:t>
      </w:r>
      <w:r>
        <w:t> </w:t>
      </w:r>
      <w:r w:rsidRPr="00AE719E">
        <w:t>per</w:t>
      </w:r>
      <w:r>
        <w:t> </w:t>
      </w:r>
      <w:r w:rsidRPr="00AE719E">
        <w:t>cent in 2021</w:t>
      </w:r>
      <w:r w:rsidRPr="00321DD0">
        <w:t>–</w:t>
      </w:r>
      <w:r w:rsidRPr="00AE719E">
        <w:t xml:space="preserve">22.  </w:t>
      </w:r>
      <w:r>
        <w:t xml:space="preserve">This commitment would be expected to further decrease spending on </w:t>
      </w:r>
      <w:r w:rsidR="00BF3AC6">
        <w:t>g</w:t>
      </w:r>
      <w:r>
        <w:t>overnment administration.</w:t>
      </w:r>
    </w:p>
  </w:footnote>
  <w:footnote w:id="14">
    <w:p w:rsidR="00AA2C2C" w:rsidRPr="000D4C9A" w:rsidRDefault="00AA2C2C">
      <w:pPr>
        <w:pStyle w:val="FootnoteText"/>
        <w:rPr>
          <w:i/>
        </w:rPr>
      </w:pPr>
      <w:r w:rsidRPr="000D4C9A">
        <w:footnoteRef/>
      </w:r>
      <w:r>
        <w:tab/>
      </w:r>
      <w:r w:rsidRPr="005A2C35">
        <w:t xml:space="preserve">Productivity Commission 2017, </w:t>
      </w:r>
      <w:r w:rsidRPr="000D4C9A">
        <w:rPr>
          <w:i/>
        </w:rPr>
        <w:t>National Disability Insurance Scheme (NDIS) Costs</w:t>
      </w:r>
      <w:r>
        <w:t>, Study Report.</w:t>
      </w:r>
    </w:p>
  </w:footnote>
  <w:footnote w:id="15">
    <w:p w:rsidR="00AA2C2C" w:rsidRPr="007D470B" w:rsidRDefault="00AA2C2C" w:rsidP="00215F4B">
      <w:pPr>
        <w:pStyle w:val="FootnoteText"/>
        <w:rPr>
          <w:rFonts w:cs="Times New Roman (Body CS)"/>
          <w:spacing w:val="-3"/>
        </w:rPr>
      </w:pPr>
      <w:r w:rsidRPr="007D470B">
        <w:rPr>
          <w:rFonts w:cs="Times New Roman (Body CS)"/>
          <w:spacing w:val="-3"/>
        </w:rPr>
        <w:footnoteRef/>
      </w:r>
      <w:r w:rsidRPr="007D470B">
        <w:rPr>
          <w:rFonts w:cs="Times New Roman (Body CS)"/>
          <w:spacing w:val="-3"/>
        </w:rPr>
        <w:tab/>
        <w:t xml:space="preserve">Under current administrative arrangements, the </w:t>
      </w:r>
      <w:r>
        <w:rPr>
          <w:rFonts w:cs="Times New Roman (Body CS)"/>
          <w:spacing w:val="-3"/>
        </w:rPr>
        <w:t>G</w:t>
      </w:r>
      <w:r w:rsidRPr="007D470B">
        <w:rPr>
          <w:rFonts w:cs="Times New Roman (Body CS)"/>
          <w:spacing w:val="-3"/>
        </w:rPr>
        <w:t>overnment</w:t>
      </w:r>
      <w:r>
        <w:rPr>
          <w:rFonts w:cs="Times New Roman (Body CS)"/>
          <w:spacing w:val="-3"/>
        </w:rPr>
        <w:t xml:space="preserve"> usually pays the </w:t>
      </w:r>
      <w:r w:rsidRPr="007D470B">
        <w:rPr>
          <w:rFonts w:cs="Times New Roman (Body CS)"/>
          <w:spacing w:val="-3"/>
        </w:rPr>
        <w:t>higher publicly published price of a drug</w:t>
      </w:r>
      <w:r>
        <w:rPr>
          <w:rFonts w:cs="Times New Roman (Body CS)"/>
          <w:spacing w:val="-3"/>
        </w:rPr>
        <w:t>,</w:t>
      </w:r>
      <w:r w:rsidRPr="007D470B">
        <w:rPr>
          <w:rFonts w:cs="Times New Roman (Body CS)"/>
          <w:spacing w:val="-3"/>
        </w:rPr>
        <w:t xml:space="preserve"> </w:t>
      </w:r>
      <w:r>
        <w:rPr>
          <w:rFonts w:cs="Times New Roman (Body CS)"/>
          <w:spacing w:val="-3"/>
        </w:rPr>
        <w:t>and the difference between this and a negotiated lower price is returned as a rebate by the manufacturer.</w:t>
      </w:r>
      <w:r w:rsidRPr="007D470B">
        <w:rPr>
          <w:rFonts w:cs="Times New Roman (Body CS)"/>
          <w:spacing w:val="-3"/>
        </w:rPr>
        <w:t xml:space="preserve"> </w:t>
      </w:r>
      <w:r>
        <w:rPr>
          <w:rFonts w:cs="Times New Roman (Body CS)"/>
          <w:spacing w:val="-3"/>
        </w:rPr>
        <w:t xml:space="preserve"> </w:t>
      </w:r>
      <w:r w:rsidRPr="007D470B">
        <w:rPr>
          <w:rFonts w:cs="Times New Roman (Body CS)"/>
          <w:spacing w:val="-3"/>
        </w:rPr>
        <w:t xml:space="preserve">This rebate is recognised as non-tax revenue. </w:t>
      </w:r>
      <w:r>
        <w:rPr>
          <w:rFonts w:cs="Times New Roman (Body CS)"/>
          <w:spacing w:val="-3"/>
        </w:rPr>
        <w:t xml:space="preserve"> </w:t>
      </w:r>
      <w:r w:rsidRPr="007D470B">
        <w:rPr>
          <w:rFonts w:cs="Times New Roman (Body CS)"/>
          <w:spacing w:val="-3"/>
        </w:rPr>
        <w:t>Under the new administrative arrangements</w:t>
      </w:r>
      <w:r>
        <w:rPr>
          <w:rFonts w:cs="Times New Roman (Body CS)"/>
          <w:spacing w:val="-3"/>
        </w:rPr>
        <w:t>,</w:t>
      </w:r>
      <w:r w:rsidRPr="007D470B">
        <w:rPr>
          <w:rFonts w:cs="Times New Roman (Body CS)"/>
          <w:spacing w:val="-3"/>
        </w:rPr>
        <w:t xml:space="preserve"> the </w:t>
      </w:r>
      <w:r>
        <w:rPr>
          <w:rFonts w:cs="Times New Roman (Body CS)"/>
          <w:spacing w:val="-3"/>
        </w:rPr>
        <w:t>G</w:t>
      </w:r>
      <w:r w:rsidRPr="007D470B">
        <w:rPr>
          <w:rFonts w:cs="Times New Roman (Body CS)"/>
          <w:spacing w:val="-3"/>
        </w:rPr>
        <w:t>overnment will pay the lower negotiated price</w:t>
      </w:r>
      <w:r>
        <w:rPr>
          <w:rFonts w:cs="Times New Roman (Body CS)"/>
          <w:spacing w:val="-3"/>
        </w:rPr>
        <w:t xml:space="preserve"> directly</w:t>
      </w:r>
      <w:r w:rsidRPr="007D470B">
        <w:rPr>
          <w:rFonts w:cs="Times New Roman (Body CS)"/>
          <w:spacing w:val="-3"/>
        </w:rPr>
        <w:t xml:space="preserve"> to the suppliers. </w:t>
      </w:r>
      <w:r>
        <w:rPr>
          <w:rFonts w:cs="Times New Roman (Body CS)"/>
          <w:spacing w:val="-3"/>
        </w:rPr>
        <w:t xml:space="preserve"> </w:t>
      </w:r>
      <w:r w:rsidRPr="007D470B">
        <w:rPr>
          <w:rFonts w:cs="Times New Roman (Body CS)"/>
          <w:spacing w:val="-3"/>
        </w:rPr>
        <w:t>This has the effect of reducing both spending and non-tax revenue, with no net impact on the budget.  The effect of this policy change will be complete by 2021</w:t>
      </w:r>
      <w:r>
        <w:rPr>
          <w:rFonts w:cs="Times New Roman (Body CS)"/>
          <w:spacing w:val="-3"/>
        </w:rPr>
        <w:softHyphen/>
        <w:t>–</w:t>
      </w:r>
      <w:r w:rsidRPr="007D470B">
        <w:rPr>
          <w:rFonts w:cs="Times New Roman (Body CS)"/>
          <w:spacing w:val="-3"/>
        </w:rPr>
        <w:t xml:space="preserve">22.  </w:t>
      </w:r>
    </w:p>
  </w:footnote>
  <w:footnote w:id="16">
    <w:p w:rsidR="00AA2C2C" w:rsidRPr="002C422E" w:rsidRDefault="00AA2C2C" w:rsidP="00717A6C">
      <w:pPr>
        <w:pStyle w:val="FootnoteText"/>
      </w:pPr>
      <w:r w:rsidRPr="00036B53">
        <w:footnoteRef/>
      </w:r>
      <w:r>
        <w:tab/>
      </w:r>
      <w:r w:rsidRPr="002C422E">
        <w:t>Including an allowance for new</w:t>
      </w:r>
      <w:r>
        <w:t xml:space="preserve"> PBS</w:t>
      </w:r>
      <w:r w:rsidRPr="002C422E">
        <w:t xml:space="preserve"> listings </w:t>
      </w:r>
      <w:r>
        <w:t xml:space="preserve">reflects the Government’s commitment to list all new medicines recommended by the </w:t>
      </w:r>
      <w:r w:rsidRPr="00B4438C">
        <w:rPr>
          <w:spacing w:val="-3"/>
        </w:rPr>
        <w:t xml:space="preserve">Pharmaceutical Benefits Advisory Committee </w:t>
      </w:r>
      <w:r>
        <w:t>and this is expected to continue into the future</w:t>
      </w:r>
      <w:r w:rsidRPr="002C422E">
        <w:t>.</w:t>
      </w:r>
    </w:p>
  </w:footnote>
  <w:footnote w:id="17">
    <w:p w:rsidR="00AA2C2C" w:rsidRPr="0030674E" w:rsidRDefault="00AA2C2C" w:rsidP="00376227">
      <w:pPr>
        <w:pStyle w:val="FootnoteText"/>
        <w:rPr>
          <w:i/>
        </w:rPr>
      </w:pPr>
      <w:r w:rsidRPr="009D6FBE">
        <w:footnoteRef/>
      </w:r>
      <w:r w:rsidRPr="009D6FBE">
        <w:tab/>
        <w:t xml:space="preserve">See PBO Report no. 01/2018 </w:t>
      </w:r>
      <w:r w:rsidRPr="009D6FBE">
        <w:rPr>
          <w:i/>
        </w:rPr>
        <w:t>Disability Support Pension – Historical and projected trends.</w:t>
      </w:r>
    </w:p>
  </w:footnote>
  <w:footnote w:id="18">
    <w:p w:rsidR="00AA2C2C" w:rsidRPr="001A4FED" w:rsidRDefault="00AA2C2C" w:rsidP="00376227">
      <w:pPr>
        <w:pStyle w:val="FootnoteText"/>
      </w:pPr>
      <w:r w:rsidRPr="001A4FED">
        <w:footnoteRef/>
      </w:r>
      <w:r>
        <w:tab/>
      </w:r>
      <w:r w:rsidRPr="001A4FED">
        <w:t xml:space="preserve">It is difficult to establish the extent to which growth in </w:t>
      </w:r>
      <w:proofErr w:type="spellStart"/>
      <w:r w:rsidRPr="001A4FED">
        <w:t>Newstart</w:t>
      </w:r>
      <w:proofErr w:type="spellEnd"/>
      <w:r w:rsidRPr="001A4FED">
        <w:t xml:space="preserve"> recipients has been affected by people </w:t>
      </w:r>
      <w:r>
        <w:t>who</w:t>
      </w:r>
      <w:r w:rsidRPr="001A4FED">
        <w:t xml:space="preserve"> have been unsuccessful in applying for the DSP.</w:t>
      </w:r>
      <w:r>
        <w:t xml:space="preserve">  Over the next decade, projected growth in </w:t>
      </w:r>
      <w:proofErr w:type="spellStart"/>
      <w:r>
        <w:t>Newstart</w:t>
      </w:r>
      <w:proofErr w:type="spellEnd"/>
      <w:r>
        <w:t xml:space="preserve"> spending is primarily driven by the unemployment rate. </w:t>
      </w:r>
    </w:p>
  </w:footnote>
  <w:footnote w:id="19">
    <w:p w:rsidR="00AA2C2C" w:rsidRDefault="00AA2C2C" w:rsidP="00A73258">
      <w:pPr>
        <w:pStyle w:val="FootnoteText"/>
      </w:pPr>
      <w:r w:rsidRPr="000D4C9A">
        <w:footnoteRef/>
      </w:r>
      <w:r>
        <w:tab/>
        <w:t xml:space="preserve">See the PBO Report no. 01/2018 </w:t>
      </w:r>
      <w:r w:rsidRPr="00CC2871">
        <w:rPr>
          <w:i/>
        </w:rPr>
        <w:t>Disability Support Pension – Historical and projected trends</w:t>
      </w:r>
      <w:r>
        <w:t>.</w:t>
      </w:r>
    </w:p>
  </w:footnote>
  <w:footnote w:id="20">
    <w:p w:rsidR="00AA2C2C" w:rsidRPr="00A117C9" w:rsidRDefault="00AA2C2C">
      <w:pPr>
        <w:pStyle w:val="FootnoteText"/>
      </w:pPr>
      <w:r w:rsidRPr="000D4C9A">
        <w:footnoteRef/>
      </w:r>
      <w:r>
        <w:tab/>
      </w:r>
      <w:proofErr w:type="gramStart"/>
      <w:r>
        <w:t xml:space="preserve">Department of Education, </w:t>
      </w:r>
      <w:r>
        <w:rPr>
          <w:i/>
        </w:rPr>
        <w:t>Child Care in Australia report December quarter 2018</w:t>
      </w:r>
      <w:r>
        <w:t>.</w:t>
      </w:r>
      <w:proofErr w:type="gramEnd"/>
    </w:p>
  </w:footnote>
  <w:footnote w:id="21">
    <w:p w:rsidR="00AA2C2C" w:rsidRDefault="00AA2C2C">
      <w:pPr>
        <w:pStyle w:val="FootnoteText"/>
      </w:pPr>
      <w:r w:rsidRPr="00AE719E">
        <w:footnoteRef/>
      </w:r>
      <w:r>
        <w:tab/>
      </w:r>
      <w:r w:rsidRPr="00DC7DDE">
        <w:t xml:space="preserve">GST </w:t>
      </w:r>
      <w:r>
        <w:t xml:space="preserve">is distributed </w:t>
      </w:r>
      <w:r w:rsidRPr="00DC7DDE">
        <w:t>among the states</w:t>
      </w:r>
      <w:r>
        <w:t xml:space="preserve"> and territories (the states)</w:t>
      </w:r>
      <w:r w:rsidRPr="00DC7DDE">
        <w:t xml:space="preserve"> based on the GST revenue sharing relativities recommended by the Commonwealth Grants Commission. </w:t>
      </w:r>
      <w:r>
        <w:t xml:space="preserve"> </w:t>
      </w:r>
      <w:r w:rsidRPr="00DC7DDE">
        <w:t>From 2021</w:t>
      </w:r>
      <w:r>
        <w:rPr>
          <w:spacing w:val="-3"/>
        </w:rPr>
        <w:t>–</w:t>
      </w:r>
      <w:r w:rsidRPr="00DC7DDE">
        <w:t>22, the</w:t>
      </w:r>
      <w:r>
        <w:t xml:space="preserve"> current</w:t>
      </w:r>
      <w:r w:rsidRPr="00DC7DDE">
        <w:t xml:space="preserve"> horizontal fiscal equalisation system will progressively transition over six years to </w:t>
      </w:r>
      <w:r>
        <w:t>an</w:t>
      </w:r>
      <w:r w:rsidRPr="00DC7DDE">
        <w:t xml:space="preserve"> equalisation standard</w:t>
      </w:r>
      <w:r>
        <w:t xml:space="preserve"> that is</w:t>
      </w:r>
      <w:r w:rsidRPr="00DC7DDE">
        <w:t xml:space="preserve"> based on the fiscal capacity of the stronger of New</w:t>
      </w:r>
      <w:r>
        <w:t> </w:t>
      </w:r>
      <w:r w:rsidRPr="00DC7DDE">
        <w:t>South</w:t>
      </w:r>
      <w:r>
        <w:t> </w:t>
      </w:r>
      <w:r w:rsidRPr="00DC7DDE">
        <w:t>Wales or Victoria.</w:t>
      </w:r>
      <w:r>
        <w:t xml:space="preserve">  During the transition phase, the </w:t>
      </w:r>
      <w:r w:rsidRPr="00DC7DDE">
        <w:t>Government will also boost the states’ GST entitlement each year</w:t>
      </w:r>
      <w:r>
        <w:t>,</w:t>
      </w:r>
      <w:r w:rsidRPr="00DC7DDE">
        <w:t xml:space="preserve"> with additional fundin</w:t>
      </w:r>
      <w:r>
        <w:t>g to ensure each state receives the cumulative better of the old or new system.</w:t>
      </w:r>
    </w:p>
  </w:footnote>
  <w:footnote w:id="22">
    <w:p w:rsidR="00AA2C2C" w:rsidRPr="007E66B7" w:rsidRDefault="00AA2C2C" w:rsidP="00215F4B">
      <w:pPr>
        <w:pStyle w:val="FootnoteText"/>
      </w:pPr>
      <w:r w:rsidRPr="007E66B7">
        <w:footnoteRef/>
      </w:r>
      <w:r>
        <w:tab/>
      </w:r>
      <w:r w:rsidRPr="007E66B7">
        <w:t>Net debt is the sum of selected financial liabilities (deposits held, advances received, government securities, loans and other borrowings) less the sum of selected financial assets (cash and deposits, advances paid, and investments, loans and placements).  It is a common measure of the strength of a government’s financial position.</w:t>
      </w:r>
    </w:p>
  </w:footnote>
  <w:footnote w:id="23">
    <w:p w:rsidR="00563C8C" w:rsidRPr="00DB4610" w:rsidRDefault="00563C8C" w:rsidP="00563C8C">
      <w:pPr>
        <w:pStyle w:val="FootnoteText"/>
      </w:pPr>
      <w:r w:rsidRPr="00241257">
        <w:footnoteRef/>
      </w:r>
      <w:r>
        <w:tab/>
        <w:t>The two projections fall within a reasonable margin of error, given the economic parameters and policy settings.</w:t>
      </w:r>
    </w:p>
  </w:footnote>
  <w:footnote w:id="24">
    <w:p w:rsidR="00563C8C" w:rsidRPr="000F378C" w:rsidRDefault="00563C8C" w:rsidP="00563C8C">
      <w:pPr>
        <w:pStyle w:val="FootnoteText"/>
      </w:pPr>
      <w:r w:rsidRPr="00A42C77">
        <w:footnoteRef/>
      </w:r>
      <w:r>
        <w:tab/>
        <w:t>The alternative measure presents the upper bound of the impact of a look-through calculation of net debt – that is, if all assets in collective investment vehicles held by government investment funds were determined to be equity-like in nature.  It is likely that assets in collective investment vehicles will be a mix of debt-like and equity-like assets, however the actual split is not known.  If some assets were determined to be debt-like in nature, the gap between the alternative measure and the standard estimate of net debt would be smaller.</w:t>
      </w:r>
    </w:p>
  </w:footnote>
  <w:footnote w:id="25">
    <w:p w:rsidR="00AA2C2C" w:rsidRPr="00963FE6" w:rsidRDefault="00AA2C2C" w:rsidP="003E377D">
      <w:pPr>
        <w:pStyle w:val="FootnoteText"/>
      </w:pPr>
      <w:r w:rsidRPr="00F8118D">
        <w:footnoteRef/>
      </w:r>
      <w:r>
        <w:tab/>
        <w:t>PBO R</w:t>
      </w:r>
      <w:r w:rsidRPr="009B16B4">
        <w:t>eport</w:t>
      </w:r>
      <w:r>
        <w:t xml:space="preserve"> no. 05/2017 </w:t>
      </w:r>
      <w:r w:rsidRPr="00527545">
        <w:rPr>
          <w:i/>
        </w:rPr>
        <w:t>2017</w:t>
      </w:r>
      <w:r>
        <w:rPr>
          <w:i/>
        </w:rPr>
        <w:t>–</w:t>
      </w:r>
      <w:r w:rsidRPr="00527545">
        <w:rPr>
          <w:i/>
        </w:rPr>
        <w:t>18 Budget medium-term projections: economic scenario analysis</w:t>
      </w:r>
      <w:r>
        <w:t>.</w:t>
      </w:r>
    </w:p>
  </w:footnote>
  <w:footnote w:id="26">
    <w:p w:rsidR="00AA2C2C" w:rsidRPr="004C2EB4" w:rsidRDefault="00AA2C2C">
      <w:pPr>
        <w:pStyle w:val="FootnoteText"/>
      </w:pPr>
      <w:r w:rsidRPr="000D4C9A">
        <w:footnoteRef/>
      </w:r>
      <w:r>
        <w:tab/>
      </w:r>
      <w:proofErr w:type="gramStart"/>
      <w:r>
        <w:t xml:space="preserve">PBO Report no. </w:t>
      </w:r>
      <w:r w:rsidRPr="0054036F">
        <w:t>01/2019</w:t>
      </w:r>
      <w:r>
        <w:t xml:space="preserve"> </w:t>
      </w:r>
      <w:r>
        <w:rPr>
          <w:i/>
          <w:lang w:eastAsia="en-AU"/>
        </w:rPr>
        <w:t>Net debt and investment funds – Trends and balance sheet implications</w:t>
      </w:r>
      <w:r>
        <w:rPr>
          <w:lang w:eastAsia="en-AU"/>
        </w:rPr>
        <w:t>.</w:t>
      </w:r>
      <w:proofErr w:type="gramEnd"/>
    </w:p>
  </w:footnote>
  <w:footnote w:id="27">
    <w:p w:rsidR="00AA2C2C" w:rsidRPr="00E60426" w:rsidRDefault="00AA2C2C" w:rsidP="00365299">
      <w:pPr>
        <w:pStyle w:val="FootnoteText"/>
      </w:pPr>
      <w:r w:rsidRPr="00234977">
        <w:footnoteRef/>
      </w:r>
      <w:r>
        <w:tab/>
        <w:t xml:space="preserve">At the 2019–20 Budget, defined benefit superannuation liabilities were valued using a discount rate of 5.0 per cent per annum, which is an average annual rate estimated to apply over the remainder of the term to maturity.  For the Final Budget Outcome, </w:t>
      </w:r>
      <w:r w:rsidRPr="00762707">
        <w:t>Australian Accounting Standards</w:t>
      </w:r>
      <w:r>
        <w:t xml:space="preserve"> require the use of the current long-term government bond rate, which is between 1.4 and 1.9 per cent per annum (depending on the scheme).  See the </w:t>
      </w:r>
      <w:r w:rsidRPr="003D2759">
        <w:rPr>
          <w:i/>
        </w:rPr>
        <w:t>2018</w:t>
      </w:r>
      <w:r>
        <w:t>–</w:t>
      </w:r>
      <w:r w:rsidRPr="003D2759">
        <w:rPr>
          <w:i/>
        </w:rPr>
        <w:t>19</w:t>
      </w:r>
      <w:r>
        <w:t xml:space="preserve"> </w:t>
      </w:r>
      <w:r w:rsidRPr="00234977">
        <w:rPr>
          <w:i/>
        </w:rPr>
        <w:t>Final Budget Outcome</w:t>
      </w:r>
      <w:r>
        <w:t>, page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46976" behindDoc="1" locked="1" layoutInCell="1" allowOverlap="1" wp14:anchorId="006AFB55" wp14:editId="23389371">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29920" behindDoc="1" locked="1" layoutInCell="1" allowOverlap="1" wp14:anchorId="233AA669" wp14:editId="1C0ED41A">
              <wp:simplePos x="0" y="0"/>
              <wp:positionH relativeFrom="page">
                <wp:align>center</wp:align>
              </wp:positionH>
              <wp:positionV relativeFrom="page">
                <wp:align>center</wp:align>
              </wp:positionV>
              <wp:extent cx="7560000" cy="1796400"/>
              <wp:effectExtent l="0" t="0" r="0" b="0"/>
              <wp:wrapNone/>
              <wp:docPr id="4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586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1jWdQuwIA&#10;AMQFAAAOAAAAAAAAAAAAAAAAAC4CAABkcnMvZTJvRG9jLnhtbFBLAQItABQABgAIAAAAIQA0xUTO&#10;2wAAAAYBAAAPAAAAAAAAAAAAAAAAABUFAABkcnMvZG93bnJldi54bWxQSwUGAAAAAAQABADzAAAA&#10;HQY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27872" behindDoc="1" locked="1" layoutInCell="1" allowOverlap="1" wp14:anchorId="7FEBA7A2" wp14:editId="0E8AE8EA">
              <wp:simplePos x="0" y="0"/>
              <wp:positionH relativeFrom="page">
                <wp:align>center</wp:align>
              </wp:positionH>
              <wp:positionV relativeFrom="page">
                <wp:align>center</wp:align>
              </wp:positionV>
              <wp:extent cx="7560000" cy="1796400"/>
              <wp:effectExtent l="0" t="0" r="0" b="0"/>
              <wp:wrapNone/>
              <wp:docPr id="4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588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AHuw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DNWAHuwIA&#10;AMQFAAAOAAAAAAAAAAAAAAAAAC4CAABkcnMvZTJvRG9jLnhtbFBLAQItABQABgAIAAAAIQA0xUTO&#10;2wAAAAYBAAAPAAAAAAAAAAAAAAAAABUFAABkcnMvZG93bnJldi54bWxQSwUGAAAAAAQABADzAAAA&#10;HQY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31968" behindDoc="1" locked="1" layoutInCell="1" allowOverlap="1" wp14:anchorId="0216249D" wp14:editId="26875914">
              <wp:simplePos x="0" y="0"/>
              <wp:positionH relativeFrom="page">
                <wp:align>center</wp:align>
              </wp:positionH>
              <wp:positionV relativeFrom="page">
                <wp:align>center</wp:align>
              </wp:positionV>
              <wp:extent cx="7560000" cy="1796400"/>
              <wp:effectExtent l="0" t="0" r="0" b="0"/>
              <wp:wrapNone/>
              <wp:docPr id="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584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FR4WG6AgAA&#10;xQ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17632" behindDoc="1" locked="1" layoutInCell="1" allowOverlap="1" wp14:anchorId="17535C12" wp14:editId="73FFD5C2">
              <wp:simplePos x="0" y="0"/>
              <wp:positionH relativeFrom="page">
                <wp:align>center</wp:align>
              </wp:positionH>
              <wp:positionV relativeFrom="page">
                <wp:align>center</wp:align>
              </wp:positionV>
              <wp:extent cx="7560000" cy="1796400"/>
              <wp:effectExtent l="0" t="0" r="0" b="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595.3pt;height:141.45pt;z-index:-251598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ejuQIAAMU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AoZ3o7kCAADF&#10;BQAADgAAAAAAAAAAAAAAAAAuAgAAZHJzL2Uyb0RvYy54bWxQSwECLQAUAAYACAAAACEANMVEztsA&#10;AAAGAQAADwAAAAAAAAAAAAAAAAATBQAAZHJzL2Rvd25yZXYueG1sUEsFBgAAAAAEAAQA8wAAABsG&#10;A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15584" behindDoc="1" locked="1" layoutInCell="1" allowOverlap="1" wp14:anchorId="061D6409" wp14:editId="3093525C">
              <wp:simplePos x="0" y="0"/>
              <wp:positionH relativeFrom="page">
                <wp:align>center</wp:align>
              </wp:positionH>
              <wp:positionV relativeFrom="page">
                <wp:align>center</wp:align>
              </wp:positionV>
              <wp:extent cx="7560000" cy="17964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595.3pt;height:141.45pt;z-index:-251600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zlgLwuwIA&#10;AMQFAAAOAAAAAAAAAAAAAAAAAC4CAABkcnMvZTJvRG9jLnhtbFBLAQItABQABgAIAAAAIQA0xUTO&#10;2wAAAAYBAAAPAAAAAAAAAAAAAAAAABUFAABkcnMvZG93bnJldi54bWxQSwUGAAAAAAQABADzAAAA&#10;HQY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719680" behindDoc="1" locked="1" layoutInCell="1" allowOverlap="1" wp14:anchorId="058B6B7C" wp14:editId="50A738AE">
              <wp:simplePos x="0" y="0"/>
              <wp:positionH relativeFrom="page">
                <wp:align>center</wp:align>
              </wp:positionH>
              <wp:positionV relativeFrom="page">
                <wp:align>center</wp:align>
              </wp:positionV>
              <wp:extent cx="7560000" cy="1796400"/>
              <wp:effectExtent l="0" t="0" r="0" b="0"/>
              <wp:wrapNone/>
              <wp:docPr id="1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595.3pt;height:141.45pt;z-index:-251596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PGuwIAAMU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eD7PGuwIA&#10;AMUFAAAOAAAAAAAAAAAAAAAAAC4CAABkcnMvZTJvRG9jLnhtbFBLAQItABQABgAIAAAAIQA0xUTO&#10;2wAAAAYBAAAPAAAAAAAAAAAAAAAAABUFAABkcnMvZG93bnJldi54bWxQSwUGAAAAAAQABADzAAAA&#10;HQY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53120" behindDoc="1" locked="1" layoutInCell="1" allowOverlap="1" wp14:anchorId="728CEE11" wp14:editId="2395E4B5">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w:drawing>
        <wp:anchor distT="0" distB="0" distL="114300" distR="114300" simplePos="0" relativeHeight="251712512" behindDoc="0" locked="1" layoutInCell="1" allowOverlap="1" wp14:anchorId="741A1975" wp14:editId="284F90F8">
          <wp:simplePos x="0" y="0"/>
          <wp:positionH relativeFrom="page">
            <wp:posOffset>939800</wp:posOffset>
          </wp:positionH>
          <wp:positionV relativeFrom="page">
            <wp:posOffset>1260475</wp:posOffset>
          </wp:positionV>
          <wp:extent cx="1918800" cy="586800"/>
          <wp:effectExtent l="0" t="0" r="5715" b="3810"/>
          <wp:wrapNone/>
          <wp:docPr id="17" name="Picture 17"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1488" behindDoc="1" locked="1" layoutInCell="1" allowOverlap="1" wp14:anchorId="0F79507D" wp14:editId="3C118F72">
          <wp:simplePos x="896815" y="509954"/>
          <wp:positionH relativeFrom="page">
            <wp:align>left</wp:align>
          </wp:positionH>
          <wp:positionV relativeFrom="page">
            <wp:align>top</wp:align>
          </wp:positionV>
          <wp:extent cx="7559675" cy="10692765"/>
          <wp:effectExtent l="0" t="0" r="3175" b="0"/>
          <wp:wrapNone/>
          <wp:docPr id="21" name="Picture 21"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13536" behindDoc="1" locked="1" layoutInCell="1" allowOverlap="1" wp14:anchorId="08B8DF8F" wp14:editId="37652DF1">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150788">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02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AA2C2C" w:rsidRPr="0001226A" w:rsidRDefault="00AA2C2C" w:rsidP="00150788">
                    <w:pPr>
                      <w:pStyle w:val="xStatus"/>
                      <w:rPr>
                        <w:szCs w:val="120"/>
                      </w:rPr>
                    </w:pPr>
                  </w:p>
                </w:txbxContent>
              </v:textbox>
              <w10:wrap anchorx="page" anchory="page"/>
              <w10:anchorlock/>
            </v:shape>
          </w:pict>
        </mc:Fallback>
      </mc:AlternateContent>
    </w:r>
  </w:p>
  <w:p w:rsidR="00AA2C2C" w:rsidRDefault="00AA2C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76672" behindDoc="1" locked="1" layoutInCell="1" allowOverlap="1" wp14:anchorId="27CC7854" wp14:editId="6A30E729">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78720" behindDoc="1" locked="1" layoutInCell="1" allowOverlap="1" wp14:anchorId="7120F605" wp14:editId="188B0DC3">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74624" behindDoc="1" locked="1" layoutInCell="1" allowOverlap="1" wp14:anchorId="299BB38E" wp14:editId="55440D86">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67456" behindDoc="1" locked="1" layoutInCell="1" allowOverlap="1" wp14:anchorId="21A95D02" wp14:editId="7961C800">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A7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SvYDu6AgAA&#10;ww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r>
      <w:rPr>
        <w:noProof/>
        <w:lang w:eastAsia="en-AU"/>
      </w:rPr>
      <mc:AlternateContent>
        <mc:Choice Requires="wps">
          <w:drawing>
            <wp:anchor distT="0" distB="0" distL="114300" distR="114300" simplePos="0" relativeHeight="251661312" behindDoc="1" locked="1" layoutInCell="1" allowOverlap="1" wp14:anchorId="3742A3A2" wp14:editId="128C4C74">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2C" w:rsidRPr="0001226A" w:rsidRDefault="00AA2C2C"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Cug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Zz5kK6AgAA&#10;xAUAAA4AAAAAAAAAAAAAAAAALgIAAGRycy9lMm9Eb2MueG1sUEsBAi0AFAAGAAgAAAAhADTFRM7b&#10;AAAABgEAAA8AAAAAAAAAAAAAAAAAFAUAAGRycy9kb3ducmV2LnhtbFBLBQYAAAAABAAEAPMAAAAc&#10;BgAAAAA=&#10;" filled="f" stroked="f">
              <v:textbox>
                <w:txbxContent>
                  <w:p w:rsidR="00AA2C2C" w:rsidRPr="0001226A" w:rsidRDefault="00AA2C2C"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C2C" w:rsidRDefault="00AA2C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nsid w:val="0D745448"/>
    <w:multiLevelType w:val="multilevel"/>
    <w:tmpl w:val="F81850AC"/>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color w:val="auto"/>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1">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5D0540A9"/>
    <w:multiLevelType w:val="multilevel"/>
    <w:tmpl w:val="78D86724"/>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4">
    <w:nsid w:val="6437676F"/>
    <w:multiLevelType w:val="multilevel"/>
    <w:tmpl w:val="AD04EFFE"/>
    <w:lvl w:ilvl="0">
      <w:start w:val="1"/>
      <w:numFmt w:val="bullet"/>
      <w:lvlText w:val=""/>
      <w:lvlJc w:val="left"/>
      <w:pPr>
        <w:ind w:left="255" w:hanging="170"/>
      </w:pPr>
      <w:rPr>
        <w:rFonts w:ascii="Symbol" w:hAnsi="Symbol" w:hint="default"/>
        <w:color w:val="auto"/>
        <w:position w:val="2"/>
        <w:sz w:val="20"/>
        <w:szCs w:val="12"/>
      </w:rPr>
    </w:lvl>
    <w:lvl w:ilvl="1">
      <w:start w:val="1"/>
      <w:numFmt w:val="bullet"/>
      <w:lvlText w:val="–"/>
      <w:lvlJc w:val="left"/>
      <w:pPr>
        <w:ind w:left="425" w:hanging="170"/>
      </w:pPr>
      <w:rPr>
        <w:rFonts w:ascii="Times New Roman" w:hAnsi="Times New Roman" w:cs="Times New Roman" w:hint="default"/>
        <w:b w:val="0"/>
        <w:i w:val="0"/>
        <w:color w:val="auto"/>
        <w:sz w:val="20"/>
        <w:szCs w:val="18"/>
      </w:rPr>
    </w:lvl>
    <w:lvl w:ilvl="2">
      <w:start w:val="1"/>
      <w:numFmt w:val="bullet"/>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5">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6">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8">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3"/>
  </w:num>
  <w:num w:numId="2">
    <w:abstractNumId w:val="2"/>
  </w:num>
  <w:num w:numId="3">
    <w:abstractNumId w:val="21"/>
  </w:num>
  <w:num w:numId="4">
    <w:abstractNumId w:val="19"/>
  </w:num>
  <w:num w:numId="5">
    <w:abstractNumId w:val="4"/>
  </w:num>
  <w:num w:numId="6">
    <w:abstractNumId w:val="5"/>
  </w:num>
  <w:num w:numId="7">
    <w:abstractNumId w:val="17"/>
  </w:num>
  <w:num w:numId="8">
    <w:abstractNumId w:val="3"/>
  </w:num>
  <w:num w:numId="9">
    <w:abstractNumId w:val="10"/>
  </w:num>
  <w:num w:numId="10">
    <w:abstractNumId w:val="6"/>
  </w:num>
  <w:num w:numId="11">
    <w:abstractNumId w:val="7"/>
  </w:num>
  <w:num w:numId="12">
    <w:abstractNumId w:val="15"/>
  </w:num>
  <w:num w:numId="13">
    <w:abstractNumId w:val="20"/>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1"/>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14"/>
  </w:num>
  <w:num w:numId="3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64"/>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Tru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False"/>
    <w:docVar w:name="Overview" w:val="True"/>
    <w:docVar w:name="PageSetup" w:val="Double"/>
    <w:docVar w:name="RibbonLabel" w:val="Appendix"/>
    <w:docVar w:name="TOC" w:val="True"/>
    <w:docVar w:name="TOCNew" w:val="False"/>
    <w:docVar w:name="Version" w:val="Version 1"/>
  </w:docVars>
  <w:rsids>
    <w:rsidRoot w:val="002400BD"/>
    <w:rsid w:val="0000322C"/>
    <w:rsid w:val="00003CDD"/>
    <w:rsid w:val="00004888"/>
    <w:rsid w:val="0000699B"/>
    <w:rsid w:val="00006A43"/>
    <w:rsid w:val="00006AD2"/>
    <w:rsid w:val="00011C7F"/>
    <w:rsid w:val="000128A5"/>
    <w:rsid w:val="00012996"/>
    <w:rsid w:val="0001300D"/>
    <w:rsid w:val="00013785"/>
    <w:rsid w:val="00014976"/>
    <w:rsid w:val="000165A7"/>
    <w:rsid w:val="000168A7"/>
    <w:rsid w:val="0001717A"/>
    <w:rsid w:val="00020D22"/>
    <w:rsid w:val="0002323E"/>
    <w:rsid w:val="00023A6F"/>
    <w:rsid w:val="000278D0"/>
    <w:rsid w:val="00027E62"/>
    <w:rsid w:val="00030779"/>
    <w:rsid w:val="000307C8"/>
    <w:rsid w:val="00030F73"/>
    <w:rsid w:val="00031075"/>
    <w:rsid w:val="000316FD"/>
    <w:rsid w:val="0003175E"/>
    <w:rsid w:val="000339AF"/>
    <w:rsid w:val="00033EDC"/>
    <w:rsid w:val="00033FE4"/>
    <w:rsid w:val="00034A4F"/>
    <w:rsid w:val="00035ADE"/>
    <w:rsid w:val="00035B32"/>
    <w:rsid w:val="00036B53"/>
    <w:rsid w:val="000370F3"/>
    <w:rsid w:val="0003726E"/>
    <w:rsid w:val="000374B6"/>
    <w:rsid w:val="00040EA0"/>
    <w:rsid w:val="00041192"/>
    <w:rsid w:val="0004224B"/>
    <w:rsid w:val="00044D32"/>
    <w:rsid w:val="00045057"/>
    <w:rsid w:val="00046226"/>
    <w:rsid w:val="00046521"/>
    <w:rsid w:val="00046787"/>
    <w:rsid w:val="00047703"/>
    <w:rsid w:val="00047D54"/>
    <w:rsid w:val="0005014C"/>
    <w:rsid w:val="000503E3"/>
    <w:rsid w:val="00050A99"/>
    <w:rsid w:val="00051600"/>
    <w:rsid w:val="00052741"/>
    <w:rsid w:val="0005330D"/>
    <w:rsid w:val="0005397B"/>
    <w:rsid w:val="000547F6"/>
    <w:rsid w:val="00054C31"/>
    <w:rsid w:val="0005508A"/>
    <w:rsid w:val="000557A7"/>
    <w:rsid w:val="00055805"/>
    <w:rsid w:val="00056CB3"/>
    <w:rsid w:val="00056E7B"/>
    <w:rsid w:val="00056F67"/>
    <w:rsid w:val="0005727F"/>
    <w:rsid w:val="00060A16"/>
    <w:rsid w:val="00062416"/>
    <w:rsid w:val="00062998"/>
    <w:rsid w:val="00062B5E"/>
    <w:rsid w:val="0006377B"/>
    <w:rsid w:val="00064DD1"/>
    <w:rsid w:val="000659D6"/>
    <w:rsid w:val="00065ABE"/>
    <w:rsid w:val="000678B2"/>
    <w:rsid w:val="00067A28"/>
    <w:rsid w:val="00067A48"/>
    <w:rsid w:val="00067DAE"/>
    <w:rsid w:val="0007013B"/>
    <w:rsid w:val="000709D7"/>
    <w:rsid w:val="0007260F"/>
    <w:rsid w:val="00072B60"/>
    <w:rsid w:val="000737FE"/>
    <w:rsid w:val="00073A8D"/>
    <w:rsid w:val="00074485"/>
    <w:rsid w:val="00080176"/>
    <w:rsid w:val="00080483"/>
    <w:rsid w:val="000805D5"/>
    <w:rsid w:val="00080CA6"/>
    <w:rsid w:val="0008103B"/>
    <w:rsid w:val="000820CF"/>
    <w:rsid w:val="000826FB"/>
    <w:rsid w:val="00082EAE"/>
    <w:rsid w:val="0008324E"/>
    <w:rsid w:val="000832BA"/>
    <w:rsid w:val="0008427F"/>
    <w:rsid w:val="00085F97"/>
    <w:rsid w:val="00086980"/>
    <w:rsid w:val="00086ADA"/>
    <w:rsid w:val="00086FD2"/>
    <w:rsid w:val="0008770B"/>
    <w:rsid w:val="000878ED"/>
    <w:rsid w:val="00091755"/>
    <w:rsid w:val="00091D53"/>
    <w:rsid w:val="00092527"/>
    <w:rsid w:val="00092A33"/>
    <w:rsid w:val="00092B6C"/>
    <w:rsid w:val="00093EB9"/>
    <w:rsid w:val="000948DD"/>
    <w:rsid w:val="00095298"/>
    <w:rsid w:val="0009623B"/>
    <w:rsid w:val="000963F3"/>
    <w:rsid w:val="00097472"/>
    <w:rsid w:val="00097D86"/>
    <w:rsid w:val="000A05EE"/>
    <w:rsid w:val="000A092B"/>
    <w:rsid w:val="000A2B3F"/>
    <w:rsid w:val="000A2CF5"/>
    <w:rsid w:val="000A2FEC"/>
    <w:rsid w:val="000A314E"/>
    <w:rsid w:val="000A348F"/>
    <w:rsid w:val="000A596A"/>
    <w:rsid w:val="000B0325"/>
    <w:rsid w:val="000B0C17"/>
    <w:rsid w:val="000B2371"/>
    <w:rsid w:val="000B2E31"/>
    <w:rsid w:val="000B3904"/>
    <w:rsid w:val="000B3F9F"/>
    <w:rsid w:val="000B480F"/>
    <w:rsid w:val="000B4FA0"/>
    <w:rsid w:val="000B58CC"/>
    <w:rsid w:val="000B5D81"/>
    <w:rsid w:val="000B5FCE"/>
    <w:rsid w:val="000B6942"/>
    <w:rsid w:val="000B79C0"/>
    <w:rsid w:val="000C09FA"/>
    <w:rsid w:val="000C0E84"/>
    <w:rsid w:val="000C0E95"/>
    <w:rsid w:val="000C1294"/>
    <w:rsid w:val="000C15CA"/>
    <w:rsid w:val="000C17F3"/>
    <w:rsid w:val="000C33E0"/>
    <w:rsid w:val="000C37A9"/>
    <w:rsid w:val="000C454F"/>
    <w:rsid w:val="000C455B"/>
    <w:rsid w:val="000C4A6B"/>
    <w:rsid w:val="000C4EC9"/>
    <w:rsid w:val="000C5170"/>
    <w:rsid w:val="000C542F"/>
    <w:rsid w:val="000C58F8"/>
    <w:rsid w:val="000C6728"/>
    <w:rsid w:val="000C702E"/>
    <w:rsid w:val="000D0776"/>
    <w:rsid w:val="000D0CCD"/>
    <w:rsid w:val="000D15E9"/>
    <w:rsid w:val="000D2996"/>
    <w:rsid w:val="000D2B66"/>
    <w:rsid w:val="000D3182"/>
    <w:rsid w:val="000D45C4"/>
    <w:rsid w:val="000D48F9"/>
    <w:rsid w:val="000D4C9A"/>
    <w:rsid w:val="000D4D04"/>
    <w:rsid w:val="000D7D69"/>
    <w:rsid w:val="000E18F3"/>
    <w:rsid w:val="000E1E2B"/>
    <w:rsid w:val="000E266E"/>
    <w:rsid w:val="000E40D9"/>
    <w:rsid w:val="000E4EAD"/>
    <w:rsid w:val="000E511E"/>
    <w:rsid w:val="000E7BE5"/>
    <w:rsid w:val="000F1515"/>
    <w:rsid w:val="000F16B5"/>
    <w:rsid w:val="000F1C7C"/>
    <w:rsid w:val="000F2403"/>
    <w:rsid w:val="000F28B5"/>
    <w:rsid w:val="000F378C"/>
    <w:rsid w:val="000F3F50"/>
    <w:rsid w:val="000F5518"/>
    <w:rsid w:val="000F616E"/>
    <w:rsid w:val="000F6738"/>
    <w:rsid w:val="000F68F7"/>
    <w:rsid w:val="00100406"/>
    <w:rsid w:val="0010108E"/>
    <w:rsid w:val="00101581"/>
    <w:rsid w:val="00104AEC"/>
    <w:rsid w:val="00104F78"/>
    <w:rsid w:val="0010502F"/>
    <w:rsid w:val="00110D43"/>
    <w:rsid w:val="001110D9"/>
    <w:rsid w:val="00112010"/>
    <w:rsid w:val="0011425D"/>
    <w:rsid w:val="001159EA"/>
    <w:rsid w:val="00115C3F"/>
    <w:rsid w:val="00120469"/>
    <w:rsid w:val="001211C3"/>
    <w:rsid w:val="00121CBF"/>
    <w:rsid w:val="00122148"/>
    <w:rsid w:val="001227A1"/>
    <w:rsid w:val="00123889"/>
    <w:rsid w:val="00124871"/>
    <w:rsid w:val="00125410"/>
    <w:rsid w:val="00125E96"/>
    <w:rsid w:val="00125F95"/>
    <w:rsid w:val="00126406"/>
    <w:rsid w:val="001279C0"/>
    <w:rsid w:val="001300F2"/>
    <w:rsid w:val="00130858"/>
    <w:rsid w:val="00132F0D"/>
    <w:rsid w:val="001332EA"/>
    <w:rsid w:val="0013416B"/>
    <w:rsid w:val="00136C26"/>
    <w:rsid w:val="001373A4"/>
    <w:rsid w:val="0014059F"/>
    <w:rsid w:val="00141551"/>
    <w:rsid w:val="001417C9"/>
    <w:rsid w:val="001417CE"/>
    <w:rsid w:val="00142520"/>
    <w:rsid w:val="00142C36"/>
    <w:rsid w:val="0014479F"/>
    <w:rsid w:val="0014530C"/>
    <w:rsid w:val="00145B02"/>
    <w:rsid w:val="0014664C"/>
    <w:rsid w:val="00146675"/>
    <w:rsid w:val="00146DAF"/>
    <w:rsid w:val="0014752B"/>
    <w:rsid w:val="00150788"/>
    <w:rsid w:val="001507F8"/>
    <w:rsid w:val="001509E8"/>
    <w:rsid w:val="001525D6"/>
    <w:rsid w:val="00152BCC"/>
    <w:rsid w:val="00154DC5"/>
    <w:rsid w:val="0015611E"/>
    <w:rsid w:val="001601BB"/>
    <w:rsid w:val="00160C8D"/>
    <w:rsid w:val="00161E45"/>
    <w:rsid w:val="00161FB1"/>
    <w:rsid w:val="001629C0"/>
    <w:rsid w:val="001649ED"/>
    <w:rsid w:val="00165122"/>
    <w:rsid w:val="00165854"/>
    <w:rsid w:val="00167ECE"/>
    <w:rsid w:val="00170B15"/>
    <w:rsid w:val="00171926"/>
    <w:rsid w:val="0017386A"/>
    <w:rsid w:val="00173DB2"/>
    <w:rsid w:val="00173DFD"/>
    <w:rsid w:val="00174600"/>
    <w:rsid w:val="00174F29"/>
    <w:rsid w:val="00176D2D"/>
    <w:rsid w:val="00180FF9"/>
    <w:rsid w:val="00181175"/>
    <w:rsid w:val="001820A2"/>
    <w:rsid w:val="001821AE"/>
    <w:rsid w:val="00182D1C"/>
    <w:rsid w:val="001830F3"/>
    <w:rsid w:val="00183B13"/>
    <w:rsid w:val="00185172"/>
    <w:rsid w:val="001855E4"/>
    <w:rsid w:val="00185604"/>
    <w:rsid w:val="001866E5"/>
    <w:rsid w:val="001877D4"/>
    <w:rsid w:val="001901A1"/>
    <w:rsid w:val="001928D3"/>
    <w:rsid w:val="00192EF1"/>
    <w:rsid w:val="00193386"/>
    <w:rsid w:val="001933FB"/>
    <w:rsid w:val="001938AF"/>
    <w:rsid w:val="00193B9C"/>
    <w:rsid w:val="001943F2"/>
    <w:rsid w:val="00195228"/>
    <w:rsid w:val="00195696"/>
    <w:rsid w:val="00196532"/>
    <w:rsid w:val="0019662E"/>
    <w:rsid w:val="001969C5"/>
    <w:rsid w:val="001A1EFC"/>
    <w:rsid w:val="001A25BA"/>
    <w:rsid w:val="001A43D1"/>
    <w:rsid w:val="001A48EF"/>
    <w:rsid w:val="001A49CC"/>
    <w:rsid w:val="001A4BC4"/>
    <w:rsid w:val="001A4FED"/>
    <w:rsid w:val="001A5553"/>
    <w:rsid w:val="001A6D49"/>
    <w:rsid w:val="001A716E"/>
    <w:rsid w:val="001A7AF9"/>
    <w:rsid w:val="001B0565"/>
    <w:rsid w:val="001B0921"/>
    <w:rsid w:val="001B0FE9"/>
    <w:rsid w:val="001B1C04"/>
    <w:rsid w:val="001B27C6"/>
    <w:rsid w:val="001B2C65"/>
    <w:rsid w:val="001B7058"/>
    <w:rsid w:val="001C1518"/>
    <w:rsid w:val="001C2B0F"/>
    <w:rsid w:val="001C3A40"/>
    <w:rsid w:val="001C3A4F"/>
    <w:rsid w:val="001C4121"/>
    <w:rsid w:val="001C468F"/>
    <w:rsid w:val="001C48DE"/>
    <w:rsid w:val="001C5EE0"/>
    <w:rsid w:val="001C6126"/>
    <w:rsid w:val="001C69EC"/>
    <w:rsid w:val="001C6BD8"/>
    <w:rsid w:val="001C6EB4"/>
    <w:rsid w:val="001D1435"/>
    <w:rsid w:val="001D1D4D"/>
    <w:rsid w:val="001D2BC3"/>
    <w:rsid w:val="001D3F69"/>
    <w:rsid w:val="001D4894"/>
    <w:rsid w:val="001D52E3"/>
    <w:rsid w:val="001D576F"/>
    <w:rsid w:val="001D6C52"/>
    <w:rsid w:val="001D6E70"/>
    <w:rsid w:val="001D6FF7"/>
    <w:rsid w:val="001D7C29"/>
    <w:rsid w:val="001E0475"/>
    <w:rsid w:val="001E07B3"/>
    <w:rsid w:val="001E1360"/>
    <w:rsid w:val="001E1361"/>
    <w:rsid w:val="001E4949"/>
    <w:rsid w:val="001E5A6D"/>
    <w:rsid w:val="001E63B0"/>
    <w:rsid w:val="001E6A58"/>
    <w:rsid w:val="001E74F6"/>
    <w:rsid w:val="001F114F"/>
    <w:rsid w:val="001F1896"/>
    <w:rsid w:val="001F1AAA"/>
    <w:rsid w:val="001F1B70"/>
    <w:rsid w:val="001F218A"/>
    <w:rsid w:val="001F364A"/>
    <w:rsid w:val="001F5C90"/>
    <w:rsid w:val="001F6500"/>
    <w:rsid w:val="001F6DD0"/>
    <w:rsid w:val="001F767C"/>
    <w:rsid w:val="00200D7A"/>
    <w:rsid w:val="00201818"/>
    <w:rsid w:val="00201BF0"/>
    <w:rsid w:val="00203121"/>
    <w:rsid w:val="00205AC4"/>
    <w:rsid w:val="0020606E"/>
    <w:rsid w:val="0020645E"/>
    <w:rsid w:val="002064E5"/>
    <w:rsid w:val="00206600"/>
    <w:rsid w:val="00207557"/>
    <w:rsid w:val="00207693"/>
    <w:rsid w:val="00207FBC"/>
    <w:rsid w:val="00210FCF"/>
    <w:rsid w:val="00211355"/>
    <w:rsid w:val="002124EF"/>
    <w:rsid w:val="00213288"/>
    <w:rsid w:val="002135B5"/>
    <w:rsid w:val="00213A89"/>
    <w:rsid w:val="00213E94"/>
    <w:rsid w:val="00214186"/>
    <w:rsid w:val="002143C8"/>
    <w:rsid w:val="00214CAF"/>
    <w:rsid w:val="002150F0"/>
    <w:rsid w:val="002158A2"/>
    <w:rsid w:val="00215F4B"/>
    <w:rsid w:val="00216205"/>
    <w:rsid w:val="00216FF6"/>
    <w:rsid w:val="00217400"/>
    <w:rsid w:val="00217EF3"/>
    <w:rsid w:val="002205E9"/>
    <w:rsid w:val="002212C6"/>
    <w:rsid w:val="00221E82"/>
    <w:rsid w:val="00222EFF"/>
    <w:rsid w:val="00222F6E"/>
    <w:rsid w:val="00223472"/>
    <w:rsid w:val="00223691"/>
    <w:rsid w:val="002240D5"/>
    <w:rsid w:val="002246CB"/>
    <w:rsid w:val="002261A7"/>
    <w:rsid w:val="00226AEC"/>
    <w:rsid w:val="00227575"/>
    <w:rsid w:val="00227A4E"/>
    <w:rsid w:val="00232B3A"/>
    <w:rsid w:val="00232C61"/>
    <w:rsid w:val="00233AEC"/>
    <w:rsid w:val="00233BE7"/>
    <w:rsid w:val="00235147"/>
    <w:rsid w:val="00235CBE"/>
    <w:rsid w:val="002370A3"/>
    <w:rsid w:val="00240065"/>
    <w:rsid w:val="002400BD"/>
    <w:rsid w:val="0024163F"/>
    <w:rsid w:val="002439F9"/>
    <w:rsid w:val="00243B12"/>
    <w:rsid w:val="00243D3A"/>
    <w:rsid w:val="00244690"/>
    <w:rsid w:val="002446E8"/>
    <w:rsid w:val="00244D60"/>
    <w:rsid w:val="00244F6B"/>
    <w:rsid w:val="002455E5"/>
    <w:rsid w:val="00245C18"/>
    <w:rsid w:val="002478BB"/>
    <w:rsid w:val="00247A94"/>
    <w:rsid w:val="00250A99"/>
    <w:rsid w:val="00252BAE"/>
    <w:rsid w:val="00253229"/>
    <w:rsid w:val="0025341B"/>
    <w:rsid w:val="0025378F"/>
    <w:rsid w:val="002541C4"/>
    <w:rsid w:val="002545F3"/>
    <w:rsid w:val="00255DDA"/>
    <w:rsid w:val="00256407"/>
    <w:rsid w:val="00257CE2"/>
    <w:rsid w:val="002607C3"/>
    <w:rsid w:val="002611D7"/>
    <w:rsid w:val="0026131F"/>
    <w:rsid w:val="0026344F"/>
    <w:rsid w:val="002648AB"/>
    <w:rsid w:val="00266A17"/>
    <w:rsid w:val="002678F7"/>
    <w:rsid w:val="00267FD8"/>
    <w:rsid w:val="00270372"/>
    <w:rsid w:val="00270373"/>
    <w:rsid w:val="002713B7"/>
    <w:rsid w:val="00271A3D"/>
    <w:rsid w:val="0027400D"/>
    <w:rsid w:val="00275534"/>
    <w:rsid w:val="00277075"/>
    <w:rsid w:val="00277480"/>
    <w:rsid w:val="002775D2"/>
    <w:rsid w:val="0028027D"/>
    <w:rsid w:val="00281ADD"/>
    <w:rsid w:val="002828FF"/>
    <w:rsid w:val="00282BEB"/>
    <w:rsid w:val="00282DBC"/>
    <w:rsid w:val="00282EA8"/>
    <w:rsid w:val="0028300F"/>
    <w:rsid w:val="00285125"/>
    <w:rsid w:val="00285AA0"/>
    <w:rsid w:val="002860E6"/>
    <w:rsid w:val="00286289"/>
    <w:rsid w:val="002863D2"/>
    <w:rsid w:val="00287022"/>
    <w:rsid w:val="0029321B"/>
    <w:rsid w:val="0029340A"/>
    <w:rsid w:val="00293D1F"/>
    <w:rsid w:val="00293E0D"/>
    <w:rsid w:val="00293E80"/>
    <w:rsid w:val="00293FEA"/>
    <w:rsid w:val="00294588"/>
    <w:rsid w:val="00295D49"/>
    <w:rsid w:val="00296BFB"/>
    <w:rsid w:val="002972CD"/>
    <w:rsid w:val="0029733D"/>
    <w:rsid w:val="002973B0"/>
    <w:rsid w:val="00297971"/>
    <w:rsid w:val="00297C14"/>
    <w:rsid w:val="00297C5F"/>
    <w:rsid w:val="00297DC0"/>
    <w:rsid w:val="002A041F"/>
    <w:rsid w:val="002A0497"/>
    <w:rsid w:val="002A0DE1"/>
    <w:rsid w:val="002A220F"/>
    <w:rsid w:val="002A24F1"/>
    <w:rsid w:val="002A5511"/>
    <w:rsid w:val="002A5778"/>
    <w:rsid w:val="002A5A01"/>
    <w:rsid w:val="002A5E0A"/>
    <w:rsid w:val="002B022C"/>
    <w:rsid w:val="002B072C"/>
    <w:rsid w:val="002B1AA7"/>
    <w:rsid w:val="002B1E84"/>
    <w:rsid w:val="002B2085"/>
    <w:rsid w:val="002B235D"/>
    <w:rsid w:val="002B2490"/>
    <w:rsid w:val="002B3175"/>
    <w:rsid w:val="002B3EC4"/>
    <w:rsid w:val="002B4A26"/>
    <w:rsid w:val="002B5AE8"/>
    <w:rsid w:val="002B7CB7"/>
    <w:rsid w:val="002C0323"/>
    <w:rsid w:val="002C27B9"/>
    <w:rsid w:val="002C27E6"/>
    <w:rsid w:val="002C2FD0"/>
    <w:rsid w:val="002C37D5"/>
    <w:rsid w:val="002C422E"/>
    <w:rsid w:val="002C56B7"/>
    <w:rsid w:val="002C5986"/>
    <w:rsid w:val="002C5AB3"/>
    <w:rsid w:val="002C5AE8"/>
    <w:rsid w:val="002D05FD"/>
    <w:rsid w:val="002D120B"/>
    <w:rsid w:val="002D14CD"/>
    <w:rsid w:val="002D31BE"/>
    <w:rsid w:val="002D34DB"/>
    <w:rsid w:val="002D456B"/>
    <w:rsid w:val="002D4919"/>
    <w:rsid w:val="002D497D"/>
    <w:rsid w:val="002D4B11"/>
    <w:rsid w:val="002D53D4"/>
    <w:rsid w:val="002D5606"/>
    <w:rsid w:val="002D6152"/>
    <w:rsid w:val="002D7692"/>
    <w:rsid w:val="002E02B1"/>
    <w:rsid w:val="002E05A3"/>
    <w:rsid w:val="002E0822"/>
    <w:rsid w:val="002E2BB5"/>
    <w:rsid w:val="002E2FAB"/>
    <w:rsid w:val="002E3181"/>
    <w:rsid w:val="002E5633"/>
    <w:rsid w:val="002E5C7D"/>
    <w:rsid w:val="002E73F3"/>
    <w:rsid w:val="002E7557"/>
    <w:rsid w:val="002E78E1"/>
    <w:rsid w:val="002E7A12"/>
    <w:rsid w:val="002F0336"/>
    <w:rsid w:val="002F06DC"/>
    <w:rsid w:val="002F17E3"/>
    <w:rsid w:val="002F1963"/>
    <w:rsid w:val="002F3766"/>
    <w:rsid w:val="002F3E00"/>
    <w:rsid w:val="002F3E07"/>
    <w:rsid w:val="002F452D"/>
    <w:rsid w:val="002F4900"/>
    <w:rsid w:val="002F5B6E"/>
    <w:rsid w:val="002F61B5"/>
    <w:rsid w:val="002F66B7"/>
    <w:rsid w:val="002F6DEC"/>
    <w:rsid w:val="003009C1"/>
    <w:rsid w:val="0030209B"/>
    <w:rsid w:val="003034AA"/>
    <w:rsid w:val="003049A9"/>
    <w:rsid w:val="00305C20"/>
    <w:rsid w:val="00310D72"/>
    <w:rsid w:val="00311F54"/>
    <w:rsid w:val="003121AE"/>
    <w:rsid w:val="003127E4"/>
    <w:rsid w:val="00313215"/>
    <w:rsid w:val="003142AB"/>
    <w:rsid w:val="00314470"/>
    <w:rsid w:val="0031524D"/>
    <w:rsid w:val="00315B39"/>
    <w:rsid w:val="00315D23"/>
    <w:rsid w:val="00317352"/>
    <w:rsid w:val="003174C3"/>
    <w:rsid w:val="003209E7"/>
    <w:rsid w:val="00321C83"/>
    <w:rsid w:val="00321DD0"/>
    <w:rsid w:val="0032239F"/>
    <w:rsid w:val="00323CE7"/>
    <w:rsid w:val="0032557A"/>
    <w:rsid w:val="0032635F"/>
    <w:rsid w:val="00326E61"/>
    <w:rsid w:val="003271E9"/>
    <w:rsid w:val="003274ED"/>
    <w:rsid w:val="00327C54"/>
    <w:rsid w:val="00330029"/>
    <w:rsid w:val="003305B8"/>
    <w:rsid w:val="00331065"/>
    <w:rsid w:val="00331FBC"/>
    <w:rsid w:val="003321FB"/>
    <w:rsid w:val="00333058"/>
    <w:rsid w:val="00333616"/>
    <w:rsid w:val="0033641B"/>
    <w:rsid w:val="00337FA5"/>
    <w:rsid w:val="003402E5"/>
    <w:rsid w:val="00340778"/>
    <w:rsid w:val="003412ED"/>
    <w:rsid w:val="00342279"/>
    <w:rsid w:val="00344D2C"/>
    <w:rsid w:val="00344E2E"/>
    <w:rsid w:val="003458CE"/>
    <w:rsid w:val="00345A57"/>
    <w:rsid w:val="00346C27"/>
    <w:rsid w:val="00346D90"/>
    <w:rsid w:val="00347EE8"/>
    <w:rsid w:val="00350B30"/>
    <w:rsid w:val="003516EB"/>
    <w:rsid w:val="00351BBC"/>
    <w:rsid w:val="00351F62"/>
    <w:rsid w:val="003533B7"/>
    <w:rsid w:val="003535BB"/>
    <w:rsid w:val="00353C54"/>
    <w:rsid w:val="00355E05"/>
    <w:rsid w:val="003575A2"/>
    <w:rsid w:val="00357A04"/>
    <w:rsid w:val="003601F4"/>
    <w:rsid w:val="003607E5"/>
    <w:rsid w:val="0036189A"/>
    <w:rsid w:val="00361E1A"/>
    <w:rsid w:val="00363711"/>
    <w:rsid w:val="0036461D"/>
    <w:rsid w:val="00364D00"/>
    <w:rsid w:val="00365299"/>
    <w:rsid w:val="00366AEE"/>
    <w:rsid w:val="003671E2"/>
    <w:rsid w:val="00371162"/>
    <w:rsid w:val="00371FAD"/>
    <w:rsid w:val="00372AE6"/>
    <w:rsid w:val="00373378"/>
    <w:rsid w:val="00376227"/>
    <w:rsid w:val="003766B8"/>
    <w:rsid w:val="0037675F"/>
    <w:rsid w:val="00377D53"/>
    <w:rsid w:val="003802C3"/>
    <w:rsid w:val="00380A33"/>
    <w:rsid w:val="00380F92"/>
    <w:rsid w:val="00381C0F"/>
    <w:rsid w:val="00383440"/>
    <w:rsid w:val="0038356E"/>
    <w:rsid w:val="003837E1"/>
    <w:rsid w:val="003855B3"/>
    <w:rsid w:val="0038584D"/>
    <w:rsid w:val="0038629F"/>
    <w:rsid w:val="00390909"/>
    <w:rsid w:val="00390D57"/>
    <w:rsid w:val="003911F2"/>
    <w:rsid w:val="00391D30"/>
    <w:rsid w:val="0039257F"/>
    <w:rsid w:val="0039290B"/>
    <w:rsid w:val="00392A7F"/>
    <w:rsid w:val="003931DE"/>
    <w:rsid w:val="0039322D"/>
    <w:rsid w:val="00393B29"/>
    <w:rsid w:val="00393DE4"/>
    <w:rsid w:val="00395ABA"/>
    <w:rsid w:val="00396C2A"/>
    <w:rsid w:val="00397D1A"/>
    <w:rsid w:val="003A0674"/>
    <w:rsid w:val="003A163C"/>
    <w:rsid w:val="003A195A"/>
    <w:rsid w:val="003A2B4E"/>
    <w:rsid w:val="003A2FBB"/>
    <w:rsid w:val="003A374A"/>
    <w:rsid w:val="003A3799"/>
    <w:rsid w:val="003A402E"/>
    <w:rsid w:val="003A403B"/>
    <w:rsid w:val="003A41BF"/>
    <w:rsid w:val="003A43A0"/>
    <w:rsid w:val="003A4913"/>
    <w:rsid w:val="003A536A"/>
    <w:rsid w:val="003A54A9"/>
    <w:rsid w:val="003A609C"/>
    <w:rsid w:val="003A6ACA"/>
    <w:rsid w:val="003A7083"/>
    <w:rsid w:val="003A7A82"/>
    <w:rsid w:val="003B0992"/>
    <w:rsid w:val="003B0F72"/>
    <w:rsid w:val="003B38B3"/>
    <w:rsid w:val="003B38F7"/>
    <w:rsid w:val="003B3A97"/>
    <w:rsid w:val="003B3D44"/>
    <w:rsid w:val="003B52E7"/>
    <w:rsid w:val="003B7F16"/>
    <w:rsid w:val="003C186D"/>
    <w:rsid w:val="003C2C4F"/>
    <w:rsid w:val="003C5720"/>
    <w:rsid w:val="003C6126"/>
    <w:rsid w:val="003C6572"/>
    <w:rsid w:val="003C7464"/>
    <w:rsid w:val="003C7CC2"/>
    <w:rsid w:val="003C7DC0"/>
    <w:rsid w:val="003D2759"/>
    <w:rsid w:val="003D3AF1"/>
    <w:rsid w:val="003D4808"/>
    <w:rsid w:val="003D4FB5"/>
    <w:rsid w:val="003D50B6"/>
    <w:rsid w:val="003D5E37"/>
    <w:rsid w:val="003D6595"/>
    <w:rsid w:val="003D77FB"/>
    <w:rsid w:val="003E05DF"/>
    <w:rsid w:val="003E15A5"/>
    <w:rsid w:val="003E183C"/>
    <w:rsid w:val="003E2D32"/>
    <w:rsid w:val="003E2D3C"/>
    <w:rsid w:val="003E30BB"/>
    <w:rsid w:val="003E3441"/>
    <w:rsid w:val="003E377D"/>
    <w:rsid w:val="003E6085"/>
    <w:rsid w:val="003E6810"/>
    <w:rsid w:val="003E6B64"/>
    <w:rsid w:val="003E6CA3"/>
    <w:rsid w:val="003E717E"/>
    <w:rsid w:val="003E7BE1"/>
    <w:rsid w:val="003F0233"/>
    <w:rsid w:val="003F1F84"/>
    <w:rsid w:val="003F4A3B"/>
    <w:rsid w:val="003F4BA5"/>
    <w:rsid w:val="003F4C96"/>
    <w:rsid w:val="003F4FBE"/>
    <w:rsid w:val="003F6A1E"/>
    <w:rsid w:val="004007E2"/>
    <w:rsid w:val="004012E7"/>
    <w:rsid w:val="00401DBD"/>
    <w:rsid w:val="00402F97"/>
    <w:rsid w:val="00403A8E"/>
    <w:rsid w:val="00405AC0"/>
    <w:rsid w:val="00406002"/>
    <w:rsid w:val="00406AD3"/>
    <w:rsid w:val="004102AF"/>
    <w:rsid w:val="00412E42"/>
    <w:rsid w:val="00413CE6"/>
    <w:rsid w:val="00415292"/>
    <w:rsid w:val="00415480"/>
    <w:rsid w:val="00415EBD"/>
    <w:rsid w:val="00416A7C"/>
    <w:rsid w:val="00420D92"/>
    <w:rsid w:val="00421B97"/>
    <w:rsid w:val="004228FD"/>
    <w:rsid w:val="004254E6"/>
    <w:rsid w:val="00426356"/>
    <w:rsid w:val="00426929"/>
    <w:rsid w:val="00426B3E"/>
    <w:rsid w:val="004274BE"/>
    <w:rsid w:val="004301ED"/>
    <w:rsid w:val="004307CB"/>
    <w:rsid w:val="00431F62"/>
    <w:rsid w:val="0043221E"/>
    <w:rsid w:val="00432266"/>
    <w:rsid w:val="004325ED"/>
    <w:rsid w:val="00433EE5"/>
    <w:rsid w:val="00434DD7"/>
    <w:rsid w:val="00441C92"/>
    <w:rsid w:val="0044217D"/>
    <w:rsid w:val="00442798"/>
    <w:rsid w:val="00442C16"/>
    <w:rsid w:val="00442F58"/>
    <w:rsid w:val="00445A21"/>
    <w:rsid w:val="00446439"/>
    <w:rsid w:val="00450BDA"/>
    <w:rsid w:val="00450C9B"/>
    <w:rsid w:val="00451E1A"/>
    <w:rsid w:val="00451FBF"/>
    <w:rsid w:val="004526FB"/>
    <w:rsid w:val="00453A3E"/>
    <w:rsid w:val="00453B4C"/>
    <w:rsid w:val="0045452F"/>
    <w:rsid w:val="00454819"/>
    <w:rsid w:val="00454CE2"/>
    <w:rsid w:val="0045502F"/>
    <w:rsid w:val="004550D8"/>
    <w:rsid w:val="00456DE9"/>
    <w:rsid w:val="00456DEB"/>
    <w:rsid w:val="00457184"/>
    <w:rsid w:val="0045765C"/>
    <w:rsid w:val="0045766B"/>
    <w:rsid w:val="00461B75"/>
    <w:rsid w:val="00463D72"/>
    <w:rsid w:val="00463F12"/>
    <w:rsid w:val="0046426A"/>
    <w:rsid w:val="004642F4"/>
    <w:rsid w:val="00466F3F"/>
    <w:rsid w:val="004670D5"/>
    <w:rsid w:val="004671B5"/>
    <w:rsid w:val="00470F7D"/>
    <w:rsid w:val="00471320"/>
    <w:rsid w:val="00471476"/>
    <w:rsid w:val="00472999"/>
    <w:rsid w:val="00474304"/>
    <w:rsid w:val="00474BB7"/>
    <w:rsid w:val="00474E59"/>
    <w:rsid w:val="004764E9"/>
    <w:rsid w:val="00476DD3"/>
    <w:rsid w:val="004816D7"/>
    <w:rsid w:val="004824A0"/>
    <w:rsid w:val="004830B4"/>
    <w:rsid w:val="0048342E"/>
    <w:rsid w:val="00483F98"/>
    <w:rsid w:val="00483FE3"/>
    <w:rsid w:val="00484380"/>
    <w:rsid w:val="00486A27"/>
    <w:rsid w:val="00487478"/>
    <w:rsid w:val="0048782D"/>
    <w:rsid w:val="00490AF1"/>
    <w:rsid w:val="00491F03"/>
    <w:rsid w:val="0049268F"/>
    <w:rsid w:val="00493435"/>
    <w:rsid w:val="004940B6"/>
    <w:rsid w:val="004947A5"/>
    <w:rsid w:val="00494DC1"/>
    <w:rsid w:val="004955F3"/>
    <w:rsid w:val="0049619C"/>
    <w:rsid w:val="004A088F"/>
    <w:rsid w:val="004A0E29"/>
    <w:rsid w:val="004A1C74"/>
    <w:rsid w:val="004A2B4C"/>
    <w:rsid w:val="004A3BD6"/>
    <w:rsid w:val="004A3F56"/>
    <w:rsid w:val="004A3FF1"/>
    <w:rsid w:val="004A437D"/>
    <w:rsid w:val="004A5E21"/>
    <w:rsid w:val="004A666A"/>
    <w:rsid w:val="004A67BF"/>
    <w:rsid w:val="004A7282"/>
    <w:rsid w:val="004A7C2B"/>
    <w:rsid w:val="004B143F"/>
    <w:rsid w:val="004B203B"/>
    <w:rsid w:val="004B2209"/>
    <w:rsid w:val="004B2A25"/>
    <w:rsid w:val="004B2B74"/>
    <w:rsid w:val="004B3699"/>
    <w:rsid w:val="004B37DD"/>
    <w:rsid w:val="004B3E13"/>
    <w:rsid w:val="004B49A0"/>
    <w:rsid w:val="004B6568"/>
    <w:rsid w:val="004B744D"/>
    <w:rsid w:val="004C0CFE"/>
    <w:rsid w:val="004C171B"/>
    <w:rsid w:val="004C198A"/>
    <w:rsid w:val="004C209A"/>
    <w:rsid w:val="004C21C4"/>
    <w:rsid w:val="004C2EB4"/>
    <w:rsid w:val="004C5F64"/>
    <w:rsid w:val="004C6306"/>
    <w:rsid w:val="004C63E5"/>
    <w:rsid w:val="004C6959"/>
    <w:rsid w:val="004C6F5E"/>
    <w:rsid w:val="004C7E94"/>
    <w:rsid w:val="004D00F8"/>
    <w:rsid w:val="004D58BA"/>
    <w:rsid w:val="004D73F2"/>
    <w:rsid w:val="004D7B31"/>
    <w:rsid w:val="004D7CF8"/>
    <w:rsid w:val="004D7EDA"/>
    <w:rsid w:val="004E0E49"/>
    <w:rsid w:val="004E197A"/>
    <w:rsid w:val="004E1F6D"/>
    <w:rsid w:val="004E2B3B"/>
    <w:rsid w:val="004E3C96"/>
    <w:rsid w:val="004E5059"/>
    <w:rsid w:val="004E5D52"/>
    <w:rsid w:val="004E5FAE"/>
    <w:rsid w:val="004E6A22"/>
    <w:rsid w:val="004E746D"/>
    <w:rsid w:val="004E7DC3"/>
    <w:rsid w:val="004F07D7"/>
    <w:rsid w:val="004F09C9"/>
    <w:rsid w:val="004F0B40"/>
    <w:rsid w:val="004F1297"/>
    <w:rsid w:val="004F16DB"/>
    <w:rsid w:val="004F1F94"/>
    <w:rsid w:val="004F2275"/>
    <w:rsid w:val="004F277A"/>
    <w:rsid w:val="004F2C3C"/>
    <w:rsid w:val="004F4D7E"/>
    <w:rsid w:val="004F5B16"/>
    <w:rsid w:val="004F5D9D"/>
    <w:rsid w:val="004F6010"/>
    <w:rsid w:val="004F68E5"/>
    <w:rsid w:val="004F6D8D"/>
    <w:rsid w:val="004F73BE"/>
    <w:rsid w:val="004F741B"/>
    <w:rsid w:val="00500EEC"/>
    <w:rsid w:val="00502645"/>
    <w:rsid w:val="00502FAE"/>
    <w:rsid w:val="00503253"/>
    <w:rsid w:val="00503B7F"/>
    <w:rsid w:val="00503BB0"/>
    <w:rsid w:val="00503E03"/>
    <w:rsid w:val="00504C2E"/>
    <w:rsid w:val="005050DA"/>
    <w:rsid w:val="0050514F"/>
    <w:rsid w:val="0050534E"/>
    <w:rsid w:val="00512226"/>
    <w:rsid w:val="0051389D"/>
    <w:rsid w:val="005147C6"/>
    <w:rsid w:val="005148CD"/>
    <w:rsid w:val="005151AF"/>
    <w:rsid w:val="005151DC"/>
    <w:rsid w:val="00515391"/>
    <w:rsid w:val="005159B1"/>
    <w:rsid w:val="00515BA9"/>
    <w:rsid w:val="0051653D"/>
    <w:rsid w:val="00517181"/>
    <w:rsid w:val="00517F82"/>
    <w:rsid w:val="005221BC"/>
    <w:rsid w:val="00522502"/>
    <w:rsid w:val="00522537"/>
    <w:rsid w:val="00522594"/>
    <w:rsid w:val="0052402E"/>
    <w:rsid w:val="00524599"/>
    <w:rsid w:val="005255A1"/>
    <w:rsid w:val="005258D8"/>
    <w:rsid w:val="00525D95"/>
    <w:rsid w:val="00525E7E"/>
    <w:rsid w:val="0052641C"/>
    <w:rsid w:val="00527545"/>
    <w:rsid w:val="005275EC"/>
    <w:rsid w:val="00527C64"/>
    <w:rsid w:val="00527E59"/>
    <w:rsid w:val="0053015E"/>
    <w:rsid w:val="00533CD6"/>
    <w:rsid w:val="00533E1F"/>
    <w:rsid w:val="00533E24"/>
    <w:rsid w:val="00534A52"/>
    <w:rsid w:val="00536BE0"/>
    <w:rsid w:val="005371D5"/>
    <w:rsid w:val="0053795D"/>
    <w:rsid w:val="0054036F"/>
    <w:rsid w:val="00543007"/>
    <w:rsid w:val="00543DAB"/>
    <w:rsid w:val="00544522"/>
    <w:rsid w:val="005468AB"/>
    <w:rsid w:val="00547311"/>
    <w:rsid w:val="0054731D"/>
    <w:rsid w:val="005501A0"/>
    <w:rsid w:val="005506B2"/>
    <w:rsid w:val="00550831"/>
    <w:rsid w:val="005512EF"/>
    <w:rsid w:val="005524D2"/>
    <w:rsid w:val="00552C4C"/>
    <w:rsid w:val="00553245"/>
    <w:rsid w:val="005533BC"/>
    <w:rsid w:val="00554273"/>
    <w:rsid w:val="00554777"/>
    <w:rsid w:val="005554CF"/>
    <w:rsid w:val="005573D9"/>
    <w:rsid w:val="00557F69"/>
    <w:rsid w:val="00560DD4"/>
    <w:rsid w:val="00563884"/>
    <w:rsid w:val="00563C8C"/>
    <w:rsid w:val="005642B6"/>
    <w:rsid w:val="00565CD6"/>
    <w:rsid w:val="005664BF"/>
    <w:rsid w:val="00566796"/>
    <w:rsid w:val="00566D0E"/>
    <w:rsid w:val="00566EEB"/>
    <w:rsid w:val="005679CC"/>
    <w:rsid w:val="00571D5E"/>
    <w:rsid w:val="00571EB6"/>
    <w:rsid w:val="00573B4A"/>
    <w:rsid w:val="00573DFE"/>
    <w:rsid w:val="00573F79"/>
    <w:rsid w:val="0057420A"/>
    <w:rsid w:val="00574317"/>
    <w:rsid w:val="00574659"/>
    <w:rsid w:val="005758A7"/>
    <w:rsid w:val="00580DEE"/>
    <w:rsid w:val="00581628"/>
    <w:rsid w:val="00581F68"/>
    <w:rsid w:val="005823D0"/>
    <w:rsid w:val="005838CC"/>
    <w:rsid w:val="005841D1"/>
    <w:rsid w:val="005853B9"/>
    <w:rsid w:val="00586496"/>
    <w:rsid w:val="0058674C"/>
    <w:rsid w:val="0058717E"/>
    <w:rsid w:val="00587614"/>
    <w:rsid w:val="0058773C"/>
    <w:rsid w:val="005901D4"/>
    <w:rsid w:val="00591A66"/>
    <w:rsid w:val="00593079"/>
    <w:rsid w:val="00593496"/>
    <w:rsid w:val="00593EFF"/>
    <w:rsid w:val="005953F2"/>
    <w:rsid w:val="005954E6"/>
    <w:rsid w:val="005974B3"/>
    <w:rsid w:val="00597BD5"/>
    <w:rsid w:val="005A003F"/>
    <w:rsid w:val="005A0172"/>
    <w:rsid w:val="005A1500"/>
    <w:rsid w:val="005A2748"/>
    <w:rsid w:val="005A2C35"/>
    <w:rsid w:val="005A2ECE"/>
    <w:rsid w:val="005A2F6E"/>
    <w:rsid w:val="005A32AB"/>
    <w:rsid w:val="005A443F"/>
    <w:rsid w:val="005A4564"/>
    <w:rsid w:val="005A522B"/>
    <w:rsid w:val="005A598A"/>
    <w:rsid w:val="005A616B"/>
    <w:rsid w:val="005A6242"/>
    <w:rsid w:val="005A6E75"/>
    <w:rsid w:val="005B05CB"/>
    <w:rsid w:val="005B1251"/>
    <w:rsid w:val="005B1CFE"/>
    <w:rsid w:val="005B3794"/>
    <w:rsid w:val="005B3820"/>
    <w:rsid w:val="005B403C"/>
    <w:rsid w:val="005B4488"/>
    <w:rsid w:val="005B4794"/>
    <w:rsid w:val="005B4A08"/>
    <w:rsid w:val="005B58D4"/>
    <w:rsid w:val="005B5B4F"/>
    <w:rsid w:val="005B5F5B"/>
    <w:rsid w:val="005B6541"/>
    <w:rsid w:val="005C07B3"/>
    <w:rsid w:val="005C284E"/>
    <w:rsid w:val="005C427E"/>
    <w:rsid w:val="005C47D4"/>
    <w:rsid w:val="005C4E74"/>
    <w:rsid w:val="005C50CC"/>
    <w:rsid w:val="005C5141"/>
    <w:rsid w:val="005C6A60"/>
    <w:rsid w:val="005C6BDB"/>
    <w:rsid w:val="005C7EAE"/>
    <w:rsid w:val="005D1346"/>
    <w:rsid w:val="005D4E08"/>
    <w:rsid w:val="005D51D0"/>
    <w:rsid w:val="005D52B9"/>
    <w:rsid w:val="005D5624"/>
    <w:rsid w:val="005D5A0B"/>
    <w:rsid w:val="005D5E74"/>
    <w:rsid w:val="005D690D"/>
    <w:rsid w:val="005D6F83"/>
    <w:rsid w:val="005D7877"/>
    <w:rsid w:val="005D7941"/>
    <w:rsid w:val="005D7CCF"/>
    <w:rsid w:val="005E0AAF"/>
    <w:rsid w:val="005E17EA"/>
    <w:rsid w:val="005E3033"/>
    <w:rsid w:val="005E452A"/>
    <w:rsid w:val="005E58C4"/>
    <w:rsid w:val="005E5D8F"/>
    <w:rsid w:val="005E5DF6"/>
    <w:rsid w:val="005E5F20"/>
    <w:rsid w:val="005F009A"/>
    <w:rsid w:val="005F0652"/>
    <w:rsid w:val="005F1B4E"/>
    <w:rsid w:val="005F3334"/>
    <w:rsid w:val="005F3817"/>
    <w:rsid w:val="005F4546"/>
    <w:rsid w:val="005F5860"/>
    <w:rsid w:val="005F5A5C"/>
    <w:rsid w:val="005F5CD9"/>
    <w:rsid w:val="005F5E89"/>
    <w:rsid w:val="00600FCA"/>
    <w:rsid w:val="0060129B"/>
    <w:rsid w:val="00602FBA"/>
    <w:rsid w:val="0060339E"/>
    <w:rsid w:val="00603400"/>
    <w:rsid w:val="00606785"/>
    <w:rsid w:val="006101C2"/>
    <w:rsid w:val="006101F6"/>
    <w:rsid w:val="00610E05"/>
    <w:rsid w:val="0061135C"/>
    <w:rsid w:val="00611362"/>
    <w:rsid w:val="00611B0D"/>
    <w:rsid w:val="006136DD"/>
    <w:rsid w:val="00614358"/>
    <w:rsid w:val="006149F0"/>
    <w:rsid w:val="00617026"/>
    <w:rsid w:val="00617179"/>
    <w:rsid w:val="00620113"/>
    <w:rsid w:val="006220A5"/>
    <w:rsid w:val="0062239F"/>
    <w:rsid w:val="00622462"/>
    <w:rsid w:val="00624099"/>
    <w:rsid w:val="006242BA"/>
    <w:rsid w:val="00624AC8"/>
    <w:rsid w:val="00626663"/>
    <w:rsid w:val="006269F2"/>
    <w:rsid w:val="00630598"/>
    <w:rsid w:val="006309D5"/>
    <w:rsid w:val="00630FF2"/>
    <w:rsid w:val="00631688"/>
    <w:rsid w:val="00631B64"/>
    <w:rsid w:val="00632FA5"/>
    <w:rsid w:val="006339EF"/>
    <w:rsid w:val="00633C60"/>
    <w:rsid w:val="00633F89"/>
    <w:rsid w:val="00635616"/>
    <w:rsid w:val="006375D1"/>
    <w:rsid w:val="00637A15"/>
    <w:rsid w:val="006406A4"/>
    <w:rsid w:val="0064126D"/>
    <w:rsid w:val="00642AC4"/>
    <w:rsid w:val="006451B8"/>
    <w:rsid w:val="00645722"/>
    <w:rsid w:val="00645F6C"/>
    <w:rsid w:val="00647887"/>
    <w:rsid w:val="00647CD3"/>
    <w:rsid w:val="00652432"/>
    <w:rsid w:val="006530FA"/>
    <w:rsid w:val="00653634"/>
    <w:rsid w:val="00655C26"/>
    <w:rsid w:val="00657840"/>
    <w:rsid w:val="00657E49"/>
    <w:rsid w:val="0066003C"/>
    <w:rsid w:val="0066041E"/>
    <w:rsid w:val="00660D68"/>
    <w:rsid w:val="0066142B"/>
    <w:rsid w:val="0066160B"/>
    <w:rsid w:val="00661ACE"/>
    <w:rsid w:val="0066386B"/>
    <w:rsid w:val="0066422B"/>
    <w:rsid w:val="00664F2C"/>
    <w:rsid w:val="00664F36"/>
    <w:rsid w:val="0066601A"/>
    <w:rsid w:val="00666026"/>
    <w:rsid w:val="00670614"/>
    <w:rsid w:val="00672333"/>
    <w:rsid w:val="00672B6D"/>
    <w:rsid w:val="00673534"/>
    <w:rsid w:val="00673CCC"/>
    <w:rsid w:val="00675C98"/>
    <w:rsid w:val="00675DFE"/>
    <w:rsid w:val="0067797F"/>
    <w:rsid w:val="00677C6A"/>
    <w:rsid w:val="0068075E"/>
    <w:rsid w:val="006812AE"/>
    <w:rsid w:val="006816F3"/>
    <w:rsid w:val="00681A4D"/>
    <w:rsid w:val="00681C0A"/>
    <w:rsid w:val="00682BA4"/>
    <w:rsid w:val="00682D8A"/>
    <w:rsid w:val="00684D2C"/>
    <w:rsid w:val="00685098"/>
    <w:rsid w:val="00685519"/>
    <w:rsid w:val="00685718"/>
    <w:rsid w:val="00686390"/>
    <w:rsid w:val="00687735"/>
    <w:rsid w:val="0069026B"/>
    <w:rsid w:val="00690B63"/>
    <w:rsid w:val="00690F71"/>
    <w:rsid w:val="00691578"/>
    <w:rsid w:val="00691940"/>
    <w:rsid w:val="00692527"/>
    <w:rsid w:val="00693296"/>
    <w:rsid w:val="006933F6"/>
    <w:rsid w:val="00693423"/>
    <w:rsid w:val="0069373F"/>
    <w:rsid w:val="00694937"/>
    <w:rsid w:val="006956EA"/>
    <w:rsid w:val="006974E5"/>
    <w:rsid w:val="006A1DBE"/>
    <w:rsid w:val="006A2CFD"/>
    <w:rsid w:val="006A3335"/>
    <w:rsid w:val="006A381A"/>
    <w:rsid w:val="006A490C"/>
    <w:rsid w:val="006A4C0E"/>
    <w:rsid w:val="006A4C4F"/>
    <w:rsid w:val="006A4E22"/>
    <w:rsid w:val="006A675A"/>
    <w:rsid w:val="006B0092"/>
    <w:rsid w:val="006B0662"/>
    <w:rsid w:val="006B2CFA"/>
    <w:rsid w:val="006B3440"/>
    <w:rsid w:val="006B42F2"/>
    <w:rsid w:val="006B4F7D"/>
    <w:rsid w:val="006B5BDD"/>
    <w:rsid w:val="006B62CE"/>
    <w:rsid w:val="006B643F"/>
    <w:rsid w:val="006B6D26"/>
    <w:rsid w:val="006B7B60"/>
    <w:rsid w:val="006C0638"/>
    <w:rsid w:val="006C0C24"/>
    <w:rsid w:val="006C0CF7"/>
    <w:rsid w:val="006C0D69"/>
    <w:rsid w:val="006C114C"/>
    <w:rsid w:val="006C1CAF"/>
    <w:rsid w:val="006C2377"/>
    <w:rsid w:val="006C37BA"/>
    <w:rsid w:val="006C3864"/>
    <w:rsid w:val="006C5383"/>
    <w:rsid w:val="006C5410"/>
    <w:rsid w:val="006C5E72"/>
    <w:rsid w:val="006C67BC"/>
    <w:rsid w:val="006C6985"/>
    <w:rsid w:val="006D06D5"/>
    <w:rsid w:val="006D2AEC"/>
    <w:rsid w:val="006D3A1D"/>
    <w:rsid w:val="006D483E"/>
    <w:rsid w:val="006D4919"/>
    <w:rsid w:val="006D4C8E"/>
    <w:rsid w:val="006D5F0F"/>
    <w:rsid w:val="006D6087"/>
    <w:rsid w:val="006D6508"/>
    <w:rsid w:val="006D73EA"/>
    <w:rsid w:val="006D7A1C"/>
    <w:rsid w:val="006D7B94"/>
    <w:rsid w:val="006E0256"/>
    <w:rsid w:val="006E079F"/>
    <w:rsid w:val="006E19D1"/>
    <w:rsid w:val="006E1B31"/>
    <w:rsid w:val="006E1CBB"/>
    <w:rsid w:val="006E24B8"/>
    <w:rsid w:val="006E26A6"/>
    <w:rsid w:val="006E4057"/>
    <w:rsid w:val="006E4067"/>
    <w:rsid w:val="006F100B"/>
    <w:rsid w:val="006F178D"/>
    <w:rsid w:val="006F239A"/>
    <w:rsid w:val="006F2593"/>
    <w:rsid w:val="006F2700"/>
    <w:rsid w:val="006F2C9D"/>
    <w:rsid w:val="006F3B6C"/>
    <w:rsid w:val="0070116F"/>
    <w:rsid w:val="007014D3"/>
    <w:rsid w:val="00701C80"/>
    <w:rsid w:val="00703216"/>
    <w:rsid w:val="00703A5C"/>
    <w:rsid w:val="00704AFB"/>
    <w:rsid w:val="0070637D"/>
    <w:rsid w:val="00706C04"/>
    <w:rsid w:val="00706FFB"/>
    <w:rsid w:val="007071DD"/>
    <w:rsid w:val="0070771F"/>
    <w:rsid w:val="00707C79"/>
    <w:rsid w:val="00711E58"/>
    <w:rsid w:val="007127C5"/>
    <w:rsid w:val="00712A14"/>
    <w:rsid w:val="00712B55"/>
    <w:rsid w:val="00713A0D"/>
    <w:rsid w:val="00714E17"/>
    <w:rsid w:val="00716C04"/>
    <w:rsid w:val="00716D8F"/>
    <w:rsid w:val="0071716F"/>
    <w:rsid w:val="00717180"/>
    <w:rsid w:val="00717312"/>
    <w:rsid w:val="007179D2"/>
    <w:rsid w:val="00717A6C"/>
    <w:rsid w:val="00720750"/>
    <w:rsid w:val="007224F4"/>
    <w:rsid w:val="00722B42"/>
    <w:rsid w:val="007243C2"/>
    <w:rsid w:val="00725430"/>
    <w:rsid w:val="0072549C"/>
    <w:rsid w:val="007257CE"/>
    <w:rsid w:val="00725A80"/>
    <w:rsid w:val="00727265"/>
    <w:rsid w:val="00727B85"/>
    <w:rsid w:val="00727D7B"/>
    <w:rsid w:val="0073375A"/>
    <w:rsid w:val="00733970"/>
    <w:rsid w:val="0073484E"/>
    <w:rsid w:val="00735A78"/>
    <w:rsid w:val="00735C02"/>
    <w:rsid w:val="00736D15"/>
    <w:rsid w:val="00737709"/>
    <w:rsid w:val="007400D2"/>
    <w:rsid w:val="0074100C"/>
    <w:rsid w:val="0074231F"/>
    <w:rsid w:val="0074275C"/>
    <w:rsid w:val="00743CCB"/>
    <w:rsid w:val="00743F48"/>
    <w:rsid w:val="00743FBF"/>
    <w:rsid w:val="00744FDB"/>
    <w:rsid w:val="00750E22"/>
    <w:rsid w:val="00750FE7"/>
    <w:rsid w:val="00751171"/>
    <w:rsid w:val="00752E41"/>
    <w:rsid w:val="00753812"/>
    <w:rsid w:val="00753CFB"/>
    <w:rsid w:val="00754C58"/>
    <w:rsid w:val="007558D4"/>
    <w:rsid w:val="00755C78"/>
    <w:rsid w:val="0075750C"/>
    <w:rsid w:val="00757DA7"/>
    <w:rsid w:val="00761969"/>
    <w:rsid w:val="007646A5"/>
    <w:rsid w:val="00765085"/>
    <w:rsid w:val="007654A2"/>
    <w:rsid w:val="00765AA5"/>
    <w:rsid w:val="00766243"/>
    <w:rsid w:val="00766F2C"/>
    <w:rsid w:val="007676C0"/>
    <w:rsid w:val="0077071B"/>
    <w:rsid w:val="00772D19"/>
    <w:rsid w:val="00772FED"/>
    <w:rsid w:val="00773CBF"/>
    <w:rsid w:val="007747DB"/>
    <w:rsid w:val="00775D62"/>
    <w:rsid w:val="00775DD2"/>
    <w:rsid w:val="0077695C"/>
    <w:rsid w:val="00776E78"/>
    <w:rsid w:val="007776BA"/>
    <w:rsid w:val="00780A97"/>
    <w:rsid w:val="0078138A"/>
    <w:rsid w:val="0078251B"/>
    <w:rsid w:val="00783014"/>
    <w:rsid w:val="007834DC"/>
    <w:rsid w:val="007834E5"/>
    <w:rsid w:val="00784ADB"/>
    <w:rsid w:val="00784BF2"/>
    <w:rsid w:val="00784D94"/>
    <w:rsid w:val="007850F9"/>
    <w:rsid w:val="00785571"/>
    <w:rsid w:val="00785650"/>
    <w:rsid w:val="00785B35"/>
    <w:rsid w:val="00787718"/>
    <w:rsid w:val="00792DDA"/>
    <w:rsid w:val="00795304"/>
    <w:rsid w:val="00795833"/>
    <w:rsid w:val="007959D8"/>
    <w:rsid w:val="00795B6C"/>
    <w:rsid w:val="0079630F"/>
    <w:rsid w:val="0079786D"/>
    <w:rsid w:val="007978C4"/>
    <w:rsid w:val="007979E1"/>
    <w:rsid w:val="007A04C2"/>
    <w:rsid w:val="007A0EF0"/>
    <w:rsid w:val="007A1F8E"/>
    <w:rsid w:val="007A237E"/>
    <w:rsid w:val="007A47FB"/>
    <w:rsid w:val="007A4DCA"/>
    <w:rsid w:val="007A4E03"/>
    <w:rsid w:val="007A5D02"/>
    <w:rsid w:val="007A7381"/>
    <w:rsid w:val="007B125D"/>
    <w:rsid w:val="007B146A"/>
    <w:rsid w:val="007B1DF7"/>
    <w:rsid w:val="007B47CC"/>
    <w:rsid w:val="007B4B09"/>
    <w:rsid w:val="007B723C"/>
    <w:rsid w:val="007B7B26"/>
    <w:rsid w:val="007B7D2A"/>
    <w:rsid w:val="007C0040"/>
    <w:rsid w:val="007C067C"/>
    <w:rsid w:val="007C0767"/>
    <w:rsid w:val="007C0E7C"/>
    <w:rsid w:val="007C0EAA"/>
    <w:rsid w:val="007C2418"/>
    <w:rsid w:val="007C2ECB"/>
    <w:rsid w:val="007C3461"/>
    <w:rsid w:val="007C44B2"/>
    <w:rsid w:val="007C4A1E"/>
    <w:rsid w:val="007C5142"/>
    <w:rsid w:val="007C6496"/>
    <w:rsid w:val="007C6E06"/>
    <w:rsid w:val="007C745E"/>
    <w:rsid w:val="007C7C21"/>
    <w:rsid w:val="007D1C38"/>
    <w:rsid w:val="007D32B5"/>
    <w:rsid w:val="007D35E0"/>
    <w:rsid w:val="007D470B"/>
    <w:rsid w:val="007D4ACF"/>
    <w:rsid w:val="007D4B82"/>
    <w:rsid w:val="007D713C"/>
    <w:rsid w:val="007D741C"/>
    <w:rsid w:val="007E056A"/>
    <w:rsid w:val="007E0BEC"/>
    <w:rsid w:val="007E14EC"/>
    <w:rsid w:val="007E2496"/>
    <w:rsid w:val="007E2DC4"/>
    <w:rsid w:val="007E2FCF"/>
    <w:rsid w:val="007E3F8C"/>
    <w:rsid w:val="007E60BE"/>
    <w:rsid w:val="007E66B7"/>
    <w:rsid w:val="007F0090"/>
    <w:rsid w:val="007F1FBB"/>
    <w:rsid w:val="007F2058"/>
    <w:rsid w:val="007F2BA3"/>
    <w:rsid w:val="007F2F31"/>
    <w:rsid w:val="007F3326"/>
    <w:rsid w:val="007F39BB"/>
    <w:rsid w:val="007F4E98"/>
    <w:rsid w:val="007F5CD7"/>
    <w:rsid w:val="007F5FAD"/>
    <w:rsid w:val="007F69D5"/>
    <w:rsid w:val="007F6F30"/>
    <w:rsid w:val="007F7685"/>
    <w:rsid w:val="0080011D"/>
    <w:rsid w:val="00800B80"/>
    <w:rsid w:val="00800EA5"/>
    <w:rsid w:val="00801C01"/>
    <w:rsid w:val="00804D8C"/>
    <w:rsid w:val="00805619"/>
    <w:rsid w:val="0081085D"/>
    <w:rsid w:val="0081185A"/>
    <w:rsid w:val="00812A2A"/>
    <w:rsid w:val="00813030"/>
    <w:rsid w:val="008130BB"/>
    <w:rsid w:val="008134FE"/>
    <w:rsid w:val="00813811"/>
    <w:rsid w:val="00814E1D"/>
    <w:rsid w:val="00815293"/>
    <w:rsid w:val="00816093"/>
    <w:rsid w:val="00816436"/>
    <w:rsid w:val="00817272"/>
    <w:rsid w:val="00817654"/>
    <w:rsid w:val="008237FA"/>
    <w:rsid w:val="00824E6E"/>
    <w:rsid w:val="0082583A"/>
    <w:rsid w:val="0082594C"/>
    <w:rsid w:val="00825AC7"/>
    <w:rsid w:val="00825D37"/>
    <w:rsid w:val="00826ED3"/>
    <w:rsid w:val="0082702C"/>
    <w:rsid w:val="008302FA"/>
    <w:rsid w:val="00830B1D"/>
    <w:rsid w:val="0083566C"/>
    <w:rsid w:val="008368A3"/>
    <w:rsid w:val="008369B0"/>
    <w:rsid w:val="00836D13"/>
    <w:rsid w:val="00837617"/>
    <w:rsid w:val="008404B3"/>
    <w:rsid w:val="0084403B"/>
    <w:rsid w:val="008442D6"/>
    <w:rsid w:val="00844FC4"/>
    <w:rsid w:val="00847864"/>
    <w:rsid w:val="00847F5F"/>
    <w:rsid w:val="0085087F"/>
    <w:rsid w:val="00851994"/>
    <w:rsid w:val="00852825"/>
    <w:rsid w:val="00853832"/>
    <w:rsid w:val="00853A08"/>
    <w:rsid w:val="00855602"/>
    <w:rsid w:val="008571D1"/>
    <w:rsid w:val="0085732C"/>
    <w:rsid w:val="00857DF5"/>
    <w:rsid w:val="0086076E"/>
    <w:rsid w:val="00860ADF"/>
    <w:rsid w:val="00860B45"/>
    <w:rsid w:val="0086155C"/>
    <w:rsid w:val="0086166A"/>
    <w:rsid w:val="0086189A"/>
    <w:rsid w:val="0086196D"/>
    <w:rsid w:val="00862027"/>
    <w:rsid w:val="008621A9"/>
    <w:rsid w:val="008623E6"/>
    <w:rsid w:val="00862A8D"/>
    <w:rsid w:val="00863860"/>
    <w:rsid w:val="008638B5"/>
    <w:rsid w:val="00865400"/>
    <w:rsid w:val="008679B4"/>
    <w:rsid w:val="00867E43"/>
    <w:rsid w:val="00867ED9"/>
    <w:rsid w:val="00870180"/>
    <w:rsid w:val="00870DB9"/>
    <w:rsid w:val="008734DB"/>
    <w:rsid w:val="0087390B"/>
    <w:rsid w:val="00873B4C"/>
    <w:rsid w:val="008745A1"/>
    <w:rsid w:val="00875198"/>
    <w:rsid w:val="008764AD"/>
    <w:rsid w:val="008764FD"/>
    <w:rsid w:val="008768E9"/>
    <w:rsid w:val="0087751B"/>
    <w:rsid w:val="008800AA"/>
    <w:rsid w:val="00880485"/>
    <w:rsid w:val="008805F2"/>
    <w:rsid w:val="00880B44"/>
    <w:rsid w:val="008810D6"/>
    <w:rsid w:val="00881117"/>
    <w:rsid w:val="00884125"/>
    <w:rsid w:val="008857B7"/>
    <w:rsid w:val="00886697"/>
    <w:rsid w:val="00887468"/>
    <w:rsid w:val="0088788F"/>
    <w:rsid w:val="00890995"/>
    <w:rsid w:val="00890A24"/>
    <w:rsid w:val="008914FB"/>
    <w:rsid w:val="00891685"/>
    <w:rsid w:val="008933D0"/>
    <w:rsid w:val="0089345D"/>
    <w:rsid w:val="00893C29"/>
    <w:rsid w:val="00895C99"/>
    <w:rsid w:val="008963DB"/>
    <w:rsid w:val="0089645A"/>
    <w:rsid w:val="00896BB7"/>
    <w:rsid w:val="00896C21"/>
    <w:rsid w:val="008976A2"/>
    <w:rsid w:val="008979B0"/>
    <w:rsid w:val="00897C15"/>
    <w:rsid w:val="00897E99"/>
    <w:rsid w:val="008A003A"/>
    <w:rsid w:val="008A0A35"/>
    <w:rsid w:val="008A3911"/>
    <w:rsid w:val="008A3B00"/>
    <w:rsid w:val="008A4829"/>
    <w:rsid w:val="008A4D0A"/>
    <w:rsid w:val="008A5204"/>
    <w:rsid w:val="008A7EDD"/>
    <w:rsid w:val="008B0D74"/>
    <w:rsid w:val="008B2384"/>
    <w:rsid w:val="008B38D6"/>
    <w:rsid w:val="008B3AE3"/>
    <w:rsid w:val="008B3CBC"/>
    <w:rsid w:val="008B4802"/>
    <w:rsid w:val="008B5096"/>
    <w:rsid w:val="008B51BA"/>
    <w:rsid w:val="008B6624"/>
    <w:rsid w:val="008B6913"/>
    <w:rsid w:val="008B69E3"/>
    <w:rsid w:val="008B717C"/>
    <w:rsid w:val="008C0134"/>
    <w:rsid w:val="008C053B"/>
    <w:rsid w:val="008C194A"/>
    <w:rsid w:val="008C1FD1"/>
    <w:rsid w:val="008C2303"/>
    <w:rsid w:val="008C24A8"/>
    <w:rsid w:val="008C2736"/>
    <w:rsid w:val="008C35EF"/>
    <w:rsid w:val="008C5996"/>
    <w:rsid w:val="008C624F"/>
    <w:rsid w:val="008C6B4D"/>
    <w:rsid w:val="008D0A71"/>
    <w:rsid w:val="008D190E"/>
    <w:rsid w:val="008D33F1"/>
    <w:rsid w:val="008D36A7"/>
    <w:rsid w:val="008D47B9"/>
    <w:rsid w:val="008D47DB"/>
    <w:rsid w:val="008D5A11"/>
    <w:rsid w:val="008D5E23"/>
    <w:rsid w:val="008D6056"/>
    <w:rsid w:val="008D75B5"/>
    <w:rsid w:val="008D79B3"/>
    <w:rsid w:val="008E05E9"/>
    <w:rsid w:val="008E1681"/>
    <w:rsid w:val="008E2623"/>
    <w:rsid w:val="008E2D0D"/>
    <w:rsid w:val="008E3AC0"/>
    <w:rsid w:val="008E3BC8"/>
    <w:rsid w:val="008E43C4"/>
    <w:rsid w:val="008E5410"/>
    <w:rsid w:val="008E5A9B"/>
    <w:rsid w:val="008E5F69"/>
    <w:rsid w:val="008E64EB"/>
    <w:rsid w:val="008E6D59"/>
    <w:rsid w:val="008E7095"/>
    <w:rsid w:val="008E75F8"/>
    <w:rsid w:val="008E7F83"/>
    <w:rsid w:val="008F18DE"/>
    <w:rsid w:val="008F2338"/>
    <w:rsid w:val="008F39EF"/>
    <w:rsid w:val="008F513B"/>
    <w:rsid w:val="008F5D66"/>
    <w:rsid w:val="008F6E06"/>
    <w:rsid w:val="0090243A"/>
    <w:rsid w:val="009028AA"/>
    <w:rsid w:val="00902A14"/>
    <w:rsid w:val="00903E3F"/>
    <w:rsid w:val="009049C3"/>
    <w:rsid w:val="00904D3B"/>
    <w:rsid w:val="009055E7"/>
    <w:rsid w:val="009057D9"/>
    <w:rsid w:val="00905ECF"/>
    <w:rsid w:val="00907536"/>
    <w:rsid w:val="0090774A"/>
    <w:rsid w:val="00907C1E"/>
    <w:rsid w:val="009108F8"/>
    <w:rsid w:val="00910ABF"/>
    <w:rsid w:val="00910D07"/>
    <w:rsid w:val="00910FE3"/>
    <w:rsid w:val="00914021"/>
    <w:rsid w:val="00914A12"/>
    <w:rsid w:val="00914B19"/>
    <w:rsid w:val="00914B2F"/>
    <w:rsid w:val="009150E6"/>
    <w:rsid w:val="0091585F"/>
    <w:rsid w:val="0091696F"/>
    <w:rsid w:val="00917F89"/>
    <w:rsid w:val="00921137"/>
    <w:rsid w:val="009212DA"/>
    <w:rsid w:val="00921F2C"/>
    <w:rsid w:val="00921FB4"/>
    <w:rsid w:val="00922106"/>
    <w:rsid w:val="009222FC"/>
    <w:rsid w:val="00924801"/>
    <w:rsid w:val="00924A03"/>
    <w:rsid w:val="009255EE"/>
    <w:rsid w:val="00925603"/>
    <w:rsid w:val="00925F76"/>
    <w:rsid w:val="009269BB"/>
    <w:rsid w:val="00931897"/>
    <w:rsid w:val="00931CBA"/>
    <w:rsid w:val="00932D3A"/>
    <w:rsid w:val="00932E89"/>
    <w:rsid w:val="009334E5"/>
    <w:rsid w:val="0093359D"/>
    <w:rsid w:val="00933B52"/>
    <w:rsid w:val="00933C4E"/>
    <w:rsid w:val="00933F2B"/>
    <w:rsid w:val="00935AF1"/>
    <w:rsid w:val="00935DCF"/>
    <w:rsid w:val="00937393"/>
    <w:rsid w:val="009376DF"/>
    <w:rsid w:val="00937971"/>
    <w:rsid w:val="00941238"/>
    <w:rsid w:val="00942A23"/>
    <w:rsid w:val="00942EEB"/>
    <w:rsid w:val="0094468E"/>
    <w:rsid w:val="00944AB2"/>
    <w:rsid w:val="00944EBD"/>
    <w:rsid w:val="00945261"/>
    <w:rsid w:val="00945A6E"/>
    <w:rsid w:val="009464E2"/>
    <w:rsid w:val="00947288"/>
    <w:rsid w:val="0095033F"/>
    <w:rsid w:val="009506A5"/>
    <w:rsid w:val="00952E86"/>
    <w:rsid w:val="009534E9"/>
    <w:rsid w:val="00953B4D"/>
    <w:rsid w:val="00953EED"/>
    <w:rsid w:val="009541C2"/>
    <w:rsid w:val="009541CC"/>
    <w:rsid w:val="00955379"/>
    <w:rsid w:val="00956564"/>
    <w:rsid w:val="00956A2B"/>
    <w:rsid w:val="00956D5A"/>
    <w:rsid w:val="00961351"/>
    <w:rsid w:val="00961B2C"/>
    <w:rsid w:val="00961DBB"/>
    <w:rsid w:val="00961EA1"/>
    <w:rsid w:val="0096236B"/>
    <w:rsid w:val="00962780"/>
    <w:rsid w:val="00962F07"/>
    <w:rsid w:val="00963AE6"/>
    <w:rsid w:val="0096618E"/>
    <w:rsid w:val="00966BA1"/>
    <w:rsid w:val="009708C7"/>
    <w:rsid w:val="009708DA"/>
    <w:rsid w:val="0097133E"/>
    <w:rsid w:val="00974976"/>
    <w:rsid w:val="00974F67"/>
    <w:rsid w:val="00975449"/>
    <w:rsid w:val="0097595C"/>
    <w:rsid w:val="00975B5B"/>
    <w:rsid w:val="00975F74"/>
    <w:rsid w:val="009762A3"/>
    <w:rsid w:val="00980288"/>
    <w:rsid w:val="009810ED"/>
    <w:rsid w:val="00981319"/>
    <w:rsid w:val="00981433"/>
    <w:rsid w:val="00981867"/>
    <w:rsid w:val="0098269D"/>
    <w:rsid w:val="0098441D"/>
    <w:rsid w:val="009851B6"/>
    <w:rsid w:val="00985365"/>
    <w:rsid w:val="00985C07"/>
    <w:rsid w:val="009864D5"/>
    <w:rsid w:val="009864E5"/>
    <w:rsid w:val="00986DB5"/>
    <w:rsid w:val="00987285"/>
    <w:rsid w:val="009915F0"/>
    <w:rsid w:val="00991BDB"/>
    <w:rsid w:val="0099278E"/>
    <w:rsid w:val="00992A30"/>
    <w:rsid w:val="00992D4B"/>
    <w:rsid w:val="00993077"/>
    <w:rsid w:val="00994482"/>
    <w:rsid w:val="00995B4F"/>
    <w:rsid w:val="0099744A"/>
    <w:rsid w:val="00997582"/>
    <w:rsid w:val="009A060B"/>
    <w:rsid w:val="009A1FB9"/>
    <w:rsid w:val="009A2C21"/>
    <w:rsid w:val="009A3118"/>
    <w:rsid w:val="009A3E58"/>
    <w:rsid w:val="009A5E5A"/>
    <w:rsid w:val="009A5F02"/>
    <w:rsid w:val="009A62F1"/>
    <w:rsid w:val="009A6639"/>
    <w:rsid w:val="009A7AB1"/>
    <w:rsid w:val="009B0057"/>
    <w:rsid w:val="009B16B4"/>
    <w:rsid w:val="009B195A"/>
    <w:rsid w:val="009B1E4D"/>
    <w:rsid w:val="009B2150"/>
    <w:rsid w:val="009B318D"/>
    <w:rsid w:val="009B337E"/>
    <w:rsid w:val="009B5E1F"/>
    <w:rsid w:val="009B6A69"/>
    <w:rsid w:val="009C1BCF"/>
    <w:rsid w:val="009C29F1"/>
    <w:rsid w:val="009C2F20"/>
    <w:rsid w:val="009C35BB"/>
    <w:rsid w:val="009C59B3"/>
    <w:rsid w:val="009C6DAA"/>
    <w:rsid w:val="009C7962"/>
    <w:rsid w:val="009D02D5"/>
    <w:rsid w:val="009D036A"/>
    <w:rsid w:val="009D04E4"/>
    <w:rsid w:val="009D0E74"/>
    <w:rsid w:val="009D0F59"/>
    <w:rsid w:val="009D1299"/>
    <w:rsid w:val="009D16B7"/>
    <w:rsid w:val="009D1A12"/>
    <w:rsid w:val="009D1A96"/>
    <w:rsid w:val="009D28A2"/>
    <w:rsid w:val="009D370B"/>
    <w:rsid w:val="009D438E"/>
    <w:rsid w:val="009D523D"/>
    <w:rsid w:val="009D6FBE"/>
    <w:rsid w:val="009D743D"/>
    <w:rsid w:val="009D7A93"/>
    <w:rsid w:val="009E0227"/>
    <w:rsid w:val="009E1A95"/>
    <w:rsid w:val="009E1F3E"/>
    <w:rsid w:val="009E2087"/>
    <w:rsid w:val="009E2264"/>
    <w:rsid w:val="009E252B"/>
    <w:rsid w:val="009E2E1C"/>
    <w:rsid w:val="009E2F69"/>
    <w:rsid w:val="009E3265"/>
    <w:rsid w:val="009E3353"/>
    <w:rsid w:val="009E42FC"/>
    <w:rsid w:val="009E446D"/>
    <w:rsid w:val="009E44A8"/>
    <w:rsid w:val="009E4678"/>
    <w:rsid w:val="009E4C75"/>
    <w:rsid w:val="009E7C09"/>
    <w:rsid w:val="009F146D"/>
    <w:rsid w:val="009F1D45"/>
    <w:rsid w:val="009F30D6"/>
    <w:rsid w:val="009F3458"/>
    <w:rsid w:val="009F4F1E"/>
    <w:rsid w:val="009F53DD"/>
    <w:rsid w:val="00A00611"/>
    <w:rsid w:val="00A00DE6"/>
    <w:rsid w:val="00A01342"/>
    <w:rsid w:val="00A01531"/>
    <w:rsid w:val="00A015E4"/>
    <w:rsid w:val="00A023BF"/>
    <w:rsid w:val="00A05A60"/>
    <w:rsid w:val="00A05C2D"/>
    <w:rsid w:val="00A068F4"/>
    <w:rsid w:val="00A069ED"/>
    <w:rsid w:val="00A06B0D"/>
    <w:rsid w:val="00A07001"/>
    <w:rsid w:val="00A071E8"/>
    <w:rsid w:val="00A075BC"/>
    <w:rsid w:val="00A078FC"/>
    <w:rsid w:val="00A07DED"/>
    <w:rsid w:val="00A100FC"/>
    <w:rsid w:val="00A1090F"/>
    <w:rsid w:val="00A11222"/>
    <w:rsid w:val="00A113C2"/>
    <w:rsid w:val="00A117C9"/>
    <w:rsid w:val="00A11F68"/>
    <w:rsid w:val="00A12C39"/>
    <w:rsid w:val="00A12DA7"/>
    <w:rsid w:val="00A134FB"/>
    <w:rsid w:val="00A135E0"/>
    <w:rsid w:val="00A14C11"/>
    <w:rsid w:val="00A15185"/>
    <w:rsid w:val="00A1563F"/>
    <w:rsid w:val="00A16EB0"/>
    <w:rsid w:val="00A20516"/>
    <w:rsid w:val="00A20802"/>
    <w:rsid w:val="00A2109F"/>
    <w:rsid w:val="00A215B5"/>
    <w:rsid w:val="00A22C87"/>
    <w:rsid w:val="00A230C0"/>
    <w:rsid w:val="00A25092"/>
    <w:rsid w:val="00A253C7"/>
    <w:rsid w:val="00A25B4F"/>
    <w:rsid w:val="00A27EE1"/>
    <w:rsid w:val="00A308DB"/>
    <w:rsid w:val="00A308E6"/>
    <w:rsid w:val="00A30E90"/>
    <w:rsid w:val="00A31756"/>
    <w:rsid w:val="00A326AE"/>
    <w:rsid w:val="00A33112"/>
    <w:rsid w:val="00A33CCE"/>
    <w:rsid w:val="00A34155"/>
    <w:rsid w:val="00A35122"/>
    <w:rsid w:val="00A4349B"/>
    <w:rsid w:val="00A43BC7"/>
    <w:rsid w:val="00A442BF"/>
    <w:rsid w:val="00A44B43"/>
    <w:rsid w:val="00A45FA0"/>
    <w:rsid w:val="00A46867"/>
    <w:rsid w:val="00A46FB9"/>
    <w:rsid w:val="00A508F1"/>
    <w:rsid w:val="00A51629"/>
    <w:rsid w:val="00A5180D"/>
    <w:rsid w:val="00A5238D"/>
    <w:rsid w:val="00A52999"/>
    <w:rsid w:val="00A533EF"/>
    <w:rsid w:val="00A536F9"/>
    <w:rsid w:val="00A53716"/>
    <w:rsid w:val="00A53FA9"/>
    <w:rsid w:val="00A5629E"/>
    <w:rsid w:val="00A56763"/>
    <w:rsid w:val="00A56CFA"/>
    <w:rsid w:val="00A57CA2"/>
    <w:rsid w:val="00A600BE"/>
    <w:rsid w:val="00A6036F"/>
    <w:rsid w:val="00A60D0B"/>
    <w:rsid w:val="00A613D4"/>
    <w:rsid w:val="00A61B1C"/>
    <w:rsid w:val="00A61EE7"/>
    <w:rsid w:val="00A6202A"/>
    <w:rsid w:val="00A63A5C"/>
    <w:rsid w:val="00A63A83"/>
    <w:rsid w:val="00A64832"/>
    <w:rsid w:val="00A64CDC"/>
    <w:rsid w:val="00A66526"/>
    <w:rsid w:val="00A70E94"/>
    <w:rsid w:val="00A71819"/>
    <w:rsid w:val="00A71B05"/>
    <w:rsid w:val="00A71C44"/>
    <w:rsid w:val="00A71CD4"/>
    <w:rsid w:val="00A72547"/>
    <w:rsid w:val="00A72F18"/>
    <w:rsid w:val="00A73258"/>
    <w:rsid w:val="00A732DB"/>
    <w:rsid w:val="00A7342C"/>
    <w:rsid w:val="00A74235"/>
    <w:rsid w:val="00A753E2"/>
    <w:rsid w:val="00A766C5"/>
    <w:rsid w:val="00A768C5"/>
    <w:rsid w:val="00A7760C"/>
    <w:rsid w:val="00A77F60"/>
    <w:rsid w:val="00A80C82"/>
    <w:rsid w:val="00A81CA9"/>
    <w:rsid w:val="00A81DA9"/>
    <w:rsid w:val="00A81F79"/>
    <w:rsid w:val="00A82125"/>
    <w:rsid w:val="00A83A76"/>
    <w:rsid w:val="00A83EBF"/>
    <w:rsid w:val="00A84ABD"/>
    <w:rsid w:val="00A86F04"/>
    <w:rsid w:val="00A870B8"/>
    <w:rsid w:val="00A873A0"/>
    <w:rsid w:val="00A87D4D"/>
    <w:rsid w:val="00A91006"/>
    <w:rsid w:val="00A92C13"/>
    <w:rsid w:val="00A92D74"/>
    <w:rsid w:val="00A92F3F"/>
    <w:rsid w:val="00A93560"/>
    <w:rsid w:val="00A93BBD"/>
    <w:rsid w:val="00A946C4"/>
    <w:rsid w:val="00A9528F"/>
    <w:rsid w:val="00A97E19"/>
    <w:rsid w:val="00AA00D8"/>
    <w:rsid w:val="00AA0A34"/>
    <w:rsid w:val="00AA10D6"/>
    <w:rsid w:val="00AA21FB"/>
    <w:rsid w:val="00AA2C2C"/>
    <w:rsid w:val="00AA38E9"/>
    <w:rsid w:val="00AA4BAA"/>
    <w:rsid w:val="00AB0288"/>
    <w:rsid w:val="00AB0C3E"/>
    <w:rsid w:val="00AB11EA"/>
    <w:rsid w:val="00AB164F"/>
    <w:rsid w:val="00AB1ED5"/>
    <w:rsid w:val="00AB315F"/>
    <w:rsid w:val="00AB6179"/>
    <w:rsid w:val="00AB6D2B"/>
    <w:rsid w:val="00AB6F5F"/>
    <w:rsid w:val="00AB736F"/>
    <w:rsid w:val="00AB79E1"/>
    <w:rsid w:val="00AC01F8"/>
    <w:rsid w:val="00AC049D"/>
    <w:rsid w:val="00AC059A"/>
    <w:rsid w:val="00AC0FB2"/>
    <w:rsid w:val="00AC1FF6"/>
    <w:rsid w:val="00AC2AF4"/>
    <w:rsid w:val="00AC374D"/>
    <w:rsid w:val="00AC3784"/>
    <w:rsid w:val="00AC39D5"/>
    <w:rsid w:val="00AC3F82"/>
    <w:rsid w:val="00AC4090"/>
    <w:rsid w:val="00AC4F90"/>
    <w:rsid w:val="00AC6174"/>
    <w:rsid w:val="00AC61F0"/>
    <w:rsid w:val="00AC78C8"/>
    <w:rsid w:val="00AD0308"/>
    <w:rsid w:val="00AD1DE2"/>
    <w:rsid w:val="00AD1E08"/>
    <w:rsid w:val="00AD2869"/>
    <w:rsid w:val="00AD377A"/>
    <w:rsid w:val="00AD37F4"/>
    <w:rsid w:val="00AD3A04"/>
    <w:rsid w:val="00AD5007"/>
    <w:rsid w:val="00AD5468"/>
    <w:rsid w:val="00AD63B8"/>
    <w:rsid w:val="00AD6641"/>
    <w:rsid w:val="00AD67BB"/>
    <w:rsid w:val="00AD6982"/>
    <w:rsid w:val="00AD6B82"/>
    <w:rsid w:val="00AD7993"/>
    <w:rsid w:val="00AD7CE9"/>
    <w:rsid w:val="00AD7F11"/>
    <w:rsid w:val="00AE0CFA"/>
    <w:rsid w:val="00AE0FEA"/>
    <w:rsid w:val="00AE1CC1"/>
    <w:rsid w:val="00AE1DE7"/>
    <w:rsid w:val="00AE259C"/>
    <w:rsid w:val="00AE27F5"/>
    <w:rsid w:val="00AE3EA4"/>
    <w:rsid w:val="00AE42C8"/>
    <w:rsid w:val="00AE496F"/>
    <w:rsid w:val="00AE5475"/>
    <w:rsid w:val="00AE67DF"/>
    <w:rsid w:val="00AE6953"/>
    <w:rsid w:val="00AE6C72"/>
    <w:rsid w:val="00AE719E"/>
    <w:rsid w:val="00AF1B02"/>
    <w:rsid w:val="00AF1ED5"/>
    <w:rsid w:val="00AF22B0"/>
    <w:rsid w:val="00AF39CE"/>
    <w:rsid w:val="00AF41E4"/>
    <w:rsid w:val="00AF47DC"/>
    <w:rsid w:val="00AF4AD5"/>
    <w:rsid w:val="00AF5365"/>
    <w:rsid w:val="00AF5541"/>
    <w:rsid w:val="00AF5E30"/>
    <w:rsid w:val="00AF6161"/>
    <w:rsid w:val="00AF7484"/>
    <w:rsid w:val="00B00647"/>
    <w:rsid w:val="00B01460"/>
    <w:rsid w:val="00B0151A"/>
    <w:rsid w:val="00B01EA3"/>
    <w:rsid w:val="00B02D1C"/>
    <w:rsid w:val="00B02E93"/>
    <w:rsid w:val="00B044F6"/>
    <w:rsid w:val="00B06A75"/>
    <w:rsid w:val="00B06BC3"/>
    <w:rsid w:val="00B107BF"/>
    <w:rsid w:val="00B10973"/>
    <w:rsid w:val="00B10D0D"/>
    <w:rsid w:val="00B1103C"/>
    <w:rsid w:val="00B1233B"/>
    <w:rsid w:val="00B1291F"/>
    <w:rsid w:val="00B12B80"/>
    <w:rsid w:val="00B14030"/>
    <w:rsid w:val="00B152FF"/>
    <w:rsid w:val="00B15A0F"/>
    <w:rsid w:val="00B1630D"/>
    <w:rsid w:val="00B169A3"/>
    <w:rsid w:val="00B16AC8"/>
    <w:rsid w:val="00B17D95"/>
    <w:rsid w:val="00B20236"/>
    <w:rsid w:val="00B20937"/>
    <w:rsid w:val="00B20F40"/>
    <w:rsid w:val="00B219CB"/>
    <w:rsid w:val="00B220A0"/>
    <w:rsid w:val="00B220DE"/>
    <w:rsid w:val="00B2295B"/>
    <w:rsid w:val="00B22B64"/>
    <w:rsid w:val="00B22BF4"/>
    <w:rsid w:val="00B22FEA"/>
    <w:rsid w:val="00B2424C"/>
    <w:rsid w:val="00B24321"/>
    <w:rsid w:val="00B245AF"/>
    <w:rsid w:val="00B273E1"/>
    <w:rsid w:val="00B2780F"/>
    <w:rsid w:val="00B3002C"/>
    <w:rsid w:val="00B30FB0"/>
    <w:rsid w:val="00B30FEB"/>
    <w:rsid w:val="00B311D4"/>
    <w:rsid w:val="00B31911"/>
    <w:rsid w:val="00B329D8"/>
    <w:rsid w:val="00B3307E"/>
    <w:rsid w:val="00B33637"/>
    <w:rsid w:val="00B33A8F"/>
    <w:rsid w:val="00B33BF3"/>
    <w:rsid w:val="00B33CB7"/>
    <w:rsid w:val="00B33CFC"/>
    <w:rsid w:val="00B34E91"/>
    <w:rsid w:val="00B355C5"/>
    <w:rsid w:val="00B366ED"/>
    <w:rsid w:val="00B40AA3"/>
    <w:rsid w:val="00B41BAA"/>
    <w:rsid w:val="00B42AD9"/>
    <w:rsid w:val="00B438E6"/>
    <w:rsid w:val="00B4406C"/>
    <w:rsid w:val="00B4438C"/>
    <w:rsid w:val="00B44478"/>
    <w:rsid w:val="00B44674"/>
    <w:rsid w:val="00B51696"/>
    <w:rsid w:val="00B51730"/>
    <w:rsid w:val="00B5287B"/>
    <w:rsid w:val="00B53409"/>
    <w:rsid w:val="00B53EE1"/>
    <w:rsid w:val="00B544CF"/>
    <w:rsid w:val="00B54866"/>
    <w:rsid w:val="00B549BC"/>
    <w:rsid w:val="00B56E2C"/>
    <w:rsid w:val="00B57AB5"/>
    <w:rsid w:val="00B6002C"/>
    <w:rsid w:val="00B60E45"/>
    <w:rsid w:val="00B615C2"/>
    <w:rsid w:val="00B6163B"/>
    <w:rsid w:val="00B6182C"/>
    <w:rsid w:val="00B620EE"/>
    <w:rsid w:val="00B62C09"/>
    <w:rsid w:val="00B62DF3"/>
    <w:rsid w:val="00B62E34"/>
    <w:rsid w:val="00B63240"/>
    <w:rsid w:val="00B640EE"/>
    <w:rsid w:val="00B640FD"/>
    <w:rsid w:val="00B66518"/>
    <w:rsid w:val="00B67429"/>
    <w:rsid w:val="00B70B7E"/>
    <w:rsid w:val="00B717DB"/>
    <w:rsid w:val="00B72828"/>
    <w:rsid w:val="00B73F7A"/>
    <w:rsid w:val="00B74CFE"/>
    <w:rsid w:val="00B7516E"/>
    <w:rsid w:val="00B75F1E"/>
    <w:rsid w:val="00B76F3E"/>
    <w:rsid w:val="00B770C3"/>
    <w:rsid w:val="00B772ED"/>
    <w:rsid w:val="00B77A32"/>
    <w:rsid w:val="00B77E4E"/>
    <w:rsid w:val="00B808D8"/>
    <w:rsid w:val="00B815A6"/>
    <w:rsid w:val="00B83600"/>
    <w:rsid w:val="00B838BB"/>
    <w:rsid w:val="00B83AE2"/>
    <w:rsid w:val="00B847CC"/>
    <w:rsid w:val="00B84BD3"/>
    <w:rsid w:val="00B85366"/>
    <w:rsid w:val="00B87789"/>
    <w:rsid w:val="00B87F60"/>
    <w:rsid w:val="00B9079B"/>
    <w:rsid w:val="00B92781"/>
    <w:rsid w:val="00B931A9"/>
    <w:rsid w:val="00B93D3D"/>
    <w:rsid w:val="00B93DF9"/>
    <w:rsid w:val="00B9413E"/>
    <w:rsid w:val="00B954CE"/>
    <w:rsid w:val="00B962CD"/>
    <w:rsid w:val="00B96F75"/>
    <w:rsid w:val="00B974DA"/>
    <w:rsid w:val="00BA0399"/>
    <w:rsid w:val="00BA041E"/>
    <w:rsid w:val="00BA0753"/>
    <w:rsid w:val="00BA12D6"/>
    <w:rsid w:val="00BA1E8D"/>
    <w:rsid w:val="00BA3091"/>
    <w:rsid w:val="00BA4307"/>
    <w:rsid w:val="00BA43CB"/>
    <w:rsid w:val="00BA471F"/>
    <w:rsid w:val="00BA49D0"/>
    <w:rsid w:val="00BA4BB3"/>
    <w:rsid w:val="00BA6261"/>
    <w:rsid w:val="00BA6C8C"/>
    <w:rsid w:val="00BA7D06"/>
    <w:rsid w:val="00BB0A82"/>
    <w:rsid w:val="00BB1535"/>
    <w:rsid w:val="00BB208F"/>
    <w:rsid w:val="00BB2EC7"/>
    <w:rsid w:val="00BB34DC"/>
    <w:rsid w:val="00BB3C52"/>
    <w:rsid w:val="00BB3D81"/>
    <w:rsid w:val="00BB5013"/>
    <w:rsid w:val="00BB528E"/>
    <w:rsid w:val="00BB5714"/>
    <w:rsid w:val="00BB6A10"/>
    <w:rsid w:val="00BC0200"/>
    <w:rsid w:val="00BC057E"/>
    <w:rsid w:val="00BC08EB"/>
    <w:rsid w:val="00BC152E"/>
    <w:rsid w:val="00BC2600"/>
    <w:rsid w:val="00BC2705"/>
    <w:rsid w:val="00BC3143"/>
    <w:rsid w:val="00BC36F0"/>
    <w:rsid w:val="00BC3CFB"/>
    <w:rsid w:val="00BC3E29"/>
    <w:rsid w:val="00BC4FA7"/>
    <w:rsid w:val="00BC54C0"/>
    <w:rsid w:val="00BC5E30"/>
    <w:rsid w:val="00BC684E"/>
    <w:rsid w:val="00BC6CF8"/>
    <w:rsid w:val="00BD02C5"/>
    <w:rsid w:val="00BD0418"/>
    <w:rsid w:val="00BD068D"/>
    <w:rsid w:val="00BD1273"/>
    <w:rsid w:val="00BD188B"/>
    <w:rsid w:val="00BD550F"/>
    <w:rsid w:val="00BD61AD"/>
    <w:rsid w:val="00BE0D9A"/>
    <w:rsid w:val="00BE1A50"/>
    <w:rsid w:val="00BE2F0D"/>
    <w:rsid w:val="00BE3045"/>
    <w:rsid w:val="00BE3337"/>
    <w:rsid w:val="00BE42AD"/>
    <w:rsid w:val="00BE45B2"/>
    <w:rsid w:val="00BE58D6"/>
    <w:rsid w:val="00BE7C7B"/>
    <w:rsid w:val="00BE7DFB"/>
    <w:rsid w:val="00BF0BD5"/>
    <w:rsid w:val="00BF1445"/>
    <w:rsid w:val="00BF22E0"/>
    <w:rsid w:val="00BF236E"/>
    <w:rsid w:val="00BF33ED"/>
    <w:rsid w:val="00BF3AC6"/>
    <w:rsid w:val="00BF55F8"/>
    <w:rsid w:val="00BF5AC0"/>
    <w:rsid w:val="00BF6551"/>
    <w:rsid w:val="00BF685B"/>
    <w:rsid w:val="00BF7204"/>
    <w:rsid w:val="00C014AC"/>
    <w:rsid w:val="00C02484"/>
    <w:rsid w:val="00C051FD"/>
    <w:rsid w:val="00C05D63"/>
    <w:rsid w:val="00C0628A"/>
    <w:rsid w:val="00C06673"/>
    <w:rsid w:val="00C073B8"/>
    <w:rsid w:val="00C10928"/>
    <w:rsid w:val="00C1133D"/>
    <w:rsid w:val="00C14097"/>
    <w:rsid w:val="00C151A8"/>
    <w:rsid w:val="00C156C9"/>
    <w:rsid w:val="00C156E2"/>
    <w:rsid w:val="00C16A56"/>
    <w:rsid w:val="00C16FAC"/>
    <w:rsid w:val="00C1759C"/>
    <w:rsid w:val="00C177C0"/>
    <w:rsid w:val="00C20604"/>
    <w:rsid w:val="00C20C7D"/>
    <w:rsid w:val="00C20DEF"/>
    <w:rsid w:val="00C21085"/>
    <w:rsid w:val="00C2197C"/>
    <w:rsid w:val="00C22E6F"/>
    <w:rsid w:val="00C2321E"/>
    <w:rsid w:val="00C24B25"/>
    <w:rsid w:val="00C251DF"/>
    <w:rsid w:val="00C257A3"/>
    <w:rsid w:val="00C268D8"/>
    <w:rsid w:val="00C310A8"/>
    <w:rsid w:val="00C311EA"/>
    <w:rsid w:val="00C31887"/>
    <w:rsid w:val="00C320F0"/>
    <w:rsid w:val="00C32C2F"/>
    <w:rsid w:val="00C341CC"/>
    <w:rsid w:val="00C3458A"/>
    <w:rsid w:val="00C366F2"/>
    <w:rsid w:val="00C37353"/>
    <w:rsid w:val="00C3738A"/>
    <w:rsid w:val="00C4028F"/>
    <w:rsid w:val="00C4181F"/>
    <w:rsid w:val="00C41F13"/>
    <w:rsid w:val="00C4254D"/>
    <w:rsid w:val="00C42F90"/>
    <w:rsid w:val="00C4315A"/>
    <w:rsid w:val="00C43781"/>
    <w:rsid w:val="00C43F5E"/>
    <w:rsid w:val="00C44074"/>
    <w:rsid w:val="00C44E4F"/>
    <w:rsid w:val="00C4561A"/>
    <w:rsid w:val="00C4651F"/>
    <w:rsid w:val="00C465B5"/>
    <w:rsid w:val="00C47931"/>
    <w:rsid w:val="00C519C7"/>
    <w:rsid w:val="00C51D0B"/>
    <w:rsid w:val="00C52A50"/>
    <w:rsid w:val="00C52D9F"/>
    <w:rsid w:val="00C62AF3"/>
    <w:rsid w:val="00C63C8A"/>
    <w:rsid w:val="00C642D4"/>
    <w:rsid w:val="00C64A14"/>
    <w:rsid w:val="00C64E8A"/>
    <w:rsid w:val="00C654FF"/>
    <w:rsid w:val="00C67777"/>
    <w:rsid w:val="00C702A0"/>
    <w:rsid w:val="00C71155"/>
    <w:rsid w:val="00C7125B"/>
    <w:rsid w:val="00C730F4"/>
    <w:rsid w:val="00C7398C"/>
    <w:rsid w:val="00C76B91"/>
    <w:rsid w:val="00C770FC"/>
    <w:rsid w:val="00C800F2"/>
    <w:rsid w:val="00C80200"/>
    <w:rsid w:val="00C8270B"/>
    <w:rsid w:val="00C841A9"/>
    <w:rsid w:val="00C845CF"/>
    <w:rsid w:val="00C847A1"/>
    <w:rsid w:val="00C85E66"/>
    <w:rsid w:val="00C8695B"/>
    <w:rsid w:val="00C8728F"/>
    <w:rsid w:val="00C9003C"/>
    <w:rsid w:val="00C90122"/>
    <w:rsid w:val="00C90201"/>
    <w:rsid w:val="00C90CC9"/>
    <w:rsid w:val="00C91139"/>
    <w:rsid w:val="00C91D29"/>
    <w:rsid w:val="00C939E8"/>
    <w:rsid w:val="00C94004"/>
    <w:rsid w:val="00C94BE9"/>
    <w:rsid w:val="00C94E21"/>
    <w:rsid w:val="00C96EF1"/>
    <w:rsid w:val="00C96EFE"/>
    <w:rsid w:val="00C97CF1"/>
    <w:rsid w:val="00C97FBC"/>
    <w:rsid w:val="00CA0B7E"/>
    <w:rsid w:val="00CA252A"/>
    <w:rsid w:val="00CA2C0B"/>
    <w:rsid w:val="00CA3323"/>
    <w:rsid w:val="00CA5598"/>
    <w:rsid w:val="00CA5C20"/>
    <w:rsid w:val="00CA5EF8"/>
    <w:rsid w:val="00CB1609"/>
    <w:rsid w:val="00CB19F5"/>
    <w:rsid w:val="00CB1B36"/>
    <w:rsid w:val="00CB28A3"/>
    <w:rsid w:val="00CB3885"/>
    <w:rsid w:val="00CB4DC4"/>
    <w:rsid w:val="00CB523A"/>
    <w:rsid w:val="00CB58C3"/>
    <w:rsid w:val="00CB6EB9"/>
    <w:rsid w:val="00CB7EB2"/>
    <w:rsid w:val="00CC00A0"/>
    <w:rsid w:val="00CC03B3"/>
    <w:rsid w:val="00CC2B7B"/>
    <w:rsid w:val="00CC37CA"/>
    <w:rsid w:val="00CC37F4"/>
    <w:rsid w:val="00CC3DC7"/>
    <w:rsid w:val="00CC427C"/>
    <w:rsid w:val="00CC5455"/>
    <w:rsid w:val="00CC54B8"/>
    <w:rsid w:val="00CC5685"/>
    <w:rsid w:val="00CC5F82"/>
    <w:rsid w:val="00CC6ACA"/>
    <w:rsid w:val="00CC6C06"/>
    <w:rsid w:val="00CC6C72"/>
    <w:rsid w:val="00CD23E6"/>
    <w:rsid w:val="00CD3DB8"/>
    <w:rsid w:val="00CD4258"/>
    <w:rsid w:val="00CD4580"/>
    <w:rsid w:val="00CD5269"/>
    <w:rsid w:val="00CD5509"/>
    <w:rsid w:val="00CD619B"/>
    <w:rsid w:val="00CD6357"/>
    <w:rsid w:val="00CD7643"/>
    <w:rsid w:val="00CE11FE"/>
    <w:rsid w:val="00CE1884"/>
    <w:rsid w:val="00CE1A6F"/>
    <w:rsid w:val="00CE1EB0"/>
    <w:rsid w:val="00CE3169"/>
    <w:rsid w:val="00CE38F9"/>
    <w:rsid w:val="00CE3DF2"/>
    <w:rsid w:val="00CE4F98"/>
    <w:rsid w:val="00CE5216"/>
    <w:rsid w:val="00CE6879"/>
    <w:rsid w:val="00CE6C4C"/>
    <w:rsid w:val="00CF0C0F"/>
    <w:rsid w:val="00CF12F3"/>
    <w:rsid w:val="00CF15D2"/>
    <w:rsid w:val="00CF1627"/>
    <w:rsid w:val="00CF1690"/>
    <w:rsid w:val="00CF1F2A"/>
    <w:rsid w:val="00CF3402"/>
    <w:rsid w:val="00CF468C"/>
    <w:rsid w:val="00CF4D43"/>
    <w:rsid w:val="00CF4E71"/>
    <w:rsid w:val="00CF5B71"/>
    <w:rsid w:val="00CF5CE3"/>
    <w:rsid w:val="00CF7056"/>
    <w:rsid w:val="00CF7412"/>
    <w:rsid w:val="00CF7D63"/>
    <w:rsid w:val="00D0005D"/>
    <w:rsid w:val="00D026DD"/>
    <w:rsid w:val="00D02956"/>
    <w:rsid w:val="00D030F8"/>
    <w:rsid w:val="00D03D5E"/>
    <w:rsid w:val="00D04BBD"/>
    <w:rsid w:val="00D06042"/>
    <w:rsid w:val="00D068CC"/>
    <w:rsid w:val="00D077B7"/>
    <w:rsid w:val="00D07EDD"/>
    <w:rsid w:val="00D11345"/>
    <w:rsid w:val="00D11FF7"/>
    <w:rsid w:val="00D12D80"/>
    <w:rsid w:val="00D13B30"/>
    <w:rsid w:val="00D1528A"/>
    <w:rsid w:val="00D1571C"/>
    <w:rsid w:val="00D16E7A"/>
    <w:rsid w:val="00D20297"/>
    <w:rsid w:val="00D2087E"/>
    <w:rsid w:val="00D21277"/>
    <w:rsid w:val="00D212B4"/>
    <w:rsid w:val="00D21E6B"/>
    <w:rsid w:val="00D2284C"/>
    <w:rsid w:val="00D23634"/>
    <w:rsid w:val="00D2397F"/>
    <w:rsid w:val="00D247C5"/>
    <w:rsid w:val="00D25F00"/>
    <w:rsid w:val="00D2621E"/>
    <w:rsid w:val="00D264C9"/>
    <w:rsid w:val="00D27280"/>
    <w:rsid w:val="00D306AE"/>
    <w:rsid w:val="00D30AB2"/>
    <w:rsid w:val="00D31ECD"/>
    <w:rsid w:val="00D34037"/>
    <w:rsid w:val="00D34551"/>
    <w:rsid w:val="00D36118"/>
    <w:rsid w:val="00D36A1D"/>
    <w:rsid w:val="00D402A4"/>
    <w:rsid w:val="00D41103"/>
    <w:rsid w:val="00D4335F"/>
    <w:rsid w:val="00D44B1A"/>
    <w:rsid w:val="00D452ED"/>
    <w:rsid w:val="00D457D6"/>
    <w:rsid w:val="00D46A0C"/>
    <w:rsid w:val="00D46E8A"/>
    <w:rsid w:val="00D50BCA"/>
    <w:rsid w:val="00D5106F"/>
    <w:rsid w:val="00D51986"/>
    <w:rsid w:val="00D53425"/>
    <w:rsid w:val="00D53D74"/>
    <w:rsid w:val="00D559DF"/>
    <w:rsid w:val="00D572F8"/>
    <w:rsid w:val="00D605E6"/>
    <w:rsid w:val="00D61611"/>
    <w:rsid w:val="00D61FE6"/>
    <w:rsid w:val="00D62993"/>
    <w:rsid w:val="00D64CE2"/>
    <w:rsid w:val="00D64D07"/>
    <w:rsid w:val="00D652CB"/>
    <w:rsid w:val="00D65692"/>
    <w:rsid w:val="00D65AC1"/>
    <w:rsid w:val="00D702A3"/>
    <w:rsid w:val="00D742EE"/>
    <w:rsid w:val="00D7438E"/>
    <w:rsid w:val="00D76489"/>
    <w:rsid w:val="00D7691E"/>
    <w:rsid w:val="00D7751B"/>
    <w:rsid w:val="00D815DC"/>
    <w:rsid w:val="00D81FDB"/>
    <w:rsid w:val="00D822B5"/>
    <w:rsid w:val="00D83D3C"/>
    <w:rsid w:val="00D867AE"/>
    <w:rsid w:val="00D86E34"/>
    <w:rsid w:val="00D87BBB"/>
    <w:rsid w:val="00D87C87"/>
    <w:rsid w:val="00D87CCD"/>
    <w:rsid w:val="00D91929"/>
    <w:rsid w:val="00D91B27"/>
    <w:rsid w:val="00D921C4"/>
    <w:rsid w:val="00D9296A"/>
    <w:rsid w:val="00D933AA"/>
    <w:rsid w:val="00D93C23"/>
    <w:rsid w:val="00D942FE"/>
    <w:rsid w:val="00D94EFD"/>
    <w:rsid w:val="00D9515E"/>
    <w:rsid w:val="00D95638"/>
    <w:rsid w:val="00D9584C"/>
    <w:rsid w:val="00D9641B"/>
    <w:rsid w:val="00DA0AC0"/>
    <w:rsid w:val="00DA0BF4"/>
    <w:rsid w:val="00DA14D9"/>
    <w:rsid w:val="00DA64E5"/>
    <w:rsid w:val="00DB1026"/>
    <w:rsid w:val="00DB13AD"/>
    <w:rsid w:val="00DB2342"/>
    <w:rsid w:val="00DB23F9"/>
    <w:rsid w:val="00DB261D"/>
    <w:rsid w:val="00DB3545"/>
    <w:rsid w:val="00DB43E0"/>
    <w:rsid w:val="00DB481B"/>
    <w:rsid w:val="00DB4B71"/>
    <w:rsid w:val="00DB4D11"/>
    <w:rsid w:val="00DB58BE"/>
    <w:rsid w:val="00DB6176"/>
    <w:rsid w:val="00DB62B4"/>
    <w:rsid w:val="00DB651B"/>
    <w:rsid w:val="00DB6AA0"/>
    <w:rsid w:val="00DB6EF6"/>
    <w:rsid w:val="00DB7850"/>
    <w:rsid w:val="00DB7C3A"/>
    <w:rsid w:val="00DC01CD"/>
    <w:rsid w:val="00DC32C3"/>
    <w:rsid w:val="00DC3942"/>
    <w:rsid w:val="00DC424C"/>
    <w:rsid w:val="00DC51D8"/>
    <w:rsid w:val="00DC6F98"/>
    <w:rsid w:val="00DC7945"/>
    <w:rsid w:val="00DC7DDE"/>
    <w:rsid w:val="00DD04AB"/>
    <w:rsid w:val="00DD32AB"/>
    <w:rsid w:val="00DD3F2A"/>
    <w:rsid w:val="00DD448F"/>
    <w:rsid w:val="00DD4DDB"/>
    <w:rsid w:val="00DD57A0"/>
    <w:rsid w:val="00DD5BF6"/>
    <w:rsid w:val="00DD66B5"/>
    <w:rsid w:val="00DD7F07"/>
    <w:rsid w:val="00DE0543"/>
    <w:rsid w:val="00DE16F3"/>
    <w:rsid w:val="00DE1865"/>
    <w:rsid w:val="00DE2781"/>
    <w:rsid w:val="00DE2CDB"/>
    <w:rsid w:val="00DE33D8"/>
    <w:rsid w:val="00DE553D"/>
    <w:rsid w:val="00DE6CBD"/>
    <w:rsid w:val="00DE6CEF"/>
    <w:rsid w:val="00DE7228"/>
    <w:rsid w:val="00DE7C80"/>
    <w:rsid w:val="00DE7CDE"/>
    <w:rsid w:val="00DF0D08"/>
    <w:rsid w:val="00DF11C2"/>
    <w:rsid w:val="00DF44F3"/>
    <w:rsid w:val="00DF4593"/>
    <w:rsid w:val="00DF5992"/>
    <w:rsid w:val="00DF5F73"/>
    <w:rsid w:val="00DF6577"/>
    <w:rsid w:val="00DF6DC5"/>
    <w:rsid w:val="00DF7A2C"/>
    <w:rsid w:val="00DF7B03"/>
    <w:rsid w:val="00E01423"/>
    <w:rsid w:val="00E046FC"/>
    <w:rsid w:val="00E06B08"/>
    <w:rsid w:val="00E10D05"/>
    <w:rsid w:val="00E11CBA"/>
    <w:rsid w:val="00E134A8"/>
    <w:rsid w:val="00E13E89"/>
    <w:rsid w:val="00E14D37"/>
    <w:rsid w:val="00E160BB"/>
    <w:rsid w:val="00E167B4"/>
    <w:rsid w:val="00E20765"/>
    <w:rsid w:val="00E2223E"/>
    <w:rsid w:val="00E22D98"/>
    <w:rsid w:val="00E22E9C"/>
    <w:rsid w:val="00E23718"/>
    <w:rsid w:val="00E24623"/>
    <w:rsid w:val="00E252E3"/>
    <w:rsid w:val="00E25844"/>
    <w:rsid w:val="00E260D4"/>
    <w:rsid w:val="00E26FE3"/>
    <w:rsid w:val="00E30137"/>
    <w:rsid w:val="00E30A28"/>
    <w:rsid w:val="00E3168D"/>
    <w:rsid w:val="00E31A06"/>
    <w:rsid w:val="00E31DAF"/>
    <w:rsid w:val="00E31F39"/>
    <w:rsid w:val="00E3333F"/>
    <w:rsid w:val="00E33CA5"/>
    <w:rsid w:val="00E34DF2"/>
    <w:rsid w:val="00E34E7A"/>
    <w:rsid w:val="00E35A72"/>
    <w:rsid w:val="00E37F00"/>
    <w:rsid w:val="00E40505"/>
    <w:rsid w:val="00E40906"/>
    <w:rsid w:val="00E40B83"/>
    <w:rsid w:val="00E412AC"/>
    <w:rsid w:val="00E41767"/>
    <w:rsid w:val="00E42A41"/>
    <w:rsid w:val="00E42C06"/>
    <w:rsid w:val="00E44051"/>
    <w:rsid w:val="00E45766"/>
    <w:rsid w:val="00E4697C"/>
    <w:rsid w:val="00E47727"/>
    <w:rsid w:val="00E5110E"/>
    <w:rsid w:val="00E51419"/>
    <w:rsid w:val="00E54919"/>
    <w:rsid w:val="00E56521"/>
    <w:rsid w:val="00E567E5"/>
    <w:rsid w:val="00E57052"/>
    <w:rsid w:val="00E60F4D"/>
    <w:rsid w:val="00E64D4F"/>
    <w:rsid w:val="00E657DB"/>
    <w:rsid w:val="00E6708B"/>
    <w:rsid w:val="00E67476"/>
    <w:rsid w:val="00E6787F"/>
    <w:rsid w:val="00E67BBF"/>
    <w:rsid w:val="00E7154F"/>
    <w:rsid w:val="00E71683"/>
    <w:rsid w:val="00E73A8C"/>
    <w:rsid w:val="00E7500E"/>
    <w:rsid w:val="00E75050"/>
    <w:rsid w:val="00E75588"/>
    <w:rsid w:val="00E759FD"/>
    <w:rsid w:val="00E76098"/>
    <w:rsid w:val="00E76F42"/>
    <w:rsid w:val="00E809F6"/>
    <w:rsid w:val="00E83758"/>
    <w:rsid w:val="00E84310"/>
    <w:rsid w:val="00E853AE"/>
    <w:rsid w:val="00E86B37"/>
    <w:rsid w:val="00E904D5"/>
    <w:rsid w:val="00E9076E"/>
    <w:rsid w:val="00E915E6"/>
    <w:rsid w:val="00E917C6"/>
    <w:rsid w:val="00E91C83"/>
    <w:rsid w:val="00E9230F"/>
    <w:rsid w:val="00E929D4"/>
    <w:rsid w:val="00E93265"/>
    <w:rsid w:val="00E93839"/>
    <w:rsid w:val="00E9449E"/>
    <w:rsid w:val="00E95B0B"/>
    <w:rsid w:val="00E960F2"/>
    <w:rsid w:val="00EA1073"/>
    <w:rsid w:val="00EA2038"/>
    <w:rsid w:val="00EA2308"/>
    <w:rsid w:val="00EA279A"/>
    <w:rsid w:val="00EA355B"/>
    <w:rsid w:val="00EA3E11"/>
    <w:rsid w:val="00EA59A2"/>
    <w:rsid w:val="00EA5CA9"/>
    <w:rsid w:val="00EA6EB3"/>
    <w:rsid w:val="00EB2012"/>
    <w:rsid w:val="00EB2269"/>
    <w:rsid w:val="00EB4A8E"/>
    <w:rsid w:val="00EB4E71"/>
    <w:rsid w:val="00EB4FFC"/>
    <w:rsid w:val="00EB506A"/>
    <w:rsid w:val="00EB5D54"/>
    <w:rsid w:val="00EB5EF3"/>
    <w:rsid w:val="00EB695D"/>
    <w:rsid w:val="00EB7420"/>
    <w:rsid w:val="00EB743A"/>
    <w:rsid w:val="00EC1CB4"/>
    <w:rsid w:val="00EC2948"/>
    <w:rsid w:val="00EC4FFB"/>
    <w:rsid w:val="00EC5D31"/>
    <w:rsid w:val="00EC6380"/>
    <w:rsid w:val="00EC6A62"/>
    <w:rsid w:val="00EC6FDB"/>
    <w:rsid w:val="00ED1553"/>
    <w:rsid w:val="00ED28DF"/>
    <w:rsid w:val="00ED2AB6"/>
    <w:rsid w:val="00ED3194"/>
    <w:rsid w:val="00ED39CE"/>
    <w:rsid w:val="00ED3BAB"/>
    <w:rsid w:val="00ED4134"/>
    <w:rsid w:val="00ED4ACA"/>
    <w:rsid w:val="00ED4F2E"/>
    <w:rsid w:val="00ED68D8"/>
    <w:rsid w:val="00ED7A51"/>
    <w:rsid w:val="00ED7F0A"/>
    <w:rsid w:val="00EE05F1"/>
    <w:rsid w:val="00EE0647"/>
    <w:rsid w:val="00EE1DEB"/>
    <w:rsid w:val="00EE26A7"/>
    <w:rsid w:val="00EE3EB6"/>
    <w:rsid w:val="00EE471A"/>
    <w:rsid w:val="00EE5492"/>
    <w:rsid w:val="00EE62FE"/>
    <w:rsid w:val="00EE705C"/>
    <w:rsid w:val="00EF02F5"/>
    <w:rsid w:val="00EF0406"/>
    <w:rsid w:val="00EF0722"/>
    <w:rsid w:val="00EF0B4B"/>
    <w:rsid w:val="00EF1B4A"/>
    <w:rsid w:val="00EF1FC5"/>
    <w:rsid w:val="00EF2262"/>
    <w:rsid w:val="00EF2295"/>
    <w:rsid w:val="00EF3D79"/>
    <w:rsid w:val="00EF402D"/>
    <w:rsid w:val="00EF53E4"/>
    <w:rsid w:val="00EF694A"/>
    <w:rsid w:val="00EF7198"/>
    <w:rsid w:val="00F00032"/>
    <w:rsid w:val="00F00629"/>
    <w:rsid w:val="00F01D07"/>
    <w:rsid w:val="00F038F2"/>
    <w:rsid w:val="00F04B84"/>
    <w:rsid w:val="00F04B95"/>
    <w:rsid w:val="00F04F42"/>
    <w:rsid w:val="00F0567C"/>
    <w:rsid w:val="00F0609E"/>
    <w:rsid w:val="00F07BD5"/>
    <w:rsid w:val="00F103B3"/>
    <w:rsid w:val="00F114DE"/>
    <w:rsid w:val="00F117EE"/>
    <w:rsid w:val="00F119CB"/>
    <w:rsid w:val="00F122D6"/>
    <w:rsid w:val="00F13F01"/>
    <w:rsid w:val="00F14115"/>
    <w:rsid w:val="00F15BF4"/>
    <w:rsid w:val="00F16F81"/>
    <w:rsid w:val="00F176BC"/>
    <w:rsid w:val="00F176DD"/>
    <w:rsid w:val="00F17940"/>
    <w:rsid w:val="00F2046C"/>
    <w:rsid w:val="00F205DD"/>
    <w:rsid w:val="00F20647"/>
    <w:rsid w:val="00F210CE"/>
    <w:rsid w:val="00F232FA"/>
    <w:rsid w:val="00F23686"/>
    <w:rsid w:val="00F244D2"/>
    <w:rsid w:val="00F24BF6"/>
    <w:rsid w:val="00F2653C"/>
    <w:rsid w:val="00F26FE1"/>
    <w:rsid w:val="00F27191"/>
    <w:rsid w:val="00F2735F"/>
    <w:rsid w:val="00F278A6"/>
    <w:rsid w:val="00F278FF"/>
    <w:rsid w:val="00F27CF4"/>
    <w:rsid w:val="00F303B8"/>
    <w:rsid w:val="00F31392"/>
    <w:rsid w:val="00F3199C"/>
    <w:rsid w:val="00F327BA"/>
    <w:rsid w:val="00F32EF8"/>
    <w:rsid w:val="00F34858"/>
    <w:rsid w:val="00F348B5"/>
    <w:rsid w:val="00F34A9B"/>
    <w:rsid w:val="00F3652B"/>
    <w:rsid w:val="00F367FB"/>
    <w:rsid w:val="00F368C4"/>
    <w:rsid w:val="00F37043"/>
    <w:rsid w:val="00F377B9"/>
    <w:rsid w:val="00F40248"/>
    <w:rsid w:val="00F41135"/>
    <w:rsid w:val="00F412CF"/>
    <w:rsid w:val="00F431CB"/>
    <w:rsid w:val="00F44DCC"/>
    <w:rsid w:val="00F45096"/>
    <w:rsid w:val="00F45442"/>
    <w:rsid w:val="00F4544E"/>
    <w:rsid w:val="00F45880"/>
    <w:rsid w:val="00F46619"/>
    <w:rsid w:val="00F47012"/>
    <w:rsid w:val="00F472CE"/>
    <w:rsid w:val="00F503A0"/>
    <w:rsid w:val="00F50838"/>
    <w:rsid w:val="00F5091D"/>
    <w:rsid w:val="00F50A9D"/>
    <w:rsid w:val="00F50FF8"/>
    <w:rsid w:val="00F5145E"/>
    <w:rsid w:val="00F51A1F"/>
    <w:rsid w:val="00F5224B"/>
    <w:rsid w:val="00F5243D"/>
    <w:rsid w:val="00F52834"/>
    <w:rsid w:val="00F52D28"/>
    <w:rsid w:val="00F532B4"/>
    <w:rsid w:val="00F558EA"/>
    <w:rsid w:val="00F55BB5"/>
    <w:rsid w:val="00F55C0A"/>
    <w:rsid w:val="00F60927"/>
    <w:rsid w:val="00F60EAE"/>
    <w:rsid w:val="00F613CB"/>
    <w:rsid w:val="00F61F79"/>
    <w:rsid w:val="00F6237D"/>
    <w:rsid w:val="00F623FE"/>
    <w:rsid w:val="00F63526"/>
    <w:rsid w:val="00F63F07"/>
    <w:rsid w:val="00F64998"/>
    <w:rsid w:val="00F650F6"/>
    <w:rsid w:val="00F656A4"/>
    <w:rsid w:val="00F6665E"/>
    <w:rsid w:val="00F6778E"/>
    <w:rsid w:val="00F67A12"/>
    <w:rsid w:val="00F7075F"/>
    <w:rsid w:val="00F7087C"/>
    <w:rsid w:val="00F71364"/>
    <w:rsid w:val="00F71D76"/>
    <w:rsid w:val="00F72708"/>
    <w:rsid w:val="00F72D7F"/>
    <w:rsid w:val="00F73F29"/>
    <w:rsid w:val="00F7420A"/>
    <w:rsid w:val="00F74B9F"/>
    <w:rsid w:val="00F74CF5"/>
    <w:rsid w:val="00F769D2"/>
    <w:rsid w:val="00F82461"/>
    <w:rsid w:val="00F83154"/>
    <w:rsid w:val="00F8349F"/>
    <w:rsid w:val="00F83FB7"/>
    <w:rsid w:val="00F843ED"/>
    <w:rsid w:val="00F8457B"/>
    <w:rsid w:val="00F84F40"/>
    <w:rsid w:val="00F85337"/>
    <w:rsid w:val="00F85935"/>
    <w:rsid w:val="00F85D29"/>
    <w:rsid w:val="00F85D85"/>
    <w:rsid w:val="00F86794"/>
    <w:rsid w:val="00F86F70"/>
    <w:rsid w:val="00F913C5"/>
    <w:rsid w:val="00F92C03"/>
    <w:rsid w:val="00F94DB2"/>
    <w:rsid w:val="00F95555"/>
    <w:rsid w:val="00F96881"/>
    <w:rsid w:val="00F969D3"/>
    <w:rsid w:val="00F972E1"/>
    <w:rsid w:val="00FA190E"/>
    <w:rsid w:val="00FA1C22"/>
    <w:rsid w:val="00FA3CD6"/>
    <w:rsid w:val="00FA54D8"/>
    <w:rsid w:val="00FA56E4"/>
    <w:rsid w:val="00FA59B2"/>
    <w:rsid w:val="00FA616E"/>
    <w:rsid w:val="00FA64AB"/>
    <w:rsid w:val="00FA6CC9"/>
    <w:rsid w:val="00FA6D93"/>
    <w:rsid w:val="00FA7001"/>
    <w:rsid w:val="00FB191C"/>
    <w:rsid w:val="00FB1C8D"/>
    <w:rsid w:val="00FB26B9"/>
    <w:rsid w:val="00FB33D3"/>
    <w:rsid w:val="00FB44CA"/>
    <w:rsid w:val="00FB5E86"/>
    <w:rsid w:val="00FC01A1"/>
    <w:rsid w:val="00FC0311"/>
    <w:rsid w:val="00FC0EB0"/>
    <w:rsid w:val="00FC14DD"/>
    <w:rsid w:val="00FC1DAA"/>
    <w:rsid w:val="00FC3071"/>
    <w:rsid w:val="00FC3891"/>
    <w:rsid w:val="00FC3C40"/>
    <w:rsid w:val="00FC4271"/>
    <w:rsid w:val="00FC4FB7"/>
    <w:rsid w:val="00FC6E1F"/>
    <w:rsid w:val="00FC6E97"/>
    <w:rsid w:val="00FD0C3F"/>
    <w:rsid w:val="00FD2C8B"/>
    <w:rsid w:val="00FD2DDA"/>
    <w:rsid w:val="00FD357B"/>
    <w:rsid w:val="00FD3658"/>
    <w:rsid w:val="00FD38FC"/>
    <w:rsid w:val="00FD3C1C"/>
    <w:rsid w:val="00FD3EC1"/>
    <w:rsid w:val="00FD46CA"/>
    <w:rsid w:val="00FD5427"/>
    <w:rsid w:val="00FD6119"/>
    <w:rsid w:val="00FD688E"/>
    <w:rsid w:val="00FD79D5"/>
    <w:rsid w:val="00FD7C0C"/>
    <w:rsid w:val="00FE045C"/>
    <w:rsid w:val="00FE0C52"/>
    <w:rsid w:val="00FE128D"/>
    <w:rsid w:val="00FE1692"/>
    <w:rsid w:val="00FE5C52"/>
    <w:rsid w:val="00FE72C2"/>
    <w:rsid w:val="00FF002C"/>
    <w:rsid w:val="00FF0454"/>
    <w:rsid w:val="00FF0566"/>
    <w:rsid w:val="00FF080B"/>
    <w:rsid w:val="00FF0B8B"/>
    <w:rsid w:val="00FF0EDA"/>
    <w:rsid w:val="00FF1368"/>
    <w:rsid w:val="00FF288D"/>
    <w:rsid w:val="00FF2995"/>
    <w:rsid w:val="00FF3721"/>
    <w:rsid w:val="00FF4165"/>
    <w:rsid w:val="00FF54FF"/>
    <w:rsid w:val="00FF567E"/>
    <w:rsid w:val="00FF5879"/>
    <w:rsid w:val="00FF60B3"/>
    <w:rsid w:val="00FF6218"/>
    <w:rsid w:val="00FF7034"/>
    <w:rsid w:val="00FF7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5"/>
    <w:lsdException w:name="header" w:uiPriority="99"/>
    <w:lsdException w:name="footer" w:uiPriority="99"/>
    <w:lsdException w:name="caption" w:qFormat="1"/>
    <w:lsdException w:name="table of figures" w:semiHidden="0" w:uiPriority="99" w:unhideWhenUsed="0"/>
    <w:lsdException w:name="footnote reference" w:uiPriority="5"/>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5"/>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5"/>
    <w:rsid w:val="00F7087C"/>
    <w:rPr>
      <w:kern w:val="16"/>
      <w:sz w:val="18"/>
    </w:rPr>
  </w:style>
  <w:style w:type="character" w:styleId="FootnoteReference">
    <w:name w:val="footnote reference"/>
    <w:basedOn w:val="DefaultParagraphFont"/>
    <w:uiPriority w:val="5"/>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Indent">
    <w:name w:val="Source Indent"/>
    <w:basedOn w:val="Normal"/>
    <w:next w:val="Normal"/>
    <w:rsid w:val="00690F71"/>
    <w:pPr>
      <w:tabs>
        <w:tab w:val="left" w:pos="624"/>
      </w:tabs>
      <w:spacing w:before="120" w:after="240" w:line="240" w:lineRule="auto"/>
      <w:ind w:left="567"/>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urful1">
    <w:name w:val="Grid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11">
    <w:name w:val="Grid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urfulAccent21">
    <w:name w:val="Grid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urfulAccent31">
    <w:name w:val="Grid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urfulAccent41">
    <w:name w:val="Grid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urfulAccent51">
    <w:name w:val="Grid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urfulAccent61">
    <w:name w:val="Grid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urful1">
    <w:name w:val="Grid Table 7 Colou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urfulAccent11">
    <w:name w:val="Grid Table 7 Colou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urfulAccent21">
    <w:name w:val="Grid Table 7 Colou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urfulAccent31">
    <w:name w:val="Grid Table 7 Colou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urfulAccent41">
    <w:name w:val="Grid Table 7 Colou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urfulAccent51">
    <w:name w:val="Grid Table 7 Colou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urfulAccent61">
    <w:name w:val="Grid Table 7 Colou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urful1">
    <w:name w:val="List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Accent11">
    <w:name w:val="List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urfulAccent21">
    <w:name w:val="List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urfulAccent31">
    <w:name w:val="List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urfulAccent41">
    <w:name w:val="List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urfulAccent51">
    <w:name w:val="List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urfulAccent61">
    <w:name w:val="List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urful1">
    <w:name w:val="List Table 7 Colou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41">
    <w:name w:val="List Table 7 Colou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51">
    <w:name w:val="List Table 7 Colou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61">
    <w:name w:val="List Table 7 Colou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014976"/>
    <w:pPr>
      <w:numPr>
        <w:ilvl w:val="0"/>
        <w:numId w:val="0"/>
      </w:numPr>
      <w:outlineLvl w:val="2"/>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Default">
    <w:name w:val="Default"/>
    <w:rsid w:val="006974E5"/>
    <w:pPr>
      <w:autoSpaceDE w:val="0"/>
      <w:autoSpaceDN w:val="0"/>
      <w:adjustRightInd w:val="0"/>
      <w:spacing w:line="240" w:lineRule="auto"/>
    </w:pPr>
    <w:rPr>
      <w:rFonts w:ascii="Calibri" w:hAnsi="Calibri" w:cs="Calibri"/>
      <w:color w:val="000000"/>
      <w:sz w:val="24"/>
      <w:szCs w:val="24"/>
    </w:rPr>
  </w:style>
  <w:style w:type="character" w:customStyle="1" w:styleId="CaptionChar">
    <w:name w:val="Caption Char"/>
    <w:basedOn w:val="DefaultParagraphFont"/>
    <w:link w:val="Caption"/>
    <w:rsid w:val="002A5E0A"/>
    <w:rPr>
      <w:b/>
      <w:bCs/>
      <w:color w:val="3D4D7D" w:themeColor="background2"/>
    </w:rPr>
  </w:style>
  <w:style w:type="paragraph" w:styleId="Revision">
    <w:name w:val="Revision"/>
    <w:hidden/>
    <w:uiPriority w:val="99"/>
    <w:semiHidden/>
    <w:rsid w:val="00EB5D54"/>
    <w:pPr>
      <w:spacing w:line="240" w:lineRule="auto"/>
    </w:pPr>
  </w:style>
  <w:style w:type="paragraph" w:styleId="TOC9">
    <w:name w:val="toc 9"/>
    <w:basedOn w:val="Normal"/>
    <w:next w:val="Normal"/>
    <w:autoRedefine/>
    <w:semiHidden/>
    <w:unhideWhenUsed/>
    <w:rsid w:val="00560DD4"/>
    <w:pPr>
      <w:spacing w:after="100"/>
      <w:ind w:left="1760"/>
    </w:pPr>
  </w:style>
  <w:style w:type="paragraph" w:customStyle="1" w:styleId="PBObullet1">
    <w:name w:val="PBO bullet 1"/>
    <w:basedOn w:val="Normal"/>
    <w:link w:val="PBObullet1Char"/>
    <w:qFormat/>
    <w:rsid w:val="00684D2C"/>
    <w:pPr>
      <w:spacing w:before="120" w:after="120"/>
    </w:pPr>
    <w:rPr>
      <w:rFonts w:ascii="Calibri" w:eastAsia="Cambria" w:hAnsi="Calibri" w:cs="Times New Roman"/>
      <w:lang w:eastAsia="en-AU"/>
    </w:rPr>
  </w:style>
  <w:style w:type="character" w:customStyle="1" w:styleId="PBObullet1Char">
    <w:name w:val="PBO bullet 1 Char"/>
    <w:basedOn w:val="DefaultParagraphFont"/>
    <w:link w:val="PBObullet1"/>
    <w:rsid w:val="00684D2C"/>
    <w:rPr>
      <w:rFonts w:ascii="Calibri" w:eastAsia="Cambria" w:hAnsi="Calibri" w:cs="Times New Roman"/>
      <w:lang w:eastAsia="en-AU"/>
    </w:rPr>
  </w:style>
  <w:style w:type="table" w:customStyle="1" w:styleId="TableGridDarkHeader1">
    <w:name w:val="Table Grid Dark Header1"/>
    <w:basedOn w:val="TableNormal"/>
    <w:uiPriority w:val="99"/>
    <w:rsid w:val="000B2E31"/>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rPr>
      <w:tblPr/>
      <w:tcPr>
        <w:shd w:val="clear" w:color="auto" w:fill="3D4D7D"/>
      </w:tcPr>
    </w:tblStylePr>
    <w:tblStylePr w:type="lastRow">
      <w:rPr>
        <w:b/>
      </w:rPr>
      <w:tblPr/>
      <w:tcPr>
        <w:shd w:val="clear" w:color="auto" w:fill="A7B2D4"/>
      </w:tcPr>
    </w:tblStylePr>
    <w:tblStylePr w:type="band1Horz">
      <w:tblPr/>
      <w:tcPr>
        <w:shd w:val="clear" w:color="auto" w:fill="D3D8E9"/>
      </w:tcPr>
    </w:tblStylePr>
  </w:style>
  <w:style w:type="paragraph" w:styleId="NormalWeb">
    <w:name w:val="Normal (Web)"/>
    <w:basedOn w:val="Normal"/>
    <w:uiPriority w:val="99"/>
    <w:semiHidden/>
    <w:unhideWhenUsed/>
    <w:rsid w:val="00AB6179"/>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EndnoteText">
    <w:name w:val="endnote text"/>
    <w:basedOn w:val="Normal"/>
    <w:link w:val="EndnoteTextChar"/>
    <w:semiHidden/>
    <w:unhideWhenUsed/>
    <w:rsid w:val="00A70E94"/>
    <w:pPr>
      <w:spacing w:line="240" w:lineRule="auto"/>
    </w:pPr>
    <w:rPr>
      <w:sz w:val="20"/>
      <w:szCs w:val="20"/>
    </w:rPr>
  </w:style>
  <w:style w:type="character" w:customStyle="1" w:styleId="EndnoteTextChar">
    <w:name w:val="Endnote Text Char"/>
    <w:basedOn w:val="DefaultParagraphFont"/>
    <w:link w:val="EndnoteText"/>
    <w:semiHidden/>
    <w:rsid w:val="00A70E94"/>
    <w:rPr>
      <w:sz w:val="20"/>
      <w:szCs w:val="20"/>
    </w:rPr>
  </w:style>
  <w:style w:type="character" w:styleId="EndnoteReference">
    <w:name w:val="endnote reference"/>
    <w:basedOn w:val="DefaultParagraphFont"/>
    <w:semiHidden/>
    <w:unhideWhenUsed/>
    <w:rsid w:val="00A70E94"/>
    <w:rPr>
      <w:vertAlign w:val="superscript"/>
    </w:rPr>
  </w:style>
  <w:style w:type="paragraph" w:customStyle="1" w:styleId="Sourcenospacing">
    <w:name w:val="Source no spacing"/>
    <w:basedOn w:val="SourceIndent"/>
    <w:qFormat/>
    <w:rsid w:val="00392A7F"/>
    <w:pPr>
      <w:spacing w:before="60"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5"/>
    <w:lsdException w:name="header" w:uiPriority="99"/>
    <w:lsdException w:name="footer" w:uiPriority="99"/>
    <w:lsdException w:name="caption" w:qFormat="1"/>
    <w:lsdException w:name="table of figures" w:semiHidden="0" w:uiPriority="99" w:unhideWhenUsed="0"/>
    <w:lsdException w:name="footnote reference" w:uiPriority="5"/>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5"/>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5"/>
    <w:rsid w:val="00F7087C"/>
    <w:rPr>
      <w:kern w:val="16"/>
      <w:sz w:val="18"/>
    </w:rPr>
  </w:style>
  <w:style w:type="character" w:styleId="FootnoteReference">
    <w:name w:val="footnote reference"/>
    <w:basedOn w:val="DefaultParagraphFont"/>
    <w:uiPriority w:val="5"/>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Indent">
    <w:name w:val="Source Indent"/>
    <w:basedOn w:val="Normal"/>
    <w:next w:val="Normal"/>
    <w:rsid w:val="00690F71"/>
    <w:pPr>
      <w:tabs>
        <w:tab w:val="left" w:pos="624"/>
      </w:tabs>
      <w:spacing w:before="120" w:after="240" w:line="240" w:lineRule="auto"/>
      <w:ind w:left="567"/>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urful1">
    <w:name w:val="Grid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11">
    <w:name w:val="Grid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urfulAccent21">
    <w:name w:val="Grid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urfulAccent31">
    <w:name w:val="Grid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urfulAccent41">
    <w:name w:val="Grid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urfulAccent51">
    <w:name w:val="Grid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urfulAccent61">
    <w:name w:val="Grid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urful1">
    <w:name w:val="Grid Table 7 Colou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urfulAccent11">
    <w:name w:val="Grid Table 7 Colou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urfulAccent21">
    <w:name w:val="Grid Table 7 Colou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urfulAccent31">
    <w:name w:val="Grid Table 7 Colou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urfulAccent41">
    <w:name w:val="Grid Table 7 Colou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urfulAccent51">
    <w:name w:val="Grid Table 7 Colou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urfulAccent61">
    <w:name w:val="Grid Table 7 Colou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urful1">
    <w:name w:val="List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Accent11">
    <w:name w:val="List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urfulAccent21">
    <w:name w:val="List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urfulAccent31">
    <w:name w:val="List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urfulAccent41">
    <w:name w:val="List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urfulAccent51">
    <w:name w:val="List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urfulAccent61">
    <w:name w:val="List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urful1">
    <w:name w:val="List Table 7 Colou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41">
    <w:name w:val="List Table 7 Colou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51">
    <w:name w:val="List Table 7 Colou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61">
    <w:name w:val="List Table 7 Colou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014976"/>
    <w:pPr>
      <w:numPr>
        <w:ilvl w:val="0"/>
        <w:numId w:val="0"/>
      </w:numPr>
      <w:outlineLvl w:val="2"/>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Default">
    <w:name w:val="Default"/>
    <w:rsid w:val="006974E5"/>
    <w:pPr>
      <w:autoSpaceDE w:val="0"/>
      <w:autoSpaceDN w:val="0"/>
      <w:adjustRightInd w:val="0"/>
      <w:spacing w:line="240" w:lineRule="auto"/>
    </w:pPr>
    <w:rPr>
      <w:rFonts w:ascii="Calibri" w:hAnsi="Calibri" w:cs="Calibri"/>
      <w:color w:val="000000"/>
      <w:sz w:val="24"/>
      <w:szCs w:val="24"/>
    </w:rPr>
  </w:style>
  <w:style w:type="character" w:customStyle="1" w:styleId="CaptionChar">
    <w:name w:val="Caption Char"/>
    <w:basedOn w:val="DefaultParagraphFont"/>
    <w:link w:val="Caption"/>
    <w:rsid w:val="002A5E0A"/>
    <w:rPr>
      <w:b/>
      <w:bCs/>
      <w:color w:val="3D4D7D" w:themeColor="background2"/>
    </w:rPr>
  </w:style>
  <w:style w:type="paragraph" w:styleId="Revision">
    <w:name w:val="Revision"/>
    <w:hidden/>
    <w:uiPriority w:val="99"/>
    <w:semiHidden/>
    <w:rsid w:val="00EB5D54"/>
    <w:pPr>
      <w:spacing w:line="240" w:lineRule="auto"/>
    </w:pPr>
  </w:style>
  <w:style w:type="paragraph" w:styleId="TOC9">
    <w:name w:val="toc 9"/>
    <w:basedOn w:val="Normal"/>
    <w:next w:val="Normal"/>
    <w:autoRedefine/>
    <w:semiHidden/>
    <w:unhideWhenUsed/>
    <w:rsid w:val="00560DD4"/>
    <w:pPr>
      <w:spacing w:after="100"/>
      <w:ind w:left="1760"/>
    </w:pPr>
  </w:style>
  <w:style w:type="paragraph" w:customStyle="1" w:styleId="PBObullet1">
    <w:name w:val="PBO bullet 1"/>
    <w:basedOn w:val="Normal"/>
    <w:link w:val="PBObullet1Char"/>
    <w:qFormat/>
    <w:rsid w:val="00684D2C"/>
    <w:pPr>
      <w:spacing w:before="120" w:after="120"/>
    </w:pPr>
    <w:rPr>
      <w:rFonts w:ascii="Calibri" w:eastAsia="Cambria" w:hAnsi="Calibri" w:cs="Times New Roman"/>
      <w:lang w:eastAsia="en-AU"/>
    </w:rPr>
  </w:style>
  <w:style w:type="character" w:customStyle="1" w:styleId="PBObullet1Char">
    <w:name w:val="PBO bullet 1 Char"/>
    <w:basedOn w:val="DefaultParagraphFont"/>
    <w:link w:val="PBObullet1"/>
    <w:rsid w:val="00684D2C"/>
    <w:rPr>
      <w:rFonts w:ascii="Calibri" w:eastAsia="Cambria" w:hAnsi="Calibri" w:cs="Times New Roman"/>
      <w:lang w:eastAsia="en-AU"/>
    </w:rPr>
  </w:style>
  <w:style w:type="table" w:customStyle="1" w:styleId="TableGridDarkHeader1">
    <w:name w:val="Table Grid Dark Header1"/>
    <w:basedOn w:val="TableNormal"/>
    <w:uiPriority w:val="99"/>
    <w:rsid w:val="000B2E31"/>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rPr>
      <w:tblPr/>
      <w:tcPr>
        <w:shd w:val="clear" w:color="auto" w:fill="3D4D7D"/>
      </w:tcPr>
    </w:tblStylePr>
    <w:tblStylePr w:type="lastRow">
      <w:rPr>
        <w:b/>
      </w:rPr>
      <w:tblPr/>
      <w:tcPr>
        <w:shd w:val="clear" w:color="auto" w:fill="A7B2D4"/>
      </w:tcPr>
    </w:tblStylePr>
    <w:tblStylePr w:type="band1Horz">
      <w:tblPr/>
      <w:tcPr>
        <w:shd w:val="clear" w:color="auto" w:fill="D3D8E9"/>
      </w:tcPr>
    </w:tblStylePr>
  </w:style>
  <w:style w:type="paragraph" w:styleId="NormalWeb">
    <w:name w:val="Normal (Web)"/>
    <w:basedOn w:val="Normal"/>
    <w:uiPriority w:val="99"/>
    <w:semiHidden/>
    <w:unhideWhenUsed/>
    <w:rsid w:val="00AB6179"/>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EndnoteText">
    <w:name w:val="endnote text"/>
    <w:basedOn w:val="Normal"/>
    <w:link w:val="EndnoteTextChar"/>
    <w:semiHidden/>
    <w:unhideWhenUsed/>
    <w:rsid w:val="00A70E94"/>
    <w:pPr>
      <w:spacing w:line="240" w:lineRule="auto"/>
    </w:pPr>
    <w:rPr>
      <w:sz w:val="20"/>
      <w:szCs w:val="20"/>
    </w:rPr>
  </w:style>
  <w:style w:type="character" w:customStyle="1" w:styleId="EndnoteTextChar">
    <w:name w:val="Endnote Text Char"/>
    <w:basedOn w:val="DefaultParagraphFont"/>
    <w:link w:val="EndnoteText"/>
    <w:semiHidden/>
    <w:rsid w:val="00A70E94"/>
    <w:rPr>
      <w:sz w:val="20"/>
      <w:szCs w:val="20"/>
    </w:rPr>
  </w:style>
  <w:style w:type="character" w:styleId="EndnoteReference">
    <w:name w:val="endnote reference"/>
    <w:basedOn w:val="DefaultParagraphFont"/>
    <w:semiHidden/>
    <w:unhideWhenUsed/>
    <w:rsid w:val="00A70E94"/>
    <w:rPr>
      <w:vertAlign w:val="superscript"/>
    </w:rPr>
  </w:style>
  <w:style w:type="paragraph" w:customStyle="1" w:styleId="Sourcenospacing">
    <w:name w:val="Source no spacing"/>
    <w:basedOn w:val="SourceIndent"/>
    <w:qFormat/>
    <w:rsid w:val="00392A7F"/>
    <w:pPr>
      <w:spacing w:before="6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95275646">
      <w:bodyDiv w:val="1"/>
      <w:marLeft w:val="0"/>
      <w:marRight w:val="0"/>
      <w:marTop w:val="0"/>
      <w:marBottom w:val="0"/>
      <w:divBdr>
        <w:top w:val="none" w:sz="0" w:space="0" w:color="auto"/>
        <w:left w:val="none" w:sz="0" w:space="0" w:color="auto"/>
        <w:bottom w:val="none" w:sz="0" w:space="0" w:color="auto"/>
        <w:right w:val="none" w:sz="0" w:space="0" w:color="auto"/>
      </w:divBdr>
    </w:div>
    <w:div w:id="494225205">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423526289">
      <w:bodyDiv w:val="1"/>
      <w:marLeft w:val="0"/>
      <w:marRight w:val="0"/>
      <w:marTop w:val="0"/>
      <w:marBottom w:val="0"/>
      <w:divBdr>
        <w:top w:val="none" w:sz="0" w:space="0" w:color="auto"/>
        <w:left w:val="none" w:sz="0" w:space="0" w:color="auto"/>
        <w:bottom w:val="none" w:sz="0" w:space="0" w:color="auto"/>
        <w:right w:val="none" w:sz="0" w:space="0" w:color="auto"/>
      </w:divBdr>
    </w:div>
    <w:div w:id="1483161688">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2055688692">
      <w:bodyDiv w:val="1"/>
      <w:marLeft w:val="0"/>
      <w:marRight w:val="0"/>
      <w:marTop w:val="0"/>
      <w:marBottom w:val="0"/>
      <w:divBdr>
        <w:top w:val="none" w:sz="0" w:space="0" w:color="auto"/>
        <w:left w:val="none" w:sz="0" w:space="0" w:color="auto"/>
        <w:bottom w:val="none" w:sz="0" w:space="0" w:color="auto"/>
        <w:right w:val="none" w:sz="0" w:space="0" w:color="auto"/>
      </w:divBdr>
    </w:div>
    <w:div w:id="205904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feedback@pbo.gov.au" TargetMode="External"/><Relationship Id="rId26" Type="http://schemas.openxmlformats.org/officeDocument/2006/relationships/header" Target="header8.xml"/><Relationship Id="rId39" Type="http://schemas.openxmlformats.org/officeDocument/2006/relationships/image" Target="media/image14.jpe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mc.gov.au/government/commonwealth-coat-arms" TargetMode="Externa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11.xml"/><Relationship Id="rId53"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hyperlink" Target="http://creativecommons.org/licenses/by-nc-nd/3.0/au/" TargetMode="Externa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1.jpeg"/><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header" Target="header10.xml"/><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19118-1CD8-4B71-8412-760852B2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11431</Words>
  <Characters>64133</Characters>
  <Application>Microsoft Office Word</Application>
  <DocSecurity>0</DocSecurity>
  <Lines>2915</Lines>
  <Paragraphs>1180</Paragraphs>
  <ScaleCrop>false</ScaleCrop>
  <Company/>
  <LinksUpToDate>false</LinksUpToDate>
  <CharactersWithSpaces>74384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2019-09-25T23:47:00Z</dcterms:created>
  <dcterms:modified xsi:type="dcterms:W3CDTF">2019-09-26T00:01:00Z</dcterms:modified>
</cp:coreProperties>
</file>