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BF" w:rsidRPr="00BE42AD" w:rsidRDefault="00FC01C5" w:rsidP="00785B35">
      <w:pPr>
        <w:pStyle w:val="Title"/>
        <w:rPr>
          <w:color w:val="FFFFFF"/>
        </w:rPr>
      </w:pPr>
      <w:r w:rsidRPr="00FC01C5">
        <w:t xml:space="preserve">ALTERNATIVE FINANCING </w:t>
      </w:r>
      <w:r w:rsidR="007D0546">
        <w:t>of Government policies</w:t>
      </w:r>
    </w:p>
    <w:p w:rsidR="00086FD2" w:rsidRPr="00BA0753" w:rsidRDefault="00086FD2" w:rsidP="0081085D">
      <w:pPr>
        <w:pStyle w:val="Title3"/>
        <w:framePr w:wrap="around"/>
      </w:pPr>
      <w:r w:rsidRPr="00A148C3">
        <w:rPr>
          <w:rStyle w:val="Title3Heading"/>
        </w:rPr>
        <w:t>Report No</w:t>
      </w:r>
      <w:proofErr w:type="gramStart"/>
      <w:r w:rsidRPr="00A148C3">
        <w:rPr>
          <w:rStyle w:val="Title3Heading"/>
        </w:rPr>
        <w:t>.</w:t>
      </w:r>
      <w:proofErr w:type="gramEnd"/>
      <w:r w:rsidR="00AD1DE2" w:rsidRPr="00A148C3">
        <w:rPr>
          <w:rStyle w:val="Title3Heading"/>
        </w:rPr>
        <w:br/>
      </w:r>
      <w:r w:rsidR="00A34709">
        <w:t>01</w:t>
      </w:r>
      <w:r w:rsidR="00FC01C5" w:rsidRPr="00A148C3">
        <w:t>/</w:t>
      </w:r>
      <w:r w:rsidR="00FC01C5">
        <w:t>20</w:t>
      </w:r>
      <w:r w:rsidR="00A34709">
        <w:t>20</w:t>
      </w:r>
    </w:p>
    <w:p w:rsidR="00C800F2" w:rsidRDefault="007D0546" w:rsidP="00AD1DE2">
      <w:pPr>
        <w:pStyle w:val="Title2"/>
      </w:pPr>
      <w:r>
        <w:t>Understanding the fiscal costs and risks</w:t>
      </w:r>
      <w:r w:rsidR="00FC01C5">
        <w:t xml:space="preserve"> </w:t>
      </w:r>
      <w:r w:rsidR="00C30A94">
        <w:t>of</w:t>
      </w:r>
      <w:r w:rsidR="00914AE7">
        <w:t xml:space="preserve"> </w:t>
      </w:r>
      <w:r w:rsidR="008B6833">
        <w:t>loans, equity</w:t>
      </w:r>
      <w:r w:rsidR="00D91426">
        <w:t> </w:t>
      </w:r>
      <w:r w:rsidR="008B6833">
        <w:t>injections and guarantees</w:t>
      </w:r>
    </w:p>
    <w:p w:rsidR="00086FD2" w:rsidRDefault="00086FD2" w:rsidP="00961DBB">
      <w:pPr>
        <w:sectPr w:rsidR="00086FD2" w:rsidSect="00A16EB0">
          <w:headerReference w:type="even" r:id="rId9"/>
          <w:headerReference w:type="default" r:id="rId10"/>
          <w:footerReference w:type="even" r:id="rId11"/>
          <w:footerReference w:type="default" r:id="rId12"/>
          <w:headerReference w:type="first" r:id="rId13"/>
          <w:footerReference w:type="first" r:id="rId14"/>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FC01C5">
              <w:t>20</w:t>
            </w:r>
            <w:r w:rsidR="00082D48">
              <w:t>20</w:t>
            </w:r>
            <w:bookmarkStart w:id="1" w:name="Here"/>
            <w:bookmarkEnd w:id="1"/>
          </w:p>
          <w:p w:rsidR="001830F3" w:rsidRPr="001830F3" w:rsidRDefault="00ED3DFF" w:rsidP="00CC37CA">
            <w:pPr>
              <w:pStyle w:val="xDisclaimerText2"/>
              <w:framePr w:hSpace="0" w:wrap="auto" w:hAnchor="text" w:yAlign="inline"/>
              <w:suppressOverlap w:val="0"/>
            </w:pPr>
            <w:r w:rsidRPr="00ED3DFF">
              <w:t>ISBN 978-0-6483701-6-1</w:t>
            </w:r>
            <w:r w:rsidR="006A4C4F">
              <w:rPr>
                <w:b/>
              </w:rPr>
              <w:t xml:space="preserve"> </w:t>
            </w:r>
            <w:r>
              <w:t>(online</w:t>
            </w:r>
            <w:r w:rsidR="006A4C4F" w:rsidRPr="008A0A35">
              <w:t>)</w:t>
            </w:r>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5"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6F56D072" wp14:editId="7087A277">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ED3DFF">
              <w:t xml:space="preserve">Alternative financing of government policies:  </w:t>
            </w:r>
            <w:r w:rsidR="00ED3DFF" w:rsidRPr="00ED3DFF">
              <w:t>Understanding the fiscal costs and risks of loans, equity injections and guarantees</w:t>
            </w:r>
            <w:r>
              <w:t>.</w:t>
            </w:r>
          </w:p>
          <w:p w:rsidR="00395ABA" w:rsidRDefault="00395ABA" w:rsidP="00395ABA">
            <w:pPr>
              <w:pStyle w:val="xDisclaimerHeading"/>
              <w:framePr w:hSpace="0" w:wrap="auto" w:hAnchor="text" w:yAlign="inline"/>
              <w:suppressOverlap w:val="0"/>
            </w:pPr>
            <w:r>
              <w:t>Use of the Coat of Arms</w:t>
            </w:r>
          </w:p>
          <w:p w:rsidR="001830F3" w:rsidRDefault="00395ABA" w:rsidP="00CC37CA">
            <w:pPr>
              <w:pStyle w:val="xDisclaimerText2"/>
              <w:framePr w:hSpace="0" w:wrap="auto" w:hAnchor="text" w:yAlign="inline"/>
              <w:suppressOverlap w:val="0"/>
              <w:rPr>
                <w:rFonts w:ascii="Calibri" w:eastAsia="Calibri" w:hAnsi="Calibri" w:cs="Times New Roman"/>
                <w:u w:val="single"/>
              </w:rPr>
            </w:pPr>
            <w:r w:rsidRPr="00FF62B9">
              <w:rPr>
                <w:rFonts w:ascii="Calibri" w:eastAsia="Calibri" w:hAnsi="Calibri" w:cs="Times New Roman"/>
              </w:rPr>
              <w:t xml:space="preserve">The terms under which the Coat of Arms can be used are detailed on the following website: </w:t>
            </w:r>
            <w:hyperlink r:id="rId17" w:history="1">
              <w:r w:rsidRPr="00FF62B9">
                <w:rPr>
                  <w:rFonts w:ascii="Calibri" w:eastAsia="Calibri" w:hAnsi="Calibri" w:cs="Times New Roman"/>
                  <w:u w:val="single"/>
                </w:rPr>
                <w:t>www.itsanhonour.gov.au/coat-arms</w:t>
              </w:r>
            </w:hyperlink>
          </w:p>
          <w:p w:rsidR="00975391" w:rsidRDefault="00975391" w:rsidP="00975391">
            <w:pPr>
              <w:pStyle w:val="xDisclaimerHeading"/>
              <w:framePr w:hSpace="0" w:wrap="auto" w:hAnchor="text" w:yAlign="inline"/>
              <w:suppressOverlap w:val="0"/>
              <w:rPr>
                <w:rFonts w:ascii="Calibri" w:eastAsia="Calibri" w:hAnsi="Calibri" w:cs="Times New Roman"/>
                <w:u w:val="single"/>
              </w:rPr>
            </w:pPr>
            <w:r>
              <w:t>Feedback</w:t>
            </w:r>
          </w:p>
          <w:p w:rsidR="00975391" w:rsidRPr="001830F3" w:rsidRDefault="00975391" w:rsidP="00975391">
            <w:pPr>
              <w:pStyle w:val="xDisclaimerText2"/>
              <w:framePr w:hSpace="0" w:wrap="auto" w:hAnchor="text" w:yAlign="inline"/>
              <w:suppressOverlap w:val="0"/>
            </w:pPr>
            <w:r>
              <w:rPr>
                <w:rFonts w:ascii="Calibri" w:eastAsia="Calibri" w:hAnsi="Calibri" w:cs="Times New Roman"/>
              </w:rPr>
              <w:t xml:space="preserve">If you found this report useful, or have suggestions for improvement, please provide feedback to </w:t>
            </w:r>
            <w:hyperlink r:id="rId18" w:history="1">
              <w:r>
                <w:rPr>
                  <w:rStyle w:val="Hyperlink"/>
                </w:rPr>
                <w:t>feedback@pbo.gov.au</w:t>
              </w:r>
            </w:hyperlink>
            <w:r>
              <w:rPr>
                <w:rFonts w:ascii="Calibri" w:eastAsia="Calibri" w:hAnsi="Calibri" w:cs="Times New Roman"/>
              </w:rPr>
              <w:t>.</w:t>
            </w:r>
          </w:p>
        </w:tc>
      </w:tr>
    </w:tbl>
    <w:p w:rsidR="00924801" w:rsidRDefault="00924801"/>
    <w:p w:rsidR="00C800F2" w:rsidRDefault="00C800F2"/>
    <w:p w:rsidR="001830F3" w:rsidRDefault="001830F3" w:rsidP="001830F3">
      <w:pPr>
        <w:sectPr w:rsidR="001830F3" w:rsidSect="00FC01C5">
          <w:headerReference w:type="even" r:id="rId19"/>
          <w:headerReference w:type="default" r:id="rId20"/>
          <w:footerReference w:type="even" r:id="rId21"/>
          <w:footerReference w:type="default" r:id="rId22"/>
          <w:headerReference w:type="first" r:id="rId23"/>
          <w:footerReference w:type="first" r:id="rId24"/>
          <w:pgSz w:w="11907" w:h="16840" w:code="9"/>
          <w:pgMar w:top="1191" w:right="1418" w:bottom="1021" w:left="1418" w:header="567" w:footer="709" w:gutter="0"/>
          <w:pgNumType w:fmt="lowerRoman"/>
          <w:cols w:space="708"/>
          <w:docGrid w:linePitch="360"/>
        </w:sectPr>
      </w:pPr>
    </w:p>
    <w:p w:rsidR="00D559DF" w:rsidRDefault="00D559DF" w:rsidP="00FF1368">
      <w:pPr>
        <w:pStyle w:val="TOCHeading"/>
      </w:pPr>
      <w:r w:rsidRPr="00FF1368">
        <w:lastRenderedPageBreak/>
        <w:t>Contents</w:t>
      </w:r>
      <w:bookmarkStart w:id="2" w:name="_TOCMarker"/>
      <w:bookmarkEnd w:id="2"/>
    </w:p>
    <w:p w:rsidR="00BF4159"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35451905" w:history="1">
        <w:r w:rsidR="00BF4159" w:rsidRPr="006A23DF">
          <w:rPr>
            <w:rStyle w:val="Hyperlink"/>
          </w:rPr>
          <w:t>Overview</w:t>
        </w:r>
        <w:r w:rsidR="00BF4159">
          <w:rPr>
            <w:webHidden/>
          </w:rPr>
          <w:tab/>
        </w:r>
        <w:r w:rsidR="00BF4159">
          <w:rPr>
            <w:webHidden/>
          </w:rPr>
          <w:fldChar w:fldCharType="begin"/>
        </w:r>
        <w:r w:rsidR="00BF4159">
          <w:rPr>
            <w:webHidden/>
          </w:rPr>
          <w:instrText xml:space="preserve"> PAGEREF _Toc35451905 \h </w:instrText>
        </w:r>
        <w:r w:rsidR="00BF4159">
          <w:rPr>
            <w:webHidden/>
          </w:rPr>
        </w:r>
        <w:r w:rsidR="00BF4159">
          <w:rPr>
            <w:webHidden/>
          </w:rPr>
          <w:fldChar w:fldCharType="separate"/>
        </w:r>
        <w:r w:rsidR="003F421C">
          <w:rPr>
            <w:webHidden/>
          </w:rPr>
          <w:t>1</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06" w:history="1">
        <w:r w:rsidR="00BF4159" w:rsidRPr="006A23DF">
          <w:rPr>
            <w:rStyle w:val="Hyperlink"/>
          </w:rPr>
          <w:t>1</w:t>
        </w:r>
        <w:r w:rsidR="00BF4159">
          <w:rPr>
            <w:rFonts w:eastAsiaTheme="minorEastAsia"/>
            <w:b w:val="0"/>
            <w:color w:val="auto"/>
            <w:sz w:val="22"/>
            <w:lang w:eastAsia="en-AU"/>
          </w:rPr>
          <w:tab/>
        </w:r>
        <w:r w:rsidR="00BF4159" w:rsidRPr="006A23DF">
          <w:rPr>
            <w:rStyle w:val="Hyperlink"/>
          </w:rPr>
          <w:t>How government policy is paid for</w:t>
        </w:r>
        <w:r w:rsidR="00BF4159">
          <w:rPr>
            <w:webHidden/>
          </w:rPr>
          <w:tab/>
        </w:r>
        <w:r w:rsidR="00BF4159">
          <w:rPr>
            <w:webHidden/>
          </w:rPr>
          <w:fldChar w:fldCharType="begin"/>
        </w:r>
        <w:r w:rsidR="00BF4159">
          <w:rPr>
            <w:webHidden/>
          </w:rPr>
          <w:instrText xml:space="preserve"> PAGEREF _Toc35451906 \h </w:instrText>
        </w:r>
        <w:r w:rsidR="00BF4159">
          <w:rPr>
            <w:webHidden/>
          </w:rPr>
        </w:r>
        <w:r w:rsidR="00BF4159">
          <w:rPr>
            <w:webHidden/>
          </w:rPr>
          <w:fldChar w:fldCharType="separate"/>
        </w:r>
        <w:r w:rsidR="003F421C">
          <w:rPr>
            <w:webHidden/>
          </w:rPr>
          <w:t>2</w:t>
        </w:r>
        <w:r w:rsidR="00BF4159">
          <w:rPr>
            <w:webHidden/>
          </w:rPr>
          <w:fldChar w:fldCharType="end"/>
        </w:r>
      </w:hyperlink>
    </w:p>
    <w:p w:rsidR="00BF4159" w:rsidRDefault="00507FA9">
      <w:pPr>
        <w:pStyle w:val="TOC2"/>
        <w:rPr>
          <w:rFonts w:asciiTheme="minorHAnsi" w:hAnsiTheme="minorHAnsi"/>
          <w:color w:val="auto"/>
          <w:sz w:val="22"/>
        </w:rPr>
      </w:pPr>
      <w:hyperlink w:anchor="_Toc35451907" w:history="1">
        <w:r w:rsidR="00BF4159" w:rsidRPr="006A23DF">
          <w:rPr>
            <w:rStyle w:val="Hyperlink"/>
          </w:rPr>
          <w:t>1.1</w:t>
        </w:r>
        <w:r w:rsidR="00BF4159">
          <w:rPr>
            <w:rFonts w:asciiTheme="minorHAnsi" w:hAnsiTheme="minorHAnsi"/>
            <w:color w:val="auto"/>
            <w:sz w:val="22"/>
          </w:rPr>
          <w:tab/>
        </w:r>
        <w:r w:rsidR="00BF4159" w:rsidRPr="006A23DF">
          <w:rPr>
            <w:rStyle w:val="Hyperlink"/>
          </w:rPr>
          <w:t>Ways in which government can fund policy</w:t>
        </w:r>
        <w:r w:rsidR="00BF4159">
          <w:rPr>
            <w:webHidden/>
          </w:rPr>
          <w:tab/>
        </w:r>
        <w:r w:rsidR="00BF4159">
          <w:rPr>
            <w:webHidden/>
          </w:rPr>
          <w:fldChar w:fldCharType="begin"/>
        </w:r>
        <w:r w:rsidR="00BF4159">
          <w:rPr>
            <w:webHidden/>
          </w:rPr>
          <w:instrText xml:space="preserve"> PAGEREF _Toc35451907 \h </w:instrText>
        </w:r>
        <w:r w:rsidR="00BF4159">
          <w:rPr>
            <w:webHidden/>
          </w:rPr>
        </w:r>
        <w:r w:rsidR="00BF4159">
          <w:rPr>
            <w:webHidden/>
          </w:rPr>
          <w:fldChar w:fldCharType="separate"/>
        </w:r>
        <w:r w:rsidR="003F421C">
          <w:rPr>
            <w:webHidden/>
          </w:rPr>
          <w:t>2</w:t>
        </w:r>
        <w:r w:rsidR="00BF4159">
          <w:rPr>
            <w:webHidden/>
          </w:rPr>
          <w:fldChar w:fldCharType="end"/>
        </w:r>
      </w:hyperlink>
    </w:p>
    <w:p w:rsidR="00BF4159" w:rsidRDefault="00507FA9">
      <w:pPr>
        <w:pStyle w:val="TOC2"/>
        <w:rPr>
          <w:rFonts w:asciiTheme="minorHAnsi" w:hAnsiTheme="minorHAnsi"/>
          <w:color w:val="auto"/>
          <w:sz w:val="22"/>
        </w:rPr>
      </w:pPr>
      <w:hyperlink w:anchor="_Toc35451908" w:history="1">
        <w:r w:rsidR="00BF4159" w:rsidRPr="006A23DF">
          <w:rPr>
            <w:rStyle w:val="Hyperlink"/>
          </w:rPr>
          <w:t>1.2</w:t>
        </w:r>
        <w:r w:rsidR="00BF4159">
          <w:rPr>
            <w:rFonts w:asciiTheme="minorHAnsi" w:hAnsiTheme="minorHAnsi"/>
            <w:color w:val="auto"/>
            <w:sz w:val="22"/>
          </w:rPr>
          <w:tab/>
        </w:r>
        <w:r w:rsidR="00BF4159" w:rsidRPr="006A23DF">
          <w:rPr>
            <w:rStyle w:val="Hyperlink"/>
          </w:rPr>
          <w:t>The use of alternative financing arrangements is growing</w:t>
        </w:r>
        <w:r w:rsidR="00BF4159">
          <w:rPr>
            <w:webHidden/>
          </w:rPr>
          <w:tab/>
        </w:r>
        <w:r w:rsidR="00BF4159">
          <w:rPr>
            <w:webHidden/>
          </w:rPr>
          <w:fldChar w:fldCharType="begin"/>
        </w:r>
        <w:r w:rsidR="00BF4159">
          <w:rPr>
            <w:webHidden/>
          </w:rPr>
          <w:instrText xml:space="preserve"> PAGEREF _Toc35451908 \h </w:instrText>
        </w:r>
        <w:r w:rsidR="00BF4159">
          <w:rPr>
            <w:webHidden/>
          </w:rPr>
        </w:r>
        <w:r w:rsidR="00BF4159">
          <w:rPr>
            <w:webHidden/>
          </w:rPr>
          <w:fldChar w:fldCharType="separate"/>
        </w:r>
        <w:r w:rsidR="003F421C">
          <w:rPr>
            <w:webHidden/>
          </w:rPr>
          <w:t>4</w:t>
        </w:r>
        <w:r w:rsidR="00BF4159">
          <w:rPr>
            <w:webHidden/>
          </w:rPr>
          <w:fldChar w:fldCharType="end"/>
        </w:r>
      </w:hyperlink>
    </w:p>
    <w:p w:rsidR="00BF4159" w:rsidRDefault="00507FA9">
      <w:pPr>
        <w:pStyle w:val="TOC2"/>
        <w:rPr>
          <w:rFonts w:asciiTheme="minorHAnsi" w:hAnsiTheme="minorHAnsi"/>
          <w:color w:val="auto"/>
          <w:sz w:val="22"/>
        </w:rPr>
      </w:pPr>
      <w:hyperlink w:anchor="_Toc35451909" w:history="1">
        <w:r w:rsidR="00BF4159" w:rsidRPr="006A23DF">
          <w:rPr>
            <w:rStyle w:val="Hyperlink"/>
          </w:rPr>
          <w:t>1.3</w:t>
        </w:r>
        <w:r w:rsidR="00BF4159">
          <w:rPr>
            <w:rFonts w:asciiTheme="minorHAnsi" w:hAnsiTheme="minorHAnsi"/>
            <w:color w:val="auto"/>
            <w:sz w:val="22"/>
          </w:rPr>
          <w:tab/>
        </w:r>
        <w:r w:rsidR="00BF4159" w:rsidRPr="006A23DF">
          <w:rPr>
            <w:rStyle w:val="Hyperlink"/>
          </w:rPr>
          <w:t>How a policy is financed is important for the budget aggregates</w:t>
        </w:r>
        <w:r w:rsidR="00BF4159">
          <w:rPr>
            <w:webHidden/>
          </w:rPr>
          <w:tab/>
        </w:r>
        <w:r w:rsidR="00BF4159">
          <w:rPr>
            <w:webHidden/>
          </w:rPr>
          <w:fldChar w:fldCharType="begin"/>
        </w:r>
        <w:r w:rsidR="00BF4159">
          <w:rPr>
            <w:webHidden/>
          </w:rPr>
          <w:instrText xml:space="preserve"> PAGEREF _Toc35451909 \h </w:instrText>
        </w:r>
        <w:r w:rsidR="00BF4159">
          <w:rPr>
            <w:webHidden/>
          </w:rPr>
        </w:r>
        <w:r w:rsidR="00BF4159">
          <w:rPr>
            <w:webHidden/>
          </w:rPr>
          <w:fldChar w:fldCharType="separate"/>
        </w:r>
        <w:r w:rsidR="003F421C">
          <w:rPr>
            <w:webHidden/>
          </w:rPr>
          <w:t>6</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10" w:history="1">
        <w:r w:rsidR="00BF4159" w:rsidRPr="006A23DF">
          <w:rPr>
            <w:rStyle w:val="Hyperlink"/>
          </w:rPr>
          <w:t>2</w:t>
        </w:r>
        <w:r w:rsidR="00BF4159">
          <w:rPr>
            <w:rFonts w:eastAsiaTheme="minorEastAsia"/>
            <w:b w:val="0"/>
            <w:color w:val="auto"/>
            <w:sz w:val="22"/>
            <w:lang w:eastAsia="en-AU"/>
          </w:rPr>
          <w:tab/>
        </w:r>
        <w:r w:rsidR="00BF4159" w:rsidRPr="006A23DF">
          <w:rPr>
            <w:rStyle w:val="Hyperlink"/>
          </w:rPr>
          <w:t>What are the costs associated with different policies?</w:t>
        </w:r>
        <w:r w:rsidR="00BF4159">
          <w:rPr>
            <w:webHidden/>
          </w:rPr>
          <w:tab/>
        </w:r>
        <w:r w:rsidR="00BF4159">
          <w:rPr>
            <w:webHidden/>
          </w:rPr>
          <w:fldChar w:fldCharType="begin"/>
        </w:r>
        <w:r w:rsidR="00BF4159">
          <w:rPr>
            <w:webHidden/>
          </w:rPr>
          <w:instrText xml:space="preserve"> PAGEREF _Toc35451910 \h </w:instrText>
        </w:r>
        <w:r w:rsidR="00BF4159">
          <w:rPr>
            <w:webHidden/>
          </w:rPr>
        </w:r>
        <w:r w:rsidR="00BF4159">
          <w:rPr>
            <w:webHidden/>
          </w:rPr>
          <w:fldChar w:fldCharType="separate"/>
        </w:r>
        <w:r w:rsidR="003F421C">
          <w:rPr>
            <w:webHidden/>
          </w:rPr>
          <w:t>8</w:t>
        </w:r>
        <w:r w:rsidR="00BF4159">
          <w:rPr>
            <w:webHidden/>
          </w:rPr>
          <w:fldChar w:fldCharType="end"/>
        </w:r>
      </w:hyperlink>
    </w:p>
    <w:p w:rsidR="00BF4159" w:rsidRDefault="00507FA9">
      <w:pPr>
        <w:pStyle w:val="TOC2"/>
        <w:rPr>
          <w:rFonts w:asciiTheme="minorHAnsi" w:hAnsiTheme="minorHAnsi"/>
          <w:color w:val="auto"/>
          <w:sz w:val="22"/>
        </w:rPr>
      </w:pPr>
      <w:hyperlink w:anchor="_Toc35451911" w:history="1">
        <w:r w:rsidR="00BF4159" w:rsidRPr="006A23DF">
          <w:rPr>
            <w:rStyle w:val="Hyperlink"/>
          </w:rPr>
          <w:t>2.1</w:t>
        </w:r>
        <w:r w:rsidR="00BF4159">
          <w:rPr>
            <w:rFonts w:asciiTheme="minorHAnsi" w:hAnsiTheme="minorHAnsi"/>
            <w:color w:val="auto"/>
            <w:sz w:val="22"/>
          </w:rPr>
          <w:tab/>
        </w:r>
        <w:r w:rsidR="00BF4159" w:rsidRPr="006A23DF">
          <w:rPr>
            <w:rStyle w:val="Hyperlink"/>
          </w:rPr>
          <w:t>Budget reporting is based on two key categories</w:t>
        </w:r>
        <w:r w:rsidR="00BF4159">
          <w:rPr>
            <w:webHidden/>
          </w:rPr>
          <w:tab/>
        </w:r>
        <w:r w:rsidR="00BF4159">
          <w:rPr>
            <w:webHidden/>
          </w:rPr>
          <w:fldChar w:fldCharType="begin"/>
        </w:r>
        <w:r w:rsidR="00BF4159">
          <w:rPr>
            <w:webHidden/>
          </w:rPr>
          <w:instrText xml:space="preserve"> PAGEREF _Toc35451911 \h </w:instrText>
        </w:r>
        <w:r w:rsidR="00BF4159">
          <w:rPr>
            <w:webHidden/>
          </w:rPr>
        </w:r>
        <w:r w:rsidR="00BF4159">
          <w:rPr>
            <w:webHidden/>
          </w:rPr>
          <w:fldChar w:fldCharType="separate"/>
        </w:r>
        <w:r w:rsidR="003F421C">
          <w:rPr>
            <w:webHidden/>
          </w:rPr>
          <w:t>8</w:t>
        </w:r>
        <w:r w:rsidR="00BF4159">
          <w:rPr>
            <w:webHidden/>
          </w:rPr>
          <w:fldChar w:fldCharType="end"/>
        </w:r>
      </w:hyperlink>
    </w:p>
    <w:p w:rsidR="00BF4159" w:rsidRDefault="00507FA9">
      <w:pPr>
        <w:pStyle w:val="TOC2"/>
        <w:rPr>
          <w:rFonts w:asciiTheme="minorHAnsi" w:hAnsiTheme="minorHAnsi"/>
          <w:color w:val="auto"/>
          <w:sz w:val="22"/>
        </w:rPr>
      </w:pPr>
      <w:hyperlink w:anchor="_Toc35451912" w:history="1">
        <w:r w:rsidR="00BF4159" w:rsidRPr="006A23DF">
          <w:rPr>
            <w:rStyle w:val="Hyperlink"/>
          </w:rPr>
          <w:t>2.2</w:t>
        </w:r>
        <w:r w:rsidR="00BF4159">
          <w:rPr>
            <w:rFonts w:asciiTheme="minorHAnsi" w:hAnsiTheme="minorHAnsi"/>
            <w:color w:val="auto"/>
            <w:sz w:val="22"/>
          </w:rPr>
          <w:tab/>
        </w:r>
        <w:r w:rsidR="00BF4159" w:rsidRPr="006A23DF">
          <w:rPr>
            <w:rStyle w:val="Hyperlink"/>
          </w:rPr>
          <w:t>Transactions</w:t>
        </w:r>
        <w:r w:rsidR="00BF4159">
          <w:rPr>
            <w:webHidden/>
          </w:rPr>
          <w:tab/>
        </w:r>
        <w:r w:rsidR="00BF4159">
          <w:rPr>
            <w:webHidden/>
          </w:rPr>
          <w:fldChar w:fldCharType="begin"/>
        </w:r>
        <w:r w:rsidR="00BF4159">
          <w:rPr>
            <w:webHidden/>
          </w:rPr>
          <w:instrText xml:space="preserve"> PAGEREF _Toc35451912 \h </w:instrText>
        </w:r>
        <w:r w:rsidR="00BF4159">
          <w:rPr>
            <w:webHidden/>
          </w:rPr>
        </w:r>
        <w:r w:rsidR="00BF4159">
          <w:rPr>
            <w:webHidden/>
          </w:rPr>
          <w:fldChar w:fldCharType="separate"/>
        </w:r>
        <w:r w:rsidR="003F421C">
          <w:rPr>
            <w:webHidden/>
          </w:rPr>
          <w:t>10</w:t>
        </w:r>
        <w:r w:rsidR="00BF4159">
          <w:rPr>
            <w:webHidden/>
          </w:rPr>
          <w:fldChar w:fldCharType="end"/>
        </w:r>
      </w:hyperlink>
    </w:p>
    <w:p w:rsidR="00BF4159" w:rsidRDefault="00507FA9">
      <w:pPr>
        <w:pStyle w:val="TOC2"/>
        <w:rPr>
          <w:rFonts w:asciiTheme="minorHAnsi" w:hAnsiTheme="minorHAnsi"/>
          <w:color w:val="auto"/>
          <w:sz w:val="22"/>
        </w:rPr>
      </w:pPr>
      <w:hyperlink w:anchor="_Toc35451913" w:history="1">
        <w:r w:rsidR="00BF4159" w:rsidRPr="006A23DF">
          <w:rPr>
            <w:rStyle w:val="Hyperlink"/>
          </w:rPr>
          <w:t>2.3</w:t>
        </w:r>
        <w:r w:rsidR="00BF4159">
          <w:rPr>
            <w:rFonts w:asciiTheme="minorHAnsi" w:hAnsiTheme="minorHAnsi"/>
            <w:color w:val="auto"/>
            <w:sz w:val="22"/>
          </w:rPr>
          <w:tab/>
        </w:r>
        <w:r w:rsidR="00BF4159" w:rsidRPr="006A23DF">
          <w:rPr>
            <w:rStyle w:val="Hyperlink"/>
          </w:rPr>
          <w:t>Revaluations</w:t>
        </w:r>
        <w:r w:rsidR="00BF4159">
          <w:rPr>
            <w:webHidden/>
          </w:rPr>
          <w:tab/>
        </w:r>
        <w:r w:rsidR="00BF4159">
          <w:rPr>
            <w:webHidden/>
          </w:rPr>
          <w:fldChar w:fldCharType="begin"/>
        </w:r>
        <w:r w:rsidR="00BF4159">
          <w:rPr>
            <w:webHidden/>
          </w:rPr>
          <w:instrText xml:space="preserve"> PAGEREF _Toc35451913 \h </w:instrText>
        </w:r>
        <w:r w:rsidR="00BF4159">
          <w:rPr>
            <w:webHidden/>
          </w:rPr>
        </w:r>
        <w:r w:rsidR="00BF4159">
          <w:rPr>
            <w:webHidden/>
          </w:rPr>
          <w:fldChar w:fldCharType="separate"/>
        </w:r>
        <w:r w:rsidR="003F421C">
          <w:rPr>
            <w:webHidden/>
          </w:rPr>
          <w:t>11</w:t>
        </w:r>
        <w:r w:rsidR="00BF4159">
          <w:rPr>
            <w:webHidden/>
          </w:rPr>
          <w:fldChar w:fldCharType="end"/>
        </w:r>
      </w:hyperlink>
    </w:p>
    <w:p w:rsidR="00BF4159" w:rsidRDefault="00507FA9">
      <w:pPr>
        <w:pStyle w:val="TOC2"/>
        <w:rPr>
          <w:rFonts w:asciiTheme="minorHAnsi" w:hAnsiTheme="minorHAnsi"/>
          <w:color w:val="auto"/>
          <w:sz w:val="22"/>
        </w:rPr>
      </w:pPr>
      <w:hyperlink w:anchor="_Toc35451914" w:history="1">
        <w:r w:rsidR="00BF4159" w:rsidRPr="006A23DF">
          <w:rPr>
            <w:rStyle w:val="Hyperlink"/>
          </w:rPr>
          <w:t>2.4</w:t>
        </w:r>
        <w:r w:rsidR="00BF4159">
          <w:rPr>
            <w:rFonts w:asciiTheme="minorHAnsi" w:hAnsiTheme="minorHAnsi"/>
            <w:color w:val="auto"/>
            <w:sz w:val="22"/>
          </w:rPr>
          <w:tab/>
        </w:r>
        <w:r w:rsidR="00BF4159" w:rsidRPr="006A23DF">
          <w:rPr>
            <w:rStyle w:val="Hyperlink"/>
          </w:rPr>
          <w:t>Policy financing: transactions and revaluations</w:t>
        </w:r>
        <w:r w:rsidR="00BF4159">
          <w:rPr>
            <w:webHidden/>
          </w:rPr>
          <w:tab/>
        </w:r>
        <w:r w:rsidR="00BF4159">
          <w:rPr>
            <w:webHidden/>
          </w:rPr>
          <w:fldChar w:fldCharType="begin"/>
        </w:r>
        <w:r w:rsidR="00BF4159">
          <w:rPr>
            <w:webHidden/>
          </w:rPr>
          <w:instrText xml:space="preserve"> PAGEREF _Toc35451914 \h </w:instrText>
        </w:r>
        <w:r w:rsidR="00BF4159">
          <w:rPr>
            <w:webHidden/>
          </w:rPr>
        </w:r>
        <w:r w:rsidR="00BF4159">
          <w:rPr>
            <w:webHidden/>
          </w:rPr>
          <w:fldChar w:fldCharType="separate"/>
        </w:r>
        <w:r w:rsidR="003F421C">
          <w:rPr>
            <w:webHidden/>
          </w:rPr>
          <w:t>12</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15" w:history="1">
        <w:r w:rsidR="00BF4159" w:rsidRPr="006A23DF">
          <w:rPr>
            <w:rStyle w:val="Hyperlink"/>
          </w:rPr>
          <w:t>3</w:t>
        </w:r>
        <w:r w:rsidR="00BF4159">
          <w:rPr>
            <w:rFonts w:eastAsiaTheme="minorEastAsia"/>
            <w:b w:val="0"/>
            <w:color w:val="auto"/>
            <w:sz w:val="22"/>
            <w:lang w:eastAsia="en-AU"/>
          </w:rPr>
          <w:tab/>
        </w:r>
        <w:r w:rsidR="00BF4159" w:rsidRPr="006A23DF">
          <w:rPr>
            <w:rStyle w:val="Hyperlink"/>
          </w:rPr>
          <w:t>The size of revaluations</w:t>
        </w:r>
        <w:r w:rsidR="00BF4159">
          <w:rPr>
            <w:webHidden/>
          </w:rPr>
          <w:tab/>
        </w:r>
        <w:r w:rsidR="00BF4159">
          <w:rPr>
            <w:webHidden/>
          </w:rPr>
          <w:fldChar w:fldCharType="begin"/>
        </w:r>
        <w:r w:rsidR="00BF4159">
          <w:rPr>
            <w:webHidden/>
          </w:rPr>
          <w:instrText xml:space="preserve"> PAGEREF _Toc35451915 \h </w:instrText>
        </w:r>
        <w:r w:rsidR="00BF4159">
          <w:rPr>
            <w:webHidden/>
          </w:rPr>
        </w:r>
        <w:r w:rsidR="00BF4159">
          <w:rPr>
            <w:webHidden/>
          </w:rPr>
          <w:fldChar w:fldCharType="separate"/>
        </w:r>
        <w:r w:rsidR="003F421C">
          <w:rPr>
            <w:webHidden/>
          </w:rPr>
          <w:t>14</w:t>
        </w:r>
        <w:r w:rsidR="00BF4159">
          <w:rPr>
            <w:webHidden/>
          </w:rPr>
          <w:fldChar w:fldCharType="end"/>
        </w:r>
      </w:hyperlink>
    </w:p>
    <w:p w:rsidR="00BF4159" w:rsidRDefault="00507FA9">
      <w:pPr>
        <w:pStyle w:val="TOC2"/>
        <w:rPr>
          <w:rFonts w:asciiTheme="minorHAnsi" w:hAnsiTheme="minorHAnsi"/>
          <w:color w:val="auto"/>
          <w:sz w:val="22"/>
        </w:rPr>
      </w:pPr>
      <w:hyperlink w:anchor="_Toc35451916" w:history="1">
        <w:r w:rsidR="00BF4159" w:rsidRPr="006A23DF">
          <w:rPr>
            <w:rStyle w:val="Hyperlink"/>
          </w:rPr>
          <w:t>3.1</w:t>
        </w:r>
        <w:r w:rsidR="00BF4159">
          <w:rPr>
            <w:rFonts w:asciiTheme="minorHAnsi" w:hAnsiTheme="minorHAnsi"/>
            <w:color w:val="auto"/>
            <w:sz w:val="22"/>
          </w:rPr>
          <w:tab/>
        </w:r>
        <w:r w:rsidR="00BF4159" w:rsidRPr="006A23DF">
          <w:rPr>
            <w:rStyle w:val="Hyperlink"/>
          </w:rPr>
          <w:t>The NBN</w:t>
        </w:r>
        <w:r w:rsidR="00BF4159">
          <w:rPr>
            <w:webHidden/>
          </w:rPr>
          <w:tab/>
        </w:r>
        <w:r w:rsidR="00BF4159">
          <w:rPr>
            <w:webHidden/>
          </w:rPr>
          <w:fldChar w:fldCharType="begin"/>
        </w:r>
        <w:r w:rsidR="00BF4159">
          <w:rPr>
            <w:webHidden/>
          </w:rPr>
          <w:instrText xml:space="preserve"> PAGEREF _Toc35451916 \h </w:instrText>
        </w:r>
        <w:r w:rsidR="00BF4159">
          <w:rPr>
            <w:webHidden/>
          </w:rPr>
        </w:r>
        <w:r w:rsidR="00BF4159">
          <w:rPr>
            <w:webHidden/>
          </w:rPr>
          <w:fldChar w:fldCharType="separate"/>
        </w:r>
        <w:r w:rsidR="003F421C">
          <w:rPr>
            <w:webHidden/>
          </w:rPr>
          <w:t>14</w:t>
        </w:r>
        <w:r w:rsidR="00BF4159">
          <w:rPr>
            <w:webHidden/>
          </w:rPr>
          <w:fldChar w:fldCharType="end"/>
        </w:r>
      </w:hyperlink>
    </w:p>
    <w:p w:rsidR="00BF4159" w:rsidRDefault="00507FA9">
      <w:pPr>
        <w:pStyle w:val="TOC2"/>
        <w:rPr>
          <w:rFonts w:asciiTheme="minorHAnsi" w:hAnsiTheme="minorHAnsi"/>
          <w:color w:val="auto"/>
          <w:sz w:val="22"/>
        </w:rPr>
      </w:pPr>
      <w:hyperlink w:anchor="_Toc35451917" w:history="1">
        <w:r w:rsidR="00BF4159" w:rsidRPr="006A23DF">
          <w:rPr>
            <w:rStyle w:val="Hyperlink"/>
          </w:rPr>
          <w:t>3.2</w:t>
        </w:r>
        <w:r w:rsidR="00BF4159">
          <w:rPr>
            <w:rFonts w:asciiTheme="minorHAnsi" w:hAnsiTheme="minorHAnsi"/>
            <w:color w:val="auto"/>
            <w:sz w:val="22"/>
          </w:rPr>
          <w:tab/>
        </w:r>
        <w:r w:rsidR="00BF4159" w:rsidRPr="006A23DF">
          <w:rPr>
            <w:rStyle w:val="Hyperlink"/>
          </w:rPr>
          <w:t>The Higher Education Loan Program</w:t>
        </w:r>
        <w:r w:rsidR="00BF4159">
          <w:rPr>
            <w:webHidden/>
          </w:rPr>
          <w:tab/>
        </w:r>
        <w:r w:rsidR="00BF4159">
          <w:rPr>
            <w:webHidden/>
          </w:rPr>
          <w:fldChar w:fldCharType="begin"/>
        </w:r>
        <w:r w:rsidR="00BF4159">
          <w:rPr>
            <w:webHidden/>
          </w:rPr>
          <w:instrText xml:space="preserve"> PAGEREF _Toc35451917 \h </w:instrText>
        </w:r>
        <w:r w:rsidR="00BF4159">
          <w:rPr>
            <w:webHidden/>
          </w:rPr>
        </w:r>
        <w:r w:rsidR="00BF4159">
          <w:rPr>
            <w:webHidden/>
          </w:rPr>
          <w:fldChar w:fldCharType="separate"/>
        </w:r>
        <w:r w:rsidR="003F421C">
          <w:rPr>
            <w:webHidden/>
          </w:rPr>
          <w:t>15</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18" w:history="1">
        <w:r w:rsidR="00BF4159" w:rsidRPr="006A23DF">
          <w:rPr>
            <w:rStyle w:val="Hyperlink"/>
          </w:rPr>
          <w:t>4</w:t>
        </w:r>
        <w:r w:rsidR="00BF4159">
          <w:rPr>
            <w:rFonts w:eastAsiaTheme="minorEastAsia"/>
            <w:b w:val="0"/>
            <w:color w:val="auto"/>
            <w:sz w:val="22"/>
            <w:lang w:eastAsia="en-AU"/>
          </w:rPr>
          <w:tab/>
        </w:r>
        <w:r w:rsidR="00BF4159" w:rsidRPr="006A23DF">
          <w:rPr>
            <w:rStyle w:val="Hyperlink"/>
          </w:rPr>
          <w:t>Budget presentation of policies that use alternative financing</w:t>
        </w:r>
        <w:r w:rsidR="00BF4159">
          <w:rPr>
            <w:webHidden/>
          </w:rPr>
          <w:tab/>
        </w:r>
        <w:r w:rsidR="00BF4159">
          <w:rPr>
            <w:webHidden/>
          </w:rPr>
          <w:fldChar w:fldCharType="begin"/>
        </w:r>
        <w:r w:rsidR="00BF4159">
          <w:rPr>
            <w:webHidden/>
          </w:rPr>
          <w:instrText xml:space="preserve"> PAGEREF _Toc35451918 \h </w:instrText>
        </w:r>
        <w:r w:rsidR="00BF4159">
          <w:rPr>
            <w:webHidden/>
          </w:rPr>
        </w:r>
        <w:r w:rsidR="00BF4159">
          <w:rPr>
            <w:webHidden/>
          </w:rPr>
          <w:fldChar w:fldCharType="separate"/>
        </w:r>
        <w:r w:rsidR="003F421C">
          <w:rPr>
            <w:webHidden/>
          </w:rPr>
          <w:t>17</w:t>
        </w:r>
        <w:r w:rsidR="00BF4159">
          <w:rPr>
            <w:webHidden/>
          </w:rPr>
          <w:fldChar w:fldCharType="end"/>
        </w:r>
      </w:hyperlink>
    </w:p>
    <w:p w:rsidR="00BF4159" w:rsidRDefault="00507FA9">
      <w:pPr>
        <w:pStyle w:val="TOC2"/>
        <w:rPr>
          <w:rFonts w:asciiTheme="minorHAnsi" w:hAnsiTheme="minorHAnsi"/>
          <w:color w:val="auto"/>
          <w:sz w:val="22"/>
        </w:rPr>
      </w:pPr>
      <w:hyperlink w:anchor="_Toc35451919" w:history="1">
        <w:r w:rsidR="00BF4159" w:rsidRPr="006A23DF">
          <w:rPr>
            <w:rStyle w:val="Hyperlink"/>
          </w:rPr>
          <w:t>4.1</w:t>
        </w:r>
        <w:r w:rsidR="00BF4159">
          <w:rPr>
            <w:rFonts w:asciiTheme="minorHAnsi" w:hAnsiTheme="minorHAnsi"/>
            <w:color w:val="auto"/>
            <w:sz w:val="22"/>
          </w:rPr>
          <w:tab/>
        </w:r>
        <w:r w:rsidR="00BF4159" w:rsidRPr="006A23DF">
          <w:rPr>
            <w:rStyle w:val="Hyperlink"/>
          </w:rPr>
          <w:t>Reporting the expected financial impacts of new policies</w:t>
        </w:r>
        <w:r w:rsidR="00BF4159">
          <w:rPr>
            <w:webHidden/>
          </w:rPr>
          <w:tab/>
        </w:r>
        <w:r w:rsidR="00BF4159">
          <w:rPr>
            <w:webHidden/>
          </w:rPr>
          <w:fldChar w:fldCharType="begin"/>
        </w:r>
        <w:r w:rsidR="00BF4159">
          <w:rPr>
            <w:webHidden/>
          </w:rPr>
          <w:instrText xml:space="preserve"> PAGEREF _Toc35451919 \h </w:instrText>
        </w:r>
        <w:r w:rsidR="00BF4159">
          <w:rPr>
            <w:webHidden/>
          </w:rPr>
        </w:r>
        <w:r w:rsidR="00BF4159">
          <w:rPr>
            <w:webHidden/>
          </w:rPr>
          <w:fldChar w:fldCharType="separate"/>
        </w:r>
        <w:r w:rsidR="003F421C">
          <w:rPr>
            <w:webHidden/>
          </w:rPr>
          <w:t>17</w:t>
        </w:r>
        <w:r w:rsidR="00BF4159">
          <w:rPr>
            <w:webHidden/>
          </w:rPr>
          <w:fldChar w:fldCharType="end"/>
        </w:r>
      </w:hyperlink>
    </w:p>
    <w:p w:rsidR="00BF4159" w:rsidRDefault="00507FA9">
      <w:pPr>
        <w:pStyle w:val="TOC2"/>
        <w:rPr>
          <w:rFonts w:asciiTheme="minorHAnsi" w:hAnsiTheme="minorHAnsi"/>
          <w:color w:val="auto"/>
          <w:sz w:val="22"/>
        </w:rPr>
      </w:pPr>
      <w:hyperlink w:anchor="_Toc35451920" w:history="1">
        <w:r w:rsidR="00BF4159" w:rsidRPr="006A23DF">
          <w:rPr>
            <w:rStyle w:val="Hyperlink"/>
          </w:rPr>
          <w:t>4.2</w:t>
        </w:r>
        <w:r w:rsidR="00BF4159">
          <w:rPr>
            <w:rFonts w:asciiTheme="minorHAnsi" w:hAnsiTheme="minorHAnsi"/>
            <w:color w:val="auto"/>
            <w:sz w:val="22"/>
          </w:rPr>
          <w:tab/>
        </w:r>
        <w:r w:rsidR="00BF4159" w:rsidRPr="006A23DF">
          <w:rPr>
            <w:rStyle w:val="Hyperlink"/>
          </w:rPr>
          <w:t>Reporting the expected financial impacts of ongoing programs</w:t>
        </w:r>
        <w:r w:rsidR="00BF4159">
          <w:rPr>
            <w:webHidden/>
          </w:rPr>
          <w:tab/>
        </w:r>
        <w:r w:rsidR="00BF4159">
          <w:rPr>
            <w:webHidden/>
          </w:rPr>
          <w:fldChar w:fldCharType="begin"/>
        </w:r>
        <w:r w:rsidR="00BF4159">
          <w:rPr>
            <w:webHidden/>
          </w:rPr>
          <w:instrText xml:space="preserve"> PAGEREF _Toc35451920 \h </w:instrText>
        </w:r>
        <w:r w:rsidR="00BF4159">
          <w:rPr>
            <w:webHidden/>
          </w:rPr>
        </w:r>
        <w:r w:rsidR="00BF4159">
          <w:rPr>
            <w:webHidden/>
          </w:rPr>
          <w:fldChar w:fldCharType="separate"/>
        </w:r>
        <w:r w:rsidR="003F421C">
          <w:rPr>
            <w:webHidden/>
          </w:rPr>
          <w:t>20</w:t>
        </w:r>
        <w:r w:rsidR="00BF4159">
          <w:rPr>
            <w:webHidden/>
          </w:rPr>
          <w:fldChar w:fldCharType="end"/>
        </w:r>
      </w:hyperlink>
    </w:p>
    <w:p w:rsidR="00BF4159" w:rsidRDefault="00507FA9">
      <w:pPr>
        <w:pStyle w:val="TOC2"/>
        <w:rPr>
          <w:rFonts w:asciiTheme="minorHAnsi" w:hAnsiTheme="minorHAnsi"/>
          <w:color w:val="auto"/>
          <w:sz w:val="22"/>
        </w:rPr>
      </w:pPr>
      <w:hyperlink w:anchor="_Toc35451921" w:history="1">
        <w:r w:rsidR="00BF4159" w:rsidRPr="006A23DF">
          <w:rPr>
            <w:rStyle w:val="Hyperlink"/>
          </w:rPr>
          <w:t>4.3</w:t>
        </w:r>
        <w:r w:rsidR="00BF4159">
          <w:rPr>
            <w:rFonts w:asciiTheme="minorHAnsi" w:hAnsiTheme="minorHAnsi"/>
            <w:color w:val="auto"/>
            <w:sz w:val="22"/>
          </w:rPr>
          <w:tab/>
        </w:r>
        <w:r w:rsidR="00BF4159" w:rsidRPr="006A23DF">
          <w:rPr>
            <w:rStyle w:val="Hyperlink"/>
          </w:rPr>
          <w:t>Supporting assessments of existing and historical policy outcomes</w:t>
        </w:r>
        <w:r w:rsidR="00BF4159">
          <w:rPr>
            <w:webHidden/>
          </w:rPr>
          <w:tab/>
        </w:r>
        <w:r w:rsidR="00BF4159">
          <w:rPr>
            <w:webHidden/>
          </w:rPr>
          <w:fldChar w:fldCharType="begin"/>
        </w:r>
        <w:r w:rsidR="00BF4159">
          <w:rPr>
            <w:webHidden/>
          </w:rPr>
          <w:instrText xml:space="preserve"> PAGEREF _Toc35451921 \h </w:instrText>
        </w:r>
        <w:r w:rsidR="00BF4159">
          <w:rPr>
            <w:webHidden/>
          </w:rPr>
        </w:r>
        <w:r w:rsidR="00BF4159">
          <w:rPr>
            <w:webHidden/>
          </w:rPr>
          <w:fldChar w:fldCharType="separate"/>
        </w:r>
        <w:r w:rsidR="003F421C">
          <w:rPr>
            <w:webHidden/>
          </w:rPr>
          <w:t>21</w:t>
        </w:r>
        <w:r w:rsidR="00BF4159">
          <w:rPr>
            <w:webHidden/>
          </w:rPr>
          <w:fldChar w:fldCharType="end"/>
        </w:r>
      </w:hyperlink>
    </w:p>
    <w:p w:rsidR="00BF4159" w:rsidRDefault="00507FA9">
      <w:pPr>
        <w:pStyle w:val="TOC2"/>
        <w:rPr>
          <w:rFonts w:asciiTheme="minorHAnsi" w:hAnsiTheme="minorHAnsi"/>
          <w:color w:val="auto"/>
          <w:sz w:val="22"/>
        </w:rPr>
      </w:pPr>
      <w:hyperlink w:anchor="_Toc35451922" w:history="1">
        <w:r w:rsidR="00BF4159" w:rsidRPr="006A23DF">
          <w:rPr>
            <w:rStyle w:val="Hyperlink"/>
          </w:rPr>
          <w:t>4.4</w:t>
        </w:r>
        <w:r w:rsidR="00BF4159">
          <w:rPr>
            <w:rFonts w:asciiTheme="minorHAnsi" w:hAnsiTheme="minorHAnsi"/>
            <w:color w:val="auto"/>
            <w:sz w:val="22"/>
          </w:rPr>
          <w:tab/>
        </w:r>
        <w:r w:rsidR="00BF4159" w:rsidRPr="006A23DF">
          <w:rPr>
            <w:rStyle w:val="Hyperlink"/>
          </w:rPr>
          <w:t>Taking a broader assessment of key budget aggregates</w:t>
        </w:r>
        <w:r w:rsidR="00BF4159">
          <w:rPr>
            <w:webHidden/>
          </w:rPr>
          <w:tab/>
        </w:r>
        <w:r w:rsidR="00BF4159">
          <w:rPr>
            <w:webHidden/>
          </w:rPr>
          <w:fldChar w:fldCharType="begin"/>
        </w:r>
        <w:r w:rsidR="00BF4159">
          <w:rPr>
            <w:webHidden/>
          </w:rPr>
          <w:instrText xml:space="preserve"> PAGEREF _Toc35451922 \h </w:instrText>
        </w:r>
        <w:r w:rsidR="00BF4159">
          <w:rPr>
            <w:webHidden/>
          </w:rPr>
        </w:r>
        <w:r w:rsidR="00BF4159">
          <w:rPr>
            <w:webHidden/>
          </w:rPr>
          <w:fldChar w:fldCharType="separate"/>
        </w:r>
        <w:r w:rsidR="003F421C">
          <w:rPr>
            <w:webHidden/>
          </w:rPr>
          <w:t>22</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23" w:history="1">
        <w:r w:rsidR="00BF4159" w:rsidRPr="006A23DF">
          <w:rPr>
            <w:rStyle w:val="Hyperlink"/>
          </w:rPr>
          <w:t>Appendix A: Visual glossary</w:t>
        </w:r>
        <w:r w:rsidR="00BF4159">
          <w:rPr>
            <w:webHidden/>
          </w:rPr>
          <w:tab/>
        </w:r>
        <w:r w:rsidR="00BF4159">
          <w:rPr>
            <w:webHidden/>
          </w:rPr>
          <w:fldChar w:fldCharType="begin"/>
        </w:r>
        <w:r w:rsidR="00BF4159">
          <w:rPr>
            <w:webHidden/>
          </w:rPr>
          <w:instrText xml:space="preserve"> PAGEREF _Toc35451923 \h </w:instrText>
        </w:r>
        <w:r w:rsidR="00BF4159">
          <w:rPr>
            <w:webHidden/>
          </w:rPr>
        </w:r>
        <w:r w:rsidR="00BF4159">
          <w:rPr>
            <w:webHidden/>
          </w:rPr>
          <w:fldChar w:fldCharType="separate"/>
        </w:r>
        <w:r w:rsidR="003F421C">
          <w:rPr>
            <w:webHidden/>
          </w:rPr>
          <w:t>24</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24" w:history="1">
        <w:r w:rsidR="00BF4159" w:rsidRPr="006A23DF">
          <w:rPr>
            <w:rStyle w:val="Hyperlink"/>
          </w:rPr>
          <w:t>Appendix B: Other sources of information about the budget impacts of policies</w:t>
        </w:r>
        <w:r w:rsidR="00BF4159">
          <w:rPr>
            <w:webHidden/>
          </w:rPr>
          <w:tab/>
        </w:r>
        <w:r w:rsidR="00BF4159">
          <w:rPr>
            <w:webHidden/>
          </w:rPr>
          <w:fldChar w:fldCharType="begin"/>
        </w:r>
        <w:r w:rsidR="00BF4159">
          <w:rPr>
            <w:webHidden/>
          </w:rPr>
          <w:instrText xml:space="preserve"> PAGEREF _Toc35451924 \h </w:instrText>
        </w:r>
        <w:r w:rsidR="00BF4159">
          <w:rPr>
            <w:webHidden/>
          </w:rPr>
        </w:r>
        <w:r w:rsidR="00BF4159">
          <w:rPr>
            <w:webHidden/>
          </w:rPr>
          <w:fldChar w:fldCharType="separate"/>
        </w:r>
        <w:r w:rsidR="003F421C">
          <w:rPr>
            <w:webHidden/>
          </w:rPr>
          <w:t>31</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25" w:history="1">
        <w:r w:rsidR="00BF4159" w:rsidRPr="006A23DF">
          <w:rPr>
            <w:rStyle w:val="Hyperlink"/>
            <w:kern w:val="2"/>
          </w:rPr>
          <w:t>Appendix C: Balance sheet metrics</w:t>
        </w:r>
        <w:r w:rsidR="00BF4159">
          <w:rPr>
            <w:webHidden/>
          </w:rPr>
          <w:tab/>
        </w:r>
        <w:r w:rsidR="00BF4159">
          <w:rPr>
            <w:webHidden/>
          </w:rPr>
          <w:fldChar w:fldCharType="begin"/>
        </w:r>
        <w:r w:rsidR="00BF4159">
          <w:rPr>
            <w:webHidden/>
          </w:rPr>
          <w:instrText xml:space="preserve"> PAGEREF _Toc35451925 \h </w:instrText>
        </w:r>
        <w:r w:rsidR="00BF4159">
          <w:rPr>
            <w:webHidden/>
          </w:rPr>
        </w:r>
        <w:r w:rsidR="00BF4159">
          <w:rPr>
            <w:webHidden/>
          </w:rPr>
          <w:fldChar w:fldCharType="separate"/>
        </w:r>
        <w:r w:rsidR="003F421C">
          <w:rPr>
            <w:webHidden/>
          </w:rPr>
          <w:t>32</w:t>
        </w:r>
        <w:r w:rsidR="00BF4159">
          <w:rPr>
            <w:webHidden/>
          </w:rPr>
          <w:fldChar w:fldCharType="end"/>
        </w:r>
      </w:hyperlink>
    </w:p>
    <w:p w:rsidR="00BF4159" w:rsidRDefault="00507FA9">
      <w:pPr>
        <w:pStyle w:val="TOC1"/>
        <w:rPr>
          <w:rFonts w:eastAsiaTheme="minorEastAsia"/>
          <w:b w:val="0"/>
          <w:color w:val="auto"/>
          <w:sz w:val="22"/>
          <w:lang w:eastAsia="en-AU"/>
        </w:rPr>
      </w:pPr>
      <w:hyperlink w:anchor="_Toc35451926" w:history="1">
        <w:r w:rsidR="00BF4159" w:rsidRPr="006A23DF">
          <w:rPr>
            <w:rStyle w:val="Hyperlink"/>
          </w:rPr>
          <w:t>Appendix D: Equity injections – an expense or a financial asset?</w:t>
        </w:r>
        <w:r w:rsidR="00BF4159">
          <w:rPr>
            <w:webHidden/>
          </w:rPr>
          <w:tab/>
        </w:r>
        <w:r w:rsidR="00BF4159">
          <w:rPr>
            <w:webHidden/>
          </w:rPr>
          <w:fldChar w:fldCharType="begin"/>
        </w:r>
        <w:r w:rsidR="00BF4159">
          <w:rPr>
            <w:webHidden/>
          </w:rPr>
          <w:instrText xml:space="preserve"> PAGEREF _Toc35451926 \h </w:instrText>
        </w:r>
        <w:r w:rsidR="00BF4159">
          <w:rPr>
            <w:webHidden/>
          </w:rPr>
        </w:r>
        <w:r w:rsidR="00BF4159">
          <w:rPr>
            <w:webHidden/>
          </w:rPr>
          <w:fldChar w:fldCharType="separate"/>
        </w:r>
        <w:r w:rsidR="003F421C">
          <w:rPr>
            <w:webHidden/>
          </w:rPr>
          <w:t>33</w:t>
        </w:r>
        <w:r w:rsidR="00BF4159">
          <w:rPr>
            <w:webHidden/>
          </w:rPr>
          <w:fldChar w:fldCharType="end"/>
        </w:r>
      </w:hyperlink>
    </w:p>
    <w:p w:rsidR="00B36B00" w:rsidRDefault="00D559DF" w:rsidP="00B36B00">
      <w:r>
        <w:fldChar w:fldCharType="end"/>
      </w:r>
    </w:p>
    <w:p w:rsidR="00B36B00" w:rsidRDefault="00B36B00" w:rsidP="00B36B00"/>
    <w:p w:rsidR="00B36B00" w:rsidRDefault="00B36B00" w:rsidP="00B36B00"/>
    <w:p w:rsidR="00B36B00" w:rsidRDefault="00B36B00" w:rsidP="00B36B00"/>
    <w:p w:rsidR="00B36B00" w:rsidRDefault="00B36B00" w:rsidP="00B36B00"/>
    <w:p w:rsidR="00B36B00" w:rsidRDefault="00B36B00" w:rsidP="00B36B00"/>
    <w:p w:rsidR="00B36B00" w:rsidRDefault="00B36B00" w:rsidP="00B36B00"/>
    <w:p w:rsidR="00B36B00" w:rsidRDefault="00B36B00" w:rsidP="00B36B00">
      <w:pPr>
        <w:tabs>
          <w:tab w:val="right" w:pos="8080"/>
        </w:tabs>
        <w:spacing w:before="120" w:line="260" w:lineRule="atLeast"/>
        <w:rPr>
          <w:sz w:val="18"/>
        </w:rPr>
      </w:pPr>
      <w:r w:rsidRPr="00104AEC">
        <w:rPr>
          <w:sz w:val="18"/>
        </w:rPr>
        <w:t xml:space="preserve">This report was authored </w:t>
      </w:r>
      <w:r>
        <w:rPr>
          <w:sz w:val="18"/>
        </w:rPr>
        <w:t>by Kate Wagner,</w:t>
      </w:r>
      <w:r w:rsidRPr="00104AEC">
        <w:rPr>
          <w:sz w:val="18"/>
        </w:rPr>
        <w:t xml:space="preserve"> </w:t>
      </w:r>
      <w:r>
        <w:rPr>
          <w:sz w:val="18"/>
        </w:rPr>
        <w:t xml:space="preserve">with contributions and the benefit of comments by </w:t>
      </w:r>
      <w:r w:rsidR="00ED3DFF">
        <w:rPr>
          <w:sz w:val="18"/>
        </w:rPr>
        <w:t xml:space="preserve">Kathryn Morrison, </w:t>
      </w:r>
      <w:r w:rsidR="004F44C8">
        <w:rPr>
          <w:sz w:val="18"/>
        </w:rPr>
        <w:t>Lok</w:t>
      </w:r>
      <w:r w:rsidR="00464E86">
        <w:rPr>
          <w:sz w:val="18"/>
        </w:rPr>
        <w:t> </w:t>
      </w:r>
      <w:r w:rsidR="004F44C8">
        <w:rPr>
          <w:sz w:val="18"/>
        </w:rPr>
        <w:t>Potticary</w:t>
      </w:r>
      <w:r w:rsidR="00ED3DFF">
        <w:rPr>
          <w:sz w:val="18"/>
        </w:rPr>
        <w:t>, Nicholas Ramirez</w:t>
      </w:r>
      <w:r>
        <w:rPr>
          <w:sz w:val="18"/>
        </w:rPr>
        <w:t xml:space="preserve"> and</w:t>
      </w:r>
      <w:r w:rsidRPr="00104AEC">
        <w:rPr>
          <w:sz w:val="18"/>
        </w:rPr>
        <w:t xml:space="preserve"> Linda</w:t>
      </w:r>
      <w:r>
        <w:rPr>
          <w:sz w:val="18"/>
        </w:rPr>
        <w:t> </w:t>
      </w:r>
      <w:r w:rsidRPr="00104AEC">
        <w:rPr>
          <w:sz w:val="18"/>
        </w:rPr>
        <w:t>Ward.  The contents of the report are the sole responsibility of the Parliamentary</w:t>
      </w:r>
      <w:r w:rsidR="00464E86">
        <w:rPr>
          <w:sz w:val="18"/>
        </w:rPr>
        <w:t> </w:t>
      </w:r>
      <w:r w:rsidRPr="00104AEC">
        <w:rPr>
          <w:sz w:val="18"/>
        </w:rPr>
        <w:t xml:space="preserve">Budget Office. </w:t>
      </w:r>
    </w:p>
    <w:p w:rsidR="00C800F2" w:rsidRDefault="00C800F2">
      <w:pPr>
        <w:rPr>
          <w:bCs/>
        </w:rPr>
      </w:pPr>
    </w:p>
    <w:p w:rsidR="00CC37CA" w:rsidRDefault="00CC37CA">
      <w:pPr>
        <w:rPr>
          <w:bCs/>
        </w:rPr>
        <w:sectPr w:rsidR="00CC37CA" w:rsidSect="00FC01C5">
          <w:headerReference w:type="even" r:id="rId25"/>
          <w:headerReference w:type="default" r:id="rId26"/>
          <w:footerReference w:type="even" r:id="rId27"/>
          <w:footerReference w:type="default" r:id="rId28"/>
          <w:type w:val="oddPage"/>
          <w:pgSz w:w="11907" w:h="16840" w:code="9"/>
          <w:pgMar w:top="1191" w:right="1418" w:bottom="1021" w:left="1418" w:header="567" w:footer="709" w:gutter="0"/>
          <w:pgNumType w:fmt="lowerRoman"/>
          <w:cols w:space="708"/>
          <w:docGrid w:linePitch="360"/>
        </w:sectPr>
      </w:pPr>
    </w:p>
    <w:p w:rsidR="00C87A90" w:rsidRDefault="00C87A90" w:rsidP="00061B01">
      <w:pPr>
        <w:pStyle w:val="Heading1NoNumbering"/>
      </w:pPr>
      <w:bookmarkStart w:id="3" w:name="_Toc35451905"/>
      <w:r>
        <w:lastRenderedPageBreak/>
        <w:t>Overview</w:t>
      </w:r>
      <w:bookmarkEnd w:id="3"/>
    </w:p>
    <w:p w:rsidR="00A148C3" w:rsidRPr="009B2AD8" w:rsidRDefault="00A148C3" w:rsidP="00A148C3">
      <w:pPr>
        <w:pStyle w:val="BodyText17ptAbove"/>
        <w:rPr>
          <w:b/>
          <w:i/>
          <w:color w:val="3D4D7D" w:themeColor="background2"/>
        </w:rPr>
      </w:pPr>
      <w:r w:rsidRPr="009B2AD8">
        <w:rPr>
          <w:b/>
          <w:i/>
          <w:color w:val="3D4D7D" w:themeColor="background2"/>
        </w:rPr>
        <w:t>The use of alternative financing arrangements to deliver policy outcomes has been increasing…</w:t>
      </w:r>
    </w:p>
    <w:p w:rsidR="00B96FDF" w:rsidRDefault="00A148C3" w:rsidP="00A148C3">
      <w:pPr>
        <w:pStyle w:val="BodyText17ptAbove"/>
        <w:spacing w:before="0" w:after="120"/>
        <w:rPr>
          <w:b/>
          <w:i/>
          <w:color w:val="3D4D7D" w:themeColor="background2"/>
        </w:rPr>
      </w:pPr>
      <w:r>
        <w:t xml:space="preserve">Under successive governments there has been a shift toward delivering more government </w:t>
      </w:r>
      <w:r w:rsidR="00240813">
        <w:t xml:space="preserve">policies </w:t>
      </w:r>
      <w:r w:rsidR="00242192">
        <w:t xml:space="preserve">using </w:t>
      </w:r>
      <w:r>
        <w:t xml:space="preserve">alternative financing arrangements rather than direct payments.  </w:t>
      </w:r>
      <w:r w:rsidR="00B96FDF">
        <w:t xml:space="preserve">These </w:t>
      </w:r>
      <w:r>
        <w:t xml:space="preserve">arrangements </w:t>
      </w:r>
      <w:r w:rsidR="00E41885">
        <w:t xml:space="preserve">usually </w:t>
      </w:r>
      <w:r>
        <w:t xml:space="preserve">involve the government </w:t>
      </w:r>
      <w:r w:rsidR="00497FC5">
        <w:t>undertaking an</w:t>
      </w:r>
      <w:r>
        <w:t xml:space="preserve"> equity </w:t>
      </w:r>
      <w:r w:rsidR="00A22A26">
        <w:t>investment</w:t>
      </w:r>
      <w:r w:rsidR="00497FC5">
        <w:t>,</w:t>
      </w:r>
      <w:r w:rsidR="00B96FDF">
        <w:t xml:space="preserve"> loan</w:t>
      </w:r>
      <w:r w:rsidR="00497FC5">
        <w:t xml:space="preserve"> or guarantee</w:t>
      </w:r>
      <w:r w:rsidR="00B96FDF">
        <w:t>.</w:t>
      </w:r>
    </w:p>
    <w:p w:rsidR="00A148C3" w:rsidRPr="009B2AD8" w:rsidRDefault="00A148C3" w:rsidP="00A148C3">
      <w:pPr>
        <w:pStyle w:val="BodyText17ptAbove"/>
        <w:spacing w:before="0" w:after="120"/>
        <w:rPr>
          <w:b/>
          <w:i/>
          <w:color w:val="3D4D7D" w:themeColor="background2"/>
        </w:rPr>
      </w:pPr>
      <w:r w:rsidRPr="009B2AD8">
        <w:rPr>
          <w:b/>
          <w:i/>
          <w:color w:val="3D4D7D" w:themeColor="background2"/>
        </w:rPr>
        <w:t xml:space="preserve">…the full cost of which is not captured in </w:t>
      </w:r>
      <w:r w:rsidR="00242192">
        <w:rPr>
          <w:b/>
          <w:i/>
          <w:color w:val="3D4D7D" w:themeColor="background2"/>
        </w:rPr>
        <w:t>the underlying cash balan</w:t>
      </w:r>
      <w:r w:rsidR="00497FC5">
        <w:rPr>
          <w:b/>
          <w:i/>
          <w:color w:val="3D4D7D" w:themeColor="background2"/>
        </w:rPr>
        <w:t>ce.</w:t>
      </w:r>
    </w:p>
    <w:p w:rsidR="006444C9" w:rsidRPr="00B624A8" w:rsidRDefault="00A148C3" w:rsidP="008859B8">
      <w:pPr>
        <w:pStyle w:val="BodyText"/>
        <w:spacing w:before="0" w:after="120"/>
        <w:rPr>
          <w:spacing w:val="-1"/>
        </w:rPr>
      </w:pPr>
      <w:r w:rsidRPr="00B624A8">
        <w:rPr>
          <w:spacing w:val="-1"/>
        </w:rPr>
        <w:t xml:space="preserve">The underlying cash balance is the metric by which the government’s </w:t>
      </w:r>
      <w:r w:rsidR="00E41885" w:rsidRPr="00B624A8">
        <w:rPr>
          <w:spacing w:val="-1"/>
        </w:rPr>
        <w:t>fiscal position</w:t>
      </w:r>
      <w:r w:rsidRPr="00B624A8">
        <w:rPr>
          <w:spacing w:val="-1"/>
        </w:rPr>
        <w:t xml:space="preserve"> is </w:t>
      </w:r>
      <w:r w:rsidR="000A1865">
        <w:rPr>
          <w:spacing w:val="-1"/>
        </w:rPr>
        <w:t>frequently</w:t>
      </w:r>
      <w:r w:rsidR="000A1865" w:rsidRPr="00B624A8">
        <w:rPr>
          <w:spacing w:val="-1"/>
        </w:rPr>
        <w:t xml:space="preserve"> </w:t>
      </w:r>
      <w:r w:rsidRPr="00B624A8">
        <w:rPr>
          <w:spacing w:val="-1"/>
        </w:rPr>
        <w:t>assessed in public commentary</w:t>
      </w:r>
      <w:r w:rsidR="00242192" w:rsidRPr="00B624A8">
        <w:rPr>
          <w:spacing w:val="-1"/>
        </w:rPr>
        <w:t xml:space="preserve">.  </w:t>
      </w:r>
      <w:r w:rsidR="00E41885" w:rsidRPr="00B624A8">
        <w:rPr>
          <w:spacing w:val="-1"/>
        </w:rPr>
        <w:t>I</w:t>
      </w:r>
      <w:r w:rsidR="00242192" w:rsidRPr="00B624A8">
        <w:rPr>
          <w:spacing w:val="-1"/>
        </w:rPr>
        <w:t>n most cases</w:t>
      </w:r>
      <w:r w:rsidR="008C0989">
        <w:rPr>
          <w:spacing w:val="-1"/>
        </w:rPr>
        <w:t xml:space="preserve"> this </w:t>
      </w:r>
      <w:r w:rsidR="00F932BB">
        <w:rPr>
          <w:spacing w:val="-1"/>
        </w:rPr>
        <w:t>is appropriate</w:t>
      </w:r>
      <w:r w:rsidR="008C0989" w:rsidRPr="00B624A8">
        <w:rPr>
          <w:spacing w:val="-1"/>
        </w:rPr>
        <w:t>,</w:t>
      </w:r>
      <w:r w:rsidR="008C0989">
        <w:rPr>
          <w:spacing w:val="-1"/>
        </w:rPr>
        <w:t xml:space="preserve"> </w:t>
      </w:r>
      <w:r w:rsidR="00F932BB">
        <w:rPr>
          <w:spacing w:val="-1"/>
        </w:rPr>
        <w:t>since</w:t>
      </w:r>
      <w:r w:rsidR="008C0989">
        <w:rPr>
          <w:spacing w:val="-1"/>
        </w:rPr>
        <w:t xml:space="preserve"> </w:t>
      </w:r>
      <w:r w:rsidR="00242192" w:rsidRPr="00B624A8">
        <w:rPr>
          <w:spacing w:val="-1"/>
        </w:rPr>
        <w:t xml:space="preserve">the impact of policy </w:t>
      </w:r>
      <w:r w:rsidR="00E41885" w:rsidRPr="00B624A8">
        <w:rPr>
          <w:spacing w:val="-1"/>
        </w:rPr>
        <w:t xml:space="preserve">decisions </w:t>
      </w:r>
      <w:r w:rsidR="00242192" w:rsidRPr="00B624A8">
        <w:rPr>
          <w:spacing w:val="-1"/>
        </w:rPr>
        <w:t xml:space="preserve">on </w:t>
      </w:r>
      <w:r w:rsidR="00E41885" w:rsidRPr="00B624A8">
        <w:rPr>
          <w:spacing w:val="-1"/>
        </w:rPr>
        <w:t xml:space="preserve">the fiscal position </w:t>
      </w:r>
      <w:r w:rsidR="00242192" w:rsidRPr="00B624A8">
        <w:rPr>
          <w:spacing w:val="-1"/>
        </w:rPr>
        <w:t xml:space="preserve">is broadly </w:t>
      </w:r>
      <w:r w:rsidR="002F0601" w:rsidRPr="00B624A8">
        <w:rPr>
          <w:spacing w:val="-1"/>
        </w:rPr>
        <w:t>in line with</w:t>
      </w:r>
      <w:r w:rsidR="00242192" w:rsidRPr="00B624A8">
        <w:rPr>
          <w:spacing w:val="-1"/>
        </w:rPr>
        <w:t xml:space="preserve"> </w:t>
      </w:r>
      <w:r w:rsidR="00B96FDF">
        <w:rPr>
          <w:spacing w:val="-1"/>
        </w:rPr>
        <w:t>the</w:t>
      </w:r>
      <w:r w:rsidR="00B96FDF" w:rsidRPr="00B624A8">
        <w:rPr>
          <w:spacing w:val="-1"/>
        </w:rPr>
        <w:t xml:space="preserve"> </w:t>
      </w:r>
      <w:r w:rsidR="00242192" w:rsidRPr="00B624A8">
        <w:rPr>
          <w:spacing w:val="-1"/>
        </w:rPr>
        <w:t xml:space="preserve">impact on the underlying cash balance.  But this is not the case for policies that are funded using alternative financing.  </w:t>
      </w:r>
      <w:r w:rsidR="00F932BB">
        <w:rPr>
          <w:spacing w:val="-1"/>
        </w:rPr>
        <w:t>For</w:t>
      </w:r>
      <w:r w:rsidR="00F932BB" w:rsidRPr="00B624A8">
        <w:rPr>
          <w:spacing w:val="-1"/>
        </w:rPr>
        <w:t xml:space="preserve"> </w:t>
      </w:r>
      <w:r w:rsidR="00A1041C" w:rsidRPr="00B624A8">
        <w:rPr>
          <w:spacing w:val="-1"/>
        </w:rPr>
        <w:t>these</w:t>
      </w:r>
      <w:r w:rsidR="00F932BB">
        <w:rPr>
          <w:spacing w:val="-1"/>
        </w:rPr>
        <w:t xml:space="preserve"> policies</w:t>
      </w:r>
      <w:r w:rsidR="00A1041C" w:rsidRPr="00B624A8">
        <w:rPr>
          <w:spacing w:val="-1"/>
        </w:rPr>
        <w:t>, understand</w:t>
      </w:r>
      <w:r w:rsidR="00E41885" w:rsidRPr="00B624A8">
        <w:rPr>
          <w:spacing w:val="-1"/>
        </w:rPr>
        <w:t>ing</w:t>
      </w:r>
      <w:r w:rsidR="00A1041C" w:rsidRPr="00B624A8">
        <w:rPr>
          <w:spacing w:val="-1"/>
        </w:rPr>
        <w:t xml:space="preserve"> the </w:t>
      </w:r>
      <w:r w:rsidR="00E41885" w:rsidRPr="00B624A8">
        <w:rPr>
          <w:spacing w:val="-1"/>
        </w:rPr>
        <w:t>fiscal</w:t>
      </w:r>
      <w:r w:rsidR="00A1041C" w:rsidRPr="00B624A8">
        <w:rPr>
          <w:spacing w:val="-1"/>
        </w:rPr>
        <w:t xml:space="preserve"> impact also requires </w:t>
      </w:r>
      <w:r w:rsidR="00B96FDF">
        <w:rPr>
          <w:spacing w:val="-1"/>
        </w:rPr>
        <w:t xml:space="preserve">an </w:t>
      </w:r>
      <w:r w:rsidR="00A1041C" w:rsidRPr="00B624A8">
        <w:rPr>
          <w:spacing w:val="-1"/>
        </w:rPr>
        <w:t xml:space="preserve">understanding </w:t>
      </w:r>
      <w:r w:rsidR="00B96FDF">
        <w:rPr>
          <w:spacing w:val="-1"/>
        </w:rPr>
        <w:t xml:space="preserve">of </w:t>
      </w:r>
      <w:r w:rsidR="00A1041C" w:rsidRPr="00B624A8">
        <w:rPr>
          <w:spacing w:val="-1"/>
        </w:rPr>
        <w:t xml:space="preserve">the </w:t>
      </w:r>
      <w:r w:rsidR="002F0601" w:rsidRPr="00B624A8">
        <w:rPr>
          <w:spacing w:val="-1"/>
        </w:rPr>
        <w:t>value of assets acquired</w:t>
      </w:r>
      <w:r w:rsidR="007302C0" w:rsidRPr="00B624A8">
        <w:rPr>
          <w:spacing w:val="-1"/>
        </w:rPr>
        <w:t>.</w:t>
      </w:r>
      <w:r w:rsidR="00E41885" w:rsidRPr="00B624A8">
        <w:rPr>
          <w:spacing w:val="-1"/>
        </w:rPr>
        <w:t xml:space="preserve">  </w:t>
      </w:r>
    </w:p>
    <w:p w:rsidR="006444C9" w:rsidRDefault="00497FC5" w:rsidP="008859B8">
      <w:pPr>
        <w:pStyle w:val="BodyText"/>
        <w:spacing w:before="0" w:after="120"/>
      </w:pPr>
      <w:r>
        <w:rPr>
          <w:b/>
          <w:i/>
          <w:color w:val="3D4D7D" w:themeColor="background2"/>
        </w:rPr>
        <w:t>R</w:t>
      </w:r>
      <w:r w:rsidR="006444C9">
        <w:rPr>
          <w:b/>
          <w:i/>
          <w:color w:val="3D4D7D" w:themeColor="background2"/>
        </w:rPr>
        <w:t xml:space="preserve">evaluation-related </w:t>
      </w:r>
      <w:r w:rsidR="006444C9" w:rsidRPr="009B2AD8">
        <w:rPr>
          <w:b/>
          <w:i/>
          <w:color w:val="3D4D7D" w:themeColor="background2"/>
        </w:rPr>
        <w:t>cost</w:t>
      </w:r>
      <w:r w:rsidR="006444C9">
        <w:rPr>
          <w:b/>
          <w:i/>
          <w:color w:val="3D4D7D" w:themeColor="background2"/>
        </w:rPr>
        <w:t>s</w:t>
      </w:r>
      <w:r w:rsidR="006444C9" w:rsidRPr="009B2AD8">
        <w:rPr>
          <w:b/>
          <w:i/>
          <w:color w:val="3D4D7D" w:themeColor="background2"/>
        </w:rPr>
        <w:t xml:space="preserve"> </w:t>
      </w:r>
      <w:r w:rsidR="006444C9">
        <w:rPr>
          <w:b/>
          <w:i/>
          <w:color w:val="3D4D7D" w:themeColor="background2"/>
        </w:rPr>
        <w:t xml:space="preserve">from alternative financing arrangements </w:t>
      </w:r>
      <w:r w:rsidR="006444C9" w:rsidRPr="009B2AD8">
        <w:rPr>
          <w:b/>
          <w:i/>
          <w:color w:val="3D4D7D" w:themeColor="background2"/>
        </w:rPr>
        <w:t>can be substantial</w:t>
      </w:r>
      <w:r w:rsidR="007F78B0">
        <w:rPr>
          <w:b/>
          <w:i/>
          <w:color w:val="3D4D7D" w:themeColor="background2"/>
        </w:rPr>
        <w:t>…</w:t>
      </w:r>
    </w:p>
    <w:p w:rsidR="001B3E03" w:rsidRDefault="006444C9" w:rsidP="001D5C8D">
      <w:pPr>
        <w:pStyle w:val="BodyText"/>
        <w:spacing w:before="0" w:after="120"/>
      </w:pPr>
      <w:r>
        <w:t xml:space="preserve">Recent experience has shown that these arrangements can have a significant impact on the </w:t>
      </w:r>
      <w:r w:rsidR="007F78B0">
        <w:t>fiscal</w:t>
      </w:r>
      <w:r w:rsidR="008A676B">
        <w:t> </w:t>
      </w:r>
      <w:r w:rsidR="007F78B0">
        <w:t>position</w:t>
      </w:r>
      <w:r w:rsidR="008C0989">
        <w:t xml:space="preserve"> through revaluation-related costs</w:t>
      </w:r>
      <w:r>
        <w:t xml:space="preserve">.  </w:t>
      </w:r>
      <w:r w:rsidR="00F932BB">
        <w:t>For</w:t>
      </w:r>
      <w:r w:rsidR="00A63508">
        <w:t xml:space="preserve"> example</w:t>
      </w:r>
      <w:r w:rsidR="00231E5F">
        <w:t xml:space="preserve">, </w:t>
      </w:r>
      <w:r>
        <w:t>successive governments</w:t>
      </w:r>
      <w:r w:rsidR="00231E5F">
        <w:t xml:space="preserve">’ equity investments in </w:t>
      </w:r>
      <w:r>
        <w:t>NBN Co</w:t>
      </w:r>
      <w:r w:rsidR="002D7DB0">
        <w:t xml:space="preserve"> </w:t>
      </w:r>
      <w:r w:rsidR="00231E5F">
        <w:t>ha</w:t>
      </w:r>
      <w:r w:rsidR="008C0989">
        <w:t>d</w:t>
      </w:r>
      <w:r>
        <w:t xml:space="preserve"> resulted</w:t>
      </w:r>
      <w:r w:rsidR="00ED33D3">
        <w:t xml:space="preserve"> </w:t>
      </w:r>
      <w:proofErr w:type="gramStart"/>
      <w:r w:rsidR="00ED33D3">
        <w:t>in a</w:t>
      </w:r>
      <w:r>
        <w:t xml:space="preserve"> </w:t>
      </w:r>
      <w:r w:rsidR="00ED33D3">
        <w:t>$</w:t>
      </w:r>
      <w:proofErr w:type="gramEnd"/>
      <w:r w:rsidR="00ED33D3">
        <w:t>20.8 </w:t>
      </w:r>
      <w:r>
        <w:t xml:space="preserve">billion deterioration in the balance </w:t>
      </w:r>
      <w:r w:rsidRPr="00A22A26">
        <w:t>sheet</w:t>
      </w:r>
      <w:r w:rsidR="00A63508" w:rsidRPr="00A22A26">
        <w:t xml:space="preserve"> </w:t>
      </w:r>
      <w:r w:rsidR="00F62990" w:rsidRPr="00A22A26">
        <w:t>as at 30</w:t>
      </w:r>
      <w:r w:rsidR="00A22A26" w:rsidRPr="00A85614">
        <w:t> </w:t>
      </w:r>
      <w:r w:rsidR="00F62990" w:rsidRPr="00A22A26">
        <w:t>June</w:t>
      </w:r>
      <w:r w:rsidR="00A22A26" w:rsidRPr="00A85614">
        <w:t> </w:t>
      </w:r>
      <w:r w:rsidR="00F62990" w:rsidRPr="00A22A26">
        <w:t>2019</w:t>
      </w:r>
      <w:r w:rsidR="00B96FDF" w:rsidRPr="00A22A26">
        <w:t>,</w:t>
      </w:r>
      <w:r w:rsidR="00B96FDF">
        <w:t xml:space="preserve"> which is not captured in the underlying cash balance</w:t>
      </w:r>
      <w:r>
        <w:t>.</w:t>
      </w:r>
      <w:r w:rsidR="007F78B0">
        <w:t xml:space="preserve">  </w:t>
      </w:r>
      <w:r>
        <w:t xml:space="preserve">Similarly, a </w:t>
      </w:r>
      <w:r w:rsidR="009C38A3">
        <w:t xml:space="preserve">material </w:t>
      </w:r>
      <w:r>
        <w:t xml:space="preserve">share of loans </w:t>
      </w:r>
      <w:r w:rsidR="002F0601">
        <w:t xml:space="preserve">issued </w:t>
      </w:r>
      <w:r>
        <w:t xml:space="preserve">under </w:t>
      </w:r>
      <w:r w:rsidR="00497FC5">
        <w:t>t</w:t>
      </w:r>
      <w:r w:rsidR="00497FC5" w:rsidRPr="00497FC5">
        <w:t xml:space="preserve">he Higher Education Loan Program </w:t>
      </w:r>
      <w:r w:rsidR="00497FC5">
        <w:t>(</w:t>
      </w:r>
      <w:r w:rsidR="002D7DB0">
        <w:t>HELP</w:t>
      </w:r>
      <w:r w:rsidR="00497FC5">
        <w:t xml:space="preserve">) </w:t>
      </w:r>
      <w:r w:rsidR="00D91426">
        <w:t>is</w:t>
      </w:r>
      <w:r w:rsidR="00D91426" w:rsidRPr="00501132">
        <w:t xml:space="preserve"> </w:t>
      </w:r>
      <w:r>
        <w:t>never</w:t>
      </w:r>
      <w:r w:rsidRPr="00501132">
        <w:t xml:space="preserve"> expected to be repaid</w:t>
      </w:r>
      <w:r w:rsidR="008A676B">
        <w:t xml:space="preserve"> – partly by design</w:t>
      </w:r>
      <w:r>
        <w:t xml:space="preserve">.  </w:t>
      </w:r>
      <w:r w:rsidR="00A22A26">
        <w:t>Th</w:t>
      </w:r>
      <w:r w:rsidR="008A676B">
        <w:t>e</w:t>
      </w:r>
      <w:r w:rsidR="00A22A26">
        <w:t xml:space="preserve"> debt that is not expected to </w:t>
      </w:r>
      <w:r w:rsidR="00DE0E4D">
        <w:t xml:space="preserve">be </w:t>
      </w:r>
      <w:r w:rsidR="00A22A26">
        <w:t>repaid is</w:t>
      </w:r>
      <w:r>
        <w:t xml:space="preserve"> </w:t>
      </w:r>
      <w:r w:rsidRPr="00F02B5C">
        <w:t>not</w:t>
      </w:r>
      <w:r w:rsidR="00FE58E8">
        <w:t xml:space="preserve"> fully</w:t>
      </w:r>
      <w:r w:rsidRPr="00F02B5C">
        <w:t xml:space="preserve"> </w:t>
      </w:r>
      <w:r w:rsidRPr="00501132">
        <w:t>captured in the underlying cash balance</w:t>
      </w:r>
      <w:r w:rsidR="008A676B">
        <w:t>,</w:t>
      </w:r>
      <w:r>
        <w:t xml:space="preserve"> </w:t>
      </w:r>
      <w:r w:rsidR="008C0989">
        <w:t xml:space="preserve">yet </w:t>
      </w:r>
      <w:r w:rsidR="00A22A26">
        <w:t xml:space="preserve">was </w:t>
      </w:r>
      <w:r w:rsidR="007F78B0">
        <w:t>worth</w:t>
      </w:r>
      <w:r w:rsidR="007F78B0" w:rsidRPr="00501132">
        <w:t xml:space="preserve"> $1.2 billion</w:t>
      </w:r>
      <w:r w:rsidR="007F78B0">
        <w:t xml:space="preserve"> f</w:t>
      </w:r>
      <w:r w:rsidRPr="00F02B5C">
        <w:t>or new HELP loans issued in 2018</w:t>
      </w:r>
      <w:r w:rsidR="00FB0EAE" w:rsidRPr="00BB3C94">
        <w:t>–</w:t>
      </w:r>
      <w:r w:rsidRPr="00F02B5C">
        <w:t>19</w:t>
      </w:r>
      <w:r w:rsidR="007F78B0">
        <w:t>.</w:t>
      </w:r>
    </w:p>
    <w:p w:rsidR="006116D5" w:rsidRPr="009B2AD8" w:rsidRDefault="006116D5" w:rsidP="006116D5">
      <w:pPr>
        <w:pStyle w:val="BodyText17ptAbove"/>
        <w:spacing w:before="0" w:after="120"/>
        <w:rPr>
          <w:b/>
          <w:i/>
          <w:color w:val="3D4D7D" w:themeColor="background2"/>
        </w:rPr>
      </w:pPr>
      <w:r w:rsidRPr="009B2AD8">
        <w:rPr>
          <w:b/>
          <w:i/>
          <w:color w:val="3D4D7D" w:themeColor="background2"/>
        </w:rPr>
        <w:t>…</w:t>
      </w:r>
      <w:r>
        <w:rPr>
          <w:b/>
          <w:i/>
          <w:color w:val="3D4D7D" w:themeColor="background2"/>
        </w:rPr>
        <w:t xml:space="preserve">and </w:t>
      </w:r>
      <w:r w:rsidR="008C0989">
        <w:rPr>
          <w:b/>
          <w:i/>
          <w:color w:val="3D4D7D" w:themeColor="background2"/>
        </w:rPr>
        <w:t xml:space="preserve">such costs </w:t>
      </w:r>
      <w:r>
        <w:rPr>
          <w:b/>
          <w:i/>
          <w:color w:val="3D4D7D" w:themeColor="background2"/>
        </w:rPr>
        <w:t xml:space="preserve">are not clear from </w:t>
      </w:r>
      <w:r w:rsidR="00AB34F4">
        <w:rPr>
          <w:b/>
          <w:i/>
          <w:color w:val="3D4D7D" w:themeColor="background2"/>
        </w:rPr>
        <w:t>current budget reporting, which could be enhanced.</w:t>
      </w:r>
    </w:p>
    <w:p w:rsidR="00AB34F4" w:rsidRDefault="00A1041C">
      <w:pPr>
        <w:pStyle w:val="BodyText"/>
        <w:spacing w:before="0" w:after="120"/>
      </w:pPr>
      <w:r>
        <w:t xml:space="preserve">While detail is provided in budget documents about most government spending and taxation, very </w:t>
      </w:r>
      <w:r w:rsidR="00A148C3" w:rsidRPr="00DA6833">
        <w:t xml:space="preserve">limited information </w:t>
      </w:r>
      <w:r>
        <w:t>is provided</w:t>
      </w:r>
      <w:r w:rsidR="00A148C3" w:rsidRPr="00DA6833">
        <w:t xml:space="preserve"> about </w:t>
      </w:r>
      <w:r w:rsidR="008859B8">
        <w:t>revaluation</w:t>
      </w:r>
      <w:r w:rsidR="00ED33D3">
        <w:t>-related impacts</w:t>
      </w:r>
      <w:r>
        <w:t xml:space="preserve">.  </w:t>
      </w:r>
      <w:r w:rsidR="00AB34F4">
        <w:t xml:space="preserve">This </w:t>
      </w:r>
      <w:r>
        <w:t xml:space="preserve">makes it difficult to understand the balance sheet impact of policies </w:t>
      </w:r>
      <w:r w:rsidR="00B96FDF">
        <w:t xml:space="preserve">using alternative financing arrangements </w:t>
      </w:r>
      <w:r w:rsidR="008859B8">
        <w:t>when they are announced</w:t>
      </w:r>
      <w:r w:rsidR="00ED33D3">
        <w:t xml:space="preserve"> </w:t>
      </w:r>
      <w:r w:rsidR="00DF288A">
        <w:t xml:space="preserve">and </w:t>
      </w:r>
      <w:r w:rsidR="008859B8">
        <w:t xml:space="preserve">to assess their performance </w:t>
      </w:r>
      <w:r>
        <w:t>over time</w:t>
      </w:r>
      <w:r w:rsidR="00A148C3">
        <w:t xml:space="preserve">.  </w:t>
      </w:r>
      <w:r w:rsidR="00F62990">
        <w:t xml:space="preserve">There are a number of </w:t>
      </w:r>
      <w:r w:rsidR="00B96FDF">
        <w:t xml:space="preserve">ways </w:t>
      </w:r>
      <w:r w:rsidR="00AB34F4">
        <w:t xml:space="preserve">in which </w:t>
      </w:r>
      <w:r w:rsidR="00B96FDF">
        <w:t xml:space="preserve">the transparency of budget reporting </w:t>
      </w:r>
      <w:r w:rsidR="00AB34F4">
        <w:t>could be improved, with some possible enhancements set out in this paper</w:t>
      </w:r>
      <w:r w:rsidR="00B96FDF">
        <w:t>.</w:t>
      </w:r>
      <w:r w:rsidR="00AB34F4" w:rsidRPr="00AB34F4">
        <w:t xml:space="preserve"> </w:t>
      </w:r>
    </w:p>
    <w:p w:rsidR="00AB34F4" w:rsidRDefault="008C0989" w:rsidP="00A85614">
      <w:pPr>
        <w:pStyle w:val="BodyText"/>
        <w:spacing w:before="0" w:after="120"/>
      </w:pPr>
      <w:r>
        <w:t xml:space="preserve">Providing </w:t>
      </w:r>
      <w:r w:rsidR="00BA7A84" w:rsidRPr="00A22A26">
        <w:t xml:space="preserve">accessible </w:t>
      </w:r>
      <w:r>
        <w:t xml:space="preserve">information on the </w:t>
      </w:r>
      <w:r w:rsidR="002B43BD" w:rsidRPr="00A22A26">
        <w:t xml:space="preserve">full </w:t>
      </w:r>
      <w:r w:rsidR="00497FC5">
        <w:t xml:space="preserve">fiscal </w:t>
      </w:r>
      <w:r w:rsidRPr="00A22A26">
        <w:t xml:space="preserve">costs and risks </w:t>
      </w:r>
      <w:r w:rsidR="002B43BD" w:rsidRPr="00A22A26">
        <w:t>(whether estimated or realised) for</w:t>
      </w:r>
      <w:r w:rsidRPr="00A22A26">
        <w:t xml:space="preserve"> all significant areas of spending would assist</w:t>
      </w:r>
      <w:r w:rsidRPr="00AB34F4">
        <w:t xml:space="preserve"> </w:t>
      </w:r>
      <w:r w:rsidRPr="00BF19BB">
        <w:t xml:space="preserve">parliamentarians and </w:t>
      </w:r>
      <w:r w:rsidRPr="000E5DDB">
        <w:t xml:space="preserve">the </w:t>
      </w:r>
      <w:r w:rsidRPr="00BF19BB">
        <w:t xml:space="preserve">broader public to make informed judgements about </w:t>
      </w:r>
      <w:r>
        <w:t>policies</w:t>
      </w:r>
      <w:r w:rsidRPr="000E5DDB">
        <w:t xml:space="preserve">. </w:t>
      </w:r>
      <w:r>
        <w:t xml:space="preserve"> </w:t>
      </w:r>
      <w:r w:rsidR="00AB34F4">
        <w:t>I</w:t>
      </w:r>
      <w:r w:rsidR="00AB34F4" w:rsidRPr="000E5DDB">
        <w:t xml:space="preserve">f the use of </w:t>
      </w:r>
      <w:r w:rsidR="00AB34F4" w:rsidRPr="004F3395">
        <w:t xml:space="preserve">alternative financing arrangements continues to grow without a change to reporting practices, </w:t>
      </w:r>
      <w:r w:rsidR="00AB34F4" w:rsidRPr="00E70749">
        <w:t xml:space="preserve">a larger share of government spending </w:t>
      </w:r>
      <w:r w:rsidR="0083478A">
        <w:t>would</w:t>
      </w:r>
      <w:r w:rsidR="00AB34F4" w:rsidRPr="00E70749">
        <w:t xml:space="preserve"> </w:t>
      </w:r>
      <w:r w:rsidR="00AB34F4">
        <w:t>be difficult to scrutinise, which could pose risks to</w:t>
      </w:r>
      <w:r w:rsidR="00AB34F4" w:rsidRPr="00E70749">
        <w:t xml:space="preserve"> the Commonwealth</w:t>
      </w:r>
      <w:r w:rsidR="00AB34F4">
        <w:t> Government</w:t>
      </w:r>
      <w:r w:rsidR="00AB34F4" w:rsidRPr="00E70749">
        <w:t xml:space="preserve">’s fiscal </w:t>
      </w:r>
      <w:r w:rsidR="00AB34F4">
        <w:t>position over the longer term</w:t>
      </w:r>
      <w:r w:rsidR="00AB34F4" w:rsidRPr="00E70749">
        <w:t>.</w:t>
      </w:r>
      <w:r w:rsidR="00AB34F4" w:rsidRPr="004F3395">
        <w:t> </w:t>
      </w:r>
      <w:r w:rsidR="00AB34F4">
        <w:t xml:space="preserve">  </w:t>
      </w:r>
    </w:p>
    <w:p w:rsidR="00B10481" w:rsidRPr="00F505FF" w:rsidRDefault="00AB34F4" w:rsidP="00F505FF">
      <w:pPr>
        <w:pStyle w:val="BodyText17ptAbove"/>
        <w:spacing w:before="0" w:after="120"/>
        <w:rPr>
          <w:b/>
          <w:i/>
          <w:color w:val="3D4D7D" w:themeColor="background2"/>
        </w:rPr>
      </w:pPr>
      <w:r>
        <w:rPr>
          <w:b/>
          <w:i/>
          <w:color w:val="3D4D7D" w:themeColor="background2"/>
        </w:rPr>
        <w:t>T</w:t>
      </w:r>
      <w:r w:rsidR="00B96FDF">
        <w:rPr>
          <w:b/>
          <w:i/>
          <w:color w:val="3D4D7D" w:themeColor="background2"/>
        </w:rPr>
        <w:t>h</w:t>
      </w:r>
      <w:r w:rsidR="00B10481" w:rsidRPr="00F505FF">
        <w:rPr>
          <w:b/>
          <w:i/>
          <w:color w:val="3D4D7D" w:themeColor="background2"/>
        </w:rPr>
        <w:t xml:space="preserve">e underlying cash balance </w:t>
      </w:r>
      <w:r w:rsidR="00B96FDF">
        <w:rPr>
          <w:b/>
          <w:i/>
          <w:color w:val="3D4D7D" w:themeColor="background2"/>
        </w:rPr>
        <w:t>should not be relied upon</w:t>
      </w:r>
      <w:r w:rsidR="00B96FDF" w:rsidRPr="00F505FF">
        <w:rPr>
          <w:b/>
          <w:i/>
          <w:color w:val="3D4D7D" w:themeColor="background2"/>
        </w:rPr>
        <w:t xml:space="preserve"> </w:t>
      </w:r>
      <w:r w:rsidR="00B96FDF">
        <w:rPr>
          <w:b/>
          <w:i/>
          <w:color w:val="3D4D7D" w:themeColor="background2"/>
        </w:rPr>
        <w:t xml:space="preserve">as </w:t>
      </w:r>
      <w:r w:rsidR="00B10481" w:rsidRPr="00F505FF">
        <w:rPr>
          <w:b/>
          <w:i/>
          <w:color w:val="3D4D7D" w:themeColor="background2"/>
        </w:rPr>
        <w:t xml:space="preserve">the </w:t>
      </w:r>
      <w:r>
        <w:rPr>
          <w:b/>
          <w:i/>
          <w:color w:val="3D4D7D" w:themeColor="background2"/>
        </w:rPr>
        <w:t>sole</w:t>
      </w:r>
      <w:r w:rsidRPr="00F505FF">
        <w:rPr>
          <w:b/>
          <w:i/>
          <w:color w:val="3D4D7D" w:themeColor="background2"/>
        </w:rPr>
        <w:t xml:space="preserve"> </w:t>
      </w:r>
      <w:r w:rsidR="00B10481" w:rsidRPr="00F505FF">
        <w:rPr>
          <w:b/>
          <w:i/>
          <w:color w:val="3D4D7D" w:themeColor="background2"/>
        </w:rPr>
        <w:t xml:space="preserve">indicator of the fiscal position.  </w:t>
      </w:r>
    </w:p>
    <w:p w:rsidR="008C0989" w:rsidRDefault="00AB34F4" w:rsidP="00A85614">
      <w:pPr>
        <w:pStyle w:val="BodyText"/>
        <w:spacing w:before="0" w:after="120"/>
      </w:pPr>
      <w:r>
        <w:t xml:space="preserve">The use of different financing arrangements reinforces the importance of reviewing a range of budget indicators in order to form an assessment of the overall fiscal position.  </w:t>
      </w:r>
      <w:r w:rsidR="008C0989">
        <w:t xml:space="preserve">There is a risk that focusing only on the underlying cash balance (or fiscal balance) may distort government decision making to the extent that it is guided by the impact on </w:t>
      </w:r>
      <w:r w:rsidR="00497FC5">
        <w:t>these aggregates</w:t>
      </w:r>
      <w:r w:rsidR="008C0989">
        <w:t xml:space="preserve"> alone.</w:t>
      </w:r>
    </w:p>
    <w:p w:rsidR="00AB34F4" w:rsidRDefault="00AB34F4" w:rsidP="00A85614">
      <w:pPr>
        <w:pStyle w:val="BodyText"/>
        <w:spacing w:before="0" w:after="120"/>
      </w:pPr>
      <w:r>
        <w:t xml:space="preserve">The fiscal and underlying cash balances should </w:t>
      </w:r>
      <w:r w:rsidR="0083478A">
        <w:t xml:space="preserve">be </w:t>
      </w:r>
      <w:r>
        <w:t xml:space="preserve">viewed </w:t>
      </w:r>
      <w:r w:rsidR="008C0989">
        <w:t>together with other published indicators, such as net financial worth and net debt, to provide a more complete picture of the health of the balance sheet.  It</w:t>
      </w:r>
      <w:r>
        <w:t xml:space="preserve"> is </w:t>
      </w:r>
      <w:r w:rsidR="008C0989">
        <w:t>important to note</w:t>
      </w:r>
      <w:r>
        <w:t xml:space="preserve"> that Australia’s fiscal position is significantly stronger than many other countries and could </w:t>
      </w:r>
      <w:r w:rsidR="00914944">
        <w:t xml:space="preserve">reasonably </w:t>
      </w:r>
      <w:r>
        <w:t>be considered sustainable</w:t>
      </w:r>
      <w:r w:rsidR="00914944" w:rsidRPr="00914944">
        <w:t xml:space="preserve"> </w:t>
      </w:r>
      <w:r w:rsidR="00914944">
        <w:t xml:space="preserve">by any </w:t>
      </w:r>
      <w:r w:rsidR="0064317A">
        <w:t xml:space="preserve">budget </w:t>
      </w:r>
      <w:r w:rsidR="00914944">
        <w:t>metric</w:t>
      </w:r>
      <w:r>
        <w:t>.</w:t>
      </w:r>
    </w:p>
    <w:p w:rsidR="001D6C52" w:rsidRDefault="00A148C3">
      <w:pPr>
        <w:pStyle w:val="Heading1"/>
      </w:pPr>
      <w:bookmarkStart w:id="4" w:name="_Toc35249794"/>
      <w:bookmarkStart w:id="5" w:name="_Toc35249795"/>
      <w:bookmarkStart w:id="6" w:name="_Toc529192645"/>
      <w:bookmarkStart w:id="7" w:name="_Toc529192646"/>
      <w:bookmarkEnd w:id="4"/>
      <w:bookmarkEnd w:id="5"/>
      <w:bookmarkEnd w:id="6"/>
      <w:bookmarkEnd w:id="7"/>
      <w:r w:rsidRPr="00BF19BB">
        <w:rPr>
          <w:kern w:val="2"/>
        </w:rPr>
        <w:br w:type="page"/>
      </w:r>
      <w:bookmarkStart w:id="8" w:name="_Toc35451906"/>
      <w:r w:rsidR="00FC01C5">
        <w:lastRenderedPageBreak/>
        <w:t xml:space="preserve">How government policy is </w:t>
      </w:r>
      <w:r w:rsidR="00F92CE0">
        <w:t>paid for</w:t>
      </w:r>
      <w:bookmarkEnd w:id="8"/>
    </w:p>
    <w:p w:rsidR="00356D55" w:rsidRDefault="00356D55" w:rsidP="00356D55">
      <w:pPr>
        <w:pStyle w:val="BodyText"/>
      </w:pPr>
      <w:r>
        <w:t xml:space="preserve">In its role of improving the understanding of the Parliament and the general public about the budget and fiscal policy, the </w:t>
      </w:r>
      <w:r w:rsidR="002D7DB0">
        <w:t>Parliamentary Budget Office (</w:t>
      </w:r>
      <w:r>
        <w:t>PBO</w:t>
      </w:r>
      <w:r w:rsidR="002D7DB0">
        <w:t>)</w:t>
      </w:r>
      <w:r>
        <w:t xml:space="preserve"> receives many costing </w:t>
      </w:r>
      <w:r w:rsidR="00C76D28">
        <w:t xml:space="preserve">and budget analysis </w:t>
      </w:r>
      <w:r>
        <w:t xml:space="preserve">requests from </w:t>
      </w:r>
      <w:r w:rsidR="002D7DB0">
        <w:t xml:space="preserve">parliamentarians and </w:t>
      </w:r>
      <w:r>
        <w:t>parliamentary committees</w:t>
      </w:r>
      <w:r w:rsidR="002D7DB0">
        <w:t xml:space="preserve">, </w:t>
      </w:r>
      <w:r w:rsidR="00FE67A8">
        <w:t>along with general</w:t>
      </w:r>
      <w:r w:rsidR="00CA3B62">
        <w:t xml:space="preserve"> </w:t>
      </w:r>
      <w:r w:rsidR="002D7DB0">
        <w:t>queries</w:t>
      </w:r>
      <w:r w:rsidR="00FE67A8">
        <w:t xml:space="preserve"> </w:t>
      </w:r>
      <w:r w:rsidR="00BA7A84">
        <w:t xml:space="preserve">from the public </w:t>
      </w:r>
      <w:r w:rsidR="00FE67A8">
        <w:t>about the budget</w:t>
      </w:r>
      <w:r>
        <w:t xml:space="preserve">.  It has been our experience that the </w:t>
      </w:r>
      <w:r w:rsidR="009C38A3">
        <w:t>ways</w:t>
      </w:r>
      <w:r>
        <w:t xml:space="preserve"> government can fund policy </w:t>
      </w:r>
      <w:r w:rsidR="00BA7A84">
        <w:t>are</w:t>
      </w:r>
      <w:r w:rsidR="009C38A3">
        <w:t xml:space="preserve"> </w:t>
      </w:r>
      <w:r>
        <w:t>area</w:t>
      </w:r>
      <w:r w:rsidR="00BA7A84">
        <w:t>s</w:t>
      </w:r>
      <w:r>
        <w:t xml:space="preserve"> that can be complex and difficult to understand, particularly for those outside of government.  For this reason, the PBO has produced this paper to explain these funding options in more detail and to provide a guide to </w:t>
      </w:r>
      <w:r w:rsidR="00C76D28">
        <w:t>how this information i</w:t>
      </w:r>
      <w:r w:rsidR="002D7DB0">
        <w:t>s</w:t>
      </w:r>
      <w:r w:rsidR="00C76D28">
        <w:t xml:space="preserve"> reported in the budget</w:t>
      </w:r>
      <w:r>
        <w:t xml:space="preserve">.  </w:t>
      </w:r>
      <w:r w:rsidR="00151149">
        <w:t xml:space="preserve">Some technical concepts that arise in this report are explained at </w:t>
      </w:r>
      <w:r w:rsidR="00151149" w:rsidRPr="007B0AC0">
        <w:rPr>
          <w:u w:val="single"/>
        </w:rPr>
        <w:t xml:space="preserve">Appendix </w:t>
      </w:r>
      <w:r w:rsidR="000F352E" w:rsidRPr="007B0AC0">
        <w:rPr>
          <w:u w:val="single"/>
        </w:rPr>
        <w:t>A</w:t>
      </w:r>
      <w:r w:rsidR="00151149">
        <w:t>.</w:t>
      </w:r>
    </w:p>
    <w:p w:rsidR="00C76D28" w:rsidRDefault="00356D55" w:rsidP="00794367">
      <w:pPr>
        <w:pStyle w:val="BodyText"/>
      </w:pPr>
      <w:r w:rsidRPr="009440F2">
        <w:t>Over time, the level of transparency provided in the budget papers has evolved and improved.  In the 1980s, three</w:t>
      </w:r>
      <w:r>
        <w:t>-</w:t>
      </w:r>
      <w:r w:rsidRPr="009440F2">
        <w:t>year forecasts of spending were introduced and the budget</w:t>
      </w:r>
      <w:r w:rsidR="00BA7A84">
        <w:t>-</w:t>
      </w:r>
      <w:r w:rsidRPr="009440F2">
        <w:t xml:space="preserve">year spending was explicitly linked back to the previous estimate given.  </w:t>
      </w:r>
    </w:p>
    <w:p w:rsidR="00C76D28" w:rsidRDefault="00356D55" w:rsidP="00794367">
      <w:pPr>
        <w:pStyle w:val="BodyText"/>
      </w:pPr>
      <w:r w:rsidRPr="009440F2">
        <w:t xml:space="preserve">In the 1990s, the </w:t>
      </w:r>
      <w:r w:rsidRPr="00DB6404">
        <w:rPr>
          <w:i/>
        </w:rPr>
        <w:t>Charter of Budget Honesty</w:t>
      </w:r>
      <w:r w:rsidRPr="009440F2">
        <w:t xml:space="preserve"> was introduced, requiring the </w:t>
      </w:r>
      <w:r>
        <w:t>g</w:t>
      </w:r>
      <w:r w:rsidRPr="009440F2">
        <w:t>overnment to be explicit about its fiscal strategy and to produce the expected outcomes of its key fiscal measure</w:t>
      </w:r>
      <w:r w:rsidR="009C38A3">
        <w:t>s</w:t>
      </w:r>
      <w:r w:rsidRPr="009440F2">
        <w:t xml:space="preserve"> over four</w:t>
      </w:r>
      <w:r w:rsidR="008E52ED">
        <w:t> </w:t>
      </w:r>
      <w:r w:rsidRPr="009440F2">
        <w:t xml:space="preserve">years of forecasts.  The </w:t>
      </w:r>
      <w:r w:rsidRPr="00DB6404">
        <w:rPr>
          <w:i/>
        </w:rPr>
        <w:t>Charter of Budget Honesty</w:t>
      </w:r>
      <w:r w:rsidRPr="009440F2">
        <w:t xml:space="preserve"> also required the assumptions underpinning the estimates, a sensitivity analysis, and a statement of fiscal risks to be published.  </w:t>
      </w:r>
    </w:p>
    <w:p w:rsidR="00356D55" w:rsidRDefault="00955961" w:rsidP="00794367">
      <w:pPr>
        <w:pStyle w:val="BodyText"/>
      </w:pPr>
      <w:r>
        <w:t>The budget documents adopted accrual accounting in the 1999</w:t>
      </w:r>
      <w:r w:rsidRPr="00BB3C94">
        <w:t>–</w:t>
      </w:r>
      <w:r>
        <w:t xml:space="preserve">2000 Budget, so reporting was no longer </w:t>
      </w:r>
      <w:r w:rsidR="003C6354">
        <w:t xml:space="preserve">as strongly </w:t>
      </w:r>
      <w:r>
        <w:t xml:space="preserve">based on cash flows.  </w:t>
      </w:r>
      <w:r w:rsidR="00356D55" w:rsidRPr="009440F2">
        <w:t xml:space="preserve">Since 2000, the structural budget </w:t>
      </w:r>
      <w:proofErr w:type="gramStart"/>
      <w:r w:rsidR="00356D55" w:rsidRPr="009440F2">
        <w:t>balance, net cash flows for some investments</w:t>
      </w:r>
      <w:r w:rsidR="00356D55">
        <w:t xml:space="preserve"> for policy purposes</w:t>
      </w:r>
      <w:r w:rsidR="00356D55" w:rsidRPr="009440F2">
        <w:t xml:space="preserve">, and information on major </w:t>
      </w:r>
      <w:r w:rsidR="00356D55">
        <w:t xml:space="preserve">government </w:t>
      </w:r>
      <w:r w:rsidR="00356D55" w:rsidRPr="009440F2">
        <w:t>loans have</w:t>
      </w:r>
      <w:proofErr w:type="gramEnd"/>
      <w:r w:rsidR="00356D55" w:rsidRPr="009440F2">
        <w:t xml:space="preserve"> also been added.  </w:t>
      </w:r>
      <w:r w:rsidR="00356D55">
        <w:t>The budget documents now give a much more comprehensive picture of the government’s fiscal position than was the case before th</w:t>
      </w:r>
      <w:r w:rsidR="00C76D28">
        <w:t xml:space="preserve">ese transparency improvements. </w:t>
      </w:r>
    </w:p>
    <w:p w:rsidR="00356D55" w:rsidRDefault="00C76D28" w:rsidP="00794367">
      <w:pPr>
        <w:pStyle w:val="BodyText"/>
      </w:pPr>
      <w:r>
        <w:t>There is</w:t>
      </w:r>
      <w:r w:rsidR="008E52ED">
        <w:t>,</w:t>
      </w:r>
      <w:r>
        <w:t xml:space="preserve"> however</w:t>
      </w:r>
      <w:r w:rsidR="008E52ED">
        <w:t>,</w:t>
      </w:r>
      <w:r>
        <w:t xml:space="preserve"> scope to improve transparency further, particularly as the proportion of government policy financed through mechanisms </w:t>
      </w:r>
      <w:r w:rsidR="009C38A3">
        <w:t xml:space="preserve">other than grants </w:t>
      </w:r>
      <w:r>
        <w:t xml:space="preserve">increases. </w:t>
      </w:r>
      <w:r w:rsidR="008E52ED">
        <w:t xml:space="preserve"> </w:t>
      </w:r>
      <w:r>
        <w:t>To support consideration of transparency in budget papers, this paper provides some options that could be adopted in the future to further enhance public understanding.</w:t>
      </w:r>
    </w:p>
    <w:p w:rsidR="00356D55" w:rsidRDefault="00356D55" w:rsidP="00356D55">
      <w:pPr>
        <w:pStyle w:val="Heading2"/>
      </w:pPr>
      <w:bookmarkStart w:id="9" w:name="_Toc35451907"/>
      <w:r>
        <w:t>Ways in which government can fund policy</w:t>
      </w:r>
      <w:bookmarkEnd w:id="9"/>
    </w:p>
    <w:p w:rsidR="00356D55" w:rsidRDefault="00D65D0B" w:rsidP="00356D55">
      <w:pPr>
        <w:pStyle w:val="BodyText"/>
      </w:pPr>
      <w:r>
        <w:t>The implementation of g</w:t>
      </w:r>
      <w:r w:rsidR="00356D55">
        <w:t xml:space="preserve">overnment </w:t>
      </w:r>
      <w:r>
        <w:t xml:space="preserve">policy </w:t>
      </w:r>
      <w:r w:rsidR="00356D55" w:rsidRPr="008C4BA5">
        <w:t xml:space="preserve">usually </w:t>
      </w:r>
      <w:r w:rsidR="00356D55">
        <w:t>require</w:t>
      </w:r>
      <w:r>
        <w:t>s</w:t>
      </w:r>
      <w:r w:rsidR="00356D55">
        <w:t xml:space="preserve"> financial resources.</w:t>
      </w:r>
    </w:p>
    <w:p w:rsidR="00F96FA8" w:rsidRDefault="00D65D0B" w:rsidP="00794367">
      <w:pPr>
        <w:pStyle w:val="BodyText"/>
      </w:pPr>
      <w:r>
        <w:t>A</w:t>
      </w:r>
      <w:r w:rsidR="00AD38C0">
        <w:t xml:space="preserve"> common way for governments to </w:t>
      </w:r>
      <w:r w:rsidR="00FE58E8">
        <w:t>pay for policies</w:t>
      </w:r>
      <w:r w:rsidR="00AD38C0">
        <w:t xml:space="preserve"> is through direct </w:t>
      </w:r>
      <w:r w:rsidR="00AE3CB3">
        <w:t>funding</w:t>
      </w:r>
      <w:r w:rsidR="00AD38C0">
        <w:t xml:space="preserve">, where money </w:t>
      </w:r>
      <w:r w:rsidR="00393BC1">
        <w:t>i</w:t>
      </w:r>
      <w:r w:rsidR="00AD38C0">
        <w:t xml:space="preserve">s transferred from </w:t>
      </w:r>
      <w:r w:rsidR="00660368">
        <w:t xml:space="preserve">the </w:t>
      </w:r>
      <w:r w:rsidR="00B63D1A">
        <w:t>g</w:t>
      </w:r>
      <w:r w:rsidR="00AD38C0">
        <w:t>overnment to individuals or other entities.</w:t>
      </w:r>
      <w:r w:rsidR="00AD38C0" w:rsidRPr="00AD38C0">
        <w:t xml:space="preserve"> </w:t>
      </w:r>
      <w:r w:rsidR="00AD38C0">
        <w:t xml:space="preserve"> </w:t>
      </w:r>
    </w:p>
    <w:p w:rsidR="00AD38C0" w:rsidRDefault="00E04A33" w:rsidP="00794367">
      <w:pPr>
        <w:pStyle w:val="BodyText"/>
      </w:pPr>
      <w:r>
        <w:t xml:space="preserve">Direct </w:t>
      </w:r>
      <w:r w:rsidR="00AE3CB3">
        <w:t xml:space="preserve">funding </w:t>
      </w:r>
      <w:r w:rsidR="00393B9C">
        <w:t xml:space="preserve">can be capped, meaning the </w:t>
      </w:r>
      <w:r w:rsidR="00B63D1A">
        <w:t>g</w:t>
      </w:r>
      <w:r>
        <w:t>overnment spends a fixed amount of money</w:t>
      </w:r>
      <w:r w:rsidR="008E383C">
        <w:t>;</w:t>
      </w:r>
      <w:r w:rsidR="00393B9C">
        <w:t xml:space="preserve"> an </w:t>
      </w:r>
      <w:r>
        <w:t xml:space="preserve">example of this is a grant for an infrastructure project.  Direct </w:t>
      </w:r>
      <w:r w:rsidR="00AE3CB3">
        <w:t xml:space="preserve">funding </w:t>
      </w:r>
      <w:r>
        <w:t>can also be demand</w:t>
      </w:r>
      <w:r w:rsidR="008E52ED">
        <w:t>-</w:t>
      </w:r>
      <w:r>
        <w:t>driven,</w:t>
      </w:r>
      <w:r w:rsidR="00393B9C">
        <w:t xml:space="preserve"> where the </w:t>
      </w:r>
      <w:r w:rsidR="00B63D1A">
        <w:t>g</w:t>
      </w:r>
      <w:r>
        <w:t>overnment commits to provide funding when cert</w:t>
      </w:r>
      <w:r w:rsidRPr="00B22ADF">
        <w:t>ain criteria are met</w:t>
      </w:r>
      <w:r w:rsidR="00FA661F">
        <w:t>;</w:t>
      </w:r>
      <w:r w:rsidR="00393B9C" w:rsidRPr="00B22ADF">
        <w:t xml:space="preserve"> for </w:t>
      </w:r>
      <w:r w:rsidRPr="00B22ADF">
        <w:t xml:space="preserve">example, the </w:t>
      </w:r>
      <w:r w:rsidR="00393B9C" w:rsidRPr="00B22ADF">
        <w:t xml:space="preserve">total spent on the </w:t>
      </w:r>
      <w:r w:rsidR="008E52ED">
        <w:t>a</w:t>
      </w:r>
      <w:r w:rsidRPr="00B22ADF">
        <w:t xml:space="preserve">ge </w:t>
      </w:r>
      <w:r w:rsidR="008E52ED">
        <w:t>p</w:t>
      </w:r>
      <w:r w:rsidRPr="00B22ADF">
        <w:t>ension</w:t>
      </w:r>
      <w:r w:rsidR="00393B9C" w:rsidRPr="00B22ADF">
        <w:t xml:space="preserve"> each year depends on the number</w:t>
      </w:r>
      <w:r w:rsidR="00393B9C">
        <w:t xml:space="preserve"> of eligible people</w:t>
      </w:r>
      <w:r w:rsidR="00775AAA">
        <w:t xml:space="preserve"> who apply for this payment</w:t>
      </w:r>
      <w:r>
        <w:t xml:space="preserve">. </w:t>
      </w:r>
    </w:p>
    <w:p w:rsidR="008E52ED" w:rsidRDefault="00AD38C0" w:rsidP="00BD47A4">
      <w:pPr>
        <w:pStyle w:val="BodyText"/>
        <w:spacing w:after="120"/>
      </w:pPr>
      <w:r>
        <w:t xml:space="preserve">There are other ways of </w:t>
      </w:r>
      <w:r w:rsidR="00FE58E8">
        <w:t>financing</w:t>
      </w:r>
      <w:r w:rsidR="00E04A33">
        <w:t xml:space="preserve"> </w:t>
      </w:r>
      <w:r w:rsidR="000B79A1">
        <w:t>policies</w:t>
      </w:r>
      <w:r w:rsidR="00E04A33">
        <w:t xml:space="preserve"> that do</w:t>
      </w:r>
      <w:r w:rsidR="002E2CA8">
        <w:t xml:space="preserve"> </w:t>
      </w:r>
      <w:r w:rsidR="00E04A33">
        <w:t>n</w:t>
      </w:r>
      <w:r w:rsidR="002E2CA8">
        <w:t>o</w:t>
      </w:r>
      <w:r w:rsidR="00E04A33">
        <w:t xml:space="preserve">t involve direct </w:t>
      </w:r>
      <w:r w:rsidR="00AE3CB3">
        <w:t>funding</w:t>
      </w:r>
      <w:r w:rsidR="00AE3CB3" w:rsidRPr="00BC6A25">
        <w:t xml:space="preserve"> </w:t>
      </w:r>
      <w:r w:rsidR="00BC6A25">
        <w:t xml:space="preserve">– we </w:t>
      </w:r>
      <w:r w:rsidR="00356D55">
        <w:t>refer to them here as</w:t>
      </w:r>
      <w:r w:rsidR="00BC6A25">
        <w:t xml:space="preserve"> alternative financing arrangements</w:t>
      </w:r>
      <w:r w:rsidR="00E04A33">
        <w:t>.</w:t>
      </w:r>
      <w:r w:rsidR="004008D7">
        <w:rPr>
          <w:rStyle w:val="FootnoteReference"/>
        </w:rPr>
        <w:footnoteReference w:id="1"/>
      </w:r>
      <w:r w:rsidR="000B79A1">
        <w:t xml:space="preserve">  </w:t>
      </w:r>
      <w:r w:rsidR="00E04A33">
        <w:t xml:space="preserve">Alternative financing arrangements </w:t>
      </w:r>
      <w:r w:rsidR="00775AAA">
        <w:t xml:space="preserve">usually </w:t>
      </w:r>
      <w:r w:rsidR="00BB3C94">
        <w:t>involve</w:t>
      </w:r>
      <w:r w:rsidR="00E04A33">
        <w:t xml:space="preserve"> the</w:t>
      </w:r>
      <w:r w:rsidR="00BB3C94">
        <w:t xml:space="preserve"> </w:t>
      </w:r>
      <w:r w:rsidR="00B63D1A">
        <w:t>g</w:t>
      </w:r>
      <w:r w:rsidR="00BB3C94">
        <w:t xml:space="preserve">overnment </w:t>
      </w:r>
      <w:r w:rsidR="00E04A33">
        <w:t xml:space="preserve">providing </w:t>
      </w:r>
      <w:r w:rsidR="00B276EF">
        <w:t>the financial resources</w:t>
      </w:r>
      <w:r w:rsidR="00785806">
        <w:t xml:space="preserve"> </w:t>
      </w:r>
      <w:r w:rsidR="00E04A33">
        <w:t>for a policy</w:t>
      </w:r>
      <w:r w:rsidR="00BB3C94">
        <w:t xml:space="preserve"> and receiving </w:t>
      </w:r>
      <w:r w:rsidR="00E04A33">
        <w:t xml:space="preserve">a </w:t>
      </w:r>
      <w:r w:rsidR="00BB3C94">
        <w:t xml:space="preserve">financial asset in return.  </w:t>
      </w:r>
    </w:p>
    <w:p w:rsidR="006F3B38" w:rsidRDefault="00BB3C94" w:rsidP="00BD47A4">
      <w:pPr>
        <w:pStyle w:val="BodyText"/>
        <w:spacing w:after="120"/>
      </w:pPr>
      <w:r w:rsidRPr="00BB3C94">
        <w:lastRenderedPageBreak/>
        <w:t xml:space="preserve">Examples include the </w:t>
      </w:r>
      <w:r w:rsidR="00B63D1A">
        <w:t>g</w:t>
      </w:r>
      <w:r w:rsidRPr="00BB3C94">
        <w:t xml:space="preserve">overnment purchase of an </w:t>
      </w:r>
      <w:r w:rsidR="00E04A33">
        <w:t>equity</w:t>
      </w:r>
      <w:r w:rsidR="00E04A33" w:rsidRPr="00BB3C94">
        <w:t xml:space="preserve"> </w:t>
      </w:r>
      <w:r w:rsidRPr="00BB3C94">
        <w:t xml:space="preserve">stake </w:t>
      </w:r>
      <w:r w:rsidR="002F0601">
        <w:t xml:space="preserve">(often 100 per cent) </w:t>
      </w:r>
      <w:r w:rsidRPr="00BB3C94">
        <w:t xml:space="preserve">in a company such as NBN Co, or the </w:t>
      </w:r>
      <w:r>
        <w:t>g</w:t>
      </w:r>
      <w:r w:rsidRPr="00BB3C94">
        <w:t xml:space="preserve">overnment </w:t>
      </w:r>
      <w:r w:rsidR="00E04A33">
        <w:t>lending</w:t>
      </w:r>
      <w:r w:rsidR="00E04A33" w:rsidRPr="00BB3C94">
        <w:t xml:space="preserve"> </w:t>
      </w:r>
      <w:r w:rsidRPr="00BB3C94">
        <w:t xml:space="preserve">money </w:t>
      </w:r>
      <w:r w:rsidR="00E04A33">
        <w:t xml:space="preserve">to students </w:t>
      </w:r>
      <w:r w:rsidR="00BC6A25">
        <w:t xml:space="preserve">to pay their tuition costs </w:t>
      </w:r>
      <w:r w:rsidR="00E04A33">
        <w:t>under</w:t>
      </w:r>
      <w:r w:rsidR="00E04A33" w:rsidRPr="00BB3C94">
        <w:t xml:space="preserve"> </w:t>
      </w:r>
      <w:r w:rsidR="008E52ED">
        <w:t>HELP</w:t>
      </w:r>
      <w:r w:rsidRPr="00BB3C94">
        <w:t xml:space="preserve">.  </w:t>
      </w:r>
      <w:r w:rsidR="00EE6BD5">
        <w:t xml:space="preserve">It is these </w:t>
      </w:r>
      <w:r w:rsidR="007A3EBE">
        <w:t>financing</w:t>
      </w:r>
      <w:r w:rsidR="00EE6BD5">
        <w:t xml:space="preserve"> mechanisms that are the focus of this paper.</w:t>
      </w:r>
      <w:r w:rsidR="00151149">
        <w:rPr>
          <w:rStyle w:val="FootnoteReference"/>
        </w:rPr>
        <w:footnoteReference w:id="2"/>
      </w:r>
    </w:p>
    <w:p w:rsidR="002E2CA8" w:rsidRDefault="006F3B38" w:rsidP="00F505FF">
      <w:pPr>
        <w:pStyle w:val="BodyText"/>
      </w:pPr>
      <w:r>
        <w:t xml:space="preserve">In addition to direct </w:t>
      </w:r>
      <w:r w:rsidR="007A3EBE">
        <w:t xml:space="preserve">funding and </w:t>
      </w:r>
      <w:r>
        <w:t xml:space="preserve">alternative financing, the </w:t>
      </w:r>
      <w:r w:rsidR="00B63D1A">
        <w:t>g</w:t>
      </w:r>
      <w:r>
        <w:t xml:space="preserve">overnment can equally choose to collect less tax than </w:t>
      </w:r>
      <w:r w:rsidR="007D0FA3">
        <w:t xml:space="preserve">it </w:t>
      </w:r>
      <w:r>
        <w:t xml:space="preserve">otherwise would in particular circumstances, through what is known as tax expenditure.  </w:t>
      </w:r>
      <w:r w:rsidR="008E383C">
        <w:t>Descriptions and e</w:t>
      </w:r>
      <w:r w:rsidR="008413C8">
        <w:t xml:space="preserve">xamples </w:t>
      </w:r>
      <w:r w:rsidR="00BB3C94" w:rsidRPr="00BB3C94">
        <w:t xml:space="preserve">of the </w:t>
      </w:r>
      <w:r w:rsidR="00D65D0B">
        <w:t xml:space="preserve">major </w:t>
      </w:r>
      <w:r w:rsidR="00BB3C94">
        <w:t>ways government</w:t>
      </w:r>
      <w:r w:rsidR="008413C8">
        <w:t>s can</w:t>
      </w:r>
      <w:r w:rsidR="00BB3C94">
        <w:t xml:space="preserve"> implement policy </w:t>
      </w:r>
      <w:r w:rsidR="00A30766">
        <w:t>are</w:t>
      </w:r>
      <w:r w:rsidR="00BB3C94">
        <w:t xml:space="preserve"> </w:t>
      </w:r>
      <w:r w:rsidR="00BB3C94" w:rsidRPr="00BB3C94">
        <w:t>shown in</w:t>
      </w:r>
      <w:r w:rsidR="00ED33D3">
        <w:t xml:space="preserve"> </w:t>
      </w:r>
      <w:r w:rsidR="00BB3C94" w:rsidRPr="00BB3C94">
        <w:t xml:space="preserve">Table 1–1.  </w:t>
      </w:r>
    </w:p>
    <w:p w:rsidR="00FC01C5" w:rsidRPr="00FC01C5" w:rsidRDefault="00FC01C5" w:rsidP="00FC01C5">
      <w:pPr>
        <w:pStyle w:val="Caption"/>
      </w:pPr>
      <w:bookmarkStart w:id="10" w:name="ReturnHere"/>
      <w:bookmarkEnd w:id="10"/>
      <w:r w:rsidRPr="00FC01C5">
        <w:t xml:space="preserve">Table 1–1: </w:t>
      </w:r>
      <w:r w:rsidR="00061B01">
        <w:t xml:space="preserve">Ways for government to </w:t>
      </w:r>
      <w:r w:rsidR="00AE3CB3">
        <w:t xml:space="preserve">fund </w:t>
      </w:r>
      <w:r w:rsidR="00061B01">
        <w:t>policy</w:t>
      </w:r>
    </w:p>
    <w:tbl>
      <w:tblPr>
        <w:tblStyle w:val="TableGrid"/>
        <w:tblW w:w="9077" w:type="dxa"/>
        <w:tblBorders>
          <w:top w:val="dotted" w:sz="4" w:space="0" w:color="auto"/>
          <w:left w:val="dotted" w:sz="4" w:space="0" w:color="auto"/>
          <w:bottom w:val="dotted" w:sz="4" w:space="0" w:color="auto"/>
          <w:right w:val="dotted" w:sz="4" w:space="0" w:color="auto"/>
          <w:insideH w:val="dotted" w:sz="4" w:space="0" w:color="auto"/>
        </w:tblBorders>
        <w:shd w:val="clear" w:color="auto" w:fill="E3E5E6" w:themeFill="accent6" w:themeFillTint="33"/>
        <w:tblLayout w:type="fixed"/>
        <w:tblCellMar>
          <w:top w:w="0" w:type="dxa"/>
          <w:bottom w:w="0" w:type="dxa"/>
        </w:tblCellMar>
        <w:tblLook w:val="04A0" w:firstRow="1" w:lastRow="0" w:firstColumn="1" w:lastColumn="0" w:noHBand="0" w:noVBand="1"/>
      </w:tblPr>
      <w:tblGrid>
        <w:gridCol w:w="1188"/>
        <w:gridCol w:w="1267"/>
        <w:gridCol w:w="3537"/>
        <w:gridCol w:w="3085"/>
      </w:tblGrid>
      <w:tr w:rsidR="004A0B83" w:rsidRPr="004A0B83" w:rsidTr="00DB640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188" w:type="dxa"/>
            <w:tcBorders>
              <w:left w:val="nil"/>
              <w:bottom w:val="single" w:sz="4" w:space="0" w:color="3D4D7D" w:themeColor="background2"/>
            </w:tcBorders>
            <w:shd w:val="clear" w:color="auto" w:fill="E3E5E6" w:themeFill="accent6" w:themeFillTint="33"/>
          </w:tcPr>
          <w:p w:rsidR="00143C69" w:rsidRPr="00DB6404" w:rsidRDefault="00143C69" w:rsidP="008E52ED">
            <w:pPr>
              <w:pStyle w:val="BodyText"/>
              <w:keepNext/>
              <w:spacing w:before="70" w:after="70"/>
              <w:jc w:val="center"/>
              <w:rPr>
                <w:color w:val="3D4D7D" w:themeColor="background2"/>
                <w:kern w:val="2"/>
              </w:rPr>
            </w:pPr>
          </w:p>
        </w:tc>
        <w:tc>
          <w:tcPr>
            <w:tcW w:w="1267" w:type="dxa"/>
            <w:tcBorders>
              <w:bottom w:val="single" w:sz="4" w:space="0" w:color="3D4D7D" w:themeColor="background2"/>
            </w:tcBorders>
            <w:shd w:val="clear" w:color="auto" w:fill="E3E5E6" w:themeFill="accent6" w:themeFillTint="33"/>
            <w:vAlign w:val="center"/>
          </w:tcPr>
          <w:p w:rsidR="00143C69" w:rsidRPr="00DB6404" w:rsidRDefault="00143C69" w:rsidP="008E52ED">
            <w:pPr>
              <w:pStyle w:val="BodyText"/>
              <w:keepNext/>
              <w:spacing w:before="70" w:after="70"/>
              <w:jc w:val="center"/>
              <w:cnfStyle w:val="100000000000" w:firstRow="1" w:lastRow="0" w:firstColumn="0" w:lastColumn="0" w:oddVBand="0" w:evenVBand="0" w:oddHBand="0" w:evenHBand="0" w:firstRowFirstColumn="0" w:firstRowLastColumn="0" w:lastRowFirstColumn="0" w:lastRowLastColumn="0"/>
              <w:rPr>
                <w:color w:val="3D4D7D" w:themeColor="background2"/>
                <w:kern w:val="2"/>
              </w:rPr>
            </w:pPr>
          </w:p>
        </w:tc>
        <w:tc>
          <w:tcPr>
            <w:tcW w:w="3537" w:type="dxa"/>
            <w:tcBorders>
              <w:bottom w:val="single" w:sz="4" w:space="0" w:color="3D4D7D" w:themeColor="background2"/>
            </w:tcBorders>
            <w:shd w:val="clear" w:color="auto" w:fill="E3E5E6" w:themeFill="accent6" w:themeFillTint="33"/>
          </w:tcPr>
          <w:p w:rsidR="00143C69" w:rsidRPr="00DB6404" w:rsidRDefault="00143C69" w:rsidP="00DB6404">
            <w:pPr>
              <w:pStyle w:val="BodyText"/>
              <w:keepNext/>
              <w:spacing w:before="70" w:after="70"/>
              <w:cnfStyle w:val="100000000000" w:firstRow="1" w:lastRow="0" w:firstColumn="0" w:lastColumn="0" w:oddVBand="0" w:evenVBand="0" w:oddHBand="0" w:evenHBand="0" w:firstRowFirstColumn="0" w:firstRowLastColumn="0" w:lastRowFirstColumn="0" w:lastRowLastColumn="0"/>
              <w:rPr>
                <w:color w:val="3D4D7D" w:themeColor="background2"/>
                <w:kern w:val="2"/>
              </w:rPr>
            </w:pPr>
            <w:r w:rsidRPr="00DB6404">
              <w:rPr>
                <w:color w:val="3D4D7D" w:themeColor="background2"/>
                <w:kern w:val="2"/>
              </w:rPr>
              <w:t>Description</w:t>
            </w:r>
          </w:p>
        </w:tc>
        <w:tc>
          <w:tcPr>
            <w:tcW w:w="3085" w:type="dxa"/>
            <w:tcBorders>
              <w:bottom w:val="single" w:sz="4" w:space="0" w:color="3D4D7D" w:themeColor="background2"/>
              <w:right w:val="nil"/>
            </w:tcBorders>
            <w:shd w:val="clear" w:color="auto" w:fill="E3E5E6" w:themeFill="accent6" w:themeFillTint="33"/>
          </w:tcPr>
          <w:p w:rsidR="00143C69" w:rsidRPr="00DB6404" w:rsidRDefault="00143C69" w:rsidP="00DB6404">
            <w:pPr>
              <w:pStyle w:val="BodyText"/>
              <w:keepNext/>
              <w:spacing w:before="70" w:after="70"/>
              <w:cnfStyle w:val="100000000000" w:firstRow="1" w:lastRow="0" w:firstColumn="0" w:lastColumn="0" w:oddVBand="0" w:evenVBand="0" w:oddHBand="0" w:evenHBand="0" w:firstRowFirstColumn="0" w:firstRowLastColumn="0" w:lastRowFirstColumn="0" w:lastRowLastColumn="0"/>
              <w:rPr>
                <w:color w:val="3D4D7D" w:themeColor="background2"/>
                <w:kern w:val="2"/>
              </w:rPr>
            </w:pPr>
            <w:r w:rsidRPr="00DB6404">
              <w:rPr>
                <w:color w:val="3D4D7D" w:themeColor="background2"/>
                <w:kern w:val="2"/>
              </w:rPr>
              <w:t>Examples</w:t>
            </w:r>
          </w:p>
        </w:tc>
      </w:tr>
      <w:tr w:rsidR="004A0B83" w:rsidRPr="004A0B83" w:rsidTr="00DB6404">
        <w:trPr>
          <w:cantSplit/>
        </w:trPr>
        <w:tc>
          <w:tcPr>
            <w:tcW w:w="1188" w:type="dxa"/>
            <w:vMerge w:val="restart"/>
            <w:tcBorders>
              <w:top w:val="single" w:sz="4" w:space="0" w:color="3D4D7D" w:themeColor="background2"/>
              <w:left w:val="nil"/>
            </w:tcBorders>
            <w:shd w:val="clear" w:color="auto" w:fill="C8CCCD" w:themeFill="accent6" w:themeFillTint="66"/>
            <w:vAlign w:val="center"/>
          </w:tcPr>
          <w:p w:rsidR="00143C69" w:rsidRPr="00DB6404" w:rsidRDefault="00143C69" w:rsidP="00DB6404">
            <w:pPr>
              <w:pStyle w:val="BodyText"/>
              <w:keepNext/>
              <w:spacing w:before="70" w:after="70"/>
              <w:rPr>
                <w:b/>
                <w:color w:val="3D4D7D" w:themeColor="background2"/>
                <w:kern w:val="2"/>
              </w:rPr>
            </w:pPr>
            <w:r w:rsidRPr="00DB6404">
              <w:rPr>
                <w:b/>
                <w:color w:val="3D4D7D" w:themeColor="background2"/>
                <w:kern w:val="2"/>
              </w:rPr>
              <w:t xml:space="preserve">Direct </w:t>
            </w:r>
            <w:r w:rsidR="00AE3CB3" w:rsidRPr="00DB6404">
              <w:rPr>
                <w:b/>
                <w:color w:val="3D4D7D" w:themeColor="background2"/>
                <w:kern w:val="2"/>
              </w:rPr>
              <w:t>funding</w:t>
            </w:r>
          </w:p>
        </w:tc>
        <w:tc>
          <w:tcPr>
            <w:tcW w:w="1267" w:type="dxa"/>
            <w:tcBorders>
              <w:top w:val="single" w:sz="4" w:space="0" w:color="3D4D7D" w:themeColor="background2"/>
            </w:tcBorders>
            <w:shd w:val="clear" w:color="auto" w:fill="E3E5E6" w:themeFill="accent6" w:themeFillTint="33"/>
          </w:tcPr>
          <w:p w:rsidR="00143C69" w:rsidRPr="00DB6404" w:rsidRDefault="00143C69" w:rsidP="00DB6404">
            <w:pPr>
              <w:pStyle w:val="BodyText"/>
              <w:keepNext/>
              <w:spacing w:before="70" w:after="70"/>
              <w:rPr>
                <w:b/>
                <w:color w:val="3D4D7D" w:themeColor="background2"/>
                <w:kern w:val="2"/>
              </w:rPr>
            </w:pPr>
            <w:r w:rsidRPr="00DB6404">
              <w:rPr>
                <w:b/>
                <w:color w:val="3D4D7D" w:themeColor="background2"/>
                <w:kern w:val="2"/>
              </w:rPr>
              <w:t>Capped</w:t>
            </w:r>
          </w:p>
        </w:tc>
        <w:tc>
          <w:tcPr>
            <w:tcW w:w="3537" w:type="dxa"/>
            <w:tcBorders>
              <w:top w:val="single" w:sz="4" w:space="0" w:color="3D4D7D" w:themeColor="background2"/>
            </w:tcBorders>
            <w:shd w:val="clear" w:color="auto" w:fill="E3E5E6" w:themeFill="accent6" w:themeFillTint="33"/>
          </w:tcPr>
          <w:p w:rsidR="00143C69" w:rsidRPr="00DB6404" w:rsidRDefault="00143C69" w:rsidP="00DB6404">
            <w:pPr>
              <w:pStyle w:val="BodyText"/>
              <w:keepNext/>
              <w:spacing w:before="70" w:after="70"/>
              <w:rPr>
                <w:color w:val="3D4D7D" w:themeColor="background2"/>
                <w:kern w:val="2"/>
              </w:rPr>
            </w:pPr>
            <w:r w:rsidRPr="00DB6404">
              <w:rPr>
                <w:color w:val="3D4D7D" w:themeColor="background2"/>
                <w:kern w:val="2"/>
              </w:rPr>
              <w:t xml:space="preserve">The </w:t>
            </w:r>
            <w:r w:rsidR="00B63D1A" w:rsidRPr="00DB6404">
              <w:rPr>
                <w:color w:val="3D4D7D" w:themeColor="background2"/>
                <w:kern w:val="2"/>
              </w:rPr>
              <w:t>g</w:t>
            </w:r>
            <w:r w:rsidRPr="00DB6404">
              <w:rPr>
                <w:color w:val="3D4D7D" w:themeColor="background2"/>
                <w:kern w:val="2"/>
              </w:rPr>
              <w:t>overnment spends a fixed amount for a policy</w:t>
            </w:r>
            <w:r w:rsidR="00937DBD" w:rsidRPr="00DB6404">
              <w:rPr>
                <w:color w:val="3D4D7D" w:themeColor="background2"/>
                <w:kern w:val="2"/>
              </w:rPr>
              <w:t>, such as a grant</w:t>
            </w:r>
            <w:r w:rsidRPr="00DB6404">
              <w:rPr>
                <w:color w:val="3D4D7D" w:themeColor="background2"/>
                <w:kern w:val="2"/>
              </w:rPr>
              <w:t>.</w:t>
            </w:r>
          </w:p>
        </w:tc>
        <w:tc>
          <w:tcPr>
            <w:tcW w:w="3085" w:type="dxa"/>
            <w:tcBorders>
              <w:top w:val="single" w:sz="4" w:space="0" w:color="3D4D7D" w:themeColor="background2"/>
              <w:right w:val="nil"/>
            </w:tcBorders>
            <w:shd w:val="clear" w:color="auto" w:fill="E3E5E6" w:themeFill="accent6" w:themeFillTint="33"/>
          </w:tcPr>
          <w:p w:rsidR="00143C69" w:rsidRPr="00DB6404" w:rsidRDefault="00BC6A25" w:rsidP="00DB6404">
            <w:pPr>
              <w:pStyle w:val="CaptionLeft"/>
              <w:spacing w:before="70" w:after="70"/>
              <w:rPr>
                <w:rFonts w:cs="Times New Roman"/>
                <w:b w:val="0"/>
                <w:bCs w:val="0"/>
                <w:kern w:val="2"/>
              </w:rPr>
            </w:pPr>
            <w:r w:rsidRPr="00DB6404">
              <w:rPr>
                <w:rFonts w:cs="Times New Roman"/>
                <w:b w:val="0"/>
                <w:bCs w:val="0"/>
                <w:kern w:val="2"/>
              </w:rPr>
              <w:t>The</w:t>
            </w:r>
            <w:r w:rsidR="00937DBD" w:rsidRPr="00DB6404">
              <w:rPr>
                <w:rFonts w:cs="Times New Roman"/>
                <w:b w:val="0"/>
                <w:bCs w:val="0"/>
                <w:kern w:val="2"/>
              </w:rPr>
              <w:t xml:space="preserve"> Commonwealth Government provides </w:t>
            </w:r>
            <w:r w:rsidRPr="00DB6404">
              <w:rPr>
                <w:rFonts w:cs="Times New Roman"/>
                <w:b w:val="0"/>
                <w:bCs w:val="0"/>
                <w:kern w:val="2"/>
              </w:rPr>
              <w:t xml:space="preserve">a grant </w:t>
            </w:r>
            <w:r w:rsidR="00937DBD" w:rsidRPr="00DB6404">
              <w:rPr>
                <w:rFonts w:cs="Times New Roman"/>
                <w:b w:val="0"/>
                <w:bCs w:val="0"/>
                <w:kern w:val="2"/>
              </w:rPr>
              <w:t>to a state government to build roads</w:t>
            </w:r>
            <w:r w:rsidR="00143C69" w:rsidRPr="00DB6404">
              <w:rPr>
                <w:rFonts w:cs="Times New Roman"/>
                <w:b w:val="0"/>
                <w:bCs w:val="0"/>
                <w:kern w:val="2"/>
              </w:rPr>
              <w:t>.</w:t>
            </w:r>
          </w:p>
        </w:tc>
      </w:tr>
      <w:tr w:rsidR="004A0B83" w:rsidRPr="004A0B83" w:rsidTr="00DB6404">
        <w:trPr>
          <w:cnfStyle w:val="000000010000" w:firstRow="0" w:lastRow="0" w:firstColumn="0" w:lastColumn="0" w:oddVBand="0" w:evenVBand="0" w:oddHBand="0" w:evenHBand="1" w:firstRowFirstColumn="0" w:firstRowLastColumn="0" w:lastRowFirstColumn="0" w:lastRowLastColumn="0"/>
          <w:cantSplit/>
        </w:trPr>
        <w:tc>
          <w:tcPr>
            <w:tcW w:w="1188" w:type="dxa"/>
            <w:vMerge/>
            <w:tcBorders>
              <w:left w:val="nil"/>
            </w:tcBorders>
            <w:shd w:val="clear" w:color="auto" w:fill="C8CCCD" w:themeFill="accent6" w:themeFillTint="66"/>
          </w:tcPr>
          <w:p w:rsidR="00143C69" w:rsidRPr="00DB6404" w:rsidRDefault="00143C69" w:rsidP="00DB6404">
            <w:pPr>
              <w:pStyle w:val="BodyText"/>
              <w:keepNext/>
              <w:spacing w:before="70" w:after="70"/>
              <w:rPr>
                <w:b/>
                <w:color w:val="3D4D7D" w:themeColor="background2"/>
                <w:kern w:val="2"/>
              </w:rPr>
            </w:pPr>
          </w:p>
        </w:tc>
        <w:tc>
          <w:tcPr>
            <w:tcW w:w="1267" w:type="dxa"/>
            <w:shd w:val="clear" w:color="auto" w:fill="E3E5E6" w:themeFill="accent6" w:themeFillTint="33"/>
          </w:tcPr>
          <w:p w:rsidR="00143C69" w:rsidRPr="00DB6404" w:rsidRDefault="00143C69" w:rsidP="00DB6404">
            <w:pPr>
              <w:pStyle w:val="BodyText"/>
              <w:keepNext/>
              <w:spacing w:before="70" w:after="70"/>
              <w:rPr>
                <w:b/>
                <w:color w:val="3D4D7D" w:themeColor="background2"/>
                <w:kern w:val="2"/>
              </w:rPr>
            </w:pPr>
            <w:r w:rsidRPr="00DB6404">
              <w:rPr>
                <w:b/>
                <w:color w:val="3D4D7D" w:themeColor="background2"/>
                <w:kern w:val="2"/>
              </w:rPr>
              <w:t>Demand</w:t>
            </w:r>
            <w:r w:rsidR="008E52ED" w:rsidRPr="00DB6404">
              <w:rPr>
                <w:b/>
                <w:color w:val="3D4D7D" w:themeColor="background2"/>
                <w:kern w:val="2"/>
              </w:rPr>
              <w:t>-</w:t>
            </w:r>
            <w:r w:rsidRPr="00DB6404">
              <w:rPr>
                <w:b/>
                <w:color w:val="3D4D7D" w:themeColor="background2"/>
                <w:kern w:val="2"/>
              </w:rPr>
              <w:t xml:space="preserve"> driven</w:t>
            </w:r>
          </w:p>
        </w:tc>
        <w:tc>
          <w:tcPr>
            <w:tcW w:w="3537" w:type="dxa"/>
            <w:shd w:val="clear" w:color="auto" w:fill="E3E5E6" w:themeFill="accent6" w:themeFillTint="33"/>
          </w:tcPr>
          <w:p w:rsidR="00143C69" w:rsidRPr="00DB6404" w:rsidRDefault="00143C69" w:rsidP="00DB6404">
            <w:pPr>
              <w:pStyle w:val="BodyText"/>
              <w:keepNext/>
              <w:spacing w:before="70" w:after="70"/>
              <w:rPr>
                <w:color w:val="3D4D7D" w:themeColor="background2"/>
                <w:kern w:val="2"/>
              </w:rPr>
            </w:pPr>
            <w:r w:rsidRPr="00DB6404">
              <w:rPr>
                <w:color w:val="3D4D7D" w:themeColor="background2"/>
                <w:kern w:val="2"/>
              </w:rPr>
              <w:t xml:space="preserve">The </w:t>
            </w:r>
            <w:r w:rsidR="00B63D1A" w:rsidRPr="00DB6404">
              <w:rPr>
                <w:color w:val="3D4D7D" w:themeColor="background2"/>
                <w:kern w:val="2"/>
              </w:rPr>
              <w:t>g</w:t>
            </w:r>
            <w:r w:rsidRPr="00DB6404">
              <w:rPr>
                <w:color w:val="3D4D7D" w:themeColor="background2"/>
                <w:kern w:val="2"/>
              </w:rPr>
              <w:t>overnment agrees to provide funding for every eligible participant in a policy.  The cost depends on the number of participant</w:t>
            </w:r>
            <w:r w:rsidR="00FD7F2F" w:rsidRPr="00DB6404">
              <w:rPr>
                <w:color w:val="3D4D7D" w:themeColor="background2"/>
                <w:kern w:val="2"/>
              </w:rPr>
              <w:t>s</w:t>
            </w:r>
            <w:r w:rsidRPr="00DB6404">
              <w:rPr>
                <w:color w:val="3D4D7D" w:themeColor="background2"/>
                <w:kern w:val="2"/>
              </w:rPr>
              <w:t>, which may change over time.</w:t>
            </w:r>
          </w:p>
        </w:tc>
        <w:tc>
          <w:tcPr>
            <w:tcW w:w="3085" w:type="dxa"/>
            <w:tcBorders>
              <w:right w:val="nil"/>
            </w:tcBorders>
            <w:shd w:val="clear" w:color="auto" w:fill="E3E5E6" w:themeFill="accent6" w:themeFillTint="33"/>
          </w:tcPr>
          <w:p w:rsidR="00143C69" w:rsidRPr="00DB6404" w:rsidRDefault="00143C69" w:rsidP="00DB6404">
            <w:pPr>
              <w:pStyle w:val="CaptionLeft"/>
              <w:spacing w:before="70" w:after="70"/>
              <w:rPr>
                <w:rFonts w:cs="Times New Roman"/>
                <w:b w:val="0"/>
                <w:bCs w:val="0"/>
                <w:kern w:val="2"/>
              </w:rPr>
            </w:pPr>
            <w:r w:rsidRPr="00DB6404">
              <w:rPr>
                <w:rFonts w:cs="Times New Roman"/>
                <w:b w:val="0"/>
                <w:bCs w:val="0"/>
                <w:kern w:val="2"/>
              </w:rPr>
              <w:t xml:space="preserve">Age </w:t>
            </w:r>
            <w:r w:rsidR="008E52ED" w:rsidRPr="00DB6404">
              <w:rPr>
                <w:rFonts w:cs="Times New Roman"/>
                <w:b w:val="0"/>
                <w:bCs w:val="0"/>
                <w:kern w:val="2"/>
              </w:rPr>
              <w:t>p</w:t>
            </w:r>
            <w:r w:rsidRPr="00DB6404">
              <w:rPr>
                <w:rFonts w:cs="Times New Roman"/>
                <w:b w:val="0"/>
                <w:bCs w:val="0"/>
                <w:kern w:val="2"/>
              </w:rPr>
              <w:t>ension and other welfare payments.</w:t>
            </w:r>
          </w:p>
        </w:tc>
      </w:tr>
      <w:tr w:rsidR="004A0B83" w:rsidRPr="004A0B83" w:rsidTr="00DB6404">
        <w:trPr>
          <w:cantSplit/>
        </w:trPr>
        <w:tc>
          <w:tcPr>
            <w:tcW w:w="1188" w:type="dxa"/>
            <w:vMerge w:val="restart"/>
            <w:tcBorders>
              <w:left w:val="nil"/>
            </w:tcBorders>
            <w:shd w:val="clear" w:color="auto" w:fill="C8CCCD" w:themeFill="accent6" w:themeFillTint="66"/>
            <w:vAlign w:val="center"/>
          </w:tcPr>
          <w:p w:rsidR="00143C69" w:rsidRPr="00DB6404" w:rsidRDefault="00143C69" w:rsidP="00DB6404">
            <w:pPr>
              <w:pStyle w:val="BodyText"/>
              <w:keepNext/>
              <w:spacing w:before="70" w:after="70"/>
              <w:rPr>
                <w:b/>
                <w:color w:val="3D4D7D" w:themeColor="background2"/>
                <w:kern w:val="2"/>
              </w:rPr>
            </w:pPr>
            <w:r w:rsidRPr="00DB6404">
              <w:rPr>
                <w:b/>
                <w:color w:val="3D4D7D" w:themeColor="background2"/>
                <w:kern w:val="2"/>
              </w:rPr>
              <w:t>Alternative financing</w:t>
            </w:r>
          </w:p>
        </w:tc>
        <w:tc>
          <w:tcPr>
            <w:tcW w:w="1267" w:type="dxa"/>
            <w:shd w:val="clear" w:color="auto" w:fill="E3E5E6" w:themeFill="accent6" w:themeFillTint="33"/>
          </w:tcPr>
          <w:p w:rsidR="00143C69" w:rsidRPr="00DB6404" w:rsidRDefault="00143C69" w:rsidP="00DB6404">
            <w:pPr>
              <w:pStyle w:val="BodyText"/>
              <w:keepNext/>
              <w:spacing w:before="70" w:after="70"/>
              <w:rPr>
                <w:b/>
                <w:color w:val="3D4D7D" w:themeColor="background2"/>
                <w:kern w:val="2"/>
              </w:rPr>
            </w:pPr>
            <w:r w:rsidRPr="00DB6404">
              <w:rPr>
                <w:b/>
                <w:color w:val="3D4D7D" w:themeColor="background2"/>
                <w:kern w:val="2"/>
              </w:rPr>
              <w:t>Equity injection</w:t>
            </w:r>
            <w:r w:rsidR="00A24D20" w:rsidRPr="00DB6404">
              <w:rPr>
                <w:rStyle w:val="FootnoteReference"/>
                <w:b/>
                <w:color w:val="3D4D7D" w:themeColor="background2"/>
                <w:kern w:val="2"/>
              </w:rPr>
              <w:footnoteReference w:id="3"/>
            </w:r>
          </w:p>
        </w:tc>
        <w:tc>
          <w:tcPr>
            <w:tcW w:w="3537" w:type="dxa"/>
            <w:shd w:val="clear" w:color="auto" w:fill="E3E5E6" w:themeFill="accent6" w:themeFillTint="33"/>
          </w:tcPr>
          <w:p w:rsidR="00143C69" w:rsidRPr="00DB6404" w:rsidRDefault="00143C69" w:rsidP="00DB6404">
            <w:pPr>
              <w:pStyle w:val="BodyText"/>
              <w:keepNext/>
              <w:spacing w:before="70" w:after="70"/>
              <w:rPr>
                <w:color w:val="3D4D7D" w:themeColor="background2"/>
                <w:kern w:val="2"/>
              </w:rPr>
            </w:pPr>
            <w:r w:rsidRPr="00DB6404">
              <w:rPr>
                <w:color w:val="3D4D7D" w:themeColor="background2"/>
                <w:kern w:val="2"/>
              </w:rPr>
              <w:t xml:space="preserve">The </w:t>
            </w:r>
            <w:r w:rsidR="00B63D1A" w:rsidRPr="00DB6404">
              <w:rPr>
                <w:color w:val="3D4D7D" w:themeColor="background2"/>
                <w:kern w:val="2"/>
              </w:rPr>
              <w:t>g</w:t>
            </w:r>
            <w:r w:rsidRPr="00DB6404">
              <w:rPr>
                <w:color w:val="3D4D7D" w:themeColor="background2"/>
                <w:kern w:val="2"/>
              </w:rPr>
              <w:t xml:space="preserve">overnment invests in a business and then owns all or part of that business.  The </w:t>
            </w:r>
            <w:r w:rsidR="00B63D1A" w:rsidRPr="00DB6404">
              <w:rPr>
                <w:color w:val="3D4D7D" w:themeColor="background2"/>
                <w:kern w:val="2"/>
              </w:rPr>
              <w:t>g</w:t>
            </w:r>
            <w:r w:rsidRPr="00DB6404">
              <w:rPr>
                <w:color w:val="3D4D7D" w:themeColor="background2"/>
                <w:kern w:val="2"/>
              </w:rPr>
              <w:t xml:space="preserve">overnment may receive a flow of dividends from ownership and can sell </w:t>
            </w:r>
            <w:r w:rsidR="007D0FA3">
              <w:rPr>
                <w:color w:val="3D4D7D" w:themeColor="background2"/>
                <w:kern w:val="2"/>
              </w:rPr>
              <w:t>its</w:t>
            </w:r>
            <w:r w:rsidR="007D0FA3" w:rsidRPr="00DB6404">
              <w:rPr>
                <w:color w:val="3D4D7D" w:themeColor="background2"/>
                <w:kern w:val="2"/>
              </w:rPr>
              <w:t xml:space="preserve"> </w:t>
            </w:r>
            <w:r w:rsidRPr="00DB6404">
              <w:rPr>
                <w:color w:val="3D4D7D" w:themeColor="background2"/>
                <w:kern w:val="2"/>
              </w:rPr>
              <w:t>share of the business at a later date.</w:t>
            </w:r>
          </w:p>
        </w:tc>
        <w:tc>
          <w:tcPr>
            <w:tcW w:w="3085" w:type="dxa"/>
            <w:tcBorders>
              <w:right w:val="nil"/>
            </w:tcBorders>
            <w:shd w:val="clear" w:color="auto" w:fill="E3E5E6" w:themeFill="accent6" w:themeFillTint="33"/>
          </w:tcPr>
          <w:p w:rsidR="00143C69" w:rsidRPr="00DB6404" w:rsidRDefault="00143C69" w:rsidP="00FA661F">
            <w:pPr>
              <w:pStyle w:val="CaptionLeft"/>
              <w:spacing w:before="70" w:after="70"/>
              <w:rPr>
                <w:rFonts w:cs="Times New Roman"/>
                <w:b w:val="0"/>
                <w:bCs w:val="0"/>
                <w:kern w:val="2"/>
              </w:rPr>
            </w:pPr>
            <w:r w:rsidRPr="00DB6404">
              <w:rPr>
                <w:rFonts w:cs="Times New Roman"/>
                <w:b w:val="0"/>
                <w:bCs w:val="0"/>
                <w:kern w:val="2"/>
              </w:rPr>
              <w:t>Investment in NBN Co to implement the National Broadband Network</w:t>
            </w:r>
            <w:r w:rsidR="0090575C" w:rsidRPr="00DB6404">
              <w:rPr>
                <w:rFonts w:cs="Times New Roman"/>
                <w:b w:val="0"/>
                <w:bCs w:val="0"/>
                <w:kern w:val="2"/>
              </w:rPr>
              <w:t xml:space="preserve"> (NBN)</w:t>
            </w:r>
            <w:r w:rsidRPr="00DB6404">
              <w:rPr>
                <w:rFonts w:cs="Times New Roman"/>
                <w:b w:val="0"/>
                <w:bCs w:val="0"/>
                <w:kern w:val="2"/>
              </w:rPr>
              <w:t xml:space="preserve">; </w:t>
            </w:r>
            <w:r w:rsidR="00775AAA" w:rsidRPr="00DB6404">
              <w:rPr>
                <w:rFonts w:cs="Times New Roman"/>
                <w:b w:val="0"/>
                <w:bCs w:val="0"/>
                <w:kern w:val="2"/>
              </w:rPr>
              <w:t>i</w:t>
            </w:r>
            <w:r w:rsidRPr="00DB6404">
              <w:rPr>
                <w:rFonts w:cs="Times New Roman"/>
                <w:b w:val="0"/>
                <w:bCs w:val="0"/>
                <w:kern w:val="2"/>
              </w:rPr>
              <w:t xml:space="preserve">nvestment in </w:t>
            </w:r>
            <w:r w:rsidR="00FB0EAE" w:rsidRPr="00DB6404">
              <w:rPr>
                <w:rFonts w:cs="Times New Roman"/>
                <w:b w:val="0"/>
                <w:bCs w:val="0"/>
                <w:kern w:val="2"/>
              </w:rPr>
              <w:t xml:space="preserve">the </w:t>
            </w:r>
            <w:r w:rsidRPr="00DB6404">
              <w:rPr>
                <w:rFonts w:cs="Times New Roman"/>
                <w:b w:val="0"/>
                <w:bCs w:val="0"/>
                <w:kern w:val="2"/>
              </w:rPr>
              <w:t>Australian</w:t>
            </w:r>
            <w:r w:rsidR="00FB0EAE" w:rsidRPr="00DB6404">
              <w:rPr>
                <w:rFonts w:cs="Times New Roman"/>
                <w:b w:val="0"/>
                <w:bCs w:val="0"/>
                <w:kern w:val="2"/>
              </w:rPr>
              <w:t> </w:t>
            </w:r>
            <w:r w:rsidRPr="00DB6404">
              <w:rPr>
                <w:rFonts w:cs="Times New Roman"/>
                <w:b w:val="0"/>
                <w:bCs w:val="0"/>
                <w:kern w:val="2"/>
              </w:rPr>
              <w:t>Rail Track Corporation to implement the inland rail project</w:t>
            </w:r>
            <w:r w:rsidR="00775AAA" w:rsidRPr="00DB6404">
              <w:rPr>
                <w:rFonts w:cs="Times New Roman"/>
                <w:b w:val="0"/>
                <w:bCs w:val="0"/>
                <w:kern w:val="2"/>
              </w:rPr>
              <w:t xml:space="preserve">; investment in </w:t>
            </w:r>
            <w:r w:rsidR="002F0601" w:rsidRPr="00DB6404">
              <w:rPr>
                <w:rFonts w:cs="Times New Roman"/>
                <w:b w:val="0"/>
                <w:bCs w:val="0"/>
                <w:kern w:val="2"/>
              </w:rPr>
              <w:t xml:space="preserve">WSA Co for the building of </w:t>
            </w:r>
            <w:r w:rsidR="001D5C8D" w:rsidRPr="00DB6404">
              <w:rPr>
                <w:rFonts w:cs="Times New Roman"/>
                <w:b w:val="0"/>
                <w:bCs w:val="0"/>
                <w:kern w:val="2"/>
              </w:rPr>
              <w:t xml:space="preserve">Western </w:t>
            </w:r>
            <w:r w:rsidR="00775AAA" w:rsidRPr="00DB6404">
              <w:rPr>
                <w:rFonts w:cs="Times New Roman"/>
                <w:b w:val="0"/>
                <w:bCs w:val="0"/>
                <w:kern w:val="2"/>
              </w:rPr>
              <w:t>Sydney airport</w:t>
            </w:r>
            <w:r w:rsidRPr="00DB6404">
              <w:rPr>
                <w:rFonts w:cs="Times New Roman"/>
                <w:b w:val="0"/>
                <w:bCs w:val="0"/>
                <w:kern w:val="2"/>
              </w:rPr>
              <w:t>.</w:t>
            </w:r>
          </w:p>
        </w:tc>
      </w:tr>
      <w:tr w:rsidR="004A0B83" w:rsidRPr="004A0B83" w:rsidTr="00DB6404">
        <w:trPr>
          <w:cnfStyle w:val="000000010000" w:firstRow="0" w:lastRow="0" w:firstColumn="0" w:lastColumn="0" w:oddVBand="0" w:evenVBand="0" w:oddHBand="0" w:evenHBand="1" w:firstRowFirstColumn="0" w:firstRowLastColumn="0" w:lastRowFirstColumn="0" w:lastRowLastColumn="0"/>
          <w:cantSplit/>
        </w:trPr>
        <w:tc>
          <w:tcPr>
            <w:tcW w:w="1188" w:type="dxa"/>
            <w:vMerge/>
            <w:tcBorders>
              <w:left w:val="nil"/>
            </w:tcBorders>
            <w:shd w:val="clear" w:color="auto" w:fill="C8CCCD" w:themeFill="accent6" w:themeFillTint="66"/>
          </w:tcPr>
          <w:p w:rsidR="00143C69" w:rsidRPr="00DB6404" w:rsidRDefault="00143C69" w:rsidP="00DB6404">
            <w:pPr>
              <w:pStyle w:val="BodyText"/>
              <w:keepNext/>
              <w:spacing w:before="70" w:after="70"/>
              <w:rPr>
                <w:b/>
                <w:color w:val="3D4D7D" w:themeColor="background2"/>
                <w:kern w:val="2"/>
              </w:rPr>
            </w:pPr>
          </w:p>
        </w:tc>
        <w:tc>
          <w:tcPr>
            <w:tcW w:w="1267" w:type="dxa"/>
            <w:shd w:val="clear" w:color="auto" w:fill="E3E5E6" w:themeFill="accent6" w:themeFillTint="33"/>
          </w:tcPr>
          <w:p w:rsidR="00143C69" w:rsidRPr="00DB6404" w:rsidRDefault="00143C69" w:rsidP="00DB6404">
            <w:pPr>
              <w:pStyle w:val="BodyText"/>
              <w:keepNext/>
              <w:spacing w:before="70" w:after="70"/>
              <w:rPr>
                <w:b/>
                <w:color w:val="3D4D7D" w:themeColor="background2"/>
                <w:kern w:val="2"/>
              </w:rPr>
            </w:pPr>
            <w:r w:rsidRPr="00DB6404">
              <w:rPr>
                <w:b/>
                <w:color w:val="3D4D7D" w:themeColor="background2"/>
                <w:kern w:val="2"/>
              </w:rPr>
              <w:t>Government loan</w:t>
            </w:r>
          </w:p>
        </w:tc>
        <w:tc>
          <w:tcPr>
            <w:tcW w:w="3537" w:type="dxa"/>
            <w:shd w:val="clear" w:color="auto" w:fill="E3E5E6" w:themeFill="accent6" w:themeFillTint="33"/>
          </w:tcPr>
          <w:p w:rsidR="00143C69" w:rsidRPr="00DB6404" w:rsidRDefault="00143C69" w:rsidP="00DB6404">
            <w:pPr>
              <w:pStyle w:val="BodyText"/>
              <w:keepNext/>
              <w:spacing w:before="70" w:after="70"/>
              <w:rPr>
                <w:color w:val="3D4D7D" w:themeColor="background2"/>
                <w:kern w:val="2"/>
              </w:rPr>
            </w:pPr>
            <w:r w:rsidRPr="00DB6404">
              <w:rPr>
                <w:color w:val="3D4D7D" w:themeColor="background2"/>
                <w:kern w:val="2"/>
              </w:rPr>
              <w:t xml:space="preserve">A loan issued by the </w:t>
            </w:r>
            <w:r w:rsidR="00B63D1A" w:rsidRPr="00DB6404">
              <w:rPr>
                <w:color w:val="3D4D7D" w:themeColor="background2"/>
                <w:kern w:val="2"/>
              </w:rPr>
              <w:t>g</w:t>
            </w:r>
            <w:r w:rsidRPr="00DB6404">
              <w:rPr>
                <w:color w:val="3D4D7D" w:themeColor="background2"/>
                <w:kern w:val="2"/>
              </w:rPr>
              <w:t xml:space="preserve">overnment, </w:t>
            </w:r>
            <w:r w:rsidR="00BC6A25" w:rsidRPr="00DB6404">
              <w:rPr>
                <w:color w:val="3D4D7D" w:themeColor="background2"/>
                <w:kern w:val="2"/>
              </w:rPr>
              <w:t xml:space="preserve">which </w:t>
            </w:r>
            <w:r w:rsidR="001D5C8D" w:rsidRPr="00DB6404">
              <w:rPr>
                <w:color w:val="3D4D7D" w:themeColor="background2"/>
                <w:kern w:val="2"/>
              </w:rPr>
              <w:t xml:space="preserve">is </w:t>
            </w:r>
            <w:r w:rsidR="008C07AA" w:rsidRPr="00DB6404">
              <w:rPr>
                <w:color w:val="3D4D7D" w:themeColor="background2"/>
                <w:kern w:val="2"/>
              </w:rPr>
              <w:t xml:space="preserve">often </w:t>
            </w:r>
            <w:r w:rsidRPr="00DB6404">
              <w:rPr>
                <w:color w:val="3D4D7D" w:themeColor="background2"/>
                <w:kern w:val="2"/>
              </w:rPr>
              <w:t xml:space="preserve">offered at conditions more favourable than would be offered commercially.  </w:t>
            </w:r>
            <w:r w:rsidR="001D5C8D" w:rsidRPr="00DB6404">
              <w:rPr>
                <w:color w:val="3D4D7D" w:themeColor="background2"/>
                <w:kern w:val="2"/>
              </w:rPr>
              <w:t>For example the loan may have a lower</w:t>
            </w:r>
            <w:r w:rsidR="00FB0EAE" w:rsidRPr="00DB6404">
              <w:rPr>
                <w:color w:val="3D4D7D" w:themeColor="background2"/>
                <w:kern w:val="2"/>
              </w:rPr>
              <w:t>-</w:t>
            </w:r>
            <w:r w:rsidR="001D5C8D" w:rsidRPr="00DB6404">
              <w:rPr>
                <w:color w:val="3D4D7D" w:themeColor="background2"/>
                <w:kern w:val="2"/>
              </w:rPr>
              <w:t>than</w:t>
            </w:r>
            <w:r w:rsidR="00FB0EAE" w:rsidRPr="00DB6404">
              <w:rPr>
                <w:color w:val="3D4D7D" w:themeColor="background2"/>
                <w:kern w:val="2"/>
              </w:rPr>
              <w:t>-</w:t>
            </w:r>
            <w:r w:rsidR="001D5C8D" w:rsidRPr="00DB6404">
              <w:rPr>
                <w:color w:val="3D4D7D" w:themeColor="background2"/>
                <w:kern w:val="2"/>
              </w:rPr>
              <w:t xml:space="preserve">commercial interest rate and repayments may be contingent on income or some other factors.  </w:t>
            </w:r>
            <w:r w:rsidRPr="00DB6404">
              <w:rPr>
                <w:color w:val="3D4D7D" w:themeColor="background2"/>
                <w:kern w:val="2"/>
              </w:rPr>
              <w:t xml:space="preserve">The </w:t>
            </w:r>
            <w:r w:rsidR="00B63D1A" w:rsidRPr="00DB6404">
              <w:rPr>
                <w:color w:val="3D4D7D" w:themeColor="background2"/>
                <w:kern w:val="2"/>
              </w:rPr>
              <w:t>g</w:t>
            </w:r>
            <w:r w:rsidRPr="00DB6404">
              <w:rPr>
                <w:color w:val="3D4D7D" w:themeColor="background2"/>
                <w:kern w:val="2"/>
              </w:rPr>
              <w:t xml:space="preserve">overnment </w:t>
            </w:r>
            <w:r w:rsidR="002F0601" w:rsidRPr="00DB6404">
              <w:rPr>
                <w:color w:val="3D4D7D" w:themeColor="background2"/>
                <w:kern w:val="2"/>
              </w:rPr>
              <w:t xml:space="preserve">may receive </w:t>
            </w:r>
            <w:r w:rsidRPr="00DB6404">
              <w:rPr>
                <w:color w:val="3D4D7D" w:themeColor="background2"/>
                <w:kern w:val="2"/>
              </w:rPr>
              <w:t>repayments and interest from the loan.</w:t>
            </w:r>
          </w:p>
        </w:tc>
        <w:tc>
          <w:tcPr>
            <w:tcW w:w="3085" w:type="dxa"/>
            <w:tcBorders>
              <w:right w:val="nil"/>
            </w:tcBorders>
            <w:shd w:val="clear" w:color="auto" w:fill="E3E5E6" w:themeFill="accent6" w:themeFillTint="33"/>
          </w:tcPr>
          <w:p w:rsidR="00143C69" w:rsidRPr="00DB6404" w:rsidRDefault="00143C69" w:rsidP="00DB6404">
            <w:pPr>
              <w:pStyle w:val="BodyText"/>
              <w:keepNext/>
              <w:spacing w:before="70" w:after="70"/>
              <w:rPr>
                <w:color w:val="3D4D7D" w:themeColor="background2"/>
                <w:kern w:val="2"/>
              </w:rPr>
            </w:pPr>
            <w:r w:rsidRPr="00DB6404">
              <w:rPr>
                <w:color w:val="3D4D7D" w:themeColor="background2"/>
                <w:kern w:val="2"/>
              </w:rPr>
              <w:t xml:space="preserve">HELP; loans for infrastructure projects </w:t>
            </w:r>
            <w:r w:rsidR="00FD7F2F" w:rsidRPr="00DB6404">
              <w:rPr>
                <w:color w:val="3D4D7D" w:themeColor="background2"/>
                <w:kern w:val="2"/>
              </w:rPr>
              <w:t xml:space="preserve">such as </w:t>
            </w:r>
            <w:proofErr w:type="spellStart"/>
            <w:r w:rsidRPr="00DB6404">
              <w:rPr>
                <w:color w:val="3D4D7D" w:themeColor="background2"/>
                <w:kern w:val="2"/>
              </w:rPr>
              <w:t>Westconnex</w:t>
            </w:r>
            <w:proofErr w:type="spellEnd"/>
            <w:r w:rsidR="003660F0" w:rsidRPr="00DB6404">
              <w:rPr>
                <w:color w:val="3D4D7D" w:themeColor="background2"/>
                <w:kern w:val="2"/>
              </w:rPr>
              <w:t xml:space="preserve">; </w:t>
            </w:r>
            <w:r w:rsidR="00785806" w:rsidRPr="00DB6404">
              <w:rPr>
                <w:color w:val="3D4D7D" w:themeColor="background2"/>
                <w:kern w:val="2"/>
              </w:rPr>
              <w:t xml:space="preserve">loan to </w:t>
            </w:r>
            <w:r w:rsidR="00D360A3" w:rsidRPr="00DB6404">
              <w:rPr>
                <w:color w:val="3D4D7D" w:themeColor="background2"/>
                <w:kern w:val="2"/>
              </w:rPr>
              <w:t>NBN Co</w:t>
            </w:r>
            <w:r w:rsidR="00775AAA" w:rsidRPr="00DB6404">
              <w:rPr>
                <w:color w:val="3D4D7D" w:themeColor="background2"/>
                <w:kern w:val="2"/>
              </w:rPr>
              <w:t>; drought loans; loans through the Northern Australia Infrastructure Facility and the Clean</w:t>
            </w:r>
            <w:r w:rsidR="00FB0EAE" w:rsidRPr="00DB6404">
              <w:rPr>
                <w:color w:val="3D4D7D" w:themeColor="background2"/>
                <w:kern w:val="2"/>
              </w:rPr>
              <w:t> </w:t>
            </w:r>
            <w:r w:rsidR="00775AAA" w:rsidRPr="00DB6404">
              <w:rPr>
                <w:color w:val="3D4D7D" w:themeColor="background2"/>
                <w:kern w:val="2"/>
              </w:rPr>
              <w:t>Energy Finance Corporation</w:t>
            </w:r>
            <w:r w:rsidR="00D360A3" w:rsidRPr="00DB6404">
              <w:rPr>
                <w:color w:val="3D4D7D" w:themeColor="background2"/>
                <w:kern w:val="2"/>
              </w:rPr>
              <w:t>.</w:t>
            </w:r>
          </w:p>
        </w:tc>
      </w:tr>
      <w:tr w:rsidR="004A0B83" w:rsidRPr="004A0B83" w:rsidTr="00DB6404">
        <w:trPr>
          <w:cantSplit/>
        </w:trPr>
        <w:tc>
          <w:tcPr>
            <w:tcW w:w="1188" w:type="dxa"/>
            <w:vMerge/>
            <w:tcBorders>
              <w:left w:val="nil"/>
            </w:tcBorders>
            <w:shd w:val="clear" w:color="auto" w:fill="C8CCCD" w:themeFill="accent6" w:themeFillTint="66"/>
          </w:tcPr>
          <w:p w:rsidR="00143C69" w:rsidRPr="00DB6404" w:rsidRDefault="00143C69" w:rsidP="00DB6404">
            <w:pPr>
              <w:pStyle w:val="BodyText"/>
              <w:spacing w:before="70" w:after="70"/>
              <w:rPr>
                <w:b/>
                <w:color w:val="3D4D7D" w:themeColor="background2"/>
                <w:kern w:val="2"/>
              </w:rPr>
            </w:pPr>
          </w:p>
        </w:tc>
        <w:tc>
          <w:tcPr>
            <w:tcW w:w="1267" w:type="dxa"/>
            <w:shd w:val="clear" w:color="auto" w:fill="E3E5E6" w:themeFill="accent6" w:themeFillTint="33"/>
          </w:tcPr>
          <w:p w:rsidR="00143C69" w:rsidRPr="00DB6404" w:rsidRDefault="00143C69" w:rsidP="00DB6404">
            <w:pPr>
              <w:pStyle w:val="BodyText"/>
              <w:spacing w:before="70" w:after="70"/>
              <w:rPr>
                <w:b/>
                <w:color w:val="3D4D7D" w:themeColor="background2"/>
                <w:kern w:val="2"/>
              </w:rPr>
            </w:pPr>
            <w:r w:rsidRPr="00DB6404">
              <w:rPr>
                <w:b/>
                <w:color w:val="3D4D7D" w:themeColor="background2"/>
                <w:kern w:val="2"/>
              </w:rPr>
              <w:t>Government guarantee</w:t>
            </w:r>
          </w:p>
        </w:tc>
        <w:tc>
          <w:tcPr>
            <w:tcW w:w="3537" w:type="dxa"/>
            <w:shd w:val="clear" w:color="auto" w:fill="E3E5E6" w:themeFill="accent6" w:themeFillTint="33"/>
          </w:tcPr>
          <w:p w:rsidR="00143C69" w:rsidRPr="00DB6404" w:rsidRDefault="00143C69" w:rsidP="00DB6404">
            <w:pPr>
              <w:pStyle w:val="BodyText"/>
              <w:spacing w:before="70" w:after="70"/>
              <w:rPr>
                <w:color w:val="3D4D7D" w:themeColor="background2"/>
                <w:kern w:val="2"/>
              </w:rPr>
            </w:pPr>
            <w:r w:rsidRPr="00DB6404">
              <w:rPr>
                <w:color w:val="3D4D7D" w:themeColor="background2"/>
                <w:kern w:val="2"/>
              </w:rPr>
              <w:t xml:space="preserve">The </w:t>
            </w:r>
            <w:r w:rsidR="00B63D1A" w:rsidRPr="00DB6404">
              <w:rPr>
                <w:color w:val="3D4D7D" w:themeColor="background2"/>
                <w:kern w:val="2"/>
              </w:rPr>
              <w:t>g</w:t>
            </w:r>
            <w:r w:rsidRPr="00DB6404">
              <w:rPr>
                <w:color w:val="3D4D7D" w:themeColor="background2"/>
                <w:kern w:val="2"/>
              </w:rPr>
              <w:t>overnment agrees to assume the debt or performance obligations of another party in the instance of a default.</w:t>
            </w:r>
          </w:p>
        </w:tc>
        <w:tc>
          <w:tcPr>
            <w:tcW w:w="3085" w:type="dxa"/>
            <w:tcBorders>
              <w:right w:val="nil"/>
            </w:tcBorders>
            <w:shd w:val="clear" w:color="auto" w:fill="E3E5E6" w:themeFill="accent6" w:themeFillTint="33"/>
          </w:tcPr>
          <w:p w:rsidR="00143C69" w:rsidRPr="00DB6404" w:rsidRDefault="00143C69" w:rsidP="00DB6404">
            <w:pPr>
              <w:pStyle w:val="BodyText"/>
              <w:spacing w:before="70" w:after="70"/>
              <w:rPr>
                <w:color w:val="3D4D7D" w:themeColor="background2"/>
                <w:kern w:val="2"/>
              </w:rPr>
            </w:pPr>
            <w:r w:rsidRPr="00DB6404">
              <w:rPr>
                <w:color w:val="3D4D7D" w:themeColor="background2"/>
              </w:rPr>
              <w:t xml:space="preserve">First Home Loan Deposit </w:t>
            </w:r>
            <w:r w:rsidR="00785806" w:rsidRPr="00DB6404">
              <w:rPr>
                <w:color w:val="3D4D7D" w:themeColor="background2"/>
              </w:rPr>
              <w:t>Scheme</w:t>
            </w:r>
            <w:r w:rsidR="008E383C" w:rsidRPr="00DB6404">
              <w:rPr>
                <w:color w:val="3D4D7D" w:themeColor="background2"/>
              </w:rPr>
              <w:t>;</w:t>
            </w:r>
            <w:r w:rsidR="001D5C8D" w:rsidRPr="00DB6404">
              <w:rPr>
                <w:color w:val="3D4D7D" w:themeColor="background2"/>
              </w:rPr>
              <w:t xml:space="preserve"> </w:t>
            </w:r>
            <w:r w:rsidR="00B22ADF" w:rsidRPr="00DB6404">
              <w:rPr>
                <w:color w:val="3D4D7D" w:themeColor="background2"/>
              </w:rPr>
              <w:t>Accommodation Payment Guarantee Scheme</w:t>
            </w:r>
            <w:r w:rsidR="008E383C" w:rsidRPr="00DB6404">
              <w:rPr>
                <w:color w:val="3D4D7D" w:themeColor="background2"/>
              </w:rPr>
              <w:t>.</w:t>
            </w:r>
          </w:p>
        </w:tc>
      </w:tr>
      <w:tr w:rsidR="004A0B83" w:rsidRPr="004A0B83" w:rsidTr="00DB6404">
        <w:trPr>
          <w:cnfStyle w:val="000000010000" w:firstRow="0" w:lastRow="0" w:firstColumn="0" w:lastColumn="0" w:oddVBand="0" w:evenVBand="0" w:oddHBand="0" w:evenHBand="1" w:firstRowFirstColumn="0" w:firstRowLastColumn="0" w:lastRowFirstColumn="0" w:lastRowLastColumn="0"/>
          <w:cantSplit/>
        </w:trPr>
        <w:tc>
          <w:tcPr>
            <w:tcW w:w="1188" w:type="dxa"/>
            <w:tcBorders>
              <w:left w:val="nil"/>
            </w:tcBorders>
            <w:shd w:val="clear" w:color="auto" w:fill="C8CCCD" w:themeFill="accent6" w:themeFillTint="66"/>
            <w:vAlign w:val="center"/>
          </w:tcPr>
          <w:p w:rsidR="008E383C" w:rsidRPr="00DB6404" w:rsidRDefault="008E383C" w:rsidP="00DB6404">
            <w:pPr>
              <w:pStyle w:val="BodyText"/>
              <w:spacing w:before="70" w:after="70"/>
              <w:rPr>
                <w:b/>
                <w:color w:val="3D4D7D" w:themeColor="background2"/>
                <w:kern w:val="2"/>
              </w:rPr>
            </w:pPr>
            <w:r w:rsidRPr="00DB6404">
              <w:rPr>
                <w:b/>
                <w:color w:val="3D4D7D" w:themeColor="background2"/>
                <w:kern w:val="2"/>
              </w:rPr>
              <w:t>Tax expenditure</w:t>
            </w:r>
          </w:p>
        </w:tc>
        <w:tc>
          <w:tcPr>
            <w:tcW w:w="1267" w:type="dxa"/>
            <w:shd w:val="clear" w:color="auto" w:fill="E3E5E6" w:themeFill="accent6" w:themeFillTint="33"/>
          </w:tcPr>
          <w:p w:rsidR="008E383C" w:rsidRPr="00DB6404" w:rsidRDefault="008E383C" w:rsidP="00DB6404">
            <w:pPr>
              <w:pStyle w:val="BodyText"/>
              <w:spacing w:before="70" w:after="70"/>
              <w:rPr>
                <w:color w:val="3D4D7D" w:themeColor="background2"/>
                <w:kern w:val="2"/>
              </w:rPr>
            </w:pPr>
          </w:p>
        </w:tc>
        <w:tc>
          <w:tcPr>
            <w:tcW w:w="3537" w:type="dxa"/>
            <w:shd w:val="clear" w:color="auto" w:fill="E3E5E6" w:themeFill="accent6" w:themeFillTint="33"/>
          </w:tcPr>
          <w:p w:rsidR="008E383C" w:rsidRPr="00DB6404" w:rsidRDefault="008E383C" w:rsidP="00D65D0B">
            <w:pPr>
              <w:pStyle w:val="BodyText"/>
              <w:spacing w:before="70" w:after="70"/>
              <w:rPr>
                <w:color w:val="3D4D7D" w:themeColor="background2"/>
                <w:kern w:val="2"/>
              </w:rPr>
            </w:pPr>
            <w:r w:rsidRPr="00DB6404">
              <w:rPr>
                <w:color w:val="3D4D7D" w:themeColor="background2"/>
                <w:kern w:val="2"/>
              </w:rPr>
              <w:t xml:space="preserve">The </w:t>
            </w:r>
            <w:r w:rsidR="00B63D1A" w:rsidRPr="00DB6404">
              <w:rPr>
                <w:color w:val="3D4D7D" w:themeColor="background2"/>
                <w:kern w:val="2"/>
              </w:rPr>
              <w:t>g</w:t>
            </w:r>
            <w:r w:rsidRPr="00DB6404">
              <w:rPr>
                <w:color w:val="3D4D7D" w:themeColor="background2"/>
                <w:kern w:val="2"/>
              </w:rPr>
              <w:t xml:space="preserve">overnment has lower taxes for a particular </w:t>
            </w:r>
            <w:r w:rsidR="006F3B38" w:rsidRPr="00DB6404">
              <w:rPr>
                <w:color w:val="3D4D7D" w:themeColor="background2"/>
                <w:kern w:val="2"/>
              </w:rPr>
              <w:t xml:space="preserve">purpose or circumstance compared to </w:t>
            </w:r>
            <w:r w:rsidRPr="00DB6404">
              <w:rPr>
                <w:color w:val="3D4D7D" w:themeColor="background2"/>
                <w:kern w:val="2"/>
              </w:rPr>
              <w:t xml:space="preserve">a ‘benchmark’ level. </w:t>
            </w:r>
          </w:p>
        </w:tc>
        <w:tc>
          <w:tcPr>
            <w:tcW w:w="3085" w:type="dxa"/>
            <w:tcBorders>
              <w:right w:val="nil"/>
            </w:tcBorders>
            <w:shd w:val="clear" w:color="auto" w:fill="E3E5E6" w:themeFill="accent6" w:themeFillTint="33"/>
          </w:tcPr>
          <w:p w:rsidR="008E383C" w:rsidRPr="00DB6404" w:rsidRDefault="008E383C" w:rsidP="00D65D0B">
            <w:pPr>
              <w:pStyle w:val="BodyText"/>
              <w:spacing w:before="70" w:after="70"/>
              <w:rPr>
                <w:color w:val="3D4D7D" w:themeColor="background2"/>
                <w:kern w:val="2"/>
              </w:rPr>
            </w:pPr>
            <w:r w:rsidRPr="00DB6404">
              <w:rPr>
                <w:color w:val="3D4D7D" w:themeColor="background2"/>
                <w:kern w:val="2"/>
              </w:rPr>
              <w:t xml:space="preserve">Concessional taxation for superannuation </w:t>
            </w:r>
            <w:r w:rsidR="006F3B38" w:rsidRPr="00DB6404">
              <w:rPr>
                <w:color w:val="3D4D7D" w:themeColor="background2"/>
                <w:kern w:val="2"/>
              </w:rPr>
              <w:t>contributions; the</w:t>
            </w:r>
            <w:r w:rsidR="00FB0EAE" w:rsidRPr="00DB6404">
              <w:rPr>
                <w:color w:val="3D4D7D" w:themeColor="background2"/>
                <w:kern w:val="2"/>
              </w:rPr>
              <w:t> </w:t>
            </w:r>
            <w:r w:rsidR="00D65D0B">
              <w:rPr>
                <w:color w:val="3D4D7D" w:themeColor="background2"/>
                <w:kern w:val="2"/>
              </w:rPr>
              <w:t>capital gains tax discount</w:t>
            </w:r>
            <w:r w:rsidR="00FB0EAE" w:rsidRPr="00DB6404">
              <w:rPr>
                <w:color w:val="3D4D7D" w:themeColor="background2"/>
                <w:kern w:val="2"/>
              </w:rPr>
              <w:t>.</w:t>
            </w:r>
          </w:p>
        </w:tc>
      </w:tr>
    </w:tbl>
    <w:p w:rsidR="005832F6" w:rsidRDefault="005832F6" w:rsidP="005832F6">
      <w:pPr>
        <w:pStyle w:val="Heading2"/>
      </w:pPr>
      <w:bookmarkStart w:id="11" w:name="_Toc34320183"/>
      <w:bookmarkStart w:id="12" w:name="_Toc35451908"/>
      <w:bookmarkEnd w:id="11"/>
      <w:r>
        <w:lastRenderedPageBreak/>
        <w:t>The use of alternative financing arrangements</w:t>
      </w:r>
      <w:r w:rsidR="00202AB4" w:rsidRPr="00202AB4">
        <w:t xml:space="preserve"> </w:t>
      </w:r>
      <w:r w:rsidR="00202AB4">
        <w:t>is growing</w:t>
      </w:r>
      <w:bookmarkEnd w:id="12"/>
    </w:p>
    <w:p w:rsidR="00A63508" w:rsidRPr="00497FC5" w:rsidRDefault="00B276EF" w:rsidP="00BD47A4">
      <w:pPr>
        <w:pStyle w:val="BodyText"/>
        <w:spacing w:after="120"/>
      </w:pPr>
      <w:r w:rsidRPr="00497FC5">
        <w:t>T</w:t>
      </w:r>
      <w:r w:rsidR="00D360A3" w:rsidRPr="00497FC5">
        <w:t xml:space="preserve">he </w:t>
      </w:r>
      <w:r w:rsidR="00FF4FA4" w:rsidRPr="00497FC5">
        <w:t>trend</w:t>
      </w:r>
      <w:r w:rsidR="00FC27DA" w:rsidRPr="00497FC5">
        <w:t xml:space="preserve"> </w:t>
      </w:r>
      <w:r w:rsidR="00C03D5E" w:rsidRPr="00497FC5">
        <w:t>toward greater</w:t>
      </w:r>
      <w:r w:rsidR="00785806" w:rsidRPr="00497FC5">
        <w:t xml:space="preserve"> use of alternative financing arrangements </w:t>
      </w:r>
      <w:r w:rsidR="008413C8" w:rsidRPr="00497FC5">
        <w:t>is evident</w:t>
      </w:r>
      <w:r w:rsidR="00A63508" w:rsidRPr="00497FC5">
        <w:t xml:space="preserve"> in </w:t>
      </w:r>
      <w:r w:rsidR="00236F88" w:rsidRPr="00497FC5">
        <w:t xml:space="preserve">several </w:t>
      </w:r>
      <w:r w:rsidR="00A63508" w:rsidRPr="00497FC5">
        <w:t>areas of Commonwealth</w:t>
      </w:r>
      <w:r w:rsidR="00B624A8" w:rsidRPr="00497FC5">
        <w:t> Government</w:t>
      </w:r>
      <w:r w:rsidR="00A63508" w:rsidRPr="00497FC5">
        <w:t xml:space="preserve"> spending</w:t>
      </w:r>
      <w:r w:rsidR="00FE67A8" w:rsidRPr="00E21171">
        <w:t xml:space="preserve">, such as </w:t>
      </w:r>
      <w:r w:rsidR="00CF7C5B" w:rsidRPr="00497FC5">
        <w:t>transport, energy</w:t>
      </w:r>
      <w:r w:rsidR="00236F88" w:rsidRPr="00497FC5">
        <w:t xml:space="preserve"> and telecommunications infrastructure and education.</w:t>
      </w:r>
    </w:p>
    <w:p w:rsidR="00FC01C5" w:rsidRDefault="00497FC5" w:rsidP="00BD47A4">
      <w:pPr>
        <w:pStyle w:val="BodyText"/>
        <w:spacing w:after="120"/>
      </w:pPr>
      <w:r w:rsidRPr="00497FC5">
        <w:t>By way of example, Figure 1–1</w:t>
      </w:r>
      <w:r w:rsidR="00236F88" w:rsidRPr="00497FC5">
        <w:t xml:space="preserve"> </w:t>
      </w:r>
      <w:r w:rsidRPr="00497FC5">
        <w:t>s</w:t>
      </w:r>
      <w:r w:rsidR="006A75E2" w:rsidRPr="00E21171">
        <w:t>hows the increasing share of transport infrastructure funded using alternative financing arrangements.</w:t>
      </w:r>
      <w:r w:rsidR="006A75E2">
        <w:t xml:space="preserve"> </w:t>
      </w:r>
      <w:r>
        <w:t xml:space="preserve"> </w:t>
      </w:r>
      <w:r w:rsidR="00BC6A25">
        <w:t xml:space="preserve">Between </w:t>
      </w:r>
      <w:r w:rsidR="00BC6A25" w:rsidRPr="005832F6">
        <w:t>2007</w:t>
      </w:r>
      <w:r w:rsidR="002E2CA8" w:rsidRPr="00BB3C94">
        <w:t>–</w:t>
      </w:r>
      <w:r w:rsidR="00BC6A25" w:rsidRPr="005832F6">
        <w:t xml:space="preserve">08 </w:t>
      </w:r>
      <w:r w:rsidR="00BC6A25">
        <w:t xml:space="preserve">and </w:t>
      </w:r>
      <w:r w:rsidR="00BC6A25" w:rsidRPr="005832F6">
        <w:t>2016</w:t>
      </w:r>
      <w:r w:rsidR="002E2CA8" w:rsidRPr="00BB3C94">
        <w:t>–</w:t>
      </w:r>
      <w:r w:rsidR="00BC6A25" w:rsidRPr="005832F6">
        <w:t>17</w:t>
      </w:r>
      <w:r w:rsidR="00FF4FA4" w:rsidRPr="005832F6">
        <w:t xml:space="preserve">, the </w:t>
      </w:r>
      <w:r w:rsidR="00BC6A25">
        <w:t xml:space="preserve">average </w:t>
      </w:r>
      <w:r w:rsidR="00FF4FA4" w:rsidRPr="005832F6">
        <w:t xml:space="preserve">proportion of </w:t>
      </w:r>
      <w:r w:rsidR="00BC6A25">
        <w:t>the Commonwealth</w:t>
      </w:r>
      <w:r w:rsidR="00B624A8">
        <w:t> Government</w:t>
      </w:r>
      <w:r w:rsidR="00BC6A25">
        <w:t xml:space="preserve">’s annual investment in </w:t>
      </w:r>
      <w:r w:rsidR="00FF4FA4" w:rsidRPr="005832F6">
        <w:t xml:space="preserve">transport infrastructure funded through alternative financing </w:t>
      </w:r>
      <w:r w:rsidR="008413C8">
        <w:t xml:space="preserve">arrangements </w:t>
      </w:r>
      <w:r w:rsidR="00FF4FA4" w:rsidRPr="005832F6">
        <w:t xml:space="preserve">was around </w:t>
      </w:r>
      <w:r w:rsidR="006A75E2">
        <w:t>5</w:t>
      </w:r>
      <w:r w:rsidR="00BC6A25">
        <w:t> </w:t>
      </w:r>
      <w:r w:rsidR="00FF4FA4" w:rsidRPr="005832F6">
        <w:t>per cent.  From 2017</w:t>
      </w:r>
      <w:r w:rsidR="002E2CA8" w:rsidRPr="00BB3C94">
        <w:t>–</w:t>
      </w:r>
      <w:r w:rsidR="00FF4FA4" w:rsidRPr="005832F6">
        <w:t xml:space="preserve">18 to the end of the </w:t>
      </w:r>
      <w:r w:rsidR="00FA661F">
        <w:br/>
      </w:r>
      <w:r w:rsidR="00EE43C3">
        <w:t>2019</w:t>
      </w:r>
      <w:r w:rsidR="002E2CA8" w:rsidRPr="00BB3C94">
        <w:t>–</w:t>
      </w:r>
      <w:r w:rsidR="00EE43C3">
        <w:t xml:space="preserve">20 Budget </w:t>
      </w:r>
      <w:r w:rsidR="00FF4FA4" w:rsidRPr="005832F6">
        <w:t>forward estimates period in 2022</w:t>
      </w:r>
      <w:r w:rsidR="00FB0EAE" w:rsidRPr="00BB3C94">
        <w:t>–</w:t>
      </w:r>
      <w:r w:rsidR="00FF4FA4" w:rsidRPr="005832F6">
        <w:t>23, the proportion is set to average 2</w:t>
      </w:r>
      <w:r w:rsidR="006A75E2">
        <w:t>0</w:t>
      </w:r>
      <w:r w:rsidR="00FF4FA4">
        <w:t> </w:t>
      </w:r>
      <w:r w:rsidR="00FF4FA4" w:rsidRPr="005832F6">
        <w:t>per</w:t>
      </w:r>
      <w:r w:rsidR="00FF4FA4">
        <w:t> </w:t>
      </w:r>
      <w:r w:rsidR="00FF4FA4" w:rsidRPr="005832F6">
        <w:t>cent.</w:t>
      </w:r>
    </w:p>
    <w:tbl>
      <w:tblPr>
        <w:tblStyle w:val="TablePlaceholder"/>
        <w:tblW w:w="8504" w:type="dxa"/>
        <w:tblInd w:w="108" w:type="dxa"/>
        <w:tblLayout w:type="fixed"/>
        <w:tblCellMar>
          <w:left w:w="108" w:type="dxa"/>
          <w:right w:w="108" w:type="dxa"/>
        </w:tblCellMar>
        <w:tblLook w:val="04A0" w:firstRow="1" w:lastRow="0" w:firstColumn="1" w:lastColumn="0" w:noHBand="0" w:noVBand="1"/>
      </w:tblPr>
      <w:tblGrid>
        <w:gridCol w:w="8504"/>
      </w:tblGrid>
      <w:tr w:rsidR="002C4713" w:rsidRPr="00BF19BB" w:rsidTr="00D92B53">
        <w:trPr>
          <w:trHeight w:val="6415"/>
        </w:trPr>
        <w:tc>
          <w:tcPr>
            <w:tcW w:w="8504" w:type="dxa"/>
          </w:tcPr>
          <w:p w:rsidR="00F770E0" w:rsidRDefault="006F3B38" w:rsidP="006F3B38">
            <w:pPr>
              <w:pStyle w:val="Caption"/>
              <w:spacing w:before="120"/>
              <w:rPr>
                <w:kern w:val="2"/>
              </w:rPr>
            </w:pPr>
            <w:r w:rsidRPr="00BF19BB">
              <w:t xml:space="preserve">Figure </w:t>
            </w:r>
            <w:r w:rsidRPr="008672A4">
              <w:fldChar w:fldCharType="begin"/>
            </w:r>
            <w:r w:rsidRPr="00BF19BB">
              <w:instrText xml:space="preserve"> STYLEREF 1 \s </w:instrText>
            </w:r>
            <w:r w:rsidRPr="008672A4">
              <w:fldChar w:fldCharType="separate"/>
            </w:r>
            <w:r w:rsidR="003F421C">
              <w:rPr>
                <w:noProof/>
              </w:rPr>
              <w:t>1</w:t>
            </w:r>
            <w:r w:rsidRPr="008672A4">
              <w:rPr>
                <w:noProof/>
              </w:rPr>
              <w:fldChar w:fldCharType="end"/>
            </w:r>
            <w:r w:rsidRPr="00BF19BB">
              <w:t>–</w:t>
            </w:r>
            <w:r w:rsidRPr="008672A4">
              <w:fldChar w:fldCharType="begin"/>
            </w:r>
            <w:r w:rsidRPr="00BF19BB">
              <w:instrText xml:space="preserve"> SEQ Figure \* ARABIC \s 1 </w:instrText>
            </w:r>
            <w:r w:rsidRPr="008672A4">
              <w:fldChar w:fldCharType="separate"/>
            </w:r>
            <w:r w:rsidR="003F421C">
              <w:rPr>
                <w:noProof/>
              </w:rPr>
              <w:t>1</w:t>
            </w:r>
            <w:r w:rsidRPr="008672A4">
              <w:rPr>
                <w:noProof/>
              </w:rPr>
              <w:fldChar w:fldCharType="end"/>
            </w:r>
            <w:r w:rsidRPr="00BF19BB">
              <w:rPr>
                <w:kern w:val="2"/>
              </w:rPr>
              <w:t xml:space="preserve">: </w:t>
            </w:r>
            <w:r>
              <w:rPr>
                <w:kern w:val="2"/>
              </w:rPr>
              <w:t>Commonwealth G</w:t>
            </w:r>
            <w:r w:rsidRPr="00BF19BB">
              <w:rPr>
                <w:kern w:val="2"/>
              </w:rPr>
              <w:t>overnment transport infrastructure investment</w:t>
            </w:r>
            <w:r>
              <w:rPr>
                <w:kern w:val="2"/>
              </w:rPr>
              <w:t xml:space="preserve"> </w:t>
            </w:r>
          </w:p>
          <w:p w:rsidR="002C4713" w:rsidRPr="00E70749" w:rsidRDefault="00507FA9" w:rsidP="00E02832">
            <w:pPr>
              <w:pStyle w:val="CaptionDescriptor"/>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212.65pt">
                  <v:imagedata r:id="rId29" o:title="Alternative-financing-Fig-1-1_04"/>
                </v:shape>
              </w:pict>
            </w:r>
          </w:p>
          <w:p w:rsidR="00FC27DA" w:rsidRPr="00BF19BB" w:rsidRDefault="00FC27DA" w:rsidP="00FC27DA">
            <w:pPr>
              <w:pStyle w:val="Source"/>
              <w:rPr>
                <w:kern w:val="2"/>
              </w:rPr>
            </w:pPr>
            <w:r w:rsidRPr="00BF19BB">
              <w:rPr>
                <w:kern w:val="2"/>
              </w:rPr>
              <w:t xml:space="preserve">Note: Support through alternative financing includes equity injections to support major projects such as </w:t>
            </w:r>
            <w:r w:rsidR="00B63D1A">
              <w:rPr>
                <w:kern w:val="2"/>
              </w:rPr>
              <w:t>i</w:t>
            </w:r>
            <w:r w:rsidRPr="00BF19BB">
              <w:rPr>
                <w:kern w:val="2"/>
              </w:rPr>
              <w:t xml:space="preserve">nland </w:t>
            </w:r>
            <w:r w:rsidR="00B63D1A">
              <w:rPr>
                <w:kern w:val="2"/>
              </w:rPr>
              <w:t>r</w:t>
            </w:r>
            <w:r w:rsidRPr="00BF19BB">
              <w:rPr>
                <w:kern w:val="2"/>
              </w:rPr>
              <w:t xml:space="preserve">ail and </w:t>
            </w:r>
            <w:r w:rsidR="00FB0EAE">
              <w:rPr>
                <w:kern w:val="2"/>
              </w:rPr>
              <w:t xml:space="preserve">the building of </w:t>
            </w:r>
            <w:r w:rsidRPr="00BF19BB">
              <w:rPr>
                <w:kern w:val="2"/>
              </w:rPr>
              <w:t xml:space="preserve">Western Sydney Airport, as well as concessional loan arrangements, such as for </w:t>
            </w:r>
            <w:proofErr w:type="spellStart"/>
            <w:r w:rsidRPr="00BF19BB">
              <w:rPr>
                <w:kern w:val="2"/>
              </w:rPr>
              <w:t>West</w:t>
            </w:r>
            <w:r w:rsidR="00B63D1A">
              <w:rPr>
                <w:kern w:val="2"/>
              </w:rPr>
              <w:t>c</w:t>
            </w:r>
            <w:r w:rsidRPr="00BF19BB">
              <w:rPr>
                <w:kern w:val="2"/>
              </w:rPr>
              <w:t>onnex</w:t>
            </w:r>
            <w:proofErr w:type="spellEnd"/>
            <w:r w:rsidRPr="00BF19BB">
              <w:rPr>
                <w:kern w:val="2"/>
              </w:rPr>
              <w:t xml:space="preserve"> and Sunshine Coast Airport.</w:t>
            </w:r>
            <w:r w:rsidR="005F24F9">
              <w:rPr>
                <w:kern w:val="2"/>
              </w:rPr>
              <w:t xml:space="preserve">  The forecasts for transport infrastructure investment provided through alternative financing arrangements are averaged over the </w:t>
            </w:r>
            <w:r w:rsidR="00FB0EAE">
              <w:rPr>
                <w:kern w:val="2"/>
              </w:rPr>
              <w:t>2019</w:t>
            </w:r>
            <w:r w:rsidR="00FB0EAE" w:rsidRPr="00BB3C94">
              <w:t>–</w:t>
            </w:r>
            <w:r w:rsidR="00FB0EAE">
              <w:t xml:space="preserve">20 Budget </w:t>
            </w:r>
            <w:r w:rsidR="005F24F9">
              <w:rPr>
                <w:kern w:val="2"/>
              </w:rPr>
              <w:t>forward estimates period</w:t>
            </w:r>
            <w:r w:rsidR="00CD5F2A">
              <w:rPr>
                <w:kern w:val="2"/>
              </w:rPr>
              <w:t xml:space="preserve"> to address confidentiality concerns</w:t>
            </w:r>
            <w:r w:rsidR="005F24F9">
              <w:rPr>
                <w:kern w:val="2"/>
              </w:rPr>
              <w:t xml:space="preserve">. </w:t>
            </w:r>
          </w:p>
          <w:p w:rsidR="002C4713" w:rsidRDefault="00FC27DA" w:rsidP="005F24F9">
            <w:pPr>
              <w:pStyle w:val="Source"/>
              <w:rPr>
                <w:kern w:val="2"/>
              </w:rPr>
            </w:pPr>
            <w:r w:rsidRPr="00BF19BB">
              <w:rPr>
                <w:kern w:val="2"/>
              </w:rPr>
              <w:t>Source: Department of Finance, as provided to the Joint Committee of Public Accounts and Audit on 19</w:t>
            </w:r>
            <w:r w:rsidR="00AF63EF">
              <w:rPr>
                <w:kern w:val="2"/>
              </w:rPr>
              <w:t> </w:t>
            </w:r>
            <w:r w:rsidRPr="00BF19BB">
              <w:rPr>
                <w:kern w:val="2"/>
              </w:rPr>
              <w:t xml:space="preserve">September 2018; </w:t>
            </w:r>
            <w:r w:rsidR="00FA661F">
              <w:rPr>
                <w:kern w:val="2"/>
              </w:rPr>
              <w:t>i</w:t>
            </w:r>
            <w:r w:rsidR="001C6EA1">
              <w:rPr>
                <w:kern w:val="2"/>
              </w:rPr>
              <w:t xml:space="preserve">nformation provided to the PBO by the </w:t>
            </w:r>
            <w:r w:rsidR="00225407">
              <w:rPr>
                <w:kern w:val="2"/>
              </w:rPr>
              <w:t>Department of Infrastructure, Regional Development and Cities</w:t>
            </w:r>
            <w:r w:rsidR="001C6EA1">
              <w:rPr>
                <w:kern w:val="2"/>
              </w:rPr>
              <w:t>; and PBO calculation</w:t>
            </w:r>
            <w:r w:rsidR="00497FC5">
              <w:rPr>
                <w:kern w:val="2"/>
              </w:rPr>
              <w:t>s</w:t>
            </w:r>
            <w:r w:rsidR="001C6EA1">
              <w:rPr>
                <w:kern w:val="2"/>
              </w:rPr>
              <w:t>.</w:t>
            </w:r>
          </w:p>
        </w:tc>
      </w:tr>
    </w:tbl>
    <w:p w:rsidR="005C3110" w:rsidRDefault="00EE43C3">
      <w:pPr>
        <w:pStyle w:val="BodyText17ptAbove"/>
      </w:pPr>
      <w:r>
        <w:t>A more comprehensive way of</w:t>
      </w:r>
      <w:r w:rsidR="008141D5">
        <w:t xml:space="preserve"> </w:t>
      </w:r>
      <w:r w:rsidR="00FC091E">
        <w:t xml:space="preserve">assessing </w:t>
      </w:r>
      <w:r w:rsidR="00126F5E">
        <w:t>the degree to which</w:t>
      </w:r>
      <w:r w:rsidR="008413C8">
        <w:t xml:space="preserve"> alternative financing arrangements </w:t>
      </w:r>
      <w:r w:rsidR="00FC091E">
        <w:t xml:space="preserve">are </w:t>
      </w:r>
      <w:r w:rsidR="00556D63">
        <w:t xml:space="preserve">being </w:t>
      </w:r>
      <w:r w:rsidR="00FC091E">
        <w:t xml:space="preserve">used </w:t>
      </w:r>
      <w:r w:rsidR="008413C8">
        <w:t xml:space="preserve">to implement policy is </w:t>
      </w:r>
      <w:r w:rsidR="00FC091E">
        <w:t xml:space="preserve">to look at </w:t>
      </w:r>
      <w:r>
        <w:t>the net cash flow associated with these arrangements.  T</w:t>
      </w:r>
      <w:r w:rsidR="00F00B75">
        <w:t xml:space="preserve">he budget documents refer to </w:t>
      </w:r>
      <w:r w:rsidR="00F770E0">
        <w:t xml:space="preserve">this </w:t>
      </w:r>
      <w:r w:rsidR="009032D6">
        <w:t xml:space="preserve">item </w:t>
      </w:r>
      <w:r>
        <w:t xml:space="preserve">as the </w:t>
      </w:r>
      <w:r w:rsidR="00F00B75">
        <w:t>‘total net cash flows from investments in financial assets for policy purposes’</w:t>
      </w:r>
      <w:r w:rsidR="00FB0EAE">
        <w:t>.</w:t>
      </w:r>
      <w:r w:rsidR="00D360A3">
        <w:rPr>
          <w:rStyle w:val="FootnoteReference"/>
        </w:rPr>
        <w:footnoteReference w:id="4"/>
      </w:r>
      <w:r w:rsidR="00F00B75">
        <w:t xml:space="preserve">  </w:t>
      </w:r>
    </w:p>
    <w:p w:rsidR="005C3110" w:rsidRDefault="00FD7F2F" w:rsidP="005C3110">
      <w:pPr>
        <w:pStyle w:val="BodyText"/>
      </w:pPr>
      <w:r>
        <w:t xml:space="preserve">The net cash flow </w:t>
      </w:r>
      <w:r w:rsidR="00BC6A25">
        <w:t>over the period 2006</w:t>
      </w:r>
      <w:r w:rsidR="002E2CA8" w:rsidRPr="00BB3C94">
        <w:t>–</w:t>
      </w:r>
      <w:r w:rsidR="00BC6A25">
        <w:t>07 to 2018</w:t>
      </w:r>
      <w:r w:rsidR="002E2CA8" w:rsidRPr="00BB3C94">
        <w:t>–</w:t>
      </w:r>
      <w:r w:rsidR="00BC6A25">
        <w:t xml:space="preserve">19 is represented by </w:t>
      </w:r>
      <w:r>
        <w:t>the black line in Fig</w:t>
      </w:r>
      <w:r w:rsidR="00BC6A25">
        <w:t>ure</w:t>
      </w:r>
      <w:r>
        <w:t xml:space="preserve"> 1</w:t>
      </w:r>
      <w:r w:rsidR="002E2CA8" w:rsidRPr="00BB3C94">
        <w:t>–</w:t>
      </w:r>
      <w:r>
        <w:t>2</w:t>
      </w:r>
      <w:r w:rsidR="008E52ED">
        <w:t xml:space="preserve">.  </w:t>
      </w:r>
    </w:p>
    <w:p w:rsidR="005C3110" w:rsidRDefault="005C3110" w:rsidP="005C3110">
      <w:pPr>
        <w:pStyle w:val="BodyText"/>
      </w:pPr>
      <w:r>
        <w:t>When the government makes equity investments and issues loans</w:t>
      </w:r>
      <w:r w:rsidR="007B6204">
        <w:t>,</w:t>
      </w:r>
      <w:r>
        <w:t xml:space="preserve"> the amount of cash held on the government’s balance sheet is reduced, reflecting an outflow of cash </w:t>
      </w:r>
      <w:r w:rsidRPr="00830695">
        <w:rPr>
          <w:u w:val="single"/>
        </w:rPr>
        <w:t>from</w:t>
      </w:r>
      <w:r>
        <w:t xml:space="preserve"> government to another entity.  This </w:t>
      </w:r>
      <w:r w:rsidRPr="00F031CC">
        <w:rPr>
          <w:u w:val="single"/>
        </w:rPr>
        <w:t>lowers</w:t>
      </w:r>
      <w:r>
        <w:t xml:space="preserve"> the net cash flow.</w:t>
      </w:r>
    </w:p>
    <w:p w:rsidR="005C3110" w:rsidRDefault="005C3110" w:rsidP="005C3110">
      <w:pPr>
        <w:pStyle w:val="BodyText"/>
      </w:pPr>
      <w:r>
        <w:t>Conversely, when the government sells investments and receives loan repayments</w:t>
      </w:r>
      <w:r w:rsidR="007B6204">
        <w:t>,</w:t>
      </w:r>
      <w:r>
        <w:t xml:space="preserve"> the amount of cash held on its balance sheet increases, reflecting an inflow of cash </w:t>
      </w:r>
      <w:r>
        <w:rPr>
          <w:u w:val="single"/>
        </w:rPr>
        <w:t>to</w:t>
      </w:r>
      <w:r>
        <w:t xml:space="preserve"> government from another entity</w:t>
      </w:r>
      <w:r>
        <w:rPr>
          <w:rStyle w:val="BodyTextChar"/>
        </w:rPr>
        <w:t>.  This</w:t>
      </w:r>
      <w:r>
        <w:t xml:space="preserve"> </w:t>
      </w:r>
      <w:r w:rsidRPr="00F031CC">
        <w:rPr>
          <w:u w:val="single"/>
        </w:rPr>
        <w:t>increases</w:t>
      </w:r>
      <w:r>
        <w:t xml:space="preserve"> the net cash flow.</w:t>
      </w:r>
    </w:p>
    <w:p w:rsidR="005C3110" w:rsidRPr="00BC6A25" w:rsidRDefault="005C3110" w:rsidP="00DB6404">
      <w:pPr>
        <w:pStyle w:val="BodyText"/>
        <w:spacing w:after="120"/>
      </w:pPr>
      <w:r w:rsidRPr="00BC6A25">
        <w:lastRenderedPageBreak/>
        <w:t>When</w:t>
      </w:r>
      <w:r>
        <w:t xml:space="preserve"> this cash </w:t>
      </w:r>
      <w:r w:rsidR="00B6700A">
        <w:t xml:space="preserve">impact </w:t>
      </w:r>
      <w:r w:rsidRPr="00BC6A25">
        <w:t>is negative</w:t>
      </w:r>
      <w:r>
        <w:t xml:space="preserve"> over a period of time, more cash has flowed out from government to other entities, in the form of new investments or loans, than cash has flowed in from other entities to government, in the form of proceeds from investments sold or loan repayments.</w:t>
      </w:r>
      <w:r w:rsidRPr="00BC6A25">
        <w:t xml:space="preserve">  </w:t>
      </w:r>
    </w:p>
    <w:tbl>
      <w:tblPr>
        <w:tblStyle w:val="TablePlaceholder"/>
        <w:tblW w:w="8504" w:type="dxa"/>
        <w:tblLayout w:type="fixed"/>
        <w:tblLook w:val="04A0" w:firstRow="1" w:lastRow="0" w:firstColumn="1" w:lastColumn="0" w:noHBand="0" w:noVBand="1"/>
      </w:tblPr>
      <w:tblGrid>
        <w:gridCol w:w="8504"/>
      </w:tblGrid>
      <w:tr w:rsidR="00FC01C5" w:rsidRPr="00BF19BB" w:rsidTr="00A718B4">
        <w:tc>
          <w:tcPr>
            <w:tcW w:w="8504" w:type="dxa"/>
          </w:tcPr>
          <w:p w:rsidR="00FC01C5" w:rsidRDefault="00FC01C5" w:rsidP="00511480">
            <w:pPr>
              <w:pStyle w:val="Caption"/>
              <w:spacing w:before="120"/>
              <w:rPr>
                <w:kern w:val="2"/>
              </w:rPr>
            </w:pPr>
            <w:bookmarkStart w:id="13" w:name="_Ref529189715"/>
            <w:r w:rsidRPr="00BF19BB">
              <w:t xml:space="preserve">Figure </w:t>
            </w:r>
            <w:r w:rsidRPr="008672A4">
              <w:fldChar w:fldCharType="begin"/>
            </w:r>
            <w:r w:rsidRPr="00BF19BB">
              <w:instrText xml:space="preserve"> STYLEREF 1 \s </w:instrText>
            </w:r>
            <w:r w:rsidRPr="008672A4">
              <w:fldChar w:fldCharType="separate"/>
            </w:r>
            <w:r w:rsidR="003F421C">
              <w:rPr>
                <w:noProof/>
              </w:rPr>
              <w:t>1</w:t>
            </w:r>
            <w:r w:rsidRPr="008672A4">
              <w:rPr>
                <w:noProof/>
              </w:rPr>
              <w:fldChar w:fldCharType="end"/>
            </w:r>
            <w:r w:rsidRPr="00BF19BB">
              <w:t>–</w:t>
            </w:r>
            <w:bookmarkEnd w:id="13"/>
            <w:r w:rsidR="00FD7F2F">
              <w:t>2</w:t>
            </w:r>
            <w:r w:rsidRPr="00BF19BB">
              <w:rPr>
                <w:kern w:val="2"/>
              </w:rPr>
              <w:t xml:space="preserve">: Net cash flows </w:t>
            </w:r>
            <w:r w:rsidR="008141D5">
              <w:rPr>
                <w:kern w:val="2"/>
              </w:rPr>
              <w:t>from</w:t>
            </w:r>
            <w:r w:rsidR="00C8010A">
              <w:rPr>
                <w:kern w:val="2"/>
              </w:rPr>
              <w:t xml:space="preserve"> in</w:t>
            </w:r>
            <w:r w:rsidR="008141D5">
              <w:rPr>
                <w:kern w:val="2"/>
              </w:rPr>
              <w:t>vestments in</w:t>
            </w:r>
            <w:r w:rsidR="00C8010A">
              <w:rPr>
                <w:kern w:val="2"/>
              </w:rPr>
              <w:t xml:space="preserve"> </w:t>
            </w:r>
            <w:r>
              <w:rPr>
                <w:kern w:val="2"/>
              </w:rPr>
              <w:t>financial assets</w:t>
            </w:r>
            <w:r w:rsidR="00C8010A">
              <w:rPr>
                <w:kern w:val="2"/>
              </w:rPr>
              <w:t xml:space="preserve"> for policy purposes</w:t>
            </w:r>
          </w:p>
          <w:p w:rsidR="00DF71B4" w:rsidRPr="00DB6404" w:rsidRDefault="00507FA9" w:rsidP="00DB6404">
            <w:pPr>
              <w:pStyle w:val="CaptionDescriptor"/>
            </w:pPr>
            <w:r>
              <w:pict>
                <v:shape id="_x0000_i1026" type="#_x0000_t75" style="width:424.45pt;height:216.85pt">
                  <v:imagedata r:id="rId30" o:title="Alternative financing Figure 1-2 10"/>
                </v:shape>
              </w:pict>
            </w:r>
          </w:p>
        </w:tc>
      </w:tr>
      <w:tr w:rsidR="00FC01C5" w:rsidRPr="00BF19BB" w:rsidTr="00DB6404">
        <w:trPr>
          <w:trHeight w:val="1966"/>
        </w:trPr>
        <w:tc>
          <w:tcPr>
            <w:tcW w:w="8504" w:type="dxa"/>
          </w:tcPr>
          <w:p w:rsidR="009975DA" w:rsidRPr="00BF19BB" w:rsidRDefault="009975DA" w:rsidP="009975DA">
            <w:pPr>
              <w:pStyle w:val="Source"/>
              <w:rPr>
                <w:kern w:val="2"/>
              </w:rPr>
            </w:pPr>
            <w:r w:rsidRPr="00BF19BB">
              <w:rPr>
                <w:kern w:val="2"/>
              </w:rPr>
              <w:t xml:space="preserve">Note: The </w:t>
            </w:r>
            <w:r w:rsidRPr="00323E58">
              <w:rPr>
                <w:kern w:val="2"/>
              </w:rPr>
              <w:t xml:space="preserve">cash flows </w:t>
            </w:r>
            <w:r w:rsidRPr="00756410">
              <w:rPr>
                <w:kern w:val="2"/>
              </w:rPr>
              <w:t xml:space="preserve">shown relate to the </w:t>
            </w:r>
            <w:r w:rsidR="00756410">
              <w:rPr>
                <w:kern w:val="2"/>
              </w:rPr>
              <w:t xml:space="preserve">acquisition, sale or </w:t>
            </w:r>
            <w:r w:rsidR="00323E58">
              <w:rPr>
                <w:kern w:val="2"/>
              </w:rPr>
              <w:t>repayment</w:t>
            </w:r>
            <w:r w:rsidR="00323E58" w:rsidRPr="00323E58">
              <w:rPr>
                <w:kern w:val="2"/>
              </w:rPr>
              <w:t xml:space="preserve"> </w:t>
            </w:r>
            <w:r w:rsidRPr="00323E58">
              <w:rPr>
                <w:kern w:val="2"/>
              </w:rPr>
              <w:t xml:space="preserve">of financial </w:t>
            </w:r>
            <w:r w:rsidRPr="00756410">
              <w:rPr>
                <w:kern w:val="2"/>
              </w:rPr>
              <w:t>assets</w:t>
            </w:r>
            <w:r w:rsidRPr="00323E58">
              <w:rPr>
                <w:kern w:val="2"/>
              </w:rPr>
              <w:t>.  They</w:t>
            </w:r>
            <w:r w:rsidRPr="00BF19BB">
              <w:rPr>
                <w:kern w:val="2"/>
              </w:rPr>
              <w:t xml:space="preserve"> do not include interest or dividend payments.  RMBS stands for Residential Mortgage Backed </w:t>
            </w:r>
            <w:r w:rsidR="00C3262C" w:rsidRPr="00BF19BB">
              <w:rPr>
                <w:kern w:val="2"/>
              </w:rPr>
              <w:t>Securities</w:t>
            </w:r>
            <w:r w:rsidRPr="00BF19BB">
              <w:rPr>
                <w:kern w:val="2"/>
              </w:rPr>
              <w:t xml:space="preserve">.  </w:t>
            </w:r>
            <w:r>
              <w:rPr>
                <w:kern w:val="2"/>
              </w:rPr>
              <w:t>‘</w:t>
            </w:r>
            <w:r w:rsidRPr="00BF19BB">
              <w:rPr>
                <w:kern w:val="2"/>
              </w:rPr>
              <w:t>Other</w:t>
            </w:r>
            <w:r>
              <w:rPr>
                <w:kern w:val="2"/>
              </w:rPr>
              <w:t>’</w:t>
            </w:r>
            <w:r w:rsidRPr="00BF19BB">
              <w:rPr>
                <w:kern w:val="2"/>
              </w:rPr>
              <w:t xml:space="preserve"> includes </w:t>
            </w:r>
            <w:proofErr w:type="spellStart"/>
            <w:r w:rsidRPr="00BF19BB">
              <w:rPr>
                <w:kern w:val="2"/>
              </w:rPr>
              <w:t>Westconnex</w:t>
            </w:r>
            <w:proofErr w:type="spellEnd"/>
            <w:r w:rsidRPr="00BF19BB">
              <w:rPr>
                <w:kern w:val="2"/>
              </w:rPr>
              <w:t xml:space="preserve">, trade support loans, Clean Energy Finance Corporation loans and investments, Northern Australian Infrastructure Facility, </w:t>
            </w:r>
            <w:r w:rsidR="0090575C">
              <w:rPr>
                <w:kern w:val="2"/>
              </w:rPr>
              <w:t>d</w:t>
            </w:r>
            <w:r w:rsidR="0090575C" w:rsidRPr="00BF19BB">
              <w:rPr>
                <w:kern w:val="2"/>
              </w:rPr>
              <w:t xml:space="preserve">rought </w:t>
            </w:r>
            <w:r w:rsidRPr="00BF19BB">
              <w:rPr>
                <w:kern w:val="2"/>
              </w:rPr>
              <w:t>and rural assistance loans, National Water Infrastructure loan facility, Australian</w:t>
            </w:r>
            <w:r w:rsidR="0090575C">
              <w:rPr>
                <w:kern w:val="2"/>
              </w:rPr>
              <w:t> </w:t>
            </w:r>
            <w:r w:rsidRPr="00BF19BB">
              <w:rPr>
                <w:kern w:val="2"/>
              </w:rPr>
              <w:t>Capital Territory asbestos removal</w:t>
            </w:r>
            <w:r w:rsidR="0090575C">
              <w:rPr>
                <w:kern w:val="2"/>
              </w:rPr>
              <w:t>,</w:t>
            </w:r>
            <w:r w:rsidRPr="00BF19BB">
              <w:rPr>
                <w:kern w:val="2"/>
              </w:rPr>
              <w:t xml:space="preserve"> and other items aggregated in the budget.</w:t>
            </w:r>
            <w:r>
              <w:rPr>
                <w:kern w:val="2"/>
              </w:rPr>
              <w:t xml:space="preserve">  </w:t>
            </w:r>
            <w:r w:rsidR="00785806" w:rsidRPr="00514EF4">
              <w:rPr>
                <w:kern w:val="2"/>
              </w:rPr>
              <w:t>Prior to 2009</w:t>
            </w:r>
            <w:r w:rsidR="00367949" w:rsidRPr="00BB3C94">
              <w:t>–</w:t>
            </w:r>
            <w:r w:rsidR="00785806" w:rsidRPr="00514EF4">
              <w:rPr>
                <w:kern w:val="2"/>
              </w:rPr>
              <w:t xml:space="preserve">10, </w:t>
            </w:r>
            <w:r w:rsidR="00815A55">
              <w:rPr>
                <w:kern w:val="2"/>
              </w:rPr>
              <w:t>the breakdown of net cash flows was not available in budget documents.</w:t>
            </w:r>
          </w:p>
          <w:p w:rsidR="009975DA" w:rsidRPr="00BF19BB" w:rsidRDefault="009975DA" w:rsidP="0090575C">
            <w:pPr>
              <w:pStyle w:val="Source"/>
              <w:rPr>
                <w:kern w:val="2"/>
              </w:rPr>
            </w:pPr>
            <w:r w:rsidRPr="00BF19BB">
              <w:rPr>
                <w:kern w:val="2"/>
              </w:rPr>
              <w:t>Source: Final Budget Outcome, 2006</w:t>
            </w:r>
            <w:r w:rsidR="002E2CA8" w:rsidRPr="00BB3C94">
              <w:t>–</w:t>
            </w:r>
            <w:r w:rsidRPr="00BF19BB">
              <w:rPr>
                <w:kern w:val="2"/>
              </w:rPr>
              <w:t>07 to 201</w:t>
            </w:r>
            <w:r w:rsidR="004D4B3A">
              <w:rPr>
                <w:kern w:val="2"/>
              </w:rPr>
              <w:t>8</w:t>
            </w:r>
            <w:r w:rsidR="002E2CA8" w:rsidRPr="00BB3C94">
              <w:t>–</w:t>
            </w:r>
            <w:r w:rsidRPr="00BF19BB">
              <w:rPr>
                <w:kern w:val="2"/>
              </w:rPr>
              <w:t>1</w:t>
            </w:r>
            <w:r w:rsidR="004D4B3A">
              <w:rPr>
                <w:kern w:val="2"/>
              </w:rPr>
              <w:t>9</w:t>
            </w:r>
            <w:r w:rsidRPr="00BF19BB">
              <w:rPr>
                <w:kern w:val="2"/>
              </w:rPr>
              <w:t xml:space="preserve">; NBN Co </w:t>
            </w:r>
            <w:r w:rsidR="00D65D0B">
              <w:rPr>
                <w:kern w:val="2"/>
              </w:rPr>
              <w:t>a</w:t>
            </w:r>
            <w:r w:rsidRPr="00BF19BB">
              <w:rPr>
                <w:kern w:val="2"/>
              </w:rPr>
              <w:t>nnual report</w:t>
            </w:r>
            <w:r w:rsidR="00D65D0B">
              <w:rPr>
                <w:kern w:val="2"/>
              </w:rPr>
              <w:t>s</w:t>
            </w:r>
            <w:r w:rsidRPr="00BF19BB">
              <w:rPr>
                <w:kern w:val="2"/>
              </w:rPr>
              <w:t>, 2008</w:t>
            </w:r>
            <w:r w:rsidR="002E2CA8" w:rsidRPr="00BB3C94">
              <w:t>–</w:t>
            </w:r>
            <w:r w:rsidRPr="00BF19BB">
              <w:rPr>
                <w:kern w:val="2"/>
              </w:rPr>
              <w:t>09 to 2012</w:t>
            </w:r>
            <w:r w:rsidR="002E2CA8" w:rsidRPr="00BB3C94">
              <w:t>–</w:t>
            </w:r>
            <w:r w:rsidRPr="00BF19BB">
              <w:rPr>
                <w:kern w:val="2"/>
              </w:rPr>
              <w:t xml:space="preserve">13; </w:t>
            </w:r>
            <w:r w:rsidR="00B63D1A">
              <w:rPr>
                <w:kern w:val="2"/>
              </w:rPr>
              <w:t>Australian Office of Financial Management a</w:t>
            </w:r>
            <w:r w:rsidRPr="00BF19BB">
              <w:rPr>
                <w:kern w:val="2"/>
              </w:rPr>
              <w:t>nnual report</w:t>
            </w:r>
            <w:r w:rsidR="00B63D1A">
              <w:rPr>
                <w:kern w:val="2"/>
              </w:rPr>
              <w:t>s</w:t>
            </w:r>
            <w:r w:rsidRPr="00BF19BB">
              <w:rPr>
                <w:kern w:val="2"/>
              </w:rPr>
              <w:t>, 2008</w:t>
            </w:r>
            <w:r w:rsidR="00367949" w:rsidRPr="00BB3C94">
              <w:t>–</w:t>
            </w:r>
            <w:r w:rsidRPr="00BF19BB">
              <w:rPr>
                <w:kern w:val="2"/>
              </w:rPr>
              <w:t>09 to 2015</w:t>
            </w:r>
            <w:r w:rsidR="00367949" w:rsidRPr="00BB3C94">
              <w:t>–</w:t>
            </w:r>
            <w:r w:rsidRPr="00BF19BB">
              <w:rPr>
                <w:kern w:val="2"/>
              </w:rPr>
              <w:t>16.</w:t>
            </w:r>
          </w:p>
        </w:tc>
      </w:tr>
    </w:tbl>
    <w:p w:rsidR="00556D63" w:rsidRPr="00F5436A" w:rsidRDefault="009E649A" w:rsidP="00DB6404">
      <w:pPr>
        <w:pStyle w:val="BodyText"/>
        <w:spacing w:before="340"/>
        <w:rPr>
          <w:spacing w:val="-1"/>
        </w:rPr>
      </w:pPr>
      <w:r w:rsidRPr="0090575C">
        <w:rPr>
          <w:spacing w:val="-1"/>
          <w:kern w:val="2"/>
        </w:rPr>
        <w:t xml:space="preserve">The 1990s and early 2000s generally saw a positive </w:t>
      </w:r>
      <w:r w:rsidR="00633B50" w:rsidRPr="0090575C">
        <w:rPr>
          <w:spacing w:val="-1"/>
          <w:kern w:val="2"/>
        </w:rPr>
        <w:t xml:space="preserve">net cash flow </w:t>
      </w:r>
      <w:r w:rsidRPr="0090575C">
        <w:rPr>
          <w:spacing w:val="-1"/>
        </w:rPr>
        <w:t xml:space="preserve">for </w:t>
      </w:r>
      <w:r w:rsidR="00633B50" w:rsidRPr="0090575C">
        <w:rPr>
          <w:spacing w:val="-1"/>
        </w:rPr>
        <w:t>the Commonwealth Government</w:t>
      </w:r>
      <w:r w:rsidR="00633B50" w:rsidRPr="0090575C">
        <w:rPr>
          <w:spacing w:val="-1"/>
          <w:kern w:val="2"/>
        </w:rPr>
        <w:t xml:space="preserve">, supported by </w:t>
      </w:r>
      <w:r w:rsidR="00633B50" w:rsidRPr="0090575C">
        <w:rPr>
          <w:spacing w:val="-1"/>
        </w:rPr>
        <w:t xml:space="preserve">the sales </w:t>
      </w:r>
      <w:r w:rsidR="00F770E0" w:rsidRPr="0090575C">
        <w:rPr>
          <w:spacing w:val="-1"/>
        </w:rPr>
        <w:t xml:space="preserve">of assets such as </w:t>
      </w:r>
      <w:r w:rsidR="00633B50" w:rsidRPr="0090575C">
        <w:rPr>
          <w:spacing w:val="-1"/>
        </w:rPr>
        <w:t>Telstra</w:t>
      </w:r>
      <w:r w:rsidR="007D0FA3">
        <w:rPr>
          <w:spacing w:val="-1"/>
        </w:rPr>
        <w:t>,</w:t>
      </w:r>
      <w:r w:rsidR="00633B50" w:rsidRPr="0090575C">
        <w:rPr>
          <w:spacing w:val="-1"/>
        </w:rPr>
        <w:t xml:space="preserve"> </w:t>
      </w:r>
      <w:r w:rsidRPr="0090575C">
        <w:rPr>
          <w:spacing w:val="-1"/>
        </w:rPr>
        <w:t>Qantas</w:t>
      </w:r>
      <w:r w:rsidR="007D0FA3">
        <w:rPr>
          <w:spacing w:val="-1"/>
        </w:rPr>
        <w:t xml:space="preserve"> and the Commonwealth Bank</w:t>
      </w:r>
      <w:r w:rsidR="00633B50" w:rsidRPr="0090575C">
        <w:rPr>
          <w:spacing w:val="-1"/>
        </w:rPr>
        <w:t>.</w:t>
      </w:r>
      <w:r w:rsidR="009D74BC" w:rsidRPr="0090575C">
        <w:rPr>
          <w:spacing w:val="-1"/>
        </w:rPr>
        <w:t xml:space="preserve"> </w:t>
      </w:r>
      <w:r w:rsidR="00633B50" w:rsidRPr="0090575C">
        <w:rPr>
          <w:spacing w:val="-1"/>
        </w:rPr>
        <w:t xml:space="preserve"> </w:t>
      </w:r>
      <w:r w:rsidR="00FD6B9F" w:rsidRPr="0090575C">
        <w:rPr>
          <w:spacing w:val="-1"/>
        </w:rPr>
        <w:t xml:space="preserve">This </w:t>
      </w:r>
      <w:r w:rsidR="000662F5" w:rsidRPr="0090575C">
        <w:rPr>
          <w:spacing w:val="-1"/>
        </w:rPr>
        <w:t>net cash flow became negative i</w:t>
      </w:r>
      <w:r w:rsidR="00252A4F" w:rsidRPr="0090575C">
        <w:rPr>
          <w:spacing w:val="-1"/>
        </w:rPr>
        <w:t>n 2008</w:t>
      </w:r>
      <w:r w:rsidR="002E2CA8" w:rsidRPr="0090575C">
        <w:rPr>
          <w:spacing w:val="-1"/>
        </w:rPr>
        <w:t>–</w:t>
      </w:r>
      <w:r w:rsidR="00252A4F" w:rsidRPr="0090575C">
        <w:rPr>
          <w:spacing w:val="-1"/>
        </w:rPr>
        <w:t>09</w:t>
      </w:r>
      <w:r w:rsidR="00733CFD" w:rsidRPr="0090575C">
        <w:rPr>
          <w:spacing w:val="-1"/>
        </w:rPr>
        <w:t>,</w:t>
      </w:r>
      <w:r w:rsidR="000662F5" w:rsidRPr="0090575C">
        <w:rPr>
          <w:spacing w:val="-1"/>
        </w:rPr>
        <w:t xml:space="preserve"> in part due to the </w:t>
      </w:r>
      <w:r w:rsidR="00B63D1A" w:rsidRPr="0090575C">
        <w:rPr>
          <w:spacing w:val="-1"/>
        </w:rPr>
        <w:t>g</w:t>
      </w:r>
      <w:r w:rsidR="004D2DE4" w:rsidRPr="0090575C">
        <w:rPr>
          <w:spacing w:val="-1"/>
        </w:rPr>
        <w:t xml:space="preserve">overnment </w:t>
      </w:r>
      <w:r w:rsidR="00FD7F2F" w:rsidRPr="0090575C">
        <w:rPr>
          <w:spacing w:val="-1"/>
        </w:rPr>
        <w:t>responding</w:t>
      </w:r>
      <w:r w:rsidR="000662F5" w:rsidRPr="0090575C">
        <w:rPr>
          <w:spacing w:val="-1"/>
        </w:rPr>
        <w:t xml:space="preserve"> to the Global Financial </w:t>
      </w:r>
      <w:r w:rsidR="000662F5" w:rsidRPr="00F5436A">
        <w:rPr>
          <w:spacing w:val="-1"/>
        </w:rPr>
        <w:t xml:space="preserve">Crisis </w:t>
      </w:r>
      <w:r w:rsidR="00122D6D" w:rsidRPr="00D619CE">
        <w:rPr>
          <w:spacing w:val="-1"/>
        </w:rPr>
        <w:t>(GFC)</w:t>
      </w:r>
      <w:r w:rsidR="007B6204">
        <w:rPr>
          <w:spacing w:val="-1"/>
        </w:rPr>
        <w:t xml:space="preserve"> by</w:t>
      </w:r>
      <w:r w:rsidR="000662F5" w:rsidRPr="00F5436A">
        <w:rPr>
          <w:spacing w:val="-1"/>
        </w:rPr>
        <w:t xml:space="preserve"> purchas</w:t>
      </w:r>
      <w:r w:rsidR="007B6204">
        <w:rPr>
          <w:spacing w:val="-1"/>
        </w:rPr>
        <w:t>ing</w:t>
      </w:r>
      <w:r w:rsidR="004D2DE4" w:rsidRPr="00F5436A">
        <w:rPr>
          <w:spacing w:val="-1"/>
        </w:rPr>
        <w:t xml:space="preserve"> </w:t>
      </w:r>
      <w:r w:rsidR="004D2DE4" w:rsidRPr="00F5436A">
        <w:rPr>
          <w:spacing w:val="-1"/>
          <w:kern w:val="2"/>
        </w:rPr>
        <w:t>Residential Mortgage Backed Securities</w:t>
      </w:r>
      <w:r w:rsidR="00BB1DF9" w:rsidRPr="00F5436A">
        <w:rPr>
          <w:spacing w:val="-1"/>
        </w:rPr>
        <w:t>.</w:t>
      </w:r>
      <w:r w:rsidR="00C8010A" w:rsidRPr="00F5436A">
        <w:rPr>
          <w:spacing w:val="-1"/>
        </w:rPr>
        <w:t xml:space="preserve"> </w:t>
      </w:r>
      <w:r w:rsidR="00BB1DF9" w:rsidRPr="00F5436A">
        <w:rPr>
          <w:spacing w:val="-1"/>
        </w:rPr>
        <w:t xml:space="preserve"> </w:t>
      </w:r>
      <w:r w:rsidR="00C8010A" w:rsidRPr="00F5436A">
        <w:rPr>
          <w:spacing w:val="-1"/>
          <w:kern w:val="2"/>
        </w:rPr>
        <w:t xml:space="preserve">These </w:t>
      </w:r>
      <w:r w:rsidR="002C0FED" w:rsidRPr="00F5436A">
        <w:rPr>
          <w:spacing w:val="-1"/>
          <w:kern w:val="2"/>
        </w:rPr>
        <w:t xml:space="preserve">securities </w:t>
      </w:r>
      <w:r w:rsidR="000662F5" w:rsidRPr="00F5436A">
        <w:rPr>
          <w:spacing w:val="-1"/>
          <w:kern w:val="2"/>
        </w:rPr>
        <w:t xml:space="preserve">were </w:t>
      </w:r>
      <w:r w:rsidR="002C0FED" w:rsidRPr="00F5436A">
        <w:rPr>
          <w:spacing w:val="-1"/>
          <w:kern w:val="2"/>
        </w:rPr>
        <w:t>progressive</w:t>
      </w:r>
      <w:r w:rsidR="000662F5" w:rsidRPr="00F5436A">
        <w:rPr>
          <w:spacing w:val="-1"/>
          <w:kern w:val="2"/>
        </w:rPr>
        <w:t>ly</w:t>
      </w:r>
      <w:r w:rsidR="00C8010A" w:rsidRPr="00F5436A">
        <w:rPr>
          <w:spacing w:val="-1"/>
          <w:kern w:val="2"/>
        </w:rPr>
        <w:t xml:space="preserve"> </w:t>
      </w:r>
      <w:r w:rsidR="000662F5" w:rsidRPr="00F5436A">
        <w:rPr>
          <w:spacing w:val="-1"/>
          <w:kern w:val="2"/>
        </w:rPr>
        <w:t>sold</w:t>
      </w:r>
      <w:r w:rsidR="002C0FED" w:rsidRPr="00F5436A">
        <w:rPr>
          <w:spacing w:val="-1"/>
          <w:kern w:val="2"/>
        </w:rPr>
        <w:t xml:space="preserve"> </w:t>
      </w:r>
      <w:r w:rsidR="00C8010A" w:rsidRPr="00F5436A">
        <w:rPr>
          <w:spacing w:val="-1"/>
          <w:kern w:val="2"/>
        </w:rPr>
        <w:t>from 2012</w:t>
      </w:r>
      <w:r w:rsidR="002E2CA8" w:rsidRPr="00F5436A">
        <w:rPr>
          <w:spacing w:val="-1"/>
        </w:rPr>
        <w:t>–</w:t>
      </w:r>
      <w:r w:rsidR="00C8010A" w:rsidRPr="00F5436A">
        <w:rPr>
          <w:spacing w:val="-1"/>
          <w:kern w:val="2"/>
        </w:rPr>
        <w:t>13</w:t>
      </w:r>
      <w:r w:rsidR="000662F5" w:rsidRPr="00F5436A">
        <w:rPr>
          <w:spacing w:val="-1"/>
          <w:kern w:val="2"/>
        </w:rPr>
        <w:t xml:space="preserve">, with the </w:t>
      </w:r>
      <w:r w:rsidR="00EA626F" w:rsidRPr="00F5436A">
        <w:rPr>
          <w:spacing w:val="-1"/>
          <w:kern w:val="2"/>
        </w:rPr>
        <w:t>final</w:t>
      </w:r>
      <w:r w:rsidR="000662F5" w:rsidRPr="00F5436A">
        <w:rPr>
          <w:spacing w:val="-1"/>
          <w:kern w:val="2"/>
        </w:rPr>
        <w:t xml:space="preserve"> </w:t>
      </w:r>
      <w:r w:rsidR="00EA626F" w:rsidRPr="00F5436A">
        <w:rPr>
          <w:spacing w:val="-1"/>
          <w:kern w:val="2"/>
        </w:rPr>
        <w:t xml:space="preserve">batch being </w:t>
      </w:r>
      <w:r w:rsidR="000662F5" w:rsidRPr="00F5436A">
        <w:rPr>
          <w:spacing w:val="-1"/>
          <w:kern w:val="2"/>
        </w:rPr>
        <w:t>sold</w:t>
      </w:r>
      <w:r w:rsidR="00EA626F" w:rsidRPr="00F5436A">
        <w:rPr>
          <w:spacing w:val="-1"/>
          <w:kern w:val="2"/>
        </w:rPr>
        <w:t xml:space="preserve"> in 2017</w:t>
      </w:r>
      <w:r w:rsidR="002E2CA8" w:rsidRPr="00F5436A">
        <w:rPr>
          <w:spacing w:val="-1"/>
        </w:rPr>
        <w:t>–</w:t>
      </w:r>
      <w:r w:rsidR="00EA626F" w:rsidRPr="00F5436A">
        <w:rPr>
          <w:spacing w:val="-1"/>
          <w:kern w:val="2"/>
        </w:rPr>
        <w:t>18.</w:t>
      </w:r>
      <w:r w:rsidR="00D65D0B" w:rsidRPr="00F5436A">
        <w:rPr>
          <w:rStyle w:val="FootnoteReference"/>
          <w:spacing w:val="-1"/>
          <w:kern w:val="2"/>
        </w:rPr>
        <w:footnoteReference w:id="5"/>
      </w:r>
      <w:r w:rsidR="00556D63" w:rsidRPr="00F5436A">
        <w:rPr>
          <w:spacing w:val="-1"/>
        </w:rPr>
        <w:t xml:space="preserve"> </w:t>
      </w:r>
    </w:p>
    <w:p w:rsidR="00556D63" w:rsidRPr="00F5436A" w:rsidRDefault="00556D63" w:rsidP="00556D63">
      <w:pPr>
        <w:pStyle w:val="BodyText"/>
      </w:pPr>
      <w:r w:rsidRPr="00F5436A">
        <w:t>The net cash flow has remained negative since 2008</w:t>
      </w:r>
      <w:r w:rsidR="002E2CA8" w:rsidRPr="00F5436A">
        <w:t>–</w:t>
      </w:r>
      <w:r w:rsidRPr="00F5436A">
        <w:t xml:space="preserve">09, </w:t>
      </w:r>
      <w:r w:rsidR="00ED3DFF" w:rsidRPr="007B0AC0">
        <w:t>with the net outflow reaching</w:t>
      </w:r>
      <w:r w:rsidR="00633B50" w:rsidRPr="00F5436A">
        <w:t xml:space="preserve"> </w:t>
      </w:r>
      <w:r w:rsidRPr="00D619CE">
        <w:t>1.1 per cent of GDP in 2017</w:t>
      </w:r>
      <w:r w:rsidR="002E2CA8" w:rsidRPr="00F5436A">
        <w:t>–</w:t>
      </w:r>
      <w:r w:rsidRPr="00F5436A">
        <w:t xml:space="preserve">18, </w:t>
      </w:r>
      <w:r w:rsidR="00633B50" w:rsidRPr="00F5436A">
        <w:t xml:space="preserve">the </w:t>
      </w:r>
      <w:r w:rsidR="00ED3DFF" w:rsidRPr="007B0AC0">
        <w:t>largest negative outflow</w:t>
      </w:r>
      <w:r w:rsidR="00633B50" w:rsidRPr="00F5436A">
        <w:t xml:space="preserve"> recorded since the 1970s</w:t>
      </w:r>
      <w:r w:rsidR="009D74BC" w:rsidRPr="00D619CE">
        <w:t>.  T</w:t>
      </w:r>
      <w:r w:rsidR="00633B50" w:rsidRPr="00F5436A">
        <w:rPr>
          <w:kern w:val="2"/>
        </w:rPr>
        <w:t xml:space="preserve">he past four years have seen net cash outflows </w:t>
      </w:r>
      <w:r w:rsidR="007C5367" w:rsidRPr="00F5436A">
        <w:rPr>
          <w:kern w:val="2"/>
        </w:rPr>
        <w:t xml:space="preserve">from investments in financial assets for policy purposes </w:t>
      </w:r>
      <w:r w:rsidR="00633B50" w:rsidRPr="00F5436A">
        <w:rPr>
          <w:kern w:val="2"/>
        </w:rPr>
        <w:t xml:space="preserve">greater than </w:t>
      </w:r>
      <w:r w:rsidR="007D0FA3" w:rsidRPr="00F5436A">
        <w:rPr>
          <w:kern w:val="2"/>
        </w:rPr>
        <w:t>during</w:t>
      </w:r>
      <w:r w:rsidR="00633B50" w:rsidRPr="00F5436A">
        <w:rPr>
          <w:kern w:val="2"/>
        </w:rPr>
        <w:t xml:space="preserve"> the GFC.</w:t>
      </w:r>
      <w:r w:rsidRPr="00F5436A">
        <w:t xml:space="preserve">  </w:t>
      </w:r>
    </w:p>
    <w:p w:rsidR="00153E6F" w:rsidRDefault="00122D6D" w:rsidP="00DB6404">
      <w:pPr>
        <w:pStyle w:val="BodyText"/>
        <w:keepLines/>
        <w:rPr>
          <w:kern w:val="2"/>
        </w:rPr>
      </w:pPr>
      <w:r w:rsidRPr="00F5436A">
        <w:rPr>
          <w:kern w:val="2"/>
        </w:rPr>
        <w:t>M</w:t>
      </w:r>
      <w:r w:rsidR="002C0FED" w:rsidRPr="00F5436A">
        <w:rPr>
          <w:kern w:val="2"/>
        </w:rPr>
        <w:t xml:space="preserve">ajor contributors to the </w:t>
      </w:r>
      <w:r w:rsidR="008F0560" w:rsidRPr="00F5436A">
        <w:rPr>
          <w:kern w:val="2"/>
        </w:rPr>
        <w:t>higher</w:t>
      </w:r>
      <w:r w:rsidR="00D70653" w:rsidRPr="00F5436A">
        <w:rPr>
          <w:kern w:val="2"/>
        </w:rPr>
        <w:t xml:space="preserve"> </w:t>
      </w:r>
      <w:r w:rsidR="00153E6F" w:rsidRPr="00F5436A">
        <w:rPr>
          <w:kern w:val="2"/>
        </w:rPr>
        <w:t>outflow</w:t>
      </w:r>
      <w:r w:rsidR="00153E6F">
        <w:rPr>
          <w:kern w:val="2"/>
        </w:rPr>
        <w:t xml:space="preserve"> </w:t>
      </w:r>
      <w:r w:rsidR="00633B50">
        <w:rPr>
          <w:kern w:val="2"/>
        </w:rPr>
        <w:t xml:space="preserve">of </w:t>
      </w:r>
      <w:r w:rsidR="00633B50" w:rsidRPr="00514EF4">
        <w:rPr>
          <w:kern w:val="2"/>
        </w:rPr>
        <w:t xml:space="preserve">cash </w:t>
      </w:r>
      <w:r w:rsidR="00633B50">
        <w:rPr>
          <w:kern w:val="2"/>
        </w:rPr>
        <w:t xml:space="preserve">in recent years </w:t>
      </w:r>
      <w:r w:rsidR="002C0FED" w:rsidRPr="00514EF4">
        <w:rPr>
          <w:kern w:val="2"/>
        </w:rPr>
        <w:t xml:space="preserve">are </w:t>
      </w:r>
      <w:r w:rsidR="00C8010A" w:rsidRPr="00514EF4">
        <w:rPr>
          <w:kern w:val="2"/>
        </w:rPr>
        <w:t>equity injections and loans for the NBN</w:t>
      </w:r>
      <w:r w:rsidR="007B6204">
        <w:rPr>
          <w:kern w:val="2"/>
        </w:rPr>
        <w:t>,</w:t>
      </w:r>
      <w:r w:rsidR="00C8010A" w:rsidRPr="00514EF4">
        <w:rPr>
          <w:kern w:val="2"/>
        </w:rPr>
        <w:t xml:space="preserve"> </w:t>
      </w:r>
      <w:r w:rsidR="00EA626F" w:rsidRPr="00514EF4">
        <w:rPr>
          <w:kern w:val="2"/>
        </w:rPr>
        <w:t xml:space="preserve">and the increased </w:t>
      </w:r>
      <w:r w:rsidR="00153E6F" w:rsidRPr="00514EF4">
        <w:rPr>
          <w:kern w:val="2"/>
        </w:rPr>
        <w:t xml:space="preserve">issuance of </w:t>
      </w:r>
      <w:r w:rsidR="00153E6F" w:rsidRPr="009E649A">
        <w:rPr>
          <w:kern w:val="2"/>
        </w:rPr>
        <w:t xml:space="preserve">student </w:t>
      </w:r>
      <w:r w:rsidR="00F770E0" w:rsidRPr="009E649A">
        <w:rPr>
          <w:kern w:val="2"/>
        </w:rPr>
        <w:t xml:space="preserve">and other </w:t>
      </w:r>
      <w:r w:rsidR="00153E6F" w:rsidRPr="009E649A">
        <w:rPr>
          <w:kern w:val="2"/>
        </w:rPr>
        <w:t>loans</w:t>
      </w:r>
      <w:r w:rsidR="009D74BC">
        <w:rPr>
          <w:kern w:val="2"/>
        </w:rPr>
        <w:t xml:space="preserve"> for both higher education and vocational education</w:t>
      </w:r>
      <w:r w:rsidR="00C8010A" w:rsidRPr="00514EF4">
        <w:rPr>
          <w:kern w:val="2"/>
        </w:rPr>
        <w:t xml:space="preserve">.  </w:t>
      </w:r>
      <w:r w:rsidR="00EA626F" w:rsidRPr="00514EF4">
        <w:rPr>
          <w:kern w:val="2"/>
        </w:rPr>
        <w:t>The</w:t>
      </w:r>
      <w:r w:rsidR="00EA626F">
        <w:rPr>
          <w:kern w:val="2"/>
        </w:rPr>
        <w:t xml:space="preserve"> one-off investment in Snowy Hydro Ltd also </w:t>
      </w:r>
      <w:r>
        <w:rPr>
          <w:kern w:val="2"/>
        </w:rPr>
        <w:t xml:space="preserve">contributed to the </w:t>
      </w:r>
      <w:r w:rsidR="00EA626F">
        <w:rPr>
          <w:kern w:val="2"/>
        </w:rPr>
        <w:t>substantial cash outflow in 2017</w:t>
      </w:r>
      <w:r w:rsidR="002E2CA8" w:rsidRPr="00BB3C94">
        <w:t>–</w:t>
      </w:r>
      <w:r w:rsidR="00EA626F">
        <w:rPr>
          <w:kern w:val="2"/>
        </w:rPr>
        <w:t>18.</w:t>
      </w:r>
      <w:r>
        <w:rPr>
          <w:kern w:val="2"/>
        </w:rPr>
        <w:t xml:space="preserve">  </w:t>
      </w:r>
    </w:p>
    <w:p w:rsidR="00F42657" w:rsidRDefault="00A63B60" w:rsidP="003D7CD8">
      <w:pPr>
        <w:pStyle w:val="BodyText"/>
        <w:rPr>
          <w:kern w:val="2"/>
        </w:rPr>
      </w:pPr>
      <w:r>
        <w:rPr>
          <w:kern w:val="2"/>
        </w:rPr>
        <w:t>The use of</w:t>
      </w:r>
      <w:r w:rsidR="00A65790">
        <w:rPr>
          <w:kern w:val="2"/>
        </w:rPr>
        <w:t xml:space="preserve"> alternative financing arrangements </w:t>
      </w:r>
      <w:r>
        <w:rPr>
          <w:kern w:val="2"/>
        </w:rPr>
        <w:t xml:space="preserve">for policy purposes is expected to continue into the </w:t>
      </w:r>
      <w:r w:rsidR="00D049AE">
        <w:rPr>
          <w:kern w:val="2"/>
        </w:rPr>
        <w:t>future</w:t>
      </w:r>
      <w:r w:rsidR="00A65790">
        <w:rPr>
          <w:kern w:val="2"/>
        </w:rPr>
        <w:t xml:space="preserve">.  </w:t>
      </w:r>
      <w:r w:rsidR="00C40197">
        <w:rPr>
          <w:kern w:val="2"/>
        </w:rPr>
        <w:t xml:space="preserve">During the 2019 general election campaign, the three </w:t>
      </w:r>
      <w:r w:rsidR="00F261A3">
        <w:rPr>
          <w:kern w:val="2"/>
        </w:rPr>
        <w:t xml:space="preserve">largest </w:t>
      </w:r>
      <w:r w:rsidR="00C40197">
        <w:rPr>
          <w:kern w:val="2"/>
        </w:rPr>
        <w:t xml:space="preserve">parties </w:t>
      </w:r>
      <w:r w:rsidR="00D049AE">
        <w:rPr>
          <w:kern w:val="2"/>
        </w:rPr>
        <w:t xml:space="preserve">each </w:t>
      </w:r>
      <w:r w:rsidR="00840B37">
        <w:rPr>
          <w:kern w:val="2"/>
        </w:rPr>
        <w:t>committed to policies using</w:t>
      </w:r>
      <w:r w:rsidR="00C40197">
        <w:rPr>
          <w:kern w:val="2"/>
        </w:rPr>
        <w:t xml:space="preserve"> alternative financing arrangements</w:t>
      </w:r>
      <w:r w:rsidR="005C3110">
        <w:rPr>
          <w:kern w:val="2"/>
        </w:rPr>
        <w:t>.  This was outlined in the PBO’s election commitments report and i</w:t>
      </w:r>
      <w:r w:rsidR="00840B37">
        <w:rPr>
          <w:kern w:val="2"/>
        </w:rPr>
        <w:t xml:space="preserve">s discussed </w:t>
      </w:r>
      <w:r w:rsidR="005C3110">
        <w:rPr>
          <w:kern w:val="2"/>
        </w:rPr>
        <w:t xml:space="preserve">further </w:t>
      </w:r>
      <w:r w:rsidR="00840B37">
        <w:rPr>
          <w:kern w:val="2"/>
        </w:rPr>
        <w:t xml:space="preserve">in </w:t>
      </w:r>
      <w:r w:rsidR="00840B37" w:rsidRPr="00E21171">
        <w:rPr>
          <w:kern w:val="2"/>
        </w:rPr>
        <w:t xml:space="preserve">Box </w:t>
      </w:r>
      <w:r w:rsidR="001F2FA5" w:rsidRPr="00E21171">
        <w:rPr>
          <w:kern w:val="2"/>
        </w:rPr>
        <w:t>1</w:t>
      </w:r>
      <w:r w:rsidR="007C5367" w:rsidRPr="00E21171">
        <w:rPr>
          <w:kern w:val="2"/>
        </w:rPr>
        <w:t xml:space="preserve"> on page </w:t>
      </w:r>
      <w:r w:rsidR="00507FA9">
        <w:rPr>
          <w:kern w:val="2"/>
        </w:rPr>
        <w:t>7</w:t>
      </w:r>
      <w:bookmarkStart w:id="14" w:name="_GoBack"/>
      <w:bookmarkEnd w:id="14"/>
      <w:r w:rsidR="00A65790" w:rsidRPr="00E21171">
        <w:rPr>
          <w:kern w:val="2"/>
        </w:rPr>
        <w:t>.</w:t>
      </w:r>
      <w:r w:rsidR="007C5367" w:rsidRPr="00E21171">
        <w:rPr>
          <w:rStyle w:val="FootnoteReference"/>
          <w:kern w:val="2"/>
        </w:rPr>
        <w:footnoteReference w:id="6"/>
      </w:r>
    </w:p>
    <w:p w:rsidR="009C710B" w:rsidRDefault="005C3110" w:rsidP="009C710B">
      <w:pPr>
        <w:pStyle w:val="Heading2"/>
      </w:pPr>
      <w:bookmarkStart w:id="15" w:name="_Toc35451909"/>
      <w:r>
        <w:lastRenderedPageBreak/>
        <w:t>How</w:t>
      </w:r>
      <w:r w:rsidR="009C710B">
        <w:t xml:space="preserve"> a policy is financed</w:t>
      </w:r>
      <w:r>
        <w:t xml:space="preserve"> is important for the budget aggregates</w:t>
      </w:r>
      <w:bookmarkEnd w:id="15"/>
    </w:p>
    <w:p w:rsidR="009C710B" w:rsidRDefault="009C710B" w:rsidP="00DB6404">
      <w:pPr>
        <w:pStyle w:val="BodyText17ptAbove"/>
        <w:spacing w:before="120" w:after="120"/>
      </w:pPr>
      <w:r>
        <w:t xml:space="preserve">There </w:t>
      </w:r>
      <w:r w:rsidR="0024239E">
        <w:t>are</w:t>
      </w:r>
      <w:r w:rsidR="001D3308">
        <w:t xml:space="preserve"> </w:t>
      </w:r>
      <w:r>
        <w:t xml:space="preserve">sound policy reasons for using alternative financing arrangements to fund </w:t>
      </w:r>
      <w:r w:rsidR="0024239E">
        <w:t xml:space="preserve">particular </w:t>
      </w:r>
      <w:r>
        <w:t xml:space="preserve">government policies.  </w:t>
      </w:r>
    </w:p>
    <w:p w:rsidR="009C710B" w:rsidRDefault="009C710B" w:rsidP="009C710B">
      <w:pPr>
        <w:pStyle w:val="BodyText"/>
      </w:pPr>
      <w:r>
        <w:t>Income-contingent s</w:t>
      </w:r>
      <w:r w:rsidRPr="00DE3634">
        <w:t>tudent loans</w:t>
      </w:r>
      <w:r>
        <w:t xml:space="preserve">, for example, recognise that there are both individual and </w:t>
      </w:r>
      <w:r w:rsidRPr="00D22E91">
        <w:t xml:space="preserve">community benefits to higher education.  The Productivity Commission has found that </w:t>
      </w:r>
      <w:r w:rsidR="0024239E">
        <w:t>these loans</w:t>
      </w:r>
      <w:r w:rsidR="0024239E" w:rsidRPr="00D22E91">
        <w:t xml:space="preserve"> </w:t>
      </w:r>
      <w:r w:rsidRPr="00D22E91">
        <w:t>are an effective way to fund a share of the cost of higher education and recognise that individuals typically benefit substantially when they complete further studies.</w:t>
      </w:r>
      <w:r w:rsidRPr="00D22E91">
        <w:rPr>
          <w:rStyle w:val="FootnoteReference"/>
        </w:rPr>
        <w:footnoteReference w:id="7"/>
      </w:r>
      <w:r w:rsidRPr="00D22E91">
        <w:t xml:space="preserve">  </w:t>
      </w:r>
    </w:p>
    <w:p w:rsidR="009C710B" w:rsidRPr="0090575C" w:rsidRDefault="009C710B" w:rsidP="009C710B">
      <w:pPr>
        <w:pStyle w:val="BodyText"/>
        <w:rPr>
          <w:spacing w:val="-2"/>
        </w:rPr>
      </w:pPr>
      <w:r w:rsidRPr="0090575C">
        <w:rPr>
          <w:spacing w:val="-2"/>
        </w:rPr>
        <w:t xml:space="preserve">For infrastructure projects, governments may wish to make equity investments where a project is too large or risky for private sector investors, or to inject competition into particular sectors.  Governments also take into account the </w:t>
      </w:r>
      <w:r w:rsidR="00FE67A8">
        <w:rPr>
          <w:spacing w:val="-2"/>
        </w:rPr>
        <w:t>broader social or public benefits, such as improved productivity from shorter commuting times</w:t>
      </w:r>
      <w:r w:rsidRPr="0090575C">
        <w:rPr>
          <w:spacing w:val="-2"/>
        </w:rPr>
        <w:t xml:space="preserve">.  </w:t>
      </w:r>
      <w:r w:rsidR="00FE67A8">
        <w:rPr>
          <w:spacing w:val="-2"/>
        </w:rPr>
        <w:t>Governments may also make the decision to h</w:t>
      </w:r>
      <w:r w:rsidRPr="0090575C">
        <w:rPr>
          <w:spacing w:val="-2"/>
        </w:rPr>
        <w:t>old the infrastructure in a corporation</w:t>
      </w:r>
      <w:r w:rsidR="00FE67A8">
        <w:rPr>
          <w:spacing w:val="-2"/>
        </w:rPr>
        <w:t>,</w:t>
      </w:r>
      <w:r w:rsidRPr="0090575C">
        <w:rPr>
          <w:spacing w:val="-2"/>
        </w:rPr>
        <w:t xml:space="preserve"> </w:t>
      </w:r>
      <w:r w:rsidR="00FE67A8">
        <w:rPr>
          <w:spacing w:val="-2"/>
        </w:rPr>
        <w:t>rather than have it administered by a government department, if this is considered likely to</w:t>
      </w:r>
      <w:r w:rsidR="00FE67A8" w:rsidRPr="0090575C">
        <w:rPr>
          <w:spacing w:val="-2"/>
        </w:rPr>
        <w:t xml:space="preserve"> </w:t>
      </w:r>
      <w:r w:rsidRPr="0090575C">
        <w:rPr>
          <w:spacing w:val="-2"/>
        </w:rPr>
        <w:t xml:space="preserve">improve the efficiency of the operation. </w:t>
      </w:r>
    </w:p>
    <w:p w:rsidR="009C710B" w:rsidRPr="005432C3" w:rsidRDefault="009C710B" w:rsidP="009C710B">
      <w:pPr>
        <w:pStyle w:val="BodyText"/>
        <w:rPr>
          <w:kern w:val="2"/>
        </w:rPr>
      </w:pPr>
      <w:r>
        <w:t xml:space="preserve">Whether a policy is financed through direct or alternative methods should depend on the merits of the different financing methods for that policy.  </w:t>
      </w:r>
    </w:p>
    <w:p w:rsidR="009C710B" w:rsidRDefault="0090575C" w:rsidP="009C710B">
      <w:pPr>
        <w:pStyle w:val="BodyText"/>
      </w:pPr>
      <w:r>
        <w:t>T</w:t>
      </w:r>
      <w:r w:rsidR="005C3110">
        <w:t xml:space="preserve">he majority of the costs associated with alternative financing arrangements are not </w:t>
      </w:r>
      <w:r w:rsidR="001654F5">
        <w:t xml:space="preserve">fully </w:t>
      </w:r>
      <w:r w:rsidR="005C3110">
        <w:t xml:space="preserve">captured in the commonly cited budget aggregates of </w:t>
      </w:r>
      <w:r w:rsidR="00714CE7">
        <w:t xml:space="preserve">the fiscal balance or </w:t>
      </w:r>
      <w:r w:rsidR="005C3110">
        <w:t>underlying cash balance.  As the focus of the budget papers tend</w:t>
      </w:r>
      <w:r w:rsidR="001C6EA1">
        <w:t>s</w:t>
      </w:r>
      <w:r w:rsidR="005C3110">
        <w:t xml:space="preserve"> to be on explaining the </w:t>
      </w:r>
      <w:r w:rsidR="00AC6C1F">
        <w:t xml:space="preserve">fiscal </w:t>
      </w:r>
      <w:r w:rsidR="005C3110">
        <w:t xml:space="preserve">impact </w:t>
      </w:r>
      <w:r w:rsidR="00AC6C1F">
        <w:t xml:space="preserve">of policy </w:t>
      </w:r>
      <w:r w:rsidR="005C3110">
        <w:t xml:space="preserve">on these aggregates rather than, for example, net </w:t>
      </w:r>
      <w:r w:rsidR="00AC6C1F">
        <w:t>financial</w:t>
      </w:r>
      <w:r w:rsidR="005C3110">
        <w:t xml:space="preserve"> worth</w:t>
      </w:r>
      <w:r w:rsidR="00AC6C1F">
        <w:rPr>
          <w:rStyle w:val="FootnoteReference"/>
        </w:rPr>
        <w:footnoteReference w:id="8"/>
      </w:r>
      <w:r>
        <w:t>,</w:t>
      </w:r>
      <w:r w:rsidR="005C3110">
        <w:t xml:space="preserve"> </w:t>
      </w:r>
      <w:r w:rsidR="009C710B">
        <w:t xml:space="preserve">there is less </w:t>
      </w:r>
      <w:r w:rsidR="00B6700A">
        <w:t xml:space="preserve">information available about </w:t>
      </w:r>
      <w:r w:rsidR="009C710B">
        <w:t xml:space="preserve">the fiscal impact of a policy </w:t>
      </w:r>
      <w:r w:rsidR="00AC6C1F">
        <w:t>when</w:t>
      </w:r>
      <w:r w:rsidR="009C710B">
        <w:t xml:space="preserve"> it is </w:t>
      </w:r>
      <w:r w:rsidR="007D0FA3">
        <w:t>implemented using</w:t>
      </w:r>
      <w:r w:rsidR="009C710B">
        <w:t xml:space="preserve"> alternative </w:t>
      </w:r>
      <w:r w:rsidR="00AC6C1F">
        <w:t>financing</w:t>
      </w:r>
      <w:r w:rsidR="009C710B">
        <w:t xml:space="preserve">.  </w:t>
      </w:r>
    </w:p>
    <w:p w:rsidR="009C710B" w:rsidRDefault="009C710B" w:rsidP="009C710B">
      <w:pPr>
        <w:pStyle w:val="BodyText"/>
      </w:pPr>
      <w:r>
        <w:t xml:space="preserve">While under current reporting </w:t>
      </w:r>
      <w:r w:rsidR="007D0FA3">
        <w:t xml:space="preserve">practice </w:t>
      </w:r>
      <w:r>
        <w:t>some of this information is available across different budget documents, it is often hard to find, sometimes has different accounting requirements</w:t>
      </w:r>
      <w:r w:rsidR="00B97FA4">
        <w:t>,</w:t>
      </w:r>
      <w:r>
        <w:t xml:space="preserve"> and is not comprehensive.  </w:t>
      </w:r>
      <w:r>
        <w:rPr>
          <w:rStyle w:val="BodyTextChar"/>
        </w:rPr>
        <w:t>M</w:t>
      </w:r>
      <w:r>
        <w:t xml:space="preserve">ultiple documents are often required – budget papers, portfolio budget statements, </w:t>
      </w:r>
      <w:proofErr w:type="gramStart"/>
      <w:r>
        <w:t>annual</w:t>
      </w:r>
      <w:proofErr w:type="gramEnd"/>
      <w:r>
        <w:t xml:space="preserve"> reports – to get a picture of the history and budget impact of a particular arrangement.  For completeness, </w:t>
      </w:r>
      <w:r w:rsidRPr="004B0512">
        <w:rPr>
          <w:u w:val="single"/>
        </w:rPr>
        <w:t xml:space="preserve">Appendix </w:t>
      </w:r>
      <w:r w:rsidR="00E6229E">
        <w:rPr>
          <w:u w:val="single"/>
        </w:rPr>
        <w:t>B</w:t>
      </w:r>
      <w:r w:rsidR="00503395">
        <w:t xml:space="preserve"> </w:t>
      </w:r>
      <w:r>
        <w:t>outlines where and how additional information is provided in other budget documents</w:t>
      </w:r>
      <w:r w:rsidR="008E52ED">
        <w:t xml:space="preserve">.  </w:t>
      </w:r>
    </w:p>
    <w:p w:rsidR="003D7CD8" w:rsidRDefault="003D7CD8" w:rsidP="003D7CD8">
      <w:pPr>
        <w:pStyle w:val="BodyText"/>
        <w:rPr>
          <w:i/>
          <w:kern w:val="2"/>
        </w:rPr>
      </w:pPr>
      <w:r>
        <w:rPr>
          <w:kern w:val="2"/>
        </w:rPr>
        <w:t xml:space="preserve">The International Monetary Fund (IMF) has discussed the issue of governments shifting activity to where it is less likely to be scrutinised.  It has commented that </w:t>
      </w:r>
      <w:proofErr w:type="gramStart"/>
      <w:r w:rsidRPr="007B5931">
        <w:rPr>
          <w:i/>
          <w:kern w:val="2"/>
        </w:rPr>
        <w:t>Such</w:t>
      </w:r>
      <w:proofErr w:type="gramEnd"/>
      <w:r w:rsidRPr="007B5931">
        <w:rPr>
          <w:i/>
          <w:kern w:val="2"/>
        </w:rPr>
        <w:t xml:space="preserve"> cost shifting undermines the quality of fiscal statistics, reduces the effectiveness of fiscal rules, and undermines the financial performance of public corporations.</w:t>
      </w:r>
      <w:r w:rsidRPr="00CC5EB9">
        <w:rPr>
          <w:rStyle w:val="FootnoteReference"/>
          <w:kern w:val="2"/>
        </w:rPr>
        <w:footnoteReference w:id="9"/>
      </w:r>
    </w:p>
    <w:p w:rsidR="003D7CD8" w:rsidRPr="008E383C" w:rsidRDefault="003D7CD8" w:rsidP="003D7CD8">
      <w:pPr>
        <w:pStyle w:val="BodyText"/>
      </w:pPr>
      <w:r>
        <w:t xml:space="preserve">In the Australian context, a lack of transparency presents a risk that </w:t>
      </w:r>
      <w:r w:rsidRPr="001F337E">
        <w:rPr>
          <w:kern w:val="2"/>
        </w:rPr>
        <w:t xml:space="preserve">decision making </w:t>
      </w:r>
      <w:r>
        <w:rPr>
          <w:kern w:val="2"/>
        </w:rPr>
        <w:t xml:space="preserve">on the most appropriate funding arrangement for a given policy could be influenced by its budget treatment and presentation.  It also makes it more difficult for some significant elements of government spending to be scrutinised and effectively evaluated.  </w:t>
      </w:r>
      <w:r w:rsidRPr="00AA0D49">
        <w:t xml:space="preserve">Regardless of the financing arrangement </w:t>
      </w:r>
      <w:r>
        <w:t xml:space="preserve">used to fund a </w:t>
      </w:r>
      <w:r w:rsidRPr="00AA0D49">
        <w:t>policy, to have a robust decision-making proces</w:t>
      </w:r>
      <w:r>
        <w:t>s,</w:t>
      </w:r>
      <w:r w:rsidRPr="00AA0D49">
        <w:t xml:space="preserve"> parliamentarians and the public need to be able to assess and understand the </w:t>
      </w:r>
      <w:r>
        <w:t xml:space="preserve">full </w:t>
      </w:r>
      <w:r w:rsidRPr="00AA0D49">
        <w:t>costs involved</w:t>
      </w:r>
      <w:r>
        <w:t xml:space="preserve"> (noting these may be realised or estimated costs)</w:t>
      </w:r>
      <w:r w:rsidRPr="00AA0D49">
        <w:t>.</w:t>
      </w:r>
      <w:r>
        <w:t xml:space="preserve"> </w:t>
      </w:r>
    </w:p>
    <w:p w:rsidR="009C710B" w:rsidRDefault="003D7CD8" w:rsidP="003D7CD8">
      <w:pPr>
        <w:pStyle w:val="BodyText"/>
        <w:spacing w:after="240"/>
        <w:rPr>
          <w:kern w:val="2"/>
        </w:rPr>
      </w:pPr>
      <w:r>
        <w:lastRenderedPageBreak/>
        <w:t>Exactly what kinds of fiscal c</w:t>
      </w:r>
      <w:r w:rsidRPr="00DE3634">
        <w:t xml:space="preserve">osts </w:t>
      </w:r>
      <w:r>
        <w:t xml:space="preserve">are </w:t>
      </w:r>
      <w:r w:rsidRPr="00DE3634">
        <w:t>associated with policies using alternative financing arrangements</w:t>
      </w:r>
      <w:r>
        <w:t xml:space="preserve"> is explored further in the next section.</w:t>
      </w:r>
    </w:p>
    <w:tbl>
      <w:tblPr>
        <w:tblStyle w:val="PullOutBoxTable"/>
        <w:tblW w:w="5000" w:type="pct"/>
        <w:shd w:val="clear" w:color="auto" w:fill="E3E5E6" w:themeFill="accent6" w:themeFillTint="33"/>
        <w:tblLook w:val="0600" w:firstRow="0" w:lastRow="0" w:firstColumn="0" w:lastColumn="0" w:noHBand="1" w:noVBand="1"/>
      </w:tblPr>
      <w:tblGrid>
        <w:gridCol w:w="9081"/>
      </w:tblGrid>
      <w:tr w:rsidR="00F42657" w:rsidTr="00DB6404">
        <w:tc>
          <w:tcPr>
            <w:tcW w:w="5000" w:type="pct"/>
            <w:shd w:val="clear" w:color="auto" w:fill="E3E5E6" w:themeFill="accent6" w:themeFillTint="33"/>
          </w:tcPr>
          <w:p w:rsidR="00F42657" w:rsidRPr="00E70749" w:rsidRDefault="00840B37" w:rsidP="00DB6404">
            <w:pPr>
              <w:pStyle w:val="PullOutBoxHeading"/>
              <w:spacing w:line="260" w:lineRule="atLeast"/>
              <w:rPr>
                <w:rFonts w:asciiTheme="majorHAnsi" w:eastAsiaTheme="minorHAnsi" w:hAnsiTheme="majorHAnsi" w:cstheme="minorBidi"/>
                <w:bCs/>
                <w:i w:val="0"/>
                <w:iCs/>
                <w:spacing w:val="0"/>
                <w:kern w:val="2"/>
                <w:szCs w:val="28"/>
                <w:lang w:eastAsia="en-US"/>
              </w:rPr>
            </w:pPr>
            <w:r>
              <w:rPr>
                <w:rFonts w:asciiTheme="majorHAnsi" w:eastAsiaTheme="minorHAnsi" w:hAnsiTheme="majorHAnsi" w:cstheme="minorBidi"/>
                <w:bCs/>
                <w:i w:val="0"/>
                <w:iCs/>
                <w:spacing w:val="0"/>
                <w:kern w:val="2"/>
                <w:szCs w:val="28"/>
                <w:lang w:eastAsia="en-US"/>
              </w:rPr>
              <w:t xml:space="preserve">Box </w:t>
            </w:r>
            <w:r w:rsidR="001F2FA5">
              <w:rPr>
                <w:rFonts w:asciiTheme="majorHAnsi" w:eastAsiaTheme="minorHAnsi" w:hAnsiTheme="majorHAnsi" w:cstheme="minorBidi"/>
                <w:bCs/>
                <w:i w:val="0"/>
                <w:iCs/>
                <w:spacing w:val="0"/>
                <w:kern w:val="2"/>
                <w:szCs w:val="28"/>
                <w:lang w:eastAsia="en-US"/>
              </w:rPr>
              <w:t>1</w:t>
            </w:r>
            <w:r>
              <w:rPr>
                <w:rFonts w:asciiTheme="majorHAnsi" w:eastAsiaTheme="minorHAnsi" w:hAnsiTheme="majorHAnsi" w:cstheme="minorBidi"/>
                <w:bCs/>
                <w:i w:val="0"/>
                <w:iCs/>
                <w:spacing w:val="0"/>
                <w:kern w:val="2"/>
                <w:szCs w:val="28"/>
                <w:lang w:eastAsia="en-US"/>
              </w:rPr>
              <w:t xml:space="preserve">: </w:t>
            </w:r>
            <w:r w:rsidR="00F42657" w:rsidRPr="00E70749">
              <w:rPr>
                <w:rFonts w:asciiTheme="majorHAnsi" w:eastAsiaTheme="minorHAnsi" w:hAnsiTheme="majorHAnsi" w:cstheme="minorBidi"/>
                <w:bCs/>
                <w:i w:val="0"/>
                <w:iCs/>
                <w:spacing w:val="0"/>
                <w:kern w:val="2"/>
                <w:szCs w:val="28"/>
                <w:lang w:eastAsia="en-US"/>
              </w:rPr>
              <w:t xml:space="preserve">Alternative financing arrangements and the 2019 </w:t>
            </w:r>
            <w:r w:rsidR="00B63D1A">
              <w:rPr>
                <w:rFonts w:asciiTheme="majorHAnsi" w:eastAsiaTheme="minorHAnsi" w:hAnsiTheme="majorHAnsi" w:cstheme="minorBidi"/>
                <w:bCs/>
                <w:i w:val="0"/>
                <w:iCs/>
                <w:spacing w:val="0"/>
                <w:kern w:val="2"/>
                <w:szCs w:val="28"/>
                <w:lang w:eastAsia="en-US"/>
              </w:rPr>
              <w:t>g</w:t>
            </w:r>
            <w:r w:rsidR="00F42657" w:rsidRPr="00E70749">
              <w:rPr>
                <w:rFonts w:asciiTheme="majorHAnsi" w:eastAsiaTheme="minorHAnsi" w:hAnsiTheme="majorHAnsi" w:cstheme="minorBidi"/>
                <w:bCs/>
                <w:i w:val="0"/>
                <w:iCs/>
                <w:spacing w:val="0"/>
                <w:kern w:val="2"/>
                <w:szCs w:val="28"/>
                <w:lang w:eastAsia="en-US"/>
              </w:rPr>
              <w:t>eneral election</w:t>
            </w:r>
          </w:p>
          <w:p w:rsidR="00F42657" w:rsidRPr="00E70749" w:rsidRDefault="00F42657" w:rsidP="00DB6404">
            <w:pPr>
              <w:pStyle w:val="BodyText"/>
              <w:spacing w:line="260" w:lineRule="atLeast"/>
              <w:rPr>
                <w:sz w:val="20"/>
              </w:rPr>
            </w:pPr>
            <w:r w:rsidRPr="00E70749">
              <w:rPr>
                <w:sz w:val="20"/>
              </w:rPr>
              <w:t xml:space="preserve">Following the 2019 </w:t>
            </w:r>
            <w:r w:rsidR="00B63D1A">
              <w:rPr>
                <w:sz w:val="20"/>
              </w:rPr>
              <w:t>g</w:t>
            </w:r>
            <w:r w:rsidRPr="00E70749">
              <w:rPr>
                <w:sz w:val="20"/>
              </w:rPr>
              <w:t xml:space="preserve">eneral election, the PBO published its election </w:t>
            </w:r>
            <w:r>
              <w:rPr>
                <w:sz w:val="20"/>
              </w:rPr>
              <w:t>commitment</w:t>
            </w:r>
            <w:r w:rsidR="00B97FA4">
              <w:rPr>
                <w:sz w:val="20"/>
              </w:rPr>
              <w:t>s</w:t>
            </w:r>
            <w:r>
              <w:rPr>
                <w:sz w:val="20"/>
              </w:rPr>
              <w:t xml:space="preserve"> </w:t>
            </w:r>
            <w:r w:rsidRPr="00E70749">
              <w:rPr>
                <w:sz w:val="20"/>
              </w:rPr>
              <w:t>report</w:t>
            </w:r>
            <w:r w:rsidR="00FC56A3">
              <w:rPr>
                <w:sz w:val="20"/>
              </w:rPr>
              <w:t xml:space="preserve"> that </w:t>
            </w:r>
            <w:r w:rsidRPr="00E70749">
              <w:rPr>
                <w:sz w:val="20"/>
              </w:rPr>
              <w:t>detail</w:t>
            </w:r>
            <w:r w:rsidR="00FC56A3">
              <w:rPr>
                <w:sz w:val="20"/>
              </w:rPr>
              <w:t>ed</w:t>
            </w:r>
            <w:r w:rsidRPr="00E70749">
              <w:rPr>
                <w:sz w:val="20"/>
              </w:rPr>
              <w:t xml:space="preserve"> the budget impact of the </w:t>
            </w:r>
            <w:r w:rsidR="00D049AE">
              <w:rPr>
                <w:sz w:val="20"/>
              </w:rPr>
              <w:t xml:space="preserve">policy </w:t>
            </w:r>
            <w:r w:rsidRPr="00E70749">
              <w:rPr>
                <w:sz w:val="20"/>
              </w:rPr>
              <w:t>platforms for each of the major parties.</w:t>
            </w:r>
          </w:p>
          <w:p w:rsidR="00F42657" w:rsidRPr="00C03D5E" w:rsidRDefault="00F42657" w:rsidP="00DB6404">
            <w:pPr>
              <w:pStyle w:val="BodyText"/>
              <w:spacing w:line="260" w:lineRule="atLeast"/>
              <w:rPr>
                <w:sz w:val="20"/>
              </w:rPr>
            </w:pPr>
            <w:r w:rsidRPr="00E70749">
              <w:rPr>
                <w:sz w:val="20"/>
              </w:rPr>
              <w:t>All major parties announced commitments involving the use of alternative financing arrangements.  A</w:t>
            </w:r>
            <w:r w:rsidR="006E78E3">
              <w:rPr>
                <w:sz w:val="20"/>
              </w:rPr>
              <w:t> </w:t>
            </w:r>
            <w:r w:rsidRPr="00E70749">
              <w:rPr>
                <w:sz w:val="20"/>
              </w:rPr>
              <w:t xml:space="preserve">useful indicator of the size of the proposed alternative financing arrangements is the difference </w:t>
            </w:r>
            <w:r w:rsidRPr="00AA0D49">
              <w:rPr>
                <w:sz w:val="20"/>
              </w:rPr>
              <w:t xml:space="preserve">between the impacts </w:t>
            </w:r>
            <w:r w:rsidRPr="00C03D5E">
              <w:rPr>
                <w:sz w:val="20"/>
              </w:rPr>
              <w:t xml:space="preserve">of the party platforms on the </w:t>
            </w:r>
            <w:r w:rsidR="00B97FA4" w:rsidRPr="00C03D5E">
              <w:rPr>
                <w:sz w:val="20"/>
              </w:rPr>
              <w:t xml:space="preserve">underlying cash balance </w:t>
            </w:r>
            <w:r w:rsidR="00B97FA4">
              <w:rPr>
                <w:sz w:val="20"/>
              </w:rPr>
              <w:t xml:space="preserve">and the </w:t>
            </w:r>
            <w:r w:rsidRPr="00C03D5E">
              <w:rPr>
                <w:sz w:val="20"/>
              </w:rPr>
              <w:t>headline cash balance.  Greater use of alternative financing arrangements usually result</w:t>
            </w:r>
            <w:r w:rsidR="004054C2" w:rsidRPr="00C03D5E">
              <w:rPr>
                <w:sz w:val="20"/>
              </w:rPr>
              <w:t>s</w:t>
            </w:r>
            <w:r w:rsidRPr="00C03D5E">
              <w:rPr>
                <w:sz w:val="20"/>
              </w:rPr>
              <w:t xml:space="preserve"> in </w:t>
            </w:r>
            <w:r w:rsidR="003660F0" w:rsidRPr="00C03D5E">
              <w:rPr>
                <w:sz w:val="20"/>
              </w:rPr>
              <w:t xml:space="preserve">a wedge opening between the underlying cash balance impact and </w:t>
            </w:r>
            <w:r w:rsidR="004054C2" w:rsidRPr="00C03D5E">
              <w:rPr>
                <w:sz w:val="20"/>
              </w:rPr>
              <w:t xml:space="preserve">the </w:t>
            </w:r>
            <w:r w:rsidRPr="00C03D5E">
              <w:rPr>
                <w:sz w:val="20"/>
              </w:rPr>
              <w:t xml:space="preserve">headline cash balance </w:t>
            </w:r>
            <w:r w:rsidR="003660F0" w:rsidRPr="00C03D5E">
              <w:rPr>
                <w:sz w:val="20"/>
              </w:rPr>
              <w:t xml:space="preserve">impact, with the </w:t>
            </w:r>
            <w:r w:rsidR="0024239E">
              <w:rPr>
                <w:sz w:val="20"/>
              </w:rPr>
              <w:t xml:space="preserve">initial </w:t>
            </w:r>
            <w:r w:rsidR="003660F0" w:rsidRPr="00C03D5E">
              <w:rPr>
                <w:sz w:val="20"/>
              </w:rPr>
              <w:t>headline cash balance impact being the lower of the two</w:t>
            </w:r>
            <w:r w:rsidRPr="00C03D5E">
              <w:rPr>
                <w:sz w:val="20"/>
              </w:rPr>
              <w:t xml:space="preserve">.  </w:t>
            </w:r>
          </w:p>
          <w:p w:rsidR="004503AE" w:rsidRDefault="00D049AE" w:rsidP="00DB6404">
            <w:pPr>
              <w:pStyle w:val="BodyText"/>
              <w:spacing w:line="260" w:lineRule="atLeast"/>
              <w:rPr>
                <w:sz w:val="20"/>
              </w:rPr>
            </w:pPr>
            <w:r w:rsidRPr="00C03D5E">
              <w:rPr>
                <w:sz w:val="20"/>
              </w:rPr>
              <w:t>As part of the 2019 election campaign</w:t>
            </w:r>
            <w:r w:rsidR="00F42657" w:rsidRPr="00C03D5E">
              <w:rPr>
                <w:sz w:val="20"/>
              </w:rPr>
              <w:t>, the Coalition announced six commitments</w:t>
            </w:r>
            <w:r w:rsidR="00F42657" w:rsidRPr="00E70749">
              <w:rPr>
                <w:sz w:val="20"/>
              </w:rPr>
              <w:t xml:space="preserve"> involving the use of </w:t>
            </w:r>
            <w:r>
              <w:rPr>
                <w:sz w:val="20"/>
              </w:rPr>
              <w:t>alternative financing arrangements</w:t>
            </w:r>
            <w:r w:rsidR="00F42657" w:rsidRPr="00E70749">
              <w:rPr>
                <w:sz w:val="20"/>
              </w:rPr>
              <w:t xml:space="preserve">, resulting in the headline cash balance impact being $0.6 billion lower than the underlying cash balance impact over the </w:t>
            </w:r>
            <w:r w:rsidR="00B97FA4">
              <w:rPr>
                <w:sz w:val="20"/>
              </w:rPr>
              <w:t>2019</w:t>
            </w:r>
            <w:r w:rsidR="00B97FA4" w:rsidRPr="00BB3C94">
              <w:t>–</w:t>
            </w:r>
            <w:r w:rsidR="00B97FA4">
              <w:rPr>
                <w:sz w:val="20"/>
              </w:rPr>
              <w:t xml:space="preserve">20 Budget </w:t>
            </w:r>
            <w:r w:rsidR="00F42657" w:rsidRPr="00E70749">
              <w:rPr>
                <w:sz w:val="20"/>
              </w:rPr>
              <w:t>forward estimates period.  This</w:t>
            </w:r>
            <w:r w:rsidR="006E78E3">
              <w:rPr>
                <w:sz w:val="20"/>
              </w:rPr>
              <w:t> </w:t>
            </w:r>
            <w:r w:rsidR="00C03D5E">
              <w:rPr>
                <w:sz w:val="20"/>
              </w:rPr>
              <w:t xml:space="preserve">impact to the headline cash balance </w:t>
            </w:r>
            <w:r w:rsidR="00F42657" w:rsidRPr="00E70749">
              <w:rPr>
                <w:sz w:val="20"/>
              </w:rPr>
              <w:t xml:space="preserve">is in addition to those elements of its platform included </w:t>
            </w:r>
            <w:r w:rsidR="00F42657" w:rsidRPr="00695AEC">
              <w:rPr>
                <w:sz w:val="20"/>
              </w:rPr>
              <w:t>in the</w:t>
            </w:r>
            <w:r w:rsidR="006E78E3">
              <w:rPr>
                <w:sz w:val="20"/>
              </w:rPr>
              <w:t> </w:t>
            </w:r>
            <w:r w:rsidR="00F42657" w:rsidRPr="00695AEC">
              <w:rPr>
                <w:sz w:val="20"/>
              </w:rPr>
              <w:t>2019</w:t>
            </w:r>
            <w:r w:rsidR="00B97FA4">
              <w:rPr>
                <w:sz w:val="20"/>
              </w:rPr>
              <w:t> </w:t>
            </w:r>
            <w:r w:rsidR="00162D2C" w:rsidRPr="00695AEC">
              <w:rPr>
                <w:sz w:val="20"/>
              </w:rPr>
              <w:t>Pre-election Economic and Fiscal Outlook (PEFO)</w:t>
            </w:r>
            <w:r w:rsidR="00F42657" w:rsidRPr="00695AEC">
              <w:rPr>
                <w:sz w:val="20"/>
              </w:rPr>
              <w:t>.</w:t>
            </w:r>
            <w:r w:rsidR="00F42657" w:rsidRPr="00E70749">
              <w:rPr>
                <w:sz w:val="20"/>
              </w:rPr>
              <w:t xml:space="preserve">  </w:t>
            </w:r>
            <w:r w:rsidR="00B63D1A">
              <w:rPr>
                <w:sz w:val="20"/>
              </w:rPr>
              <w:t xml:space="preserve">The Australian </w:t>
            </w:r>
            <w:proofErr w:type="spellStart"/>
            <w:r w:rsidR="00F42657" w:rsidRPr="00E70749">
              <w:rPr>
                <w:sz w:val="20"/>
              </w:rPr>
              <w:t>Labor</w:t>
            </w:r>
            <w:proofErr w:type="spellEnd"/>
            <w:r w:rsidR="00F42657" w:rsidRPr="00E70749">
              <w:rPr>
                <w:sz w:val="20"/>
              </w:rPr>
              <w:t xml:space="preserve"> </w:t>
            </w:r>
            <w:r w:rsidR="00B63D1A">
              <w:rPr>
                <w:sz w:val="20"/>
              </w:rPr>
              <w:t xml:space="preserve">Party </w:t>
            </w:r>
            <w:r w:rsidR="00F42657" w:rsidRPr="00E70749">
              <w:rPr>
                <w:sz w:val="20"/>
              </w:rPr>
              <w:t>announced nine</w:t>
            </w:r>
            <w:r w:rsidR="00B97FA4">
              <w:rPr>
                <w:sz w:val="20"/>
              </w:rPr>
              <w:t> </w:t>
            </w:r>
            <w:r w:rsidR="00F42657" w:rsidRPr="00E70749">
              <w:rPr>
                <w:sz w:val="20"/>
              </w:rPr>
              <w:t xml:space="preserve">commitments involving the use of these instruments that would result in the headline cash balance being $8.6 billion lower than the underlying cash balance impact over the forward estimates period.  The </w:t>
            </w:r>
            <w:r w:rsidR="00B63D1A">
              <w:rPr>
                <w:sz w:val="20"/>
              </w:rPr>
              <w:t xml:space="preserve">Australian </w:t>
            </w:r>
            <w:r w:rsidR="00F42657" w:rsidRPr="00E70749">
              <w:rPr>
                <w:sz w:val="20"/>
              </w:rPr>
              <w:t>Greens announced seven such commitments that would result in the headline cash balance being $26.6</w:t>
            </w:r>
            <w:r w:rsidR="0090575C">
              <w:rPr>
                <w:sz w:val="20"/>
              </w:rPr>
              <w:t> </w:t>
            </w:r>
            <w:r w:rsidR="00F42657" w:rsidRPr="00E70749">
              <w:rPr>
                <w:sz w:val="20"/>
              </w:rPr>
              <w:t xml:space="preserve">billion lower than the underlying cash balance impact over the forward estimates period.  </w:t>
            </w:r>
          </w:p>
          <w:p w:rsidR="00F42657" w:rsidRDefault="00162D2C" w:rsidP="00511480">
            <w:pPr>
              <w:pStyle w:val="BodyText"/>
              <w:spacing w:line="260" w:lineRule="atLeast"/>
            </w:pPr>
            <w:r w:rsidRPr="00C11FDB">
              <w:rPr>
                <w:sz w:val="20"/>
              </w:rPr>
              <w:t>When taking into account the effect of policies using alternative financing already included in the 2019</w:t>
            </w:r>
            <w:r w:rsidR="002E2CA8">
              <w:rPr>
                <w:sz w:val="20"/>
              </w:rPr>
              <w:t> </w:t>
            </w:r>
            <w:r w:rsidRPr="00C11FDB">
              <w:rPr>
                <w:sz w:val="20"/>
              </w:rPr>
              <w:t>PEFO, the total difference between</w:t>
            </w:r>
            <w:r w:rsidR="00B97FA4">
              <w:rPr>
                <w:sz w:val="20"/>
              </w:rPr>
              <w:t xml:space="preserve"> the underlying cash balance and</w:t>
            </w:r>
            <w:r w:rsidRPr="00C11FDB">
              <w:rPr>
                <w:sz w:val="20"/>
              </w:rPr>
              <w:t xml:space="preserve"> headline cash balance over the </w:t>
            </w:r>
            <w:r w:rsidR="00B97FA4">
              <w:rPr>
                <w:sz w:val="20"/>
              </w:rPr>
              <w:t>2019</w:t>
            </w:r>
            <w:r w:rsidR="00B97FA4" w:rsidRPr="00BB3C94">
              <w:t>–</w:t>
            </w:r>
            <w:r w:rsidR="00B97FA4">
              <w:rPr>
                <w:sz w:val="20"/>
              </w:rPr>
              <w:t xml:space="preserve">20 Budget </w:t>
            </w:r>
            <w:r w:rsidRPr="00C11FDB">
              <w:rPr>
                <w:sz w:val="20"/>
              </w:rPr>
              <w:t>forw</w:t>
            </w:r>
            <w:r w:rsidRPr="00956230">
              <w:rPr>
                <w:sz w:val="20"/>
              </w:rPr>
              <w:t>ard estimates period is $</w:t>
            </w:r>
            <w:r w:rsidR="00511480">
              <w:rPr>
                <w:sz w:val="20"/>
              </w:rPr>
              <w:t>45.2</w:t>
            </w:r>
            <w:r w:rsidRPr="00956230">
              <w:rPr>
                <w:sz w:val="20"/>
              </w:rPr>
              <w:t> billion for the Coalition, $</w:t>
            </w:r>
            <w:r w:rsidR="00511480">
              <w:rPr>
                <w:sz w:val="20"/>
              </w:rPr>
              <w:t>53.2</w:t>
            </w:r>
            <w:r w:rsidRPr="00956230">
              <w:rPr>
                <w:sz w:val="20"/>
              </w:rPr>
              <w:t xml:space="preserve"> billion for </w:t>
            </w:r>
            <w:r w:rsidR="00B63D1A" w:rsidRPr="00956230">
              <w:rPr>
                <w:sz w:val="20"/>
              </w:rPr>
              <w:t xml:space="preserve">the Australian </w:t>
            </w:r>
            <w:proofErr w:type="spellStart"/>
            <w:r w:rsidRPr="00956230">
              <w:rPr>
                <w:sz w:val="20"/>
              </w:rPr>
              <w:t>Labor</w:t>
            </w:r>
            <w:proofErr w:type="spellEnd"/>
            <w:r w:rsidRPr="00956230">
              <w:rPr>
                <w:sz w:val="20"/>
              </w:rPr>
              <w:t xml:space="preserve"> </w:t>
            </w:r>
            <w:r w:rsidR="00B63D1A" w:rsidRPr="00956230">
              <w:rPr>
                <w:sz w:val="20"/>
              </w:rPr>
              <w:t xml:space="preserve">Party </w:t>
            </w:r>
            <w:r w:rsidRPr="00956230">
              <w:rPr>
                <w:sz w:val="20"/>
              </w:rPr>
              <w:t>and $</w:t>
            </w:r>
            <w:r w:rsidR="00511480">
              <w:rPr>
                <w:sz w:val="20"/>
              </w:rPr>
              <w:t>71.2</w:t>
            </w:r>
            <w:r w:rsidRPr="00956230">
              <w:rPr>
                <w:sz w:val="20"/>
              </w:rPr>
              <w:t> bill</w:t>
            </w:r>
            <w:r w:rsidRPr="00C11FDB">
              <w:rPr>
                <w:sz w:val="20"/>
              </w:rPr>
              <w:t xml:space="preserve">ion for the </w:t>
            </w:r>
            <w:r w:rsidR="00B63D1A">
              <w:rPr>
                <w:sz w:val="20"/>
              </w:rPr>
              <w:t xml:space="preserve">Australian </w:t>
            </w:r>
            <w:r w:rsidRPr="00C11FDB">
              <w:rPr>
                <w:sz w:val="20"/>
              </w:rPr>
              <w:t>Greens.</w:t>
            </w:r>
            <w:r w:rsidR="004422BD" w:rsidRPr="00FC56A3">
              <w:rPr>
                <w:rStyle w:val="FootnoteReference"/>
                <w:color w:val="3D4D7D" w:themeColor="background2"/>
                <w:sz w:val="20"/>
              </w:rPr>
              <w:footnoteReference w:id="10"/>
            </w:r>
          </w:p>
        </w:tc>
      </w:tr>
    </w:tbl>
    <w:p w:rsidR="009C710B" w:rsidRDefault="009C710B" w:rsidP="00EC7A4D">
      <w:pPr>
        <w:pStyle w:val="BodyText"/>
      </w:pPr>
    </w:p>
    <w:p w:rsidR="003660F0" w:rsidRPr="00133E3D" w:rsidRDefault="003660F0" w:rsidP="00F505FF">
      <w:pPr>
        <w:pStyle w:val="BodyText"/>
        <w:rPr>
          <w:rFonts w:ascii="Calibri Light" w:hAnsi="Calibri Light"/>
          <w:bCs/>
          <w:color w:val="3D4D7D" w:themeColor="background2"/>
          <w:kern w:val="32"/>
          <w:sz w:val="52"/>
          <w:szCs w:val="32"/>
        </w:rPr>
      </w:pPr>
      <w:r>
        <w:br w:type="page"/>
      </w:r>
    </w:p>
    <w:p w:rsidR="00245AAD" w:rsidRDefault="00DD5E7A" w:rsidP="00245AAD">
      <w:pPr>
        <w:pStyle w:val="Heading1"/>
      </w:pPr>
      <w:bookmarkStart w:id="16" w:name="_Toc35451910"/>
      <w:r>
        <w:lastRenderedPageBreak/>
        <w:t>What are the costs associated with different policies?</w:t>
      </w:r>
      <w:bookmarkEnd w:id="16"/>
    </w:p>
    <w:p w:rsidR="00D25369" w:rsidRDefault="00D25369" w:rsidP="00D25369">
      <w:pPr>
        <w:pStyle w:val="BodyText17ptAbove"/>
      </w:pPr>
      <w:r>
        <w:t>When considering which policies they would like to</w:t>
      </w:r>
      <w:r w:rsidR="00504B32">
        <w:t xml:space="preserve"> have</w:t>
      </w:r>
      <w:r>
        <w:t xml:space="preserve"> implement</w:t>
      </w:r>
      <w:r w:rsidR="00504B32">
        <w:t>ed</w:t>
      </w:r>
      <w:r>
        <w:t xml:space="preserve">, parliamentarians weigh up the social or economic outcomes of a policy against the </w:t>
      </w:r>
      <w:r w:rsidR="00481B2D">
        <w:t xml:space="preserve">financial </w:t>
      </w:r>
      <w:r>
        <w:t xml:space="preserve">cost to the </w:t>
      </w:r>
      <w:r w:rsidR="00367949">
        <w:t>g</w:t>
      </w:r>
      <w:r>
        <w:t>overnment.  In order to make informed decisions, parliamentarians need to have accurate and accessible information on the costs of both existing and potential policies.</w:t>
      </w:r>
      <w:r w:rsidR="009D74BC" w:rsidRPr="009D74BC">
        <w:rPr>
          <w:rStyle w:val="FootnoteReference"/>
        </w:rPr>
        <w:t xml:space="preserve"> </w:t>
      </w:r>
    </w:p>
    <w:p w:rsidR="008A3EFE" w:rsidRPr="00114E00" w:rsidRDefault="0055622A" w:rsidP="008A3EFE">
      <w:pPr>
        <w:pStyle w:val="BodyText"/>
      </w:pPr>
      <w:r w:rsidRPr="00114E00">
        <w:t xml:space="preserve">In </w:t>
      </w:r>
      <w:r w:rsidR="003D744F" w:rsidRPr="00114E00">
        <w:t>general</w:t>
      </w:r>
      <w:r w:rsidRPr="00114E00">
        <w:t xml:space="preserve"> terms, t</w:t>
      </w:r>
      <w:r w:rsidR="00DD5E7A" w:rsidRPr="00114E00">
        <w:t xml:space="preserve">he cost of a policy </w:t>
      </w:r>
      <w:r w:rsidRPr="00114E00">
        <w:t xml:space="preserve">can be considered </w:t>
      </w:r>
      <w:r w:rsidR="003D744F" w:rsidRPr="00114E00">
        <w:t xml:space="preserve">as </w:t>
      </w:r>
      <w:r w:rsidR="00DD5E7A" w:rsidRPr="00114E00">
        <w:t xml:space="preserve">the amount </w:t>
      </w:r>
      <w:r w:rsidR="007D0FA3">
        <w:t xml:space="preserve">by which </w:t>
      </w:r>
      <w:r w:rsidR="00DD5E7A" w:rsidRPr="00114E00">
        <w:t xml:space="preserve">the policy affects the </w:t>
      </w:r>
      <w:r w:rsidR="00B63D1A" w:rsidRPr="00114E00">
        <w:t xml:space="preserve">government’s </w:t>
      </w:r>
      <w:r w:rsidR="00DD5E7A" w:rsidRPr="00114E00">
        <w:t>fiscal position at a point in time.</w:t>
      </w:r>
      <w:r w:rsidR="00411BDC">
        <w:rPr>
          <w:rStyle w:val="FootnoteReference"/>
        </w:rPr>
        <w:footnoteReference w:id="11"/>
      </w:r>
      <w:r w:rsidR="00DD5E7A" w:rsidRPr="00114E00">
        <w:t xml:space="preserve"> </w:t>
      </w:r>
      <w:r w:rsidR="00411BDC">
        <w:t xml:space="preserve"> </w:t>
      </w:r>
      <w:r w:rsidR="00DD5E7A" w:rsidRPr="00114E00">
        <w:t xml:space="preserve">That is, its impact on the </w:t>
      </w:r>
      <w:r w:rsidR="00B63D1A" w:rsidRPr="00114E00">
        <w:t xml:space="preserve">government’s </w:t>
      </w:r>
      <w:r w:rsidR="00DD5E7A" w:rsidRPr="00114E00">
        <w:t>balance sheet.</w:t>
      </w:r>
      <w:r w:rsidR="00EE0F65">
        <w:rPr>
          <w:rStyle w:val="FootnoteReference"/>
        </w:rPr>
        <w:footnoteReference w:id="12"/>
      </w:r>
      <w:r w:rsidR="008A3EFE" w:rsidRPr="00114E00">
        <w:t xml:space="preserve">  The main measures used to evaluate this impact are net worth (assets less liabilities), net financial worth (financial assets less liabilities), and net debt (selected financial liabilities less selected financial assets).  </w:t>
      </w:r>
    </w:p>
    <w:p w:rsidR="00F67CDA" w:rsidRDefault="008A3EFE" w:rsidP="008A3EFE">
      <w:pPr>
        <w:pStyle w:val="BodyText"/>
        <w:rPr>
          <w:kern w:val="2"/>
        </w:rPr>
      </w:pPr>
      <w:r w:rsidRPr="00114E00">
        <w:t>N</w:t>
      </w:r>
      <w:r w:rsidR="00F67CDA" w:rsidRPr="00114E00">
        <w:t xml:space="preserve">et financial worth is used in this report as it </w:t>
      </w:r>
      <w:r w:rsidR="00F67CDA" w:rsidRPr="00114E00">
        <w:rPr>
          <w:kern w:val="2"/>
        </w:rPr>
        <w:t xml:space="preserve">is a more comprehensive indicator of the health of the government’s balance sheet than narrower measures such as net debt.  </w:t>
      </w:r>
      <w:r w:rsidR="00415568" w:rsidRPr="00481B2D">
        <w:rPr>
          <w:kern w:val="2"/>
        </w:rPr>
        <w:t>Unlike net worth, non</w:t>
      </w:r>
      <w:r w:rsidR="00415568" w:rsidRPr="00481B2D">
        <w:rPr>
          <w:kern w:val="2"/>
        </w:rPr>
        <w:noBreakHyphen/>
        <w:t>financial assets such as property are not included.</w:t>
      </w:r>
      <w:r w:rsidR="00415568">
        <w:rPr>
          <w:kern w:val="2"/>
        </w:rPr>
        <w:t xml:space="preserve">  </w:t>
      </w:r>
      <w:r w:rsidR="00F67CDA" w:rsidRPr="00114E00">
        <w:rPr>
          <w:kern w:val="2"/>
        </w:rPr>
        <w:t>It also has a stronger conceptual connection to the fiscal balance, as discussed in this chapter.</w:t>
      </w:r>
    </w:p>
    <w:p w:rsidR="003D744F" w:rsidRDefault="00D25369" w:rsidP="00D25369">
      <w:pPr>
        <w:pStyle w:val="BodyText"/>
      </w:pPr>
      <w:r>
        <w:t xml:space="preserve">For some types of policies, determining the cost to </w:t>
      </w:r>
      <w:r w:rsidR="0078176D">
        <w:t xml:space="preserve">the </w:t>
      </w:r>
      <w:r w:rsidR="00B63D1A">
        <w:t>g</w:t>
      </w:r>
      <w:r>
        <w:t xml:space="preserve">overnment is relatively straightforward.  For example, if the </w:t>
      </w:r>
      <w:r w:rsidR="00B63D1A">
        <w:t xml:space="preserve">government </w:t>
      </w:r>
      <w:r>
        <w:t xml:space="preserve">transfers a fixed amount of money to one of the states in order to assist with </w:t>
      </w:r>
      <w:r w:rsidRPr="008949D0">
        <w:t xml:space="preserve">building a road (an example of ‘capped’ direct </w:t>
      </w:r>
      <w:r w:rsidR="00AE3CB3" w:rsidRPr="008949D0">
        <w:t>funding</w:t>
      </w:r>
      <w:r w:rsidRPr="008949D0">
        <w:t xml:space="preserve">) then the cost is </w:t>
      </w:r>
      <w:r w:rsidR="00367949" w:rsidRPr="008949D0">
        <w:t>known</w:t>
      </w:r>
      <w:r w:rsidR="004F015C">
        <w:t>,</w:t>
      </w:r>
      <w:r w:rsidR="00367949" w:rsidRPr="008949D0">
        <w:t xml:space="preserve"> fixed </w:t>
      </w:r>
      <w:r w:rsidRPr="008949D0">
        <w:t xml:space="preserve">ahead of time and </w:t>
      </w:r>
      <w:r w:rsidR="00571405" w:rsidRPr="008949D0">
        <w:t xml:space="preserve">straightforward </w:t>
      </w:r>
      <w:r w:rsidRPr="008949D0">
        <w:t>to report after implementation.</w:t>
      </w:r>
      <w:r>
        <w:t xml:space="preserve">  </w:t>
      </w:r>
    </w:p>
    <w:p w:rsidR="00D25369" w:rsidRDefault="003D744F" w:rsidP="00C91F16">
      <w:pPr>
        <w:pStyle w:val="BodyText"/>
      </w:pPr>
      <w:r>
        <w:t>For policies that use al</w:t>
      </w:r>
      <w:r w:rsidR="00C91F16">
        <w:t>ternative financing arrangements, estimating the costs is more complex.</w:t>
      </w:r>
      <w:r>
        <w:t xml:space="preserve">  S</w:t>
      </w:r>
      <w:r w:rsidR="00D25369">
        <w:t xml:space="preserve">ome of </w:t>
      </w:r>
      <w:r>
        <w:t xml:space="preserve">this </w:t>
      </w:r>
      <w:r w:rsidR="00D25369">
        <w:t xml:space="preserve">complexity comes from the </w:t>
      </w:r>
      <w:r w:rsidR="00C03D5E">
        <w:t>inherent uncertainty</w:t>
      </w:r>
      <w:r w:rsidR="00D25FC2">
        <w:t xml:space="preserve"> of these arrangements</w:t>
      </w:r>
      <w:r w:rsidR="00D25369">
        <w:t xml:space="preserve">.  For instance, when issuing loans, there is uncertainty around whether </w:t>
      </w:r>
      <w:r>
        <w:t xml:space="preserve">and when </w:t>
      </w:r>
      <w:r w:rsidR="00D25369">
        <w:t xml:space="preserve">the loans will be </w:t>
      </w:r>
      <w:r w:rsidR="0078176D">
        <w:t>repaid</w:t>
      </w:r>
      <w:r w:rsidR="00D25369">
        <w:t xml:space="preserve">.  When making an equity injection into a business, the </w:t>
      </w:r>
      <w:r w:rsidR="00C91F16">
        <w:t xml:space="preserve">impact on the </w:t>
      </w:r>
      <w:r w:rsidR="00367949">
        <w:t xml:space="preserve">government’s </w:t>
      </w:r>
      <w:r w:rsidR="00C91F16">
        <w:t xml:space="preserve">balance sheet will depend on a </w:t>
      </w:r>
      <w:r w:rsidR="00D25369">
        <w:t>valu</w:t>
      </w:r>
      <w:r w:rsidR="00C91F16">
        <w:t>ation of the business which, in turn, depends on a range of factors</w:t>
      </w:r>
      <w:r w:rsidR="00D25369">
        <w:t xml:space="preserve">.  </w:t>
      </w:r>
    </w:p>
    <w:p w:rsidR="002F1CC4" w:rsidRPr="00743BF1" w:rsidRDefault="009C455D" w:rsidP="009C455D">
      <w:pPr>
        <w:pStyle w:val="BodyText"/>
      </w:pPr>
      <w:r w:rsidRPr="00743BF1">
        <w:t>This section discuss</w:t>
      </w:r>
      <w:r w:rsidR="00D25FC2">
        <w:t>es</w:t>
      </w:r>
      <w:r w:rsidRPr="00743BF1">
        <w:t xml:space="preserve"> the </w:t>
      </w:r>
      <w:r w:rsidR="004E11C1" w:rsidRPr="00743BF1">
        <w:t xml:space="preserve">underlying framework for </w:t>
      </w:r>
      <w:r w:rsidR="00D25FC2">
        <w:t xml:space="preserve">budget </w:t>
      </w:r>
      <w:r w:rsidR="004E11C1" w:rsidRPr="00743BF1">
        <w:t>reporting</w:t>
      </w:r>
      <w:r w:rsidR="00D25FC2">
        <w:t xml:space="preserve"> and illustrates how this applies to different financing arrangements</w:t>
      </w:r>
      <w:r w:rsidR="004E11C1" w:rsidRPr="00743BF1">
        <w:t>.</w:t>
      </w:r>
    </w:p>
    <w:p w:rsidR="00245AAD" w:rsidRDefault="00202AB4" w:rsidP="005D3507">
      <w:pPr>
        <w:pStyle w:val="Heading2"/>
      </w:pPr>
      <w:bookmarkStart w:id="17" w:name="_Toc24107807"/>
      <w:bookmarkStart w:id="18" w:name="_Toc35451911"/>
      <w:bookmarkEnd w:id="17"/>
      <w:r>
        <w:t>Budget reporting is based on two key categories</w:t>
      </w:r>
      <w:bookmarkEnd w:id="18"/>
    </w:p>
    <w:p w:rsidR="005D3507" w:rsidRDefault="003F0BCA" w:rsidP="00D91D8B">
      <w:pPr>
        <w:pStyle w:val="BodyText"/>
      </w:pPr>
      <w:r>
        <w:t xml:space="preserve">The </w:t>
      </w:r>
      <w:r w:rsidR="005D3507">
        <w:t>accounting practice adopted in the budget classif</w:t>
      </w:r>
      <w:r>
        <w:t>ies</w:t>
      </w:r>
      <w:r w:rsidR="005D3507">
        <w:t xml:space="preserve"> all changes to </w:t>
      </w:r>
      <w:r w:rsidR="00D25369">
        <w:t>the Commonwealth</w:t>
      </w:r>
      <w:r w:rsidR="00481B2D">
        <w:t xml:space="preserve"> </w:t>
      </w:r>
      <w:r w:rsidR="00B624A8">
        <w:t>Government</w:t>
      </w:r>
      <w:r w:rsidR="00D25369">
        <w:t>’s</w:t>
      </w:r>
      <w:r w:rsidR="005D3507">
        <w:t xml:space="preserve"> financial position </w:t>
      </w:r>
      <w:r w:rsidR="00D76610">
        <w:t xml:space="preserve">(the balance sheet) </w:t>
      </w:r>
      <w:r w:rsidR="005D3507">
        <w:t xml:space="preserve">as resulting from either </w:t>
      </w:r>
      <w:r w:rsidR="005D3507" w:rsidRPr="004E3DEF">
        <w:rPr>
          <w:i/>
        </w:rPr>
        <w:t>transactions</w:t>
      </w:r>
      <w:r w:rsidR="005D3507">
        <w:t xml:space="preserve"> or </w:t>
      </w:r>
      <w:r w:rsidR="005D3507" w:rsidRPr="004E3DEF">
        <w:rPr>
          <w:i/>
        </w:rPr>
        <w:t>revaluations</w:t>
      </w:r>
      <w:r w:rsidR="005D3507">
        <w:t>.</w:t>
      </w:r>
      <w:r w:rsidR="000D52A6">
        <w:rPr>
          <w:rStyle w:val="FootnoteReference"/>
        </w:rPr>
        <w:footnoteReference w:id="13"/>
      </w:r>
      <w:r w:rsidR="00F97E33">
        <w:t xml:space="preserve">  </w:t>
      </w:r>
    </w:p>
    <w:p w:rsidR="005D3507" w:rsidRDefault="005D3507" w:rsidP="00D91D8B">
      <w:pPr>
        <w:pStyle w:val="BodyText"/>
      </w:pPr>
      <w:r>
        <w:lastRenderedPageBreak/>
        <w:t xml:space="preserve">To understand </w:t>
      </w:r>
      <w:r w:rsidR="003F0BCA">
        <w:t>the distinction</w:t>
      </w:r>
      <w:r>
        <w:t xml:space="preserve">, </w:t>
      </w:r>
      <w:r w:rsidR="00662A82">
        <w:t>it can be illustrative to</w:t>
      </w:r>
      <w:r>
        <w:t xml:space="preserve"> consider a household and the ways its wealth might change over time.</w:t>
      </w:r>
    </w:p>
    <w:p w:rsidR="005D3507" w:rsidRDefault="005D3507" w:rsidP="005D3507">
      <w:pPr>
        <w:pStyle w:val="ListBullet"/>
      </w:pPr>
      <w:r>
        <w:t xml:space="preserve">A household’s wealth might change through receiving income from an employer, purchasing items from </w:t>
      </w:r>
      <w:r w:rsidR="00367949">
        <w:t>shops</w:t>
      </w:r>
      <w:r>
        <w:t>, giving gifts to others, paying taxes to governments</w:t>
      </w:r>
      <w:r w:rsidR="002D3BBF">
        <w:t>,</w:t>
      </w:r>
      <w:r>
        <w:t xml:space="preserve"> and receiving government payments.  These changes all involve interactions with another person or entity – they are the result of </w:t>
      </w:r>
      <w:r w:rsidRPr="004E3DEF">
        <w:rPr>
          <w:i/>
        </w:rPr>
        <w:t>transactions</w:t>
      </w:r>
      <w:r>
        <w:t xml:space="preserve">.  </w:t>
      </w:r>
    </w:p>
    <w:p w:rsidR="005D3507" w:rsidRDefault="005D3507" w:rsidP="005D3507">
      <w:pPr>
        <w:pStyle w:val="ListBullet"/>
      </w:pPr>
      <w:r>
        <w:t xml:space="preserve">A household’s wealth might change as the value of financial assets they already own change.  For example, a household may own shares that increase in value.  This change does not involve an interaction with another person or entity – it is the result of a </w:t>
      </w:r>
      <w:r w:rsidRPr="004E3DEF">
        <w:rPr>
          <w:i/>
        </w:rPr>
        <w:t>revaluation</w:t>
      </w:r>
      <w:r>
        <w:t>.</w:t>
      </w:r>
    </w:p>
    <w:p w:rsidR="005D3507" w:rsidRDefault="003F0BCA" w:rsidP="004E3DEF">
      <w:pPr>
        <w:pStyle w:val="BodyText"/>
        <w:spacing w:after="120"/>
      </w:pPr>
      <w:r>
        <w:rPr>
          <w:rStyle w:val="BodyTextChar"/>
        </w:rPr>
        <w:t>More general</w:t>
      </w:r>
      <w:r w:rsidRPr="00D91D8B">
        <w:rPr>
          <w:rStyle w:val="BodyTextChar"/>
        </w:rPr>
        <w:t xml:space="preserve"> </w:t>
      </w:r>
      <w:r w:rsidR="005D3507" w:rsidRPr="00D91D8B">
        <w:rPr>
          <w:rStyle w:val="BodyTextChar"/>
        </w:rPr>
        <w:t xml:space="preserve">characteristics of </w:t>
      </w:r>
      <w:r w:rsidR="005D3507">
        <w:t>transactions and revaluations</w:t>
      </w:r>
      <w:r>
        <w:t>,</w:t>
      </w:r>
      <w:r w:rsidR="005D3507">
        <w:t xml:space="preserve"> and </w:t>
      </w:r>
      <w:r>
        <w:t>some government</w:t>
      </w:r>
      <w:r>
        <w:noBreakHyphen/>
        <w:t xml:space="preserve">specific </w:t>
      </w:r>
      <w:r w:rsidR="005D3507">
        <w:t>examples</w:t>
      </w:r>
      <w:r w:rsidR="0078176D">
        <w:t>,</w:t>
      </w:r>
      <w:r w:rsidR="005D3507">
        <w:t xml:space="preserve"> are shown in Table </w:t>
      </w:r>
      <w:r w:rsidR="00C521BA">
        <w:t>2</w:t>
      </w:r>
      <w:r w:rsidR="002E2CA8" w:rsidRPr="00BB3C94">
        <w:t>–</w:t>
      </w:r>
      <w:r w:rsidR="00C521BA">
        <w:t>1</w:t>
      </w:r>
      <w:r w:rsidR="005D3507">
        <w:t>.</w:t>
      </w:r>
    </w:p>
    <w:p w:rsidR="005D3507" w:rsidRPr="005D3507" w:rsidRDefault="005D3507" w:rsidP="00511480">
      <w:pPr>
        <w:pStyle w:val="Caption"/>
        <w:spacing w:before="120"/>
      </w:pPr>
      <w:r>
        <w:t xml:space="preserve">Table </w:t>
      </w:r>
      <w:r w:rsidR="00C521BA">
        <w:t>2-1:</w:t>
      </w:r>
      <w:r w:rsidRPr="00BF19BB">
        <w:t xml:space="preserve"> </w:t>
      </w:r>
      <w:r w:rsidR="00970E15">
        <w:t xml:space="preserve">Classification of changes in the </w:t>
      </w:r>
      <w:r w:rsidR="00B63D1A">
        <w:t xml:space="preserve">government’s </w:t>
      </w:r>
      <w:r w:rsidR="000039F5">
        <w:t xml:space="preserve">fiscal </w:t>
      </w:r>
      <w:r w:rsidR="00970E15">
        <w:t>position</w:t>
      </w:r>
    </w:p>
    <w:tbl>
      <w:tblPr>
        <w:tblStyle w:val="PullOutBoxTable"/>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1984"/>
        <w:gridCol w:w="3119"/>
        <w:gridCol w:w="3968"/>
      </w:tblGrid>
      <w:tr w:rsidR="006E78E3" w:rsidRPr="006E78E3" w:rsidTr="003D7CD8">
        <w:trPr>
          <w:cantSplit/>
          <w:trHeight w:val="294"/>
        </w:trPr>
        <w:tc>
          <w:tcPr>
            <w:tcW w:w="1094" w:type="pct"/>
            <w:tcBorders>
              <w:bottom w:val="single" w:sz="4" w:space="0" w:color="3D4D7D" w:themeColor="background2"/>
            </w:tcBorders>
            <w:shd w:val="clear" w:color="auto" w:fill="E3E5E6" w:themeFill="accent6" w:themeFillTint="33"/>
          </w:tcPr>
          <w:p w:rsidR="00C91F16" w:rsidRPr="006E78E3" w:rsidRDefault="00C91F16" w:rsidP="00A62F40">
            <w:pPr>
              <w:pStyle w:val="BodyText"/>
              <w:keepNext/>
              <w:spacing w:before="70" w:after="70" w:line="240" w:lineRule="auto"/>
              <w:ind w:left="85" w:right="85"/>
              <w:jc w:val="center"/>
              <w:rPr>
                <w:b/>
                <w:kern w:val="2"/>
              </w:rPr>
            </w:pPr>
          </w:p>
        </w:tc>
        <w:tc>
          <w:tcPr>
            <w:tcW w:w="1719" w:type="pct"/>
            <w:tcBorders>
              <w:bottom w:val="single" w:sz="4" w:space="0" w:color="3D4D7D" w:themeColor="background2"/>
            </w:tcBorders>
            <w:shd w:val="clear" w:color="auto" w:fill="E3E5E6" w:themeFill="accent6" w:themeFillTint="33"/>
            <w:vAlign w:val="center"/>
          </w:tcPr>
          <w:p w:rsidR="00C91F16" w:rsidRPr="006E78E3" w:rsidRDefault="00C91F16" w:rsidP="00A62F40">
            <w:pPr>
              <w:pStyle w:val="BodyText"/>
              <w:keepNext/>
              <w:spacing w:before="70" w:after="70" w:line="240" w:lineRule="auto"/>
              <w:ind w:left="85" w:right="85"/>
              <w:rPr>
                <w:b/>
                <w:kern w:val="2"/>
              </w:rPr>
            </w:pPr>
            <w:r w:rsidRPr="006E78E3">
              <w:rPr>
                <w:b/>
                <w:kern w:val="2"/>
              </w:rPr>
              <w:t>Transactions</w:t>
            </w:r>
          </w:p>
        </w:tc>
        <w:tc>
          <w:tcPr>
            <w:tcW w:w="2187" w:type="pct"/>
            <w:tcBorders>
              <w:bottom w:val="single" w:sz="4" w:space="0" w:color="3D4D7D" w:themeColor="background2"/>
            </w:tcBorders>
            <w:shd w:val="clear" w:color="auto" w:fill="E3E5E6" w:themeFill="accent6" w:themeFillTint="33"/>
            <w:vAlign w:val="center"/>
          </w:tcPr>
          <w:p w:rsidR="00C91F16" w:rsidRPr="006E78E3" w:rsidRDefault="00C91F16" w:rsidP="00A62F40">
            <w:pPr>
              <w:pStyle w:val="BodyText"/>
              <w:keepNext/>
              <w:spacing w:before="70" w:after="70" w:line="240" w:lineRule="auto"/>
              <w:ind w:left="85" w:right="85"/>
              <w:rPr>
                <w:b/>
                <w:kern w:val="2"/>
              </w:rPr>
            </w:pPr>
            <w:r w:rsidRPr="006E78E3">
              <w:rPr>
                <w:b/>
                <w:kern w:val="2"/>
              </w:rPr>
              <w:t>Revaluations</w:t>
            </w:r>
          </w:p>
        </w:tc>
      </w:tr>
      <w:tr w:rsidR="006E78E3" w:rsidRPr="006E78E3" w:rsidTr="003D7CD8">
        <w:trPr>
          <w:cantSplit/>
          <w:trHeight w:val="951"/>
        </w:trPr>
        <w:tc>
          <w:tcPr>
            <w:tcW w:w="1094" w:type="pct"/>
            <w:tcBorders>
              <w:top w:val="single" w:sz="4" w:space="0" w:color="3D4D7D" w:themeColor="background2"/>
            </w:tcBorders>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b/>
                <w:i w:val="0"/>
                <w:kern w:val="2"/>
                <w:sz w:val="20"/>
              </w:rPr>
            </w:pPr>
            <w:r w:rsidRPr="006E78E3">
              <w:rPr>
                <w:b/>
                <w:i w:val="0"/>
                <w:kern w:val="2"/>
                <w:sz w:val="20"/>
              </w:rPr>
              <w:t>Who is involved</w:t>
            </w:r>
          </w:p>
        </w:tc>
        <w:tc>
          <w:tcPr>
            <w:tcW w:w="1719" w:type="pct"/>
            <w:tcBorders>
              <w:top w:val="single" w:sz="4" w:space="0" w:color="3D4D7D" w:themeColor="background2"/>
            </w:tcBorders>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i w:val="0"/>
                <w:kern w:val="2"/>
                <w:sz w:val="20"/>
              </w:rPr>
            </w:pPr>
            <w:r w:rsidRPr="006E78E3">
              <w:rPr>
                <w:i w:val="0"/>
                <w:kern w:val="2"/>
                <w:sz w:val="20"/>
              </w:rPr>
              <w:t>A transaction involves two entities; the movement of assets between these entities is clear, mutually understood, and reflected in both entities’ balance sheets.</w:t>
            </w:r>
          </w:p>
        </w:tc>
        <w:tc>
          <w:tcPr>
            <w:tcW w:w="2187" w:type="pct"/>
            <w:tcBorders>
              <w:top w:val="single" w:sz="4" w:space="0" w:color="3D4D7D" w:themeColor="background2"/>
            </w:tcBorders>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i w:val="0"/>
                <w:kern w:val="2"/>
                <w:sz w:val="20"/>
              </w:rPr>
            </w:pPr>
            <w:r w:rsidRPr="006E78E3">
              <w:rPr>
                <w:i w:val="0"/>
                <w:kern w:val="2"/>
                <w:sz w:val="20"/>
              </w:rPr>
              <w:t xml:space="preserve">A revaluation </w:t>
            </w:r>
            <w:r w:rsidR="008C07AA" w:rsidRPr="006E78E3">
              <w:rPr>
                <w:i w:val="0"/>
                <w:kern w:val="2"/>
                <w:sz w:val="20"/>
              </w:rPr>
              <w:t>involves</w:t>
            </w:r>
            <w:r w:rsidRPr="006E78E3">
              <w:rPr>
                <w:i w:val="0"/>
                <w:kern w:val="2"/>
                <w:sz w:val="20"/>
              </w:rPr>
              <w:t xml:space="preserve"> a single entity (in this case, a government agency); its balance sheet is adjusted.</w:t>
            </w:r>
          </w:p>
        </w:tc>
      </w:tr>
      <w:tr w:rsidR="006E78E3" w:rsidRPr="006E78E3" w:rsidTr="003D7CD8">
        <w:trPr>
          <w:cantSplit/>
          <w:trHeight w:val="926"/>
        </w:trPr>
        <w:tc>
          <w:tcPr>
            <w:tcW w:w="1094" w:type="pct"/>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b/>
                <w:i w:val="0"/>
                <w:kern w:val="2"/>
                <w:sz w:val="20"/>
              </w:rPr>
            </w:pPr>
            <w:r w:rsidRPr="006E78E3">
              <w:rPr>
                <w:b/>
                <w:i w:val="0"/>
                <w:kern w:val="2"/>
                <w:sz w:val="20"/>
              </w:rPr>
              <w:t>What flows occur</w:t>
            </w:r>
          </w:p>
        </w:tc>
        <w:tc>
          <w:tcPr>
            <w:tcW w:w="1719" w:type="pct"/>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i w:val="0"/>
                <w:kern w:val="2"/>
                <w:sz w:val="20"/>
              </w:rPr>
            </w:pPr>
            <w:r w:rsidRPr="006E78E3">
              <w:rPr>
                <w:i w:val="0"/>
                <w:kern w:val="2"/>
                <w:sz w:val="20"/>
              </w:rPr>
              <w:t>For transactions, we can ask the question ‘where does this money go?’ and the answer is to a specific entity</w:t>
            </w:r>
            <w:r w:rsidR="000D52A6" w:rsidRPr="006E78E3">
              <w:rPr>
                <w:i w:val="0"/>
                <w:kern w:val="2"/>
                <w:sz w:val="20"/>
              </w:rPr>
              <w:t>, such as an organisation or an individual</w:t>
            </w:r>
            <w:r w:rsidRPr="006E78E3">
              <w:rPr>
                <w:i w:val="0"/>
                <w:kern w:val="2"/>
                <w:sz w:val="20"/>
              </w:rPr>
              <w:t xml:space="preserve">. </w:t>
            </w:r>
          </w:p>
        </w:tc>
        <w:tc>
          <w:tcPr>
            <w:tcW w:w="2187" w:type="pct"/>
            <w:shd w:val="clear" w:color="auto" w:fill="E3E5E6" w:themeFill="accent6" w:themeFillTint="33"/>
          </w:tcPr>
          <w:p w:rsidR="00C91F16" w:rsidRPr="006E78E3" w:rsidRDefault="00C91F16">
            <w:pPr>
              <w:pStyle w:val="QuoteBullet"/>
              <w:keepNext/>
              <w:numPr>
                <w:ilvl w:val="0"/>
                <w:numId w:val="0"/>
              </w:numPr>
              <w:spacing w:before="70" w:after="70" w:line="240" w:lineRule="auto"/>
              <w:ind w:left="85" w:right="85"/>
              <w:rPr>
                <w:i w:val="0"/>
                <w:kern w:val="2"/>
                <w:sz w:val="20"/>
              </w:rPr>
            </w:pPr>
            <w:r w:rsidRPr="006E78E3">
              <w:rPr>
                <w:i w:val="0"/>
                <w:kern w:val="2"/>
                <w:sz w:val="20"/>
              </w:rPr>
              <w:t xml:space="preserve">If we ask the question ‘where does this money go?’ the answer is not a specific entity, </w:t>
            </w:r>
            <w:r w:rsidR="00B6700A">
              <w:rPr>
                <w:i w:val="0"/>
                <w:kern w:val="2"/>
                <w:sz w:val="20"/>
              </w:rPr>
              <w:t>because</w:t>
            </w:r>
            <w:r w:rsidR="00B6700A" w:rsidRPr="006E78E3">
              <w:rPr>
                <w:i w:val="0"/>
                <w:kern w:val="2"/>
                <w:sz w:val="20"/>
              </w:rPr>
              <w:t xml:space="preserve"> </w:t>
            </w:r>
            <w:r w:rsidRPr="006E78E3">
              <w:rPr>
                <w:i w:val="0"/>
                <w:kern w:val="2"/>
                <w:sz w:val="20"/>
              </w:rPr>
              <w:t xml:space="preserve">no money </w:t>
            </w:r>
            <w:r w:rsidR="00481B2D">
              <w:rPr>
                <w:i w:val="0"/>
                <w:kern w:val="2"/>
                <w:sz w:val="20"/>
              </w:rPr>
              <w:t>is transferred</w:t>
            </w:r>
            <w:r w:rsidRPr="006E78E3">
              <w:rPr>
                <w:i w:val="0"/>
                <w:kern w:val="2"/>
                <w:sz w:val="20"/>
              </w:rPr>
              <w:t>.</w:t>
            </w:r>
          </w:p>
        </w:tc>
      </w:tr>
      <w:tr w:rsidR="006E78E3" w:rsidRPr="006E78E3" w:rsidTr="003D7CD8">
        <w:trPr>
          <w:cantSplit/>
          <w:trHeight w:val="839"/>
        </w:trPr>
        <w:tc>
          <w:tcPr>
            <w:tcW w:w="1094" w:type="pct"/>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b/>
                <w:i w:val="0"/>
                <w:kern w:val="2"/>
                <w:sz w:val="20"/>
              </w:rPr>
            </w:pPr>
            <w:r w:rsidRPr="006E78E3">
              <w:rPr>
                <w:b/>
                <w:i w:val="0"/>
                <w:kern w:val="2"/>
                <w:sz w:val="20"/>
              </w:rPr>
              <w:t>Policy examples</w:t>
            </w:r>
          </w:p>
        </w:tc>
        <w:tc>
          <w:tcPr>
            <w:tcW w:w="1719" w:type="pct"/>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i w:val="0"/>
                <w:kern w:val="2"/>
                <w:sz w:val="20"/>
              </w:rPr>
            </w:pPr>
            <w:r w:rsidRPr="006E78E3">
              <w:rPr>
                <w:i w:val="0"/>
                <w:kern w:val="2"/>
                <w:sz w:val="20"/>
              </w:rPr>
              <w:t xml:space="preserve">Pension payments, tax collection, grants, interest payments on loans, loan repayments. </w:t>
            </w:r>
          </w:p>
        </w:tc>
        <w:tc>
          <w:tcPr>
            <w:tcW w:w="2187" w:type="pct"/>
            <w:shd w:val="clear" w:color="auto" w:fill="E3E5E6" w:themeFill="accent6" w:themeFillTint="33"/>
          </w:tcPr>
          <w:p w:rsidR="00C91F16" w:rsidRPr="006E78E3" w:rsidRDefault="00C91F16" w:rsidP="00A62F40">
            <w:pPr>
              <w:pStyle w:val="QuoteBullet"/>
              <w:keepNext/>
              <w:numPr>
                <w:ilvl w:val="0"/>
                <w:numId w:val="0"/>
              </w:numPr>
              <w:spacing w:before="70" w:after="70" w:line="240" w:lineRule="auto"/>
              <w:ind w:left="85" w:right="85"/>
              <w:rPr>
                <w:i w:val="0"/>
                <w:kern w:val="2"/>
                <w:sz w:val="20"/>
              </w:rPr>
            </w:pPr>
            <w:r w:rsidRPr="006E78E3">
              <w:rPr>
                <w:i w:val="0"/>
                <w:kern w:val="2"/>
                <w:sz w:val="20"/>
              </w:rPr>
              <w:t xml:space="preserve">Changes to the value of government-owned equity, or loans that are owed to the government but are not expected to be recovered. </w:t>
            </w:r>
          </w:p>
        </w:tc>
      </w:tr>
      <w:tr w:rsidR="006E78E3" w:rsidRPr="006E78E3" w:rsidTr="003D7CD8">
        <w:trPr>
          <w:cantSplit/>
          <w:trHeight w:val="568"/>
        </w:trPr>
        <w:tc>
          <w:tcPr>
            <w:tcW w:w="1094" w:type="pct"/>
            <w:shd w:val="clear" w:color="auto" w:fill="E3E5E6" w:themeFill="accent6" w:themeFillTint="33"/>
          </w:tcPr>
          <w:p w:rsidR="00C91F16" w:rsidRPr="006E78E3" w:rsidRDefault="00C91F16" w:rsidP="00A62F40">
            <w:pPr>
              <w:pStyle w:val="QuoteBullet"/>
              <w:numPr>
                <w:ilvl w:val="0"/>
                <w:numId w:val="0"/>
              </w:numPr>
              <w:spacing w:before="70" w:after="70" w:line="240" w:lineRule="auto"/>
              <w:ind w:left="85" w:right="85"/>
              <w:rPr>
                <w:b/>
                <w:i w:val="0"/>
                <w:kern w:val="2"/>
                <w:sz w:val="20"/>
              </w:rPr>
            </w:pPr>
            <w:r w:rsidRPr="006E78E3">
              <w:rPr>
                <w:b/>
                <w:i w:val="0"/>
                <w:kern w:val="2"/>
                <w:sz w:val="20"/>
              </w:rPr>
              <w:t>Budget treatment</w:t>
            </w:r>
          </w:p>
        </w:tc>
        <w:tc>
          <w:tcPr>
            <w:tcW w:w="1719" w:type="pct"/>
            <w:shd w:val="clear" w:color="auto" w:fill="E3E5E6" w:themeFill="accent6" w:themeFillTint="33"/>
          </w:tcPr>
          <w:p w:rsidR="00C91F16" w:rsidRPr="006E78E3" w:rsidRDefault="008C07AA" w:rsidP="00A62F40">
            <w:pPr>
              <w:pStyle w:val="QuoteBullet"/>
              <w:numPr>
                <w:ilvl w:val="0"/>
                <w:numId w:val="0"/>
              </w:numPr>
              <w:spacing w:before="70" w:after="70" w:line="240" w:lineRule="auto"/>
              <w:ind w:left="85" w:right="85"/>
              <w:rPr>
                <w:i w:val="0"/>
                <w:kern w:val="2"/>
                <w:sz w:val="20"/>
              </w:rPr>
            </w:pPr>
            <w:r w:rsidRPr="006E78E3">
              <w:rPr>
                <w:i w:val="0"/>
                <w:kern w:val="2"/>
                <w:sz w:val="20"/>
              </w:rPr>
              <w:t>Changes to net financial worth that result from t</w:t>
            </w:r>
            <w:r w:rsidR="00C91F16" w:rsidRPr="006E78E3">
              <w:rPr>
                <w:i w:val="0"/>
                <w:kern w:val="2"/>
                <w:sz w:val="20"/>
              </w:rPr>
              <w:t>ransactions are included in the fiscal, underlying cash, net operating</w:t>
            </w:r>
            <w:r w:rsidR="00007939" w:rsidRPr="006E78E3">
              <w:rPr>
                <w:i w:val="0"/>
                <w:kern w:val="2"/>
                <w:sz w:val="20"/>
              </w:rPr>
              <w:t>, and headline cash</w:t>
            </w:r>
            <w:r w:rsidR="00C91F16" w:rsidRPr="006E78E3">
              <w:rPr>
                <w:i w:val="0"/>
                <w:kern w:val="2"/>
                <w:sz w:val="20"/>
              </w:rPr>
              <w:t xml:space="preserve"> balance</w:t>
            </w:r>
            <w:r w:rsidR="005E2F91" w:rsidRPr="006E78E3">
              <w:rPr>
                <w:i w:val="0"/>
                <w:kern w:val="2"/>
                <w:sz w:val="20"/>
              </w:rPr>
              <w:t>s</w:t>
            </w:r>
            <w:r w:rsidR="00C91F16" w:rsidRPr="006E78E3">
              <w:rPr>
                <w:i w:val="0"/>
                <w:kern w:val="2"/>
                <w:sz w:val="20"/>
              </w:rPr>
              <w:t>.</w:t>
            </w:r>
          </w:p>
        </w:tc>
        <w:tc>
          <w:tcPr>
            <w:tcW w:w="2187" w:type="pct"/>
            <w:shd w:val="clear" w:color="auto" w:fill="E3E5E6" w:themeFill="accent6" w:themeFillTint="33"/>
          </w:tcPr>
          <w:p w:rsidR="00C91F16" w:rsidRPr="006E78E3" w:rsidRDefault="008C07AA" w:rsidP="00A62F40">
            <w:pPr>
              <w:pStyle w:val="QuoteBullet"/>
              <w:numPr>
                <w:ilvl w:val="0"/>
                <w:numId w:val="0"/>
              </w:numPr>
              <w:spacing w:before="70" w:after="70" w:line="240" w:lineRule="auto"/>
              <w:ind w:left="85" w:right="85"/>
              <w:rPr>
                <w:i w:val="0"/>
                <w:kern w:val="2"/>
                <w:sz w:val="20"/>
              </w:rPr>
            </w:pPr>
            <w:r w:rsidRPr="006E78E3">
              <w:rPr>
                <w:i w:val="0"/>
                <w:kern w:val="2"/>
                <w:sz w:val="20"/>
              </w:rPr>
              <w:t xml:space="preserve">Changes to net financial worth that result from revaluations </w:t>
            </w:r>
            <w:r w:rsidR="00C91F16" w:rsidRPr="006E78E3">
              <w:rPr>
                <w:i w:val="0"/>
                <w:kern w:val="2"/>
                <w:sz w:val="20"/>
              </w:rPr>
              <w:t>are not included in the fiscal, underlying cash, or net operating balance</w:t>
            </w:r>
            <w:r w:rsidR="003A1616" w:rsidRPr="006E78E3">
              <w:rPr>
                <w:i w:val="0"/>
                <w:kern w:val="2"/>
                <w:sz w:val="20"/>
              </w:rPr>
              <w:t>s</w:t>
            </w:r>
            <w:r w:rsidR="00C91F16" w:rsidRPr="006E78E3">
              <w:rPr>
                <w:i w:val="0"/>
                <w:kern w:val="2"/>
                <w:sz w:val="20"/>
              </w:rPr>
              <w:t>.</w:t>
            </w:r>
          </w:p>
          <w:p w:rsidR="00007939" w:rsidRPr="006E78E3" w:rsidRDefault="000039F5" w:rsidP="00A62F40">
            <w:pPr>
              <w:pStyle w:val="QuoteBullet"/>
              <w:numPr>
                <w:ilvl w:val="0"/>
                <w:numId w:val="0"/>
              </w:numPr>
              <w:spacing w:before="70" w:after="70" w:line="240" w:lineRule="auto"/>
              <w:ind w:left="85" w:right="85"/>
              <w:rPr>
                <w:i w:val="0"/>
                <w:kern w:val="2"/>
                <w:sz w:val="20"/>
              </w:rPr>
            </w:pPr>
            <w:r w:rsidRPr="006E78E3">
              <w:rPr>
                <w:i w:val="0"/>
                <w:kern w:val="2"/>
                <w:sz w:val="20"/>
              </w:rPr>
              <w:t>The headline cash balance captures the full amount invested.  Once a purchase is made, r</w:t>
            </w:r>
            <w:r w:rsidR="00007939" w:rsidRPr="006E78E3">
              <w:rPr>
                <w:i w:val="0"/>
                <w:kern w:val="2"/>
                <w:sz w:val="20"/>
              </w:rPr>
              <w:t xml:space="preserve">evaluations don’t affect the level of cash held by the </w:t>
            </w:r>
            <w:r w:rsidR="005E2F91" w:rsidRPr="006E78E3">
              <w:rPr>
                <w:i w:val="0"/>
                <w:kern w:val="2"/>
                <w:sz w:val="20"/>
              </w:rPr>
              <w:t>g</w:t>
            </w:r>
            <w:r w:rsidR="00007939" w:rsidRPr="006E78E3">
              <w:rPr>
                <w:i w:val="0"/>
                <w:kern w:val="2"/>
                <w:sz w:val="20"/>
              </w:rPr>
              <w:t>overnment</w:t>
            </w:r>
            <w:r w:rsidRPr="006E78E3">
              <w:rPr>
                <w:i w:val="0"/>
                <w:kern w:val="2"/>
                <w:sz w:val="20"/>
              </w:rPr>
              <w:t xml:space="preserve"> until an asset is sold</w:t>
            </w:r>
            <w:r w:rsidR="00007939" w:rsidRPr="006E78E3">
              <w:rPr>
                <w:i w:val="0"/>
                <w:kern w:val="2"/>
                <w:sz w:val="20"/>
              </w:rPr>
              <w:t xml:space="preserve">, so </w:t>
            </w:r>
            <w:r w:rsidRPr="006E78E3">
              <w:rPr>
                <w:i w:val="0"/>
                <w:kern w:val="2"/>
                <w:sz w:val="20"/>
              </w:rPr>
              <w:t>do not affect</w:t>
            </w:r>
            <w:r w:rsidR="00007939" w:rsidRPr="006E78E3">
              <w:rPr>
                <w:i w:val="0"/>
                <w:kern w:val="2"/>
                <w:sz w:val="20"/>
              </w:rPr>
              <w:t xml:space="preserve"> the headline cash balance</w:t>
            </w:r>
            <w:r w:rsidR="008E52ED" w:rsidRPr="006E78E3">
              <w:rPr>
                <w:i w:val="0"/>
                <w:kern w:val="2"/>
                <w:sz w:val="20"/>
              </w:rPr>
              <w:t xml:space="preserve">.  </w:t>
            </w:r>
          </w:p>
        </w:tc>
      </w:tr>
    </w:tbl>
    <w:p w:rsidR="005E2F91" w:rsidRDefault="005D3507" w:rsidP="004E3DEF">
      <w:pPr>
        <w:pStyle w:val="BodyText17ptAbove"/>
      </w:pPr>
      <w:r>
        <w:t>Th</w:t>
      </w:r>
      <w:r w:rsidR="001D0FBC">
        <w:t>e</w:t>
      </w:r>
      <w:r>
        <w:t xml:space="preserve"> distinction </w:t>
      </w:r>
      <w:r w:rsidR="001D0FBC">
        <w:t xml:space="preserve">between transactions and revaluations </w:t>
      </w:r>
      <w:r>
        <w:t>is fundamental to the way that costs in the budget are presented</w:t>
      </w:r>
      <w:r w:rsidRPr="00C91F16">
        <w:t>.</w:t>
      </w:r>
      <w:r w:rsidR="00662A82">
        <w:rPr>
          <w:rStyle w:val="FootnoteReference"/>
        </w:rPr>
        <w:footnoteReference w:id="14"/>
      </w:r>
      <w:r w:rsidRPr="00C91F16">
        <w:t xml:space="preserve">  </w:t>
      </w:r>
    </w:p>
    <w:p w:rsidR="002F1CC4" w:rsidRDefault="005D3507" w:rsidP="00A62F40">
      <w:pPr>
        <w:pStyle w:val="BodyText17ptAbove"/>
        <w:spacing w:before="120" w:after="120"/>
      </w:pPr>
      <w:r w:rsidRPr="008E383C">
        <w:t>The main focus of budget reporting is on transactions.</w:t>
      </w:r>
      <w:r w:rsidR="005E2F91">
        <w:t xml:space="preserve">  </w:t>
      </w:r>
      <w:r w:rsidRPr="005D3507">
        <w:t xml:space="preserve">The long-standing focus on transactions is with good reason; government policy </w:t>
      </w:r>
      <w:r w:rsidR="00F261A3">
        <w:t xml:space="preserve">is a major </w:t>
      </w:r>
      <w:r w:rsidRPr="005D3507">
        <w:t>drive</w:t>
      </w:r>
      <w:r w:rsidR="00F261A3">
        <w:t>r of</w:t>
      </w:r>
      <w:r w:rsidRPr="005D3507">
        <w:t xml:space="preserve"> transactions.</w:t>
      </w:r>
      <w:r w:rsidR="00F261A3">
        <w:rPr>
          <w:rStyle w:val="FootnoteReference"/>
        </w:rPr>
        <w:footnoteReference w:id="15"/>
      </w:r>
      <w:r w:rsidRPr="005D3507">
        <w:t xml:space="preserve">  Government policy generally does </w:t>
      </w:r>
      <w:r w:rsidRPr="005D3507">
        <w:rPr>
          <w:u w:val="single"/>
        </w:rPr>
        <w:t>not</w:t>
      </w:r>
      <w:r w:rsidRPr="005D3507">
        <w:t xml:space="preserve"> drive revaluations, which can be volatile, fluctuating </w:t>
      </w:r>
      <w:r w:rsidRPr="00364FBA">
        <w:t xml:space="preserve">with domestic and global markets.  In general, revaluations are meant to </w:t>
      </w:r>
      <w:r w:rsidR="00D25FC2">
        <w:t>capture the impact of</w:t>
      </w:r>
      <w:r w:rsidR="00D25FC2" w:rsidRPr="00364FBA">
        <w:t xml:space="preserve"> </w:t>
      </w:r>
      <w:r w:rsidRPr="00364FBA">
        <w:t>unexpected events</w:t>
      </w:r>
      <w:r w:rsidR="00D25FC2">
        <w:t xml:space="preserve">, outside of the </w:t>
      </w:r>
      <w:r w:rsidR="00B63D1A">
        <w:t xml:space="preserve">government’s </w:t>
      </w:r>
      <w:r w:rsidR="00D25FC2">
        <w:t>control, that affect the balance sheet</w:t>
      </w:r>
      <w:r w:rsidRPr="00364FBA">
        <w:t>.</w:t>
      </w:r>
      <w:r w:rsidR="00F97E33" w:rsidRPr="00364FBA">
        <w:t xml:space="preserve">  </w:t>
      </w:r>
    </w:p>
    <w:p w:rsidR="005D3507" w:rsidRDefault="005D3507" w:rsidP="005D3507">
      <w:pPr>
        <w:pStyle w:val="Heading2"/>
      </w:pPr>
      <w:bookmarkStart w:id="19" w:name="_Toc24107809"/>
      <w:bookmarkStart w:id="20" w:name="_Toc35451912"/>
      <w:bookmarkEnd w:id="19"/>
      <w:r>
        <w:lastRenderedPageBreak/>
        <w:t>Transactions</w:t>
      </w:r>
      <w:bookmarkEnd w:id="20"/>
    </w:p>
    <w:p w:rsidR="004545DF" w:rsidRDefault="004545DF" w:rsidP="004E3DEF">
      <w:pPr>
        <w:pStyle w:val="BodyText"/>
        <w:spacing w:after="120"/>
      </w:pPr>
      <w:r>
        <w:t xml:space="preserve">The most commonly quoted figures from the budget documents relate to </w:t>
      </w:r>
      <w:r w:rsidR="00F2502D">
        <w:t xml:space="preserve">the </w:t>
      </w:r>
      <w:r w:rsidR="00367949">
        <w:t>g</w:t>
      </w:r>
      <w:r w:rsidR="00F2502D">
        <w:t xml:space="preserve">overnment’s </w:t>
      </w:r>
      <w:r>
        <w:t>transactions.</w:t>
      </w:r>
    </w:p>
    <w:p w:rsidR="00F2502D" w:rsidRDefault="00F2502D" w:rsidP="004E3DEF">
      <w:pPr>
        <w:pStyle w:val="BodyText"/>
        <w:spacing w:after="120"/>
      </w:pPr>
      <w:r>
        <w:t xml:space="preserve">The fiscal and underlying cash balances are sometimes called the ‘main budget aggregates’ since they are the most commonly used </w:t>
      </w:r>
      <w:r w:rsidR="00D25369">
        <w:t>indicators</w:t>
      </w:r>
      <w:r>
        <w:t xml:space="preserve">.  When the </w:t>
      </w:r>
      <w:r w:rsidR="00B63D1A">
        <w:t xml:space="preserve">government </w:t>
      </w:r>
      <w:r>
        <w:t xml:space="preserve">refers to a budget surplus or deficit, this generally refers to the underlying cash balance.  </w:t>
      </w:r>
      <w:r w:rsidR="00D61E3C">
        <w:t xml:space="preserve">Both the fiscal and underlying cash balances </w:t>
      </w:r>
      <w:r w:rsidR="000D52A6">
        <w:t xml:space="preserve">relate to </w:t>
      </w:r>
      <w:r w:rsidR="00D61E3C">
        <w:t xml:space="preserve">the effect of transactions on the </w:t>
      </w:r>
      <w:r w:rsidR="00B63D1A">
        <w:t xml:space="preserve">government’s </w:t>
      </w:r>
      <w:r w:rsidR="005E7490">
        <w:t>balance sheet</w:t>
      </w:r>
      <w:r w:rsidR="00D25FC2">
        <w:t xml:space="preserve">.  These balances do capture </w:t>
      </w:r>
      <w:r w:rsidR="001F3AC9">
        <w:t xml:space="preserve">changes </w:t>
      </w:r>
      <w:r w:rsidR="00D25FC2">
        <w:t>to the estimated impact of the transactions (for example, due to a</w:t>
      </w:r>
      <w:r w:rsidR="00644936">
        <w:t xml:space="preserve">n unexpected increase in demand for a government </w:t>
      </w:r>
      <w:r w:rsidR="00953A51">
        <w:t>payment or</w:t>
      </w:r>
      <w:r w:rsidR="00D25FC2">
        <w:t xml:space="preserve"> downward revision to tax receipts)</w:t>
      </w:r>
      <w:r w:rsidR="00D61E3C">
        <w:t xml:space="preserve">, </w:t>
      </w:r>
      <w:r w:rsidR="00D25FC2">
        <w:t xml:space="preserve">but </w:t>
      </w:r>
      <w:r w:rsidR="00B6700A">
        <w:t xml:space="preserve">by definition </w:t>
      </w:r>
      <w:r w:rsidR="00D25FC2">
        <w:t xml:space="preserve">they </w:t>
      </w:r>
      <w:r w:rsidR="00D61E3C">
        <w:t xml:space="preserve">do not </w:t>
      </w:r>
      <w:r w:rsidR="00D25FC2">
        <w:t xml:space="preserve">capture </w:t>
      </w:r>
      <w:r w:rsidR="00D61E3C">
        <w:t>the effect of revaluation</w:t>
      </w:r>
      <w:r w:rsidR="00970E15">
        <w:t>s</w:t>
      </w:r>
      <w:r w:rsidR="00D61E3C">
        <w:t>.</w:t>
      </w:r>
    </w:p>
    <w:p w:rsidR="00F2502D" w:rsidRDefault="004545DF" w:rsidP="004E3DEF">
      <w:pPr>
        <w:pStyle w:val="BodyText"/>
        <w:spacing w:after="120"/>
      </w:pPr>
      <w:r>
        <w:t>The definitions of some common b</w:t>
      </w:r>
      <w:r w:rsidR="00C521BA">
        <w:t>udget terms are shown in Table 2</w:t>
      </w:r>
      <w:r w:rsidR="002E2CA8" w:rsidRPr="00BB3C94">
        <w:t>–</w:t>
      </w:r>
      <w:r w:rsidR="00C521BA">
        <w:t>2</w:t>
      </w:r>
      <w:r>
        <w:t>.</w:t>
      </w:r>
      <w:r w:rsidR="00FF55DA">
        <w:t xml:space="preserve">  </w:t>
      </w:r>
      <w:r w:rsidR="004E2617">
        <w:t>For further explanation</w:t>
      </w:r>
      <w:r w:rsidR="00E6229E">
        <w:t xml:space="preserve"> on the terms used here</w:t>
      </w:r>
      <w:r w:rsidR="004E2617">
        <w:t xml:space="preserve">, see </w:t>
      </w:r>
      <w:r w:rsidR="004E2617" w:rsidRPr="007B0AC0">
        <w:rPr>
          <w:u w:val="single"/>
        </w:rPr>
        <w:t>Appendix A</w:t>
      </w:r>
      <w:r w:rsidR="00E6229E" w:rsidRPr="007B0AC0">
        <w:t xml:space="preserve"> and </w:t>
      </w:r>
      <w:r w:rsidR="00E6229E">
        <w:rPr>
          <w:u w:val="single"/>
        </w:rPr>
        <w:t>Appendix B</w:t>
      </w:r>
      <w:r w:rsidR="004E2617">
        <w:t>.</w:t>
      </w:r>
    </w:p>
    <w:p w:rsidR="005D3507" w:rsidRPr="001F3AC9" w:rsidRDefault="005D3507" w:rsidP="00511480">
      <w:pPr>
        <w:pStyle w:val="Caption"/>
        <w:spacing w:before="120" w:after="120"/>
      </w:pPr>
      <w:r>
        <w:t xml:space="preserve"> Table </w:t>
      </w:r>
      <w:r w:rsidR="00C521BA">
        <w:t>2</w:t>
      </w:r>
      <w:r w:rsidR="002E2CA8" w:rsidRPr="00BB3C94">
        <w:t>–</w:t>
      </w:r>
      <w:r w:rsidR="00C521BA">
        <w:t>2</w:t>
      </w:r>
      <w:r w:rsidRPr="00BF19BB">
        <w:t xml:space="preserve">: </w:t>
      </w:r>
      <w:r w:rsidR="005237C9">
        <w:t xml:space="preserve">Definitions of common budget </w:t>
      </w:r>
      <w:proofErr w:type="gramStart"/>
      <w:r w:rsidR="005E2F91">
        <w:t>terms</w:t>
      </w:r>
      <w:r w:rsidR="005E2F91">
        <w:rPr>
          <w:vertAlign w:val="superscript"/>
        </w:rPr>
        <w:t>(</w:t>
      </w:r>
      <w:proofErr w:type="gramEnd"/>
      <w:r w:rsidR="005E2F91">
        <w:rPr>
          <w:vertAlign w:val="superscript"/>
        </w:rPr>
        <w:t xml:space="preserve">a) </w:t>
      </w:r>
    </w:p>
    <w:tbl>
      <w:tblPr>
        <w:tblStyle w:val="PullOutBoxTable"/>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2126"/>
        <w:gridCol w:w="6945"/>
      </w:tblGrid>
      <w:tr w:rsidR="006E78E3" w:rsidRPr="006E78E3" w:rsidTr="00A62F40">
        <w:trPr>
          <w:cantSplit/>
        </w:trPr>
        <w:tc>
          <w:tcPr>
            <w:tcW w:w="1172" w:type="pct"/>
            <w:shd w:val="clear" w:color="auto" w:fill="E3E5E6" w:themeFill="accent6" w:themeFillTint="33"/>
          </w:tcPr>
          <w:p w:rsidR="005D3507" w:rsidRPr="006E78E3" w:rsidRDefault="005237C9" w:rsidP="002F09E4">
            <w:pPr>
              <w:pStyle w:val="BodyText"/>
              <w:spacing w:before="66" w:after="66" w:line="240" w:lineRule="auto"/>
              <w:ind w:left="85" w:right="85"/>
              <w:rPr>
                <w:b/>
                <w:kern w:val="2"/>
              </w:rPr>
            </w:pPr>
            <w:r w:rsidRPr="006E78E3">
              <w:rPr>
                <w:b/>
                <w:kern w:val="2"/>
              </w:rPr>
              <w:t>Fiscal balance</w:t>
            </w:r>
          </w:p>
        </w:tc>
        <w:tc>
          <w:tcPr>
            <w:tcW w:w="3828" w:type="pct"/>
            <w:shd w:val="clear" w:color="auto" w:fill="E3E5E6" w:themeFill="accent6" w:themeFillTint="33"/>
          </w:tcPr>
          <w:p w:rsidR="005D3507" w:rsidRPr="006E78E3" w:rsidRDefault="005237C9" w:rsidP="002F09E4">
            <w:pPr>
              <w:pStyle w:val="QuoteBullet"/>
              <w:spacing w:before="66" w:after="66" w:line="240" w:lineRule="auto"/>
              <w:ind w:left="369" w:right="85" w:hanging="284"/>
              <w:rPr>
                <w:rFonts w:asciiTheme="majorHAnsi" w:hAnsiTheme="majorHAnsi"/>
                <w:bCs/>
                <w:i w:val="0"/>
                <w:kern w:val="2"/>
                <w:sz w:val="20"/>
                <w:szCs w:val="28"/>
              </w:rPr>
            </w:pPr>
            <w:r w:rsidRPr="006E78E3">
              <w:rPr>
                <w:i w:val="0"/>
                <w:kern w:val="2"/>
                <w:sz w:val="20"/>
              </w:rPr>
              <w:t xml:space="preserve">The change in </w:t>
            </w:r>
            <w:r w:rsidRPr="006E78E3">
              <w:rPr>
                <w:i w:val="0"/>
                <w:kern w:val="2"/>
                <w:sz w:val="20"/>
                <w:u w:val="single"/>
              </w:rPr>
              <w:t>net financial worth</w:t>
            </w:r>
            <w:r w:rsidRPr="006E78E3">
              <w:rPr>
                <w:i w:val="0"/>
                <w:kern w:val="2"/>
                <w:sz w:val="20"/>
              </w:rPr>
              <w:t xml:space="preserve"> due to transactions</w:t>
            </w:r>
            <w:r w:rsidR="008C0135" w:rsidRPr="006E78E3">
              <w:rPr>
                <w:i w:val="0"/>
                <w:kern w:val="2"/>
                <w:sz w:val="20"/>
              </w:rPr>
              <w:t>.</w:t>
            </w:r>
          </w:p>
          <w:p w:rsidR="005D3507" w:rsidRPr="006E78E3" w:rsidRDefault="005237C9" w:rsidP="002F09E4">
            <w:pPr>
              <w:pStyle w:val="QuoteBullet"/>
              <w:spacing w:before="66" w:after="66" w:line="240" w:lineRule="auto"/>
              <w:ind w:left="369" w:right="85" w:hanging="284"/>
              <w:rPr>
                <w:rFonts w:asciiTheme="majorHAnsi" w:hAnsiTheme="majorHAnsi"/>
                <w:b/>
                <w:bCs/>
                <w:i w:val="0"/>
                <w:iCs w:val="0"/>
                <w:kern w:val="2"/>
                <w:szCs w:val="28"/>
              </w:rPr>
            </w:pPr>
            <w:r w:rsidRPr="006E78E3">
              <w:rPr>
                <w:i w:val="0"/>
                <w:kern w:val="2"/>
                <w:sz w:val="20"/>
              </w:rPr>
              <w:t>Measured on an accrual basis</w:t>
            </w:r>
            <w:r w:rsidR="008C0135" w:rsidRPr="006E78E3">
              <w:rPr>
                <w:i w:val="0"/>
                <w:kern w:val="2"/>
                <w:sz w:val="20"/>
              </w:rPr>
              <w:t>.</w:t>
            </w:r>
          </w:p>
        </w:tc>
      </w:tr>
      <w:tr w:rsidR="006E78E3" w:rsidRPr="006E78E3" w:rsidTr="00A62F40">
        <w:trPr>
          <w:cantSplit/>
        </w:trPr>
        <w:tc>
          <w:tcPr>
            <w:tcW w:w="1172" w:type="pct"/>
            <w:shd w:val="clear" w:color="auto" w:fill="E3E5E6" w:themeFill="accent6" w:themeFillTint="33"/>
          </w:tcPr>
          <w:p w:rsidR="00195618" w:rsidRPr="006E78E3" w:rsidRDefault="00195618" w:rsidP="002F09E4">
            <w:pPr>
              <w:pStyle w:val="BodyText"/>
              <w:spacing w:before="66" w:after="66" w:line="240" w:lineRule="auto"/>
              <w:ind w:left="85" w:right="85"/>
              <w:rPr>
                <w:b/>
                <w:kern w:val="2"/>
              </w:rPr>
            </w:pPr>
            <w:r w:rsidRPr="006E78E3">
              <w:rPr>
                <w:b/>
                <w:kern w:val="2"/>
              </w:rPr>
              <w:t>Net operating balance</w:t>
            </w:r>
          </w:p>
        </w:tc>
        <w:tc>
          <w:tcPr>
            <w:tcW w:w="3828" w:type="pct"/>
            <w:shd w:val="clear" w:color="auto" w:fill="E3E5E6" w:themeFill="accent6" w:themeFillTint="33"/>
          </w:tcPr>
          <w:p w:rsidR="00195618" w:rsidRPr="006E78E3" w:rsidRDefault="00195618" w:rsidP="002F09E4">
            <w:pPr>
              <w:pStyle w:val="QuoteBullet"/>
              <w:spacing w:before="66" w:after="66" w:line="240" w:lineRule="auto"/>
              <w:ind w:left="369" w:right="85" w:hanging="284"/>
              <w:rPr>
                <w:i w:val="0"/>
                <w:kern w:val="2"/>
                <w:sz w:val="20"/>
              </w:rPr>
            </w:pPr>
            <w:r w:rsidRPr="006E78E3">
              <w:rPr>
                <w:i w:val="0"/>
                <w:kern w:val="2"/>
                <w:sz w:val="20"/>
              </w:rPr>
              <w:t xml:space="preserve">The change in </w:t>
            </w:r>
            <w:r w:rsidRPr="006E78E3">
              <w:rPr>
                <w:i w:val="0"/>
                <w:kern w:val="2"/>
                <w:sz w:val="20"/>
                <w:u w:val="single"/>
              </w:rPr>
              <w:t>net worth</w:t>
            </w:r>
            <w:r w:rsidRPr="006E78E3">
              <w:rPr>
                <w:i w:val="0"/>
                <w:kern w:val="2"/>
                <w:sz w:val="20"/>
              </w:rPr>
              <w:t xml:space="preserve"> due to transactions</w:t>
            </w:r>
            <w:r w:rsidR="008C0135" w:rsidRPr="006E78E3">
              <w:rPr>
                <w:i w:val="0"/>
                <w:kern w:val="2"/>
                <w:sz w:val="20"/>
              </w:rPr>
              <w:t>.</w:t>
            </w:r>
          </w:p>
          <w:p w:rsidR="00195618" w:rsidRPr="006E78E3" w:rsidRDefault="00195618" w:rsidP="002F09E4">
            <w:pPr>
              <w:pStyle w:val="QuoteBullet"/>
              <w:spacing w:before="66" w:after="66" w:line="240" w:lineRule="auto"/>
              <w:ind w:left="369" w:right="85" w:hanging="284"/>
              <w:rPr>
                <w:i w:val="0"/>
                <w:kern w:val="2"/>
                <w:sz w:val="20"/>
              </w:rPr>
            </w:pPr>
            <w:r w:rsidRPr="006E78E3">
              <w:rPr>
                <w:i w:val="0"/>
                <w:kern w:val="2"/>
                <w:sz w:val="20"/>
              </w:rPr>
              <w:t>Measured on an accrual basis</w:t>
            </w:r>
            <w:r w:rsidR="008C0135" w:rsidRPr="006E78E3">
              <w:rPr>
                <w:i w:val="0"/>
                <w:kern w:val="2"/>
                <w:sz w:val="20"/>
              </w:rPr>
              <w:t>.</w:t>
            </w:r>
          </w:p>
        </w:tc>
      </w:tr>
      <w:tr w:rsidR="006E78E3" w:rsidRPr="006E78E3" w:rsidTr="00A62F40">
        <w:trPr>
          <w:cantSplit/>
        </w:trPr>
        <w:tc>
          <w:tcPr>
            <w:tcW w:w="1172" w:type="pct"/>
            <w:shd w:val="clear" w:color="auto" w:fill="E3E5E6" w:themeFill="accent6" w:themeFillTint="33"/>
          </w:tcPr>
          <w:p w:rsidR="00195618" w:rsidRPr="006E78E3" w:rsidRDefault="00195618" w:rsidP="002F09E4">
            <w:pPr>
              <w:pStyle w:val="BodyText"/>
              <w:spacing w:before="66" w:after="66" w:line="240" w:lineRule="auto"/>
              <w:ind w:left="85" w:right="85"/>
              <w:rPr>
                <w:b/>
                <w:kern w:val="2"/>
              </w:rPr>
            </w:pPr>
            <w:r w:rsidRPr="006E78E3">
              <w:rPr>
                <w:b/>
                <w:kern w:val="2"/>
              </w:rPr>
              <w:t>Headline cash balance</w:t>
            </w:r>
          </w:p>
        </w:tc>
        <w:tc>
          <w:tcPr>
            <w:tcW w:w="3828" w:type="pct"/>
            <w:shd w:val="clear" w:color="auto" w:fill="E3E5E6" w:themeFill="accent6" w:themeFillTint="33"/>
          </w:tcPr>
          <w:p w:rsidR="00367949" w:rsidRPr="006E78E3" w:rsidRDefault="00195618" w:rsidP="002F09E4">
            <w:pPr>
              <w:pStyle w:val="QuoteBullet"/>
              <w:spacing w:before="66" w:after="66" w:line="240" w:lineRule="auto"/>
              <w:ind w:left="369" w:right="85" w:hanging="284"/>
              <w:rPr>
                <w:rFonts w:asciiTheme="majorHAnsi" w:hAnsiTheme="majorHAnsi"/>
                <w:bCs/>
                <w:i w:val="0"/>
                <w:kern w:val="2"/>
                <w:sz w:val="20"/>
                <w:szCs w:val="28"/>
              </w:rPr>
            </w:pPr>
            <w:r w:rsidRPr="006E78E3">
              <w:rPr>
                <w:i w:val="0"/>
                <w:kern w:val="2"/>
                <w:sz w:val="20"/>
              </w:rPr>
              <w:t xml:space="preserve">The change in the amount of cash held by the </w:t>
            </w:r>
            <w:r w:rsidR="00367949" w:rsidRPr="006E78E3">
              <w:rPr>
                <w:i w:val="0"/>
                <w:kern w:val="2"/>
                <w:sz w:val="20"/>
              </w:rPr>
              <w:t>g</w:t>
            </w:r>
            <w:r w:rsidRPr="006E78E3">
              <w:rPr>
                <w:i w:val="0"/>
                <w:kern w:val="2"/>
                <w:sz w:val="20"/>
              </w:rPr>
              <w:t>overnment</w:t>
            </w:r>
            <w:r w:rsidR="008C0135" w:rsidRPr="006E78E3">
              <w:rPr>
                <w:rFonts w:asciiTheme="majorHAnsi" w:hAnsiTheme="majorHAnsi"/>
                <w:bCs/>
                <w:i w:val="0"/>
                <w:kern w:val="2"/>
                <w:sz w:val="20"/>
                <w:szCs w:val="28"/>
              </w:rPr>
              <w:t>.</w:t>
            </w:r>
          </w:p>
          <w:p w:rsidR="00195618" w:rsidRPr="006E78E3" w:rsidRDefault="00367949" w:rsidP="002F09E4">
            <w:pPr>
              <w:pStyle w:val="QuoteBullet"/>
              <w:spacing w:before="66" w:after="66" w:line="240" w:lineRule="auto"/>
              <w:ind w:left="369" w:right="85" w:hanging="284"/>
              <w:rPr>
                <w:i w:val="0"/>
                <w:kern w:val="2"/>
                <w:sz w:val="20"/>
              </w:rPr>
            </w:pPr>
            <w:r w:rsidRPr="006E78E3">
              <w:rPr>
                <w:i w:val="0"/>
                <w:kern w:val="2"/>
                <w:sz w:val="20"/>
              </w:rPr>
              <w:t>Measured on a cash basis</w:t>
            </w:r>
            <w:r w:rsidR="008C0135" w:rsidRPr="006E78E3">
              <w:rPr>
                <w:i w:val="0"/>
                <w:kern w:val="2"/>
                <w:sz w:val="20"/>
              </w:rPr>
              <w:t>.</w:t>
            </w:r>
          </w:p>
        </w:tc>
      </w:tr>
      <w:tr w:rsidR="006E78E3" w:rsidRPr="006E78E3" w:rsidTr="00A62F40">
        <w:trPr>
          <w:cantSplit/>
        </w:trPr>
        <w:tc>
          <w:tcPr>
            <w:tcW w:w="1172" w:type="pct"/>
            <w:shd w:val="clear" w:color="auto" w:fill="E3E5E6" w:themeFill="accent6" w:themeFillTint="33"/>
          </w:tcPr>
          <w:p w:rsidR="005D3507" w:rsidRPr="00ED3DFF" w:rsidRDefault="005237C9" w:rsidP="002F09E4">
            <w:pPr>
              <w:pStyle w:val="BodyText"/>
              <w:spacing w:before="66" w:after="66" w:line="240" w:lineRule="auto"/>
              <w:ind w:left="85" w:right="85"/>
              <w:rPr>
                <w:b/>
                <w:kern w:val="2"/>
              </w:rPr>
            </w:pPr>
            <w:r w:rsidRPr="00ED3DFF">
              <w:rPr>
                <w:b/>
                <w:kern w:val="2"/>
              </w:rPr>
              <w:t>Underlying cash balance</w:t>
            </w:r>
          </w:p>
        </w:tc>
        <w:tc>
          <w:tcPr>
            <w:tcW w:w="3828" w:type="pct"/>
            <w:shd w:val="clear" w:color="auto" w:fill="E3E5E6" w:themeFill="accent6" w:themeFillTint="33"/>
          </w:tcPr>
          <w:p w:rsidR="005B1027" w:rsidRPr="00E21171" w:rsidRDefault="005B1027" w:rsidP="002F09E4">
            <w:pPr>
              <w:pStyle w:val="QuoteBullet"/>
              <w:spacing w:before="66" w:after="66" w:line="240" w:lineRule="auto"/>
              <w:ind w:left="369" w:right="85" w:hanging="284"/>
              <w:rPr>
                <w:i w:val="0"/>
                <w:kern w:val="2"/>
                <w:sz w:val="20"/>
              </w:rPr>
            </w:pPr>
            <w:r w:rsidRPr="00E21171">
              <w:rPr>
                <w:i w:val="0"/>
                <w:kern w:val="2"/>
                <w:sz w:val="20"/>
              </w:rPr>
              <w:t>A concept to help manage fiscal policy</w:t>
            </w:r>
            <w:r w:rsidR="00195618" w:rsidRPr="00E21171">
              <w:rPr>
                <w:i w:val="0"/>
                <w:kern w:val="2"/>
                <w:sz w:val="20"/>
              </w:rPr>
              <w:t>,</w:t>
            </w:r>
            <w:r w:rsidR="007D0FA3" w:rsidRPr="00E21171">
              <w:rPr>
                <w:i w:val="0"/>
                <w:kern w:val="2"/>
                <w:sz w:val="20"/>
              </w:rPr>
              <w:t xml:space="preserve"> the underlying cash balance has similarities to the headline cash balance (being on a cash basis) and to the fiscal balance (excluding investments in financial assets for policy purposes). </w:t>
            </w:r>
          </w:p>
          <w:p w:rsidR="00367949" w:rsidRPr="00ED3DFF" w:rsidRDefault="00367949" w:rsidP="002F09E4">
            <w:pPr>
              <w:pStyle w:val="QuoteBullet"/>
              <w:spacing w:before="66" w:after="66" w:line="240" w:lineRule="auto"/>
              <w:ind w:left="369" w:right="85" w:hanging="284"/>
              <w:rPr>
                <w:i w:val="0"/>
                <w:kern w:val="2"/>
                <w:sz w:val="20"/>
              </w:rPr>
            </w:pPr>
            <w:r w:rsidRPr="00ED3DFF">
              <w:rPr>
                <w:i w:val="0"/>
                <w:kern w:val="2"/>
                <w:sz w:val="20"/>
              </w:rPr>
              <w:t>Defined by government</w:t>
            </w:r>
            <w:r w:rsidR="008C0135" w:rsidRPr="00ED3DFF">
              <w:rPr>
                <w:i w:val="0"/>
                <w:kern w:val="2"/>
                <w:sz w:val="20"/>
              </w:rPr>
              <w:t>.</w:t>
            </w:r>
            <w:r w:rsidR="007D0FA3" w:rsidRPr="00ED3DFF">
              <w:rPr>
                <w:i w:val="0"/>
                <w:iCs w:val="0"/>
                <w:kern w:val="2"/>
                <w:sz w:val="20"/>
                <w:vertAlign w:val="superscript"/>
              </w:rPr>
              <w:t>(b)</w:t>
            </w:r>
            <w:r w:rsidRPr="00ED3DFF">
              <w:rPr>
                <w:i w:val="0"/>
                <w:kern w:val="2"/>
                <w:sz w:val="20"/>
              </w:rPr>
              <w:t xml:space="preserve"> </w:t>
            </w:r>
          </w:p>
          <w:p w:rsidR="00195618" w:rsidRPr="00ED3DFF" w:rsidRDefault="005B1027" w:rsidP="002F09E4">
            <w:pPr>
              <w:pStyle w:val="QuoteBullet"/>
              <w:spacing w:before="66" w:after="66" w:line="240" w:lineRule="auto"/>
              <w:ind w:left="369" w:right="85" w:hanging="284"/>
              <w:rPr>
                <w:rFonts w:asciiTheme="majorHAnsi" w:hAnsiTheme="majorHAnsi"/>
                <w:bCs/>
                <w:i w:val="0"/>
                <w:kern w:val="2"/>
                <w:sz w:val="20"/>
                <w:szCs w:val="28"/>
              </w:rPr>
            </w:pPr>
            <w:r w:rsidRPr="00ED3DFF">
              <w:rPr>
                <w:i w:val="0"/>
                <w:iCs w:val="0"/>
                <w:kern w:val="2"/>
                <w:sz w:val="20"/>
              </w:rPr>
              <w:t>In practice, this is broadly in line with t</w:t>
            </w:r>
            <w:r w:rsidR="005237C9" w:rsidRPr="00ED3DFF">
              <w:rPr>
                <w:i w:val="0"/>
                <w:iCs w:val="0"/>
                <w:kern w:val="2"/>
                <w:sz w:val="20"/>
              </w:rPr>
              <w:t xml:space="preserve">he change in </w:t>
            </w:r>
            <w:r w:rsidR="005237C9" w:rsidRPr="00ED3DFF">
              <w:rPr>
                <w:i w:val="0"/>
                <w:iCs w:val="0"/>
                <w:kern w:val="2"/>
                <w:sz w:val="20"/>
                <w:u w:val="single"/>
              </w:rPr>
              <w:t>net financial worth</w:t>
            </w:r>
            <w:r w:rsidR="005237C9" w:rsidRPr="00ED3DFF">
              <w:rPr>
                <w:i w:val="0"/>
                <w:iCs w:val="0"/>
                <w:kern w:val="2"/>
                <w:sz w:val="20"/>
              </w:rPr>
              <w:t xml:space="preserve"> due to </w:t>
            </w:r>
            <w:r w:rsidR="005E2F91" w:rsidRPr="00ED3DFF">
              <w:rPr>
                <w:i w:val="0"/>
                <w:iCs w:val="0"/>
                <w:kern w:val="2"/>
                <w:sz w:val="20"/>
              </w:rPr>
              <w:t>transactions</w:t>
            </w:r>
            <w:r w:rsidR="008C0135" w:rsidRPr="00ED3DFF">
              <w:rPr>
                <w:i w:val="0"/>
                <w:iCs w:val="0"/>
                <w:kern w:val="2"/>
                <w:sz w:val="20"/>
              </w:rPr>
              <w:t>.</w:t>
            </w:r>
            <w:r w:rsidR="005E2F91" w:rsidRPr="00ED3DFF">
              <w:rPr>
                <w:i w:val="0"/>
                <w:iCs w:val="0"/>
                <w:kern w:val="2"/>
                <w:sz w:val="20"/>
                <w:vertAlign w:val="superscript"/>
              </w:rPr>
              <w:t>(</w:t>
            </w:r>
            <w:r w:rsidR="007D0FA3" w:rsidRPr="00ED3DFF">
              <w:rPr>
                <w:i w:val="0"/>
                <w:iCs w:val="0"/>
                <w:kern w:val="2"/>
                <w:sz w:val="20"/>
                <w:vertAlign w:val="superscript"/>
              </w:rPr>
              <w:t>c</w:t>
            </w:r>
            <w:r w:rsidR="005E2F91" w:rsidRPr="00ED3DFF">
              <w:rPr>
                <w:i w:val="0"/>
                <w:iCs w:val="0"/>
                <w:kern w:val="2"/>
                <w:sz w:val="20"/>
                <w:vertAlign w:val="superscript"/>
              </w:rPr>
              <w:t>)</w:t>
            </w:r>
          </w:p>
          <w:p w:rsidR="005D3507" w:rsidRPr="00ED3DFF" w:rsidRDefault="00195618" w:rsidP="002F09E4">
            <w:pPr>
              <w:pStyle w:val="QuoteBullet"/>
              <w:spacing w:before="66" w:after="66" w:line="240" w:lineRule="auto"/>
              <w:ind w:left="369" w:right="85" w:hanging="284"/>
              <w:rPr>
                <w:rFonts w:asciiTheme="majorHAnsi" w:hAnsiTheme="majorHAnsi"/>
                <w:bCs/>
                <w:i w:val="0"/>
                <w:kern w:val="2"/>
                <w:sz w:val="20"/>
                <w:szCs w:val="28"/>
              </w:rPr>
            </w:pPr>
            <w:r w:rsidRPr="00ED3DFF">
              <w:rPr>
                <w:i w:val="0"/>
                <w:iCs w:val="0"/>
                <w:kern w:val="2"/>
                <w:sz w:val="20"/>
              </w:rPr>
              <w:t>Measured on a cash basis</w:t>
            </w:r>
            <w:r w:rsidR="008C0135" w:rsidRPr="00ED3DFF">
              <w:rPr>
                <w:i w:val="0"/>
                <w:iCs w:val="0"/>
                <w:kern w:val="2"/>
                <w:sz w:val="20"/>
              </w:rPr>
              <w:t>.</w:t>
            </w:r>
          </w:p>
        </w:tc>
      </w:tr>
    </w:tbl>
    <w:p w:rsidR="00FF0822" w:rsidRDefault="008962AA" w:rsidP="00D25369">
      <w:pPr>
        <w:pStyle w:val="Source"/>
        <w:rPr>
          <w:kern w:val="2"/>
        </w:rPr>
      </w:pPr>
      <w:r>
        <w:rPr>
          <w:kern w:val="2"/>
        </w:rPr>
        <w:t>Note</w:t>
      </w:r>
      <w:r w:rsidR="00195618">
        <w:rPr>
          <w:kern w:val="2"/>
        </w:rPr>
        <w:t>s</w:t>
      </w:r>
      <w:r>
        <w:rPr>
          <w:kern w:val="2"/>
        </w:rPr>
        <w:t xml:space="preserve">: </w:t>
      </w:r>
      <w:r w:rsidR="002F09E4">
        <w:rPr>
          <w:kern w:val="2"/>
        </w:rPr>
        <w:br/>
      </w:r>
      <w:r w:rsidR="005E2F91">
        <w:rPr>
          <w:kern w:val="2"/>
        </w:rPr>
        <w:t xml:space="preserve">(a) </w:t>
      </w:r>
      <w:r w:rsidR="00FF0822" w:rsidRPr="008962AA">
        <w:rPr>
          <w:kern w:val="2"/>
        </w:rPr>
        <w:t xml:space="preserve">These definitions exclude transactions for cash management purposes, which can be performed by the </w:t>
      </w:r>
      <w:r w:rsidR="00D25369" w:rsidRPr="008962AA">
        <w:rPr>
          <w:kern w:val="2"/>
        </w:rPr>
        <w:t xml:space="preserve">Future Fund </w:t>
      </w:r>
      <w:r w:rsidR="00FF0822" w:rsidRPr="008962AA">
        <w:rPr>
          <w:kern w:val="2"/>
        </w:rPr>
        <w:t>and Australian Office of Financial Management (AOFM</w:t>
      </w:r>
      <w:r w:rsidR="00FF0822" w:rsidRPr="00D25369">
        <w:rPr>
          <w:kern w:val="2"/>
        </w:rPr>
        <w:t>)</w:t>
      </w:r>
      <w:r w:rsidR="00195618">
        <w:rPr>
          <w:kern w:val="2"/>
        </w:rPr>
        <w:t>, and transactions related to financing activities as bonds are issued and repaid.  Interest payments for bonds on issue are still captured</w:t>
      </w:r>
      <w:r w:rsidR="00FF0822" w:rsidRPr="00D25369">
        <w:rPr>
          <w:kern w:val="2"/>
        </w:rPr>
        <w:t>.</w:t>
      </w:r>
      <w:r w:rsidR="00D61E3C" w:rsidRPr="00D25369">
        <w:rPr>
          <w:kern w:val="2"/>
        </w:rPr>
        <w:t xml:space="preserve">  </w:t>
      </w:r>
    </w:p>
    <w:p w:rsidR="007D0FA3" w:rsidRPr="00B357E4" w:rsidRDefault="007D0FA3" w:rsidP="007D0FA3">
      <w:pPr>
        <w:pStyle w:val="Source"/>
        <w:rPr>
          <w:kern w:val="2"/>
        </w:rPr>
      </w:pPr>
      <w:r>
        <w:rPr>
          <w:kern w:val="2"/>
        </w:rPr>
        <w:t>(b)</w:t>
      </w:r>
      <w:r w:rsidRPr="00B357E4">
        <w:rPr>
          <w:kern w:val="2"/>
        </w:rPr>
        <w:t xml:space="preserve"> Australian Treasury, </w:t>
      </w:r>
      <w:r w:rsidRPr="00B357E4">
        <w:rPr>
          <w:i/>
          <w:kern w:val="2"/>
        </w:rPr>
        <w:t>Future Fund and fiscal policy</w:t>
      </w:r>
      <w:r w:rsidRPr="00B357E4">
        <w:rPr>
          <w:kern w:val="2"/>
        </w:rPr>
        <w:t xml:space="preserve">, Economic Roundup Winter 2006.  </w:t>
      </w:r>
      <w:proofErr w:type="gramStart"/>
      <w:r w:rsidRPr="00B357E4">
        <w:rPr>
          <w:kern w:val="2"/>
        </w:rPr>
        <w:t xml:space="preserve">Available online at </w:t>
      </w:r>
      <w:hyperlink r:id="rId31" w:history="1">
        <w:r w:rsidRPr="00A85614">
          <w:rPr>
            <w:rStyle w:val="Hyperlink"/>
            <w:color w:val="808080" w:themeColor="background1" w:themeShade="80"/>
            <w:kern w:val="2"/>
          </w:rPr>
          <w:t>https://treasury.gov.au/publication/economic-roundup-winter-2006/future-fund-and-fiscal-policy</w:t>
        </w:r>
      </w:hyperlink>
      <w:r w:rsidRPr="00A85614">
        <w:rPr>
          <w:color w:val="808080" w:themeColor="background1" w:themeShade="80"/>
          <w:kern w:val="2"/>
        </w:rPr>
        <w:t>.</w:t>
      </w:r>
      <w:proofErr w:type="gramEnd"/>
    </w:p>
    <w:p w:rsidR="00195618" w:rsidRDefault="005E2F91" w:rsidP="00195618">
      <w:pPr>
        <w:pStyle w:val="Source"/>
        <w:rPr>
          <w:kern w:val="2"/>
        </w:rPr>
      </w:pPr>
      <w:r>
        <w:rPr>
          <w:kern w:val="2"/>
        </w:rPr>
        <w:t>(</w:t>
      </w:r>
      <w:r w:rsidR="007D0FA3">
        <w:rPr>
          <w:kern w:val="2"/>
        </w:rPr>
        <w:t>c</w:t>
      </w:r>
      <w:r>
        <w:rPr>
          <w:kern w:val="2"/>
        </w:rPr>
        <w:t>)</w:t>
      </w:r>
      <w:r w:rsidRPr="009440F2">
        <w:rPr>
          <w:kern w:val="2"/>
        </w:rPr>
        <w:t xml:space="preserve"> </w:t>
      </w:r>
      <w:r w:rsidR="00195618">
        <w:rPr>
          <w:kern w:val="2"/>
        </w:rPr>
        <w:t xml:space="preserve">Apart from being measured on </w:t>
      </w:r>
      <w:proofErr w:type="gramStart"/>
      <w:r w:rsidR="00195618">
        <w:rPr>
          <w:kern w:val="2"/>
        </w:rPr>
        <w:t>a cash</w:t>
      </w:r>
      <w:proofErr w:type="gramEnd"/>
      <w:r w:rsidR="00195618">
        <w:rPr>
          <w:kern w:val="2"/>
        </w:rPr>
        <w:t xml:space="preserve"> rather than an accrual basis, the underlying cash balance is also adjusted to exclude the effects of Future Fund earnings before 2020</w:t>
      </w:r>
      <w:r w:rsidR="002E2CA8" w:rsidRPr="00BB3C94">
        <w:t>–</w:t>
      </w:r>
      <w:r w:rsidR="00195618">
        <w:rPr>
          <w:kern w:val="2"/>
        </w:rPr>
        <w:t>21.</w:t>
      </w:r>
    </w:p>
    <w:p w:rsidR="00252859" w:rsidRDefault="00B6700A" w:rsidP="00A62F40">
      <w:pPr>
        <w:pStyle w:val="BodyText"/>
        <w:spacing w:before="340"/>
      </w:pPr>
      <w:r>
        <w:t>T</w:t>
      </w:r>
      <w:r w:rsidR="009B1AA3">
        <w:t>hese definitions</w:t>
      </w:r>
      <w:r w:rsidR="00252859">
        <w:t xml:space="preserve"> </w:t>
      </w:r>
      <w:r>
        <w:t xml:space="preserve">can be used </w:t>
      </w:r>
      <w:r w:rsidR="00252859">
        <w:t>to interpret statements</w:t>
      </w:r>
      <w:r w:rsidR="002B0FD8">
        <w:t xml:space="preserve"> made </w:t>
      </w:r>
      <w:r w:rsidR="000C1B81">
        <w:t>about the</w:t>
      </w:r>
      <w:r w:rsidR="002B0FD8">
        <w:t xml:space="preserve"> budget </w:t>
      </w:r>
      <w:r w:rsidR="003F0BCA">
        <w:t xml:space="preserve">overall or statements made about </w:t>
      </w:r>
      <w:r w:rsidR="002B0FD8">
        <w:t>costs to the budget</w:t>
      </w:r>
      <w:r w:rsidR="00885E2F">
        <w:t>.</w:t>
      </w:r>
    </w:p>
    <w:p w:rsidR="002F09E4" w:rsidRDefault="00252859" w:rsidP="004E3DEF">
      <w:pPr>
        <w:pStyle w:val="ListBullet"/>
      </w:pPr>
      <w:r>
        <w:t>T</w:t>
      </w:r>
      <w:r w:rsidR="005237C9">
        <w:t xml:space="preserve">he statement </w:t>
      </w:r>
      <w:r w:rsidR="005237C9" w:rsidRPr="005237C9">
        <w:rPr>
          <w:i/>
        </w:rPr>
        <w:t>the budget forecasts a surplus in 2020</w:t>
      </w:r>
      <w:r w:rsidR="002E2CA8" w:rsidRPr="00BB3C94">
        <w:t>–</w:t>
      </w:r>
      <w:r w:rsidR="005237C9" w:rsidRPr="005237C9">
        <w:rPr>
          <w:i/>
        </w:rPr>
        <w:t>21</w:t>
      </w:r>
      <w:r w:rsidR="005237C9">
        <w:t xml:space="preserve"> </w:t>
      </w:r>
      <w:r w:rsidR="000D143E" w:rsidRPr="009F7EC2">
        <w:t xml:space="preserve">can </w:t>
      </w:r>
      <w:r w:rsidR="005237C9" w:rsidRPr="009F7EC2">
        <w:t>mean</w:t>
      </w:r>
      <w:r w:rsidR="000D143E">
        <w:t xml:space="preserve"> </w:t>
      </w:r>
      <w:r w:rsidR="001E030A">
        <w:t xml:space="preserve">that </w:t>
      </w:r>
      <w:r w:rsidR="008B1EBD">
        <w:t>g</w:t>
      </w:r>
      <w:r w:rsidR="002F1CC4">
        <w:t>overnment</w:t>
      </w:r>
      <w:r w:rsidR="004E6DD0">
        <w:t xml:space="preserve"> </w:t>
      </w:r>
      <w:r w:rsidR="005237C9">
        <w:t>transactions in 2020</w:t>
      </w:r>
      <w:r w:rsidR="002E2CA8" w:rsidRPr="00BB3C94">
        <w:t>–</w:t>
      </w:r>
      <w:r w:rsidR="005237C9">
        <w:t xml:space="preserve">21 </w:t>
      </w:r>
      <w:r w:rsidR="002F1CC4">
        <w:t xml:space="preserve">are forecast </w:t>
      </w:r>
      <w:r w:rsidR="005237C9">
        <w:t>to increase net financial worth</w:t>
      </w:r>
      <w:r w:rsidR="00B157DB">
        <w:t xml:space="preserve"> by the amount of the surplus</w:t>
      </w:r>
      <w:r w:rsidR="005237C9">
        <w:t>.</w:t>
      </w:r>
      <w:r w:rsidR="008B1EBD">
        <w:rPr>
          <w:rStyle w:val="FootnoteReference"/>
        </w:rPr>
        <w:footnoteReference w:id="16"/>
      </w:r>
      <w:r w:rsidR="005237C9">
        <w:t xml:space="preserve"> </w:t>
      </w:r>
    </w:p>
    <w:p w:rsidR="001E72BB" w:rsidRDefault="00824548" w:rsidP="004E3DEF">
      <w:pPr>
        <w:pStyle w:val="ListBullet"/>
      </w:pPr>
      <w:r>
        <w:t>I</w:t>
      </w:r>
      <w:r w:rsidR="00D61E3C">
        <w:t>f someone says</w:t>
      </w:r>
      <w:r w:rsidR="005237C9">
        <w:t xml:space="preserve"> </w:t>
      </w:r>
      <w:r w:rsidR="005237C9" w:rsidRPr="005237C9">
        <w:rPr>
          <w:i/>
        </w:rPr>
        <w:t xml:space="preserve">the </w:t>
      </w:r>
      <w:r w:rsidR="002F1CC4">
        <w:rPr>
          <w:i/>
        </w:rPr>
        <w:t xml:space="preserve">budget </w:t>
      </w:r>
      <w:r w:rsidR="005237C9" w:rsidRPr="005237C9">
        <w:rPr>
          <w:i/>
        </w:rPr>
        <w:t>cost of this policy is $</w:t>
      </w:r>
      <w:r w:rsidR="0067732C">
        <w:rPr>
          <w:i/>
        </w:rPr>
        <w:t>100 million</w:t>
      </w:r>
      <w:r w:rsidR="00D61E3C">
        <w:t>,</w:t>
      </w:r>
      <w:r w:rsidR="005237C9">
        <w:t xml:space="preserve"> </w:t>
      </w:r>
      <w:r w:rsidR="00D61E3C">
        <w:t>they</w:t>
      </w:r>
      <w:r w:rsidR="002B0FD8">
        <w:t xml:space="preserve"> </w:t>
      </w:r>
      <w:r>
        <w:t xml:space="preserve">typically </w:t>
      </w:r>
      <w:r w:rsidR="002B0FD8">
        <w:t>mean</w:t>
      </w:r>
      <w:r w:rsidR="005237C9">
        <w:t xml:space="preserve"> </w:t>
      </w:r>
      <w:r w:rsidR="00252859">
        <w:t xml:space="preserve">that </w:t>
      </w:r>
      <w:r w:rsidR="005237C9" w:rsidRPr="00C72969">
        <w:t>the transactions</w:t>
      </w:r>
      <w:r w:rsidR="005237C9">
        <w:t xml:space="preserve"> related to a particular policy</w:t>
      </w:r>
      <w:r w:rsidR="00D61E3C">
        <w:t xml:space="preserve"> are expected to </w:t>
      </w:r>
      <w:r w:rsidR="001E030A">
        <w:t xml:space="preserve">decrease </w:t>
      </w:r>
      <w:r w:rsidR="003764D0">
        <w:t xml:space="preserve">the </w:t>
      </w:r>
      <w:r w:rsidR="000D143E">
        <w:t>fiscal</w:t>
      </w:r>
      <w:r w:rsidR="003764D0">
        <w:t xml:space="preserve"> balance and </w:t>
      </w:r>
      <w:r w:rsidR="005237C9">
        <w:t>net financial worth by $</w:t>
      </w:r>
      <w:r w:rsidR="0067732C">
        <w:t>100 million</w:t>
      </w:r>
      <w:r w:rsidR="005237C9">
        <w:t>.</w:t>
      </w:r>
      <w:r w:rsidR="001E72BB" w:rsidRPr="001E72BB">
        <w:t xml:space="preserve"> </w:t>
      </w:r>
    </w:p>
    <w:p w:rsidR="005237C9" w:rsidRDefault="005237C9" w:rsidP="009E268E">
      <w:pPr>
        <w:pStyle w:val="Heading2"/>
      </w:pPr>
      <w:bookmarkStart w:id="21" w:name="_Toc35451913"/>
      <w:r>
        <w:lastRenderedPageBreak/>
        <w:t>Revaluations</w:t>
      </w:r>
      <w:bookmarkEnd w:id="21"/>
    </w:p>
    <w:p w:rsidR="00F42657" w:rsidRDefault="00F42657" w:rsidP="00F42657">
      <w:pPr>
        <w:pStyle w:val="BodyText"/>
      </w:pPr>
      <w:r>
        <w:t>Revaluations occur when the value</w:t>
      </w:r>
      <w:r w:rsidR="007D0FA3">
        <w:t>s</w:t>
      </w:r>
      <w:r>
        <w:t xml:space="preserve"> of assets or liabilities owned by the </w:t>
      </w:r>
      <w:r w:rsidR="00B63D1A">
        <w:t>government</w:t>
      </w:r>
      <w:r w:rsidR="005E7490">
        <w:t xml:space="preserve">, and therefore included on the </w:t>
      </w:r>
      <w:r w:rsidR="00B63D1A">
        <w:t xml:space="preserve">government’s </w:t>
      </w:r>
      <w:r w:rsidR="005E7490">
        <w:t xml:space="preserve">balance sheet, </w:t>
      </w:r>
      <w:r>
        <w:t>change.</w:t>
      </w:r>
      <w:r w:rsidR="003A1616">
        <w:t xml:space="preserve">  These impacts are not included in the fiscal or underlying cash balances, consistent with </w:t>
      </w:r>
      <w:r w:rsidR="002E73EA">
        <w:t>Australian accounting standards for government financial reporting</w:t>
      </w:r>
      <w:r w:rsidR="003A1616">
        <w:t>.</w:t>
      </w:r>
      <w:r w:rsidR="00662A82">
        <w:rPr>
          <w:rStyle w:val="FootnoteReference"/>
        </w:rPr>
        <w:footnoteReference w:id="17"/>
      </w:r>
      <w:r w:rsidR="003A1616">
        <w:t xml:space="preserve"> </w:t>
      </w:r>
      <w:r w:rsidR="00B6700A">
        <w:t xml:space="preserve"> </w:t>
      </w:r>
      <w:r w:rsidR="00BF3922">
        <w:t>Revaluations to financial assets or liabilities</w:t>
      </w:r>
      <w:r w:rsidR="00B6700A">
        <w:t xml:space="preserve"> are included in </w:t>
      </w:r>
      <w:r w:rsidR="00BF3922">
        <w:t>the government’s net financial worth.</w:t>
      </w:r>
    </w:p>
    <w:p w:rsidR="00625215" w:rsidRDefault="00AC4648" w:rsidP="005D3507">
      <w:pPr>
        <w:pStyle w:val="BodyText"/>
      </w:pPr>
      <w:r>
        <w:t>At the end of 2018</w:t>
      </w:r>
      <w:r w:rsidR="002E2CA8" w:rsidRPr="00BB3C94">
        <w:t>–</w:t>
      </w:r>
      <w:r>
        <w:t xml:space="preserve">19, the </w:t>
      </w:r>
      <w:r w:rsidR="00B63D1A">
        <w:t xml:space="preserve">government </w:t>
      </w:r>
      <w:r>
        <w:t>had $450</w:t>
      </w:r>
      <w:r w:rsidR="00AF3FAF">
        <w:t xml:space="preserve"> </w:t>
      </w:r>
      <w:r>
        <w:t>b</w:t>
      </w:r>
      <w:r w:rsidR="00AF3FAF">
        <w:t>illio</w:t>
      </w:r>
      <w:r>
        <w:t>n in financial assets and $1,150</w:t>
      </w:r>
      <w:r w:rsidR="00AF3FAF">
        <w:t> </w:t>
      </w:r>
      <w:r>
        <w:t>b</w:t>
      </w:r>
      <w:r w:rsidR="00AF3FAF">
        <w:t>illio</w:t>
      </w:r>
      <w:r>
        <w:t xml:space="preserve">n </w:t>
      </w:r>
      <w:r w:rsidRPr="00CB6CB3">
        <w:t xml:space="preserve">in </w:t>
      </w:r>
      <w:r w:rsidR="005E7490" w:rsidRPr="00CB6CB3">
        <w:t xml:space="preserve">financial </w:t>
      </w:r>
      <w:r>
        <w:t>liabilities.</w:t>
      </w:r>
      <w:r w:rsidR="00847820">
        <w:t xml:space="preserve">  </w:t>
      </w:r>
      <w:r w:rsidR="002A1F36">
        <w:t>With such a large collection of assets and liabilities</w:t>
      </w:r>
      <w:r w:rsidR="005E7490">
        <w:t xml:space="preserve">, </w:t>
      </w:r>
      <w:r w:rsidR="002A1F36">
        <w:t xml:space="preserve">even </w:t>
      </w:r>
      <w:r w:rsidR="00847820">
        <w:t xml:space="preserve">small percentage changes to the value </w:t>
      </w:r>
      <w:r w:rsidR="002A1F36">
        <w:t xml:space="preserve">of </w:t>
      </w:r>
      <w:r w:rsidR="00F64FBA">
        <w:t>the components can</w:t>
      </w:r>
      <w:r w:rsidR="00847820">
        <w:t xml:space="preserve"> </w:t>
      </w:r>
      <w:r w:rsidR="0049764E">
        <w:t xml:space="preserve">have </w:t>
      </w:r>
      <w:r w:rsidR="002A1F36">
        <w:t>substantial</w:t>
      </w:r>
      <w:r w:rsidR="0049764E">
        <w:t xml:space="preserve"> implications for net financial worth.</w:t>
      </w:r>
      <w:r w:rsidR="00DB4170">
        <w:t xml:space="preserve">  </w:t>
      </w:r>
      <w:r w:rsidR="00FB68B3">
        <w:t>The impact</w:t>
      </w:r>
      <w:r w:rsidR="00DB4170">
        <w:t xml:space="preserve"> of revaluations on net financial worth </w:t>
      </w:r>
      <w:r w:rsidR="00D25369">
        <w:t>over the period from 2000</w:t>
      </w:r>
      <w:r w:rsidR="002E2CA8" w:rsidRPr="00BB3C94">
        <w:t>–</w:t>
      </w:r>
      <w:r w:rsidR="00D25369">
        <w:t>01 to 2018</w:t>
      </w:r>
      <w:r w:rsidR="002E2CA8" w:rsidRPr="00BB3C94">
        <w:t>–</w:t>
      </w:r>
      <w:r w:rsidR="00D25369">
        <w:t xml:space="preserve">19 </w:t>
      </w:r>
      <w:r w:rsidR="00DB4170">
        <w:t xml:space="preserve">is shown in Figure </w:t>
      </w:r>
      <w:r w:rsidR="00C521BA">
        <w:t>2</w:t>
      </w:r>
      <w:r w:rsidR="002E2CA8" w:rsidRPr="00BB3C94">
        <w:t>–</w:t>
      </w:r>
      <w:r w:rsidR="00C521BA">
        <w:t>1</w:t>
      </w:r>
      <w:r w:rsidR="00DB4170">
        <w:t>.</w:t>
      </w:r>
    </w:p>
    <w:p w:rsidR="00735A92" w:rsidRPr="00EA0BF1" w:rsidRDefault="00735A92" w:rsidP="00735A92">
      <w:pPr>
        <w:pStyle w:val="Caption"/>
        <w:spacing w:before="120"/>
        <w:rPr>
          <w:kern w:val="2"/>
        </w:rPr>
      </w:pPr>
      <w:r w:rsidRPr="002A70E5">
        <w:t xml:space="preserve">Figure </w:t>
      </w:r>
      <w:r w:rsidR="00507FA9">
        <w:fldChar w:fldCharType="begin"/>
      </w:r>
      <w:r w:rsidR="00507FA9">
        <w:instrText xml:space="preserve"> STYLEREF 1 \s </w:instrText>
      </w:r>
      <w:r w:rsidR="00507FA9">
        <w:fldChar w:fldCharType="separate"/>
      </w:r>
      <w:r w:rsidR="003F421C">
        <w:rPr>
          <w:noProof/>
        </w:rPr>
        <w:t>2</w:t>
      </w:r>
      <w:r w:rsidR="00507FA9">
        <w:rPr>
          <w:noProof/>
        </w:rPr>
        <w:fldChar w:fldCharType="end"/>
      </w:r>
      <w:r w:rsidRPr="00822608">
        <w:t>–</w:t>
      </w:r>
      <w:r w:rsidR="00507FA9">
        <w:fldChar w:fldCharType="begin"/>
      </w:r>
      <w:r w:rsidR="00507FA9">
        <w:instrText xml:space="preserve"> SEQ Figure \* ARABIC \s 1 </w:instrText>
      </w:r>
      <w:r w:rsidR="00507FA9">
        <w:fldChar w:fldCharType="separate"/>
      </w:r>
      <w:r w:rsidR="003F421C">
        <w:rPr>
          <w:noProof/>
        </w:rPr>
        <w:t>1</w:t>
      </w:r>
      <w:r w:rsidR="00507FA9">
        <w:rPr>
          <w:noProof/>
        </w:rPr>
        <w:fldChar w:fldCharType="end"/>
      </w:r>
      <w:r w:rsidRPr="00EA0BF1">
        <w:rPr>
          <w:kern w:val="2"/>
        </w:rPr>
        <w:t xml:space="preserve">: </w:t>
      </w:r>
      <w:r>
        <w:rPr>
          <w:kern w:val="2"/>
        </w:rPr>
        <w:t>C</w:t>
      </w:r>
      <w:r w:rsidRPr="00EA0BF1">
        <w:rPr>
          <w:kern w:val="2"/>
        </w:rPr>
        <w:t xml:space="preserve">hange </w:t>
      </w:r>
      <w:r>
        <w:rPr>
          <w:kern w:val="2"/>
        </w:rPr>
        <w:t xml:space="preserve">in </w:t>
      </w:r>
      <w:r w:rsidRPr="00EA0BF1">
        <w:rPr>
          <w:kern w:val="2"/>
        </w:rPr>
        <w:t>net financial worth</w:t>
      </w:r>
    </w:p>
    <w:p w:rsidR="00735A92" w:rsidRPr="00EA0BF1" w:rsidRDefault="00507FA9" w:rsidP="009440F2">
      <w:pPr>
        <w:pStyle w:val="BodyText"/>
        <w:jc w:val="center"/>
        <w:rPr>
          <w:kern w:val="2"/>
        </w:rPr>
      </w:pPr>
      <w:r>
        <w:rPr>
          <w:noProof/>
          <w:kern w:val="2"/>
          <w:lang w:eastAsia="en-AU"/>
        </w:rPr>
        <w:pict>
          <v:shape id="_x0000_i1027" type="#_x0000_t75" style="width:452.95pt;height:240.3pt">
            <v:imagedata r:id="rId32" o:title="Alternative financing Figure 2-1 10"/>
          </v:shape>
        </w:pict>
      </w:r>
    </w:p>
    <w:p w:rsidR="00735A92" w:rsidRDefault="00735A92" w:rsidP="004E3DEF">
      <w:pPr>
        <w:pStyle w:val="Source"/>
        <w:rPr>
          <w:kern w:val="2"/>
        </w:rPr>
      </w:pPr>
      <w:r w:rsidRPr="004E3DEF">
        <w:rPr>
          <w:kern w:val="2"/>
        </w:rPr>
        <w:t>Source:</w:t>
      </w:r>
      <w:r>
        <w:rPr>
          <w:kern w:val="2"/>
        </w:rPr>
        <w:t xml:space="preserve"> </w:t>
      </w:r>
      <w:r w:rsidRPr="00A62F40">
        <w:rPr>
          <w:i/>
          <w:kern w:val="2"/>
        </w:rPr>
        <w:t>Final Budget Outcome</w:t>
      </w:r>
      <w:r>
        <w:rPr>
          <w:kern w:val="2"/>
        </w:rPr>
        <w:t>, 2000</w:t>
      </w:r>
      <w:r w:rsidR="002E2CA8" w:rsidRPr="00BB3C94">
        <w:t>–</w:t>
      </w:r>
      <w:r>
        <w:rPr>
          <w:kern w:val="2"/>
        </w:rPr>
        <w:t>01 to 2018</w:t>
      </w:r>
      <w:r w:rsidR="002E2CA8" w:rsidRPr="00BB3C94">
        <w:t>–</w:t>
      </w:r>
      <w:r>
        <w:rPr>
          <w:kern w:val="2"/>
        </w:rPr>
        <w:t>19.</w:t>
      </w:r>
    </w:p>
    <w:p w:rsidR="00662A82" w:rsidRDefault="00662A82" w:rsidP="00A62F40">
      <w:pPr>
        <w:pStyle w:val="BodyText"/>
        <w:spacing w:before="340"/>
        <w:rPr>
          <w:rStyle w:val="BodyTextChar"/>
          <w:color w:val="788184"/>
          <w:sz w:val="18"/>
          <w:szCs w:val="14"/>
        </w:rPr>
      </w:pPr>
      <w:r>
        <w:t xml:space="preserve">The assets and liabilities on the balance sheet are the result of historical policy decisions.  For instance, the government has a large superannuation liability related to the </w:t>
      </w:r>
      <w:r w:rsidR="00481B2D">
        <w:t xml:space="preserve">current and future </w:t>
      </w:r>
      <w:r>
        <w:t>retirement of some public servants and military personnel.  The superannuation schemes that contribute to this liability are now closed to new members, but the superannuation liability remains, and the value of the liability is sensitive to changes in a range of factors</w:t>
      </w:r>
      <w:r w:rsidR="00BF3922">
        <w:t>, particularly</w:t>
      </w:r>
      <w:r>
        <w:t xml:space="preserve"> the government bond rate.  T</w:t>
      </w:r>
      <w:r>
        <w:rPr>
          <w:rStyle w:val="BodyTextChar"/>
        </w:rPr>
        <w:t>his</w:t>
      </w:r>
      <w:r w:rsidRPr="00E70749">
        <w:rPr>
          <w:rStyle w:val="BodyTextChar"/>
        </w:rPr>
        <w:t xml:space="preserve"> sensitivity led to large downward revaluations</w:t>
      </w:r>
      <w:r>
        <w:rPr>
          <w:rStyle w:val="BodyTextChar"/>
        </w:rPr>
        <w:t xml:space="preserve"> of the government’s net financial worth</w:t>
      </w:r>
      <w:r w:rsidRPr="00E70749">
        <w:rPr>
          <w:rStyle w:val="BodyTextChar"/>
        </w:rPr>
        <w:t xml:space="preserve"> in 2011</w:t>
      </w:r>
      <w:r w:rsidRPr="00BB3C94">
        <w:t>–</w:t>
      </w:r>
      <w:r w:rsidRPr="00E70749">
        <w:rPr>
          <w:rStyle w:val="BodyTextChar"/>
        </w:rPr>
        <w:t>12</w:t>
      </w:r>
      <w:r>
        <w:rPr>
          <w:rStyle w:val="BodyTextChar"/>
        </w:rPr>
        <w:t>, 2015</w:t>
      </w:r>
      <w:r w:rsidRPr="00BB3C94">
        <w:t>–</w:t>
      </w:r>
      <w:r>
        <w:rPr>
          <w:rStyle w:val="BodyTextChar"/>
        </w:rPr>
        <w:t>16 and 2018</w:t>
      </w:r>
      <w:r w:rsidRPr="00BB3C94">
        <w:t>–</w:t>
      </w:r>
      <w:r w:rsidRPr="00E70749">
        <w:rPr>
          <w:rStyle w:val="BodyTextChar"/>
        </w:rPr>
        <w:t>1</w:t>
      </w:r>
      <w:r>
        <w:rPr>
          <w:rStyle w:val="BodyTextChar"/>
        </w:rPr>
        <w:t>9</w:t>
      </w:r>
      <w:r w:rsidRPr="00E70749">
        <w:rPr>
          <w:rStyle w:val="BodyTextChar"/>
        </w:rPr>
        <w:t>, and large upward revaluations in 2012</w:t>
      </w:r>
      <w:r w:rsidRPr="00BB3C94">
        <w:t>–</w:t>
      </w:r>
      <w:r w:rsidRPr="00E70749">
        <w:rPr>
          <w:rStyle w:val="BodyTextChar"/>
        </w:rPr>
        <w:t>13 and 2016</w:t>
      </w:r>
      <w:r w:rsidRPr="00BB3C94">
        <w:t>–</w:t>
      </w:r>
      <w:r>
        <w:rPr>
          <w:rStyle w:val="BodyTextChar"/>
        </w:rPr>
        <w:t xml:space="preserve">17. </w:t>
      </w:r>
    </w:p>
    <w:p w:rsidR="00D61E3C" w:rsidRDefault="00D61E3C" w:rsidP="00D61E3C">
      <w:pPr>
        <w:pStyle w:val="BodyText"/>
      </w:pPr>
      <w:r>
        <w:t xml:space="preserve">The revaluation of the </w:t>
      </w:r>
      <w:r w:rsidR="00B63D1A">
        <w:t xml:space="preserve">government’s </w:t>
      </w:r>
      <w:r>
        <w:t xml:space="preserve">superannuation liability </w:t>
      </w:r>
      <w:r w:rsidR="005E7490">
        <w:t xml:space="preserve">is an </w:t>
      </w:r>
      <w:r>
        <w:t xml:space="preserve">example of </w:t>
      </w:r>
      <w:r w:rsidR="005E7490">
        <w:t xml:space="preserve">a </w:t>
      </w:r>
      <w:r>
        <w:t>revaluatio</w:t>
      </w:r>
      <w:r w:rsidR="005E7490">
        <w:t xml:space="preserve">n </w:t>
      </w:r>
      <w:r w:rsidR="00BF3922">
        <w:t>caused by interest rate changes,</w:t>
      </w:r>
      <w:r>
        <w:t xml:space="preserve"> the result of external factors </w:t>
      </w:r>
      <w:r w:rsidR="005E7490">
        <w:t xml:space="preserve">largely outside the </w:t>
      </w:r>
      <w:r w:rsidR="00B63D1A">
        <w:t xml:space="preserve">government’s </w:t>
      </w:r>
      <w:r w:rsidR="005E7490">
        <w:t>control</w:t>
      </w:r>
      <w:r w:rsidR="00824548">
        <w:t>.  T</w:t>
      </w:r>
      <w:r>
        <w:t xml:space="preserve">his is part of the reason </w:t>
      </w:r>
      <w:r w:rsidR="00824548">
        <w:t>why the budget papers have traditionally focussed</w:t>
      </w:r>
      <w:r>
        <w:t xml:space="preserve"> on transactions rather than revaluations.</w:t>
      </w:r>
    </w:p>
    <w:p w:rsidR="001023B5" w:rsidRDefault="001023B5" w:rsidP="00D61E3C">
      <w:pPr>
        <w:pStyle w:val="BodyText"/>
      </w:pPr>
    </w:p>
    <w:p w:rsidR="002F1CC4" w:rsidRDefault="00AF3FAF" w:rsidP="00D61E3C">
      <w:pPr>
        <w:pStyle w:val="BodyText"/>
        <w:rPr>
          <w:rStyle w:val="BodyTextChar"/>
        </w:rPr>
      </w:pPr>
      <w:r>
        <w:lastRenderedPageBreak/>
        <w:t>In contrast</w:t>
      </w:r>
      <w:r w:rsidR="00D61E3C">
        <w:t xml:space="preserve">, </w:t>
      </w:r>
      <w:r w:rsidR="00951F5B">
        <w:t>some</w:t>
      </w:r>
      <w:r w:rsidR="00D61E3C">
        <w:t xml:space="preserve"> </w:t>
      </w:r>
      <w:r w:rsidR="00B63D1A">
        <w:t xml:space="preserve">government </w:t>
      </w:r>
      <w:r w:rsidR="00D61E3C">
        <w:t xml:space="preserve">policy </w:t>
      </w:r>
      <w:r w:rsidR="002F1CC4">
        <w:t xml:space="preserve">decisions </w:t>
      </w:r>
      <w:r w:rsidR="00D61E3C" w:rsidRPr="00AA0D49">
        <w:t xml:space="preserve">can </w:t>
      </w:r>
      <w:r w:rsidR="00951F5B">
        <w:t>directly lead to</w:t>
      </w:r>
      <w:r w:rsidR="00D61E3C" w:rsidRPr="00AA0D49">
        <w:t xml:space="preserve"> revaluations</w:t>
      </w:r>
      <w:r w:rsidR="00951F5B">
        <w:t xml:space="preserve"> of assets on the balance sheet</w:t>
      </w:r>
      <w:r w:rsidR="00D61E3C" w:rsidRPr="00AA0D49">
        <w:t xml:space="preserve">, and these </w:t>
      </w:r>
      <w:r w:rsidR="00D61E3C" w:rsidRPr="00AA0D49">
        <w:rPr>
          <w:rStyle w:val="BodyTextChar"/>
        </w:rPr>
        <w:t xml:space="preserve">are relevant </w:t>
      </w:r>
      <w:r w:rsidR="00D25369" w:rsidRPr="00AA0D49">
        <w:rPr>
          <w:rStyle w:val="BodyTextChar"/>
        </w:rPr>
        <w:t>when</w:t>
      </w:r>
      <w:r w:rsidR="00D61E3C" w:rsidRPr="00AA0D49">
        <w:rPr>
          <w:rStyle w:val="BodyTextChar"/>
        </w:rPr>
        <w:t xml:space="preserve"> considering the </w:t>
      </w:r>
      <w:r w:rsidR="002F1CC4">
        <w:rPr>
          <w:rStyle w:val="BodyTextChar"/>
        </w:rPr>
        <w:t xml:space="preserve">total </w:t>
      </w:r>
      <w:r w:rsidR="00D61E3C" w:rsidRPr="00AA0D49">
        <w:rPr>
          <w:rStyle w:val="BodyTextChar"/>
        </w:rPr>
        <w:t xml:space="preserve">costs of </w:t>
      </w:r>
      <w:r w:rsidR="002F1CC4">
        <w:rPr>
          <w:rStyle w:val="BodyTextChar"/>
        </w:rPr>
        <w:t xml:space="preserve">these </w:t>
      </w:r>
      <w:r w:rsidR="00D61E3C" w:rsidRPr="00AA0D49">
        <w:rPr>
          <w:rStyle w:val="BodyTextChar"/>
        </w:rPr>
        <w:t>polic</w:t>
      </w:r>
      <w:r w:rsidR="00951F5B">
        <w:rPr>
          <w:rStyle w:val="BodyTextChar"/>
        </w:rPr>
        <w:t>ies</w:t>
      </w:r>
      <w:r w:rsidR="00D61E3C" w:rsidRPr="00AA0D49">
        <w:rPr>
          <w:rStyle w:val="BodyTextChar"/>
        </w:rPr>
        <w:t xml:space="preserve">.  </w:t>
      </w:r>
      <w:r w:rsidR="00AE6F3E" w:rsidRPr="00AA0D49">
        <w:rPr>
          <w:rStyle w:val="BodyTextChar"/>
        </w:rPr>
        <w:t xml:space="preserve">For instance, if a </w:t>
      </w:r>
      <w:r w:rsidR="00B63D1A">
        <w:rPr>
          <w:rStyle w:val="BodyTextChar"/>
        </w:rPr>
        <w:t>g</w:t>
      </w:r>
      <w:r w:rsidR="00B63D1A" w:rsidRPr="00AA0D49">
        <w:rPr>
          <w:rStyle w:val="BodyTextChar"/>
        </w:rPr>
        <w:t xml:space="preserve">overnment </w:t>
      </w:r>
      <w:r w:rsidR="00AE6F3E" w:rsidRPr="00AA0D49">
        <w:rPr>
          <w:rStyle w:val="BodyTextChar"/>
        </w:rPr>
        <w:t xml:space="preserve">loan program </w:t>
      </w:r>
      <w:r w:rsidR="00976D12" w:rsidRPr="00AA0D49">
        <w:rPr>
          <w:rStyle w:val="BodyTextChar"/>
        </w:rPr>
        <w:t xml:space="preserve">such as </w:t>
      </w:r>
      <w:r w:rsidR="002F09E4">
        <w:rPr>
          <w:rStyle w:val="BodyTextChar"/>
        </w:rPr>
        <w:t>HELP</w:t>
      </w:r>
      <w:r w:rsidR="00151149" w:rsidRPr="00AA0D49">
        <w:rPr>
          <w:rStyle w:val="BodyTextChar"/>
        </w:rPr>
        <w:t xml:space="preserve"> </w:t>
      </w:r>
      <w:r w:rsidR="00AE6F3E" w:rsidRPr="00AA0D49">
        <w:rPr>
          <w:rStyle w:val="BodyTextChar"/>
        </w:rPr>
        <w:t xml:space="preserve">results in a portfolio of loans that is </w:t>
      </w:r>
      <w:r w:rsidR="001F3AC9">
        <w:rPr>
          <w:rStyle w:val="BodyTextChar"/>
        </w:rPr>
        <w:t xml:space="preserve">immediately </w:t>
      </w:r>
      <w:r w:rsidR="00AE6F3E" w:rsidRPr="00AA0D49">
        <w:rPr>
          <w:rStyle w:val="BodyTextChar"/>
        </w:rPr>
        <w:t xml:space="preserve">revalued </w:t>
      </w:r>
      <w:r w:rsidR="002F1CC4">
        <w:rPr>
          <w:rStyle w:val="BodyTextChar"/>
        </w:rPr>
        <w:t>because a proportion of loan recipients are not expected to pay back their loans</w:t>
      </w:r>
      <w:r w:rsidR="00AE6F3E" w:rsidRPr="00AA0D49">
        <w:rPr>
          <w:rStyle w:val="BodyTextChar"/>
        </w:rPr>
        <w:t xml:space="preserve">, this </w:t>
      </w:r>
      <w:r w:rsidR="003A48A4">
        <w:rPr>
          <w:rStyle w:val="BodyTextChar"/>
        </w:rPr>
        <w:t>revaluation is directly linked to the design of the underlying policy.  T</w:t>
      </w:r>
      <w:r w:rsidR="0081732F">
        <w:rPr>
          <w:rStyle w:val="BodyTextChar"/>
        </w:rPr>
        <w:t xml:space="preserve">ransparency around such </w:t>
      </w:r>
      <w:r w:rsidR="003A48A4">
        <w:rPr>
          <w:rStyle w:val="BodyTextChar"/>
        </w:rPr>
        <w:t xml:space="preserve">revaluations </w:t>
      </w:r>
      <w:r w:rsidR="00B01339">
        <w:rPr>
          <w:rStyle w:val="BodyTextChar"/>
        </w:rPr>
        <w:t>is</w:t>
      </w:r>
      <w:r w:rsidR="00B01339" w:rsidRPr="00AA0D49">
        <w:rPr>
          <w:rStyle w:val="BodyTextChar"/>
        </w:rPr>
        <w:t xml:space="preserve"> </w:t>
      </w:r>
      <w:r w:rsidR="003A48A4">
        <w:rPr>
          <w:rStyle w:val="BodyTextChar"/>
        </w:rPr>
        <w:t>important to understand</w:t>
      </w:r>
      <w:r w:rsidR="00AE6F3E" w:rsidRPr="00AA0D49">
        <w:rPr>
          <w:rStyle w:val="BodyTextChar"/>
        </w:rPr>
        <w:t xml:space="preserve"> the costs and benefits of this program and </w:t>
      </w:r>
      <w:r w:rsidR="003A48A4">
        <w:rPr>
          <w:rStyle w:val="BodyTextChar"/>
        </w:rPr>
        <w:t>to inform</w:t>
      </w:r>
      <w:r w:rsidR="003A48A4" w:rsidRPr="00AA0D49">
        <w:rPr>
          <w:rStyle w:val="BodyTextChar"/>
        </w:rPr>
        <w:t xml:space="preserve"> </w:t>
      </w:r>
      <w:r w:rsidR="00C63090" w:rsidRPr="00AA0D49">
        <w:rPr>
          <w:rStyle w:val="BodyTextChar"/>
        </w:rPr>
        <w:t>the design of</w:t>
      </w:r>
      <w:r w:rsidR="00AE6F3E" w:rsidRPr="00AA0D49">
        <w:rPr>
          <w:rStyle w:val="BodyTextChar"/>
        </w:rPr>
        <w:t xml:space="preserve"> potential future programs.  </w:t>
      </w:r>
    </w:p>
    <w:p w:rsidR="00B13200" w:rsidRDefault="00951F5B" w:rsidP="00D61E3C">
      <w:pPr>
        <w:pStyle w:val="BodyText"/>
      </w:pPr>
      <w:r>
        <w:rPr>
          <w:rStyle w:val="BodyTextChar"/>
        </w:rPr>
        <w:t xml:space="preserve">Similarly, </w:t>
      </w:r>
      <w:r w:rsidR="00B63D1A">
        <w:rPr>
          <w:rStyle w:val="BodyTextChar"/>
        </w:rPr>
        <w:t xml:space="preserve">government </w:t>
      </w:r>
      <w:r>
        <w:rPr>
          <w:rStyle w:val="BodyTextChar"/>
        </w:rPr>
        <w:t xml:space="preserve">equity investments in infrastructure projects often </w:t>
      </w:r>
      <w:r w:rsidR="00BF3922">
        <w:rPr>
          <w:rStyle w:val="BodyTextChar"/>
        </w:rPr>
        <w:t xml:space="preserve">experience </w:t>
      </w:r>
      <w:r w:rsidR="00790463">
        <w:rPr>
          <w:rStyle w:val="BodyTextChar"/>
        </w:rPr>
        <w:t xml:space="preserve">significant </w:t>
      </w:r>
      <w:r>
        <w:rPr>
          <w:rStyle w:val="BodyTextChar"/>
        </w:rPr>
        <w:t>revaluation impacts</w:t>
      </w:r>
      <w:r w:rsidR="00BF3922">
        <w:rPr>
          <w:rStyle w:val="BodyTextChar"/>
        </w:rPr>
        <w:t xml:space="preserve"> over time</w:t>
      </w:r>
      <w:r w:rsidR="00790463">
        <w:rPr>
          <w:rStyle w:val="BodyTextChar"/>
        </w:rPr>
        <w:t xml:space="preserve">.  </w:t>
      </w:r>
      <w:r w:rsidR="00790463">
        <w:t xml:space="preserve">With an equity injection, the </w:t>
      </w:r>
      <w:r w:rsidR="00B63D1A">
        <w:t xml:space="preserve">government </w:t>
      </w:r>
      <w:r w:rsidR="00790463">
        <w:t xml:space="preserve">uses cash to invest in a project, and it </w:t>
      </w:r>
      <w:r w:rsidR="001654F5">
        <w:t xml:space="preserve">generally </w:t>
      </w:r>
      <w:r w:rsidR="00790463">
        <w:t xml:space="preserve">then has the </w:t>
      </w:r>
      <w:r w:rsidR="00BF3922">
        <w:t xml:space="preserve">entity undertaking the </w:t>
      </w:r>
      <w:r w:rsidR="00790463">
        <w:t xml:space="preserve">project as a financial asset on its balance sheet.  The initial value of the </w:t>
      </w:r>
      <w:r w:rsidR="00BF3922">
        <w:t xml:space="preserve">equity </w:t>
      </w:r>
      <w:r w:rsidR="00790463">
        <w:t xml:space="preserve">is taken to be the amount that the </w:t>
      </w:r>
      <w:r w:rsidR="00B63D1A">
        <w:t xml:space="preserve">government </w:t>
      </w:r>
      <w:r w:rsidR="00790463">
        <w:t>paid, so the initial transaction does</w:t>
      </w:r>
      <w:r w:rsidR="00AF3FAF">
        <w:t xml:space="preserve"> </w:t>
      </w:r>
      <w:r w:rsidR="00790463">
        <w:t>n</w:t>
      </w:r>
      <w:r w:rsidR="00AF3FAF">
        <w:t>o</w:t>
      </w:r>
      <w:r w:rsidR="00790463">
        <w:t xml:space="preserve">t have any impact on the </w:t>
      </w:r>
      <w:r w:rsidR="00B63D1A">
        <w:t xml:space="preserve">government’s </w:t>
      </w:r>
      <w:r w:rsidR="00790463">
        <w:t xml:space="preserve">net financial worth </w:t>
      </w:r>
      <w:r w:rsidR="002B29A3">
        <w:t>(</w:t>
      </w:r>
      <w:r w:rsidR="00790463">
        <w:t xml:space="preserve">or the </w:t>
      </w:r>
      <w:r w:rsidR="003B29EF">
        <w:t xml:space="preserve">fiscal or </w:t>
      </w:r>
      <w:r w:rsidR="00790463">
        <w:t>underlying cash balance</w:t>
      </w:r>
      <w:r w:rsidR="002B29A3">
        <w:t>s)</w:t>
      </w:r>
      <w:r w:rsidR="00790463">
        <w:t xml:space="preserve">.  </w:t>
      </w:r>
    </w:p>
    <w:p w:rsidR="00B13200" w:rsidRPr="0058776F" w:rsidRDefault="00790463" w:rsidP="00B13200">
      <w:pPr>
        <w:pStyle w:val="BodyText"/>
        <w:rPr>
          <w:spacing w:val="-2"/>
        </w:rPr>
      </w:pPr>
      <w:r w:rsidRPr="0058776F">
        <w:rPr>
          <w:spacing w:val="-2"/>
        </w:rPr>
        <w:t>T</w:t>
      </w:r>
      <w:r w:rsidRPr="0058776F">
        <w:rPr>
          <w:rStyle w:val="BodyTextChar"/>
          <w:spacing w:val="-2"/>
        </w:rPr>
        <w:t>he value of the p</w:t>
      </w:r>
      <w:r w:rsidR="00494143" w:rsidRPr="0058776F">
        <w:rPr>
          <w:rStyle w:val="BodyTextChar"/>
          <w:spacing w:val="-2"/>
        </w:rPr>
        <w:t>roject</w:t>
      </w:r>
      <w:r w:rsidR="00BF3922" w:rsidRPr="0058776F">
        <w:rPr>
          <w:rStyle w:val="BodyTextChar"/>
          <w:spacing w:val="-2"/>
        </w:rPr>
        <w:t xml:space="preserve"> entity</w:t>
      </w:r>
      <w:r w:rsidR="00494143" w:rsidRPr="0058776F">
        <w:rPr>
          <w:rStyle w:val="BodyTextChar"/>
          <w:spacing w:val="-2"/>
        </w:rPr>
        <w:t xml:space="preserve"> </w:t>
      </w:r>
      <w:r w:rsidRPr="0058776F">
        <w:rPr>
          <w:rStyle w:val="BodyTextChar"/>
          <w:spacing w:val="-2"/>
        </w:rPr>
        <w:t xml:space="preserve">will vary over time, </w:t>
      </w:r>
      <w:r w:rsidR="003B29EF" w:rsidRPr="0058776F">
        <w:rPr>
          <w:rStyle w:val="BodyTextChar"/>
          <w:spacing w:val="-2"/>
        </w:rPr>
        <w:t xml:space="preserve">however, </w:t>
      </w:r>
      <w:r w:rsidRPr="0058776F">
        <w:rPr>
          <w:rStyle w:val="BodyTextChar"/>
          <w:spacing w:val="-2"/>
        </w:rPr>
        <w:t xml:space="preserve">both during the construction phase and </w:t>
      </w:r>
      <w:r w:rsidR="001F3AC9" w:rsidRPr="0058776F">
        <w:rPr>
          <w:rStyle w:val="BodyTextChar"/>
          <w:spacing w:val="-2"/>
        </w:rPr>
        <w:t>once operational</w:t>
      </w:r>
      <w:r w:rsidRPr="0058776F">
        <w:rPr>
          <w:rStyle w:val="BodyTextChar"/>
          <w:spacing w:val="-2"/>
        </w:rPr>
        <w:t xml:space="preserve"> when the future cash flows associated with the operation of the finished project become clearer.</w:t>
      </w:r>
      <w:r w:rsidR="00494143" w:rsidRPr="0058776F">
        <w:rPr>
          <w:spacing w:val="-2"/>
        </w:rPr>
        <w:t xml:space="preserve">  </w:t>
      </w:r>
      <w:r w:rsidR="001C78D8" w:rsidRPr="0058776F">
        <w:rPr>
          <w:spacing w:val="-2"/>
        </w:rPr>
        <w:t xml:space="preserve">As the Australian National Audit Office has noted, if the value of entities housing these investments deteriorates, it does </w:t>
      </w:r>
      <w:r w:rsidR="001C78D8" w:rsidRPr="0058776F">
        <w:rPr>
          <w:i/>
          <w:spacing w:val="-2"/>
        </w:rPr>
        <w:t>not impact on the underlying cash even if the deterioration was a predictable result of a non-commercial policy decision.</w:t>
      </w:r>
      <w:r w:rsidR="001C78D8" w:rsidRPr="0058776F">
        <w:rPr>
          <w:rStyle w:val="FootnoteReference"/>
          <w:spacing w:val="-2"/>
        </w:rPr>
        <w:footnoteReference w:id="18"/>
      </w:r>
      <w:r w:rsidR="001C78D8" w:rsidRPr="0058776F">
        <w:rPr>
          <w:spacing w:val="-2"/>
        </w:rPr>
        <w:t xml:space="preserve"> </w:t>
      </w:r>
      <w:r w:rsidR="001C78D8" w:rsidRPr="0058776F">
        <w:rPr>
          <w:i/>
          <w:spacing w:val="-2"/>
        </w:rPr>
        <w:t xml:space="preserve"> </w:t>
      </w:r>
      <w:r w:rsidR="00A1742E" w:rsidRPr="0058776F">
        <w:rPr>
          <w:spacing w:val="-2"/>
        </w:rPr>
        <w:t xml:space="preserve">Ultimately, the total cost (or </w:t>
      </w:r>
      <w:r w:rsidR="00481B2D" w:rsidRPr="0058776F">
        <w:rPr>
          <w:spacing w:val="-2"/>
        </w:rPr>
        <w:t>gain</w:t>
      </w:r>
      <w:r w:rsidR="00A1742E" w:rsidRPr="0058776F">
        <w:rPr>
          <w:spacing w:val="-2"/>
        </w:rPr>
        <w:t xml:space="preserve">, as the case may be) of the </w:t>
      </w:r>
      <w:r w:rsidR="00B63D1A" w:rsidRPr="0058776F">
        <w:rPr>
          <w:spacing w:val="-2"/>
        </w:rPr>
        <w:t xml:space="preserve">government’s </w:t>
      </w:r>
      <w:r w:rsidR="00A1742E" w:rsidRPr="0058776F">
        <w:rPr>
          <w:spacing w:val="-2"/>
        </w:rPr>
        <w:t xml:space="preserve">investment in the project will depend on the cash flows associated with the project once it is </w:t>
      </w:r>
      <w:r w:rsidR="00B01339" w:rsidRPr="0058776F">
        <w:rPr>
          <w:spacing w:val="-2"/>
        </w:rPr>
        <w:t xml:space="preserve">fully </w:t>
      </w:r>
      <w:r w:rsidR="00A1742E" w:rsidRPr="0058776F">
        <w:rPr>
          <w:spacing w:val="-2"/>
        </w:rPr>
        <w:t xml:space="preserve">operational, </w:t>
      </w:r>
      <w:r w:rsidR="003B29EF" w:rsidRPr="0058776F">
        <w:rPr>
          <w:spacing w:val="-2"/>
        </w:rPr>
        <w:t xml:space="preserve">and these </w:t>
      </w:r>
      <w:r w:rsidR="00A1742E" w:rsidRPr="0058776F">
        <w:rPr>
          <w:spacing w:val="-2"/>
        </w:rPr>
        <w:t xml:space="preserve">affect the price at which the project could be sold.  </w:t>
      </w:r>
    </w:p>
    <w:p w:rsidR="00951F5B" w:rsidRDefault="00B01339" w:rsidP="00D61E3C">
      <w:pPr>
        <w:pStyle w:val="BodyText"/>
        <w:rPr>
          <w:rStyle w:val="BodyTextChar"/>
        </w:rPr>
      </w:pPr>
      <w:r w:rsidRPr="00B97A7C">
        <w:t xml:space="preserve">Before a project is fully operational, the best information </w:t>
      </w:r>
      <w:r w:rsidR="003B29EF">
        <w:t>on its</w:t>
      </w:r>
      <w:r w:rsidRPr="00B97A7C">
        <w:t xml:space="preserve"> potential sale price is the fair value</w:t>
      </w:r>
      <w:r w:rsidR="00CB6CB3" w:rsidRPr="009440F2">
        <w:t xml:space="preserve"> of the project in the audited financial statement.  Different approaches can be used to estimate fair value, with the ‘net assets’ approach being the approach most commonly used during the construction phase.</w:t>
      </w:r>
      <w:r w:rsidR="00CB6CB3" w:rsidRPr="009440F2">
        <w:rPr>
          <w:rStyle w:val="FootnoteReference"/>
        </w:rPr>
        <w:footnoteReference w:id="19"/>
      </w:r>
      <w:r w:rsidR="00CB6CB3" w:rsidRPr="009440F2">
        <w:rPr>
          <w:rStyle w:val="FootnoteReference"/>
        </w:rPr>
        <w:t xml:space="preserve">   </w:t>
      </w:r>
      <w:r w:rsidR="00CB6CB3" w:rsidRPr="009440F2">
        <w:t>A</w:t>
      </w:r>
      <w:r w:rsidR="00B13200" w:rsidRPr="00B97A7C">
        <w:t>ny revisions to fair value over time are classified as revaluations, and they affect the Commonwealth</w:t>
      </w:r>
      <w:r w:rsidR="00B624A8">
        <w:t> Government</w:t>
      </w:r>
      <w:r w:rsidR="00B13200" w:rsidRPr="00B97A7C">
        <w:t>’s fiscal position</w:t>
      </w:r>
      <w:r w:rsidR="008E52ED">
        <w:t xml:space="preserve">.  </w:t>
      </w:r>
      <w:r w:rsidR="0081732F" w:rsidRPr="00B97A7C">
        <w:t xml:space="preserve"> </w:t>
      </w:r>
      <w:r w:rsidR="003A48A4" w:rsidRPr="00B97A7C">
        <w:t xml:space="preserve">Transparency around </w:t>
      </w:r>
      <w:r w:rsidR="00B13200" w:rsidRPr="00B97A7C">
        <w:t xml:space="preserve">the fair value of these investments </w:t>
      </w:r>
      <w:r w:rsidR="00CC2CD6">
        <w:t xml:space="preserve">can </w:t>
      </w:r>
      <w:r w:rsidR="00B13200" w:rsidRPr="00B97A7C">
        <w:t xml:space="preserve">assist </w:t>
      </w:r>
      <w:r w:rsidR="003B29EF">
        <w:t>p</w:t>
      </w:r>
      <w:r w:rsidR="00B13200" w:rsidRPr="00B97A7C">
        <w:t>arliament</w:t>
      </w:r>
      <w:r w:rsidR="003B29EF">
        <w:t>arians</w:t>
      </w:r>
      <w:r w:rsidR="00B13200" w:rsidRPr="00B97A7C">
        <w:t xml:space="preserve"> </w:t>
      </w:r>
      <w:r w:rsidR="00CC2CD6">
        <w:t xml:space="preserve">to </w:t>
      </w:r>
      <w:r w:rsidR="0081732F" w:rsidRPr="00B97A7C">
        <w:t>understand</w:t>
      </w:r>
      <w:r w:rsidR="00B13200" w:rsidRPr="00B97A7C">
        <w:t xml:space="preserve"> the </w:t>
      </w:r>
      <w:r w:rsidR="00FD197C" w:rsidRPr="00B97A7C">
        <w:t xml:space="preserve">total </w:t>
      </w:r>
      <w:r w:rsidR="00B13200" w:rsidRPr="00B97A7C">
        <w:t xml:space="preserve">costs associated with </w:t>
      </w:r>
      <w:r w:rsidR="003A1616" w:rsidRPr="00B97A7C">
        <w:t xml:space="preserve">such projects and inform decisions about </w:t>
      </w:r>
      <w:r w:rsidR="00B13200" w:rsidRPr="00B97A7C">
        <w:t>similar investments in the future.</w:t>
      </w:r>
    </w:p>
    <w:p w:rsidR="00EB0C28" w:rsidRDefault="00EB0C28" w:rsidP="009E268E">
      <w:pPr>
        <w:pStyle w:val="Heading2"/>
      </w:pPr>
      <w:bookmarkStart w:id="22" w:name="_Toc35451914"/>
      <w:r>
        <w:t xml:space="preserve">Policy </w:t>
      </w:r>
      <w:r w:rsidR="00DF1639">
        <w:t>financing</w:t>
      </w:r>
      <w:r>
        <w:t>: transactions and revaluations</w:t>
      </w:r>
      <w:bookmarkEnd w:id="22"/>
    </w:p>
    <w:p w:rsidR="00970FF5" w:rsidRDefault="00970FF5" w:rsidP="00970FF5">
      <w:pPr>
        <w:pStyle w:val="BodyText"/>
      </w:pPr>
      <w:r>
        <w:t xml:space="preserve">For policies funded directly, such as via a grant or direct payment, almost all of the associated costs come from transactions, meaning the </w:t>
      </w:r>
      <w:r w:rsidR="00885E2F">
        <w:t xml:space="preserve">fiscal balance or </w:t>
      </w:r>
      <w:r>
        <w:t>underlying cash balance impact of the policy is generally a good indication of the overall cost of the policy.</w:t>
      </w:r>
    </w:p>
    <w:p w:rsidR="00970FF5" w:rsidRPr="008949D0" w:rsidRDefault="00970FF5" w:rsidP="00970FF5">
      <w:pPr>
        <w:pStyle w:val="BodyText"/>
      </w:pPr>
      <w:r>
        <w:t xml:space="preserve">Policies implemented using alternative financing </w:t>
      </w:r>
      <w:proofErr w:type="gramStart"/>
      <w:r>
        <w:t>arrangements,</w:t>
      </w:r>
      <w:proofErr w:type="gramEnd"/>
      <w:r>
        <w:t xml:space="preserve"> however, generally have some costs that are characterised as transactions </w:t>
      </w:r>
      <w:r w:rsidRPr="0015795A">
        <w:t xml:space="preserve">and others </w:t>
      </w:r>
      <w:r w:rsidR="00CE668C" w:rsidRPr="0015795A">
        <w:t>as</w:t>
      </w:r>
      <w:r w:rsidRPr="0015795A">
        <w:t xml:space="preserve"> revaluations</w:t>
      </w:r>
      <w:r w:rsidR="008E52ED">
        <w:t xml:space="preserve">.  </w:t>
      </w:r>
      <w:r w:rsidRPr="00392E1F">
        <w:t xml:space="preserve">Transactions associated with alternative financing </w:t>
      </w:r>
      <w:r w:rsidRPr="008949D0">
        <w:t xml:space="preserve">arrangements may occur upfront or across many years, and are generally reported in the relevant budget measure.  Examples include </w:t>
      </w:r>
      <w:r w:rsidR="00571405" w:rsidRPr="008949D0">
        <w:t>costs</w:t>
      </w:r>
      <w:r w:rsidRPr="008949D0">
        <w:t xml:space="preserve"> associated with concessional loan</w:t>
      </w:r>
      <w:r w:rsidR="00571405" w:rsidRPr="008949D0">
        <w:t>s</w:t>
      </w:r>
      <w:r w:rsidRPr="008949D0">
        <w:t xml:space="preserve">, </w:t>
      </w:r>
      <w:r w:rsidR="00571405" w:rsidRPr="008949D0">
        <w:t>and</w:t>
      </w:r>
      <w:r w:rsidRPr="008949D0">
        <w:t xml:space="preserve"> the receipt of interest payments across the life of a loan.  </w:t>
      </w:r>
    </w:p>
    <w:p w:rsidR="00970FF5" w:rsidRPr="008949D0" w:rsidRDefault="00970FF5" w:rsidP="00A62F40">
      <w:pPr>
        <w:pStyle w:val="BodyText"/>
        <w:keepLines/>
      </w:pPr>
      <w:r w:rsidRPr="008949D0">
        <w:lastRenderedPageBreak/>
        <w:t xml:space="preserve">Revaluations can </w:t>
      </w:r>
      <w:r w:rsidR="00CE668C" w:rsidRPr="008949D0">
        <w:t xml:space="preserve">at times </w:t>
      </w:r>
      <w:r w:rsidRPr="008949D0">
        <w:t xml:space="preserve">take place immediately, </w:t>
      </w:r>
      <w:r w:rsidR="00CE668C" w:rsidRPr="008949D0">
        <w:t>but</w:t>
      </w:r>
      <w:r w:rsidRPr="008949D0">
        <w:t xml:space="preserve"> </w:t>
      </w:r>
      <w:r w:rsidR="00CE668C" w:rsidRPr="008949D0">
        <w:t xml:space="preserve">must </w:t>
      </w:r>
      <w:r w:rsidRPr="008949D0">
        <w:t xml:space="preserve">be undertaken </w:t>
      </w:r>
      <w:r w:rsidR="00BF3922">
        <w:t xml:space="preserve">at least </w:t>
      </w:r>
      <w:r w:rsidRPr="008949D0">
        <w:t>annually as at a reporting date</w:t>
      </w:r>
      <w:r w:rsidR="00CE668C" w:rsidRPr="008949D0">
        <w:t xml:space="preserve"> (under accounting standards)</w:t>
      </w:r>
      <w:r w:rsidRPr="008949D0">
        <w:t>.  Revaluations can be substantial and affect the government’s balance sheet and net financial worth, but are not fully reflected in the fiscal or underlying cash balance</w:t>
      </w:r>
      <w:r w:rsidR="008C0135">
        <w:t>s</w:t>
      </w:r>
      <w:r w:rsidRPr="008949D0">
        <w:t xml:space="preserve">.  This means that the fiscal and underlying cash balance impacts of policies that use alternative financing arrangements are less likely to reflect the full cost to the government’s balance sheet. </w:t>
      </w:r>
    </w:p>
    <w:p w:rsidR="00790463" w:rsidRDefault="00970FF5">
      <w:pPr>
        <w:pStyle w:val="BodyText"/>
      </w:pPr>
      <w:r w:rsidRPr="008949D0">
        <w:t xml:space="preserve">An outline of the way in which the components of a </w:t>
      </w:r>
      <w:r w:rsidR="00392E1F" w:rsidRPr="008949D0">
        <w:t xml:space="preserve">financing </w:t>
      </w:r>
      <w:r w:rsidRPr="008949D0">
        <w:t>mechanism can be categorised into transactions or revaluations is outlined in</w:t>
      </w:r>
      <w:r w:rsidR="00B01339" w:rsidRPr="008949D0">
        <w:t xml:space="preserve"> Table</w:t>
      </w:r>
      <w:r w:rsidR="009113F1" w:rsidRPr="008949D0">
        <w:t> </w:t>
      </w:r>
      <w:r w:rsidR="00790463" w:rsidRPr="008949D0">
        <w:t>2</w:t>
      </w:r>
      <w:r w:rsidR="002E2CA8" w:rsidRPr="008949D0">
        <w:t>–</w:t>
      </w:r>
      <w:r w:rsidR="00790463" w:rsidRPr="008949D0">
        <w:t xml:space="preserve">3. </w:t>
      </w:r>
      <w:r w:rsidR="00CE668C" w:rsidRPr="008949D0">
        <w:t xml:space="preserve"> As can be seen, there are generally transactions associated with all </w:t>
      </w:r>
      <w:r w:rsidR="00392E1F" w:rsidRPr="008949D0">
        <w:t>mechanisms to some degree</w:t>
      </w:r>
      <w:r w:rsidR="00CE668C" w:rsidRPr="008949D0">
        <w:t xml:space="preserve">, but </w:t>
      </w:r>
      <w:r w:rsidR="00392E1F" w:rsidRPr="008949D0">
        <w:t xml:space="preserve">substantial </w:t>
      </w:r>
      <w:r w:rsidR="00CE668C" w:rsidRPr="008949D0">
        <w:t>revaluation</w:t>
      </w:r>
      <w:r w:rsidR="00CE668C" w:rsidRPr="00571405">
        <w:t xml:space="preserve"> effects are generally associated with alternative financing arrangements alone.</w:t>
      </w:r>
      <w:r w:rsidR="00CE668C">
        <w:t xml:space="preserve">  </w:t>
      </w:r>
    </w:p>
    <w:p w:rsidR="00EB0C28" w:rsidRPr="005D3507" w:rsidRDefault="00EB0C28" w:rsidP="00BD04B9">
      <w:pPr>
        <w:pStyle w:val="Caption"/>
        <w:spacing w:before="120"/>
      </w:pPr>
      <w:r w:rsidRPr="00571405">
        <w:t xml:space="preserve">Table </w:t>
      </w:r>
      <w:r w:rsidR="00C521BA" w:rsidRPr="00571405">
        <w:t>2</w:t>
      </w:r>
      <w:r w:rsidR="002E2CA8" w:rsidRPr="00571405">
        <w:t>–</w:t>
      </w:r>
      <w:r w:rsidR="00C521BA" w:rsidRPr="00571405">
        <w:t>3</w:t>
      </w:r>
      <w:r w:rsidRPr="00571405">
        <w:t xml:space="preserve">: </w:t>
      </w:r>
      <w:r w:rsidR="00A17340" w:rsidRPr="00571405">
        <w:t>Impacts of</w:t>
      </w:r>
      <w:r w:rsidR="00C87A90" w:rsidRPr="00571405">
        <w:t xml:space="preserve"> different types of </w:t>
      </w:r>
      <w:r w:rsidR="00DF1639" w:rsidRPr="00571405">
        <w:t>financing</w:t>
      </w:r>
      <w:r w:rsidR="00AF3FAF" w:rsidRPr="00571405">
        <w:t xml:space="preserve"> on net financial worth</w:t>
      </w:r>
      <w:r w:rsidR="00824548" w:rsidRPr="00A5404B">
        <w:rPr>
          <w:rStyle w:val="FootnoteReference"/>
          <w:color w:val="3D4D7D" w:themeColor="background2"/>
        </w:rPr>
        <w:footnoteReference w:id="20"/>
      </w:r>
    </w:p>
    <w:tbl>
      <w:tblPr>
        <w:tblStyle w:val="PullOutBoxTable"/>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1587"/>
        <w:gridCol w:w="2241"/>
        <w:gridCol w:w="2692"/>
        <w:gridCol w:w="2551"/>
      </w:tblGrid>
      <w:tr w:rsidR="006E78E3" w:rsidRPr="006E78E3" w:rsidTr="00BD04B9">
        <w:trPr>
          <w:cantSplit/>
        </w:trPr>
        <w:tc>
          <w:tcPr>
            <w:tcW w:w="875" w:type="pct"/>
            <w:tcBorders>
              <w:bottom w:val="single" w:sz="4" w:space="0" w:color="3D4D7D" w:themeColor="background2"/>
            </w:tcBorders>
            <w:shd w:val="clear" w:color="auto" w:fill="E3E5E6" w:themeFill="accent6" w:themeFillTint="33"/>
          </w:tcPr>
          <w:p w:rsidR="00EB0C28" w:rsidRPr="006E78E3" w:rsidRDefault="00EB0C28" w:rsidP="00BD04B9">
            <w:pPr>
              <w:pStyle w:val="BodyText"/>
              <w:keepNext/>
              <w:spacing w:before="70" w:after="70" w:line="240" w:lineRule="auto"/>
              <w:ind w:left="85" w:right="85"/>
              <w:rPr>
                <w:b/>
                <w:kern w:val="2"/>
              </w:rPr>
            </w:pPr>
          </w:p>
        </w:tc>
        <w:tc>
          <w:tcPr>
            <w:tcW w:w="1235" w:type="pct"/>
            <w:tcBorders>
              <w:bottom w:val="single" w:sz="4" w:space="0" w:color="3D4D7D" w:themeColor="background2"/>
            </w:tcBorders>
            <w:shd w:val="clear" w:color="auto" w:fill="E3E5E6" w:themeFill="accent6" w:themeFillTint="33"/>
            <w:vAlign w:val="center"/>
          </w:tcPr>
          <w:p w:rsidR="00EB0C28" w:rsidRPr="006E78E3" w:rsidRDefault="001654F5" w:rsidP="00BD04B9">
            <w:pPr>
              <w:pStyle w:val="BodyText"/>
              <w:keepNext/>
              <w:spacing w:before="70" w:after="70" w:line="240" w:lineRule="auto"/>
              <w:ind w:left="85" w:right="85"/>
              <w:rPr>
                <w:b/>
                <w:kern w:val="2"/>
              </w:rPr>
            </w:pPr>
            <w:r>
              <w:rPr>
                <w:b/>
                <w:kern w:val="2"/>
              </w:rPr>
              <w:t>Type of funding</w:t>
            </w:r>
          </w:p>
        </w:tc>
        <w:tc>
          <w:tcPr>
            <w:tcW w:w="1484" w:type="pct"/>
            <w:tcBorders>
              <w:bottom w:val="single" w:sz="4" w:space="0" w:color="3D4D7D" w:themeColor="background2"/>
            </w:tcBorders>
            <w:shd w:val="clear" w:color="auto" w:fill="E3E5E6" w:themeFill="accent6" w:themeFillTint="33"/>
          </w:tcPr>
          <w:p w:rsidR="00EB0C28" w:rsidRPr="006E78E3" w:rsidRDefault="00EB0C28" w:rsidP="00BD04B9">
            <w:pPr>
              <w:pStyle w:val="PullQuote"/>
              <w:spacing w:before="70" w:after="70" w:line="240" w:lineRule="auto"/>
              <w:ind w:left="85" w:right="85"/>
            </w:pPr>
            <w:r w:rsidRPr="006E78E3">
              <w:t>Transactions</w:t>
            </w:r>
          </w:p>
        </w:tc>
        <w:tc>
          <w:tcPr>
            <w:tcW w:w="1406" w:type="pct"/>
            <w:tcBorders>
              <w:bottom w:val="single" w:sz="4" w:space="0" w:color="3D4D7D" w:themeColor="background2"/>
            </w:tcBorders>
            <w:shd w:val="clear" w:color="auto" w:fill="E3E5E6" w:themeFill="accent6" w:themeFillTint="33"/>
          </w:tcPr>
          <w:p w:rsidR="00EB0C28" w:rsidRPr="006E78E3" w:rsidRDefault="00EB0C28" w:rsidP="00BD04B9">
            <w:pPr>
              <w:pStyle w:val="PullQuote"/>
              <w:spacing w:before="70" w:after="70" w:line="240" w:lineRule="auto"/>
              <w:ind w:left="85" w:right="85"/>
              <w:rPr>
                <w:kern w:val="2"/>
                <w:sz w:val="20"/>
              </w:rPr>
            </w:pPr>
            <w:r w:rsidRPr="006E78E3">
              <w:rPr>
                <w:iCs/>
              </w:rPr>
              <w:t>Revaluations</w:t>
            </w:r>
          </w:p>
        </w:tc>
      </w:tr>
      <w:tr w:rsidR="006E78E3" w:rsidRPr="006E78E3" w:rsidTr="00BD04B9">
        <w:trPr>
          <w:cantSplit/>
        </w:trPr>
        <w:tc>
          <w:tcPr>
            <w:tcW w:w="875" w:type="pct"/>
            <w:tcBorders>
              <w:top w:val="single" w:sz="4" w:space="0" w:color="3D4D7D" w:themeColor="background2"/>
            </w:tcBorders>
            <w:shd w:val="clear" w:color="auto" w:fill="C8CCCD" w:themeFill="accent6" w:themeFillTint="66"/>
            <w:vAlign w:val="center"/>
          </w:tcPr>
          <w:p w:rsidR="00EB0C28" w:rsidRPr="006E78E3" w:rsidRDefault="00EB0C28" w:rsidP="00BD04B9">
            <w:pPr>
              <w:pStyle w:val="BodyText"/>
              <w:keepNext/>
              <w:spacing w:before="70" w:after="70" w:line="240" w:lineRule="auto"/>
              <w:ind w:left="85" w:right="85"/>
              <w:rPr>
                <w:b/>
                <w:kern w:val="2"/>
              </w:rPr>
            </w:pPr>
            <w:r w:rsidRPr="006E78E3">
              <w:rPr>
                <w:b/>
                <w:kern w:val="2"/>
              </w:rPr>
              <w:t xml:space="preserve">Direct </w:t>
            </w:r>
            <w:r w:rsidR="00AE3CB3" w:rsidRPr="006E78E3">
              <w:rPr>
                <w:b/>
                <w:kern w:val="2"/>
              </w:rPr>
              <w:t>funding</w:t>
            </w:r>
          </w:p>
        </w:tc>
        <w:tc>
          <w:tcPr>
            <w:tcW w:w="1235" w:type="pct"/>
            <w:tcBorders>
              <w:top w:val="single" w:sz="4" w:space="0" w:color="3D4D7D" w:themeColor="background2"/>
            </w:tcBorders>
            <w:shd w:val="clear" w:color="auto" w:fill="E3E5E6" w:themeFill="accent6" w:themeFillTint="33"/>
          </w:tcPr>
          <w:p w:rsidR="00EB0C28" w:rsidRPr="006E78E3" w:rsidRDefault="00EB0C28" w:rsidP="00BD04B9">
            <w:pPr>
              <w:pStyle w:val="BodyText"/>
              <w:spacing w:before="70" w:after="70" w:line="240" w:lineRule="auto"/>
              <w:ind w:left="85" w:right="85"/>
              <w:rPr>
                <w:b/>
                <w:kern w:val="2"/>
              </w:rPr>
            </w:pPr>
            <w:r w:rsidRPr="006E78E3">
              <w:rPr>
                <w:b/>
                <w:kern w:val="2"/>
              </w:rPr>
              <w:t>Capped or</w:t>
            </w:r>
            <w:r w:rsidR="004A0B83">
              <w:rPr>
                <w:b/>
                <w:kern w:val="2"/>
              </w:rPr>
              <w:t xml:space="preserve"> </w:t>
            </w:r>
            <w:r w:rsidR="008C0135" w:rsidRPr="006E78E3">
              <w:rPr>
                <w:b/>
                <w:kern w:val="2"/>
              </w:rPr>
              <w:t>demand-</w:t>
            </w:r>
            <w:r w:rsidRPr="006E78E3">
              <w:rPr>
                <w:b/>
                <w:kern w:val="2"/>
              </w:rPr>
              <w:t>driven</w:t>
            </w:r>
          </w:p>
        </w:tc>
        <w:tc>
          <w:tcPr>
            <w:tcW w:w="1484" w:type="pct"/>
            <w:tcBorders>
              <w:top w:val="single" w:sz="4" w:space="0" w:color="3D4D7D" w:themeColor="background2"/>
            </w:tcBorders>
            <w:shd w:val="clear" w:color="auto" w:fill="E3E5E6" w:themeFill="accent6" w:themeFillTint="33"/>
          </w:tcPr>
          <w:p w:rsidR="00EB0C28" w:rsidRPr="006E78E3" w:rsidRDefault="00EB0C28" w:rsidP="00BD04B9">
            <w:pPr>
              <w:pStyle w:val="QuoteBullet"/>
              <w:spacing w:before="70" w:after="70" w:line="240" w:lineRule="auto"/>
              <w:ind w:left="369" w:right="85" w:hanging="284"/>
              <w:rPr>
                <w:i w:val="0"/>
                <w:kern w:val="2"/>
                <w:sz w:val="20"/>
              </w:rPr>
            </w:pPr>
            <w:r w:rsidRPr="006E78E3">
              <w:rPr>
                <w:i w:val="0"/>
                <w:kern w:val="2"/>
                <w:sz w:val="20"/>
              </w:rPr>
              <w:t>Transfers to individuals, states, or other entities</w:t>
            </w:r>
            <w:r w:rsidR="002142E4" w:rsidRPr="006E78E3">
              <w:rPr>
                <w:i w:val="0"/>
                <w:kern w:val="2"/>
                <w:sz w:val="20"/>
              </w:rPr>
              <w:t>, including any revisions to estimates of these transfers</w:t>
            </w:r>
            <w:r w:rsidR="008C0135" w:rsidRPr="006E78E3">
              <w:rPr>
                <w:i w:val="0"/>
                <w:kern w:val="2"/>
                <w:sz w:val="20"/>
              </w:rPr>
              <w:t>.</w:t>
            </w:r>
          </w:p>
        </w:tc>
        <w:tc>
          <w:tcPr>
            <w:tcW w:w="1406" w:type="pct"/>
            <w:tcBorders>
              <w:top w:val="single" w:sz="4" w:space="0" w:color="3D4D7D" w:themeColor="background2"/>
            </w:tcBorders>
            <w:shd w:val="clear" w:color="auto" w:fill="E3E5E6" w:themeFill="accent6" w:themeFillTint="33"/>
          </w:tcPr>
          <w:p w:rsidR="00EB0C28" w:rsidRPr="006E78E3" w:rsidRDefault="000C1B81" w:rsidP="00BD04B9">
            <w:pPr>
              <w:pStyle w:val="QuoteBullet"/>
              <w:spacing w:before="70" w:after="70" w:line="240" w:lineRule="auto"/>
              <w:ind w:left="369" w:right="85" w:hanging="284"/>
              <w:rPr>
                <w:i w:val="0"/>
                <w:kern w:val="2"/>
                <w:sz w:val="20"/>
              </w:rPr>
            </w:pPr>
            <w:r w:rsidRPr="006E78E3">
              <w:rPr>
                <w:i w:val="0"/>
                <w:kern w:val="2"/>
                <w:sz w:val="20"/>
              </w:rPr>
              <w:t>Minor</w:t>
            </w:r>
            <w:r w:rsidR="008C0135" w:rsidRPr="006E78E3">
              <w:rPr>
                <w:i w:val="0"/>
                <w:kern w:val="2"/>
                <w:sz w:val="20"/>
              </w:rPr>
              <w:t>.</w:t>
            </w:r>
          </w:p>
        </w:tc>
      </w:tr>
      <w:tr w:rsidR="006E78E3" w:rsidRPr="006E78E3" w:rsidTr="00BD04B9">
        <w:trPr>
          <w:cantSplit/>
        </w:trPr>
        <w:tc>
          <w:tcPr>
            <w:tcW w:w="875" w:type="pct"/>
            <w:vMerge w:val="restart"/>
            <w:shd w:val="clear" w:color="auto" w:fill="C8CCCD" w:themeFill="accent6" w:themeFillTint="66"/>
            <w:vAlign w:val="center"/>
          </w:tcPr>
          <w:p w:rsidR="00EB0C28" w:rsidRPr="006E78E3" w:rsidRDefault="00EB0C28" w:rsidP="00BD04B9">
            <w:pPr>
              <w:pStyle w:val="BodyText"/>
              <w:keepNext/>
              <w:spacing w:before="70" w:after="70" w:line="240" w:lineRule="auto"/>
              <w:ind w:left="85" w:right="85"/>
              <w:rPr>
                <w:b/>
                <w:kern w:val="2"/>
              </w:rPr>
            </w:pPr>
            <w:r w:rsidRPr="006E78E3">
              <w:rPr>
                <w:b/>
                <w:kern w:val="2"/>
              </w:rPr>
              <w:t>Alternative financing</w:t>
            </w:r>
          </w:p>
        </w:tc>
        <w:tc>
          <w:tcPr>
            <w:tcW w:w="1235" w:type="pct"/>
            <w:shd w:val="clear" w:color="auto" w:fill="E3E5E6" w:themeFill="accent6" w:themeFillTint="33"/>
          </w:tcPr>
          <w:p w:rsidR="00EB0C28" w:rsidRPr="006E78E3" w:rsidRDefault="00EB0C28" w:rsidP="00BD04B9">
            <w:pPr>
              <w:pStyle w:val="BodyText"/>
              <w:spacing w:before="70" w:after="70" w:line="240" w:lineRule="auto"/>
              <w:ind w:left="85" w:right="85"/>
              <w:rPr>
                <w:b/>
                <w:kern w:val="2"/>
              </w:rPr>
            </w:pPr>
            <w:r w:rsidRPr="006E78E3">
              <w:rPr>
                <w:b/>
                <w:kern w:val="2"/>
              </w:rPr>
              <w:t>Equity injections</w:t>
            </w:r>
          </w:p>
        </w:tc>
        <w:tc>
          <w:tcPr>
            <w:tcW w:w="1484" w:type="pct"/>
            <w:shd w:val="clear" w:color="auto" w:fill="E3E5E6" w:themeFill="accent6" w:themeFillTint="33"/>
          </w:tcPr>
          <w:p w:rsidR="00EB0C28" w:rsidRPr="006E78E3" w:rsidRDefault="00EB0C28" w:rsidP="00BD04B9">
            <w:pPr>
              <w:pStyle w:val="QuoteBullet"/>
              <w:spacing w:before="70" w:after="70" w:line="240" w:lineRule="auto"/>
              <w:ind w:left="369" w:right="85" w:hanging="284"/>
              <w:rPr>
                <w:i w:val="0"/>
                <w:kern w:val="2"/>
                <w:sz w:val="20"/>
              </w:rPr>
            </w:pPr>
            <w:r w:rsidRPr="006E78E3">
              <w:rPr>
                <w:i w:val="0"/>
                <w:kern w:val="2"/>
                <w:sz w:val="20"/>
              </w:rPr>
              <w:t xml:space="preserve">Purchase </w:t>
            </w:r>
            <w:r w:rsidR="008C07AA" w:rsidRPr="006E78E3">
              <w:rPr>
                <w:i w:val="0"/>
                <w:kern w:val="2"/>
                <w:sz w:val="20"/>
              </w:rPr>
              <w:t xml:space="preserve">or sale </w:t>
            </w:r>
            <w:r w:rsidRPr="006E78E3">
              <w:rPr>
                <w:i w:val="0"/>
                <w:kern w:val="2"/>
                <w:sz w:val="20"/>
              </w:rPr>
              <w:t>of company</w:t>
            </w:r>
            <w:r w:rsidR="00B157DB" w:rsidRPr="006E78E3">
              <w:rPr>
                <w:i w:val="0"/>
                <w:kern w:val="2"/>
                <w:sz w:val="20"/>
              </w:rPr>
              <w:t xml:space="preserve"> or stake in company</w:t>
            </w:r>
            <w:r w:rsidR="008C0135" w:rsidRPr="006E78E3">
              <w:rPr>
                <w:i w:val="0"/>
                <w:kern w:val="2"/>
                <w:sz w:val="20"/>
              </w:rPr>
              <w:t>.</w:t>
            </w:r>
          </w:p>
          <w:p w:rsidR="00585A8D" w:rsidRPr="006E78E3" w:rsidRDefault="00585A8D" w:rsidP="00BD04B9">
            <w:pPr>
              <w:pStyle w:val="QuoteBullet"/>
              <w:spacing w:before="70" w:after="70" w:line="240" w:lineRule="auto"/>
              <w:ind w:left="369" w:right="85" w:hanging="284"/>
              <w:rPr>
                <w:i w:val="0"/>
                <w:kern w:val="2"/>
                <w:sz w:val="20"/>
              </w:rPr>
            </w:pPr>
            <w:r w:rsidRPr="006E78E3">
              <w:rPr>
                <w:i w:val="0"/>
                <w:kern w:val="2"/>
                <w:sz w:val="20"/>
              </w:rPr>
              <w:t xml:space="preserve">Government </w:t>
            </w:r>
            <w:r w:rsidR="002142E4" w:rsidRPr="006E78E3">
              <w:rPr>
                <w:i w:val="0"/>
                <w:kern w:val="2"/>
                <w:sz w:val="20"/>
              </w:rPr>
              <w:t xml:space="preserve">receipt of </w:t>
            </w:r>
            <w:r w:rsidRPr="006E78E3">
              <w:rPr>
                <w:i w:val="0"/>
                <w:kern w:val="2"/>
                <w:sz w:val="20"/>
              </w:rPr>
              <w:t>dividends</w:t>
            </w:r>
            <w:r w:rsidR="008C0135" w:rsidRPr="006E78E3">
              <w:rPr>
                <w:i w:val="0"/>
                <w:kern w:val="2"/>
                <w:sz w:val="20"/>
              </w:rPr>
              <w:t>.</w:t>
            </w:r>
            <w:r w:rsidRPr="006E78E3">
              <w:rPr>
                <w:i w:val="0"/>
                <w:kern w:val="2"/>
                <w:sz w:val="20"/>
              </w:rPr>
              <w:t xml:space="preserve"> </w:t>
            </w:r>
          </w:p>
        </w:tc>
        <w:tc>
          <w:tcPr>
            <w:tcW w:w="1406" w:type="pct"/>
            <w:shd w:val="clear" w:color="auto" w:fill="E3E5E6" w:themeFill="accent6" w:themeFillTint="33"/>
          </w:tcPr>
          <w:p w:rsidR="00EB0C28" w:rsidRPr="006E78E3" w:rsidRDefault="00EB0C28" w:rsidP="00BD04B9">
            <w:pPr>
              <w:pStyle w:val="QuoteBullet"/>
              <w:spacing w:before="70" w:after="70" w:line="240" w:lineRule="auto"/>
              <w:ind w:left="369" w:right="85" w:hanging="284"/>
              <w:rPr>
                <w:i w:val="0"/>
                <w:kern w:val="2"/>
                <w:sz w:val="20"/>
              </w:rPr>
            </w:pPr>
            <w:r w:rsidRPr="006E78E3">
              <w:rPr>
                <w:i w:val="0"/>
                <w:kern w:val="2"/>
                <w:sz w:val="20"/>
              </w:rPr>
              <w:t xml:space="preserve">Revaluation of </w:t>
            </w:r>
            <w:r w:rsidR="008C0135" w:rsidRPr="006E78E3">
              <w:rPr>
                <w:i w:val="0"/>
                <w:kern w:val="2"/>
                <w:sz w:val="20"/>
              </w:rPr>
              <w:t xml:space="preserve">a </w:t>
            </w:r>
            <w:r w:rsidRPr="006E78E3">
              <w:rPr>
                <w:i w:val="0"/>
                <w:kern w:val="2"/>
                <w:sz w:val="20"/>
              </w:rPr>
              <w:t>company</w:t>
            </w:r>
            <w:r w:rsidR="008C0135" w:rsidRPr="006E78E3">
              <w:rPr>
                <w:i w:val="0"/>
                <w:kern w:val="2"/>
                <w:sz w:val="20"/>
              </w:rPr>
              <w:t>.</w:t>
            </w:r>
          </w:p>
        </w:tc>
      </w:tr>
      <w:tr w:rsidR="006E78E3" w:rsidRPr="006E78E3" w:rsidTr="00BD04B9">
        <w:trPr>
          <w:cantSplit/>
        </w:trPr>
        <w:tc>
          <w:tcPr>
            <w:tcW w:w="875" w:type="pct"/>
            <w:vMerge/>
            <w:shd w:val="clear" w:color="auto" w:fill="C8CCCD" w:themeFill="accent6" w:themeFillTint="66"/>
            <w:vAlign w:val="center"/>
          </w:tcPr>
          <w:p w:rsidR="00B902FC" w:rsidRPr="006E78E3" w:rsidRDefault="00B902FC" w:rsidP="00BD04B9">
            <w:pPr>
              <w:pStyle w:val="BodyText"/>
              <w:keepNext/>
              <w:spacing w:before="70" w:after="70" w:line="240" w:lineRule="auto"/>
              <w:ind w:left="85" w:right="85"/>
              <w:rPr>
                <w:b/>
                <w:kern w:val="2"/>
              </w:rPr>
            </w:pPr>
          </w:p>
        </w:tc>
        <w:tc>
          <w:tcPr>
            <w:tcW w:w="1235" w:type="pct"/>
            <w:shd w:val="clear" w:color="auto" w:fill="E3E5E6" w:themeFill="accent6" w:themeFillTint="33"/>
          </w:tcPr>
          <w:p w:rsidR="00B902FC" w:rsidRPr="006E78E3" w:rsidRDefault="00B902FC" w:rsidP="00BD04B9">
            <w:pPr>
              <w:pStyle w:val="BodyText"/>
              <w:spacing w:before="70" w:after="70" w:line="240" w:lineRule="auto"/>
              <w:ind w:left="85" w:right="85"/>
              <w:rPr>
                <w:b/>
                <w:kern w:val="2"/>
              </w:rPr>
            </w:pPr>
            <w:r w:rsidRPr="006E78E3">
              <w:rPr>
                <w:b/>
                <w:kern w:val="2"/>
              </w:rPr>
              <w:t>Government loan</w:t>
            </w:r>
          </w:p>
        </w:tc>
        <w:tc>
          <w:tcPr>
            <w:tcW w:w="1484" w:type="pct"/>
            <w:shd w:val="clear" w:color="auto" w:fill="E3E5E6" w:themeFill="accent6" w:themeFillTint="33"/>
          </w:tcPr>
          <w:p w:rsidR="00B902FC" w:rsidRPr="006E78E3" w:rsidRDefault="00B902FC" w:rsidP="00BD04B9">
            <w:pPr>
              <w:pStyle w:val="QuoteBullet"/>
              <w:spacing w:before="70" w:after="70" w:line="240" w:lineRule="auto"/>
              <w:ind w:left="369" w:right="85" w:hanging="284"/>
              <w:rPr>
                <w:i w:val="0"/>
                <w:kern w:val="2"/>
                <w:sz w:val="20"/>
              </w:rPr>
            </w:pPr>
            <w:r w:rsidRPr="006E78E3">
              <w:rPr>
                <w:i w:val="0"/>
                <w:kern w:val="2"/>
                <w:sz w:val="20"/>
              </w:rPr>
              <w:t xml:space="preserve">Issue </w:t>
            </w:r>
            <w:r w:rsidR="008C07AA" w:rsidRPr="006E78E3">
              <w:rPr>
                <w:i w:val="0"/>
                <w:kern w:val="2"/>
                <w:sz w:val="20"/>
              </w:rPr>
              <w:t xml:space="preserve">and repayment </w:t>
            </w:r>
            <w:r w:rsidRPr="006E78E3">
              <w:rPr>
                <w:i w:val="0"/>
                <w:kern w:val="2"/>
                <w:sz w:val="20"/>
              </w:rPr>
              <w:t>of loans</w:t>
            </w:r>
            <w:r w:rsidR="008C0135" w:rsidRPr="006E78E3">
              <w:rPr>
                <w:i w:val="0"/>
                <w:kern w:val="2"/>
                <w:sz w:val="20"/>
              </w:rPr>
              <w:t>.</w:t>
            </w:r>
          </w:p>
          <w:p w:rsidR="00B902FC" w:rsidRPr="006E78E3" w:rsidRDefault="00B902FC" w:rsidP="00BD04B9">
            <w:pPr>
              <w:pStyle w:val="QuoteBullet"/>
              <w:spacing w:before="70" w:after="70" w:line="240" w:lineRule="auto"/>
              <w:ind w:left="369" w:right="85" w:hanging="284"/>
              <w:rPr>
                <w:i w:val="0"/>
                <w:kern w:val="2"/>
                <w:sz w:val="20"/>
              </w:rPr>
            </w:pPr>
            <w:r w:rsidRPr="006E78E3">
              <w:rPr>
                <w:i w:val="0"/>
                <w:kern w:val="2"/>
                <w:sz w:val="20"/>
              </w:rPr>
              <w:t>Government receipt of interest on loans</w:t>
            </w:r>
            <w:r w:rsidR="008C0135" w:rsidRPr="006E78E3">
              <w:rPr>
                <w:i w:val="0"/>
                <w:kern w:val="2"/>
                <w:sz w:val="20"/>
              </w:rPr>
              <w:t>.</w:t>
            </w:r>
          </w:p>
          <w:p w:rsidR="00B902FC" w:rsidRPr="006E78E3" w:rsidRDefault="00B902FC" w:rsidP="00BD04B9">
            <w:pPr>
              <w:pStyle w:val="QuoteBullet"/>
              <w:spacing w:before="70" w:after="70" w:line="240" w:lineRule="auto"/>
              <w:ind w:left="369" w:right="85" w:hanging="284"/>
              <w:rPr>
                <w:i w:val="0"/>
                <w:kern w:val="2"/>
                <w:sz w:val="20"/>
              </w:rPr>
            </w:pPr>
            <w:r w:rsidRPr="006E78E3">
              <w:rPr>
                <w:i w:val="0"/>
                <w:kern w:val="2"/>
                <w:sz w:val="20"/>
              </w:rPr>
              <w:t>Government decision to forgive debts</w:t>
            </w:r>
            <w:r w:rsidR="008C0135" w:rsidRPr="006E78E3">
              <w:rPr>
                <w:i w:val="0"/>
                <w:kern w:val="2"/>
                <w:sz w:val="20"/>
              </w:rPr>
              <w:t>.</w:t>
            </w:r>
          </w:p>
        </w:tc>
        <w:tc>
          <w:tcPr>
            <w:tcW w:w="1406" w:type="pct"/>
            <w:shd w:val="clear" w:color="auto" w:fill="E3E5E6" w:themeFill="accent6" w:themeFillTint="33"/>
          </w:tcPr>
          <w:p w:rsidR="00B902FC" w:rsidRPr="006E78E3" w:rsidRDefault="00B902FC" w:rsidP="00E77365">
            <w:pPr>
              <w:pStyle w:val="QuoteBullet"/>
              <w:spacing w:before="70" w:after="70" w:line="240" w:lineRule="auto"/>
              <w:ind w:left="369" w:right="85" w:hanging="284"/>
              <w:rPr>
                <w:i w:val="0"/>
                <w:kern w:val="2"/>
                <w:sz w:val="20"/>
              </w:rPr>
            </w:pPr>
            <w:r w:rsidRPr="006E78E3">
              <w:rPr>
                <w:i w:val="0"/>
                <w:kern w:val="2"/>
                <w:sz w:val="20"/>
              </w:rPr>
              <w:t>Revaluation of loans (</w:t>
            </w:r>
            <w:r w:rsidR="00F53729" w:rsidRPr="006E78E3">
              <w:rPr>
                <w:i w:val="0"/>
                <w:kern w:val="2"/>
                <w:sz w:val="20"/>
              </w:rPr>
              <w:t xml:space="preserve">mainly through </w:t>
            </w:r>
            <w:r w:rsidRPr="006E78E3">
              <w:rPr>
                <w:i w:val="0"/>
                <w:kern w:val="2"/>
                <w:sz w:val="20"/>
              </w:rPr>
              <w:t>debt not expected to be repaid)</w:t>
            </w:r>
            <w:r w:rsidR="008C0135" w:rsidRPr="006E78E3">
              <w:rPr>
                <w:i w:val="0"/>
                <w:kern w:val="2"/>
                <w:sz w:val="20"/>
              </w:rPr>
              <w:t>.</w:t>
            </w:r>
          </w:p>
        </w:tc>
      </w:tr>
      <w:tr w:rsidR="006E78E3" w:rsidRPr="006E78E3" w:rsidTr="00BD04B9">
        <w:trPr>
          <w:cantSplit/>
        </w:trPr>
        <w:tc>
          <w:tcPr>
            <w:tcW w:w="875" w:type="pct"/>
            <w:vMerge/>
            <w:shd w:val="clear" w:color="auto" w:fill="C8CCCD" w:themeFill="accent6" w:themeFillTint="66"/>
          </w:tcPr>
          <w:p w:rsidR="00EB0C28" w:rsidRPr="006E78E3" w:rsidRDefault="00EB0C28" w:rsidP="00BD04B9">
            <w:pPr>
              <w:pStyle w:val="BodyText"/>
              <w:spacing w:before="70" w:after="70" w:line="240" w:lineRule="auto"/>
              <w:ind w:left="85" w:right="85"/>
              <w:rPr>
                <w:b/>
                <w:kern w:val="2"/>
              </w:rPr>
            </w:pPr>
          </w:p>
        </w:tc>
        <w:tc>
          <w:tcPr>
            <w:tcW w:w="1235" w:type="pct"/>
            <w:shd w:val="clear" w:color="auto" w:fill="E3E5E6" w:themeFill="accent6" w:themeFillTint="33"/>
          </w:tcPr>
          <w:p w:rsidR="00EB0C28" w:rsidRPr="006E78E3" w:rsidRDefault="00B902FC" w:rsidP="00BD04B9">
            <w:pPr>
              <w:pStyle w:val="BodyText"/>
              <w:spacing w:before="70" w:after="70" w:line="240" w:lineRule="auto"/>
              <w:ind w:left="85" w:right="85"/>
              <w:rPr>
                <w:b/>
                <w:kern w:val="2"/>
              </w:rPr>
            </w:pPr>
            <w:r w:rsidRPr="006E78E3">
              <w:rPr>
                <w:b/>
                <w:kern w:val="2"/>
              </w:rPr>
              <w:t>Guarantee</w:t>
            </w:r>
          </w:p>
        </w:tc>
        <w:tc>
          <w:tcPr>
            <w:tcW w:w="1484" w:type="pct"/>
            <w:shd w:val="clear" w:color="auto" w:fill="E3E5E6" w:themeFill="accent6" w:themeFillTint="33"/>
          </w:tcPr>
          <w:p w:rsidR="00EB0C28" w:rsidRPr="00A85614" w:rsidRDefault="00BF3922" w:rsidP="00BF3922">
            <w:pPr>
              <w:pStyle w:val="QuoteBullet"/>
              <w:spacing w:before="70" w:after="70" w:line="240" w:lineRule="auto"/>
              <w:ind w:left="369" w:right="85" w:hanging="284"/>
              <w:rPr>
                <w:i w:val="0"/>
                <w:kern w:val="2"/>
                <w:sz w:val="20"/>
              </w:rPr>
            </w:pPr>
            <w:r w:rsidRPr="00A85614">
              <w:rPr>
                <w:i w:val="0"/>
                <w:kern w:val="2"/>
                <w:sz w:val="20"/>
              </w:rPr>
              <w:t>Expected liability, for financial guarantees</w:t>
            </w:r>
            <w:r w:rsidR="008C0135" w:rsidRPr="00A85614">
              <w:rPr>
                <w:i w:val="0"/>
                <w:kern w:val="2"/>
                <w:sz w:val="20"/>
              </w:rPr>
              <w:t>.</w:t>
            </w:r>
          </w:p>
        </w:tc>
        <w:tc>
          <w:tcPr>
            <w:tcW w:w="1406" w:type="pct"/>
            <w:shd w:val="clear" w:color="auto" w:fill="E3E5E6" w:themeFill="accent6" w:themeFillTint="33"/>
          </w:tcPr>
          <w:p w:rsidR="00EB0C28" w:rsidRPr="00A85614" w:rsidRDefault="00BF3922" w:rsidP="00BD04B9">
            <w:pPr>
              <w:pStyle w:val="QuoteBullet"/>
              <w:spacing w:before="70" w:after="70" w:line="240" w:lineRule="auto"/>
              <w:ind w:left="369" w:right="85" w:hanging="284"/>
              <w:rPr>
                <w:i w:val="0"/>
                <w:kern w:val="2"/>
                <w:sz w:val="20"/>
              </w:rPr>
            </w:pPr>
            <w:r w:rsidRPr="00A85614">
              <w:rPr>
                <w:i w:val="0"/>
                <w:kern w:val="2"/>
                <w:sz w:val="20"/>
              </w:rPr>
              <w:t>Chan</w:t>
            </w:r>
            <w:r w:rsidR="00485D2B" w:rsidRPr="00A85614">
              <w:rPr>
                <w:i w:val="0"/>
                <w:kern w:val="2"/>
                <w:sz w:val="20"/>
              </w:rPr>
              <w:t>ges if value of guarantee changes</w:t>
            </w:r>
            <w:r w:rsidR="0058776F">
              <w:rPr>
                <w:i w:val="0"/>
                <w:kern w:val="2"/>
                <w:sz w:val="20"/>
              </w:rPr>
              <w:t>.</w:t>
            </w:r>
          </w:p>
        </w:tc>
      </w:tr>
    </w:tbl>
    <w:p w:rsidR="003D7CD8" w:rsidRDefault="003D7CD8" w:rsidP="003D7CD8">
      <w:pPr>
        <w:rPr>
          <w:rFonts w:ascii="Calibri Light" w:hAnsi="Calibri Light"/>
          <w:color w:val="3D4D7D" w:themeColor="background2"/>
          <w:kern w:val="32"/>
          <w:sz w:val="52"/>
          <w:szCs w:val="32"/>
        </w:rPr>
      </w:pPr>
      <w:r>
        <w:br w:type="page"/>
      </w:r>
    </w:p>
    <w:p w:rsidR="005249F6" w:rsidRDefault="005249F6" w:rsidP="00697C6D">
      <w:pPr>
        <w:pStyle w:val="Heading1"/>
      </w:pPr>
      <w:bookmarkStart w:id="23" w:name="_Toc35451915"/>
      <w:r>
        <w:lastRenderedPageBreak/>
        <w:t>The size of revaluations</w:t>
      </w:r>
      <w:bookmarkEnd w:id="23"/>
    </w:p>
    <w:p w:rsidR="00C759EB" w:rsidRDefault="003764D0" w:rsidP="00F505FF">
      <w:pPr>
        <w:pStyle w:val="BodyText"/>
      </w:pPr>
      <w:r>
        <w:t xml:space="preserve">To illustrate the impact of revaluations in more detail, this section looks at two </w:t>
      </w:r>
      <w:r w:rsidR="00485D2B">
        <w:t xml:space="preserve">of the most substantial </w:t>
      </w:r>
      <w:r>
        <w:t xml:space="preserve">examples </w:t>
      </w:r>
      <w:r w:rsidR="00C9587C">
        <w:t>that have been in place under successive governments</w:t>
      </w:r>
      <w:r>
        <w:t xml:space="preserve">.  These </w:t>
      </w:r>
      <w:r w:rsidR="00C9587C">
        <w:t xml:space="preserve">examples relate to </w:t>
      </w:r>
      <w:r w:rsidR="00180D23">
        <w:t xml:space="preserve">equity injections into the </w:t>
      </w:r>
      <w:r w:rsidR="00EB4F6A">
        <w:t>NBN</w:t>
      </w:r>
      <w:r>
        <w:t xml:space="preserve">, and </w:t>
      </w:r>
      <w:r w:rsidR="00EC7A4D">
        <w:t xml:space="preserve">loans under </w:t>
      </w:r>
      <w:r w:rsidR="00EB4F6A">
        <w:t>HELP</w:t>
      </w:r>
      <w:r w:rsidR="00180D23">
        <w:t>.</w:t>
      </w:r>
    </w:p>
    <w:p w:rsidR="005249F6" w:rsidRDefault="00CA3FF0" w:rsidP="00697C6D">
      <w:pPr>
        <w:pStyle w:val="Heading2"/>
      </w:pPr>
      <w:bookmarkStart w:id="24" w:name="_Toc35451916"/>
      <w:r>
        <w:t xml:space="preserve">The </w:t>
      </w:r>
      <w:r w:rsidR="00EB4F6A">
        <w:t>NBN</w:t>
      </w:r>
      <w:bookmarkEnd w:id="24"/>
    </w:p>
    <w:p w:rsidR="00CA3FF0" w:rsidRDefault="00CA3FF0" w:rsidP="00CA3FF0">
      <w:pPr>
        <w:pStyle w:val="BodyText"/>
      </w:pPr>
      <w:r>
        <w:t>The NBN is a very large infrastructure investment</w:t>
      </w:r>
      <w:r w:rsidR="003A1616">
        <w:t xml:space="preserve"> project</w:t>
      </w:r>
      <w:r>
        <w:t>, with NBN</w:t>
      </w:r>
      <w:r w:rsidR="00B01339">
        <w:t> </w:t>
      </w:r>
      <w:r>
        <w:t xml:space="preserve">Co receiving $29.5 billion in equity </w:t>
      </w:r>
      <w:r w:rsidR="007C037F">
        <w:t xml:space="preserve">over several years </w:t>
      </w:r>
      <w:r>
        <w:t>in order to build the network.</w:t>
      </w:r>
      <w:r w:rsidR="00CF3845">
        <w:t xml:space="preserve"> </w:t>
      </w:r>
      <w:r w:rsidR="00151149">
        <w:t xml:space="preserve">  </w:t>
      </w:r>
    </w:p>
    <w:p w:rsidR="003764D0" w:rsidRDefault="003764D0" w:rsidP="00412142">
      <w:pPr>
        <w:pStyle w:val="BodyText"/>
        <w:spacing w:after="240"/>
      </w:pPr>
      <w:r>
        <w:t>The historical revisions to the fair value of NBN Co are shown in Figure 3</w:t>
      </w:r>
      <w:r w:rsidRPr="00BB3C94">
        <w:t>–</w:t>
      </w:r>
      <w:r>
        <w:t>1.  This shows that the fair value of NBN Co has been consistently below the cumulative amount of equity injected into the company.</w:t>
      </w:r>
      <w:r w:rsidR="00396102">
        <w:rPr>
          <w:rStyle w:val="FootnoteReference"/>
        </w:rPr>
        <w:footnoteReference w:id="21"/>
      </w:r>
      <w:r>
        <w:t xml:space="preserve"> </w:t>
      </w:r>
      <w:r w:rsidR="00914944">
        <w:t xml:space="preserve"> The equity injected into NBN Co is not captured in the </w:t>
      </w:r>
      <w:r w:rsidR="005C7C27">
        <w:t xml:space="preserve">fiscal or </w:t>
      </w:r>
      <w:r w:rsidR="00914944">
        <w:t xml:space="preserve">underlying cash balances, but is included in the headline cash balance.  Further information on how equity injections affect the budget balances is provided at </w:t>
      </w:r>
      <w:r w:rsidR="00914944" w:rsidRPr="007B0AC0">
        <w:rPr>
          <w:u w:val="single"/>
        </w:rPr>
        <w:t>Appendix D</w:t>
      </w:r>
      <w:r w:rsidR="00914944">
        <w:t>.</w:t>
      </w:r>
    </w:p>
    <w:p w:rsidR="00CA3FF0" w:rsidRDefault="00CA3FF0" w:rsidP="00511480">
      <w:pPr>
        <w:pStyle w:val="Caption"/>
        <w:spacing w:before="120"/>
      </w:pPr>
      <w:r w:rsidRPr="00F47363">
        <w:t xml:space="preserve">Figure </w:t>
      </w:r>
      <w:r w:rsidR="00507FA9">
        <w:fldChar w:fldCharType="begin"/>
      </w:r>
      <w:r w:rsidR="00507FA9">
        <w:instrText xml:space="preserve"> STYLEREF 1 \s </w:instrText>
      </w:r>
      <w:r w:rsidR="00507FA9">
        <w:fldChar w:fldCharType="separate"/>
      </w:r>
      <w:r w:rsidR="003F421C">
        <w:rPr>
          <w:noProof/>
        </w:rPr>
        <w:t>3</w:t>
      </w:r>
      <w:r w:rsidR="00507FA9">
        <w:rPr>
          <w:noProof/>
        </w:rPr>
        <w:fldChar w:fldCharType="end"/>
      </w:r>
      <w:r w:rsidRPr="00F47363">
        <w:t>–</w:t>
      </w:r>
      <w:r w:rsidR="00507FA9">
        <w:fldChar w:fldCharType="begin"/>
      </w:r>
      <w:r w:rsidR="00507FA9">
        <w:instrText xml:space="preserve"> SEQ Figure \* ARABIC \s 1 </w:instrText>
      </w:r>
      <w:r w:rsidR="00507FA9">
        <w:fldChar w:fldCharType="separate"/>
      </w:r>
      <w:r w:rsidR="003F421C">
        <w:rPr>
          <w:noProof/>
        </w:rPr>
        <w:t>1</w:t>
      </w:r>
      <w:r w:rsidR="00507FA9">
        <w:rPr>
          <w:noProof/>
        </w:rPr>
        <w:fldChar w:fldCharType="end"/>
      </w:r>
      <w:r w:rsidRPr="00F47363">
        <w:t xml:space="preserve">: </w:t>
      </w:r>
      <w:r>
        <w:t xml:space="preserve">Fair value of </w:t>
      </w:r>
      <w:r w:rsidR="004E04DA">
        <w:t xml:space="preserve">administered investment in </w:t>
      </w:r>
      <w:r>
        <w:t xml:space="preserve">NBN Co </w:t>
      </w:r>
    </w:p>
    <w:p w:rsidR="00CA3FF0" w:rsidRDefault="00507FA9" w:rsidP="00485D2B">
      <w:pPr>
        <w:pStyle w:val="CaptionDescriptor"/>
      </w:pPr>
      <w:r>
        <w:pict>
          <v:shape id="_x0000_i1028" type="#_x0000_t75" style="width:452.95pt;height:266.25pt">
            <v:imagedata r:id="rId33" o:title="Alternative-financing-Fig-3-1_04"/>
          </v:shape>
        </w:pict>
      </w:r>
    </w:p>
    <w:p w:rsidR="00CA3FF0" w:rsidRPr="00BD04B9" w:rsidRDefault="00CA3FF0" w:rsidP="00BD04B9">
      <w:pPr>
        <w:pStyle w:val="Source"/>
        <w:rPr>
          <w:kern w:val="2"/>
        </w:rPr>
      </w:pPr>
      <w:r w:rsidRPr="00BD04B9">
        <w:rPr>
          <w:kern w:val="2"/>
        </w:rPr>
        <w:t xml:space="preserve">Note: </w:t>
      </w:r>
      <w:r w:rsidR="004E04DA" w:rsidRPr="00BD04B9">
        <w:rPr>
          <w:kern w:val="2"/>
        </w:rPr>
        <w:t xml:space="preserve">The fair value of NBN Co represents the price that would be received if it were to be sold </w:t>
      </w:r>
      <w:r w:rsidR="00485D2B">
        <w:rPr>
          <w:kern w:val="2"/>
        </w:rPr>
        <w:t xml:space="preserve">at that point in time </w:t>
      </w:r>
      <w:r w:rsidR="004E04DA" w:rsidRPr="00BD04B9">
        <w:rPr>
          <w:kern w:val="2"/>
        </w:rPr>
        <w:t xml:space="preserve">in an orderly transaction between market participants (see </w:t>
      </w:r>
      <w:hyperlink r:id="rId34" w:history="1">
        <w:r w:rsidR="004E04DA" w:rsidRPr="00BD04B9">
          <w:rPr>
            <w:i/>
            <w:kern w:val="2"/>
          </w:rPr>
          <w:t>AASB 13 Fair Value Measurement</w:t>
        </w:r>
      </w:hyperlink>
      <w:r w:rsidR="004E04DA" w:rsidRPr="00BD04B9">
        <w:rPr>
          <w:kern w:val="2"/>
        </w:rPr>
        <w:t xml:space="preserve"> for full definition).   Equity funding </w:t>
      </w:r>
      <w:r w:rsidR="00485D2B">
        <w:rPr>
          <w:kern w:val="2"/>
        </w:rPr>
        <w:t>is</w:t>
      </w:r>
      <w:r w:rsidR="004E04DA" w:rsidRPr="00BD04B9">
        <w:rPr>
          <w:kern w:val="2"/>
        </w:rPr>
        <w:t xml:space="preserve"> in cumulative terms.</w:t>
      </w:r>
    </w:p>
    <w:p w:rsidR="00CA3FF0" w:rsidRPr="00BD04B9" w:rsidRDefault="00CA3FF0" w:rsidP="00BD04B9">
      <w:pPr>
        <w:pStyle w:val="Source"/>
        <w:rPr>
          <w:kern w:val="2"/>
        </w:rPr>
      </w:pPr>
      <w:r w:rsidRPr="00BD04B9">
        <w:rPr>
          <w:kern w:val="2"/>
        </w:rPr>
        <w:t>Source: Annual reports, Department of Communications and the Arts, 2008</w:t>
      </w:r>
      <w:r w:rsidR="002E2CA8" w:rsidRPr="00BD04B9">
        <w:rPr>
          <w:kern w:val="2"/>
        </w:rPr>
        <w:t>–</w:t>
      </w:r>
      <w:r w:rsidRPr="00BD04B9">
        <w:rPr>
          <w:kern w:val="2"/>
        </w:rPr>
        <w:t>09 to 2018</w:t>
      </w:r>
      <w:r w:rsidR="002E2CA8" w:rsidRPr="00BD04B9">
        <w:rPr>
          <w:kern w:val="2"/>
        </w:rPr>
        <w:t>–</w:t>
      </w:r>
      <w:r w:rsidRPr="00BD04B9">
        <w:rPr>
          <w:kern w:val="2"/>
        </w:rPr>
        <w:t xml:space="preserve">19.  </w:t>
      </w:r>
    </w:p>
    <w:p w:rsidR="00C57AA4" w:rsidRDefault="00C57AA4" w:rsidP="00EE0F65">
      <w:pPr>
        <w:pStyle w:val="BodyText"/>
      </w:pPr>
    </w:p>
    <w:p w:rsidR="003764D0" w:rsidRDefault="003764D0" w:rsidP="00EE0F65">
      <w:pPr>
        <w:pStyle w:val="BodyText"/>
      </w:pPr>
      <w:r>
        <w:lastRenderedPageBreak/>
        <w:t xml:space="preserve">As shown in the chart above, the total equity that has been invested in NBN Co is $29.5 billion.  The most recent fair value estimate of NBN Co, </w:t>
      </w:r>
      <w:r w:rsidR="002A7569">
        <w:t>as at</w:t>
      </w:r>
      <w:r>
        <w:t xml:space="preserve"> 30 June 2019, was $8.7 billion.</w:t>
      </w:r>
      <w:r>
        <w:rPr>
          <w:rStyle w:val="FootnoteReference"/>
        </w:rPr>
        <w:footnoteReference w:id="22"/>
      </w:r>
      <w:r>
        <w:t xml:space="preserve">  The $20.8 billion difference between the amount paid and the current fair value is a </w:t>
      </w:r>
      <w:r w:rsidRPr="007D1B43">
        <w:t>revaluation</w:t>
      </w:r>
      <w:r w:rsidRPr="002067C2">
        <w:t>.  It reflects the extent to which the Commonwealth</w:t>
      </w:r>
      <w:r w:rsidR="001F5604">
        <w:t xml:space="preserve"> Government</w:t>
      </w:r>
      <w:r w:rsidRPr="002067C2">
        <w:t>’s balance sheet has</w:t>
      </w:r>
      <w:r w:rsidRPr="009440F2">
        <w:t xml:space="preserve"> directly</w:t>
      </w:r>
      <w:r w:rsidRPr="007D1B43">
        <w:t xml:space="preserve"> deteriorated as a result of this investment</w:t>
      </w:r>
      <w:r>
        <w:t xml:space="preserve"> as </w:t>
      </w:r>
      <w:r w:rsidRPr="005B1385">
        <w:t xml:space="preserve">at </w:t>
      </w:r>
      <w:r w:rsidRPr="00F505FF">
        <w:t>30 June 2019</w:t>
      </w:r>
      <w:r w:rsidRPr="005B1385">
        <w:t>.</w:t>
      </w:r>
      <w:r w:rsidRPr="008D484A">
        <w:rPr>
          <w:rStyle w:val="FootnoteReference"/>
        </w:rPr>
        <w:footnoteReference w:id="23"/>
      </w:r>
      <w:r w:rsidRPr="007D1B43">
        <w:t xml:space="preserve">  </w:t>
      </w:r>
      <w:r>
        <w:t>By definition, t</w:t>
      </w:r>
      <w:r w:rsidRPr="007D1B43">
        <w:t>his</w:t>
      </w:r>
      <w:r>
        <w:t xml:space="preserve"> impact is not captured in the fiscal or underlying cash balances</w:t>
      </w:r>
      <w:r w:rsidR="00485D2B">
        <w:t>, though it is captured in net financial worth</w:t>
      </w:r>
      <w:r>
        <w:t xml:space="preserve">.  </w:t>
      </w:r>
      <w:r w:rsidR="0064317A">
        <w:t>T</w:t>
      </w:r>
      <w:r>
        <w:t>his value is a point</w:t>
      </w:r>
      <w:r w:rsidR="001F5604">
        <w:t>-</w:t>
      </w:r>
      <w:r>
        <w:t>in</w:t>
      </w:r>
      <w:r w:rsidR="001F5604">
        <w:t>-</w:t>
      </w:r>
      <w:r>
        <w:t>time estimate and may change in the future.</w:t>
      </w:r>
    </w:p>
    <w:p w:rsidR="003764D0" w:rsidRDefault="00C9587C" w:rsidP="003764D0">
      <w:pPr>
        <w:pStyle w:val="BodyText"/>
      </w:pPr>
      <w:r>
        <w:t>It is important to note that t</w:t>
      </w:r>
      <w:r w:rsidR="003764D0">
        <w:t>he main budget documents show only the aggregated effect of all revaluations</w:t>
      </w:r>
      <w:r w:rsidR="003764D0" w:rsidRPr="00F53729">
        <w:t xml:space="preserve"> </w:t>
      </w:r>
      <w:r w:rsidR="003764D0">
        <w:t xml:space="preserve">across the </w:t>
      </w:r>
      <w:r w:rsidR="005C7C27">
        <w:t>g</w:t>
      </w:r>
      <w:r w:rsidR="003764D0">
        <w:t xml:space="preserve">eneral </w:t>
      </w:r>
      <w:r w:rsidR="005C7C27">
        <w:t>g</w:t>
      </w:r>
      <w:r w:rsidR="003764D0">
        <w:t xml:space="preserve">overnment </w:t>
      </w:r>
      <w:r w:rsidR="005C7C27">
        <w:t>s</w:t>
      </w:r>
      <w:r w:rsidR="003764D0">
        <w:t xml:space="preserve">ector, rather than revaluations at an individual company or project level.  </w:t>
      </w:r>
      <w:r>
        <w:t>The information provided here was compiled from successive annual reports for the Department of Communications and the Arts</w:t>
      </w:r>
      <w:r w:rsidR="001F5604">
        <w:t>, and NBN Co</w:t>
      </w:r>
      <w:r>
        <w:t xml:space="preserve">.  </w:t>
      </w:r>
    </w:p>
    <w:p w:rsidR="0090334C" w:rsidRDefault="000821BF" w:rsidP="0090334C">
      <w:pPr>
        <w:pStyle w:val="Heading2"/>
      </w:pPr>
      <w:bookmarkStart w:id="25" w:name="_Toc34838533"/>
      <w:bookmarkStart w:id="26" w:name="_Toc35451917"/>
      <w:bookmarkEnd w:id="25"/>
      <w:r>
        <w:t>The Higher Education Loan Program</w:t>
      </w:r>
      <w:bookmarkEnd w:id="26"/>
    </w:p>
    <w:p w:rsidR="00120493" w:rsidRPr="00E07E34" w:rsidRDefault="001C366F" w:rsidP="00BD04B9">
      <w:pPr>
        <w:pStyle w:val="BodyText17ptAbove"/>
        <w:spacing w:before="120"/>
        <w:rPr>
          <w:spacing w:val="-2"/>
        </w:rPr>
      </w:pPr>
      <w:r w:rsidRPr="00E07E34">
        <w:rPr>
          <w:spacing w:val="-2"/>
        </w:rPr>
        <w:t xml:space="preserve">The </w:t>
      </w:r>
      <w:r w:rsidR="00815F4F">
        <w:rPr>
          <w:spacing w:val="-2"/>
        </w:rPr>
        <w:t>Higher Education Loan Program</w:t>
      </w:r>
      <w:r w:rsidRPr="00E07E34">
        <w:rPr>
          <w:spacing w:val="-2"/>
        </w:rPr>
        <w:t xml:space="preserve"> </w:t>
      </w:r>
      <w:r w:rsidR="00CF3845">
        <w:rPr>
          <w:spacing w:val="-2"/>
        </w:rPr>
        <w:t xml:space="preserve">(HELP) </w:t>
      </w:r>
      <w:r w:rsidRPr="00E07E34">
        <w:rPr>
          <w:spacing w:val="-2"/>
        </w:rPr>
        <w:t xml:space="preserve">is a longstanding </w:t>
      </w:r>
      <w:r w:rsidR="00B63D1A" w:rsidRPr="00E07E34">
        <w:rPr>
          <w:spacing w:val="-2"/>
        </w:rPr>
        <w:t xml:space="preserve">government </w:t>
      </w:r>
      <w:r w:rsidRPr="00E07E34">
        <w:rPr>
          <w:spacing w:val="-2"/>
        </w:rPr>
        <w:t xml:space="preserve">program </w:t>
      </w:r>
      <w:r w:rsidR="00120493" w:rsidRPr="00E07E34">
        <w:rPr>
          <w:spacing w:val="-2"/>
        </w:rPr>
        <w:t xml:space="preserve">that helps remove upfront cost barriers that may prevent potential students from obtaining </w:t>
      </w:r>
      <w:r w:rsidR="006F784E" w:rsidRPr="00E07E34">
        <w:rPr>
          <w:spacing w:val="-2"/>
        </w:rPr>
        <w:t>a tertiary</w:t>
      </w:r>
      <w:r w:rsidR="00120493" w:rsidRPr="00E07E34">
        <w:rPr>
          <w:spacing w:val="-2"/>
        </w:rPr>
        <w:t xml:space="preserve"> education.</w:t>
      </w:r>
      <w:r w:rsidR="006F784E" w:rsidRPr="00E07E34">
        <w:rPr>
          <w:spacing w:val="-2"/>
        </w:rPr>
        <w:t xml:space="preserve">  It is the Commonwealth Government’s largest loan program.</w:t>
      </w:r>
    </w:p>
    <w:p w:rsidR="00C9587C" w:rsidRDefault="00817A54" w:rsidP="00C9587C">
      <w:pPr>
        <w:pStyle w:val="BodyText"/>
      </w:pPr>
      <w:r>
        <w:t>Issuing loans affect</w:t>
      </w:r>
      <w:r w:rsidR="0008577E">
        <w:t>s</w:t>
      </w:r>
      <w:r>
        <w:t xml:space="preserve"> the Commonwealth</w:t>
      </w:r>
      <w:r w:rsidR="003B646A">
        <w:t> Government</w:t>
      </w:r>
      <w:r>
        <w:t xml:space="preserve">’s fiscal position through both transactions and revaluations that </w:t>
      </w:r>
      <w:r w:rsidR="00A249EB">
        <w:t xml:space="preserve">in some cases </w:t>
      </w:r>
      <w:r w:rsidR="00CA1239">
        <w:t xml:space="preserve">can be </w:t>
      </w:r>
      <w:r w:rsidR="0008577E">
        <w:t>estimated ahead of time</w:t>
      </w:r>
      <w:r>
        <w:t xml:space="preserve">.  </w:t>
      </w:r>
    </w:p>
    <w:p w:rsidR="00C9587C" w:rsidRDefault="00C9587C" w:rsidP="00C9587C">
      <w:pPr>
        <w:pStyle w:val="BodyText"/>
      </w:pPr>
      <w:r>
        <w:rPr>
          <w:rStyle w:val="BodyTextChar"/>
        </w:rPr>
        <w:t xml:space="preserve">A key element in the design of HELP is that </w:t>
      </w:r>
      <w:r w:rsidRPr="00BF19BB">
        <w:t xml:space="preserve">repayments are linked to </w:t>
      </w:r>
      <w:r>
        <w:t xml:space="preserve">each </w:t>
      </w:r>
      <w:r w:rsidRPr="00BF19BB">
        <w:t>borrower’s income and only need to be repaid when the borrower earns above certain thresholds</w:t>
      </w:r>
      <w:r>
        <w:t xml:space="preserve">.  The future earnings of borrowers differ, and some do not earn a sufficient </w:t>
      </w:r>
      <w:r>
        <w:rPr>
          <w:rStyle w:val="BodyTextChar"/>
        </w:rPr>
        <w:t xml:space="preserve">income for a long enough time that the debt is repaid.  The result of this policy feature is that a substantial proportion of the </w:t>
      </w:r>
      <w:r w:rsidR="004E2617">
        <w:rPr>
          <w:rStyle w:val="BodyTextChar"/>
        </w:rPr>
        <w:t xml:space="preserve">new </w:t>
      </w:r>
      <w:r>
        <w:rPr>
          <w:rStyle w:val="BodyTextChar"/>
        </w:rPr>
        <w:t>debt (</w:t>
      </w:r>
      <w:r w:rsidRPr="00BA3D2B">
        <w:rPr>
          <w:rStyle w:val="BodyTextChar"/>
        </w:rPr>
        <w:t>around 16</w:t>
      </w:r>
      <w:r w:rsidR="00E07E34">
        <w:rPr>
          <w:rStyle w:val="BodyTextChar"/>
        </w:rPr>
        <w:t> </w:t>
      </w:r>
      <w:r w:rsidRPr="00BA3D2B">
        <w:rPr>
          <w:rStyle w:val="BodyTextChar"/>
        </w:rPr>
        <w:t>per cent</w:t>
      </w:r>
      <w:r>
        <w:rPr>
          <w:rStyle w:val="BodyTextChar"/>
        </w:rPr>
        <w:t xml:space="preserve"> </w:t>
      </w:r>
      <w:r w:rsidR="004E2617">
        <w:rPr>
          <w:rStyle w:val="BodyTextChar"/>
        </w:rPr>
        <w:t xml:space="preserve">of new debt </w:t>
      </w:r>
      <w:r>
        <w:rPr>
          <w:rStyle w:val="BodyTextChar"/>
        </w:rPr>
        <w:t>in 2018</w:t>
      </w:r>
      <w:r w:rsidRPr="00BB3C94">
        <w:t>–</w:t>
      </w:r>
      <w:r>
        <w:rPr>
          <w:rStyle w:val="BodyTextChar"/>
        </w:rPr>
        <w:t>19</w:t>
      </w:r>
      <w:r w:rsidRPr="00BA3D2B">
        <w:rPr>
          <w:rStyle w:val="BodyTextChar"/>
        </w:rPr>
        <w:t xml:space="preserve">) </w:t>
      </w:r>
      <w:r>
        <w:rPr>
          <w:rStyle w:val="BodyTextChar"/>
        </w:rPr>
        <w:t>is not expected to be repaid.</w:t>
      </w:r>
    </w:p>
    <w:p w:rsidR="00C9587C" w:rsidRDefault="00922591">
      <w:pPr>
        <w:pStyle w:val="BodyText"/>
        <w:rPr>
          <w:rStyle w:val="BodyTextChar"/>
        </w:rPr>
      </w:pPr>
      <w:r w:rsidRPr="005568E6">
        <w:t xml:space="preserve">When </w:t>
      </w:r>
      <w:r>
        <w:t xml:space="preserve">the </w:t>
      </w:r>
      <w:r w:rsidR="00AF3FAF">
        <w:t>g</w:t>
      </w:r>
      <w:r>
        <w:t>overnment</w:t>
      </w:r>
      <w:r w:rsidRPr="005568E6">
        <w:t xml:space="preserve"> estimate</w:t>
      </w:r>
      <w:r>
        <w:t>s</w:t>
      </w:r>
      <w:r w:rsidRPr="005568E6">
        <w:t xml:space="preserve"> the financial impact of </w:t>
      </w:r>
      <w:r w:rsidR="003A1616">
        <w:t>establishing</w:t>
      </w:r>
      <w:r w:rsidR="003A1616" w:rsidRPr="005568E6">
        <w:t xml:space="preserve"> </w:t>
      </w:r>
      <w:r w:rsidRPr="005568E6">
        <w:t>a loan</w:t>
      </w:r>
      <w:r w:rsidR="00120493">
        <w:t xml:space="preserve"> program</w:t>
      </w:r>
      <w:r w:rsidRPr="005568E6">
        <w:t xml:space="preserve">, the proportion of loans that </w:t>
      </w:r>
      <w:r w:rsidR="001E7238">
        <w:t>is</w:t>
      </w:r>
      <w:r w:rsidR="001E7238" w:rsidRPr="005568E6">
        <w:t xml:space="preserve"> </w:t>
      </w:r>
      <w:r w:rsidRPr="005568E6">
        <w:t>unlikely to be repaid</w:t>
      </w:r>
      <w:r>
        <w:t xml:space="preserve"> is estimated and taken into </w:t>
      </w:r>
      <w:r w:rsidRPr="0008577E">
        <w:t>account</w:t>
      </w:r>
      <w:r w:rsidR="00817A54" w:rsidRPr="0008577E">
        <w:t>; this</w:t>
      </w:r>
      <w:r w:rsidRPr="0008577E">
        <w:rPr>
          <w:rStyle w:val="BodyTextChar"/>
        </w:rPr>
        <w:t xml:space="preserve"> ‘debt not expected to be repaid’ is </w:t>
      </w:r>
      <w:r w:rsidR="0008577E" w:rsidRPr="009440F2">
        <w:rPr>
          <w:rStyle w:val="BodyTextChar"/>
        </w:rPr>
        <w:t xml:space="preserve">typically </w:t>
      </w:r>
      <w:r w:rsidRPr="0008577E">
        <w:rPr>
          <w:rStyle w:val="BodyTextChar"/>
        </w:rPr>
        <w:t>classified as a revaluation rather</w:t>
      </w:r>
      <w:r>
        <w:rPr>
          <w:rStyle w:val="BodyTextChar"/>
        </w:rPr>
        <w:t xml:space="preserve"> than a transaction in the budget</w:t>
      </w:r>
      <w:r w:rsidR="00120493">
        <w:rPr>
          <w:rStyle w:val="BodyTextChar"/>
        </w:rPr>
        <w:t xml:space="preserve"> documents</w:t>
      </w:r>
      <w:r w:rsidR="00817A54">
        <w:rPr>
          <w:rStyle w:val="BodyTextChar"/>
        </w:rPr>
        <w:t xml:space="preserve">.  </w:t>
      </w:r>
    </w:p>
    <w:p w:rsidR="00922591" w:rsidRDefault="00817A54">
      <w:pPr>
        <w:pStyle w:val="BodyText"/>
      </w:pPr>
      <w:r>
        <w:rPr>
          <w:rStyle w:val="BodyTextChar"/>
        </w:rPr>
        <w:t>The full expected cost</w:t>
      </w:r>
      <w:r w:rsidR="00C9587C">
        <w:rPr>
          <w:rStyle w:val="BodyTextChar"/>
        </w:rPr>
        <w:t xml:space="preserve"> </w:t>
      </w:r>
      <w:r>
        <w:rPr>
          <w:rStyle w:val="BodyTextChar"/>
        </w:rPr>
        <w:t>associated with issuing the loans is therefore included in the budget forecast of net financial worth, but is not included in the budget forecasts of</w:t>
      </w:r>
      <w:r w:rsidR="00922591">
        <w:t xml:space="preserve"> the fiscal or underlying cash balances</w:t>
      </w:r>
      <w:r w:rsidR="00922591" w:rsidRPr="00BF19BB">
        <w:t xml:space="preserve">.  </w:t>
      </w:r>
    </w:p>
    <w:p w:rsidR="00C9587C" w:rsidRDefault="00C9587C" w:rsidP="00C9587C">
      <w:pPr>
        <w:pStyle w:val="BodyText"/>
        <w:spacing w:after="120"/>
      </w:pPr>
      <w:r>
        <w:t>In 2018</w:t>
      </w:r>
      <w:r w:rsidR="00931D54" w:rsidRPr="00BB3C94">
        <w:t>–</w:t>
      </w:r>
      <w:r>
        <w:t>19, around $7.1 billion in new HELP loans were issued, and $1.2 billion of these were not expected to be repaid.</w:t>
      </w:r>
      <w:r w:rsidR="00481B2D">
        <w:rPr>
          <w:rStyle w:val="FootnoteReference"/>
        </w:rPr>
        <w:footnoteReference w:id="24"/>
      </w:r>
      <w:r>
        <w:t xml:space="preserve">  This revaluation component of the cost to the Commonwealth</w:t>
      </w:r>
      <w:r w:rsidR="003B646A">
        <w:t> Government</w:t>
      </w:r>
      <w:r>
        <w:t xml:space="preserve"> of the loans for that year was therefore expected to be around $1.2 billion.</w:t>
      </w:r>
      <w:r>
        <w:rPr>
          <w:rStyle w:val="FootnoteReference"/>
        </w:rPr>
        <w:footnoteReference w:id="25"/>
      </w:r>
      <w:r>
        <w:t xml:space="preserve">  This is shown on the left</w:t>
      </w:r>
      <w:r w:rsidR="00931D54">
        <w:t xml:space="preserve"> </w:t>
      </w:r>
      <w:r>
        <w:t>of Figure</w:t>
      </w:r>
      <w:r w:rsidR="00931D54">
        <w:t> </w:t>
      </w:r>
      <w:r>
        <w:t>3</w:t>
      </w:r>
      <w:r w:rsidRPr="00BB3C94">
        <w:t>–</w:t>
      </w:r>
      <w:r>
        <w:t xml:space="preserve">2. </w:t>
      </w:r>
    </w:p>
    <w:p w:rsidR="003D7CD8" w:rsidRDefault="003D7CD8" w:rsidP="003D7CD8">
      <w:pPr>
        <w:pStyle w:val="BodyText"/>
      </w:pPr>
      <w:r>
        <w:t xml:space="preserve">While the $1.2 billion of loans not expected to be repaid is incorporated into the fair value estimate of the </w:t>
      </w:r>
      <w:r w:rsidRPr="00AA0D49">
        <w:t xml:space="preserve">HELP loan portfolio that is included in the </w:t>
      </w:r>
      <w:r>
        <w:t xml:space="preserve">budget documents’ forecast </w:t>
      </w:r>
      <w:r w:rsidRPr="00AA0D49">
        <w:t xml:space="preserve">balance sheet (for instance, in net financial worth), it is aggregated with other expected revaluations and is not readily </w:t>
      </w:r>
      <w:r>
        <w:t>identifiable as a cost of HELP.</w:t>
      </w:r>
    </w:p>
    <w:p w:rsidR="003D7CD8" w:rsidRDefault="003D7CD8" w:rsidP="00C9587C">
      <w:pPr>
        <w:pStyle w:val="BodyText"/>
        <w:spacing w:after="120"/>
      </w:pPr>
    </w:p>
    <w:p w:rsidR="00922591" w:rsidRDefault="00922591" w:rsidP="00922591">
      <w:pPr>
        <w:pStyle w:val="Caption"/>
        <w:spacing w:before="120"/>
      </w:pPr>
      <w:r w:rsidRPr="00F47363">
        <w:lastRenderedPageBreak/>
        <w:t xml:space="preserve">Figure </w:t>
      </w:r>
      <w:r w:rsidR="00507FA9">
        <w:fldChar w:fldCharType="begin"/>
      </w:r>
      <w:r w:rsidR="00507FA9">
        <w:instrText xml:space="preserve"> STYLEREF 1 \s </w:instrText>
      </w:r>
      <w:r w:rsidR="00507FA9">
        <w:fldChar w:fldCharType="separate"/>
      </w:r>
      <w:r w:rsidR="003F421C">
        <w:rPr>
          <w:noProof/>
        </w:rPr>
        <w:t>3</w:t>
      </w:r>
      <w:r w:rsidR="00507FA9">
        <w:rPr>
          <w:noProof/>
        </w:rPr>
        <w:fldChar w:fldCharType="end"/>
      </w:r>
      <w:r w:rsidRPr="00F47363">
        <w:t>–</w:t>
      </w:r>
      <w:r w:rsidR="00507FA9">
        <w:fldChar w:fldCharType="begin"/>
      </w:r>
      <w:r w:rsidR="00507FA9">
        <w:instrText xml:space="preserve"> SEQ Figure \* ARABIC \s 1 </w:instrText>
      </w:r>
      <w:r w:rsidR="00507FA9">
        <w:fldChar w:fldCharType="separate"/>
      </w:r>
      <w:r w:rsidR="003F421C">
        <w:rPr>
          <w:noProof/>
        </w:rPr>
        <w:t>2</w:t>
      </w:r>
      <w:r w:rsidR="00507FA9">
        <w:rPr>
          <w:noProof/>
        </w:rPr>
        <w:fldChar w:fldCharType="end"/>
      </w:r>
      <w:r w:rsidRPr="00F47363">
        <w:t xml:space="preserve">: </w:t>
      </w:r>
      <w:r>
        <w:t>New HELP loans, 2018</w:t>
      </w:r>
      <w:r w:rsidR="002E2CA8" w:rsidRPr="00BB3C94">
        <w:t>–</w:t>
      </w:r>
      <w:r>
        <w:t>19</w:t>
      </w:r>
      <w:r w:rsidR="00AB1D89">
        <w:t xml:space="preserve"> </w:t>
      </w:r>
    </w:p>
    <w:p w:rsidR="00922591" w:rsidRDefault="00507FA9" w:rsidP="00922591">
      <w:pPr>
        <w:pStyle w:val="BodyText"/>
        <w:jc w:val="center"/>
      </w:pPr>
      <w:r>
        <w:rPr>
          <w:noProof/>
          <w:lang w:eastAsia="en-AU"/>
        </w:rPr>
        <w:pict>
          <v:shape id="_x0000_i1029" type="#_x0000_t75" style="width:452.95pt;height:278.8pt">
            <v:imagedata r:id="rId35" o:title="Alternative-financing-Fig-3-2_03"/>
          </v:shape>
        </w:pict>
      </w:r>
    </w:p>
    <w:p w:rsidR="004E2617" w:rsidRDefault="00922591" w:rsidP="00BD04B9">
      <w:pPr>
        <w:pStyle w:val="Source"/>
        <w:rPr>
          <w:kern w:val="2"/>
        </w:rPr>
      </w:pPr>
      <w:r w:rsidRPr="00BD04B9">
        <w:rPr>
          <w:kern w:val="2"/>
        </w:rPr>
        <w:t xml:space="preserve">Note: This includes HELP, FEE-HELP, OS-HELP, SA-HELP, and VET FEE-HELP.  </w:t>
      </w:r>
    </w:p>
    <w:p w:rsidR="00922591" w:rsidRPr="00BD04B9" w:rsidRDefault="004E2617" w:rsidP="00BD04B9">
      <w:pPr>
        <w:pStyle w:val="Source"/>
        <w:rPr>
          <w:kern w:val="2"/>
        </w:rPr>
      </w:pPr>
      <w:r>
        <w:rPr>
          <w:kern w:val="2"/>
        </w:rPr>
        <w:t xml:space="preserve">Source: </w:t>
      </w:r>
      <w:r w:rsidR="00922591" w:rsidRPr="00BD04B9">
        <w:rPr>
          <w:kern w:val="2"/>
        </w:rPr>
        <w:t>New loan</w:t>
      </w:r>
      <w:r w:rsidR="0058127B">
        <w:rPr>
          <w:kern w:val="2"/>
        </w:rPr>
        <w:t>s issued and the associated debt not expected to be repaid</w:t>
      </w:r>
      <w:r w:rsidR="00922591" w:rsidRPr="00BD04B9">
        <w:rPr>
          <w:kern w:val="2"/>
        </w:rPr>
        <w:t xml:space="preserve"> </w:t>
      </w:r>
      <w:r w:rsidR="001E7238">
        <w:rPr>
          <w:kern w:val="2"/>
        </w:rPr>
        <w:t xml:space="preserve">was </w:t>
      </w:r>
      <w:r w:rsidR="00922591" w:rsidRPr="00BD04B9">
        <w:rPr>
          <w:kern w:val="2"/>
        </w:rPr>
        <w:t>from the Department</w:t>
      </w:r>
      <w:r w:rsidR="00931D54">
        <w:rPr>
          <w:kern w:val="2"/>
        </w:rPr>
        <w:t> </w:t>
      </w:r>
      <w:r w:rsidR="00922591" w:rsidRPr="00BD04B9">
        <w:rPr>
          <w:kern w:val="2"/>
        </w:rPr>
        <w:t xml:space="preserve">of Education and Training </w:t>
      </w:r>
      <w:r w:rsidR="00922591" w:rsidRPr="00BD04B9">
        <w:rPr>
          <w:i/>
          <w:kern w:val="2"/>
        </w:rPr>
        <w:t>Annual Report 2018</w:t>
      </w:r>
      <w:r w:rsidR="002E2CA8" w:rsidRPr="00BD04B9">
        <w:rPr>
          <w:i/>
          <w:kern w:val="2"/>
        </w:rPr>
        <w:t>–</w:t>
      </w:r>
      <w:r w:rsidR="00922591" w:rsidRPr="00BD04B9">
        <w:rPr>
          <w:i/>
          <w:kern w:val="2"/>
        </w:rPr>
        <w:t>19</w:t>
      </w:r>
      <w:r w:rsidR="00922591" w:rsidRPr="00BD04B9">
        <w:rPr>
          <w:kern w:val="2"/>
        </w:rPr>
        <w:t>.  Fiscal and underlying cash balance impact</w:t>
      </w:r>
      <w:r w:rsidR="00931D54">
        <w:rPr>
          <w:kern w:val="2"/>
        </w:rPr>
        <w:t>s</w:t>
      </w:r>
      <w:r w:rsidR="00922591" w:rsidRPr="00BD04B9">
        <w:rPr>
          <w:kern w:val="2"/>
        </w:rPr>
        <w:t xml:space="preserve"> estimated by the PBO.  </w:t>
      </w:r>
      <w:r w:rsidR="008A49AC" w:rsidRPr="00BD04B9">
        <w:rPr>
          <w:kern w:val="2"/>
        </w:rPr>
        <w:t>‘All other components’ comprises interest from loans</w:t>
      </w:r>
      <w:r w:rsidR="00D86A79" w:rsidRPr="00BD04B9">
        <w:rPr>
          <w:kern w:val="2"/>
        </w:rPr>
        <w:t xml:space="preserve"> for all balances</w:t>
      </w:r>
      <w:r w:rsidR="008A49AC" w:rsidRPr="00BD04B9">
        <w:rPr>
          <w:kern w:val="2"/>
        </w:rPr>
        <w:t>, the net concessional loan discount</w:t>
      </w:r>
      <w:r w:rsidR="00D86A79" w:rsidRPr="00BD04B9">
        <w:rPr>
          <w:kern w:val="2"/>
        </w:rPr>
        <w:t xml:space="preserve"> for the fiscal balance, and</w:t>
      </w:r>
      <w:r w:rsidR="008A49AC" w:rsidRPr="00BD04B9">
        <w:rPr>
          <w:kern w:val="2"/>
        </w:rPr>
        <w:t xml:space="preserve"> loans issued and repayments received</w:t>
      </w:r>
      <w:r w:rsidR="00D86A79" w:rsidRPr="00BD04B9">
        <w:rPr>
          <w:kern w:val="2"/>
        </w:rPr>
        <w:t xml:space="preserve"> for the headline cash balance.</w:t>
      </w:r>
    </w:p>
    <w:p w:rsidR="00C9587C" w:rsidRDefault="00CC2CD6" w:rsidP="00CC5EB9">
      <w:pPr>
        <w:pStyle w:val="BodyText"/>
        <w:spacing w:before="340" w:after="120"/>
      </w:pPr>
      <w:r w:rsidRPr="00AA0D49">
        <w:t xml:space="preserve">The right </w:t>
      </w:r>
      <w:r>
        <w:t>side</w:t>
      </w:r>
      <w:r w:rsidRPr="00AA0D49">
        <w:t xml:space="preserve"> of Figure </w:t>
      </w:r>
      <w:r>
        <w:t>3</w:t>
      </w:r>
      <w:r w:rsidR="002E2CA8" w:rsidRPr="00BB3C94">
        <w:t>–</w:t>
      </w:r>
      <w:r>
        <w:t>2</w:t>
      </w:r>
      <w:r w:rsidRPr="00AA0D49">
        <w:t xml:space="preserve"> shows the estimated impact of the loans on the </w:t>
      </w:r>
      <w:r>
        <w:t xml:space="preserve">main </w:t>
      </w:r>
      <w:r w:rsidRPr="00AA0D49">
        <w:t xml:space="preserve">budget aggregates over the </w:t>
      </w:r>
      <w:r w:rsidR="00AD7617">
        <w:t>2019</w:t>
      </w:r>
      <w:r w:rsidR="00AD7617" w:rsidRPr="00BB3C94">
        <w:t>–</w:t>
      </w:r>
      <w:r w:rsidR="00AD7617">
        <w:t xml:space="preserve">20 Budget </w:t>
      </w:r>
      <w:r w:rsidRPr="00AA0D49">
        <w:t>forward estimates</w:t>
      </w:r>
      <w:r>
        <w:t xml:space="preserve"> period.  This shows the transaction-related impacts of issuing these loans – $0.4 billion for the fiscal balance and $0.7 billion for the underlying </w:t>
      </w:r>
      <w:r w:rsidRPr="007B4212">
        <w:t>cash balance.</w:t>
      </w:r>
      <w:r w:rsidRPr="009440F2">
        <w:rPr>
          <w:rStyle w:val="FootnoteReference"/>
        </w:rPr>
        <w:footnoteReference w:id="26"/>
      </w:r>
      <w:r w:rsidRPr="009440F2">
        <w:t xml:space="preserve"> </w:t>
      </w:r>
      <w:r w:rsidRPr="007B4212">
        <w:t xml:space="preserve"> </w:t>
      </w:r>
    </w:p>
    <w:p w:rsidR="00CC2CD6" w:rsidRDefault="00CC2CD6" w:rsidP="00CC2CD6">
      <w:pPr>
        <w:pStyle w:val="BodyText"/>
        <w:spacing w:after="120"/>
      </w:pPr>
      <w:r w:rsidRPr="002A07CD">
        <w:t xml:space="preserve">By the end of the </w:t>
      </w:r>
      <w:r w:rsidR="00AD7617">
        <w:t>2019</w:t>
      </w:r>
      <w:r w:rsidR="00AD7617" w:rsidRPr="00BB3C94">
        <w:t>–</w:t>
      </w:r>
      <w:r w:rsidR="00AD7617">
        <w:t xml:space="preserve">20 Budget </w:t>
      </w:r>
      <w:r w:rsidRPr="002A07CD">
        <w:t>forward estimates</w:t>
      </w:r>
      <w:r w:rsidR="001E7238">
        <w:t xml:space="preserve"> period</w:t>
      </w:r>
      <w:r w:rsidRPr="002A07CD">
        <w:t xml:space="preserve">, the total </w:t>
      </w:r>
      <w:r w:rsidR="003D0D39">
        <w:t>impact on net financial worth</w:t>
      </w:r>
      <w:r w:rsidRPr="002A07CD">
        <w:t xml:space="preserve"> of issuing these loans is </w:t>
      </w:r>
      <w:r w:rsidR="003D0D39">
        <w:t xml:space="preserve">the combined impact </w:t>
      </w:r>
      <w:r w:rsidR="00807F96">
        <w:t xml:space="preserve">of transactions on net financial worth (the fiscal balance impact, a cost of $0.4 billion) and of revaluations on net financial worth (the largest component of which is </w:t>
      </w:r>
      <w:r w:rsidR="00AD7617">
        <w:t xml:space="preserve">around $1.2 billion of </w:t>
      </w:r>
      <w:r w:rsidR="00807F96">
        <w:t xml:space="preserve">debt not expected to be repaid), giving a total impact of </w:t>
      </w:r>
      <w:r w:rsidRPr="009440F2">
        <w:t>around</w:t>
      </w:r>
      <w:r w:rsidRPr="007B4212">
        <w:t xml:space="preserve"> $1.</w:t>
      </w:r>
      <w:r w:rsidRPr="009440F2">
        <w:t>5</w:t>
      </w:r>
      <w:r w:rsidR="00EB4F6A">
        <w:t> </w:t>
      </w:r>
      <w:r w:rsidRPr="007B4212">
        <w:t xml:space="preserve">billion, substantially </w:t>
      </w:r>
      <w:r w:rsidRPr="002A07CD">
        <w:t>more than is reflected in the main budget aggregates.</w:t>
      </w:r>
      <w:r w:rsidRPr="009440F2" w:rsidDel="002A07CD">
        <w:rPr>
          <w:rStyle w:val="FootnoteReference"/>
        </w:rPr>
        <w:t xml:space="preserve"> </w:t>
      </w:r>
    </w:p>
    <w:p w:rsidR="00824548" w:rsidRDefault="00CC2CD6">
      <w:pPr>
        <w:rPr>
          <w:rFonts w:ascii="Calibri Light" w:hAnsi="Calibri Light"/>
          <w:bCs/>
          <w:color w:val="3D4D7D" w:themeColor="background2"/>
          <w:kern w:val="32"/>
          <w:sz w:val="52"/>
          <w:szCs w:val="32"/>
        </w:rPr>
      </w:pPr>
      <w:r w:rsidRPr="00AA0D49">
        <w:t xml:space="preserve">Understanding the </w:t>
      </w:r>
      <w:r>
        <w:t xml:space="preserve">likely </w:t>
      </w:r>
      <w:r w:rsidRPr="00AA0D49">
        <w:t xml:space="preserve">costs from revaluations of loan programs </w:t>
      </w:r>
      <w:r>
        <w:t>– particularly when those can be estimated at the time policy decisions are made</w:t>
      </w:r>
      <w:r w:rsidR="00AD7617">
        <w:t>,</w:t>
      </w:r>
      <w:r>
        <w:t xml:space="preserve"> such as when new loans are issued – </w:t>
      </w:r>
      <w:r w:rsidRPr="00AA0D49">
        <w:t xml:space="preserve">would assist </w:t>
      </w:r>
      <w:r w:rsidR="00086FC0">
        <w:t>p</w:t>
      </w:r>
      <w:r w:rsidRPr="00AA0D49">
        <w:t>arliament</w:t>
      </w:r>
      <w:r w:rsidR="00086FC0">
        <w:t>arians</w:t>
      </w:r>
      <w:r w:rsidRPr="00AA0D49">
        <w:t xml:space="preserve"> in weighing the benefits of </w:t>
      </w:r>
      <w:r>
        <w:t>the</w:t>
      </w:r>
      <w:r w:rsidRPr="00AA0D49">
        <w:t xml:space="preserve"> policy against the expected</w:t>
      </w:r>
      <w:r w:rsidRPr="00B83A98">
        <w:t xml:space="preserve"> </w:t>
      </w:r>
      <w:r w:rsidRPr="00AA0D49">
        <w:t>costs.</w:t>
      </w:r>
      <w:r w:rsidR="00824548">
        <w:br w:type="page"/>
      </w:r>
    </w:p>
    <w:p w:rsidR="00EB0C28" w:rsidRDefault="00880D68" w:rsidP="00C87A90">
      <w:pPr>
        <w:pStyle w:val="Heading1"/>
      </w:pPr>
      <w:bookmarkStart w:id="27" w:name="_Toc35451918"/>
      <w:r>
        <w:lastRenderedPageBreak/>
        <w:t>B</w:t>
      </w:r>
      <w:r w:rsidR="00C87A90">
        <w:t xml:space="preserve">udget presentation </w:t>
      </w:r>
      <w:r w:rsidR="001003A3">
        <w:t>of policies that use alternative financing</w:t>
      </w:r>
      <w:bookmarkEnd w:id="27"/>
      <w:r w:rsidR="001003A3">
        <w:t xml:space="preserve"> </w:t>
      </w:r>
    </w:p>
    <w:p w:rsidR="00C87A90" w:rsidRDefault="00C87A90" w:rsidP="00C87A90">
      <w:pPr>
        <w:pStyle w:val="BodyText"/>
        <w:rPr>
          <w:rStyle w:val="BodyTextChar"/>
          <w:rFonts w:cstheme="minorBidi"/>
          <w:kern w:val="2"/>
        </w:rPr>
      </w:pPr>
      <w:r>
        <w:rPr>
          <w:rStyle w:val="BodyTextChar"/>
          <w:rFonts w:cstheme="minorBidi"/>
          <w:kern w:val="2"/>
        </w:rPr>
        <w:t>When planning a significant purchase, members of a household might ask themselves questions along the following lines</w:t>
      </w:r>
      <w:r w:rsidR="00086FC0">
        <w:rPr>
          <w:rStyle w:val="BodyTextChar"/>
          <w:rFonts w:cstheme="minorBidi"/>
          <w:kern w:val="2"/>
        </w:rPr>
        <w:t>.</w:t>
      </w:r>
    </w:p>
    <w:p w:rsidR="00D9384C" w:rsidRDefault="00C87A90" w:rsidP="00C87A90">
      <w:pPr>
        <w:pStyle w:val="ListBullet"/>
        <w:ind w:left="283" w:hanging="283"/>
        <w:rPr>
          <w:rStyle w:val="BodyTextChar"/>
          <w:rFonts w:cstheme="minorBidi"/>
          <w:kern w:val="2"/>
        </w:rPr>
      </w:pPr>
      <w:r>
        <w:rPr>
          <w:rStyle w:val="BodyTextChar"/>
          <w:rFonts w:cstheme="minorBidi"/>
          <w:kern w:val="2"/>
        </w:rPr>
        <w:t xml:space="preserve">How much will this purchase cost, </w:t>
      </w:r>
      <w:r w:rsidR="00AE3D53">
        <w:rPr>
          <w:rStyle w:val="BodyTextChar"/>
          <w:rFonts w:cstheme="minorBidi"/>
          <w:kern w:val="2"/>
        </w:rPr>
        <w:t>now</w:t>
      </w:r>
      <w:r>
        <w:rPr>
          <w:rStyle w:val="BodyTextChar"/>
          <w:rFonts w:cstheme="minorBidi"/>
          <w:kern w:val="2"/>
        </w:rPr>
        <w:t xml:space="preserve"> and in</w:t>
      </w:r>
      <w:r w:rsidR="00B83A98">
        <w:rPr>
          <w:rStyle w:val="BodyTextChar"/>
          <w:rFonts w:cstheme="minorBidi"/>
          <w:kern w:val="2"/>
        </w:rPr>
        <w:t>to</w:t>
      </w:r>
      <w:r>
        <w:rPr>
          <w:rStyle w:val="BodyTextChar"/>
          <w:rFonts w:cstheme="minorBidi"/>
          <w:kern w:val="2"/>
        </w:rPr>
        <w:t xml:space="preserve"> the future</w:t>
      </w:r>
      <w:r w:rsidR="00086FC0">
        <w:rPr>
          <w:rStyle w:val="BodyTextChar"/>
          <w:rFonts w:cstheme="minorBidi"/>
          <w:kern w:val="2"/>
        </w:rPr>
        <w:t>?</w:t>
      </w:r>
      <w:r w:rsidR="00D9384C">
        <w:rPr>
          <w:rStyle w:val="BodyTextChar"/>
          <w:rFonts w:cstheme="minorBidi"/>
          <w:kern w:val="2"/>
        </w:rPr>
        <w:t xml:space="preserve"> </w:t>
      </w:r>
    </w:p>
    <w:p w:rsidR="00C87A90" w:rsidRDefault="00D9384C" w:rsidP="00C87A90">
      <w:pPr>
        <w:pStyle w:val="ListBullet"/>
        <w:ind w:left="283" w:hanging="283"/>
        <w:rPr>
          <w:rStyle w:val="BodyTextChar"/>
          <w:rFonts w:cstheme="minorBidi"/>
          <w:kern w:val="2"/>
        </w:rPr>
      </w:pPr>
      <w:r>
        <w:rPr>
          <w:rStyle w:val="BodyTextChar"/>
          <w:rFonts w:cstheme="minorBidi"/>
          <w:kern w:val="2"/>
        </w:rPr>
        <w:t>What is the expected return</w:t>
      </w:r>
      <w:r w:rsidR="00C87A90">
        <w:rPr>
          <w:rStyle w:val="BodyTextChar"/>
          <w:rFonts w:cstheme="minorBidi"/>
          <w:kern w:val="2"/>
        </w:rPr>
        <w:t>?</w:t>
      </w:r>
    </w:p>
    <w:p w:rsidR="00C87A90" w:rsidRDefault="00C87A90" w:rsidP="00C87A90">
      <w:pPr>
        <w:pStyle w:val="ListBullet"/>
        <w:ind w:left="283" w:hanging="283"/>
        <w:rPr>
          <w:rStyle w:val="BodyTextChar"/>
          <w:rFonts w:cstheme="minorBidi"/>
          <w:kern w:val="2"/>
        </w:rPr>
      </w:pPr>
      <w:r>
        <w:rPr>
          <w:rStyle w:val="BodyTextChar"/>
          <w:rFonts w:cstheme="minorBidi"/>
          <w:kern w:val="2"/>
        </w:rPr>
        <w:t>What additional risks come with this purchase?</w:t>
      </w:r>
    </w:p>
    <w:p w:rsidR="00C87A90" w:rsidRDefault="00C87A90" w:rsidP="00C87A90">
      <w:pPr>
        <w:pStyle w:val="ListBullet"/>
        <w:ind w:left="283" w:hanging="283"/>
        <w:rPr>
          <w:rStyle w:val="BodyTextChar"/>
          <w:rFonts w:cstheme="minorBidi"/>
          <w:kern w:val="2"/>
        </w:rPr>
      </w:pPr>
      <w:r>
        <w:rPr>
          <w:rStyle w:val="BodyTextChar"/>
          <w:rFonts w:cstheme="minorBidi"/>
          <w:kern w:val="2"/>
        </w:rPr>
        <w:t xml:space="preserve">What can I learn from </w:t>
      </w:r>
      <w:r w:rsidR="00B83A98">
        <w:rPr>
          <w:rStyle w:val="BodyTextChar"/>
          <w:rFonts w:cstheme="minorBidi"/>
          <w:kern w:val="2"/>
        </w:rPr>
        <w:t xml:space="preserve">previous </w:t>
      </w:r>
      <w:r>
        <w:rPr>
          <w:rStyle w:val="BodyTextChar"/>
          <w:rFonts w:cstheme="minorBidi"/>
          <w:kern w:val="2"/>
        </w:rPr>
        <w:t>times I have made similar purchase</w:t>
      </w:r>
      <w:r w:rsidR="00AB7402">
        <w:rPr>
          <w:rStyle w:val="BodyTextChar"/>
          <w:rFonts w:cstheme="minorBidi"/>
          <w:kern w:val="2"/>
        </w:rPr>
        <w:t>s</w:t>
      </w:r>
      <w:r>
        <w:rPr>
          <w:rStyle w:val="BodyTextChar"/>
          <w:rFonts w:cstheme="minorBidi"/>
          <w:kern w:val="2"/>
        </w:rPr>
        <w:t xml:space="preserve">? </w:t>
      </w:r>
    </w:p>
    <w:p w:rsidR="00C87A90" w:rsidRDefault="00C87A90" w:rsidP="00C87A90">
      <w:pPr>
        <w:pStyle w:val="BodyText"/>
        <w:rPr>
          <w:rStyle w:val="BodyTextChar"/>
          <w:rFonts w:cstheme="minorBidi"/>
          <w:kern w:val="2"/>
        </w:rPr>
      </w:pPr>
      <w:r>
        <w:rPr>
          <w:rStyle w:val="BodyTextChar"/>
          <w:rFonts w:cstheme="minorBidi"/>
          <w:kern w:val="2"/>
        </w:rPr>
        <w:t xml:space="preserve">By answering these questions, households can </w:t>
      </w:r>
      <w:r w:rsidR="00AB7402">
        <w:rPr>
          <w:rStyle w:val="BodyTextChar"/>
          <w:rFonts w:cstheme="minorBidi"/>
          <w:kern w:val="2"/>
        </w:rPr>
        <w:t>improve their</w:t>
      </w:r>
      <w:r>
        <w:rPr>
          <w:rStyle w:val="BodyTextChar"/>
          <w:rFonts w:cstheme="minorBidi"/>
          <w:kern w:val="2"/>
        </w:rPr>
        <w:t xml:space="preserve"> financial </w:t>
      </w:r>
      <w:r w:rsidR="00B83A98">
        <w:rPr>
          <w:rStyle w:val="BodyTextChar"/>
          <w:rFonts w:cstheme="minorBidi"/>
          <w:kern w:val="2"/>
        </w:rPr>
        <w:t>decision making</w:t>
      </w:r>
      <w:r>
        <w:rPr>
          <w:rStyle w:val="BodyTextChar"/>
          <w:rFonts w:cstheme="minorBidi"/>
          <w:kern w:val="2"/>
        </w:rPr>
        <w:t xml:space="preserve">.  </w:t>
      </w:r>
    </w:p>
    <w:p w:rsidR="00C87A90" w:rsidRDefault="00C87A90">
      <w:pPr>
        <w:pStyle w:val="BodyText"/>
        <w:rPr>
          <w:rStyle w:val="BodyTextChar"/>
          <w:rFonts w:cstheme="minorBidi"/>
          <w:kern w:val="2"/>
        </w:rPr>
      </w:pPr>
      <w:r>
        <w:rPr>
          <w:rStyle w:val="BodyTextChar"/>
          <w:rFonts w:cstheme="minorBidi"/>
          <w:kern w:val="2"/>
        </w:rPr>
        <w:t xml:space="preserve">When </w:t>
      </w:r>
      <w:r w:rsidR="00AE3D53">
        <w:rPr>
          <w:rStyle w:val="BodyTextChar"/>
          <w:rFonts w:cstheme="minorBidi"/>
          <w:kern w:val="2"/>
        </w:rPr>
        <w:t xml:space="preserve">parliamentarians </w:t>
      </w:r>
      <w:r>
        <w:rPr>
          <w:rStyle w:val="BodyTextChar"/>
          <w:rFonts w:cstheme="minorBidi"/>
          <w:kern w:val="2"/>
        </w:rPr>
        <w:t xml:space="preserve">and society more broadly consider policies for the </w:t>
      </w:r>
      <w:r w:rsidR="00426F2E">
        <w:rPr>
          <w:rStyle w:val="BodyTextChar"/>
          <w:rFonts w:cstheme="minorBidi"/>
          <w:kern w:val="2"/>
        </w:rPr>
        <w:t>nation</w:t>
      </w:r>
      <w:r>
        <w:rPr>
          <w:rStyle w:val="BodyTextChar"/>
          <w:rFonts w:cstheme="minorBidi"/>
          <w:kern w:val="2"/>
        </w:rPr>
        <w:t>, similar considerations can aid the decision-making process.  Ideally, information relevant to answering these questions would be available and accessible as policy proposals are considered and debated.</w:t>
      </w:r>
      <w:r w:rsidR="00633A0A" w:rsidRPr="00633A0A">
        <w:rPr>
          <w:rStyle w:val="BodyTextChar"/>
          <w:rFonts w:cstheme="minorBidi"/>
          <w:kern w:val="2"/>
        </w:rPr>
        <w:t xml:space="preserve"> </w:t>
      </w:r>
      <w:r w:rsidR="00633A0A">
        <w:rPr>
          <w:rStyle w:val="BodyTextChar"/>
          <w:rFonts w:cstheme="minorBidi"/>
          <w:kern w:val="2"/>
        </w:rPr>
        <w:t xml:space="preserve"> </w:t>
      </w:r>
      <w:r w:rsidR="001C186C">
        <w:rPr>
          <w:rStyle w:val="BodyTextChar"/>
          <w:rFonts w:cstheme="minorBidi"/>
          <w:kern w:val="2"/>
        </w:rPr>
        <w:t>W</w:t>
      </w:r>
      <w:r w:rsidR="00633A0A">
        <w:rPr>
          <w:rStyle w:val="BodyTextChar"/>
          <w:rFonts w:cstheme="minorBidi"/>
          <w:kern w:val="2"/>
        </w:rPr>
        <w:t xml:space="preserve">hen alternative financing arrangements are employed in policies, </w:t>
      </w:r>
      <w:r w:rsidR="001C186C">
        <w:rPr>
          <w:rStyle w:val="BodyTextChar"/>
          <w:rFonts w:cstheme="minorBidi"/>
          <w:kern w:val="2"/>
        </w:rPr>
        <w:t xml:space="preserve">however, </w:t>
      </w:r>
      <w:r w:rsidR="00633A0A">
        <w:rPr>
          <w:rStyle w:val="BodyTextChar"/>
          <w:rFonts w:cstheme="minorBidi"/>
          <w:kern w:val="2"/>
        </w:rPr>
        <w:t xml:space="preserve">these questions can be </w:t>
      </w:r>
      <w:r w:rsidR="00633A0A" w:rsidRPr="00C03D5E">
        <w:rPr>
          <w:rStyle w:val="BodyTextChar"/>
          <w:rFonts w:cstheme="minorBidi"/>
          <w:kern w:val="2"/>
        </w:rPr>
        <w:t xml:space="preserve">more difficult to answer.  </w:t>
      </w:r>
    </w:p>
    <w:p w:rsidR="00633A0A" w:rsidRDefault="00633A0A" w:rsidP="00633A0A">
      <w:pPr>
        <w:pStyle w:val="BodyText"/>
      </w:pPr>
      <w:r>
        <w:rPr>
          <w:rStyle w:val="BodyTextChar"/>
          <w:rFonts w:cstheme="minorBidi"/>
          <w:kern w:val="2"/>
        </w:rPr>
        <w:t>T</w:t>
      </w:r>
      <w:r>
        <w:t xml:space="preserve">he increasing use of alternative financing arrangements </w:t>
      </w:r>
      <w:r w:rsidR="00B83A98">
        <w:t xml:space="preserve">to fund </w:t>
      </w:r>
      <w:r w:rsidR="00B63D1A">
        <w:t xml:space="preserve">government </w:t>
      </w:r>
      <w:r>
        <w:t xml:space="preserve">policies means it is </w:t>
      </w:r>
      <w:r w:rsidR="00DE0E4D">
        <w:t xml:space="preserve">timely </w:t>
      </w:r>
      <w:r>
        <w:t xml:space="preserve">to revisit whether the information </w:t>
      </w:r>
      <w:r w:rsidR="00B83A98">
        <w:t xml:space="preserve">provided under </w:t>
      </w:r>
      <w:r>
        <w:t xml:space="preserve">the current reporting </w:t>
      </w:r>
      <w:r w:rsidR="00B83A98">
        <w:t xml:space="preserve">arrangements </w:t>
      </w:r>
      <w:r>
        <w:t>is sufficient.</w:t>
      </w:r>
    </w:p>
    <w:p w:rsidR="004E5D89" w:rsidRDefault="004E5D89" w:rsidP="004E5D89">
      <w:pPr>
        <w:pStyle w:val="BodyText"/>
      </w:pPr>
      <w:r>
        <w:t>To support public debate on this matter, the PBO has identified some specific elements of budget reporting that could be enhanced in order to support a better understanding of alternative financing arrangements by parliament</w:t>
      </w:r>
      <w:r w:rsidR="00086FC0">
        <w:t>arians</w:t>
      </w:r>
      <w:r>
        <w:t xml:space="preserve"> and the general public.</w:t>
      </w:r>
      <w:r w:rsidR="00EC7A4D">
        <w:rPr>
          <w:rStyle w:val="FootnoteReference"/>
        </w:rPr>
        <w:footnoteReference w:id="27"/>
      </w:r>
    </w:p>
    <w:p w:rsidR="00366327" w:rsidRPr="00F14E8E" w:rsidRDefault="00EC7A4D" w:rsidP="00F14E8E">
      <w:pPr>
        <w:pStyle w:val="Heading2"/>
      </w:pPr>
      <w:bookmarkStart w:id="28" w:name="_Toc24107817"/>
      <w:bookmarkStart w:id="29" w:name="_Toc24107818"/>
      <w:bookmarkStart w:id="30" w:name="_Toc24107819"/>
      <w:bookmarkStart w:id="31" w:name="_Toc24107821"/>
      <w:bookmarkStart w:id="32" w:name="_Toc24107822"/>
      <w:bookmarkStart w:id="33" w:name="_Toc35451919"/>
      <w:bookmarkEnd w:id="28"/>
      <w:bookmarkEnd w:id="29"/>
      <w:bookmarkEnd w:id="30"/>
      <w:bookmarkEnd w:id="31"/>
      <w:bookmarkEnd w:id="32"/>
      <w:r>
        <w:t>Reporting t</w:t>
      </w:r>
      <w:r w:rsidRPr="009440F2">
        <w:rPr>
          <w:rStyle w:val="BodyTextChar"/>
          <w:rFonts w:cstheme="minorBidi"/>
        </w:rPr>
        <w:t xml:space="preserve">he </w:t>
      </w:r>
      <w:r w:rsidR="00DF35A8" w:rsidRPr="009440F2">
        <w:rPr>
          <w:rStyle w:val="BodyTextChar"/>
          <w:rFonts w:cstheme="minorBidi"/>
        </w:rPr>
        <w:t>e</w:t>
      </w:r>
      <w:r w:rsidR="00DF35A8" w:rsidRPr="00F14E8E">
        <w:rPr>
          <w:rStyle w:val="BodyTextChar"/>
          <w:rFonts w:cstheme="minorBidi"/>
        </w:rPr>
        <w:t xml:space="preserve">xpected </w:t>
      </w:r>
      <w:r w:rsidR="00937A14" w:rsidRPr="00F14E8E">
        <w:rPr>
          <w:rStyle w:val="BodyTextChar"/>
          <w:rFonts w:cstheme="minorBidi"/>
        </w:rPr>
        <w:t xml:space="preserve">financial impacts </w:t>
      </w:r>
      <w:r w:rsidR="00DF35A8" w:rsidRPr="00F14E8E">
        <w:rPr>
          <w:rStyle w:val="BodyTextChar"/>
          <w:rFonts w:cstheme="minorBidi"/>
        </w:rPr>
        <w:t xml:space="preserve">of </w:t>
      </w:r>
      <w:r w:rsidR="00DF35A8" w:rsidRPr="009440F2">
        <w:rPr>
          <w:rStyle w:val="BodyTextChar"/>
          <w:rFonts w:cstheme="minorBidi"/>
        </w:rPr>
        <w:t>n</w:t>
      </w:r>
      <w:r w:rsidR="00DF35A8" w:rsidRPr="00F14E8E">
        <w:rPr>
          <w:rStyle w:val="BodyTextChar"/>
          <w:rFonts w:cstheme="minorBidi"/>
        </w:rPr>
        <w:t>ew policies</w:t>
      </w:r>
      <w:bookmarkEnd w:id="33"/>
      <w:r w:rsidR="00DF35A8" w:rsidRPr="00F14E8E">
        <w:rPr>
          <w:rStyle w:val="BodyTextChar"/>
          <w:rFonts w:cstheme="minorBidi"/>
        </w:rPr>
        <w:t xml:space="preserve"> </w:t>
      </w:r>
    </w:p>
    <w:p w:rsidR="009E2CCA" w:rsidRDefault="00C7294F" w:rsidP="006919E2">
      <w:pPr>
        <w:pStyle w:val="BodyText"/>
      </w:pPr>
      <w:r>
        <w:t xml:space="preserve">At every </w:t>
      </w:r>
      <w:r w:rsidR="009E2CCA">
        <w:t>b</w:t>
      </w:r>
      <w:r>
        <w:t xml:space="preserve">udget, the comprehensive set of new policies that the </w:t>
      </w:r>
      <w:r w:rsidR="00B63D1A">
        <w:t xml:space="preserve">government </w:t>
      </w:r>
      <w:r>
        <w:t xml:space="preserve">has committed to is presented </w:t>
      </w:r>
      <w:r w:rsidRPr="001C186C">
        <w:t xml:space="preserve">in </w:t>
      </w:r>
      <w:r w:rsidR="00937A14" w:rsidRPr="00CC5EB9">
        <w:t>B</w:t>
      </w:r>
      <w:r w:rsidR="009E2CCA" w:rsidRPr="00CC5EB9">
        <w:t xml:space="preserve">udget </w:t>
      </w:r>
      <w:r w:rsidR="00937A14" w:rsidRPr="00CC5EB9">
        <w:t>P</w:t>
      </w:r>
      <w:r w:rsidRPr="00CC5EB9">
        <w:t xml:space="preserve">aper </w:t>
      </w:r>
      <w:r w:rsidR="00937A14" w:rsidRPr="00CC5EB9">
        <w:t>No. 2</w:t>
      </w:r>
      <w:r w:rsidR="00937A14" w:rsidRPr="001C186C">
        <w:t>,</w:t>
      </w:r>
      <w:r w:rsidR="00937A14">
        <w:t xml:space="preserve"> </w:t>
      </w:r>
      <w:r w:rsidR="009E2CCA">
        <w:t xml:space="preserve">called ‘Budget Measures’.  At the </w:t>
      </w:r>
      <w:r w:rsidR="003764D0">
        <w:t>m</w:t>
      </w:r>
      <w:r w:rsidR="009E2CCA">
        <w:t xml:space="preserve">id-year economic and fiscal </w:t>
      </w:r>
      <w:r w:rsidR="00B624A8">
        <w:t xml:space="preserve">outlook </w:t>
      </w:r>
      <w:r w:rsidR="009E2CCA">
        <w:t xml:space="preserve">update, policy decisions taken since the previous budget are presented in </w:t>
      </w:r>
      <w:r w:rsidR="009E2CCA" w:rsidRPr="00E6229E">
        <w:t>Appendix A</w:t>
      </w:r>
      <w:r w:rsidR="00AE3D53" w:rsidRPr="00E6229E">
        <w:t xml:space="preserve"> </w:t>
      </w:r>
      <w:r w:rsidR="00AE3D53">
        <w:t>of the update</w:t>
      </w:r>
      <w:r w:rsidR="009E2CCA">
        <w:t>.</w:t>
      </w:r>
    </w:p>
    <w:p w:rsidR="009E2CCA" w:rsidRDefault="009E2CCA" w:rsidP="006919E2">
      <w:pPr>
        <w:pStyle w:val="BodyText"/>
      </w:pPr>
      <w:r>
        <w:t>Since 1997</w:t>
      </w:r>
      <w:r w:rsidR="00B624A8" w:rsidRPr="00BB3C94">
        <w:t>–</w:t>
      </w:r>
      <w:r>
        <w:t>98</w:t>
      </w:r>
      <w:r w:rsidRPr="001C186C">
        <w:t xml:space="preserve">, </w:t>
      </w:r>
      <w:r w:rsidR="00937A14" w:rsidRPr="00CC5EB9">
        <w:t>Budget Paper No. 2</w:t>
      </w:r>
      <w:r w:rsidR="00937A14">
        <w:t xml:space="preserve"> </w:t>
      </w:r>
      <w:r>
        <w:t>has included a description and estimate of the impact on the fiscal balance of each budget measure</w:t>
      </w:r>
      <w:r w:rsidR="00BD04B9">
        <w:t xml:space="preserve"> </w:t>
      </w:r>
      <w:r w:rsidR="00BD04B9" w:rsidRPr="00BB3C94">
        <w:t>–</w:t>
      </w:r>
      <w:r w:rsidR="00BD04B9">
        <w:t xml:space="preserve"> </w:t>
      </w:r>
      <w:r>
        <w:t>a marked</w:t>
      </w:r>
      <w:r w:rsidR="001918BB">
        <w:t xml:space="preserve"> improvement in transparency </w:t>
      </w:r>
      <w:r>
        <w:t>from previous arrangements.</w:t>
      </w:r>
      <w:r w:rsidRPr="009E2CCA">
        <w:t xml:space="preserve"> </w:t>
      </w:r>
      <w:r>
        <w:t xml:space="preserve"> The provision of this information on specific new policies is designed to allow for more meaningful debate around the costs and benefits of individual policies.  </w:t>
      </w:r>
    </w:p>
    <w:p w:rsidR="00633A0A" w:rsidRDefault="00B624A8" w:rsidP="006919E2">
      <w:pPr>
        <w:pStyle w:val="BodyText"/>
      </w:pPr>
      <w:r>
        <w:t>W</w:t>
      </w:r>
      <w:r w:rsidR="00633A0A">
        <w:t xml:space="preserve">hen alternative financing arrangements are employed </w:t>
      </w:r>
      <w:r w:rsidR="00793E79">
        <w:t xml:space="preserve">to fund </w:t>
      </w:r>
      <w:r w:rsidR="00633A0A">
        <w:t xml:space="preserve">a policy, the measure descriptions do not provide full information on how the policy is likely to </w:t>
      </w:r>
      <w:r w:rsidR="00937A14">
        <w:t xml:space="preserve">affect </w:t>
      </w:r>
      <w:r w:rsidR="00DF35A8">
        <w:t>the Commonwealth</w:t>
      </w:r>
      <w:r>
        <w:t> Government</w:t>
      </w:r>
      <w:r w:rsidR="00DF35A8">
        <w:t xml:space="preserve">’s </w:t>
      </w:r>
      <w:r w:rsidR="00633A0A">
        <w:t xml:space="preserve">net financial worth, </w:t>
      </w:r>
      <w:r w:rsidR="003F19D3">
        <w:t>including</w:t>
      </w:r>
      <w:r w:rsidR="00793E79">
        <w:t xml:space="preserve"> the effect of revaluations.  </w:t>
      </w:r>
      <w:r>
        <w:t>I</w:t>
      </w:r>
      <w:r w:rsidR="00793E79">
        <w:t>n some cases, the presentation of just the fiscal balance impact can be</w:t>
      </w:r>
      <w:r w:rsidR="00633A0A">
        <w:t xml:space="preserve"> confusing to the </w:t>
      </w:r>
      <w:r w:rsidR="00DF35A8">
        <w:t>general</w:t>
      </w:r>
      <w:r w:rsidR="00633A0A">
        <w:t xml:space="preserve"> reader.</w:t>
      </w:r>
    </w:p>
    <w:p w:rsidR="000E37B3" w:rsidRDefault="004E5D89" w:rsidP="00B523F6">
      <w:pPr>
        <w:pStyle w:val="Heading3"/>
        <w:ind w:left="851" w:hanging="851"/>
      </w:pPr>
      <w:r>
        <w:lastRenderedPageBreak/>
        <w:t>Additional detail on</w:t>
      </w:r>
      <w:r w:rsidR="00B45F88">
        <w:t xml:space="preserve"> </w:t>
      </w:r>
      <w:r w:rsidR="00B63D1A">
        <w:t xml:space="preserve">government </w:t>
      </w:r>
      <w:r w:rsidR="00B45F88">
        <w:t>loans</w:t>
      </w:r>
      <w:r>
        <w:t xml:space="preserve"> </w:t>
      </w:r>
    </w:p>
    <w:p w:rsidR="00793E79" w:rsidRDefault="00DF35A8">
      <w:pPr>
        <w:pStyle w:val="BodyText"/>
      </w:pPr>
      <w:r>
        <w:t xml:space="preserve">When </w:t>
      </w:r>
      <w:r w:rsidR="000816C5">
        <w:t xml:space="preserve">the </w:t>
      </w:r>
      <w:r w:rsidR="00B63D1A">
        <w:t xml:space="preserve">government </w:t>
      </w:r>
      <w:r w:rsidR="000816C5">
        <w:t xml:space="preserve">plans a new loan program (or changes to an existing loan program), </w:t>
      </w:r>
      <w:r w:rsidR="00870C41">
        <w:t>the two</w:t>
      </w:r>
      <w:r w:rsidR="003B646A">
        <w:t> </w:t>
      </w:r>
      <w:r w:rsidR="00870C41">
        <w:t xml:space="preserve">most </w:t>
      </w:r>
      <w:r w:rsidR="00EB2943">
        <w:t xml:space="preserve">significant balance sheet </w:t>
      </w:r>
      <w:r w:rsidR="0042558C">
        <w:t xml:space="preserve">impacts are the total size of the loan program </w:t>
      </w:r>
      <w:r w:rsidR="00F14E8E">
        <w:t xml:space="preserve">(which feeds into the </w:t>
      </w:r>
      <w:r w:rsidR="00B63D1A">
        <w:t xml:space="preserve">government’s </w:t>
      </w:r>
      <w:r w:rsidR="00F14E8E">
        <w:t xml:space="preserve">interest payments) </w:t>
      </w:r>
      <w:r w:rsidR="0042558C">
        <w:t xml:space="preserve">and the </w:t>
      </w:r>
      <w:r w:rsidR="00EB2943">
        <w:t xml:space="preserve">estimate of the </w:t>
      </w:r>
      <w:r w:rsidR="000816C5">
        <w:t xml:space="preserve">proportion of debt that is not expected to be repaid.  </w:t>
      </w:r>
      <w:r w:rsidR="00793E79">
        <w:t>The</w:t>
      </w:r>
      <w:r w:rsidR="00937A14">
        <w:t xml:space="preserve"> </w:t>
      </w:r>
      <w:r w:rsidR="00793E79">
        <w:t xml:space="preserve">estimates </w:t>
      </w:r>
      <w:r w:rsidR="0042558C">
        <w:t xml:space="preserve">of </w:t>
      </w:r>
      <w:r w:rsidR="00880D68">
        <w:t>‘</w:t>
      </w:r>
      <w:r w:rsidR="0042558C">
        <w:t>debt that is not expected to be repaid</w:t>
      </w:r>
      <w:r w:rsidR="00880D68">
        <w:t>’</w:t>
      </w:r>
      <w:r w:rsidR="0042558C">
        <w:t xml:space="preserve"> </w:t>
      </w:r>
      <w:r w:rsidR="00793E79">
        <w:t>will depend on the design of the program, for example whether there is an income</w:t>
      </w:r>
      <w:r w:rsidR="00F14E8E">
        <w:noBreakHyphen/>
      </w:r>
      <w:r w:rsidR="00793E79">
        <w:t>contingent element to expected repayments</w:t>
      </w:r>
      <w:r w:rsidR="00937A14">
        <w:t xml:space="preserve">, and </w:t>
      </w:r>
      <w:r w:rsidR="00AE3D53">
        <w:t xml:space="preserve">it </w:t>
      </w:r>
      <w:r w:rsidR="00937A14">
        <w:t xml:space="preserve">may </w:t>
      </w:r>
      <w:r w:rsidR="00F14E8E">
        <w:t xml:space="preserve">be revised </w:t>
      </w:r>
      <w:r w:rsidR="00937A14">
        <w:t>over time</w:t>
      </w:r>
      <w:r w:rsidR="00793E79">
        <w:t xml:space="preserve">.  </w:t>
      </w:r>
      <w:r w:rsidR="003B646A">
        <w:t>A</w:t>
      </w:r>
      <w:r w:rsidR="000816C5">
        <w:t xml:space="preserve">s discussed in Section 3.2, </w:t>
      </w:r>
      <w:r w:rsidR="00793E79">
        <w:t xml:space="preserve">since </w:t>
      </w:r>
      <w:r w:rsidR="000816C5">
        <w:t xml:space="preserve">this is classified as a revaluation rather than a transaction, </w:t>
      </w:r>
      <w:r w:rsidR="00F14E8E">
        <w:t xml:space="preserve">the expected non-repayment </w:t>
      </w:r>
      <w:r w:rsidR="000816C5">
        <w:t>is not included in the fiscal balance impact shown in the measure description.</w:t>
      </w:r>
      <w:r w:rsidR="007B1E67">
        <w:rPr>
          <w:rStyle w:val="FootnoteReference"/>
        </w:rPr>
        <w:footnoteReference w:id="28"/>
      </w:r>
      <w:r w:rsidR="008C0461">
        <w:t xml:space="preserve">  </w:t>
      </w:r>
    </w:p>
    <w:p w:rsidR="0012257A" w:rsidRDefault="0012257A">
      <w:pPr>
        <w:pStyle w:val="BodyText"/>
      </w:pPr>
      <w:r w:rsidRPr="00B568C6">
        <w:t>For all loan programs, as well as the total expected size of the loan program, a more comprehensive measure description would present the upfront estimate of the expected amount of debt that will not be repaid, based on the design of the program and historical experience.  The terms of loans (such as interest rate, concessions, duration and repayment timing) would also be useful additions to measure descriptions.</w:t>
      </w:r>
    </w:p>
    <w:tbl>
      <w:tblPr>
        <w:tblStyle w:val="TableGrid"/>
        <w:tblW w:w="0" w:type="auto"/>
        <w:tblLook w:val="04A0" w:firstRow="1" w:lastRow="0" w:firstColumn="1" w:lastColumn="0" w:noHBand="0" w:noVBand="1"/>
      </w:tblPr>
      <w:tblGrid>
        <w:gridCol w:w="9071"/>
      </w:tblGrid>
      <w:tr w:rsidR="0027535D" w:rsidRPr="0027535D" w:rsidTr="001C6532">
        <w:trPr>
          <w:cnfStyle w:val="100000000000" w:firstRow="1" w:lastRow="0" w:firstColumn="0" w:lastColumn="0" w:oddVBand="0" w:evenVBand="0" w:oddHBand="0" w:evenHBand="0" w:firstRowFirstColumn="0" w:firstRowLastColumn="0" w:lastRowFirstColumn="0" w:lastRowLastColumn="0"/>
          <w:trHeight w:val="28"/>
        </w:trPr>
        <w:tc>
          <w:tcPr>
            <w:cnfStyle w:val="000000000100" w:firstRow="0" w:lastRow="0" w:firstColumn="0" w:lastColumn="0" w:oddVBand="0" w:evenVBand="0" w:oddHBand="0" w:evenHBand="0" w:firstRowFirstColumn="1" w:firstRowLastColumn="0" w:lastRowFirstColumn="0" w:lastRowLastColumn="0"/>
            <w:tcW w:w="9071" w:type="dxa"/>
            <w:tcBorders>
              <w:top w:val="nil"/>
              <w:bottom w:val="nil"/>
            </w:tcBorders>
          </w:tcPr>
          <w:p w:rsidR="0027535D" w:rsidRPr="006E1204" w:rsidRDefault="0027535D" w:rsidP="006E1204">
            <w:pPr>
              <w:pStyle w:val="BodyText"/>
              <w:spacing w:before="0"/>
              <w:rPr>
                <w:sz w:val="2"/>
              </w:rPr>
            </w:pPr>
          </w:p>
        </w:tc>
      </w:tr>
    </w:tbl>
    <w:p w:rsidR="008B58B1" w:rsidRPr="00610326" w:rsidRDefault="009D0C34" w:rsidP="00B523F6">
      <w:pPr>
        <w:pStyle w:val="Heading3"/>
        <w:ind w:left="851" w:hanging="851"/>
      </w:pPr>
      <w:r>
        <w:t>R</w:t>
      </w:r>
      <w:r w:rsidR="00EF6F29">
        <w:t xml:space="preserve">isk of </w:t>
      </w:r>
      <w:r w:rsidR="008B58B1">
        <w:t>revaluations</w:t>
      </w:r>
    </w:p>
    <w:p w:rsidR="002A6603" w:rsidRDefault="003E27B5" w:rsidP="00697C6D">
      <w:pPr>
        <w:pStyle w:val="BodyText"/>
      </w:pPr>
      <w:r>
        <w:t xml:space="preserve">When </w:t>
      </w:r>
      <w:r w:rsidR="002A6603">
        <w:t xml:space="preserve">the </w:t>
      </w:r>
      <w:r w:rsidR="00B63D1A">
        <w:t xml:space="preserve">government </w:t>
      </w:r>
      <w:r w:rsidR="002A6603">
        <w:t xml:space="preserve">invests in a business, the investment must pass a ‘threshold test’ </w:t>
      </w:r>
      <w:r w:rsidR="00880D68">
        <w:t>(a real rate of return greater than zero</w:t>
      </w:r>
      <w:r w:rsidR="00F821CB" w:rsidRPr="00F821CB">
        <w:t xml:space="preserve"> </w:t>
      </w:r>
      <w:r w:rsidR="00F821CB">
        <w:t>and a reasonable expectation that the investment will be recovered</w:t>
      </w:r>
      <w:r w:rsidR="00880D68">
        <w:t xml:space="preserve">) </w:t>
      </w:r>
      <w:r w:rsidR="002A6603">
        <w:t xml:space="preserve">to be treated as an </w:t>
      </w:r>
      <w:r w:rsidR="00F815BE">
        <w:t>investment asset on the balance sheet</w:t>
      </w:r>
      <w:r w:rsidR="002A6603">
        <w:t xml:space="preserve"> rather than a grant</w:t>
      </w:r>
      <w:r w:rsidR="002A6603" w:rsidRPr="007D1B43">
        <w:t>.</w:t>
      </w:r>
      <w:r w:rsidR="00F821CB">
        <w:rPr>
          <w:rStyle w:val="FootnoteReference"/>
        </w:rPr>
        <w:footnoteReference w:id="29"/>
      </w:r>
      <w:r w:rsidR="002A6603" w:rsidRPr="007D1B43">
        <w:t xml:space="preserve">  </w:t>
      </w:r>
      <w:r w:rsidR="002A6603" w:rsidRPr="002067C2">
        <w:t xml:space="preserve">If </w:t>
      </w:r>
      <w:r w:rsidR="005829A1" w:rsidRPr="002067C2">
        <w:t>it is deemed to qualify as an equity in</w:t>
      </w:r>
      <w:r w:rsidR="005829A1" w:rsidRPr="007D1B43">
        <w:t xml:space="preserve">jection, </w:t>
      </w:r>
      <w:r w:rsidR="002A6603" w:rsidRPr="007D1B43">
        <w:t xml:space="preserve">the investment is </w:t>
      </w:r>
      <w:r w:rsidR="00D22680" w:rsidRPr="007D1B43">
        <w:t>assumed to</w:t>
      </w:r>
      <w:r w:rsidR="002A6603" w:rsidRPr="007D1B43">
        <w:t xml:space="preserve"> maintain its value over the </w:t>
      </w:r>
      <w:r w:rsidR="005829A1" w:rsidRPr="007D1B43">
        <w:t xml:space="preserve">forward estimates </w:t>
      </w:r>
      <w:proofErr w:type="gramStart"/>
      <w:r w:rsidR="002A6603" w:rsidRPr="007D1B43">
        <w:t>period</w:t>
      </w:r>
      <w:r w:rsidR="00EB2943" w:rsidRPr="007D1B43">
        <w:t>,</w:t>
      </w:r>
      <w:proofErr w:type="gramEnd"/>
      <w:r w:rsidR="00EB2943" w:rsidRPr="007D1B43">
        <w:t xml:space="preserve"> however this clearly presents a risk of future revaluations, potentially up to the full value of the equity injection</w:t>
      </w:r>
      <w:r w:rsidR="002A6603" w:rsidRPr="007D1B43">
        <w:t>.</w:t>
      </w:r>
      <w:r w:rsidR="002A6603" w:rsidRPr="002A6603">
        <w:t xml:space="preserve"> </w:t>
      </w:r>
    </w:p>
    <w:p w:rsidR="00CC2CD6" w:rsidRDefault="00F821CB" w:rsidP="00F821CB">
      <w:pPr>
        <w:pStyle w:val="BodyText"/>
      </w:pPr>
      <w:r>
        <w:t xml:space="preserve">The </w:t>
      </w:r>
      <w:r w:rsidR="002D2B2B">
        <w:t>i</w:t>
      </w:r>
      <w:r>
        <w:t xml:space="preserve">nland </w:t>
      </w:r>
      <w:r w:rsidR="002D2B2B">
        <w:t>r</w:t>
      </w:r>
      <w:r>
        <w:t>ail project, to be delivered by the Australian Rail Track Corporation through an equity injection, provides a</w:t>
      </w:r>
      <w:r w:rsidR="00F33546">
        <w:t xml:space="preserve"> recent </w:t>
      </w:r>
      <w:r w:rsidR="00CC2CD6">
        <w:t xml:space="preserve">example </w:t>
      </w:r>
      <w:r w:rsidR="00F33546">
        <w:t xml:space="preserve">of </w:t>
      </w:r>
      <w:r w:rsidR="00CC2CD6">
        <w:t xml:space="preserve">the application of the </w:t>
      </w:r>
      <w:r w:rsidR="00F33546">
        <w:t>accounting standards</w:t>
      </w:r>
      <w:r>
        <w:t>.  This</w:t>
      </w:r>
      <w:r w:rsidR="00CC2CD6">
        <w:t xml:space="preserve"> involved the</w:t>
      </w:r>
      <w:r w:rsidR="00F33546">
        <w:t xml:space="preserve"> </w:t>
      </w:r>
      <w:r w:rsidR="00D22680">
        <w:t xml:space="preserve">assessment </w:t>
      </w:r>
      <w:r w:rsidR="00CC2CD6">
        <w:t xml:space="preserve">of </w:t>
      </w:r>
      <w:r>
        <w:t xml:space="preserve">the ‘threshold test’ </w:t>
      </w:r>
      <w:r w:rsidR="00CC2CD6">
        <w:t xml:space="preserve">being </w:t>
      </w:r>
      <w:r w:rsidR="00F33546">
        <w:t xml:space="preserve">made </w:t>
      </w:r>
      <w:r w:rsidR="00D22680">
        <w:t xml:space="preserve">at the level of the entity </w:t>
      </w:r>
      <w:r w:rsidR="00F33546">
        <w:t xml:space="preserve">rather than </w:t>
      </w:r>
      <w:r w:rsidR="00D22680">
        <w:t>the project.</w:t>
      </w:r>
      <w:r w:rsidR="00B135F2">
        <w:rPr>
          <w:rStyle w:val="FootnoteReference"/>
        </w:rPr>
        <w:footnoteReference w:id="30"/>
      </w:r>
      <w:r w:rsidR="00D22680">
        <w:t xml:space="preserve"> </w:t>
      </w:r>
      <w:r w:rsidR="00F33546">
        <w:t xml:space="preserve"> </w:t>
      </w:r>
    </w:p>
    <w:p w:rsidR="00C63269" w:rsidRDefault="00B71DC7">
      <w:pPr>
        <w:pStyle w:val="BodyText"/>
      </w:pPr>
      <w:r w:rsidRPr="00B71DC7">
        <w:t xml:space="preserve">The </w:t>
      </w:r>
      <w:r w:rsidR="003B646A">
        <w:t>Australian Rail Track Corporation</w:t>
      </w:r>
      <w:r w:rsidRPr="00B71DC7">
        <w:t xml:space="preserve"> </w:t>
      </w:r>
      <w:r w:rsidR="00CC2CD6">
        <w:t xml:space="preserve">as an </w:t>
      </w:r>
      <w:r w:rsidR="00B63D1A">
        <w:t xml:space="preserve">entity </w:t>
      </w:r>
      <w:r w:rsidRPr="00B71DC7">
        <w:t xml:space="preserve">is expected to deliver a positive real rate of return, in aggregate, in respect of its assets. </w:t>
      </w:r>
      <w:r w:rsidR="00F821CB">
        <w:t xml:space="preserve"> </w:t>
      </w:r>
      <w:r w:rsidR="003B646A">
        <w:t>I</w:t>
      </w:r>
      <w:r w:rsidR="005D2528">
        <w:t xml:space="preserve">t is not </w:t>
      </w:r>
      <w:proofErr w:type="gramStart"/>
      <w:r w:rsidR="005D2528">
        <w:t>clear</w:t>
      </w:r>
      <w:r w:rsidR="003B646A">
        <w:t>,</w:t>
      </w:r>
      <w:proofErr w:type="gramEnd"/>
      <w:r w:rsidR="003B646A">
        <w:t xml:space="preserve"> however,</w:t>
      </w:r>
      <w:r w:rsidR="005D2528">
        <w:t xml:space="preserve"> whether the </w:t>
      </w:r>
      <w:r w:rsidR="00822A9C">
        <w:t xml:space="preserve">inland rail </w:t>
      </w:r>
      <w:r w:rsidR="005D2528">
        <w:t>project itself</w:t>
      </w:r>
      <w:r w:rsidR="00FB2EFA">
        <w:t xml:space="preserve"> </w:t>
      </w:r>
      <w:r w:rsidR="00C63269">
        <w:t xml:space="preserve">would be </w:t>
      </w:r>
      <w:r w:rsidR="005D2528">
        <w:t xml:space="preserve">expected </w:t>
      </w:r>
      <w:r w:rsidR="00987EAC">
        <w:t xml:space="preserve">to meet the </w:t>
      </w:r>
      <w:r w:rsidR="00B63D1A">
        <w:t xml:space="preserve">government’s </w:t>
      </w:r>
      <w:r>
        <w:t xml:space="preserve">stated </w:t>
      </w:r>
      <w:r w:rsidR="00987EAC">
        <w:t>criteria</w:t>
      </w:r>
      <w:r w:rsidR="008C0461">
        <w:t xml:space="preserve"> for an equity investment</w:t>
      </w:r>
      <w:r w:rsidR="00822A9C">
        <w:t xml:space="preserve">.  </w:t>
      </w:r>
      <w:r w:rsidR="00CC2CD6">
        <w:t>T</w:t>
      </w:r>
      <w:r w:rsidR="00822A9C">
        <w:t xml:space="preserve">he business case for inland rail noted that </w:t>
      </w:r>
      <w:r w:rsidR="00822A9C" w:rsidRPr="00BD04B9">
        <w:rPr>
          <w:i/>
        </w:rPr>
        <w:t>…Inland Rail would not generate enough revenue to provide a return on its full construction cost</w:t>
      </w:r>
      <w:r w:rsidR="00822A9C">
        <w:t>.</w:t>
      </w:r>
      <w:r w:rsidR="00822A9C">
        <w:rPr>
          <w:rStyle w:val="FootnoteReference"/>
        </w:rPr>
        <w:footnoteReference w:id="31"/>
      </w:r>
      <w:r w:rsidR="00D22680">
        <w:t xml:space="preserve">  </w:t>
      </w:r>
    </w:p>
    <w:p w:rsidR="00D22680" w:rsidRDefault="00D22680">
      <w:pPr>
        <w:pStyle w:val="BodyText"/>
      </w:pPr>
      <w:r>
        <w:t xml:space="preserve">This </w:t>
      </w:r>
      <w:r w:rsidR="00AD5639">
        <w:t xml:space="preserve">information </w:t>
      </w:r>
      <w:r>
        <w:t>suggests that</w:t>
      </w:r>
      <w:r w:rsidR="00AD5639">
        <w:t>, as a consequence of the</w:t>
      </w:r>
      <w:r w:rsidR="00E82944">
        <w:t xml:space="preserve"> policy decision</w:t>
      </w:r>
      <w:r w:rsidR="00AD5639">
        <w:t xml:space="preserve"> to provide an equity injection into </w:t>
      </w:r>
      <w:r w:rsidR="003B646A">
        <w:t>Australian Rail Track Corporation</w:t>
      </w:r>
      <w:r w:rsidR="00AD5639">
        <w:t xml:space="preserve"> to build inland rail</w:t>
      </w:r>
      <w:r w:rsidR="00E82944">
        <w:t xml:space="preserve">, </w:t>
      </w:r>
      <w:r>
        <w:t xml:space="preserve">the </w:t>
      </w:r>
      <w:r w:rsidR="00B71DC7">
        <w:t xml:space="preserve">value </w:t>
      </w:r>
      <w:r w:rsidR="00AD5639">
        <w:t xml:space="preserve">of </w:t>
      </w:r>
      <w:r w:rsidR="003B646A">
        <w:t>the Corporation</w:t>
      </w:r>
      <w:r w:rsidR="00AD5639">
        <w:t xml:space="preserve"> </w:t>
      </w:r>
      <w:r w:rsidR="00C63269">
        <w:t>may</w:t>
      </w:r>
      <w:r w:rsidR="00E82944">
        <w:t xml:space="preserve"> be</w:t>
      </w:r>
      <w:r>
        <w:t xml:space="preserve"> revalued downward </w:t>
      </w:r>
      <w:r w:rsidR="00AD5639">
        <w:t xml:space="preserve">at some point </w:t>
      </w:r>
      <w:r>
        <w:t>in the future</w:t>
      </w:r>
      <w:r w:rsidR="00AD5639">
        <w:t xml:space="preserve">.  Such a revaluation would </w:t>
      </w:r>
      <w:r w:rsidR="00C63269">
        <w:t>deteriorate</w:t>
      </w:r>
      <w:r>
        <w:t xml:space="preserve"> the Commonwealth</w:t>
      </w:r>
      <w:r w:rsidR="003B646A">
        <w:t> Government</w:t>
      </w:r>
      <w:r>
        <w:t>’s fiscal position</w:t>
      </w:r>
      <w:r w:rsidR="00AD5639">
        <w:t xml:space="preserve">, but was not mentioned in the measure description </w:t>
      </w:r>
      <w:r w:rsidR="00EF6F29">
        <w:t>for the</w:t>
      </w:r>
      <w:r w:rsidR="00AD5639">
        <w:t xml:space="preserve"> inland rail project</w:t>
      </w:r>
      <w:r w:rsidR="00C63269">
        <w:t xml:space="preserve"> at the time of the decision and under current budget reporting practice would not be reported in a disaggregated form i</w:t>
      </w:r>
      <w:r w:rsidR="002D2B2B">
        <w:t>n</w:t>
      </w:r>
      <w:r w:rsidR="00C63269">
        <w:t xml:space="preserve"> the event that it occurred</w:t>
      </w:r>
      <w:r>
        <w:t>.</w:t>
      </w:r>
      <w:r w:rsidR="00EF6F29">
        <w:rPr>
          <w:rStyle w:val="FootnoteReference"/>
        </w:rPr>
        <w:footnoteReference w:id="32"/>
      </w:r>
      <w:r w:rsidR="00870C41">
        <w:t xml:space="preserve">  </w:t>
      </w:r>
    </w:p>
    <w:p w:rsidR="0012257A" w:rsidRDefault="0012257A">
      <w:pPr>
        <w:rPr>
          <w:rFonts w:cs="Times New Roman"/>
        </w:rPr>
      </w:pPr>
      <w:r>
        <w:br w:type="page"/>
      </w:r>
    </w:p>
    <w:p w:rsidR="0012257A" w:rsidRPr="0027535D" w:rsidRDefault="0012257A" w:rsidP="0012257A">
      <w:pPr>
        <w:pStyle w:val="BodyText"/>
      </w:pPr>
      <w:r w:rsidRPr="0027535D">
        <w:lastRenderedPageBreak/>
        <w:t>For equity injections, a more comprehensive measure description would include:</w:t>
      </w:r>
    </w:p>
    <w:p w:rsidR="0012257A" w:rsidRPr="001C6532" w:rsidRDefault="0012257A" w:rsidP="001023B5">
      <w:pPr>
        <w:pStyle w:val="PullOutBoxBullet"/>
        <w:ind w:left="284"/>
        <w:rPr>
          <w:b w:val="0"/>
          <w:i w:val="0"/>
          <w:color w:val="auto"/>
        </w:rPr>
      </w:pPr>
      <w:r w:rsidRPr="006E1204">
        <w:rPr>
          <w:b w:val="0"/>
          <w:i w:val="0"/>
          <w:color w:val="auto"/>
        </w:rPr>
        <w:t>the full value of the equity injection</w:t>
      </w:r>
    </w:p>
    <w:p w:rsidR="0012257A" w:rsidRPr="001C6532" w:rsidRDefault="0012257A" w:rsidP="001023B5">
      <w:pPr>
        <w:pStyle w:val="PullOutBoxBullet"/>
        <w:ind w:left="284"/>
        <w:rPr>
          <w:b w:val="0"/>
          <w:i w:val="0"/>
          <w:color w:val="auto"/>
        </w:rPr>
      </w:pPr>
      <w:r w:rsidRPr="006E1204">
        <w:rPr>
          <w:b w:val="0"/>
          <w:i w:val="0"/>
          <w:color w:val="auto"/>
        </w:rPr>
        <w:t>the expected rate of return at inception</w:t>
      </w:r>
    </w:p>
    <w:p w:rsidR="0012257A" w:rsidRPr="001C6532" w:rsidRDefault="0012257A" w:rsidP="001023B5">
      <w:pPr>
        <w:pStyle w:val="PullOutBoxBullet"/>
        <w:ind w:left="284"/>
        <w:rPr>
          <w:b w:val="0"/>
          <w:i w:val="0"/>
          <w:color w:val="auto"/>
        </w:rPr>
      </w:pPr>
      <w:r w:rsidRPr="006E1204">
        <w:rPr>
          <w:b w:val="0"/>
          <w:i w:val="0"/>
          <w:color w:val="auto"/>
        </w:rPr>
        <w:t>the key assumptions underpinning the expected return on the equity injection</w:t>
      </w:r>
    </w:p>
    <w:p w:rsidR="00C63269" w:rsidRPr="001C6532" w:rsidRDefault="0012257A" w:rsidP="001023B5">
      <w:pPr>
        <w:pStyle w:val="PullOutBoxBullet"/>
        <w:ind w:left="284"/>
        <w:rPr>
          <w:b w:val="0"/>
          <w:i w:val="0"/>
          <w:color w:val="auto"/>
        </w:rPr>
      </w:pPr>
      <w:proofErr w:type="gramStart"/>
      <w:r w:rsidRPr="006E1204">
        <w:rPr>
          <w:b w:val="0"/>
          <w:i w:val="0"/>
          <w:color w:val="auto"/>
        </w:rPr>
        <w:t>the</w:t>
      </w:r>
      <w:proofErr w:type="gramEnd"/>
      <w:r w:rsidRPr="006E1204">
        <w:rPr>
          <w:b w:val="0"/>
          <w:i w:val="0"/>
          <w:color w:val="auto"/>
        </w:rPr>
        <w:t xml:space="preserve"> expected impact on fiscal aggregates such as net financial worth</w:t>
      </w:r>
      <w:r w:rsidR="0047129D">
        <w:rPr>
          <w:b w:val="0"/>
          <w:i w:val="0"/>
          <w:color w:val="auto"/>
        </w:rPr>
        <w:t>.</w:t>
      </w:r>
    </w:p>
    <w:p w:rsidR="00B45F88" w:rsidRPr="007D1B43" w:rsidRDefault="009D0C34" w:rsidP="00B523F6">
      <w:pPr>
        <w:pStyle w:val="Heading3"/>
        <w:ind w:left="851" w:hanging="851"/>
      </w:pPr>
      <w:r w:rsidRPr="00720E6E">
        <w:t>A</w:t>
      </w:r>
      <w:r w:rsidR="00A72ED8" w:rsidRPr="00720E6E">
        <w:t>ssociated public debt</w:t>
      </w:r>
      <w:r w:rsidR="00A72ED8">
        <w:t xml:space="preserve"> interest cost</w:t>
      </w:r>
      <w:r>
        <w:t>s</w:t>
      </w:r>
    </w:p>
    <w:p w:rsidR="003E27B5" w:rsidRDefault="003E27B5" w:rsidP="003E27B5">
      <w:pPr>
        <w:pStyle w:val="BodyText"/>
      </w:pPr>
      <w:r>
        <w:t>When</w:t>
      </w:r>
      <w:r w:rsidRPr="00697C6D">
        <w:t xml:space="preserve"> </w:t>
      </w:r>
      <w:r w:rsidR="00BC4F79" w:rsidRPr="00697C6D">
        <w:t>the</w:t>
      </w:r>
      <w:r w:rsidR="00DF35A8" w:rsidRPr="00697C6D">
        <w:t xml:space="preserve"> </w:t>
      </w:r>
      <w:r w:rsidR="002D4803">
        <w:t>g</w:t>
      </w:r>
      <w:r w:rsidR="002D4803" w:rsidRPr="00697C6D">
        <w:t xml:space="preserve">overnment </w:t>
      </w:r>
      <w:r>
        <w:t>borrows</w:t>
      </w:r>
      <w:r w:rsidRPr="00697C6D">
        <w:t xml:space="preserve"> </w:t>
      </w:r>
      <w:r w:rsidR="00DF35A8" w:rsidRPr="00697C6D">
        <w:t xml:space="preserve">money </w:t>
      </w:r>
      <w:r w:rsidR="00BC4F79">
        <w:t xml:space="preserve">to implement </w:t>
      </w:r>
      <w:r w:rsidR="003B646A">
        <w:t xml:space="preserve">a </w:t>
      </w:r>
      <w:r w:rsidR="00BC4F79">
        <w:t xml:space="preserve">policy, it </w:t>
      </w:r>
      <w:r>
        <w:t xml:space="preserve">issues debt liabilities and becomes liable for </w:t>
      </w:r>
      <w:r w:rsidR="00BC4F79">
        <w:t>repay</w:t>
      </w:r>
      <w:r>
        <w:t>ments of both</w:t>
      </w:r>
      <w:r w:rsidR="00BC4F79">
        <w:t xml:space="preserve"> the principal </w:t>
      </w:r>
      <w:r>
        <w:t>and</w:t>
      </w:r>
      <w:r w:rsidR="00BC4F79">
        <w:t xml:space="preserve"> </w:t>
      </w:r>
      <w:r w:rsidR="00DF35A8">
        <w:t xml:space="preserve">interest.  </w:t>
      </w:r>
      <w:r>
        <w:t xml:space="preserve">The quantity of debt liabilities that the </w:t>
      </w:r>
      <w:r w:rsidR="002D4803">
        <w:t>g</w:t>
      </w:r>
      <w:r>
        <w:t xml:space="preserve">overnment has to issue is determined by the total amount of spending and revenue </w:t>
      </w:r>
      <w:proofErr w:type="gramStart"/>
      <w:r>
        <w:t>raised</w:t>
      </w:r>
      <w:proofErr w:type="gramEnd"/>
      <w:r>
        <w:t xml:space="preserve"> across all programs</w:t>
      </w:r>
      <w:r w:rsidR="00E77ABD">
        <w:t xml:space="preserve">, and </w:t>
      </w:r>
      <w:r>
        <w:t>is generally determined at a whole</w:t>
      </w:r>
      <w:r w:rsidR="00E77ABD">
        <w:t>-</w:t>
      </w:r>
      <w:r>
        <w:t>of</w:t>
      </w:r>
      <w:r w:rsidR="00E77ABD">
        <w:t>-</w:t>
      </w:r>
      <w:r>
        <w:t>government level</w:t>
      </w:r>
      <w:r w:rsidR="00E77ABD">
        <w:t>.  T</w:t>
      </w:r>
      <w:r w:rsidR="002D4803">
        <w:t xml:space="preserve">he </w:t>
      </w:r>
      <w:r w:rsidR="00FE7764">
        <w:t xml:space="preserve">long-standing </w:t>
      </w:r>
      <w:r w:rsidR="002D4803">
        <w:t xml:space="preserve">convention in </w:t>
      </w:r>
      <w:r w:rsidR="002D4803" w:rsidRPr="00CC5EB9">
        <w:t>Budget Paper No. 2</w:t>
      </w:r>
      <w:r w:rsidR="002D4803">
        <w:t xml:space="preserve"> is that the interest costs </w:t>
      </w:r>
      <w:r w:rsidR="00E77ABD">
        <w:t xml:space="preserve">on the debt liabilities </w:t>
      </w:r>
      <w:r w:rsidR="002D4803">
        <w:t xml:space="preserve">are </w:t>
      </w:r>
      <w:r>
        <w:t>not attributed t</w:t>
      </w:r>
      <w:r w:rsidR="002D4803">
        <w:t>o any individual policy measure</w:t>
      </w:r>
      <w:r>
        <w:t>.</w:t>
      </w:r>
    </w:p>
    <w:p w:rsidR="00A72ED8" w:rsidRDefault="003E27B5" w:rsidP="00A91BD1">
      <w:pPr>
        <w:pStyle w:val="BodyText"/>
      </w:pPr>
      <w:r>
        <w:t xml:space="preserve">When </w:t>
      </w:r>
      <w:r w:rsidR="00A91BD1">
        <w:t>g</w:t>
      </w:r>
      <w:r>
        <w:t xml:space="preserve">overnments </w:t>
      </w:r>
      <w:r w:rsidR="00A91BD1">
        <w:t>use their balance sheet to</w:t>
      </w:r>
      <w:r>
        <w:t xml:space="preserve"> invest in a project or to issue loans under a program, </w:t>
      </w:r>
      <w:r w:rsidR="002D4803">
        <w:t xml:space="preserve">however, </w:t>
      </w:r>
      <w:r w:rsidR="00DF35A8">
        <w:t xml:space="preserve">the interest the </w:t>
      </w:r>
      <w:r w:rsidR="00A91BD1">
        <w:t xml:space="preserve">government </w:t>
      </w:r>
      <w:r w:rsidR="00DF35A8">
        <w:t>pays</w:t>
      </w:r>
      <w:r w:rsidR="00A91BD1">
        <w:t xml:space="preserve"> (or forgoes)</w:t>
      </w:r>
      <w:r w:rsidR="00DF35A8">
        <w:t xml:space="preserve"> to secure the funding can be </w:t>
      </w:r>
      <w:r w:rsidR="00EA6290">
        <w:t xml:space="preserve">the </w:t>
      </w:r>
      <w:r w:rsidR="0042558C">
        <w:t xml:space="preserve">largest </w:t>
      </w:r>
      <w:r w:rsidR="000D0176">
        <w:t xml:space="preserve">cost </w:t>
      </w:r>
      <w:r w:rsidR="00855003">
        <w:t xml:space="preserve">associated </w:t>
      </w:r>
      <w:r w:rsidR="002D4803">
        <w:t>with the policy</w:t>
      </w:r>
      <w:r w:rsidR="00DF35A8">
        <w:t>.</w:t>
      </w:r>
      <w:r w:rsidR="002D4803">
        <w:t xml:space="preserve">  </w:t>
      </w:r>
      <w:r w:rsidR="00A91BD1">
        <w:t xml:space="preserve">This </w:t>
      </w:r>
      <w:r w:rsidR="00872DCA">
        <w:t xml:space="preserve">can </w:t>
      </w:r>
      <w:r w:rsidR="00A91BD1">
        <w:t xml:space="preserve">offset the </w:t>
      </w:r>
      <w:r w:rsidR="00AD5639">
        <w:t>often</w:t>
      </w:r>
      <w:r w:rsidR="00E77ABD">
        <w:t>-</w:t>
      </w:r>
      <w:r w:rsidR="002D4803">
        <w:t>significant</w:t>
      </w:r>
      <w:r w:rsidR="00EA6290">
        <w:t xml:space="preserve"> </w:t>
      </w:r>
      <w:r w:rsidR="00A91BD1">
        <w:t xml:space="preserve">flow of </w:t>
      </w:r>
      <w:r w:rsidR="00EA6290">
        <w:t xml:space="preserve">interest or dividend payments </w:t>
      </w:r>
      <w:r w:rsidR="00A91BD1">
        <w:t xml:space="preserve">that the government expects to receive </w:t>
      </w:r>
      <w:r w:rsidR="00EA6290">
        <w:t xml:space="preserve">from the </w:t>
      </w:r>
      <w:r w:rsidR="00D26953">
        <w:t>recipient of the loan or equity injection.</w:t>
      </w:r>
      <w:r w:rsidR="00AD5639">
        <w:t xml:space="preserve"> </w:t>
      </w:r>
    </w:p>
    <w:p w:rsidR="002D4803" w:rsidRDefault="00A91BD1" w:rsidP="00A91BD1">
      <w:pPr>
        <w:pStyle w:val="BodyText"/>
      </w:pPr>
      <w:r>
        <w:t>U</w:t>
      </w:r>
      <w:r w:rsidR="002D4803">
        <w:t>nder current reporting conventions</w:t>
      </w:r>
      <w:r>
        <w:t xml:space="preserve">, </w:t>
      </w:r>
      <w:r w:rsidR="00D26953">
        <w:t xml:space="preserve">the </w:t>
      </w:r>
      <w:r w:rsidR="00DF35A8">
        <w:t xml:space="preserve">fiscal balance impact as it appears </w:t>
      </w:r>
      <w:r w:rsidR="002D4803">
        <w:t>in the budget measure description</w:t>
      </w:r>
      <w:r w:rsidR="00A72ED8">
        <w:t xml:space="preserve"> </w:t>
      </w:r>
      <w:r>
        <w:t>do</w:t>
      </w:r>
      <w:r w:rsidR="00B71DC7">
        <w:t>es</w:t>
      </w:r>
      <w:r>
        <w:t xml:space="preserve"> not include the interest costs associated with the program</w:t>
      </w:r>
      <w:r w:rsidR="00A72ED8">
        <w:t>.  This means that the reported fiscal impact</w:t>
      </w:r>
      <w:r w:rsidR="002D4803">
        <w:t xml:space="preserve"> </w:t>
      </w:r>
      <w:r w:rsidR="00DF35A8">
        <w:t>can materially understate the expected cost or overstate the expected net revenue of a policy.</w:t>
      </w:r>
      <w:r w:rsidR="00D26953">
        <w:t xml:space="preserve">  </w:t>
      </w:r>
    </w:p>
    <w:p w:rsidR="007B1C20" w:rsidRDefault="00A72ED8" w:rsidP="00697C6D">
      <w:pPr>
        <w:pStyle w:val="BodyText"/>
      </w:pPr>
      <w:r>
        <w:t>By way of example, i</w:t>
      </w:r>
      <w:r w:rsidR="00A91BD1" w:rsidRPr="007B1C20">
        <w:t xml:space="preserve">n 2016 the </w:t>
      </w:r>
      <w:r w:rsidR="00C452BC">
        <w:t>g</w:t>
      </w:r>
      <w:r w:rsidR="00C452BC" w:rsidRPr="007B1C20">
        <w:t xml:space="preserve">overnment </w:t>
      </w:r>
      <w:r w:rsidR="000742A8" w:rsidRPr="007B1C20">
        <w:t>included a measure in the budget for a National Water Infrastructure Loan Facility, show</w:t>
      </w:r>
      <w:r w:rsidR="003A13BE" w:rsidRPr="007B1C20">
        <w:t>n here</w:t>
      </w:r>
      <w:r w:rsidR="000742A8" w:rsidRPr="007B1C20">
        <w:t xml:space="preserve"> in Figure 4</w:t>
      </w:r>
      <w:r w:rsidR="002E2CA8" w:rsidRPr="00BB3C94">
        <w:t>–</w:t>
      </w:r>
      <w:r w:rsidR="000742A8" w:rsidRPr="007B1C20">
        <w:t xml:space="preserve">1.  </w:t>
      </w:r>
      <w:r w:rsidR="003A13BE" w:rsidRPr="007B1C20">
        <w:t>The measure description</w:t>
      </w:r>
      <w:r w:rsidR="00A91BD1" w:rsidRPr="007B1C20">
        <w:t xml:space="preserve"> </w:t>
      </w:r>
      <w:r w:rsidR="003A13BE" w:rsidRPr="007B1C20">
        <w:t xml:space="preserve">has a table showing the </w:t>
      </w:r>
      <w:r w:rsidR="00A91BD1" w:rsidRPr="007B1C20">
        <w:t xml:space="preserve">fiscal </w:t>
      </w:r>
      <w:r w:rsidR="003A13BE" w:rsidRPr="007B1C20">
        <w:t xml:space="preserve">balance </w:t>
      </w:r>
      <w:r w:rsidR="00A91BD1" w:rsidRPr="007B1C20">
        <w:t>impact</w:t>
      </w:r>
      <w:r w:rsidR="003A13BE" w:rsidRPr="007B1C20">
        <w:t>, which includes</w:t>
      </w:r>
      <w:r w:rsidR="00A91BD1" w:rsidRPr="007B1C20">
        <w:t xml:space="preserve"> </w:t>
      </w:r>
      <w:r w:rsidR="00550D54" w:rsidRPr="007B1C20">
        <w:t xml:space="preserve">the expected revenue from interest payments from </w:t>
      </w:r>
      <w:r w:rsidR="003A13BE" w:rsidRPr="007B1C20">
        <w:t>the facility</w:t>
      </w:r>
      <w:r w:rsidR="00550D54" w:rsidRPr="007B1C20">
        <w:t xml:space="preserve"> over the </w:t>
      </w:r>
      <w:r w:rsidR="00E77ABD">
        <w:t>2016</w:t>
      </w:r>
      <w:r w:rsidR="00E77ABD" w:rsidRPr="00BB3C94">
        <w:t>–</w:t>
      </w:r>
      <w:r w:rsidR="00E77ABD">
        <w:t xml:space="preserve">17 Budget </w:t>
      </w:r>
      <w:r w:rsidR="00550D54" w:rsidRPr="007B1C20">
        <w:t>forward estimates period</w:t>
      </w:r>
      <w:r>
        <w:t>.  This</w:t>
      </w:r>
      <w:r w:rsidR="00432CFD" w:rsidRPr="007B1C20">
        <w:t xml:space="preserve"> </w:t>
      </w:r>
      <w:r>
        <w:t>could be interpreted as the measure being</w:t>
      </w:r>
      <w:r w:rsidR="007B1C20" w:rsidRPr="007B1C20">
        <w:t xml:space="preserve"> </w:t>
      </w:r>
      <w:r w:rsidR="00DF35A8" w:rsidRPr="007B1C20">
        <w:t xml:space="preserve">expected to </w:t>
      </w:r>
      <w:r w:rsidR="000B72D4" w:rsidRPr="007B1C20">
        <w:t xml:space="preserve">improve the fiscal position by </w:t>
      </w:r>
      <w:r w:rsidR="007B1C20" w:rsidRPr="009440F2">
        <w:t xml:space="preserve">around </w:t>
      </w:r>
      <w:r w:rsidR="00DF35A8" w:rsidRPr="007B1C20">
        <w:t>$</w:t>
      </w:r>
      <w:r w:rsidR="007B1C20" w:rsidRPr="009440F2">
        <w:t>23 million over the forward estimates period</w:t>
      </w:r>
      <w:r w:rsidR="00AD5639" w:rsidRPr="007B1C20">
        <w:t xml:space="preserve">.  </w:t>
      </w:r>
    </w:p>
    <w:p w:rsidR="0082135E" w:rsidRPr="007B1C20" w:rsidRDefault="00E77ABD" w:rsidP="00697C6D">
      <w:pPr>
        <w:pStyle w:val="BodyText"/>
      </w:pPr>
      <w:r>
        <w:t>T</w:t>
      </w:r>
      <w:r w:rsidR="00AD5639" w:rsidRPr="007B1C20">
        <w:t>he public debt interest</w:t>
      </w:r>
      <w:r w:rsidR="00A72ED8">
        <w:t xml:space="preserve"> </w:t>
      </w:r>
      <w:r w:rsidR="00AD5639" w:rsidRPr="007B1C20">
        <w:t xml:space="preserve">payments associated with the financing of this loan were expected to </w:t>
      </w:r>
      <w:r w:rsidR="007B1C20" w:rsidRPr="009440F2">
        <w:t>cost</w:t>
      </w:r>
      <w:r w:rsidR="007B1C20" w:rsidRPr="007B1C20">
        <w:t xml:space="preserve"> </w:t>
      </w:r>
      <w:r w:rsidR="00AD5639" w:rsidRPr="002D2B2B">
        <w:t>around $</w:t>
      </w:r>
      <w:r w:rsidR="007B1C20" w:rsidRPr="002D2B2B">
        <w:t>21</w:t>
      </w:r>
      <w:r w:rsidR="00AD5639" w:rsidRPr="002D2B2B">
        <w:t xml:space="preserve"> </w:t>
      </w:r>
      <w:r w:rsidR="007B1C20" w:rsidRPr="002D2B2B">
        <w:t>m</w:t>
      </w:r>
      <w:r w:rsidR="00AD5639" w:rsidRPr="002D2B2B">
        <w:t>illion over the forward estimates</w:t>
      </w:r>
      <w:r w:rsidR="007B1C20" w:rsidRPr="002D2B2B">
        <w:t xml:space="preserve"> at the time the measure description was published</w:t>
      </w:r>
      <w:r w:rsidR="00AD5639" w:rsidRPr="002D2B2B">
        <w:t>.</w:t>
      </w:r>
      <w:r w:rsidR="00A72ED8" w:rsidRPr="002D2B2B">
        <w:rPr>
          <w:rStyle w:val="FootnoteReference"/>
        </w:rPr>
        <w:footnoteReference w:id="33"/>
      </w:r>
      <w:r w:rsidR="00AD5639" w:rsidRPr="002D2B2B">
        <w:t xml:space="preserve">  A</w:t>
      </w:r>
      <w:r w:rsidR="00DF35A8" w:rsidRPr="002D2B2B">
        <w:t xml:space="preserve"> more </w:t>
      </w:r>
      <w:r w:rsidR="007B1C20" w:rsidRPr="002D2B2B">
        <w:t xml:space="preserve">comprehensive </w:t>
      </w:r>
      <w:r w:rsidR="00AD5639" w:rsidRPr="002D2B2B">
        <w:t>estimate</w:t>
      </w:r>
      <w:r w:rsidR="00AD5639" w:rsidRPr="007B1C20">
        <w:t xml:space="preserve"> of the net financial impact of this loan </w:t>
      </w:r>
      <w:r w:rsidR="00872DCA">
        <w:t>over the forward estimates period</w:t>
      </w:r>
      <w:r>
        <w:t>, therefore,</w:t>
      </w:r>
      <w:r w:rsidR="00872DCA">
        <w:t xml:space="preserve"> </w:t>
      </w:r>
      <w:r w:rsidR="00DF35A8" w:rsidRPr="007B1C20">
        <w:t xml:space="preserve">would have been closer to </w:t>
      </w:r>
      <w:r w:rsidR="00872DCA">
        <w:t xml:space="preserve">a </w:t>
      </w:r>
      <w:r w:rsidR="00DF35A8" w:rsidRPr="007B1C20">
        <w:t>$</w:t>
      </w:r>
      <w:r w:rsidR="007B1C20" w:rsidRPr="009440F2">
        <w:t>2 million</w:t>
      </w:r>
      <w:r w:rsidR="00872DCA">
        <w:t xml:space="preserve"> improvement</w:t>
      </w:r>
      <w:r w:rsidR="00DF35A8" w:rsidRPr="007B1C20">
        <w:t>.</w:t>
      </w:r>
    </w:p>
    <w:p w:rsidR="000742A8" w:rsidRPr="007B1C20" w:rsidRDefault="000742A8" w:rsidP="000742A8">
      <w:pPr>
        <w:pStyle w:val="Caption"/>
      </w:pPr>
      <w:r w:rsidRPr="007B1C20">
        <w:lastRenderedPageBreak/>
        <w:t>Figure 4</w:t>
      </w:r>
      <w:r w:rsidR="002E2CA8" w:rsidRPr="00BB3C94">
        <w:t>–</w:t>
      </w:r>
      <w:r w:rsidRPr="007B1C20">
        <w:t>1: Loan measure description from the 2016</w:t>
      </w:r>
      <w:r w:rsidR="002E2CA8" w:rsidRPr="00BB3C94">
        <w:t>–</w:t>
      </w:r>
      <w:r w:rsidRPr="007B1C20">
        <w:t>17 Budget</w:t>
      </w:r>
    </w:p>
    <w:p w:rsidR="00550D54" w:rsidRPr="007B1C20" w:rsidRDefault="000742A8" w:rsidP="00DF35A8">
      <w:pPr>
        <w:pStyle w:val="Caption"/>
      </w:pPr>
      <w:r w:rsidRPr="001343BC">
        <w:rPr>
          <w:noProof/>
          <w:lang w:eastAsia="en-AU"/>
        </w:rPr>
        <w:drawing>
          <wp:inline distT="0" distB="0" distL="0" distR="0" wp14:anchorId="1901016F" wp14:editId="56A0B1E6">
            <wp:extent cx="4575044" cy="3170760"/>
            <wp:effectExtent l="19050" t="19050" r="1651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7699" cy="3172600"/>
                    </a:xfrm>
                    <a:prstGeom prst="rect">
                      <a:avLst/>
                    </a:prstGeom>
                    <a:ln>
                      <a:solidFill>
                        <a:schemeClr val="bg1">
                          <a:lumMod val="65000"/>
                        </a:schemeClr>
                      </a:solidFill>
                    </a:ln>
                  </pic:spPr>
                </pic:pic>
              </a:graphicData>
            </a:graphic>
          </wp:inline>
        </w:drawing>
      </w:r>
    </w:p>
    <w:p w:rsidR="000742A8" w:rsidRPr="00BD04B9" w:rsidRDefault="009B56C4" w:rsidP="00BD04B9">
      <w:pPr>
        <w:pStyle w:val="Source"/>
        <w:rPr>
          <w:kern w:val="2"/>
        </w:rPr>
      </w:pPr>
      <w:r w:rsidRPr="00BD04B9">
        <w:rPr>
          <w:kern w:val="2"/>
        </w:rPr>
        <w:t xml:space="preserve">    </w:t>
      </w:r>
      <w:r w:rsidR="000742A8" w:rsidRPr="00BD04B9">
        <w:rPr>
          <w:kern w:val="2"/>
        </w:rPr>
        <w:t xml:space="preserve">Source: </w:t>
      </w:r>
      <w:r w:rsidR="000742A8" w:rsidRPr="00BD04B9">
        <w:rPr>
          <w:i/>
          <w:kern w:val="2"/>
        </w:rPr>
        <w:t>2016</w:t>
      </w:r>
      <w:r w:rsidR="002E2CA8" w:rsidRPr="00BD04B9">
        <w:rPr>
          <w:i/>
          <w:kern w:val="2"/>
        </w:rPr>
        <w:t>–</w:t>
      </w:r>
      <w:r w:rsidR="000742A8" w:rsidRPr="00BD04B9">
        <w:rPr>
          <w:i/>
          <w:kern w:val="2"/>
        </w:rPr>
        <w:t xml:space="preserve">17 </w:t>
      </w:r>
      <w:r w:rsidR="0047129D">
        <w:rPr>
          <w:i/>
          <w:kern w:val="2"/>
        </w:rPr>
        <w:t xml:space="preserve">Budget, </w:t>
      </w:r>
      <w:r w:rsidR="000742A8" w:rsidRPr="00BD04B9">
        <w:rPr>
          <w:i/>
          <w:kern w:val="2"/>
        </w:rPr>
        <w:t xml:space="preserve">Budget Paper </w:t>
      </w:r>
      <w:r w:rsidR="00E77ABD" w:rsidRPr="00BD04B9">
        <w:rPr>
          <w:i/>
          <w:kern w:val="2"/>
        </w:rPr>
        <w:t xml:space="preserve">No. </w:t>
      </w:r>
      <w:r w:rsidR="000742A8" w:rsidRPr="00BD04B9">
        <w:rPr>
          <w:i/>
          <w:kern w:val="2"/>
        </w:rPr>
        <w:t>2</w:t>
      </w:r>
      <w:r w:rsidR="000742A8" w:rsidRPr="00BD04B9">
        <w:rPr>
          <w:kern w:val="2"/>
        </w:rPr>
        <w:t>, p</w:t>
      </w:r>
      <w:r w:rsidR="0058127B">
        <w:rPr>
          <w:kern w:val="2"/>
        </w:rPr>
        <w:t>.</w:t>
      </w:r>
      <w:r w:rsidR="000742A8" w:rsidRPr="00BD04B9">
        <w:rPr>
          <w:kern w:val="2"/>
        </w:rPr>
        <w:t>64</w:t>
      </w:r>
      <w:r w:rsidR="0058127B">
        <w:rPr>
          <w:kern w:val="2"/>
        </w:rPr>
        <w:t>.</w:t>
      </w:r>
    </w:p>
    <w:p w:rsidR="0012257A" w:rsidRDefault="0012257A" w:rsidP="00CC5EB9">
      <w:pPr>
        <w:pStyle w:val="BodyText17ptAbove"/>
      </w:pPr>
      <w:r w:rsidRPr="002D2B2B">
        <w:t xml:space="preserve">For all policies involving alternative financing arrangements, a more comprehensive measure description would present information in the text on the </w:t>
      </w:r>
      <w:r w:rsidR="0047129D">
        <w:t>PDI</w:t>
      </w:r>
      <w:r w:rsidRPr="002D2B2B">
        <w:t xml:space="preserve"> payments associated with the measure.  </w:t>
      </w:r>
    </w:p>
    <w:p w:rsidR="00DF35A8" w:rsidRPr="008949D0" w:rsidRDefault="00FE7764" w:rsidP="00BD04B9">
      <w:pPr>
        <w:pStyle w:val="BodyText17ptAbove"/>
        <w:spacing w:before="120"/>
      </w:pPr>
      <w:r w:rsidRPr="00A72ED8">
        <w:t>T</w:t>
      </w:r>
      <w:r w:rsidR="000B72D4" w:rsidRPr="00A72ED8">
        <w:rPr>
          <w:rStyle w:val="BodyTextChar"/>
        </w:rPr>
        <w:t xml:space="preserve">his has been a </w:t>
      </w:r>
      <w:r w:rsidR="00DF35A8" w:rsidRPr="008949D0">
        <w:rPr>
          <w:rStyle w:val="BodyTextChar"/>
        </w:rPr>
        <w:t xml:space="preserve">budget convention </w:t>
      </w:r>
      <w:r w:rsidRPr="008949D0">
        <w:rPr>
          <w:rStyle w:val="BodyTextChar"/>
        </w:rPr>
        <w:t xml:space="preserve">in the past, </w:t>
      </w:r>
      <w:r w:rsidR="000B72D4" w:rsidRPr="008949D0">
        <w:rPr>
          <w:rStyle w:val="BodyTextChar"/>
        </w:rPr>
        <w:t xml:space="preserve">although it was not applied consistently and has not been applied in recent </w:t>
      </w:r>
      <w:r w:rsidR="000B72D4" w:rsidRPr="008949D0">
        <w:t>years</w:t>
      </w:r>
      <w:r w:rsidR="00DF35A8" w:rsidRPr="008949D0">
        <w:t>.</w:t>
      </w:r>
      <w:r w:rsidR="00A72ED8" w:rsidRPr="008949D0">
        <w:t xml:space="preserve">  It is standard practice for the PBO to include this information in its costings </w:t>
      </w:r>
      <w:r w:rsidR="00726A04" w:rsidRPr="008949D0">
        <w:t>when financial assets are purchased or sold</w:t>
      </w:r>
      <w:r w:rsidR="00A72ED8" w:rsidRPr="008949D0">
        <w:t>.</w:t>
      </w:r>
      <w:r w:rsidR="00EA1633">
        <w:rPr>
          <w:rStyle w:val="FootnoteReference"/>
        </w:rPr>
        <w:footnoteReference w:id="34"/>
      </w:r>
    </w:p>
    <w:p w:rsidR="006E475D" w:rsidRDefault="00B5120C" w:rsidP="00697C6D">
      <w:pPr>
        <w:pStyle w:val="Heading2"/>
      </w:pPr>
      <w:bookmarkStart w:id="34" w:name="_Toc35451920"/>
      <w:r w:rsidRPr="008949D0">
        <w:t>Reporting t</w:t>
      </w:r>
      <w:r w:rsidR="00DF35A8" w:rsidRPr="008949D0">
        <w:t xml:space="preserve">he expected </w:t>
      </w:r>
      <w:r w:rsidR="00A6724A" w:rsidRPr="008949D0">
        <w:t>financial</w:t>
      </w:r>
      <w:r w:rsidR="00A6724A">
        <w:t xml:space="preserve"> impacts</w:t>
      </w:r>
      <w:r w:rsidR="00A6724A" w:rsidRPr="00DF35A8">
        <w:t xml:space="preserve"> </w:t>
      </w:r>
      <w:r w:rsidR="00DF35A8" w:rsidRPr="00DF35A8">
        <w:t xml:space="preserve">of </w:t>
      </w:r>
      <w:r w:rsidR="00A6724A">
        <w:t>ongoing</w:t>
      </w:r>
      <w:r w:rsidR="00A6724A" w:rsidRPr="00DF35A8">
        <w:t xml:space="preserve"> </w:t>
      </w:r>
      <w:r w:rsidR="00A6724A">
        <w:t>programs</w:t>
      </w:r>
      <w:bookmarkEnd w:id="34"/>
    </w:p>
    <w:p w:rsidR="00E435AA" w:rsidRDefault="00A6724A" w:rsidP="008350C4">
      <w:pPr>
        <w:pStyle w:val="BodyText"/>
      </w:pPr>
      <w:r>
        <w:t xml:space="preserve">In addition to announcing new policies, budgets provide updated estimates of the ongoing </w:t>
      </w:r>
      <w:r w:rsidR="002D6050">
        <w:t xml:space="preserve">impact on the underlying cash balance for </w:t>
      </w:r>
      <w:r>
        <w:t>ex</w:t>
      </w:r>
      <w:r w:rsidR="00855003">
        <w:t xml:space="preserve">isting </w:t>
      </w:r>
      <w:r w:rsidR="00E560D2">
        <w:t>policy areas</w:t>
      </w:r>
      <w:r>
        <w:t xml:space="preserve">.  </w:t>
      </w:r>
    </w:p>
    <w:p w:rsidR="009B56C4" w:rsidRPr="0047129D" w:rsidRDefault="00110510" w:rsidP="008350C4">
      <w:pPr>
        <w:pStyle w:val="BodyText"/>
        <w:rPr>
          <w:spacing w:val="-1"/>
        </w:rPr>
      </w:pPr>
      <w:r w:rsidRPr="0047129D">
        <w:rPr>
          <w:spacing w:val="-1"/>
        </w:rPr>
        <w:t xml:space="preserve">In policy areas where there is a significant use of alternative financing arrangements, </w:t>
      </w:r>
      <w:r w:rsidR="00DB34F7" w:rsidRPr="0047129D">
        <w:rPr>
          <w:spacing w:val="-1"/>
        </w:rPr>
        <w:t xml:space="preserve">the </w:t>
      </w:r>
      <w:r w:rsidR="00DD3599" w:rsidRPr="0047129D">
        <w:rPr>
          <w:spacing w:val="-1"/>
        </w:rPr>
        <w:t>presentation</w:t>
      </w:r>
      <w:r w:rsidR="002D6050" w:rsidRPr="0047129D">
        <w:rPr>
          <w:spacing w:val="-1"/>
        </w:rPr>
        <w:t xml:space="preserve"> of only the underlying cash balance impact</w:t>
      </w:r>
      <w:r w:rsidR="00DD3599" w:rsidRPr="0047129D">
        <w:rPr>
          <w:spacing w:val="-1"/>
        </w:rPr>
        <w:t xml:space="preserve"> leaves </w:t>
      </w:r>
      <w:r w:rsidR="00B3349C" w:rsidRPr="0047129D">
        <w:rPr>
          <w:spacing w:val="-1"/>
        </w:rPr>
        <w:t xml:space="preserve">two </w:t>
      </w:r>
      <w:r w:rsidR="00DD3599" w:rsidRPr="0047129D">
        <w:rPr>
          <w:spacing w:val="-1"/>
        </w:rPr>
        <w:t>significant gaps</w:t>
      </w:r>
      <w:r w:rsidR="009B56C4" w:rsidRPr="0047129D">
        <w:rPr>
          <w:spacing w:val="-1"/>
        </w:rPr>
        <w:t xml:space="preserve">, as </w:t>
      </w:r>
      <w:r w:rsidR="00B3349C" w:rsidRPr="0047129D">
        <w:rPr>
          <w:spacing w:val="-1"/>
        </w:rPr>
        <w:t xml:space="preserve">discussed </w:t>
      </w:r>
      <w:r w:rsidR="009B56C4" w:rsidRPr="0047129D">
        <w:rPr>
          <w:spacing w:val="-1"/>
        </w:rPr>
        <w:t>below</w:t>
      </w:r>
      <w:r w:rsidR="00DD3599" w:rsidRPr="0047129D">
        <w:rPr>
          <w:spacing w:val="-1"/>
        </w:rPr>
        <w:t xml:space="preserve">.  </w:t>
      </w:r>
    </w:p>
    <w:p w:rsidR="009B56C4" w:rsidRDefault="009D0C34" w:rsidP="00B523F6">
      <w:pPr>
        <w:pStyle w:val="Heading3"/>
        <w:ind w:left="851" w:hanging="851"/>
      </w:pPr>
      <w:r>
        <w:t>E</w:t>
      </w:r>
      <w:r w:rsidR="00A72ED8">
        <w:t>xpected revaluation amounts</w:t>
      </w:r>
    </w:p>
    <w:p w:rsidR="00B62F1F" w:rsidRDefault="00B62F1F" w:rsidP="00B62F1F">
      <w:pPr>
        <w:pStyle w:val="BodyText"/>
      </w:pPr>
      <w:r w:rsidRPr="00B62F1F">
        <w:t xml:space="preserve">In the main budget documents, the </w:t>
      </w:r>
      <w:r w:rsidR="00152FA9">
        <w:t>cost</w:t>
      </w:r>
      <w:r w:rsidRPr="00B62F1F">
        <w:t xml:space="preserve"> of </w:t>
      </w:r>
      <w:r w:rsidRPr="009440F2">
        <w:t>current policy is</w:t>
      </w:r>
      <w:r w:rsidRPr="00B62F1F">
        <w:t xml:space="preserve"> presented as the impact on the </w:t>
      </w:r>
      <w:r w:rsidR="00EE0F65">
        <w:t>fiscal</w:t>
      </w:r>
      <w:r w:rsidRPr="00B62F1F">
        <w:t xml:space="preserve"> balance </w:t>
      </w:r>
      <w:r w:rsidRPr="009440F2">
        <w:t xml:space="preserve">in </w:t>
      </w:r>
      <w:r w:rsidRPr="00CC5EB9">
        <w:t>Budget Paper</w:t>
      </w:r>
      <w:r w:rsidR="00AD2790" w:rsidRPr="00CC5EB9">
        <w:t xml:space="preserve"> No.</w:t>
      </w:r>
      <w:r w:rsidRPr="00CC5EB9">
        <w:t xml:space="preserve"> 1</w:t>
      </w:r>
      <w:r w:rsidRPr="001C186C">
        <w:t>,</w:t>
      </w:r>
      <w:r w:rsidRPr="009440F2">
        <w:t xml:space="preserve"> Statement </w:t>
      </w:r>
      <w:r w:rsidR="00872DCA">
        <w:t>5 (in the 2019</w:t>
      </w:r>
      <w:r w:rsidR="00AD2790" w:rsidRPr="00BB3C94">
        <w:t>–</w:t>
      </w:r>
      <w:r w:rsidR="00872DCA">
        <w:t>20 Budget)</w:t>
      </w:r>
      <w:r w:rsidRPr="00B62F1F">
        <w:t>.  This Statement</w:t>
      </w:r>
      <w:r>
        <w:t xml:space="preserve"> provides forecasts o</w:t>
      </w:r>
      <w:r w:rsidR="00B3349C">
        <w:t>f</w:t>
      </w:r>
      <w:r>
        <w:t xml:space="preserve"> </w:t>
      </w:r>
      <w:r w:rsidR="00B3349C">
        <w:t>g</w:t>
      </w:r>
      <w:r>
        <w:t>overnment expenses by function (such as ‘social security and welfare’) and sub</w:t>
      </w:r>
      <w:r>
        <w:noBreakHyphen/>
        <w:t xml:space="preserve">function (such as ‘Assistance to the aged’).  </w:t>
      </w:r>
      <w:r w:rsidR="00AD2790">
        <w:t>Also listed separately are</w:t>
      </w:r>
      <w:r>
        <w:t xml:space="preserve"> the 20 largest programs by expense (such as ‘Income Support for </w:t>
      </w:r>
      <w:proofErr w:type="gramStart"/>
      <w:r>
        <w:t>Seniors</w:t>
      </w:r>
      <w:proofErr w:type="gramEnd"/>
      <w:r>
        <w:t xml:space="preserve">’).  </w:t>
      </w:r>
      <w:r w:rsidR="00AA7FDA">
        <w:t xml:space="preserve">The expense for each individual program is not shown, reflecting the </w:t>
      </w:r>
      <w:r>
        <w:t xml:space="preserve">trade-off in budget reporting between providing transparency and having documents that are not longer than necessary.  </w:t>
      </w:r>
    </w:p>
    <w:p w:rsidR="00A72ED8" w:rsidRDefault="009B56C4" w:rsidP="008350C4">
      <w:pPr>
        <w:pStyle w:val="BodyText"/>
      </w:pPr>
      <w:r>
        <w:t xml:space="preserve">The </w:t>
      </w:r>
      <w:r w:rsidR="00685615">
        <w:t xml:space="preserve">information presented on spending by policy area in Statement </w:t>
      </w:r>
      <w:r w:rsidR="00872DCA">
        <w:t xml:space="preserve">5 </w:t>
      </w:r>
      <w:r w:rsidR="00EE0F65">
        <w:t xml:space="preserve">may </w:t>
      </w:r>
      <w:r w:rsidR="00DD3599">
        <w:t>not capture the full</w:t>
      </w:r>
      <w:r w:rsidR="00685615">
        <w:t xml:space="preserve"> expected </w:t>
      </w:r>
      <w:r w:rsidR="00DD3599">
        <w:t>impact on net financial worth</w:t>
      </w:r>
      <w:r w:rsidR="00685615">
        <w:t xml:space="preserve"> when policies using alternative financing arrangements are employed, since </w:t>
      </w:r>
      <w:r w:rsidR="00EE0F65">
        <w:t xml:space="preserve">on some occasions there are </w:t>
      </w:r>
      <w:r w:rsidR="00AA7FDA">
        <w:t>expected</w:t>
      </w:r>
      <w:r w:rsidR="00685615">
        <w:t xml:space="preserve"> costs </w:t>
      </w:r>
      <w:r w:rsidR="00EE0F65">
        <w:t xml:space="preserve">that </w:t>
      </w:r>
      <w:r w:rsidR="00685615">
        <w:t>come in the form of revaluations</w:t>
      </w:r>
      <w:r w:rsidR="00110510">
        <w:t xml:space="preserve">.  </w:t>
      </w:r>
    </w:p>
    <w:p w:rsidR="00354D49" w:rsidRDefault="00DD3599" w:rsidP="008350C4">
      <w:pPr>
        <w:pStyle w:val="BodyText"/>
      </w:pPr>
      <w:r>
        <w:lastRenderedPageBreak/>
        <w:t xml:space="preserve">This makes it difficult to understand </w:t>
      </w:r>
      <w:r w:rsidR="00354D49">
        <w:t>how the cost</w:t>
      </w:r>
      <w:r w:rsidR="00685615">
        <w:t>s</w:t>
      </w:r>
      <w:r w:rsidR="00354D49">
        <w:t xml:space="preserve"> of</w:t>
      </w:r>
      <w:r>
        <w:t xml:space="preserve"> some </w:t>
      </w:r>
      <w:r w:rsidR="00DB34F7">
        <w:t xml:space="preserve">policy areas </w:t>
      </w:r>
      <w:r w:rsidR="001343BC">
        <w:t xml:space="preserve">are </w:t>
      </w:r>
      <w:r w:rsidR="00685615">
        <w:t>likely</w:t>
      </w:r>
      <w:r w:rsidR="001343BC">
        <w:t xml:space="preserve"> to change</w:t>
      </w:r>
      <w:r w:rsidR="00354D49">
        <w:t xml:space="preserve"> over </w:t>
      </w:r>
      <w:r w:rsidR="001343BC">
        <w:t>the forecast period</w:t>
      </w:r>
      <w:r w:rsidR="00354D49">
        <w:t>.</w:t>
      </w:r>
      <w:r w:rsidR="00746871" w:rsidRPr="00746871">
        <w:t xml:space="preserve"> </w:t>
      </w:r>
      <w:r w:rsidR="00AD2790">
        <w:t xml:space="preserve"> </w:t>
      </w:r>
      <w:r w:rsidR="00746871">
        <w:t xml:space="preserve">In many cases, revaluations are unknown and are not forecast, but there are cases </w:t>
      </w:r>
      <w:r w:rsidR="00746871" w:rsidRPr="00571405">
        <w:t>such as</w:t>
      </w:r>
      <w:r w:rsidR="00485D2B">
        <w:t xml:space="preserve"> some</w:t>
      </w:r>
      <w:r w:rsidR="00746871" w:rsidRPr="00571405">
        <w:t xml:space="preserve"> loan programs where revaluations can be estimated.  </w:t>
      </w:r>
    </w:p>
    <w:p w:rsidR="0012257A" w:rsidRPr="00B568C6" w:rsidRDefault="0012257A" w:rsidP="0012257A">
      <w:pPr>
        <w:pStyle w:val="BodyText"/>
      </w:pPr>
      <w:r w:rsidRPr="00B568C6">
        <w:t xml:space="preserve">Consideration should be given to including information on expected </w:t>
      </w:r>
      <w:proofErr w:type="gramStart"/>
      <w:r w:rsidRPr="00B568C6">
        <w:t>revaluations,</w:t>
      </w:r>
      <w:proofErr w:type="gramEnd"/>
      <w:r w:rsidRPr="00B568C6">
        <w:t xml:space="preserve"> where known</w:t>
      </w:r>
      <w:r w:rsidR="00A5404B">
        <w:t xml:space="preserve"> or able to be estimated</w:t>
      </w:r>
      <w:r w:rsidRPr="00B568C6">
        <w:t xml:space="preserve"> (for example, in relation to HELP), recognising that there will be instances where this is not possible.  This could be achieved in Budget Paper No. 1 by:</w:t>
      </w:r>
    </w:p>
    <w:p w:rsidR="0012257A" w:rsidRPr="001C6532" w:rsidRDefault="0012257A" w:rsidP="001023B5">
      <w:pPr>
        <w:pStyle w:val="PullOutBoxBullet"/>
        <w:ind w:left="284"/>
        <w:rPr>
          <w:b w:val="0"/>
          <w:i w:val="0"/>
          <w:color w:val="auto"/>
        </w:rPr>
      </w:pPr>
      <w:r w:rsidRPr="001C6532">
        <w:rPr>
          <w:b w:val="0"/>
          <w:i w:val="0"/>
          <w:color w:val="auto"/>
        </w:rPr>
        <w:t xml:space="preserve">showing a detailed breakdown of forecast revaluations </w:t>
      </w:r>
    </w:p>
    <w:p w:rsidR="0012257A" w:rsidRPr="001C6532" w:rsidRDefault="0012257A" w:rsidP="001023B5">
      <w:pPr>
        <w:pStyle w:val="PullOutBoxBullet"/>
        <w:ind w:left="284"/>
        <w:rPr>
          <w:b w:val="0"/>
          <w:i w:val="0"/>
          <w:color w:val="auto"/>
        </w:rPr>
      </w:pPr>
      <w:r w:rsidRPr="001C6532">
        <w:rPr>
          <w:b w:val="0"/>
          <w:i w:val="0"/>
          <w:color w:val="auto"/>
        </w:rPr>
        <w:t>including a section showing the forecast effect of revaluations on net financial worth by policy area</w:t>
      </w:r>
    </w:p>
    <w:p w:rsidR="0012257A" w:rsidRPr="001C6532" w:rsidRDefault="0012257A" w:rsidP="001023B5">
      <w:pPr>
        <w:pStyle w:val="PullOutBoxBullet"/>
        <w:ind w:left="284"/>
        <w:rPr>
          <w:b w:val="0"/>
          <w:i w:val="0"/>
          <w:color w:val="auto"/>
        </w:rPr>
      </w:pPr>
      <w:proofErr w:type="gramStart"/>
      <w:r w:rsidRPr="001C6532">
        <w:rPr>
          <w:b w:val="0"/>
          <w:i w:val="0"/>
          <w:color w:val="auto"/>
        </w:rPr>
        <w:t>including</w:t>
      </w:r>
      <w:proofErr w:type="gramEnd"/>
      <w:r w:rsidRPr="001C6532">
        <w:rPr>
          <w:b w:val="0"/>
          <w:i w:val="0"/>
          <w:color w:val="auto"/>
        </w:rPr>
        <w:t xml:space="preserve"> a section showing forecast revaluations at a program level where the expected revaluation is greater than $200 million over the forward estimates period.  </w:t>
      </w:r>
    </w:p>
    <w:p w:rsidR="009B56C4" w:rsidRPr="00571405" w:rsidRDefault="009D0C34" w:rsidP="00B523F6">
      <w:pPr>
        <w:pStyle w:val="Heading3"/>
        <w:ind w:left="851" w:hanging="851"/>
      </w:pPr>
      <w:r w:rsidRPr="00571405">
        <w:t>P</w:t>
      </w:r>
      <w:r w:rsidR="009B56C4" w:rsidRPr="00571405">
        <w:t xml:space="preserve">otential cost of </w:t>
      </w:r>
      <w:r w:rsidR="00C452BC" w:rsidRPr="00571405">
        <w:t xml:space="preserve">government </w:t>
      </w:r>
      <w:r w:rsidR="009B56C4" w:rsidRPr="00571405">
        <w:t>guarantees</w:t>
      </w:r>
    </w:p>
    <w:p w:rsidR="009D0C34" w:rsidRPr="00571405" w:rsidRDefault="00AA7FDA" w:rsidP="009440F2">
      <w:pPr>
        <w:pStyle w:val="BodyText"/>
      </w:pPr>
      <w:r w:rsidRPr="00571405">
        <w:t xml:space="preserve">The Statement of Risks in the budget documents </w:t>
      </w:r>
      <w:r w:rsidR="00701A13" w:rsidRPr="00571405">
        <w:t>(</w:t>
      </w:r>
      <w:r w:rsidR="00701A13" w:rsidRPr="00CC5EB9">
        <w:t xml:space="preserve">Budget Paper </w:t>
      </w:r>
      <w:r w:rsidR="00AD2790" w:rsidRPr="00CC5EB9">
        <w:t xml:space="preserve">No. </w:t>
      </w:r>
      <w:r w:rsidR="00701A13" w:rsidRPr="00CC5EB9">
        <w:t>1</w:t>
      </w:r>
      <w:r w:rsidR="00701A13" w:rsidRPr="001C186C">
        <w:t>,</w:t>
      </w:r>
      <w:r w:rsidR="00701A13" w:rsidRPr="00571405">
        <w:t xml:space="preserve"> Statement 8) </w:t>
      </w:r>
      <w:r w:rsidRPr="00571405">
        <w:t xml:space="preserve">provides some information on the guarantees that the </w:t>
      </w:r>
      <w:r w:rsidR="00C452BC" w:rsidRPr="00571405">
        <w:t xml:space="preserve">government </w:t>
      </w:r>
      <w:r w:rsidRPr="00571405">
        <w:t xml:space="preserve">currently offers – some are quantifiable and some are not.  </w:t>
      </w:r>
      <w:r w:rsidR="00485D2B">
        <w:t>Some, but not all, relate to alternative financing arrangements.</w:t>
      </w:r>
    </w:p>
    <w:p w:rsidR="00AA7FDA" w:rsidRDefault="00AA7FDA" w:rsidP="009440F2">
      <w:pPr>
        <w:pStyle w:val="BodyText"/>
      </w:pPr>
      <w:r w:rsidRPr="00571405">
        <w:t xml:space="preserve">Of the quantifiable guarantees, the amount that is covered is not always shown.  For example, the </w:t>
      </w:r>
      <w:r w:rsidR="00C452BC" w:rsidRPr="00571405">
        <w:t>g</w:t>
      </w:r>
      <w:r w:rsidRPr="00571405">
        <w:t>overnment offers an Accommodation Payment Guarantee Scheme for resid</w:t>
      </w:r>
      <w:r w:rsidR="00701A13" w:rsidRPr="00571405">
        <w:t>ents of aged care facilities.  As of 30 June 2019, t</w:t>
      </w:r>
      <w:r w:rsidRPr="00571405">
        <w:t xml:space="preserve">he </w:t>
      </w:r>
      <w:r w:rsidR="002A1787" w:rsidRPr="00571405">
        <w:t>total potential exposure</w:t>
      </w:r>
      <w:r w:rsidR="00701A13" w:rsidRPr="00571405">
        <w:t xml:space="preserve"> for this </w:t>
      </w:r>
      <w:r w:rsidR="001800D8">
        <w:t>S</w:t>
      </w:r>
      <w:r w:rsidR="00701A13" w:rsidRPr="00571405">
        <w:t xml:space="preserve">cheme </w:t>
      </w:r>
      <w:r w:rsidR="009A02B5" w:rsidRPr="00571405">
        <w:t>was</w:t>
      </w:r>
      <w:r w:rsidR="00701A13" w:rsidRPr="00571405">
        <w:t xml:space="preserve"> $27.5 billion.</w:t>
      </w:r>
      <w:r w:rsidR="00693AD1" w:rsidRPr="00571405">
        <w:rPr>
          <w:rStyle w:val="FootnoteReference"/>
        </w:rPr>
        <w:footnoteReference w:id="35"/>
      </w:r>
      <w:r w:rsidR="00701A13" w:rsidRPr="00571405">
        <w:t xml:space="preserve">  However, this amount was not shown in the description in the Statement of Risks</w:t>
      </w:r>
      <w:r w:rsidR="009A02B5" w:rsidRPr="00571405">
        <w:t xml:space="preserve"> in the </w:t>
      </w:r>
      <w:r w:rsidR="00AD2790">
        <w:br/>
      </w:r>
      <w:r w:rsidR="009A02B5" w:rsidRPr="00571405">
        <w:t>2019</w:t>
      </w:r>
      <w:r w:rsidR="002E2CA8" w:rsidRPr="00571405">
        <w:t>–</w:t>
      </w:r>
      <w:r w:rsidR="009A02B5" w:rsidRPr="00571405">
        <w:t>20 </w:t>
      </w:r>
      <w:r w:rsidR="00701A13" w:rsidRPr="00571405">
        <w:t>Budget.</w:t>
      </w:r>
    </w:p>
    <w:p w:rsidR="0012257A" w:rsidRDefault="0012257A" w:rsidP="009440F2">
      <w:pPr>
        <w:pStyle w:val="BodyText"/>
      </w:pPr>
      <w:r w:rsidRPr="00571405">
        <w:t xml:space="preserve">Consideration could be given to including a table on guarantees in the </w:t>
      </w:r>
      <w:r>
        <w:t>S</w:t>
      </w:r>
      <w:r w:rsidRPr="00571405">
        <w:t xml:space="preserve">tatement of </w:t>
      </w:r>
      <w:r>
        <w:t>R</w:t>
      </w:r>
      <w:r w:rsidRPr="00571405">
        <w:t>isks that include</w:t>
      </w:r>
      <w:r w:rsidR="001800D8">
        <w:t>s</w:t>
      </w:r>
      <w:r w:rsidRPr="00571405">
        <w:t xml:space="preserve"> both the total potential exposure and the expected value of the exposure.</w:t>
      </w:r>
      <w:r w:rsidRPr="00571405">
        <w:rPr>
          <w:rStyle w:val="FootnoteReference"/>
        </w:rPr>
        <w:footnoteReference w:id="36"/>
      </w:r>
      <w:r w:rsidRPr="00571405">
        <w:t xml:space="preserve">    </w:t>
      </w:r>
      <w:r w:rsidRPr="0041763D">
        <w:t xml:space="preserve"> </w:t>
      </w:r>
    </w:p>
    <w:p w:rsidR="000E37B3" w:rsidRDefault="00E3477E" w:rsidP="009B2C20">
      <w:pPr>
        <w:pStyle w:val="Heading2"/>
      </w:pPr>
      <w:bookmarkStart w:id="35" w:name="_Toc35451921"/>
      <w:r>
        <w:t xml:space="preserve">Supporting assessments of </w:t>
      </w:r>
      <w:r w:rsidR="00CE39FF">
        <w:t>existing and historical policy</w:t>
      </w:r>
      <w:r>
        <w:t xml:space="preserve"> outcomes</w:t>
      </w:r>
      <w:bookmarkEnd w:id="35"/>
    </w:p>
    <w:p w:rsidR="007F42EA" w:rsidRDefault="008A3AD0" w:rsidP="009B2C20">
      <w:pPr>
        <w:pStyle w:val="BodyText"/>
      </w:pPr>
      <w:r>
        <w:t>To help inform policy decision</w:t>
      </w:r>
      <w:r w:rsidR="001800D8">
        <w:t>s</w:t>
      </w:r>
      <w:r>
        <w:t xml:space="preserve">, it is useful for </w:t>
      </w:r>
      <w:r w:rsidR="00B3349C">
        <w:t xml:space="preserve">parliamentarians </w:t>
      </w:r>
      <w:r>
        <w:t>to be able to see</w:t>
      </w:r>
      <w:r w:rsidR="00BB4521">
        <w:t xml:space="preserve"> the outcomes of polic</w:t>
      </w:r>
      <w:r>
        <w:t>ies</w:t>
      </w:r>
      <w:r w:rsidR="00BB4521">
        <w:t xml:space="preserve">.  </w:t>
      </w:r>
    </w:p>
    <w:p w:rsidR="00FC2B84" w:rsidRPr="001800D8" w:rsidRDefault="009B2C20" w:rsidP="009B2C20">
      <w:pPr>
        <w:pStyle w:val="BodyText"/>
      </w:pPr>
      <w:r>
        <w:t xml:space="preserve">The </w:t>
      </w:r>
      <w:r w:rsidR="00485D2B">
        <w:t xml:space="preserve">most comprehensive </w:t>
      </w:r>
      <w:r>
        <w:t xml:space="preserve">document for reporting outcomes </w:t>
      </w:r>
      <w:r w:rsidR="008F42EE">
        <w:t xml:space="preserve">is </w:t>
      </w:r>
      <w:r w:rsidR="008F42EE" w:rsidRPr="001800D8">
        <w:t xml:space="preserve">the </w:t>
      </w:r>
      <w:r w:rsidR="00485D2B" w:rsidRPr="00CC5EB9">
        <w:t>Consolidated Financial Statements</w:t>
      </w:r>
      <w:r w:rsidR="00043D8D" w:rsidRPr="001800D8">
        <w:t xml:space="preserve">, </w:t>
      </w:r>
      <w:r w:rsidR="007F42EA" w:rsidRPr="001800D8">
        <w:t xml:space="preserve">which </w:t>
      </w:r>
      <w:r w:rsidR="00485D2B" w:rsidRPr="001800D8">
        <w:t xml:space="preserve">are audited and include information on both the general government sector and the government as a whole.  Alternatively, the </w:t>
      </w:r>
      <w:r w:rsidR="00FC2B84" w:rsidRPr="00CC5EB9">
        <w:t>Final Budget Outcome</w:t>
      </w:r>
      <w:r w:rsidR="00FC2B84" w:rsidRPr="001800D8">
        <w:t xml:space="preserve"> </w:t>
      </w:r>
      <w:r w:rsidR="00485D2B" w:rsidRPr="001800D8">
        <w:t>is prepared on the same basis as the budget documents, and is released within three months of the end of each financial year.</w:t>
      </w:r>
      <w:r w:rsidR="00FC2B84" w:rsidRPr="001800D8">
        <w:t xml:space="preserve">  </w:t>
      </w:r>
    </w:p>
    <w:p w:rsidR="007F42EA" w:rsidRPr="001800D8" w:rsidRDefault="007F42EA" w:rsidP="00F55884">
      <w:pPr>
        <w:pStyle w:val="Heading3"/>
        <w:ind w:left="765"/>
      </w:pPr>
      <w:r w:rsidRPr="001800D8">
        <w:t>Disaggregation of revaluation-related information</w:t>
      </w:r>
    </w:p>
    <w:p w:rsidR="007F42EA" w:rsidRDefault="007F42EA" w:rsidP="007F42EA">
      <w:pPr>
        <w:pStyle w:val="BodyText"/>
      </w:pPr>
      <w:r w:rsidRPr="001800D8">
        <w:t xml:space="preserve">The </w:t>
      </w:r>
      <w:r w:rsidRPr="00CC5EB9">
        <w:t>Final Budget Outcome</w:t>
      </w:r>
      <w:r w:rsidRPr="001800D8">
        <w:t xml:space="preserve"> estimates of net financial worth include</w:t>
      </w:r>
      <w:r>
        <w:t xml:space="preserve"> all revaluations.  The document</w:t>
      </w:r>
      <w:r w:rsidR="004259BB">
        <w:t>s</w:t>
      </w:r>
      <w:r>
        <w:t xml:space="preserve"> also </w:t>
      </w:r>
      <w:r w:rsidR="004259BB">
        <w:t>have</w:t>
      </w:r>
      <w:r>
        <w:t xml:space="preserve"> breakdown</w:t>
      </w:r>
      <w:r w:rsidR="004259BB">
        <w:t>s</w:t>
      </w:r>
      <w:r>
        <w:t xml:space="preserve"> (with varying degrees of policy detail) of </w:t>
      </w:r>
      <w:r w:rsidRPr="008E383C">
        <w:t>‘net cash flows from investments in financial assets for policy purposes’</w:t>
      </w:r>
      <w:r>
        <w:t>, giving an</w:t>
      </w:r>
      <w:r w:rsidRPr="008E383C">
        <w:t xml:space="preserve"> indication of how much cash is flowing toward policies using alternative financing arrangements.  </w:t>
      </w:r>
    </w:p>
    <w:p w:rsidR="00F06BFF" w:rsidRDefault="006E78E3" w:rsidP="00BD04B9">
      <w:pPr>
        <w:pStyle w:val="BodyText"/>
        <w:keepLines/>
      </w:pPr>
      <w:r>
        <w:lastRenderedPageBreak/>
        <w:t>T</w:t>
      </w:r>
      <w:r w:rsidR="00FC1ECE">
        <w:t xml:space="preserve">he </w:t>
      </w:r>
      <w:r w:rsidR="004259BB">
        <w:t>documents do</w:t>
      </w:r>
      <w:r w:rsidR="008A6234">
        <w:t xml:space="preserve"> not disaggregate revaluations in</w:t>
      </w:r>
      <w:r w:rsidR="00FC1ECE">
        <w:t xml:space="preserve"> a way that allows the reader to understand the impact of polic</w:t>
      </w:r>
      <w:r w:rsidR="008A6234">
        <w:t>y</w:t>
      </w:r>
      <w:r w:rsidR="00FC1ECE">
        <w:t xml:space="preserve"> on the Commonwealth</w:t>
      </w:r>
      <w:r w:rsidR="003B646A">
        <w:t> Government</w:t>
      </w:r>
      <w:r w:rsidR="00FC1ECE">
        <w:t>’s fiscal position</w:t>
      </w:r>
      <w:r w:rsidR="008A6234">
        <w:t xml:space="preserve"> when alternative financing arrangements are used</w:t>
      </w:r>
      <w:r w:rsidR="00FC1ECE">
        <w:t xml:space="preserve">. </w:t>
      </w:r>
      <w:r w:rsidR="00AD2F3A">
        <w:t xml:space="preserve"> In particular, no distinction is drawn </w:t>
      </w:r>
      <w:r w:rsidR="00FC093F">
        <w:t xml:space="preserve">between different drivers of </w:t>
      </w:r>
      <w:r w:rsidR="003E7EF9">
        <w:t>revaluations</w:t>
      </w:r>
      <w:r w:rsidR="00AD2F3A">
        <w:t>.  Furthermore, the available information on revaluations is not disaggregated by policy area</w:t>
      </w:r>
      <w:r w:rsidR="00AD2F3A" w:rsidRPr="00AD2F3A">
        <w:t xml:space="preserve"> </w:t>
      </w:r>
      <w:r w:rsidR="00F06BFF">
        <w:t xml:space="preserve">or provided at a major </w:t>
      </w:r>
      <w:r w:rsidR="00AD2F3A">
        <w:t xml:space="preserve">program </w:t>
      </w:r>
      <w:r w:rsidR="00F06BFF">
        <w:t>level</w:t>
      </w:r>
      <w:r w:rsidR="00AD2F3A">
        <w:t>.</w:t>
      </w:r>
    </w:p>
    <w:p w:rsidR="0012257A" w:rsidRDefault="00A5404B" w:rsidP="0012257A">
      <w:pPr>
        <w:pStyle w:val="BodyText"/>
      </w:pPr>
      <w:r>
        <w:t>R</w:t>
      </w:r>
      <w:r w:rsidR="0012257A">
        <w:t xml:space="preserve">eporting the components of </w:t>
      </w:r>
      <w:r w:rsidR="0012257A" w:rsidRPr="001800D8">
        <w:t xml:space="preserve">revaluations in either the </w:t>
      </w:r>
      <w:r w:rsidR="0012257A" w:rsidRPr="00DA57C4">
        <w:t xml:space="preserve">Final Budget Outcome </w:t>
      </w:r>
      <w:r w:rsidR="0012257A" w:rsidRPr="001800D8">
        <w:t>or the</w:t>
      </w:r>
      <w:r w:rsidR="0012257A" w:rsidRPr="00DA57C4">
        <w:t xml:space="preserve"> Consolidated Financial Statements</w:t>
      </w:r>
      <w:r>
        <w:t xml:space="preserve"> </w:t>
      </w:r>
      <w:r w:rsidR="0012257A">
        <w:t xml:space="preserve">could be achieved by </w:t>
      </w:r>
      <w:r w:rsidR="00EA67F7">
        <w:t xml:space="preserve">including </w:t>
      </w:r>
      <w:r w:rsidR="0012257A">
        <w:t>revaluations at a project or program level</w:t>
      </w:r>
      <w:r w:rsidR="00EA67F7">
        <w:t>.  This could consist of:</w:t>
      </w:r>
    </w:p>
    <w:p w:rsidR="0012257A" w:rsidRPr="001C6532" w:rsidRDefault="0012257A" w:rsidP="001023B5">
      <w:pPr>
        <w:pStyle w:val="PullOutBoxBullet"/>
        <w:ind w:left="284"/>
        <w:rPr>
          <w:b w:val="0"/>
          <w:i w:val="0"/>
          <w:color w:val="auto"/>
        </w:rPr>
      </w:pPr>
      <w:r w:rsidRPr="001C6532">
        <w:rPr>
          <w:b w:val="0"/>
          <w:i w:val="0"/>
          <w:color w:val="auto"/>
        </w:rPr>
        <w:t xml:space="preserve">revaluations separated into those for newly acquired financial assets and for existing financial assets, where relevant  </w:t>
      </w:r>
    </w:p>
    <w:p w:rsidR="0012257A" w:rsidRPr="001C6532" w:rsidRDefault="001800D8" w:rsidP="00B523F6">
      <w:pPr>
        <w:pStyle w:val="PullOutBoxBullet2"/>
        <w:ind w:left="567"/>
        <w:rPr>
          <w:b w:val="0"/>
          <w:i w:val="0"/>
          <w:color w:val="auto"/>
        </w:rPr>
      </w:pPr>
      <w:r>
        <w:rPr>
          <w:b w:val="0"/>
          <w:i w:val="0"/>
          <w:color w:val="auto"/>
        </w:rPr>
        <w:t>F</w:t>
      </w:r>
      <w:r w:rsidRPr="001C6532">
        <w:rPr>
          <w:b w:val="0"/>
          <w:i w:val="0"/>
          <w:color w:val="auto"/>
        </w:rPr>
        <w:t xml:space="preserve">or </w:t>
      </w:r>
      <w:r w:rsidR="0012257A" w:rsidRPr="001C6532">
        <w:rPr>
          <w:b w:val="0"/>
          <w:i w:val="0"/>
          <w:color w:val="auto"/>
        </w:rPr>
        <w:t>example, when reporting on revaluations for HELP loans in 2019–20, this could show revaluations associated with new HELP loans issued in 2019–20 separately from revaluations associated with the stock of HELP loans as at 30 June 2019</w:t>
      </w:r>
      <w:r>
        <w:rPr>
          <w:b w:val="0"/>
          <w:i w:val="0"/>
          <w:color w:val="auto"/>
        </w:rPr>
        <w:t>.</w:t>
      </w:r>
    </w:p>
    <w:p w:rsidR="0012257A" w:rsidRPr="001C6532" w:rsidRDefault="0012257A" w:rsidP="001023B5">
      <w:pPr>
        <w:pStyle w:val="PullOutBoxBullet"/>
        <w:ind w:left="284"/>
        <w:rPr>
          <w:b w:val="0"/>
          <w:i w:val="0"/>
          <w:color w:val="auto"/>
        </w:rPr>
      </w:pPr>
      <w:r w:rsidRPr="001C6532">
        <w:rPr>
          <w:b w:val="0"/>
          <w:i w:val="0"/>
          <w:color w:val="auto"/>
        </w:rPr>
        <w:t xml:space="preserve">a discussion on the drivers of revaluations, such as changes in market prices, exchange rates and actuarial revaluations </w:t>
      </w:r>
    </w:p>
    <w:p w:rsidR="0012257A" w:rsidRPr="001C6532" w:rsidRDefault="0012257A" w:rsidP="001023B5">
      <w:pPr>
        <w:pStyle w:val="PullOutBoxBullet"/>
        <w:ind w:left="284"/>
        <w:rPr>
          <w:b w:val="0"/>
          <w:i w:val="0"/>
          <w:color w:val="auto"/>
        </w:rPr>
      </w:pPr>
      <w:r w:rsidRPr="001C6532">
        <w:rPr>
          <w:b w:val="0"/>
          <w:i w:val="0"/>
          <w:color w:val="auto"/>
        </w:rPr>
        <w:t>a summary of revaluations for all Commonwealth Government financial assets that involved cumulative equity injections greater than $200 million, showing the cumulative equity injected and the most recent fair value estimate of the entity.</w:t>
      </w:r>
    </w:p>
    <w:p w:rsidR="000F352E" w:rsidRDefault="000F352E" w:rsidP="000F352E">
      <w:pPr>
        <w:pStyle w:val="Heading2"/>
      </w:pPr>
      <w:bookmarkStart w:id="36" w:name="_Toc35249812"/>
      <w:bookmarkStart w:id="37" w:name="_Toc35249813"/>
      <w:bookmarkStart w:id="38" w:name="_Toc35249814"/>
      <w:bookmarkStart w:id="39" w:name="_Toc35249815"/>
      <w:bookmarkStart w:id="40" w:name="_Toc35249816"/>
      <w:bookmarkStart w:id="41" w:name="_Toc35249817"/>
      <w:bookmarkStart w:id="42" w:name="_Toc35249818"/>
      <w:bookmarkStart w:id="43" w:name="_Toc35249819"/>
      <w:bookmarkStart w:id="44" w:name="_Toc35249840"/>
      <w:bookmarkStart w:id="45" w:name="_Toc24107825"/>
      <w:bookmarkStart w:id="46" w:name="_Toc2611075"/>
      <w:bookmarkStart w:id="47" w:name="_Toc2607351"/>
      <w:bookmarkStart w:id="48" w:name="_Toc2611078"/>
      <w:bookmarkStart w:id="49" w:name="_Toc2607352"/>
      <w:bookmarkStart w:id="50" w:name="_Toc2611079"/>
      <w:bookmarkStart w:id="51" w:name="_Toc2607353"/>
      <w:bookmarkStart w:id="52" w:name="_Toc2611080"/>
      <w:bookmarkStart w:id="53" w:name="_Toc2607376"/>
      <w:bookmarkStart w:id="54" w:name="_Toc2611103"/>
      <w:bookmarkStart w:id="55" w:name="_Toc2607377"/>
      <w:bookmarkStart w:id="56" w:name="_Toc2611104"/>
      <w:bookmarkStart w:id="57" w:name="_Toc2607378"/>
      <w:bookmarkStart w:id="58" w:name="_Toc2611105"/>
      <w:bookmarkStart w:id="59" w:name="_Toc2607379"/>
      <w:bookmarkStart w:id="60" w:name="_Toc2611106"/>
      <w:bookmarkStart w:id="61" w:name="_Toc35249841"/>
      <w:bookmarkStart w:id="62" w:name="_Toc35249860"/>
      <w:bookmarkStart w:id="63" w:name="_Toc3545192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Taking a broader assessment of key budget aggregates</w:t>
      </w:r>
      <w:bookmarkEnd w:id="63"/>
    </w:p>
    <w:p w:rsidR="000F352E" w:rsidRDefault="000F352E" w:rsidP="000F352E">
      <w:pPr>
        <w:pStyle w:val="BodyText"/>
        <w:spacing w:before="0" w:after="120"/>
      </w:pPr>
      <w:r>
        <w:t>In conclusion, alternative financing arrangements are becoming a more significant feature of budget financing than they have been in the past.  I</w:t>
      </w:r>
      <w:r w:rsidRPr="000E5DDB">
        <w:t xml:space="preserve">f the use of </w:t>
      </w:r>
      <w:r w:rsidRPr="004F3395">
        <w:t xml:space="preserve">alternative financing arrangements continues to grow without a change to reporting practices, </w:t>
      </w:r>
      <w:r w:rsidRPr="00E70749">
        <w:t xml:space="preserve">a larger share of government spending </w:t>
      </w:r>
      <w:r>
        <w:t>would</w:t>
      </w:r>
      <w:r w:rsidRPr="00E70749">
        <w:t xml:space="preserve"> </w:t>
      </w:r>
      <w:r>
        <w:t>be difficult to scrutinise, which could pose risks to</w:t>
      </w:r>
      <w:r w:rsidRPr="00E70749">
        <w:t xml:space="preserve"> the Commonwealth</w:t>
      </w:r>
      <w:r>
        <w:t> Government</w:t>
      </w:r>
      <w:r w:rsidRPr="00E70749">
        <w:t xml:space="preserve">’s fiscal </w:t>
      </w:r>
      <w:r>
        <w:t>position over the longer term</w:t>
      </w:r>
      <w:r w:rsidRPr="00E70749">
        <w:t>.</w:t>
      </w:r>
      <w:r w:rsidRPr="004F3395">
        <w:t> </w:t>
      </w:r>
    </w:p>
    <w:p w:rsidR="000F352E" w:rsidRDefault="000F352E" w:rsidP="000F352E">
      <w:pPr>
        <w:pStyle w:val="BodyText"/>
      </w:pPr>
      <w:r>
        <w:t xml:space="preserve">This suggests that it is timely to review the current budget reporting mechanisms that are well established in relation to transactions but less </w:t>
      </w:r>
      <w:r w:rsidR="00914944">
        <w:t xml:space="preserve">detailed </w:t>
      </w:r>
      <w:r>
        <w:t xml:space="preserve">for revaluations.  Providing information on the full </w:t>
      </w:r>
      <w:r w:rsidR="00914944">
        <w:t>fiscal</w:t>
      </w:r>
      <w:r w:rsidR="00914944" w:rsidRPr="00A74AF0">
        <w:t xml:space="preserve"> </w:t>
      </w:r>
      <w:r w:rsidRPr="00E21171">
        <w:t>costs and risks</w:t>
      </w:r>
      <w:r w:rsidRPr="00A74AF0">
        <w:t xml:space="preserve"> </w:t>
      </w:r>
      <w:r w:rsidRPr="00D619CE">
        <w:t>(whether</w:t>
      </w:r>
      <w:r>
        <w:t xml:space="preserve"> estimated or realised) for all significant areas of spending in an accessible way would assist</w:t>
      </w:r>
      <w:r w:rsidRPr="00AB34F4">
        <w:t xml:space="preserve"> </w:t>
      </w:r>
      <w:r w:rsidRPr="00BF19BB">
        <w:t xml:space="preserve">parliamentarians and </w:t>
      </w:r>
      <w:r w:rsidRPr="000E5DDB">
        <w:t xml:space="preserve">the </w:t>
      </w:r>
      <w:r w:rsidRPr="00BF19BB">
        <w:t xml:space="preserve">public to make informed judgements about </w:t>
      </w:r>
      <w:r>
        <w:t>policies</w:t>
      </w:r>
      <w:r w:rsidRPr="000E5DDB">
        <w:t xml:space="preserve">. </w:t>
      </w:r>
      <w:r>
        <w:t xml:space="preserve"> A summary of the PBO’s suggestions for possible enhancements to budget reporting is provided in Table 4.</w:t>
      </w:r>
    </w:p>
    <w:p w:rsidR="000F352E" w:rsidRDefault="000F352E" w:rsidP="000F352E">
      <w:pPr>
        <w:pStyle w:val="BodyText"/>
      </w:pPr>
      <w:r>
        <w:t xml:space="preserve">Notwithstanding the scope to provide more transparency around alternative financing arrangements, the use of different financing arrangements reinforces the importance of reviewing a range of budget indicators in order to form an assessment of the overall fiscal position.  </w:t>
      </w:r>
    </w:p>
    <w:p w:rsidR="000F352E" w:rsidRDefault="000F352E" w:rsidP="000F352E">
      <w:pPr>
        <w:pStyle w:val="BodyText"/>
      </w:pPr>
      <w:r>
        <w:t xml:space="preserve">In this regard, the fiscal and underlying cash balances, while important ways to assess budget </w:t>
      </w:r>
      <w:proofErr w:type="gramStart"/>
      <w:r>
        <w:t>management,</w:t>
      </w:r>
      <w:proofErr w:type="gramEnd"/>
      <w:r>
        <w:t xml:space="preserve"> should not be viewed in isolation.  Other reported aggregates, such as net financial worth, net worth and net debt, should also be considered to form a complete picture of the health of the balance sheet.  </w:t>
      </w:r>
    </w:p>
    <w:p w:rsidR="000F352E" w:rsidRDefault="000F352E" w:rsidP="000F352E">
      <w:pPr>
        <w:pStyle w:val="BodyText"/>
      </w:pPr>
      <w:r>
        <w:t>It is worth noting that Australia’s</w:t>
      </w:r>
      <w:r w:rsidR="008A3AD0">
        <w:t xml:space="preserve"> current</w:t>
      </w:r>
      <w:r>
        <w:t xml:space="preserve"> fiscal position is significantly stronger than many other countries and</w:t>
      </w:r>
      <w:r w:rsidR="008A3AD0">
        <w:t xml:space="preserve"> </w:t>
      </w:r>
      <w:r w:rsidR="00914944">
        <w:t xml:space="preserve">could reasonably </w:t>
      </w:r>
      <w:r>
        <w:t>be considered sustainable</w:t>
      </w:r>
      <w:r w:rsidR="00914944">
        <w:t xml:space="preserve"> by any </w:t>
      </w:r>
      <w:r w:rsidR="0064317A">
        <w:t xml:space="preserve">budget </w:t>
      </w:r>
      <w:r w:rsidR="00914944">
        <w:t>metric</w:t>
      </w:r>
      <w:r>
        <w:t>.</w:t>
      </w:r>
    </w:p>
    <w:p w:rsidR="000F352E" w:rsidRDefault="000F352E" w:rsidP="000F352E">
      <w:pPr>
        <w:pStyle w:val="Caption"/>
      </w:pPr>
    </w:p>
    <w:p w:rsidR="000F352E" w:rsidRPr="004259BB" w:rsidRDefault="000F352E" w:rsidP="000F352E">
      <w:pPr>
        <w:pStyle w:val="Caption"/>
      </w:pPr>
      <w:r>
        <w:t>Table 4</w:t>
      </w:r>
      <w:r w:rsidRPr="007B1C20">
        <w:t>:</w:t>
      </w:r>
      <w:r>
        <w:t xml:space="preserve"> Possible enhancements to budget reporting –</w:t>
      </w:r>
      <w:r w:rsidR="0058127B">
        <w:t xml:space="preserve"> </w:t>
      </w:r>
      <w:r>
        <w:t>summary</w:t>
      </w:r>
    </w:p>
    <w:tbl>
      <w:tblPr>
        <w:tblStyle w:val="PullOutBoxTable"/>
        <w:tblW w:w="5000" w:type="pct"/>
        <w:tblBorders>
          <w:top w:val="single" w:sz="4" w:space="0" w:color="3D4D7D" w:themeColor="background2"/>
          <w:left w:val="single" w:sz="4" w:space="0" w:color="3D4D7D" w:themeColor="background2"/>
          <w:bottom w:val="single" w:sz="4" w:space="0" w:color="3D4D7D" w:themeColor="background2"/>
          <w:right w:val="single" w:sz="4" w:space="0" w:color="3D4D7D" w:themeColor="background2"/>
          <w:insideH w:val="dotted" w:sz="4" w:space="0" w:color="auto"/>
          <w:insideV w:val="dotted" w:sz="4" w:space="0" w:color="auto"/>
        </w:tblBorders>
        <w:shd w:val="clear" w:color="auto" w:fill="E3E5E6" w:themeFill="accent6" w:themeFillTint="33"/>
        <w:tblLayout w:type="fixed"/>
        <w:tblCellMar>
          <w:top w:w="0" w:type="dxa"/>
          <w:bottom w:w="0" w:type="dxa"/>
        </w:tblCellMar>
        <w:tblLook w:val="0600" w:firstRow="0" w:lastRow="0" w:firstColumn="0" w:lastColumn="0" w:noHBand="1" w:noVBand="1"/>
      </w:tblPr>
      <w:tblGrid>
        <w:gridCol w:w="1705"/>
        <w:gridCol w:w="7376"/>
      </w:tblGrid>
      <w:tr w:rsidR="000F352E" w:rsidRPr="004A0B83" w:rsidTr="001654F5">
        <w:tc>
          <w:tcPr>
            <w:tcW w:w="939" w:type="pct"/>
            <w:shd w:val="clear" w:color="auto" w:fill="E3E5E6" w:themeFill="accent6" w:themeFillTint="33"/>
          </w:tcPr>
          <w:p w:rsidR="000F352E" w:rsidRPr="00BD04B9" w:rsidRDefault="000F352E" w:rsidP="001654F5">
            <w:pPr>
              <w:pStyle w:val="Caption"/>
              <w:spacing w:before="70" w:after="70"/>
              <w:ind w:left="85" w:right="85"/>
              <w:jc w:val="left"/>
              <w:rPr>
                <w:i/>
                <w:sz w:val="20"/>
                <w:szCs w:val="20"/>
              </w:rPr>
            </w:pPr>
            <w:r w:rsidRPr="00BD04B9">
              <w:rPr>
                <w:i/>
                <w:sz w:val="20"/>
                <w:szCs w:val="20"/>
              </w:rPr>
              <w:t>The expected financial impacts of new policies</w:t>
            </w:r>
          </w:p>
        </w:tc>
        <w:tc>
          <w:tcPr>
            <w:tcW w:w="4061" w:type="pct"/>
            <w:shd w:val="clear" w:color="auto" w:fill="E3E5E6" w:themeFill="accent6" w:themeFillTint="33"/>
          </w:tcPr>
          <w:p w:rsidR="000F352E" w:rsidRPr="004A0B83" w:rsidRDefault="000F352E" w:rsidP="001654F5">
            <w:pPr>
              <w:pStyle w:val="PullOutBoxBullet"/>
              <w:keepNext/>
              <w:numPr>
                <w:ilvl w:val="0"/>
                <w:numId w:val="0"/>
              </w:numPr>
              <w:spacing w:before="70" w:after="70" w:line="240" w:lineRule="auto"/>
              <w:ind w:left="85" w:right="85"/>
              <w:rPr>
                <w:b w:val="0"/>
                <w:i w:val="0"/>
                <w:sz w:val="20"/>
                <w:szCs w:val="20"/>
              </w:rPr>
            </w:pPr>
            <w:r w:rsidRPr="004A0B83">
              <w:rPr>
                <w:b w:val="0"/>
                <w:i w:val="0"/>
                <w:sz w:val="20"/>
                <w:szCs w:val="20"/>
              </w:rPr>
              <w:t xml:space="preserve">Measure descriptions could include: </w:t>
            </w:r>
          </w:p>
          <w:p w:rsidR="000F352E" w:rsidRPr="004A0B83" w:rsidRDefault="000F352E" w:rsidP="001654F5">
            <w:pPr>
              <w:pStyle w:val="PullOutBoxBullet"/>
              <w:spacing w:before="70" w:after="70" w:line="240" w:lineRule="auto"/>
              <w:ind w:left="369" w:right="85" w:hanging="284"/>
              <w:rPr>
                <w:sz w:val="20"/>
                <w:szCs w:val="20"/>
              </w:rPr>
            </w:pPr>
            <w:r>
              <w:rPr>
                <w:sz w:val="20"/>
                <w:szCs w:val="20"/>
              </w:rPr>
              <w:t>f</w:t>
            </w:r>
            <w:r w:rsidRPr="004A0B83">
              <w:rPr>
                <w:sz w:val="20"/>
                <w:szCs w:val="20"/>
              </w:rPr>
              <w:t>or loans,</w:t>
            </w:r>
            <w:r w:rsidRPr="004A0B83">
              <w:rPr>
                <w:b w:val="0"/>
                <w:i w:val="0"/>
                <w:sz w:val="20"/>
                <w:szCs w:val="20"/>
              </w:rPr>
              <w:t xml:space="preserve"> the total expected size of the loan program</w:t>
            </w:r>
            <w:r>
              <w:rPr>
                <w:b w:val="0"/>
                <w:i w:val="0"/>
                <w:sz w:val="20"/>
                <w:szCs w:val="20"/>
              </w:rPr>
              <w:t>;</w:t>
            </w:r>
            <w:r w:rsidRPr="004A0B83">
              <w:rPr>
                <w:b w:val="0"/>
                <w:i w:val="0"/>
                <w:sz w:val="20"/>
                <w:szCs w:val="20"/>
              </w:rPr>
              <w:t xml:space="preserve"> an estimate of the amount of debt that is not expected to be repaid</w:t>
            </w:r>
            <w:r>
              <w:rPr>
                <w:b w:val="0"/>
                <w:i w:val="0"/>
                <w:sz w:val="20"/>
                <w:szCs w:val="20"/>
              </w:rPr>
              <w:t>;</w:t>
            </w:r>
            <w:r w:rsidRPr="004A0B83">
              <w:rPr>
                <w:b w:val="0"/>
                <w:i w:val="0"/>
                <w:sz w:val="20"/>
                <w:szCs w:val="20"/>
              </w:rPr>
              <w:t xml:space="preserve"> and detail on the terms of </w:t>
            </w:r>
            <w:r>
              <w:rPr>
                <w:b w:val="0"/>
                <w:i w:val="0"/>
                <w:sz w:val="20"/>
                <w:szCs w:val="20"/>
              </w:rPr>
              <w:t xml:space="preserve">the </w:t>
            </w:r>
            <w:r w:rsidRPr="004A0B83">
              <w:rPr>
                <w:b w:val="0"/>
                <w:i w:val="0"/>
                <w:sz w:val="20"/>
                <w:szCs w:val="20"/>
              </w:rPr>
              <w:t>loan</w:t>
            </w:r>
            <w:r w:rsidRPr="004A0B83">
              <w:rPr>
                <w:sz w:val="20"/>
                <w:szCs w:val="20"/>
              </w:rPr>
              <w:t xml:space="preserve">  </w:t>
            </w:r>
          </w:p>
          <w:p w:rsidR="000F352E" w:rsidRDefault="000F352E" w:rsidP="001654F5">
            <w:pPr>
              <w:pStyle w:val="PullOutBoxBullet"/>
              <w:spacing w:before="70" w:after="70" w:line="240" w:lineRule="auto"/>
              <w:ind w:left="369" w:right="85" w:hanging="284"/>
              <w:rPr>
                <w:b w:val="0"/>
                <w:i w:val="0"/>
                <w:sz w:val="20"/>
                <w:szCs w:val="20"/>
              </w:rPr>
            </w:pPr>
            <w:r>
              <w:rPr>
                <w:sz w:val="20"/>
                <w:szCs w:val="20"/>
              </w:rPr>
              <w:t>f</w:t>
            </w:r>
            <w:r w:rsidRPr="004A0B83">
              <w:rPr>
                <w:sz w:val="20"/>
                <w:szCs w:val="20"/>
              </w:rPr>
              <w:t xml:space="preserve">or equity injections, </w:t>
            </w:r>
            <w:r w:rsidRPr="004A0B83">
              <w:rPr>
                <w:b w:val="0"/>
                <w:i w:val="0"/>
                <w:sz w:val="20"/>
                <w:szCs w:val="20"/>
              </w:rPr>
              <w:t>the full value of the equity injection</w:t>
            </w:r>
            <w:r>
              <w:rPr>
                <w:b w:val="0"/>
                <w:i w:val="0"/>
                <w:sz w:val="20"/>
                <w:szCs w:val="20"/>
              </w:rPr>
              <w:t>;</w:t>
            </w:r>
            <w:r w:rsidRPr="004A0B83">
              <w:rPr>
                <w:b w:val="0"/>
                <w:i w:val="0"/>
                <w:sz w:val="20"/>
                <w:szCs w:val="20"/>
              </w:rPr>
              <w:t xml:space="preserve"> the expected rate of return at inception</w:t>
            </w:r>
            <w:r>
              <w:rPr>
                <w:b w:val="0"/>
                <w:i w:val="0"/>
                <w:sz w:val="20"/>
                <w:szCs w:val="20"/>
              </w:rPr>
              <w:t>;</w:t>
            </w:r>
            <w:r w:rsidRPr="004A0B83">
              <w:rPr>
                <w:b w:val="0"/>
                <w:i w:val="0"/>
                <w:sz w:val="20"/>
                <w:szCs w:val="20"/>
              </w:rPr>
              <w:t xml:space="preserve"> the key assumptions underpinning the expected return on the equity injection</w:t>
            </w:r>
            <w:r>
              <w:rPr>
                <w:b w:val="0"/>
                <w:i w:val="0"/>
                <w:sz w:val="20"/>
                <w:szCs w:val="20"/>
              </w:rPr>
              <w:t>;</w:t>
            </w:r>
            <w:r w:rsidRPr="004A0B83">
              <w:rPr>
                <w:b w:val="0"/>
                <w:i w:val="0"/>
                <w:sz w:val="20"/>
                <w:szCs w:val="20"/>
              </w:rPr>
              <w:t xml:space="preserve"> </w:t>
            </w:r>
            <w:r w:rsidR="006E1204">
              <w:rPr>
                <w:b w:val="0"/>
                <w:i w:val="0"/>
                <w:sz w:val="20"/>
                <w:szCs w:val="20"/>
              </w:rPr>
              <w:t xml:space="preserve">and </w:t>
            </w:r>
            <w:r w:rsidRPr="004A0B83">
              <w:rPr>
                <w:b w:val="0"/>
                <w:i w:val="0"/>
                <w:sz w:val="20"/>
                <w:szCs w:val="20"/>
              </w:rPr>
              <w:t>the expected impact on fiscal aggregates</w:t>
            </w:r>
            <w:r>
              <w:rPr>
                <w:b w:val="0"/>
                <w:i w:val="0"/>
                <w:sz w:val="20"/>
                <w:szCs w:val="20"/>
              </w:rPr>
              <w:t>,</w:t>
            </w:r>
            <w:r w:rsidRPr="004A0B83">
              <w:rPr>
                <w:b w:val="0"/>
                <w:i w:val="0"/>
                <w:sz w:val="20"/>
                <w:szCs w:val="20"/>
              </w:rPr>
              <w:t xml:space="preserve"> such as net financial worth</w:t>
            </w:r>
          </w:p>
          <w:p w:rsidR="000F352E" w:rsidRPr="004A0B83" w:rsidRDefault="000F352E" w:rsidP="001654F5">
            <w:pPr>
              <w:pStyle w:val="PullOutBoxBullet"/>
              <w:spacing w:before="70" w:after="70" w:line="240" w:lineRule="auto"/>
              <w:ind w:left="369" w:right="85" w:hanging="284"/>
              <w:rPr>
                <w:sz w:val="20"/>
                <w:szCs w:val="20"/>
              </w:rPr>
            </w:pPr>
            <w:proofErr w:type="gramStart"/>
            <w:r>
              <w:rPr>
                <w:sz w:val="20"/>
                <w:szCs w:val="20"/>
              </w:rPr>
              <w:t>f</w:t>
            </w:r>
            <w:r w:rsidRPr="004A0B83">
              <w:rPr>
                <w:sz w:val="20"/>
                <w:szCs w:val="20"/>
              </w:rPr>
              <w:t>or</w:t>
            </w:r>
            <w:proofErr w:type="gramEnd"/>
            <w:r w:rsidRPr="004A0B83">
              <w:rPr>
                <w:sz w:val="20"/>
                <w:szCs w:val="20"/>
              </w:rPr>
              <w:t xml:space="preserve"> all policies using alternative financing, </w:t>
            </w:r>
            <w:r w:rsidRPr="004A0B83">
              <w:rPr>
                <w:b w:val="0"/>
                <w:i w:val="0"/>
                <w:sz w:val="20"/>
                <w:szCs w:val="20"/>
              </w:rPr>
              <w:t>the public debt interest associated with the measure.</w:t>
            </w:r>
            <w:r w:rsidRPr="004A0B83" w:rsidDel="002A1787">
              <w:rPr>
                <w:b w:val="0"/>
                <w:i w:val="0"/>
                <w:sz w:val="20"/>
                <w:szCs w:val="20"/>
              </w:rPr>
              <w:t xml:space="preserve"> </w:t>
            </w:r>
          </w:p>
        </w:tc>
      </w:tr>
      <w:tr w:rsidR="000F352E" w:rsidRPr="004A0B83" w:rsidTr="001654F5">
        <w:tc>
          <w:tcPr>
            <w:tcW w:w="939" w:type="pct"/>
            <w:shd w:val="clear" w:color="auto" w:fill="E3E5E6" w:themeFill="accent6" w:themeFillTint="33"/>
          </w:tcPr>
          <w:p w:rsidR="000F352E" w:rsidRPr="004A0B83" w:rsidRDefault="000F352E" w:rsidP="001654F5">
            <w:pPr>
              <w:pStyle w:val="Caption"/>
              <w:spacing w:before="70" w:after="70"/>
              <w:ind w:left="85" w:right="85"/>
              <w:jc w:val="left"/>
              <w:rPr>
                <w:i/>
                <w:sz w:val="20"/>
                <w:szCs w:val="20"/>
              </w:rPr>
            </w:pPr>
            <w:r w:rsidRPr="00BD04B9">
              <w:rPr>
                <w:i/>
                <w:sz w:val="20"/>
                <w:szCs w:val="20"/>
              </w:rPr>
              <w:t>The expected financial impacts of ongoing programs</w:t>
            </w:r>
          </w:p>
        </w:tc>
        <w:tc>
          <w:tcPr>
            <w:tcW w:w="4061" w:type="pct"/>
            <w:shd w:val="clear" w:color="auto" w:fill="E3E5E6" w:themeFill="accent6" w:themeFillTint="33"/>
          </w:tcPr>
          <w:p w:rsidR="000F352E" w:rsidRPr="004A0B83" w:rsidRDefault="000F352E" w:rsidP="001654F5">
            <w:pPr>
              <w:pStyle w:val="BodyText"/>
              <w:keepNext/>
              <w:spacing w:before="70" w:after="70" w:line="240" w:lineRule="auto"/>
              <w:ind w:left="85" w:right="85"/>
              <w:rPr>
                <w:sz w:val="20"/>
                <w:szCs w:val="20"/>
              </w:rPr>
            </w:pPr>
            <w:r w:rsidRPr="004A0B83">
              <w:rPr>
                <w:sz w:val="20"/>
                <w:szCs w:val="20"/>
              </w:rPr>
              <w:t>When revaluations are expected or ‘known’, budget documents could include:</w:t>
            </w:r>
          </w:p>
          <w:p w:rsidR="000F352E" w:rsidRPr="004A0B83" w:rsidRDefault="000F352E" w:rsidP="001654F5">
            <w:pPr>
              <w:pStyle w:val="BodyText"/>
              <w:numPr>
                <w:ilvl w:val="0"/>
                <w:numId w:val="42"/>
              </w:numPr>
              <w:spacing w:before="70" w:after="70" w:line="240" w:lineRule="auto"/>
              <w:ind w:left="369" w:right="85" w:hanging="284"/>
              <w:rPr>
                <w:sz w:val="20"/>
                <w:szCs w:val="20"/>
              </w:rPr>
            </w:pPr>
            <w:r w:rsidRPr="004A0B83">
              <w:rPr>
                <w:sz w:val="20"/>
                <w:szCs w:val="20"/>
              </w:rPr>
              <w:t>a detailed breakdown of forecast revaluations</w:t>
            </w:r>
          </w:p>
          <w:p w:rsidR="000F352E" w:rsidRPr="004A0B83" w:rsidRDefault="000F352E" w:rsidP="001654F5">
            <w:pPr>
              <w:pStyle w:val="BodyText"/>
              <w:numPr>
                <w:ilvl w:val="0"/>
                <w:numId w:val="42"/>
              </w:numPr>
              <w:spacing w:before="70" w:after="70" w:line="240" w:lineRule="auto"/>
              <w:ind w:left="369" w:right="85" w:hanging="284"/>
              <w:rPr>
                <w:sz w:val="20"/>
                <w:szCs w:val="20"/>
              </w:rPr>
            </w:pPr>
            <w:r w:rsidRPr="004A0B83">
              <w:rPr>
                <w:sz w:val="20"/>
                <w:szCs w:val="20"/>
              </w:rPr>
              <w:t>the forecast effect of revaluations on net financial worth by policy area</w:t>
            </w:r>
          </w:p>
          <w:p w:rsidR="000F352E" w:rsidRPr="004A0B83" w:rsidRDefault="000F352E" w:rsidP="001654F5">
            <w:pPr>
              <w:pStyle w:val="BodyText"/>
              <w:numPr>
                <w:ilvl w:val="0"/>
                <w:numId w:val="42"/>
              </w:numPr>
              <w:spacing w:before="70" w:after="70" w:line="240" w:lineRule="auto"/>
              <w:ind w:left="369" w:right="85" w:hanging="284"/>
              <w:rPr>
                <w:sz w:val="20"/>
                <w:szCs w:val="20"/>
              </w:rPr>
            </w:pPr>
            <w:proofErr w:type="gramStart"/>
            <w:r w:rsidRPr="004A0B83">
              <w:rPr>
                <w:sz w:val="20"/>
                <w:szCs w:val="20"/>
              </w:rPr>
              <w:t>forecast</w:t>
            </w:r>
            <w:proofErr w:type="gramEnd"/>
            <w:r w:rsidRPr="004A0B83">
              <w:rPr>
                <w:sz w:val="20"/>
                <w:szCs w:val="20"/>
              </w:rPr>
              <w:t xml:space="preserve"> revaluations at a program level</w:t>
            </w:r>
            <w:r>
              <w:rPr>
                <w:sz w:val="20"/>
                <w:szCs w:val="20"/>
              </w:rPr>
              <w:t>,</w:t>
            </w:r>
            <w:r w:rsidRPr="004A0B83">
              <w:rPr>
                <w:sz w:val="20"/>
                <w:szCs w:val="20"/>
              </w:rPr>
              <w:t xml:space="preserve"> where the expected revaluation is greater than $200 million over the forward estimates period.  </w:t>
            </w:r>
          </w:p>
          <w:p w:rsidR="000F352E" w:rsidRPr="004A0B83" w:rsidRDefault="000F352E" w:rsidP="001654F5">
            <w:pPr>
              <w:pStyle w:val="PullOutBoxBullet"/>
              <w:keepNext/>
              <w:numPr>
                <w:ilvl w:val="0"/>
                <w:numId w:val="0"/>
              </w:numPr>
              <w:spacing w:before="70" w:after="70" w:line="240" w:lineRule="auto"/>
              <w:ind w:left="85" w:right="85"/>
              <w:rPr>
                <w:b w:val="0"/>
                <w:i w:val="0"/>
                <w:sz w:val="20"/>
                <w:szCs w:val="20"/>
              </w:rPr>
            </w:pPr>
            <w:r w:rsidRPr="004A0B83">
              <w:rPr>
                <w:b w:val="0"/>
                <w:i w:val="0"/>
                <w:sz w:val="20"/>
                <w:szCs w:val="20"/>
              </w:rPr>
              <w:t>To improve the transparency of the risks associated with government guarantees, the Statement of Risks could include:</w:t>
            </w:r>
          </w:p>
          <w:p w:rsidR="000F352E" w:rsidRPr="004A0B83" w:rsidRDefault="000F352E" w:rsidP="001654F5">
            <w:pPr>
              <w:pStyle w:val="PullOutBoxBullet"/>
              <w:spacing w:before="70" w:after="70" w:line="240" w:lineRule="auto"/>
              <w:ind w:left="369" w:right="85" w:hanging="284"/>
              <w:rPr>
                <w:b w:val="0"/>
                <w:i w:val="0"/>
                <w:sz w:val="20"/>
                <w:szCs w:val="20"/>
              </w:rPr>
            </w:pPr>
            <w:proofErr w:type="gramStart"/>
            <w:r w:rsidRPr="004A0B83">
              <w:rPr>
                <w:b w:val="0"/>
                <w:i w:val="0"/>
                <w:sz w:val="20"/>
                <w:szCs w:val="20"/>
              </w:rPr>
              <w:t>a</w:t>
            </w:r>
            <w:proofErr w:type="gramEnd"/>
            <w:r w:rsidRPr="004A0B83">
              <w:rPr>
                <w:sz w:val="20"/>
                <w:szCs w:val="20"/>
              </w:rPr>
              <w:t xml:space="preserve"> </w:t>
            </w:r>
            <w:r w:rsidRPr="004A0B83">
              <w:rPr>
                <w:b w:val="0"/>
                <w:i w:val="0"/>
                <w:sz w:val="20"/>
                <w:szCs w:val="20"/>
              </w:rPr>
              <w:t>table showing the total potential exposure and expected value of exposure associated with each quantifiable government guarantee.</w:t>
            </w:r>
          </w:p>
        </w:tc>
      </w:tr>
      <w:tr w:rsidR="000F352E" w:rsidRPr="004A0B83" w:rsidTr="001654F5">
        <w:tc>
          <w:tcPr>
            <w:tcW w:w="939" w:type="pct"/>
            <w:shd w:val="clear" w:color="auto" w:fill="E3E5E6" w:themeFill="accent6" w:themeFillTint="33"/>
          </w:tcPr>
          <w:p w:rsidR="000F352E" w:rsidRPr="00BD04B9" w:rsidRDefault="000F352E" w:rsidP="001654F5">
            <w:pPr>
              <w:pStyle w:val="Caption"/>
              <w:spacing w:before="70" w:after="70"/>
              <w:ind w:left="85" w:right="85"/>
              <w:jc w:val="left"/>
              <w:rPr>
                <w:i/>
                <w:sz w:val="20"/>
                <w:szCs w:val="20"/>
              </w:rPr>
            </w:pPr>
            <w:r w:rsidRPr="00BD04B9">
              <w:rPr>
                <w:i/>
                <w:sz w:val="20"/>
                <w:szCs w:val="20"/>
              </w:rPr>
              <w:t>The outcomes of existing and historical policy</w:t>
            </w:r>
          </w:p>
        </w:tc>
        <w:tc>
          <w:tcPr>
            <w:tcW w:w="4061" w:type="pct"/>
            <w:shd w:val="clear" w:color="auto" w:fill="E3E5E6" w:themeFill="accent6" w:themeFillTint="33"/>
          </w:tcPr>
          <w:p w:rsidR="000F352E" w:rsidRPr="004A0B83" w:rsidRDefault="000F352E" w:rsidP="001654F5">
            <w:pPr>
              <w:pStyle w:val="PullOutBoxBullet"/>
              <w:keepNext/>
              <w:numPr>
                <w:ilvl w:val="0"/>
                <w:numId w:val="0"/>
              </w:numPr>
              <w:spacing w:before="70" w:after="70" w:line="240" w:lineRule="auto"/>
              <w:ind w:left="85" w:right="85"/>
              <w:rPr>
                <w:b w:val="0"/>
                <w:i w:val="0"/>
                <w:sz w:val="20"/>
                <w:szCs w:val="20"/>
              </w:rPr>
            </w:pPr>
            <w:r w:rsidRPr="004A0B83">
              <w:rPr>
                <w:b w:val="0"/>
                <w:i w:val="0"/>
                <w:sz w:val="20"/>
                <w:szCs w:val="20"/>
              </w:rPr>
              <w:t xml:space="preserve">The </w:t>
            </w:r>
            <w:r w:rsidRPr="00CC5EB9">
              <w:rPr>
                <w:b w:val="0"/>
                <w:i w:val="0"/>
                <w:sz w:val="20"/>
                <w:szCs w:val="20"/>
              </w:rPr>
              <w:t>Final Budget Outcome</w:t>
            </w:r>
            <w:r w:rsidRPr="004A0B83">
              <w:rPr>
                <w:b w:val="0"/>
                <w:i w:val="0"/>
                <w:sz w:val="20"/>
                <w:szCs w:val="20"/>
              </w:rPr>
              <w:t xml:space="preserve"> could include:  </w:t>
            </w:r>
          </w:p>
          <w:p w:rsidR="000F352E" w:rsidRPr="004A0B83" w:rsidRDefault="000F352E" w:rsidP="001654F5">
            <w:pPr>
              <w:pStyle w:val="PullOutBoxBullet"/>
              <w:spacing w:before="70" w:after="70" w:line="240" w:lineRule="auto"/>
              <w:ind w:left="369" w:right="85" w:hanging="284"/>
              <w:rPr>
                <w:b w:val="0"/>
                <w:i w:val="0"/>
                <w:sz w:val="20"/>
                <w:szCs w:val="20"/>
              </w:rPr>
            </w:pPr>
            <w:r w:rsidRPr="004A0B83">
              <w:rPr>
                <w:b w:val="0"/>
                <w:i w:val="0"/>
                <w:sz w:val="20"/>
                <w:szCs w:val="20"/>
              </w:rPr>
              <w:t>revaluations</w:t>
            </w:r>
            <w:r>
              <w:rPr>
                <w:b w:val="0"/>
                <w:i w:val="0"/>
                <w:sz w:val="20"/>
                <w:szCs w:val="20"/>
              </w:rPr>
              <w:t>,</w:t>
            </w:r>
            <w:r w:rsidRPr="004A0B83">
              <w:rPr>
                <w:b w:val="0"/>
                <w:i w:val="0"/>
                <w:sz w:val="20"/>
                <w:szCs w:val="20"/>
              </w:rPr>
              <w:t xml:space="preserve"> separated into those for newly acquired financial assets and for existing financial assets</w:t>
            </w:r>
          </w:p>
          <w:p w:rsidR="000F352E" w:rsidRPr="004A0B83" w:rsidRDefault="000F352E" w:rsidP="001654F5">
            <w:pPr>
              <w:pStyle w:val="PullOutBoxBullet"/>
              <w:spacing w:before="70" w:after="70" w:line="240" w:lineRule="auto"/>
              <w:ind w:left="369" w:right="85" w:hanging="284"/>
              <w:rPr>
                <w:b w:val="0"/>
                <w:i w:val="0"/>
                <w:sz w:val="20"/>
                <w:szCs w:val="20"/>
              </w:rPr>
            </w:pPr>
            <w:r w:rsidRPr="004A0B83">
              <w:rPr>
                <w:b w:val="0"/>
                <w:i w:val="0"/>
                <w:sz w:val="20"/>
                <w:szCs w:val="20"/>
              </w:rPr>
              <w:t xml:space="preserve">discussion of the drivers of revaluations, such as changes in market prices, exchange rates, and actuarial revaluations </w:t>
            </w:r>
          </w:p>
          <w:p w:rsidR="000F352E" w:rsidRPr="004A0B83" w:rsidRDefault="000F352E" w:rsidP="001654F5">
            <w:pPr>
              <w:pStyle w:val="PullOutBoxBullet"/>
              <w:spacing w:before="70" w:after="70" w:line="240" w:lineRule="auto"/>
              <w:ind w:left="369" w:right="85" w:hanging="284"/>
              <w:rPr>
                <w:sz w:val="20"/>
                <w:szCs w:val="20"/>
              </w:rPr>
            </w:pPr>
            <w:proofErr w:type="gramStart"/>
            <w:r w:rsidRPr="004A0B83">
              <w:rPr>
                <w:b w:val="0"/>
                <w:i w:val="0"/>
                <w:sz w:val="20"/>
                <w:szCs w:val="20"/>
              </w:rPr>
              <w:t>a</w:t>
            </w:r>
            <w:proofErr w:type="gramEnd"/>
            <w:r w:rsidRPr="004A0B83">
              <w:rPr>
                <w:b w:val="0"/>
                <w:i w:val="0"/>
                <w:sz w:val="20"/>
                <w:szCs w:val="20"/>
              </w:rPr>
              <w:t xml:space="preserve"> summary of all Commonwealth Government financial assets that have had cumulative equity injections of greater than $200 million.  </w:t>
            </w:r>
            <w:r>
              <w:rPr>
                <w:b w:val="0"/>
                <w:i w:val="0"/>
                <w:sz w:val="20"/>
                <w:szCs w:val="20"/>
              </w:rPr>
              <w:t>This should show the cumulative equity injected and the most recent fair value estimate of the entity.</w:t>
            </w:r>
          </w:p>
        </w:tc>
      </w:tr>
    </w:tbl>
    <w:p w:rsidR="000F352E" w:rsidRDefault="000F352E" w:rsidP="006E1204">
      <w:pPr>
        <w:pStyle w:val="ListBullet"/>
        <w:numPr>
          <w:ilvl w:val="0"/>
          <w:numId w:val="0"/>
        </w:numPr>
        <w:spacing w:line="240" w:lineRule="atLeast"/>
      </w:pPr>
      <w:r w:rsidRPr="004D56C8">
        <w:rPr>
          <w:rFonts w:cs="Times New Roman"/>
          <w:color w:val="788184"/>
          <w:kern w:val="2"/>
          <w:sz w:val="18"/>
          <w:szCs w:val="14"/>
        </w:rPr>
        <w:t xml:space="preserve">Note: </w:t>
      </w:r>
      <w:r w:rsidRPr="004259BB">
        <w:rPr>
          <w:rFonts w:cs="Times New Roman"/>
          <w:color w:val="788184"/>
          <w:kern w:val="2"/>
          <w:sz w:val="18"/>
          <w:szCs w:val="14"/>
        </w:rPr>
        <w:t xml:space="preserve">In making these suggestions, the PBO is not in a position to assess the practicality of the timing of publication of this additional information in budget papers.  </w:t>
      </w:r>
    </w:p>
    <w:p w:rsidR="000F352E" w:rsidRDefault="000F352E">
      <w:pPr>
        <w:rPr>
          <w:rFonts w:ascii="Calibri Light" w:hAnsi="Calibri Light"/>
          <w:bCs/>
          <w:color w:val="3D4D7D" w:themeColor="background2"/>
          <w:kern w:val="32"/>
          <w:sz w:val="52"/>
          <w:szCs w:val="32"/>
        </w:rPr>
      </w:pPr>
      <w:r>
        <w:br w:type="page"/>
      </w:r>
    </w:p>
    <w:p w:rsidR="00804B9E" w:rsidRDefault="00804B9E" w:rsidP="00804B9E">
      <w:pPr>
        <w:pStyle w:val="Heading1NoNumbering"/>
      </w:pPr>
      <w:bookmarkStart w:id="64" w:name="_Toc33716302"/>
      <w:bookmarkStart w:id="65" w:name="_Toc35451923"/>
      <w:bookmarkStart w:id="66" w:name="_Ref34311396"/>
      <w:r>
        <w:lastRenderedPageBreak/>
        <w:t xml:space="preserve">Appendix </w:t>
      </w:r>
      <w:r w:rsidR="000F352E">
        <w:t>A</w:t>
      </w:r>
      <w:r>
        <w:t>: Visual g</w:t>
      </w:r>
      <w:r w:rsidRPr="00F815BE">
        <w:t>lossary</w:t>
      </w:r>
      <w:bookmarkEnd w:id="64"/>
      <w:bookmarkEnd w:id="65"/>
    </w:p>
    <w:p w:rsidR="00804B9E" w:rsidRDefault="00804B9E" w:rsidP="00A85614">
      <w:pPr>
        <w:pStyle w:val="BodyText"/>
        <w:spacing w:before="80"/>
      </w:pPr>
      <w:r>
        <w:t xml:space="preserve">Budget documents use a range of metrics, including the main budget aggregates, to convey the current and </w:t>
      </w:r>
      <w:r w:rsidR="00DA0D64">
        <w:t xml:space="preserve">expected future </w:t>
      </w:r>
      <w:r>
        <w:t>economic and fiscal position of the Commonwealth Government.  This visual glossary define</w:t>
      </w:r>
      <w:r w:rsidR="00DA0D64">
        <w:t>s</w:t>
      </w:r>
      <w:r>
        <w:t xml:space="preserve"> these metrics and </w:t>
      </w:r>
      <w:r w:rsidR="00DA0D64">
        <w:t xml:space="preserve">shows </w:t>
      </w:r>
      <w:r>
        <w:t>where they can be found in the financial statements.</w:t>
      </w:r>
      <w:r>
        <w:rPr>
          <w:rStyle w:val="FootnoteReference"/>
        </w:rPr>
        <w:footnoteReference w:id="37"/>
      </w:r>
      <w:r>
        <w:t xml:space="preserve"> </w:t>
      </w:r>
    </w:p>
    <w:p w:rsidR="00804B9E" w:rsidRPr="00EE6322" w:rsidRDefault="00804B9E" w:rsidP="00A85614">
      <w:pPr>
        <w:pStyle w:val="Heading2NoNumbering"/>
        <w:spacing w:before="240"/>
      </w:pPr>
      <w:r>
        <w:t xml:space="preserve">Categorising budget aggregates by type – flow vs stock, cash vs accrual </w:t>
      </w:r>
    </w:p>
    <w:p w:rsidR="006233A0" w:rsidRDefault="00804B9E" w:rsidP="00A85614">
      <w:pPr>
        <w:pStyle w:val="BodyText"/>
      </w:pPr>
      <w:r>
        <w:t>To better understand how financial resources are used by the Commonwealth Government it is important to appreciate how budget aggregates are grouped conceptually.  This grouping considers two complementary sets of metrics</w:t>
      </w:r>
      <w:r w:rsidRPr="00D113B1">
        <w:t xml:space="preserve"> </w:t>
      </w:r>
      <w:r>
        <w:t xml:space="preserve">(see </w:t>
      </w:r>
      <w:r w:rsidR="00A22A26">
        <w:t>Figure A</w:t>
      </w:r>
      <w:r w:rsidR="006233A0">
        <w:t>1</w:t>
      </w:r>
      <w:r w:rsidR="00A22A26">
        <w:t>).</w:t>
      </w:r>
      <w:r>
        <w:t xml:space="preserve"> </w:t>
      </w:r>
    </w:p>
    <w:p w:rsidR="00804B9E" w:rsidRDefault="00804B9E" w:rsidP="00804B9E">
      <w:pPr>
        <w:pStyle w:val="ListNumber"/>
        <w:spacing w:before="80"/>
      </w:pPr>
      <w:r w:rsidRPr="008A1154">
        <w:rPr>
          <w:b/>
        </w:rPr>
        <w:t>Flow</w:t>
      </w:r>
      <w:r w:rsidR="00A22A26">
        <w:rPr>
          <w:b/>
        </w:rPr>
        <w:t>s</w:t>
      </w:r>
      <w:r w:rsidRPr="008A1154">
        <w:rPr>
          <w:b/>
        </w:rPr>
        <w:t xml:space="preserve"> vs stock</w:t>
      </w:r>
      <w:r w:rsidR="00A22A26">
        <w:rPr>
          <w:b/>
        </w:rPr>
        <w:t>s</w:t>
      </w:r>
      <w:r>
        <w:t>–</w:t>
      </w:r>
      <w:r w:rsidR="00D53F63">
        <w:t xml:space="preserve"> communicates </w:t>
      </w:r>
      <w:r>
        <w:t>whether the budget aggregate captures changes over a given period, or represents a value as at a fixed point in time</w:t>
      </w:r>
      <w:r w:rsidR="006233A0">
        <w:t>.</w:t>
      </w:r>
    </w:p>
    <w:p w:rsidR="00804B9E" w:rsidRPr="00CD4916" w:rsidRDefault="00A22A26" w:rsidP="00804B9E">
      <w:pPr>
        <w:pStyle w:val="ListNumber2"/>
        <w:spacing w:before="80"/>
      </w:pPr>
      <w:r>
        <w:rPr>
          <w:b/>
        </w:rPr>
        <w:t>A f</w:t>
      </w:r>
      <w:r w:rsidR="00804B9E" w:rsidRPr="00EE179D">
        <w:rPr>
          <w:b/>
        </w:rPr>
        <w:t>low</w:t>
      </w:r>
      <w:r w:rsidR="00804B9E" w:rsidRPr="008A1154">
        <w:rPr>
          <w:b/>
        </w:rPr>
        <w:t xml:space="preserve"> </w:t>
      </w:r>
      <w:r w:rsidR="00804B9E" w:rsidRPr="00E01A60">
        <w:t>show</w:t>
      </w:r>
      <w:r>
        <w:t>s</w:t>
      </w:r>
      <w:r w:rsidR="00804B9E" w:rsidRPr="00CD4916">
        <w:t xml:space="preserve"> the changes in the fiscal </w:t>
      </w:r>
      <w:r w:rsidR="00804B9E">
        <w:t xml:space="preserve">position during the budget year.  For example, receipts of personal income across a financial year would be considered a flow metric. </w:t>
      </w:r>
    </w:p>
    <w:p w:rsidR="00804B9E" w:rsidRDefault="00A22A26" w:rsidP="00804B9E">
      <w:pPr>
        <w:pStyle w:val="ListNumber2"/>
        <w:spacing w:before="80"/>
      </w:pPr>
      <w:r>
        <w:rPr>
          <w:b/>
        </w:rPr>
        <w:t>A s</w:t>
      </w:r>
      <w:r w:rsidR="00804B9E" w:rsidRPr="00EE179D">
        <w:rPr>
          <w:b/>
        </w:rPr>
        <w:t>tock</w:t>
      </w:r>
      <w:r w:rsidR="00804B9E" w:rsidRPr="008A1154">
        <w:rPr>
          <w:b/>
        </w:rPr>
        <w:t xml:space="preserve"> </w:t>
      </w:r>
      <w:r w:rsidR="00804B9E" w:rsidRPr="00CD4916">
        <w:t>show</w:t>
      </w:r>
      <w:r>
        <w:t>s</w:t>
      </w:r>
      <w:r w:rsidR="00804B9E" w:rsidRPr="00CD4916">
        <w:t xml:space="preserve"> the fiscal position at a </w:t>
      </w:r>
      <w:r>
        <w:t>particular</w:t>
      </w:r>
      <w:r w:rsidRPr="00CD4916">
        <w:t xml:space="preserve"> </w:t>
      </w:r>
      <w:r w:rsidR="00804B9E" w:rsidRPr="00CD4916">
        <w:t>point in time (</w:t>
      </w:r>
      <w:r w:rsidR="0024573E">
        <w:t xml:space="preserve">such as </w:t>
      </w:r>
      <w:r>
        <w:t xml:space="preserve">the </w:t>
      </w:r>
      <w:r w:rsidR="00804B9E" w:rsidRPr="00CD4916">
        <w:t xml:space="preserve">end of the budget year). </w:t>
      </w:r>
      <w:r w:rsidR="00804B9E">
        <w:t xml:space="preserve"> For example, the </w:t>
      </w:r>
      <w:r w:rsidR="00804B9E" w:rsidRPr="00E01A60">
        <w:t>amount</w:t>
      </w:r>
      <w:r w:rsidR="00804B9E">
        <w:t xml:space="preserve"> </w:t>
      </w:r>
      <w:r w:rsidR="00D53F63">
        <w:t>of cash</w:t>
      </w:r>
      <w:r w:rsidR="00804B9E">
        <w:t xml:space="preserve"> in a personal bank account on a </w:t>
      </w:r>
      <w:r>
        <w:t xml:space="preserve">specific </w:t>
      </w:r>
      <w:r w:rsidR="00804B9E">
        <w:t xml:space="preserve">day </w:t>
      </w:r>
      <w:r>
        <w:t>is</w:t>
      </w:r>
      <w:r w:rsidR="00804B9E">
        <w:t xml:space="preserve"> a stock. </w:t>
      </w:r>
    </w:p>
    <w:p w:rsidR="00804B9E" w:rsidRDefault="00804B9E" w:rsidP="00804B9E">
      <w:pPr>
        <w:pStyle w:val="ListNumber"/>
        <w:spacing w:before="80"/>
      </w:pPr>
      <w:r w:rsidRPr="008A1154">
        <w:rPr>
          <w:b/>
        </w:rPr>
        <w:t>Cash vs accrual</w:t>
      </w:r>
      <w:r>
        <w:t xml:space="preserve">– </w:t>
      </w:r>
      <w:r w:rsidR="006233A0">
        <w:t xml:space="preserve">indicates whether a metric is based purely on </w:t>
      </w:r>
      <w:r w:rsidR="00C57923">
        <w:t>amounts already transferred</w:t>
      </w:r>
      <w:r w:rsidR="006233A0">
        <w:t xml:space="preserve"> (cash), or </w:t>
      </w:r>
      <w:r w:rsidR="00C57923">
        <w:t xml:space="preserve">additionally </w:t>
      </w:r>
      <w:r w:rsidR="006233A0">
        <w:t xml:space="preserve">includes </w:t>
      </w:r>
      <w:r w:rsidR="00C57923">
        <w:t xml:space="preserve">amounts </w:t>
      </w:r>
      <w:r w:rsidR="006233A0">
        <w:t xml:space="preserve">that </w:t>
      </w:r>
      <w:r w:rsidR="00C57923">
        <w:t>are</w:t>
      </w:r>
      <w:r w:rsidR="006233A0">
        <w:t xml:space="preserve"> owed.</w:t>
      </w:r>
    </w:p>
    <w:p w:rsidR="00804B9E" w:rsidRPr="00CD4916" w:rsidRDefault="00804B9E" w:rsidP="00804B9E">
      <w:pPr>
        <w:pStyle w:val="ListNumber2"/>
        <w:spacing w:before="80"/>
      </w:pPr>
      <w:r w:rsidRPr="008A1154">
        <w:rPr>
          <w:b/>
        </w:rPr>
        <w:t xml:space="preserve">Cash </w:t>
      </w:r>
      <w:r>
        <w:rPr>
          <w:b/>
        </w:rPr>
        <w:t>metrics</w:t>
      </w:r>
      <w:r>
        <w:t xml:space="preserve"> </w:t>
      </w:r>
      <w:r w:rsidR="006233A0">
        <w:t xml:space="preserve">reflect when </w:t>
      </w:r>
      <w:r w:rsidR="001D00C7">
        <w:t>the amounts are</w:t>
      </w:r>
      <w:r w:rsidRPr="00CD4916">
        <w:t xml:space="preserve"> received or payments made.</w:t>
      </w:r>
      <w:r>
        <w:t xml:space="preserve">  For example, </w:t>
      </w:r>
      <w:r w:rsidR="00F0404A">
        <w:t xml:space="preserve">a </w:t>
      </w:r>
      <w:r>
        <w:t xml:space="preserve">payment to an employee would be recorded on a cash basis when the payment is made. </w:t>
      </w:r>
    </w:p>
    <w:p w:rsidR="00D53F63" w:rsidRDefault="00804B9E" w:rsidP="00804B9E">
      <w:pPr>
        <w:pStyle w:val="ListNumber2"/>
      </w:pPr>
      <w:r w:rsidRPr="008A1154">
        <w:rPr>
          <w:b/>
        </w:rPr>
        <w:t xml:space="preserve">Accrual </w:t>
      </w:r>
      <w:r>
        <w:rPr>
          <w:b/>
        </w:rPr>
        <w:t>metrics</w:t>
      </w:r>
      <w:r>
        <w:t xml:space="preserve"> represent income earned or costs incurred, regardless of when the actual cash is transferred.  </w:t>
      </w:r>
      <w:r w:rsidR="006233A0">
        <w:t xml:space="preserve">Unlike cash metrics, accrual metrics include money that is ‘owed’ by one entity or individual to another.  </w:t>
      </w:r>
      <w:r>
        <w:t xml:space="preserve">For example, </w:t>
      </w:r>
      <w:r w:rsidR="00D53F63">
        <w:t xml:space="preserve">when an individual </w:t>
      </w:r>
      <w:r w:rsidR="006233A0">
        <w:t>completes their tax return, they may be notified that they owe additional tax, at which point</w:t>
      </w:r>
      <w:r w:rsidR="00F0404A">
        <w:t>,</w:t>
      </w:r>
      <w:r w:rsidR="006233A0">
        <w:t xml:space="preserve"> on an accrual basis, the government has an additional asset (the money it is owed) and the individual has an additional liability (the money they owe).</w:t>
      </w:r>
    </w:p>
    <w:p w:rsidR="00804B9E" w:rsidRDefault="00804B9E" w:rsidP="00804B9E">
      <w:pPr>
        <w:pStyle w:val="BodyText"/>
        <w:spacing w:before="80"/>
      </w:pPr>
      <w:r>
        <w:t>Flow and stock, and c</w:t>
      </w:r>
      <w:r w:rsidRPr="00CD4916">
        <w:t>ash and accrual</w:t>
      </w:r>
      <w:r>
        <w:t>,</w:t>
      </w:r>
      <w:r w:rsidRPr="00CD4916">
        <w:t xml:space="preserve"> are complementary concepts </w:t>
      </w:r>
      <w:r>
        <w:t xml:space="preserve">that </w:t>
      </w:r>
      <w:r w:rsidRPr="00CD4916">
        <w:t xml:space="preserve">can apply to the same </w:t>
      </w:r>
      <w:r>
        <w:t xml:space="preserve">budget aggregate.  For example, </w:t>
      </w:r>
      <w:r w:rsidRPr="00D113B1">
        <w:t>the underlying cash balance is both</w:t>
      </w:r>
      <w:r>
        <w:t xml:space="preserve"> a flow and cash metric; and net financial worth is both a stock and accrual metric </w:t>
      </w:r>
      <w:r w:rsidRPr="00D113B1">
        <w:t>(see</w:t>
      </w:r>
      <w:r w:rsidR="00D53F63">
        <w:t xml:space="preserve"> Figure A1</w:t>
      </w:r>
      <w:r w:rsidRPr="00D113B1">
        <w:t>)</w:t>
      </w:r>
      <w:r>
        <w:t>.</w:t>
      </w:r>
      <w:r w:rsidRPr="00CD4916">
        <w:t xml:space="preserve"> </w:t>
      </w:r>
      <w:r>
        <w:t xml:space="preserve">   </w:t>
      </w:r>
      <w:bookmarkStart w:id="67" w:name="_Ref34303249"/>
    </w:p>
    <w:p w:rsidR="00804B9E" w:rsidRPr="005C0235" w:rsidRDefault="00804B9E" w:rsidP="00A85614">
      <w:pPr>
        <w:pStyle w:val="BodyText"/>
        <w:keepNext/>
        <w:spacing w:before="80"/>
        <w:rPr>
          <w:rFonts w:cstheme="minorBidi"/>
          <w:b/>
          <w:bCs/>
          <w:color w:val="3D4D7D" w:themeColor="background2"/>
        </w:rPr>
      </w:pPr>
      <w:r w:rsidRPr="005C0235">
        <w:rPr>
          <w:rFonts w:cstheme="minorBidi"/>
          <w:b/>
          <w:bCs/>
          <w:color w:val="3D4D7D" w:themeColor="background2"/>
        </w:rPr>
        <w:lastRenderedPageBreak/>
        <w:t xml:space="preserve">Figure </w:t>
      </w:r>
      <w:r w:rsidR="009B7DB7">
        <w:rPr>
          <w:rFonts w:cstheme="minorBidi"/>
          <w:b/>
          <w:bCs/>
          <w:color w:val="3D4D7D" w:themeColor="background2"/>
        </w:rPr>
        <w:t>A</w:t>
      </w:r>
      <w:bookmarkEnd w:id="67"/>
      <w:r w:rsidR="006233A0">
        <w:rPr>
          <w:rFonts w:cstheme="minorBidi"/>
          <w:b/>
          <w:bCs/>
          <w:color w:val="3D4D7D" w:themeColor="background2"/>
        </w:rPr>
        <w:t>1</w:t>
      </w:r>
      <w:r w:rsidRPr="005C0235">
        <w:rPr>
          <w:rFonts w:cstheme="minorBidi"/>
          <w:b/>
          <w:bCs/>
          <w:color w:val="3D4D7D" w:themeColor="background2"/>
        </w:rPr>
        <w:t>:  Budget aggregates classified by metric type and financial statement</w:t>
      </w:r>
    </w:p>
    <w:p w:rsidR="00804B9E" w:rsidRPr="006E1204" w:rsidRDefault="003B2477" w:rsidP="00804B9E">
      <w:pPr>
        <w:rPr>
          <w:color w:val="808080" w:themeColor="background1" w:themeShade="80"/>
          <w:sz w:val="18"/>
        </w:rPr>
      </w:pPr>
      <w:r>
        <w:rPr>
          <w:noProof/>
          <w:color w:val="808080" w:themeColor="background1" w:themeShade="80"/>
          <w:sz w:val="18"/>
          <w:lang w:eastAsia="en-AU"/>
        </w:rPr>
        <w:drawing>
          <wp:inline distT="0" distB="0" distL="0" distR="0" wp14:anchorId="44A0B3A0" wp14:editId="6417E60D">
            <wp:extent cx="5639498" cy="25175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23" b="48128"/>
                    <a:stretch/>
                  </pic:blipFill>
                  <pic:spPr bwMode="auto">
                    <a:xfrm>
                      <a:off x="0" y="0"/>
                      <a:ext cx="5645689" cy="2520333"/>
                    </a:xfrm>
                    <a:prstGeom prst="rect">
                      <a:avLst/>
                    </a:prstGeom>
                    <a:noFill/>
                    <a:ln>
                      <a:noFill/>
                    </a:ln>
                    <a:extLst>
                      <a:ext uri="{53640926-AAD7-44D8-BBD7-CCE9431645EC}">
                        <a14:shadowObscured xmlns:a14="http://schemas.microsoft.com/office/drawing/2010/main"/>
                      </a:ext>
                    </a:extLst>
                  </pic:spPr>
                </pic:pic>
              </a:graphicData>
            </a:graphic>
          </wp:inline>
        </w:drawing>
      </w:r>
      <w:r w:rsidR="00804B9E">
        <w:rPr>
          <w:color w:val="808080" w:themeColor="background1" w:themeShade="80"/>
          <w:sz w:val="18"/>
        </w:rPr>
        <w:br/>
      </w:r>
      <w:r w:rsidR="00804B9E" w:rsidRPr="00597675">
        <w:rPr>
          <w:color w:val="808080" w:themeColor="background1" w:themeShade="80"/>
          <w:sz w:val="18"/>
        </w:rPr>
        <w:t xml:space="preserve">Source: </w:t>
      </w:r>
      <w:r w:rsidR="00804B9E">
        <w:rPr>
          <w:color w:val="808080" w:themeColor="background1" w:themeShade="80"/>
          <w:sz w:val="18"/>
        </w:rPr>
        <w:t xml:space="preserve">PBO diagram based on information in the </w:t>
      </w:r>
      <w:hyperlink r:id="rId38" w:history="1">
        <w:r w:rsidR="00804B9E" w:rsidRPr="006E1204">
          <w:rPr>
            <w:color w:val="808080" w:themeColor="background1" w:themeShade="80"/>
            <w:sz w:val="18"/>
          </w:rPr>
          <w:t>Uniform Presentation Framework</w:t>
        </w:r>
      </w:hyperlink>
      <w:r w:rsidR="00804B9E">
        <w:rPr>
          <w:color w:val="808080" w:themeColor="background1" w:themeShade="80"/>
          <w:sz w:val="18"/>
        </w:rPr>
        <w:t>.</w:t>
      </w:r>
      <w:r w:rsidR="00804B9E" w:rsidRPr="00597675">
        <w:rPr>
          <w:color w:val="808080" w:themeColor="background1" w:themeShade="80"/>
          <w:sz w:val="18"/>
        </w:rPr>
        <w:t xml:space="preserve"> </w:t>
      </w:r>
    </w:p>
    <w:p w:rsidR="00804B9E" w:rsidRPr="00AC630B" w:rsidRDefault="00804B9E" w:rsidP="00CC5EB9">
      <w:pPr>
        <w:pStyle w:val="Heading2NoNumbering"/>
        <w:spacing w:before="340"/>
      </w:pPr>
      <w:r w:rsidRPr="005631F8">
        <w:t>Financial</w:t>
      </w:r>
      <w:r>
        <w:t xml:space="preserve"> statements in the budget – where to locate budget aggregates</w:t>
      </w:r>
    </w:p>
    <w:p w:rsidR="00804B9E" w:rsidRDefault="00804B9E" w:rsidP="00804B9E">
      <w:pPr>
        <w:pStyle w:val="BodyText"/>
        <w:spacing w:after="120"/>
      </w:pPr>
      <w:r w:rsidRPr="000348D0">
        <w:t xml:space="preserve">The </w:t>
      </w:r>
      <w:r>
        <w:t>Commonwealth</w:t>
      </w:r>
      <w:r w:rsidRPr="000348D0">
        <w:t xml:space="preserve"> Budget consists of</w:t>
      </w:r>
      <w:r>
        <w:t xml:space="preserve"> four budget p</w:t>
      </w:r>
      <w:r w:rsidRPr="000348D0">
        <w:t>apers</w:t>
      </w:r>
      <w:r>
        <w:t xml:space="preserve"> which</w:t>
      </w:r>
      <w:r w:rsidR="00006CCC">
        <w:t>,</w:t>
      </w:r>
      <w:r>
        <w:t xml:space="preserve"> combined</w:t>
      </w:r>
      <w:r w:rsidR="00006CCC">
        <w:t>,</w:t>
      </w:r>
      <w:r>
        <w:t xml:space="preserve"> present a picture of the Commonwealth Government’s fiscal position, performance and outlook.  The budget contains a set of f</w:t>
      </w:r>
      <w:r w:rsidRPr="000348D0">
        <w:t>inancial statements</w:t>
      </w:r>
      <w:r>
        <w:t xml:space="preserve"> </w:t>
      </w:r>
      <w:r w:rsidR="00006CCC">
        <w:t>that</w:t>
      </w:r>
      <w:r w:rsidR="00006CCC" w:rsidRPr="00E222D0">
        <w:t xml:space="preserve"> </w:t>
      </w:r>
      <w:r>
        <w:t>publish values of budget aggregates across the forward estimates period</w:t>
      </w:r>
      <w:r w:rsidR="006233A0">
        <w:t xml:space="preserve"> (</w:t>
      </w:r>
      <w:proofErr w:type="spellStart"/>
      <w:r w:rsidR="006233A0">
        <w:t>ie</w:t>
      </w:r>
      <w:proofErr w:type="spellEnd"/>
      <w:r w:rsidR="006233A0">
        <w:t xml:space="preserve"> the budget year plus three additional years)</w:t>
      </w:r>
      <w:r>
        <w:t xml:space="preserve">.  The set of financial statements comprise the: </w:t>
      </w:r>
    </w:p>
    <w:p w:rsidR="00804B9E" w:rsidRDefault="00804B9E" w:rsidP="00804B9E">
      <w:pPr>
        <w:pStyle w:val="ListBullet"/>
      </w:pPr>
      <w:r w:rsidRPr="00850DF0">
        <w:rPr>
          <w:rFonts w:cs="Times New Roman"/>
          <w:b/>
          <w:color w:val="FFFFFF" w:themeColor="background1"/>
          <w:shd w:val="clear" w:color="auto" w:fill="3D4D7D" w:themeFill="background2"/>
        </w:rPr>
        <w:t>operating statement</w:t>
      </w:r>
      <w:r>
        <w:t>, which is a record of changes to the government’s fiscal position over a specific period of time</w:t>
      </w:r>
    </w:p>
    <w:p w:rsidR="00804B9E" w:rsidRDefault="00804B9E" w:rsidP="00804B9E">
      <w:pPr>
        <w:pStyle w:val="ListBullet"/>
      </w:pPr>
      <w:r w:rsidRPr="00850DF0">
        <w:rPr>
          <w:rFonts w:cs="Times New Roman"/>
          <w:b/>
          <w:color w:val="FFFFFF" w:themeColor="background1"/>
          <w:shd w:val="clear" w:color="auto" w:fill="F1873D" w:themeFill="accent3"/>
        </w:rPr>
        <w:t>balance sheet</w:t>
      </w:r>
      <w:r>
        <w:t>, which shows the stocks of government assets</w:t>
      </w:r>
      <w:r w:rsidR="004B7900">
        <w:t xml:space="preserve"> (financial and non-financial)</w:t>
      </w:r>
      <w:r>
        <w:t xml:space="preserve"> and liabilities at a point in time</w:t>
      </w:r>
    </w:p>
    <w:p w:rsidR="00804B9E" w:rsidRDefault="00804B9E" w:rsidP="00804B9E">
      <w:pPr>
        <w:pStyle w:val="ListBullet"/>
      </w:pPr>
      <w:proofErr w:type="gramStart"/>
      <w:r w:rsidRPr="00850DF0">
        <w:rPr>
          <w:rFonts w:cs="Times New Roman"/>
          <w:b/>
          <w:color w:val="FFFFFF" w:themeColor="background1"/>
          <w:shd w:val="clear" w:color="auto" w:fill="86BE57" w:themeFill="accent5"/>
        </w:rPr>
        <w:t>cash</w:t>
      </w:r>
      <w:proofErr w:type="gramEnd"/>
      <w:r w:rsidRPr="00850DF0">
        <w:rPr>
          <w:rFonts w:cs="Times New Roman"/>
          <w:b/>
          <w:color w:val="FFFFFF" w:themeColor="background1"/>
          <w:shd w:val="clear" w:color="auto" w:fill="86BE57" w:themeFill="accent5"/>
        </w:rPr>
        <w:t xml:space="preserve"> flow statement</w:t>
      </w:r>
      <w:r>
        <w:t xml:space="preserve">, which </w:t>
      </w:r>
      <w:r w:rsidRPr="00E324B2">
        <w:t xml:space="preserve">identifies how cash </w:t>
      </w:r>
      <w:r>
        <w:t>has been</w:t>
      </w:r>
      <w:r w:rsidRPr="00E324B2">
        <w:t xml:space="preserve"> </w:t>
      </w:r>
      <w:r w:rsidR="007A3460">
        <w:t xml:space="preserve">received </w:t>
      </w:r>
      <w:r w:rsidRPr="00E324B2">
        <w:t xml:space="preserve">and </w:t>
      </w:r>
      <w:r w:rsidR="007A3460">
        <w:t xml:space="preserve">used </w:t>
      </w:r>
      <w:r>
        <w:t xml:space="preserve">in a single accounting period. </w:t>
      </w:r>
    </w:p>
    <w:p w:rsidR="00804B9E" w:rsidRDefault="00804B9E" w:rsidP="00804B9E">
      <w:pPr>
        <w:pStyle w:val="BodyText"/>
        <w:spacing w:after="120"/>
      </w:pPr>
      <w:r>
        <w:t>In the 2019–20 Budget</w:t>
      </w:r>
      <w:r w:rsidR="00006CCC">
        <w:t>,</w:t>
      </w:r>
      <w:r>
        <w:t xml:space="preserve"> the financial statements can be found in </w:t>
      </w:r>
      <w:r w:rsidRPr="00CC5EB9">
        <w:t>Budget Paper No. 1</w:t>
      </w:r>
      <w:r w:rsidRPr="001C186C">
        <w:t>,</w:t>
      </w:r>
      <w:r>
        <w:t xml:space="preserve"> Statement 9.</w:t>
      </w:r>
      <w:r>
        <w:rPr>
          <w:rStyle w:val="FootnoteReference"/>
        </w:rPr>
        <w:footnoteReference w:id="38"/>
      </w:r>
      <w:r>
        <w:t xml:space="preserve">  </w:t>
      </w:r>
    </w:p>
    <w:p w:rsidR="00804B9E" w:rsidRDefault="00804B9E" w:rsidP="00804B9E">
      <w:pPr>
        <w:pStyle w:val="BodyText"/>
        <w:spacing w:after="120"/>
      </w:pPr>
      <w:r>
        <w:t>The following pages describe each of the three financial statements, demonstrate where the financial statements are located in the budget papers (</w:t>
      </w:r>
      <w:r w:rsidR="006233A0">
        <w:t>Figure A2</w:t>
      </w:r>
      <w:r>
        <w:t>) and define budget aggregates found in each financial statement (</w:t>
      </w:r>
      <w:r w:rsidR="00D53F63">
        <w:t xml:space="preserve">Figure A3 </w:t>
      </w:r>
      <w:r>
        <w:t xml:space="preserve">to </w:t>
      </w:r>
      <w:r w:rsidR="00D53F63">
        <w:t>A5</w:t>
      </w:r>
      <w:r>
        <w:t xml:space="preserve">). </w:t>
      </w:r>
    </w:p>
    <w:p w:rsidR="00107896" w:rsidRPr="000348D0" w:rsidRDefault="00107896" w:rsidP="00804B9E">
      <w:pPr>
        <w:pStyle w:val="BodyText"/>
        <w:spacing w:after="120"/>
      </w:pPr>
      <w:r>
        <w:t xml:space="preserve">The </w:t>
      </w:r>
      <w:r w:rsidR="00006CCC">
        <w:t>m</w:t>
      </w:r>
      <w:r>
        <w:t>id-</w:t>
      </w:r>
      <w:r w:rsidR="00006CCC">
        <w:t>y</w:t>
      </w:r>
      <w:r>
        <w:t xml:space="preserve">ear </w:t>
      </w:r>
      <w:r w:rsidR="00006CCC">
        <w:t>e</w:t>
      </w:r>
      <w:r>
        <w:t xml:space="preserve">conomic and </w:t>
      </w:r>
      <w:r w:rsidR="00006CCC">
        <w:t>f</w:t>
      </w:r>
      <w:r>
        <w:t xml:space="preserve">iscal </w:t>
      </w:r>
      <w:r w:rsidR="00006CCC">
        <w:t>o</w:t>
      </w:r>
      <w:r>
        <w:t>utlook</w:t>
      </w:r>
      <w:r w:rsidR="00006CCC">
        <w:t xml:space="preserve"> update</w:t>
      </w:r>
      <w:r>
        <w:t>, published around six months after the Budget, also includes these financial aggregates.</w:t>
      </w:r>
    </w:p>
    <w:p w:rsidR="00804B9E" w:rsidRPr="000C710D" w:rsidRDefault="00804B9E" w:rsidP="00804B9E">
      <w:pPr>
        <w:pStyle w:val="Caption"/>
        <w:jc w:val="left"/>
        <w:rPr>
          <w:i/>
        </w:rPr>
      </w:pPr>
      <w:bookmarkStart w:id="68" w:name="_Ref34304007"/>
      <w:r>
        <w:lastRenderedPageBreak/>
        <w:t xml:space="preserve">Figure </w:t>
      </w:r>
      <w:r w:rsidR="009B7DB7">
        <w:t>A</w:t>
      </w:r>
      <w:bookmarkEnd w:id="68"/>
      <w:r w:rsidR="006233A0">
        <w:rPr>
          <w:noProof/>
        </w:rPr>
        <w:t>2</w:t>
      </w:r>
      <w:r>
        <w:rPr>
          <w:noProof/>
        </w:rPr>
        <w:t>:</w:t>
      </w:r>
      <w:r>
        <w:t xml:space="preserve"> Financial statements and where to find them – </w:t>
      </w:r>
      <w:r w:rsidRPr="00CC5EB9">
        <w:t>Budget Paper No. 1</w:t>
      </w:r>
      <w:r w:rsidRPr="001C186C">
        <w:t>,</w:t>
      </w:r>
      <w:r>
        <w:rPr>
          <w:i/>
        </w:rPr>
        <w:t xml:space="preserve"> </w:t>
      </w:r>
      <w:r>
        <w:t>Statement 9</w:t>
      </w:r>
    </w:p>
    <w:p w:rsidR="00804B9E" w:rsidRDefault="00956230" w:rsidP="00804B9E">
      <w:pPr>
        <w:keepNext/>
        <w:keepLines/>
        <w:rPr>
          <w:b/>
          <w:sz w:val="20"/>
          <w:szCs w:val="20"/>
        </w:rPr>
      </w:pPr>
      <w:r>
        <w:rPr>
          <w:b/>
          <w:noProof/>
          <w:sz w:val="20"/>
          <w:szCs w:val="20"/>
          <w:lang w:eastAsia="en-AU"/>
        </w:rPr>
        <w:drawing>
          <wp:inline distT="0" distB="0" distL="0" distR="0" wp14:anchorId="2C385427" wp14:editId="0801253A">
            <wp:extent cx="5760085" cy="44236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4423644"/>
                    </a:xfrm>
                    <a:prstGeom prst="rect">
                      <a:avLst/>
                    </a:prstGeom>
                    <a:noFill/>
                  </pic:spPr>
                </pic:pic>
              </a:graphicData>
            </a:graphic>
          </wp:inline>
        </w:drawing>
      </w:r>
    </w:p>
    <w:p w:rsidR="00804B9E" w:rsidRDefault="00804B9E" w:rsidP="00804B9E">
      <w:pPr>
        <w:keepNext/>
        <w:keepLines/>
        <w:rPr>
          <w:b/>
          <w:sz w:val="20"/>
          <w:szCs w:val="20"/>
        </w:rPr>
      </w:pPr>
      <w:r w:rsidRPr="00597675">
        <w:rPr>
          <w:color w:val="808080" w:themeColor="background1" w:themeShade="80"/>
          <w:sz w:val="18"/>
        </w:rPr>
        <w:t xml:space="preserve">Source: </w:t>
      </w:r>
      <w:r>
        <w:rPr>
          <w:color w:val="808080" w:themeColor="background1" w:themeShade="80"/>
          <w:sz w:val="18"/>
        </w:rPr>
        <w:t xml:space="preserve">PBO diagram based on content in </w:t>
      </w:r>
      <w:r w:rsidRPr="00006CCC">
        <w:rPr>
          <w:color w:val="808080" w:themeColor="background1" w:themeShade="80"/>
          <w:sz w:val="18"/>
          <w:szCs w:val="18"/>
        </w:rPr>
        <w:t xml:space="preserve">the </w:t>
      </w:r>
      <w:hyperlink r:id="rId40" w:history="1">
        <w:r w:rsidRPr="00CC5EB9">
          <w:rPr>
            <w:color w:val="808080" w:themeColor="background1" w:themeShade="80"/>
            <w:szCs w:val="18"/>
          </w:rPr>
          <w:t>2019–20 Budget</w:t>
        </w:r>
      </w:hyperlink>
      <w:r w:rsidRPr="00006CCC">
        <w:rPr>
          <w:color w:val="808080" w:themeColor="background1" w:themeShade="80"/>
          <w:sz w:val="18"/>
          <w:szCs w:val="18"/>
        </w:rPr>
        <w:t>.</w:t>
      </w:r>
      <w:r>
        <w:rPr>
          <w:color w:val="808080" w:themeColor="background1" w:themeShade="80"/>
          <w:sz w:val="18"/>
        </w:rPr>
        <w:t xml:space="preserve"> </w:t>
      </w:r>
      <w:r w:rsidRPr="00597675">
        <w:rPr>
          <w:color w:val="808080" w:themeColor="background1" w:themeShade="80"/>
          <w:sz w:val="18"/>
        </w:rPr>
        <w:t xml:space="preserve"> </w:t>
      </w:r>
    </w:p>
    <w:p w:rsidR="00804B9E" w:rsidRDefault="00804B9E" w:rsidP="00CC5EB9">
      <w:pPr>
        <w:pStyle w:val="Heading3NoNumbering"/>
        <w:spacing w:before="340"/>
      </w:pPr>
      <w:r>
        <w:t xml:space="preserve">Definitions of key terms used </w:t>
      </w:r>
      <w:r w:rsidRPr="00280413">
        <w:t xml:space="preserve">in the </w:t>
      </w:r>
      <w:r>
        <w:t>o</w:t>
      </w:r>
      <w:r w:rsidRPr="00831B3E">
        <w:t xml:space="preserve">perating </w:t>
      </w:r>
      <w:r>
        <w:t>s</w:t>
      </w:r>
      <w:r w:rsidRPr="00831B3E">
        <w:t xml:space="preserve">tatement </w:t>
      </w:r>
    </w:p>
    <w:p w:rsidR="00804B9E" w:rsidRDefault="00804B9E" w:rsidP="00CC5EB9">
      <w:pPr>
        <w:pStyle w:val="BodyText"/>
        <w:spacing w:after="120"/>
      </w:pPr>
      <w:r w:rsidRPr="000348D0">
        <w:t xml:space="preserve">The </w:t>
      </w:r>
      <w:r>
        <w:rPr>
          <w:b/>
          <w:color w:val="FFFFFF" w:themeColor="background1"/>
          <w:shd w:val="clear" w:color="auto" w:fill="3D4D7D" w:themeFill="background2"/>
        </w:rPr>
        <w:t>o</w:t>
      </w:r>
      <w:r w:rsidRPr="008A1154">
        <w:rPr>
          <w:b/>
          <w:color w:val="FFFFFF" w:themeColor="background1"/>
          <w:shd w:val="clear" w:color="auto" w:fill="3D4D7D" w:themeFill="background2"/>
        </w:rPr>
        <w:t>perating statement</w:t>
      </w:r>
      <w:r>
        <w:t xml:space="preserve"> presents details of changes to the government’s fiscal position through transactions (such as revenue and expenses) and through </w:t>
      </w:r>
      <w:r w:rsidRPr="000348D0">
        <w:t>other economic flows (</w:t>
      </w:r>
      <w:r>
        <w:t xml:space="preserve">such as </w:t>
      </w:r>
      <w:r w:rsidRPr="000348D0">
        <w:t>revaluations and adjustments).</w:t>
      </w:r>
      <w:r>
        <w:t xml:space="preserve"> </w:t>
      </w:r>
      <w:r w:rsidRPr="000348D0">
        <w:t xml:space="preserve"> </w:t>
      </w:r>
      <w:r>
        <w:t xml:space="preserve">Transactions, other economic flows and </w:t>
      </w:r>
      <w:r w:rsidR="00C17B06">
        <w:t xml:space="preserve">some </w:t>
      </w:r>
      <w:r>
        <w:t>budget aggregate</w:t>
      </w:r>
      <w:r w:rsidR="006838E9">
        <w:t>s</w:t>
      </w:r>
      <w:r>
        <w:t xml:space="preserve"> are defined below, with</w:t>
      </w:r>
      <w:r w:rsidR="009B7DB7">
        <w:t xml:space="preserve"> Figure A3 </w:t>
      </w:r>
      <w:r>
        <w:t>highlighting where they appear in the operating statement.</w:t>
      </w:r>
    </w:p>
    <w:tbl>
      <w:tblPr>
        <w:tblStyle w:val="TableGrid"/>
        <w:tblW w:w="5000" w:type="pct"/>
        <w:tblBorders>
          <w:top w:val="none" w:sz="0" w:space="0" w:color="auto"/>
          <w:bottom w:val="none" w:sz="0" w:space="0" w:color="auto"/>
        </w:tblBorders>
        <w:tblLook w:val="04A0" w:firstRow="1" w:lastRow="0" w:firstColumn="1" w:lastColumn="0" w:noHBand="0" w:noVBand="1"/>
      </w:tblPr>
      <w:tblGrid>
        <w:gridCol w:w="657"/>
        <w:gridCol w:w="8414"/>
      </w:tblGrid>
      <w:tr w:rsidR="00C17B06" w:rsidRPr="002E4018" w:rsidTr="008B1015">
        <w:trPr>
          <w:cnfStyle w:val="100000000000" w:firstRow="1" w:lastRow="0" w:firstColumn="0" w:lastColumn="0" w:oddVBand="0" w:evenVBand="0" w:oddHBand="0" w:evenHBand="0" w:firstRowFirstColumn="0" w:firstRowLastColumn="0" w:lastRowFirstColumn="0" w:lastRowLastColumn="0"/>
          <w:trHeight w:val="38"/>
        </w:trPr>
        <w:tc>
          <w:tcPr>
            <w:cnfStyle w:val="000000000100" w:firstRow="0" w:lastRow="0" w:firstColumn="0" w:lastColumn="0" w:oddVBand="0" w:evenVBand="0" w:oddHBand="0" w:evenHBand="0" w:firstRowFirstColumn="1" w:firstRowLastColumn="0" w:lastRowFirstColumn="0" w:lastRowLastColumn="0"/>
            <w:tcW w:w="362" w:type="pct"/>
            <w:vAlign w:val="center"/>
          </w:tcPr>
          <w:p w:rsidR="00C17B06" w:rsidRPr="002E4018" w:rsidRDefault="00C17B06" w:rsidP="008B1015">
            <w:pPr>
              <w:pStyle w:val="BodyText"/>
              <w:spacing w:before="0"/>
              <w:jc w:val="center"/>
              <w:rPr>
                <w:noProof/>
                <w:sz w:val="2"/>
                <w:szCs w:val="20"/>
                <w:lang w:eastAsia="en-AU"/>
              </w:rPr>
            </w:pPr>
          </w:p>
        </w:tc>
        <w:tc>
          <w:tcPr>
            <w:tcW w:w="4638" w:type="pct"/>
            <w:vAlign w:val="bottom"/>
          </w:tcPr>
          <w:p w:rsidR="00C17B06" w:rsidRPr="002E4018" w:rsidRDefault="00C17B06" w:rsidP="008B1015">
            <w:pPr>
              <w:pStyle w:val="BodyText"/>
              <w:spacing w:before="0"/>
              <w:cnfStyle w:val="100000000000" w:firstRow="1" w:lastRow="0" w:firstColumn="0" w:lastColumn="0" w:oddVBand="0" w:evenVBand="0" w:oddHBand="0" w:evenHBand="0" w:firstRowFirstColumn="0" w:firstRowLastColumn="0" w:lastRowFirstColumn="0" w:lastRowLastColumn="0"/>
              <w:rPr>
                <w:color w:val="FFFFFF" w:themeColor="background1"/>
                <w:sz w:val="2"/>
                <w:szCs w:val="20"/>
                <w:shd w:val="clear" w:color="auto" w:fill="86BE57" w:themeFill="accent5"/>
              </w:rPr>
            </w:pPr>
          </w:p>
        </w:tc>
      </w:tr>
      <w:tr w:rsidR="00804B9E" w:rsidTr="00A85614">
        <w:trPr>
          <w:trHeight w:val="507"/>
        </w:trPr>
        <w:tc>
          <w:tcPr>
            <w:tcW w:w="362" w:type="pct"/>
            <w:vAlign w:val="center"/>
          </w:tcPr>
          <w:p w:rsidR="00804B9E" w:rsidRPr="005F2CE9" w:rsidRDefault="00804B9E" w:rsidP="001654F5">
            <w:pPr>
              <w:pStyle w:val="BodyText"/>
              <w:spacing w:before="0"/>
              <w:jc w:val="center"/>
              <w:rPr>
                <w:b/>
              </w:rPr>
            </w:pPr>
            <w:r w:rsidRPr="00A85614">
              <w:rPr>
                <w:noProof/>
                <w:lang w:eastAsia="en-AU"/>
              </w:rPr>
              <w:drawing>
                <wp:inline distT="0" distB="0" distL="0" distR="0" wp14:anchorId="2EFDD95E" wp14:editId="5B88C6EF">
                  <wp:extent cx="262255"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255" cy="304800"/>
                          </a:xfrm>
                          <a:prstGeom prst="rect">
                            <a:avLst/>
                          </a:prstGeom>
                          <a:noFill/>
                        </pic:spPr>
                      </pic:pic>
                    </a:graphicData>
                  </a:graphic>
                </wp:inline>
              </w:drawing>
            </w:r>
          </w:p>
        </w:tc>
        <w:tc>
          <w:tcPr>
            <w:tcW w:w="4638" w:type="pct"/>
            <w:vAlign w:val="bottom"/>
          </w:tcPr>
          <w:p w:rsidR="00804B9E" w:rsidRPr="005F2CE9" w:rsidRDefault="00804B9E" w:rsidP="00006CCC">
            <w:pPr>
              <w:pStyle w:val="BodyText"/>
              <w:spacing w:before="0"/>
              <w:rPr>
                <w:b/>
                <w:szCs w:val="20"/>
              </w:rPr>
            </w:pPr>
            <w:r w:rsidRPr="00CC5EB9">
              <w:rPr>
                <w:b/>
                <w:color w:val="FFFFFF" w:themeColor="background1"/>
                <w:szCs w:val="20"/>
                <w:shd w:val="clear" w:color="auto" w:fill="2E3A5E"/>
              </w:rPr>
              <w:t>Transactions</w:t>
            </w:r>
            <w:r w:rsidRPr="005F2CE9">
              <w:rPr>
                <w:szCs w:val="20"/>
              </w:rPr>
              <w:t xml:space="preserve"> represent an event where there is a movement of assets </w:t>
            </w:r>
            <w:r w:rsidR="002A0BC6">
              <w:rPr>
                <w:szCs w:val="20"/>
              </w:rPr>
              <w:t xml:space="preserve">(including cash) </w:t>
            </w:r>
            <w:r w:rsidRPr="005F2CE9">
              <w:rPr>
                <w:szCs w:val="20"/>
              </w:rPr>
              <w:t>between two</w:t>
            </w:r>
            <w:r w:rsidR="00006CCC">
              <w:rPr>
                <w:szCs w:val="20"/>
              </w:rPr>
              <w:t> </w:t>
            </w:r>
            <w:r w:rsidRPr="005F2CE9">
              <w:rPr>
                <w:szCs w:val="20"/>
              </w:rPr>
              <w:t xml:space="preserve">entities.  Examples include pension payments, tax collection, grants, interest payments on loans, </w:t>
            </w:r>
            <w:r w:rsidR="0050233D" w:rsidRPr="005F2CE9">
              <w:rPr>
                <w:szCs w:val="20"/>
              </w:rPr>
              <w:t xml:space="preserve">and </w:t>
            </w:r>
            <w:r w:rsidRPr="005F2CE9">
              <w:rPr>
                <w:szCs w:val="20"/>
              </w:rPr>
              <w:t>loan repayments.</w:t>
            </w:r>
          </w:p>
        </w:tc>
      </w:tr>
      <w:tr w:rsidR="00804B9E" w:rsidTr="00A85614">
        <w:trPr>
          <w:cnfStyle w:val="000000010000" w:firstRow="0" w:lastRow="0" w:firstColumn="0" w:lastColumn="0" w:oddVBand="0" w:evenVBand="0" w:oddHBand="0" w:evenHBand="1" w:firstRowFirstColumn="0" w:firstRowLastColumn="0" w:lastRowFirstColumn="0" w:lastRowLastColumn="0"/>
        </w:trPr>
        <w:tc>
          <w:tcPr>
            <w:tcW w:w="362" w:type="pct"/>
            <w:shd w:val="clear" w:color="auto" w:fill="auto"/>
            <w:vAlign w:val="center"/>
          </w:tcPr>
          <w:p w:rsidR="00804B9E" w:rsidRDefault="00804B9E" w:rsidP="001654F5">
            <w:pPr>
              <w:pStyle w:val="BodyText"/>
              <w:spacing w:before="0"/>
              <w:jc w:val="center"/>
              <w:rPr>
                <w:b/>
              </w:rPr>
            </w:pPr>
            <w:r>
              <w:rPr>
                <w:b/>
                <w:noProof/>
                <w:lang w:eastAsia="en-AU"/>
              </w:rPr>
              <w:drawing>
                <wp:inline distT="0" distB="0" distL="0" distR="0" wp14:anchorId="2944AC39" wp14:editId="4A8FC1AD">
                  <wp:extent cx="255905"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905" cy="304800"/>
                          </a:xfrm>
                          <a:prstGeom prst="rect">
                            <a:avLst/>
                          </a:prstGeom>
                          <a:noFill/>
                        </pic:spPr>
                      </pic:pic>
                    </a:graphicData>
                  </a:graphic>
                </wp:inline>
              </w:drawing>
            </w:r>
          </w:p>
        </w:tc>
        <w:tc>
          <w:tcPr>
            <w:tcW w:w="4638" w:type="pct"/>
            <w:shd w:val="clear" w:color="auto" w:fill="auto"/>
            <w:vAlign w:val="bottom"/>
          </w:tcPr>
          <w:p w:rsidR="00804B9E" w:rsidRPr="005F2CE9" w:rsidRDefault="00804B9E" w:rsidP="00106126">
            <w:pPr>
              <w:pStyle w:val="BodyText"/>
              <w:spacing w:before="0"/>
              <w:rPr>
                <w:szCs w:val="20"/>
              </w:rPr>
            </w:pPr>
            <w:r w:rsidRPr="005F2CE9">
              <w:rPr>
                <w:szCs w:val="20"/>
              </w:rPr>
              <w:t xml:space="preserve">The </w:t>
            </w:r>
            <w:r w:rsidRPr="005F2CE9">
              <w:rPr>
                <w:b/>
                <w:color w:val="FFFFFF" w:themeColor="background1"/>
                <w:szCs w:val="20"/>
                <w:shd w:val="clear" w:color="auto" w:fill="3D4D7D" w:themeFill="background2"/>
              </w:rPr>
              <w:t>net operating balance</w:t>
            </w:r>
            <w:r w:rsidRPr="005F2CE9">
              <w:rPr>
                <w:color w:val="2E3A5E"/>
                <w:szCs w:val="20"/>
              </w:rPr>
              <w:t xml:space="preserve"> is </w:t>
            </w:r>
            <w:r w:rsidRPr="005F2CE9">
              <w:rPr>
                <w:szCs w:val="20"/>
              </w:rPr>
              <w:t xml:space="preserve">equal to the government’s revenue (including tax collections) minus its expenses (including grants) and includes accrual accounting items such as depreciation.  It indicates whether government revenue is sufficient to cover expenses from operating activities (where insufficient, government will have to borrow from financial markets).  The net operating balance </w:t>
            </w:r>
            <w:r w:rsidR="0050233D" w:rsidRPr="005F2CE9">
              <w:rPr>
                <w:szCs w:val="20"/>
              </w:rPr>
              <w:t>is equivalent to</w:t>
            </w:r>
            <w:r w:rsidRPr="005F2CE9">
              <w:rPr>
                <w:szCs w:val="20"/>
              </w:rPr>
              <w:t xml:space="preserve"> the change in net worth due to transactions.</w:t>
            </w:r>
          </w:p>
        </w:tc>
      </w:tr>
      <w:tr w:rsidR="00804B9E" w:rsidTr="00CC5EB9">
        <w:tc>
          <w:tcPr>
            <w:tcW w:w="362" w:type="pct"/>
            <w:shd w:val="clear" w:color="auto" w:fill="auto"/>
            <w:vAlign w:val="center"/>
          </w:tcPr>
          <w:p w:rsidR="00804B9E" w:rsidRDefault="00804B9E" w:rsidP="001654F5">
            <w:pPr>
              <w:pStyle w:val="BodyText"/>
              <w:spacing w:before="0"/>
              <w:jc w:val="center"/>
              <w:rPr>
                <w:b/>
                <w:noProof/>
                <w:lang w:eastAsia="en-AU"/>
              </w:rPr>
            </w:pPr>
            <w:r>
              <w:rPr>
                <w:b/>
                <w:noProof/>
                <w:lang w:eastAsia="en-AU"/>
              </w:rPr>
              <w:drawing>
                <wp:inline distT="0" distB="0" distL="0" distR="0" wp14:anchorId="0805E1D1" wp14:editId="64B4CBD7">
                  <wp:extent cx="25019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190" cy="304800"/>
                          </a:xfrm>
                          <a:prstGeom prst="rect">
                            <a:avLst/>
                          </a:prstGeom>
                          <a:noFill/>
                        </pic:spPr>
                      </pic:pic>
                    </a:graphicData>
                  </a:graphic>
                </wp:inline>
              </w:drawing>
            </w:r>
          </w:p>
        </w:tc>
        <w:tc>
          <w:tcPr>
            <w:tcW w:w="4638" w:type="pct"/>
            <w:shd w:val="clear" w:color="auto" w:fill="auto"/>
            <w:vAlign w:val="bottom"/>
          </w:tcPr>
          <w:p w:rsidR="00804B9E" w:rsidRPr="005F2CE9" w:rsidRDefault="00804B9E" w:rsidP="00A91E1F">
            <w:pPr>
              <w:pStyle w:val="BodyText"/>
              <w:spacing w:before="0"/>
              <w:rPr>
                <w:b/>
                <w:color w:val="FFFFFF" w:themeColor="background1"/>
                <w:szCs w:val="20"/>
                <w:shd w:val="clear" w:color="auto" w:fill="86BE57" w:themeFill="accent5"/>
              </w:rPr>
            </w:pPr>
            <w:r w:rsidRPr="005F2CE9">
              <w:rPr>
                <w:b/>
                <w:color w:val="FFFFFF" w:themeColor="background1"/>
                <w:szCs w:val="20"/>
                <w:shd w:val="clear" w:color="auto" w:fill="7C8DBF"/>
              </w:rPr>
              <w:t>Other economic flows</w:t>
            </w:r>
            <w:r w:rsidRPr="005F2CE9">
              <w:rPr>
                <w:color w:val="FFFFFF" w:themeColor="background1"/>
                <w:szCs w:val="20"/>
              </w:rPr>
              <w:t xml:space="preserve"> </w:t>
            </w:r>
            <w:r w:rsidRPr="005F2CE9">
              <w:rPr>
                <w:szCs w:val="20"/>
              </w:rPr>
              <w:t>comprise revaluations and adjustments that typically arise from changes in market prices, actuarial valuations, exchange rates</w:t>
            </w:r>
            <w:r w:rsidR="00006CCC">
              <w:rPr>
                <w:szCs w:val="20"/>
              </w:rPr>
              <w:t>,</w:t>
            </w:r>
            <w:r w:rsidRPr="005F2CE9">
              <w:rPr>
                <w:szCs w:val="20"/>
              </w:rPr>
              <w:t xml:space="preserve"> and gain</w:t>
            </w:r>
            <w:r w:rsidR="00A91E1F">
              <w:rPr>
                <w:szCs w:val="20"/>
              </w:rPr>
              <w:t xml:space="preserve">s or </w:t>
            </w:r>
            <w:r w:rsidRPr="005F2CE9">
              <w:rPr>
                <w:szCs w:val="20"/>
              </w:rPr>
              <w:t>loss</w:t>
            </w:r>
            <w:r w:rsidR="00A91E1F">
              <w:rPr>
                <w:szCs w:val="20"/>
              </w:rPr>
              <w:t>es</w:t>
            </w:r>
            <w:r w:rsidRPr="005F2CE9">
              <w:rPr>
                <w:szCs w:val="20"/>
              </w:rPr>
              <w:t xml:space="preserve"> on </w:t>
            </w:r>
            <w:r w:rsidR="00A91E1F">
              <w:rPr>
                <w:szCs w:val="20"/>
              </w:rPr>
              <w:t xml:space="preserve">the </w:t>
            </w:r>
            <w:r w:rsidRPr="005F2CE9">
              <w:rPr>
                <w:szCs w:val="20"/>
              </w:rPr>
              <w:t>sale of assets.</w:t>
            </w:r>
          </w:p>
        </w:tc>
      </w:tr>
      <w:tr w:rsidR="00804B9E" w:rsidTr="00CC5EB9">
        <w:trPr>
          <w:cnfStyle w:val="000000010000" w:firstRow="0" w:lastRow="0" w:firstColumn="0" w:lastColumn="0" w:oddVBand="0" w:evenVBand="0" w:oddHBand="0" w:evenHBand="1" w:firstRowFirstColumn="0" w:firstRowLastColumn="0" w:lastRowFirstColumn="0" w:lastRowLastColumn="0"/>
        </w:trPr>
        <w:tc>
          <w:tcPr>
            <w:tcW w:w="362" w:type="pct"/>
            <w:tcBorders>
              <w:bottom w:val="single" w:sz="4" w:space="0" w:color="auto"/>
            </w:tcBorders>
            <w:shd w:val="clear" w:color="auto" w:fill="auto"/>
            <w:vAlign w:val="center"/>
          </w:tcPr>
          <w:p w:rsidR="00804B9E" w:rsidRDefault="00804B9E" w:rsidP="001654F5">
            <w:pPr>
              <w:pStyle w:val="BodyText"/>
              <w:spacing w:before="0"/>
              <w:jc w:val="center"/>
              <w:rPr>
                <w:b/>
                <w:noProof/>
                <w:lang w:eastAsia="en-AU"/>
              </w:rPr>
            </w:pPr>
            <w:r>
              <w:rPr>
                <w:b/>
                <w:noProof/>
                <w:lang w:eastAsia="en-AU"/>
              </w:rPr>
              <w:drawing>
                <wp:inline distT="0" distB="0" distL="0" distR="0" wp14:anchorId="06FCEACC" wp14:editId="2FC858F8">
                  <wp:extent cx="26797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pic:spPr>
                      </pic:pic>
                    </a:graphicData>
                  </a:graphic>
                </wp:inline>
              </w:drawing>
            </w:r>
          </w:p>
        </w:tc>
        <w:tc>
          <w:tcPr>
            <w:tcW w:w="4638" w:type="pct"/>
            <w:tcBorders>
              <w:bottom w:val="single" w:sz="4" w:space="0" w:color="auto"/>
            </w:tcBorders>
            <w:shd w:val="clear" w:color="auto" w:fill="auto"/>
            <w:vAlign w:val="bottom"/>
          </w:tcPr>
          <w:p w:rsidR="00804B9E" w:rsidRPr="005F2CE9" w:rsidRDefault="00804B9E" w:rsidP="008D1673">
            <w:pPr>
              <w:pStyle w:val="BodyText"/>
              <w:spacing w:before="0"/>
              <w:rPr>
                <w:b/>
                <w:color w:val="FFFFFF" w:themeColor="background1"/>
                <w:szCs w:val="20"/>
                <w:shd w:val="clear" w:color="auto" w:fill="86BE57" w:themeFill="accent5"/>
              </w:rPr>
            </w:pPr>
            <w:r w:rsidRPr="005F2CE9">
              <w:rPr>
                <w:b/>
                <w:color w:val="FFFFFF" w:themeColor="background1"/>
                <w:szCs w:val="20"/>
                <w:shd w:val="clear" w:color="auto" w:fill="A8B3D4"/>
              </w:rPr>
              <w:t>Fiscal balance</w:t>
            </w:r>
            <w:r w:rsidRPr="005F2CE9">
              <w:rPr>
                <w:color w:val="FFFFFF" w:themeColor="background1"/>
                <w:szCs w:val="20"/>
              </w:rPr>
              <w:t xml:space="preserve"> </w:t>
            </w:r>
            <w:r w:rsidRPr="005F2CE9">
              <w:rPr>
                <w:szCs w:val="20"/>
              </w:rPr>
              <w:t>measures</w:t>
            </w:r>
            <w:r w:rsidR="00006CCC">
              <w:rPr>
                <w:szCs w:val="20"/>
              </w:rPr>
              <w:t>,</w:t>
            </w:r>
            <w:r w:rsidRPr="005F2CE9">
              <w:rPr>
                <w:szCs w:val="20"/>
              </w:rPr>
              <w:t xml:space="preserve"> in accrual terms</w:t>
            </w:r>
            <w:r w:rsidR="00006CCC">
              <w:rPr>
                <w:szCs w:val="20"/>
              </w:rPr>
              <w:t>,</w:t>
            </w:r>
            <w:r w:rsidRPr="005F2CE9">
              <w:rPr>
                <w:szCs w:val="20"/>
              </w:rPr>
              <w:t xml:space="preserve"> the gap between government revenue and expenses, adjusted for government investment in non</w:t>
            </w:r>
            <w:r w:rsidRPr="005F2CE9">
              <w:rPr>
                <w:szCs w:val="20"/>
              </w:rPr>
              <w:noBreakHyphen/>
              <w:t>financial assets</w:t>
            </w:r>
            <w:r w:rsidRPr="005F2CE9">
              <w:rPr>
                <w:color w:val="2E3A5E"/>
                <w:szCs w:val="20"/>
              </w:rPr>
              <w:t xml:space="preserve">.  </w:t>
            </w:r>
            <w:r w:rsidRPr="005F2CE9">
              <w:rPr>
                <w:szCs w:val="20"/>
              </w:rPr>
              <w:t xml:space="preserve">It </w:t>
            </w:r>
            <w:r w:rsidR="0050233D" w:rsidRPr="005F2CE9">
              <w:rPr>
                <w:szCs w:val="20"/>
              </w:rPr>
              <w:t xml:space="preserve">is equivalent to </w:t>
            </w:r>
            <w:r w:rsidRPr="005F2CE9">
              <w:rPr>
                <w:szCs w:val="20"/>
              </w:rPr>
              <w:t xml:space="preserve">the change in net financial worth due to transactions. </w:t>
            </w:r>
          </w:p>
        </w:tc>
      </w:tr>
    </w:tbl>
    <w:p w:rsidR="00804B9E" w:rsidRDefault="00804B9E" w:rsidP="00804B9E">
      <w:pPr>
        <w:pStyle w:val="Caption"/>
        <w:spacing w:before="120" w:after="0"/>
        <w:jc w:val="left"/>
      </w:pPr>
      <w:bookmarkStart w:id="69" w:name="_Ref34311239"/>
      <w:r>
        <w:lastRenderedPageBreak/>
        <w:t xml:space="preserve">Figure </w:t>
      </w:r>
      <w:r w:rsidR="009B7DB7">
        <w:t>A</w:t>
      </w:r>
      <w:bookmarkEnd w:id="69"/>
      <w:r w:rsidR="009B7DB7">
        <w:t>3</w:t>
      </w:r>
      <w:r w:rsidR="003041EB">
        <w:t>:</w:t>
      </w:r>
      <w:r>
        <w:t xml:space="preserve"> Budget aggregates in the operating statement (excerpt)</w:t>
      </w:r>
    </w:p>
    <w:p w:rsidR="00D2513B" w:rsidRDefault="00804B9E" w:rsidP="00804B9E">
      <w:pPr>
        <w:spacing w:before="120" w:line="240" w:lineRule="auto"/>
        <w:rPr>
          <w:rFonts w:cs="Times New Roman"/>
          <w:color w:val="788184"/>
          <w:kern w:val="2"/>
          <w:sz w:val="18"/>
          <w:szCs w:val="18"/>
        </w:rPr>
      </w:pPr>
      <w:r>
        <w:rPr>
          <w:rFonts w:cs="Times New Roman"/>
          <w:noProof/>
          <w:color w:val="788184"/>
          <w:kern w:val="2"/>
          <w:sz w:val="18"/>
          <w:szCs w:val="14"/>
          <w:lang w:eastAsia="en-AU"/>
        </w:rPr>
        <w:drawing>
          <wp:inline distT="0" distB="0" distL="0" distR="0" wp14:anchorId="3409F929" wp14:editId="7DA87647">
            <wp:extent cx="5771407" cy="58902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6408" cy="5905560"/>
                    </a:xfrm>
                    <a:prstGeom prst="rect">
                      <a:avLst/>
                    </a:prstGeom>
                    <a:noFill/>
                  </pic:spPr>
                </pic:pic>
              </a:graphicData>
            </a:graphic>
          </wp:inline>
        </w:drawing>
      </w:r>
      <w:r>
        <w:br/>
      </w:r>
      <w:r w:rsidR="00D2513B">
        <w:rPr>
          <w:rFonts w:cs="Times New Roman"/>
          <w:color w:val="788184"/>
          <w:kern w:val="2"/>
          <w:sz w:val="18"/>
          <w:szCs w:val="18"/>
        </w:rPr>
        <w:t xml:space="preserve">Note: For brevity, </w:t>
      </w:r>
      <w:r w:rsidR="00D2513B">
        <w:rPr>
          <w:rFonts w:cs="Times New Roman"/>
          <w:color w:val="788184"/>
          <w:kern w:val="2"/>
          <w:sz w:val="18"/>
          <w:szCs w:val="18"/>
        </w:rPr>
        <w:fldChar w:fldCharType="begin"/>
      </w:r>
      <w:r w:rsidR="00D2513B">
        <w:rPr>
          <w:rFonts w:cs="Times New Roman"/>
          <w:color w:val="788184"/>
          <w:kern w:val="2"/>
          <w:sz w:val="18"/>
          <w:szCs w:val="18"/>
        </w:rPr>
        <w:instrText xml:space="preserve"> REF _Ref34311239 \h  \* MERGEFORMAT </w:instrText>
      </w:r>
      <w:r w:rsidR="00D2513B">
        <w:rPr>
          <w:rFonts w:cs="Times New Roman"/>
          <w:color w:val="788184"/>
          <w:kern w:val="2"/>
          <w:sz w:val="18"/>
          <w:szCs w:val="18"/>
        </w:rPr>
      </w:r>
      <w:r w:rsidR="00D2513B">
        <w:rPr>
          <w:rFonts w:cs="Times New Roman"/>
          <w:color w:val="788184"/>
          <w:kern w:val="2"/>
          <w:sz w:val="18"/>
          <w:szCs w:val="18"/>
        </w:rPr>
        <w:fldChar w:fldCharType="separate"/>
      </w:r>
      <w:r w:rsidR="003F421C" w:rsidRPr="003F421C">
        <w:rPr>
          <w:rFonts w:cs="Times New Roman"/>
          <w:color w:val="788184"/>
          <w:kern w:val="2"/>
          <w:sz w:val="18"/>
          <w:szCs w:val="18"/>
        </w:rPr>
        <w:t xml:space="preserve">Figure </w:t>
      </w:r>
      <w:proofErr w:type="gramStart"/>
      <w:r w:rsidR="003F421C" w:rsidRPr="003F421C">
        <w:rPr>
          <w:rFonts w:cs="Times New Roman"/>
          <w:color w:val="788184"/>
          <w:kern w:val="2"/>
          <w:sz w:val="18"/>
          <w:szCs w:val="18"/>
        </w:rPr>
        <w:t>A</w:t>
      </w:r>
      <w:proofErr w:type="gramEnd"/>
      <w:r w:rsidR="00D2513B">
        <w:rPr>
          <w:rFonts w:cs="Times New Roman"/>
          <w:color w:val="788184"/>
          <w:kern w:val="2"/>
          <w:sz w:val="18"/>
          <w:szCs w:val="18"/>
        </w:rPr>
        <w:fldChar w:fldCharType="end"/>
      </w:r>
      <w:r w:rsidR="00D2513B">
        <w:rPr>
          <w:rFonts w:cs="Times New Roman"/>
          <w:color w:val="788184"/>
          <w:kern w:val="2"/>
          <w:sz w:val="18"/>
          <w:szCs w:val="18"/>
        </w:rPr>
        <w:t xml:space="preserve">3 is an excerpt of the operating statement and excludes certain line items. </w:t>
      </w:r>
    </w:p>
    <w:p w:rsidR="00804B9E" w:rsidRPr="00CC5EB9" w:rsidRDefault="00804B9E" w:rsidP="00804B9E">
      <w:pPr>
        <w:spacing w:before="120" w:line="240" w:lineRule="auto"/>
        <w:rPr>
          <w:rStyle w:val="Hyperlink"/>
          <w:sz w:val="18"/>
          <w:szCs w:val="18"/>
        </w:rPr>
      </w:pPr>
      <w:r>
        <w:rPr>
          <w:rFonts w:cs="Times New Roman"/>
          <w:color w:val="788184"/>
          <w:kern w:val="2"/>
          <w:sz w:val="18"/>
          <w:szCs w:val="14"/>
        </w:rPr>
        <w:t xml:space="preserve">Source: </w:t>
      </w:r>
      <w:r w:rsidRPr="00CC5EB9">
        <w:rPr>
          <w:rFonts w:cs="Times New Roman"/>
          <w:i/>
          <w:color w:val="788184"/>
          <w:kern w:val="2"/>
          <w:sz w:val="18"/>
          <w:szCs w:val="14"/>
        </w:rPr>
        <w:t xml:space="preserve">2019–20 Budget, </w:t>
      </w:r>
      <w:r w:rsidRPr="00624949">
        <w:rPr>
          <w:rFonts w:cs="Times New Roman"/>
          <w:i/>
          <w:color w:val="788184"/>
          <w:kern w:val="2"/>
          <w:sz w:val="18"/>
          <w:szCs w:val="14"/>
        </w:rPr>
        <w:t>Budget Paper No.1</w:t>
      </w:r>
      <w:r w:rsidRPr="008460F9">
        <w:rPr>
          <w:rFonts w:cs="Times New Roman"/>
          <w:color w:val="788184"/>
          <w:kern w:val="2"/>
          <w:sz w:val="18"/>
          <w:szCs w:val="14"/>
        </w:rPr>
        <w:t>,</w:t>
      </w:r>
      <w:r>
        <w:rPr>
          <w:rFonts w:cs="Times New Roman"/>
          <w:color w:val="788184"/>
          <w:kern w:val="2"/>
          <w:sz w:val="18"/>
          <w:szCs w:val="14"/>
        </w:rPr>
        <w:t xml:space="preserve"> </w:t>
      </w:r>
      <w:r w:rsidRPr="00D113B1">
        <w:rPr>
          <w:rFonts w:cs="Times New Roman"/>
          <w:color w:val="788184"/>
          <w:kern w:val="2"/>
          <w:sz w:val="18"/>
          <w:szCs w:val="14"/>
        </w:rPr>
        <w:t xml:space="preserve">Statement 9, </w:t>
      </w:r>
      <w:proofErr w:type="gramStart"/>
      <w:r w:rsidRPr="00D113B1">
        <w:rPr>
          <w:rFonts w:cs="Times New Roman"/>
          <w:color w:val="788184"/>
          <w:kern w:val="2"/>
          <w:sz w:val="18"/>
          <w:szCs w:val="14"/>
        </w:rPr>
        <w:t>Table</w:t>
      </w:r>
      <w:proofErr w:type="gramEnd"/>
      <w:r w:rsidRPr="00D113B1">
        <w:rPr>
          <w:rFonts w:cs="Times New Roman"/>
          <w:color w:val="788184"/>
          <w:kern w:val="2"/>
          <w:sz w:val="18"/>
          <w:szCs w:val="14"/>
        </w:rPr>
        <w:t xml:space="preserve"> 1: Australian Government general government sector operating statement, p</w:t>
      </w:r>
      <w:r w:rsidR="00956230">
        <w:rPr>
          <w:rFonts w:cs="Times New Roman"/>
          <w:color w:val="788184"/>
          <w:kern w:val="2"/>
          <w:sz w:val="18"/>
          <w:szCs w:val="14"/>
        </w:rPr>
        <w:t>p</w:t>
      </w:r>
      <w:r w:rsidR="001D2ECD">
        <w:rPr>
          <w:rFonts w:cs="Times New Roman"/>
          <w:color w:val="788184"/>
          <w:kern w:val="2"/>
          <w:sz w:val="18"/>
          <w:szCs w:val="14"/>
        </w:rPr>
        <w:t>.</w:t>
      </w:r>
      <w:r w:rsidR="00956230">
        <w:rPr>
          <w:rFonts w:cs="Times New Roman"/>
          <w:color w:val="788184"/>
          <w:kern w:val="2"/>
          <w:sz w:val="18"/>
          <w:szCs w:val="14"/>
        </w:rPr>
        <w:t xml:space="preserve"> 9–5 to 9–6</w:t>
      </w:r>
      <w:r w:rsidRPr="00006CCC">
        <w:rPr>
          <w:rFonts w:cs="Times New Roman"/>
          <w:color w:val="788184"/>
          <w:kern w:val="2"/>
          <w:sz w:val="18"/>
          <w:szCs w:val="18"/>
        </w:rPr>
        <w:t xml:space="preserve">.  </w:t>
      </w:r>
      <w:proofErr w:type="gramStart"/>
      <w:r w:rsidRPr="00006CCC">
        <w:rPr>
          <w:rFonts w:cs="Times New Roman"/>
          <w:color w:val="788184"/>
          <w:kern w:val="2"/>
          <w:sz w:val="18"/>
          <w:szCs w:val="18"/>
        </w:rPr>
        <w:t>Available at</w:t>
      </w:r>
      <w:r w:rsidRPr="00CC5EB9">
        <w:rPr>
          <w:rFonts w:cs="Times New Roman"/>
          <w:color w:val="788184"/>
          <w:kern w:val="2"/>
          <w:sz w:val="18"/>
          <w:szCs w:val="18"/>
        </w:rPr>
        <w:t xml:space="preserve"> </w:t>
      </w:r>
      <w:hyperlink r:id="rId46" w:history="1">
        <w:r w:rsidRPr="00CC5EB9">
          <w:rPr>
            <w:rFonts w:cs="Times New Roman"/>
            <w:color w:val="788184"/>
            <w:kern w:val="2"/>
            <w:sz w:val="18"/>
            <w:szCs w:val="18"/>
          </w:rPr>
          <w:t>https://budget.gov.au/2019-20/content/bp1/download/bp1.pdf</w:t>
        </w:r>
      </w:hyperlink>
      <w:r w:rsidRPr="00CC5EB9">
        <w:rPr>
          <w:rFonts w:cs="Times New Roman"/>
          <w:color w:val="788184"/>
          <w:kern w:val="2"/>
          <w:sz w:val="18"/>
          <w:szCs w:val="18"/>
        </w:rPr>
        <w:t>.</w:t>
      </w:r>
      <w:proofErr w:type="gramEnd"/>
    </w:p>
    <w:p w:rsidR="00804B9E" w:rsidRPr="00A137CA" w:rsidRDefault="00804B9E" w:rsidP="00804B9E">
      <w:pPr>
        <w:spacing w:before="120" w:line="240" w:lineRule="auto"/>
        <w:rPr>
          <w:sz w:val="18"/>
          <w:szCs w:val="18"/>
          <w:u w:val="single"/>
        </w:rPr>
      </w:pPr>
      <w:r>
        <w:rPr>
          <w:b/>
        </w:rPr>
        <w:br w:type="page"/>
      </w:r>
      <w:r w:rsidRPr="007836C8">
        <w:rPr>
          <w:b/>
          <w:sz w:val="23"/>
        </w:rPr>
        <w:lastRenderedPageBreak/>
        <w:t xml:space="preserve">Definitions of </w:t>
      </w:r>
      <w:r>
        <w:rPr>
          <w:b/>
          <w:sz w:val="23"/>
        </w:rPr>
        <w:t>key terms</w:t>
      </w:r>
      <w:r w:rsidRPr="00345BBC">
        <w:rPr>
          <w:b/>
          <w:sz w:val="23"/>
        </w:rPr>
        <w:t xml:space="preserve"> in the</w:t>
      </w:r>
      <w:r w:rsidRPr="00345BBC">
        <w:t xml:space="preserve"> </w:t>
      </w:r>
      <w:r>
        <w:rPr>
          <w:b/>
          <w:sz w:val="23"/>
          <w:szCs w:val="23"/>
        </w:rPr>
        <w:t>balance s</w:t>
      </w:r>
      <w:r w:rsidRPr="00831B3E">
        <w:rPr>
          <w:b/>
          <w:sz w:val="23"/>
          <w:szCs w:val="23"/>
        </w:rPr>
        <w:t>heet</w:t>
      </w:r>
    </w:p>
    <w:p w:rsidR="00804B9E" w:rsidRDefault="00804B9E" w:rsidP="00804B9E">
      <w:pPr>
        <w:pStyle w:val="BodyText"/>
        <w:spacing w:after="120"/>
      </w:pPr>
      <w:r w:rsidRPr="000348D0">
        <w:t>The</w:t>
      </w:r>
      <w:r w:rsidRPr="000348D0">
        <w:rPr>
          <w:b/>
        </w:rPr>
        <w:t xml:space="preserve"> </w:t>
      </w:r>
      <w:r>
        <w:rPr>
          <w:b/>
          <w:color w:val="FFFFFF" w:themeColor="background1"/>
          <w:shd w:val="clear" w:color="auto" w:fill="F1873D" w:themeFill="accent3"/>
        </w:rPr>
        <w:t>b</w:t>
      </w:r>
      <w:r w:rsidRPr="008A1154">
        <w:rPr>
          <w:b/>
          <w:color w:val="FFFFFF" w:themeColor="background1"/>
          <w:shd w:val="clear" w:color="auto" w:fill="F1873D" w:themeFill="accent3"/>
        </w:rPr>
        <w:t>alance sheet</w:t>
      </w:r>
      <w:r w:rsidRPr="007836C8">
        <w:rPr>
          <w:b/>
          <w:color w:val="FFFFFF" w:themeColor="background1"/>
        </w:rPr>
        <w:t xml:space="preserve"> </w:t>
      </w:r>
      <w:r w:rsidRPr="000348D0">
        <w:t xml:space="preserve">shows the </w:t>
      </w:r>
      <w:r w:rsidR="0050233D">
        <w:t>g</w:t>
      </w:r>
      <w:r w:rsidR="0050233D" w:rsidRPr="000348D0">
        <w:t>overnment’s assets</w:t>
      </w:r>
      <w:r w:rsidR="004B7900">
        <w:t xml:space="preserve"> (financial and non-financial)</w:t>
      </w:r>
      <w:r w:rsidR="0050233D" w:rsidRPr="000348D0">
        <w:t xml:space="preserve"> and liabilities</w:t>
      </w:r>
      <w:r w:rsidR="00006CCC">
        <w:t>,</w:t>
      </w:r>
      <w:r w:rsidR="0050233D">
        <w:t xml:space="preserve"> and the</w:t>
      </w:r>
      <w:r w:rsidR="0050233D" w:rsidRPr="00D96080">
        <w:t xml:space="preserve"> </w:t>
      </w:r>
      <w:r w:rsidRPr="00D96080">
        <w:t>stock</w:t>
      </w:r>
      <w:r w:rsidRPr="000348D0">
        <w:t xml:space="preserve"> </w:t>
      </w:r>
      <w:r>
        <w:t>metrics derived from</w:t>
      </w:r>
      <w:r w:rsidR="0050233D">
        <w:t xml:space="preserve"> these</w:t>
      </w:r>
      <w:r w:rsidRPr="000348D0">
        <w:t>.</w:t>
      </w:r>
      <w:r>
        <w:t xml:space="preserve"> </w:t>
      </w:r>
      <w:r w:rsidRPr="000348D0">
        <w:t xml:space="preserve"> It presents </w:t>
      </w:r>
      <w:r>
        <w:t>budget aggregates such as ‘net worth’, ‘net financial worth’ and ‘</w:t>
      </w:r>
      <w:r w:rsidRPr="000348D0">
        <w:t>net debt</w:t>
      </w:r>
      <w:r>
        <w:t>’.  These budget aggregates are defined below</w:t>
      </w:r>
      <w:r w:rsidR="00006CCC">
        <w:t>,</w:t>
      </w:r>
      <w:r>
        <w:t xml:space="preserve"> with</w:t>
      </w:r>
      <w:r w:rsidR="009B7DB7">
        <w:t xml:space="preserve"> Figure A4 </w:t>
      </w:r>
      <w:r>
        <w:t>highlighting where they can be found using an excerpt of the balance sheet.</w:t>
      </w:r>
    </w:p>
    <w:p w:rsidR="00C210FD" w:rsidRDefault="00C210FD" w:rsidP="00CC5EB9">
      <w:pPr>
        <w:pStyle w:val="BodyText"/>
        <w:spacing w:after="240"/>
      </w:pPr>
      <w:r>
        <w:t xml:space="preserve">Further information on what items are included in the different balance sheet aggregates is provided at </w:t>
      </w:r>
      <w:r w:rsidRPr="00A85614">
        <w:rPr>
          <w:u w:val="single"/>
        </w:rPr>
        <w:t>Appendix B</w:t>
      </w:r>
      <w:r>
        <w:t>.</w:t>
      </w:r>
    </w:p>
    <w:tbl>
      <w:tblPr>
        <w:tblStyle w:val="TableGrid"/>
        <w:tblW w:w="4923" w:type="pct"/>
        <w:tblBorders>
          <w:top w:val="none" w:sz="0" w:space="0" w:color="auto"/>
          <w:bottom w:val="none" w:sz="0" w:space="0" w:color="auto"/>
        </w:tblBorders>
        <w:tblLook w:val="04A0" w:firstRow="1" w:lastRow="0" w:firstColumn="1" w:lastColumn="0" w:noHBand="0" w:noVBand="1"/>
      </w:tblPr>
      <w:tblGrid>
        <w:gridCol w:w="657"/>
        <w:gridCol w:w="8274"/>
      </w:tblGrid>
      <w:tr w:rsidR="00D61822" w:rsidTr="00CC5EB9">
        <w:trPr>
          <w:cnfStyle w:val="100000000000" w:firstRow="1" w:lastRow="0" w:firstColumn="0" w:lastColumn="0" w:oddVBand="0" w:evenVBand="0" w:oddHBand="0" w:evenHBand="0" w:firstRowFirstColumn="0" w:firstRowLastColumn="0" w:lastRowFirstColumn="0" w:lastRowLastColumn="0"/>
          <w:trHeight w:hRule="exact" w:val="673"/>
        </w:trPr>
        <w:tc>
          <w:tcPr>
            <w:cnfStyle w:val="000000000100" w:firstRow="0" w:lastRow="0" w:firstColumn="0" w:lastColumn="0" w:oddVBand="0" w:evenVBand="0" w:oddHBand="0" w:evenHBand="0" w:firstRowFirstColumn="1" w:firstRowLastColumn="0" w:lastRowFirstColumn="0" w:lastRowLastColumn="0"/>
            <w:tcW w:w="368" w:type="pct"/>
            <w:tcBorders>
              <w:top w:val="single" w:sz="4" w:space="0" w:color="auto"/>
              <w:bottom w:val="none" w:sz="0" w:space="0" w:color="auto"/>
            </w:tcBorders>
            <w:shd w:val="clear" w:color="auto" w:fill="auto"/>
            <w:vAlign w:val="center"/>
          </w:tcPr>
          <w:p w:rsidR="00D61822" w:rsidRPr="00A85614" w:rsidRDefault="00D61822" w:rsidP="00006CCC">
            <w:pPr>
              <w:pStyle w:val="BodyText"/>
              <w:spacing w:before="0"/>
              <w:jc w:val="center"/>
              <w:rPr>
                <w:noProof/>
                <w:szCs w:val="20"/>
                <w:lang w:eastAsia="en-AU"/>
              </w:rPr>
            </w:pPr>
            <w:r w:rsidRPr="00A85614">
              <w:rPr>
                <w:noProof/>
                <w:szCs w:val="20"/>
                <w:lang w:eastAsia="en-AU"/>
              </w:rPr>
              <w:drawing>
                <wp:inline distT="0" distB="0" distL="0" distR="0" wp14:anchorId="42CE8092" wp14:editId="072747C5">
                  <wp:extent cx="262255" cy="30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255" cy="304800"/>
                          </a:xfrm>
                          <a:prstGeom prst="rect">
                            <a:avLst/>
                          </a:prstGeom>
                          <a:noFill/>
                        </pic:spPr>
                      </pic:pic>
                    </a:graphicData>
                  </a:graphic>
                </wp:inline>
              </w:drawing>
            </w:r>
          </w:p>
        </w:tc>
        <w:tc>
          <w:tcPr>
            <w:tcW w:w="4632" w:type="pct"/>
            <w:tcBorders>
              <w:top w:val="single" w:sz="4" w:space="0" w:color="auto"/>
              <w:bottom w:val="none" w:sz="0" w:space="0" w:color="auto"/>
            </w:tcBorders>
            <w:shd w:val="clear" w:color="auto" w:fill="auto"/>
            <w:vAlign w:val="center"/>
          </w:tcPr>
          <w:p w:rsidR="00D61822" w:rsidRPr="00A85614" w:rsidRDefault="00D61822" w:rsidP="00956230">
            <w:pPr>
              <w:pStyle w:val="BodyText"/>
              <w:spacing w:before="0" w:after="120"/>
              <w:cnfStyle w:val="100000000000" w:firstRow="1" w:lastRow="0" w:firstColumn="0" w:lastColumn="0" w:oddVBand="0" w:evenVBand="0" w:oddHBand="0" w:evenHBand="0" w:firstRowFirstColumn="0" w:firstRowLastColumn="0" w:lastRowFirstColumn="0" w:lastRowLastColumn="0"/>
              <w:rPr>
                <w:color w:val="FFFFFF" w:themeColor="background1"/>
                <w:szCs w:val="20"/>
                <w:shd w:val="clear" w:color="auto" w:fill="F1873D" w:themeFill="accent3"/>
              </w:rPr>
            </w:pPr>
            <w:r w:rsidRPr="00A85614">
              <w:rPr>
                <w:color w:val="FFFFFF" w:themeColor="background1"/>
                <w:szCs w:val="20"/>
                <w:shd w:val="clear" w:color="auto" w:fill="D3600F"/>
              </w:rPr>
              <w:t>Financial assets</w:t>
            </w:r>
            <w:r w:rsidRPr="00A85614">
              <w:rPr>
                <w:color w:val="FFFFFF" w:themeColor="background1"/>
                <w:szCs w:val="20"/>
              </w:rPr>
              <w:t xml:space="preserve"> </w:t>
            </w:r>
            <w:r w:rsidRPr="0065452C">
              <w:rPr>
                <w:b w:val="0"/>
                <w:szCs w:val="20"/>
              </w:rPr>
              <w:t>represent a financial claim that entitles the owner to receive funds or other resources from another entity.  An equity investment is one example of a financial asset.</w:t>
            </w:r>
            <w:r w:rsidRPr="005F2CE9">
              <w:rPr>
                <w:szCs w:val="20"/>
                <w:shd w:val="clear" w:color="auto" w:fill="86BE57" w:themeFill="accent5"/>
              </w:rPr>
              <w:t xml:space="preserve">  </w:t>
            </w:r>
          </w:p>
        </w:tc>
      </w:tr>
      <w:tr w:rsidR="00D61822" w:rsidTr="00CC5EB9">
        <w:trPr>
          <w:trHeight w:hRule="exact" w:val="924"/>
        </w:trPr>
        <w:tc>
          <w:tcPr>
            <w:tcW w:w="368" w:type="pct"/>
            <w:shd w:val="clear" w:color="auto" w:fill="auto"/>
            <w:vAlign w:val="center"/>
          </w:tcPr>
          <w:p w:rsidR="00D61822" w:rsidRPr="00A85614" w:rsidRDefault="00D61822" w:rsidP="00006CCC">
            <w:pPr>
              <w:pStyle w:val="BodyText"/>
              <w:spacing w:before="0"/>
              <w:jc w:val="center"/>
              <w:rPr>
                <w:noProof/>
                <w:szCs w:val="20"/>
                <w:lang w:eastAsia="en-AU"/>
              </w:rPr>
            </w:pPr>
            <w:r w:rsidRPr="00A85614">
              <w:rPr>
                <w:noProof/>
                <w:szCs w:val="20"/>
                <w:lang w:eastAsia="en-AU"/>
              </w:rPr>
              <w:drawing>
                <wp:inline distT="0" distB="0" distL="0" distR="0" wp14:anchorId="08F9052B" wp14:editId="544809BA">
                  <wp:extent cx="255905"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905" cy="304800"/>
                          </a:xfrm>
                          <a:prstGeom prst="rect">
                            <a:avLst/>
                          </a:prstGeom>
                          <a:noFill/>
                        </pic:spPr>
                      </pic:pic>
                    </a:graphicData>
                  </a:graphic>
                </wp:inline>
              </w:drawing>
            </w:r>
          </w:p>
        </w:tc>
        <w:tc>
          <w:tcPr>
            <w:tcW w:w="4632" w:type="pct"/>
            <w:shd w:val="clear" w:color="auto" w:fill="auto"/>
            <w:vAlign w:val="center"/>
          </w:tcPr>
          <w:p w:rsidR="00D61822" w:rsidRPr="00A85614" w:rsidRDefault="00D61822" w:rsidP="00956230">
            <w:pPr>
              <w:pStyle w:val="BodyText"/>
              <w:spacing w:before="0" w:after="120"/>
              <w:rPr>
                <w:color w:val="FFFFFF" w:themeColor="background1"/>
                <w:szCs w:val="20"/>
                <w:shd w:val="clear" w:color="auto" w:fill="F1873D" w:themeFill="accent3"/>
              </w:rPr>
            </w:pPr>
            <w:r w:rsidRPr="00A85614">
              <w:rPr>
                <w:b/>
                <w:color w:val="FFFFFF" w:themeColor="background1"/>
                <w:szCs w:val="20"/>
                <w:shd w:val="clear" w:color="auto" w:fill="EF8534"/>
              </w:rPr>
              <w:t>Non-financial assets</w:t>
            </w:r>
            <w:r w:rsidRPr="005F2CE9">
              <w:rPr>
                <w:szCs w:val="20"/>
              </w:rPr>
              <w:t xml:space="preserve"> represent a store of value that provides an economic benefit to its owner through their use or by changes in their value.  Non-financial assets can be tangible (such as land</w:t>
            </w:r>
            <w:r w:rsidR="00847229">
              <w:rPr>
                <w:szCs w:val="20"/>
              </w:rPr>
              <w:t xml:space="preserve"> or structures</w:t>
            </w:r>
            <w:r w:rsidRPr="005F2CE9">
              <w:rPr>
                <w:szCs w:val="20"/>
              </w:rPr>
              <w:t>) or intangible (such as software).</w:t>
            </w:r>
          </w:p>
        </w:tc>
      </w:tr>
      <w:tr w:rsidR="00D61822" w:rsidTr="00CC5EB9">
        <w:trPr>
          <w:cnfStyle w:val="000000010000" w:firstRow="0" w:lastRow="0" w:firstColumn="0" w:lastColumn="0" w:oddVBand="0" w:evenVBand="0" w:oddHBand="0" w:evenHBand="1" w:firstRowFirstColumn="0" w:firstRowLastColumn="0" w:lastRowFirstColumn="0" w:lastRowLastColumn="0"/>
          <w:trHeight w:hRule="exact" w:val="385"/>
        </w:trPr>
        <w:tc>
          <w:tcPr>
            <w:tcW w:w="368" w:type="pct"/>
            <w:shd w:val="clear" w:color="auto" w:fill="auto"/>
            <w:vAlign w:val="center"/>
          </w:tcPr>
          <w:p w:rsidR="00D61822" w:rsidRPr="00A85614" w:rsidRDefault="00D61822" w:rsidP="00006CCC">
            <w:pPr>
              <w:pStyle w:val="BodyText"/>
              <w:spacing w:before="0"/>
              <w:jc w:val="center"/>
              <w:rPr>
                <w:noProof/>
                <w:szCs w:val="20"/>
                <w:lang w:eastAsia="en-AU"/>
              </w:rPr>
            </w:pPr>
            <w:r w:rsidRPr="00A85614">
              <w:rPr>
                <w:noProof/>
                <w:szCs w:val="20"/>
                <w:lang w:eastAsia="en-AU"/>
              </w:rPr>
              <w:drawing>
                <wp:inline distT="0" distB="0" distL="0" distR="0" wp14:anchorId="6AAA0CDE" wp14:editId="18BC9ADC">
                  <wp:extent cx="25019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190" cy="304800"/>
                          </a:xfrm>
                          <a:prstGeom prst="rect">
                            <a:avLst/>
                          </a:prstGeom>
                          <a:noFill/>
                        </pic:spPr>
                      </pic:pic>
                    </a:graphicData>
                  </a:graphic>
                </wp:inline>
              </w:drawing>
            </w:r>
          </w:p>
        </w:tc>
        <w:tc>
          <w:tcPr>
            <w:tcW w:w="4632" w:type="pct"/>
            <w:shd w:val="clear" w:color="auto" w:fill="auto"/>
            <w:vAlign w:val="center"/>
          </w:tcPr>
          <w:p w:rsidR="00D61822" w:rsidRPr="00A85614" w:rsidRDefault="00D61822" w:rsidP="00956230">
            <w:pPr>
              <w:pStyle w:val="BodyText"/>
              <w:spacing w:before="0" w:after="120"/>
              <w:rPr>
                <w:color w:val="FFFFFF" w:themeColor="background1"/>
                <w:szCs w:val="20"/>
                <w:shd w:val="clear" w:color="auto" w:fill="F1873D" w:themeFill="accent3"/>
              </w:rPr>
            </w:pPr>
            <w:r w:rsidRPr="00A85614">
              <w:rPr>
                <w:b/>
                <w:color w:val="FFFFFF" w:themeColor="background1"/>
                <w:szCs w:val="20"/>
                <w:shd w:val="clear" w:color="auto" w:fill="F7B78B"/>
              </w:rPr>
              <w:t>Liabilities</w:t>
            </w:r>
            <w:r w:rsidRPr="005F2CE9">
              <w:rPr>
                <w:szCs w:val="20"/>
              </w:rPr>
              <w:t xml:space="preserve"> represent an obligation to provide funds or other resources to another entity.</w:t>
            </w:r>
          </w:p>
        </w:tc>
      </w:tr>
      <w:tr w:rsidR="00D61822" w:rsidTr="00CC5EB9">
        <w:trPr>
          <w:trHeight w:hRule="exact" w:val="647"/>
        </w:trPr>
        <w:tc>
          <w:tcPr>
            <w:tcW w:w="368" w:type="pct"/>
            <w:shd w:val="clear" w:color="auto" w:fill="auto"/>
            <w:vAlign w:val="center"/>
          </w:tcPr>
          <w:p w:rsidR="00D61822" w:rsidRPr="00A85614" w:rsidRDefault="00D61822" w:rsidP="00CC5EB9">
            <w:pPr>
              <w:pStyle w:val="BodyText"/>
              <w:spacing w:before="0"/>
              <w:jc w:val="center"/>
              <w:rPr>
                <w:b/>
                <w:szCs w:val="20"/>
              </w:rPr>
            </w:pPr>
            <w:r w:rsidRPr="00A85614">
              <w:rPr>
                <w:b/>
                <w:noProof/>
                <w:szCs w:val="20"/>
                <w:lang w:eastAsia="en-AU"/>
              </w:rPr>
              <w:drawing>
                <wp:inline distT="0" distB="0" distL="0" distR="0" wp14:anchorId="168DA737" wp14:editId="5354B2C9">
                  <wp:extent cx="267970" cy="30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pic:spPr>
                      </pic:pic>
                    </a:graphicData>
                  </a:graphic>
                </wp:inline>
              </w:drawing>
            </w:r>
          </w:p>
        </w:tc>
        <w:tc>
          <w:tcPr>
            <w:tcW w:w="4632" w:type="pct"/>
            <w:shd w:val="clear" w:color="auto" w:fill="auto"/>
            <w:vAlign w:val="bottom"/>
          </w:tcPr>
          <w:p w:rsidR="00D61822" w:rsidRPr="00A85614" w:rsidRDefault="00D61822" w:rsidP="00956230">
            <w:pPr>
              <w:pStyle w:val="BodyText"/>
              <w:spacing w:before="0" w:after="120"/>
              <w:rPr>
                <w:b/>
                <w:szCs w:val="20"/>
              </w:rPr>
            </w:pPr>
            <w:r w:rsidRPr="00A85614">
              <w:rPr>
                <w:b/>
                <w:color w:val="FFFFFF" w:themeColor="background1"/>
                <w:szCs w:val="20"/>
                <w:shd w:val="clear" w:color="auto" w:fill="F1873D" w:themeFill="accent3"/>
              </w:rPr>
              <w:t>Net worth</w:t>
            </w:r>
            <w:r w:rsidRPr="005F2CE9">
              <w:rPr>
                <w:color w:val="FFFFFF" w:themeColor="background1"/>
                <w:szCs w:val="20"/>
              </w:rPr>
              <w:t xml:space="preserve"> </w:t>
            </w:r>
            <w:r>
              <w:rPr>
                <w:szCs w:val="20"/>
              </w:rPr>
              <w:t>shows</w:t>
            </w:r>
            <w:r w:rsidRPr="005F2CE9">
              <w:rPr>
                <w:szCs w:val="20"/>
              </w:rPr>
              <w:t xml:space="preserve"> the government’s overall </w:t>
            </w:r>
            <w:r>
              <w:rPr>
                <w:szCs w:val="20"/>
              </w:rPr>
              <w:t>wealth</w:t>
            </w:r>
            <w:r w:rsidR="00E84F1F">
              <w:rPr>
                <w:szCs w:val="20"/>
              </w:rPr>
              <w:t>,</w:t>
            </w:r>
            <w:r w:rsidRPr="005F2CE9">
              <w:rPr>
                <w:szCs w:val="20"/>
              </w:rPr>
              <w:t xml:space="preserve"> calculated as total assets (both financial and non-financial) less total liabilities.</w:t>
            </w:r>
            <w:r w:rsidRPr="005F2CE9">
              <w:rPr>
                <w:szCs w:val="20"/>
                <w:shd w:val="clear" w:color="auto" w:fill="86BE57" w:themeFill="accent5"/>
              </w:rPr>
              <w:t xml:space="preserve">  </w:t>
            </w:r>
          </w:p>
        </w:tc>
      </w:tr>
      <w:tr w:rsidR="00D61822" w:rsidTr="00CC5EB9">
        <w:trPr>
          <w:cnfStyle w:val="000000010000" w:firstRow="0" w:lastRow="0" w:firstColumn="0" w:lastColumn="0" w:oddVBand="0" w:evenVBand="0" w:oddHBand="0" w:evenHBand="1" w:firstRowFirstColumn="0" w:firstRowLastColumn="0" w:lastRowFirstColumn="0" w:lastRowLastColumn="0"/>
          <w:trHeight w:hRule="exact" w:val="1084"/>
        </w:trPr>
        <w:tc>
          <w:tcPr>
            <w:tcW w:w="368" w:type="pct"/>
            <w:shd w:val="clear" w:color="auto" w:fill="auto"/>
            <w:vAlign w:val="center"/>
          </w:tcPr>
          <w:p w:rsidR="00D61822" w:rsidRPr="00A85614" w:rsidRDefault="00D61822" w:rsidP="00006CCC">
            <w:pPr>
              <w:pStyle w:val="BodyText"/>
              <w:spacing w:before="0"/>
              <w:jc w:val="center"/>
              <w:rPr>
                <w:b/>
                <w:szCs w:val="20"/>
              </w:rPr>
            </w:pPr>
            <w:r w:rsidRPr="00A85614">
              <w:rPr>
                <w:b/>
                <w:noProof/>
                <w:szCs w:val="20"/>
                <w:lang w:eastAsia="en-AU"/>
              </w:rPr>
              <w:drawing>
                <wp:inline distT="0" distB="0" distL="0" distR="0" wp14:anchorId="735B9FA2" wp14:editId="1D080928">
                  <wp:extent cx="24384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304800"/>
                          </a:xfrm>
                          <a:prstGeom prst="rect">
                            <a:avLst/>
                          </a:prstGeom>
                          <a:noFill/>
                        </pic:spPr>
                      </pic:pic>
                    </a:graphicData>
                  </a:graphic>
                </wp:inline>
              </w:drawing>
            </w:r>
          </w:p>
        </w:tc>
        <w:tc>
          <w:tcPr>
            <w:tcW w:w="4632" w:type="pct"/>
            <w:shd w:val="clear" w:color="auto" w:fill="auto"/>
            <w:vAlign w:val="bottom"/>
          </w:tcPr>
          <w:p w:rsidR="00D61822" w:rsidRPr="005F2CE9" w:rsidRDefault="00D61822" w:rsidP="00956230">
            <w:pPr>
              <w:pStyle w:val="BodyText"/>
              <w:spacing w:before="0"/>
              <w:rPr>
                <w:szCs w:val="20"/>
              </w:rPr>
            </w:pPr>
            <w:r w:rsidRPr="005F2CE9">
              <w:rPr>
                <w:b/>
                <w:color w:val="FFFFFF" w:themeColor="background1"/>
                <w:szCs w:val="20"/>
                <w:shd w:val="clear" w:color="auto" w:fill="F1873D" w:themeFill="accent3"/>
              </w:rPr>
              <w:t>Net financial worth</w:t>
            </w:r>
            <w:r w:rsidRPr="005F2CE9">
              <w:rPr>
                <w:color w:val="FFFFFF" w:themeColor="background1"/>
                <w:szCs w:val="20"/>
              </w:rPr>
              <w:t xml:space="preserve"> </w:t>
            </w:r>
            <w:r w:rsidRPr="005F2CE9">
              <w:rPr>
                <w:szCs w:val="20"/>
              </w:rPr>
              <w:t xml:space="preserve">measures the government’s net holdings of financial assets.  It is calculated as financial assets less liabilities. </w:t>
            </w:r>
            <w:r w:rsidR="00E84F1F">
              <w:rPr>
                <w:szCs w:val="20"/>
              </w:rPr>
              <w:t xml:space="preserve"> </w:t>
            </w:r>
            <w:r w:rsidRPr="005F2CE9">
              <w:rPr>
                <w:szCs w:val="20"/>
              </w:rPr>
              <w:t>It is one of the broader balance sheet indicators reported in the budget.  It includes unfunded superannuation liabilities and holdings of equity</w:t>
            </w:r>
            <w:r w:rsidR="007C3A7E">
              <w:rPr>
                <w:szCs w:val="20"/>
              </w:rPr>
              <w:t>,</w:t>
            </w:r>
            <w:r w:rsidRPr="005F2CE9">
              <w:rPr>
                <w:szCs w:val="20"/>
              </w:rPr>
              <w:t xml:space="preserve"> and excludes non</w:t>
            </w:r>
            <w:r w:rsidR="007C3A7E">
              <w:rPr>
                <w:szCs w:val="20"/>
              </w:rPr>
              <w:noBreakHyphen/>
            </w:r>
            <w:r w:rsidRPr="005F2CE9">
              <w:rPr>
                <w:szCs w:val="20"/>
              </w:rPr>
              <w:t>financial assets such as land, buildings, equipment and infrastructure.</w:t>
            </w:r>
          </w:p>
        </w:tc>
      </w:tr>
      <w:tr w:rsidR="00D61822" w:rsidTr="00CC5EB9">
        <w:trPr>
          <w:trHeight w:val="833"/>
        </w:trPr>
        <w:tc>
          <w:tcPr>
            <w:tcW w:w="368" w:type="pct"/>
            <w:tcBorders>
              <w:bottom w:val="single" w:sz="4" w:space="0" w:color="auto"/>
            </w:tcBorders>
            <w:shd w:val="clear" w:color="auto" w:fill="auto"/>
            <w:vAlign w:val="center"/>
          </w:tcPr>
          <w:p w:rsidR="00D61822" w:rsidRPr="00A85614" w:rsidRDefault="00D61822" w:rsidP="00006CCC">
            <w:pPr>
              <w:pStyle w:val="BodyText"/>
              <w:spacing w:before="0"/>
              <w:jc w:val="center"/>
              <w:rPr>
                <w:b/>
                <w:noProof/>
                <w:szCs w:val="20"/>
                <w:lang w:eastAsia="en-AU"/>
              </w:rPr>
            </w:pPr>
            <w:r w:rsidRPr="00A85614">
              <w:rPr>
                <w:b/>
                <w:noProof/>
                <w:szCs w:val="20"/>
                <w:lang w:eastAsia="en-AU"/>
              </w:rPr>
              <w:drawing>
                <wp:inline distT="0" distB="0" distL="0" distR="0" wp14:anchorId="58540E62" wp14:editId="2BB8B10D">
                  <wp:extent cx="243840" cy="30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 cy="304800"/>
                          </a:xfrm>
                          <a:prstGeom prst="rect">
                            <a:avLst/>
                          </a:prstGeom>
                          <a:noFill/>
                        </pic:spPr>
                      </pic:pic>
                    </a:graphicData>
                  </a:graphic>
                </wp:inline>
              </w:drawing>
            </w:r>
          </w:p>
        </w:tc>
        <w:tc>
          <w:tcPr>
            <w:tcW w:w="4632" w:type="pct"/>
            <w:tcBorders>
              <w:bottom w:val="single" w:sz="4" w:space="0" w:color="auto"/>
            </w:tcBorders>
            <w:shd w:val="clear" w:color="auto" w:fill="auto"/>
            <w:vAlign w:val="bottom"/>
          </w:tcPr>
          <w:p w:rsidR="00D61822" w:rsidRPr="005F2CE9" w:rsidRDefault="00D61822">
            <w:pPr>
              <w:pStyle w:val="BodyText"/>
              <w:spacing w:before="0" w:after="120"/>
              <w:rPr>
                <w:szCs w:val="20"/>
              </w:rPr>
            </w:pPr>
            <w:r w:rsidRPr="005F2CE9">
              <w:rPr>
                <w:b/>
                <w:color w:val="FFFFFF" w:themeColor="background1"/>
                <w:szCs w:val="20"/>
                <w:shd w:val="clear" w:color="auto" w:fill="F1873D" w:themeFill="accent3"/>
              </w:rPr>
              <w:t>Net debt</w:t>
            </w:r>
            <w:r w:rsidRPr="005F2CE9">
              <w:rPr>
                <w:color w:val="FFFFFF" w:themeColor="background1"/>
                <w:szCs w:val="20"/>
              </w:rPr>
              <w:t xml:space="preserve"> </w:t>
            </w:r>
            <w:r w:rsidRPr="005F2CE9">
              <w:rPr>
                <w:szCs w:val="20"/>
              </w:rPr>
              <w:t>subtracts selected financial assets from selected financial liabilities.  It equals the sum of selected financial liabilities (deposits held, advances received, government securities, loans and other borrowings) less the sum of selected financial assets (cash and deposits, advances paid, and investments, loans and placements).</w:t>
            </w:r>
            <w:r w:rsidRPr="005F2CE9">
              <w:rPr>
                <w:rStyle w:val="CommentReference"/>
                <w:rFonts w:cstheme="minorBidi"/>
                <w:sz w:val="22"/>
                <w:szCs w:val="20"/>
              </w:rPr>
              <w:t xml:space="preserve"> </w:t>
            </w:r>
          </w:p>
        </w:tc>
      </w:tr>
    </w:tbl>
    <w:p w:rsidR="00D61822" w:rsidRDefault="00D61822" w:rsidP="00CC5EB9">
      <w:pPr>
        <w:pStyle w:val="BodyText"/>
        <w:spacing w:before="340" w:after="120"/>
        <w:rPr>
          <w:rFonts w:cstheme="minorBidi"/>
          <w:b/>
          <w:sz w:val="23"/>
        </w:rPr>
      </w:pPr>
      <w:r>
        <w:rPr>
          <w:rFonts w:cstheme="minorBidi"/>
          <w:b/>
          <w:sz w:val="23"/>
        </w:rPr>
        <w:t>Additional definitions related to alternative financing arrangements in the balance sheet</w:t>
      </w:r>
    </w:p>
    <w:p w:rsidR="00582D36" w:rsidRPr="00CC5EB9" w:rsidRDefault="00582D36" w:rsidP="00E84F1F">
      <w:pPr>
        <w:pStyle w:val="BodyText"/>
        <w:spacing w:after="120"/>
        <w:rPr>
          <w:rFonts w:cstheme="minorBidi"/>
        </w:rPr>
      </w:pPr>
      <w:r w:rsidRPr="00CC5EB9">
        <w:rPr>
          <w:rFonts w:cstheme="minorBidi"/>
        </w:rPr>
        <w:t xml:space="preserve">A range of concepts are used to determine the value of assets associated with alternative financing arrangements.  For example, the value of equity investments in the balance sheet reflects </w:t>
      </w:r>
      <w:r w:rsidRPr="00CC5EB9">
        <w:rPr>
          <w:rFonts w:cstheme="minorBidi"/>
          <w:b/>
        </w:rPr>
        <w:t>fair value</w:t>
      </w:r>
      <w:r w:rsidRPr="00CC5EB9">
        <w:rPr>
          <w:rFonts w:cstheme="minorBidi"/>
        </w:rPr>
        <w:t xml:space="preserve"> valuation techniques such as the </w:t>
      </w:r>
      <w:r w:rsidRPr="00CC5EB9">
        <w:rPr>
          <w:rFonts w:cstheme="minorBidi"/>
          <w:b/>
        </w:rPr>
        <w:t>discounted cash flows method</w:t>
      </w:r>
      <w:r w:rsidRPr="00CC5EB9">
        <w:rPr>
          <w:rFonts w:cstheme="minorBidi"/>
        </w:rPr>
        <w:t xml:space="preserve"> or the </w:t>
      </w:r>
      <w:r w:rsidRPr="00CC5EB9">
        <w:rPr>
          <w:rFonts w:cstheme="minorBidi"/>
          <w:b/>
        </w:rPr>
        <w:t>net asset method</w:t>
      </w:r>
      <w:r w:rsidRPr="00CC5EB9">
        <w:rPr>
          <w:rFonts w:cstheme="minorBidi"/>
        </w:rPr>
        <w:t xml:space="preserve">.  The values of government loans are also affected to the extent the loans are </w:t>
      </w:r>
      <w:r w:rsidRPr="00CC5EB9">
        <w:rPr>
          <w:rFonts w:cstheme="minorBidi"/>
          <w:b/>
        </w:rPr>
        <w:t>income-contingent</w:t>
      </w:r>
      <w:r w:rsidRPr="00CC5EB9">
        <w:rPr>
          <w:rFonts w:cstheme="minorBidi"/>
        </w:rPr>
        <w:t>.  These concepts are defined below.</w:t>
      </w:r>
    </w:p>
    <w:tbl>
      <w:tblPr>
        <w:tblStyle w:val="FooterPlaceholder"/>
        <w:tblW w:w="5000" w:type="pct"/>
        <w:tblLook w:val="04A0" w:firstRow="1" w:lastRow="0" w:firstColumn="1" w:lastColumn="0" w:noHBand="0" w:noVBand="1"/>
      </w:tblPr>
      <w:tblGrid>
        <w:gridCol w:w="9071"/>
      </w:tblGrid>
      <w:tr w:rsidR="00582D36" w:rsidRPr="00E84F1F" w:rsidTr="00956230">
        <w:trPr>
          <w:trHeight w:val="1339"/>
        </w:trPr>
        <w:tc>
          <w:tcPr>
            <w:tcW w:w="5000" w:type="pct"/>
          </w:tcPr>
          <w:p w:rsidR="00582D36" w:rsidRPr="00CC5EB9" w:rsidRDefault="00582D36" w:rsidP="00CC5EB9">
            <w:pPr>
              <w:pStyle w:val="BodyText"/>
              <w:spacing w:after="120" w:line="300" w:lineRule="atLeast"/>
              <w:rPr>
                <w:rFonts w:cstheme="minorBidi"/>
                <w:sz w:val="22"/>
              </w:rPr>
            </w:pPr>
            <w:r w:rsidRPr="00CC5EB9">
              <w:rPr>
                <w:rFonts w:cstheme="minorBidi"/>
                <w:b/>
                <w:sz w:val="22"/>
              </w:rPr>
              <w:t>Fair value</w:t>
            </w:r>
            <w:r w:rsidRPr="00CC5EB9">
              <w:rPr>
                <w:rFonts w:cstheme="minorBidi"/>
                <w:sz w:val="22"/>
              </w:rPr>
              <w:t xml:space="preserve"> is defined in Australian accounting standards as the price that would be received from the sale of an asset or the price paid to transfer a liability in an orderly transaction between market participants (see </w:t>
            </w:r>
            <w:hyperlink r:id="rId53" w:history="1">
              <w:r w:rsidRPr="00CC5EB9">
                <w:rPr>
                  <w:rStyle w:val="Hyperlink"/>
                  <w:rFonts w:cstheme="minorBidi"/>
                  <w:sz w:val="22"/>
                  <w:u w:val="none"/>
                </w:rPr>
                <w:t xml:space="preserve">AASB 13 </w:t>
              </w:r>
              <w:r w:rsidRPr="00CC5EB9">
                <w:rPr>
                  <w:rStyle w:val="Hyperlink"/>
                  <w:rFonts w:cstheme="minorBidi"/>
                  <w:i/>
                  <w:sz w:val="22"/>
                  <w:u w:val="none"/>
                </w:rPr>
                <w:t>Fair Value Measurement</w:t>
              </w:r>
            </w:hyperlink>
            <w:r w:rsidRPr="00CC5EB9">
              <w:rPr>
                <w:rFonts w:cstheme="minorBidi"/>
                <w:sz w:val="22"/>
              </w:rPr>
              <w:t xml:space="preserve"> for further information).  Valuation techniques are used to ascertain a fair value measurement, which reflect either the observable market price, an income technique (</w:t>
            </w:r>
            <w:r w:rsidR="00EF4DBC" w:rsidRPr="00CC5EB9">
              <w:rPr>
                <w:rFonts w:cstheme="minorBidi"/>
                <w:sz w:val="22"/>
              </w:rPr>
              <w:t xml:space="preserve">such as </w:t>
            </w:r>
            <w:r w:rsidRPr="00CC5EB9">
              <w:rPr>
                <w:rFonts w:cstheme="minorBidi"/>
                <w:sz w:val="22"/>
              </w:rPr>
              <w:t>the discounted cash flows method) or a combination of approaches (</w:t>
            </w:r>
            <w:r w:rsidR="00EF4DBC" w:rsidRPr="00CC5EB9">
              <w:rPr>
                <w:rFonts w:cstheme="minorBidi"/>
                <w:sz w:val="22"/>
              </w:rPr>
              <w:t xml:space="preserve">such as </w:t>
            </w:r>
            <w:r w:rsidRPr="00CC5EB9">
              <w:rPr>
                <w:rFonts w:cstheme="minorBidi"/>
                <w:sz w:val="22"/>
              </w:rPr>
              <w:t xml:space="preserve">the net asset method). </w:t>
            </w:r>
          </w:p>
        </w:tc>
      </w:tr>
      <w:tr w:rsidR="00582D36" w:rsidRPr="00E84F1F" w:rsidTr="00956230">
        <w:trPr>
          <w:trHeight w:val="1092"/>
        </w:trPr>
        <w:tc>
          <w:tcPr>
            <w:tcW w:w="5000" w:type="pct"/>
          </w:tcPr>
          <w:p w:rsidR="00582D36" w:rsidRPr="00CC5EB9" w:rsidRDefault="00582D36" w:rsidP="00CC5EB9">
            <w:pPr>
              <w:pStyle w:val="BodyText"/>
              <w:spacing w:after="120" w:line="300" w:lineRule="atLeast"/>
              <w:rPr>
                <w:rFonts w:cstheme="minorBidi"/>
                <w:sz w:val="22"/>
              </w:rPr>
            </w:pPr>
            <w:r w:rsidRPr="00CC5EB9">
              <w:rPr>
                <w:rFonts w:cstheme="minorBidi"/>
                <w:b/>
                <w:sz w:val="22"/>
              </w:rPr>
              <w:t>Discounted cash flows method</w:t>
            </w:r>
            <w:r w:rsidRPr="00CC5EB9">
              <w:rPr>
                <w:rFonts w:cstheme="minorBidi"/>
                <w:sz w:val="22"/>
              </w:rPr>
              <w:t xml:space="preserve"> is a </w:t>
            </w:r>
            <w:r w:rsidR="00923603" w:rsidRPr="00CC5EB9">
              <w:rPr>
                <w:rFonts w:cstheme="minorBidi"/>
                <w:sz w:val="22"/>
              </w:rPr>
              <w:t xml:space="preserve">fair value </w:t>
            </w:r>
            <w:r w:rsidRPr="00CC5EB9">
              <w:rPr>
                <w:rFonts w:cstheme="minorBidi"/>
                <w:sz w:val="22"/>
              </w:rPr>
              <w:t>valuation technique that converts estimates of expected future cash flows over the useful life of the asset to a single amount</w:t>
            </w:r>
            <w:r w:rsidR="00AC7361" w:rsidRPr="00CC5EB9">
              <w:rPr>
                <w:rFonts w:cstheme="minorBidi"/>
                <w:sz w:val="22"/>
              </w:rPr>
              <w:t>,</w:t>
            </w:r>
            <w:r w:rsidRPr="00CC5EB9">
              <w:rPr>
                <w:rFonts w:cstheme="minorBidi"/>
                <w:sz w:val="22"/>
              </w:rPr>
              <w:t xml:space="preserve"> known as the present value.  This present value is derived using a rate of return that considers the time</w:t>
            </w:r>
            <w:r w:rsidR="004E4CEE">
              <w:rPr>
                <w:rFonts w:cstheme="minorBidi"/>
                <w:sz w:val="22"/>
              </w:rPr>
              <w:t>-</w:t>
            </w:r>
            <w:r w:rsidRPr="00CC5EB9">
              <w:rPr>
                <w:rFonts w:cstheme="minorBidi"/>
                <w:sz w:val="22"/>
              </w:rPr>
              <w:t>value of money.  This is used when the investment in the entity generates significant non</w:t>
            </w:r>
            <w:r w:rsidR="00E84F1F">
              <w:rPr>
                <w:rFonts w:cstheme="minorBidi"/>
                <w:sz w:val="22"/>
              </w:rPr>
              <w:t>-</w:t>
            </w:r>
            <w:r w:rsidRPr="00CC5EB9">
              <w:rPr>
                <w:rFonts w:cstheme="minorBidi"/>
                <w:sz w:val="22"/>
              </w:rPr>
              <w:t>government cash flow.</w:t>
            </w:r>
          </w:p>
        </w:tc>
      </w:tr>
      <w:tr w:rsidR="00582D36" w:rsidRPr="00E84F1F" w:rsidTr="00956230">
        <w:trPr>
          <w:trHeight w:val="835"/>
        </w:trPr>
        <w:tc>
          <w:tcPr>
            <w:tcW w:w="5000" w:type="pct"/>
          </w:tcPr>
          <w:p w:rsidR="00582D36" w:rsidRPr="00CC5EB9" w:rsidRDefault="00582D36" w:rsidP="00CC5EB9">
            <w:pPr>
              <w:pStyle w:val="BodyText"/>
              <w:spacing w:after="120" w:line="300" w:lineRule="atLeast"/>
              <w:rPr>
                <w:rFonts w:cstheme="minorBidi"/>
                <w:sz w:val="22"/>
              </w:rPr>
            </w:pPr>
            <w:r w:rsidRPr="00CC5EB9">
              <w:rPr>
                <w:rFonts w:cstheme="minorBidi"/>
                <w:b/>
                <w:sz w:val="22"/>
              </w:rPr>
              <w:lastRenderedPageBreak/>
              <w:t>Net asset method</w:t>
            </w:r>
            <w:r w:rsidRPr="00CC5EB9">
              <w:rPr>
                <w:rFonts w:cstheme="minorBidi"/>
                <w:sz w:val="22"/>
              </w:rPr>
              <w:t xml:space="preserve"> is a fair value valuation technique that considers the value of total assets less the value of the total liabilities of the entity invested in.  This method is used when an investment in an entity does not generate significant non</w:t>
            </w:r>
            <w:r w:rsidR="00E84F1F">
              <w:rPr>
                <w:rFonts w:cstheme="minorBidi"/>
                <w:sz w:val="22"/>
              </w:rPr>
              <w:t>-</w:t>
            </w:r>
            <w:r w:rsidRPr="00CC5EB9">
              <w:rPr>
                <w:rFonts w:cstheme="minorBidi"/>
                <w:sz w:val="22"/>
              </w:rPr>
              <w:t xml:space="preserve">government cash flow.  </w:t>
            </w:r>
          </w:p>
        </w:tc>
      </w:tr>
      <w:tr w:rsidR="00582D36" w:rsidRPr="00E84F1F" w:rsidTr="00956230">
        <w:tc>
          <w:tcPr>
            <w:tcW w:w="5000" w:type="pct"/>
          </w:tcPr>
          <w:p w:rsidR="00582D36" w:rsidRPr="00CC5EB9" w:rsidRDefault="00582D36" w:rsidP="00CC5EB9">
            <w:pPr>
              <w:pStyle w:val="BodyText"/>
              <w:spacing w:after="120" w:line="300" w:lineRule="atLeast"/>
              <w:rPr>
                <w:rFonts w:cstheme="minorBidi"/>
                <w:sz w:val="22"/>
              </w:rPr>
            </w:pPr>
            <w:r w:rsidRPr="00CC5EB9">
              <w:rPr>
                <w:rFonts w:cstheme="minorBidi"/>
                <w:b/>
                <w:sz w:val="22"/>
              </w:rPr>
              <w:t xml:space="preserve">Income-contingent loans </w:t>
            </w:r>
            <w:r w:rsidRPr="00CC5EB9">
              <w:rPr>
                <w:rFonts w:cstheme="minorBidi"/>
                <w:sz w:val="22"/>
              </w:rPr>
              <w:t xml:space="preserve">are loans where the repayments are linked to the income of the borrower.  </w:t>
            </w:r>
            <w:r w:rsidR="00E84F1F" w:rsidRPr="00CC5EB9">
              <w:rPr>
                <w:spacing w:val="-2"/>
                <w:sz w:val="22"/>
              </w:rPr>
              <w:t>Higher Education Loan Program</w:t>
            </w:r>
            <w:r w:rsidRPr="00CC5EB9">
              <w:rPr>
                <w:rFonts w:cstheme="minorBidi"/>
                <w:sz w:val="22"/>
              </w:rPr>
              <w:t xml:space="preserve"> loans are </w:t>
            </w:r>
            <w:r w:rsidR="00F805B8" w:rsidRPr="00CC5EB9">
              <w:rPr>
                <w:rFonts w:cstheme="minorBidi"/>
                <w:sz w:val="22"/>
              </w:rPr>
              <w:t xml:space="preserve">the primary </w:t>
            </w:r>
            <w:r w:rsidRPr="00CC5EB9">
              <w:rPr>
                <w:rFonts w:cstheme="minorBidi"/>
                <w:sz w:val="22"/>
              </w:rPr>
              <w:t>example of income-contingent loan</w:t>
            </w:r>
            <w:r w:rsidR="00F805B8" w:rsidRPr="00CC5EB9">
              <w:rPr>
                <w:rFonts w:cstheme="minorBidi"/>
                <w:sz w:val="22"/>
              </w:rPr>
              <w:t>s</w:t>
            </w:r>
            <w:r w:rsidRPr="00CC5EB9">
              <w:rPr>
                <w:rFonts w:cstheme="minorBidi"/>
                <w:sz w:val="22"/>
              </w:rPr>
              <w:t xml:space="preserve"> because the borrower only needs to make repayments when they earn above a certain threshold.  Repayment amount</w:t>
            </w:r>
            <w:r w:rsidR="005C737C" w:rsidRPr="00CC5EB9">
              <w:rPr>
                <w:rFonts w:cstheme="minorBidi"/>
                <w:sz w:val="22"/>
              </w:rPr>
              <w:t>s</w:t>
            </w:r>
            <w:r w:rsidRPr="00CC5EB9">
              <w:rPr>
                <w:rFonts w:cstheme="minorBidi"/>
                <w:sz w:val="22"/>
              </w:rPr>
              <w:t xml:space="preserve"> fluctuate, with some amounts not expected to be repaid, due to future earnings of borrowers changing year-to-year</w:t>
            </w:r>
            <w:r w:rsidR="00E84F1F">
              <w:rPr>
                <w:rFonts w:cstheme="minorBidi"/>
                <w:sz w:val="22"/>
              </w:rPr>
              <w:t>,</w:t>
            </w:r>
            <w:r w:rsidRPr="00CC5EB9">
              <w:rPr>
                <w:rFonts w:cstheme="minorBidi"/>
                <w:sz w:val="22"/>
              </w:rPr>
              <w:t xml:space="preserve"> including earning below the threshold. </w:t>
            </w:r>
          </w:p>
        </w:tc>
      </w:tr>
    </w:tbl>
    <w:p w:rsidR="00804B9E" w:rsidRDefault="00804B9E" w:rsidP="00804B9E">
      <w:pPr>
        <w:pStyle w:val="Caption"/>
        <w:spacing w:before="120"/>
        <w:jc w:val="left"/>
      </w:pPr>
      <w:bookmarkStart w:id="70" w:name="_Ref34312476"/>
      <w:r>
        <w:t xml:space="preserve">Figure </w:t>
      </w:r>
      <w:r w:rsidR="009B7DB7">
        <w:t>A</w:t>
      </w:r>
      <w:bookmarkEnd w:id="70"/>
      <w:r w:rsidR="009B7DB7">
        <w:t>4</w:t>
      </w:r>
      <w:r>
        <w:rPr>
          <w:noProof/>
        </w:rPr>
        <w:t xml:space="preserve">: </w:t>
      </w:r>
      <w:r w:rsidRPr="008D6305">
        <w:t>Budget aggregates in the balance sheet (excerpt)</w:t>
      </w:r>
    </w:p>
    <w:p w:rsidR="00804B9E" w:rsidRPr="000F5AA6" w:rsidRDefault="00073263" w:rsidP="00804B9E">
      <w:pPr>
        <w:pStyle w:val="CaptionDescriptor"/>
        <w:jc w:val="left"/>
      </w:pPr>
      <w:r>
        <w:rPr>
          <w:noProof/>
          <w:lang w:eastAsia="en-AU"/>
        </w:rPr>
        <w:drawing>
          <wp:inline distT="0" distB="0" distL="0" distR="0" wp14:anchorId="676D0554" wp14:editId="5C725DE7">
            <wp:extent cx="5974382" cy="5544353"/>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6005283" cy="5573030"/>
                    </a:xfrm>
                    <a:prstGeom prst="rect">
                      <a:avLst/>
                    </a:prstGeom>
                    <a:noFill/>
                    <a:ln>
                      <a:noFill/>
                    </a:ln>
                    <a:extLst>
                      <a:ext uri="{53640926-AAD7-44D8-BBD7-CCE9431645EC}">
                        <a14:shadowObscured xmlns:a14="http://schemas.microsoft.com/office/drawing/2010/main"/>
                      </a:ext>
                    </a:extLst>
                  </pic:spPr>
                </pic:pic>
              </a:graphicData>
            </a:graphic>
          </wp:inline>
        </w:drawing>
      </w:r>
    </w:p>
    <w:p w:rsidR="00D2513B" w:rsidRDefault="00D2513B" w:rsidP="00804B9E">
      <w:pPr>
        <w:spacing w:before="120" w:line="240" w:lineRule="auto"/>
        <w:rPr>
          <w:rFonts w:cs="Times New Roman"/>
          <w:color w:val="788184"/>
          <w:kern w:val="2"/>
          <w:sz w:val="18"/>
          <w:szCs w:val="18"/>
        </w:rPr>
      </w:pPr>
      <w:r>
        <w:rPr>
          <w:rFonts w:cs="Times New Roman"/>
          <w:color w:val="788184"/>
          <w:kern w:val="2"/>
          <w:sz w:val="18"/>
          <w:szCs w:val="18"/>
        </w:rPr>
        <w:t xml:space="preserve">Note: For brevity, </w:t>
      </w:r>
      <w:r>
        <w:rPr>
          <w:rFonts w:cs="Times New Roman"/>
          <w:color w:val="788184"/>
          <w:kern w:val="2"/>
          <w:sz w:val="18"/>
          <w:szCs w:val="18"/>
        </w:rPr>
        <w:fldChar w:fldCharType="begin"/>
      </w:r>
      <w:r>
        <w:rPr>
          <w:rFonts w:cs="Times New Roman"/>
          <w:color w:val="788184"/>
          <w:kern w:val="2"/>
          <w:sz w:val="18"/>
          <w:szCs w:val="18"/>
        </w:rPr>
        <w:instrText xml:space="preserve"> REF _Ref34312476 \h  \* MERGEFORMAT </w:instrText>
      </w:r>
      <w:r>
        <w:rPr>
          <w:rFonts w:cs="Times New Roman"/>
          <w:color w:val="788184"/>
          <w:kern w:val="2"/>
          <w:sz w:val="18"/>
          <w:szCs w:val="18"/>
        </w:rPr>
      </w:r>
      <w:r>
        <w:rPr>
          <w:rFonts w:cs="Times New Roman"/>
          <w:color w:val="788184"/>
          <w:kern w:val="2"/>
          <w:sz w:val="18"/>
          <w:szCs w:val="18"/>
        </w:rPr>
        <w:fldChar w:fldCharType="separate"/>
      </w:r>
      <w:r w:rsidR="003F421C" w:rsidRPr="003F421C">
        <w:rPr>
          <w:rFonts w:cs="Times New Roman"/>
          <w:color w:val="788184"/>
          <w:kern w:val="2"/>
          <w:sz w:val="18"/>
          <w:szCs w:val="18"/>
        </w:rPr>
        <w:t xml:space="preserve">Figure </w:t>
      </w:r>
      <w:proofErr w:type="gramStart"/>
      <w:r w:rsidR="003F421C" w:rsidRPr="003F421C">
        <w:rPr>
          <w:rFonts w:cs="Times New Roman"/>
          <w:color w:val="788184"/>
          <w:kern w:val="2"/>
          <w:sz w:val="18"/>
          <w:szCs w:val="18"/>
        </w:rPr>
        <w:t>A</w:t>
      </w:r>
      <w:proofErr w:type="gramEnd"/>
      <w:r>
        <w:rPr>
          <w:rFonts w:cs="Times New Roman"/>
          <w:color w:val="788184"/>
          <w:kern w:val="2"/>
          <w:sz w:val="18"/>
          <w:szCs w:val="18"/>
        </w:rPr>
        <w:fldChar w:fldCharType="end"/>
      </w:r>
      <w:r>
        <w:rPr>
          <w:rFonts w:cs="Times New Roman"/>
          <w:color w:val="788184"/>
          <w:kern w:val="2"/>
          <w:sz w:val="18"/>
          <w:szCs w:val="18"/>
        </w:rPr>
        <w:t xml:space="preserve">4 is an excerpt of the balance sheet and excludes certain line items. </w:t>
      </w:r>
    </w:p>
    <w:p w:rsidR="00804B9E" w:rsidRPr="00CC5EB9" w:rsidRDefault="00804B9E" w:rsidP="00804B9E">
      <w:pPr>
        <w:spacing w:before="120" w:line="240" w:lineRule="auto"/>
        <w:rPr>
          <w:color w:val="808080" w:themeColor="background1" w:themeShade="80"/>
          <w:sz w:val="18"/>
          <w:szCs w:val="18"/>
        </w:rPr>
      </w:pPr>
      <w:r>
        <w:rPr>
          <w:rFonts w:cs="Times New Roman"/>
          <w:color w:val="788184"/>
          <w:kern w:val="2"/>
          <w:sz w:val="18"/>
          <w:szCs w:val="14"/>
        </w:rPr>
        <w:t xml:space="preserve">Source: </w:t>
      </w:r>
      <w:r w:rsidRPr="00CC5EB9">
        <w:rPr>
          <w:rFonts w:cs="Times New Roman"/>
          <w:i/>
          <w:color w:val="788184"/>
          <w:kern w:val="2"/>
          <w:sz w:val="18"/>
          <w:szCs w:val="14"/>
        </w:rPr>
        <w:t xml:space="preserve">2019–20 Budget, </w:t>
      </w:r>
      <w:r w:rsidRPr="001C186C">
        <w:rPr>
          <w:rFonts w:cs="Times New Roman"/>
          <w:i/>
          <w:color w:val="788184"/>
          <w:kern w:val="2"/>
          <w:sz w:val="18"/>
          <w:szCs w:val="14"/>
        </w:rPr>
        <w:t>Budget</w:t>
      </w:r>
      <w:r w:rsidRPr="00624949">
        <w:rPr>
          <w:rFonts w:cs="Times New Roman"/>
          <w:i/>
          <w:color w:val="788184"/>
          <w:kern w:val="2"/>
          <w:sz w:val="18"/>
          <w:szCs w:val="14"/>
        </w:rPr>
        <w:t xml:space="preserve"> Paper No.1</w:t>
      </w:r>
      <w:r w:rsidRPr="008460F9">
        <w:rPr>
          <w:rFonts w:cs="Times New Roman"/>
          <w:color w:val="788184"/>
          <w:kern w:val="2"/>
          <w:sz w:val="18"/>
          <w:szCs w:val="14"/>
        </w:rPr>
        <w:t>,</w:t>
      </w:r>
      <w:r>
        <w:rPr>
          <w:rFonts w:cs="Times New Roman"/>
          <w:color w:val="788184"/>
          <w:kern w:val="2"/>
          <w:sz w:val="18"/>
          <w:szCs w:val="14"/>
        </w:rPr>
        <w:t xml:space="preserve"> </w:t>
      </w:r>
      <w:r w:rsidRPr="00D113B1">
        <w:rPr>
          <w:rFonts w:cs="Times New Roman"/>
          <w:color w:val="788184"/>
          <w:kern w:val="2"/>
          <w:sz w:val="18"/>
          <w:szCs w:val="14"/>
        </w:rPr>
        <w:t>Statement 9 Table 2: Australian Government general government sector balance sheet, p</w:t>
      </w:r>
      <w:r w:rsidR="0073094F">
        <w:rPr>
          <w:rFonts w:cs="Times New Roman"/>
          <w:color w:val="788184"/>
          <w:kern w:val="2"/>
          <w:sz w:val="18"/>
          <w:szCs w:val="14"/>
        </w:rPr>
        <w:t>p</w:t>
      </w:r>
      <w:r w:rsidR="001D2ECD">
        <w:rPr>
          <w:rFonts w:cs="Times New Roman"/>
          <w:color w:val="788184"/>
          <w:kern w:val="2"/>
          <w:sz w:val="18"/>
          <w:szCs w:val="14"/>
        </w:rPr>
        <w:t>.</w:t>
      </w:r>
      <w:r w:rsidR="0073094F">
        <w:rPr>
          <w:rFonts w:cs="Times New Roman"/>
          <w:color w:val="788184"/>
          <w:kern w:val="2"/>
          <w:sz w:val="18"/>
          <w:szCs w:val="14"/>
        </w:rPr>
        <w:t>9–7 to 9–8</w:t>
      </w:r>
      <w:r w:rsidRPr="00D113B1">
        <w:rPr>
          <w:rFonts w:cs="Times New Roman"/>
          <w:color w:val="788184"/>
          <w:kern w:val="2"/>
          <w:sz w:val="18"/>
          <w:szCs w:val="14"/>
        </w:rPr>
        <w:t>.</w:t>
      </w:r>
      <w:r>
        <w:rPr>
          <w:rFonts w:cs="Times New Roman"/>
          <w:color w:val="788184"/>
          <w:kern w:val="2"/>
          <w:sz w:val="18"/>
          <w:szCs w:val="14"/>
        </w:rPr>
        <w:t xml:space="preserve"> </w:t>
      </w:r>
      <w:r w:rsidRPr="00D113B1">
        <w:rPr>
          <w:rFonts w:cs="Times New Roman"/>
          <w:color w:val="788184"/>
          <w:kern w:val="2"/>
          <w:sz w:val="18"/>
          <w:szCs w:val="14"/>
        </w:rPr>
        <w:t xml:space="preserve"> </w:t>
      </w:r>
      <w:proofErr w:type="gramStart"/>
      <w:r w:rsidRPr="00D113B1">
        <w:rPr>
          <w:rFonts w:cs="Times New Roman"/>
          <w:color w:val="788184"/>
          <w:kern w:val="2"/>
          <w:sz w:val="18"/>
          <w:szCs w:val="14"/>
        </w:rPr>
        <w:t xml:space="preserve">Available </w:t>
      </w:r>
      <w:r w:rsidRPr="00E84F1F">
        <w:rPr>
          <w:rFonts w:cs="Times New Roman"/>
          <w:color w:val="788184"/>
          <w:kern w:val="2"/>
          <w:sz w:val="18"/>
          <w:szCs w:val="18"/>
        </w:rPr>
        <w:t xml:space="preserve">at </w:t>
      </w:r>
      <w:hyperlink r:id="rId55" w:history="1">
        <w:r w:rsidRPr="00CC5EB9">
          <w:rPr>
            <w:rFonts w:cs="Times New Roman"/>
            <w:color w:val="788184"/>
            <w:kern w:val="2"/>
            <w:sz w:val="18"/>
            <w:szCs w:val="18"/>
          </w:rPr>
          <w:t>https://budget.gov.au/2019-20/content/bp1/download/bp1.pdf</w:t>
        </w:r>
      </w:hyperlink>
      <w:r w:rsidRPr="00CC5EB9">
        <w:rPr>
          <w:rFonts w:cs="Times New Roman"/>
          <w:color w:val="788184"/>
          <w:kern w:val="2"/>
          <w:sz w:val="18"/>
          <w:szCs w:val="18"/>
        </w:rPr>
        <w:t>.</w:t>
      </w:r>
      <w:proofErr w:type="gramEnd"/>
      <w:r w:rsidRPr="00CC5EB9" w:rsidDel="00AA0DFD">
        <w:rPr>
          <w:rFonts w:cs="Times New Roman"/>
          <w:color w:val="788184"/>
          <w:kern w:val="2"/>
          <w:sz w:val="18"/>
          <w:szCs w:val="18"/>
        </w:rPr>
        <w:t xml:space="preserve"> </w:t>
      </w:r>
    </w:p>
    <w:p w:rsidR="00804B9E" w:rsidRDefault="00804B9E" w:rsidP="00804B9E">
      <w:pPr>
        <w:spacing w:before="120" w:line="240" w:lineRule="auto"/>
      </w:pPr>
      <w:r>
        <w:br w:type="page"/>
      </w:r>
    </w:p>
    <w:p w:rsidR="00804B9E" w:rsidRPr="00E93AF0" w:rsidRDefault="00804B9E" w:rsidP="00804B9E">
      <w:pPr>
        <w:pStyle w:val="Heading3NoNumbering"/>
        <w:rPr>
          <w:sz w:val="20"/>
          <w:szCs w:val="20"/>
        </w:rPr>
      </w:pPr>
      <w:r>
        <w:lastRenderedPageBreak/>
        <w:t xml:space="preserve">Definitions of key terms </w:t>
      </w:r>
      <w:r w:rsidRPr="00345BBC">
        <w:t xml:space="preserve">in the </w:t>
      </w:r>
      <w:r>
        <w:t>c</w:t>
      </w:r>
      <w:r w:rsidRPr="00831B3E">
        <w:t xml:space="preserve">ash </w:t>
      </w:r>
      <w:r>
        <w:t>f</w:t>
      </w:r>
      <w:r w:rsidRPr="00831B3E">
        <w:t xml:space="preserve">low </w:t>
      </w:r>
      <w:r>
        <w:t>s</w:t>
      </w:r>
      <w:r w:rsidRPr="00831B3E">
        <w:t xml:space="preserve">tatement </w:t>
      </w:r>
    </w:p>
    <w:p w:rsidR="00804B9E" w:rsidRPr="000348D0" w:rsidRDefault="00804B9E" w:rsidP="00CC5EB9">
      <w:pPr>
        <w:pStyle w:val="BodyText"/>
        <w:spacing w:after="120"/>
        <w:rPr>
          <w:b/>
        </w:rPr>
      </w:pPr>
      <w:r w:rsidRPr="000348D0">
        <w:t>The</w:t>
      </w:r>
      <w:r w:rsidRPr="000348D0">
        <w:rPr>
          <w:b/>
        </w:rPr>
        <w:t xml:space="preserve"> </w:t>
      </w:r>
      <w:r>
        <w:rPr>
          <w:b/>
          <w:color w:val="FFFFFF" w:themeColor="background1"/>
          <w:shd w:val="clear" w:color="auto" w:fill="86BE57" w:themeFill="accent5"/>
        </w:rPr>
        <w:t>c</w:t>
      </w:r>
      <w:r w:rsidRPr="008A1154">
        <w:rPr>
          <w:b/>
          <w:color w:val="FFFFFF" w:themeColor="background1"/>
          <w:shd w:val="clear" w:color="auto" w:fill="86BE57" w:themeFill="accent5"/>
        </w:rPr>
        <w:t>ash flow statement</w:t>
      </w:r>
      <w:r w:rsidRPr="000348D0">
        <w:rPr>
          <w:color w:val="FFFFFF" w:themeColor="background1"/>
        </w:rPr>
        <w:t xml:space="preserve"> </w:t>
      </w:r>
      <w:r w:rsidRPr="000348D0">
        <w:t xml:space="preserve">shows how the </w:t>
      </w:r>
      <w:r>
        <w:t>g</w:t>
      </w:r>
      <w:r w:rsidRPr="00D96080">
        <w:t>overnment</w:t>
      </w:r>
      <w:r w:rsidRPr="000348D0">
        <w:t xml:space="preserve"> </w:t>
      </w:r>
      <w:r w:rsidR="00393406">
        <w:t>receives</w:t>
      </w:r>
      <w:r w:rsidR="00393406" w:rsidRPr="000348D0">
        <w:t xml:space="preserve"> </w:t>
      </w:r>
      <w:r w:rsidRPr="000348D0">
        <w:t xml:space="preserve">and </w:t>
      </w:r>
      <w:r w:rsidR="00393406">
        <w:t>uses</w:t>
      </w:r>
      <w:r w:rsidR="00393406" w:rsidRPr="000348D0">
        <w:t xml:space="preserve"> </w:t>
      </w:r>
      <w:r w:rsidRPr="000348D0">
        <w:t>cash, and how the cash inflows and outflows are allocated between activities.</w:t>
      </w:r>
      <w:r>
        <w:t xml:space="preserve">  </w:t>
      </w:r>
      <w:r w:rsidRPr="000348D0">
        <w:t xml:space="preserve">It presents </w:t>
      </w:r>
      <w:r>
        <w:t>budget aggregates such as the</w:t>
      </w:r>
      <w:r w:rsidRPr="000348D0">
        <w:t xml:space="preserve"> </w:t>
      </w:r>
      <w:r>
        <w:t>‘</w:t>
      </w:r>
      <w:r w:rsidRPr="000348D0">
        <w:t>underlying</w:t>
      </w:r>
      <w:r>
        <w:t xml:space="preserve"> cash balance’</w:t>
      </w:r>
      <w:r w:rsidRPr="000348D0">
        <w:t xml:space="preserve"> and </w:t>
      </w:r>
      <w:r>
        <w:t>the ‘</w:t>
      </w:r>
      <w:r w:rsidRPr="000348D0">
        <w:t>headline cash balance</w:t>
      </w:r>
      <w:r>
        <w:t>’.  These budget aggregates are defined below</w:t>
      </w:r>
      <w:r w:rsidR="00E84F1F">
        <w:t>,</w:t>
      </w:r>
      <w:r>
        <w:t xml:space="preserve"> with</w:t>
      </w:r>
      <w:r w:rsidR="009B7DB7">
        <w:t xml:space="preserve"> Figure A5</w:t>
      </w:r>
      <w:r>
        <w:t xml:space="preserve"> </w:t>
      </w:r>
      <w:r w:rsidR="009B7DB7">
        <w:t>hi</w:t>
      </w:r>
      <w:r>
        <w:t xml:space="preserve">ghlighting where they can be found using an excerpt of the cash flow statement.  </w:t>
      </w:r>
      <w:r w:rsidR="0073094F">
        <w:t xml:space="preserve">The definitions below also include ‘net cash flows from investments in financial assets for policy purposes’.  </w:t>
      </w:r>
    </w:p>
    <w:tbl>
      <w:tblPr>
        <w:tblStyle w:val="TableGrid"/>
        <w:tblW w:w="5000" w:type="pct"/>
        <w:tblBorders>
          <w:top w:val="none" w:sz="0" w:space="0" w:color="auto"/>
          <w:bottom w:val="none" w:sz="0" w:space="0" w:color="auto"/>
        </w:tblBorders>
        <w:tblLook w:val="04A0" w:firstRow="1" w:lastRow="0" w:firstColumn="1" w:lastColumn="0" w:noHBand="0" w:noVBand="1"/>
      </w:tblPr>
      <w:tblGrid>
        <w:gridCol w:w="657"/>
        <w:gridCol w:w="8414"/>
      </w:tblGrid>
      <w:tr w:rsidR="005F2CE9" w:rsidRPr="00C17B06" w:rsidTr="00A85614">
        <w:trPr>
          <w:cnfStyle w:val="100000000000" w:firstRow="1" w:lastRow="0" w:firstColumn="0" w:lastColumn="0" w:oddVBand="0" w:evenVBand="0" w:oddHBand="0" w:evenHBand="0" w:firstRowFirstColumn="0" w:firstRowLastColumn="0" w:lastRowFirstColumn="0" w:lastRowLastColumn="0"/>
          <w:trHeight w:val="38"/>
        </w:trPr>
        <w:tc>
          <w:tcPr>
            <w:cnfStyle w:val="000000000100" w:firstRow="0" w:lastRow="0" w:firstColumn="0" w:lastColumn="0" w:oddVBand="0" w:evenVBand="0" w:oddHBand="0" w:evenHBand="0" w:firstRowFirstColumn="1" w:firstRowLastColumn="0" w:lastRowFirstColumn="0" w:lastRowLastColumn="0"/>
            <w:tcW w:w="362" w:type="pct"/>
            <w:vAlign w:val="center"/>
          </w:tcPr>
          <w:p w:rsidR="005F2CE9" w:rsidRPr="00A85614" w:rsidRDefault="005F2CE9" w:rsidP="00A85614">
            <w:pPr>
              <w:pStyle w:val="BodyText"/>
              <w:spacing w:before="0"/>
              <w:jc w:val="center"/>
              <w:rPr>
                <w:noProof/>
                <w:sz w:val="2"/>
                <w:szCs w:val="20"/>
                <w:lang w:eastAsia="en-AU"/>
              </w:rPr>
            </w:pPr>
          </w:p>
        </w:tc>
        <w:tc>
          <w:tcPr>
            <w:tcW w:w="4638" w:type="pct"/>
            <w:vAlign w:val="bottom"/>
          </w:tcPr>
          <w:p w:rsidR="005F2CE9" w:rsidRPr="00A85614" w:rsidRDefault="005F2CE9" w:rsidP="00A85614">
            <w:pPr>
              <w:pStyle w:val="BodyText"/>
              <w:spacing w:before="0"/>
              <w:cnfStyle w:val="100000000000" w:firstRow="1" w:lastRow="0" w:firstColumn="0" w:lastColumn="0" w:oddVBand="0" w:evenVBand="0" w:oddHBand="0" w:evenHBand="0" w:firstRowFirstColumn="0" w:firstRowLastColumn="0" w:lastRowFirstColumn="0" w:lastRowLastColumn="0"/>
              <w:rPr>
                <w:color w:val="FFFFFF" w:themeColor="background1"/>
                <w:sz w:val="2"/>
                <w:szCs w:val="20"/>
                <w:shd w:val="clear" w:color="auto" w:fill="86BE57" w:themeFill="accent5"/>
              </w:rPr>
            </w:pPr>
          </w:p>
        </w:tc>
      </w:tr>
      <w:tr w:rsidR="00804B9E" w:rsidTr="00A85614">
        <w:tc>
          <w:tcPr>
            <w:tcW w:w="362" w:type="pct"/>
            <w:shd w:val="clear" w:color="auto" w:fill="auto"/>
            <w:vAlign w:val="center"/>
          </w:tcPr>
          <w:p w:rsidR="00804B9E" w:rsidRPr="00A85614" w:rsidRDefault="00406324" w:rsidP="000D2E93">
            <w:pPr>
              <w:pStyle w:val="BodyText"/>
              <w:rPr>
                <w:b/>
                <w:szCs w:val="20"/>
              </w:rPr>
            </w:pPr>
            <w:r>
              <w:rPr>
                <w:b/>
                <w:szCs w:val="20"/>
              </w:rPr>
              <w:t xml:space="preserve">  </w:t>
            </w:r>
            <w:r>
              <w:rPr>
                <w:b/>
                <w:noProof/>
                <w:szCs w:val="20"/>
                <w:lang w:eastAsia="en-AU"/>
              </w:rPr>
              <w:drawing>
                <wp:inline distT="0" distB="0" distL="0" distR="0" wp14:anchorId="2A894075" wp14:editId="6E7AA4AA">
                  <wp:extent cx="262255"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255" cy="304800"/>
                          </a:xfrm>
                          <a:prstGeom prst="rect">
                            <a:avLst/>
                          </a:prstGeom>
                          <a:noFill/>
                        </pic:spPr>
                      </pic:pic>
                    </a:graphicData>
                  </a:graphic>
                </wp:inline>
              </w:drawing>
            </w:r>
          </w:p>
        </w:tc>
        <w:tc>
          <w:tcPr>
            <w:tcW w:w="4638" w:type="pct"/>
            <w:shd w:val="clear" w:color="auto" w:fill="auto"/>
            <w:vAlign w:val="bottom"/>
          </w:tcPr>
          <w:p w:rsidR="00804B9E" w:rsidRPr="00A85614" w:rsidRDefault="00804B9E" w:rsidP="00E84F1F">
            <w:pPr>
              <w:pStyle w:val="BodyText"/>
              <w:spacing w:before="0"/>
              <w:rPr>
                <w:b/>
                <w:szCs w:val="20"/>
              </w:rPr>
            </w:pPr>
            <w:r w:rsidRPr="000D2E93">
              <w:rPr>
                <w:b/>
                <w:color w:val="FFFFFF" w:themeColor="background1"/>
                <w:szCs w:val="20"/>
                <w:shd w:val="clear" w:color="auto" w:fill="86BE57" w:themeFill="accent5"/>
              </w:rPr>
              <w:t>Underlying cash balance</w:t>
            </w:r>
            <w:r w:rsidRPr="00934A3C">
              <w:rPr>
                <w:szCs w:val="20"/>
              </w:rPr>
              <w:t xml:space="preserve"> is </w:t>
            </w:r>
            <w:proofErr w:type="gramStart"/>
            <w:r w:rsidRPr="00934A3C">
              <w:rPr>
                <w:szCs w:val="20"/>
              </w:rPr>
              <w:t>a cash</w:t>
            </w:r>
            <w:proofErr w:type="gramEnd"/>
            <w:r w:rsidRPr="00934A3C">
              <w:rPr>
                <w:szCs w:val="20"/>
              </w:rPr>
              <w:t xml:space="preserve"> metric that reflects the government’s cash flow requirements.  The underlying cash balance is equal to the government’s receipts (for example from tax collections) </w:t>
            </w:r>
            <w:r w:rsidR="00E84F1F">
              <w:rPr>
                <w:szCs w:val="20"/>
              </w:rPr>
              <w:t>less</w:t>
            </w:r>
            <w:r w:rsidR="00E84F1F" w:rsidRPr="00934A3C">
              <w:rPr>
                <w:szCs w:val="20"/>
              </w:rPr>
              <w:t xml:space="preserve"> </w:t>
            </w:r>
            <w:r w:rsidRPr="00934A3C">
              <w:rPr>
                <w:szCs w:val="20"/>
              </w:rPr>
              <w:t xml:space="preserve">payments from its operations (from providing services such as Medicare and payments such as the </w:t>
            </w:r>
            <w:r w:rsidR="00E84F1F">
              <w:rPr>
                <w:szCs w:val="20"/>
              </w:rPr>
              <w:t>a</w:t>
            </w:r>
            <w:r w:rsidRPr="00934A3C">
              <w:rPr>
                <w:szCs w:val="20"/>
              </w:rPr>
              <w:t xml:space="preserve">ge </w:t>
            </w:r>
            <w:r w:rsidR="00E84F1F">
              <w:rPr>
                <w:szCs w:val="20"/>
              </w:rPr>
              <w:t>p</w:t>
            </w:r>
            <w:r w:rsidRPr="00934A3C">
              <w:rPr>
                <w:szCs w:val="20"/>
              </w:rPr>
              <w:t xml:space="preserve">ension), less net cash capital acquisitions and Future Fund earnings before 2020–21.  The underlying cash balance is broadly in line with the change in net financial worth due to transactions (apart from being measured on a cash basis, rather than accrual basis, and in excluding the effects of Future Fund earnings before 2020–21).  </w:t>
            </w:r>
          </w:p>
        </w:tc>
      </w:tr>
      <w:tr w:rsidR="00F872E3" w:rsidTr="00CC5EB9">
        <w:trPr>
          <w:cnfStyle w:val="000000010000" w:firstRow="0" w:lastRow="0" w:firstColumn="0" w:lastColumn="0" w:oddVBand="0" w:evenVBand="0" w:oddHBand="0" w:evenHBand="1" w:firstRowFirstColumn="0" w:firstRowLastColumn="0" w:lastRowFirstColumn="0" w:lastRowLastColumn="0"/>
        </w:trPr>
        <w:tc>
          <w:tcPr>
            <w:tcW w:w="362" w:type="pct"/>
            <w:shd w:val="clear" w:color="auto" w:fill="auto"/>
            <w:vAlign w:val="center"/>
          </w:tcPr>
          <w:p w:rsidR="00F872E3" w:rsidRPr="00A85614" w:rsidRDefault="00900D48" w:rsidP="001654F5">
            <w:pPr>
              <w:pStyle w:val="BodyText"/>
              <w:jc w:val="center"/>
              <w:rPr>
                <w:b/>
                <w:noProof/>
                <w:szCs w:val="20"/>
                <w:lang w:eastAsia="en-AU"/>
              </w:rPr>
            </w:pPr>
            <w:r w:rsidRPr="00A85614">
              <w:rPr>
                <w:b/>
                <w:noProof/>
                <w:szCs w:val="20"/>
                <w:lang w:eastAsia="en-AU"/>
              </w:rPr>
              <w:drawing>
                <wp:inline distT="0" distB="0" distL="0" distR="0" wp14:anchorId="720BF7A1" wp14:editId="5027CEA7">
                  <wp:extent cx="255905"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905" cy="304800"/>
                          </a:xfrm>
                          <a:prstGeom prst="rect">
                            <a:avLst/>
                          </a:prstGeom>
                          <a:noFill/>
                        </pic:spPr>
                      </pic:pic>
                    </a:graphicData>
                  </a:graphic>
                </wp:inline>
              </w:drawing>
            </w:r>
          </w:p>
        </w:tc>
        <w:tc>
          <w:tcPr>
            <w:tcW w:w="4638" w:type="pct"/>
            <w:shd w:val="clear" w:color="auto" w:fill="auto"/>
            <w:vAlign w:val="center"/>
          </w:tcPr>
          <w:p w:rsidR="00F872E3" w:rsidRPr="00A85614" w:rsidRDefault="00F872E3">
            <w:pPr>
              <w:pStyle w:val="BodyText"/>
              <w:spacing w:before="0"/>
              <w:rPr>
                <w:b/>
                <w:color w:val="FFFFFF" w:themeColor="background1"/>
                <w:szCs w:val="20"/>
                <w:shd w:val="clear" w:color="auto" w:fill="86BE57" w:themeFill="accent5"/>
              </w:rPr>
            </w:pPr>
            <w:r w:rsidRPr="00934A3C">
              <w:rPr>
                <w:b/>
                <w:color w:val="FFFFFF" w:themeColor="background1"/>
                <w:szCs w:val="20"/>
                <w:shd w:val="clear" w:color="auto" w:fill="86BE57" w:themeFill="accent5"/>
              </w:rPr>
              <w:t>Net cash flows from investments in financial assets for policy purposes</w:t>
            </w:r>
            <w:r w:rsidRPr="00934A3C">
              <w:rPr>
                <w:szCs w:val="20"/>
              </w:rPr>
              <w:t xml:space="preserve"> </w:t>
            </w:r>
            <w:r w:rsidR="005918DF" w:rsidRPr="00934A3C">
              <w:rPr>
                <w:szCs w:val="20"/>
              </w:rPr>
              <w:t>consists of cash inflows and cash outflows associated with the sale or purchase of financial assets used for the purposes of achieving a particular policy outcome.</w:t>
            </w:r>
            <w:r w:rsidR="007162C8" w:rsidRPr="00934A3C">
              <w:rPr>
                <w:szCs w:val="20"/>
              </w:rPr>
              <w:t xml:space="preserve"> </w:t>
            </w:r>
            <w:r w:rsidR="00430C50">
              <w:rPr>
                <w:szCs w:val="20"/>
              </w:rPr>
              <w:t>The financial impact of alternative financing arrangements often appears here.</w:t>
            </w:r>
          </w:p>
        </w:tc>
      </w:tr>
      <w:tr w:rsidR="00804B9E" w:rsidTr="00CC5EB9">
        <w:tc>
          <w:tcPr>
            <w:tcW w:w="362" w:type="pct"/>
            <w:tcBorders>
              <w:bottom w:val="single" w:sz="4" w:space="0" w:color="auto"/>
            </w:tcBorders>
            <w:shd w:val="clear" w:color="auto" w:fill="auto"/>
            <w:vAlign w:val="center"/>
          </w:tcPr>
          <w:p w:rsidR="00804B9E" w:rsidRPr="00A85614" w:rsidRDefault="00900D48" w:rsidP="001654F5">
            <w:pPr>
              <w:pStyle w:val="BodyText"/>
              <w:jc w:val="center"/>
              <w:rPr>
                <w:b/>
                <w:szCs w:val="20"/>
              </w:rPr>
            </w:pPr>
            <w:r w:rsidRPr="00A85614">
              <w:rPr>
                <w:b/>
                <w:noProof/>
                <w:szCs w:val="20"/>
                <w:lang w:eastAsia="en-AU"/>
              </w:rPr>
              <w:drawing>
                <wp:inline distT="0" distB="0" distL="0" distR="0" wp14:anchorId="222FBD8D" wp14:editId="1C879EBF">
                  <wp:extent cx="25019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190" cy="304800"/>
                          </a:xfrm>
                          <a:prstGeom prst="rect">
                            <a:avLst/>
                          </a:prstGeom>
                          <a:noFill/>
                        </pic:spPr>
                      </pic:pic>
                    </a:graphicData>
                  </a:graphic>
                </wp:inline>
              </w:drawing>
            </w:r>
          </w:p>
        </w:tc>
        <w:tc>
          <w:tcPr>
            <w:tcW w:w="4638" w:type="pct"/>
            <w:tcBorders>
              <w:bottom w:val="single" w:sz="4" w:space="0" w:color="auto"/>
            </w:tcBorders>
            <w:shd w:val="clear" w:color="auto" w:fill="auto"/>
            <w:vAlign w:val="bottom"/>
          </w:tcPr>
          <w:p w:rsidR="00804B9E" w:rsidRPr="00A85614" w:rsidRDefault="00804B9E" w:rsidP="001654F5">
            <w:pPr>
              <w:pStyle w:val="BodyText"/>
              <w:spacing w:before="0"/>
              <w:rPr>
                <w:szCs w:val="20"/>
              </w:rPr>
            </w:pPr>
            <w:r w:rsidRPr="00934A3C">
              <w:rPr>
                <w:b/>
                <w:color w:val="FFFFFF" w:themeColor="background1"/>
                <w:szCs w:val="20"/>
                <w:shd w:val="clear" w:color="auto" w:fill="86BE57" w:themeFill="accent5"/>
              </w:rPr>
              <w:t>Headline cash balance</w:t>
            </w:r>
            <w:r w:rsidRPr="00934A3C">
              <w:rPr>
                <w:szCs w:val="20"/>
              </w:rPr>
              <w:t xml:space="preserve"> is </w:t>
            </w:r>
            <w:proofErr w:type="gramStart"/>
            <w:r w:rsidRPr="00934A3C">
              <w:rPr>
                <w:szCs w:val="20"/>
              </w:rPr>
              <w:t>a cash</w:t>
            </w:r>
            <w:proofErr w:type="gramEnd"/>
            <w:r w:rsidRPr="00934A3C">
              <w:rPr>
                <w:szCs w:val="20"/>
              </w:rPr>
              <w:t xml:space="preserve"> metric that reflects a broad range of cash transactions into and out of the general government sector.  It shows whether the government has to borrow from financial markets to cover its operating activities, capital activities (net investments in non-financial assets used in the provision of goods and services)</w:t>
            </w:r>
            <w:r w:rsidR="004E4CEE">
              <w:rPr>
                <w:szCs w:val="20"/>
              </w:rPr>
              <w:t>,</w:t>
            </w:r>
            <w:r w:rsidRPr="00934A3C">
              <w:rPr>
                <w:szCs w:val="20"/>
              </w:rPr>
              <w:t xml:space="preserve"> and net investment in financial assets for policy purposes.</w:t>
            </w:r>
          </w:p>
        </w:tc>
      </w:tr>
    </w:tbl>
    <w:p w:rsidR="00804B9E" w:rsidRDefault="00804B9E" w:rsidP="00CC5EB9">
      <w:pPr>
        <w:pStyle w:val="Caption"/>
        <w:spacing w:before="340"/>
        <w:jc w:val="left"/>
      </w:pPr>
      <w:r>
        <w:t xml:space="preserve">Figure </w:t>
      </w:r>
      <w:r w:rsidR="009B7DB7">
        <w:t>A5</w:t>
      </w:r>
      <w:r>
        <w:rPr>
          <w:noProof/>
        </w:rPr>
        <w:t>:</w:t>
      </w:r>
      <w:r>
        <w:t xml:space="preserve"> </w:t>
      </w:r>
      <w:r w:rsidRPr="00223DC2">
        <w:t>Budget aggregates in the cash flow statement (excerpt)</w:t>
      </w:r>
    </w:p>
    <w:p w:rsidR="00804B9E" w:rsidRDefault="00797F40" w:rsidP="00804B9E">
      <w:pPr>
        <w:pStyle w:val="CaptionDescriptor"/>
        <w:jc w:val="left"/>
        <w:rPr>
          <w:i/>
          <w:color w:val="808080" w:themeColor="background1" w:themeShade="80"/>
          <w:sz w:val="18"/>
          <w:szCs w:val="18"/>
        </w:rPr>
      </w:pPr>
      <w:r>
        <w:rPr>
          <w:i/>
          <w:noProof/>
          <w:color w:val="808080" w:themeColor="background1" w:themeShade="80"/>
          <w:sz w:val="18"/>
          <w:szCs w:val="18"/>
          <w:lang w:eastAsia="en-AU"/>
        </w:rPr>
        <w:drawing>
          <wp:inline distT="0" distB="0" distL="0" distR="0" wp14:anchorId="19E1B4AB" wp14:editId="02DCCF34">
            <wp:extent cx="5777903" cy="193567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8645" cy="1935927"/>
                    </a:xfrm>
                    <a:prstGeom prst="rect">
                      <a:avLst/>
                    </a:prstGeom>
                    <a:noFill/>
                  </pic:spPr>
                </pic:pic>
              </a:graphicData>
            </a:graphic>
          </wp:inline>
        </w:drawing>
      </w:r>
    </w:p>
    <w:p w:rsidR="00D2513B" w:rsidRPr="00C87A90" w:rsidRDefault="00D2513B" w:rsidP="00D2513B">
      <w:pPr>
        <w:pStyle w:val="CaptionDescriptor"/>
        <w:spacing w:before="120"/>
        <w:jc w:val="left"/>
      </w:pPr>
      <w:r>
        <w:rPr>
          <w:rFonts w:cs="Times New Roman"/>
          <w:color w:val="788184"/>
          <w:kern w:val="2"/>
          <w:sz w:val="18"/>
          <w:szCs w:val="18"/>
        </w:rPr>
        <w:t xml:space="preserve">Note: For brevity, Figure </w:t>
      </w:r>
      <w:r w:rsidR="00CC5EB9">
        <w:rPr>
          <w:rFonts w:cs="Times New Roman"/>
          <w:color w:val="788184"/>
          <w:kern w:val="2"/>
          <w:sz w:val="18"/>
          <w:szCs w:val="18"/>
        </w:rPr>
        <w:t>A5</w:t>
      </w:r>
      <w:r>
        <w:rPr>
          <w:rFonts w:cs="Times New Roman"/>
          <w:color w:val="788184"/>
          <w:kern w:val="2"/>
          <w:sz w:val="18"/>
          <w:szCs w:val="18"/>
        </w:rPr>
        <w:t xml:space="preserve"> is an excerpt of the cash flow statement and excludes certain line items.</w:t>
      </w:r>
    </w:p>
    <w:p w:rsidR="00804B9E" w:rsidRPr="00CC5EB9" w:rsidRDefault="00804B9E" w:rsidP="00804B9E">
      <w:pPr>
        <w:pStyle w:val="CaptionDescriptor"/>
        <w:spacing w:before="120"/>
        <w:jc w:val="left"/>
        <w:rPr>
          <w:rStyle w:val="Hyperlink"/>
          <w:sz w:val="18"/>
          <w:szCs w:val="18"/>
          <w:u w:val="none"/>
        </w:rPr>
      </w:pPr>
      <w:r>
        <w:rPr>
          <w:rFonts w:cs="Times New Roman"/>
          <w:bCs w:val="0"/>
          <w:color w:val="788184"/>
          <w:kern w:val="2"/>
          <w:sz w:val="18"/>
          <w:szCs w:val="14"/>
        </w:rPr>
        <w:t xml:space="preserve">Source: </w:t>
      </w:r>
      <w:r w:rsidRPr="00CC5EB9">
        <w:rPr>
          <w:rFonts w:cs="Times New Roman"/>
          <w:bCs w:val="0"/>
          <w:i/>
          <w:color w:val="788184"/>
          <w:kern w:val="2"/>
          <w:sz w:val="18"/>
          <w:szCs w:val="14"/>
        </w:rPr>
        <w:t>2019–20 Budget,</w:t>
      </w:r>
      <w:r w:rsidRPr="00D113B1">
        <w:rPr>
          <w:rFonts w:cs="Times New Roman"/>
          <w:bCs w:val="0"/>
          <w:color w:val="788184"/>
          <w:kern w:val="2"/>
          <w:sz w:val="18"/>
          <w:szCs w:val="14"/>
        </w:rPr>
        <w:t xml:space="preserve"> </w:t>
      </w:r>
      <w:r w:rsidRPr="007C2C6F">
        <w:rPr>
          <w:rFonts w:cs="Times New Roman"/>
          <w:i/>
          <w:color w:val="788184"/>
          <w:kern w:val="2"/>
          <w:sz w:val="18"/>
          <w:szCs w:val="14"/>
        </w:rPr>
        <w:t>Budget Paper No.1</w:t>
      </w:r>
      <w:r w:rsidRPr="008460F9">
        <w:rPr>
          <w:rFonts w:cs="Times New Roman"/>
          <w:color w:val="788184"/>
          <w:kern w:val="2"/>
          <w:sz w:val="18"/>
          <w:szCs w:val="14"/>
        </w:rPr>
        <w:t xml:space="preserve">, </w:t>
      </w:r>
      <w:proofErr w:type="gramStart"/>
      <w:r w:rsidRPr="008460F9">
        <w:rPr>
          <w:rFonts w:cs="Times New Roman"/>
          <w:bCs w:val="0"/>
          <w:color w:val="788184"/>
          <w:kern w:val="2"/>
          <w:sz w:val="18"/>
          <w:szCs w:val="14"/>
        </w:rPr>
        <w:t>Statement</w:t>
      </w:r>
      <w:proofErr w:type="gramEnd"/>
      <w:r w:rsidRPr="00D113B1">
        <w:rPr>
          <w:rFonts w:cs="Times New Roman"/>
          <w:bCs w:val="0"/>
          <w:color w:val="788184"/>
          <w:kern w:val="2"/>
          <w:sz w:val="18"/>
          <w:szCs w:val="14"/>
        </w:rPr>
        <w:t xml:space="preserve"> 9 Table 3: Australian Government general government sector cash flow statement</w:t>
      </w:r>
      <w:r>
        <w:rPr>
          <w:rFonts w:cs="Times New Roman"/>
          <w:bCs w:val="0"/>
          <w:color w:val="788184"/>
          <w:kern w:val="2"/>
          <w:sz w:val="18"/>
          <w:szCs w:val="14"/>
        </w:rPr>
        <w:t>,</w:t>
      </w:r>
      <w:r w:rsidRPr="00D113B1">
        <w:rPr>
          <w:rFonts w:cs="Times New Roman"/>
          <w:bCs w:val="0"/>
          <w:color w:val="788184"/>
          <w:kern w:val="2"/>
          <w:sz w:val="18"/>
          <w:szCs w:val="14"/>
        </w:rPr>
        <w:t xml:space="preserve"> p.</w:t>
      </w:r>
      <w:r w:rsidR="0073094F">
        <w:rPr>
          <w:rFonts w:cs="Times New Roman"/>
          <w:bCs w:val="0"/>
          <w:color w:val="788184"/>
          <w:kern w:val="2"/>
          <w:sz w:val="18"/>
          <w:szCs w:val="14"/>
        </w:rPr>
        <w:t>9–9</w:t>
      </w:r>
      <w:r w:rsidRPr="00D113B1">
        <w:rPr>
          <w:rFonts w:cs="Times New Roman"/>
          <w:bCs w:val="0"/>
          <w:color w:val="788184"/>
          <w:kern w:val="2"/>
          <w:sz w:val="18"/>
          <w:szCs w:val="14"/>
        </w:rPr>
        <w:t xml:space="preserve">.  </w:t>
      </w:r>
      <w:proofErr w:type="gramStart"/>
      <w:r w:rsidRPr="00D113B1">
        <w:rPr>
          <w:rFonts w:cs="Times New Roman"/>
          <w:bCs w:val="0"/>
          <w:color w:val="788184"/>
          <w:kern w:val="2"/>
          <w:sz w:val="18"/>
          <w:szCs w:val="14"/>
        </w:rPr>
        <w:t xml:space="preserve">Available </w:t>
      </w:r>
      <w:r w:rsidRPr="004E4CEE">
        <w:rPr>
          <w:rFonts w:cs="Times New Roman"/>
          <w:bCs w:val="0"/>
          <w:color w:val="788184"/>
          <w:kern w:val="2"/>
          <w:sz w:val="18"/>
          <w:szCs w:val="18"/>
        </w:rPr>
        <w:t>at</w:t>
      </w:r>
      <w:r w:rsidRPr="00CC5EB9">
        <w:rPr>
          <w:rFonts w:cs="Times New Roman"/>
          <w:bCs w:val="0"/>
          <w:color w:val="788184"/>
          <w:kern w:val="2"/>
          <w:sz w:val="18"/>
          <w:szCs w:val="18"/>
        </w:rPr>
        <w:t xml:space="preserve"> </w:t>
      </w:r>
      <w:hyperlink r:id="rId60" w:history="1">
        <w:r w:rsidRPr="00CC5EB9">
          <w:rPr>
            <w:rFonts w:cs="Times New Roman"/>
            <w:bCs w:val="0"/>
            <w:color w:val="788184"/>
            <w:kern w:val="2"/>
            <w:sz w:val="18"/>
            <w:szCs w:val="18"/>
          </w:rPr>
          <w:t>https://budget.gov.au/2019-20/content/bp1/download/bp1.pdf</w:t>
        </w:r>
      </w:hyperlink>
      <w:r w:rsidRPr="00CC5EB9">
        <w:rPr>
          <w:rFonts w:cs="Times New Roman"/>
          <w:bCs w:val="0"/>
          <w:color w:val="788184"/>
          <w:kern w:val="2"/>
          <w:sz w:val="18"/>
          <w:szCs w:val="18"/>
        </w:rPr>
        <w:t>.</w:t>
      </w:r>
      <w:proofErr w:type="gramEnd"/>
    </w:p>
    <w:p w:rsidR="00804B9E" w:rsidRDefault="00804B9E">
      <w:pPr>
        <w:rPr>
          <w:rFonts w:ascii="Calibri Light" w:hAnsi="Calibri Light"/>
          <w:bCs/>
          <w:color w:val="3D4D7D" w:themeColor="background2"/>
          <w:kern w:val="2"/>
          <w:sz w:val="52"/>
          <w:szCs w:val="32"/>
        </w:rPr>
      </w:pPr>
      <w:r>
        <w:rPr>
          <w:kern w:val="2"/>
        </w:rPr>
        <w:br w:type="page"/>
      </w:r>
    </w:p>
    <w:p w:rsidR="000F352E" w:rsidRDefault="000F352E" w:rsidP="000F352E">
      <w:pPr>
        <w:pStyle w:val="Heading1NoNumbering"/>
      </w:pPr>
      <w:bookmarkStart w:id="71" w:name="_Toc35451924"/>
      <w:r>
        <w:lastRenderedPageBreak/>
        <w:t xml:space="preserve">Appendix </w:t>
      </w:r>
      <w:r w:rsidR="00E6229E">
        <w:t>B</w:t>
      </w:r>
      <w:r>
        <w:t>: Other sources of information</w:t>
      </w:r>
      <w:r w:rsidR="0058127B">
        <w:t xml:space="preserve"> about the budget impacts of policies</w:t>
      </w:r>
      <w:bookmarkEnd w:id="71"/>
    </w:p>
    <w:tbl>
      <w:tblPr>
        <w:tblStyle w:val="TableGrid"/>
        <w:tblW w:w="5000" w:type="pct"/>
        <w:tblBorders>
          <w:top w:val="dotted" w:sz="4" w:space="0" w:color="auto"/>
          <w:bottom w:val="dotted" w:sz="4" w:space="0" w:color="auto"/>
          <w:insideH w:val="dotted" w:sz="4" w:space="0" w:color="auto"/>
          <w:insideV w:val="dotted" w:sz="4" w:space="0" w:color="auto"/>
        </w:tblBorders>
        <w:shd w:val="clear" w:color="auto" w:fill="E3E5E6" w:themeFill="accent6" w:themeFillTint="33"/>
        <w:tblLayout w:type="fixed"/>
        <w:tblCellMar>
          <w:top w:w="0" w:type="dxa"/>
          <w:bottom w:w="0" w:type="dxa"/>
        </w:tblCellMar>
        <w:tblLook w:val="04A0" w:firstRow="1" w:lastRow="0" w:firstColumn="1" w:lastColumn="0" w:noHBand="0" w:noVBand="1"/>
      </w:tblPr>
      <w:tblGrid>
        <w:gridCol w:w="2271"/>
        <w:gridCol w:w="6800"/>
      </w:tblGrid>
      <w:tr w:rsidR="000F352E" w:rsidRPr="00D7405A" w:rsidTr="001654F5">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252" w:type="pct"/>
            <w:tcBorders>
              <w:bottom w:val="single" w:sz="4" w:space="0" w:color="3D4D7D" w:themeColor="background2"/>
            </w:tcBorders>
            <w:shd w:val="clear" w:color="auto" w:fill="E3E5E6" w:themeFill="accent6" w:themeFillTint="33"/>
          </w:tcPr>
          <w:p w:rsidR="000F352E" w:rsidRPr="00BD04B9" w:rsidRDefault="000F352E" w:rsidP="001654F5">
            <w:pPr>
              <w:pStyle w:val="BodyText"/>
              <w:keepNext/>
              <w:spacing w:before="70" w:after="70"/>
              <w:rPr>
                <w:color w:val="3D4D7D" w:themeColor="background2"/>
                <w:kern w:val="2"/>
              </w:rPr>
            </w:pPr>
            <w:r w:rsidRPr="00BD04B9">
              <w:rPr>
                <w:color w:val="3D4D7D" w:themeColor="background2"/>
                <w:kern w:val="2"/>
              </w:rPr>
              <w:t>Source</w:t>
            </w:r>
          </w:p>
        </w:tc>
        <w:tc>
          <w:tcPr>
            <w:tcW w:w="3748" w:type="pct"/>
            <w:tcBorders>
              <w:bottom w:val="single" w:sz="4" w:space="0" w:color="3D4D7D" w:themeColor="background2"/>
            </w:tcBorders>
            <w:shd w:val="clear" w:color="auto" w:fill="E3E5E6" w:themeFill="accent6" w:themeFillTint="33"/>
          </w:tcPr>
          <w:p w:rsidR="000F352E" w:rsidRPr="00BD04B9" w:rsidRDefault="000F352E" w:rsidP="001654F5">
            <w:pPr>
              <w:pStyle w:val="BodyText"/>
              <w:keepNext/>
              <w:spacing w:before="70" w:after="70"/>
              <w:cnfStyle w:val="100000000000" w:firstRow="1" w:lastRow="0" w:firstColumn="0" w:lastColumn="0" w:oddVBand="0" w:evenVBand="0" w:oddHBand="0" w:evenHBand="0" w:firstRowFirstColumn="0" w:firstRowLastColumn="0" w:lastRowFirstColumn="0" w:lastRowLastColumn="0"/>
              <w:rPr>
                <w:color w:val="3D4D7D" w:themeColor="background2"/>
                <w:kern w:val="2"/>
              </w:rPr>
            </w:pPr>
            <w:r w:rsidRPr="00BD04B9">
              <w:rPr>
                <w:color w:val="3D4D7D" w:themeColor="background2"/>
                <w:kern w:val="2"/>
              </w:rPr>
              <w:t>Details</w:t>
            </w:r>
          </w:p>
        </w:tc>
      </w:tr>
      <w:tr w:rsidR="000F352E" w:rsidRPr="00D7405A" w:rsidTr="001654F5">
        <w:trPr>
          <w:cantSplit/>
        </w:trPr>
        <w:tc>
          <w:tcPr>
            <w:tcW w:w="1252" w:type="pct"/>
            <w:tcBorders>
              <w:top w:val="single" w:sz="4" w:space="0" w:color="3D4D7D" w:themeColor="background2"/>
            </w:tcBorders>
            <w:shd w:val="clear" w:color="auto" w:fill="E3E5E6" w:themeFill="accent6" w:themeFillTint="33"/>
          </w:tcPr>
          <w:p w:rsidR="000F352E" w:rsidRPr="00BD04B9" w:rsidRDefault="000F352E" w:rsidP="001654F5">
            <w:pPr>
              <w:pStyle w:val="BodyText"/>
              <w:keepNext/>
              <w:spacing w:before="70" w:after="70"/>
              <w:rPr>
                <w:color w:val="3D4D7D" w:themeColor="background2"/>
                <w:kern w:val="2"/>
              </w:rPr>
            </w:pPr>
            <w:r w:rsidRPr="00BD04B9">
              <w:rPr>
                <w:color w:val="3D4D7D" w:themeColor="background2"/>
              </w:rPr>
              <w:t>Portfolio budget statements</w:t>
            </w:r>
          </w:p>
        </w:tc>
        <w:tc>
          <w:tcPr>
            <w:tcW w:w="3748" w:type="pct"/>
            <w:tcBorders>
              <w:top w:val="single" w:sz="4" w:space="0" w:color="3D4D7D" w:themeColor="background2"/>
            </w:tcBorders>
            <w:shd w:val="clear" w:color="auto" w:fill="E3E5E6" w:themeFill="accent6" w:themeFillTint="33"/>
          </w:tcPr>
          <w:p w:rsidR="000F352E" w:rsidRPr="00BD04B9" w:rsidRDefault="000F352E" w:rsidP="001654F5">
            <w:pPr>
              <w:pStyle w:val="BodyText"/>
              <w:spacing w:before="70" w:after="70"/>
              <w:rPr>
                <w:b/>
                <w:bCs/>
                <w:color w:val="3D4D7D" w:themeColor="background2"/>
              </w:rPr>
            </w:pPr>
            <w:r w:rsidRPr="00BD04B9">
              <w:rPr>
                <w:color w:val="3D4D7D" w:themeColor="background2"/>
              </w:rPr>
              <w:t>Each government department produces a</w:t>
            </w:r>
            <w:r w:rsidR="0058127B">
              <w:rPr>
                <w:color w:val="3D4D7D" w:themeColor="background2"/>
              </w:rPr>
              <w:t>n annual</w:t>
            </w:r>
            <w:r w:rsidRPr="00BD04B9">
              <w:rPr>
                <w:color w:val="3D4D7D" w:themeColor="background2"/>
              </w:rPr>
              <w:t xml:space="preserve"> portfolio budget statement with more detail on their expected departmental and administered expenditure over the forward estimates period.  This includes some additional information on, for instance, HELP loans, but is also </w:t>
            </w:r>
            <w:r>
              <w:rPr>
                <w:color w:val="3D4D7D" w:themeColor="background2"/>
              </w:rPr>
              <w:t xml:space="preserve">prepared </w:t>
            </w:r>
            <w:r w:rsidRPr="00BD04B9">
              <w:rPr>
                <w:color w:val="3D4D7D" w:themeColor="background2"/>
              </w:rPr>
              <w:t xml:space="preserve">on a different set of accounting requirements to the main budget documents, so is not directly comparable.  </w:t>
            </w:r>
          </w:p>
        </w:tc>
      </w:tr>
      <w:tr w:rsidR="000F352E" w:rsidRPr="00D7405A" w:rsidTr="001654F5">
        <w:trPr>
          <w:cnfStyle w:val="000000010000" w:firstRow="0" w:lastRow="0" w:firstColumn="0" w:lastColumn="0" w:oddVBand="0" w:evenVBand="0" w:oddHBand="0" w:evenHBand="1" w:firstRowFirstColumn="0" w:firstRowLastColumn="0" w:lastRowFirstColumn="0" w:lastRowLastColumn="0"/>
          <w:cantSplit/>
        </w:trPr>
        <w:tc>
          <w:tcPr>
            <w:tcW w:w="1252" w:type="pct"/>
            <w:shd w:val="clear" w:color="auto" w:fill="E3E5E6" w:themeFill="accent6" w:themeFillTint="33"/>
          </w:tcPr>
          <w:p w:rsidR="000F352E" w:rsidRPr="00BD04B9" w:rsidRDefault="000F352E" w:rsidP="001654F5">
            <w:pPr>
              <w:pStyle w:val="BodyText"/>
              <w:keepNext/>
              <w:spacing w:before="70" w:after="70"/>
              <w:rPr>
                <w:color w:val="3D4D7D" w:themeColor="background2"/>
                <w:kern w:val="2"/>
              </w:rPr>
            </w:pPr>
            <w:r w:rsidRPr="00BD04B9">
              <w:rPr>
                <w:color w:val="3D4D7D" w:themeColor="background2"/>
                <w:kern w:val="2"/>
              </w:rPr>
              <w:t>General government sector entity annual reports</w:t>
            </w:r>
          </w:p>
        </w:tc>
        <w:tc>
          <w:tcPr>
            <w:tcW w:w="3748" w:type="pct"/>
            <w:shd w:val="clear" w:color="auto" w:fill="E3E5E6" w:themeFill="accent6" w:themeFillTint="33"/>
          </w:tcPr>
          <w:p w:rsidR="000F352E" w:rsidRPr="00BD04B9" w:rsidRDefault="000F352E" w:rsidP="001654F5">
            <w:pPr>
              <w:pStyle w:val="BodyText"/>
              <w:spacing w:before="70" w:after="70"/>
              <w:rPr>
                <w:b/>
                <w:bCs/>
                <w:color w:val="3D4D7D" w:themeColor="background2"/>
              </w:rPr>
            </w:pPr>
            <w:r w:rsidRPr="00BD04B9">
              <w:rPr>
                <w:color w:val="3D4D7D" w:themeColor="background2"/>
              </w:rPr>
              <w:t>The annual report of the general government sector entity administering a policy has additional information on the outcomes of the policies.  For instance, the fair value of equity injections and the level of debt not expected to be repaid for large loan programs is often found in the relevant annual report.</w:t>
            </w:r>
          </w:p>
        </w:tc>
      </w:tr>
      <w:tr w:rsidR="000F352E" w:rsidRPr="00D7405A" w:rsidTr="001654F5">
        <w:trPr>
          <w:cantSplit/>
        </w:trPr>
        <w:tc>
          <w:tcPr>
            <w:tcW w:w="1252" w:type="pct"/>
            <w:shd w:val="clear" w:color="auto" w:fill="E3E5E6" w:themeFill="accent6" w:themeFillTint="33"/>
          </w:tcPr>
          <w:p w:rsidR="000F352E" w:rsidRPr="00BD04B9" w:rsidRDefault="000F352E" w:rsidP="001654F5">
            <w:pPr>
              <w:pStyle w:val="BodyText"/>
              <w:keepNext/>
              <w:spacing w:before="70" w:after="70"/>
              <w:rPr>
                <w:color w:val="3D4D7D" w:themeColor="background2"/>
                <w:kern w:val="2"/>
              </w:rPr>
            </w:pPr>
            <w:r w:rsidRPr="00BD04B9">
              <w:rPr>
                <w:color w:val="3D4D7D" w:themeColor="background2"/>
                <w:kern w:val="2"/>
              </w:rPr>
              <w:t>Government</w:t>
            </w:r>
            <w:r>
              <w:rPr>
                <w:color w:val="3D4D7D" w:themeColor="background2"/>
                <w:kern w:val="2"/>
              </w:rPr>
              <w:t>-</w:t>
            </w:r>
            <w:r w:rsidRPr="00BD04B9">
              <w:rPr>
                <w:color w:val="3D4D7D" w:themeColor="background2"/>
                <w:kern w:val="2"/>
              </w:rPr>
              <w:t>owned corporation annual reports</w:t>
            </w:r>
          </w:p>
        </w:tc>
        <w:tc>
          <w:tcPr>
            <w:tcW w:w="3748" w:type="pct"/>
            <w:shd w:val="clear" w:color="auto" w:fill="E3E5E6" w:themeFill="accent6" w:themeFillTint="33"/>
          </w:tcPr>
          <w:p w:rsidR="000F352E" w:rsidRPr="00BD04B9" w:rsidRDefault="000F352E" w:rsidP="001654F5">
            <w:pPr>
              <w:pStyle w:val="CaptionLeft"/>
              <w:spacing w:before="70" w:after="70"/>
              <w:rPr>
                <w:rFonts w:cs="Times New Roman"/>
                <w:b w:val="0"/>
                <w:bCs w:val="0"/>
                <w:kern w:val="2"/>
              </w:rPr>
            </w:pPr>
            <w:r w:rsidRPr="00BD04B9">
              <w:rPr>
                <w:rFonts w:cs="Times New Roman"/>
                <w:b w:val="0"/>
                <w:bCs w:val="0"/>
                <w:kern w:val="2"/>
              </w:rPr>
              <w:t>The annual report of a government</w:t>
            </w:r>
            <w:r>
              <w:rPr>
                <w:rFonts w:cs="Times New Roman"/>
                <w:b w:val="0"/>
                <w:bCs w:val="0"/>
                <w:kern w:val="2"/>
              </w:rPr>
              <w:t>-</w:t>
            </w:r>
            <w:r w:rsidRPr="00BD04B9">
              <w:rPr>
                <w:rFonts w:cs="Times New Roman"/>
                <w:b w:val="0"/>
                <w:bCs w:val="0"/>
                <w:kern w:val="2"/>
              </w:rPr>
              <w:t xml:space="preserve">owned corporation includes information on the amount of equity that has been injected into </w:t>
            </w:r>
            <w:r>
              <w:rPr>
                <w:rFonts w:cs="Times New Roman"/>
                <w:b w:val="0"/>
                <w:bCs w:val="0"/>
                <w:kern w:val="2"/>
              </w:rPr>
              <w:t>the</w:t>
            </w:r>
            <w:r w:rsidRPr="00BD04B9">
              <w:rPr>
                <w:rFonts w:cs="Times New Roman"/>
                <w:b w:val="0"/>
                <w:bCs w:val="0"/>
                <w:kern w:val="2"/>
              </w:rPr>
              <w:t xml:space="preserve"> corporation, as well as other information on assets and losses.</w:t>
            </w:r>
          </w:p>
        </w:tc>
      </w:tr>
      <w:tr w:rsidR="000F352E" w:rsidRPr="00D7405A" w:rsidTr="001654F5">
        <w:trPr>
          <w:cnfStyle w:val="000000010000" w:firstRow="0" w:lastRow="0" w:firstColumn="0" w:lastColumn="0" w:oddVBand="0" w:evenVBand="0" w:oddHBand="0" w:evenHBand="1" w:firstRowFirstColumn="0" w:firstRowLastColumn="0" w:lastRowFirstColumn="0" w:lastRowLastColumn="0"/>
          <w:cantSplit/>
          <w:trHeight w:val="805"/>
        </w:trPr>
        <w:tc>
          <w:tcPr>
            <w:tcW w:w="1252" w:type="pct"/>
            <w:tcBorders>
              <w:bottom w:val="dotted" w:sz="4" w:space="0" w:color="auto"/>
            </w:tcBorders>
            <w:shd w:val="clear" w:color="auto" w:fill="E3E5E6" w:themeFill="accent6" w:themeFillTint="33"/>
          </w:tcPr>
          <w:p w:rsidR="000F352E" w:rsidRPr="00BD04B9" w:rsidRDefault="000F352E" w:rsidP="001654F5">
            <w:pPr>
              <w:pStyle w:val="BodyText"/>
              <w:keepNext/>
              <w:spacing w:before="70" w:after="70"/>
              <w:rPr>
                <w:color w:val="3D4D7D" w:themeColor="background2"/>
                <w:kern w:val="2"/>
              </w:rPr>
            </w:pPr>
            <w:r w:rsidRPr="00BD04B9">
              <w:rPr>
                <w:color w:val="3D4D7D" w:themeColor="background2"/>
              </w:rPr>
              <w:t>Consolidated financial statements</w:t>
            </w:r>
          </w:p>
        </w:tc>
        <w:tc>
          <w:tcPr>
            <w:tcW w:w="3748" w:type="pct"/>
            <w:shd w:val="clear" w:color="auto" w:fill="E3E5E6" w:themeFill="accent6" w:themeFillTint="33"/>
          </w:tcPr>
          <w:p w:rsidR="000F352E" w:rsidRPr="00BD04B9" w:rsidRDefault="000F352E" w:rsidP="001654F5">
            <w:pPr>
              <w:pStyle w:val="BodyText"/>
              <w:spacing w:before="70" w:after="70"/>
              <w:rPr>
                <w:color w:val="3D4D7D" w:themeColor="background2"/>
              </w:rPr>
            </w:pPr>
            <w:r w:rsidRPr="00BD04B9">
              <w:rPr>
                <w:color w:val="3D4D7D" w:themeColor="background2"/>
              </w:rPr>
              <w:t xml:space="preserve">The Consolidated financial statements provide some additional information to </w:t>
            </w:r>
            <w:r w:rsidRPr="004E4CEE">
              <w:rPr>
                <w:color w:val="3D4D7D" w:themeColor="background2"/>
              </w:rPr>
              <w:t xml:space="preserve">the </w:t>
            </w:r>
            <w:r w:rsidRPr="00CC5EB9">
              <w:rPr>
                <w:color w:val="3D4D7D" w:themeColor="background2"/>
              </w:rPr>
              <w:t>Final Budget Outcome</w:t>
            </w:r>
            <w:r w:rsidRPr="00BD04B9">
              <w:rPr>
                <w:color w:val="3D4D7D" w:themeColor="background2"/>
              </w:rPr>
              <w:t>, and are audited by the Australian National Audit Office.  In particular, these statements have notes to the financial statements that give some additional information on the effect of revaluations on net worth.</w:t>
            </w:r>
          </w:p>
        </w:tc>
      </w:tr>
      <w:tr w:rsidR="000F352E" w:rsidRPr="00D7405A" w:rsidTr="001654F5">
        <w:trPr>
          <w:cantSplit/>
          <w:trHeight w:val="131"/>
        </w:trPr>
        <w:tc>
          <w:tcPr>
            <w:tcW w:w="1252" w:type="pct"/>
            <w:tcBorders>
              <w:bottom w:val="nil"/>
            </w:tcBorders>
            <w:shd w:val="clear" w:color="auto" w:fill="E3E5E6" w:themeFill="accent6" w:themeFillTint="33"/>
          </w:tcPr>
          <w:p w:rsidR="000F352E" w:rsidRPr="00BD04B9" w:rsidRDefault="000F352E" w:rsidP="001654F5">
            <w:pPr>
              <w:pStyle w:val="BodyText"/>
              <w:spacing w:before="70" w:after="70"/>
              <w:rPr>
                <w:color w:val="3D4D7D" w:themeColor="background2"/>
                <w:kern w:val="2"/>
              </w:rPr>
            </w:pPr>
            <w:r w:rsidRPr="00BD04B9">
              <w:rPr>
                <w:color w:val="3D4D7D" w:themeColor="background2"/>
              </w:rPr>
              <w:t>Other</w:t>
            </w:r>
          </w:p>
        </w:tc>
        <w:tc>
          <w:tcPr>
            <w:tcW w:w="3748" w:type="pct"/>
            <w:shd w:val="clear" w:color="auto" w:fill="E3E5E6" w:themeFill="accent6" w:themeFillTint="33"/>
          </w:tcPr>
          <w:p w:rsidR="000F352E" w:rsidRPr="00BD04B9" w:rsidRDefault="000F352E" w:rsidP="00DA0D64">
            <w:pPr>
              <w:pStyle w:val="BodyText"/>
              <w:spacing w:before="70" w:after="70"/>
              <w:rPr>
                <w:color w:val="3D4D7D" w:themeColor="background2"/>
              </w:rPr>
            </w:pPr>
            <w:r w:rsidRPr="00BD04B9">
              <w:rPr>
                <w:color w:val="3D4D7D" w:themeColor="background2"/>
              </w:rPr>
              <w:t>The Australian National Audit Office produces</w:t>
            </w:r>
            <w:r w:rsidR="0058127B">
              <w:rPr>
                <w:color w:val="3D4D7D" w:themeColor="background2"/>
              </w:rPr>
              <w:t xml:space="preserve"> occasional</w:t>
            </w:r>
            <w:r w:rsidRPr="00BD04B9">
              <w:rPr>
                <w:color w:val="3D4D7D" w:themeColor="background2"/>
              </w:rPr>
              <w:t xml:space="preserve"> reports on specific programs and projects that use alternative financing arrangements.  </w:t>
            </w:r>
          </w:p>
        </w:tc>
      </w:tr>
      <w:tr w:rsidR="000F352E" w:rsidRPr="00D7405A" w:rsidTr="001654F5">
        <w:trPr>
          <w:cnfStyle w:val="000000010000" w:firstRow="0" w:lastRow="0" w:firstColumn="0" w:lastColumn="0" w:oddVBand="0" w:evenVBand="0" w:oddHBand="0" w:evenHBand="1" w:firstRowFirstColumn="0" w:firstRowLastColumn="0" w:lastRowFirstColumn="0" w:lastRowLastColumn="0"/>
          <w:cantSplit/>
          <w:trHeight w:val="131"/>
        </w:trPr>
        <w:tc>
          <w:tcPr>
            <w:tcW w:w="1252" w:type="pct"/>
            <w:tcBorders>
              <w:top w:val="nil"/>
            </w:tcBorders>
            <w:shd w:val="clear" w:color="auto" w:fill="E3E5E6" w:themeFill="accent6" w:themeFillTint="33"/>
          </w:tcPr>
          <w:p w:rsidR="000F352E" w:rsidRPr="00D7405A" w:rsidRDefault="000F352E" w:rsidP="001654F5">
            <w:pPr>
              <w:pStyle w:val="BodyText"/>
              <w:spacing w:before="70" w:after="70"/>
              <w:rPr>
                <w:color w:val="3D4D7D" w:themeColor="background2"/>
              </w:rPr>
            </w:pPr>
          </w:p>
        </w:tc>
        <w:tc>
          <w:tcPr>
            <w:tcW w:w="3748" w:type="pct"/>
            <w:shd w:val="clear" w:color="auto" w:fill="E3E5E6" w:themeFill="accent6" w:themeFillTint="33"/>
          </w:tcPr>
          <w:p w:rsidR="000F352E" w:rsidRPr="00D7405A" w:rsidRDefault="000F352E" w:rsidP="00DA0D64">
            <w:pPr>
              <w:pStyle w:val="BodyText"/>
              <w:spacing w:before="70" w:after="70"/>
              <w:rPr>
                <w:color w:val="3D4D7D" w:themeColor="background2"/>
              </w:rPr>
            </w:pPr>
            <w:r w:rsidRPr="004632E1">
              <w:rPr>
                <w:color w:val="3D4D7D" w:themeColor="background2"/>
              </w:rPr>
              <w:t xml:space="preserve">Parliamentary Committees have public inquiries </w:t>
            </w:r>
            <w:r>
              <w:rPr>
                <w:color w:val="3D4D7D" w:themeColor="background2"/>
              </w:rPr>
              <w:t>o</w:t>
            </w:r>
            <w:r w:rsidRPr="004632E1">
              <w:rPr>
                <w:color w:val="3D4D7D" w:themeColor="background2"/>
              </w:rPr>
              <w:t>n relevant topics</w:t>
            </w:r>
            <w:r w:rsidR="004E4CEE">
              <w:rPr>
                <w:color w:val="3D4D7D" w:themeColor="background2"/>
              </w:rPr>
              <w:t>,</w:t>
            </w:r>
            <w:r w:rsidRPr="004632E1">
              <w:rPr>
                <w:color w:val="3D4D7D" w:themeColor="background2"/>
              </w:rPr>
              <w:t xml:space="preserve"> and the </w:t>
            </w:r>
            <w:r w:rsidR="00DA0D64">
              <w:rPr>
                <w:color w:val="3D4D7D" w:themeColor="background2"/>
              </w:rPr>
              <w:t>inquiry reports and associated documents</w:t>
            </w:r>
            <w:r w:rsidRPr="004632E1">
              <w:rPr>
                <w:color w:val="3D4D7D" w:themeColor="background2"/>
              </w:rPr>
              <w:t xml:space="preserve"> are publicly available.</w:t>
            </w:r>
          </w:p>
        </w:tc>
      </w:tr>
    </w:tbl>
    <w:p w:rsidR="000F352E" w:rsidRDefault="000F352E" w:rsidP="000F352E">
      <w:pPr>
        <w:pStyle w:val="ListBullet"/>
      </w:pPr>
      <w:r>
        <w:br w:type="page"/>
      </w:r>
    </w:p>
    <w:p w:rsidR="00E6229E" w:rsidRPr="00BF19BB" w:rsidRDefault="00E6229E" w:rsidP="00E6229E">
      <w:pPr>
        <w:pStyle w:val="Heading1"/>
        <w:numPr>
          <w:ilvl w:val="0"/>
          <w:numId w:val="0"/>
        </w:numPr>
        <w:ind w:left="765" w:hanging="765"/>
        <w:rPr>
          <w:kern w:val="2"/>
        </w:rPr>
      </w:pPr>
      <w:bookmarkStart w:id="72" w:name="_Toc35451925"/>
      <w:r w:rsidRPr="00BF19BB">
        <w:rPr>
          <w:kern w:val="2"/>
        </w:rPr>
        <w:lastRenderedPageBreak/>
        <w:t xml:space="preserve">Appendix </w:t>
      </w:r>
      <w:r>
        <w:rPr>
          <w:kern w:val="2"/>
        </w:rPr>
        <w:t>C:</w:t>
      </w:r>
      <w:r w:rsidRPr="00BF19BB">
        <w:rPr>
          <w:kern w:val="2"/>
        </w:rPr>
        <w:t xml:space="preserve"> Balance sheet metrics</w:t>
      </w:r>
      <w:bookmarkEnd w:id="72"/>
    </w:p>
    <w:p w:rsidR="00E6229E" w:rsidRDefault="00E6229E" w:rsidP="00E6229E">
      <w:pPr>
        <w:pStyle w:val="CaptionLeft"/>
      </w:pPr>
      <w:r>
        <w:t>Figure C1: G</w:t>
      </w:r>
      <w:r w:rsidRPr="00BF19BB">
        <w:t>eneral gover</w:t>
      </w:r>
      <w:r>
        <w:t>nment sector balance sheet (2019</w:t>
      </w:r>
      <w:r w:rsidRPr="00CA784B">
        <w:t>–20</w:t>
      </w:r>
      <w:r w:rsidRPr="00BF19BB">
        <w:t xml:space="preserve"> </w:t>
      </w:r>
      <w:proofErr w:type="gramStart"/>
      <w:r>
        <w:t>Budget</w:t>
      </w:r>
      <w:proofErr w:type="gramEnd"/>
      <w:r w:rsidRPr="0083679E">
        <w:t>)</w:t>
      </w:r>
      <w:r>
        <w:t xml:space="preserve">                     </w:t>
      </w:r>
      <w:r>
        <w:rPr>
          <w:noProof/>
          <w:lang w:eastAsia="en-AU"/>
        </w:rPr>
        <w:drawing>
          <wp:inline distT="0" distB="0" distL="0" distR="0" wp14:anchorId="6C05B184" wp14:editId="3177F491">
            <wp:extent cx="5536622" cy="6512118"/>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37960" cy="6513692"/>
                    </a:xfrm>
                    <a:prstGeom prst="rect">
                      <a:avLst/>
                    </a:prstGeom>
                    <a:noFill/>
                  </pic:spPr>
                </pic:pic>
              </a:graphicData>
            </a:graphic>
          </wp:inline>
        </w:drawing>
      </w:r>
    </w:p>
    <w:p w:rsidR="00E6229E" w:rsidRDefault="00E6229E" w:rsidP="00E6229E">
      <w:pPr>
        <w:pStyle w:val="CaptionLeft"/>
        <w:keepNext w:val="0"/>
      </w:pPr>
    </w:p>
    <w:p w:rsidR="00E6229E" w:rsidRPr="00332ED2" w:rsidRDefault="00E6229E" w:rsidP="00E6229E">
      <w:pPr>
        <w:pStyle w:val="BodyText"/>
        <w:spacing w:after="120"/>
        <w:jc w:val="center"/>
        <w:rPr>
          <w:rFonts w:eastAsiaTheme="minorEastAsia" w:cstheme="minorBidi"/>
          <w:b/>
          <w:sz w:val="24"/>
        </w:rPr>
      </w:pPr>
      <w:r w:rsidRPr="00332ED2">
        <w:rPr>
          <w:noProof/>
          <w:lang w:eastAsia="en-AU"/>
        </w:rPr>
        <mc:AlternateContent>
          <mc:Choice Requires="wps">
            <w:drawing>
              <wp:anchor distT="0" distB="0" distL="114300" distR="114300" simplePos="0" relativeHeight="251672576" behindDoc="0" locked="0" layoutInCell="1" allowOverlap="1" wp14:anchorId="61EE2063" wp14:editId="075D5B46">
                <wp:simplePos x="0" y="0"/>
                <wp:positionH relativeFrom="column">
                  <wp:posOffset>448310</wp:posOffset>
                </wp:positionH>
                <wp:positionV relativeFrom="paragraph">
                  <wp:posOffset>510540</wp:posOffset>
                </wp:positionV>
                <wp:extent cx="4845050" cy="287655"/>
                <wp:effectExtent l="19050" t="19050" r="12700" b="17145"/>
                <wp:wrapNone/>
                <wp:docPr id="37" name="Rounded Rectangle 26"/>
                <wp:cNvGraphicFramePr/>
                <a:graphic xmlns:a="http://schemas.openxmlformats.org/drawingml/2006/main">
                  <a:graphicData uri="http://schemas.microsoft.com/office/word/2010/wordprocessingShape">
                    <wps:wsp>
                      <wps:cNvSpPr/>
                      <wps:spPr>
                        <a:xfrm>
                          <a:off x="0" y="0"/>
                          <a:ext cx="4845050" cy="287655"/>
                        </a:xfrm>
                        <a:prstGeom prst="roundRect">
                          <a:avLst/>
                        </a:prstGeom>
                        <a:solidFill>
                          <a:srgbClr val="8D487F">
                            <a:alpha val="13725"/>
                          </a:srgbClr>
                        </a:solidFill>
                        <a:ln w="28575">
                          <a:solidFill>
                            <a:srgbClr val="66325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5BD3" w:rsidRPr="00A85614" w:rsidRDefault="00115BD3" w:rsidP="00E6229E">
                            <w:pPr>
                              <w:jc w:val="center"/>
                              <w:rPr>
                                <w:i/>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left:0;text-align:left;margin-left:35.3pt;margin-top:40.2pt;width:381.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" fillcolor="#8d487f" strokecolor="#66325c" strokeweight="2.25pt">
                <v:fill opacity="8995f"/>
                <v:textbox>
                  <w:txbxContent>
                    <w:p w:rsidR="00115BD3" w:rsidRPr="00A85614" w:rsidRDefault="00115BD3" w:rsidP="00E6229E">
                      <w:pPr>
                        <w:jc w:val="center"/>
                        <w:rPr>
                          <w:i/>
                        </w:rPr>
                      </w:pPr>
                    </w:p>
                  </w:txbxContent>
                </v:textbox>
              </v:roundrect>
            </w:pict>
          </mc:Fallback>
        </mc:AlternateContent>
      </w:r>
      <w:r w:rsidRPr="00332ED2">
        <w:rPr>
          <w:noProof/>
          <w:lang w:eastAsia="en-AU"/>
        </w:rPr>
        <mc:AlternateContent>
          <mc:Choice Requires="wps">
            <w:drawing>
              <wp:anchor distT="0" distB="0" distL="114300" distR="114300" simplePos="0" relativeHeight="251671552" behindDoc="0" locked="0" layoutInCell="1" allowOverlap="1" wp14:anchorId="23832FB9" wp14:editId="7ACA94E2">
                <wp:simplePos x="0" y="0"/>
                <wp:positionH relativeFrom="column">
                  <wp:posOffset>1214120</wp:posOffset>
                </wp:positionH>
                <wp:positionV relativeFrom="paragraph">
                  <wp:posOffset>10795</wp:posOffset>
                </wp:positionV>
                <wp:extent cx="3321050" cy="296545"/>
                <wp:effectExtent l="19050" t="19050" r="12700" b="27305"/>
                <wp:wrapNone/>
                <wp:docPr id="40" name="Rounded Rectangle 24"/>
                <wp:cNvGraphicFramePr/>
                <a:graphic xmlns:a="http://schemas.openxmlformats.org/drawingml/2006/main">
                  <a:graphicData uri="http://schemas.microsoft.com/office/word/2010/wordprocessingShape">
                    <wps:wsp>
                      <wps:cNvSpPr/>
                      <wps:spPr>
                        <a:xfrm>
                          <a:off x="0" y="0"/>
                          <a:ext cx="3321050" cy="296545"/>
                        </a:xfrm>
                        <a:prstGeom prst="roundRect">
                          <a:avLst/>
                        </a:prstGeom>
                        <a:solidFill>
                          <a:srgbClr val="FEE8B6">
                            <a:alpha val="20784"/>
                          </a:srgbClr>
                        </a:solidFill>
                        <a:ln w="28575">
                          <a:solidFill>
                            <a:srgbClr val="FCC6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95.6pt;margin-top:.85pt;width:261.5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" fillcolor="#fee8b6" strokecolor="#fcc648" strokeweight="2.25pt">
                <v:fill opacity="13621f"/>
              </v:roundrect>
            </w:pict>
          </mc:Fallback>
        </mc:AlternateContent>
      </w:r>
      <w:r w:rsidRPr="00956230">
        <w:rPr>
          <w:rFonts w:eastAsiaTheme="minorEastAsia"/>
          <w:b/>
          <w:sz w:val="28"/>
        </w:rPr>
        <w:t xml:space="preserve">Net worth </w:t>
      </w:r>
      <w:r>
        <w:rPr>
          <w:rFonts w:eastAsiaTheme="minorEastAsia" w:cstheme="minorBidi"/>
          <w:b/>
          <w:sz w:val="28"/>
        </w:rPr>
        <w:t>=</w:t>
      </w:r>
      <w:r w:rsidRPr="00956230">
        <w:rPr>
          <w:rFonts w:eastAsiaTheme="minorEastAsia"/>
          <w:b/>
          <w:sz w:val="28"/>
        </w:rPr>
        <w:t xml:space="preserve"> total assets </w:t>
      </w:r>
      <w:r>
        <w:rPr>
          <w:rFonts w:eastAsiaTheme="minorEastAsia" w:cstheme="minorBidi"/>
          <w:b/>
          <w:sz w:val="28"/>
        </w:rPr>
        <w:t>–</w:t>
      </w:r>
      <w:r w:rsidRPr="00956230">
        <w:rPr>
          <w:rFonts w:eastAsiaTheme="minorEastAsia"/>
          <w:b/>
          <w:sz w:val="28"/>
        </w:rPr>
        <w:t xml:space="preserve"> total liabilities </w:t>
      </w:r>
      <w:r>
        <w:rPr>
          <w:rFonts w:eastAsiaTheme="minorEastAsia" w:cstheme="minorBidi"/>
          <w:b/>
          <w:sz w:val="28"/>
        </w:rPr>
        <w:br/>
      </w:r>
    </w:p>
    <w:p w:rsidR="00E6229E" w:rsidRPr="00332ED2" w:rsidRDefault="00E6229E" w:rsidP="00E6229E">
      <w:pPr>
        <w:pStyle w:val="BodyText"/>
        <w:spacing w:after="120"/>
        <w:jc w:val="center"/>
        <w:rPr>
          <w:rFonts w:eastAsiaTheme="minorEastAsia" w:cstheme="minorBidi"/>
          <w:b/>
          <w:sz w:val="24"/>
        </w:rPr>
      </w:pPr>
      <w:r w:rsidRPr="00956230">
        <w:rPr>
          <w:rFonts w:eastAsiaTheme="minorEastAsia"/>
          <w:b/>
          <w:sz w:val="28"/>
        </w:rPr>
        <w:t>Net financial worth = total financial assets – total liabilities</w:t>
      </w:r>
      <w:r w:rsidRPr="00332ED2">
        <w:rPr>
          <w:noProof/>
          <w:lang w:eastAsia="en-AU"/>
        </w:rPr>
        <mc:AlternateContent>
          <mc:Choice Requires="wps">
            <w:drawing>
              <wp:anchor distT="0" distB="0" distL="114300" distR="114300" simplePos="0" relativeHeight="251673600" behindDoc="0" locked="0" layoutInCell="1" allowOverlap="1" wp14:anchorId="48BEA9A6" wp14:editId="557F0F68">
                <wp:simplePos x="0" y="0"/>
                <wp:positionH relativeFrom="column">
                  <wp:posOffset>142240</wp:posOffset>
                </wp:positionH>
                <wp:positionV relativeFrom="paragraph">
                  <wp:posOffset>441960</wp:posOffset>
                </wp:positionV>
                <wp:extent cx="5496560" cy="294640"/>
                <wp:effectExtent l="19050" t="19050" r="27940" b="10160"/>
                <wp:wrapNone/>
                <wp:docPr id="43" name="Rounded Rectangle 38"/>
                <wp:cNvGraphicFramePr/>
                <a:graphic xmlns:a="http://schemas.openxmlformats.org/drawingml/2006/main">
                  <a:graphicData uri="http://schemas.microsoft.com/office/word/2010/wordprocessingShape">
                    <wps:wsp>
                      <wps:cNvSpPr/>
                      <wps:spPr>
                        <a:xfrm>
                          <a:off x="0" y="0"/>
                          <a:ext cx="5496560" cy="294640"/>
                        </a:xfrm>
                        <a:prstGeom prst="roundRect">
                          <a:avLst/>
                        </a:prstGeom>
                        <a:solidFill>
                          <a:srgbClr val="C64E45">
                            <a:alpha val="13725"/>
                          </a:srgbClr>
                        </a:solidFill>
                        <a:ln w="28575">
                          <a:solidFill>
                            <a:srgbClr val="C64E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6" style="position:absolute;margin-left:11.2pt;margin-top:34.8pt;width:432.8pt;height:2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" fillcolor="#c64e45" strokecolor="#c64e45" strokeweight="2.25pt">
                <v:fill opacity="8995f"/>
              </v:roundrect>
            </w:pict>
          </mc:Fallback>
        </mc:AlternateContent>
      </w:r>
      <w:r>
        <w:rPr>
          <w:rFonts w:eastAsiaTheme="minorEastAsia" w:cstheme="minorBidi"/>
          <w:b/>
          <w:sz w:val="24"/>
        </w:rPr>
        <w:br/>
      </w:r>
    </w:p>
    <w:p w:rsidR="00E6229E" w:rsidRPr="00956230" w:rsidRDefault="00E6229E" w:rsidP="00E6229E">
      <w:pPr>
        <w:pStyle w:val="BodyText"/>
        <w:spacing w:after="120"/>
        <w:jc w:val="center"/>
        <w:rPr>
          <w:rFonts w:eastAsiaTheme="minorEastAsia" w:cstheme="minorBidi"/>
          <w:b/>
          <w:sz w:val="28"/>
        </w:rPr>
      </w:pPr>
      <w:r w:rsidRPr="00956230">
        <w:rPr>
          <w:rFonts w:eastAsiaTheme="minorEastAsia" w:cstheme="minorBidi"/>
          <w:b/>
          <w:sz w:val="28"/>
        </w:rPr>
        <w:t>Net debt = total interest bearing liabilities – selected financial assets</w:t>
      </w:r>
    </w:p>
    <w:p w:rsidR="00173B89" w:rsidRPr="00A85614" w:rsidRDefault="00173B89" w:rsidP="00A85614">
      <w:pPr>
        <w:pStyle w:val="Heading1NoNumbering"/>
      </w:pPr>
      <w:bookmarkStart w:id="73" w:name="_Toc35451926"/>
      <w:r w:rsidRPr="00A85614">
        <w:lastRenderedPageBreak/>
        <w:t xml:space="preserve">Appendix </w:t>
      </w:r>
      <w:r w:rsidR="00F932BB" w:rsidRPr="00A85614">
        <w:t>D</w:t>
      </w:r>
      <w:r w:rsidRPr="00A85614">
        <w:t>: Equity injections – an expense or a financial asset?</w:t>
      </w:r>
      <w:bookmarkEnd w:id="73"/>
    </w:p>
    <w:p w:rsidR="00ED3DFF" w:rsidRDefault="00ED3DFF" w:rsidP="00173B89">
      <w:pPr>
        <w:pStyle w:val="BodyText"/>
      </w:pPr>
      <w:r>
        <w:t xml:space="preserve">The Australian Bureau of Statistics’ </w:t>
      </w:r>
      <w:hyperlink r:id="rId62" w:history="1">
        <w:r w:rsidRPr="00362044">
          <w:rPr>
            <w:rStyle w:val="Hyperlink"/>
            <w:i/>
          </w:rPr>
          <w:t>Australian System of Government Finance Statistics 2015</w:t>
        </w:r>
      </w:hyperlink>
      <w:r>
        <w:t xml:space="preserve"> (GFS) provides guidance on the accounting treatment of equity injections, and this guidance is then interpreted </w:t>
      </w:r>
      <w:r w:rsidR="007C6370">
        <w:t xml:space="preserve">and applied </w:t>
      </w:r>
      <w:r>
        <w:t>by Commonwealth and state governments.</w:t>
      </w:r>
    </w:p>
    <w:p w:rsidR="00173B89" w:rsidRDefault="00444695" w:rsidP="00173B89">
      <w:pPr>
        <w:pStyle w:val="BodyText"/>
      </w:pPr>
      <w:r>
        <w:t xml:space="preserve">According to the GFS, </w:t>
      </w:r>
      <w:r w:rsidR="00173B89">
        <w:t>an equity injection in a corporation</w:t>
      </w:r>
      <w:r>
        <w:t xml:space="preserve"> r</w:t>
      </w:r>
      <w:r w:rsidR="0050233D">
        <w:t xml:space="preserve">esults in a financial asset on the balance sheet </w:t>
      </w:r>
      <w:r>
        <w:t xml:space="preserve">if </w:t>
      </w:r>
      <w:r w:rsidR="0050233D">
        <w:t>‘</w:t>
      </w:r>
      <w:r w:rsidR="00173B89">
        <w:t>a realistic return</w:t>
      </w:r>
      <w:r w:rsidR="006202AC">
        <w:t>’</w:t>
      </w:r>
      <w:r w:rsidR="00173B89">
        <w:t xml:space="preserve"> is expected from the investment</w:t>
      </w:r>
      <w:r w:rsidR="006202AC">
        <w:t>.</w:t>
      </w:r>
      <w:r w:rsidR="00173B89">
        <w:rPr>
          <w:rStyle w:val="FootnoteReference"/>
        </w:rPr>
        <w:footnoteReference w:id="39"/>
      </w:r>
      <w:r w:rsidR="00173B89">
        <w:t xml:space="preserve"> </w:t>
      </w:r>
    </w:p>
    <w:p w:rsidR="00173B89" w:rsidRDefault="00173B89" w:rsidP="000D7D99">
      <w:pPr>
        <w:pStyle w:val="ListBullet"/>
        <w:numPr>
          <w:ilvl w:val="0"/>
          <w:numId w:val="0"/>
        </w:numPr>
      </w:pPr>
      <w:r>
        <w:t xml:space="preserve">Where the equity injection, or a portion of it, does not have an expectation of a realistic rate of return, the equity injection </w:t>
      </w:r>
      <w:r w:rsidR="006202AC">
        <w:t xml:space="preserve">(or the relevant portion of it) </w:t>
      </w:r>
      <w:r>
        <w:t xml:space="preserve">is treated as a capital grant. </w:t>
      </w:r>
    </w:p>
    <w:p w:rsidR="00173B89" w:rsidRDefault="00173B89" w:rsidP="00706222">
      <w:pPr>
        <w:pStyle w:val="BodyText"/>
        <w:spacing w:after="120"/>
      </w:pPr>
      <w:r>
        <w:t>A simplified, illustrative example is presented at</w:t>
      </w:r>
      <w:r w:rsidR="00FA12EE">
        <w:t xml:space="preserve"> Figure D1</w:t>
      </w:r>
      <w:r>
        <w:t xml:space="preserve">.  The example highlights how the treatment of an equity injection </w:t>
      </w:r>
      <w:r w:rsidR="004B71B8">
        <w:t>could lead to</w:t>
      </w:r>
      <w:r>
        <w:t xml:space="preserve"> different impact</w:t>
      </w:r>
      <w:r w:rsidR="007C6370">
        <w:t>s</w:t>
      </w:r>
      <w:r>
        <w:t xml:space="preserve"> on key budget aggregates. </w:t>
      </w:r>
    </w:p>
    <w:p w:rsidR="00173B89" w:rsidRDefault="00173B89" w:rsidP="00CC5EB9">
      <w:pPr>
        <w:pStyle w:val="Caption"/>
        <w:spacing w:before="120"/>
        <w:jc w:val="left"/>
      </w:pPr>
      <w:bookmarkStart w:id="74" w:name="_Ref34828806"/>
      <w:r>
        <w:t xml:space="preserve">Figure </w:t>
      </w:r>
      <w:r w:rsidR="00FA12EE">
        <w:t>D1</w:t>
      </w:r>
      <w:bookmarkEnd w:id="74"/>
      <w:r w:rsidR="00FA12EE">
        <w:rPr>
          <w:noProof/>
        </w:rPr>
        <w:t>:</w:t>
      </w:r>
      <w:r>
        <w:rPr>
          <w:noProof/>
        </w:rPr>
        <w:t xml:space="preserve">  Treatment of an equity injection depends on the expectation of a realistic rate of return</w:t>
      </w:r>
      <w:r w:rsidR="00D619CE" w:rsidRPr="00CC5EB9">
        <w:rPr>
          <w:rStyle w:val="FootnoteReference"/>
          <w:noProof/>
          <w:color w:val="3D4D7D" w:themeColor="background2"/>
        </w:rPr>
        <w:footnoteReference w:id="40"/>
      </w:r>
    </w:p>
    <w:p w:rsidR="00173B89" w:rsidRDefault="00173B89">
      <w:pPr>
        <w:pStyle w:val="BodyText"/>
      </w:pPr>
      <w:r>
        <w:t xml:space="preserve">    </w:t>
      </w:r>
      <w:r>
        <w:rPr>
          <w:noProof/>
          <w:lang w:eastAsia="en-AU"/>
        </w:rPr>
        <w:drawing>
          <wp:inline distT="0" distB="0" distL="0" distR="0" wp14:anchorId="067EFB47" wp14:editId="507A74E2">
            <wp:extent cx="5046453" cy="3505478"/>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7393" cy="3506131"/>
                    </a:xfrm>
                    <a:prstGeom prst="rect">
                      <a:avLst/>
                    </a:prstGeom>
                    <a:noFill/>
                  </pic:spPr>
                </pic:pic>
              </a:graphicData>
            </a:graphic>
          </wp:inline>
        </w:drawing>
      </w:r>
    </w:p>
    <w:p w:rsidR="00173B89" w:rsidRDefault="00173B89" w:rsidP="00173B89">
      <w:pPr>
        <w:pStyle w:val="Source"/>
        <w:spacing w:before="0" w:after="0"/>
        <w:rPr>
          <w:kern w:val="2"/>
        </w:rPr>
      </w:pPr>
      <w:r w:rsidRPr="00674820">
        <w:rPr>
          <w:kern w:val="2"/>
        </w:rPr>
        <w:t xml:space="preserve">Source: </w:t>
      </w:r>
      <w:r>
        <w:rPr>
          <w:kern w:val="2"/>
        </w:rPr>
        <w:t xml:space="preserve">PBO diagram using information from the </w:t>
      </w:r>
      <w:hyperlink r:id="rId64" w:history="1">
        <w:r w:rsidRPr="007B0AC0">
          <w:t>GFS</w:t>
        </w:r>
      </w:hyperlink>
      <w:r>
        <w:rPr>
          <w:kern w:val="2"/>
        </w:rPr>
        <w:t xml:space="preserve"> (pp. 272</w:t>
      </w:r>
      <w:r w:rsidR="00BF0D8E" w:rsidRPr="00A85614">
        <w:t>–</w:t>
      </w:r>
      <w:r>
        <w:rPr>
          <w:kern w:val="2"/>
        </w:rPr>
        <w:t xml:space="preserve">273) and the </w:t>
      </w:r>
      <w:hyperlink r:id="rId65" w:history="1">
        <w:r w:rsidRPr="007B0AC0">
          <w:t>Uniform Presentation Framework</w:t>
        </w:r>
      </w:hyperlink>
      <w:r>
        <w:rPr>
          <w:kern w:val="2"/>
        </w:rPr>
        <w:t xml:space="preserve"> (pp. 7</w:t>
      </w:r>
      <w:r w:rsidR="00BF0D8E" w:rsidRPr="00A85614">
        <w:t>–</w:t>
      </w:r>
      <w:r>
        <w:rPr>
          <w:kern w:val="2"/>
        </w:rPr>
        <w:t>11).</w:t>
      </w:r>
    </w:p>
    <w:p w:rsidR="008C7799" w:rsidRPr="00C87A90" w:rsidRDefault="00173B89" w:rsidP="00BD04B9">
      <w:pPr>
        <w:pStyle w:val="Source"/>
      </w:pPr>
      <w:r>
        <w:rPr>
          <w:kern w:val="2"/>
        </w:rPr>
        <w:t>Note</w:t>
      </w:r>
      <w:r w:rsidRPr="00674820">
        <w:rPr>
          <w:kern w:val="2"/>
        </w:rPr>
        <w:t>:</w:t>
      </w:r>
      <w:r>
        <w:rPr>
          <w:kern w:val="2"/>
        </w:rPr>
        <w:t xml:space="preserve"> For simplicity, the example only considers the impact on budget aggregates at the time the funds are recognised and only in terms of direction and not magnitude.  Impacts from public debt interest, dividends, revaluation</w:t>
      </w:r>
      <w:r w:rsidR="004E4CEE">
        <w:rPr>
          <w:kern w:val="2"/>
        </w:rPr>
        <w:t>,</w:t>
      </w:r>
      <w:r>
        <w:rPr>
          <w:kern w:val="2"/>
        </w:rPr>
        <w:t xml:space="preserve"> or sale of the financial asset are not considered in this simplified example.</w:t>
      </w:r>
      <w:bookmarkEnd w:id="66"/>
    </w:p>
    <w:sectPr w:rsidR="008C7799" w:rsidRPr="00C87A90" w:rsidSect="00A16EB0">
      <w:headerReference w:type="even" r:id="rId66"/>
      <w:headerReference w:type="default" r:id="rId67"/>
      <w:footerReference w:type="even" r:id="rId68"/>
      <w:footerReference w:type="default" r:id="rId69"/>
      <w:headerReference w:type="first" r:id="rId70"/>
      <w:footerReference w:type="first" r:id="rId71"/>
      <w:pgSz w:w="11907" w:h="16840" w:code="9"/>
      <w:pgMar w:top="1191"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BD3" w:rsidRDefault="00115BD3" w:rsidP="00A20802">
      <w:pPr>
        <w:spacing w:line="240" w:lineRule="auto"/>
      </w:pPr>
      <w:r>
        <w:separator/>
      </w:r>
    </w:p>
    <w:p w:rsidR="00115BD3" w:rsidRDefault="00115BD3"/>
    <w:p w:rsidR="00115BD3" w:rsidRDefault="00115BD3"/>
  </w:endnote>
  <w:endnote w:type="continuationSeparator" w:id="0">
    <w:p w:rsidR="00115BD3" w:rsidRDefault="00115BD3" w:rsidP="00A20802">
      <w:pPr>
        <w:spacing w:line="240" w:lineRule="auto"/>
      </w:pPr>
      <w:r>
        <w:continuationSeparator/>
      </w:r>
    </w:p>
    <w:p w:rsidR="00115BD3" w:rsidRDefault="00115BD3"/>
    <w:p w:rsidR="00115BD3" w:rsidRDefault="00115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67" w:rsidRDefault="00C142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115BD3" w:rsidRPr="00BA1E8D" w:rsidTr="001525D6">
      <w:trPr>
        <w:trHeight w:val="879"/>
      </w:trPr>
      <w:tc>
        <w:tcPr>
          <w:tcW w:w="8504" w:type="dxa"/>
        </w:tcPr>
        <w:p w:rsidR="00115BD3" w:rsidRPr="00BA1E8D" w:rsidRDefault="00115BD3" w:rsidP="001525D6">
          <w:pPr>
            <w:pStyle w:val="FooterRight"/>
          </w:pPr>
          <w:r>
            <w:fldChar w:fldCharType="begin"/>
          </w:r>
          <w:r>
            <w:instrText xml:space="preserve"> if </w:instrText>
          </w:r>
          <w:r>
            <w:fldChar w:fldCharType="begin"/>
          </w:r>
          <w:r>
            <w:instrText xml:space="preserve"> STYLEREF  Title </w:instrText>
          </w:r>
          <w:r>
            <w:fldChar w:fldCharType="separate"/>
          </w:r>
          <w:r w:rsidR="00507FA9">
            <w:instrText>ALTERNATIVE FINANCING of Government policies</w:instrText>
          </w:r>
          <w:r>
            <w:fldChar w:fldCharType="end"/>
          </w:r>
          <w:r>
            <w:instrText xml:space="preserve">&lt;&gt; "Error*" </w:instrText>
          </w:r>
          <w:r>
            <w:fldChar w:fldCharType="begin"/>
          </w:r>
          <w:r>
            <w:instrText xml:space="preserve"> STYLEREF  Title </w:instrText>
          </w:r>
          <w:r>
            <w:fldChar w:fldCharType="separate"/>
          </w:r>
          <w:r w:rsidR="00507FA9">
            <w:instrText>ALTERNATIVE FINANCING of Government policies</w:instrText>
          </w:r>
          <w:r>
            <w:fldChar w:fldCharType="end"/>
          </w:r>
          <w:r>
            <w:instrText xml:space="preserve"> </w:instrText>
          </w:r>
          <w:r>
            <w:fldChar w:fldCharType="separate"/>
          </w:r>
          <w:r w:rsidR="00507FA9">
            <w:t>ALTERNATIVE FINANCING of Government policies</w:t>
          </w:r>
          <w:r>
            <w:fldChar w:fldCharType="end"/>
          </w:r>
        </w:p>
      </w:tc>
      <w:tc>
        <w:tcPr>
          <w:tcW w:w="1417" w:type="dxa"/>
        </w:tcPr>
        <w:p w:rsidR="00115BD3" w:rsidRPr="00BA1E8D" w:rsidRDefault="00115BD3" w:rsidP="001525D6">
          <w:pPr>
            <w:pStyle w:val="FooterRightPageNumber"/>
          </w:pPr>
          <w:r w:rsidRPr="00BA1E8D">
            <w:fldChar w:fldCharType="begin"/>
          </w:r>
          <w:r w:rsidRPr="00BA1E8D">
            <w:instrText xml:space="preserve"> PAGE   \* MERGEFORMAT </w:instrText>
          </w:r>
          <w:r w:rsidRPr="00BA1E8D">
            <w:fldChar w:fldCharType="separate"/>
          </w:r>
          <w:r w:rsidR="00507FA9">
            <w:t>5</w:t>
          </w:r>
          <w:r w:rsidRPr="00BA1E8D">
            <w:fldChar w:fldCharType="end"/>
          </w:r>
        </w:p>
      </w:tc>
    </w:tr>
  </w:tbl>
  <w:p w:rsidR="00115BD3" w:rsidRPr="004816D7" w:rsidRDefault="00115BD3" w:rsidP="00BA1E8D">
    <w:pPr>
      <w:pStyle w:val="Footer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67" w:rsidRDefault="00C142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67" w:rsidRDefault="00C142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115BD3" w:rsidRPr="00BA1E8D" w:rsidTr="00DB43E0">
      <w:trPr>
        <w:trHeight w:val="879"/>
      </w:trPr>
      <w:tc>
        <w:tcPr>
          <w:tcW w:w="1417" w:type="dxa"/>
        </w:tcPr>
        <w:p w:rsidR="00115BD3" w:rsidRPr="00023A6F" w:rsidRDefault="00115BD3"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507FA9">
            <w:rPr>
              <w:noProof/>
            </w:rPr>
            <w:t>iv</w:t>
          </w:r>
          <w:r w:rsidRPr="00BA1E8D">
            <w:rPr>
              <w:noProof/>
            </w:rPr>
            <w:fldChar w:fldCharType="end"/>
          </w:r>
        </w:p>
      </w:tc>
      <w:tc>
        <w:tcPr>
          <w:tcW w:w="8504" w:type="dxa"/>
        </w:tcPr>
        <w:p w:rsidR="00115BD3" w:rsidRPr="00BA1E8D" w:rsidRDefault="00115BD3" w:rsidP="008E2623">
          <w:pPr>
            <w:pStyle w:val="FooterLeft"/>
          </w:pPr>
          <w:r>
            <w:fldChar w:fldCharType="begin"/>
          </w:r>
          <w:r>
            <w:instrText xml:space="preserve"> if </w:instrText>
          </w:r>
          <w:r w:rsidR="00507FA9">
            <w:fldChar w:fldCharType="begin"/>
          </w:r>
          <w:r w:rsidR="00507FA9">
            <w:instrText xml:space="preserve"> </w:instrText>
          </w:r>
          <w:r w:rsidR="00507FA9">
            <w:instrText xml:space="preserve">STYLEREF  Title </w:instrText>
          </w:r>
          <w:r w:rsidR="00507FA9">
            <w:fldChar w:fldCharType="separate"/>
          </w:r>
          <w:r w:rsidR="00507FA9">
            <w:rPr>
              <w:noProof/>
            </w:rPr>
            <w:instrText>ALTERNATIVE FINANCING of Government policies</w:instrText>
          </w:r>
          <w:r w:rsidR="00507FA9">
            <w:rPr>
              <w:noProof/>
            </w:rPr>
            <w:fldChar w:fldCharType="end"/>
          </w:r>
          <w:r>
            <w:instrText xml:space="preserve">&lt;&gt; "Error*" </w:instrText>
          </w:r>
          <w:r w:rsidR="00507FA9">
            <w:fldChar w:fldCharType="begin"/>
          </w:r>
          <w:r w:rsidR="00507FA9">
            <w:instrText xml:space="preserve"> STYLEREF  Title </w:instrText>
          </w:r>
          <w:r w:rsidR="00507FA9">
            <w:fldChar w:fldCharType="separate"/>
          </w:r>
          <w:r w:rsidR="00507FA9">
            <w:rPr>
              <w:noProof/>
            </w:rPr>
            <w:instrText>ALTERNATIVE FINANCING of Government policies</w:instrText>
          </w:r>
          <w:r w:rsidR="00507FA9">
            <w:rPr>
              <w:noProof/>
            </w:rPr>
            <w:fldChar w:fldCharType="end"/>
          </w:r>
          <w:r>
            <w:instrText xml:space="preserve"> </w:instrText>
          </w:r>
          <w:r>
            <w:fldChar w:fldCharType="separate"/>
          </w:r>
          <w:r w:rsidR="00507FA9">
            <w:rPr>
              <w:noProof/>
            </w:rPr>
            <w:t>ALTERNATIVE FINANCING of Government policies</w:t>
          </w:r>
          <w:r>
            <w:fldChar w:fldCharType="end"/>
          </w:r>
        </w:p>
      </w:tc>
    </w:tr>
  </w:tbl>
  <w:p w:rsidR="00115BD3" w:rsidRPr="008E2623" w:rsidRDefault="00115BD3" w:rsidP="008E26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115BD3" w:rsidRPr="00BA1E8D" w:rsidTr="00DB43E0">
      <w:trPr>
        <w:trHeight w:val="879"/>
      </w:trPr>
      <w:tc>
        <w:tcPr>
          <w:tcW w:w="8504" w:type="dxa"/>
        </w:tcPr>
        <w:p w:rsidR="00115BD3" w:rsidRPr="00BA1E8D" w:rsidRDefault="00115BD3" w:rsidP="00C800F2">
          <w:pPr>
            <w:pStyle w:val="FooterRight"/>
          </w:pPr>
          <w:r>
            <w:fldChar w:fldCharType="begin"/>
          </w:r>
          <w:r>
            <w:instrText xml:space="preserve"> if </w:instrText>
          </w:r>
          <w:r>
            <w:fldChar w:fldCharType="begin"/>
          </w:r>
          <w:r>
            <w:instrText xml:space="preserve"> STYLEREF  Title </w:instrText>
          </w:r>
          <w:r>
            <w:fldChar w:fldCharType="separate"/>
          </w:r>
          <w:r w:rsidR="00507FA9">
            <w:instrText>ALTERNATIVE FINANCING of Government policies</w:instrText>
          </w:r>
          <w:r>
            <w:fldChar w:fldCharType="end"/>
          </w:r>
          <w:r>
            <w:instrText xml:space="preserve">&lt;&gt; "Error*" </w:instrText>
          </w:r>
          <w:r>
            <w:fldChar w:fldCharType="begin"/>
          </w:r>
          <w:r>
            <w:instrText xml:space="preserve"> STYLEREF  Title </w:instrText>
          </w:r>
          <w:r>
            <w:fldChar w:fldCharType="separate"/>
          </w:r>
          <w:r w:rsidR="00507FA9">
            <w:instrText>ALTERNATIVE FINANCING of Government policies</w:instrText>
          </w:r>
          <w:r>
            <w:fldChar w:fldCharType="end"/>
          </w:r>
          <w:r>
            <w:instrText xml:space="preserve"> </w:instrText>
          </w:r>
          <w:r>
            <w:fldChar w:fldCharType="separate"/>
          </w:r>
          <w:r w:rsidR="00507FA9">
            <w:t>ALTERNATIVE FINANCING of Government policies</w:t>
          </w:r>
          <w:r>
            <w:fldChar w:fldCharType="end"/>
          </w:r>
        </w:p>
      </w:tc>
      <w:tc>
        <w:tcPr>
          <w:tcW w:w="1417" w:type="dxa"/>
        </w:tcPr>
        <w:p w:rsidR="00115BD3" w:rsidRPr="00BA1E8D" w:rsidRDefault="00115BD3" w:rsidP="00023A6F">
          <w:pPr>
            <w:pStyle w:val="FooterRightPageNumber"/>
          </w:pPr>
          <w:r w:rsidRPr="00BA1E8D">
            <w:fldChar w:fldCharType="begin"/>
          </w:r>
          <w:r w:rsidRPr="00BA1E8D">
            <w:instrText xml:space="preserve"> PAGE   \* MERGEFORMAT </w:instrText>
          </w:r>
          <w:r w:rsidRPr="00BA1E8D">
            <w:fldChar w:fldCharType="separate"/>
          </w:r>
          <w:r w:rsidR="00507FA9">
            <w:t>iii</w:t>
          </w:r>
          <w:r w:rsidRPr="00BA1E8D">
            <w:fldChar w:fldCharType="end"/>
          </w:r>
        </w:p>
      </w:tc>
    </w:tr>
  </w:tbl>
  <w:p w:rsidR="00115BD3" w:rsidRPr="004816D7" w:rsidRDefault="00115BD3" w:rsidP="00BA1E8D">
    <w:pPr>
      <w:pStyle w:val="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115BD3" w:rsidRPr="00BA1E8D" w:rsidTr="00EE3EB6">
      <w:trPr>
        <w:trHeight w:val="879"/>
      </w:trPr>
      <w:tc>
        <w:tcPr>
          <w:tcW w:w="1417" w:type="dxa"/>
        </w:tcPr>
        <w:p w:rsidR="00115BD3" w:rsidRPr="00023A6F" w:rsidRDefault="00115BD3"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507FA9">
            <w:rPr>
              <w:noProof/>
            </w:rPr>
            <w:t>8</w:t>
          </w:r>
          <w:r w:rsidRPr="00BA1E8D">
            <w:rPr>
              <w:noProof/>
            </w:rPr>
            <w:fldChar w:fldCharType="end"/>
          </w:r>
        </w:p>
      </w:tc>
      <w:tc>
        <w:tcPr>
          <w:tcW w:w="8504" w:type="dxa"/>
        </w:tcPr>
        <w:p w:rsidR="00115BD3" w:rsidRPr="00BA1E8D" w:rsidRDefault="00115BD3" w:rsidP="008E2623">
          <w:pPr>
            <w:pStyle w:val="FooterLeft"/>
          </w:pPr>
          <w:r>
            <w:fldChar w:fldCharType="begin"/>
          </w:r>
          <w:r>
            <w:instrText xml:space="preserve"> if </w:instrText>
          </w:r>
          <w:r w:rsidR="00507FA9">
            <w:fldChar w:fldCharType="begin"/>
          </w:r>
          <w:r w:rsidR="00507FA9">
            <w:instrText xml:space="preserve"> STYLEREF  Title </w:instrText>
          </w:r>
          <w:r w:rsidR="00507FA9">
            <w:fldChar w:fldCharType="separate"/>
          </w:r>
          <w:r w:rsidR="00507FA9">
            <w:rPr>
              <w:noProof/>
            </w:rPr>
            <w:instrText>ALTERNATIVE FINANCING of Government policies</w:instrText>
          </w:r>
          <w:r w:rsidR="00507FA9">
            <w:rPr>
              <w:noProof/>
            </w:rPr>
            <w:fldChar w:fldCharType="end"/>
          </w:r>
          <w:r>
            <w:instrText xml:space="preserve">&lt;&gt; "Error*" </w:instrText>
          </w:r>
          <w:r w:rsidR="00507FA9">
            <w:fldChar w:fldCharType="begin"/>
          </w:r>
          <w:r w:rsidR="00507FA9">
            <w:instrText xml:space="preserve"> STYLEREF  Title </w:instrText>
          </w:r>
          <w:r w:rsidR="00507FA9">
            <w:fldChar w:fldCharType="separate"/>
          </w:r>
          <w:r w:rsidR="00507FA9">
            <w:rPr>
              <w:noProof/>
            </w:rPr>
            <w:instrText>ALTERNATIVE FINANCING of Government policies</w:instrText>
          </w:r>
          <w:r w:rsidR="00507FA9">
            <w:rPr>
              <w:noProof/>
            </w:rPr>
            <w:fldChar w:fldCharType="end"/>
          </w:r>
          <w:r>
            <w:instrText xml:space="preserve"> </w:instrText>
          </w:r>
          <w:r>
            <w:fldChar w:fldCharType="separate"/>
          </w:r>
          <w:r w:rsidR="00507FA9">
            <w:rPr>
              <w:noProof/>
            </w:rPr>
            <w:t>ALTERNATIVE FINANCING of Government policies</w:t>
          </w:r>
          <w:r>
            <w:fldChar w:fldCharType="end"/>
          </w:r>
        </w:p>
      </w:tc>
    </w:tr>
  </w:tbl>
  <w:p w:rsidR="00115BD3" w:rsidRPr="008E2623" w:rsidRDefault="00115BD3" w:rsidP="008E2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BD3" w:rsidRPr="000557A7" w:rsidRDefault="00115BD3" w:rsidP="008D5A11">
      <w:pPr>
        <w:pBdr>
          <w:top w:val="single" w:sz="4" w:space="1" w:color="auto"/>
        </w:pBdr>
        <w:spacing w:before="240" w:line="60" w:lineRule="exact"/>
        <w:rPr>
          <w:sz w:val="16"/>
          <w:szCs w:val="16"/>
        </w:rPr>
      </w:pPr>
    </w:p>
  </w:footnote>
  <w:footnote w:type="continuationSeparator" w:id="0">
    <w:p w:rsidR="00115BD3" w:rsidRDefault="00115BD3" w:rsidP="00A20802">
      <w:pPr>
        <w:spacing w:line="240" w:lineRule="auto"/>
      </w:pPr>
      <w:r>
        <w:continuationSeparator/>
      </w:r>
    </w:p>
    <w:p w:rsidR="00115BD3" w:rsidRDefault="00115BD3"/>
    <w:p w:rsidR="00115BD3" w:rsidRDefault="00115BD3"/>
  </w:footnote>
  <w:footnote w:id="1">
    <w:p w:rsidR="00115BD3" w:rsidRDefault="00115BD3" w:rsidP="00BD04B9">
      <w:pPr>
        <w:pStyle w:val="FootnoteText"/>
        <w:ind w:left="0" w:firstLine="0"/>
      </w:pPr>
      <w:r>
        <w:rPr>
          <w:rStyle w:val="FootnoteReference"/>
        </w:rPr>
        <w:footnoteRef/>
      </w:r>
      <w:r>
        <w:t xml:space="preserve"> This terminology is consistent with </w:t>
      </w:r>
      <w:r w:rsidRPr="00F505FF">
        <w:rPr>
          <w:i/>
        </w:rPr>
        <w:t>Department of Finance Resource Management Guide 308: Commonwealth Investments</w:t>
      </w:r>
      <w:r>
        <w:t xml:space="preserve">.  Available online at: </w:t>
      </w:r>
      <w:hyperlink r:id="rId1" w:history="1">
        <w:r>
          <w:rPr>
            <w:rStyle w:val="Hyperlink"/>
          </w:rPr>
          <w:t>https://www.finance.gov.au/publications/resource-management-guides/commonwealth-investments-resource-management-guide-308</w:t>
        </w:r>
      </w:hyperlink>
      <w:r w:rsidRPr="000A1865">
        <w:rPr>
          <w:rStyle w:val="Hyperlink"/>
          <w:u w:val="none"/>
        </w:rPr>
        <w:t>.</w:t>
      </w:r>
    </w:p>
  </w:footnote>
  <w:footnote w:id="2">
    <w:p w:rsidR="00115BD3" w:rsidRDefault="00115BD3" w:rsidP="00A85614">
      <w:pPr>
        <w:pStyle w:val="FootnoteText"/>
        <w:ind w:left="0" w:firstLine="0"/>
      </w:pPr>
      <w:r>
        <w:rPr>
          <w:rStyle w:val="FootnoteReference"/>
        </w:rPr>
        <w:footnoteRef/>
      </w:r>
      <w:r>
        <w:t xml:space="preserve"> Public-Private Partnerships (PPPs) can also be considered a form of alternative financing of government policy.  This report focuses on Commonwealth Government policy; in Australia, PPPs are mainly used by state governments.</w:t>
      </w:r>
    </w:p>
  </w:footnote>
  <w:footnote w:id="3">
    <w:p w:rsidR="00115BD3" w:rsidRDefault="00115BD3" w:rsidP="00BD04B9">
      <w:pPr>
        <w:pStyle w:val="FootnoteText"/>
        <w:ind w:left="0" w:firstLine="0"/>
      </w:pPr>
      <w:r w:rsidRPr="00AA0D49">
        <w:rPr>
          <w:rStyle w:val="FootnoteReference"/>
        </w:rPr>
        <w:footnoteRef/>
      </w:r>
      <w:r w:rsidRPr="00AA0D49">
        <w:t xml:space="preserve"> </w:t>
      </w:r>
      <w:r>
        <w:t>In order to be recorded as e</w:t>
      </w:r>
      <w:r w:rsidRPr="00AA0D49">
        <w:t>quity</w:t>
      </w:r>
      <w:r>
        <w:t>, these</w:t>
      </w:r>
      <w:r w:rsidRPr="00AA0D49">
        <w:t xml:space="preserve"> injections </w:t>
      </w:r>
      <w:r w:rsidRPr="00AA0D49">
        <w:rPr>
          <w:lang w:eastAsia="en-AU"/>
        </w:rPr>
        <w:t>must be assessed as providing a reasonable expectation of a sufficient</w:t>
      </w:r>
      <w:r>
        <w:rPr>
          <w:lang w:eastAsia="en-AU"/>
        </w:rPr>
        <w:t> </w:t>
      </w:r>
      <w:r w:rsidRPr="00AA0D49">
        <w:rPr>
          <w:lang w:eastAsia="en-AU"/>
        </w:rPr>
        <w:t xml:space="preserve">rate of return to comply with the Australian Bureau of Statistics’ </w:t>
      </w:r>
      <w:r>
        <w:rPr>
          <w:lang w:eastAsia="en-AU"/>
        </w:rPr>
        <w:t>guidance</w:t>
      </w:r>
      <w:r w:rsidRPr="00AA0D49">
        <w:rPr>
          <w:lang w:eastAsia="en-AU"/>
        </w:rPr>
        <w:t xml:space="preserve"> for Government Finance Statistics.  </w:t>
      </w:r>
      <w:r>
        <w:rPr>
          <w:lang w:eastAsia="en-AU"/>
        </w:rPr>
        <w:t>T</w:t>
      </w:r>
      <w:r w:rsidRPr="00AA0D49">
        <w:rPr>
          <w:lang w:eastAsia="en-AU"/>
        </w:rPr>
        <w:t>he</w:t>
      </w:r>
      <w:r>
        <w:rPr>
          <w:lang w:eastAsia="en-AU"/>
        </w:rPr>
        <w:t> Commonwealth G</w:t>
      </w:r>
      <w:r w:rsidRPr="00AA0D49">
        <w:rPr>
          <w:lang w:eastAsia="en-AU"/>
        </w:rPr>
        <w:t xml:space="preserve">overnment has defined </w:t>
      </w:r>
      <w:r>
        <w:rPr>
          <w:lang w:eastAsia="en-AU"/>
        </w:rPr>
        <w:t xml:space="preserve">this </w:t>
      </w:r>
      <w:r w:rsidRPr="00AA0D49">
        <w:rPr>
          <w:lang w:eastAsia="en-AU"/>
        </w:rPr>
        <w:t>as a real return of zero at a minimum</w:t>
      </w:r>
      <w:r>
        <w:rPr>
          <w:lang w:eastAsia="en-AU"/>
        </w:rPr>
        <w:t>.  State governments have different requirements for the selection of equity investments.  For example, the guidelines for corporations owned by the Queensland Government states that they should seek to earn a rate of return at least equal to the appropriate risk-adjusted Weighted Average Cost of Capital.</w:t>
      </w:r>
    </w:p>
  </w:footnote>
  <w:footnote w:id="4">
    <w:p w:rsidR="00115BD3" w:rsidRDefault="00115BD3">
      <w:pPr>
        <w:pStyle w:val="FootnoteText"/>
      </w:pPr>
      <w:r>
        <w:rPr>
          <w:rStyle w:val="FootnoteReference"/>
        </w:rPr>
        <w:footnoteRef/>
      </w:r>
      <w:r>
        <w:t xml:space="preserve"> </w:t>
      </w:r>
      <w:r w:rsidRPr="00002EBB">
        <w:rPr>
          <w:i/>
        </w:rPr>
        <w:t>2019–20 Budget, Budget Paper No. 1</w:t>
      </w:r>
      <w:r>
        <w:t>, Statement 3, Page 3-26.</w:t>
      </w:r>
    </w:p>
  </w:footnote>
  <w:footnote w:id="5">
    <w:p w:rsidR="00115BD3" w:rsidRDefault="00115BD3">
      <w:pPr>
        <w:pStyle w:val="FootnoteText"/>
      </w:pPr>
      <w:r>
        <w:rPr>
          <w:rStyle w:val="FootnoteReference"/>
        </w:rPr>
        <w:footnoteRef/>
      </w:r>
      <w:r>
        <w:t xml:space="preserve"> Australian Office of Financial Management annual reports, </w:t>
      </w:r>
      <w:r w:rsidRPr="0090575C">
        <w:rPr>
          <w:spacing w:val="-1"/>
          <w:kern w:val="2"/>
        </w:rPr>
        <w:t>2012</w:t>
      </w:r>
      <w:r w:rsidRPr="0090575C">
        <w:rPr>
          <w:spacing w:val="-1"/>
        </w:rPr>
        <w:t>–</w:t>
      </w:r>
      <w:r w:rsidRPr="0090575C">
        <w:rPr>
          <w:spacing w:val="-1"/>
          <w:kern w:val="2"/>
        </w:rPr>
        <w:t>13</w:t>
      </w:r>
      <w:r>
        <w:rPr>
          <w:spacing w:val="-1"/>
          <w:kern w:val="2"/>
        </w:rPr>
        <w:t xml:space="preserve"> to </w:t>
      </w:r>
      <w:r w:rsidRPr="0090575C">
        <w:rPr>
          <w:spacing w:val="-1"/>
          <w:kern w:val="2"/>
        </w:rPr>
        <w:t>2017</w:t>
      </w:r>
      <w:r w:rsidRPr="0090575C">
        <w:rPr>
          <w:spacing w:val="-1"/>
        </w:rPr>
        <w:t>–</w:t>
      </w:r>
      <w:r w:rsidRPr="0090575C">
        <w:rPr>
          <w:spacing w:val="-1"/>
          <w:kern w:val="2"/>
        </w:rPr>
        <w:t>18</w:t>
      </w:r>
      <w:r>
        <w:rPr>
          <w:spacing w:val="-1"/>
          <w:kern w:val="2"/>
        </w:rPr>
        <w:t>.</w:t>
      </w:r>
    </w:p>
  </w:footnote>
  <w:footnote w:id="6">
    <w:p w:rsidR="00115BD3" w:rsidRDefault="00115BD3">
      <w:pPr>
        <w:pStyle w:val="FootnoteText"/>
      </w:pPr>
      <w:r>
        <w:rPr>
          <w:rStyle w:val="FootnoteReference"/>
        </w:rPr>
        <w:footnoteRef/>
      </w:r>
      <w:r>
        <w:t xml:space="preserve"> Parliamentary Budget Office 2019, </w:t>
      </w:r>
      <w:r w:rsidRPr="00A85614">
        <w:rPr>
          <w:i/>
        </w:rPr>
        <w:t>2019 Post</w:t>
      </w:r>
      <w:r>
        <w:t>-</w:t>
      </w:r>
      <w:r w:rsidRPr="00A85614">
        <w:rPr>
          <w:i/>
          <w:spacing w:val="-1"/>
        </w:rPr>
        <w:t>election report of election commitments</w:t>
      </w:r>
      <w:r>
        <w:rPr>
          <w:spacing w:val="-1"/>
        </w:rPr>
        <w:t>, Canberra.</w:t>
      </w:r>
    </w:p>
  </w:footnote>
  <w:footnote w:id="7">
    <w:p w:rsidR="00115BD3" w:rsidRPr="004422BD" w:rsidRDefault="00115BD3" w:rsidP="00BD04B9">
      <w:pPr>
        <w:pStyle w:val="FootnoteText"/>
        <w:ind w:left="0" w:firstLine="0"/>
        <w:rPr>
          <w:rStyle w:val="FootnoteReference"/>
          <w:kern w:val="0"/>
          <w:sz w:val="22"/>
        </w:rPr>
      </w:pPr>
      <w:r w:rsidRPr="004422BD">
        <w:rPr>
          <w:rStyle w:val="FootnoteReference"/>
        </w:rPr>
        <w:footnoteRef/>
      </w:r>
      <w:r>
        <w:t xml:space="preserve"> </w:t>
      </w:r>
      <w:r w:rsidRPr="004422BD">
        <w:t xml:space="preserve">Productivity Commission 2017, </w:t>
      </w:r>
      <w:r w:rsidRPr="004422BD">
        <w:rPr>
          <w:i/>
        </w:rPr>
        <w:t xml:space="preserve">University Education, Shifting the Dial: 5 </w:t>
      </w:r>
      <w:proofErr w:type="gramStart"/>
      <w:r w:rsidRPr="004422BD">
        <w:rPr>
          <w:i/>
        </w:rPr>
        <w:t>year</w:t>
      </w:r>
      <w:proofErr w:type="gramEnd"/>
      <w:r w:rsidRPr="004422BD">
        <w:rPr>
          <w:i/>
        </w:rPr>
        <w:t xml:space="preserve"> Productivity Review</w:t>
      </w:r>
      <w:r w:rsidRPr="004422BD">
        <w:t>, Supporting Paper No 7, Canberra.</w:t>
      </w:r>
    </w:p>
  </w:footnote>
  <w:footnote w:id="8">
    <w:p w:rsidR="00115BD3" w:rsidRDefault="00115BD3" w:rsidP="00BD04B9">
      <w:pPr>
        <w:pStyle w:val="FootnoteText"/>
        <w:ind w:left="0" w:firstLine="0"/>
      </w:pPr>
      <w:r w:rsidRPr="008949D0">
        <w:rPr>
          <w:rStyle w:val="FootnoteReference"/>
        </w:rPr>
        <w:footnoteRef/>
      </w:r>
      <w:r w:rsidRPr="008949D0">
        <w:t xml:space="preserve"> The impact of alternative financing arrangements is partially captured in ‘</w:t>
      </w:r>
      <w:r>
        <w:t>O</w:t>
      </w:r>
      <w:r w:rsidRPr="008949D0">
        <w:t>ther economic flows’</w:t>
      </w:r>
      <w:r>
        <w:t xml:space="preserve">, and is fully captured in ‘Net financial worth’.  </w:t>
      </w:r>
      <w:proofErr w:type="gramStart"/>
      <w:r w:rsidRPr="008949D0">
        <w:t>Detailed disaggregated information on ‘</w:t>
      </w:r>
      <w:r>
        <w:t>O</w:t>
      </w:r>
      <w:r w:rsidRPr="008949D0">
        <w:t>ther economic flows’ is not available in the budget documents.</w:t>
      </w:r>
      <w:proofErr w:type="gramEnd"/>
    </w:p>
  </w:footnote>
  <w:footnote w:id="9">
    <w:p w:rsidR="00115BD3" w:rsidRDefault="00115BD3" w:rsidP="003D7CD8">
      <w:pPr>
        <w:pStyle w:val="FootnoteText"/>
        <w:ind w:left="0" w:firstLine="0"/>
      </w:pPr>
      <w:r>
        <w:rPr>
          <w:rStyle w:val="FootnoteReference"/>
        </w:rPr>
        <w:footnoteRef/>
      </w:r>
      <w:r>
        <w:t xml:space="preserve"> </w:t>
      </w:r>
      <w:proofErr w:type="gramStart"/>
      <w:r w:rsidRPr="00504B32">
        <w:t xml:space="preserve">International Monetary Fund 2012, </w:t>
      </w:r>
      <w:r w:rsidRPr="00BD04B9">
        <w:rPr>
          <w:i/>
        </w:rPr>
        <w:t>Fiscal Transparency, Accountability, and Risk</w:t>
      </w:r>
      <w:r w:rsidRPr="00504B32">
        <w:t>.</w:t>
      </w:r>
      <w:proofErr w:type="gramEnd"/>
      <w:r w:rsidRPr="00504B32">
        <w:t xml:space="preserve">  Available at:  </w:t>
      </w:r>
      <w:r w:rsidRPr="00BD04B9">
        <w:rPr>
          <w:u w:val="single"/>
        </w:rPr>
        <w:t>https://www.imf.org/external/np/pp/eng/2012/080712.pdf</w:t>
      </w:r>
      <w:r w:rsidRPr="003C6354">
        <w:t>.</w:t>
      </w:r>
    </w:p>
  </w:footnote>
  <w:footnote w:id="10">
    <w:p w:rsidR="00115BD3" w:rsidRDefault="00115BD3" w:rsidP="00BD04B9">
      <w:pPr>
        <w:pStyle w:val="FootnoteText"/>
        <w:ind w:left="0" w:firstLine="0"/>
      </w:pPr>
      <w:r>
        <w:rPr>
          <w:rStyle w:val="FootnoteReference"/>
        </w:rPr>
        <w:footnoteRef/>
      </w:r>
      <w:r>
        <w:t xml:space="preserve"> </w:t>
      </w:r>
      <w:proofErr w:type="gramStart"/>
      <w:r>
        <w:t>PBO calculation.</w:t>
      </w:r>
      <w:proofErr w:type="gramEnd"/>
      <w:r>
        <w:t xml:space="preserve">  The larger differences indicate more cash flows from government due to alternative financing arrangements.  </w:t>
      </w:r>
      <w:r w:rsidR="00F83FE4">
        <w:t xml:space="preserve">In </w:t>
      </w:r>
      <w:r w:rsidR="00F83FE4" w:rsidRPr="00CC5EB9">
        <w:rPr>
          <w:szCs w:val="18"/>
        </w:rPr>
        <w:t>2019</w:t>
      </w:r>
      <w:r w:rsidR="00F83FE4" w:rsidRPr="00FC56A3">
        <w:rPr>
          <w:szCs w:val="18"/>
        </w:rPr>
        <w:t>–</w:t>
      </w:r>
      <w:r w:rsidR="00F83FE4" w:rsidRPr="00CC5EB9">
        <w:rPr>
          <w:szCs w:val="18"/>
        </w:rPr>
        <w:t>20</w:t>
      </w:r>
      <w:r w:rsidR="00F83FE4">
        <w:rPr>
          <w:szCs w:val="18"/>
        </w:rPr>
        <w:t>, the underlying cash balance used for this calculation was adjusted for net future fund earnings to be comparable with later year figures</w:t>
      </w:r>
      <w:r>
        <w:rPr>
          <w:sz w:val="20"/>
        </w:rPr>
        <w:t>.</w:t>
      </w:r>
    </w:p>
  </w:footnote>
  <w:footnote w:id="11">
    <w:p w:rsidR="00115BD3" w:rsidRPr="00ED3DFF" w:rsidRDefault="00115BD3" w:rsidP="00BD04B9">
      <w:pPr>
        <w:pStyle w:val="FootnoteText"/>
        <w:ind w:left="0" w:firstLine="0"/>
      </w:pPr>
      <w:r>
        <w:rPr>
          <w:rStyle w:val="FootnoteReference"/>
        </w:rPr>
        <w:footnoteRef/>
      </w:r>
      <w:r>
        <w:t xml:space="preserve"> Note that the definition of the cost of a policy adopted here – the associated change to net financial worth – is not necessarily the same definition used elsewhere </w:t>
      </w:r>
      <w:r w:rsidRPr="00F55884">
        <w:t>in government</w:t>
      </w:r>
      <w:r>
        <w:t xml:space="preserve">, particularly in a technical accounting context.  The PBO has </w:t>
      </w:r>
      <w:r w:rsidRPr="00ED3DFF">
        <w:t>chosen to use the word ‘cost’ in a way that attempts to align with the understanding of a general reader who is not an expert in formal financial statements.</w:t>
      </w:r>
    </w:p>
  </w:footnote>
  <w:footnote w:id="12">
    <w:p w:rsidR="00115BD3" w:rsidRPr="00ED3DFF" w:rsidRDefault="00115BD3" w:rsidP="00BD04B9">
      <w:pPr>
        <w:pStyle w:val="FootnoteText"/>
        <w:ind w:left="0" w:firstLine="0"/>
      </w:pPr>
      <w:r w:rsidRPr="00956230">
        <w:rPr>
          <w:rStyle w:val="FootnoteReference"/>
        </w:rPr>
        <w:footnoteRef/>
      </w:r>
      <w:r w:rsidRPr="00956230">
        <w:t xml:space="preserve"> The balance sheet is one of three connected financial statements included in the budget.  </w:t>
      </w:r>
      <w:r>
        <w:t xml:space="preserve">As </w:t>
      </w:r>
      <w:r w:rsidRPr="00956230">
        <w:t xml:space="preserve">the financial statements are connected, this could instead be described in terms of changes in </w:t>
      </w:r>
      <w:r>
        <w:t>any of the three</w:t>
      </w:r>
      <w:r w:rsidRPr="00956230">
        <w:t xml:space="preserve"> financial statements.  For simplicity, we use the balance sheet.  Further information on the financial statements is provided at </w:t>
      </w:r>
      <w:r w:rsidRPr="007B0AC0">
        <w:rPr>
          <w:u w:val="single"/>
        </w:rPr>
        <w:t>Appendix C</w:t>
      </w:r>
      <w:r w:rsidRPr="00956230">
        <w:t>.</w:t>
      </w:r>
      <w:r w:rsidRPr="00ED3DFF">
        <w:t xml:space="preserve"> </w:t>
      </w:r>
    </w:p>
  </w:footnote>
  <w:footnote w:id="13">
    <w:p w:rsidR="00115BD3" w:rsidRPr="003660F0" w:rsidRDefault="00115BD3" w:rsidP="00BD04B9">
      <w:pPr>
        <w:pStyle w:val="FootnoteText"/>
        <w:ind w:left="0" w:firstLine="0"/>
        <w:rPr>
          <w:color w:val="FF0000"/>
        </w:rPr>
      </w:pPr>
      <w:r w:rsidRPr="00ED3DFF">
        <w:rPr>
          <w:rStyle w:val="FootnoteReference"/>
        </w:rPr>
        <w:footnoteRef/>
      </w:r>
      <w:r w:rsidRPr="00ED3DFF">
        <w:t xml:space="preserve"> Budget-related documents refer to ‘</w:t>
      </w:r>
      <w:r>
        <w:t>O</w:t>
      </w:r>
      <w:r w:rsidRPr="00ED3DFF">
        <w:t>ther economic flows’</w:t>
      </w:r>
      <w:r>
        <w:t>.  The main type of ‘Other economic flow’ is the revaluation of assets.  For simplicity, this report uses the term ‘revaluations’ in place of ‘</w:t>
      </w:r>
      <w:proofErr w:type="gramStart"/>
      <w:r>
        <w:t>Other</w:t>
      </w:r>
      <w:proofErr w:type="gramEnd"/>
      <w:r>
        <w:t xml:space="preserve"> economic flows’.  There are other types of ‘Other economic flows’ also captured in this category, which are not the subject of this paper.</w:t>
      </w:r>
    </w:p>
  </w:footnote>
  <w:footnote w:id="14">
    <w:p w:rsidR="00115BD3" w:rsidRDefault="00115BD3" w:rsidP="00BD04B9">
      <w:pPr>
        <w:pStyle w:val="FootnoteText"/>
        <w:ind w:left="0" w:firstLine="0"/>
      </w:pPr>
      <w:r>
        <w:rPr>
          <w:rStyle w:val="FootnoteReference"/>
        </w:rPr>
        <w:footnoteRef/>
      </w:r>
      <w:r>
        <w:t xml:space="preserve"> </w:t>
      </w:r>
      <w:r w:rsidRPr="00364FBA">
        <w:t xml:space="preserve">Distinguishing between transactions and </w:t>
      </w:r>
      <w:r w:rsidRPr="000039F5">
        <w:t>revaluations is in line with the</w:t>
      </w:r>
      <w:r w:rsidRPr="00364FBA">
        <w:t xml:space="preserve"> IMF</w:t>
      </w:r>
      <w:r>
        <w:t>’s</w:t>
      </w:r>
      <w:r w:rsidRPr="00364FBA">
        <w:t xml:space="preserve"> standards, as detailed in the </w:t>
      </w:r>
      <w:r w:rsidRPr="00BD04B9">
        <w:rPr>
          <w:i/>
        </w:rPr>
        <w:t>Government Finance Statistics Manual</w:t>
      </w:r>
      <w:r w:rsidRPr="00364FBA">
        <w:t xml:space="preserve"> (IMF 2014).</w:t>
      </w:r>
    </w:p>
  </w:footnote>
  <w:footnote w:id="15">
    <w:p w:rsidR="00115BD3" w:rsidRDefault="00115BD3">
      <w:pPr>
        <w:pStyle w:val="FootnoteText"/>
      </w:pPr>
      <w:r>
        <w:rPr>
          <w:rStyle w:val="FootnoteReference"/>
        </w:rPr>
        <w:footnoteRef/>
      </w:r>
      <w:r>
        <w:t xml:space="preserve"> Transactions can also be influenced by factors outside of the government’s control, such as commodity prices.</w:t>
      </w:r>
    </w:p>
  </w:footnote>
  <w:footnote w:id="16">
    <w:p w:rsidR="00115BD3" w:rsidRDefault="00115BD3" w:rsidP="00BD04B9">
      <w:pPr>
        <w:pStyle w:val="FootnoteText"/>
        <w:ind w:left="0" w:firstLine="0"/>
      </w:pPr>
      <w:r w:rsidRPr="008949D0">
        <w:rPr>
          <w:rStyle w:val="FootnoteReference"/>
        </w:rPr>
        <w:footnoteRef/>
      </w:r>
      <w:r w:rsidRPr="008949D0">
        <w:t xml:space="preserve"> An overall surplus can refer to a surplus in the fiscal balance, in which case it relates to net financial worth, or can refer to a surplus in the underlying cash balance, which differs because it is measured on a cash basis.  </w:t>
      </w:r>
    </w:p>
  </w:footnote>
  <w:footnote w:id="17">
    <w:p w:rsidR="00115BD3" w:rsidRDefault="00115BD3" w:rsidP="00BD04B9">
      <w:pPr>
        <w:pStyle w:val="FootnoteText"/>
        <w:ind w:left="0" w:firstLine="0"/>
      </w:pPr>
      <w:r>
        <w:rPr>
          <w:rStyle w:val="FootnoteReference"/>
        </w:rPr>
        <w:footnoteRef/>
      </w:r>
      <w:r>
        <w:t xml:space="preserve"> These are based on international accounting standards and the IMF Government Finance Statistics Framework.</w:t>
      </w:r>
    </w:p>
  </w:footnote>
  <w:footnote w:id="18">
    <w:p w:rsidR="00115BD3" w:rsidRPr="00885E2F" w:rsidRDefault="00115BD3" w:rsidP="00BD04B9">
      <w:pPr>
        <w:pStyle w:val="FootnoteText"/>
        <w:ind w:left="0" w:firstLine="0"/>
      </w:pPr>
      <w:r>
        <w:rPr>
          <w:rStyle w:val="FootnoteReference"/>
        </w:rPr>
        <w:footnoteRef/>
      </w:r>
      <w:r>
        <w:t xml:space="preserve"> Australian National Audit Office, </w:t>
      </w:r>
      <w:r w:rsidRPr="0076636F">
        <w:rPr>
          <w:i/>
        </w:rPr>
        <w:t>Auditor</w:t>
      </w:r>
      <w:r w:rsidRPr="00C4698A">
        <w:rPr>
          <w:i/>
        </w:rPr>
        <w:t>–</w:t>
      </w:r>
      <w:r w:rsidRPr="0076636F">
        <w:rPr>
          <w:i/>
        </w:rPr>
        <w:t>General Report No.20 2019–20:</w:t>
      </w:r>
      <w:r>
        <w:t xml:space="preserve"> </w:t>
      </w:r>
      <w:r w:rsidRPr="0076636F">
        <w:rPr>
          <w:i/>
        </w:rPr>
        <w:t>Audits of the Financial Statements of Australian</w:t>
      </w:r>
      <w:r>
        <w:rPr>
          <w:i/>
        </w:rPr>
        <w:t> </w:t>
      </w:r>
      <w:r w:rsidRPr="0076636F">
        <w:rPr>
          <w:i/>
        </w:rPr>
        <w:t>Government Entities for the Period Ended 30 June 2019</w:t>
      </w:r>
      <w:r w:rsidRPr="0076636F">
        <w:t xml:space="preserve">. </w:t>
      </w:r>
      <w:r>
        <w:t xml:space="preserve"> </w:t>
      </w:r>
      <w:proofErr w:type="gramStart"/>
      <w:r w:rsidRPr="0076636F">
        <w:t>A</w:t>
      </w:r>
      <w:r>
        <w:t xml:space="preserve">vailable online at </w:t>
      </w:r>
      <w:hyperlink r:id="rId2" w:history="1">
        <w:r>
          <w:rPr>
            <w:rStyle w:val="Hyperlink"/>
          </w:rPr>
          <w:t>https://www.anao.gov.au/work/financial-statement-audit/audits-financial-statements-australian-government-entities-period-ended-30-june-2019</w:t>
        </w:r>
      </w:hyperlink>
      <w:r>
        <w:rPr>
          <w:rStyle w:val="Hyperlink"/>
          <w:u w:val="none"/>
        </w:rPr>
        <w:t>.</w:t>
      </w:r>
      <w:proofErr w:type="gramEnd"/>
    </w:p>
  </w:footnote>
  <w:footnote w:id="19">
    <w:p w:rsidR="00115BD3" w:rsidRPr="003B29EF" w:rsidRDefault="00115BD3" w:rsidP="00BD04B9">
      <w:pPr>
        <w:pStyle w:val="FootnoteText"/>
        <w:ind w:left="0" w:firstLine="0"/>
        <w:rPr>
          <w:spacing w:val="-1"/>
        </w:rPr>
      </w:pPr>
      <w:r w:rsidRPr="003B29EF">
        <w:rPr>
          <w:rStyle w:val="FootnoteReference"/>
          <w:spacing w:val="-1"/>
        </w:rPr>
        <w:footnoteRef/>
      </w:r>
      <w:r w:rsidRPr="003B29EF">
        <w:rPr>
          <w:spacing w:val="-1"/>
        </w:rPr>
        <w:t xml:space="preserve"> A ‘net assets’ approach is used when an investment in an entity does not generate significant non</w:t>
      </w:r>
      <w:r w:rsidRPr="003B29EF">
        <w:rPr>
          <w:i/>
          <w:spacing w:val="-1"/>
        </w:rPr>
        <w:t>-</w:t>
      </w:r>
      <w:r w:rsidRPr="003B29EF">
        <w:rPr>
          <w:spacing w:val="-1"/>
        </w:rPr>
        <w:t>government cash flow.  It is taken as the value of the total assets less the value of the total liabilities of the entity investment.  A common alternative to the ‘net assets’ approach to valuation is the ‘discounted cash flow’ technique, which is used when the investment in the entity generates significant non</w:t>
      </w:r>
      <w:r w:rsidRPr="003B29EF">
        <w:rPr>
          <w:i/>
          <w:spacing w:val="-1"/>
        </w:rPr>
        <w:t>-</w:t>
      </w:r>
      <w:r w:rsidRPr="003B29EF">
        <w:rPr>
          <w:spacing w:val="-1"/>
        </w:rPr>
        <w:t>government cash flow.  Entities use a valuation technique (or multiple techniques) as is appropriate to the circumstances and for which data is available (Australian Accounting Standards Board 13).</w:t>
      </w:r>
    </w:p>
  </w:footnote>
  <w:footnote w:id="20">
    <w:p w:rsidR="00115BD3" w:rsidRDefault="00115BD3" w:rsidP="00BD04B9">
      <w:pPr>
        <w:pStyle w:val="FootnoteText"/>
        <w:ind w:left="0" w:firstLine="0"/>
      </w:pPr>
      <w:r>
        <w:rPr>
          <w:rStyle w:val="FootnoteReference"/>
        </w:rPr>
        <w:footnoteRef/>
      </w:r>
      <w:r>
        <w:t xml:space="preserve"> </w:t>
      </w:r>
      <w:r w:rsidRPr="00824548">
        <w:t xml:space="preserve">All the financing types shown in this table do have some additional transactions, such as </w:t>
      </w:r>
      <w:r>
        <w:t xml:space="preserve">the </w:t>
      </w:r>
      <w:r w:rsidRPr="00824548">
        <w:t xml:space="preserve">issuance </w:t>
      </w:r>
      <w:r>
        <w:t xml:space="preserve">of Australian Government Securities (bonds) </w:t>
      </w:r>
      <w:r w:rsidRPr="00824548">
        <w:t>to fund the outflow of cash, payment of interest on these bonds, and any necessary departmental costs for the</w:t>
      </w:r>
      <w:r>
        <w:t>ir</w:t>
      </w:r>
      <w:r w:rsidRPr="00824548">
        <w:t xml:space="preserve"> administration.  The fact that the issued bonds </w:t>
      </w:r>
      <w:r>
        <w:t>are subject to revaluation</w:t>
      </w:r>
      <w:r w:rsidRPr="00824548">
        <w:t xml:space="preserve"> also means that all of the funding types technically have some associated revaluations.  </w:t>
      </w:r>
      <w:r>
        <w:t>B</w:t>
      </w:r>
      <w:r w:rsidRPr="00824548">
        <w:t xml:space="preserve">roadly speaking, costs associated with direct </w:t>
      </w:r>
      <w:r>
        <w:t>funding</w:t>
      </w:r>
      <w:r w:rsidRPr="00824548">
        <w:t xml:space="preserve"> overwhelmingly result from transactions, and costs associated with alternative financing are more likely to result from both transactions and revaluations.</w:t>
      </w:r>
    </w:p>
  </w:footnote>
  <w:footnote w:id="21">
    <w:p w:rsidR="00115BD3" w:rsidRDefault="00115BD3" w:rsidP="00BD04B9">
      <w:pPr>
        <w:pStyle w:val="FootnoteText"/>
        <w:ind w:left="0" w:firstLine="0"/>
      </w:pPr>
      <w:r>
        <w:rPr>
          <w:rStyle w:val="FootnoteReference"/>
        </w:rPr>
        <w:footnoteRef/>
      </w:r>
      <w:r>
        <w:t xml:space="preserve"> The fair value is the best information currently available on the company.  Note that the fair value assessment was performed on a ‘net assets’ basis; under this methodology there is often a decline in value, though the extent of the decline differs.  Often as investment entities mature, valuation methodology is switched to discounted cash flows, at which point the fair value may increase.  </w:t>
      </w:r>
    </w:p>
  </w:footnote>
  <w:footnote w:id="22">
    <w:p w:rsidR="00115BD3" w:rsidRDefault="00115BD3" w:rsidP="00BD04B9">
      <w:pPr>
        <w:pStyle w:val="FootnoteText"/>
        <w:ind w:left="0" w:firstLine="0"/>
      </w:pPr>
      <w:r>
        <w:rPr>
          <w:rStyle w:val="FootnoteReference"/>
        </w:rPr>
        <w:footnoteRef/>
      </w:r>
      <w:r>
        <w:t xml:space="preserve"> </w:t>
      </w:r>
      <w:proofErr w:type="gramStart"/>
      <w:r w:rsidRPr="00BD04B9">
        <w:rPr>
          <w:i/>
        </w:rPr>
        <w:t>2018–19 Annual report</w:t>
      </w:r>
      <w:r>
        <w:t xml:space="preserve">, Department of Communication and the Arts, and </w:t>
      </w:r>
      <w:r w:rsidRPr="00BD04B9">
        <w:rPr>
          <w:i/>
        </w:rPr>
        <w:t>2018–19 Annual report</w:t>
      </w:r>
      <w:r>
        <w:t>, NBN Co.</w:t>
      </w:r>
      <w:proofErr w:type="gramEnd"/>
    </w:p>
  </w:footnote>
  <w:footnote w:id="23">
    <w:p w:rsidR="00115BD3" w:rsidRDefault="00115BD3" w:rsidP="00BD04B9">
      <w:pPr>
        <w:pStyle w:val="FootnoteText"/>
        <w:ind w:left="0" w:firstLine="0"/>
      </w:pPr>
      <w:r>
        <w:rPr>
          <w:rStyle w:val="FootnoteReference"/>
        </w:rPr>
        <w:footnoteRef/>
      </w:r>
      <w:r>
        <w:t xml:space="preserve"> The $20.8 billion change in value does not include the interest payments associated with making the investment, which have also deteriorated the balance sheet by around $4.</w:t>
      </w:r>
      <w:r w:rsidR="00CC5EB9">
        <w:t xml:space="preserve">1 </w:t>
      </w:r>
      <w:r>
        <w:t xml:space="preserve">billion as at 30 June 2019 (PBO calculation).  </w:t>
      </w:r>
    </w:p>
  </w:footnote>
  <w:footnote w:id="24">
    <w:p w:rsidR="00115BD3" w:rsidRDefault="00115BD3">
      <w:pPr>
        <w:pStyle w:val="FootnoteText"/>
      </w:pPr>
      <w:r>
        <w:rPr>
          <w:rStyle w:val="FootnoteReference"/>
        </w:rPr>
        <w:footnoteRef/>
      </w:r>
      <w:r>
        <w:t xml:space="preserve"> </w:t>
      </w:r>
      <w:proofErr w:type="gramStart"/>
      <w:r w:rsidRPr="00BD04B9">
        <w:rPr>
          <w:i/>
        </w:rPr>
        <w:t>2018–19 Annual report</w:t>
      </w:r>
      <w:r>
        <w:rPr>
          <w:i/>
        </w:rPr>
        <w:t>,</w:t>
      </w:r>
      <w:r>
        <w:t xml:space="preserve"> Department of Education and Training</w:t>
      </w:r>
      <w:r>
        <w:rPr>
          <w:i/>
        </w:rPr>
        <w:t>.</w:t>
      </w:r>
      <w:proofErr w:type="gramEnd"/>
    </w:p>
  </w:footnote>
  <w:footnote w:id="25">
    <w:p w:rsidR="00115BD3" w:rsidRDefault="00115BD3" w:rsidP="00BD04B9">
      <w:pPr>
        <w:pStyle w:val="FootnoteText"/>
        <w:ind w:left="0" w:firstLine="0"/>
      </w:pPr>
      <w:r w:rsidRPr="00F505FF">
        <w:rPr>
          <w:rStyle w:val="FootnoteReference"/>
          <w:sz w:val="22"/>
        </w:rPr>
        <w:footnoteRef/>
      </w:r>
      <w:r>
        <w:t xml:space="preserve"> The revaluation would not be exactly $1.2 billion as it would also be affected by technical accounting components such as the concessional loan discount and the subsequent unwinding of the discount.  </w:t>
      </w:r>
    </w:p>
  </w:footnote>
  <w:footnote w:id="26">
    <w:p w:rsidR="00115BD3" w:rsidRDefault="00115BD3" w:rsidP="00BD04B9">
      <w:pPr>
        <w:pStyle w:val="BodyText"/>
        <w:spacing w:before="60" w:line="240" w:lineRule="atLeast"/>
      </w:pPr>
      <w:r w:rsidRPr="00AA0D49">
        <w:rPr>
          <w:rStyle w:val="FootnoteReference"/>
        </w:rPr>
        <w:footnoteRef/>
      </w:r>
      <w:r w:rsidRPr="00AA0D49">
        <w:t xml:space="preserve"> </w:t>
      </w:r>
      <w:r w:rsidRPr="003E3C23">
        <w:rPr>
          <w:rFonts w:cstheme="minorBidi"/>
          <w:kern w:val="16"/>
          <w:sz w:val="18"/>
        </w:rPr>
        <w:t xml:space="preserve">The fiscal balance impact comprises </w:t>
      </w:r>
      <w:r>
        <w:rPr>
          <w:rFonts w:cstheme="minorBidi"/>
          <w:kern w:val="16"/>
          <w:sz w:val="18"/>
        </w:rPr>
        <w:t>g</w:t>
      </w:r>
      <w:r w:rsidRPr="003E3C23">
        <w:rPr>
          <w:rFonts w:cstheme="minorBidi"/>
          <w:kern w:val="16"/>
          <w:sz w:val="18"/>
        </w:rPr>
        <w:t>overnment spending of $0.7</w:t>
      </w:r>
      <w:r>
        <w:rPr>
          <w:rFonts w:cstheme="minorBidi"/>
          <w:kern w:val="16"/>
          <w:sz w:val="18"/>
        </w:rPr>
        <w:t xml:space="preserve"> </w:t>
      </w:r>
      <w:r w:rsidRPr="003E3C23">
        <w:rPr>
          <w:rFonts w:cstheme="minorBidi"/>
          <w:kern w:val="16"/>
          <w:sz w:val="18"/>
        </w:rPr>
        <w:t>b</w:t>
      </w:r>
      <w:r>
        <w:rPr>
          <w:rFonts w:cstheme="minorBidi"/>
          <w:kern w:val="16"/>
          <w:sz w:val="18"/>
        </w:rPr>
        <w:t>illio</w:t>
      </w:r>
      <w:r w:rsidRPr="003E3C23">
        <w:rPr>
          <w:rFonts w:cstheme="minorBidi"/>
          <w:kern w:val="16"/>
          <w:sz w:val="18"/>
        </w:rPr>
        <w:t>n on interest payments to bondholders, the accrual of $0.4</w:t>
      </w:r>
      <w:r>
        <w:rPr>
          <w:rFonts w:cstheme="minorBidi"/>
          <w:kern w:val="16"/>
          <w:sz w:val="18"/>
        </w:rPr>
        <w:t> </w:t>
      </w:r>
      <w:r w:rsidRPr="003E3C23">
        <w:rPr>
          <w:rFonts w:cstheme="minorBidi"/>
          <w:kern w:val="16"/>
          <w:sz w:val="18"/>
        </w:rPr>
        <w:t>b</w:t>
      </w:r>
      <w:r>
        <w:rPr>
          <w:rFonts w:cstheme="minorBidi"/>
          <w:kern w:val="16"/>
          <w:sz w:val="18"/>
        </w:rPr>
        <w:t>illio</w:t>
      </w:r>
      <w:r w:rsidRPr="003E3C23">
        <w:rPr>
          <w:rFonts w:cstheme="minorBidi"/>
          <w:kern w:val="16"/>
          <w:sz w:val="18"/>
        </w:rPr>
        <w:t>n in interest from students, and expenditure of $0.</w:t>
      </w:r>
      <w:r>
        <w:rPr>
          <w:rFonts w:cstheme="minorBidi"/>
          <w:kern w:val="16"/>
          <w:sz w:val="18"/>
        </w:rPr>
        <w:t xml:space="preserve">1 </w:t>
      </w:r>
      <w:r w:rsidRPr="003E3C23">
        <w:rPr>
          <w:rFonts w:cstheme="minorBidi"/>
          <w:kern w:val="16"/>
          <w:sz w:val="18"/>
        </w:rPr>
        <w:t>b</w:t>
      </w:r>
      <w:r>
        <w:rPr>
          <w:rFonts w:cstheme="minorBidi"/>
          <w:kern w:val="16"/>
          <w:sz w:val="18"/>
        </w:rPr>
        <w:t>illio</w:t>
      </w:r>
      <w:r w:rsidRPr="003E3C23">
        <w:rPr>
          <w:rFonts w:cstheme="minorBidi"/>
          <w:kern w:val="16"/>
          <w:sz w:val="18"/>
        </w:rPr>
        <w:t xml:space="preserve">n on other </w:t>
      </w:r>
      <w:r>
        <w:rPr>
          <w:rFonts w:cstheme="minorBidi"/>
          <w:kern w:val="16"/>
          <w:sz w:val="18"/>
        </w:rPr>
        <w:t>components (mainly technical accounting components such as the concessional loan discount and subsequent unwinding of the discount)</w:t>
      </w:r>
      <w:r w:rsidRPr="003E3C23">
        <w:rPr>
          <w:rFonts w:cstheme="minorBidi"/>
          <w:kern w:val="16"/>
          <w:sz w:val="18"/>
        </w:rPr>
        <w:t>.  The underlying</w:t>
      </w:r>
      <w:r>
        <w:rPr>
          <w:rFonts w:cstheme="minorBidi"/>
          <w:kern w:val="16"/>
          <w:sz w:val="18"/>
        </w:rPr>
        <w:t> </w:t>
      </w:r>
      <w:r w:rsidRPr="003E3C23">
        <w:rPr>
          <w:rFonts w:cstheme="minorBidi"/>
          <w:kern w:val="16"/>
          <w:sz w:val="18"/>
        </w:rPr>
        <w:t>cash balance impact comprises $0.7</w:t>
      </w:r>
      <w:r>
        <w:rPr>
          <w:rFonts w:cstheme="minorBidi"/>
          <w:kern w:val="16"/>
          <w:sz w:val="18"/>
        </w:rPr>
        <w:t> </w:t>
      </w:r>
      <w:r w:rsidRPr="003E3C23">
        <w:rPr>
          <w:rFonts w:cstheme="minorBidi"/>
          <w:kern w:val="16"/>
          <w:sz w:val="18"/>
        </w:rPr>
        <w:t>b</w:t>
      </w:r>
      <w:r>
        <w:rPr>
          <w:rFonts w:cstheme="minorBidi"/>
          <w:kern w:val="16"/>
          <w:sz w:val="18"/>
        </w:rPr>
        <w:t>illio</w:t>
      </w:r>
      <w:r w:rsidRPr="003E3C23">
        <w:rPr>
          <w:rFonts w:cstheme="minorBidi"/>
          <w:kern w:val="16"/>
          <w:sz w:val="18"/>
        </w:rPr>
        <w:t>n in interest payments to bondholders.</w:t>
      </w:r>
    </w:p>
    <w:p w:rsidR="00115BD3" w:rsidRDefault="00115BD3" w:rsidP="00CC2CD6">
      <w:pPr>
        <w:pStyle w:val="FootnoteText"/>
      </w:pPr>
    </w:p>
  </w:footnote>
  <w:footnote w:id="27">
    <w:p w:rsidR="00115BD3" w:rsidRDefault="00115BD3" w:rsidP="00002EBB">
      <w:pPr>
        <w:pStyle w:val="BodyText"/>
        <w:spacing w:before="0" w:line="240" w:lineRule="atLeast"/>
      </w:pPr>
      <w:r w:rsidRPr="00F505FF">
        <w:rPr>
          <w:rStyle w:val="FootnoteReference"/>
          <w:sz w:val="18"/>
          <w:szCs w:val="18"/>
        </w:rPr>
        <w:footnoteRef/>
      </w:r>
      <w:r w:rsidRPr="00F505FF">
        <w:rPr>
          <w:sz w:val="18"/>
          <w:szCs w:val="18"/>
        </w:rPr>
        <w:t xml:space="preserve"> In making these suggestions, the PBO is not in a position to assess the practicality of the timing of publication of this additional information</w:t>
      </w:r>
      <w:r>
        <w:rPr>
          <w:sz w:val="18"/>
          <w:szCs w:val="18"/>
        </w:rPr>
        <w:t xml:space="preserve"> in budget papers</w:t>
      </w:r>
      <w:r w:rsidRPr="00F505FF">
        <w:rPr>
          <w:sz w:val="18"/>
          <w:szCs w:val="18"/>
        </w:rPr>
        <w:t xml:space="preserve">.  </w:t>
      </w:r>
      <w:r>
        <w:rPr>
          <w:sz w:val="18"/>
          <w:szCs w:val="18"/>
        </w:rPr>
        <w:t>In the event that this additional information needed to be provided in a supplementary document at a later date, there would still be considerable value in publishing it.</w:t>
      </w:r>
    </w:p>
  </w:footnote>
  <w:footnote w:id="28">
    <w:p w:rsidR="00115BD3" w:rsidRDefault="00115BD3" w:rsidP="00BD04B9">
      <w:pPr>
        <w:pStyle w:val="FootnoteText"/>
        <w:ind w:left="0" w:firstLine="0"/>
      </w:pPr>
      <w:r>
        <w:rPr>
          <w:rStyle w:val="FootnoteReference"/>
        </w:rPr>
        <w:footnoteRef/>
      </w:r>
      <w:r>
        <w:t xml:space="preserve"> A loan must be expected to be repaid in order to not be classified as a grant.  For a loan program, a proportion of loans will statistically be unlikely to be repaid – this is the non-repayment referred to in this section.</w:t>
      </w:r>
    </w:p>
  </w:footnote>
  <w:footnote w:id="29">
    <w:p w:rsidR="00115BD3" w:rsidRDefault="00115BD3" w:rsidP="00BD04B9">
      <w:pPr>
        <w:pStyle w:val="FootnoteText"/>
        <w:ind w:left="0" w:firstLine="0"/>
      </w:pPr>
      <w:r>
        <w:rPr>
          <w:rStyle w:val="FootnoteReference"/>
        </w:rPr>
        <w:footnoteRef/>
      </w:r>
      <w:r>
        <w:t xml:space="preserve"> Department of Finance, </w:t>
      </w:r>
      <w:r w:rsidRPr="00697C6D">
        <w:rPr>
          <w:i/>
        </w:rPr>
        <w:t>Finance Advice Paper, Q&amp;A – Equity Investments</w:t>
      </w:r>
      <w:r>
        <w:t>, August 2018.</w:t>
      </w:r>
    </w:p>
  </w:footnote>
  <w:footnote w:id="30">
    <w:p w:rsidR="00115BD3" w:rsidRDefault="00115BD3">
      <w:pPr>
        <w:pStyle w:val="FootnoteText"/>
      </w:pPr>
      <w:r>
        <w:rPr>
          <w:rStyle w:val="FootnoteReference"/>
        </w:rPr>
        <w:footnoteRef/>
      </w:r>
      <w:r>
        <w:t xml:space="preserve"> The focus of accounting for equity in public and private sector is often at the entity level.</w:t>
      </w:r>
    </w:p>
  </w:footnote>
  <w:footnote w:id="31">
    <w:p w:rsidR="00115BD3" w:rsidRPr="003B646A" w:rsidRDefault="00115BD3" w:rsidP="00BD04B9">
      <w:pPr>
        <w:pStyle w:val="FootnoteText"/>
        <w:ind w:left="0" w:firstLine="0"/>
        <w:rPr>
          <w:kern w:val="0"/>
          <w:sz w:val="22"/>
        </w:rPr>
      </w:pPr>
      <w:r>
        <w:rPr>
          <w:rStyle w:val="FootnoteReference"/>
        </w:rPr>
        <w:footnoteRef/>
      </w:r>
      <w:r>
        <w:t xml:space="preserve"> Australian Rail Track Corporation, </w:t>
      </w:r>
      <w:proofErr w:type="gramStart"/>
      <w:r w:rsidRPr="00BD04B9">
        <w:rPr>
          <w:i/>
        </w:rPr>
        <w:t>The</w:t>
      </w:r>
      <w:proofErr w:type="gramEnd"/>
      <w:r w:rsidRPr="00BD04B9">
        <w:rPr>
          <w:i/>
        </w:rPr>
        <w:t xml:space="preserve"> Case for Inland Rail</w:t>
      </w:r>
      <w:r>
        <w:t xml:space="preserve">. </w:t>
      </w:r>
      <w:proofErr w:type="gramStart"/>
      <w:r>
        <w:t xml:space="preserve">Available online at </w:t>
      </w:r>
      <w:hyperlink r:id="rId3" w:history="1">
        <w:r w:rsidRPr="00BD04B9">
          <w:rPr>
            <w:kern w:val="0"/>
            <w:u w:val="single"/>
          </w:rPr>
          <w:t>https://inlandrail.artc.com.au/13251/documents/31860</w:t>
        </w:r>
      </w:hyperlink>
      <w:r w:rsidRPr="003C6354">
        <w:rPr>
          <w:kern w:val="0"/>
        </w:rPr>
        <w:t>.</w:t>
      </w:r>
      <w:proofErr w:type="gramEnd"/>
    </w:p>
  </w:footnote>
  <w:footnote w:id="32">
    <w:p w:rsidR="00115BD3" w:rsidRDefault="00115BD3" w:rsidP="00BD04B9">
      <w:pPr>
        <w:pStyle w:val="FootnoteText"/>
        <w:ind w:left="0" w:firstLine="0"/>
      </w:pPr>
      <w:r>
        <w:rPr>
          <w:rStyle w:val="FootnoteReference"/>
        </w:rPr>
        <w:footnoteRef/>
      </w:r>
      <w:r>
        <w:t xml:space="preserve"> </w:t>
      </w:r>
      <w:proofErr w:type="gramStart"/>
      <w:r w:rsidRPr="00BD04B9">
        <w:rPr>
          <w:i/>
        </w:rPr>
        <w:t>2016</w:t>
      </w:r>
      <w:r w:rsidRPr="00697C6D">
        <w:rPr>
          <w:i/>
        </w:rPr>
        <w:t>–</w:t>
      </w:r>
      <w:r w:rsidRPr="00BD04B9">
        <w:rPr>
          <w:i/>
        </w:rPr>
        <w:t>17 Budget</w:t>
      </w:r>
      <w:r>
        <w:rPr>
          <w:i/>
        </w:rPr>
        <w:t>, Budget</w:t>
      </w:r>
      <w:r w:rsidRPr="00BD04B9">
        <w:rPr>
          <w:i/>
        </w:rPr>
        <w:t xml:space="preserve"> Paper</w:t>
      </w:r>
      <w:r>
        <w:rPr>
          <w:i/>
        </w:rPr>
        <w:t xml:space="preserve"> No.</w:t>
      </w:r>
      <w:r w:rsidRPr="00BD04B9">
        <w:rPr>
          <w:i/>
        </w:rPr>
        <w:t xml:space="preserve"> 2</w:t>
      </w:r>
      <w:r>
        <w:t xml:space="preserve">, p171; </w:t>
      </w:r>
      <w:r w:rsidRPr="00BD04B9">
        <w:rPr>
          <w:i/>
        </w:rPr>
        <w:t>2017</w:t>
      </w:r>
      <w:r w:rsidRPr="00697C6D">
        <w:rPr>
          <w:i/>
        </w:rPr>
        <w:t>–</w:t>
      </w:r>
      <w:r w:rsidRPr="00BD04B9">
        <w:rPr>
          <w:i/>
        </w:rPr>
        <w:t xml:space="preserve">18 </w:t>
      </w:r>
      <w:r>
        <w:rPr>
          <w:i/>
        </w:rPr>
        <w:t xml:space="preserve">Budget, </w:t>
      </w:r>
      <w:r w:rsidRPr="00BD04B9">
        <w:rPr>
          <w:i/>
        </w:rPr>
        <w:t>Budget Paper</w:t>
      </w:r>
      <w:r>
        <w:rPr>
          <w:i/>
        </w:rPr>
        <w:t xml:space="preserve"> No.</w:t>
      </w:r>
      <w:r w:rsidRPr="00BD04B9">
        <w:rPr>
          <w:i/>
        </w:rPr>
        <w:t xml:space="preserve"> 2</w:t>
      </w:r>
      <w:r>
        <w:t>, p189.</w:t>
      </w:r>
      <w:proofErr w:type="gramEnd"/>
    </w:p>
  </w:footnote>
  <w:footnote w:id="33">
    <w:p w:rsidR="00115BD3" w:rsidRDefault="00115BD3">
      <w:pPr>
        <w:pStyle w:val="FootnoteText"/>
      </w:pPr>
      <w:r w:rsidRPr="002D2B2B">
        <w:rPr>
          <w:rStyle w:val="FootnoteReference"/>
        </w:rPr>
        <w:footnoteRef/>
      </w:r>
      <w:r w:rsidRPr="002D2B2B">
        <w:t xml:space="preserve"> </w:t>
      </w:r>
      <w:r w:rsidRPr="00F55884">
        <w:t>As calculated by the PBO</w:t>
      </w:r>
      <w:r>
        <w:t xml:space="preserve">, based on the profile presented in </w:t>
      </w:r>
      <w:r w:rsidRPr="00956230">
        <w:rPr>
          <w:i/>
        </w:rPr>
        <w:t>2016</w:t>
      </w:r>
      <w:r w:rsidRPr="00697C6D">
        <w:rPr>
          <w:i/>
        </w:rPr>
        <w:t>–</w:t>
      </w:r>
      <w:r w:rsidRPr="00956230">
        <w:rPr>
          <w:i/>
        </w:rPr>
        <w:t>17 Budget</w:t>
      </w:r>
      <w:r>
        <w:rPr>
          <w:i/>
        </w:rPr>
        <w:t>, Budget</w:t>
      </w:r>
      <w:r w:rsidRPr="00956230">
        <w:rPr>
          <w:i/>
        </w:rPr>
        <w:t xml:space="preserve"> Paper </w:t>
      </w:r>
      <w:r>
        <w:rPr>
          <w:i/>
        </w:rPr>
        <w:t xml:space="preserve">No. </w:t>
      </w:r>
      <w:r w:rsidRPr="00956230">
        <w:rPr>
          <w:i/>
        </w:rPr>
        <w:t>1</w:t>
      </w:r>
      <w:r w:rsidRPr="00CC5EB9">
        <w:t xml:space="preserve">, </w:t>
      </w:r>
      <w:proofErr w:type="gramStart"/>
      <w:r w:rsidRPr="00CC5EB9">
        <w:t>Statement</w:t>
      </w:r>
      <w:proofErr w:type="gramEnd"/>
      <w:r w:rsidRPr="00CC5EB9">
        <w:t xml:space="preserve"> 3</w:t>
      </w:r>
      <w:r>
        <w:t>.</w:t>
      </w:r>
    </w:p>
  </w:footnote>
  <w:footnote w:id="34">
    <w:p w:rsidR="00115BD3" w:rsidRDefault="00115BD3">
      <w:pPr>
        <w:pStyle w:val="FootnoteText"/>
      </w:pPr>
      <w:r>
        <w:rPr>
          <w:rStyle w:val="FootnoteReference"/>
        </w:rPr>
        <w:footnoteRef/>
      </w:r>
      <w:r>
        <w:t xml:space="preserve"> See, for example, costings PER314 and PER634 in the PBO’s </w:t>
      </w:r>
      <w:r w:rsidRPr="00A85614">
        <w:rPr>
          <w:i/>
        </w:rPr>
        <w:t xml:space="preserve">2019 </w:t>
      </w:r>
      <w:r>
        <w:rPr>
          <w:i/>
        </w:rPr>
        <w:t>Post-</w:t>
      </w:r>
      <w:r w:rsidRPr="00A85614">
        <w:rPr>
          <w:i/>
        </w:rPr>
        <w:t xml:space="preserve">election </w:t>
      </w:r>
      <w:r>
        <w:rPr>
          <w:i/>
        </w:rPr>
        <w:t xml:space="preserve">report of election </w:t>
      </w:r>
      <w:r w:rsidRPr="00A85614">
        <w:rPr>
          <w:i/>
        </w:rPr>
        <w:t>commitment</w:t>
      </w:r>
      <w:r>
        <w:rPr>
          <w:i/>
        </w:rPr>
        <w:t>s</w:t>
      </w:r>
      <w:r>
        <w:t>.</w:t>
      </w:r>
    </w:p>
  </w:footnote>
  <w:footnote w:id="35">
    <w:p w:rsidR="00115BD3" w:rsidRDefault="00115BD3" w:rsidP="00BD04B9">
      <w:pPr>
        <w:pStyle w:val="FootnoteText"/>
        <w:ind w:left="0" w:firstLine="0"/>
      </w:pPr>
      <w:r>
        <w:rPr>
          <w:rStyle w:val="FootnoteReference"/>
        </w:rPr>
        <w:footnoteRef/>
      </w:r>
      <w:r>
        <w:t xml:space="preserve"> Department of Health </w:t>
      </w:r>
      <w:r w:rsidRPr="00BD04B9">
        <w:rPr>
          <w:i/>
        </w:rPr>
        <w:t>Annual Report 2018</w:t>
      </w:r>
      <w:r w:rsidRPr="00BB3C94">
        <w:t>–</w:t>
      </w:r>
      <w:r w:rsidRPr="00BD04B9">
        <w:rPr>
          <w:i/>
        </w:rPr>
        <w:t>19</w:t>
      </w:r>
      <w:r>
        <w:t>.</w:t>
      </w:r>
    </w:p>
  </w:footnote>
  <w:footnote w:id="36">
    <w:p w:rsidR="00115BD3" w:rsidRPr="00CC5EB9" w:rsidRDefault="00115BD3" w:rsidP="0012257A">
      <w:pPr>
        <w:pStyle w:val="FootnoteText"/>
        <w:ind w:left="0" w:firstLine="0"/>
        <w:rPr>
          <w:i/>
        </w:rPr>
      </w:pPr>
      <w:r>
        <w:rPr>
          <w:rStyle w:val="FootnoteReference"/>
        </w:rPr>
        <w:footnoteRef/>
      </w:r>
      <w:r>
        <w:t xml:space="preserve"> This could be comparable to the table showing the magnitude of government loans (Table 3, p.8</w:t>
      </w:r>
      <w:r w:rsidRPr="00BB3C94">
        <w:t>–</w:t>
      </w:r>
      <w:r>
        <w:t xml:space="preserve">41 in </w:t>
      </w:r>
      <w:r w:rsidRPr="00002EBB">
        <w:rPr>
          <w:i/>
        </w:rPr>
        <w:t xml:space="preserve">2019–20 </w:t>
      </w:r>
      <w:proofErr w:type="gramStart"/>
      <w:r w:rsidRPr="00002EBB">
        <w:rPr>
          <w:i/>
        </w:rPr>
        <w:t>Budget</w:t>
      </w:r>
      <w:proofErr w:type="gramEnd"/>
      <w:r w:rsidRPr="00002EBB">
        <w:rPr>
          <w:i/>
        </w:rPr>
        <w:t xml:space="preserve">, </w:t>
      </w:r>
      <w:r w:rsidRPr="001800D8">
        <w:rPr>
          <w:i/>
        </w:rPr>
        <w:t>Budget Paper No. 1</w:t>
      </w:r>
      <w:r w:rsidRPr="00CC5EB9">
        <w:rPr>
          <w:i/>
        </w:rPr>
        <w:t>.</w:t>
      </w:r>
    </w:p>
  </w:footnote>
  <w:footnote w:id="37">
    <w:p w:rsidR="00115BD3" w:rsidRDefault="00115BD3" w:rsidP="00A85614">
      <w:pPr>
        <w:pStyle w:val="FootnoteText"/>
        <w:ind w:left="0" w:firstLine="0"/>
      </w:pPr>
      <w:r>
        <w:rPr>
          <w:rStyle w:val="FootnoteReference"/>
        </w:rPr>
        <w:footnoteRef/>
      </w:r>
      <w:r>
        <w:t xml:space="preserve"> The financial statements discussed here refer to those of the Australian general government sector.  The sector consists primarily of government departments and agencies that provide non-market public services funded mainly through taxes.  Their financial statements are published in the budget, the mid-year economic and fiscal outlook update and the consolidated financial statements.  </w:t>
      </w:r>
    </w:p>
  </w:footnote>
  <w:footnote w:id="38">
    <w:p w:rsidR="00115BD3" w:rsidRPr="00006CCC" w:rsidRDefault="00115BD3" w:rsidP="00006CCC">
      <w:pPr>
        <w:pStyle w:val="FootnoteText"/>
        <w:ind w:left="0" w:firstLine="0"/>
        <w:rPr>
          <w:spacing w:val="-2"/>
        </w:rPr>
      </w:pPr>
      <w:r w:rsidRPr="00006CCC">
        <w:rPr>
          <w:rStyle w:val="FootnoteReference"/>
          <w:spacing w:val="-2"/>
        </w:rPr>
        <w:footnoteRef/>
      </w:r>
      <w:r w:rsidRPr="00006CCC">
        <w:rPr>
          <w:spacing w:val="-2"/>
        </w:rPr>
        <w:t xml:space="preserve"> Financial statements are included in Budget Paper No. 1, Statement 9 in the 2019–20 Budget.  2017–18 and 2018–19 Budgets included financial statements at Budget Paper No. 1, Statement 10.  Financial statement updates can also be found at each </w:t>
      </w:r>
      <w:r>
        <w:t>mid</w:t>
      </w:r>
      <w:r>
        <w:noBreakHyphen/>
        <w:t>year economic and fiscal outlook (MYEFO) update</w:t>
      </w:r>
      <w:r w:rsidRPr="00006CCC">
        <w:rPr>
          <w:spacing w:val="-2"/>
        </w:rPr>
        <w:t>.  As at 2019–20 MYEFO, financial statements were published in Part</w:t>
      </w:r>
      <w:r>
        <w:rPr>
          <w:spacing w:val="-2"/>
        </w:rPr>
        <w:t> </w:t>
      </w:r>
      <w:r w:rsidRPr="00006CCC">
        <w:rPr>
          <w:spacing w:val="-2"/>
        </w:rPr>
        <w:t>7:</w:t>
      </w:r>
      <w:r>
        <w:rPr>
          <w:spacing w:val="-2"/>
        </w:rPr>
        <w:t> </w:t>
      </w:r>
      <w:r w:rsidRPr="00006CCC">
        <w:rPr>
          <w:spacing w:val="-2"/>
        </w:rPr>
        <w:t>Australian Government Budget Financial Statements.</w:t>
      </w:r>
    </w:p>
  </w:footnote>
  <w:footnote w:id="39">
    <w:p w:rsidR="00115BD3" w:rsidRDefault="00115BD3" w:rsidP="007B0AC0">
      <w:pPr>
        <w:pStyle w:val="FootnoteText"/>
        <w:ind w:left="0" w:firstLine="0"/>
      </w:pPr>
      <w:r>
        <w:rPr>
          <w:rStyle w:val="FootnoteReference"/>
        </w:rPr>
        <w:footnoteRef/>
      </w:r>
      <w:r>
        <w:t xml:space="preserve"> The GFS defines the realistic rate of return on the funds as ‘the intention to earn a rate of return that is sufficient to generate dividends or holding gains at a later date, and includes a claim on the residual value of the corporation’ </w:t>
      </w:r>
      <w:r>
        <w:br/>
        <w:t>(p.273).</w:t>
      </w:r>
    </w:p>
  </w:footnote>
  <w:footnote w:id="40">
    <w:p w:rsidR="00115BD3" w:rsidRDefault="00115BD3">
      <w:pPr>
        <w:pStyle w:val="FootnoteText"/>
      </w:pPr>
      <w:r>
        <w:rPr>
          <w:rStyle w:val="FootnoteReference"/>
        </w:rPr>
        <w:footnoteRef/>
      </w:r>
      <w:r>
        <w:t xml:space="preserve"> See section 4.1.2 for how this is applied for Commonwealth equity injections.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46976" behindDoc="1" locked="1" layoutInCell="1" allowOverlap="1" wp14:anchorId="04515E53" wp14:editId="409C3B2B">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7"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Pr="00C36B29" w:rsidRDefault="00115BD3" w:rsidP="00C36B29">
    <w:pPr>
      <w:pStyle w:val="Header"/>
      <w:jc w:val="center"/>
      <w:rPr>
        <w:b/>
        <w:sz w:val="36"/>
      </w:rPr>
    </w:pPr>
    <w:r w:rsidRPr="00C36B29">
      <w:rPr>
        <w:b/>
        <w:noProof/>
        <w:sz w:val="36"/>
        <w:lang w:eastAsia="en-AU"/>
      </w:rPr>
      <mc:AlternateContent>
        <mc:Choice Requires="wps">
          <w:drawing>
            <wp:anchor distT="0" distB="0" distL="114300" distR="114300" simplePos="0" relativeHeight="251686912" behindDoc="1" locked="1" layoutInCell="1" allowOverlap="1" wp14:anchorId="0FE2BA6B" wp14:editId="08165C36">
              <wp:simplePos x="0" y="0"/>
              <wp:positionH relativeFrom="page">
                <wp:align>center</wp:align>
              </wp:positionH>
              <wp:positionV relativeFrom="page">
                <wp:align>center</wp:align>
              </wp:positionV>
              <wp:extent cx="7560000" cy="1796400"/>
              <wp:effectExtent l="0" t="0" r="0" b="0"/>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0;margin-top:0;width:595.3pt;height:141.45pt;z-index:-2516295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M9Uz4e6AgAA&#10;ww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88960" behindDoc="1" locked="1" layoutInCell="1" allowOverlap="1" wp14:anchorId="11D0759E" wp14:editId="053CEA7F">
              <wp:simplePos x="0" y="0"/>
              <wp:positionH relativeFrom="page">
                <wp:align>center</wp:align>
              </wp:positionH>
              <wp:positionV relativeFrom="page">
                <wp:align>center</wp:align>
              </wp:positionV>
              <wp:extent cx="7560000" cy="1796400"/>
              <wp:effectExtent l="0" t="0" r="0" b="0"/>
              <wp:wrapNone/>
              <wp:docPr id="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595.3pt;height:141.45pt;z-index:-2516275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Kd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pxg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A8huFs0mNf2Wm+37&#10;qdkX3GjacQPTo+VdhhcnJ5paDa5F5VprKG+n9UUpbPrnUkC7j412irUineRqxs3oHkfotGblvJHV&#10;E2hYSVAYqBFGHywaqb5hNMAYybD+uqOKYdS+E/AOkpAQO3fchsziCDbq0rK5tFBRAlSGDUbTcmWm&#10;WbXrFd82EGl6eULewtupuVP1OavDi4NR4cgdxpqdRZd753Uevs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WIkp26AgAA&#10;xA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53120" behindDoc="1" locked="1" layoutInCell="1" allowOverlap="1" wp14:anchorId="4496B01F" wp14:editId="63EF6462">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w:drawing>
        <wp:anchor distT="0" distB="0" distL="114300" distR="114300" simplePos="0" relativeHeight="251683840" behindDoc="0" locked="1" layoutInCell="1" allowOverlap="1" wp14:anchorId="71EAFC9C" wp14:editId="5EE9D3EC">
          <wp:simplePos x="0" y="0"/>
          <wp:positionH relativeFrom="page">
            <wp:posOffset>939800</wp:posOffset>
          </wp:positionH>
          <wp:positionV relativeFrom="page">
            <wp:posOffset>1260475</wp:posOffset>
          </wp:positionV>
          <wp:extent cx="1918800" cy="586800"/>
          <wp:effectExtent l="0" t="0" r="5715" b="3810"/>
          <wp:wrapNone/>
          <wp:docPr id="5" name="Picture 5"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1" locked="1" layoutInCell="1" allowOverlap="1" wp14:anchorId="4B73EA1D" wp14:editId="38E92B29">
          <wp:simplePos x="896815" y="509954"/>
          <wp:positionH relativeFrom="page">
            <wp:align>left</wp:align>
          </wp:positionH>
          <wp:positionV relativeFrom="page">
            <wp:align>top</wp:align>
          </wp:positionV>
          <wp:extent cx="7559675" cy="10692765"/>
          <wp:effectExtent l="0" t="0" r="3175" b="0"/>
          <wp:wrapNone/>
          <wp:docPr id="14" name="Picture 14"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4864" behindDoc="1" locked="1" layoutInCell="1" allowOverlap="1" wp14:anchorId="64298874" wp14:editId="2864ABB3">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A718B4">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115BD3" w:rsidRPr="0001226A" w:rsidRDefault="00115BD3" w:rsidP="00A718B4">
                    <w:pPr>
                      <w:pStyle w:val="xStatus"/>
                      <w:rPr>
                        <w:szCs w:val="120"/>
                      </w:rPr>
                    </w:pPr>
                  </w:p>
                </w:txbxContent>
              </v:textbox>
              <w10:wrap anchorx="page" anchory="page"/>
              <w10:anchorlock/>
            </v:shape>
          </w:pict>
        </mc:Fallback>
      </mc:AlternateContent>
    </w:r>
  </w:p>
  <w:p w:rsidR="00115BD3" w:rsidRDefault="00115B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76672" behindDoc="1" locked="1" layoutInCell="1" allowOverlap="1" wp14:anchorId="0ED25F8B" wp14:editId="37A7FF6F">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32uwIAAMQ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Nys32uwIA&#10;AMQFAAAOAAAAAAAAAAAAAAAAAC4CAABkcnMvZTJvRG9jLnhtbFBLAQItABQABgAIAAAAIQA0xUTO&#10;2wAAAAYBAAAPAAAAAAAAAAAAAAAAABUFAABkcnMvZG93bnJldi54bWxQSwUGAAAAAAQABADzAAAA&#10;HQY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78720" behindDoc="1" locked="1" layoutInCell="1" allowOverlap="1" wp14:anchorId="42FF180C" wp14:editId="4F4A4C37">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m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jfZqa6AgAA&#10;xA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74624" behindDoc="1" locked="1" layoutInCell="1" allowOverlap="1" wp14:anchorId="705ABB3C" wp14:editId="63CDE428">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OV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I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t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80U5W6AgAA&#10;xA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67456" behindDoc="1" locked="1" layoutInCell="1" allowOverlap="1" wp14:anchorId="6B80008F" wp14:editId="28A270DA">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A7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SvYDu6AgAA&#10;ww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Default="00115BD3">
    <w:pPr>
      <w:pStyle w:val="Header"/>
    </w:pPr>
    <w:r>
      <w:rPr>
        <w:noProof/>
        <w:lang w:eastAsia="en-AU"/>
      </w:rPr>
      <mc:AlternateContent>
        <mc:Choice Requires="wps">
          <w:drawing>
            <wp:anchor distT="0" distB="0" distL="114300" distR="114300" simplePos="0" relativeHeight="251661312" behindDoc="1" locked="1" layoutInCell="1" allowOverlap="1" wp14:anchorId="7AD01B41" wp14:editId="1CB2986F">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01226A" w:rsidRDefault="00115BD3"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CugIAAMQ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Zz5kK6AgAA&#10;xAUAAA4AAAAAAAAAAAAAAAAALgIAAGRycy9lMm9Eb2MueG1sUEsBAi0AFAAGAAgAAAAhADTFRM7b&#10;AAAABgEAAA8AAAAAAAAAAAAAAAAAFAUAAGRycy9kb3ducmV2LnhtbFBLBQYAAAAABAAEAPMAAAAc&#10;BgAAAAA=&#10;" filled="f" stroked="f">
              <v:textbox>
                <w:txbxContent>
                  <w:p w:rsidR="00115BD3" w:rsidRPr="0001226A" w:rsidRDefault="00115BD3"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D3" w:rsidRPr="00C36B29" w:rsidRDefault="00115BD3" w:rsidP="00C36B29">
    <w:pPr>
      <w:pStyle w:val="Header"/>
      <w:jc w:val="center"/>
      <w:rPr>
        <w:b/>
        <w:sz w:val="36"/>
      </w:rPr>
    </w:pPr>
  </w:p>
  <w:p w:rsidR="00115BD3" w:rsidRDefault="00115BD3">
    <w:pPr>
      <w:pStyle w:val="Header"/>
    </w:pPr>
    <w:r>
      <w:rPr>
        <w:noProof/>
        <w:lang w:eastAsia="en-AU"/>
      </w:rPr>
      <mc:AlternateContent>
        <mc:Choice Requires="wps">
          <w:drawing>
            <wp:anchor distT="0" distB="0" distL="114300" distR="114300" simplePos="0" relativeHeight="251691008" behindDoc="1" locked="1" layoutInCell="1" allowOverlap="1" wp14:anchorId="193F7DAB" wp14:editId="33C4D4BA">
              <wp:simplePos x="0" y="0"/>
              <wp:positionH relativeFrom="page">
                <wp:align>center</wp:align>
              </wp:positionH>
              <wp:positionV relativeFrom="page">
                <wp:align>center</wp:align>
              </wp:positionV>
              <wp:extent cx="7560000" cy="1796400"/>
              <wp:effectExtent l="0" t="0" r="0" b="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BD3" w:rsidRPr="00C36B29" w:rsidRDefault="00115BD3" w:rsidP="00F45442">
                          <w:pPr>
                            <w:pStyle w:val="xStatus"/>
                            <w:rPr>
                              <w:sz w:val="160"/>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6254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3N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WDc26AgAA&#10;xAUAAA4AAAAAAAAAAAAAAAAALgIAAGRycy9lMm9Eb2MueG1sUEsBAi0AFAAGAAgAAAAhADTFRM7b&#10;AAAABgEAAA8AAAAAAAAAAAAAAAAAFAUAAGRycy9kb3ducmV2LnhtbFBLBQYAAAAABAAEAPMAAAAc&#10;BgAAAAA=&#10;" filled="f" stroked="f">
              <v:textbox>
                <w:txbxContent>
                  <w:p w:rsidR="00115BD3" w:rsidRPr="00C36B29" w:rsidRDefault="00115BD3" w:rsidP="00F45442">
                    <w:pPr>
                      <w:pStyle w:val="xStatus"/>
                      <w:rPr>
                        <w:sz w:val="160"/>
                        <w:szCs w:val="120"/>
                      </w:rPr>
                    </w:pP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FFFFFF89"/>
    <w:multiLevelType w:val="singleLevel"/>
    <w:tmpl w:val="AF1079B0"/>
    <w:lvl w:ilvl="0">
      <w:start w:val="1"/>
      <w:numFmt w:val="bullet"/>
      <w:lvlText w:val=""/>
      <w:lvlJc w:val="left"/>
      <w:pPr>
        <w:tabs>
          <w:tab w:val="num" w:pos="360"/>
        </w:tabs>
        <w:ind w:left="360" w:hanging="360"/>
      </w:pPr>
      <w:rPr>
        <w:rFonts w:ascii="Symbol" w:hAnsi="Symbol" w:hint="default"/>
      </w:rPr>
    </w:lvl>
  </w:abstractNum>
  <w:abstractNum w:abstractNumId="3">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4">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907"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5">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6">
    <w:nsid w:val="0FE8603A"/>
    <w:multiLevelType w:val="hybridMultilevel"/>
    <w:tmpl w:val="D422AF5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8">
    <w:nsid w:val="1F4D0BE9"/>
    <w:multiLevelType w:val="hybridMultilevel"/>
    <w:tmpl w:val="3D10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620EBE"/>
    <w:multiLevelType w:val="hybridMultilevel"/>
    <w:tmpl w:val="7AF2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A323C6"/>
    <w:multiLevelType w:val="hybridMultilevel"/>
    <w:tmpl w:val="59BCE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2">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3">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2EB6456C"/>
    <w:multiLevelType w:val="hybridMultilevel"/>
    <w:tmpl w:val="75B6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382EF5"/>
    <w:multiLevelType w:val="hybridMultilevel"/>
    <w:tmpl w:val="6A888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8">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547842FF"/>
    <w:multiLevelType w:val="hybridMultilevel"/>
    <w:tmpl w:val="C842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2">
    <w:nsid w:val="5D1007F1"/>
    <w:multiLevelType w:val="hybridMultilevel"/>
    <w:tmpl w:val="4404CDCE"/>
    <w:lvl w:ilvl="0" w:tplc="7D98D776">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4">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6">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nsid w:val="6FE62725"/>
    <w:multiLevelType w:val="hybridMultilevel"/>
    <w:tmpl w:val="E1A283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0250B03"/>
    <w:multiLevelType w:val="multilevel"/>
    <w:tmpl w:val="73EE0EAC"/>
    <w:name w:val="QuoteBullets"/>
    <w:lvl w:ilvl="0">
      <w:start w:val="1"/>
      <w:numFmt w:val="bullet"/>
      <w:pStyle w:val="QuoteBullet"/>
      <w:lvlText w:val="•"/>
      <w:lvlJc w:val="left"/>
      <w:pPr>
        <w:ind w:left="567" w:hanging="283"/>
      </w:pPr>
      <w:rPr>
        <w:rFonts w:ascii="Calibri" w:hAnsi="Calibri" w:hint="default"/>
        <w:color w:val="3D4D7D" w:themeColor="background2"/>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9">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7EE4A6A"/>
    <w:multiLevelType w:val="hybridMultilevel"/>
    <w:tmpl w:val="610C8E0A"/>
    <w:lvl w:ilvl="0" w:tplc="160C08BC">
      <w:numFmt w:val="bullet"/>
      <w:lvlText w:val="-"/>
      <w:lvlJc w:val="left"/>
      <w:pPr>
        <w:ind w:left="720" w:hanging="360"/>
      </w:pPr>
      <w:rPr>
        <w:rFonts w:ascii="Calibri" w:eastAsiaTheme="minorHAns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2">
    <w:nsid w:val="7BC933D2"/>
    <w:multiLevelType w:val="hybridMultilevel"/>
    <w:tmpl w:val="7898C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31"/>
  </w:num>
  <w:num w:numId="4">
    <w:abstractNumId w:val="28"/>
  </w:num>
  <w:num w:numId="5">
    <w:abstractNumId w:val="5"/>
  </w:num>
  <w:num w:numId="6">
    <w:abstractNumId w:val="7"/>
  </w:num>
  <w:num w:numId="7">
    <w:abstractNumId w:val="25"/>
  </w:num>
  <w:num w:numId="8">
    <w:abstractNumId w:val="4"/>
  </w:num>
  <w:num w:numId="9">
    <w:abstractNumId w:val="17"/>
  </w:num>
  <w:num w:numId="10">
    <w:abstractNumId w:val="11"/>
  </w:num>
  <w:num w:numId="11">
    <w:abstractNumId w:val="12"/>
  </w:num>
  <w:num w:numId="12">
    <w:abstractNumId w:val="23"/>
  </w:num>
  <w:num w:numId="13">
    <w:abstractNumId w:val="29"/>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8"/>
  </w:num>
  <w:num w:numId="24">
    <w:abstractNumId w:val="28"/>
  </w:num>
  <w:num w:numId="25">
    <w:abstractNumId w:val="28"/>
  </w:num>
  <w:num w:numId="26">
    <w:abstractNumId w:val="28"/>
  </w:num>
  <w:num w:numId="27">
    <w:abstractNumId w:val="28"/>
  </w:num>
  <w:num w:numId="28">
    <w:abstractNumId w:val="28"/>
  </w:num>
  <w:num w:numId="29">
    <w:abstractNumId w:val="28"/>
  </w:num>
  <w:num w:numId="30">
    <w:abstractNumId w:val="2"/>
  </w:num>
  <w:num w:numId="31">
    <w:abstractNumId w:val="17"/>
  </w:num>
  <w:num w:numId="32">
    <w:abstractNumId w:val="30"/>
  </w:num>
  <w:num w:numId="33">
    <w:abstractNumId w:val="17"/>
  </w:num>
  <w:num w:numId="34">
    <w:abstractNumId w:val="17"/>
  </w:num>
  <w:num w:numId="35">
    <w:abstractNumId w:val="15"/>
  </w:num>
  <w:num w:numId="36">
    <w:abstractNumId w:val="4"/>
  </w:num>
  <w:num w:numId="37">
    <w:abstractNumId w:val="14"/>
  </w:num>
  <w:num w:numId="38">
    <w:abstractNumId w:val="19"/>
  </w:num>
  <w:num w:numId="39">
    <w:abstractNumId w:val="6"/>
  </w:num>
  <w:num w:numId="40">
    <w:abstractNumId w:val="17"/>
  </w:num>
  <w:num w:numId="41">
    <w:abstractNumId w:val="17"/>
  </w:num>
  <w:num w:numId="42">
    <w:abstractNumId w:val="8"/>
  </w:num>
  <w:num w:numId="43">
    <w:abstractNumId w:val="22"/>
  </w:num>
  <w:num w:numId="44">
    <w:abstractNumId w:val="17"/>
  </w:num>
  <w:num w:numId="45">
    <w:abstractNumId w:val="17"/>
  </w:num>
  <w:num w:numId="46">
    <w:abstractNumId w:val="17"/>
  </w:num>
  <w:num w:numId="47">
    <w:abstractNumId w:val="28"/>
  </w:num>
  <w:num w:numId="48">
    <w:abstractNumId w:val="32"/>
  </w:num>
  <w:num w:numId="49">
    <w:abstractNumId w:val="27"/>
  </w:num>
  <w:num w:numId="50">
    <w:abstractNumId w:val="10"/>
  </w:num>
  <w:num w:numId="51">
    <w:abstractNumId w:val="9"/>
  </w:num>
  <w:num w:numId="52">
    <w:abstractNumId w:val="4"/>
  </w:num>
  <w:num w:numId="53">
    <w:abstractNumId w:val="17"/>
  </w:num>
  <w:num w:numId="54">
    <w:abstractNumId w:val="4"/>
  </w:num>
  <w:num w:numId="55">
    <w:abstractNumId w:val="17"/>
  </w:num>
  <w:num w:numId="56">
    <w:abstractNumId w:val="17"/>
  </w:num>
  <w:num w:numId="57">
    <w:abstractNumId w:val="17"/>
  </w:num>
  <w:num w:numId="58">
    <w:abstractNumId w:val="17"/>
  </w:num>
  <w:num w:numId="59">
    <w:abstractNumId w:val="17"/>
  </w:num>
  <w:num w:numId="60">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34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FC01C5"/>
    <w:rsid w:val="00002EBB"/>
    <w:rsid w:val="0000322C"/>
    <w:rsid w:val="0000389F"/>
    <w:rsid w:val="000039F5"/>
    <w:rsid w:val="00003CDD"/>
    <w:rsid w:val="00006CCC"/>
    <w:rsid w:val="00007939"/>
    <w:rsid w:val="00010D11"/>
    <w:rsid w:val="00010FF3"/>
    <w:rsid w:val="00012996"/>
    <w:rsid w:val="00013785"/>
    <w:rsid w:val="000165A7"/>
    <w:rsid w:val="000168A7"/>
    <w:rsid w:val="000202DA"/>
    <w:rsid w:val="00023A6F"/>
    <w:rsid w:val="0002718D"/>
    <w:rsid w:val="000278D0"/>
    <w:rsid w:val="00027E62"/>
    <w:rsid w:val="000307C8"/>
    <w:rsid w:val="00030F73"/>
    <w:rsid w:val="000316C8"/>
    <w:rsid w:val="00034A4F"/>
    <w:rsid w:val="00035ADE"/>
    <w:rsid w:val="00037C1B"/>
    <w:rsid w:val="00040BA9"/>
    <w:rsid w:val="0004106F"/>
    <w:rsid w:val="0004224B"/>
    <w:rsid w:val="00043D8D"/>
    <w:rsid w:val="00046226"/>
    <w:rsid w:val="0005014C"/>
    <w:rsid w:val="00052BAC"/>
    <w:rsid w:val="0005330D"/>
    <w:rsid w:val="0005397B"/>
    <w:rsid w:val="0005508A"/>
    <w:rsid w:val="000557A7"/>
    <w:rsid w:val="00055805"/>
    <w:rsid w:val="00056CB3"/>
    <w:rsid w:val="00056E7B"/>
    <w:rsid w:val="0005727F"/>
    <w:rsid w:val="00061B01"/>
    <w:rsid w:val="000624CB"/>
    <w:rsid w:val="00064848"/>
    <w:rsid w:val="000662F5"/>
    <w:rsid w:val="00067A28"/>
    <w:rsid w:val="00071CDC"/>
    <w:rsid w:val="0007260F"/>
    <w:rsid w:val="00072B60"/>
    <w:rsid w:val="00073263"/>
    <w:rsid w:val="000742A8"/>
    <w:rsid w:val="0007721E"/>
    <w:rsid w:val="000805D5"/>
    <w:rsid w:val="000808C2"/>
    <w:rsid w:val="0008103B"/>
    <w:rsid w:val="000816C5"/>
    <w:rsid w:val="000821BF"/>
    <w:rsid w:val="00082801"/>
    <w:rsid w:val="00082D48"/>
    <w:rsid w:val="0008401E"/>
    <w:rsid w:val="00084842"/>
    <w:rsid w:val="0008577E"/>
    <w:rsid w:val="00085845"/>
    <w:rsid w:val="00085F97"/>
    <w:rsid w:val="00086ADA"/>
    <w:rsid w:val="00086FC0"/>
    <w:rsid w:val="00086FD2"/>
    <w:rsid w:val="000878ED"/>
    <w:rsid w:val="00091755"/>
    <w:rsid w:val="00091D53"/>
    <w:rsid w:val="00092A33"/>
    <w:rsid w:val="00092B6C"/>
    <w:rsid w:val="00093EB9"/>
    <w:rsid w:val="00095298"/>
    <w:rsid w:val="0009782C"/>
    <w:rsid w:val="000A1865"/>
    <w:rsid w:val="000A2FEC"/>
    <w:rsid w:val="000A348F"/>
    <w:rsid w:val="000A4999"/>
    <w:rsid w:val="000A50FA"/>
    <w:rsid w:val="000A596A"/>
    <w:rsid w:val="000A7FB4"/>
    <w:rsid w:val="000B3F9F"/>
    <w:rsid w:val="000B58CC"/>
    <w:rsid w:val="000B59E5"/>
    <w:rsid w:val="000B5D81"/>
    <w:rsid w:val="000B6942"/>
    <w:rsid w:val="000B72D4"/>
    <w:rsid w:val="000B79A1"/>
    <w:rsid w:val="000C0225"/>
    <w:rsid w:val="000C09FA"/>
    <w:rsid w:val="000C1B81"/>
    <w:rsid w:val="000C37A9"/>
    <w:rsid w:val="000C3E39"/>
    <w:rsid w:val="000C455B"/>
    <w:rsid w:val="000C4653"/>
    <w:rsid w:val="000C4D63"/>
    <w:rsid w:val="000C6728"/>
    <w:rsid w:val="000C702E"/>
    <w:rsid w:val="000D0176"/>
    <w:rsid w:val="000D0238"/>
    <w:rsid w:val="000D143E"/>
    <w:rsid w:val="000D15E9"/>
    <w:rsid w:val="000D2996"/>
    <w:rsid w:val="000D2E93"/>
    <w:rsid w:val="000D3182"/>
    <w:rsid w:val="000D45C4"/>
    <w:rsid w:val="000D52A6"/>
    <w:rsid w:val="000D7D99"/>
    <w:rsid w:val="000E0EDE"/>
    <w:rsid w:val="000E15EB"/>
    <w:rsid w:val="000E18F3"/>
    <w:rsid w:val="000E266E"/>
    <w:rsid w:val="000E37B3"/>
    <w:rsid w:val="000E4E17"/>
    <w:rsid w:val="000E7199"/>
    <w:rsid w:val="000F1515"/>
    <w:rsid w:val="000F16B5"/>
    <w:rsid w:val="000F352E"/>
    <w:rsid w:val="000F427F"/>
    <w:rsid w:val="000F616E"/>
    <w:rsid w:val="001003A3"/>
    <w:rsid w:val="0010053D"/>
    <w:rsid w:val="0010218D"/>
    <w:rsid w:val="001023B5"/>
    <w:rsid w:val="00104F78"/>
    <w:rsid w:val="00106126"/>
    <w:rsid w:val="00107896"/>
    <w:rsid w:val="00110190"/>
    <w:rsid w:val="00110510"/>
    <w:rsid w:val="00110D43"/>
    <w:rsid w:val="00112010"/>
    <w:rsid w:val="00114E00"/>
    <w:rsid w:val="001159EA"/>
    <w:rsid w:val="00115BD3"/>
    <w:rsid w:val="00115DA8"/>
    <w:rsid w:val="00120493"/>
    <w:rsid w:val="0012257A"/>
    <w:rsid w:val="0012272A"/>
    <w:rsid w:val="00122D6D"/>
    <w:rsid w:val="00123889"/>
    <w:rsid w:val="00125410"/>
    <w:rsid w:val="00126406"/>
    <w:rsid w:val="00126A1C"/>
    <w:rsid w:val="00126F5E"/>
    <w:rsid w:val="00127EAF"/>
    <w:rsid w:val="00130858"/>
    <w:rsid w:val="00132FCC"/>
    <w:rsid w:val="001330F3"/>
    <w:rsid w:val="00133E3D"/>
    <w:rsid w:val="001343BC"/>
    <w:rsid w:val="00136C26"/>
    <w:rsid w:val="00136D31"/>
    <w:rsid w:val="00140186"/>
    <w:rsid w:val="00140350"/>
    <w:rsid w:val="0014059F"/>
    <w:rsid w:val="00141551"/>
    <w:rsid w:val="001417CE"/>
    <w:rsid w:val="00142520"/>
    <w:rsid w:val="00142B68"/>
    <w:rsid w:val="00143C69"/>
    <w:rsid w:val="0014479F"/>
    <w:rsid w:val="0014581E"/>
    <w:rsid w:val="00146316"/>
    <w:rsid w:val="00146675"/>
    <w:rsid w:val="001507F8"/>
    <w:rsid w:val="00151149"/>
    <w:rsid w:val="00151617"/>
    <w:rsid w:val="001525D6"/>
    <w:rsid w:val="00152FA9"/>
    <w:rsid w:val="00153E6F"/>
    <w:rsid w:val="00154DC5"/>
    <w:rsid w:val="001552CB"/>
    <w:rsid w:val="00156291"/>
    <w:rsid w:val="0015795A"/>
    <w:rsid w:val="00160C8D"/>
    <w:rsid w:val="00161455"/>
    <w:rsid w:val="00161E45"/>
    <w:rsid w:val="001629C0"/>
    <w:rsid w:val="00162D2C"/>
    <w:rsid w:val="00163404"/>
    <w:rsid w:val="0016474F"/>
    <w:rsid w:val="001649ED"/>
    <w:rsid w:val="00165122"/>
    <w:rsid w:val="001654F5"/>
    <w:rsid w:val="00165854"/>
    <w:rsid w:val="001664EA"/>
    <w:rsid w:val="00173B89"/>
    <w:rsid w:val="00173DFD"/>
    <w:rsid w:val="001742F4"/>
    <w:rsid w:val="00176B1E"/>
    <w:rsid w:val="001800D8"/>
    <w:rsid w:val="00180D23"/>
    <w:rsid w:val="00180FF9"/>
    <w:rsid w:val="00181D7B"/>
    <w:rsid w:val="001830F3"/>
    <w:rsid w:val="00184BF1"/>
    <w:rsid w:val="001855E4"/>
    <w:rsid w:val="00186BE8"/>
    <w:rsid w:val="001901A1"/>
    <w:rsid w:val="001918BB"/>
    <w:rsid w:val="00193386"/>
    <w:rsid w:val="001938AF"/>
    <w:rsid w:val="00195228"/>
    <w:rsid w:val="00195618"/>
    <w:rsid w:val="00195696"/>
    <w:rsid w:val="00196532"/>
    <w:rsid w:val="0019662E"/>
    <w:rsid w:val="001969C5"/>
    <w:rsid w:val="00197E31"/>
    <w:rsid w:val="001A10CB"/>
    <w:rsid w:val="001A1EFC"/>
    <w:rsid w:val="001A25BA"/>
    <w:rsid w:val="001A48EF"/>
    <w:rsid w:val="001A49CC"/>
    <w:rsid w:val="001A5553"/>
    <w:rsid w:val="001A5DF6"/>
    <w:rsid w:val="001A5E6C"/>
    <w:rsid w:val="001A716E"/>
    <w:rsid w:val="001B0565"/>
    <w:rsid w:val="001B2C65"/>
    <w:rsid w:val="001B3448"/>
    <w:rsid w:val="001B3E03"/>
    <w:rsid w:val="001B54F6"/>
    <w:rsid w:val="001B7058"/>
    <w:rsid w:val="001B715F"/>
    <w:rsid w:val="001C0620"/>
    <w:rsid w:val="001C1310"/>
    <w:rsid w:val="001C186C"/>
    <w:rsid w:val="001C35EA"/>
    <w:rsid w:val="001C366F"/>
    <w:rsid w:val="001C3A4F"/>
    <w:rsid w:val="001C4121"/>
    <w:rsid w:val="001C48DE"/>
    <w:rsid w:val="001C5EE0"/>
    <w:rsid w:val="001C6532"/>
    <w:rsid w:val="001C69EC"/>
    <w:rsid w:val="001C6EA1"/>
    <w:rsid w:val="001C6EB4"/>
    <w:rsid w:val="001C78D8"/>
    <w:rsid w:val="001D00C7"/>
    <w:rsid w:val="001D0FBC"/>
    <w:rsid w:val="001D1435"/>
    <w:rsid w:val="001D2BC3"/>
    <w:rsid w:val="001D2ECD"/>
    <w:rsid w:val="001D3308"/>
    <w:rsid w:val="001D355D"/>
    <w:rsid w:val="001D4894"/>
    <w:rsid w:val="001D52E3"/>
    <w:rsid w:val="001D576F"/>
    <w:rsid w:val="001D5C8D"/>
    <w:rsid w:val="001D6C52"/>
    <w:rsid w:val="001D781A"/>
    <w:rsid w:val="001D7C29"/>
    <w:rsid w:val="001E030A"/>
    <w:rsid w:val="001E0475"/>
    <w:rsid w:val="001E100B"/>
    <w:rsid w:val="001E2840"/>
    <w:rsid w:val="001E4197"/>
    <w:rsid w:val="001E4949"/>
    <w:rsid w:val="001E6FF5"/>
    <w:rsid w:val="001E7238"/>
    <w:rsid w:val="001E72BB"/>
    <w:rsid w:val="001F0590"/>
    <w:rsid w:val="001F2FA5"/>
    <w:rsid w:val="001F337E"/>
    <w:rsid w:val="001F35FB"/>
    <w:rsid w:val="001F3AC9"/>
    <w:rsid w:val="001F5604"/>
    <w:rsid w:val="001F5C90"/>
    <w:rsid w:val="001F6F26"/>
    <w:rsid w:val="001F744C"/>
    <w:rsid w:val="001F767C"/>
    <w:rsid w:val="00200D7A"/>
    <w:rsid w:val="00200F4B"/>
    <w:rsid w:val="00202538"/>
    <w:rsid w:val="00202848"/>
    <w:rsid w:val="00202AB4"/>
    <w:rsid w:val="00203D31"/>
    <w:rsid w:val="00203D98"/>
    <w:rsid w:val="0020606E"/>
    <w:rsid w:val="002067C2"/>
    <w:rsid w:val="00207FBC"/>
    <w:rsid w:val="00210044"/>
    <w:rsid w:val="00210FCF"/>
    <w:rsid w:val="00212128"/>
    <w:rsid w:val="002142E4"/>
    <w:rsid w:val="0021511E"/>
    <w:rsid w:val="00215E84"/>
    <w:rsid w:val="00216649"/>
    <w:rsid w:val="00217400"/>
    <w:rsid w:val="00217DB4"/>
    <w:rsid w:val="00217EF3"/>
    <w:rsid w:val="0022211C"/>
    <w:rsid w:val="002226ED"/>
    <w:rsid w:val="00222EFF"/>
    <w:rsid w:val="002240D5"/>
    <w:rsid w:val="002246CB"/>
    <w:rsid w:val="00225407"/>
    <w:rsid w:val="002261A7"/>
    <w:rsid w:val="00226AEC"/>
    <w:rsid w:val="00231E5F"/>
    <w:rsid w:val="002326E1"/>
    <w:rsid w:val="00233BE7"/>
    <w:rsid w:val="00235387"/>
    <w:rsid w:val="00236F88"/>
    <w:rsid w:val="00240456"/>
    <w:rsid w:val="00240813"/>
    <w:rsid w:val="00242192"/>
    <w:rsid w:val="0024239E"/>
    <w:rsid w:val="002444DA"/>
    <w:rsid w:val="00244690"/>
    <w:rsid w:val="0024573E"/>
    <w:rsid w:val="00245AAD"/>
    <w:rsid w:val="00245C18"/>
    <w:rsid w:val="002478BB"/>
    <w:rsid w:val="00250A99"/>
    <w:rsid w:val="0025215D"/>
    <w:rsid w:val="00252859"/>
    <w:rsid w:val="00252A0C"/>
    <w:rsid w:val="00252A4F"/>
    <w:rsid w:val="00253768"/>
    <w:rsid w:val="0025378F"/>
    <w:rsid w:val="002545F3"/>
    <w:rsid w:val="00256C53"/>
    <w:rsid w:val="00257B03"/>
    <w:rsid w:val="002619B3"/>
    <w:rsid w:val="0026238F"/>
    <w:rsid w:val="0026344F"/>
    <w:rsid w:val="00263930"/>
    <w:rsid w:val="00264E31"/>
    <w:rsid w:val="00266A17"/>
    <w:rsid w:val="002679BA"/>
    <w:rsid w:val="00267FD8"/>
    <w:rsid w:val="00270372"/>
    <w:rsid w:val="0027127A"/>
    <w:rsid w:val="0027400D"/>
    <w:rsid w:val="002747C7"/>
    <w:rsid w:val="0027535D"/>
    <w:rsid w:val="00275534"/>
    <w:rsid w:val="00277075"/>
    <w:rsid w:val="002775D2"/>
    <w:rsid w:val="002807A9"/>
    <w:rsid w:val="00281ADD"/>
    <w:rsid w:val="00282EA8"/>
    <w:rsid w:val="00284219"/>
    <w:rsid w:val="00285F58"/>
    <w:rsid w:val="00293216"/>
    <w:rsid w:val="00293E0D"/>
    <w:rsid w:val="00293E80"/>
    <w:rsid w:val="00296BFB"/>
    <w:rsid w:val="0029706D"/>
    <w:rsid w:val="002973B0"/>
    <w:rsid w:val="00297971"/>
    <w:rsid w:val="00297C14"/>
    <w:rsid w:val="00297DC0"/>
    <w:rsid w:val="002A07CD"/>
    <w:rsid w:val="002A0BC6"/>
    <w:rsid w:val="002A0F7A"/>
    <w:rsid w:val="002A1787"/>
    <w:rsid w:val="002A1846"/>
    <w:rsid w:val="002A1F36"/>
    <w:rsid w:val="002A220F"/>
    <w:rsid w:val="002A24F1"/>
    <w:rsid w:val="002A5778"/>
    <w:rsid w:val="002A5F67"/>
    <w:rsid w:val="002A6603"/>
    <w:rsid w:val="002A723E"/>
    <w:rsid w:val="002A7569"/>
    <w:rsid w:val="002B0FD8"/>
    <w:rsid w:val="002B1E84"/>
    <w:rsid w:val="002B2085"/>
    <w:rsid w:val="002B2384"/>
    <w:rsid w:val="002B27D2"/>
    <w:rsid w:val="002B29A3"/>
    <w:rsid w:val="002B3EC4"/>
    <w:rsid w:val="002B43BD"/>
    <w:rsid w:val="002B47A9"/>
    <w:rsid w:val="002B4A26"/>
    <w:rsid w:val="002B6617"/>
    <w:rsid w:val="002C0FED"/>
    <w:rsid w:val="002C1F30"/>
    <w:rsid w:val="002C37D5"/>
    <w:rsid w:val="002C4713"/>
    <w:rsid w:val="002C5BEA"/>
    <w:rsid w:val="002C5DA0"/>
    <w:rsid w:val="002C64C8"/>
    <w:rsid w:val="002D14CD"/>
    <w:rsid w:val="002D2B2B"/>
    <w:rsid w:val="002D32C3"/>
    <w:rsid w:val="002D34DB"/>
    <w:rsid w:val="002D3BBF"/>
    <w:rsid w:val="002D4803"/>
    <w:rsid w:val="002D4B11"/>
    <w:rsid w:val="002D5D3C"/>
    <w:rsid w:val="002D6050"/>
    <w:rsid w:val="002D759C"/>
    <w:rsid w:val="002D7DB0"/>
    <w:rsid w:val="002D7E4A"/>
    <w:rsid w:val="002E05A3"/>
    <w:rsid w:val="002E2CA8"/>
    <w:rsid w:val="002E4A17"/>
    <w:rsid w:val="002E5633"/>
    <w:rsid w:val="002E60BF"/>
    <w:rsid w:val="002E73EA"/>
    <w:rsid w:val="002F0601"/>
    <w:rsid w:val="002F09E4"/>
    <w:rsid w:val="002F1963"/>
    <w:rsid w:val="002F1CC4"/>
    <w:rsid w:val="002F2E1F"/>
    <w:rsid w:val="002F3507"/>
    <w:rsid w:val="002F452D"/>
    <w:rsid w:val="002F4A8A"/>
    <w:rsid w:val="002F5835"/>
    <w:rsid w:val="002F5B6E"/>
    <w:rsid w:val="002F61B5"/>
    <w:rsid w:val="002F6E66"/>
    <w:rsid w:val="00300628"/>
    <w:rsid w:val="0030209B"/>
    <w:rsid w:val="00302E71"/>
    <w:rsid w:val="003041EB"/>
    <w:rsid w:val="00310ECE"/>
    <w:rsid w:val="00311CAB"/>
    <w:rsid w:val="003127E4"/>
    <w:rsid w:val="00313215"/>
    <w:rsid w:val="00315B39"/>
    <w:rsid w:val="00315D23"/>
    <w:rsid w:val="003174C3"/>
    <w:rsid w:val="003201C3"/>
    <w:rsid w:val="00320E34"/>
    <w:rsid w:val="00321C83"/>
    <w:rsid w:val="00321D9B"/>
    <w:rsid w:val="0032239F"/>
    <w:rsid w:val="00322939"/>
    <w:rsid w:val="00323CE7"/>
    <w:rsid w:val="00323E58"/>
    <w:rsid w:val="0032557A"/>
    <w:rsid w:val="00326066"/>
    <w:rsid w:val="0033065B"/>
    <w:rsid w:val="00331065"/>
    <w:rsid w:val="00334C8A"/>
    <w:rsid w:val="00336AEE"/>
    <w:rsid w:val="00340778"/>
    <w:rsid w:val="00344D2C"/>
    <w:rsid w:val="003458CE"/>
    <w:rsid w:val="00345A57"/>
    <w:rsid w:val="00346D90"/>
    <w:rsid w:val="00351F62"/>
    <w:rsid w:val="00354D49"/>
    <w:rsid w:val="00356D55"/>
    <w:rsid w:val="003601F4"/>
    <w:rsid w:val="003609B2"/>
    <w:rsid w:val="00360F21"/>
    <w:rsid w:val="00362B15"/>
    <w:rsid w:val="0036351A"/>
    <w:rsid w:val="00364FBA"/>
    <w:rsid w:val="003660F0"/>
    <w:rsid w:val="00366327"/>
    <w:rsid w:val="0036643F"/>
    <w:rsid w:val="003671E2"/>
    <w:rsid w:val="00367949"/>
    <w:rsid w:val="00371DC8"/>
    <w:rsid w:val="00372A97"/>
    <w:rsid w:val="00372AE6"/>
    <w:rsid w:val="00373378"/>
    <w:rsid w:val="003764D0"/>
    <w:rsid w:val="00380BA2"/>
    <w:rsid w:val="00381C0F"/>
    <w:rsid w:val="00383440"/>
    <w:rsid w:val="003837E1"/>
    <w:rsid w:val="00384334"/>
    <w:rsid w:val="0038584D"/>
    <w:rsid w:val="003863F8"/>
    <w:rsid w:val="0039257F"/>
    <w:rsid w:val="00392E1F"/>
    <w:rsid w:val="003931DE"/>
    <w:rsid w:val="00393406"/>
    <w:rsid w:val="00393B9C"/>
    <w:rsid w:val="00393BC1"/>
    <w:rsid w:val="00393DE4"/>
    <w:rsid w:val="003947F7"/>
    <w:rsid w:val="00395ABA"/>
    <w:rsid w:val="00396102"/>
    <w:rsid w:val="00397D1A"/>
    <w:rsid w:val="003A13BE"/>
    <w:rsid w:val="003A1616"/>
    <w:rsid w:val="003A163C"/>
    <w:rsid w:val="003A2B4E"/>
    <w:rsid w:val="003A2FBB"/>
    <w:rsid w:val="003A3799"/>
    <w:rsid w:val="003A403B"/>
    <w:rsid w:val="003A41BF"/>
    <w:rsid w:val="003A43A0"/>
    <w:rsid w:val="003A48A4"/>
    <w:rsid w:val="003A4913"/>
    <w:rsid w:val="003A531C"/>
    <w:rsid w:val="003A54A9"/>
    <w:rsid w:val="003A7083"/>
    <w:rsid w:val="003A7281"/>
    <w:rsid w:val="003B2477"/>
    <w:rsid w:val="003B29EF"/>
    <w:rsid w:val="003B38B3"/>
    <w:rsid w:val="003B392C"/>
    <w:rsid w:val="003B3A97"/>
    <w:rsid w:val="003B3D44"/>
    <w:rsid w:val="003B52E7"/>
    <w:rsid w:val="003B646A"/>
    <w:rsid w:val="003C186D"/>
    <w:rsid w:val="003C2C4F"/>
    <w:rsid w:val="003C3E55"/>
    <w:rsid w:val="003C6354"/>
    <w:rsid w:val="003C7CC2"/>
    <w:rsid w:val="003D0D39"/>
    <w:rsid w:val="003D50B6"/>
    <w:rsid w:val="003D744F"/>
    <w:rsid w:val="003D7CD8"/>
    <w:rsid w:val="003E05DF"/>
    <w:rsid w:val="003E0879"/>
    <w:rsid w:val="003E15A5"/>
    <w:rsid w:val="003E27B5"/>
    <w:rsid w:val="003E283A"/>
    <w:rsid w:val="003E2D3C"/>
    <w:rsid w:val="003E3C23"/>
    <w:rsid w:val="003E5CD9"/>
    <w:rsid w:val="003E6085"/>
    <w:rsid w:val="003E6B64"/>
    <w:rsid w:val="003E6CA3"/>
    <w:rsid w:val="003E7EF9"/>
    <w:rsid w:val="003F0BCA"/>
    <w:rsid w:val="003F13C9"/>
    <w:rsid w:val="003F19D3"/>
    <w:rsid w:val="003F421C"/>
    <w:rsid w:val="003F4C96"/>
    <w:rsid w:val="003F6686"/>
    <w:rsid w:val="003F69BB"/>
    <w:rsid w:val="003F6A1E"/>
    <w:rsid w:val="004008D7"/>
    <w:rsid w:val="00403A8E"/>
    <w:rsid w:val="004046F5"/>
    <w:rsid w:val="004054C2"/>
    <w:rsid w:val="00406002"/>
    <w:rsid w:val="00406324"/>
    <w:rsid w:val="00406686"/>
    <w:rsid w:val="00406AD3"/>
    <w:rsid w:val="004078E0"/>
    <w:rsid w:val="00411BDC"/>
    <w:rsid w:val="00411E01"/>
    <w:rsid w:val="00412142"/>
    <w:rsid w:val="00412E42"/>
    <w:rsid w:val="004139B2"/>
    <w:rsid w:val="00413CE6"/>
    <w:rsid w:val="00415568"/>
    <w:rsid w:val="00417A6B"/>
    <w:rsid w:val="0042321F"/>
    <w:rsid w:val="00424D31"/>
    <w:rsid w:val="0042558C"/>
    <w:rsid w:val="004259BB"/>
    <w:rsid w:val="00426356"/>
    <w:rsid w:val="00426929"/>
    <w:rsid w:val="00426E0B"/>
    <w:rsid w:val="00426F2E"/>
    <w:rsid w:val="00430C50"/>
    <w:rsid w:val="0043141F"/>
    <w:rsid w:val="00432CFD"/>
    <w:rsid w:val="00432E87"/>
    <w:rsid w:val="00434BFB"/>
    <w:rsid w:val="00435DC6"/>
    <w:rsid w:val="00440846"/>
    <w:rsid w:val="004422BD"/>
    <w:rsid w:val="00442798"/>
    <w:rsid w:val="004429BF"/>
    <w:rsid w:val="00442C16"/>
    <w:rsid w:val="00442F58"/>
    <w:rsid w:val="00443469"/>
    <w:rsid w:val="0044365D"/>
    <w:rsid w:val="00444695"/>
    <w:rsid w:val="00446439"/>
    <w:rsid w:val="004503AE"/>
    <w:rsid w:val="00450BDA"/>
    <w:rsid w:val="00450C9B"/>
    <w:rsid w:val="00451F87"/>
    <w:rsid w:val="00453A3E"/>
    <w:rsid w:val="0045452F"/>
    <w:rsid w:val="004545DF"/>
    <w:rsid w:val="00456DEB"/>
    <w:rsid w:val="0045766B"/>
    <w:rsid w:val="00460E17"/>
    <w:rsid w:val="00461D0E"/>
    <w:rsid w:val="00462787"/>
    <w:rsid w:val="00462A18"/>
    <w:rsid w:val="0046426A"/>
    <w:rsid w:val="00464E86"/>
    <w:rsid w:val="00466F3F"/>
    <w:rsid w:val="00470785"/>
    <w:rsid w:val="0047099A"/>
    <w:rsid w:val="0047129D"/>
    <w:rsid w:val="00473004"/>
    <w:rsid w:val="00474BB7"/>
    <w:rsid w:val="00474E53"/>
    <w:rsid w:val="004764E9"/>
    <w:rsid w:val="00480E8D"/>
    <w:rsid w:val="00480FCF"/>
    <w:rsid w:val="004816D7"/>
    <w:rsid w:val="00481B2D"/>
    <w:rsid w:val="004828DE"/>
    <w:rsid w:val="0048342E"/>
    <w:rsid w:val="00483ADA"/>
    <w:rsid w:val="00484482"/>
    <w:rsid w:val="00485D2B"/>
    <w:rsid w:val="00487478"/>
    <w:rsid w:val="0048782D"/>
    <w:rsid w:val="00490870"/>
    <w:rsid w:val="00494143"/>
    <w:rsid w:val="00494223"/>
    <w:rsid w:val="00494DC1"/>
    <w:rsid w:val="0049764E"/>
    <w:rsid w:val="00497FC5"/>
    <w:rsid w:val="004A0B83"/>
    <w:rsid w:val="004A0B98"/>
    <w:rsid w:val="004A2778"/>
    <w:rsid w:val="004A2793"/>
    <w:rsid w:val="004A2B4C"/>
    <w:rsid w:val="004A3F56"/>
    <w:rsid w:val="004A4685"/>
    <w:rsid w:val="004A5E21"/>
    <w:rsid w:val="004A666A"/>
    <w:rsid w:val="004A7282"/>
    <w:rsid w:val="004A7ABE"/>
    <w:rsid w:val="004B0512"/>
    <w:rsid w:val="004B143F"/>
    <w:rsid w:val="004B3E13"/>
    <w:rsid w:val="004B49A0"/>
    <w:rsid w:val="004B4C23"/>
    <w:rsid w:val="004B71B8"/>
    <w:rsid w:val="004B744D"/>
    <w:rsid w:val="004B7900"/>
    <w:rsid w:val="004C14E0"/>
    <w:rsid w:val="004C45D6"/>
    <w:rsid w:val="004C5063"/>
    <w:rsid w:val="004C6306"/>
    <w:rsid w:val="004C674E"/>
    <w:rsid w:val="004C6CDF"/>
    <w:rsid w:val="004C6F5E"/>
    <w:rsid w:val="004C7E94"/>
    <w:rsid w:val="004D00F8"/>
    <w:rsid w:val="004D04D6"/>
    <w:rsid w:val="004D2DE4"/>
    <w:rsid w:val="004D4B3A"/>
    <w:rsid w:val="004D58BA"/>
    <w:rsid w:val="004D5A7F"/>
    <w:rsid w:val="004D7CF8"/>
    <w:rsid w:val="004D7EDA"/>
    <w:rsid w:val="004E04DA"/>
    <w:rsid w:val="004E0E49"/>
    <w:rsid w:val="004E11C1"/>
    <w:rsid w:val="004E197A"/>
    <w:rsid w:val="004E2617"/>
    <w:rsid w:val="004E3DEF"/>
    <w:rsid w:val="004E4CEE"/>
    <w:rsid w:val="004E5059"/>
    <w:rsid w:val="004E5D52"/>
    <w:rsid w:val="004E5D89"/>
    <w:rsid w:val="004E5FAE"/>
    <w:rsid w:val="004E6DD0"/>
    <w:rsid w:val="004F015C"/>
    <w:rsid w:val="004F07D7"/>
    <w:rsid w:val="004F1297"/>
    <w:rsid w:val="004F165E"/>
    <w:rsid w:val="004F16DB"/>
    <w:rsid w:val="004F2275"/>
    <w:rsid w:val="004F2BB0"/>
    <w:rsid w:val="004F4175"/>
    <w:rsid w:val="004F44C8"/>
    <w:rsid w:val="004F4D7E"/>
    <w:rsid w:val="004F5B16"/>
    <w:rsid w:val="004F5D9D"/>
    <w:rsid w:val="004F68E5"/>
    <w:rsid w:val="004F6B03"/>
    <w:rsid w:val="004F741B"/>
    <w:rsid w:val="0050024F"/>
    <w:rsid w:val="00500B4F"/>
    <w:rsid w:val="00501132"/>
    <w:rsid w:val="0050177E"/>
    <w:rsid w:val="0050233D"/>
    <w:rsid w:val="00503253"/>
    <w:rsid w:val="00503395"/>
    <w:rsid w:val="00503B7F"/>
    <w:rsid w:val="00503BB0"/>
    <w:rsid w:val="00503E03"/>
    <w:rsid w:val="00504B32"/>
    <w:rsid w:val="00504C2E"/>
    <w:rsid w:val="005050DA"/>
    <w:rsid w:val="0050514F"/>
    <w:rsid w:val="005059E8"/>
    <w:rsid w:val="00506E12"/>
    <w:rsid w:val="00507B9E"/>
    <w:rsid w:val="00507FA9"/>
    <w:rsid w:val="00510946"/>
    <w:rsid w:val="00510F48"/>
    <w:rsid w:val="00511449"/>
    <w:rsid w:val="00511480"/>
    <w:rsid w:val="00512226"/>
    <w:rsid w:val="0051435B"/>
    <w:rsid w:val="005147C6"/>
    <w:rsid w:val="00514EF4"/>
    <w:rsid w:val="005159B1"/>
    <w:rsid w:val="00517181"/>
    <w:rsid w:val="00517F82"/>
    <w:rsid w:val="00522502"/>
    <w:rsid w:val="0052339E"/>
    <w:rsid w:val="005237C9"/>
    <w:rsid w:val="00524349"/>
    <w:rsid w:val="005249F6"/>
    <w:rsid w:val="00524A8C"/>
    <w:rsid w:val="005255A1"/>
    <w:rsid w:val="00525D95"/>
    <w:rsid w:val="0052641C"/>
    <w:rsid w:val="00527C64"/>
    <w:rsid w:val="00527E59"/>
    <w:rsid w:val="005301CB"/>
    <w:rsid w:val="00530537"/>
    <w:rsid w:val="005308E2"/>
    <w:rsid w:val="00533E1F"/>
    <w:rsid w:val="005371D5"/>
    <w:rsid w:val="0053795D"/>
    <w:rsid w:val="00543007"/>
    <w:rsid w:val="005432C3"/>
    <w:rsid w:val="00544522"/>
    <w:rsid w:val="00544DDD"/>
    <w:rsid w:val="005451B2"/>
    <w:rsid w:val="00545414"/>
    <w:rsid w:val="005468AB"/>
    <w:rsid w:val="00547253"/>
    <w:rsid w:val="005501A0"/>
    <w:rsid w:val="00550831"/>
    <w:rsid w:val="0055089B"/>
    <w:rsid w:val="00550D54"/>
    <w:rsid w:val="00554273"/>
    <w:rsid w:val="005550E1"/>
    <w:rsid w:val="0055622A"/>
    <w:rsid w:val="005568E6"/>
    <w:rsid w:val="00556D63"/>
    <w:rsid w:val="005601B9"/>
    <w:rsid w:val="00563884"/>
    <w:rsid w:val="005642B6"/>
    <w:rsid w:val="005653DB"/>
    <w:rsid w:val="005664BF"/>
    <w:rsid w:val="0056780A"/>
    <w:rsid w:val="005679CC"/>
    <w:rsid w:val="00571405"/>
    <w:rsid w:val="0057171D"/>
    <w:rsid w:val="00571D5E"/>
    <w:rsid w:val="00575748"/>
    <w:rsid w:val="00575FB0"/>
    <w:rsid w:val="0058127B"/>
    <w:rsid w:val="005823D0"/>
    <w:rsid w:val="005829A1"/>
    <w:rsid w:val="00582D36"/>
    <w:rsid w:val="005832F6"/>
    <w:rsid w:val="00584302"/>
    <w:rsid w:val="00584AC8"/>
    <w:rsid w:val="00585814"/>
    <w:rsid w:val="00585A8D"/>
    <w:rsid w:val="0058674C"/>
    <w:rsid w:val="0058684A"/>
    <w:rsid w:val="0058776F"/>
    <w:rsid w:val="005918DF"/>
    <w:rsid w:val="00595F60"/>
    <w:rsid w:val="00596543"/>
    <w:rsid w:val="005A003F"/>
    <w:rsid w:val="005A0A13"/>
    <w:rsid w:val="005A2748"/>
    <w:rsid w:val="005A443F"/>
    <w:rsid w:val="005A522B"/>
    <w:rsid w:val="005B1027"/>
    <w:rsid w:val="005B1385"/>
    <w:rsid w:val="005B1CFE"/>
    <w:rsid w:val="005B2374"/>
    <w:rsid w:val="005B2B3A"/>
    <w:rsid w:val="005B403C"/>
    <w:rsid w:val="005B411A"/>
    <w:rsid w:val="005B4608"/>
    <w:rsid w:val="005B58D4"/>
    <w:rsid w:val="005B593C"/>
    <w:rsid w:val="005B7E24"/>
    <w:rsid w:val="005C07B3"/>
    <w:rsid w:val="005C082C"/>
    <w:rsid w:val="005C284E"/>
    <w:rsid w:val="005C3110"/>
    <w:rsid w:val="005C45FF"/>
    <w:rsid w:val="005C47D4"/>
    <w:rsid w:val="005C5141"/>
    <w:rsid w:val="005C719B"/>
    <w:rsid w:val="005C737C"/>
    <w:rsid w:val="005C7C27"/>
    <w:rsid w:val="005D2528"/>
    <w:rsid w:val="005D3507"/>
    <w:rsid w:val="005D44C9"/>
    <w:rsid w:val="005D51D0"/>
    <w:rsid w:val="005D62B9"/>
    <w:rsid w:val="005D6F83"/>
    <w:rsid w:val="005D7877"/>
    <w:rsid w:val="005D7941"/>
    <w:rsid w:val="005D7CCF"/>
    <w:rsid w:val="005E2F91"/>
    <w:rsid w:val="005E58C4"/>
    <w:rsid w:val="005E5D8F"/>
    <w:rsid w:val="005E7490"/>
    <w:rsid w:val="005F00A6"/>
    <w:rsid w:val="005F0C5D"/>
    <w:rsid w:val="005F24F9"/>
    <w:rsid w:val="005F2CE9"/>
    <w:rsid w:val="005F3334"/>
    <w:rsid w:val="005F49D5"/>
    <w:rsid w:val="005F5A5C"/>
    <w:rsid w:val="005F5CD9"/>
    <w:rsid w:val="00600FCA"/>
    <w:rsid w:val="006016E2"/>
    <w:rsid w:val="00602FBA"/>
    <w:rsid w:val="00603400"/>
    <w:rsid w:val="006101C2"/>
    <w:rsid w:val="00610326"/>
    <w:rsid w:val="00610B2E"/>
    <w:rsid w:val="0061135C"/>
    <w:rsid w:val="006116D5"/>
    <w:rsid w:val="006136DD"/>
    <w:rsid w:val="00613723"/>
    <w:rsid w:val="006149F0"/>
    <w:rsid w:val="006157C7"/>
    <w:rsid w:val="00617026"/>
    <w:rsid w:val="006202AC"/>
    <w:rsid w:val="0062100E"/>
    <w:rsid w:val="006220A5"/>
    <w:rsid w:val="006233A0"/>
    <w:rsid w:val="006236DC"/>
    <w:rsid w:val="006242BA"/>
    <w:rsid w:val="00624824"/>
    <w:rsid w:val="00624AC8"/>
    <w:rsid w:val="00625215"/>
    <w:rsid w:val="00625EC3"/>
    <w:rsid w:val="006262A0"/>
    <w:rsid w:val="00630FF2"/>
    <w:rsid w:val="00631738"/>
    <w:rsid w:val="006330F3"/>
    <w:rsid w:val="00633A0A"/>
    <w:rsid w:val="00633B50"/>
    <w:rsid w:val="00633C60"/>
    <w:rsid w:val="00637A15"/>
    <w:rsid w:val="00640D07"/>
    <w:rsid w:val="0064126D"/>
    <w:rsid w:val="0064317A"/>
    <w:rsid w:val="006444C9"/>
    <w:rsid w:val="00644936"/>
    <w:rsid w:val="00644C8A"/>
    <w:rsid w:val="006451B8"/>
    <w:rsid w:val="00645722"/>
    <w:rsid w:val="00651148"/>
    <w:rsid w:val="00652432"/>
    <w:rsid w:val="0065348D"/>
    <w:rsid w:val="006535D2"/>
    <w:rsid w:val="00655063"/>
    <w:rsid w:val="00657840"/>
    <w:rsid w:val="00657E49"/>
    <w:rsid w:val="00657EF6"/>
    <w:rsid w:val="0066003C"/>
    <w:rsid w:val="00660368"/>
    <w:rsid w:val="0066041E"/>
    <w:rsid w:val="00660E31"/>
    <w:rsid w:val="006617A6"/>
    <w:rsid w:val="0066195B"/>
    <w:rsid w:val="00662A82"/>
    <w:rsid w:val="0066386B"/>
    <w:rsid w:val="00664157"/>
    <w:rsid w:val="0066422B"/>
    <w:rsid w:val="00670614"/>
    <w:rsid w:val="00673CCC"/>
    <w:rsid w:val="00674F24"/>
    <w:rsid w:val="00675C98"/>
    <w:rsid w:val="0067732C"/>
    <w:rsid w:val="0067797F"/>
    <w:rsid w:val="00677AE3"/>
    <w:rsid w:val="00677C6A"/>
    <w:rsid w:val="006802CA"/>
    <w:rsid w:val="0068075E"/>
    <w:rsid w:val="006824B9"/>
    <w:rsid w:val="006838E9"/>
    <w:rsid w:val="00685519"/>
    <w:rsid w:val="00685615"/>
    <w:rsid w:val="006865C9"/>
    <w:rsid w:val="006877C4"/>
    <w:rsid w:val="0069026B"/>
    <w:rsid w:val="006919E2"/>
    <w:rsid w:val="00692109"/>
    <w:rsid w:val="006933F6"/>
    <w:rsid w:val="00693AD1"/>
    <w:rsid w:val="006956EA"/>
    <w:rsid w:val="00695AEC"/>
    <w:rsid w:val="00697C6D"/>
    <w:rsid w:val="006A05B5"/>
    <w:rsid w:val="006A0C35"/>
    <w:rsid w:val="006A374A"/>
    <w:rsid w:val="006A410E"/>
    <w:rsid w:val="006A490C"/>
    <w:rsid w:val="006A4C4F"/>
    <w:rsid w:val="006A75E2"/>
    <w:rsid w:val="006B0662"/>
    <w:rsid w:val="006B0986"/>
    <w:rsid w:val="006B277C"/>
    <w:rsid w:val="006B3FD8"/>
    <w:rsid w:val="006B4F7D"/>
    <w:rsid w:val="006B627D"/>
    <w:rsid w:val="006B62CE"/>
    <w:rsid w:val="006C02B6"/>
    <w:rsid w:val="006C0638"/>
    <w:rsid w:val="006C114C"/>
    <w:rsid w:val="006C3864"/>
    <w:rsid w:val="006C5383"/>
    <w:rsid w:val="006C5E72"/>
    <w:rsid w:val="006C67BC"/>
    <w:rsid w:val="006C6985"/>
    <w:rsid w:val="006D2AEC"/>
    <w:rsid w:val="006D4264"/>
    <w:rsid w:val="006D4C8E"/>
    <w:rsid w:val="006D5332"/>
    <w:rsid w:val="006D6087"/>
    <w:rsid w:val="006E079F"/>
    <w:rsid w:val="006E1204"/>
    <w:rsid w:val="006E19D1"/>
    <w:rsid w:val="006E1CBB"/>
    <w:rsid w:val="006E26A6"/>
    <w:rsid w:val="006E4057"/>
    <w:rsid w:val="006E475D"/>
    <w:rsid w:val="006E7118"/>
    <w:rsid w:val="006E78E3"/>
    <w:rsid w:val="006F0519"/>
    <w:rsid w:val="006F100B"/>
    <w:rsid w:val="006F239A"/>
    <w:rsid w:val="006F2C9D"/>
    <w:rsid w:val="006F3B38"/>
    <w:rsid w:val="006F784E"/>
    <w:rsid w:val="00701A13"/>
    <w:rsid w:val="00701AC3"/>
    <w:rsid w:val="00703216"/>
    <w:rsid w:val="00706222"/>
    <w:rsid w:val="0070637D"/>
    <w:rsid w:val="00706FFB"/>
    <w:rsid w:val="007071DD"/>
    <w:rsid w:val="0070771F"/>
    <w:rsid w:val="00712A14"/>
    <w:rsid w:val="0071367C"/>
    <w:rsid w:val="00714CE7"/>
    <w:rsid w:val="00714E17"/>
    <w:rsid w:val="007162C8"/>
    <w:rsid w:val="00716335"/>
    <w:rsid w:val="00716C04"/>
    <w:rsid w:val="00717180"/>
    <w:rsid w:val="007179D2"/>
    <w:rsid w:val="00720750"/>
    <w:rsid w:val="00720E6E"/>
    <w:rsid w:val="0072549C"/>
    <w:rsid w:val="00725A80"/>
    <w:rsid w:val="00726A04"/>
    <w:rsid w:val="00727B85"/>
    <w:rsid w:val="00730195"/>
    <w:rsid w:val="007302C0"/>
    <w:rsid w:val="0073094F"/>
    <w:rsid w:val="00732907"/>
    <w:rsid w:val="00733970"/>
    <w:rsid w:val="00733CFD"/>
    <w:rsid w:val="00735A92"/>
    <w:rsid w:val="00736186"/>
    <w:rsid w:val="00737709"/>
    <w:rsid w:val="0074275C"/>
    <w:rsid w:val="0074292E"/>
    <w:rsid w:val="00742E0C"/>
    <w:rsid w:val="00743BF1"/>
    <w:rsid w:val="00746871"/>
    <w:rsid w:val="0075350A"/>
    <w:rsid w:val="00753812"/>
    <w:rsid w:val="00754C58"/>
    <w:rsid w:val="007562E3"/>
    <w:rsid w:val="00756410"/>
    <w:rsid w:val="00761969"/>
    <w:rsid w:val="007620B4"/>
    <w:rsid w:val="00763F1D"/>
    <w:rsid w:val="00763FDD"/>
    <w:rsid w:val="00770C5B"/>
    <w:rsid w:val="007737AC"/>
    <w:rsid w:val="007745C1"/>
    <w:rsid w:val="007747DB"/>
    <w:rsid w:val="007757C9"/>
    <w:rsid w:val="00775AAA"/>
    <w:rsid w:val="00775D62"/>
    <w:rsid w:val="0077680D"/>
    <w:rsid w:val="00776E78"/>
    <w:rsid w:val="0078138A"/>
    <w:rsid w:val="0078176D"/>
    <w:rsid w:val="00783014"/>
    <w:rsid w:val="007834DC"/>
    <w:rsid w:val="00784ADB"/>
    <w:rsid w:val="007850F9"/>
    <w:rsid w:val="00785806"/>
    <w:rsid w:val="00785B35"/>
    <w:rsid w:val="00790463"/>
    <w:rsid w:val="00793E79"/>
    <w:rsid w:val="00794367"/>
    <w:rsid w:val="007959D8"/>
    <w:rsid w:val="0079630F"/>
    <w:rsid w:val="0079658E"/>
    <w:rsid w:val="007969E6"/>
    <w:rsid w:val="00797F40"/>
    <w:rsid w:val="00797FE6"/>
    <w:rsid w:val="007A04C2"/>
    <w:rsid w:val="007A3460"/>
    <w:rsid w:val="007A3EBE"/>
    <w:rsid w:val="007A46BA"/>
    <w:rsid w:val="007A47FB"/>
    <w:rsid w:val="007A4E03"/>
    <w:rsid w:val="007A5C26"/>
    <w:rsid w:val="007B0AC0"/>
    <w:rsid w:val="007B146A"/>
    <w:rsid w:val="007B1A21"/>
    <w:rsid w:val="007B1C20"/>
    <w:rsid w:val="007B1E67"/>
    <w:rsid w:val="007B3783"/>
    <w:rsid w:val="007B4212"/>
    <w:rsid w:val="007B5B70"/>
    <w:rsid w:val="007B5CF1"/>
    <w:rsid w:val="007B6204"/>
    <w:rsid w:val="007B7B26"/>
    <w:rsid w:val="007B7FE5"/>
    <w:rsid w:val="007C037F"/>
    <w:rsid w:val="007C0767"/>
    <w:rsid w:val="007C0E7C"/>
    <w:rsid w:val="007C0EAA"/>
    <w:rsid w:val="007C34CF"/>
    <w:rsid w:val="007C3A7E"/>
    <w:rsid w:val="007C44B2"/>
    <w:rsid w:val="007C5367"/>
    <w:rsid w:val="007C5F82"/>
    <w:rsid w:val="007C6370"/>
    <w:rsid w:val="007C6496"/>
    <w:rsid w:val="007C68CB"/>
    <w:rsid w:val="007C745E"/>
    <w:rsid w:val="007D0546"/>
    <w:rsid w:val="007D0FA3"/>
    <w:rsid w:val="007D1B43"/>
    <w:rsid w:val="007D1F34"/>
    <w:rsid w:val="007D2D4C"/>
    <w:rsid w:val="007D64D7"/>
    <w:rsid w:val="007E0BEC"/>
    <w:rsid w:val="007E12CB"/>
    <w:rsid w:val="007E1B27"/>
    <w:rsid w:val="007E25B4"/>
    <w:rsid w:val="007E3F8C"/>
    <w:rsid w:val="007E6319"/>
    <w:rsid w:val="007E7808"/>
    <w:rsid w:val="007F1C3D"/>
    <w:rsid w:val="007F2058"/>
    <w:rsid w:val="007F42EA"/>
    <w:rsid w:val="007F5CD7"/>
    <w:rsid w:val="007F5FAD"/>
    <w:rsid w:val="007F6567"/>
    <w:rsid w:val="007F7685"/>
    <w:rsid w:val="007F7719"/>
    <w:rsid w:val="007F78B0"/>
    <w:rsid w:val="0080011D"/>
    <w:rsid w:val="00800EA5"/>
    <w:rsid w:val="00801C01"/>
    <w:rsid w:val="00804939"/>
    <w:rsid w:val="00804B9E"/>
    <w:rsid w:val="00804D8C"/>
    <w:rsid w:val="008052B9"/>
    <w:rsid w:val="00805638"/>
    <w:rsid w:val="00806306"/>
    <w:rsid w:val="00807F96"/>
    <w:rsid w:val="0081085D"/>
    <w:rsid w:val="008130BB"/>
    <w:rsid w:val="008134FE"/>
    <w:rsid w:val="008141D5"/>
    <w:rsid w:val="00815A55"/>
    <w:rsid w:val="00815F4F"/>
    <w:rsid w:val="0081732F"/>
    <w:rsid w:val="00817A54"/>
    <w:rsid w:val="0082135E"/>
    <w:rsid w:val="00822A9C"/>
    <w:rsid w:val="008237FA"/>
    <w:rsid w:val="00824548"/>
    <w:rsid w:val="00825335"/>
    <w:rsid w:val="008259F8"/>
    <w:rsid w:val="00825AC7"/>
    <w:rsid w:val="00825D37"/>
    <w:rsid w:val="0082702C"/>
    <w:rsid w:val="0083106E"/>
    <w:rsid w:val="008325CF"/>
    <w:rsid w:val="0083279F"/>
    <w:rsid w:val="0083478A"/>
    <w:rsid w:val="008350C4"/>
    <w:rsid w:val="0083679E"/>
    <w:rsid w:val="008369B0"/>
    <w:rsid w:val="00837239"/>
    <w:rsid w:val="008376A3"/>
    <w:rsid w:val="00837B57"/>
    <w:rsid w:val="00840173"/>
    <w:rsid w:val="00840B37"/>
    <w:rsid w:val="008413C8"/>
    <w:rsid w:val="00841C80"/>
    <w:rsid w:val="00843766"/>
    <w:rsid w:val="0084403B"/>
    <w:rsid w:val="00847229"/>
    <w:rsid w:val="00847820"/>
    <w:rsid w:val="00855003"/>
    <w:rsid w:val="00855602"/>
    <w:rsid w:val="0085732C"/>
    <w:rsid w:val="0086076E"/>
    <w:rsid w:val="00860B45"/>
    <w:rsid w:val="0086155C"/>
    <w:rsid w:val="0086189A"/>
    <w:rsid w:val="008621A9"/>
    <w:rsid w:val="00863860"/>
    <w:rsid w:val="008638B5"/>
    <w:rsid w:val="008640A7"/>
    <w:rsid w:val="00865400"/>
    <w:rsid w:val="008655DE"/>
    <w:rsid w:val="00870C41"/>
    <w:rsid w:val="00872DCA"/>
    <w:rsid w:val="008734DB"/>
    <w:rsid w:val="0087390B"/>
    <w:rsid w:val="00873B4C"/>
    <w:rsid w:val="008745A1"/>
    <w:rsid w:val="00874C6C"/>
    <w:rsid w:val="008752C0"/>
    <w:rsid w:val="00875845"/>
    <w:rsid w:val="008768E9"/>
    <w:rsid w:val="0087751B"/>
    <w:rsid w:val="008800AA"/>
    <w:rsid w:val="00880485"/>
    <w:rsid w:val="00880B44"/>
    <w:rsid w:val="00880D68"/>
    <w:rsid w:val="00881B65"/>
    <w:rsid w:val="0088496D"/>
    <w:rsid w:val="008852EA"/>
    <w:rsid w:val="008859B8"/>
    <w:rsid w:val="00885E2F"/>
    <w:rsid w:val="00886486"/>
    <w:rsid w:val="00890995"/>
    <w:rsid w:val="008914FB"/>
    <w:rsid w:val="00891685"/>
    <w:rsid w:val="00891893"/>
    <w:rsid w:val="0089365E"/>
    <w:rsid w:val="008949D0"/>
    <w:rsid w:val="008953FE"/>
    <w:rsid w:val="00895C99"/>
    <w:rsid w:val="008962AA"/>
    <w:rsid w:val="0089645A"/>
    <w:rsid w:val="00896C4B"/>
    <w:rsid w:val="00897E99"/>
    <w:rsid w:val="008A0A35"/>
    <w:rsid w:val="008A1A58"/>
    <w:rsid w:val="008A2096"/>
    <w:rsid w:val="008A3AD0"/>
    <w:rsid w:val="008A3EFE"/>
    <w:rsid w:val="008A47B4"/>
    <w:rsid w:val="008A4829"/>
    <w:rsid w:val="008A49AC"/>
    <w:rsid w:val="008A6234"/>
    <w:rsid w:val="008A676B"/>
    <w:rsid w:val="008B1015"/>
    <w:rsid w:val="008B1CC0"/>
    <w:rsid w:val="008B1EBD"/>
    <w:rsid w:val="008B2384"/>
    <w:rsid w:val="008B38D6"/>
    <w:rsid w:val="008B3AE3"/>
    <w:rsid w:val="008B4802"/>
    <w:rsid w:val="008B58B1"/>
    <w:rsid w:val="008B6833"/>
    <w:rsid w:val="008B69E3"/>
    <w:rsid w:val="008B717C"/>
    <w:rsid w:val="008C0135"/>
    <w:rsid w:val="008C0461"/>
    <w:rsid w:val="008C07AA"/>
    <w:rsid w:val="008C0989"/>
    <w:rsid w:val="008C1FD1"/>
    <w:rsid w:val="008C24A8"/>
    <w:rsid w:val="008C310D"/>
    <w:rsid w:val="008C35EF"/>
    <w:rsid w:val="008C4BA5"/>
    <w:rsid w:val="008C5996"/>
    <w:rsid w:val="008C7799"/>
    <w:rsid w:val="008D1673"/>
    <w:rsid w:val="008D190E"/>
    <w:rsid w:val="008D36A7"/>
    <w:rsid w:val="008D47B9"/>
    <w:rsid w:val="008D484A"/>
    <w:rsid w:val="008D5A11"/>
    <w:rsid w:val="008D5E23"/>
    <w:rsid w:val="008D6056"/>
    <w:rsid w:val="008E0D70"/>
    <w:rsid w:val="008E2623"/>
    <w:rsid w:val="008E383C"/>
    <w:rsid w:val="008E3BC8"/>
    <w:rsid w:val="008E4C81"/>
    <w:rsid w:val="008E52ED"/>
    <w:rsid w:val="008E58D0"/>
    <w:rsid w:val="008E5A9B"/>
    <w:rsid w:val="008E5D8D"/>
    <w:rsid w:val="008E6D59"/>
    <w:rsid w:val="008F0560"/>
    <w:rsid w:val="008F18DE"/>
    <w:rsid w:val="008F22FE"/>
    <w:rsid w:val="008F2338"/>
    <w:rsid w:val="008F42EE"/>
    <w:rsid w:val="008F5D66"/>
    <w:rsid w:val="008F6E06"/>
    <w:rsid w:val="00900D48"/>
    <w:rsid w:val="00900E99"/>
    <w:rsid w:val="009024F3"/>
    <w:rsid w:val="009028AA"/>
    <w:rsid w:val="00902A14"/>
    <w:rsid w:val="00903158"/>
    <w:rsid w:val="009032D6"/>
    <w:rsid w:val="0090334C"/>
    <w:rsid w:val="00903E3F"/>
    <w:rsid w:val="009049C3"/>
    <w:rsid w:val="00904D3B"/>
    <w:rsid w:val="0090575C"/>
    <w:rsid w:val="009057D9"/>
    <w:rsid w:val="0090774A"/>
    <w:rsid w:val="00910608"/>
    <w:rsid w:val="00910D07"/>
    <w:rsid w:val="009113F1"/>
    <w:rsid w:val="00912AEA"/>
    <w:rsid w:val="00913A67"/>
    <w:rsid w:val="00914944"/>
    <w:rsid w:val="00914AE7"/>
    <w:rsid w:val="00914B19"/>
    <w:rsid w:val="00914B2F"/>
    <w:rsid w:val="009150E6"/>
    <w:rsid w:val="00917F89"/>
    <w:rsid w:val="00921137"/>
    <w:rsid w:val="00922591"/>
    <w:rsid w:val="00923603"/>
    <w:rsid w:val="00924801"/>
    <w:rsid w:val="009255EE"/>
    <w:rsid w:val="00925603"/>
    <w:rsid w:val="00925F76"/>
    <w:rsid w:val="00930FA9"/>
    <w:rsid w:val="00931D54"/>
    <w:rsid w:val="00932BC2"/>
    <w:rsid w:val="00932E89"/>
    <w:rsid w:val="0093323D"/>
    <w:rsid w:val="009334E5"/>
    <w:rsid w:val="0093359D"/>
    <w:rsid w:val="00933F2B"/>
    <w:rsid w:val="00934A3C"/>
    <w:rsid w:val="00937A14"/>
    <w:rsid w:val="00937DBD"/>
    <w:rsid w:val="00942EEB"/>
    <w:rsid w:val="009440F2"/>
    <w:rsid w:val="0094468E"/>
    <w:rsid w:val="00945261"/>
    <w:rsid w:val="00945454"/>
    <w:rsid w:val="009464E2"/>
    <w:rsid w:val="0095033F"/>
    <w:rsid w:val="009506A5"/>
    <w:rsid w:val="00951F5B"/>
    <w:rsid w:val="009534E9"/>
    <w:rsid w:val="00953A51"/>
    <w:rsid w:val="009541CC"/>
    <w:rsid w:val="009553C1"/>
    <w:rsid w:val="00955961"/>
    <w:rsid w:val="00956230"/>
    <w:rsid w:val="009562A6"/>
    <w:rsid w:val="00956564"/>
    <w:rsid w:val="00956D5A"/>
    <w:rsid w:val="00957B3C"/>
    <w:rsid w:val="00961B2C"/>
    <w:rsid w:val="00961DBB"/>
    <w:rsid w:val="00962E41"/>
    <w:rsid w:val="00963D38"/>
    <w:rsid w:val="0096618E"/>
    <w:rsid w:val="00966BA1"/>
    <w:rsid w:val="009708C7"/>
    <w:rsid w:val="00970E15"/>
    <w:rsid w:val="00970FF5"/>
    <w:rsid w:val="00972FEE"/>
    <w:rsid w:val="00974B7B"/>
    <w:rsid w:val="00975391"/>
    <w:rsid w:val="00975449"/>
    <w:rsid w:val="00976480"/>
    <w:rsid w:val="00976D12"/>
    <w:rsid w:val="00980288"/>
    <w:rsid w:val="009810ED"/>
    <w:rsid w:val="00981433"/>
    <w:rsid w:val="009816DB"/>
    <w:rsid w:val="0098269D"/>
    <w:rsid w:val="009851B6"/>
    <w:rsid w:val="00985C07"/>
    <w:rsid w:val="00987EAC"/>
    <w:rsid w:val="009918A4"/>
    <w:rsid w:val="00991BDB"/>
    <w:rsid w:val="0099278E"/>
    <w:rsid w:val="00993391"/>
    <w:rsid w:val="00993C58"/>
    <w:rsid w:val="009948F2"/>
    <w:rsid w:val="00995B4F"/>
    <w:rsid w:val="00997582"/>
    <w:rsid w:val="009975DA"/>
    <w:rsid w:val="009A02B5"/>
    <w:rsid w:val="009A1FB9"/>
    <w:rsid w:val="009A231A"/>
    <w:rsid w:val="009A2C21"/>
    <w:rsid w:val="009A3118"/>
    <w:rsid w:val="009A38B6"/>
    <w:rsid w:val="009A3E58"/>
    <w:rsid w:val="009A5F02"/>
    <w:rsid w:val="009A6375"/>
    <w:rsid w:val="009A6E13"/>
    <w:rsid w:val="009A73D9"/>
    <w:rsid w:val="009A795A"/>
    <w:rsid w:val="009A7AB1"/>
    <w:rsid w:val="009B0BAF"/>
    <w:rsid w:val="009B0E39"/>
    <w:rsid w:val="009B174E"/>
    <w:rsid w:val="009B1AA3"/>
    <w:rsid w:val="009B1E4D"/>
    <w:rsid w:val="009B2150"/>
    <w:rsid w:val="009B2AD8"/>
    <w:rsid w:val="009B2C20"/>
    <w:rsid w:val="009B4972"/>
    <w:rsid w:val="009B56C4"/>
    <w:rsid w:val="009B581C"/>
    <w:rsid w:val="009B6A69"/>
    <w:rsid w:val="009B7CA8"/>
    <w:rsid w:val="009B7DB7"/>
    <w:rsid w:val="009C1BCF"/>
    <w:rsid w:val="009C2F20"/>
    <w:rsid w:val="009C38A3"/>
    <w:rsid w:val="009C455D"/>
    <w:rsid w:val="009C5284"/>
    <w:rsid w:val="009C6DAA"/>
    <w:rsid w:val="009C710B"/>
    <w:rsid w:val="009C7962"/>
    <w:rsid w:val="009D0C34"/>
    <w:rsid w:val="009D0E74"/>
    <w:rsid w:val="009D0F59"/>
    <w:rsid w:val="009D1A12"/>
    <w:rsid w:val="009D1A96"/>
    <w:rsid w:val="009D28A2"/>
    <w:rsid w:val="009D370B"/>
    <w:rsid w:val="009D74BC"/>
    <w:rsid w:val="009E2087"/>
    <w:rsid w:val="009E252B"/>
    <w:rsid w:val="009E268E"/>
    <w:rsid w:val="009E2CCA"/>
    <w:rsid w:val="009E2E1C"/>
    <w:rsid w:val="009E3265"/>
    <w:rsid w:val="009E3353"/>
    <w:rsid w:val="009E446D"/>
    <w:rsid w:val="009E649A"/>
    <w:rsid w:val="009E7C09"/>
    <w:rsid w:val="009F00DC"/>
    <w:rsid w:val="009F146D"/>
    <w:rsid w:val="009F1D45"/>
    <w:rsid w:val="009F3F6D"/>
    <w:rsid w:val="009F4F1E"/>
    <w:rsid w:val="009F7EC2"/>
    <w:rsid w:val="00A00611"/>
    <w:rsid w:val="00A00B16"/>
    <w:rsid w:val="00A012FC"/>
    <w:rsid w:val="00A015E4"/>
    <w:rsid w:val="00A01C1C"/>
    <w:rsid w:val="00A033ED"/>
    <w:rsid w:val="00A05300"/>
    <w:rsid w:val="00A05C2D"/>
    <w:rsid w:val="00A065DF"/>
    <w:rsid w:val="00A071E8"/>
    <w:rsid w:val="00A075BC"/>
    <w:rsid w:val="00A1041C"/>
    <w:rsid w:val="00A11222"/>
    <w:rsid w:val="00A12C39"/>
    <w:rsid w:val="00A134FB"/>
    <w:rsid w:val="00A148C3"/>
    <w:rsid w:val="00A14A53"/>
    <w:rsid w:val="00A1677C"/>
    <w:rsid w:val="00A16EB0"/>
    <w:rsid w:val="00A17337"/>
    <w:rsid w:val="00A17340"/>
    <w:rsid w:val="00A1742E"/>
    <w:rsid w:val="00A20516"/>
    <w:rsid w:val="00A20802"/>
    <w:rsid w:val="00A21144"/>
    <w:rsid w:val="00A22A26"/>
    <w:rsid w:val="00A249EB"/>
    <w:rsid w:val="00A24D20"/>
    <w:rsid w:val="00A25092"/>
    <w:rsid w:val="00A253C7"/>
    <w:rsid w:val="00A25B4F"/>
    <w:rsid w:val="00A27D38"/>
    <w:rsid w:val="00A27E40"/>
    <w:rsid w:val="00A30766"/>
    <w:rsid w:val="00A31756"/>
    <w:rsid w:val="00A326AE"/>
    <w:rsid w:val="00A330E2"/>
    <w:rsid w:val="00A34709"/>
    <w:rsid w:val="00A3689A"/>
    <w:rsid w:val="00A37016"/>
    <w:rsid w:val="00A442BF"/>
    <w:rsid w:val="00A5238D"/>
    <w:rsid w:val="00A52999"/>
    <w:rsid w:val="00A53716"/>
    <w:rsid w:val="00A5404B"/>
    <w:rsid w:val="00A55CD9"/>
    <w:rsid w:val="00A5629E"/>
    <w:rsid w:val="00A56763"/>
    <w:rsid w:val="00A600BE"/>
    <w:rsid w:val="00A608F4"/>
    <w:rsid w:val="00A621A7"/>
    <w:rsid w:val="00A623A4"/>
    <w:rsid w:val="00A62F18"/>
    <w:rsid w:val="00A62F40"/>
    <w:rsid w:val="00A63508"/>
    <w:rsid w:val="00A63A5C"/>
    <w:rsid w:val="00A63B60"/>
    <w:rsid w:val="00A64832"/>
    <w:rsid w:val="00A64CDC"/>
    <w:rsid w:val="00A65790"/>
    <w:rsid w:val="00A65D22"/>
    <w:rsid w:val="00A663C6"/>
    <w:rsid w:val="00A6724A"/>
    <w:rsid w:val="00A70A24"/>
    <w:rsid w:val="00A70BF7"/>
    <w:rsid w:val="00A718B4"/>
    <w:rsid w:val="00A72ED8"/>
    <w:rsid w:val="00A732DB"/>
    <w:rsid w:val="00A73C3D"/>
    <w:rsid w:val="00A74AF0"/>
    <w:rsid w:val="00A766C5"/>
    <w:rsid w:val="00A768C5"/>
    <w:rsid w:val="00A77F60"/>
    <w:rsid w:val="00A80A68"/>
    <w:rsid w:val="00A80C82"/>
    <w:rsid w:val="00A83A76"/>
    <w:rsid w:val="00A84661"/>
    <w:rsid w:val="00A85614"/>
    <w:rsid w:val="00A86A73"/>
    <w:rsid w:val="00A86F04"/>
    <w:rsid w:val="00A870B8"/>
    <w:rsid w:val="00A91B16"/>
    <w:rsid w:val="00A91BD1"/>
    <w:rsid w:val="00A91E1F"/>
    <w:rsid w:val="00A92C13"/>
    <w:rsid w:val="00A93759"/>
    <w:rsid w:val="00A946C4"/>
    <w:rsid w:val="00AA0A34"/>
    <w:rsid w:val="00AA0D49"/>
    <w:rsid w:val="00AA10D6"/>
    <w:rsid w:val="00AA38E9"/>
    <w:rsid w:val="00AA7FDA"/>
    <w:rsid w:val="00AB11EA"/>
    <w:rsid w:val="00AB1D89"/>
    <w:rsid w:val="00AB34F4"/>
    <w:rsid w:val="00AB40D9"/>
    <w:rsid w:val="00AB59D4"/>
    <w:rsid w:val="00AB7402"/>
    <w:rsid w:val="00AC01F8"/>
    <w:rsid w:val="00AC0314"/>
    <w:rsid w:val="00AC049D"/>
    <w:rsid w:val="00AC059A"/>
    <w:rsid w:val="00AC250E"/>
    <w:rsid w:val="00AC2AF4"/>
    <w:rsid w:val="00AC374D"/>
    <w:rsid w:val="00AC3784"/>
    <w:rsid w:val="00AC3B08"/>
    <w:rsid w:val="00AC4648"/>
    <w:rsid w:val="00AC4F90"/>
    <w:rsid w:val="00AC5182"/>
    <w:rsid w:val="00AC6C1F"/>
    <w:rsid w:val="00AC7361"/>
    <w:rsid w:val="00AD0308"/>
    <w:rsid w:val="00AD0F5A"/>
    <w:rsid w:val="00AD1DE2"/>
    <w:rsid w:val="00AD2790"/>
    <w:rsid w:val="00AD2869"/>
    <w:rsid w:val="00AD2F3A"/>
    <w:rsid w:val="00AD377A"/>
    <w:rsid w:val="00AD38C0"/>
    <w:rsid w:val="00AD5468"/>
    <w:rsid w:val="00AD5639"/>
    <w:rsid w:val="00AD5D22"/>
    <w:rsid w:val="00AD67BB"/>
    <w:rsid w:val="00AD6B82"/>
    <w:rsid w:val="00AD7617"/>
    <w:rsid w:val="00AD7CE9"/>
    <w:rsid w:val="00AE11F4"/>
    <w:rsid w:val="00AE1CC1"/>
    <w:rsid w:val="00AE1DE7"/>
    <w:rsid w:val="00AE1DF6"/>
    <w:rsid w:val="00AE3911"/>
    <w:rsid w:val="00AE3CB3"/>
    <w:rsid w:val="00AE3D53"/>
    <w:rsid w:val="00AE3EA4"/>
    <w:rsid w:val="00AE3EB9"/>
    <w:rsid w:val="00AE405D"/>
    <w:rsid w:val="00AE67DF"/>
    <w:rsid w:val="00AE6C72"/>
    <w:rsid w:val="00AE6EDE"/>
    <w:rsid w:val="00AE6F3E"/>
    <w:rsid w:val="00AF1214"/>
    <w:rsid w:val="00AF1B02"/>
    <w:rsid w:val="00AF3FAF"/>
    <w:rsid w:val="00AF41E4"/>
    <w:rsid w:val="00AF4549"/>
    <w:rsid w:val="00AF4AD5"/>
    <w:rsid w:val="00AF5A2A"/>
    <w:rsid w:val="00AF6161"/>
    <w:rsid w:val="00AF63EF"/>
    <w:rsid w:val="00B0104D"/>
    <w:rsid w:val="00B01339"/>
    <w:rsid w:val="00B021A7"/>
    <w:rsid w:val="00B02E93"/>
    <w:rsid w:val="00B06A75"/>
    <w:rsid w:val="00B06BC3"/>
    <w:rsid w:val="00B070F7"/>
    <w:rsid w:val="00B10481"/>
    <w:rsid w:val="00B10560"/>
    <w:rsid w:val="00B122FA"/>
    <w:rsid w:val="00B1244B"/>
    <w:rsid w:val="00B13200"/>
    <w:rsid w:val="00B135F2"/>
    <w:rsid w:val="00B14030"/>
    <w:rsid w:val="00B157DB"/>
    <w:rsid w:val="00B15A0F"/>
    <w:rsid w:val="00B15B0F"/>
    <w:rsid w:val="00B16AC8"/>
    <w:rsid w:val="00B20236"/>
    <w:rsid w:val="00B20937"/>
    <w:rsid w:val="00B2201E"/>
    <w:rsid w:val="00B220A0"/>
    <w:rsid w:val="00B2295B"/>
    <w:rsid w:val="00B22ADF"/>
    <w:rsid w:val="00B22B64"/>
    <w:rsid w:val="00B22FEA"/>
    <w:rsid w:val="00B24321"/>
    <w:rsid w:val="00B245AF"/>
    <w:rsid w:val="00B269FD"/>
    <w:rsid w:val="00B276EF"/>
    <w:rsid w:val="00B30FEB"/>
    <w:rsid w:val="00B3307E"/>
    <w:rsid w:val="00B3349C"/>
    <w:rsid w:val="00B33637"/>
    <w:rsid w:val="00B33A8F"/>
    <w:rsid w:val="00B33C3D"/>
    <w:rsid w:val="00B34E91"/>
    <w:rsid w:val="00B366ED"/>
    <w:rsid w:val="00B36B00"/>
    <w:rsid w:val="00B37C13"/>
    <w:rsid w:val="00B4092F"/>
    <w:rsid w:val="00B40AA3"/>
    <w:rsid w:val="00B44090"/>
    <w:rsid w:val="00B44478"/>
    <w:rsid w:val="00B45F88"/>
    <w:rsid w:val="00B5120C"/>
    <w:rsid w:val="00B51696"/>
    <w:rsid w:val="00B51EFB"/>
    <w:rsid w:val="00B523F6"/>
    <w:rsid w:val="00B52E80"/>
    <w:rsid w:val="00B568C6"/>
    <w:rsid w:val="00B5698E"/>
    <w:rsid w:val="00B578B4"/>
    <w:rsid w:val="00B57AB5"/>
    <w:rsid w:val="00B6002C"/>
    <w:rsid w:val="00B620EE"/>
    <w:rsid w:val="00B624A8"/>
    <w:rsid w:val="00B62E34"/>
    <w:rsid w:val="00B62F1F"/>
    <w:rsid w:val="00B63D1A"/>
    <w:rsid w:val="00B640FD"/>
    <w:rsid w:val="00B64FD4"/>
    <w:rsid w:val="00B6700A"/>
    <w:rsid w:val="00B67429"/>
    <w:rsid w:val="00B71DC7"/>
    <w:rsid w:val="00B7516E"/>
    <w:rsid w:val="00B7695C"/>
    <w:rsid w:val="00B76F3E"/>
    <w:rsid w:val="00B772ED"/>
    <w:rsid w:val="00B77B05"/>
    <w:rsid w:val="00B83A98"/>
    <w:rsid w:val="00B85366"/>
    <w:rsid w:val="00B87789"/>
    <w:rsid w:val="00B87F60"/>
    <w:rsid w:val="00B90290"/>
    <w:rsid w:val="00B902FC"/>
    <w:rsid w:val="00B928C8"/>
    <w:rsid w:val="00B930E3"/>
    <w:rsid w:val="00B931EF"/>
    <w:rsid w:val="00B93D3D"/>
    <w:rsid w:val="00B945F9"/>
    <w:rsid w:val="00B962CD"/>
    <w:rsid w:val="00B96FDF"/>
    <w:rsid w:val="00B9743A"/>
    <w:rsid w:val="00B97A7C"/>
    <w:rsid w:val="00B97FA4"/>
    <w:rsid w:val="00BA0753"/>
    <w:rsid w:val="00BA1E8D"/>
    <w:rsid w:val="00BA3515"/>
    <w:rsid w:val="00BA3D2B"/>
    <w:rsid w:val="00BA471F"/>
    <w:rsid w:val="00BA485B"/>
    <w:rsid w:val="00BA7A84"/>
    <w:rsid w:val="00BB0A82"/>
    <w:rsid w:val="00BB1DF9"/>
    <w:rsid w:val="00BB22CE"/>
    <w:rsid w:val="00BB236A"/>
    <w:rsid w:val="00BB2EC7"/>
    <w:rsid w:val="00BB3C52"/>
    <w:rsid w:val="00BB3C94"/>
    <w:rsid w:val="00BB4521"/>
    <w:rsid w:val="00BB5013"/>
    <w:rsid w:val="00BB528E"/>
    <w:rsid w:val="00BB5714"/>
    <w:rsid w:val="00BC0200"/>
    <w:rsid w:val="00BC08EB"/>
    <w:rsid w:val="00BC2600"/>
    <w:rsid w:val="00BC3143"/>
    <w:rsid w:val="00BC36F0"/>
    <w:rsid w:val="00BC3790"/>
    <w:rsid w:val="00BC3AB5"/>
    <w:rsid w:val="00BC4F79"/>
    <w:rsid w:val="00BC4FA7"/>
    <w:rsid w:val="00BC5E30"/>
    <w:rsid w:val="00BC6A25"/>
    <w:rsid w:val="00BC760D"/>
    <w:rsid w:val="00BD015B"/>
    <w:rsid w:val="00BD02C5"/>
    <w:rsid w:val="00BD04B9"/>
    <w:rsid w:val="00BD068D"/>
    <w:rsid w:val="00BD47A4"/>
    <w:rsid w:val="00BD5317"/>
    <w:rsid w:val="00BE0D9A"/>
    <w:rsid w:val="00BE1A50"/>
    <w:rsid w:val="00BE2F0D"/>
    <w:rsid w:val="00BE3337"/>
    <w:rsid w:val="00BE34EB"/>
    <w:rsid w:val="00BE42AD"/>
    <w:rsid w:val="00BE45B2"/>
    <w:rsid w:val="00BE58D6"/>
    <w:rsid w:val="00BE5A93"/>
    <w:rsid w:val="00BF0BD5"/>
    <w:rsid w:val="00BF0D8E"/>
    <w:rsid w:val="00BF1224"/>
    <w:rsid w:val="00BF3922"/>
    <w:rsid w:val="00BF4159"/>
    <w:rsid w:val="00BF55F8"/>
    <w:rsid w:val="00BF630F"/>
    <w:rsid w:val="00C00199"/>
    <w:rsid w:val="00C01415"/>
    <w:rsid w:val="00C028FC"/>
    <w:rsid w:val="00C03D5E"/>
    <w:rsid w:val="00C051FD"/>
    <w:rsid w:val="00C11FDB"/>
    <w:rsid w:val="00C129E4"/>
    <w:rsid w:val="00C12AEE"/>
    <w:rsid w:val="00C14267"/>
    <w:rsid w:val="00C17B06"/>
    <w:rsid w:val="00C17B82"/>
    <w:rsid w:val="00C20C7D"/>
    <w:rsid w:val="00C20DEF"/>
    <w:rsid w:val="00C210FD"/>
    <w:rsid w:val="00C221AD"/>
    <w:rsid w:val="00C22E6F"/>
    <w:rsid w:val="00C24B25"/>
    <w:rsid w:val="00C27CFC"/>
    <w:rsid w:val="00C30A94"/>
    <w:rsid w:val="00C322C5"/>
    <w:rsid w:val="00C3262C"/>
    <w:rsid w:val="00C32C2F"/>
    <w:rsid w:val="00C36B29"/>
    <w:rsid w:val="00C3738A"/>
    <w:rsid w:val="00C37FA3"/>
    <w:rsid w:val="00C40197"/>
    <w:rsid w:val="00C4028F"/>
    <w:rsid w:val="00C4315A"/>
    <w:rsid w:val="00C43739"/>
    <w:rsid w:val="00C43F5E"/>
    <w:rsid w:val="00C44074"/>
    <w:rsid w:val="00C44243"/>
    <w:rsid w:val="00C44E4F"/>
    <w:rsid w:val="00C452BC"/>
    <w:rsid w:val="00C454C8"/>
    <w:rsid w:val="00C4651F"/>
    <w:rsid w:val="00C46ABE"/>
    <w:rsid w:val="00C47931"/>
    <w:rsid w:val="00C5086D"/>
    <w:rsid w:val="00C51432"/>
    <w:rsid w:val="00C51D0B"/>
    <w:rsid w:val="00C521BA"/>
    <w:rsid w:val="00C52A50"/>
    <w:rsid w:val="00C56529"/>
    <w:rsid w:val="00C57923"/>
    <w:rsid w:val="00C57AA4"/>
    <w:rsid w:val="00C63090"/>
    <w:rsid w:val="00C63269"/>
    <w:rsid w:val="00C632B6"/>
    <w:rsid w:val="00C63C8A"/>
    <w:rsid w:val="00C642D4"/>
    <w:rsid w:val="00C6789E"/>
    <w:rsid w:val="00C71155"/>
    <w:rsid w:val="00C711DD"/>
    <w:rsid w:val="00C7125B"/>
    <w:rsid w:val="00C723CF"/>
    <w:rsid w:val="00C7294F"/>
    <w:rsid w:val="00C72969"/>
    <w:rsid w:val="00C730F4"/>
    <w:rsid w:val="00C759EB"/>
    <w:rsid w:val="00C76D28"/>
    <w:rsid w:val="00C800F2"/>
    <w:rsid w:val="00C8010A"/>
    <w:rsid w:val="00C80200"/>
    <w:rsid w:val="00C8270B"/>
    <w:rsid w:val="00C841A9"/>
    <w:rsid w:val="00C84C15"/>
    <w:rsid w:val="00C85E66"/>
    <w:rsid w:val="00C86212"/>
    <w:rsid w:val="00C8728F"/>
    <w:rsid w:val="00C87A90"/>
    <w:rsid w:val="00C91110"/>
    <w:rsid w:val="00C91583"/>
    <w:rsid w:val="00C91F16"/>
    <w:rsid w:val="00C92B50"/>
    <w:rsid w:val="00C94151"/>
    <w:rsid w:val="00C9587C"/>
    <w:rsid w:val="00C961D5"/>
    <w:rsid w:val="00C96EFE"/>
    <w:rsid w:val="00C97443"/>
    <w:rsid w:val="00C9762C"/>
    <w:rsid w:val="00C97FBC"/>
    <w:rsid w:val="00CA0B7E"/>
    <w:rsid w:val="00CA1239"/>
    <w:rsid w:val="00CA19FF"/>
    <w:rsid w:val="00CA251B"/>
    <w:rsid w:val="00CA2C0B"/>
    <w:rsid w:val="00CA3B62"/>
    <w:rsid w:val="00CA3C14"/>
    <w:rsid w:val="00CA3FF0"/>
    <w:rsid w:val="00CA5598"/>
    <w:rsid w:val="00CA5C20"/>
    <w:rsid w:val="00CA5EF8"/>
    <w:rsid w:val="00CB16F6"/>
    <w:rsid w:val="00CB28A3"/>
    <w:rsid w:val="00CB305E"/>
    <w:rsid w:val="00CB5240"/>
    <w:rsid w:val="00CB58C3"/>
    <w:rsid w:val="00CB6CB3"/>
    <w:rsid w:val="00CB6E57"/>
    <w:rsid w:val="00CC00A0"/>
    <w:rsid w:val="00CC2CD6"/>
    <w:rsid w:val="00CC37CA"/>
    <w:rsid w:val="00CC427C"/>
    <w:rsid w:val="00CC5455"/>
    <w:rsid w:val="00CC5D9D"/>
    <w:rsid w:val="00CC5EB9"/>
    <w:rsid w:val="00CC6621"/>
    <w:rsid w:val="00CC6C06"/>
    <w:rsid w:val="00CC79F3"/>
    <w:rsid w:val="00CC7CF0"/>
    <w:rsid w:val="00CD0C0E"/>
    <w:rsid w:val="00CD5269"/>
    <w:rsid w:val="00CD5509"/>
    <w:rsid w:val="00CD58E4"/>
    <w:rsid w:val="00CD5F2A"/>
    <w:rsid w:val="00CD6345"/>
    <w:rsid w:val="00CD6357"/>
    <w:rsid w:val="00CD65BA"/>
    <w:rsid w:val="00CE0150"/>
    <w:rsid w:val="00CE0EE7"/>
    <w:rsid w:val="00CE1EB0"/>
    <w:rsid w:val="00CE2408"/>
    <w:rsid w:val="00CE39FF"/>
    <w:rsid w:val="00CE3DF2"/>
    <w:rsid w:val="00CE4EAB"/>
    <w:rsid w:val="00CE668C"/>
    <w:rsid w:val="00CE6879"/>
    <w:rsid w:val="00CE6B82"/>
    <w:rsid w:val="00CF0C0F"/>
    <w:rsid w:val="00CF0DA8"/>
    <w:rsid w:val="00CF1186"/>
    <w:rsid w:val="00CF1690"/>
    <w:rsid w:val="00CF1F2A"/>
    <w:rsid w:val="00CF3845"/>
    <w:rsid w:val="00CF5CE3"/>
    <w:rsid w:val="00CF7056"/>
    <w:rsid w:val="00CF7412"/>
    <w:rsid w:val="00CF7C5B"/>
    <w:rsid w:val="00D0005D"/>
    <w:rsid w:val="00D02279"/>
    <w:rsid w:val="00D026DD"/>
    <w:rsid w:val="00D030F8"/>
    <w:rsid w:val="00D049AE"/>
    <w:rsid w:val="00D049B7"/>
    <w:rsid w:val="00D05D19"/>
    <w:rsid w:val="00D0632F"/>
    <w:rsid w:val="00D077B7"/>
    <w:rsid w:val="00D07B4F"/>
    <w:rsid w:val="00D11BC4"/>
    <w:rsid w:val="00D14750"/>
    <w:rsid w:val="00D149D0"/>
    <w:rsid w:val="00D1528A"/>
    <w:rsid w:val="00D179A9"/>
    <w:rsid w:val="00D20297"/>
    <w:rsid w:val="00D21E6B"/>
    <w:rsid w:val="00D225B4"/>
    <w:rsid w:val="00D22680"/>
    <w:rsid w:val="00D22E91"/>
    <w:rsid w:val="00D23634"/>
    <w:rsid w:val="00D2513B"/>
    <w:rsid w:val="00D25369"/>
    <w:rsid w:val="00D25FC2"/>
    <w:rsid w:val="00D264C9"/>
    <w:rsid w:val="00D267DC"/>
    <w:rsid w:val="00D26953"/>
    <w:rsid w:val="00D27280"/>
    <w:rsid w:val="00D340C0"/>
    <w:rsid w:val="00D34522"/>
    <w:rsid w:val="00D34551"/>
    <w:rsid w:val="00D360A3"/>
    <w:rsid w:val="00D36118"/>
    <w:rsid w:val="00D36E78"/>
    <w:rsid w:val="00D41278"/>
    <w:rsid w:val="00D42CC0"/>
    <w:rsid w:val="00D42F79"/>
    <w:rsid w:val="00D44B1A"/>
    <w:rsid w:val="00D457D6"/>
    <w:rsid w:val="00D45D26"/>
    <w:rsid w:val="00D476BD"/>
    <w:rsid w:val="00D53425"/>
    <w:rsid w:val="00D53F63"/>
    <w:rsid w:val="00D559DF"/>
    <w:rsid w:val="00D572F8"/>
    <w:rsid w:val="00D61822"/>
    <w:rsid w:val="00D619CE"/>
    <w:rsid w:val="00D61E3C"/>
    <w:rsid w:val="00D64CE2"/>
    <w:rsid w:val="00D65D0B"/>
    <w:rsid w:val="00D670BE"/>
    <w:rsid w:val="00D702A3"/>
    <w:rsid w:val="00D70653"/>
    <w:rsid w:val="00D70CD3"/>
    <w:rsid w:val="00D717B1"/>
    <w:rsid w:val="00D732C9"/>
    <w:rsid w:val="00D7405A"/>
    <w:rsid w:val="00D762DC"/>
    <w:rsid w:val="00D76489"/>
    <w:rsid w:val="00D76610"/>
    <w:rsid w:val="00D7751B"/>
    <w:rsid w:val="00D815DC"/>
    <w:rsid w:val="00D822B5"/>
    <w:rsid w:val="00D83D3C"/>
    <w:rsid w:val="00D83F0B"/>
    <w:rsid w:val="00D846EE"/>
    <w:rsid w:val="00D867AE"/>
    <w:rsid w:val="00D86A79"/>
    <w:rsid w:val="00D87BBB"/>
    <w:rsid w:val="00D87C87"/>
    <w:rsid w:val="00D87CCD"/>
    <w:rsid w:val="00D91426"/>
    <w:rsid w:val="00D91898"/>
    <w:rsid w:val="00D91929"/>
    <w:rsid w:val="00D91D8B"/>
    <w:rsid w:val="00D921C4"/>
    <w:rsid w:val="00D9296A"/>
    <w:rsid w:val="00D92B53"/>
    <w:rsid w:val="00D92EC3"/>
    <w:rsid w:val="00D9384C"/>
    <w:rsid w:val="00D93C0E"/>
    <w:rsid w:val="00D93C23"/>
    <w:rsid w:val="00D94E1F"/>
    <w:rsid w:val="00D94E2A"/>
    <w:rsid w:val="00D94EFD"/>
    <w:rsid w:val="00D95638"/>
    <w:rsid w:val="00D9584C"/>
    <w:rsid w:val="00D95E65"/>
    <w:rsid w:val="00D9641B"/>
    <w:rsid w:val="00DA0D64"/>
    <w:rsid w:val="00DA13ED"/>
    <w:rsid w:val="00DA14D9"/>
    <w:rsid w:val="00DA4CEE"/>
    <w:rsid w:val="00DA57C4"/>
    <w:rsid w:val="00DA71B1"/>
    <w:rsid w:val="00DB1026"/>
    <w:rsid w:val="00DB13AD"/>
    <w:rsid w:val="00DB18C8"/>
    <w:rsid w:val="00DB23F9"/>
    <w:rsid w:val="00DB34F7"/>
    <w:rsid w:val="00DB4170"/>
    <w:rsid w:val="00DB43E0"/>
    <w:rsid w:val="00DB58BE"/>
    <w:rsid w:val="00DB6176"/>
    <w:rsid w:val="00DB6404"/>
    <w:rsid w:val="00DB651B"/>
    <w:rsid w:val="00DB6AA0"/>
    <w:rsid w:val="00DB7C3A"/>
    <w:rsid w:val="00DC01CD"/>
    <w:rsid w:val="00DC216F"/>
    <w:rsid w:val="00DC3866"/>
    <w:rsid w:val="00DC61F7"/>
    <w:rsid w:val="00DC7945"/>
    <w:rsid w:val="00DC7FC4"/>
    <w:rsid w:val="00DD0B03"/>
    <w:rsid w:val="00DD32AB"/>
    <w:rsid w:val="00DD3599"/>
    <w:rsid w:val="00DD59BB"/>
    <w:rsid w:val="00DD5BF6"/>
    <w:rsid w:val="00DD5D4C"/>
    <w:rsid w:val="00DD5E7A"/>
    <w:rsid w:val="00DE0E4D"/>
    <w:rsid w:val="00DE16F3"/>
    <w:rsid w:val="00DE1865"/>
    <w:rsid w:val="00DE2A93"/>
    <w:rsid w:val="00DE2D45"/>
    <w:rsid w:val="00DE2EC9"/>
    <w:rsid w:val="00DE3634"/>
    <w:rsid w:val="00DE6A78"/>
    <w:rsid w:val="00DE6CEF"/>
    <w:rsid w:val="00DE7D12"/>
    <w:rsid w:val="00DF0B2C"/>
    <w:rsid w:val="00DF0D08"/>
    <w:rsid w:val="00DF11C2"/>
    <w:rsid w:val="00DF1639"/>
    <w:rsid w:val="00DF288A"/>
    <w:rsid w:val="00DF35A8"/>
    <w:rsid w:val="00DF413C"/>
    <w:rsid w:val="00DF4593"/>
    <w:rsid w:val="00DF5A01"/>
    <w:rsid w:val="00DF71B4"/>
    <w:rsid w:val="00E021C7"/>
    <w:rsid w:val="00E02832"/>
    <w:rsid w:val="00E04A0C"/>
    <w:rsid w:val="00E04A33"/>
    <w:rsid w:val="00E04EFA"/>
    <w:rsid w:val="00E05162"/>
    <w:rsid w:val="00E07E34"/>
    <w:rsid w:val="00E10D05"/>
    <w:rsid w:val="00E11CBA"/>
    <w:rsid w:val="00E167B4"/>
    <w:rsid w:val="00E16B66"/>
    <w:rsid w:val="00E17704"/>
    <w:rsid w:val="00E21171"/>
    <w:rsid w:val="00E2223E"/>
    <w:rsid w:val="00E22D98"/>
    <w:rsid w:val="00E24623"/>
    <w:rsid w:val="00E252E3"/>
    <w:rsid w:val="00E26DEF"/>
    <w:rsid w:val="00E30878"/>
    <w:rsid w:val="00E31C4D"/>
    <w:rsid w:val="00E33CA5"/>
    <w:rsid w:val="00E34582"/>
    <w:rsid w:val="00E3477E"/>
    <w:rsid w:val="00E40505"/>
    <w:rsid w:val="00E41885"/>
    <w:rsid w:val="00E42A41"/>
    <w:rsid w:val="00E42C06"/>
    <w:rsid w:val="00E434ED"/>
    <w:rsid w:val="00E435AA"/>
    <w:rsid w:val="00E443A7"/>
    <w:rsid w:val="00E45766"/>
    <w:rsid w:val="00E47727"/>
    <w:rsid w:val="00E53450"/>
    <w:rsid w:val="00E54919"/>
    <w:rsid w:val="00E54FCD"/>
    <w:rsid w:val="00E560D2"/>
    <w:rsid w:val="00E567E5"/>
    <w:rsid w:val="00E60F4D"/>
    <w:rsid w:val="00E6229E"/>
    <w:rsid w:val="00E657DB"/>
    <w:rsid w:val="00E6708B"/>
    <w:rsid w:val="00E67BBF"/>
    <w:rsid w:val="00E70DAB"/>
    <w:rsid w:val="00E73A8C"/>
    <w:rsid w:val="00E75050"/>
    <w:rsid w:val="00E759FD"/>
    <w:rsid w:val="00E76F42"/>
    <w:rsid w:val="00E77365"/>
    <w:rsid w:val="00E77ABD"/>
    <w:rsid w:val="00E82944"/>
    <w:rsid w:val="00E84B57"/>
    <w:rsid w:val="00E84F1F"/>
    <w:rsid w:val="00E858AF"/>
    <w:rsid w:val="00E915E6"/>
    <w:rsid w:val="00E917C6"/>
    <w:rsid w:val="00E91C83"/>
    <w:rsid w:val="00E929D4"/>
    <w:rsid w:val="00E93A30"/>
    <w:rsid w:val="00E94000"/>
    <w:rsid w:val="00EA10DE"/>
    <w:rsid w:val="00EA1633"/>
    <w:rsid w:val="00EA2038"/>
    <w:rsid w:val="00EA3E11"/>
    <w:rsid w:val="00EA5397"/>
    <w:rsid w:val="00EA626F"/>
    <w:rsid w:val="00EA6290"/>
    <w:rsid w:val="00EA67F7"/>
    <w:rsid w:val="00EA6EB3"/>
    <w:rsid w:val="00EA7F1E"/>
    <w:rsid w:val="00EB0C28"/>
    <w:rsid w:val="00EB0FF2"/>
    <w:rsid w:val="00EB2943"/>
    <w:rsid w:val="00EB4A8E"/>
    <w:rsid w:val="00EB4F6A"/>
    <w:rsid w:val="00EB4FFC"/>
    <w:rsid w:val="00EB5EF3"/>
    <w:rsid w:val="00EB695D"/>
    <w:rsid w:val="00EB7586"/>
    <w:rsid w:val="00EC033E"/>
    <w:rsid w:val="00EC2948"/>
    <w:rsid w:val="00EC4FFB"/>
    <w:rsid w:val="00EC5BBE"/>
    <w:rsid w:val="00EC5F89"/>
    <w:rsid w:val="00EC5F9F"/>
    <w:rsid w:val="00EC6391"/>
    <w:rsid w:val="00EC7A4D"/>
    <w:rsid w:val="00EC7C10"/>
    <w:rsid w:val="00ED17B1"/>
    <w:rsid w:val="00ED262B"/>
    <w:rsid w:val="00ED33D3"/>
    <w:rsid w:val="00ED39CE"/>
    <w:rsid w:val="00ED3DFF"/>
    <w:rsid w:val="00ED4134"/>
    <w:rsid w:val="00ED5126"/>
    <w:rsid w:val="00ED5299"/>
    <w:rsid w:val="00EE05F1"/>
    <w:rsid w:val="00EE0EEF"/>
    <w:rsid w:val="00EE0F65"/>
    <w:rsid w:val="00EE1659"/>
    <w:rsid w:val="00EE1887"/>
    <w:rsid w:val="00EE3EB6"/>
    <w:rsid w:val="00EE43C3"/>
    <w:rsid w:val="00EE471A"/>
    <w:rsid w:val="00EE5492"/>
    <w:rsid w:val="00EE62FE"/>
    <w:rsid w:val="00EE6BD5"/>
    <w:rsid w:val="00EF0406"/>
    <w:rsid w:val="00EF2210"/>
    <w:rsid w:val="00EF4DBC"/>
    <w:rsid w:val="00EF60C6"/>
    <w:rsid w:val="00EF6F29"/>
    <w:rsid w:val="00EF767F"/>
    <w:rsid w:val="00F00B75"/>
    <w:rsid w:val="00F01831"/>
    <w:rsid w:val="00F01B24"/>
    <w:rsid w:val="00F01D07"/>
    <w:rsid w:val="00F02B5C"/>
    <w:rsid w:val="00F033A9"/>
    <w:rsid w:val="00F038F2"/>
    <w:rsid w:val="00F03CC3"/>
    <w:rsid w:val="00F0404A"/>
    <w:rsid w:val="00F06BFF"/>
    <w:rsid w:val="00F07BD5"/>
    <w:rsid w:val="00F122D6"/>
    <w:rsid w:val="00F14498"/>
    <w:rsid w:val="00F1478E"/>
    <w:rsid w:val="00F14E8E"/>
    <w:rsid w:val="00F15BF4"/>
    <w:rsid w:val="00F176BC"/>
    <w:rsid w:val="00F176DD"/>
    <w:rsid w:val="00F17940"/>
    <w:rsid w:val="00F2046C"/>
    <w:rsid w:val="00F20647"/>
    <w:rsid w:val="00F20D9F"/>
    <w:rsid w:val="00F24BF6"/>
    <w:rsid w:val="00F2502D"/>
    <w:rsid w:val="00F261A3"/>
    <w:rsid w:val="00F268B2"/>
    <w:rsid w:val="00F27B37"/>
    <w:rsid w:val="00F31392"/>
    <w:rsid w:val="00F33546"/>
    <w:rsid w:val="00F33B03"/>
    <w:rsid w:val="00F348B5"/>
    <w:rsid w:val="00F34A9B"/>
    <w:rsid w:val="00F361DD"/>
    <w:rsid w:val="00F3652B"/>
    <w:rsid w:val="00F367FB"/>
    <w:rsid w:val="00F37043"/>
    <w:rsid w:val="00F377B9"/>
    <w:rsid w:val="00F42657"/>
    <w:rsid w:val="00F45442"/>
    <w:rsid w:val="00F45880"/>
    <w:rsid w:val="00F47012"/>
    <w:rsid w:val="00F505FF"/>
    <w:rsid w:val="00F5145E"/>
    <w:rsid w:val="00F517CE"/>
    <w:rsid w:val="00F527C4"/>
    <w:rsid w:val="00F52B06"/>
    <w:rsid w:val="00F53729"/>
    <w:rsid w:val="00F5436A"/>
    <w:rsid w:val="00F55884"/>
    <w:rsid w:val="00F558EA"/>
    <w:rsid w:val="00F56332"/>
    <w:rsid w:val="00F602AE"/>
    <w:rsid w:val="00F613CB"/>
    <w:rsid w:val="00F61492"/>
    <w:rsid w:val="00F61F79"/>
    <w:rsid w:val="00F62990"/>
    <w:rsid w:val="00F63D89"/>
    <w:rsid w:val="00F64998"/>
    <w:rsid w:val="00F64FBA"/>
    <w:rsid w:val="00F656A4"/>
    <w:rsid w:val="00F6665E"/>
    <w:rsid w:val="00F67CDA"/>
    <w:rsid w:val="00F7075F"/>
    <w:rsid w:val="00F7087C"/>
    <w:rsid w:val="00F71D76"/>
    <w:rsid w:val="00F72708"/>
    <w:rsid w:val="00F72D7F"/>
    <w:rsid w:val="00F7703D"/>
    <w:rsid w:val="00F770E0"/>
    <w:rsid w:val="00F805B8"/>
    <w:rsid w:val="00F815BE"/>
    <w:rsid w:val="00F821CB"/>
    <w:rsid w:val="00F8349F"/>
    <w:rsid w:val="00F83AF8"/>
    <w:rsid w:val="00F83FB7"/>
    <w:rsid w:val="00F83FE4"/>
    <w:rsid w:val="00F843ED"/>
    <w:rsid w:val="00F85935"/>
    <w:rsid w:val="00F85D29"/>
    <w:rsid w:val="00F85D85"/>
    <w:rsid w:val="00F86794"/>
    <w:rsid w:val="00F872E3"/>
    <w:rsid w:val="00F873DC"/>
    <w:rsid w:val="00F92C03"/>
    <w:rsid w:val="00F92CE0"/>
    <w:rsid w:val="00F932BB"/>
    <w:rsid w:val="00F93A2E"/>
    <w:rsid w:val="00F93D29"/>
    <w:rsid w:val="00F94901"/>
    <w:rsid w:val="00F94978"/>
    <w:rsid w:val="00F9571D"/>
    <w:rsid w:val="00F96056"/>
    <w:rsid w:val="00F969D3"/>
    <w:rsid w:val="00F96FA8"/>
    <w:rsid w:val="00F97057"/>
    <w:rsid w:val="00F97E33"/>
    <w:rsid w:val="00FA12EE"/>
    <w:rsid w:val="00FA190E"/>
    <w:rsid w:val="00FA281C"/>
    <w:rsid w:val="00FA2CD7"/>
    <w:rsid w:val="00FA54D8"/>
    <w:rsid w:val="00FA661F"/>
    <w:rsid w:val="00FA6CC9"/>
    <w:rsid w:val="00FA7001"/>
    <w:rsid w:val="00FA77DB"/>
    <w:rsid w:val="00FA7D8B"/>
    <w:rsid w:val="00FB097D"/>
    <w:rsid w:val="00FB0EAE"/>
    <w:rsid w:val="00FB1875"/>
    <w:rsid w:val="00FB2EFA"/>
    <w:rsid w:val="00FB33D3"/>
    <w:rsid w:val="00FB6050"/>
    <w:rsid w:val="00FB68B3"/>
    <w:rsid w:val="00FB77F3"/>
    <w:rsid w:val="00FC01A1"/>
    <w:rsid w:val="00FC01C5"/>
    <w:rsid w:val="00FC091E"/>
    <w:rsid w:val="00FC093F"/>
    <w:rsid w:val="00FC1ECE"/>
    <w:rsid w:val="00FC27DA"/>
    <w:rsid w:val="00FC2B84"/>
    <w:rsid w:val="00FC2CC3"/>
    <w:rsid w:val="00FC4FB7"/>
    <w:rsid w:val="00FC56A3"/>
    <w:rsid w:val="00FC79C3"/>
    <w:rsid w:val="00FD0BFA"/>
    <w:rsid w:val="00FD197C"/>
    <w:rsid w:val="00FD357B"/>
    <w:rsid w:val="00FD3658"/>
    <w:rsid w:val="00FD38FC"/>
    <w:rsid w:val="00FD3D3E"/>
    <w:rsid w:val="00FD5427"/>
    <w:rsid w:val="00FD5FBE"/>
    <w:rsid w:val="00FD6119"/>
    <w:rsid w:val="00FD688E"/>
    <w:rsid w:val="00FD6B9F"/>
    <w:rsid w:val="00FD79D5"/>
    <w:rsid w:val="00FD7C0C"/>
    <w:rsid w:val="00FD7F2F"/>
    <w:rsid w:val="00FE045C"/>
    <w:rsid w:val="00FE0C52"/>
    <w:rsid w:val="00FE1692"/>
    <w:rsid w:val="00FE54B8"/>
    <w:rsid w:val="00FE58E8"/>
    <w:rsid w:val="00FE67A8"/>
    <w:rsid w:val="00FE7764"/>
    <w:rsid w:val="00FF0454"/>
    <w:rsid w:val="00FF0566"/>
    <w:rsid w:val="00FF0822"/>
    <w:rsid w:val="00FF0EDA"/>
    <w:rsid w:val="00FF1368"/>
    <w:rsid w:val="00FF1E08"/>
    <w:rsid w:val="00FF2995"/>
    <w:rsid w:val="00FF4FA4"/>
    <w:rsid w:val="00FF55DA"/>
    <w:rsid w:val="00FF60B3"/>
    <w:rsid w:val="00FF6218"/>
    <w:rsid w:val="00FF6DB0"/>
    <w:rsid w:val="00FF7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4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13"/>
    <w:lsdException w:name="header" w:uiPriority="99"/>
    <w:lsdException w:name="caption" w:qFormat="1"/>
    <w:lsdException w:name="table of figures" w:semiHidden="0" w:uiPriority="99" w:unhideWhenUsed="0"/>
    <w:lsdException w:name="footnote reference" w:uiPriority="3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3"/>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13"/>
    <w:rsid w:val="00F7087C"/>
    <w:rPr>
      <w:kern w:val="16"/>
      <w:sz w:val="18"/>
    </w:rPr>
  </w:style>
  <w:style w:type="character" w:styleId="FootnoteReference">
    <w:name w:val="footnote reference"/>
    <w:basedOn w:val="DefaultParagraphFont"/>
    <w:uiPriority w:val="3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nhideWhenUsed/>
    <w:rsid w:val="00217EF3"/>
    <w:pPr>
      <w:spacing w:line="240" w:lineRule="auto"/>
    </w:pPr>
    <w:rPr>
      <w:sz w:val="20"/>
      <w:szCs w:val="20"/>
    </w:rPr>
  </w:style>
  <w:style w:type="character" w:customStyle="1" w:styleId="CommentTextChar">
    <w:name w:val="Comment Text Char"/>
    <w:basedOn w:val="DefaultParagraphFont"/>
    <w:link w:val="CommentText"/>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00389F"/>
    <w:pPr>
      <w:spacing w:before="340" w:after="113"/>
    </w:pPr>
    <w:rPr>
      <w:spacing w:val="-1"/>
    </w:rPr>
  </w:style>
  <w:style w:type="paragraph" w:styleId="Revision">
    <w:name w:val="Revision"/>
    <w:hidden/>
    <w:uiPriority w:val="99"/>
    <w:semiHidden/>
    <w:rsid w:val="00BF630F"/>
    <w:pPr>
      <w:spacing w:line="240" w:lineRule="auto"/>
    </w:pPr>
  </w:style>
  <w:style w:type="paragraph" w:styleId="EndnoteText">
    <w:name w:val="endnote text"/>
    <w:basedOn w:val="Normal"/>
    <w:link w:val="EndnoteTextChar"/>
    <w:semiHidden/>
    <w:unhideWhenUsed/>
    <w:rsid w:val="00FF0822"/>
    <w:pPr>
      <w:spacing w:line="240" w:lineRule="auto"/>
    </w:pPr>
    <w:rPr>
      <w:sz w:val="20"/>
      <w:szCs w:val="20"/>
    </w:rPr>
  </w:style>
  <w:style w:type="character" w:customStyle="1" w:styleId="EndnoteTextChar">
    <w:name w:val="Endnote Text Char"/>
    <w:basedOn w:val="DefaultParagraphFont"/>
    <w:link w:val="EndnoteText"/>
    <w:semiHidden/>
    <w:rsid w:val="00FF0822"/>
    <w:rPr>
      <w:sz w:val="20"/>
      <w:szCs w:val="20"/>
    </w:rPr>
  </w:style>
  <w:style w:type="character" w:styleId="EndnoteReference">
    <w:name w:val="endnote reference"/>
    <w:basedOn w:val="DefaultParagraphFont"/>
    <w:semiHidden/>
    <w:unhideWhenUsed/>
    <w:rsid w:val="00FF0822"/>
    <w:rPr>
      <w:vertAlign w:val="superscript"/>
    </w:rPr>
  </w:style>
  <w:style w:type="paragraph" w:styleId="ListParagraph">
    <w:name w:val="List Paragraph"/>
    <w:basedOn w:val="Normal"/>
    <w:rsid w:val="00D25FC2"/>
    <w:pPr>
      <w:ind w:left="720"/>
      <w:contextualSpacing/>
    </w:pPr>
  </w:style>
  <w:style w:type="character" w:styleId="FollowedHyperlink">
    <w:name w:val="FollowedHyperlink"/>
    <w:basedOn w:val="DefaultParagraphFont"/>
    <w:semiHidden/>
    <w:unhideWhenUsed/>
    <w:rsid w:val="00EE6BD5"/>
    <w:rPr>
      <w:color w:val="3D4D7D" w:themeColor="followedHyperlink"/>
      <w:u w:val="single"/>
    </w:rPr>
  </w:style>
  <w:style w:type="character" w:styleId="SubtleEmphasis">
    <w:name w:val="Subtle Emphasis"/>
    <w:basedOn w:val="DefaultParagraphFont"/>
    <w:uiPriority w:val="19"/>
    <w:qFormat/>
    <w:rsid w:val="008949D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13"/>
    <w:lsdException w:name="header" w:uiPriority="99"/>
    <w:lsdException w:name="caption" w:qFormat="1"/>
    <w:lsdException w:name="table of figures" w:semiHidden="0" w:uiPriority="99" w:unhideWhenUsed="0"/>
    <w:lsdException w:name="footnote reference" w:uiPriority="39"/>
    <w:lsdException w:name="annotation reference" w:uiPriority="99"/>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3"/>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13"/>
    <w:rsid w:val="00F7087C"/>
    <w:rPr>
      <w:kern w:val="16"/>
      <w:sz w:val="18"/>
    </w:rPr>
  </w:style>
  <w:style w:type="character" w:styleId="FootnoteReference">
    <w:name w:val="footnote reference"/>
    <w:basedOn w:val="DefaultParagraphFont"/>
    <w:uiPriority w:val="39"/>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nhideWhenUsed/>
    <w:rsid w:val="00217EF3"/>
    <w:pPr>
      <w:spacing w:line="240" w:lineRule="auto"/>
    </w:pPr>
    <w:rPr>
      <w:sz w:val="20"/>
      <w:szCs w:val="20"/>
    </w:rPr>
  </w:style>
  <w:style w:type="character" w:customStyle="1" w:styleId="CommentTextChar">
    <w:name w:val="Comment Text Char"/>
    <w:basedOn w:val="DefaultParagraphFont"/>
    <w:link w:val="CommentText"/>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BodyText17ptAbove">
    <w:name w:val="Body Text 17pt Above"/>
    <w:basedOn w:val="BodyText"/>
    <w:next w:val="BodyText"/>
    <w:qFormat/>
    <w:rsid w:val="0000389F"/>
    <w:pPr>
      <w:spacing w:before="340" w:after="113"/>
    </w:pPr>
    <w:rPr>
      <w:spacing w:val="-1"/>
    </w:rPr>
  </w:style>
  <w:style w:type="paragraph" w:styleId="Revision">
    <w:name w:val="Revision"/>
    <w:hidden/>
    <w:uiPriority w:val="99"/>
    <w:semiHidden/>
    <w:rsid w:val="00BF630F"/>
    <w:pPr>
      <w:spacing w:line="240" w:lineRule="auto"/>
    </w:pPr>
  </w:style>
  <w:style w:type="paragraph" w:styleId="EndnoteText">
    <w:name w:val="endnote text"/>
    <w:basedOn w:val="Normal"/>
    <w:link w:val="EndnoteTextChar"/>
    <w:semiHidden/>
    <w:unhideWhenUsed/>
    <w:rsid w:val="00FF0822"/>
    <w:pPr>
      <w:spacing w:line="240" w:lineRule="auto"/>
    </w:pPr>
    <w:rPr>
      <w:sz w:val="20"/>
      <w:szCs w:val="20"/>
    </w:rPr>
  </w:style>
  <w:style w:type="character" w:customStyle="1" w:styleId="EndnoteTextChar">
    <w:name w:val="Endnote Text Char"/>
    <w:basedOn w:val="DefaultParagraphFont"/>
    <w:link w:val="EndnoteText"/>
    <w:semiHidden/>
    <w:rsid w:val="00FF0822"/>
    <w:rPr>
      <w:sz w:val="20"/>
      <w:szCs w:val="20"/>
    </w:rPr>
  </w:style>
  <w:style w:type="character" w:styleId="EndnoteReference">
    <w:name w:val="endnote reference"/>
    <w:basedOn w:val="DefaultParagraphFont"/>
    <w:semiHidden/>
    <w:unhideWhenUsed/>
    <w:rsid w:val="00FF0822"/>
    <w:rPr>
      <w:vertAlign w:val="superscript"/>
    </w:rPr>
  </w:style>
  <w:style w:type="paragraph" w:styleId="ListParagraph">
    <w:name w:val="List Paragraph"/>
    <w:basedOn w:val="Normal"/>
    <w:rsid w:val="00D25FC2"/>
    <w:pPr>
      <w:ind w:left="720"/>
      <w:contextualSpacing/>
    </w:pPr>
  </w:style>
  <w:style w:type="character" w:styleId="FollowedHyperlink">
    <w:name w:val="FollowedHyperlink"/>
    <w:basedOn w:val="DefaultParagraphFont"/>
    <w:semiHidden/>
    <w:unhideWhenUsed/>
    <w:rsid w:val="00EE6BD5"/>
    <w:rPr>
      <w:color w:val="3D4D7D" w:themeColor="followedHyperlink"/>
      <w:u w:val="single"/>
    </w:rPr>
  </w:style>
  <w:style w:type="character" w:styleId="SubtleEmphasis">
    <w:name w:val="Subtle Emphasis"/>
    <w:basedOn w:val="DefaultParagraphFont"/>
    <w:uiPriority w:val="19"/>
    <w:qFormat/>
    <w:rsid w:val="008949D0"/>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97158">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971596918">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7854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feedback@pbo.gov.au" TargetMode="External"/><Relationship Id="rId26" Type="http://schemas.openxmlformats.org/officeDocument/2006/relationships/header" Target="header8.xml"/><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hyperlink" Target="https://www.aasb.gov.au/admin/file/content105/c9/AASB13_08-15_COMPfeb16_01-19.pdf"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yperlink" Target="https://budget.gov.au/2019-20/content/bp1/download/bp1.pdf%20" TargetMode="External"/><Relationship Id="rId63" Type="http://schemas.openxmlformats.org/officeDocument/2006/relationships/image" Target="media/image29.png"/><Relationship Id="rId68"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image" Target="media/image10.png"/><Relationship Id="rId40" Type="http://schemas.openxmlformats.org/officeDocument/2006/relationships/hyperlink" Target="https://budget.gov.au/index.htm" TargetMode="External"/><Relationship Id="rId45" Type="http://schemas.openxmlformats.org/officeDocument/2006/relationships/image" Target="media/image16.png"/><Relationship Id="rId53" Type="http://schemas.openxmlformats.org/officeDocument/2006/relationships/hyperlink" Target="http://www.aasb.gov.au/admin/file/content105/c9/AASB13_08-15_COMPfeb16_01-19.pdf" TargetMode="External"/><Relationship Id="rId58" Type="http://schemas.openxmlformats.org/officeDocument/2006/relationships/image" Target="media/image26.png"/><Relationship Id="rId66"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creativecommons.org/licenses/by-nc-nd/3.0/au/" TargetMode="Externa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image" Target="media/image25.png"/><Relationship Id="rId61"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s://treasury.gov.au/publication/economic-roundup-winter-2006/future-fund-and-fiscal-policy"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yperlink" Target="https://budget.gov.au/2019-20/content/bp1/download/bp1.pdf" TargetMode="External"/><Relationship Id="rId65" Type="http://schemas.openxmlformats.org/officeDocument/2006/relationships/hyperlink" Target="https://treasury.gov.au/sites/default/files/2019-03/p2019-t365789-v2.pdf"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4.png"/><Relationship Id="rId64" Type="http://schemas.openxmlformats.org/officeDocument/2006/relationships/hyperlink" Target="https://www.ausstats.abs.gov.au/ausstats/subscriber.nsf/0/418BDDEBD088A012CA257F230019D433/$File/55140_2015.pdf" TargetMode="External"/><Relationship Id="rId69"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tsanhonour.gov.au/coat-arms" TargetMode="External"/><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hyperlink" Target="https://treasury.gov.au/publication/p2019-t365789" TargetMode="External"/><Relationship Id="rId46" Type="http://schemas.openxmlformats.org/officeDocument/2006/relationships/hyperlink" Target="https://budget.gov.au/2019-20/content/bp1/download/bp1.pdf" TargetMode="External"/><Relationship Id="rId59" Type="http://schemas.openxmlformats.org/officeDocument/2006/relationships/image" Target="media/image27.png"/><Relationship Id="rId67" Type="http://schemas.openxmlformats.org/officeDocument/2006/relationships/header" Target="header10.xml"/><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hyperlink" Target="https://www.ausstats.abs.gov.au/ausstats/subscriber.nsf/0/418BDDEBD088A012CA257F230019D433/$File/55140_2015.pdf" TargetMode="External"/><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inlandrail.artc.com.au/13251/documents/31860" TargetMode="External"/><Relationship Id="rId2" Type="http://schemas.openxmlformats.org/officeDocument/2006/relationships/hyperlink" Target="https://www.anao.gov.au/work/financial-statement-audit/audits-financial-statements-australian-government-entities-period-ended-30-june-2019" TargetMode="External"/><Relationship Id="rId1" Type="http://schemas.openxmlformats.org/officeDocument/2006/relationships/hyperlink" Target="https://www.finance.gov.au/publications/resource-management-guides/commonwealth-investments-resource-management-guide-30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84741-ABCE-48B7-AFFC-A8BD2040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11856</Words>
  <Characters>67584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2020-03-18T08:03:00Z</dcterms:created>
  <dcterms:modified xsi:type="dcterms:W3CDTF">2020-03-18T22:37:00Z</dcterms:modified>
</cp:coreProperties>
</file>