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BB" w:rsidRDefault="00B24EBB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3"/>
        <w:gridCol w:w="5202"/>
        <w:gridCol w:w="5210"/>
      </w:tblGrid>
      <w:tr w:rsidR="00237344" w:rsidTr="005D6E60">
        <w:tc>
          <w:tcPr>
            <w:tcW w:w="15615" w:type="dxa"/>
            <w:gridSpan w:val="3"/>
            <w:shd w:val="clear" w:color="auto" w:fill="auto"/>
            <w:vAlign w:val="center"/>
          </w:tcPr>
          <w:p w:rsidR="00237344" w:rsidRPr="003A40A0" w:rsidRDefault="00237344" w:rsidP="00B65C22">
            <w:pPr>
              <w:pStyle w:val="Heading1"/>
              <w:numPr>
                <w:ilvl w:val="0"/>
                <w:numId w:val="0"/>
              </w:numPr>
              <w:spacing w:before="0" w:after="0"/>
              <w:ind w:left="765"/>
              <w:jc w:val="center"/>
              <w:outlineLvl w:val="0"/>
            </w:pPr>
            <w:bookmarkStart w:id="0" w:name="Here"/>
            <w:bookmarkEnd w:id="0"/>
            <w:r w:rsidRPr="00837C16">
              <w:rPr>
                <w:sz w:val="48"/>
              </w:rPr>
              <w:t>2018–19 Budget Snapshot</w:t>
            </w:r>
            <w:r w:rsidRPr="00394B6C">
              <w:rPr>
                <w:rStyle w:val="FootnoteReference"/>
                <w:color w:val="FFFFFF" w:themeColor="background1"/>
              </w:rPr>
              <w:footnoteReference w:id="1"/>
            </w:r>
          </w:p>
        </w:tc>
      </w:tr>
      <w:tr w:rsidR="009920A3" w:rsidRPr="009920A3" w:rsidTr="00A854B9">
        <w:tc>
          <w:tcPr>
            <w:tcW w:w="5203" w:type="dxa"/>
            <w:shd w:val="clear" w:color="auto" w:fill="auto"/>
          </w:tcPr>
          <w:p w:rsidR="009920A3" w:rsidRPr="009920A3" w:rsidRDefault="009920A3" w:rsidP="00B65C22">
            <w:pPr>
              <w:pStyle w:val="Caption"/>
              <w:spacing w:before="120"/>
              <w:jc w:val="center"/>
              <w:rPr>
                <w:sz w:val="8"/>
              </w:rPr>
            </w:pPr>
          </w:p>
        </w:tc>
        <w:tc>
          <w:tcPr>
            <w:tcW w:w="5202" w:type="dxa"/>
            <w:shd w:val="clear" w:color="auto" w:fill="auto"/>
          </w:tcPr>
          <w:p w:rsidR="009920A3" w:rsidRPr="009920A3" w:rsidRDefault="009920A3" w:rsidP="00B65C22">
            <w:pPr>
              <w:pStyle w:val="Caption"/>
              <w:spacing w:before="120"/>
              <w:jc w:val="center"/>
              <w:rPr>
                <w:sz w:val="8"/>
              </w:rPr>
            </w:pPr>
          </w:p>
        </w:tc>
        <w:tc>
          <w:tcPr>
            <w:tcW w:w="5210" w:type="dxa"/>
            <w:shd w:val="clear" w:color="auto" w:fill="auto"/>
          </w:tcPr>
          <w:p w:rsidR="009920A3" w:rsidRPr="009920A3" w:rsidRDefault="009920A3" w:rsidP="00222045">
            <w:pPr>
              <w:pStyle w:val="Caption"/>
              <w:spacing w:before="120"/>
              <w:jc w:val="center"/>
              <w:rPr>
                <w:sz w:val="8"/>
              </w:rPr>
            </w:pPr>
          </w:p>
        </w:tc>
      </w:tr>
      <w:tr w:rsidR="00237344" w:rsidTr="00A854B9">
        <w:tc>
          <w:tcPr>
            <w:tcW w:w="5203" w:type="dxa"/>
            <w:shd w:val="clear" w:color="auto" w:fill="auto"/>
          </w:tcPr>
          <w:p w:rsidR="00237344" w:rsidRPr="00F44F03" w:rsidRDefault="00237344" w:rsidP="00B65C22">
            <w:pPr>
              <w:pStyle w:val="Caption"/>
              <w:spacing w:before="120"/>
              <w:jc w:val="center"/>
            </w:pPr>
            <w:r w:rsidRPr="00F44F03">
              <w:t xml:space="preserve">Figure </w:t>
            </w:r>
            <w:r w:rsidR="001C1210">
              <w:fldChar w:fldCharType="begin"/>
            </w:r>
            <w:r w:rsidR="001C1210">
              <w:instrText xml:space="preserve"> SEQ Figure \* ARABIC \s 1 </w:instrText>
            </w:r>
            <w:r w:rsidR="001C1210">
              <w:fldChar w:fldCharType="separate"/>
            </w:r>
            <w:r w:rsidR="0013233A">
              <w:rPr>
                <w:noProof/>
              </w:rPr>
              <w:t>1</w:t>
            </w:r>
            <w:r w:rsidR="001C1210">
              <w:rPr>
                <w:noProof/>
              </w:rPr>
              <w:fldChar w:fldCharType="end"/>
            </w:r>
            <w:r w:rsidRPr="00F44F03">
              <w:t xml:space="preserve">: </w:t>
            </w:r>
            <w:r>
              <w:t>Underlying cash balance</w:t>
            </w:r>
          </w:p>
        </w:tc>
        <w:tc>
          <w:tcPr>
            <w:tcW w:w="5202" w:type="dxa"/>
            <w:shd w:val="clear" w:color="auto" w:fill="auto"/>
          </w:tcPr>
          <w:p w:rsidR="00237344" w:rsidRDefault="00237344" w:rsidP="00B65C22">
            <w:pPr>
              <w:pStyle w:val="Caption"/>
              <w:spacing w:before="120"/>
              <w:jc w:val="center"/>
            </w:pPr>
            <w:r w:rsidRPr="00F44F03">
              <w:t xml:space="preserve">Figure </w:t>
            </w:r>
            <w:r w:rsidR="001C1210">
              <w:fldChar w:fldCharType="begin"/>
            </w:r>
            <w:r w:rsidR="001C1210">
              <w:instrText xml:space="preserve"> SEQ Figure \* ARABIC \s 1 </w:instrText>
            </w:r>
            <w:r w:rsidR="001C1210">
              <w:fldChar w:fldCharType="separate"/>
            </w:r>
            <w:r w:rsidR="0013233A">
              <w:rPr>
                <w:noProof/>
              </w:rPr>
              <w:t>2</w:t>
            </w:r>
            <w:r w:rsidR="001C1210">
              <w:rPr>
                <w:noProof/>
              </w:rPr>
              <w:fldChar w:fldCharType="end"/>
            </w:r>
            <w:r w:rsidRPr="00F44F03">
              <w:t xml:space="preserve">: </w:t>
            </w:r>
            <w:r>
              <w:t>Total payments and receipts</w:t>
            </w:r>
            <w:bookmarkStart w:id="1" w:name="_Ref512587914"/>
            <w:r>
              <w:rPr>
                <w:rStyle w:val="FootnoteReference"/>
              </w:rPr>
              <w:footnoteReference w:id="2"/>
            </w:r>
            <w:bookmarkEnd w:id="1"/>
            <w:r>
              <w:t xml:space="preserve">  </w:t>
            </w:r>
          </w:p>
        </w:tc>
        <w:tc>
          <w:tcPr>
            <w:tcW w:w="5210" w:type="dxa"/>
            <w:shd w:val="clear" w:color="auto" w:fill="auto"/>
          </w:tcPr>
          <w:p w:rsidR="00237344" w:rsidRPr="003A40A0" w:rsidRDefault="00237344" w:rsidP="00222045">
            <w:pPr>
              <w:pStyle w:val="Caption"/>
              <w:spacing w:before="120"/>
              <w:jc w:val="center"/>
            </w:pPr>
            <w:r w:rsidRPr="003A40A0">
              <w:t>Figure</w:t>
            </w:r>
            <w:r>
              <w:t xml:space="preserve"> </w:t>
            </w:r>
            <w:r w:rsidR="001C1210">
              <w:fldChar w:fldCharType="begin"/>
            </w:r>
            <w:r w:rsidR="001C1210">
              <w:instrText xml:space="preserve"> SEQ Figure \* ARABIC \s 1 </w:instrText>
            </w:r>
            <w:r w:rsidR="001C1210">
              <w:fldChar w:fldCharType="separate"/>
            </w:r>
            <w:r w:rsidR="0013233A">
              <w:rPr>
                <w:noProof/>
              </w:rPr>
              <w:t>3</w:t>
            </w:r>
            <w:r w:rsidR="001C1210">
              <w:rPr>
                <w:noProof/>
              </w:rPr>
              <w:fldChar w:fldCharType="end"/>
            </w:r>
            <w:r w:rsidRPr="003A40A0">
              <w:t xml:space="preserve">: </w:t>
            </w:r>
            <w:r w:rsidR="00222045">
              <w:t>N</w:t>
            </w:r>
            <w:r>
              <w:t xml:space="preserve">et debt </w:t>
            </w:r>
          </w:p>
        </w:tc>
      </w:tr>
      <w:tr w:rsidR="00C4585F" w:rsidRPr="00B20C0B" w:rsidTr="00A854B9">
        <w:tc>
          <w:tcPr>
            <w:tcW w:w="5203" w:type="dxa"/>
            <w:shd w:val="clear" w:color="auto" w:fill="auto"/>
          </w:tcPr>
          <w:p w:rsidR="00237344" w:rsidRPr="00B20C0B" w:rsidRDefault="00C4585F" w:rsidP="00B65C22">
            <w:pPr>
              <w:pStyle w:val="Caption"/>
              <w:spacing w:before="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5C83120" wp14:editId="7C1174C9">
                  <wp:extent cx="3240000" cy="1800000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5202" w:type="dxa"/>
            <w:shd w:val="clear" w:color="auto" w:fill="auto"/>
          </w:tcPr>
          <w:p w:rsidR="00237344" w:rsidRPr="00B20C0B" w:rsidRDefault="00C4585F" w:rsidP="00B65C2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4BA2CE5" wp14:editId="355919FE">
                  <wp:extent cx="3237073" cy="1800000"/>
                  <wp:effectExtent l="0" t="0" r="1905" b="0"/>
                  <wp:docPr id="56" name="Chart 5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5210" w:type="dxa"/>
            <w:shd w:val="clear" w:color="auto" w:fill="auto"/>
          </w:tcPr>
          <w:p w:rsidR="00237344" w:rsidRPr="00B20C0B" w:rsidRDefault="00843683" w:rsidP="00B65C2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6470615" wp14:editId="5DC1212E">
                  <wp:extent cx="3240000" cy="1800000"/>
                  <wp:effectExtent l="0" t="0" r="0" b="0"/>
                  <wp:docPr id="60" name="Chart 6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237344" w:rsidRPr="00B64329" w:rsidTr="00A854B9">
        <w:tc>
          <w:tcPr>
            <w:tcW w:w="5203" w:type="dxa"/>
            <w:shd w:val="clear" w:color="auto" w:fill="auto"/>
          </w:tcPr>
          <w:p w:rsidR="00237344" w:rsidRPr="00B64329" w:rsidRDefault="00237344" w:rsidP="00EA044C">
            <w:pPr>
              <w:rPr>
                <w:color w:val="A6A6A6" w:themeColor="background1" w:themeShade="A6"/>
                <w:sz w:val="16"/>
              </w:rPr>
            </w:pPr>
          </w:p>
        </w:tc>
        <w:tc>
          <w:tcPr>
            <w:tcW w:w="5202" w:type="dxa"/>
            <w:shd w:val="clear" w:color="auto" w:fill="auto"/>
          </w:tcPr>
          <w:p w:rsidR="00237344" w:rsidRPr="00B64329" w:rsidRDefault="00237344" w:rsidP="00EA044C">
            <w:pPr>
              <w:rPr>
                <w:color w:val="A6A6A6" w:themeColor="background1" w:themeShade="A6"/>
                <w:sz w:val="16"/>
              </w:rPr>
            </w:pPr>
          </w:p>
        </w:tc>
        <w:tc>
          <w:tcPr>
            <w:tcW w:w="5210" w:type="dxa"/>
            <w:shd w:val="clear" w:color="auto" w:fill="auto"/>
          </w:tcPr>
          <w:p w:rsidR="00237344" w:rsidRPr="00B64329" w:rsidRDefault="00237344" w:rsidP="00EA044C">
            <w:pPr>
              <w:rPr>
                <w:color w:val="A6A6A6" w:themeColor="background1" w:themeShade="A6"/>
                <w:sz w:val="16"/>
              </w:rPr>
            </w:pPr>
          </w:p>
        </w:tc>
      </w:tr>
      <w:tr w:rsidR="00237344" w:rsidTr="00A854B9">
        <w:tc>
          <w:tcPr>
            <w:tcW w:w="5203" w:type="dxa"/>
            <w:shd w:val="clear" w:color="auto" w:fill="auto"/>
            <w:vAlign w:val="center"/>
          </w:tcPr>
          <w:p w:rsidR="00237344" w:rsidRPr="008873D2" w:rsidRDefault="00237344" w:rsidP="00AA465C">
            <w:pPr>
              <w:pStyle w:val="Caption"/>
              <w:spacing w:before="120" w:after="120"/>
              <w:jc w:val="center"/>
              <w:rPr>
                <w:color w:val="808080" w:themeColor="background1" w:themeShade="80"/>
              </w:rPr>
            </w:pPr>
            <w:r>
              <w:t xml:space="preserve">Figure </w:t>
            </w:r>
            <w:r w:rsidR="001C1210">
              <w:fldChar w:fldCharType="begin"/>
            </w:r>
            <w:r w:rsidR="001C1210">
              <w:instrText xml:space="preserve"> SEQ Figure \* ARABIC \s 1 </w:instrText>
            </w:r>
            <w:r w:rsidR="001C1210">
              <w:fldChar w:fldCharType="separate"/>
            </w:r>
            <w:r w:rsidR="0013233A">
              <w:rPr>
                <w:noProof/>
              </w:rPr>
              <w:t>4</w:t>
            </w:r>
            <w:r w:rsidR="001C1210">
              <w:rPr>
                <w:noProof/>
              </w:rPr>
              <w:fldChar w:fldCharType="end"/>
            </w:r>
            <w:r w:rsidRPr="003A40A0">
              <w:t xml:space="preserve">: </w:t>
            </w:r>
            <w:r w:rsidR="00D12CAB">
              <w:t xml:space="preserve">Change in </w:t>
            </w:r>
            <w:r>
              <w:t xml:space="preserve">Budget position since </w:t>
            </w:r>
            <w:r w:rsidR="00D12CAB">
              <w:br/>
            </w:r>
            <w:r>
              <w:t>2017–18 MYEFO</w:t>
            </w:r>
            <w:r w:rsidRPr="006E6C99">
              <w:rPr>
                <w:vertAlign w:val="superscript"/>
              </w:rPr>
              <w:fldChar w:fldCharType="begin"/>
            </w:r>
            <w:r w:rsidRPr="006E6C99">
              <w:rPr>
                <w:vertAlign w:val="superscript"/>
              </w:rPr>
              <w:instrText xml:space="preserve"> NOTEREF _Ref512587914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6E6C99">
              <w:rPr>
                <w:vertAlign w:val="superscript"/>
              </w:rPr>
            </w:r>
            <w:r w:rsidRPr="006E6C99">
              <w:rPr>
                <w:vertAlign w:val="superscript"/>
              </w:rPr>
              <w:fldChar w:fldCharType="separate"/>
            </w:r>
            <w:r w:rsidR="0013233A">
              <w:rPr>
                <w:vertAlign w:val="superscript"/>
              </w:rPr>
              <w:t>2</w:t>
            </w:r>
            <w:r w:rsidRPr="006E6C99">
              <w:rPr>
                <w:vertAlign w:val="superscript"/>
              </w:rPr>
              <w:fldChar w:fldCharType="end"/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237344" w:rsidRDefault="00237344" w:rsidP="00AA465C">
            <w:pPr>
              <w:pStyle w:val="Caption"/>
              <w:spacing w:before="120" w:after="120"/>
              <w:jc w:val="center"/>
            </w:pPr>
            <w:r>
              <w:t xml:space="preserve">Figure </w:t>
            </w:r>
            <w:r w:rsidR="001C1210">
              <w:fldChar w:fldCharType="begin"/>
            </w:r>
            <w:r w:rsidR="001C1210">
              <w:instrText xml:space="preserve"> SEQ Figure \* ARABIC \s 1 </w:instrText>
            </w:r>
            <w:r w:rsidR="001C1210">
              <w:fldChar w:fldCharType="separate"/>
            </w:r>
            <w:r w:rsidR="0013233A">
              <w:rPr>
                <w:noProof/>
              </w:rPr>
              <w:t>5</w:t>
            </w:r>
            <w:r w:rsidR="001C1210">
              <w:rPr>
                <w:noProof/>
              </w:rPr>
              <w:fldChar w:fldCharType="end"/>
            </w:r>
            <w:r w:rsidRPr="003A40A0">
              <w:t xml:space="preserve">: </w:t>
            </w:r>
            <w:r>
              <w:t xml:space="preserve">Components of </w:t>
            </w:r>
            <w:r w:rsidR="00D12CAB">
              <w:t xml:space="preserve">change in </w:t>
            </w:r>
            <w:r w:rsidR="00E71B35">
              <w:t>underlying cash </w:t>
            </w:r>
            <w:r>
              <w:t>balance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237344" w:rsidRDefault="00237344" w:rsidP="00AA465C">
            <w:pPr>
              <w:pStyle w:val="Caption"/>
              <w:spacing w:before="120" w:after="120"/>
              <w:jc w:val="center"/>
            </w:pPr>
            <w:r>
              <w:t xml:space="preserve">Figure </w:t>
            </w:r>
            <w:r w:rsidR="001C1210">
              <w:fldChar w:fldCharType="begin"/>
            </w:r>
            <w:r w:rsidR="001C1210">
              <w:instrText xml:space="preserve"> SEQ Figure \* ARABIC \s 1 </w:instrText>
            </w:r>
            <w:r w:rsidR="001C1210">
              <w:fldChar w:fldCharType="separate"/>
            </w:r>
            <w:r w:rsidR="0013233A">
              <w:rPr>
                <w:noProof/>
              </w:rPr>
              <w:t>6</w:t>
            </w:r>
            <w:r w:rsidR="001C1210">
              <w:rPr>
                <w:noProof/>
              </w:rPr>
              <w:fldChar w:fldCharType="end"/>
            </w:r>
            <w:r w:rsidRPr="003A40A0">
              <w:t xml:space="preserve">: </w:t>
            </w:r>
            <w:r>
              <w:t>Economic parameters in the 2018–19 Budget</w:t>
            </w:r>
            <w:r>
              <w:rPr>
                <w:rStyle w:val="FootnoteReference"/>
              </w:rPr>
              <w:footnoteReference w:id="3"/>
            </w:r>
          </w:p>
        </w:tc>
      </w:tr>
      <w:tr w:rsidR="00843683" w:rsidTr="00A854B9">
        <w:tc>
          <w:tcPr>
            <w:tcW w:w="5203" w:type="dxa"/>
            <w:shd w:val="clear" w:color="auto" w:fill="auto"/>
          </w:tcPr>
          <w:p w:rsidR="00237344" w:rsidRPr="00B20C0B" w:rsidRDefault="00502B7B" w:rsidP="00B65C22">
            <w:pPr>
              <w:pStyle w:val="Caption"/>
              <w:spacing w:before="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522BB79" wp14:editId="307F0206">
                  <wp:extent cx="3204000" cy="1800000"/>
                  <wp:effectExtent l="0" t="0" r="0" b="0"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5202" w:type="dxa"/>
            <w:shd w:val="clear" w:color="auto" w:fill="auto"/>
          </w:tcPr>
          <w:p w:rsidR="00237344" w:rsidRDefault="009B288C" w:rsidP="00B65C22">
            <w:pPr>
              <w:pStyle w:val="Caption"/>
              <w:spacing w:before="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37D7DB1" wp14:editId="504BBD27">
                  <wp:extent cx="3204000" cy="1800000"/>
                  <wp:effectExtent l="0" t="0" r="0" b="0"/>
                  <wp:docPr id="10" name="Chart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5210" w:type="dxa"/>
            <w:shd w:val="clear" w:color="auto" w:fill="auto"/>
          </w:tcPr>
          <w:p w:rsidR="00237344" w:rsidRPr="00B64329" w:rsidRDefault="00A854B9" w:rsidP="00B65C22">
            <w:pPr>
              <w:pStyle w:val="Caption"/>
              <w:spacing w:before="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04A45072" wp14:editId="2EAEDFA2">
                  <wp:extent cx="3243580" cy="181673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3580" cy="181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4" w:rsidRPr="00B64329" w:rsidTr="00A854B9">
        <w:tc>
          <w:tcPr>
            <w:tcW w:w="5203" w:type="dxa"/>
            <w:shd w:val="clear" w:color="auto" w:fill="auto"/>
          </w:tcPr>
          <w:p w:rsidR="00237344" w:rsidRPr="00B64329" w:rsidRDefault="00237344" w:rsidP="00EA044C">
            <w:pPr>
              <w:rPr>
                <w:color w:val="A6A6A6" w:themeColor="background1" w:themeShade="A6"/>
                <w:sz w:val="16"/>
              </w:rPr>
            </w:pPr>
          </w:p>
        </w:tc>
        <w:tc>
          <w:tcPr>
            <w:tcW w:w="5202" w:type="dxa"/>
            <w:shd w:val="clear" w:color="auto" w:fill="auto"/>
          </w:tcPr>
          <w:p w:rsidR="00237344" w:rsidRPr="00B64329" w:rsidRDefault="00237344" w:rsidP="00EA044C">
            <w:pPr>
              <w:rPr>
                <w:color w:val="A6A6A6" w:themeColor="background1" w:themeShade="A6"/>
                <w:sz w:val="16"/>
              </w:rPr>
            </w:pPr>
          </w:p>
        </w:tc>
        <w:tc>
          <w:tcPr>
            <w:tcW w:w="5210" w:type="dxa"/>
            <w:shd w:val="clear" w:color="auto" w:fill="auto"/>
          </w:tcPr>
          <w:p w:rsidR="00237344" w:rsidRPr="00B64329" w:rsidRDefault="00237344" w:rsidP="00EA044C">
            <w:pPr>
              <w:rPr>
                <w:color w:val="A6A6A6" w:themeColor="background1" w:themeShade="A6"/>
                <w:sz w:val="16"/>
              </w:rPr>
            </w:pPr>
          </w:p>
        </w:tc>
      </w:tr>
      <w:tr w:rsidR="00237344" w:rsidTr="00A854B9">
        <w:tc>
          <w:tcPr>
            <w:tcW w:w="5203" w:type="dxa"/>
            <w:shd w:val="clear" w:color="auto" w:fill="auto"/>
          </w:tcPr>
          <w:p w:rsidR="00237344" w:rsidRDefault="00237344" w:rsidP="00B65C22">
            <w:pPr>
              <w:pStyle w:val="Caption"/>
              <w:spacing w:before="120"/>
              <w:jc w:val="center"/>
            </w:pPr>
            <w:r>
              <w:t xml:space="preserve">Figure </w:t>
            </w:r>
            <w:r w:rsidR="001C1210">
              <w:fldChar w:fldCharType="begin"/>
            </w:r>
            <w:r w:rsidR="001C1210">
              <w:instrText xml:space="preserve"> SEQ Figure \* ARABIC \s 1 </w:instrText>
            </w:r>
            <w:r w:rsidR="001C1210">
              <w:fldChar w:fldCharType="separate"/>
            </w:r>
            <w:r w:rsidR="0013233A">
              <w:rPr>
                <w:noProof/>
              </w:rPr>
              <w:t>7</w:t>
            </w:r>
            <w:r w:rsidR="001C1210">
              <w:rPr>
                <w:noProof/>
              </w:rPr>
              <w:fldChar w:fldCharType="end"/>
            </w:r>
            <w:r w:rsidRPr="003A40A0">
              <w:t xml:space="preserve">: </w:t>
            </w:r>
            <w:r>
              <w:t xml:space="preserve">Policy decisions in the </w:t>
            </w:r>
            <w:r w:rsidR="00E71B35">
              <w:br/>
            </w:r>
            <w:r>
              <w:t xml:space="preserve">2018–19 </w:t>
            </w:r>
            <w:r w:rsidR="00E71B35">
              <w:t>Budget—</w:t>
            </w:r>
            <w:r>
              <w:t>payments and receipts</w:t>
            </w:r>
            <w:r>
              <w:fldChar w:fldCharType="begin"/>
            </w:r>
            <w:r>
              <w:instrText xml:space="preserve"> NOTEREF _Ref512587914 \f \h </w:instrText>
            </w:r>
            <w:r w:rsidR="005D6E60">
              <w:instrText xml:space="preserve"> \* MERGEFORMAT </w:instrText>
            </w:r>
            <w:r>
              <w:fldChar w:fldCharType="separate"/>
            </w:r>
            <w:r w:rsidR="0013233A" w:rsidRPr="0013233A">
              <w:rPr>
                <w:rStyle w:val="FootnoteReference"/>
              </w:rPr>
              <w:t>2</w:t>
            </w:r>
            <w:r>
              <w:fldChar w:fldCharType="end"/>
            </w:r>
            <w:r>
              <w:rPr>
                <w:vertAlign w:val="superscript"/>
              </w:rPr>
              <w:t>,</w:t>
            </w:r>
            <w:r>
              <w:rPr>
                <w:rStyle w:val="FootnoteReference"/>
              </w:rPr>
              <w:footnoteReference w:id="4"/>
            </w:r>
            <w:r>
              <w:t xml:space="preserve"> </w:t>
            </w:r>
          </w:p>
        </w:tc>
        <w:tc>
          <w:tcPr>
            <w:tcW w:w="5202" w:type="dxa"/>
            <w:shd w:val="clear" w:color="auto" w:fill="auto"/>
          </w:tcPr>
          <w:p w:rsidR="00237344" w:rsidRDefault="00237344" w:rsidP="00AE75FB">
            <w:pPr>
              <w:pStyle w:val="Caption"/>
              <w:spacing w:before="120"/>
              <w:jc w:val="center"/>
            </w:pPr>
            <w:r>
              <w:t xml:space="preserve">Figure </w:t>
            </w:r>
            <w:r w:rsidR="001C1210">
              <w:fldChar w:fldCharType="begin"/>
            </w:r>
            <w:r w:rsidR="001C1210">
              <w:instrText xml:space="preserve"> SEQ Figure \* ARABIC \s 1 </w:instrText>
            </w:r>
            <w:r w:rsidR="001C1210">
              <w:fldChar w:fldCharType="separate"/>
            </w:r>
            <w:r w:rsidR="0013233A">
              <w:rPr>
                <w:noProof/>
              </w:rPr>
              <w:t>8</w:t>
            </w:r>
            <w:r w:rsidR="001C1210">
              <w:rPr>
                <w:noProof/>
              </w:rPr>
              <w:fldChar w:fldCharType="end"/>
            </w:r>
            <w:r w:rsidRPr="003A40A0">
              <w:t xml:space="preserve">: </w:t>
            </w:r>
            <w:r>
              <w:t>Policy decisions in the 2018–19 Budget—</w:t>
            </w:r>
            <w:r>
              <w:br/>
            </w:r>
            <w:r w:rsidR="00AE75FB">
              <w:t xml:space="preserve">top five </w:t>
            </w:r>
            <w:r>
              <w:t>revenue measures</w:t>
            </w:r>
            <w:bookmarkStart w:id="2" w:name="_Ref512609975"/>
            <w:r>
              <w:rPr>
                <w:rStyle w:val="FootnoteReference"/>
              </w:rPr>
              <w:footnoteReference w:id="5"/>
            </w:r>
            <w:bookmarkEnd w:id="2"/>
            <w:r w:rsidR="00394B6C">
              <w:rPr>
                <w:vertAlign w:val="superscript"/>
              </w:rPr>
              <w:t>,</w:t>
            </w:r>
            <w:bookmarkStart w:id="3" w:name="_Ref513628730"/>
            <w:r w:rsidR="00394B6C">
              <w:rPr>
                <w:rStyle w:val="FootnoteReference"/>
              </w:rPr>
              <w:footnoteReference w:id="6"/>
            </w:r>
            <w:bookmarkEnd w:id="3"/>
          </w:p>
        </w:tc>
        <w:tc>
          <w:tcPr>
            <w:tcW w:w="5210" w:type="dxa"/>
            <w:shd w:val="clear" w:color="auto" w:fill="auto"/>
          </w:tcPr>
          <w:p w:rsidR="00237344" w:rsidRDefault="00237344" w:rsidP="00732F8F">
            <w:pPr>
              <w:pStyle w:val="Caption"/>
              <w:spacing w:before="120"/>
              <w:jc w:val="center"/>
            </w:pPr>
            <w:r>
              <w:t xml:space="preserve">Figure </w:t>
            </w:r>
            <w:r w:rsidR="001C1210">
              <w:fldChar w:fldCharType="begin"/>
            </w:r>
            <w:r w:rsidR="001C1210">
              <w:instrText xml:space="preserve"> SEQ Figure \* ARABIC \s 1 </w:instrText>
            </w:r>
            <w:r w:rsidR="001C1210">
              <w:fldChar w:fldCharType="separate"/>
            </w:r>
            <w:r w:rsidR="0013233A">
              <w:rPr>
                <w:noProof/>
              </w:rPr>
              <w:t>9</w:t>
            </w:r>
            <w:r w:rsidR="001C1210">
              <w:rPr>
                <w:noProof/>
              </w:rPr>
              <w:fldChar w:fldCharType="end"/>
            </w:r>
            <w:r w:rsidRPr="003A40A0">
              <w:t xml:space="preserve">: </w:t>
            </w:r>
            <w:r>
              <w:t>Policy decisions in the 2018–19 Budget—</w:t>
            </w:r>
            <w:r>
              <w:br/>
            </w:r>
            <w:r w:rsidR="00732F8F">
              <w:t xml:space="preserve">top five </w:t>
            </w:r>
            <w:r>
              <w:t>expense measures</w:t>
            </w:r>
            <w:r>
              <w:fldChar w:fldCharType="begin"/>
            </w:r>
            <w:r>
              <w:instrText xml:space="preserve"> NOTEREF _Ref512609975 \f \h </w:instrText>
            </w:r>
            <w:r w:rsidR="005D6E60">
              <w:instrText xml:space="preserve"> \* MERGEFORMAT </w:instrText>
            </w:r>
            <w:r>
              <w:fldChar w:fldCharType="separate"/>
            </w:r>
            <w:r w:rsidR="0013233A" w:rsidRPr="0013233A">
              <w:rPr>
                <w:rStyle w:val="FootnoteReference"/>
              </w:rPr>
              <w:t>5</w:t>
            </w:r>
            <w:r>
              <w:fldChar w:fldCharType="end"/>
            </w:r>
            <w:r w:rsidR="00394B6C">
              <w:rPr>
                <w:vertAlign w:val="superscript"/>
              </w:rPr>
              <w:t>,</w:t>
            </w:r>
            <w:r w:rsidR="00394B6C" w:rsidRPr="00CC61D5">
              <w:rPr>
                <w:vertAlign w:val="superscript"/>
              </w:rPr>
              <w:fldChar w:fldCharType="begin"/>
            </w:r>
            <w:r w:rsidR="00394B6C" w:rsidRPr="00CC61D5">
              <w:rPr>
                <w:vertAlign w:val="superscript"/>
              </w:rPr>
              <w:instrText xml:space="preserve"> NOTEREF _Ref513628730 \h </w:instrText>
            </w:r>
            <w:r w:rsidR="00394B6C">
              <w:rPr>
                <w:vertAlign w:val="superscript"/>
              </w:rPr>
              <w:instrText xml:space="preserve"> \* MERGEFORMAT </w:instrText>
            </w:r>
            <w:r w:rsidR="00394B6C" w:rsidRPr="00CC61D5">
              <w:rPr>
                <w:vertAlign w:val="superscript"/>
              </w:rPr>
            </w:r>
            <w:r w:rsidR="00394B6C" w:rsidRPr="00CC61D5">
              <w:rPr>
                <w:vertAlign w:val="superscript"/>
              </w:rPr>
              <w:fldChar w:fldCharType="separate"/>
            </w:r>
            <w:r w:rsidR="0013233A">
              <w:rPr>
                <w:vertAlign w:val="superscript"/>
              </w:rPr>
              <w:t>6</w:t>
            </w:r>
            <w:r w:rsidR="00394B6C" w:rsidRPr="00CC61D5">
              <w:rPr>
                <w:vertAlign w:val="superscript"/>
              </w:rPr>
              <w:fldChar w:fldCharType="end"/>
            </w:r>
          </w:p>
        </w:tc>
      </w:tr>
      <w:tr w:rsidR="00C4585F" w:rsidRPr="002103FC" w:rsidTr="00A854B9">
        <w:tc>
          <w:tcPr>
            <w:tcW w:w="5203" w:type="dxa"/>
            <w:shd w:val="clear" w:color="auto" w:fill="auto"/>
          </w:tcPr>
          <w:p w:rsidR="00237344" w:rsidRPr="00ED6691" w:rsidRDefault="00963D71" w:rsidP="00B65C22">
            <w:pPr>
              <w:pStyle w:val="Caption"/>
              <w:spacing w:before="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05C628DD" wp14:editId="1E1A660D">
                  <wp:extent cx="3204000" cy="1800000"/>
                  <wp:effectExtent l="0" t="0" r="0" b="0"/>
                  <wp:docPr id="40" name="Chart 4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5202" w:type="dxa"/>
            <w:shd w:val="clear" w:color="auto" w:fill="auto"/>
          </w:tcPr>
          <w:p w:rsidR="00237344" w:rsidRPr="00ED6691" w:rsidRDefault="00A854B9" w:rsidP="00B65C22">
            <w:pPr>
              <w:pStyle w:val="Caption"/>
              <w:spacing w:before="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75C9CA4D" wp14:editId="5962D40C">
                  <wp:extent cx="3204000" cy="1800000"/>
                  <wp:effectExtent l="0" t="0" r="0" b="0"/>
                  <wp:docPr id="9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5210" w:type="dxa"/>
            <w:shd w:val="clear" w:color="auto" w:fill="auto"/>
          </w:tcPr>
          <w:p w:rsidR="00237344" w:rsidRPr="00ED6691" w:rsidRDefault="001D29B7" w:rsidP="00B65C22">
            <w:pPr>
              <w:pStyle w:val="Caption"/>
              <w:spacing w:before="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3F6DB5BD" wp14:editId="6EE1E448">
                  <wp:extent cx="3204000" cy="1800000"/>
                  <wp:effectExtent l="0" t="0" r="0" b="0"/>
                  <wp:docPr id="13" name="Chart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237344" w:rsidTr="00A854B9">
        <w:tc>
          <w:tcPr>
            <w:tcW w:w="5203" w:type="dxa"/>
            <w:shd w:val="clear" w:color="auto" w:fill="auto"/>
          </w:tcPr>
          <w:p w:rsidR="00237344" w:rsidRDefault="00237344" w:rsidP="00EA044C"/>
        </w:tc>
        <w:tc>
          <w:tcPr>
            <w:tcW w:w="5202" w:type="dxa"/>
            <w:shd w:val="clear" w:color="auto" w:fill="auto"/>
          </w:tcPr>
          <w:p w:rsidR="00237344" w:rsidRDefault="00237344" w:rsidP="00EA044C"/>
        </w:tc>
        <w:tc>
          <w:tcPr>
            <w:tcW w:w="5210" w:type="dxa"/>
            <w:shd w:val="clear" w:color="auto" w:fill="auto"/>
          </w:tcPr>
          <w:p w:rsidR="00237344" w:rsidRPr="003654E4" w:rsidRDefault="00237344" w:rsidP="00EA044C">
            <w:pPr>
              <w:rPr>
                <w:b/>
              </w:rPr>
            </w:pPr>
          </w:p>
        </w:tc>
      </w:tr>
      <w:tr w:rsidR="00237344" w:rsidTr="00A854B9">
        <w:tc>
          <w:tcPr>
            <w:tcW w:w="5203" w:type="dxa"/>
            <w:shd w:val="clear" w:color="auto" w:fill="auto"/>
            <w:vAlign w:val="center"/>
          </w:tcPr>
          <w:p w:rsidR="00237344" w:rsidRDefault="00237344" w:rsidP="000A55CB">
            <w:pPr>
              <w:pStyle w:val="Caption"/>
              <w:spacing w:before="120"/>
              <w:jc w:val="center"/>
            </w:pPr>
            <w:r>
              <w:t xml:space="preserve">Figure </w:t>
            </w:r>
            <w:r w:rsidR="001C1210">
              <w:fldChar w:fldCharType="begin"/>
            </w:r>
            <w:r w:rsidR="001C1210">
              <w:instrText xml:space="preserve"> SEQ Figure \* ARABIC \s 1 </w:instrText>
            </w:r>
            <w:r w:rsidR="001C1210">
              <w:fldChar w:fldCharType="separate"/>
            </w:r>
            <w:r w:rsidR="0013233A">
              <w:rPr>
                <w:noProof/>
              </w:rPr>
              <w:t>10</w:t>
            </w:r>
            <w:r w:rsidR="001C1210">
              <w:rPr>
                <w:noProof/>
              </w:rPr>
              <w:fldChar w:fldCharType="end"/>
            </w:r>
            <w:r w:rsidRPr="003A40A0">
              <w:t xml:space="preserve">: </w:t>
            </w:r>
            <w:r>
              <w:t xml:space="preserve">Parameter and other variations in the </w:t>
            </w:r>
            <w:r>
              <w:br/>
              <w:t>2018–19 Budget</w:t>
            </w:r>
            <w:r w:rsidR="00682F53">
              <w:t>—payments and receipts</w:t>
            </w:r>
            <w:r>
              <w:rPr>
                <w:vertAlign w:val="superscript"/>
              </w:rPr>
              <w:fldChar w:fldCharType="begin"/>
            </w:r>
            <w:r>
              <w:instrText xml:space="preserve"> NOTEREF _Ref512587914 \f \h </w:instrText>
            </w:r>
            <w:r w:rsidR="000A55CB">
              <w:rPr>
                <w:vertAlign w:val="superscript"/>
              </w:rPr>
              <w:instrText xml:space="preserve"> \* MERGEFORMAT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373626" w:rsidRPr="00373626">
              <w:rPr>
                <w:rStyle w:val="FootnoteReference"/>
              </w:rPr>
              <w:t>2</w:t>
            </w:r>
            <w:r>
              <w:rPr>
                <w:vertAlign w:val="superscript"/>
              </w:rPr>
              <w:fldChar w:fldCharType="end"/>
            </w:r>
            <w:r>
              <w:rPr>
                <w:vertAlign w:val="superscript"/>
              </w:rPr>
              <w:t>,</w:t>
            </w:r>
            <w:r>
              <w:rPr>
                <w:rStyle w:val="FootnoteReference"/>
              </w:rPr>
              <w:footnoteReference w:id="7"/>
            </w:r>
            <w:r w:rsidR="0002209E">
              <w:rPr>
                <w:vertAlign w:val="superscript"/>
              </w:rPr>
              <w:t>,</w:t>
            </w:r>
            <w:r w:rsidR="0002209E">
              <w:rPr>
                <w:rStyle w:val="FootnoteReference"/>
              </w:rPr>
              <w:footnoteReference w:id="8"/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237344" w:rsidRDefault="00237344" w:rsidP="00394B6C">
            <w:pPr>
              <w:pStyle w:val="Caption"/>
              <w:spacing w:before="120"/>
              <w:jc w:val="center"/>
            </w:pPr>
            <w:r>
              <w:t xml:space="preserve">Figure </w:t>
            </w:r>
            <w:r w:rsidR="001C1210">
              <w:fldChar w:fldCharType="begin"/>
            </w:r>
            <w:r w:rsidR="001C1210">
              <w:instrText xml:space="preserve"> SEQ Figure \* ARABIC \s 1 </w:instrText>
            </w:r>
            <w:r w:rsidR="001C1210">
              <w:fldChar w:fldCharType="separate"/>
            </w:r>
            <w:r w:rsidR="0013233A">
              <w:rPr>
                <w:noProof/>
              </w:rPr>
              <w:t>11</w:t>
            </w:r>
            <w:r w:rsidR="001C1210">
              <w:rPr>
                <w:noProof/>
              </w:rPr>
              <w:fldChar w:fldCharType="end"/>
            </w:r>
            <w:r w:rsidRPr="003A40A0">
              <w:t xml:space="preserve">: </w:t>
            </w:r>
            <w:r>
              <w:t>Drivers of growth in revenue</w:t>
            </w:r>
            <w:r>
              <w:fldChar w:fldCharType="begin"/>
            </w:r>
            <w:r>
              <w:instrText xml:space="preserve"> NOTEREF _Ref512609975 \f \h </w:instrText>
            </w:r>
            <w:r w:rsidR="000A55CB">
              <w:instrText xml:space="preserve"> \* MERGEFORMAT </w:instrText>
            </w:r>
            <w:r>
              <w:fldChar w:fldCharType="separate"/>
            </w:r>
            <w:r w:rsidR="0013233A" w:rsidRPr="0013233A">
              <w:rPr>
                <w:rStyle w:val="FootnoteReference"/>
              </w:rPr>
              <w:t>5</w:t>
            </w:r>
            <w:r>
              <w:fldChar w:fldCharType="end"/>
            </w:r>
            <w:r w:rsidRPr="006E6C99">
              <w:rPr>
                <w:vertAlign w:val="superscript"/>
              </w:rPr>
              <w:t>,</w:t>
            </w:r>
            <w:bookmarkStart w:id="4" w:name="_Ref512610009"/>
            <w:r>
              <w:rPr>
                <w:rStyle w:val="FootnoteReference"/>
              </w:rPr>
              <w:footnoteReference w:id="9"/>
            </w:r>
            <w:bookmarkEnd w:id="4"/>
          </w:p>
        </w:tc>
        <w:tc>
          <w:tcPr>
            <w:tcW w:w="5210" w:type="dxa"/>
            <w:shd w:val="clear" w:color="auto" w:fill="auto"/>
            <w:vAlign w:val="center"/>
          </w:tcPr>
          <w:p w:rsidR="00237344" w:rsidRPr="003A40A0" w:rsidRDefault="00237344" w:rsidP="00394B6C">
            <w:pPr>
              <w:pStyle w:val="Caption"/>
              <w:spacing w:before="120"/>
              <w:jc w:val="center"/>
            </w:pPr>
            <w:r w:rsidRPr="003A40A0">
              <w:t xml:space="preserve">Figure </w:t>
            </w:r>
            <w:r w:rsidR="001C1210">
              <w:fldChar w:fldCharType="begin"/>
            </w:r>
            <w:r w:rsidR="001C1210">
              <w:instrText xml:space="preserve"> SEQ Figure \* ARABIC \s 1 </w:instrText>
            </w:r>
            <w:r w:rsidR="001C1210">
              <w:fldChar w:fldCharType="separate"/>
            </w:r>
            <w:r w:rsidR="0013233A">
              <w:rPr>
                <w:noProof/>
              </w:rPr>
              <w:t>12</w:t>
            </w:r>
            <w:r w:rsidR="001C1210">
              <w:rPr>
                <w:noProof/>
              </w:rPr>
              <w:fldChar w:fldCharType="end"/>
            </w:r>
            <w:r w:rsidRPr="003A40A0">
              <w:t xml:space="preserve">: </w:t>
            </w:r>
            <w:r>
              <w:t>Drivers of growth in expenses</w:t>
            </w:r>
            <w:r>
              <w:rPr>
                <w:vertAlign w:val="superscript"/>
              </w:rPr>
              <w:fldChar w:fldCharType="begin"/>
            </w:r>
            <w:r>
              <w:instrText xml:space="preserve"> NOTEREF _Ref512609975 \f \h </w:instrText>
            </w:r>
            <w:r w:rsidR="000A55CB">
              <w:rPr>
                <w:vertAlign w:val="superscript"/>
              </w:rPr>
              <w:instrText xml:space="preserve"> \* MERGEFORMAT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13233A" w:rsidRPr="0013233A">
              <w:rPr>
                <w:rStyle w:val="FootnoteReference"/>
              </w:rPr>
              <w:t>5</w:t>
            </w:r>
            <w:r>
              <w:rPr>
                <w:vertAlign w:val="superscript"/>
              </w:rPr>
              <w:fldChar w:fldCharType="end"/>
            </w:r>
            <w:r>
              <w:rPr>
                <w:vertAlign w:val="superscript"/>
              </w:rPr>
              <w:t>,</w:t>
            </w:r>
            <w:r>
              <w:rPr>
                <w:vertAlign w:val="superscript"/>
              </w:rPr>
              <w:fldChar w:fldCharType="begin"/>
            </w:r>
            <w:r>
              <w:rPr>
                <w:vertAlign w:val="superscript"/>
              </w:rPr>
              <w:instrText xml:space="preserve"> NOTEREF _Ref512610009 \f \h </w:instrText>
            </w:r>
            <w:r w:rsidR="000A55CB">
              <w:rPr>
                <w:vertAlign w:val="superscript"/>
              </w:rPr>
              <w:instrText xml:space="preserve"> \* MERGEFORMAT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13233A" w:rsidRPr="0013233A">
              <w:rPr>
                <w:rStyle w:val="FootnoteReference"/>
              </w:rPr>
              <w:t>9</w:t>
            </w:r>
            <w:r>
              <w:rPr>
                <w:vertAlign w:val="superscript"/>
              </w:rPr>
              <w:fldChar w:fldCharType="end"/>
            </w:r>
          </w:p>
        </w:tc>
      </w:tr>
      <w:tr w:rsidR="00C4585F" w:rsidTr="006418DD">
        <w:tc>
          <w:tcPr>
            <w:tcW w:w="5203" w:type="dxa"/>
            <w:shd w:val="clear" w:color="auto" w:fill="auto"/>
          </w:tcPr>
          <w:p w:rsidR="00237344" w:rsidRPr="00F44F03" w:rsidRDefault="00373626" w:rsidP="00B65C22">
            <w:pPr>
              <w:pStyle w:val="Caption"/>
              <w:spacing w:before="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AFF8914" wp14:editId="683AA5E5">
                  <wp:extent cx="3204000" cy="1800000"/>
                  <wp:effectExtent l="0" t="0" r="0" b="0"/>
                  <wp:docPr id="20" name="Chart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5202" w:type="dxa"/>
            <w:shd w:val="clear" w:color="auto" w:fill="auto"/>
          </w:tcPr>
          <w:p w:rsidR="00237344" w:rsidRPr="003A40A0" w:rsidRDefault="006E01CA" w:rsidP="00B65C22">
            <w:pPr>
              <w:pStyle w:val="Caption"/>
              <w:spacing w:before="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CFB361B" wp14:editId="3C578393">
                  <wp:extent cx="3192094" cy="1800000"/>
                  <wp:effectExtent l="0" t="0" r="8890" b="0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5210" w:type="dxa"/>
            <w:shd w:val="clear" w:color="auto" w:fill="auto"/>
          </w:tcPr>
          <w:p w:rsidR="00237344" w:rsidRPr="003A40A0" w:rsidRDefault="006418DD" w:rsidP="00B65C22">
            <w:pPr>
              <w:pStyle w:val="Caption"/>
              <w:spacing w:before="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045F691C" wp14:editId="5B500E51">
                  <wp:extent cx="3192094" cy="1800000"/>
                  <wp:effectExtent l="0" t="0" r="889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C4585F" w:rsidTr="00A854B9">
        <w:tc>
          <w:tcPr>
            <w:tcW w:w="5203" w:type="dxa"/>
            <w:shd w:val="clear" w:color="auto" w:fill="auto"/>
          </w:tcPr>
          <w:p w:rsidR="00723F4C" w:rsidRDefault="00723F4C" w:rsidP="004F67D1"/>
        </w:tc>
        <w:tc>
          <w:tcPr>
            <w:tcW w:w="5202" w:type="dxa"/>
            <w:shd w:val="clear" w:color="auto" w:fill="auto"/>
          </w:tcPr>
          <w:p w:rsidR="00723F4C" w:rsidRDefault="00723F4C" w:rsidP="004F67D1"/>
        </w:tc>
        <w:tc>
          <w:tcPr>
            <w:tcW w:w="5210" w:type="dxa"/>
            <w:shd w:val="clear" w:color="auto" w:fill="auto"/>
          </w:tcPr>
          <w:p w:rsidR="00723F4C" w:rsidRPr="003654E4" w:rsidRDefault="00723F4C" w:rsidP="004F67D1">
            <w:pPr>
              <w:rPr>
                <w:b/>
              </w:rPr>
            </w:pPr>
          </w:p>
        </w:tc>
      </w:tr>
      <w:tr w:rsidR="00237344" w:rsidTr="00A854B9">
        <w:tc>
          <w:tcPr>
            <w:tcW w:w="5203" w:type="dxa"/>
            <w:shd w:val="clear" w:color="auto" w:fill="auto"/>
            <w:vAlign w:val="bottom"/>
          </w:tcPr>
          <w:p w:rsidR="00237344" w:rsidRPr="00B20C0B" w:rsidRDefault="00237344" w:rsidP="00B24EBB">
            <w:pPr>
              <w:pStyle w:val="Caption"/>
              <w:spacing w:before="120"/>
              <w:jc w:val="center"/>
            </w:pPr>
            <w:r>
              <w:t xml:space="preserve">Figure </w:t>
            </w:r>
            <w:r w:rsidR="001C1210">
              <w:fldChar w:fldCharType="begin"/>
            </w:r>
            <w:r w:rsidR="001C1210">
              <w:instrText xml:space="preserve"> SEQ Figure \* ARABIC \s 1 </w:instrText>
            </w:r>
            <w:r w:rsidR="001C1210">
              <w:fldChar w:fldCharType="separate"/>
            </w:r>
            <w:r w:rsidR="0013233A">
              <w:rPr>
                <w:noProof/>
              </w:rPr>
              <w:t>13</w:t>
            </w:r>
            <w:r w:rsidR="001C1210">
              <w:rPr>
                <w:noProof/>
              </w:rPr>
              <w:fldChar w:fldCharType="end"/>
            </w:r>
            <w:r w:rsidRPr="003A40A0">
              <w:t xml:space="preserve">: </w:t>
            </w:r>
            <w:r w:rsidR="00732F8F">
              <w:t xml:space="preserve">Payments to states in </w:t>
            </w:r>
            <w:r w:rsidR="003E0AED">
              <w:t>2018–19</w:t>
            </w:r>
            <w:r w:rsidR="001B5AF7">
              <w:t>, $127b</w:t>
            </w:r>
            <w:r>
              <w:rPr>
                <w:rStyle w:val="FootnoteReference"/>
              </w:rPr>
              <w:footnoteReference w:id="10"/>
            </w:r>
          </w:p>
        </w:tc>
        <w:tc>
          <w:tcPr>
            <w:tcW w:w="5202" w:type="dxa"/>
            <w:shd w:val="clear" w:color="auto" w:fill="auto"/>
            <w:vAlign w:val="bottom"/>
          </w:tcPr>
          <w:p w:rsidR="00237344" w:rsidRPr="003A40A0" w:rsidRDefault="00237344" w:rsidP="00337C96">
            <w:pPr>
              <w:pStyle w:val="Caption"/>
              <w:spacing w:before="120"/>
              <w:jc w:val="center"/>
            </w:pPr>
            <w:r>
              <w:t xml:space="preserve">Figure </w:t>
            </w:r>
            <w:r w:rsidR="001C1210">
              <w:fldChar w:fldCharType="begin"/>
            </w:r>
            <w:r w:rsidR="001C1210">
              <w:instrText xml:space="preserve"> SEQ Figure \* ARABIC \s 1 </w:instrText>
            </w:r>
            <w:r w:rsidR="001C1210">
              <w:fldChar w:fldCharType="separate"/>
            </w:r>
            <w:r w:rsidR="0013233A">
              <w:rPr>
                <w:noProof/>
              </w:rPr>
              <w:t>14</w:t>
            </w:r>
            <w:r w:rsidR="001C1210">
              <w:rPr>
                <w:noProof/>
              </w:rPr>
              <w:fldChar w:fldCharType="end"/>
            </w:r>
            <w:r w:rsidR="00337C96">
              <w:t>: Revenue</w:t>
            </w:r>
            <w:r>
              <w:t xml:space="preserve"> in 2018–19</w:t>
            </w:r>
            <w:r w:rsidR="001B5AF7">
              <w:t>,</w:t>
            </w:r>
            <w:r w:rsidR="00373626">
              <w:t xml:space="preserve"> </w:t>
            </w:r>
            <w:r w:rsidR="001B5AF7">
              <w:t>$489b</w:t>
            </w:r>
            <w:r>
              <w:fldChar w:fldCharType="begin"/>
            </w:r>
            <w:r>
              <w:instrText xml:space="preserve"> NOTEREF _Ref512609975 \f \h </w:instrText>
            </w:r>
            <w:r w:rsidR="00B42697">
              <w:instrText xml:space="preserve"> \* MERGEFORMAT </w:instrText>
            </w:r>
            <w:r>
              <w:fldChar w:fldCharType="separate"/>
            </w:r>
            <w:r w:rsidR="0013233A" w:rsidRPr="0013233A">
              <w:rPr>
                <w:rStyle w:val="FootnoteReference"/>
              </w:rPr>
              <w:t>5</w:t>
            </w:r>
            <w:r>
              <w:fldChar w:fldCharType="end"/>
            </w:r>
          </w:p>
        </w:tc>
        <w:tc>
          <w:tcPr>
            <w:tcW w:w="5210" w:type="dxa"/>
            <w:shd w:val="clear" w:color="auto" w:fill="auto"/>
            <w:vAlign w:val="bottom"/>
          </w:tcPr>
          <w:p w:rsidR="00237344" w:rsidRPr="003A40A0" w:rsidRDefault="00237344" w:rsidP="00337C96">
            <w:pPr>
              <w:pStyle w:val="Caption"/>
              <w:spacing w:before="120"/>
              <w:jc w:val="center"/>
            </w:pPr>
            <w:r>
              <w:t xml:space="preserve">Figure </w:t>
            </w:r>
            <w:r w:rsidR="001C1210">
              <w:fldChar w:fldCharType="begin"/>
            </w:r>
            <w:r w:rsidR="001C1210">
              <w:instrText xml:space="preserve"> SEQ Figure \* ARABIC \s 1 </w:instrText>
            </w:r>
            <w:r w:rsidR="001C1210">
              <w:fldChar w:fldCharType="separate"/>
            </w:r>
            <w:r w:rsidR="0013233A">
              <w:rPr>
                <w:noProof/>
              </w:rPr>
              <w:t>15</w:t>
            </w:r>
            <w:r w:rsidR="001C1210">
              <w:rPr>
                <w:noProof/>
              </w:rPr>
              <w:fldChar w:fldCharType="end"/>
            </w:r>
            <w:r w:rsidRPr="003A40A0">
              <w:t xml:space="preserve">: </w:t>
            </w:r>
            <w:r w:rsidR="00337C96">
              <w:t>Expenses</w:t>
            </w:r>
            <w:r>
              <w:t xml:space="preserve"> in 2018–19</w:t>
            </w:r>
            <w:r w:rsidR="001B5AF7">
              <w:t>, $486b</w:t>
            </w:r>
            <w:r>
              <w:fldChar w:fldCharType="begin"/>
            </w:r>
            <w:r>
              <w:instrText xml:space="preserve"> NOTEREF _Ref512609975 \f \h </w:instrText>
            </w:r>
            <w:r w:rsidR="00B42697">
              <w:instrText xml:space="preserve"> \* MERGEFORMAT </w:instrText>
            </w:r>
            <w:r>
              <w:fldChar w:fldCharType="separate"/>
            </w:r>
            <w:r w:rsidR="0013233A" w:rsidRPr="0013233A">
              <w:rPr>
                <w:rStyle w:val="FootnoteReference"/>
              </w:rPr>
              <w:t>5</w:t>
            </w:r>
            <w:r>
              <w:fldChar w:fldCharType="end"/>
            </w:r>
          </w:p>
        </w:tc>
      </w:tr>
      <w:tr w:rsidR="00C4585F" w:rsidTr="00A854B9">
        <w:tc>
          <w:tcPr>
            <w:tcW w:w="5203" w:type="dxa"/>
            <w:shd w:val="clear" w:color="auto" w:fill="auto"/>
          </w:tcPr>
          <w:p w:rsidR="00237344" w:rsidRPr="00F44F03" w:rsidRDefault="008F1DDA" w:rsidP="00B65C22">
            <w:pPr>
              <w:pStyle w:val="Caption"/>
              <w:spacing w:before="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9422DA4" wp14:editId="6ADDBBDA">
                  <wp:extent cx="3204000" cy="1800000"/>
                  <wp:effectExtent l="0" t="0" r="0" b="0"/>
                  <wp:docPr id="44" name="Chart 4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  <w:tc>
          <w:tcPr>
            <w:tcW w:w="5202" w:type="dxa"/>
            <w:shd w:val="clear" w:color="auto" w:fill="auto"/>
          </w:tcPr>
          <w:p w:rsidR="00237344" w:rsidRPr="003A40A0" w:rsidRDefault="00C4585F" w:rsidP="00B65C22">
            <w:pPr>
              <w:pStyle w:val="Caption"/>
              <w:spacing w:before="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77C7AC7" wp14:editId="5D7F0360">
                  <wp:extent cx="3204000" cy="1800000"/>
                  <wp:effectExtent l="0" t="0" r="0" b="0"/>
                  <wp:docPr id="59" name="Chart 5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  <w:tc>
          <w:tcPr>
            <w:tcW w:w="5210" w:type="dxa"/>
            <w:shd w:val="clear" w:color="auto" w:fill="auto"/>
          </w:tcPr>
          <w:p w:rsidR="00237344" w:rsidRPr="003A40A0" w:rsidRDefault="00685405" w:rsidP="00B65C22">
            <w:pPr>
              <w:pStyle w:val="Caption"/>
              <w:spacing w:before="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CB166F8" wp14:editId="6CC823EA">
                  <wp:extent cx="3204000" cy="1800000"/>
                  <wp:effectExtent l="0" t="0" r="0" b="0"/>
                  <wp:docPr id="14" name="Chart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</w:tbl>
    <w:p w:rsidR="000F4480" w:rsidRPr="00237344" w:rsidRDefault="000F4480" w:rsidP="008F1DDA"/>
    <w:sectPr w:rsidR="000F4480" w:rsidRPr="00237344" w:rsidSect="00831FEF">
      <w:headerReference w:type="default" r:id="rId24"/>
      <w:pgSz w:w="16839" w:h="23814" w:code="8"/>
      <w:pgMar w:top="720" w:right="720" w:bottom="720" w:left="72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A4E" w:rsidRDefault="00696A4E" w:rsidP="00696A4E">
      <w:pPr>
        <w:spacing w:line="240" w:lineRule="auto"/>
      </w:pPr>
      <w:r>
        <w:separator/>
      </w:r>
    </w:p>
  </w:endnote>
  <w:endnote w:type="continuationSeparator" w:id="0">
    <w:p w:rsidR="00696A4E" w:rsidRDefault="00696A4E" w:rsidP="00696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A4E" w:rsidRDefault="00696A4E" w:rsidP="00696A4E">
      <w:pPr>
        <w:spacing w:line="240" w:lineRule="auto"/>
      </w:pPr>
      <w:r>
        <w:separator/>
      </w:r>
    </w:p>
  </w:footnote>
  <w:footnote w:type="continuationSeparator" w:id="0">
    <w:p w:rsidR="00696A4E" w:rsidRDefault="00696A4E" w:rsidP="00696A4E">
      <w:pPr>
        <w:spacing w:line="240" w:lineRule="auto"/>
      </w:pPr>
      <w:r>
        <w:continuationSeparator/>
      </w:r>
    </w:p>
  </w:footnote>
  <w:footnote w:id="1">
    <w:p w:rsidR="00237344" w:rsidRPr="001D29B7" w:rsidRDefault="00237344" w:rsidP="00237344">
      <w:pPr>
        <w:pStyle w:val="FootnoteText"/>
        <w:rPr>
          <w:rStyle w:val="FootnoteReference"/>
          <w:sz w:val="16"/>
          <w:szCs w:val="16"/>
          <w:vertAlign w:val="baseline"/>
        </w:rPr>
      </w:pPr>
      <w:r w:rsidRPr="001D29B7">
        <w:rPr>
          <w:rStyle w:val="FootnoteReference"/>
          <w:sz w:val="16"/>
          <w:szCs w:val="16"/>
          <w:vertAlign w:val="baseline"/>
        </w:rPr>
        <w:footnoteRef/>
      </w:r>
      <w:r w:rsidRPr="001D29B7">
        <w:rPr>
          <w:sz w:val="16"/>
          <w:szCs w:val="16"/>
        </w:rPr>
        <w:t xml:space="preserve">  </w:t>
      </w:r>
      <w:r w:rsidR="00502B7B">
        <w:rPr>
          <w:rStyle w:val="FootnoteReference"/>
          <w:sz w:val="16"/>
          <w:szCs w:val="16"/>
          <w:vertAlign w:val="baseline"/>
        </w:rPr>
        <w:t>F</w:t>
      </w:r>
      <w:r w:rsidR="00EA229B" w:rsidRPr="001D29B7">
        <w:rPr>
          <w:rStyle w:val="FootnoteReference"/>
          <w:sz w:val="16"/>
          <w:szCs w:val="16"/>
          <w:vertAlign w:val="baseline"/>
        </w:rPr>
        <w:t xml:space="preserve">igures </w:t>
      </w:r>
      <w:r w:rsidR="00394B6C">
        <w:rPr>
          <w:rStyle w:val="FootnoteReference"/>
          <w:sz w:val="16"/>
          <w:szCs w:val="16"/>
          <w:vertAlign w:val="baseline"/>
        </w:rPr>
        <w:t xml:space="preserve">are prepared </w:t>
      </w:r>
      <w:r w:rsidRPr="001D29B7">
        <w:rPr>
          <w:rStyle w:val="FootnoteReference"/>
          <w:sz w:val="16"/>
          <w:szCs w:val="16"/>
          <w:vertAlign w:val="baseline"/>
        </w:rPr>
        <w:t>using data contained i</w:t>
      </w:r>
      <w:r w:rsidR="00080975" w:rsidRPr="001D29B7">
        <w:rPr>
          <w:rStyle w:val="FootnoteReference"/>
          <w:sz w:val="16"/>
          <w:szCs w:val="16"/>
          <w:vertAlign w:val="baseline"/>
        </w:rPr>
        <w:t>n the 2018–19 Budget Papers</w:t>
      </w:r>
      <w:r w:rsidR="00FF5AAA" w:rsidRPr="001D29B7">
        <w:rPr>
          <w:rStyle w:val="FootnoteReference"/>
          <w:sz w:val="16"/>
          <w:szCs w:val="16"/>
          <w:vertAlign w:val="baseline"/>
        </w:rPr>
        <w:t xml:space="preserve"> and 2017–18 Mid-year Economic and Fiscal Outlook (MYEFO)</w:t>
      </w:r>
      <w:r w:rsidR="00080975" w:rsidRPr="001D29B7">
        <w:rPr>
          <w:rStyle w:val="FootnoteReference"/>
          <w:sz w:val="16"/>
          <w:szCs w:val="16"/>
          <w:vertAlign w:val="baseline"/>
        </w:rPr>
        <w:t xml:space="preserve">. </w:t>
      </w:r>
      <w:r w:rsidRPr="001D29B7">
        <w:rPr>
          <w:rStyle w:val="FootnoteReference"/>
          <w:sz w:val="16"/>
          <w:szCs w:val="16"/>
          <w:vertAlign w:val="baseline"/>
        </w:rPr>
        <w:t xml:space="preserve"> </w:t>
      </w:r>
      <w:r w:rsidR="00B16074">
        <w:rPr>
          <w:sz w:val="16"/>
          <w:szCs w:val="16"/>
        </w:rPr>
        <w:t>Any changes shown are since 2017–18 MYEFO.</w:t>
      </w:r>
    </w:p>
  </w:footnote>
  <w:footnote w:id="2">
    <w:p w:rsidR="00237344" w:rsidRPr="001D29B7" w:rsidRDefault="00237344" w:rsidP="00237344">
      <w:pPr>
        <w:pStyle w:val="FootnoteText"/>
        <w:rPr>
          <w:sz w:val="16"/>
          <w:szCs w:val="16"/>
        </w:rPr>
      </w:pPr>
      <w:r w:rsidRPr="001D29B7">
        <w:rPr>
          <w:rStyle w:val="FootnoteReference"/>
          <w:sz w:val="16"/>
          <w:szCs w:val="16"/>
          <w:vertAlign w:val="baseline"/>
        </w:rPr>
        <w:footnoteRef/>
      </w:r>
      <w:r w:rsidRPr="001D29B7">
        <w:rPr>
          <w:sz w:val="16"/>
          <w:szCs w:val="16"/>
        </w:rPr>
        <w:t xml:space="preserve">  Figures are based on payments and receipts which are on a cash basis.</w:t>
      </w:r>
    </w:p>
  </w:footnote>
  <w:footnote w:id="3">
    <w:p w:rsidR="00237344" w:rsidRPr="001D29B7" w:rsidRDefault="00237344" w:rsidP="00237344">
      <w:pPr>
        <w:pStyle w:val="FootnoteText"/>
        <w:rPr>
          <w:sz w:val="16"/>
          <w:szCs w:val="16"/>
        </w:rPr>
      </w:pPr>
      <w:r w:rsidRPr="001D29B7">
        <w:rPr>
          <w:rStyle w:val="FootnoteReference"/>
          <w:sz w:val="16"/>
          <w:szCs w:val="16"/>
          <w:vertAlign w:val="baseline"/>
        </w:rPr>
        <w:footnoteRef/>
      </w:r>
      <w:r w:rsidRPr="001D29B7">
        <w:rPr>
          <w:sz w:val="16"/>
          <w:szCs w:val="16"/>
        </w:rPr>
        <w:t xml:space="preserve">  Figure 6 presents selected economic parameters underpinning the 2018–19 Budget estimates.</w:t>
      </w:r>
    </w:p>
  </w:footnote>
  <w:footnote w:id="4">
    <w:p w:rsidR="00237344" w:rsidRPr="001D29B7" w:rsidRDefault="00237344" w:rsidP="00237344">
      <w:pPr>
        <w:pStyle w:val="FootnoteText"/>
        <w:ind w:left="170" w:hanging="170"/>
        <w:rPr>
          <w:sz w:val="16"/>
          <w:szCs w:val="16"/>
        </w:rPr>
      </w:pPr>
      <w:r w:rsidRPr="001D29B7">
        <w:rPr>
          <w:rStyle w:val="FootnoteReference"/>
          <w:sz w:val="16"/>
          <w:szCs w:val="16"/>
          <w:vertAlign w:val="baseline"/>
        </w:rPr>
        <w:footnoteRef/>
      </w:r>
      <w:r w:rsidRPr="001D29B7">
        <w:rPr>
          <w:sz w:val="16"/>
          <w:szCs w:val="16"/>
        </w:rPr>
        <w:t xml:space="preserve">  An increase in receipts results in an improvement in the underlying cash balance.  An increase in payments results in a deterioration in the underlying cash balance.  A decrease in payments results in an improvement in the underlying cash balance.  A decrease in receipts results in a deterioration in the underlying cash balance.</w:t>
      </w:r>
    </w:p>
  </w:footnote>
  <w:footnote w:id="5">
    <w:p w:rsidR="00237344" w:rsidRPr="001D29B7" w:rsidRDefault="00237344" w:rsidP="00237344">
      <w:pPr>
        <w:pStyle w:val="FootnoteText"/>
        <w:rPr>
          <w:sz w:val="16"/>
          <w:szCs w:val="16"/>
        </w:rPr>
      </w:pPr>
      <w:r w:rsidRPr="001D29B7">
        <w:rPr>
          <w:rStyle w:val="FootnoteReference"/>
          <w:sz w:val="16"/>
          <w:szCs w:val="16"/>
          <w:vertAlign w:val="baseline"/>
        </w:rPr>
        <w:footnoteRef/>
      </w:r>
      <w:r w:rsidRPr="001D29B7">
        <w:rPr>
          <w:sz w:val="16"/>
          <w:szCs w:val="16"/>
        </w:rPr>
        <w:t xml:space="preserve"> Figures are on an accrual </w:t>
      </w:r>
      <w:r w:rsidR="0000645F" w:rsidRPr="001D29B7">
        <w:rPr>
          <w:sz w:val="16"/>
          <w:szCs w:val="16"/>
        </w:rPr>
        <w:t xml:space="preserve">(fiscal) </w:t>
      </w:r>
      <w:r w:rsidRPr="001D29B7">
        <w:rPr>
          <w:sz w:val="16"/>
          <w:szCs w:val="16"/>
        </w:rPr>
        <w:t>basis.</w:t>
      </w:r>
    </w:p>
  </w:footnote>
  <w:footnote w:id="6">
    <w:p w:rsidR="00394B6C" w:rsidRPr="001D29B7" w:rsidRDefault="00394B6C" w:rsidP="00394B6C">
      <w:pPr>
        <w:pStyle w:val="FootnoteText"/>
        <w:rPr>
          <w:sz w:val="16"/>
          <w:szCs w:val="16"/>
        </w:rPr>
      </w:pPr>
      <w:r w:rsidRPr="001D29B7">
        <w:rPr>
          <w:rStyle w:val="FootnoteReference"/>
          <w:sz w:val="16"/>
          <w:szCs w:val="16"/>
          <w:vertAlign w:val="baseline"/>
        </w:rPr>
        <w:footnoteRef/>
      </w:r>
      <w:r w:rsidRPr="001D29B7">
        <w:rPr>
          <w:sz w:val="16"/>
          <w:szCs w:val="16"/>
        </w:rPr>
        <w:t xml:space="preserve"> This is the net fiscal impact of the measure. Where a measure </w:t>
      </w:r>
      <w:proofErr w:type="gramStart"/>
      <w:r>
        <w:rPr>
          <w:sz w:val="16"/>
          <w:szCs w:val="16"/>
        </w:rPr>
        <w:t>effects</w:t>
      </w:r>
      <w:proofErr w:type="gramEnd"/>
      <w:r w:rsidRPr="001D29B7">
        <w:rPr>
          <w:sz w:val="16"/>
          <w:szCs w:val="16"/>
        </w:rPr>
        <w:t xml:space="preserve"> both revenue and expenses it has been classified according to its principal impact (consistent with Budget Paper No. 2).</w:t>
      </w:r>
    </w:p>
  </w:footnote>
  <w:footnote w:id="7">
    <w:p w:rsidR="00237344" w:rsidRPr="001D29B7" w:rsidRDefault="00237344" w:rsidP="00237344">
      <w:pPr>
        <w:pStyle w:val="EndnoteText"/>
        <w:ind w:left="284"/>
        <w:rPr>
          <w:sz w:val="16"/>
          <w:szCs w:val="16"/>
        </w:rPr>
      </w:pPr>
      <w:r w:rsidRPr="001D29B7">
        <w:rPr>
          <w:rStyle w:val="FootnoteReference"/>
          <w:sz w:val="16"/>
          <w:szCs w:val="16"/>
          <w:vertAlign w:val="baseline"/>
        </w:rPr>
        <w:footnoteRef/>
      </w:r>
      <w:r w:rsidRPr="001D29B7">
        <w:rPr>
          <w:sz w:val="16"/>
          <w:szCs w:val="16"/>
        </w:rPr>
        <w:t xml:space="preserve"> Parameter and other variations refer to changes in parameters and assumptions used to estimate payments/expenses and receipts/revenue.</w:t>
      </w:r>
    </w:p>
  </w:footnote>
  <w:footnote w:id="8">
    <w:p w:rsidR="0002209E" w:rsidRPr="0002209E" w:rsidRDefault="0002209E">
      <w:pPr>
        <w:pStyle w:val="FootnoteText"/>
        <w:rPr>
          <w:sz w:val="16"/>
        </w:rPr>
      </w:pPr>
      <w:r w:rsidRPr="0002209E">
        <w:rPr>
          <w:rStyle w:val="FootnoteReference"/>
          <w:sz w:val="16"/>
          <w:vertAlign w:val="baseline"/>
        </w:rPr>
        <w:footnoteRef/>
      </w:r>
      <w:r w:rsidRPr="0002209E">
        <w:rPr>
          <w:sz w:val="16"/>
        </w:rPr>
        <w:t xml:space="preserve"> </w:t>
      </w:r>
      <w:r w:rsidR="001B5AF7">
        <w:rPr>
          <w:sz w:val="16"/>
        </w:rPr>
        <w:t>This figure e</w:t>
      </w:r>
      <w:r>
        <w:rPr>
          <w:sz w:val="16"/>
        </w:rPr>
        <w:t xml:space="preserve">xcludes the impact of parameter variations </w:t>
      </w:r>
      <w:r w:rsidR="00855EB4">
        <w:rPr>
          <w:sz w:val="16"/>
        </w:rPr>
        <w:t>on</w:t>
      </w:r>
      <w:r>
        <w:rPr>
          <w:sz w:val="16"/>
        </w:rPr>
        <w:t xml:space="preserve"> the Goods and Services Tax (GST)</w:t>
      </w:r>
      <w:r w:rsidR="001A437E">
        <w:rPr>
          <w:sz w:val="16"/>
        </w:rPr>
        <w:t xml:space="preserve"> payments and receipts</w:t>
      </w:r>
      <w:r>
        <w:rPr>
          <w:sz w:val="16"/>
        </w:rPr>
        <w:t>.</w:t>
      </w:r>
    </w:p>
  </w:footnote>
  <w:footnote w:id="9">
    <w:p w:rsidR="00237344" w:rsidRPr="001D29B7" w:rsidRDefault="00237344" w:rsidP="00237344">
      <w:pPr>
        <w:pStyle w:val="FootnoteText"/>
        <w:rPr>
          <w:sz w:val="16"/>
          <w:szCs w:val="16"/>
        </w:rPr>
      </w:pPr>
      <w:r w:rsidRPr="001D29B7">
        <w:rPr>
          <w:rStyle w:val="FootnoteReference"/>
          <w:sz w:val="16"/>
          <w:szCs w:val="16"/>
          <w:vertAlign w:val="baseline"/>
        </w:rPr>
        <w:footnoteRef/>
      </w:r>
      <w:r w:rsidRPr="001D29B7">
        <w:rPr>
          <w:sz w:val="16"/>
          <w:szCs w:val="16"/>
        </w:rPr>
        <w:t xml:space="preserve"> This is the percentage point </w:t>
      </w:r>
      <w:r w:rsidR="001D29B7" w:rsidRPr="001D29B7">
        <w:rPr>
          <w:sz w:val="16"/>
          <w:szCs w:val="16"/>
        </w:rPr>
        <w:t>contribution to total annual rea</w:t>
      </w:r>
      <w:r w:rsidRPr="001D29B7">
        <w:rPr>
          <w:sz w:val="16"/>
          <w:szCs w:val="16"/>
        </w:rPr>
        <w:t xml:space="preserve"> growth from 2017–</w:t>
      </w:r>
      <w:r w:rsidR="001D29B7" w:rsidRPr="001D29B7">
        <w:rPr>
          <w:sz w:val="16"/>
          <w:szCs w:val="16"/>
        </w:rPr>
        <w:t>18 to 2021–22.  Total</w:t>
      </w:r>
      <w:r w:rsidRPr="001D29B7">
        <w:rPr>
          <w:sz w:val="16"/>
          <w:szCs w:val="16"/>
        </w:rPr>
        <w:t xml:space="preserve"> growth is presented in the total bar in this figure.</w:t>
      </w:r>
    </w:p>
  </w:footnote>
  <w:footnote w:id="10">
    <w:p w:rsidR="00237344" w:rsidRDefault="00237344" w:rsidP="00237344">
      <w:pPr>
        <w:pStyle w:val="FootnoteText"/>
      </w:pPr>
      <w:r w:rsidRPr="001D29B7">
        <w:rPr>
          <w:rStyle w:val="FootnoteReference"/>
          <w:sz w:val="16"/>
          <w:szCs w:val="16"/>
          <w:vertAlign w:val="baseline"/>
        </w:rPr>
        <w:footnoteRef/>
      </w:r>
      <w:r w:rsidRPr="001D29B7">
        <w:rPr>
          <w:sz w:val="16"/>
          <w:szCs w:val="16"/>
        </w:rPr>
        <w:t xml:space="preserve"> Payments to states refer to the amount of funding provided to states and territories under the Federal Financial Relations framework.  This includes the transfer of the </w:t>
      </w:r>
      <w:r w:rsidR="00ED74E6">
        <w:rPr>
          <w:sz w:val="16"/>
          <w:szCs w:val="16"/>
        </w:rPr>
        <w:t xml:space="preserve">GST </w:t>
      </w:r>
      <w:bookmarkStart w:id="5" w:name="_GoBack"/>
      <w:bookmarkEnd w:id="5"/>
      <w:r w:rsidRPr="001D29B7">
        <w:rPr>
          <w:sz w:val="16"/>
          <w:szCs w:val="16"/>
        </w:rPr>
        <w:t>collected by the Commonwealth to states and territories for use on general purposes.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A1" w:rsidRDefault="00B24EB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BDB6FF4" wp14:editId="0C62C1D4">
          <wp:simplePos x="0" y="0"/>
          <wp:positionH relativeFrom="column">
            <wp:posOffset>7616727</wp:posOffset>
          </wp:positionH>
          <wp:positionV relativeFrom="paragraph">
            <wp:posOffset>110011</wp:posOffset>
          </wp:positionV>
          <wp:extent cx="1627448" cy="347190"/>
          <wp:effectExtent l="0" t="0" r="0" b="0"/>
          <wp:wrapNone/>
          <wp:docPr id="2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448" cy="34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7675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8808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ACC9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84C15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AE4F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2AF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6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F6C7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E68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5A82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8B37FE"/>
    <w:multiLevelType w:val="multilevel"/>
    <w:tmpl w:val="D1A2BED4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1">
    <w:nsid w:val="0D745448"/>
    <w:multiLevelType w:val="multilevel"/>
    <w:tmpl w:val="B17C8F64"/>
    <w:lvl w:ilvl="0">
      <w:start w:val="1"/>
      <w:numFmt w:val="decimal"/>
      <w:pStyle w:val="Heading1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2">
    <w:nsid w:val="194A695C"/>
    <w:multiLevelType w:val="multilevel"/>
    <w:tmpl w:val="9710D28A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3">
    <w:nsid w:val="2C72580B"/>
    <w:multiLevelType w:val="multilevel"/>
    <w:tmpl w:val="A1605A0E"/>
    <w:lvl w:ilvl="0">
      <w:start w:val="1"/>
      <w:numFmt w:val="decimal"/>
      <w:pStyle w:val="PullOutBoxNumber"/>
      <w:lvlText w:val="%1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pStyle w:val="PullOutBoxNumber2"/>
      <w:lvlText w:val="%2"/>
      <w:lvlJc w:val="left"/>
      <w:pPr>
        <w:tabs>
          <w:tab w:val="num" w:pos="964"/>
        </w:tabs>
        <w:ind w:left="964" w:hanging="340"/>
      </w:pPr>
      <w:rPr>
        <w:rFonts w:hint="default"/>
        <w:color w:val="auto"/>
      </w:rPr>
    </w:lvl>
    <w:lvl w:ilvl="2">
      <w:start w:val="1"/>
      <w:numFmt w:val="lowerRoman"/>
      <w:pStyle w:val="PullOutBoxNumber3"/>
      <w:lvlText w:val="%3"/>
      <w:lvlJc w:val="left"/>
      <w:pPr>
        <w:tabs>
          <w:tab w:val="num" w:pos="1304"/>
        </w:tabs>
        <w:ind w:left="1304" w:hanging="340"/>
      </w:pPr>
      <w:rPr>
        <w:rFonts w:hint="default"/>
        <w:color w:val="auto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>
    <w:nsid w:val="38723AD4"/>
    <w:multiLevelType w:val="multilevel"/>
    <w:tmpl w:val="CC2400A2"/>
    <w:lvl w:ilvl="0">
      <w:start w:val="1"/>
      <w:numFmt w:val="bullet"/>
      <w:pStyle w:val="PullOutBoxBullet"/>
      <w:lvlText w:val="•"/>
      <w:lvlJc w:val="left"/>
      <w:pPr>
        <w:tabs>
          <w:tab w:val="num" w:pos="624"/>
        </w:tabs>
        <w:ind w:left="624" w:hanging="34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pStyle w:val="PullOutBoxBullet3"/>
      <w:lvlText w:val=""/>
      <w:lvlJc w:val="left"/>
      <w:pPr>
        <w:tabs>
          <w:tab w:val="num" w:pos="1304"/>
        </w:tabs>
        <w:ind w:left="1304" w:hanging="340"/>
      </w:pPr>
      <w:rPr>
        <w:rFonts w:ascii="Wingdings" w:hAnsi="Wingdings" w:hint="default"/>
        <w:color w:val="auto"/>
        <w:position w:val="0"/>
        <w:sz w:val="2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6D1D40AC"/>
    <w:multiLevelType w:val="multilevel"/>
    <w:tmpl w:val="D18C6390"/>
    <w:lvl w:ilvl="0">
      <w:start w:val="1"/>
      <w:numFmt w:val="decimal"/>
      <w:pStyle w:val="TableTextNumber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TextNumber2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pStyle w:val="TableTextNumber3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>
    <w:nsid w:val="70250B03"/>
    <w:multiLevelType w:val="multilevel"/>
    <w:tmpl w:val="5796740A"/>
    <w:lvl w:ilvl="0">
      <w:start w:val="1"/>
      <w:numFmt w:val="bullet"/>
      <w:pStyle w:val="Quote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02C47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17">
    <w:nsid w:val="7839021E"/>
    <w:multiLevelType w:val="multilevel"/>
    <w:tmpl w:val="C186E662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907"/>
        </w:tabs>
        <w:ind w:left="907" w:hanging="453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4"/>
  </w:num>
  <w:num w:numId="5">
    <w:abstractNumId w:val="14"/>
  </w:num>
  <w:num w:numId="6">
    <w:abstractNumId w:val="13"/>
  </w:num>
  <w:num w:numId="7">
    <w:abstractNumId w:val="13"/>
  </w:num>
  <w:num w:numId="8">
    <w:abstractNumId w:val="13"/>
  </w:num>
  <w:num w:numId="9">
    <w:abstractNumId w:val="16"/>
  </w:num>
  <w:num w:numId="10">
    <w:abstractNumId w:val="16"/>
  </w:num>
  <w:num w:numId="11">
    <w:abstractNumId w:val="12"/>
  </w:num>
  <w:num w:numId="12">
    <w:abstractNumId w:val="12"/>
  </w:num>
  <w:num w:numId="13">
    <w:abstractNumId w:val="15"/>
  </w:num>
  <w:num w:numId="14">
    <w:abstractNumId w:val="15"/>
  </w:num>
  <w:num w:numId="15">
    <w:abstractNumId w:val="15"/>
  </w:num>
  <w:num w:numId="16">
    <w:abstractNumId w:val="11"/>
  </w:num>
  <w:num w:numId="17">
    <w:abstractNumId w:val="11"/>
  </w:num>
  <w:num w:numId="18">
    <w:abstractNumId w:val="11"/>
  </w:num>
  <w:num w:numId="19">
    <w:abstractNumId w:val="10"/>
  </w:num>
  <w:num w:numId="20">
    <w:abstractNumId w:val="8"/>
  </w:num>
  <w:num w:numId="21">
    <w:abstractNumId w:val="17"/>
  </w:num>
  <w:num w:numId="22">
    <w:abstractNumId w:val="7"/>
  </w:num>
  <w:num w:numId="23">
    <w:abstractNumId w:val="10"/>
  </w:num>
  <w:num w:numId="24">
    <w:abstractNumId w:val="3"/>
  </w:num>
  <w:num w:numId="25">
    <w:abstractNumId w:val="17"/>
  </w:num>
  <w:num w:numId="26">
    <w:abstractNumId w:val="2"/>
  </w:num>
  <w:num w:numId="27">
    <w:abstractNumId w:val="17"/>
  </w:num>
  <w:num w:numId="28">
    <w:abstractNumId w:val="14"/>
  </w:num>
  <w:num w:numId="29">
    <w:abstractNumId w:val="14"/>
  </w:num>
  <w:num w:numId="30">
    <w:abstractNumId w:val="14"/>
  </w:num>
  <w:num w:numId="31">
    <w:abstractNumId w:val="13"/>
  </w:num>
  <w:num w:numId="32">
    <w:abstractNumId w:val="13"/>
  </w:num>
  <w:num w:numId="33">
    <w:abstractNumId w:val="13"/>
  </w:num>
  <w:num w:numId="34">
    <w:abstractNumId w:val="16"/>
  </w:num>
  <w:num w:numId="35">
    <w:abstractNumId w:val="16"/>
  </w:num>
  <w:num w:numId="36">
    <w:abstractNumId w:val="12"/>
  </w:num>
  <w:num w:numId="37">
    <w:abstractNumId w:val="12"/>
  </w:num>
  <w:num w:numId="38">
    <w:abstractNumId w:val="15"/>
  </w:num>
  <w:num w:numId="39">
    <w:abstractNumId w:val="15"/>
  </w:num>
  <w:num w:numId="40">
    <w:abstractNumId w:val="15"/>
  </w:num>
  <w:num w:numId="41">
    <w:abstractNumId w:val="6"/>
  </w:num>
  <w:num w:numId="42">
    <w:abstractNumId w:val="5"/>
  </w:num>
  <w:num w:numId="43">
    <w:abstractNumId w:val="4"/>
  </w:num>
  <w:num w:numId="44">
    <w:abstractNumId w:val="1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sclaimer" w:val="False"/>
    <w:docVar w:name="IsWordingOverview" w:val="True"/>
  </w:docVars>
  <w:rsids>
    <w:rsidRoot w:val="00B92615"/>
    <w:rsid w:val="0000645F"/>
    <w:rsid w:val="00012A80"/>
    <w:rsid w:val="00017DA0"/>
    <w:rsid w:val="0002209E"/>
    <w:rsid w:val="000406C2"/>
    <w:rsid w:val="000428D0"/>
    <w:rsid w:val="00050083"/>
    <w:rsid w:val="00051065"/>
    <w:rsid w:val="000533E6"/>
    <w:rsid w:val="0006128D"/>
    <w:rsid w:val="00080975"/>
    <w:rsid w:val="000A55CB"/>
    <w:rsid w:val="000B00B3"/>
    <w:rsid w:val="000B7FC2"/>
    <w:rsid w:val="000E115C"/>
    <w:rsid w:val="000F4480"/>
    <w:rsid w:val="001111B2"/>
    <w:rsid w:val="00111AB9"/>
    <w:rsid w:val="00116624"/>
    <w:rsid w:val="0013233A"/>
    <w:rsid w:val="00144610"/>
    <w:rsid w:val="00160D6B"/>
    <w:rsid w:val="001634A1"/>
    <w:rsid w:val="00181180"/>
    <w:rsid w:val="001A437E"/>
    <w:rsid w:val="001B32B5"/>
    <w:rsid w:val="001B5AF7"/>
    <w:rsid w:val="001D0E60"/>
    <w:rsid w:val="001D29B7"/>
    <w:rsid w:val="001D543A"/>
    <w:rsid w:val="001E163D"/>
    <w:rsid w:val="001E521A"/>
    <w:rsid w:val="001E776D"/>
    <w:rsid w:val="00204E01"/>
    <w:rsid w:val="002103FC"/>
    <w:rsid w:val="00222045"/>
    <w:rsid w:val="002259BF"/>
    <w:rsid w:val="00237344"/>
    <w:rsid w:val="002560E2"/>
    <w:rsid w:val="00265F4D"/>
    <w:rsid w:val="00266E8F"/>
    <w:rsid w:val="002705D6"/>
    <w:rsid w:val="00280AD8"/>
    <w:rsid w:val="00284CE5"/>
    <w:rsid w:val="00294DE2"/>
    <w:rsid w:val="002A3465"/>
    <w:rsid w:val="002A4FC8"/>
    <w:rsid w:val="002C7055"/>
    <w:rsid w:val="002F3288"/>
    <w:rsid w:val="00302BAD"/>
    <w:rsid w:val="003052FF"/>
    <w:rsid w:val="00315AF4"/>
    <w:rsid w:val="00337C96"/>
    <w:rsid w:val="00345AB7"/>
    <w:rsid w:val="003654E4"/>
    <w:rsid w:val="003671E5"/>
    <w:rsid w:val="00373576"/>
    <w:rsid w:val="00373626"/>
    <w:rsid w:val="0038590E"/>
    <w:rsid w:val="00385B53"/>
    <w:rsid w:val="00385E96"/>
    <w:rsid w:val="00394B6C"/>
    <w:rsid w:val="003A40A0"/>
    <w:rsid w:val="003A7A64"/>
    <w:rsid w:val="003B125B"/>
    <w:rsid w:val="003D030E"/>
    <w:rsid w:val="003E0AED"/>
    <w:rsid w:val="003E4CBF"/>
    <w:rsid w:val="004107EC"/>
    <w:rsid w:val="0043013C"/>
    <w:rsid w:val="00447B65"/>
    <w:rsid w:val="004719A2"/>
    <w:rsid w:val="0047220E"/>
    <w:rsid w:val="004805A6"/>
    <w:rsid w:val="004853F8"/>
    <w:rsid w:val="004A2B69"/>
    <w:rsid w:val="004A3D7B"/>
    <w:rsid w:val="004A56AB"/>
    <w:rsid w:val="004D09A9"/>
    <w:rsid w:val="004D4D45"/>
    <w:rsid w:val="00502B7B"/>
    <w:rsid w:val="00541DCA"/>
    <w:rsid w:val="00562DE5"/>
    <w:rsid w:val="00590075"/>
    <w:rsid w:val="005A5969"/>
    <w:rsid w:val="005A7AC2"/>
    <w:rsid w:val="005C4708"/>
    <w:rsid w:val="005D582A"/>
    <w:rsid w:val="005D6E60"/>
    <w:rsid w:val="005E239B"/>
    <w:rsid w:val="006034BA"/>
    <w:rsid w:val="006418DD"/>
    <w:rsid w:val="00652D30"/>
    <w:rsid w:val="00667B27"/>
    <w:rsid w:val="006732FE"/>
    <w:rsid w:val="00682F53"/>
    <w:rsid w:val="00685405"/>
    <w:rsid w:val="00696A4E"/>
    <w:rsid w:val="006C5722"/>
    <w:rsid w:val="006E01CA"/>
    <w:rsid w:val="006E6C99"/>
    <w:rsid w:val="00723F4C"/>
    <w:rsid w:val="00732F8F"/>
    <w:rsid w:val="007469CA"/>
    <w:rsid w:val="007870CC"/>
    <w:rsid w:val="00794C6D"/>
    <w:rsid w:val="00795FEF"/>
    <w:rsid w:val="007C2437"/>
    <w:rsid w:val="007D26B9"/>
    <w:rsid w:val="007F420E"/>
    <w:rsid w:val="00812FE4"/>
    <w:rsid w:val="008231E5"/>
    <w:rsid w:val="008315B7"/>
    <w:rsid w:val="00831FEF"/>
    <w:rsid w:val="00837C16"/>
    <w:rsid w:val="00843683"/>
    <w:rsid w:val="00855EB4"/>
    <w:rsid w:val="00861CB5"/>
    <w:rsid w:val="00862294"/>
    <w:rsid w:val="00886434"/>
    <w:rsid w:val="008873D2"/>
    <w:rsid w:val="008A41DF"/>
    <w:rsid w:val="008C47C3"/>
    <w:rsid w:val="008C72AB"/>
    <w:rsid w:val="008D439B"/>
    <w:rsid w:val="008D695E"/>
    <w:rsid w:val="008F1DDA"/>
    <w:rsid w:val="008F704C"/>
    <w:rsid w:val="00901566"/>
    <w:rsid w:val="0090276F"/>
    <w:rsid w:val="00903594"/>
    <w:rsid w:val="00912682"/>
    <w:rsid w:val="00936E31"/>
    <w:rsid w:val="009428E8"/>
    <w:rsid w:val="0094546A"/>
    <w:rsid w:val="00963D71"/>
    <w:rsid w:val="0096546E"/>
    <w:rsid w:val="00977C93"/>
    <w:rsid w:val="009920A3"/>
    <w:rsid w:val="0099485B"/>
    <w:rsid w:val="00997B33"/>
    <w:rsid w:val="009A3BEF"/>
    <w:rsid w:val="009A773E"/>
    <w:rsid w:val="009B288C"/>
    <w:rsid w:val="009B5F50"/>
    <w:rsid w:val="009C3AA4"/>
    <w:rsid w:val="009C64D7"/>
    <w:rsid w:val="00A4319B"/>
    <w:rsid w:val="00A854B9"/>
    <w:rsid w:val="00A87841"/>
    <w:rsid w:val="00AA465C"/>
    <w:rsid w:val="00AA71E5"/>
    <w:rsid w:val="00AB0701"/>
    <w:rsid w:val="00AB6AF5"/>
    <w:rsid w:val="00AC003D"/>
    <w:rsid w:val="00AE369D"/>
    <w:rsid w:val="00AE75FB"/>
    <w:rsid w:val="00AF11E9"/>
    <w:rsid w:val="00B11A3F"/>
    <w:rsid w:val="00B16074"/>
    <w:rsid w:val="00B20C0B"/>
    <w:rsid w:val="00B24EBB"/>
    <w:rsid w:val="00B42697"/>
    <w:rsid w:val="00B64329"/>
    <w:rsid w:val="00B65C22"/>
    <w:rsid w:val="00B92615"/>
    <w:rsid w:val="00BB040C"/>
    <w:rsid w:val="00BB3993"/>
    <w:rsid w:val="00BC2C38"/>
    <w:rsid w:val="00BD3E20"/>
    <w:rsid w:val="00C06765"/>
    <w:rsid w:val="00C11680"/>
    <w:rsid w:val="00C11BD4"/>
    <w:rsid w:val="00C25BB5"/>
    <w:rsid w:val="00C44671"/>
    <w:rsid w:val="00C4585F"/>
    <w:rsid w:val="00C4679E"/>
    <w:rsid w:val="00C778BA"/>
    <w:rsid w:val="00C91180"/>
    <w:rsid w:val="00C91C94"/>
    <w:rsid w:val="00CB19A9"/>
    <w:rsid w:val="00CC61D5"/>
    <w:rsid w:val="00CD4355"/>
    <w:rsid w:val="00CF0CDA"/>
    <w:rsid w:val="00CF2A3B"/>
    <w:rsid w:val="00D12CAB"/>
    <w:rsid w:val="00D16895"/>
    <w:rsid w:val="00D46DC3"/>
    <w:rsid w:val="00D70DEE"/>
    <w:rsid w:val="00D7633F"/>
    <w:rsid w:val="00D819E3"/>
    <w:rsid w:val="00D94341"/>
    <w:rsid w:val="00DB2874"/>
    <w:rsid w:val="00DB5327"/>
    <w:rsid w:val="00DC5E17"/>
    <w:rsid w:val="00DD31A9"/>
    <w:rsid w:val="00DE37CE"/>
    <w:rsid w:val="00DF12C9"/>
    <w:rsid w:val="00DF3D61"/>
    <w:rsid w:val="00E061D7"/>
    <w:rsid w:val="00E40DDC"/>
    <w:rsid w:val="00E42EB5"/>
    <w:rsid w:val="00E61ACF"/>
    <w:rsid w:val="00E6343F"/>
    <w:rsid w:val="00E71B35"/>
    <w:rsid w:val="00EA0E32"/>
    <w:rsid w:val="00EA229B"/>
    <w:rsid w:val="00EB4C89"/>
    <w:rsid w:val="00EB7ED1"/>
    <w:rsid w:val="00ED6691"/>
    <w:rsid w:val="00ED74E6"/>
    <w:rsid w:val="00F04F4E"/>
    <w:rsid w:val="00F43D80"/>
    <w:rsid w:val="00F44F03"/>
    <w:rsid w:val="00F77C46"/>
    <w:rsid w:val="00FC3EF7"/>
    <w:rsid w:val="00FF1E0B"/>
    <w:rsid w:val="00FF54F6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 w:qFormat="1"/>
    <w:lsdException w:name="List Number" w:uiPriority="0" w:qFormat="1"/>
    <w:lsdException w:name="List Bullet 2" w:uiPriority="0" w:qFormat="1"/>
    <w:lsdException w:name="List Number 2" w:uiPriority="0" w:qFormat="1"/>
    <w:lsdException w:name="List Number 3" w:uiPriority="0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List Continue" w:uiPriority="0" w:qFormat="1"/>
    <w:lsdException w:name="List Continue 2" w:uiPriority="0" w:qFormat="1"/>
    <w:lsdException w:name="Subtitle" w:semiHidden="0" w:uiPriority="11" w:unhideWhenUsed="0"/>
    <w:lsdException w:name="Strong" w:uiPriority="0" w:unhideWhenUsed="0" w:qFormat="1"/>
    <w:lsdException w:name="Emphasis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0" w:unhideWhenUsed="0" w:qFormat="1"/>
    <w:lsdException w:name="Intense Emphasis" w:uiPriority="0" w:unhideWhenUsed="0" w:qFormat="1"/>
    <w:lsdException w:name="Subtle Reference" w:uiPriority="0" w:unhideWhenUsed="0" w:qFormat="1"/>
    <w:lsdException w:name="Intense Reference" w:uiPriority="0" w:unhideWhenUsed="0" w:qFormat="1"/>
    <w:lsdException w:name="Book Title" w:uiPriority="0" w:unhideWhenUsed="0" w:qFormat="1"/>
    <w:lsdException w:name="Bibliography" w:uiPriority="37"/>
    <w:lsdException w:name="TOC Heading" w:uiPriority="39"/>
  </w:latentStyles>
  <w:style w:type="paragraph" w:default="1" w:styleId="Normal">
    <w:name w:val="Normal"/>
    <w:qFormat/>
    <w:rsid w:val="00B65C22"/>
  </w:style>
  <w:style w:type="paragraph" w:styleId="Heading1">
    <w:name w:val="heading 1"/>
    <w:basedOn w:val="Normal"/>
    <w:next w:val="BodyText"/>
    <w:link w:val="Heading1Char"/>
    <w:qFormat/>
    <w:rsid w:val="00B65C22"/>
    <w:pPr>
      <w:keepNext/>
      <w:keepLines/>
      <w:numPr>
        <w:numId w:val="18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Theme="majorHAnsi" w:hAnsiTheme="majorHAnsi"/>
      <w:bCs/>
      <w:color w:val="202C47" w:themeColor="text2"/>
      <w:spacing w:val="-6"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qFormat/>
    <w:rsid w:val="00B65C22"/>
    <w:pPr>
      <w:keepNext/>
      <w:keepLines/>
      <w:numPr>
        <w:ilvl w:val="1"/>
        <w:numId w:val="18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02C47" w:themeColor="text2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B65C22"/>
    <w:pPr>
      <w:keepNext/>
      <w:keepLines/>
      <w:tabs>
        <w:tab w:val="left" w:pos="1418"/>
        <w:tab w:val="left" w:pos="1701"/>
        <w:tab w:val="left" w:pos="1985"/>
      </w:tabs>
      <w:spacing w:before="470" w:after="227"/>
      <w:ind w:left="765" w:hanging="765"/>
      <w:outlineLvl w:val="2"/>
    </w:pPr>
    <w:rPr>
      <w:b/>
      <w:color w:val="202C47" w:themeColor="text2"/>
      <w:sz w:val="28"/>
    </w:rPr>
  </w:style>
  <w:style w:type="paragraph" w:styleId="Heading4">
    <w:name w:val="heading 4"/>
    <w:basedOn w:val="Normal"/>
    <w:next w:val="BodyText"/>
    <w:link w:val="Heading4Char"/>
    <w:qFormat/>
    <w:rsid w:val="00B65C22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/>
      <w:bCs/>
      <w:i/>
      <w:iCs/>
      <w:color w:val="202C47" w:themeColor="text2"/>
      <w:sz w:val="24"/>
    </w:rPr>
  </w:style>
  <w:style w:type="paragraph" w:styleId="Heading5">
    <w:name w:val="heading 5"/>
    <w:basedOn w:val="Normal"/>
    <w:next w:val="BodyText"/>
    <w:link w:val="Heading5Char"/>
    <w:qFormat/>
    <w:rsid w:val="00B65C22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qFormat/>
    <w:rsid w:val="00B65C22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202C47" w:themeColor="text2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12CA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3F578D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12CA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F578D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12CA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F578D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26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6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BodyText"/>
    <w:qFormat/>
    <w:rsid w:val="00723F4C"/>
    <w:pPr>
      <w:keepNext/>
      <w:spacing w:before="340"/>
    </w:pPr>
    <w:rPr>
      <w:b/>
      <w:bCs/>
      <w:color w:val="202C47" w:themeColor="text2"/>
      <w:spacing w:val="-4"/>
    </w:rPr>
  </w:style>
  <w:style w:type="character" w:styleId="FootnoteReference">
    <w:name w:val="footnote reference"/>
    <w:basedOn w:val="DefaultParagraphFont"/>
    <w:uiPriority w:val="99"/>
    <w:unhideWhenUsed/>
    <w:rsid w:val="00F44F0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B65C22"/>
    <w:rPr>
      <w:rFonts w:asciiTheme="majorHAnsi" w:hAnsiTheme="majorHAnsi"/>
      <w:bCs/>
      <w:iCs/>
      <w:color w:val="202C47" w:themeColor="text2"/>
      <w:kern w:val="20"/>
      <w:sz w:val="32"/>
      <w:szCs w:val="28"/>
    </w:rPr>
  </w:style>
  <w:style w:type="character" w:customStyle="1" w:styleId="Heading1Char">
    <w:name w:val="Heading 1 Char"/>
    <w:basedOn w:val="DefaultParagraphFont"/>
    <w:link w:val="Heading1"/>
    <w:rsid w:val="00B65C22"/>
    <w:rPr>
      <w:rFonts w:asciiTheme="majorHAnsi" w:hAnsiTheme="majorHAnsi"/>
      <w:bCs/>
      <w:color w:val="202C47" w:themeColor="text2"/>
      <w:spacing w:val="-6"/>
      <w:kern w:val="32"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696A4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A4E"/>
  </w:style>
  <w:style w:type="paragraph" w:styleId="Footer">
    <w:name w:val="footer"/>
    <w:basedOn w:val="Normal"/>
    <w:link w:val="FooterChar"/>
    <w:uiPriority w:val="99"/>
    <w:unhideWhenUsed/>
    <w:rsid w:val="00696A4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A4E"/>
  </w:style>
  <w:style w:type="paragraph" w:styleId="ListBullet">
    <w:name w:val="List Bullet"/>
    <w:basedOn w:val="Normal"/>
    <w:semiHidden/>
    <w:unhideWhenUsed/>
    <w:qFormat/>
    <w:rsid w:val="00B65C22"/>
    <w:pPr>
      <w:keepLines/>
      <w:numPr>
        <w:numId w:val="23"/>
      </w:numPr>
      <w:spacing w:after="113"/>
    </w:pPr>
    <w:rPr>
      <w:spacing w:val="-1"/>
    </w:rPr>
  </w:style>
  <w:style w:type="paragraph" w:styleId="FootnoteText">
    <w:name w:val="footnote text"/>
    <w:basedOn w:val="Normal"/>
    <w:link w:val="FootnoteTextChar"/>
    <w:uiPriority w:val="99"/>
    <w:unhideWhenUsed/>
    <w:rsid w:val="001634A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34A1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F4480"/>
    <w:rPr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4480"/>
    <w:rPr>
      <w:color w:val="000000"/>
      <w:u w:val="single"/>
    </w:rPr>
  </w:style>
  <w:style w:type="paragraph" w:customStyle="1" w:styleId="xl64">
    <w:name w:val="xl64"/>
    <w:basedOn w:val="Normal"/>
    <w:rsid w:val="000F448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en-AU"/>
    </w:rPr>
  </w:style>
  <w:style w:type="paragraph" w:customStyle="1" w:styleId="xl65">
    <w:name w:val="xl65"/>
    <w:basedOn w:val="Normal"/>
    <w:rsid w:val="000F44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0F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0">
    <w:name w:val="xl70"/>
    <w:basedOn w:val="Normal"/>
    <w:rsid w:val="000F44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0F448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en-AU"/>
    </w:rPr>
  </w:style>
  <w:style w:type="paragraph" w:customStyle="1" w:styleId="xl75">
    <w:name w:val="xl75"/>
    <w:basedOn w:val="Normal"/>
    <w:rsid w:val="000F448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en-AU"/>
    </w:rPr>
  </w:style>
  <w:style w:type="paragraph" w:customStyle="1" w:styleId="xl76">
    <w:name w:val="xl76"/>
    <w:basedOn w:val="Normal"/>
    <w:rsid w:val="000F4480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en-AU"/>
    </w:rPr>
  </w:style>
  <w:style w:type="paragraph" w:customStyle="1" w:styleId="xl77">
    <w:name w:val="xl77"/>
    <w:basedOn w:val="Normal"/>
    <w:rsid w:val="000F448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D0D0D"/>
      <w:sz w:val="24"/>
      <w:szCs w:val="24"/>
      <w:lang w:eastAsia="en-AU"/>
    </w:rPr>
  </w:style>
  <w:style w:type="paragraph" w:customStyle="1" w:styleId="xl79">
    <w:name w:val="xl79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0F44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en-AU"/>
    </w:rPr>
  </w:style>
  <w:style w:type="paragraph" w:customStyle="1" w:styleId="xl82">
    <w:name w:val="xl82"/>
    <w:basedOn w:val="Normal"/>
    <w:rsid w:val="000F4480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en-AU"/>
    </w:rPr>
  </w:style>
  <w:style w:type="paragraph" w:customStyle="1" w:styleId="xl83">
    <w:name w:val="xl83"/>
    <w:basedOn w:val="Normal"/>
    <w:rsid w:val="000F44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4">
    <w:name w:val="xl84"/>
    <w:basedOn w:val="Normal"/>
    <w:rsid w:val="000F44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AU"/>
    </w:rPr>
  </w:style>
  <w:style w:type="paragraph" w:customStyle="1" w:styleId="xl85">
    <w:name w:val="xl85"/>
    <w:basedOn w:val="Normal"/>
    <w:rsid w:val="000F448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6">
    <w:name w:val="xl86"/>
    <w:basedOn w:val="Normal"/>
    <w:rsid w:val="000F44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D0D0D"/>
      <w:sz w:val="24"/>
      <w:szCs w:val="24"/>
      <w:lang w:eastAsia="en-AU"/>
    </w:rPr>
  </w:style>
  <w:style w:type="paragraph" w:customStyle="1" w:styleId="xl87">
    <w:name w:val="xl87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8">
    <w:name w:val="xl88"/>
    <w:basedOn w:val="Normal"/>
    <w:rsid w:val="000F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AU"/>
    </w:rPr>
  </w:style>
  <w:style w:type="paragraph" w:customStyle="1" w:styleId="xl89">
    <w:name w:val="xl89"/>
    <w:basedOn w:val="Normal"/>
    <w:rsid w:val="000F44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0">
    <w:name w:val="xl90"/>
    <w:basedOn w:val="Normal"/>
    <w:rsid w:val="000F44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1">
    <w:name w:val="xl91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92">
    <w:name w:val="xl92"/>
    <w:basedOn w:val="Normal"/>
    <w:rsid w:val="000F4480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unhideWhenUsed/>
    <w:rsid w:val="00385B53"/>
    <w:pPr>
      <w:spacing w:line="240" w:lineRule="auto"/>
      <w:ind w:left="568" w:hanging="284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85B5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5B53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65C22"/>
    <w:rPr>
      <w:b/>
      <w:color w:val="202C47" w:themeColor="text2"/>
      <w:sz w:val="28"/>
    </w:rPr>
  </w:style>
  <w:style w:type="paragraph" w:customStyle="1" w:styleId="TableHeading">
    <w:name w:val="Table Heading"/>
    <w:basedOn w:val="Normal"/>
    <w:qFormat/>
    <w:rsid w:val="00B65C22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B65C22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B65C22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B65C22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qFormat/>
    <w:rsid w:val="00B65C22"/>
    <w:pPr>
      <w:spacing w:before="113" w:after="113"/>
    </w:pPr>
    <w:rPr>
      <w:spacing w:val="-1"/>
    </w:rPr>
  </w:style>
  <w:style w:type="character" w:customStyle="1" w:styleId="BodyTextChar">
    <w:name w:val="Body Text Char"/>
    <w:basedOn w:val="DefaultParagraphFont"/>
    <w:link w:val="BodyText"/>
    <w:rsid w:val="00B65C22"/>
    <w:rPr>
      <w:spacing w:val="-1"/>
    </w:rPr>
  </w:style>
  <w:style w:type="paragraph" w:styleId="NormalWeb">
    <w:name w:val="Normal (Web)"/>
    <w:basedOn w:val="Normal"/>
    <w:uiPriority w:val="99"/>
    <w:semiHidden/>
    <w:unhideWhenUsed/>
    <w:rsid w:val="00CF0C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BodyText17ptAbove">
    <w:name w:val="Body Text 17pt Above"/>
    <w:basedOn w:val="BodyText"/>
    <w:next w:val="BodyText"/>
    <w:qFormat/>
    <w:rsid w:val="00B65C22"/>
    <w:pPr>
      <w:spacing w:before="340"/>
    </w:pPr>
    <w:rPr>
      <w:rFonts w:cs="Times New Roman"/>
    </w:rPr>
  </w:style>
  <w:style w:type="paragraph" w:customStyle="1" w:styleId="HighlightText">
    <w:name w:val="Highlight Text"/>
    <w:basedOn w:val="Normal"/>
    <w:qFormat/>
    <w:rsid w:val="00B65C22"/>
    <w:pPr>
      <w:spacing w:before="120" w:after="420"/>
    </w:pPr>
    <w:rPr>
      <w:i/>
      <w:color w:val="202C47" w:themeColor="text2"/>
      <w:spacing w:val="-1"/>
    </w:rPr>
  </w:style>
  <w:style w:type="paragraph" w:customStyle="1" w:styleId="Introduction">
    <w:name w:val="Introduction"/>
    <w:basedOn w:val="Normal"/>
    <w:next w:val="BodyText"/>
    <w:qFormat/>
    <w:rsid w:val="00B65C22"/>
    <w:pPr>
      <w:spacing w:after="180" w:line="360" w:lineRule="atLeast"/>
    </w:pPr>
    <w:rPr>
      <w:color w:val="202C47" w:themeColor="text2"/>
      <w:spacing w:val="-2"/>
      <w:sz w:val="30"/>
    </w:rPr>
  </w:style>
  <w:style w:type="paragraph" w:customStyle="1" w:styleId="PullOutBoxBodyText">
    <w:name w:val="Pull Out Box Body Text"/>
    <w:basedOn w:val="Normal"/>
    <w:qFormat/>
    <w:rsid w:val="00B65C22"/>
    <w:pPr>
      <w:spacing w:before="113" w:after="113"/>
      <w:ind w:left="227" w:right="170"/>
    </w:pPr>
    <w:rPr>
      <w:spacing w:val="-1"/>
    </w:rPr>
  </w:style>
  <w:style w:type="paragraph" w:customStyle="1" w:styleId="PullOutBoxBullet">
    <w:name w:val="Pull Out Box Bullet"/>
    <w:basedOn w:val="PullOutBoxBodyText"/>
    <w:qFormat/>
    <w:rsid w:val="00B65C22"/>
    <w:pPr>
      <w:numPr>
        <w:numId w:val="30"/>
      </w:numPr>
    </w:pPr>
  </w:style>
  <w:style w:type="paragraph" w:customStyle="1" w:styleId="PullOutBoxBullet2">
    <w:name w:val="Pull Out Box Bullet 2"/>
    <w:basedOn w:val="PullOutBoxBodyText"/>
    <w:qFormat/>
    <w:rsid w:val="00B65C22"/>
    <w:pPr>
      <w:numPr>
        <w:ilvl w:val="1"/>
        <w:numId w:val="30"/>
      </w:numPr>
    </w:pPr>
  </w:style>
  <w:style w:type="paragraph" w:customStyle="1" w:styleId="PullOutBoxBullet3">
    <w:name w:val="Pull Out Box Bullet 3"/>
    <w:basedOn w:val="PullOutBoxBodyText"/>
    <w:qFormat/>
    <w:rsid w:val="00B65C22"/>
    <w:pPr>
      <w:numPr>
        <w:ilvl w:val="2"/>
        <w:numId w:val="30"/>
      </w:numPr>
    </w:pPr>
  </w:style>
  <w:style w:type="paragraph" w:customStyle="1" w:styleId="PullOutBoxHeading">
    <w:name w:val="Pull Out Box Heading"/>
    <w:basedOn w:val="PullOutBoxBodyText"/>
    <w:qFormat/>
    <w:rsid w:val="00B65C22"/>
    <w:pPr>
      <w:keepNext/>
      <w:keepLines/>
      <w:spacing w:before="114" w:after="114" w:line="360" w:lineRule="atLeast"/>
    </w:pPr>
    <w:rPr>
      <w:b/>
      <w:color w:val="202C47" w:themeColor="text2"/>
      <w:sz w:val="28"/>
    </w:rPr>
  </w:style>
  <w:style w:type="paragraph" w:customStyle="1" w:styleId="PullOutBoxNumber">
    <w:name w:val="Pull Out Box Number"/>
    <w:basedOn w:val="PullOutBoxBodyText"/>
    <w:uiPriority w:val="99"/>
    <w:qFormat/>
    <w:rsid w:val="00B65C22"/>
    <w:pPr>
      <w:numPr>
        <w:numId w:val="33"/>
      </w:numPr>
    </w:pPr>
  </w:style>
  <w:style w:type="paragraph" w:customStyle="1" w:styleId="PullOutBoxNumber2">
    <w:name w:val="Pull Out Box Number 2"/>
    <w:basedOn w:val="PullOutBoxBodyText"/>
    <w:uiPriority w:val="99"/>
    <w:qFormat/>
    <w:rsid w:val="00B65C22"/>
    <w:pPr>
      <w:numPr>
        <w:ilvl w:val="1"/>
        <w:numId w:val="33"/>
      </w:numPr>
    </w:pPr>
  </w:style>
  <w:style w:type="paragraph" w:customStyle="1" w:styleId="PullOutBoxNumber3">
    <w:name w:val="Pull Out Box Number 3"/>
    <w:basedOn w:val="PullOutBoxBodyText"/>
    <w:uiPriority w:val="99"/>
    <w:qFormat/>
    <w:rsid w:val="00B65C22"/>
    <w:pPr>
      <w:numPr>
        <w:ilvl w:val="2"/>
        <w:numId w:val="33"/>
      </w:numPr>
    </w:pPr>
  </w:style>
  <w:style w:type="paragraph" w:customStyle="1" w:styleId="QuoteBullet">
    <w:name w:val="Quote Bullet"/>
    <w:basedOn w:val="Quote"/>
    <w:qFormat/>
    <w:rsid w:val="00B65C22"/>
    <w:pPr>
      <w:numPr>
        <w:numId w:val="35"/>
      </w:numPr>
    </w:pPr>
  </w:style>
  <w:style w:type="paragraph" w:styleId="Quote">
    <w:name w:val="Quote"/>
    <w:basedOn w:val="Normal"/>
    <w:link w:val="QuoteChar"/>
    <w:qFormat/>
    <w:rsid w:val="00B65C22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B65C22"/>
    <w:rPr>
      <w:i/>
      <w:iCs/>
    </w:rPr>
  </w:style>
  <w:style w:type="paragraph" w:customStyle="1" w:styleId="QuoteBullet2">
    <w:name w:val="Quote Bullet 2"/>
    <w:basedOn w:val="Quote"/>
    <w:qFormat/>
    <w:rsid w:val="00B65C22"/>
    <w:pPr>
      <w:numPr>
        <w:ilvl w:val="1"/>
        <w:numId w:val="35"/>
      </w:numPr>
      <w:tabs>
        <w:tab w:val="clear" w:pos="1134"/>
      </w:tabs>
    </w:pPr>
  </w:style>
  <w:style w:type="paragraph" w:customStyle="1" w:styleId="TableHeadingRight">
    <w:name w:val="Table Heading Right"/>
    <w:basedOn w:val="TableHeading"/>
    <w:qFormat/>
    <w:rsid w:val="00B65C22"/>
    <w:pPr>
      <w:jc w:val="right"/>
    </w:pPr>
  </w:style>
  <w:style w:type="paragraph" w:customStyle="1" w:styleId="TableTextBold">
    <w:name w:val="Table Text Bold"/>
    <w:basedOn w:val="TableText"/>
    <w:semiHidden/>
    <w:qFormat/>
    <w:rsid w:val="00B65C22"/>
    <w:rPr>
      <w:b/>
    </w:rPr>
  </w:style>
  <w:style w:type="paragraph" w:customStyle="1" w:styleId="TableTextBullet2">
    <w:name w:val="Table Text Bullet 2"/>
    <w:basedOn w:val="Normal"/>
    <w:qFormat/>
    <w:rsid w:val="00B65C22"/>
    <w:pPr>
      <w:numPr>
        <w:ilvl w:val="1"/>
        <w:numId w:val="37"/>
      </w:numPr>
      <w:spacing w:before="70" w:after="70" w:line="260" w:lineRule="atLeast"/>
      <w:ind w:right="113"/>
    </w:pPr>
    <w:rPr>
      <w:rFonts w:cs="Times New Roman"/>
      <w:bCs/>
      <w:sz w:val="20"/>
    </w:rPr>
  </w:style>
  <w:style w:type="paragraph" w:customStyle="1" w:styleId="TableTextBullet3">
    <w:name w:val="Table Text Bullet 3"/>
    <w:basedOn w:val="TableTextBullet2"/>
    <w:qFormat/>
    <w:rsid w:val="00B65C22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qFormat/>
    <w:rsid w:val="00B65C22"/>
    <w:pPr>
      <w:numPr>
        <w:numId w:val="40"/>
      </w:numPr>
    </w:pPr>
  </w:style>
  <w:style w:type="paragraph" w:customStyle="1" w:styleId="TableTextNumber2">
    <w:name w:val="Table Text Number 2"/>
    <w:basedOn w:val="TableTextNumber"/>
    <w:qFormat/>
    <w:rsid w:val="00B65C22"/>
    <w:pPr>
      <w:numPr>
        <w:ilvl w:val="1"/>
      </w:numPr>
    </w:pPr>
  </w:style>
  <w:style w:type="paragraph" w:customStyle="1" w:styleId="TableTextNumber3">
    <w:name w:val="Table Text Number 3"/>
    <w:basedOn w:val="TableTextNumber2"/>
    <w:qFormat/>
    <w:rsid w:val="00B65C2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B65C22"/>
    <w:pPr>
      <w:jc w:val="right"/>
    </w:pPr>
  </w:style>
  <w:style w:type="paragraph" w:customStyle="1" w:styleId="Heading1NoNumbering">
    <w:name w:val="Heading 1 No Numbering"/>
    <w:basedOn w:val="Heading1"/>
    <w:qFormat/>
    <w:rsid w:val="00B65C22"/>
    <w:pPr>
      <w:numPr>
        <w:numId w:val="0"/>
      </w:numPr>
    </w:pPr>
  </w:style>
  <w:style w:type="character" w:customStyle="1" w:styleId="Heading4Char">
    <w:name w:val="Heading 4 Char"/>
    <w:basedOn w:val="DefaultParagraphFont"/>
    <w:link w:val="Heading4"/>
    <w:rsid w:val="00B65C22"/>
    <w:rPr>
      <w:rFonts w:eastAsiaTheme="majorEastAsia" w:cstheme="majorBidi"/>
      <w:b/>
      <w:bCs/>
      <w:i/>
      <w:iCs/>
      <w:color w:val="202C47" w:themeColor="text2"/>
      <w:sz w:val="24"/>
    </w:rPr>
  </w:style>
  <w:style w:type="character" w:customStyle="1" w:styleId="Heading5Char">
    <w:name w:val="Heading 5 Char"/>
    <w:basedOn w:val="DefaultParagraphFont"/>
    <w:link w:val="Heading5"/>
    <w:rsid w:val="00B65C22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rsid w:val="00B65C22"/>
    <w:rPr>
      <w:rFonts w:asciiTheme="majorHAnsi" w:eastAsiaTheme="majorEastAsia" w:hAnsiTheme="majorHAnsi" w:cstheme="majorBidi"/>
      <w:i/>
      <w:iCs/>
      <w:color w:val="202C47" w:themeColor="text2"/>
      <w:sz w:val="24"/>
    </w:rPr>
  </w:style>
  <w:style w:type="paragraph" w:styleId="ListNumber">
    <w:name w:val="List Number"/>
    <w:basedOn w:val="Normal"/>
    <w:qFormat/>
    <w:rsid w:val="00B65C22"/>
    <w:pPr>
      <w:numPr>
        <w:numId w:val="27"/>
      </w:numPr>
      <w:spacing w:before="113" w:after="113"/>
    </w:pPr>
    <w:rPr>
      <w:spacing w:val="-1"/>
    </w:rPr>
  </w:style>
  <w:style w:type="paragraph" w:styleId="ListBullet2">
    <w:name w:val="List Bullet 2"/>
    <w:basedOn w:val="ListBullet"/>
    <w:semiHidden/>
    <w:unhideWhenUsed/>
    <w:qFormat/>
    <w:rsid w:val="00B65C22"/>
    <w:pPr>
      <w:numPr>
        <w:ilvl w:val="1"/>
      </w:numPr>
    </w:pPr>
  </w:style>
  <w:style w:type="paragraph" w:styleId="ListNumber2">
    <w:name w:val="List Number 2"/>
    <w:basedOn w:val="Normal"/>
    <w:qFormat/>
    <w:rsid w:val="00B65C22"/>
    <w:pPr>
      <w:numPr>
        <w:ilvl w:val="1"/>
        <w:numId w:val="27"/>
      </w:numPr>
      <w:spacing w:before="113" w:after="113"/>
    </w:pPr>
    <w:rPr>
      <w:spacing w:val="-1"/>
    </w:rPr>
  </w:style>
  <w:style w:type="paragraph" w:styleId="ListNumber3">
    <w:name w:val="List Number 3"/>
    <w:basedOn w:val="Normal"/>
    <w:qFormat/>
    <w:rsid w:val="00B65C22"/>
    <w:pPr>
      <w:numPr>
        <w:ilvl w:val="2"/>
        <w:numId w:val="27"/>
      </w:numPr>
      <w:spacing w:before="113" w:after="113"/>
    </w:pPr>
    <w:rPr>
      <w:spacing w:val="-1"/>
    </w:rPr>
  </w:style>
  <w:style w:type="paragraph" w:styleId="ListContinue">
    <w:name w:val="List Continue"/>
    <w:basedOn w:val="Normal"/>
    <w:semiHidden/>
    <w:qFormat/>
    <w:rsid w:val="00B65C22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B65C22"/>
    <w:pPr>
      <w:spacing w:before="220" w:after="220"/>
      <w:ind w:left="680"/>
    </w:pPr>
  </w:style>
  <w:style w:type="paragraph" w:styleId="ListParagraph">
    <w:name w:val="List Paragraph"/>
    <w:basedOn w:val="Normal"/>
    <w:uiPriority w:val="72"/>
    <w:qFormat/>
    <w:rsid w:val="00B65C22"/>
    <w:pPr>
      <w:ind w:left="720"/>
      <w:contextualSpacing/>
    </w:pPr>
    <w:rPr>
      <w:rFonts w:ascii="Cambria" w:eastAsia="Cambria" w:hAnsi="Cambria" w:cs="Times New Roman"/>
    </w:rPr>
  </w:style>
  <w:style w:type="paragraph" w:styleId="Bibliography">
    <w:name w:val="Bibliography"/>
    <w:basedOn w:val="Normal"/>
    <w:next w:val="Normal"/>
    <w:uiPriority w:val="37"/>
    <w:semiHidden/>
    <w:unhideWhenUsed/>
    <w:rsid w:val="00D12CAB"/>
  </w:style>
  <w:style w:type="paragraph" w:styleId="BlockText">
    <w:name w:val="Block Text"/>
    <w:basedOn w:val="Normal"/>
    <w:uiPriority w:val="99"/>
    <w:semiHidden/>
    <w:unhideWhenUsed/>
    <w:rsid w:val="00D12CAB"/>
    <w:pPr>
      <w:pBdr>
        <w:top w:val="single" w:sz="2" w:space="10" w:color="8D487F" w:themeColor="accent1" w:shadow="1" w:frame="1"/>
        <w:left w:val="single" w:sz="2" w:space="10" w:color="8D487F" w:themeColor="accent1" w:shadow="1" w:frame="1"/>
        <w:bottom w:val="single" w:sz="2" w:space="10" w:color="8D487F" w:themeColor="accent1" w:shadow="1" w:frame="1"/>
        <w:right w:val="single" w:sz="2" w:space="10" w:color="8D487F" w:themeColor="accent1" w:shadow="1" w:frame="1"/>
      </w:pBdr>
      <w:ind w:left="1152" w:right="1152"/>
    </w:pPr>
    <w:rPr>
      <w:rFonts w:eastAsiaTheme="minorEastAsia"/>
      <w:i/>
      <w:iCs/>
      <w:color w:val="8D487F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12C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2CAB"/>
  </w:style>
  <w:style w:type="paragraph" w:styleId="BodyText3">
    <w:name w:val="Body Text 3"/>
    <w:basedOn w:val="Normal"/>
    <w:link w:val="BodyText3Char"/>
    <w:uiPriority w:val="99"/>
    <w:semiHidden/>
    <w:unhideWhenUsed/>
    <w:rsid w:val="00D12CA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2CA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12CAB"/>
    <w:pPr>
      <w:spacing w:before="0" w:after="0"/>
      <w:ind w:firstLine="360"/>
    </w:pPr>
    <w:rPr>
      <w:spacing w:val="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12CAB"/>
    <w:rPr>
      <w:spacing w:val="-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CA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CA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12CA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12CA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12CA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12CA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12CA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12CAB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12CA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12CAB"/>
  </w:style>
  <w:style w:type="paragraph" w:styleId="CommentText">
    <w:name w:val="annotation text"/>
    <w:basedOn w:val="Normal"/>
    <w:link w:val="CommentTextChar"/>
    <w:uiPriority w:val="99"/>
    <w:semiHidden/>
    <w:unhideWhenUsed/>
    <w:rsid w:val="00D12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C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CA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2CAB"/>
  </w:style>
  <w:style w:type="character" w:customStyle="1" w:styleId="DateChar">
    <w:name w:val="Date Char"/>
    <w:basedOn w:val="DefaultParagraphFont"/>
    <w:link w:val="Date"/>
    <w:uiPriority w:val="99"/>
    <w:semiHidden/>
    <w:rsid w:val="00D12CAB"/>
  </w:style>
  <w:style w:type="paragraph" w:styleId="DocumentMap">
    <w:name w:val="Document Map"/>
    <w:basedOn w:val="Normal"/>
    <w:link w:val="DocumentMapChar"/>
    <w:uiPriority w:val="99"/>
    <w:semiHidden/>
    <w:unhideWhenUsed/>
    <w:rsid w:val="00D12C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12CA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12CA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12CAB"/>
  </w:style>
  <w:style w:type="paragraph" w:styleId="EnvelopeAddress">
    <w:name w:val="envelope address"/>
    <w:basedOn w:val="Normal"/>
    <w:uiPriority w:val="99"/>
    <w:semiHidden/>
    <w:unhideWhenUsed/>
    <w:rsid w:val="00D12CA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12CA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CAB"/>
    <w:rPr>
      <w:rFonts w:asciiTheme="majorHAnsi" w:eastAsiaTheme="majorEastAsia" w:hAnsiTheme="majorHAnsi" w:cstheme="majorBidi"/>
      <w:i/>
      <w:iCs/>
      <w:color w:val="3F578D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CAB"/>
    <w:rPr>
      <w:rFonts w:asciiTheme="majorHAnsi" w:eastAsiaTheme="majorEastAsia" w:hAnsiTheme="majorHAnsi" w:cstheme="majorBidi"/>
      <w:color w:val="3F578D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CAB"/>
    <w:rPr>
      <w:rFonts w:asciiTheme="majorHAnsi" w:eastAsiaTheme="majorEastAsia" w:hAnsiTheme="majorHAnsi" w:cstheme="majorBidi"/>
      <w:i/>
      <w:iCs/>
      <w:color w:val="3F578D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12CA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12CA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2CA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2CA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12CA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12CA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12CA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12CA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12CA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12CA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12CA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12CA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12CA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12CA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D12CAB"/>
    <w:pPr>
      <w:pBdr>
        <w:bottom w:val="single" w:sz="4" w:space="4" w:color="8D487F" w:themeColor="accent1"/>
      </w:pBdr>
      <w:spacing w:before="200" w:after="280"/>
      <w:ind w:left="936" w:right="936"/>
    </w:pPr>
    <w:rPr>
      <w:b/>
      <w:bCs/>
      <w:i/>
      <w:iCs/>
      <w:color w:val="8D48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CAB"/>
    <w:rPr>
      <w:b/>
      <w:bCs/>
      <w:i/>
      <w:iCs/>
      <w:color w:val="8D487F" w:themeColor="accent1"/>
    </w:rPr>
  </w:style>
  <w:style w:type="paragraph" w:styleId="List">
    <w:name w:val="List"/>
    <w:basedOn w:val="Normal"/>
    <w:uiPriority w:val="99"/>
    <w:semiHidden/>
    <w:unhideWhenUsed/>
    <w:rsid w:val="00D12CA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12CA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12CA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12CA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12CAB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D12CAB"/>
    <w:pPr>
      <w:numPr>
        <w:numId w:val="4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12CAB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12CAB"/>
    <w:pPr>
      <w:numPr>
        <w:numId w:val="43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12CA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12CA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12CAB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unhideWhenUsed/>
    <w:rsid w:val="00D12CAB"/>
    <w:pPr>
      <w:numPr>
        <w:numId w:val="4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12CAB"/>
    <w:pPr>
      <w:numPr>
        <w:numId w:val="4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12C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12CA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12C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12CA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rsid w:val="00D12CAB"/>
    <w:pPr>
      <w:spacing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D12CA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12CA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12CAB"/>
  </w:style>
  <w:style w:type="paragraph" w:styleId="PlainText">
    <w:name w:val="Plain Text"/>
    <w:basedOn w:val="Normal"/>
    <w:link w:val="PlainTextChar"/>
    <w:uiPriority w:val="99"/>
    <w:semiHidden/>
    <w:unhideWhenUsed/>
    <w:rsid w:val="00D12CA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2CA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12CA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12CAB"/>
  </w:style>
  <w:style w:type="paragraph" w:styleId="Signature">
    <w:name w:val="Signature"/>
    <w:basedOn w:val="Normal"/>
    <w:link w:val="SignatureChar"/>
    <w:uiPriority w:val="99"/>
    <w:semiHidden/>
    <w:unhideWhenUsed/>
    <w:rsid w:val="00D12CA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12CAB"/>
  </w:style>
  <w:style w:type="paragraph" w:styleId="Subtitle">
    <w:name w:val="Subtitle"/>
    <w:basedOn w:val="Normal"/>
    <w:next w:val="Normal"/>
    <w:link w:val="SubtitleChar"/>
    <w:uiPriority w:val="11"/>
    <w:rsid w:val="00D12CAB"/>
    <w:pPr>
      <w:numPr>
        <w:ilvl w:val="1"/>
      </w:numPr>
    </w:pPr>
    <w:rPr>
      <w:rFonts w:asciiTheme="majorHAnsi" w:eastAsiaTheme="majorEastAsia" w:hAnsiTheme="majorHAnsi" w:cstheme="majorBidi"/>
      <w:i/>
      <w:iCs/>
      <w:color w:val="8D487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2CAB"/>
    <w:rPr>
      <w:rFonts w:asciiTheme="majorHAnsi" w:eastAsiaTheme="majorEastAsia" w:hAnsiTheme="majorHAnsi" w:cstheme="majorBidi"/>
      <w:i/>
      <w:iCs/>
      <w:color w:val="8D487F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12CA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12CAB"/>
  </w:style>
  <w:style w:type="paragraph" w:styleId="Title">
    <w:name w:val="Title"/>
    <w:basedOn w:val="Normal"/>
    <w:next w:val="Normal"/>
    <w:link w:val="TitleChar"/>
    <w:uiPriority w:val="10"/>
    <w:rsid w:val="00D12CAB"/>
    <w:pPr>
      <w:pBdr>
        <w:bottom w:val="single" w:sz="8" w:space="4" w:color="8D487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203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2CAB"/>
    <w:rPr>
      <w:rFonts w:asciiTheme="majorHAnsi" w:eastAsiaTheme="majorEastAsia" w:hAnsiTheme="majorHAnsi" w:cstheme="majorBidi"/>
      <w:color w:val="182035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D12CA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12CA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12CA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12CA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12CA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12CA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12CA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12CA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12CA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12CA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rsid w:val="00D12CAB"/>
    <w:pPr>
      <w:numPr>
        <w:numId w:val="0"/>
      </w:numPr>
      <w:tabs>
        <w:tab w:val="clear" w:pos="1418"/>
        <w:tab w:val="clear" w:pos="1701"/>
        <w:tab w:val="clear" w:pos="1985"/>
      </w:tabs>
      <w:spacing w:after="0" w:line="300" w:lineRule="atLeast"/>
      <w:outlineLvl w:val="9"/>
    </w:pPr>
    <w:rPr>
      <w:rFonts w:eastAsiaTheme="majorEastAsia" w:cstheme="majorBidi"/>
      <w:b/>
      <w:color w:val="69365E" w:themeColor="accent1" w:themeShade="BF"/>
      <w:spacing w:val="0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 w:qFormat="1"/>
    <w:lsdException w:name="List Number" w:uiPriority="0" w:qFormat="1"/>
    <w:lsdException w:name="List Bullet 2" w:uiPriority="0" w:qFormat="1"/>
    <w:lsdException w:name="List Number 2" w:uiPriority="0" w:qFormat="1"/>
    <w:lsdException w:name="List Number 3" w:uiPriority="0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List Continue" w:uiPriority="0" w:qFormat="1"/>
    <w:lsdException w:name="List Continue 2" w:uiPriority="0" w:qFormat="1"/>
    <w:lsdException w:name="Subtitle" w:semiHidden="0" w:uiPriority="11" w:unhideWhenUsed="0"/>
    <w:lsdException w:name="Strong" w:uiPriority="0" w:unhideWhenUsed="0" w:qFormat="1"/>
    <w:lsdException w:name="Emphasis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0" w:unhideWhenUsed="0" w:qFormat="1"/>
    <w:lsdException w:name="Intense Emphasis" w:uiPriority="0" w:unhideWhenUsed="0" w:qFormat="1"/>
    <w:lsdException w:name="Subtle Reference" w:uiPriority="0" w:unhideWhenUsed="0" w:qFormat="1"/>
    <w:lsdException w:name="Intense Reference" w:uiPriority="0" w:unhideWhenUsed="0" w:qFormat="1"/>
    <w:lsdException w:name="Book Title" w:uiPriority="0" w:unhideWhenUsed="0" w:qFormat="1"/>
    <w:lsdException w:name="Bibliography" w:uiPriority="37"/>
    <w:lsdException w:name="TOC Heading" w:uiPriority="39"/>
  </w:latentStyles>
  <w:style w:type="paragraph" w:default="1" w:styleId="Normal">
    <w:name w:val="Normal"/>
    <w:qFormat/>
    <w:rsid w:val="00B65C22"/>
  </w:style>
  <w:style w:type="paragraph" w:styleId="Heading1">
    <w:name w:val="heading 1"/>
    <w:basedOn w:val="Normal"/>
    <w:next w:val="BodyText"/>
    <w:link w:val="Heading1Char"/>
    <w:qFormat/>
    <w:rsid w:val="00B65C22"/>
    <w:pPr>
      <w:keepNext/>
      <w:keepLines/>
      <w:numPr>
        <w:numId w:val="18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Theme="majorHAnsi" w:hAnsiTheme="majorHAnsi"/>
      <w:bCs/>
      <w:color w:val="202C47" w:themeColor="text2"/>
      <w:spacing w:val="-6"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qFormat/>
    <w:rsid w:val="00B65C22"/>
    <w:pPr>
      <w:keepNext/>
      <w:keepLines/>
      <w:numPr>
        <w:ilvl w:val="1"/>
        <w:numId w:val="18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02C47" w:themeColor="text2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B65C22"/>
    <w:pPr>
      <w:keepNext/>
      <w:keepLines/>
      <w:tabs>
        <w:tab w:val="left" w:pos="1418"/>
        <w:tab w:val="left" w:pos="1701"/>
        <w:tab w:val="left" w:pos="1985"/>
      </w:tabs>
      <w:spacing w:before="470" w:after="227"/>
      <w:ind w:left="765" w:hanging="765"/>
      <w:outlineLvl w:val="2"/>
    </w:pPr>
    <w:rPr>
      <w:b/>
      <w:color w:val="202C47" w:themeColor="text2"/>
      <w:sz w:val="28"/>
    </w:rPr>
  </w:style>
  <w:style w:type="paragraph" w:styleId="Heading4">
    <w:name w:val="heading 4"/>
    <w:basedOn w:val="Normal"/>
    <w:next w:val="BodyText"/>
    <w:link w:val="Heading4Char"/>
    <w:qFormat/>
    <w:rsid w:val="00B65C22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/>
      <w:bCs/>
      <w:i/>
      <w:iCs/>
      <w:color w:val="202C47" w:themeColor="text2"/>
      <w:sz w:val="24"/>
    </w:rPr>
  </w:style>
  <w:style w:type="paragraph" w:styleId="Heading5">
    <w:name w:val="heading 5"/>
    <w:basedOn w:val="Normal"/>
    <w:next w:val="BodyText"/>
    <w:link w:val="Heading5Char"/>
    <w:qFormat/>
    <w:rsid w:val="00B65C22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qFormat/>
    <w:rsid w:val="00B65C22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202C47" w:themeColor="text2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12CA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3F578D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12CA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F578D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12CA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F578D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26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6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BodyText"/>
    <w:qFormat/>
    <w:rsid w:val="00723F4C"/>
    <w:pPr>
      <w:keepNext/>
      <w:spacing w:before="340"/>
    </w:pPr>
    <w:rPr>
      <w:b/>
      <w:bCs/>
      <w:color w:val="202C47" w:themeColor="text2"/>
      <w:spacing w:val="-4"/>
    </w:rPr>
  </w:style>
  <w:style w:type="character" w:styleId="FootnoteReference">
    <w:name w:val="footnote reference"/>
    <w:basedOn w:val="DefaultParagraphFont"/>
    <w:uiPriority w:val="99"/>
    <w:unhideWhenUsed/>
    <w:rsid w:val="00F44F0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B65C22"/>
    <w:rPr>
      <w:rFonts w:asciiTheme="majorHAnsi" w:hAnsiTheme="majorHAnsi"/>
      <w:bCs/>
      <w:iCs/>
      <w:color w:val="202C47" w:themeColor="text2"/>
      <w:kern w:val="20"/>
      <w:sz w:val="32"/>
      <w:szCs w:val="28"/>
    </w:rPr>
  </w:style>
  <w:style w:type="character" w:customStyle="1" w:styleId="Heading1Char">
    <w:name w:val="Heading 1 Char"/>
    <w:basedOn w:val="DefaultParagraphFont"/>
    <w:link w:val="Heading1"/>
    <w:rsid w:val="00B65C22"/>
    <w:rPr>
      <w:rFonts w:asciiTheme="majorHAnsi" w:hAnsiTheme="majorHAnsi"/>
      <w:bCs/>
      <w:color w:val="202C47" w:themeColor="text2"/>
      <w:spacing w:val="-6"/>
      <w:kern w:val="32"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696A4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A4E"/>
  </w:style>
  <w:style w:type="paragraph" w:styleId="Footer">
    <w:name w:val="footer"/>
    <w:basedOn w:val="Normal"/>
    <w:link w:val="FooterChar"/>
    <w:uiPriority w:val="99"/>
    <w:unhideWhenUsed/>
    <w:rsid w:val="00696A4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A4E"/>
  </w:style>
  <w:style w:type="paragraph" w:styleId="ListBullet">
    <w:name w:val="List Bullet"/>
    <w:basedOn w:val="Normal"/>
    <w:semiHidden/>
    <w:unhideWhenUsed/>
    <w:qFormat/>
    <w:rsid w:val="00B65C22"/>
    <w:pPr>
      <w:keepLines/>
      <w:numPr>
        <w:numId w:val="23"/>
      </w:numPr>
      <w:spacing w:after="113"/>
    </w:pPr>
    <w:rPr>
      <w:spacing w:val="-1"/>
    </w:rPr>
  </w:style>
  <w:style w:type="paragraph" w:styleId="FootnoteText">
    <w:name w:val="footnote text"/>
    <w:basedOn w:val="Normal"/>
    <w:link w:val="FootnoteTextChar"/>
    <w:uiPriority w:val="99"/>
    <w:unhideWhenUsed/>
    <w:rsid w:val="001634A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34A1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F4480"/>
    <w:rPr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4480"/>
    <w:rPr>
      <w:color w:val="000000"/>
      <w:u w:val="single"/>
    </w:rPr>
  </w:style>
  <w:style w:type="paragraph" w:customStyle="1" w:styleId="xl64">
    <w:name w:val="xl64"/>
    <w:basedOn w:val="Normal"/>
    <w:rsid w:val="000F448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en-AU"/>
    </w:rPr>
  </w:style>
  <w:style w:type="paragraph" w:customStyle="1" w:styleId="xl65">
    <w:name w:val="xl65"/>
    <w:basedOn w:val="Normal"/>
    <w:rsid w:val="000F44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0F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0">
    <w:name w:val="xl70"/>
    <w:basedOn w:val="Normal"/>
    <w:rsid w:val="000F44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0F448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en-AU"/>
    </w:rPr>
  </w:style>
  <w:style w:type="paragraph" w:customStyle="1" w:styleId="xl75">
    <w:name w:val="xl75"/>
    <w:basedOn w:val="Normal"/>
    <w:rsid w:val="000F448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en-AU"/>
    </w:rPr>
  </w:style>
  <w:style w:type="paragraph" w:customStyle="1" w:styleId="xl76">
    <w:name w:val="xl76"/>
    <w:basedOn w:val="Normal"/>
    <w:rsid w:val="000F4480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en-AU"/>
    </w:rPr>
  </w:style>
  <w:style w:type="paragraph" w:customStyle="1" w:styleId="xl77">
    <w:name w:val="xl77"/>
    <w:basedOn w:val="Normal"/>
    <w:rsid w:val="000F448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D0D0D"/>
      <w:sz w:val="24"/>
      <w:szCs w:val="24"/>
      <w:lang w:eastAsia="en-AU"/>
    </w:rPr>
  </w:style>
  <w:style w:type="paragraph" w:customStyle="1" w:styleId="xl79">
    <w:name w:val="xl79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0F44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en-AU"/>
    </w:rPr>
  </w:style>
  <w:style w:type="paragraph" w:customStyle="1" w:styleId="xl82">
    <w:name w:val="xl82"/>
    <w:basedOn w:val="Normal"/>
    <w:rsid w:val="000F4480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en-AU"/>
    </w:rPr>
  </w:style>
  <w:style w:type="paragraph" w:customStyle="1" w:styleId="xl83">
    <w:name w:val="xl83"/>
    <w:basedOn w:val="Normal"/>
    <w:rsid w:val="000F44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4">
    <w:name w:val="xl84"/>
    <w:basedOn w:val="Normal"/>
    <w:rsid w:val="000F44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AU"/>
    </w:rPr>
  </w:style>
  <w:style w:type="paragraph" w:customStyle="1" w:styleId="xl85">
    <w:name w:val="xl85"/>
    <w:basedOn w:val="Normal"/>
    <w:rsid w:val="000F448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6">
    <w:name w:val="xl86"/>
    <w:basedOn w:val="Normal"/>
    <w:rsid w:val="000F44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D0D0D"/>
      <w:sz w:val="24"/>
      <w:szCs w:val="24"/>
      <w:lang w:eastAsia="en-AU"/>
    </w:rPr>
  </w:style>
  <w:style w:type="paragraph" w:customStyle="1" w:styleId="xl87">
    <w:name w:val="xl87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8">
    <w:name w:val="xl88"/>
    <w:basedOn w:val="Normal"/>
    <w:rsid w:val="000F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AU"/>
    </w:rPr>
  </w:style>
  <w:style w:type="paragraph" w:customStyle="1" w:styleId="xl89">
    <w:name w:val="xl89"/>
    <w:basedOn w:val="Normal"/>
    <w:rsid w:val="000F44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0">
    <w:name w:val="xl90"/>
    <w:basedOn w:val="Normal"/>
    <w:rsid w:val="000F44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1">
    <w:name w:val="xl91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92">
    <w:name w:val="xl92"/>
    <w:basedOn w:val="Normal"/>
    <w:rsid w:val="000F4480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0F448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unhideWhenUsed/>
    <w:rsid w:val="00385B53"/>
    <w:pPr>
      <w:spacing w:line="240" w:lineRule="auto"/>
      <w:ind w:left="568" w:hanging="284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85B5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5B53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65C22"/>
    <w:rPr>
      <w:b/>
      <w:color w:val="202C47" w:themeColor="text2"/>
      <w:sz w:val="28"/>
    </w:rPr>
  </w:style>
  <w:style w:type="paragraph" w:customStyle="1" w:styleId="TableHeading">
    <w:name w:val="Table Heading"/>
    <w:basedOn w:val="Normal"/>
    <w:qFormat/>
    <w:rsid w:val="00B65C22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B65C22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B65C22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B65C22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qFormat/>
    <w:rsid w:val="00B65C22"/>
    <w:pPr>
      <w:spacing w:before="113" w:after="113"/>
    </w:pPr>
    <w:rPr>
      <w:spacing w:val="-1"/>
    </w:rPr>
  </w:style>
  <w:style w:type="character" w:customStyle="1" w:styleId="BodyTextChar">
    <w:name w:val="Body Text Char"/>
    <w:basedOn w:val="DefaultParagraphFont"/>
    <w:link w:val="BodyText"/>
    <w:rsid w:val="00B65C22"/>
    <w:rPr>
      <w:spacing w:val="-1"/>
    </w:rPr>
  </w:style>
  <w:style w:type="paragraph" w:styleId="NormalWeb">
    <w:name w:val="Normal (Web)"/>
    <w:basedOn w:val="Normal"/>
    <w:uiPriority w:val="99"/>
    <w:semiHidden/>
    <w:unhideWhenUsed/>
    <w:rsid w:val="00CF0C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BodyText17ptAbove">
    <w:name w:val="Body Text 17pt Above"/>
    <w:basedOn w:val="BodyText"/>
    <w:next w:val="BodyText"/>
    <w:qFormat/>
    <w:rsid w:val="00B65C22"/>
    <w:pPr>
      <w:spacing w:before="340"/>
    </w:pPr>
    <w:rPr>
      <w:rFonts w:cs="Times New Roman"/>
    </w:rPr>
  </w:style>
  <w:style w:type="paragraph" w:customStyle="1" w:styleId="HighlightText">
    <w:name w:val="Highlight Text"/>
    <w:basedOn w:val="Normal"/>
    <w:qFormat/>
    <w:rsid w:val="00B65C22"/>
    <w:pPr>
      <w:spacing w:before="120" w:after="420"/>
    </w:pPr>
    <w:rPr>
      <w:i/>
      <w:color w:val="202C47" w:themeColor="text2"/>
      <w:spacing w:val="-1"/>
    </w:rPr>
  </w:style>
  <w:style w:type="paragraph" w:customStyle="1" w:styleId="Introduction">
    <w:name w:val="Introduction"/>
    <w:basedOn w:val="Normal"/>
    <w:next w:val="BodyText"/>
    <w:qFormat/>
    <w:rsid w:val="00B65C22"/>
    <w:pPr>
      <w:spacing w:after="180" w:line="360" w:lineRule="atLeast"/>
    </w:pPr>
    <w:rPr>
      <w:color w:val="202C47" w:themeColor="text2"/>
      <w:spacing w:val="-2"/>
      <w:sz w:val="30"/>
    </w:rPr>
  </w:style>
  <w:style w:type="paragraph" w:customStyle="1" w:styleId="PullOutBoxBodyText">
    <w:name w:val="Pull Out Box Body Text"/>
    <w:basedOn w:val="Normal"/>
    <w:qFormat/>
    <w:rsid w:val="00B65C22"/>
    <w:pPr>
      <w:spacing w:before="113" w:after="113"/>
      <w:ind w:left="227" w:right="170"/>
    </w:pPr>
    <w:rPr>
      <w:spacing w:val="-1"/>
    </w:rPr>
  </w:style>
  <w:style w:type="paragraph" w:customStyle="1" w:styleId="PullOutBoxBullet">
    <w:name w:val="Pull Out Box Bullet"/>
    <w:basedOn w:val="PullOutBoxBodyText"/>
    <w:qFormat/>
    <w:rsid w:val="00B65C22"/>
    <w:pPr>
      <w:numPr>
        <w:numId w:val="30"/>
      </w:numPr>
    </w:pPr>
  </w:style>
  <w:style w:type="paragraph" w:customStyle="1" w:styleId="PullOutBoxBullet2">
    <w:name w:val="Pull Out Box Bullet 2"/>
    <w:basedOn w:val="PullOutBoxBodyText"/>
    <w:qFormat/>
    <w:rsid w:val="00B65C22"/>
    <w:pPr>
      <w:numPr>
        <w:ilvl w:val="1"/>
        <w:numId w:val="30"/>
      </w:numPr>
    </w:pPr>
  </w:style>
  <w:style w:type="paragraph" w:customStyle="1" w:styleId="PullOutBoxBullet3">
    <w:name w:val="Pull Out Box Bullet 3"/>
    <w:basedOn w:val="PullOutBoxBodyText"/>
    <w:qFormat/>
    <w:rsid w:val="00B65C22"/>
    <w:pPr>
      <w:numPr>
        <w:ilvl w:val="2"/>
        <w:numId w:val="30"/>
      </w:numPr>
    </w:pPr>
  </w:style>
  <w:style w:type="paragraph" w:customStyle="1" w:styleId="PullOutBoxHeading">
    <w:name w:val="Pull Out Box Heading"/>
    <w:basedOn w:val="PullOutBoxBodyText"/>
    <w:qFormat/>
    <w:rsid w:val="00B65C22"/>
    <w:pPr>
      <w:keepNext/>
      <w:keepLines/>
      <w:spacing w:before="114" w:after="114" w:line="360" w:lineRule="atLeast"/>
    </w:pPr>
    <w:rPr>
      <w:b/>
      <w:color w:val="202C47" w:themeColor="text2"/>
      <w:sz w:val="28"/>
    </w:rPr>
  </w:style>
  <w:style w:type="paragraph" w:customStyle="1" w:styleId="PullOutBoxNumber">
    <w:name w:val="Pull Out Box Number"/>
    <w:basedOn w:val="PullOutBoxBodyText"/>
    <w:uiPriority w:val="99"/>
    <w:qFormat/>
    <w:rsid w:val="00B65C22"/>
    <w:pPr>
      <w:numPr>
        <w:numId w:val="33"/>
      </w:numPr>
    </w:pPr>
  </w:style>
  <w:style w:type="paragraph" w:customStyle="1" w:styleId="PullOutBoxNumber2">
    <w:name w:val="Pull Out Box Number 2"/>
    <w:basedOn w:val="PullOutBoxBodyText"/>
    <w:uiPriority w:val="99"/>
    <w:qFormat/>
    <w:rsid w:val="00B65C22"/>
    <w:pPr>
      <w:numPr>
        <w:ilvl w:val="1"/>
        <w:numId w:val="33"/>
      </w:numPr>
    </w:pPr>
  </w:style>
  <w:style w:type="paragraph" w:customStyle="1" w:styleId="PullOutBoxNumber3">
    <w:name w:val="Pull Out Box Number 3"/>
    <w:basedOn w:val="PullOutBoxBodyText"/>
    <w:uiPriority w:val="99"/>
    <w:qFormat/>
    <w:rsid w:val="00B65C22"/>
    <w:pPr>
      <w:numPr>
        <w:ilvl w:val="2"/>
        <w:numId w:val="33"/>
      </w:numPr>
    </w:pPr>
  </w:style>
  <w:style w:type="paragraph" w:customStyle="1" w:styleId="QuoteBullet">
    <w:name w:val="Quote Bullet"/>
    <w:basedOn w:val="Quote"/>
    <w:qFormat/>
    <w:rsid w:val="00B65C22"/>
    <w:pPr>
      <w:numPr>
        <w:numId w:val="35"/>
      </w:numPr>
    </w:pPr>
  </w:style>
  <w:style w:type="paragraph" w:styleId="Quote">
    <w:name w:val="Quote"/>
    <w:basedOn w:val="Normal"/>
    <w:link w:val="QuoteChar"/>
    <w:qFormat/>
    <w:rsid w:val="00B65C22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B65C22"/>
    <w:rPr>
      <w:i/>
      <w:iCs/>
    </w:rPr>
  </w:style>
  <w:style w:type="paragraph" w:customStyle="1" w:styleId="QuoteBullet2">
    <w:name w:val="Quote Bullet 2"/>
    <w:basedOn w:val="Quote"/>
    <w:qFormat/>
    <w:rsid w:val="00B65C22"/>
    <w:pPr>
      <w:numPr>
        <w:ilvl w:val="1"/>
        <w:numId w:val="35"/>
      </w:numPr>
      <w:tabs>
        <w:tab w:val="clear" w:pos="1134"/>
      </w:tabs>
    </w:pPr>
  </w:style>
  <w:style w:type="paragraph" w:customStyle="1" w:styleId="TableHeadingRight">
    <w:name w:val="Table Heading Right"/>
    <w:basedOn w:val="TableHeading"/>
    <w:qFormat/>
    <w:rsid w:val="00B65C22"/>
    <w:pPr>
      <w:jc w:val="right"/>
    </w:pPr>
  </w:style>
  <w:style w:type="paragraph" w:customStyle="1" w:styleId="TableTextBold">
    <w:name w:val="Table Text Bold"/>
    <w:basedOn w:val="TableText"/>
    <w:semiHidden/>
    <w:qFormat/>
    <w:rsid w:val="00B65C22"/>
    <w:rPr>
      <w:b/>
    </w:rPr>
  </w:style>
  <w:style w:type="paragraph" w:customStyle="1" w:styleId="TableTextBullet2">
    <w:name w:val="Table Text Bullet 2"/>
    <w:basedOn w:val="Normal"/>
    <w:qFormat/>
    <w:rsid w:val="00B65C22"/>
    <w:pPr>
      <w:numPr>
        <w:ilvl w:val="1"/>
        <w:numId w:val="37"/>
      </w:numPr>
      <w:spacing w:before="70" w:after="70" w:line="260" w:lineRule="atLeast"/>
      <w:ind w:right="113"/>
    </w:pPr>
    <w:rPr>
      <w:rFonts w:cs="Times New Roman"/>
      <w:bCs/>
      <w:sz w:val="20"/>
    </w:rPr>
  </w:style>
  <w:style w:type="paragraph" w:customStyle="1" w:styleId="TableTextBullet3">
    <w:name w:val="Table Text Bullet 3"/>
    <w:basedOn w:val="TableTextBullet2"/>
    <w:qFormat/>
    <w:rsid w:val="00B65C22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qFormat/>
    <w:rsid w:val="00B65C22"/>
    <w:pPr>
      <w:numPr>
        <w:numId w:val="40"/>
      </w:numPr>
    </w:pPr>
  </w:style>
  <w:style w:type="paragraph" w:customStyle="1" w:styleId="TableTextNumber2">
    <w:name w:val="Table Text Number 2"/>
    <w:basedOn w:val="TableTextNumber"/>
    <w:qFormat/>
    <w:rsid w:val="00B65C22"/>
    <w:pPr>
      <w:numPr>
        <w:ilvl w:val="1"/>
      </w:numPr>
    </w:pPr>
  </w:style>
  <w:style w:type="paragraph" w:customStyle="1" w:styleId="TableTextNumber3">
    <w:name w:val="Table Text Number 3"/>
    <w:basedOn w:val="TableTextNumber2"/>
    <w:qFormat/>
    <w:rsid w:val="00B65C2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B65C22"/>
    <w:pPr>
      <w:jc w:val="right"/>
    </w:pPr>
  </w:style>
  <w:style w:type="paragraph" w:customStyle="1" w:styleId="Heading1NoNumbering">
    <w:name w:val="Heading 1 No Numbering"/>
    <w:basedOn w:val="Heading1"/>
    <w:qFormat/>
    <w:rsid w:val="00B65C22"/>
    <w:pPr>
      <w:numPr>
        <w:numId w:val="0"/>
      </w:numPr>
    </w:pPr>
  </w:style>
  <w:style w:type="character" w:customStyle="1" w:styleId="Heading4Char">
    <w:name w:val="Heading 4 Char"/>
    <w:basedOn w:val="DefaultParagraphFont"/>
    <w:link w:val="Heading4"/>
    <w:rsid w:val="00B65C22"/>
    <w:rPr>
      <w:rFonts w:eastAsiaTheme="majorEastAsia" w:cstheme="majorBidi"/>
      <w:b/>
      <w:bCs/>
      <w:i/>
      <w:iCs/>
      <w:color w:val="202C47" w:themeColor="text2"/>
      <w:sz w:val="24"/>
    </w:rPr>
  </w:style>
  <w:style w:type="character" w:customStyle="1" w:styleId="Heading5Char">
    <w:name w:val="Heading 5 Char"/>
    <w:basedOn w:val="DefaultParagraphFont"/>
    <w:link w:val="Heading5"/>
    <w:rsid w:val="00B65C22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rsid w:val="00B65C22"/>
    <w:rPr>
      <w:rFonts w:asciiTheme="majorHAnsi" w:eastAsiaTheme="majorEastAsia" w:hAnsiTheme="majorHAnsi" w:cstheme="majorBidi"/>
      <w:i/>
      <w:iCs/>
      <w:color w:val="202C47" w:themeColor="text2"/>
      <w:sz w:val="24"/>
    </w:rPr>
  </w:style>
  <w:style w:type="paragraph" w:styleId="ListNumber">
    <w:name w:val="List Number"/>
    <w:basedOn w:val="Normal"/>
    <w:qFormat/>
    <w:rsid w:val="00B65C22"/>
    <w:pPr>
      <w:numPr>
        <w:numId w:val="27"/>
      </w:numPr>
      <w:spacing w:before="113" w:after="113"/>
    </w:pPr>
    <w:rPr>
      <w:spacing w:val="-1"/>
    </w:rPr>
  </w:style>
  <w:style w:type="paragraph" w:styleId="ListBullet2">
    <w:name w:val="List Bullet 2"/>
    <w:basedOn w:val="ListBullet"/>
    <w:semiHidden/>
    <w:unhideWhenUsed/>
    <w:qFormat/>
    <w:rsid w:val="00B65C22"/>
    <w:pPr>
      <w:numPr>
        <w:ilvl w:val="1"/>
      </w:numPr>
    </w:pPr>
  </w:style>
  <w:style w:type="paragraph" w:styleId="ListNumber2">
    <w:name w:val="List Number 2"/>
    <w:basedOn w:val="Normal"/>
    <w:qFormat/>
    <w:rsid w:val="00B65C22"/>
    <w:pPr>
      <w:numPr>
        <w:ilvl w:val="1"/>
        <w:numId w:val="27"/>
      </w:numPr>
      <w:spacing w:before="113" w:after="113"/>
    </w:pPr>
    <w:rPr>
      <w:spacing w:val="-1"/>
    </w:rPr>
  </w:style>
  <w:style w:type="paragraph" w:styleId="ListNumber3">
    <w:name w:val="List Number 3"/>
    <w:basedOn w:val="Normal"/>
    <w:qFormat/>
    <w:rsid w:val="00B65C22"/>
    <w:pPr>
      <w:numPr>
        <w:ilvl w:val="2"/>
        <w:numId w:val="27"/>
      </w:numPr>
      <w:spacing w:before="113" w:after="113"/>
    </w:pPr>
    <w:rPr>
      <w:spacing w:val="-1"/>
    </w:rPr>
  </w:style>
  <w:style w:type="paragraph" w:styleId="ListContinue">
    <w:name w:val="List Continue"/>
    <w:basedOn w:val="Normal"/>
    <w:semiHidden/>
    <w:qFormat/>
    <w:rsid w:val="00B65C22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B65C22"/>
    <w:pPr>
      <w:spacing w:before="220" w:after="220"/>
      <w:ind w:left="680"/>
    </w:pPr>
  </w:style>
  <w:style w:type="paragraph" w:styleId="ListParagraph">
    <w:name w:val="List Paragraph"/>
    <w:basedOn w:val="Normal"/>
    <w:uiPriority w:val="72"/>
    <w:qFormat/>
    <w:rsid w:val="00B65C22"/>
    <w:pPr>
      <w:ind w:left="720"/>
      <w:contextualSpacing/>
    </w:pPr>
    <w:rPr>
      <w:rFonts w:ascii="Cambria" w:eastAsia="Cambria" w:hAnsi="Cambria" w:cs="Times New Roman"/>
    </w:rPr>
  </w:style>
  <w:style w:type="paragraph" w:styleId="Bibliography">
    <w:name w:val="Bibliography"/>
    <w:basedOn w:val="Normal"/>
    <w:next w:val="Normal"/>
    <w:uiPriority w:val="37"/>
    <w:semiHidden/>
    <w:unhideWhenUsed/>
    <w:rsid w:val="00D12CAB"/>
  </w:style>
  <w:style w:type="paragraph" w:styleId="BlockText">
    <w:name w:val="Block Text"/>
    <w:basedOn w:val="Normal"/>
    <w:uiPriority w:val="99"/>
    <w:semiHidden/>
    <w:unhideWhenUsed/>
    <w:rsid w:val="00D12CAB"/>
    <w:pPr>
      <w:pBdr>
        <w:top w:val="single" w:sz="2" w:space="10" w:color="8D487F" w:themeColor="accent1" w:shadow="1" w:frame="1"/>
        <w:left w:val="single" w:sz="2" w:space="10" w:color="8D487F" w:themeColor="accent1" w:shadow="1" w:frame="1"/>
        <w:bottom w:val="single" w:sz="2" w:space="10" w:color="8D487F" w:themeColor="accent1" w:shadow="1" w:frame="1"/>
        <w:right w:val="single" w:sz="2" w:space="10" w:color="8D487F" w:themeColor="accent1" w:shadow="1" w:frame="1"/>
      </w:pBdr>
      <w:ind w:left="1152" w:right="1152"/>
    </w:pPr>
    <w:rPr>
      <w:rFonts w:eastAsiaTheme="minorEastAsia"/>
      <w:i/>
      <w:iCs/>
      <w:color w:val="8D487F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12C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2CAB"/>
  </w:style>
  <w:style w:type="paragraph" w:styleId="BodyText3">
    <w:name w:val="Body Text 3"/>
    <w:basedOn w:val="Normal"/>
    <w:link w:val="BodyText3Char"/>
    <w:uiPriority w:val="99"/>
    <w:semiHidden/>
    <w:unhideWhenUsed/>
    <w:rsid w:val="00D12CA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2CA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12CAB"/>
    <w:pPr>
      <w:spacing w:before="0" w:after="0"/>
      <w:ind w:firstLine="360"/>
    </w:pPr>
    <w:rPr>
      <w:spacing w:val="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12CAB"/>
    <w:rPr>
      <w:spacing w:val="-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CA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CA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12CA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12CA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12CA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12CA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12CA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12CAB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12CA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12CAB"/>
  </w:style>
  <w:style w:type="paragraph" w:styleId="CommentText">
    <w:name w:val="annotation text"/>
    <w:basedOn w:val="Normal"/>
    <w:link w:val="CommentTextChar"/>
    <w:uiPriority w:val="99"/>
    <w:semiHidden/>
    <w:unhideWhenUsed/>
    <w:rsid w:val="00D12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C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CA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2CAB"/>
  </w:style>
  <w:style w:type="character" w:customStyle="1" w:styleId="DateChar">
    <w:name w:val="Date Char"/>
    <w:basedOn w:val="DefaultParagraphFont"/>
    <w:link w:val="Date"/>
    <w:uiPriority w:val="99"/>
    <w:semiHidden/>
    <w:rsid w:val="00D12CAB"/>
  </w:style>
  <w:style w:type="paragraph" w:styleId="DocumentMap">
    <w:name w:val="Document Map"/>
    <w:basedOn w:val="Normal"/>
    <w:link w:val="DocumentMapChar"/>
    <w:uiPriority w:val="99"/>
    <w:semiHidden/>
    <w:unhideWhenUsed/>
    <w:rsid w:val="00D12C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12CA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12CA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12CAB"/>
  </w:style>
  <w:style w:type="paragraph" w:styleId="EnvelopeAddress">
    <w:name w:val="envelope address"/>
    <w:basedOn w:val="Normal"/>
    <w:uiPriority w:val="99"/>
    <w:semiHidden/>
    <w:unhideWhenUsed/>
    <w:rsid w:val="00D12CA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12CA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CAB"/>
    <w:rPr>
      <w:rFonts w:asciiTheme="majorHAnsi" w:eastAsiaTheme="majorEastAsia" w:hAnsiTheme="majorHAnsi" w:cstheme="majorBidi"/>
      <w:i/>
      <w:iCs/>
      <w:color w:val="3F578D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CAB"/>
    <w:rPr>
      <w:rFonts w:asciiTheme="majorHAnsi" w:eastAsiaTheme="majorEastAsia" w:hAnsiTheme="majorHAnsi" w:cstheme="majorBidi"/>
      <w:color w:val="3F578D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CAB"/>
    <w:rPr>
      <w:rFonts w:asciiTheme="majorHAnsi" w:eastAsiaTheme="majorEastAsia" w:hAnsiTheme="majorHAnsi" w:cstheme="majorBidi"/>
      <w:i/>
      <w:iCs/>
      <w:color w:val="3F578D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12CA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12CA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2CA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2CA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12CA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12CA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12CA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12CA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12CA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12CA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12CA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12CA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12CA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12CA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D12CAB"/>
    <w:pPr>
      <w:pBdr>
        <w:bottom w:val="single" w:sz="4" w:space="4" w:color="8D487F" w:themeColor="accent1"/>
      </w:pBdr>
      <w:spacing w:before="200" w:after="280"/>
      <w:ind w:left="936" w:right="936"/>
    </w:pPr>
    <w:rPr>
      <w:b/>
      <w:bCs/>
      <w:i/>
      <w:iCs/>
      <w:color w:val="8D48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CAB"/>
    <w:rPr>
      <w:b/>
      <w:bCs/>
      <w:i/>
      <w:iCs/>
      <w:color w:val="8D487F" w:themeColor="accent1"/>
    </w:rPr>
  </w:style>
  <w:style w:type="paragraph" w:styleId="List">
    <w:name w:val="List"/>
    <w:basedOn w:val="Normal"/>
    <w:uiPriority w:val="99"/>
    <w:semiHidden/>
    <w:unhideWhenUsed/>
    <w:rsid w:val="00D12CA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12CA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12CA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12CA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12CAB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D12CAB"/>
    <w:pPr>
      <w:numPr>
        <w:numId w:val="4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12CAB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12CAB"/>
    <w:pPr>
      <w:numPr>
        <w:numId w:val="43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12CA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12CA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12CAB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unhideWhenUsed/>
    <w:rsid w:val="00D12CAB"/>
    <w:pPr>
      <w:numPr>
        <w:numId w:val="4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12CAB"/>
    <w:pPr>
      <w:numPr>
        <w:numId w:val="4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12C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12CA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12C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12CA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rsid w:val="00D12CAB"/>
    <w:pPr>
      <w:spacing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D12CA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12CA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12CAB"/>
  </w:style>
  <w:style w:type="paragraph" w:styleId="PlainText">
    <w:name w:val="Plain Text"/>
    <w:basedOn w:val="Normal"/>
    <w:link w:val="PlainTextChar"/>
    <w:uiPriority w:val="99"/>
    <w:semiHidden/>
    <w:unhideWhenUsed/>
    <w:rsid w:val="00D12CA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2CA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12CA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12CAB"/>
  </w:style>
  <w:style w:type="paragraph" w:styleId="Signature">
    <w:name w:val="Signature"/>
    <w:basedOn w:val="Normal"/>
    <w:link w:val="SignatureChar"/>
    <w:uiPriority w:val="99"/>
    <w:semiHidden/>
    <w:unhideWhenUsed/>
    <w:rsid w:val="00D12CA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12CAB"/>
  </w:style>
  <w:style w:type="paragraph" w:styleId="Subtitle">
    <w:name w:val="Subtitle"/>
    <w:basedOn w:val="Normal"/>
    <w:next w:val="Normal"/>
    <w:link w:val="SubtitleChar"/>
    <w:uiPriority w:val="11"/>
    <w:rsid w:val="00D12CAB"/>
    <w:pPr>
      <w:numPr>
        <w:ilvl w:val="1"/>
      </w:numPr>
    </w:pPr>
    <w:rPr>
      <w:rFonts w:asciiTheme="majorHAnsi" w:eastAsiaTheme="majorEastAsia" w:hAnsiTheme="majorHAnsi" w:cstheme="majorBidi"/>
      <w:i/>
      <w:iCs/>
      <w:color w:val="8D487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2CAB"/>
    <w:rPr>
      <w:rFonts w:asciiTheme="majorHAnsi" w:eastAsiaTheme="majorEastAsia" w:hAnsiTheme="majorHAnsi" w:cstheme="majorBidi"/>
      <w:i/>
      <w:iCs/>
      <w:color w:val="8D487F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12CA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12CAB"/>
  </w:style>
  <w:style w:type="paragraph" w:styleId="Title">
    <w:name w:val="Title"/>
    <w:basedOn w:val="Normal"/>
    <w:next w:val="Normal"/>
    <w:link w:val="TitleChar"/>
    <w:uiPriority w:val="10"/>
    <w:rsid w:val="00D12CAB"/>
    <w:pPr>
      <w:pBdr>
        <w:bottom w:val="single" w:sz="8" w:space="4" w:color="8D487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203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2CAB"/>
    <w:rPr>
      <w:rFonts w:asciiTheme="majorHAnsi" w:eastAsiaTheme="majorEastAsia" w:hAnsiTheme="majorHAnsi" w:cstheme="majorBidi"/>
      <w:color w:val="182035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D12CA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12CA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12CA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12CA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12CA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12CA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12CA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12CA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12CA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12CA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rsid w:val="00D12CAB"/>
    <w:pPr>
      <w:numPr>
        <w:numId w:val="0"/>
      </w:numPr>
      <w:tabs>
        <w:tab w:val="clear" w:pos="1418"/>
        <w:tab w:val="clear" w:pos="1701"/>
        <w:tab w:val="clear" w:pos="1985"/>
      </w:tabs>
      <w:spacing w:after="0" w:line="300" w:lineRule="atLeast"/>
      <w:outlineLvl w:val="9"/>
    </w:pPr>
    <w:rPr>
      <w:rFonts w:eastAsiaTheme="majorEastAsia" w:cstheme="majorBidi"/>
      <w:b/>
      <w:color w:val="69365E" w:themeColor="accent1" w:themeShade="BF"/>
      <w:spacing w:val="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9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8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1.png"/><Relationship Id="rId22" Type="http://schemas.openxmlformats.org/officeDocument/2006/relationships/chart" Target="charts/chart1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/>
            </a:pPr>
            <a:r>
              <a:rPr lang="en-AU" sz="800" b="0"/>
              <a:t>Per cent of nominal GDP</a:t>
            </a:r>
          </a:p>
        </c:rich>
      </c:tx>
      <c:layout>
        <c:manualLayout>
          <c:xMode val="edge"/>
          <c:yMode val="edge"/>
          <c:x val="0.33384907475269471"/>
          <c:y val="1.6957669473212891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7.3396558382511343E-2"/>
          <c:y val="7.6884179174145223E-2"/>
          <c:w val="0.84937217069652837"/>
          <c:h val="0.81307909023722069"/>
        </c:manualLayout>
      </c:layout>
      <c:lineChart>
        <c:grouping val="standard"/>
        <c:varyColors val="0"/>
        <c:ser>
          <c:idx val="0"/>
          <c:order val="0"/>
          <c:tx>
            <c:strRef>
              <c:f>'Medium term'!$A$2</c:f>
              <c:strCache>
                <c:ptCount val="1"/>
                <c:pt idx="0">
                  <c:v>UCB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none"/>
          </c:marker>
          <c:dLbls>
            <c:dLbl>
              <c:idx val="23"/>
              <c:layout>
                <c:manualLayout>
                  <c:x val="-3.6693508281636085E-3"/>
                  <c:y val="-0.6280237373737372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Historical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'Medium term'!$B$1:$BH$1</c:f>
              <c:strCache>
                <c:ptCount val="59"/>
                <c:pt idx="0">
                  <c:v>1970-71</c:v>
                </c:pt>
                <c:pt idx="1">
                  <c:v>1971-72</c:v>
                </c:pt>
                <c:pt idx="2">
                  <c:v>1972-73</c:v>
                </c:pt>
                <c:pt idx="3">
                  <c:v>1973-74</c:v>
                </c:pt>
                <c:pt idx="4">
                  <c:v>1974-75</c:v>
                </c:pt>
                <c:pt idx="5">
                  <c:v>1975-76</c:v>
                </c:pt>
                <c:pt idx="6">
                  <c:v>1976-77</c:v>
                </c:pt>
                <c:pt idx="7">
                  <c:v>1977-78</c:v>
                </c:pt>
                <c:pt idx="8">
                  <c:v>1978-79</c:v>
                </c:pt>
                <c:pt idx="9">
                  <c:v>1979-80</c:v>
                </c:pt>
                <c:pt idx="10">
                  <c:v>1980-81</c:v>
                </c:pt>
                <c:pt idx="11">
                  <c:v>1981-82</c:v>
                </c:pt>
                <c:pt idx="12">
                  <c:v>1982-83</c:v>
                </c:pt>
                <c:pt idx="13">
                  <c:v>1983-84</c:v>
                </c:pt>
                <c:pt idx="14">
                  <c:v>1984-85</c:v>
                </c:pt>
                <c:pt idx="15">
                  <c:v>1985-86</c:v>
                </c:pt>
                <c:pt idx="16">
                  <c:v>1986-87</c:v>
                </c:pt>
                <c:pt idx="17">
                  <c:v>1987-88</c:v>
                </c:pt>
                <c:pt idx="18">
                  <c:v>1988-89</c:v>
                </c:pt>
                <c:pt idx="19">
                  <c:v>1989-90</c:v>
                </c:pt>
                <c:pt idx="20">
                  <c:v>1990-91</c:v>
                </c:pt>
                <c:pt idx="21">
                  <c:v>1991-92</c:v>
                </c:pt>
                <c:pt idx="22">
                  <c:v>1992-93</c:v>
                </c:pt>
                <c:pt idx="23">
                  <c:v>1993-94</c:v>
                </c:pt>
                <c:pt idx="24">
                  <c:v>1994-95</c:v>
                </c:pt>
                <c:pt idx="25">
                  <c:v>1995-96</c:v>
                </c:pt>
                <c:pt idx="26">
                  <c:v>1996-97</c:v>
                </c:pt>
                <c:pt idx="27">
                  <c:v>1997-98</c:v>
                </c:pt>
                <c:pt idx="28">
                  <c:v>1998-99</c:v>
                </c:pt>
                <c:pt idx="29">
                  <c:v>1999-00</c:v>
                </c:pt>
                <c:pt idx="30">
                  <c:v>2000-01</c:v>
                </c:pt>
                <c:pt idx="31">
                  <c:v>2001-02</c:v>
                </c:pt>
                <c:pt idx="32">
                  <c:v>2002-03</c:v>
                </c:pt>
                <c:pt idx="33">
                  <c:v>2003-04</c:v>
                </c:pt>
                <c:pt idx="34">
                  <c:v>2004-05</c:v>
                </c:pt>
                <c:pt idx="35">
                  <c:v>2005-06</c:v>
                </c:pt>
                <c:pt idx="36">
                  <c:v>2006-07</c:v>
                </c:pt>
                <c:pt idx="37">
                  <c:v>2007-08</c:v>
                </c:pt>
                <c:pt idx="38">
                  <c:v>2008-09</c:v>
                </c:pt>
                <c:pt idx="39">
                  <c:v>2009-10</c:v>
                </c:pt>
                <c:pt idx="40">
                  <c:v>2010-11</c:v>
                </c:pt>
                <c:pt idx="41">
                  <c:v>2011-12</c:v>
                </c:pt>
                <c:pt idx="42">
                  <c:v>2012-13</c:v>
                </c:pt>
                <c:pt idx="43">
                  <c:v>2013-14</c:v>
                </c:pt>
                <c:pt idx="44">
                  <c:v>2014-15</c:v>
                </c:pt>
                <c:pt idx="45">
                  <c:v>2015-16</c:v>
                </c:pt>
                <c:pt idx="46">
                  <c:v>2016-17</c:v>
                </c:pt>
                <c:pt idx="47">
                  <c:v>2017-18</c:v>
                </c:pt>
                <c:pt idx="48">
                  <c:v>2018-19</c:v>
                </c:pt>
                <c:pt idx="49">
                  <c:v>2019-20</c:v>
                </c:pt>
                <c:pt idx="50">
                  <c:v>2020-21</c:v>
                </c:pt>
                <c:pt idx="51">
                  <c:v>2021-22</c:v>
                </c:pt>
                <c:pt idx="52">
                  <c:v>2022-23</c:v>
                </c:pt>
                <c:pt idx="53">
                  <c:v>2023-24</c:v>
                </c:pt>
                <c:pt idx="54">
                  <c:v>2024-25</c:v>
                </c:pt>
                <c:pt idx="55">
                  <c:v>2025-26</c:v>
                </c:pt>
                <c:pt idx="56">
                  <c:v>2026-27</c:v>
                </c:pt>
                <c:pt idx="57">
                  <c:v>2027-28</c:v>
                </c:pt>
                <c:pt idx="58">
                  <c:v>2028-29</c:v>
                </c:pt>
              </c:strCache>
            </c:strRef>
          </c:cat>
          <c:val>
            <c:numRef>
              <c:f>'Medium term'!$B$2:$BH$2</c:f>
              <c:numCache>
                <c:formatCode>0.0</c:formatCode>
                <c:ptCount val="59"/>
                <c:pt idx="0">
                  <c:v>2.2345675950497261</c:v>
                </c:pt>
                <c:pt idx="1">
                  <c:v>1.9913692349186372</c:v>
                </c:pt>
                <c:pt idx="2">
                  <c:v>0.69941313610418843</c:v>
                </c:pt>
                <c:pt idx="3">
                  <c:v>1.9077004744368138</c:v>
                </c:pt>
                <c:pt idx="4">
                  <c:v>0.25431706734484549</c:v>
                </c:pt>
                <c:pt idx="5">
                  <c:v>-1.8006438593119356</c:v>
                </c:pt>
                <c:pt idx="6">
                  <c:v>-1.3175148298470183</c:v>
                </c:pt>
                <c:pt idx="7">
                  <c:v>-1.9411646988192914</c:v>
                </c:pt>
                <c:pt idx="8">
                  <c:v>-1.8059642348259377</c:v>
                </c:pt>
                <c:pt idx="9">
                  <c:v>-0.98329440816387248</c:v>
                </c:pt>
                <c:pt idx="10">
                  <c:v>-0.12091898428053204</c:v>
                </c:pt>
                <c:pt idx="11">
                  <c:v>0.19812690369779953</c:v>
                </c:pt>
                <c:pt idx="12">
                  <c:v>-1.7696589125160553</c:v>
                </c:pt>
                <c:pt idx="13">
                  <c:v>-3.2837583288818917</c:v>
                </c:pt>
                <c:pt idx="14">
                  <c:v>-2.5687940667112033</c:v>
                </c:pt>
                <c:pt idx="15">
                  <c:v>-1.9678429413911673</c:v>
                </c:pt>
                <c:pt idx="16">
                  <c:v>-0.85177862154642969</c:v>
                </c:pt>
                <c:pt idx="17">
                  <c:v>0.44822285195680767</c:v>
                </c:pt>
                <c:pt idx="18">
                  <c:v>1.474736867877614</c:v>
                </c:pt>
                <c:pt idx="19">
                  <c:v>1.4710396799461294</c:v>
                </c:pt>
                <c:pt idx="20">
                  <c:v>-0.10565979475946716</c:v>
                </c:pt>
                <c:pt idx="21">
                  <c:v>-2.9900245716531182</c:v>
                </c:pt>
                <c:pt idx="22">
                  <c:v>-4.0864381587345981</c:v>
                </c:pt>
                <c:pt idx="23">
                  <c:v>-3.9045138627955764</c:v>
                </c:pt>
                <c:pt idx="24">
                  <c:v>-2.8631105593377644</c:v>
                </c:pt>
                <c:pt idx="25">
                  <c:v>-2.1055763941933172</c:v>
                </c:pt>
                <c:pt idx="26">
                  <c:v>-1.0983430309513389</c:v>
                </c:pt>
                <c:pt idx="27">
                  <c:v>2.533595648336924E-2</c:v>
                </c:pt>
                <c:pt idx="28">
                  <c:v>0.62745945876176379</c:v>
                </c:pt>
                <c:pt idx="29">
                  <c:v>1.9682293802460133</c:v>
                </c:pt>
                <c:pt idx="30">
                  <c:v>0.83323443525936258</c:v>
                </c:pt>
                <c:pt idx="31">
                  <c:v>-0.14151398698575329</c:v>
                </c:pt>
                <c:pt idx="32">
                  <c:v>0.92051289737555964</c:v>
                </c:pt>
                <c:pt idx="33">
                  <c:v>0.92884621028173142</c:v>
                </c:pt>
                <c:pt idx="34">
                  <c:v>1.4736146395213121</c:v>
                </c:pt>
                <c:pt idx="35">
                  <c:v>1.5824313085244175</c:v>
                </c:pt>
                <c:pt idx="36">
                  <c:v>1.5840925178602645</c:v>
                </c:pt>
                <c:pt idx="37">
                  <c:v>1.6801601888857796</c:v>
                </c:pt>
                <c:pt idx="38">
                  <c:v>-2.1467649336154495</c:v>
                </c:pt>
                <c:pt idx="39">
                  <c:v>-4.1948227167092993</c:v>
                </c:pt>
                <c:pt idx="40">
                  <c:v>-3.3561464070076501</c:v>
                </c:pt>
                <c:pt idx="41">
                  <c:v>-2.8968505899364452</c:v>
                </c:pt>
                <c:pt idx="42">
                  <c:v>-1.2278565784480369</c:v>
                </c:pt>
                <c:pt idx="43">
                  <c:v>-3.0365305896198449</c:v>
                </c:pt>
                <c:pt idx="44">
                  <c:v>-2.3354710427017071</c:v>
                </c:pt>
                <c:pt idx="45">
                  <c:v>-2.3864738322031163</c:v>
                </c:pt>
                <c:pt idx="46">
                  <c:v>-1.8874219504821463</c:v>
                </c:pt>
                <c:pt idx="47">
                  <c:v>-1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421248"/>
        <c:axId val="60422784"/>
      </c:lineChart>
      <c:lineChart>
        <c:grouping val="standard"/>
        <c:varyColors val="0"/>
        <c:ser>
          <c:idx val="1"/>
          <c:order val="1"/>
          <c:tx>
            <c:strRef>
              <c:f>'Medium term'!$A$3</c:f>
              <c:strCache>
                <c:ptCount val="1"/>
              </c:strCache>
            </c:strRef>
          </c:tx>
          <c:spPr>
            <a:ln>
              <a:solidFill>
                <a:schemeClr val="bg2">
                  <a:lumMod val="40000"/>
                  <a:lumOff val="60000"/>
                </a:schemeClr>
              </a:solidFill>
            </a:ln>
          </c:spPr>
          <c:marker>
            <c:symbol val="none"/>
          </c:marker>
          <c:dLbls>
            <c:dLbl>
              <c:idx val="54"/>
              <c:layout>
                <c:manualLayout>
                  <c:x val="-7.8278509220995093E-2"/>
                  <c:y val="-0.16207929292929293"/>
                </c:manualLayout>
              </c:layout>
              <c:tx>
                <c:rich>
                  <a:bodyPr/>
                  <a:lstStyle/>
                  <a:p>
                    <a:r>
                      <a:rPr lang="en-US" sz="700"/>
                      <a:t>2018-19</a:t>
                    </a:r>
                    <a:endParaRPr lang="en-US" sz="700" baseline="0"/>
                  </a:p>
                  <a:p>
                    <a:r>
                      <a:rPr lang="en-US" sz="700" baseline="0"/>
                      <a:t>Budget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'Medium term'!$B$1:$BH$1</c:f>
              <c:strCache>
                <c:ptCount val="59"/>
                <c:pt idx="0">
                  <c:v>1970-71</c:v>
                </c:pt>
                <c:pt idx="1">
                  <c:v>1971-72</c:v>
                </c:pt>
                <c:pt idx="2">
                  <c:v>1972-73</c:v>
                </c:pt>
                <c:pt idx="3">
                  <c:v>1973-74</c:v>
                </c:pt>
                <c:pt idx="4">
                  <c:v>1974-75</c:v>
                </c:pt>
                <c:pt idx="5">
                  <c:v>1975-76</c:v>
                </c:pt>
                <c:pt idx="6">
                  <c:v>1976-77</c:v>
                </c:pt>
                <c:pt idx="7">
                  <c:v>1977-78</c:v>
                </c:pt>
                <c:pt idx="8">
                  <c:v>1978-79</c:v>
                </c:pt>
                <c:pt idx="9">
                  <c:v>1979-80</c:v>
                </c:pt>
                <c:pt idx="10">
                  <c:v>1980-81</c:v>
                </c:pt>
                <c:pt idx="11">
                  <c:v>1981-82</c:v>
                </c:pt>
                <c:pt idx="12">
                  <c:v>1982-83</c:v>
                </c:pt>
                <c:pt idx="13">
                  <c:v>1983-84</c:v>
                </c:pt>
                <c:pt idx="14">
                  <c:v>1984-85</c:v>
                </c:pt>
                <c:pt idx="15">
                  <c:v>1985-86</c:v>
                </c:pt>
                <c:pt idx="16">
                  <c:v>1986-87</c:v>
                </c:pt>
                <c:pt idx="17">
                  <c:v>1987-88</c:v>
                </c:pt>
                <c:pt idx="18">
                  <c:v>1988-89</c:v>
                </c:pt>
                <c:pt idx="19">
                  <c:v>1989-90</c:v>
                </c:pt>
                <c:pt idx="20">
                  <c:v>1990-91</c:v>
                </c:pt>
                <c:pt idx="21">
                  <c:v>1991-92</c:v>
                </c:pt>
                <c:pt idx="22">
                  <c:v>1992-93</c:v>
                </c:pt>
                <c:pt idx="23">
                  <c:v>1993-94</c:v>
                </c:pt>
                <c:pt idx="24">
                  <c:v>1994-95</c:v>
                </c:pt>
                <c:pt idx="25">
                  <c:v>1995-96</c:v>
                </c:pt>
                <c:pt idx="26">
                  <c:v>1996-97</c:v>
                </c:pt>
                <c:pt idx="27">
                  <c:v>1997-98</c:v>
                </c:pt>
                <c:pt idx="28">
                  <c:v>1998-99</c:v>
                </c:pt>
                <c:pt idx="29">
                  <c:v>1999-00</c:v>
                </c:pt>
                <c:pt idx="30">
                  <c:v>2000-01</c:v>
                </c:pt>
                <c:pt idx="31">
                  <c:v>2001-02</c:v>
                </c:pt>
                <c:pt idx="32">
                  <c:v>2002-03</c:v>
                </c:pt>
                <c:pt idx="33">
                  <c:v>2003-04</c:v>
                </c:pt>
                <c:pt idx="34">
                  <c:v>2004-05</c:v>
                </c:pt>
                <c:pt idx="35">
                  <c:v>2005-06</c:v>
                </c:pt>
                <c:pt idx="36">
                  <c:v>2006-07</c:v>
                </c:pt>
                <c:pt idx="37">
                  <c:v>2007-08</c:v>
                </c:pt>
                <c:pt idx="38">
                  <c:v>2008-09</c:v>
                </c:pt>
                <c:pt idx="39">
                  <c:v>2009-10</c:v>
                </c:pt>
                <c:pt idx="40">
                  <c:v>2010-11</c:v>
                </c:pt>
                <c:pt idx="41">
                  <c:v>2011-12</c:v>
                </c:pt>
                <c:pt idx="42">
                  <c:v>2012-13</c:v>
                </c:pt>
                <c:pt idx="43">
                  <c:v>2013-14</c:v>
                </c:pt>
                <c:pt idx="44">
                  <c:v>2014-15</c:v>
                </c:pt>
                <c:pt idx="45">
                  <c:v>2015-16</c:v>
                </c:pt>
                <c:pt idx="46">
                  <c:v>2016-17</c:v>
                </c:pt>
                <c:pt idx="47">
                  <c:v>2017-18</c:v>
                </c:pt>
                <c:pt idx="48">
                  <c:v>2018-19</c:v>
                </c:pt>
                <c:pt idx="49">
                  <c:v>2019-20</c:v>
                </c:pt>
                <c:pt idx="50">
                  <c:v>2020-21</c:v>
                </c:pt>
                <c:pt idx="51">
                  <c:v>2021-22</c:v>
                </c:pt>
                <c:pt idx="52">
                  <c:v>2022-23</c:v>
                </c:pt>
                <c:pt idx="53">
                  <c:v>2023-24</c:v>
                </c:pt>
                <c:pt idx="54">
                  <c:v>2024-25</c:v>
                </c:pt>
                <c:pt idx="55">
                  <c:v>2025-26</c:v>
                </c:pt>
                <c:pt idx="56">
                  <c:v>2026-27</c:v>
                </c:pt>
                <c:pt idx="57">
                  <c:v>2027-28</c:v>
                </c:pt>
                <c:pt idx="58">
                  <c:v>2028-29</c:v>
                </c:pt>
              </c:strCache>
            </c:strRef>
          </c:cat>
          <c:val>
            <c:numRef>
              <c:f>'Medium term'!$B$3:$BH$3</c:f>
              <c:numCache>
                <c:formatCode>General</c:formatCode>
                <c:ptCount val="59"/>
                <c:pt idx="47" formatCode="0.0">
                  <c:v>-1</c:v>
                </c:pt>
                <c:pt idx="48" formatCode="0.0">
                  <c:v>-0.77602523659306</c:v>
                </c:pt>
                <c:pt idx="49" formatCode="0.0">
                  <c:v>5.9936908517349702E-2</c:v>
                </c:pt>
                <c:pt idx="50" formatCode="0.0">
                  <c:v>0.53312302839116699</c:v>
                </c:pt>
                <c:pt idx="51" formatCode="0.0">
                  <c:v>0.78548895899053595</c:v>
                </c:pt>
                <c:pt idx="52" formatCode="0.0">
                  <c:v>0.28075709779179697</c:v>
                </c:pt>
                <c:pt idx="53" formatCode="0.0">
                  <c:v>0.54889589905362701</c:v>
                </c:pt>
                <c:pt idx="54" formatCode="0.0">
                  <c:v>0.73817034700315398</c:v>
                </c:pt>
                <c:pt idx="55" formatCode="0.0">
                  <c:v>0.89589905362776001</c:v>
                </c:pt>
                <c:pt idx="56" formatCode="0.0">
                  <c:v>1.2429022082018899</c:v>
                </c:pt>
                <c:pt idx="57" formatCode="0.0">
                  <c:v>1.2586750788643499</c:v>
                </c:pt>
                <c:pt idx="58" formatCode="0.0">
                  <c:v>1.16403785488958</c:v>
                </c:pt>
              </c:numCache>
            </c:numRef>
          </c:val>
          <c:smooth val="0"/>
        </c:ser>
        <c:ser>
          <c:idx val="2"/>
          <c:order val="2"/>
          <c:tx>
            <c:v>DUMMY</c:v>
          </c:tx>
          <c:spPr>
            <a:ln w="25400">
              <a:noFill/>
            </a:ln>
            <a:effectLst/>
          </c:spPr>
          <c:marker>
            <c:symbol val="none"/>
          </c:marker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181184"/>
        <c:axId val="67179264"/>
      </c:lineChart>
      <c:catAx>
        <c:axId val="60421248"/>
        <c:scaling>
          <c:orientation val="minMax"/>
        </c:scaling>
        <c:delete val="0"/>
        <c:axPos val="b"/>
        <c:majorTickMark val="out"/>
        <c:minorTickMark val="none"/>
        <c:tickLblPos val="low"/>
        <c:spPr>
          <a:ln w="12700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60422784"/>
        <c:crosses val="autoZero"/>
        <c:auto val="1"/>
        <c:lblAlgn val="ctr"/>
        <c:lblOffset val="100"/>
        <c:tickLblSkip val="8"/>
        <c:noMultiLvlLbl val="0"/>
      </c:catAx>
      <c:valAx>
        <c:axId val="6042278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700" b="0" i="0"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2.7287654320987655E-2"/>
              <c:y val="0"/>
            </c:manualLayout>
          </c:layout>
          <c:overlay val="0"/>
        </c:title>
        <c:numFmt formatCode="0" sourceLinked="0"/>
        <c:majorTickMark val="in"/>
        <c:minorTickMark val="none"/>
        <c:tickLblPos val="nextTo"/>
        <c:spPr>
          <a:ln w="12700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60421248"/>
        <c:crosses val="autoZero"/>
        <c:crossBetween val="between"/>
      </c:valAx>
      <c:valAx>
        <c:axId val="67179264"/>
        <c:scaling>
          <c:orientation val="minMax"/>
          <c:max val="3"/>
          <c:min val="-5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00" b="0" i="0"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0.93657654320987649"/>
              <c:y val="0"/>
            </c:manualLayout>
          </c:layout>
          <c:overlay val="0"/>
        </c:title>
        <c:numFmt formatCode="0" sourceLinked="0"/>
        <c:majorTickMark val="in"/>
        <c:minorTickMark val="none"/>
        <c:tickLblPos val="nextTo"/>
        <c:spPr>
          <a:ln w="12700">
            <a:solidFill>
              <a:srgbClr val="808080"/>
            </a:solidFill>
            <a:prstDash val="solid"/>
          </a:ln>
        </c:spPr>
        <c:txPr>
          <a:bodyPr rot="-60000000" vert="horz"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67181184"/>
        <c:crosses val="max"/>
        <c:crossBetween val="between"/>
        <c:majorUnit val="1"/>
        <c:minorUnit val="0.2"/>
      </c:valAx>
      <c:catAx>
        <c:axId val="67181184"/>
        <c:scaling>
          <c:orientation val="minMax"/>
        </c:scaling>
        <c:delete val="1"/>
        <c:axPos val="b"/>
        <c:majorTickMark val="out"/>
        <c:minorTickMark val="none"/>
        <c:tickLblPos val="nextTo"/>
        <c:crossAx val="67179264"/>
        <c:crosses val="autoZero"/>
        <c:auto val="1"/>
        <c:lblAlgn val="ctr"/>
        <c:lblOffset val="100"/>
        <c:noMultiLvlLbl val="0"/>
      </c:catAx>
      <c:spPr>
        <a:solidFill>
          <a:srgbClr val="FFFFFF"/>
        </a:solidFill>
        <a:ln>
          <a:noFill/>
          <a:round/>
        </a:ln>
        <a:effectLst/>
        <a:extLst>
          <a:ext uri="{91240B29-F687-4F45-9708-019B960494DF}">
            <a14:hiddenLine xmlns:a14="http://schemas.microsoft.com/office/drawing/2010/main">
              <a:noFill/>
              <a:round/>
            </a14:hiddenLine>
          </a:ext>
        </a:extLst>
      </c:spPr>
    </c:plotArea>
    <c:plotVisOnly val="1"/>
    <c:dispBlanksAs val="gap"/>
    <c:showDLblsOverMax val="0"/>
  </c:chart>
  <c:spPr>
    <a:solidFill>
      <a:srgbClr val="FFFFFF"/>
    </a:solidFill>
    <a:ln w="9525" cap="flat" cmpd="sng" algn="ctr">
      <a:noFill/>
      <a:prstDash val="solid"/>
      <a:round/>
    </a:ln>
    <a:effectLst/>
    <a:extLst>
      <a:ext uri="{91240B29-F687-4F45-9708-019B960494DF}">
        <a14:hiddenLine xmlns:a14="http://schemas.microsoft.com/office/drawing/2010/main" w="9525" cap="flat" cmpd="sng" algn="ctr">
          <a:solidFill>
            <a:srgbClr val="000000">
              <a:tint val="75000"/>
              <a:shade val="95000"/>
              <a:satMod val="105000"/>
            </a:srgbClr>
          </a:solidFill>
          <a:prstDash val="solid"/>
          <a:round/>
        </a14:hiddenLine>
      </a:ext>
    </a:extLst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/>
            </a:pPr>
            <a:r>
              <a:rPr lang="en-AU" sz="800" b="0"/>
              <a:t>Contributions</a:t>
            </a:r>
            <a:r>
              <a:rPr lang="en-AU" sz="800" b="0" baseline="0"/>
              <a:t> to total annual</a:t>
            </a:r>
            <a:r>
              <a:rPr lang="en-AU" sz="800" b="0"/>
              <a:t> real growth</a:t>
            </a:r>
          </a:p>
          <a:p>
            <a:pPr>
              <a:defRPr sz="800" b="0"/>
            </a:pPr>
            <a:r>
              <a:rPr lang="en-AU" sz="800" b="0"/>
              <a:t>2017-18 to 2021-22</a:t>
            </a:r>
          </a:p>
        </c:rich>
      </c:tx>
      <c:layout>
        <c:manualLayout>
          <c:xMode val="edge"/>
          <c:yMode val="edge"/>
          <c:x val="0.2236738451935081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3677278401997501"/>
          <c:y val="0.1602861111111111"/>
          <c:w val="0.62400561797752807"/>
          <c:h val="0.7441577777777778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2D050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3.1%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0.2%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0.3%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0.3%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0.5%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1.7%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Drivers!$A$2:$A$7</c:f>
              <c:strCache>
                <c:ptCount val="6"/>
                <c:pt idx="0">
                  <c:v>Total revenue</c:v>
                </c:pt>
                <c:pt idx="1">
                  <c:v>Excise &amp; customs 
duty</c:v>
                </c:pt>
                <c:pt idx="2">
                  <c:v>Company tax</c:v>
                </c:pt>
                <c:pt idx="3">
                  <c:v>GST</c:v>
                </c:pt>
                <c:pt idx="4">
                  <c:v>Other</c:v>
                </c:pt>
                <c:pt idx="5">
                  <c:v>Individuals &amp; other
withholding</c:v>
                </c:pt>
              </c:strCache>
            </c:strRef>
          </c:cat>
          <c:val>
            <c:numRef>
              <c:f>Drivers!$B$2:$B$7</c:f>
              <c:numCache>
                <c:formatCode>0.0</c:formatCode>
                <c:ptCount val="6"/>
                <c:pt idx="0">
                  <c:v>3.1302225650770454</c:v>
                </c:pt>
                <c:pt idx="1">
                  <c:v>0.22719052653508928</c:v>
                </c:pt>
                <c:pt idx="2">
                  <c:v>0.31501796175292057</c:v>
                </c:pt>
                <c:pt idx="3">
                  <c:v>0.33935435849177031</c:v>
                </c:pt>
                <c:pt idx="4">
                  <c:v>0.52396915624366391</c:v>
                </c:pt>
                <c:pt idx="5">
                  <c:v>1.7246905620535977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0"/>
        <c:overlap val="-10"/>
        <c:axId val="139399936"/>
        <c:axId val="139401472"/>
      </c:barChart>
      <c:catAx>
        <c:axId val="139399936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low"/>
        <c:spPr>
          <a:ln w="12700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n-US"/>
          </a:p>
        </c:txPr>
        <c:crossAx val="139401472"/>
        <c:crosses val="autoZero"/>
        <c:auto val="1"/>
        <c:lblAlgn val="ctr"/>
        <c:lblOffset val="100"/>
        <c:noMultiLvlLbl val="0"/>
      </c:catAx>
      <c:valAx>
        <c:axId val="139401472"/>
        <c:scaling>
          <c:orientation val="minMax"/>
          <c:max val="5"/>
          <c:min val="0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 b="0"/>
                </a:pPr>
                <a:r>
                  <a:rPr lang="en-AU" b="0"/>
                  <a:t>%</a:t>
                </a:r>
              </a:p>
            </c:rich>
          </c:tx>
          <c:layout>
            <c:manualLayout>
              <c:xMode val="edge"/>
              <c:yMode val="edge"/>
              <c:x val="0.24971910112359549"/>
              <c:y val="0.91184222222222222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ln w="12700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n-US"/>
          </a:p>
        </c:txPr>
        <c:crossAx val="139399936"/>
        <c:crosses val="autoZero"/>
        <c:crossBetween val="between"/>
        <c:majorUnit val="1"/>
      </c:valAx>
      <c:spPr>
        <a:solidFill>
          <a:srgbClr val="FFFFFF"/>
        </a:solidFill>
        <a:ln>
          <a:noFill/>
          <a:round/>
        </a:ln>
        <a:effectLst/>
        <a:extLst>
          <a:ext uri="{91240B29-F687-4F45-9708-019B960494DF}">
            <a14:hiddenLine xmlns:a14="http://schemas.microsoft.com/office/drawing/2010/main">
              <a:noFill/>
              <a:round/>
            </a14:hiddenLine>
          </a:ext>
        </a:extLst>
      </c:spPr>
    </c:plotArea>
    <c:plotVisOnly val="1"/>
    <c:dispBlanksAs val="gap"/>
    <c:showDLblsOverMax val="0"/>
  </c:chart>
  <c:spPr>
    <a:solidFill>
      <a:srgbClr val="FFFFFF"/>
    </a:solidFill>
    <a:ln w="9525" cap="flat" cmpd="sng" algn="ctr">
      <a:noFill/>
      <a:prstDash val="solid"/>
      <a:round/>
    </a:ln>
    <a:effectLst/>
    <a:extLst>
      <a:ext uri="{91240B29-F687-4F45-9708-019B960494DF}">
        <a14:hiddenLine xmlns:a14="http://schemas.microsoft.com/office/drawing/2010/main" w="9525" cap="flat" cmpd="sng" algn="ctr">
          <a:solidFill>
            <a:srgbClr val="000000">
              <a:tint val="75000"/>
              <a:shade val="95000"/>
              <a:satMod val="105000"/>
            </a:srgbClr>
          </a:solidFill>
          <a:prstDash val="solid"/>
          <a:round/>
        </a14:hiddenLine>
      </a:ext>
    </a:extLst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/>
            </a:pPr>
            <a:r>
              <a:rPr lang="en-AU" sz="800" b="0"/>
              <a:t>Contributions</a:t>
            </a:r>
            <a:r>
              <a:rPr lang="en-AU" sz="800" b="0" baseline="0"/>
              <a:t> to total annual real growth</a:t>
            </a:r>
            <a:endParaRPr lang="en-AU" sz="800" b="0"/>
          </a:p>
          <a:p>
            <a:pPr>
              <a:defRPr sz="800" b="0"/>
            </a:pPr>
            <a:r>
              <a:rPr lang="en-AU" sz="800" b="0"/>
              <a:t>2017-18 to 2021-22</a:t>
            </a:r>
          </a:p>
        </c:rich>
      </c:tx>
      <c:layout>
        <c:manualLayout>
          <c:xMode val="edge"/>
          <c:yMode val="edge"/>
          <c:x val="0.26376747815230955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7817088093270435"/>
          <c:y val="0.161805"/>
          <c:w val="0.58260752972813457"/>
          <c:h val="0.742638888888888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D4DC5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1.2%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0.1%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0.2%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0.2%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0.3%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0.7%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Drivers!$A$23:$A$28</c:f>
              <c:strCache>
                <c:ptCount val="6"/>
                <c:pt idx="0">
                  <c:v>Total expenses</c:v>
                </c:pt>
                <c:pt idx="1">
                  <c:v>Medicare</c:v>
                </c:pt>
                <c:pt idx="2">
                  <c:v>Aged Care Services</c:v>
                </c:pt>
                <c:pt idx="3">
                  <c:v>Age Pension </c:v>
                </c:pt>
                <c:pt idx="4">
                  <c:v>GST transfer to states</c:v>
                </c:pt>
                <c:pt idx="5">
                  <c:v>National Disability Insurance Scheme</c:v>
                </c:pt>
              </c:strCache>
            </c:strRef>
          </c:cat>
          <c:val>
            <c:numRef>
              <c:f>Drivers!$B$23:$B$28</c:f>
              <c:numCache>
                <c:formatCode>0.0</c:formatCode>
                <c:ptCount val="6"/>
                <c:pt idx="0">
                  <c:v>1.172467876804606</c:v>
                </c:pt>
                <c:pt idx="1">
                  <c:v>0.12113577362878694</c:v>
                </c:pt>
                <c:pt idx="2">
                  <c:v>0.18173959992668251</c:v>
                </c:pt>
                <c:pt idx="3">
                  <c:v>0.1971081118302429</c:v>
                </c:pt>
                <c:pt idx="4">
                  <c:v>0.32747863958158224</c:v>
                </c:pt>
                <c:pt idx="5">
                  <c:v>0.71575527311721543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9442816"/>
        <c:axId val="139444608"/>
      </c:barChart>
      <c:catAx>
        <c:axId val="139442816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low"/>
        <c:spPr>
          <a:ln w="12700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n-US"/>
          </a:p>
        </c:txPr>
        <c:crossAx val="139444608"/>
        <c:crosses val="autoZero"/>
        <c:auto val="1"/>
        <c:lblAlgn val="ctr"/>
        <c:lblOffset val="100"/>
        <c:noMultiLvlLbl val="0"/>
      </c:catAx>
      <c:valAx>
        <c:axId val="139444608"/>
        <c:scaling>
          <c:orientation val="minMax"/>
          <c:max val="2"/>
          <c:min val="0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 b="0"/>
                </a:pPr>
                <a:r>
                  <a:rPr lang="en-AU" b="0"/>
                  <a:t>%</a:t>
                </a:r>
              </a:p>
            </c:rich>
          </c:tx>
          <c:layout>
            <c:manualLayout>
              <c:xMode val="edge"/>
              <c:yMode val="edge"/>
              <c:x val="0.25764669163545567"/>
              <c:y val="0.9139405555555554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12700">
            <a:solidFill>
              <a:srgbClr val="808080"/>
            </a:solidFill>
            <a:prstDash val="solid"/>
          </a:ln>
        </c:spPr>
        <c:crossAx val="139442816"/>
        <c:crosses val="autoZero"/>
        <c:crossBetween val="between"/>
        <c:majorUnit val="1"/>
      </c:valAx>
      <c:spPr>
        <a:solidFill>
          <a:srgbClr val="FFFFFF"/>
        </a:solidFill>
        <a:ln>
          <a:noFill/>
          <a:round/>
        </a:ln>
        <a:effectLst/>
        <a:extLst>
          <a:ext uri="{91240B29-F687-4F45-9708-019B960494DF}">
            <a14:hiddenLine xmlns:a14="http://schemas.microsoft.com/office/drawing/2010/main">
              <a:noFill/>
              <a:round/>
            </a14:hiddenLine>
          </a:ext>
        </a:extLst>
      </c:spPr>
    </c:plotArea>
    <c:plotVisOnly val="1"/>
    <c:dispBlanksAs val="gap"/>
    <c:showDLblsOverMax val="0"/>
  </c:chart>
  <c:spPr>
    <a:solidFill>
      <a:srgbClr val="FFFFFF"/>
    </a:solidFill>
    <a:ln w="9525" cap="flat" cmpd="sng" algn="ctr">
      <a:noFill/>
      <a:prstDash val="solid"/>
      <a:round/>
    </a:ln>
    <a:effectLst/>
    <a:extLst>
      <a:ext uri="{91240B29-F687-4F45-9708-019B960494DF}">
        <a14:hiddenLine xmlns:a14="http://schemas.microsoft.com/office/drawing/2010/main" w="9525" cap="flat" cmpd="sng" algn="ctr">
          <a:solidFill>
            <a:srgbClr val="000000">
              <a:tint val="75000"/>
              <a:shade val="95000"/>
              <a:satMod val="105000"/>
            </a:srgbClr>
          </a:solidFill>
          <a:prstDash val="solid"/>
          <a:round/>
        </a14:hiddenLine>
      </a:ext>
    </a:extLst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356049243844519"/>
          <c:y val="9.8990325574158558E-2"/>
          <c:w val="0.4668187883848513"/>
          <c:h val="0.8310165093160109"/>
        </c:manualLayout>
      </c:layout>
      <c:pieChart>
        <c:varyColors val="1"/>
        <c:ser>
          <c:idx val="0"/>
          <c:order val="0"/>
          <c:tx>
            <c:strRef>
              <c:f>Composition!$B$1</c:f>
              <c:strCache>
                <c:ptCount val="1"/>
                <c:pt idx="0">
                  <c:v>2018-19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dPt>
            <c:idx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</c:dPt>
          <c:dPt>
            <c:idx val="1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AA5A99"/>
              </a:solidFill>
            </c:spPr>
          </c:dPt>
          <c:dPt>
            <c:idx val="4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Hospitals $21b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Schools $20b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GST transfer</a:t>
                    </a:r>
                  </a:p>
                  <a:p>
                    <a:r>
                      <a:rPr lang="en-US"/>
                      <a:t>to</a:t>
                    </a:r>
                    <a:r>
                      <a:rPr lang="en-US" baseline="0"/>
                      <a:t> states</a:t>
                    </a:r>
                  </a:p>
                  <a:p>
                    <a:r>
                      <a:rPr lang="en-US"/>
                      <a:t>$67b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Infrastructure $6b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Other $12b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0"/>
          </c:dLbls>
          <c:cat>
            <c:strRef>
              <c:f>Composition!$A$2:$A$6</c:f>
              <c:strCache>
                <c:ptCount val="5"/>
                <c:pt idx="0">
                  <c:v>Hospitals</c:v>
                </c:pt>
                <c:pt idx="1">
                  <c:v>Schools</c:v>
                </c:pt>
                <c:pt idx="2">
                  <c:v>GST transfer</c:v>
                </c:pt>
                <c:pt idx="3">
                  <c:v>Infrastructure</c:v>
                </c:pt>
                <c:pt idx="4">
                  <c:v>Other</c:v>
                </c:pt>
              </c:strCache>
            </c:strRef>
          </c:cat>
          <c:val>
            <c:numRef>
              <c:f>Composition!$B$2:$B$6</c:f>
              <c:numCache>
                <c:formatCode>0</c:formatCode>
                <c:ptCount val="5"/>
                <c:pt idx="0">
                  <c:v>21.189</c:v>
                </c:pt>
                <c:pt idx="1">
                  <c:v>19.518000000000001</c:v>
                </c:pt>
                <c:pt idx="2">
                  <c:v>67.319999999999993</c:v>
                </c:pt>
                <c:pt idx="3">
                  <c:v>6.3</c:v>
                </c:pt>
                <c:pt idx="4">
                  <c:v>12.424000000000021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60"/>
      </c:pie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738220222472189"/>
          <c:y val="0.11196661461777406"/>
          <c:w val="0.46388175709949042"/>
          <c:h val="0.82578809617746263"/>
        </c:manualLayout>
      </c:layout>
      <c:pieChart>
        <c:varyColors val="1"/>
        <c:ser>
          <c:idx val="0"/>
          <c:order val="0"/>
          <c:tx>
            <c:strRef>
              <c:f>Composition!$B$15</c:f>
              <c:strCache>
                <c:ptCount val="1"/>
                <c:pt idx="0">
                  <c:v>2018-19</c:v>
                </c:pt>
              </c:strCache>
            </c:strRef>
          </c:tx>
          <c:dPt>
            <c:idx val="0"/>
            <c:bubble3D val="0"/>
            <c:spPr>
              <a:solidFill>
                <a:srgbClr val="008E40"/>
              </a:solidFill>
            </c:spPr>
          </c:dPt>
          <c:dPt>
            <c:idx val="1"/>
            <c:bubble3D val="0"/>
            <c:spPr>
              <a:solidFill>
                <a:srgbClr val="92D050"/>
              </a:solidFill>
            </c:spPr>
          </c:dPt>
          <c:dPt>
            <c:idx val="2"/>
            <c:bubble3D val="0"/>
            <c:spPr>
              <a:solidFill>
                <a:srgbClr val="C9E7A7"/>
              </a:solidFill>
            </c:spPr>
          </c:dPt>
          <c:dPt>
            <c:idx val="3"/>
            <c:bubble3D val="0"/>
            <c:spPr>
              <a:solidFill>
                <a:srgbClr val="00C459"/>
              </a:solidFill>
            </c:spPr>
          </c:dPt>
          <c:dPt>
            <c:idx val="4"/>
            <c:bubble3D val="0"/>
            <c:spPr>
              <a:solidFill>
                <a:srgbClr val="CDFFE4"/>
              </a:solidFill>
            </c:spPr>
          </c:dPt>
          <c:dPt>
            <c:idx val="5"/>
            <c:bubble3D val="0"/>
            <c:spPr>
              <a:solidFill>
                <a:srgbClr val="81BC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Individuals &amp; other withholding $223b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Company tax $91b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GST revenue $70b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Non-tax revenue $34b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Other $68b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Tobacco $13b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0"/>
          </c:dLbls>
          <c:cat>
            <c:strRef>
              <c:f>Composition!$A$33:$A$37</c:f>
              <c:strCache>
                <c:ptCount val="5"/>
                <c:pt idx="0">
                  <c:v>Individuals &amp; other withholding</c:v>
                </c:pt>
                <c:pt idx="1">
                  <c:v>Company tax</c:v>
                </c:pt>
                <c:pt idx="2">
                  <c:v>GST</c:v>
                </c:pt>
                <c:pt idx="3">
                  <c:v>Non-tax revenue</c:v>
                </c:pt>
                <c:pt idx="4">
                  <c:v>Other </c:v>
                </c:pt>
              </c:strCache>
            </c:strRef>
          </c:cat>
          <c:val>
            <c:numRef>
              <c:f>Composition!$B$33:$B$37</c:f>
              <c:numCache>
                <c:formatCode>0</c:formatCode>
                <c:ptCount val="5"/>
                <c:pt idx="0">
                  <c:v>222.9</c:v>
                </c:pt>
                <c:pt idx="1">
                  <c:v>91.2</c:v>
                </c:pt>
                <c:pt idx="2">
                  <c:v>70.31</c:v>
                </c:pt>
                <c:pt idx="3">
                  <c:v>34.14</c:v>
                </c:pt>
                <c:pt idx="4">
                  <c:v>67.549999999999983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174"/>
      </c:pie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312315147920681"/>
          <c:y val="9.7852288576842514E-2"/>
          <c:w val="0.46297308475687315"/>
          <c:h val="0.82417050550403148"/>
        </c:manualLayout>
      </c:layout>
      <c:pieChart>
        <c:varyColors val="1"/>
        <c:ser>
          <c:idx val="0"/>
          <c:order val="0"/>
          <c:tx>
            <c:strRef>
              <c:f>Composition!$B$15</c:f>
              <c:strCache>
                <c:ptCount val="1"/>
                <c:pt idx="0">
                  <c:v>2018-19</c:v>
                </c:pt>
              </c:strCache>
            </c:strRef>
          </c:tx>
          <c:dPt>
            <c:idx val="0"/>
            <c:bubble3D val="0"/>
            <c:spPr>
              <a:solidFill>
                <a:schemeClr val="tx2"/>
              </a:solidFill>
            </c:spPr>
          </c:dPt>
          <c:dPt>
            <c:idx val="1"/>
            <c:bubble3D val="0"/>
            <c:spPr>
              <a:solidFill>
                <a:srgbClr val="8EA1CC"/>
              </a:solidFill>
            </c:spPr>
          </c:dPt>
          <c:dPt>
            <c:idx val="2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</c:spPr>
          </c:dPt>
          <c:dPt>
            <c:idx val="3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4"/>
            <c:bubble3D val="0"/>
            <c:spPr>
              <a:solidFill>
                <a:srgbClr val="ABB9D9"/>
              </a:solidFill>
            </c:spPr>
          </c:dPt>
          <c:dPt>
            <c:idx val="5"/>
            <c:bubble3D val="0"/>
            <c:spPr>
              <a:solidFill>
                <a:schemeClr val="tx1">
                  <a:lumMod val="20000"/>
                  <a:lumOff val="80000"/>
                </a:schemeClr>
              </a:solidFill>
            </c:spPr>
          </c:dPt>
          <c:dPt>
            <c:idx val="6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7"/>
            <c:bubble3D val="0"/>
            <c:spPr>
              <a:solidFill>
                <a:srgbClr val="ABB9D9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Other Social security &amp; welfare </a:t>
                    </a:r>
                  </a:p>
                  <a:p>
                    <a:r>
                      <a:rPr lang="en-US"/>
                      <a:t>$129b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1"/>
              <c:layout>
                <c:manualLayout>
                  <c:x val="3.1746031746031744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Age Pension $47b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2"/>
              <c:layout>
                <c:manualLayout>
                  <c:x val="-1.984126984126984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Health  $79b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3"/>
              <c:layout>
                <c:manualLayout>
                  <c:x val="-1.9841269841269767E-2"/>
                  <c:y val="2.81986450218012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Education $35b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4"/>
              <c:layout>
                <c:manualLayout>
                  <c:x val="-1.5873015873015872E-2"/>
                  <c:y val="7.049661255450271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Defence $31b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5"/>
              <c:layout>
                <c:manualLayout>
                  <c:x val="-1.587301587301587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GST transfer to states $67b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6"/>
              <c:layout>
                <c:manualLayout>
                  <c:x val="-2.3809523809523808E-2"/>
                  <c:y val="-1.40993225109006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General public services $23b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7"/>
              <c:layout>
                <c:manualLayout>
                  <c:x val="-3.567415730337078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Other $77b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0"/>
          </c:dLbls>
          <c:cat>
            <c:strRef>
              <c:f>Composition!$A$16:$A$23</c:f>
              <c:strCache>
                <c:ptCount val="8"/>
                <c:pt idx="0">
                  <c:v>Other Social security &amp; welfare</c:v>
                </c:pt>
                <c:pt idx="1">
                  <c:v>Age Pension</c:v>
                </c:pt>
                <c:pt idx="2">
                  <c:v>Health </c:v>
                </c:pt>
                <c:pt idx="3">
                  <c:v>Education</c:v>
                </c:pt>
                <c:pt idx="4">
                  <c:v>Defence</c:v>
                </c:pt>
                <c:pt idx="5">
                  <c:v>GST transfer to states</c:v>
                </c:pt>
                <c:pt idx="6">
                  <c:v>General public services</c:v>
                </c:pt>
                <c:pt idx="7">
                  <c:v>Other</c:v>
                </c:pt>
              </c:strCache>
            </c:strRef>
          </c:cat>
          <c:val>
            <c:numRef>
              <c:f>Composition!$B$16:$B$23</c:f>
              <c:numCache>
                <c:formatCode>0</c:formatCode>
                <c:ptCount val="8"/>
                <c:pt idx="0">
                  <c:v>129.13300000000001</c:v>
                </c:pt>
                <c:pt idx="1">
                  <c:v>46.838000000000001</c:v>
                </c:pt>
                <c:pt idx="2">
                  <c:v>78.825000000000003</c:v>
                </c:pt>
                <c:pt idx="3">
                  <c:v>34.735999999999997</c:v>
                </c:pt>
                <c:pt idx="4">
                  <c:v>31.215</c:v>
                </c:pt>
                <c:pt idx="5">
                  <c:v>68.195999999999998</c:v>
                </c:pt>
                <c:pt idx="6">
                  <c:v>23.065000000000001</c:v>
                </c:pt>
                <c:pt idx="7">
                  <c:v>76.576000000000022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196"/>
      </c:pie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/>
            </a:pPr>
            <a:r>
              <a:rPr lang="en-AU" sz="800" b="0"/>
              <a:t>Per cent of nominal</a:t>
            </a:r>
            <a:r>
              <a:rPr lang="en-AU" sz="800" b="0" baseline="0"/>
              <a:t> GDP</a:t>
            </a:r>
            <a:endParaRPr lang="en-AU" sz="800" b="0"/>
          </a:p>
        </c:rich>
      </c:tx>
      <c:layout>
        <c:manualLayout>
          <c:xMode val="edge"/>
          <c:yMode val="edge"/>
          <c:x val="0.31340406093959211"/>
          <c:y val="7.0555555555555554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7563196752127616E-2"/>
          <c:y val="0.10256722222222223"/>
          <c:w val="0.85029057428214727"/>
          <c:h val="0.80187666666666668"/>
        </c:manualLayout>
      </c:layout>
      <c:lineChart>
        <c:grouping val="standard"/>
        <c:varyColors val="0"/>
        <c:ser>
          <c:idx val="0"/>
          <c:order val="1"/>
          <c:tx>
            <c:strRef>
              <c:f>'Medium term'!$A$18</c:f>
              <c:strCache>
                <c:ptCount val="1"/>
                <c:pt idx="0">
                  <c:v>Receipts</c:v>
                </c:pt>
              </c:strCache>
            </c:strRef>
          </c:tx>
          <c:spPr>
            <a:ln>
              <a:solidFill>
                <a:srgbClr val="92D050"/>
              </a:solidFill>
            </a:ln>
          </c:spPr>
          <c:marker>
            <c:symbol val="none"/>
          </c:marker>
          <c:dLbls>
            <c:dLbl>
              <c:idx val="41"/>
              <c:layout>
                <c:manualLayout>
                  <c:x val="-7.1596129837702874E-2"/>
                  <c:y val="8.7881111111111174E-2"/>
                </c:manualLayout>
              </c:layout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rgbClr val="92D050"/>
                    </a:solidFill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'Medium term'!$B$17:$BA$17</c:f>
              <c:strCache>
                <c:ptCount val="52"/>
                <c:pt idx="0">
                  <c:v>1970-71</c:v>
                </c:pt>
                <c:pt idx="1">
                  <c:v>1971-72</c:v>
                </c:pt>
                <c:pt idx="2">
                  <c:v>1972-73</c:v>
                </c:pt>
                <c:pt idx="3">
                  <c:v>1973-74</c:v>
                </c:pt>
                <c:pt idx="4">
                  <c:v>1974-75</c:v>
                </c:pt>
                <c:pt idx="5">
                  <c:v>1975-76</c:v>
                </c:pt>
                <c:pt idx="6">
                  <c:v>1976-77</c:v>
                </c:pt>
                <c:pt idx="7">
                  <c:v>1977-78</c:v>
                </c:pt>
                <c:pt idx="8">
                  <c:v>1978-79</c:v>
                </c:pt>
                <c:pt idx="9">
                  <c:v>1979-80</c:v>
                </c:pt>
                <c:pt idx="10">
                  <c:v>1980-81</c:v>
                </c:pt>
                <c:pt idx="11">
                  <c:v>1981-82</c:v>
                </c:pt>
                <c:pt idx="12">
                  <c:v>1982-83</c:v>
                </c:pt>
                <c:pt idx="13">
                  <c:v>1983-84</c:v>
                </c:pt>
                <c:pt idx="14">
                  <c:v>1984-85</c:v>
                </c:pt>
                <c:pt idx="15">
                  <c:v>1985-86</c:v>
                </c:pt>
                <c:pt idx="16">
                  <c:v>1986-87</c:v>
                </c:pt>
                <c:pt idx="17">
                  <c:v>1987-88</c:v>
                </c:pt>
                <c:pt idx="18">
                  <c:v>1988-89</c:v>
                </c:pt>
                <c:pt idx="19">
                  <c:v>1989-90</c:v>
                </c:pt>
                <c:pt idx="20">
                  <c:v>1990-91</c:v>
                </c:pt>
                <c:pt idx="21">
                  <c:v>1991-92</c:v>
                </c:pt>
                <c:pt idx="22">
                  <c:v>1992-93</c:v>
                </c:pt>
                <c:pt idx="23">
                  <c:v>1993-94</c:v>
                </c:pt>
                <c:pt idx="24">
                  <c:v>1994-95</c:v>
                </c:pt>
                <c:pt idx="25">
                  <c:v>1995-96</c:v>
                </c:pt>
                <c:pt idx="26">
                  <c:v>1996-97</c:v>
                </c:pt>
                <c:pt idx="27">
                  <c:v>1997-98</c:v>
                </c:pt>
                <c:pt idx="28">
                  <c:v>1998-99</c:v>
                </c:pt>
                <c:pt idx="29">
                  <c:v>1999-00</c:v>
                </c:pt>
                <c:pt idx="30">
                  <c:v>2000-01</c:v>
                </c:pt>
                <c:pt idx="31">
                  <c:v>2001-02</c:v>
                </c:pt>
                <c:pt idx="32">
                  <c:v>2002-03</c:v>
                </c:pt>
                <c:pt idx="33">
                  <c:v>2003-04</c:v>
                </c:pt>
                <c:pt idx="34">
                  <c:v>2004-05</c:v>
                </c:pt>
                <c:pt idx="35">
                  <c:v>2005-06</c:v>
                </c:pt>
                <c:pt idx="36">
                  <c:v>2006-07</c:v>
                </c:pt>
                <c:pt idx="37">
                  <c:v>2007-08</c:v>
                </c:pt>
                <c:pt idx="38">
                  <c:v>2008-09</c:v>
                </c:pt>
                <c:pt idx="39">
                  <c:v>2009-10</c:v>
                </c:pt>
                <c:pt idx="40">
                  <c:v>2010-11</c:v>
                </c:pt>
                <c:pt idx="41">
                  <c:v>2011-12</c:v>
                </c:pt>
                <c:pt idx="42">
                  <c:v>2012-13</c:v>
                </c:pt>
                <c:pt idx="43">
                  <c:v>2013-14</c:v>
                </c:pt>
                <c:pt idx="44">
                  <c:v>2014-15</c:v>
                </c:pt>
                <c:pt idx="45">
                  <c:v>2015-16</c:v>
                </c:pt>
                <c:pt idx="46">
                  <c:v>2016-17</c:v>
                </c:pt>
                <c:pt idx="47">
                  <c:v>2017-18</c:v>
                </c:pt>
                <c:pt idx="48">
                  <c:v>2018-19</c:v>
                </c:pt>
                <c:pt idx="49">
                  <c:v>2019-20</c:v>
                </c:pt>
                <c:pt idx="50">
                  <c:v>2020-21</c:v>
                </c:pt>
                <c:pt idx="51">
                  <c:v>2021-22</c:v>
                </c:pt>
              </c:strCache>
            </c:strRef>
          </c:cat>
          <c:val>
            <c:numRef>
              <c:f>'Medium term'!$B$18:$BA$18</c:f>
              <c:numCache>
                <c:formatCode>#,##0</c:formatCode>
                <c:ptCount val="52"/>
                <c:pt idx="0">
                  <c:v>20.560005952233325</c:v>
                </c:pt>
                <c:pt idx="1">
                  <c:v>20.53178099433606</c:v>
                </c:pt>
                <c:pt idx="2">
                  <c:v>19.565479540155962</c:v>
                </c:pt>
                <c:pt idx="3">
                  <c:v>20.284662088185527</c:v>
                </c:pt>
                <c:pt idx="4">
                  <c:v>21.979457925278552</c:v>
                </c:pt>
                <c:pt idx="5">
                  <c:v>22.495435325773592</c:v>
                </c:pt>
                <c:pt idx="6">
                  <c:v>22.780726402331148</c:v>
                </c:pt>
                <c:pt idx="7">
                  <c:v>22.888971478124969</c:v>
                </c:pt>
                <c:pt idx="8">
                  <c:v>22.029897054979891</c:v>
                </c:pt>
                <c:pt idx="9">
                  <c:v>22.552548978772148</c:v>
                </c:pt>
                <c:pt idx="10">
                  <c:v>23.653461963093424</c:v>
                </c:pt>
                <c:pt idx="11">
                  <c:v>23.626633265962596</c:v>
                </c:pt>
                <c:pt idx="12">
                  <c:v>24.030466887609744</c:v>
                </c:pt>
                <c:pt idx="13">
                  <c:v>23.419738161507681</c:v>
                </c:pt>
                <c:pt idx="14">
                  <c:v>25.02712615897844</c:v>
                </c:pt>
                <c:pt idx="15">
                  <c:v>25.435964423612578</c:v>
                </c:pt>
                <c:pt idx="16">
                  <c:v>26.149673671501812</c:v>
                </c:pt>
                <c:pt idx="17">
                  <c:v>25.773122680940652</c:v>
                </c:pt>
                <c:pt idx="18">
                  <c:v>24.687220307352465</c:v>
                </c:pt>
                <c:pt idx="19">
                  <c:v>24.416238376756482</c:v>
                </c:pt>
                <c:pt idx="20">
                  <c:v>24.178000569308484</c:v>
                </c:pt>
                <c:pt idx="21">
                  <c:v>22.687352936999041</c:v>
                </c:pt>
                <c:pt idx="22">
                  <c:v>22.020709612083838</c:v>
                </c:pt>
                <c:pt idx="23">
                  <c:v>22.29212247956491</c:v>
                </c:pt>
                <c:pt idx="24">
                  <c:v>22.940875553767235</c:v>
                </c:pt>
                <c:pt idx="25">
                  <c:v>23.584009825644099</c:v>
                </c:pt>
                <c:pt idx="26">
                  <c:v>24.058016427422739</c:v>
                </c:pt>
                <c:pt idx="27">
                  <c:v>23.930746118412436</c:v>
                </c:pt>
                <c:pt idx="28">
                  <c:v>24.534164998120364</c:v>
                </c:pt>
                <c:pt idx="29">
                  <c:v>25.148965361748875</c:v>
                </c:pt>
                <c:pt idx="30">
                  <c:v>25.965554808262603</c:v>
                </c:pt>
                <c:pt idx="31">
                  <c:v>24.880970975259402</c:v>
                </c:pt>
                <c:pt idx="32">
                  <c:v>25.556574672354486</c:v>
                </c:pt>
                <c:pt idx="33">
                  <c:v>25.316321208070075</c:v>
                </c:pt>
                <c:pt idx="34">
                  <c:v>25.612774180696142</c:v>
                </c:pt>
                <c:pt idx="35">
                  <c:v>25.704349255441407</c:v>
                </c:pt>
                <c:pt idx="36">
                  <c:v>25.124522000657496</c:v>
                </c:pt>
                <c:pt idx="37">
                  <c:v>25.083568689256186</c:v>
                </c:pt>
                <c:pt idx="38">
                  <c:v>23.253531085794041</c:v>
                </c:pt>
                <c:pt idx="39">
                  <c:v>21.912607470369391</c:v>
                </c:pt>
                <c:pt idx="40">
                  <c:v>21.356234246609393</c:v>
                </c:pt>
                <c:pt idx="41">
                  <c:v>22.038641064144173</c:v>
                </c:pt>
                <c:pt idx="42">
                  <c:v>22.88653098347821</c:v>
                </c:pt>
                <c:pt idx="43">
                  <c:v>22.579726816828419</c:v>
                </c:pt>
                <c:pt idx="44">
                  <c:v>23.331669376576894</c:v>
                </c:pt>
                <c:pt idx="45">
                  <c:v>23.314250606651257</c:v>
                </c:pt>
                <c:pt idx="46">
                  <c:v>23.3</c:v>
                </c:pt>
                <c:pt idx="47">
                  <c:v>24.3</c:v>
                </c:pt>
                <c:pt idx="48">
                  <c:v>24.9</c:v>
                </c:pt>
                <c:pt idx="49">
                  <c:v>25.3</c:v>
                </c:pt>
                <c:pt idx="50">
                  <c:v>25.2</c:v>
                </c:pt>
                <c:pt idx="51">
                  <c:v>25.5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767488"/>
        <c:axId val="128769024"/>
      </c:lineChart>
      <c:lineChart>
        <c:grouping val="standard"/>
        <c:varyColors val="0"/>
        <c:ser>
          <c:idx val="1"/>
          <c:order val="0"/>
          <c:tx>
            <c:strRef>
              <c:f>'Medium term'!$A$19</c:f>
              <c:strCache>
                <c:ptCount val="1"/>
                <c:pt idx="0">
                  <c:v>Payments</c:v>
                </c:pt>
              </c:strCache>
            </c:strRef>
          </c:tx>
          <c:spPr>
            <a:ln>
              <a:solidFill>
                <a:srgbClr val="3D4DC5"/>
              </a:solidFill>
            </a:ln>
          </c:spPr>
          <c:marker>
            <c:symbol val="none"/>
          </c:marker>
          <c:dLbls>
            <c:dLbl>
              <c:idx val="43"/>
              <c:layout>
                <c:manualLayout>
                  <c:x val="-0.12874406991260923"/>
                  <c:y val="-9.998888888888889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2"/>
                        </a:solidFill>
                      </a:rPr>
                      <a:t>Payments</a:t>
                    </a:r>
                    <a:endParaRPr lang="en-US">
                      <a:solidFill>
                        <a:schemeClr val="bg1">
                          <a:lumMod val="65000"/>
                        </a:schemeClr>
                      </a:solidFill>
                    </a:endParaRPr>
                  </a:p>
                </c:rich>
              </c:tx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2"/>
                    </a:solidFill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'Medium term'!$B$17:$BA$17</c:f>
              <c:strCache>
                <c:ptCount val="52"/>
                <c:pt idx="0">
                  <c:v>1970-71</c:v>
                </c:pt>
                <c:pt idx="1">
                  <c:v>1971-72</c:v>
                </c:pt>
                <c:pt idx="2">
                  <c:v>1972-73</c:v>
                </c:pt>
                <c:pt idx="3">
                  <c:v>1973-74</c:v>
                </c:pt>
                <c:pt idx="4">
                  <c:v>1974-75</c:v>
                </c:pt>
                <c:pt idx="5">
                  <c:v>1975-76</c:v>
                </c:pt>
                <c:pt idx="6">
                  <c:v>1976-77</c:v>
                </c:pt>
                <c:pt idx="7">
                  <c:v>1977-78</c:v>
                </c:pt>
                <c:pt idx="8">
                  <c:v>1978-79</c:v>
                </c:pt>
                <c:pt idx="9">
                  <c:v>1979-80</c:v>
                </c:pt>
                <c:pt idx="10">
                  <c:v>1980-81</c:v>
                </c:pt>
                <c:pt idx="11">
                  <c:v>1981-82</c:v>
                </c:pt>
                <c:pt idx="12">
                  <c:v>1982-83</c:v>
                </c:pt>
                <c:pt idx="13">
                  <c:v>1983-84</c:v>
                </c:pt>
                <c:pt idx="14">
                  <c:v>1984-85</c:v>
                </c:pt>
                <c:pt idx="15">
                  <c:v>1985-86</c:v>
                </c:pt>
                <c:pt idx="16">
                  <c:v>1986-87</c:v>
                </c:pt>
                <c:pt idx="17">
                  <c:v>1987-88</c:v>
                </c:pt>
                <c:pt idx="18">
                  <c:v>1988-89</c:v>
                </c:pt>
                <c:pt idx="19">
                  <c:v>1989-90</c:v>
                </c:pt>
                <c:pt idx="20">
                  <c:v>1990-91</c:v>
                </c:pt>
                <c:pt idx="21">
                  <c:v>1991-92</c:v>
                </c:pt>
                <c:pt idx="22">
                  <c:v>1992-93</c:v>
                </c:pt>
                <c:pt idx="23">
                  <c:v>1993-94</c:v>
                </c:pt>
                <c:pt idx="24">
                  <c:v>1994-95</c:v>
                </c:pt>
                <c:pt idx="25">
                  <c:v>1995-96</c:v>
                </c:pt>
                <c:pt idx="26">
                  <c:v>1996-97</c:v>
                </c:pt>
                <c:pt idx="27">
                  <c:v>1997-98</c:v>
                </c:pt>
                <c:pt idx="28">
                  <c:v>1998-99</c:v>
                </c:pt>
                <c:pt idx="29">
                  <c:v>1999-00</c:v>
                </c:pt>
                <c:pt idx="30">
                  <c:v>2000-01</c:v>
                </c:pt>
                <c:pt idx="31">
                  <c:v>2001-02</c:v>
                </c:pt>
                <c:pt idx="32">
                  <c:v>2002-03</c:v>
                </c:pt>
                <c:pt idx="33">
                  <c:v>2003-04</c:v>
                </c:pt>
                <c:pt idx="34">
                  <c:v>2004-05</c:v>
                </c:pt>
                <c:pt idx="35">
                  <c:v>2005-06</c:v>
                </c:pt>
                <c:pt idx="36">
                  <c:v>2006-07</c:v>
                </c:pt>
                <c:pt idx="37">
                  <c:v>2007-08</c:v>
                </c:pt>
                <c:pt idx="38">
                  <c:v>2008-09</c:v>
                </c:pt>
                <c:pt idx="39">
                  <c:v>2009-10</c:v>
                </c:pt>
                <c:pt idx="40">
                  <c:v>2010-11</c:v>
                </c:pt>
                <c:pt idx="41">
                  <c:v>2011-12</c:v>
                </c:pt>
                <c:pt idx="42">
                  <c:v>2012-13</c:v>
                </c:pt>
                <c:pt idx="43">
                  <c:v>2013-14</c:v>
                </c:pt>
                <c:pt idx="44">
                  <c:v>2014-15</c:v>
                </c:pt>
                <c:pt idx="45">
                  <c:v>2015-16</c:v>
                </c:pt>
                <c:pt idx="46">
                  <c:v>2016-17</c:v>
                </c:pt>
                <c:pt idx="47">
                  <c:v>2017-18</c:v>
                </c:pt>
                <c:pt idx="48">
                  <c:v>2018-19</c:v>
                </c:pt>
                <c:pt idx="49">
                  <c:v>2019-20</c:v>
                </c:pt>
                <c:pt idx="50">
                  <c:v>2020-21</c:v>
                </c:pt>
                <c:pt idx="51">
                  <c:v>2021-22</c:v>
                </c:pt>
              </c:strCache>
            </c:strRef>
          </c:cat>
          <c:val>
            <c:numRef>
              <c:f>'Medium term'!$B$19:$BA$19</c:f>
              <c:numCache>
                <c:formatCode>#,##0</c:formatCode>
                <c:ptCount val="52"/>
                <c:pt idx="0">
                  <c:v>18.3254383571836</c:v>
                </c:pt>
                <c:pt idx="1">
                  <c:v>18.540411759417424</c:v>
                </c:pt>
                <c:pt idx="2">
                  <c:v>18.868076211914143</c:v>
                </c:pt>
                <c:pt idx="3">
                  <c:v>18.376961613748716</c:v>
                </c:pt>
                <c:pt idx="4">
                  <c:v>21.726545924604125</c:v>
                </c:pt>
                <c:pt idx="5">
                  <c:v>24.294877955025946</c:v>
                </c:pt>
                <c:pt idx="6">
                  <c:v>24.099281923197001</c:v>
                </c:pt>
                <c:pt idx="7">
                  <c:v>24.831089129668278</c:v>
                </c:pt>
                <c:pt idx="8">
                  <c:v>23.836704410363637</c:v>
                </c:pt>
                <c:pt idx="9">
                  <c:v>23.535099593888997</c:v>
                </c:pt>
                <c:pt idx="10">
                  <c:v>23.773723778981125</c:v>
                </c:pt>
                <c:pt idx="11">
                  <c:v>23.428506362264795</c:v>
                </c:pt>
                <c:pt idx="12">
                  <c:v>25.799597228168658</c:v>
                </c:pt>
                <c:pt idx="13">
                  <c:v>26.703965063210472</c:v>
                </c:pt>
                <c:pt idx="14">
                  <c:v>27.595494717313514</c:v>
                </c:pt>
                <c:pt idx="15">
                  <c:v>27.403807365003747</c:v>
                </c:pt>
                <c:pt idx="16">
                  <c:v>27.001452293048239</c:v>
                </c:pt>
                <c:pt idx="17">
                  <c:v>25.324899828983842</c:v>
                </c:pt>
                <c:pt idx="18">
                  <c:v>23.212211397993965</c:v>
                </c:pt>
                <c:pt idx="19">
                  <c:v>22.945446263232423</c:v>
                </c:pt>
                <c:pt idx="20">
                  <c:v>24.283660364067948</c:v>
                </c:pt>
                <c:pt idx="21">
                  <c:v>25.677614229780467</c:v>
                </c:pt>
                <c:pt idx="22">
                  <c:v>26.10714777081844</c:v>
                </c:pt>
                <c:pt idx="23">
                  <c:v>26.196636342360485</c:v>
                </c:pt>
                <c:pt idx="24">
                  <c:v>25.8041883101784</c:v>
                </c:pt>
                <c:pt idx="25">
                  <c:v>25.689586219837413</c:v>
                </c:pt>
                <c:pt idx="26">
                  <c:v>25.155999286860403</c:v>
                </c:pt>
                <c:pt idx="27">
                  <c:v>23.905410161929069</c:v>
                </c:pt>
                <c:pt idx="28">
                  <c:v>23.906866881466794</c:v>
                </c:pt>
                <c:pt idx="29">
                  <c:v>23.180781376965435</c:v>
                </c:pt>
                <c:pt idx="30">
                  <c:v>25.132164292829106</c:v>
                </c:pt>
                <c:pt idx="31">
                  <c:v>25.022484962245155</c:v>
                </c:pt>
                <c:pt idx="32">
                  <c:v>24.636061774978931</c:v>
                </c:pt>
                <c:pt idx="33">
                  <c:v>24.387474997788345</c:v>
                </c:pt>
                <c:pt idx="34">
                  <c:v>24.139159541174827</c:v>
                </c:pt>
                <c:pt idx="35">
                  <c:v>24.116815302496221</c:v>
                </c:pt>
                <c:pt idx="36">
                  <c:v>23.344425077855956</c:v>
                </c:pt>
                <c:pt idx="37">
                  <c:v>23.121101657938809</c:v>
                </c:pt>
                <c:pt idx="38">
                  <c:v>25.116889810089315</c:v>
                </c:pt>
                <c:pt idx="39">
                  <c:v>25.933779777827215</c:v>
                </c:pt>
                <c:pt idx="40">
                  <c:v>24.47299396739659</c:v>
                </c:pt>
                <c:pt idx="41">
                  <c:v>24.788339128693124</c:v>
                </c:pt>
                <c:pt idx="42">
                  <c:v>23.939545690126458</c:v>
                </c:pt>
                <c:pt idx="43">
                  <c:v>25.46910417190908</c:v>
                </c:pt>
                <c:pt idx="44">
                  <c:v>25.414955214357427</c:v>
                </c:pt>
                <c:pt idx="45">
                  <c:v>25.507775940296888</c:v>
                </c:pt>
                <c:pt idx="46">
                  <c:v>25.015414904319417</c:v>
                </c:pt>
                <c:pt idx="47">
                  <c:v>25.1</c:v>
                </c:pt>
                <c:pt idx="48">
                  <c:v>25.420896060437197</c:v>
                </c:pt>
                <c:pt idx="49">
                  <c:v>25</c:v>
                </c:pt>
                <c:pt idx="50">
                  <c:v>24.7</c:v>
                </c:pt>
                <c:pt idx="51">
                  <c:v>24.7</c:v>
                </c:pt>
              </c:numCache>
            </c:numRef>
          </c:val>
          <c:smooth val="0"/>
        </c:ser>
        <c:ser>
          <c:idx val="2"/>
          <c:order val="2"/>
          <c:tx>
            <c:v>DUMMY</c:v>
          </c:tx>
          <c:spPr>
            <a:ln w="25400">
              <a:noFill/>
            </a:ln>
            <a:effectLst/>
          </c:spPr>
          <c:marker>
            <c:symbol val="none"/>
          </c:marker>
          <c:cat>
            <c:strRef>
              <c:f>'Medium term'!$B$17:$BA$17</c:f>
              <c:strCache>
                <c:ptCount val="52"/>
                <c:pt idx="0">
                  <c:v>1970-71</c:v>
                </c:pt>
                <c:pt idx="1">
                  <c:v>1971-72</c:v>
                </c:pt>
                <c:pt idx="2">
                  <c:v>1972-73</c:v>
                </c:pt>
                <c:pt idx="3">
                  <c:v>1973-74</c:v>
                </c:pt>
                <c:pt idx="4">
                  <c:v>1974-75</c:v>
                </c:pt>
                <c:pt idx="5">
                  <c:v>1975-76</c:v>
                </c:pt>
                <c:pt idx="6">
                  <c:v>1976-77</c:v>
                </c:pt>
                <c:pt idx="7">
                  <c:v>1977-78</c:v>
                </c:pt>
                <c:pt idx="8">
                  <c:v>1978-79</c:v>
                </c:pt>
                <c:pt idx="9">
                  <c:v>1979-80</c:v>
                </c:pt>
                <c:pt idx="10">
                  <c:v>1980-81</c:v>
                </c:pt>
                <c:pt idx="11">
                  <c:v>1981-82</c:v>
                </c:pt>
                <c:pt idx="12">
                  <c:v>1982-83</c:v>
                </c:pt>
                <c:pt idx="13">
                  <c:v>1983-84</c:v>
                </c:pt>
                <c:pt idx="14">
                  <c:v>1984-85</c:v>
                </c:pt>
                <c:pt idx="15">
                  <c:v>1985-86</c:v>
                </c:pt>
                <c:pt idx="16">
                  <c:v>1986-87</c:v>
                </c:pt>
                <c:pt idx="17">
                  <c:v>1987-88</c:v>
                </c:pt>
                <c:pt idx="18">
                  <c:v>1988-89</c:v>
                </c:pt>
                <c:pt idx="19">
                  <c:v>1989-90</c:v>
                </c:pt>
                <c:pt idx="20">
                  <c:v>1990-91</c:v>
                </c:pt>
                <c:pt idx="21">
                  <c:v>1991-92</c:v>
                </c:pt>
                <c:pt idx="22">
                  <c:v>1992-93</c:v>
                </c:pt>
                <c:pt idx="23">
                  <c:v>1993-94</c:v>
                </c:pt>
                <c:pt idx="24">
                  <c:v>1994-95</c:v>
                </c:pt>
                <c:pt idx="25">
                  <c:v>1995-96</c:v>
                </c:pt>
                <c:pt idx="26">
                  <c:v>1996-97</c:v>
                </c:pt>
                <c:pt idx="27">
                  <c:v>1997-98</c:v>
                </c:pt>
                <c:pt idx="28">
                  <c:v>1998-99</c:v>
                </c:pt>
                <c:pt idx="29">
                  <c:v>1999-00</c:v>
                </c:pt>
                <c:pt idx="30">
                  <c:v>2000-01</c:v>
                </c:pt>
                <c:pt idx="31">
                  <c:v>2001-02</c:v>
                </c:pt>
                <c:pt idx="32">
                  <c:v>2002-03</c:v>
                </c:pt>
                <c:pt idx="33">
                  <c:v>2003-04</c:v>
                </c:pt>
                <c:pt idx="34">
                  <c:v>2004-05</c:v>
                </c:pt>
                <c:pt idx="35">
                  <c:v>2005-06</c:v>
                </c:pt>
                <c:pt idx="36">
                  <c:v>2006-07</c:v>
                </c:pt>
                <c:pt idx="37">
                  <c:v>2007-08</c:v>
                </c:pt>
                <c:pt idx="38">
                  <c:v>2008-09</c:v>
                </c:pt>
                <c:pt idx="39">
                  <c:v>2009-10</c:v>
                </c:pt>
                <c:pt idx="40">
                  <c:v>2010-11</c:v>
                </c:pt>
                <c:pt idx="41">
                  <c:v>2011-12</c:v>
                </c:pt>
                <c:pt idx="42">
                  <c:v>2012-13</c:v>
                </c:pt>
                <c:pt idx="43">
                  <c:v>2013-14</c:v>
                </c:pt>
                <c:pt idx="44">
                  <c:v>2014-15</c:v>
                </c:pt>
                <c:pt idx="45">
                  <c:v>2015-16</c:v>
                </c:pt>
                <c:pt idx="46">
                  <c:v>2016-17</c:v>
                </c:pt>
                <c:pt idx="47">
                  <c:v>2017-18</c:v>
                </c:pt>
                <c:pt idx="48">
                  <c:v>2018-19</c:v>
                </c:pt>
                <c:pt idx="49">
                  <c:v>2019-20</c:v>
                </c:pt>
                <c:pt idx="50">
                  <c:v>2020-21</c:v>
                </c:pt>
                <c:pt idx="51">
                  <c:v>2021-22</c:v>
                </c:pt>
              </c:strCache>
            </c:strRef>
          </c:cat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785408"/>
        <c:axId val="128783488"/>
      </c:lineChart>
      <c:catAx>
        <c:axId val="128767488"/>
        <c:scaling>
          <c:orientation val="minMax"/>
        </c:scaling>
        <c:delete val="0"/>
        <c:axPos val="b"/>
        <c:majorTickMark val="in"/>
        <c:minorTickMark val="none"/>
        <c:tickLblPos val="low"/>
        <c:spPr>
          <a:ln w="12700">
            <a:solidFill>
              <a:srgbClr val="808080"/>
            </a:solidFill>
            <a:prstDash val="solid"/>
          </a:ln>
        </c:spPr>
        <c:txPr>
          <a:bodyPr rot="0"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28769024"/>
        <c:crosses val="autoZero"/>
        <c:auto val="1"/>
        <c:lblAlgn val="ctr"/>
        <c:lblOffset val="100"/>
        <c:noMultiLvlLbl val="0"/>
      </c:catAx>
      <c:valAx>
        <c:axId val="128769024"/>
        <c:scaling>
          <c:orientation val="minMax"/>
          <c:max val="30"/>
          <c:min val="15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700" b="0" i="0"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1.1699440453532954E-2"/>
              <c:y val="0"/>
            </c:manualLayout>
          </c:layout>
          <c:overlay val="0"/>
        </c:title>
        <c:numFmt formatCode="#,##0" sourceLinked="1"/>
        <c:majorTickMark val="in"/>
        <c:minorTickMark val="none"/>
        <c:tickLblPos val="nextTo"/>
        <c:spPr>
          <a:ln w="12700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28767488"/>
        <c:crosses val="autoZero"/>
        <c:crossBetween val="between"/>
        <c:majorUnit val="5"/>
      </c:valAx>
      <c:valAx>
        <c:axId val="128783488"/>
        <c:scaling>
          <c:orientation val="minMax"/>
          <c:max val="30"/>
          <c:min val="15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00" b="0" i="0"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0.93034933116663376"/>
              <c:y val="0"/>
            </c:manualLayout>
          </c:layout>
          <c:overlay val="0"/>
        </c:title>
        <c:numFmt formatCode="#,##0" sourceLinked="0"/>
        <c:majorTickMark val="in"/>
        <c:minorTickMark val="none"/>
        <c:tickLblPos val="nextTo"/>
        <c:spPr>
          <a:ln w="12700">
            <a:solidFill>
              <a:srgbClr val="808080"/>
            </a:solidFill>
            <a:prstDash val="solid"/>
          </a:ln>
        </c:spPr>
        <c:txPr>
          <a:bodyPr rot="-60000000" vert="horz"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28785408"/>
        <c:crosses val="max"/>
        <c:crossBetween val="between"/>
        <c:majorUnit val="5"/>
      </c:valAx>
      <c:catAx>
        <c:axId val="128785408"/>
        <c:scaling>
          <c:orientation val="minMax"/>
        </c:scaling>
        <c:delete val="1"/>
        <c:axPos val="b"/>
        <c:majorTickMark val="out"/>
        <c:minorTickMark val="none"/>
        <c:tickLblPos val="nextTo"/>
        <c:crossAx val="128783488"/>
        <c:crosses val="autoZero"/>
        <c:auto val="1"/>
        <c:lblAlgn val="ctr"/>
        <c:lblOffset val="100"/>
        <c:noMultiLvlLbl val="0"/>
      </c:catAx>
      <c:spPr>
        <a:solidFill>
          <a:srgbClr val="FFFFFF"/>
        </a:solidFill>
        <a:ln>
          <a:noFill/>
          <a:round/>
        </a:ln>
        <a:effectLst/>
        <a:extLst>
          <a:ext uri="{91240B29-F687-4F45-9708-019B960494DF}">
            <a14:hiddenLine xmlns:a14="http://schemas.microsoft.com/office/drawing/2010/main">
              <a:noFill/>
              <a:round/>
            </a14:hiddenLine>
          </a:ext>
        </a:extLst>
      </c:spPr>
    </c:plotArea>
    <c:plotVisOnly val="1"/>
    <c:dispBlanksAs val="gap"/>
    <c:showDLblsOverMax val="0"/>
  </c:chart>
  <c:spPr>
    <a:solidFill>
      <a:srgbClr val="FFFFFF"/>
    </a:solidFill>
    <a:ln w="9525" cap="flat" cmpd="sng" algn="ctr">
      <a:noFill/>
      <a:prstDash val="solid"/>
      <a:round/>
    </a:ln>
    <a:effectLst/>
    <a:extLst>
      <a:ext uri="{91240B29-F687-4F45-9708-019B960494DF}">
        <a14:hiddenLine xmlns:a14="http://schemas.microsoft.com/office/drawing/2010/main" w="9525" cap="flat" cmpd="sng" algn="ctr">
          <a:solidFill>
            <a:srgbClr val="000000">
              <a:tint val="75000"/>
              <a:shade val="95000"/>
              <a:satMod val="105000"/>
            </a:srgbClr>
          </a:solidFill>
          <a:prstDash val="solid"/>
          <a:round/>
        </a14:hiddenLine>
      </a:ext>
    </a:extLst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/>
            </a:pPr>
            <a:r>
              <a:rPr lang="en-AU" sz="800" b="0"/>
              <a:t>Per cent of nominal GDP</a:t>
            </a:r>
          </a:p>
        </c:rich>
      </c:tx>
      <c:layout>
        <c:manualLayout>
          <c:xMode val="edge"/>
          <c:yMode val="edge"/>
          <c:x val="0.33384907475269471"/>
          <c:y val="1.6957669473212891E-2"/>
        </c:manualLayout>
      </c:layout>
      <c:overlay val="1"/>
    </c:title>
    <c:autoTitleDeleted val="0"/>
    <c:plotArea>
      <c:layout>
        <c:manualLayout>
          <c:xMode val="edge"/>
          <c:yMode val="edge"/>
          <c:x val="7.7435185185185185E-3"/>
          <c:y val="6.3500000000000001E-2"/>
          <c:w val="0.98040123456790118"/>
          <c:h val="0.9365"/>
        </c:manualLayout>
      </c:layout>
      <c:lineChart>
        <c:grouping val="standard"/>
        <c:varyColors val="0"/>
        <c:ser>
          <c:idx val="0"/>
          <c:order val="0"/>
          <c:tx>
            <c:strRef>
              <c:f>'Medium term'!$A$32</c:f>
              <c:strCache>
                <c:ptCount val="1"/>
                <c:pt idx="0">
                  <c:v>Net debt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none"/>
          </c:marker>
          <c:dLbls>
            <c:dLbl>
              <c:idx val="23"/>
              <c:layout>
                <c:manualLayout>
                  <c:x val="-6.2083645443196007E-2"/>
                  <c:y val="-0.1562898148148148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Historical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'Medium term'!$B$1:$BH$1</c:f>
              <c:strCache>
                <c:ptCount val="59"/>
                <c:pt idx="0">
                  <c:v>1970-71</c:v>
                </c:pt>
                <c:pt idx="1">
                  <c:v>1971-72</c:v>
                </c:pt>
                <c:pt idx="2">
                  <c:v>1972-73</c:v>
                </c:pt>
                <c:pt idx="3">
                  <c:v>1973-74</c:v>
                </c:pt>
                <c:pt idx="4">
                  <c:v>1974-75</c:v>
                </c:pt>
                <c:pt idx="5">
                  <c:v>1975-76</c:v>
                </c:pt>
                <c:pt idx="6">
                  <c:v>1976-77</c:v>
                </c:pt>
                <c:pt idx="7">
                  <c:v>1977-78</c:v>
                </c:pt>
                <c:pt idx="8">
                  <c:v>1978-79</c:v>
                </c:pt>
                <c:pt idx="9">
                  <c:v>1979-80</c:v>
                </c:pt>
                <c:pt idx="10">
                  <c:v>1980-81</c:v>
                </c:pt>
                <c:pt idx="11">
                  <c:v>1981-82</c:v>
                </c:pt>
                <c:pt idx="12">
                  <c:v>1982-83</c:v>
                </c:pt>
                <c:pt idx="13">
                  <c:v>1983-84</c:v>
                </c:pt>
                <c:pt idx="14">
                  <c:v>1984-85</c:v>
                </c:pt>
                <c:pt idx="15">
                  <c:v>1985-86</c:v>
                </c:pt>
                <c:pt idx="16">
                  <c:v>1986-87</c:v>
                </c:pt>
                <c:pt idx="17">
                  <c:v>1987-88</c:v>
                </c:pt>
                <c:pt idx="18">
                  <c:v>1988-89</c:v>
                </c:pt>
                <c:pt idx="19">
                  <c:v>1989-90</c:v>
                </c:pt>
                <c:pt idx="20">
                  <c:v>1990-91</c:v>
                </c:pt>
                <c:pt idx="21">
                  <c:v>1991-92</c:v>
                </c:pt>
                <c:pt idx="22">
                  <c:v>1992-93</c:v>
                </c:pt>
                <c:pt idx="23">
                  <c:v>1993-94</c:v>
                </c:pt>
                <c:pt idx="24">
                  <c:v>1994-95</c:v>
                </c:pt>
                <c:pt idx="25">
                  <c:v>1995-96</c:v>
                </c:pt>
                <c:pt idx="26">
                  <c:v>1996-97</c:v>
                </c:pt>
                <c:pt idx="27">
                  <c:v>1997-98</c:v>
                </c:pt>
                <c:pt idx="28">
                  <c:v>1998-99</c:v>
                </c:pt>
                <c:pt idx="29">
                  <c:v>1999-00</c:v>
                </c:pt>
                <c:pt idx="30">
                  <c:v>2000-01</c:v>
                </c:pt>
                <c:pt idx="31">
                  <c:v>2001-02</c:v>
                </c:pt>
                <c:pt idx="32">
                  <c:v>2002-03</c:v>
                </c:pt>
                <c:pt idx="33">
                  <c:v>2003-04</c:v>
                </c:pt>
                <c:pt idx="34">
                  <c:v>2004-05</c:v>
                </c:pt>
                <c:pt idx="35">
                  <c:v>2005-06</c:v>
                </c:pt>
                <c:pt idx="36">
                  <c:v>2006-07</c:v>
                </c:pt>
                <c:pt idx="37">
                  <c:v>2007-08</c:v>
                </c:pt>
                <c:pt idx="38">
                  <c:v>2008-09</c:v>
                </c:pt>
                <c:pt idx="39">
                  <c:v>2009-10</c:v>
                </c:pt>
                <c:pt idx="40">
                  <c:v>2010-11</c:v>
                </c:pt>
                <c:pt idx="41">
                  <c:v>2011-12</c:v>
                </c:pt>
                <c:pt idx="42">
                  <c:v>2012-13</c:v>
                </c:pt>
                <c:pt idx="43">
                  <c:v>2013-14</c:v>
                </c:pt>
                <c:pt idx="44">
                  <c:v>2014-15</c:v>
                </c:pt>
                <c:pt idx="45">
                  <c:v>2015-16</c:v>
                </c:pt>
                <c:pt idx="46">
                  <c:v>2016-17</c:v>
                </c:pt>
                <c:pt idx="47">
                  <c:v>2017-18</c:v>
                </c:pt>
                <c:pt idx="48">
                  <c:v>2018-19</c:v>
                </c:pt>
                <c:pt idx="49">
                  <c:v>2019-20</c:v>
                </c:pt>
                <c:pt idx="50">
                  <c:v>2020-21</c:v>
                </c:pt>
                <c:pt idx="51">
                  <c:v>2021-22</c:v>
                </c:pt>
                <c:pt idx="52">
                  <c:v>2022-23</c:v>
                </c:pt>
                <c:pt idx="53">
                  <c:v>2023-24</c:v>
                </c:pt>
                <c:pt idx="54">
                  <c:v>2024-25</c:v>
                </c:pt>
                <c:pt idx="55">
                  <c:v>2025-26</c:v>
                </c:pt>
                <c:pt idx="56">
                  <c:v>2026-27</c:v>
                </c:pt>
                <c:pt idx="57">
                  <c:v>2027-28</c:v>
                </c:pt>
                <c:pt idx="58">
                  <c:v>2028-29</c:v>
                </c:pt>
              </c:strCache>
            </c:strRef>
          </c:cat>
          <c:val>
            <c:numRef>
              <c:f>'Medium term'!$B$32:$BH$32</c:f>
              <c:numCache>
                <c:formatCode>0.0</c:formatCode>
                <c:ptCount val="59"/>
                <c:pt idx="0">
                  <c:v>0.85315344361498979</c:v>
                </c:pt>
                <c:pt idx="1">
                  <c:v>-1.1148071563427133</c:v>
                </c:pt>
                <c:pt idx="2">
                  <c:v>-1.5877482112710024</c:v>
                </c:pt>
                <c:pt idx="3">
                  <c:v>-3.0705683288543844</c:v>
                </c:pt>
                <c:pt idx="4">
                  <c:v>-2.6710317404560846</c:v>
                </c:pt>
                <c:pt idx="5">
                  <c:v>-0.40961945031712477</c:v>
                </c:pt>
                <c:pt idx="6">
                  <c:v>0.93454053491518374</c:v>
                </c:pt>
                <c:pt idx="7">
                  <c:v>2.7597510887484873</c:v>
                </c:pt>
                <c:pt idx="8">
                  <c:v>4.2012697395600593</c:v>
                </c:pt>
                <c:pt idx="9">
                  <c:v>4.6442437856090919</c:v>
                </c:pt>
                <c:pt idx="10">
                  <c:v>4.1769623048209876</c:v>
                </c:pt>
                <c:pt idx="11">
                  <c:v>3.3698653534117113</c:v>
                </c:pt>
                <c:pt idx="12">
                  <c:v>4.8369619798191223</c:v>
                </c:pt>
                <c:pt idx="13">
                  <c:v>7.504193726747074</c:v>
                </c:pt>
                <c:pt idx="14">
                  <c:v>9.3169314037946851</c:v>
                </c:pt>
                <c:pt idx="15">
                  <c:v>10.330599150930711</c:v>
                </c:pt>
                <c:pt idx="16">
                  <c:v>10.196147049045511</c:v>
                </c:pt>
                <c:pt idx="17">
                  <c:v>8.4409129916714516</c:v>
                </c:pt>
                <c:pt idx="18">
                  <c:v>5.979743791333302</c:v>
                </c:pt>
                <c:pt idx="19">
                  <c:v>3.9915134230514049</c:v>
                </c:pt>
                <c:pt idx="20">
                  <c:v>4.0804461834620716</c:v>
                </c:pt>
                <c:pt idx="21">
                  <c:v>7.3480605437957758</c:v>
                </c:pt>
                <c:pt idx="22">
                  <c:v>12.454186016613701</c:v>
                </c:pt>
                <c:pt idx="23">
                  <c:v>15.07762864927653</c:v>
                </c:pt>
                <c:pt idx="24">
                  <c:v>16.881838052276031</c:v>
                </c:pt>
                <c:pt idx="25">
                  <c:v>18.163605313884219</c:v>
                </c:pt>
                <c:pt idx="26">
                  <c:v>17.338836754062285</c:v>
                </c:pt>
                <c:pt idx="27">
                  <c:v>14.102265442605558</c:v>
                </c:pt>
                <c:pt idx="28">
                  <c:v>11.627119026913476</c:v>
                </c:pt>
                <c:pt idx="29">
                  <c:v>8.7251095466657791</c:v>
                </c:pt>
                <c:pt idx="30">
                  <c:v>6.6407597955917277</c:v>
                </c:pt>
                <c:pt idx="31">
                  <c:v>5.6056118540791546</c:v>
                </c:pt>
                <c:pt idx="32">
                  <c:v>4.1721284829664844</c:v>
                </c:pt>
                <c:pt idx="33">
                  <c:v>3.1381648984265564</c:v>
                </c:pt>
                <c:pt idx="34">
                  <c:v>1.6935576565447303</c:v>
                </c:pt>
                <c:pt idx="35">
                  <c:v>3.3257084596156138E-2</c:v>
                </c:pt>
                <c:pt idx="36">
                  <c:v>-2.2381905542420597</c:v>
                </c:pt>
                <c:pt idx="37">
                  <c:v>-3.398560647491744</c:v>
                </c:pt>
                <c:pt idx="38">
                  <c:v>-0.89686943198055835</c:v>
                </c:pt>
                <c:pt idx="39">
                  <c:v>3.6852087770836111</c:v>
                </c:pt>
                <c:pt idx="40">
                  <c:v>6.4105976514245668</c:v>
                </c:pt>
                <c:pt idx="41">
                  <c:v>10.251377071084981</c:v>
                </c:pt>
                <c:pt idx="42">
                  <c:v>10.404595007960195</c:v>
                </c:pt>
                <c:pt idx="43">
                  <c:v>13.132107012523688</c:v>
                </c:pt>
                <c:pt idx="44">
                  <c:v>15.160738594463194</c:v>
                </c:pt>
                <c:pt idx="45">
                  <c:v>18.285505397683423</c:v>
                </c:pt>
                <c:pt idx="46">
                  <c:v>18.3</c:v>
                </c:pt>
                <c:pt idx="47">
                  <c:v>18.600000000000001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272640"/>
        <c:axId val="130286720"/>
      </c:lineChart>
      <c:lineChart>
        <c:grouping val="standard"/>
        <c:varyColors val="0"/>
        <c:ser>
          <c:idx val="1"/>
          <c:order val="1"/>
          <c:tx>
            <c:strRef>
              <c:f>'Medium term'!$A$33</c:f>
              <c:strCache>
                <c:ptCount val="1"/>
              </c:strCache>
            </c:strRef>
          </c:tx>
          <c:spPr>
            <a:ln>
              <a:solidFill>
                <a:schemeClr val="accent1">
                  <a:lumMod val="40000"/>
                  <a:lumOff val="60000"/>
                </a:schemeClr>
              </a:solidFill>
            </a:ln>
          </c:spPr>
          <c:marker>
            <c:symbol val="none"/>
          </c:marker>
          <c:dLbls>
            <c:dLbl>
              <c:idx val="54"/>
              <c:layout>
                <c:manualLayout>
                  <c:x val="-8.0107990012484392E-2"/>
                  <c:y val="-0.30639768518518518"/>
                </c:manualLayout>
              </c:layout>
              <c:tx>
                <c:rich>
                  <a:bodyPr/>
                  <a:lstStyle/>
                  <a:p>
                    <a:r>
                      <a:rPr lang="en-US" sz="700"/>
                      <a:t>2018-19</a:t>
                    </a:r>
                    <a:endParaRPr lang="en-US" sz="700" baseline="0"/>
                  </a:p>
                  <a:p>
                    <a:r>
                      <a:rPr lang="en-US" sz="700" baseline="0"/>
                      <a:t>Budget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'Medium term'!$B$1:$BH$1</c:f>
              <c:strCache>
                <c:ptCount val="59"/>
                <c:pt idx="0">
                  <c:v>1970-71</c:v>
                </c:pt>
                <c:pt idx="1">
                  <c:v>1971-72</c:v>
                </c:pt>
                <c:pt idx="2">
                  <c:v>1972-73</c:v>
                </c:pt>
                <c:pt idx="3">
                  <c:v>1973-74</c:v>
                </c:pt>
                <c:pt idx="4">
                  <c:v>1974-75</c:v>
                </c:pt>
                <c:pt idx="5">
                  <c:v>1975-76</c:v>
                </c:pt>
                <c:pt idx="6">
                  <c:v>1976-77</c:v>
                </c:pt>
                <c:pt idx="7">
                  <c:v>1977-78</c:v>
                </c:pt>
                <c:pt idx="8">
                  <c:v>1978-79</c:v>
                </c:pt>
                <c:pt idx="9">
                  <c:v>1979-80</c:v>
                </c:pt>
                <c:pt idx="10">
                  <c:v>1980-81</c:v>
                </c:pt>
                <c:pt idx="11">
                  <c:v>1981-82</c:v>
                </c:pt>
                <c:pt idx="12">
                  <c:v>1982-83</c:v>
                </c:pt>
                <c:pt idx="13">
                  <c:v>1983-84</c:v>
                </c:pt>
                <c:pt idx="14">
                  <c:v>1984-85</c:v>
                </c:pt>
                <c:pt idx="15">
                  <c:v>1985-86</c:v>
                </c:pt>
                <c:pt idx="16">
                  <c:v>1986-87</c:v>
                </c:pt>
                <c:pt idx="17">
                  <c:v>1987-88</c:v>
                </c:pt>
                <c:pt idx="18">
                  <c:v>1988-89</c:v>
                </c:pt>
                <c:pt idx="19">
                  <c:v>1989-90</c:v>
                </c:pt>
                <c:pt idx="20">
                  <c:v>1990-91</c:v>
                </c:pt>
                <c:pt idx="21">
                  <c:v>1991-92</c:v>
                </c:pt>
                <c:pt idx="22">
                  <c:v>1992-93</c:v>
                </c:pt>
                <c:pt idx="23">
                  <c:v>1993-94</c:v>
                </c:pt>
                <c:pt idx="24">
                  <c:v>1994-95</c:v>
                </c:pt>
                <c:pt idx="25">
                  <c:v>1995-96</c:v>
                </c:pt>
                <c:pt idx="26">
                  <c:v>1996-97</c:v>
                </c:pt>
                <c:pt idx="27">
                  <c:v>1997-98</c:v>
                </c:pt>
                <c:pt idx="28">
                  <c:v>1998-99</c:v>
                </c:pt>
                <c:pt idx="29">
                  <c:v>1999-00</c:v>
                </c:pt>
                <c:pt idx="30">
                  <c:v>2000-01</c:v>
                </c:pt>
                <c:pt idx="31">
                  <c:v>2001-02</c:v>
                </c:pt>
                <c:pt idx="32">
                  <c:v>2002-03</c:v>
                </c:pt>
                <c:pt idx="33">
                  <c:v>2003-04</c:v>
                </c:pt>
                <c:pt idx="34">
                  <c:v>2004-05</c:v>
                </c:pt>
                <c:pt idx="35">
                  <c:v>2005-06</c:v>
                </c:pt>
                <c:pt idx="36">
                  <c:v>2006-07</c:v>
                </c:pt>
                <c:pt idx="37">
                  <c:v>2007-08</c:v>
                </c:pt>
                <c:pt idx="38">
                  <c:v>2008-09</c:v>
                </c:pt>
                <c:pt idx="39">
                  <c:v>2009-10</c:v>
                </c:pt>
                <c:pt idx="40">
                  <c:v>2010-11</c:v>
                </c:pt>
                <c:pt idx="41">
                  <c:v>2011-12</c:v>
                </c:pt>
                <c:pt idx="42">
                  <c:v>2012-13</c:v>
                </c:pt>
                <c:pt idx="43">
                  <c:v>2013-14</c:v>
                </c:pt>
                <c:pt idx="44">
                  <c:v>2014-15</c:v>
                </c:pt>
                <c:pt idx="45">
                  <c:v>2015-16</c:v>
                </c:pt>
                <c:pt idx="46">
                  <c:v>2016-17</c:v>
                </c:pt>
                <c:pt idx="47">
                  <c:v>2017-18</c:v>
                </c:pt>
                <c:pt idx="48">
                  <c:v>2018-19</c:v>
                </c:pt>
                <c:pt idx="49">
                  <c:v>2019-20</c:v>
                </c:pt>
                <c:pt idx="50">
                  <c:v>2020-21</c:v>
                </c:pt>
                <c:pt idx="51">
                  <c:v>2021-22</c:v>
                </c:pt>
                <c:pt idx="52">
                  <c:v>2022-23</c:v>
                </c:pt>
                <c:pt idx="53">
                  <c:v>2023-24</c:v>
                </c:pt>
                <c:pt idx="54">
                  <c:v>2024-25</c:v>
                </c:pt>
                <c:pt idx="55">
                  <c:v>2025-26</c:v>
                </c:pt>
                <c:pt idx="56">
                  <c:v>2026-27</c:v>
                </c:pt>
                <c:pt idx="57">
                  <c:v>2027-28</c:v>
                </c:pt>
                <c:pt idx="58">
                  <c:v>2028-29</c:v>
                </c:pt>
              </c:strCache>
            </c:strRef>
          </c:cat>
          <c:val>
            <c:numRef>
              <c:f>'Medium term'!$B$33:$BH$33</c:f>
              <c:numCache>
                <c:formatCode>General</c:formatCode>
                <c:ptCount val="59"/>
                <c:pt idx="47" formatCode="0.0">
                  <c:v>18.600000000000001</c:v>
                </c:pt>
                <c:pt idx="48" formatCode="0.0">
                  <c:v>18.399999999999999</c:v>
                </c:pt>
                <c:pt idx="49" formatCode="0.0">
                  <c:v>17.3</c:v>
                </c:pt>
                <c:pt idx="50" formatCode="0.0">
                  <c:v>16.100000000000001</c:v>
                </c:pt>
                <c:pt idx="51" formatCode="0.0">
                  <c:v>14.7</c:v>
                </c:pt>
                <c:pt idx="52" formatCode="0.0">
                  <c:v>13.150289017341001</c:v>
                </c:pt>
                <c:pt idx="53" formatCode="0.0">
                  <c:v>11.676300578034599</c:v>
                </c:pt>
                <c:pt idx="54" formatCode="0.0">
                  <c:v>10.028901734104</c:v>
                </c:pt>
                <c:pt idx="55" formatCode="0.0">
                  <c:v>8.3815028901734099</c:v>
                </c:pt>
                <c:pt idx="56" formatCode="0.0">
                  <c:v>6.9075144508670503</c:v>
                </c:pt>
                <c:pt idx="57" formatCode="0.0">
                  <c:v>5.2601156069364103</c:v>
                </c:pt>
                <c:pt idx="58" formatCode="0.0">
                  <c:v>3.87283236994219</c:v>
                </c:pt>
              </c:numCache>
            </c:numRef>
          </c:val>
          <c:smooth val="0"/>
        </c:ser>
        <c:ser>
          <c:idx val="2"/>
          <c:order val="2"/>
          <c:tx>
            <c:v>DUMMY</c:v>
          </c:tx>
          <c:spPr>
            <a:ln w="25400">
              <a:noFill/>
            </a:ln>
            <a:effectLst/>
          </c:spPr>
          <c:marker>
            <c:symbol val="none"/>
          </c:marker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290816"/>
        <c:axId val="130288640"/>
      </c:lineChart>
      <c:catAx>
        <c:axId val="130272640"/>
        <c:scaling>
          <c:orientation val="minMax"/>
        </c:scaling>
        <c:delete val="0"/>
        <c:axPos val="b"/>
        <c:majorTickMark val="out"/>
        <c:minorTickMark val="none"/>
        <c:tickLblPos val="low"/>
        <c:spPr>
          <a:ln w="12700">
            <a:solidFill>
              <a:srgbClr val="808080"/>
            </a:solidFill>
            <a:prstDash val="solid"/>
          </a:ln>
        </c:spPr>
        <c:txPr>
          <a:bodyPr rot="0"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0286720"/>
        <c:crosses val="autoZero"/>
        <c:auto val="1"/>
        <c:lblAlgn val="ctr"/>
        <c:lblOffset val="100"/>
        <c:tickLblSkip val="8"/>
        <c:noMultiLvlLbl val="0"/>
      </c:catAx>
      <c:valAx>
        <c:axId val="130286720"/>
        <c:scaling>
          <c:orientation val="minMax"/>
          <c:max val="25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700" b="0" i="0"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7.8621707538601253E-3"/>
              <c:y val="0"/>
            </c:manualLayout>
          </c:layout>
          <c:overlay val="0"/>
        </c:title>
        <c:numFmt formatCode="0" sourceLinked="0"/>
        <c:majorTickMark val="in"/>
        <c:minorTickMark val="none"/>
        <c:tickLblPos val="nextTo"/>
        <c:spPr>
          <a:ln w="12700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0272640"/>
        <c:crosses val="autoZero"/>
        <c:crossBetween val="between"/>
      </c:valAx>
      <c:valAx>
        <c:axId val="130288640"/>
        <c:scaling>
          <c:orientation val="minMax"/>
          <c:max val="25"/>
          <c:min val="-5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00" b="0" i="0">
                    <a:latin typeface="Arial"/>
                    <a:ea typeface="Arial"/>
                    <a:cs typeface="Arial"/>
                  </a:defRPr>
                </a:pPr>
                <a:r>
                  <a:rPr lang="en-AU"/>
                  <a:t>%</a:t>
                </a:r>
              </a:p>
            </c:rich>
          </c:tx>
          <c:layout>
            <c:manualLayout>
              <c:xMode val="edge"/>
              <c:yMode val="edge"/>
              <c:x val="0.92467414751411758"/>
              <c:y val="0"/>
            </c:manualLayout>
          </c:layout>
          <c:overlay val="0"/>
        </c:title>
        <c:numFmt formatCode="0" sourceLinked="0"/>
        <c:majorTickMark val="in"/>
        <c:minorTickMark val="none"/>
        <c:tickLblPos val="nextTo"/>
        <c:spPr>
          <a:ln w="12700">
            <a:solidFill>
              <a:srgbClr val="808080"/>
            </a:solidFill>
            <a:prstDash val="solid"/>
          </a:ln>
        </c:spPr>
        <c:txPr>
          <a:bodyPr rot="-60000000" vert="horz"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0290816"/>
        <c:crosses val="max"/>
        <c:crossBetween val="between"/>
        <c:majorUnit val="5"/>
        <c:minorUnit val="1"/>
      </c:valAx>
      <c:catAx>
        <c:axId val="130290816"/>
        <c:scaling>
          <c:orientation val="minMax"/>
        </c:scaling>
        <c:delete val="1"/>
        <c:axPos val="b"/>
        <c:majorTickMark val="out"/>
        <c:minorTickMark val="none"/>
        <c:tickLblPos val="nextTo"/>
        <c:crossAx val="130288640"/>
        <c:crosses val="autoZero"/>
        <c:auto val="1"/>
        <c:lblAlgn val="ctr"/>
        <c:lblOffset val="100"/>
        <c:noMultiLvlLbl val="0"/>
      </c:catAx>
      <c:spPr>
        <a:solidFill>
          <a:srgbClr val="FFFFFF"/>
        </a:solidFill>
        <a:ln>
          <a:noFill/>
          <a:round/>
        </a:ln>
        <a:effectLst/>
        <a:extLst>
          <a:ext uri="{91240B29-F687-4F45-9708-019B960494DF}">
            <a14:hiddenLine xmlns:a14="http://schemas.microsoft.com/office/drawing/2010/main">
              <a:noFill/>
              <a:round/>
            </a14:hiddenLine>
          </a:ext>
        </a:extLst>
      </c:spPr>
    </c:plotArea>
    <c:plotVisOnly val="1"/>
    <c:dispBlanksAs val="gap"/>
    <c:showDLblsOverMax val="0"/>
  </c:chart>
  <c:spPr>
    <a:solidFill>
      <a:srgbClr val="FFFFFF"/>
    </a:solidFill>
    <a:ln w="9525" cap="flat" cmpd="sng" algn="ctr">
      <a:noFill/>
      <a:prstDash val="solid"/>
      <a:round/>
    </a:ln>
    <a:effectLst/>
    <a:extLst>
      <a:ext uri="{91240B29-F687-4F45-9708-019B960494DF}">
        <a14:hiddenLine xmlns:a14="http://schemas.microsoft.com/office/drawing/2010/main" w="9525" cap="flat" cmpd="sng" algn="ctr">
          <a:solidFill>
            <a:srgbClr val="000000">
              <a:tint val="75000"/>
              <a:shade val="95000"/>
              <a:satMod val="105000"/>
            </a:srgbClr>
          </a:solidFill>
          <a:prstDash val="solid"/>
          <a:round/>
        </a14:hiddenLine>
      </a:ext>
    </a:extLst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0"/>
            </a:pPr>
            <a:r>
              <a:rPr lang="en-AU" sz="800" b="0"/>
              <a:t>Underlying cash</a:t>
            </a:r>
            <a:r>
              <a:rPr lang="en-AU" sz="800" b="0" baseline="0"/>
              <a:t> balance</a:t>
            </a:r>
            <a:endParaRPr lang="en-AU" sz="800" b="0"/>
          </a:p>
        </c:rich>
      </c:tx>
      <c:layout>
        <c:manualLayout>
          <c:xMode val="edge"/>
          <c:yMode val="edge"/>
          <c:x val="0.31446441947565545"/>
          <c:y val="1.411111111111111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5783395755305872E-2"/>
          <c:y val="0.1108"/>
          <c:w val="0.84032459425717854"/>
          <c:h val="0.7936438888888889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'UCB change'!$A$3</c:f>
              <c:strCache>
                <c:ptCount val="1"/>
                <c:pt idx="0">
                  <c:v>2017-18 MYEFO</c:v>
                </c:pt>
              </c:strCache>
            </c:strRef>
          </c:tx>
          <c:spPr>
            <a:solidFill>
              <a:schemeClr val="bg2">
                <a:lumMod val="40000"/>
                <a:lumOff val="60000"/>
              </a:schemeClr>
            </a:solidFill>
          </c:spPr>
          <c:invertIfNegative val="0"/>
          <c:cat>
            <c:strRef>
              <c:f>'UCB change'!$B$1:$E$1</c:f>
              <c:strCache>
                <c:ptCount val="4"/>
                <c:pt idx="0">
                  <c:v>2017-18</c:v>
                </c:pt>
                <c:pt idx="1">
                  <c:v>2018-19</c:v>
                </c:pt>
                <c:pt idx="2">
                  <c:v>2019-20</c:v>
                </c:pt>
                <c:pt idx="3">
                  <c:v>2020-21</c:v>
                </c:pt>
              </c:strCache>
            </c:strRef>
          </c:cat>
          <c:val>
            <c:numRef>
              <c:f>'UCB change'!$B$3:$E$3</c:f>
              <c:numCache>
                <c:formatCode>#,##0</c:formatCode>
                <c:ptCount val="4"/>
                <c:pt idx="0">
                  <c:v>-23.6</c:v>
                </c:pt>
                <c:pt idx="1">
                  <c:v>-20.5</c:v>
                </c:pt>
                <c:pt idx="2">
                  <c:v>-2.6</c:v>
                </c:pt>
                <c:pt idx="3">
                  <c:v>10.199999999999999</c:v>
                </c:pt>
              </c:numCache>
            </c:numRef>
          </c:val>
        </c:ser>
        <c:ser>
          <c:idx val="0"/>
          <c:order val="1"/>
          <c:tx>
            <c:v>2018-19 Budget</c:v>
          </c:tx>
          <c:spPr>
            <a:solidFill>
              <a:schemeClr val="tx2"/>
            </a:solidFill>
          </c:spPr>
          <c:invertIfNegative val="0"/>
          <c:cat>
            <c:strRef>
              <c:f>'UCB change'!$B$1:$E$1</c:f>
              <c:strCache>
                <c:ptCount val="4"/>
                <c:pt idx="0">
                  <c:v>2017-18</c:v>
                </c:pt>
                <c:pt idx="1">
                  <c:v>2018-19</c:v>
                </c:pt>
                <c:pt idx="2">
                  <c:v>2019-20</c:v>
                </c:pt>
                <c:pt idx="3">
                  <c:v>2020-21</c:v>
                </c:pt>
              </c:strCache>
            </c:strRef>
          </c:cat>
          <c:val>
            <c:numRef>
              <c:f>'UCB change'!$B$2:$E$2</c:f>
              <c:numCache>
                <c:formatCode>#,##0</c:formatCode>
                <c:ptCount val="4"/>
                <c:pt idx="0">
                  <c:v>-18.238</c:v>
                </c:pt>
                <c:pt idx="1">
                  <c:v>-14.462</c:v>
                </c:pt>
                <c:pt idx="2">
                  <c:v>2.234</c:v>
                </c:pt>
                <c:pt idx="3">
                  <c:v>10.957000000000001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30339584"/>
        <c:axId val="130341120"/>
      </c:barChart>
      <c:barChart>
        <c:barDir val="col"/>
        <c:grouping val="clustered"/>
        <c:varyColors val="0"/>
        <c:ser>
          <c:idx val="2"/>
          <c:order val="2"/>
          <c:tx>
            <c:v>DUMMY</c:v>
          </c:tx>
          <c:spPr>
            <a:noFill/>
            <a:ln w="25400">
              <a:noFill/>
            </a:ln>
            <a:effectLst/>
          </c:spPr>
          <c:invertIfNegative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30353408"/>
        <c:axId val="130351488"/>
      </c:barChart>
      <c:catAx>
        <c:axId val="13033958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0341120"/>
        <c:crosses val="autoZero"/>
        <c:auto val="1"/>
        <c:lblAlgn val="ctr"/>
        <c:lblOffset val="100"/>
        <c:noMultiLvlLbl val="0"/>
      </c:catAx>
      <c:valAx>
        <c:axId val="130341120"/>
        <c:scaling>
          <c:orientation val="minMax"/>
          <c:max val="20"/>
          <c:min val="-3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700" b="0" i="0"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$billion</a:t>
                </a:r>
              </a:p>
            </c:rich>
          </c:tx>
          <c:layout>
            <c:manualLayout>
              <c:xMode val="edge"/>
              <c:yMode val="edge"/>
              <c:x val="3.963795255930087E-3"/>
              <c:y val="0"/>
            </c:manualLayout>
          </c:layout>
          <c:overlay val="0"/>
        </c:title>
        <c:numFmt formatCode="#,##0" sourceLinked="1"/>
        <c:majorTickMark val="in"/>
        <c:minorTickMark val="none"/>
        <c:tickLblPos val="nextTo"/>
        <c:spPr>
          <a:ln w="12700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0339584"/>
        <c:crosses val="autoZero"/>
        <c:crossBetween val="between"/>
        <c:majorUnit val="10"/>
      </c:valAx>
      <c:valAx>
        <c:axId val="130351488"/>
        <c:scaling>
          <c:orientation val="minMax"/>
          <c:max val="20"/>
          <c:min val="-3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00" b="0" i="0">
                    <a:latin typeface="Arial"/>
                    <a:ea typeface="Arial"/>
                    <a:cs typeface="Arial"/>
                  </a:defRPr>
                </a:pPr>
                <a:r>
                  <a:rPr lang="en-AU"/>
                  <a:t>$billion</a:t>
                </a:r>
              </a:p>
            </c:rich>
          </c:tx>
          <c:layout>
            <c:manualLayout>
              <c:xMode val="edge"/>
              <c:yMode val="edge"/>
              <c:x val="0.87791510611735335"/>
              <c:y val="0"/>
            </c:manualLayout>
          </c:layout>
          <c:overlay val="0"/>
        </c:title>
        <c:numFmt formatCode="#,##0" sourceLinked="0"/>
        <c:majorTickMark val="in"/>
        <c:minorTickMark val="none"/>
        <c:tickLblPos val="nextTo"/>
        <c:spPr>
          <a:ln w="12700">
            <a:solidFill>
              <a:srgbClr val="808080"/>
            </a:solidFill>
            <a:prstDash val="solid"/>
          </a:ln>
        </c:spPr>
        <c:txPr>
          <a:bodyPr rot="-60000000" vert="horz"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0353408"/>
        <c:crosses val="max"/>
        <c:crossBetween val="between"/>
        <c:majorUnit val="10"/>
        <c:minorUnit val="2"/>
      </c:valAx>
      <c:catAx>
        <c:axId val="130353408"/>
        <c:scaling>
          <c:orientation val="minMax"/>
        </c:scaling>
        <c:delete val="1"/>
        <c:axPos val="b"/>
        <c:majorTickMark val="out"/>
        <c:minorTickMark val="none"/>
        <c:tickLblPos val="nextTo"/>
        <c:crossAx val="130351488"/>
        <c:crosses val="autoZero"/>
        <c:auto val="1"/>
        <c:lblAlgn val="ctr"/>
        <c:lblOffset val="100"/>
        <c:noMultiLvlLbl val="0"/>
      </c:catAx>
      <c:spPr>
        <a:solidFill>
          <a:sysClr val="window" lastClr="FFFFFF"/>
        </a:solidFill>
        <a:ln>
          <a:noFill/>
          <a:round/>
        </a:ln>
        <a:effectLst/>
        <a:extLst>
          <a:ext uri="{91240B29-F687-4F45-9708-019B960494DF}">
            <a14:hiddenLine xmlns:a14="http://schemas.microsoft.com/office/drawing/2010/main">
              <a:noFill/>
              <a:round/>
            </a14:hiddenLine>
          </a:ext>
        </a:extLst>
      </c:spPr>
    </c:plotArea>
    <c:legend>
      <c:legendPos val="r"/>
      <c:legendEntry>
        <c:idx val="0"/>
        <c:txPr>
          <a:bodyPr/>
          <a:lstStyle/>
          <a:p>
            <a:pPr>
              <a:defRPr>
                <a:solidFill>
                  <a:schemeClr val="tx2">
                    <a:lumMod val="40000"/>
                    <a:lumOff val="60000"/>
                  </a:schemeClr>
                </a:solidFill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>
                <a:solidFill>
                  <a:schemeClr val="tx2"/>
                </a:solidFill>
              </a:defRPr>
            </a:pPr>
            <a:endParaRPr lang="en-US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65563139825218475"/>
          <c:y val="0.50887806026365345"/>
          <c:w val="0.25991947565543072"/>
          <c:h val="0.16433239171374764"/>
        </c:manualLayout>
      </c:layout>
      <c:overlay val="1"/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prstDash val="solid"/>
      <a:round/>
    </a:ln>
    <a:effectLst/>
    <a:extLst>
      <a:ext uri="{91240B29-F687-4F45-9708-019B960494DF}">
        <a14:hiddenLine xmlns:a14="http://schemas.microsoft.com/office/drawing/2010/main" w="9525" cap="flat" cmpd="sng" algn="ctr">
          <a:solidFill>
            <a:sysClr val="windowText" lastClr="000000">
              <a:tint val="75000"/>
              <a:shade val="95000"/>
              <a:satMod val="105000"/>
            </a:sysClr>
          </a:solidFill>
          <a:prstDash val="solid"/>
          <a:round/>
        </a14:hiddenLine>
      </a:ext>
    </a:extLst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/>
            </a:pPr>
            <a:r>
              <a:rPr lang="en-AU" sz="800" b="0"/>
              <a:t>Underlying</a:t>
            </a:r>
            <a:r>
              <a:rPr lang="en-AU" sz="800" b="0" baseline="0"/>
              <a:t> cash balance impact</a:t>
            </a:r>
            <a:endParaRPr lang="en-AU" sz="800" b="0"/>
          </a:p>
        </c:rich>
      </c:tx>
      <c:layout>
        <c:manualLayout>
          <c:xMode val="edge"/>
          <c:yMode val="edge"/>
          <c:x val="0.2495770911360799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0088327091136077E-2"/>
          <c:y val="0.11667833333333331"/>
          <c:w val="0.87152278401997507"/>
          <c:h val="0.787765555555555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'UCB change'!$A$19</c:f>
              <c:strCache>
                <c:ptCount val="1"/>
                <c:pt idx="0">
                  <c:v>Policy decisions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t>Policy</a:t>
                    </a:r>
                    <a:r>
                      <a:rPr lang="en-US" baseline="0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t> </a:t>
                    </a:r>
                  </a:p>
                  <a:p>
                    <a:r>
                      <a:rPr lang="en-US" baseline="0">
                        <a:solidFill>
                          <a:schemeClr val="accent2">
                            <a:lumMod val="50000"/>
                          </a:schemeClr>
                        </a:solidFill>
                      </a:rPr>
                      <a:t>decsions</a:t>
                    </a:r>
                    <a:endParaRPr lang="en-US">
                      <a:solidFill>
                        <a:schemeClr val="accent2">
                          <a:lumMod val="50000"/>
                        </a:schemeClr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528807740324594E-2"/>
                  <c:y val="-8.4899999999999993E-3"/>
                </c:manualLayout>
              </c:layout>
              <c:tx>
                <c:rich>
                  <a:bodyPr/>
                  <a:lstStyle/>
                  <a:p>
                    <a:r>
                      <a:rPr lang="en-US" sz="700" b="0" i="0" kern="1200" baseline="0">
                        <a:solidFill>
                          <a:srgbClr val="000000"/>
                        </a:solidFill>
                        <a:effectLst/>
                        <a:latin typeface="Arial"/>
                        <a:cs typeface="Arial"/>
                      </a:rPr>
                      <a:t>Deterioration </a:t>
                    </a:r>
                    <a:endParaRPr lang="en-AU">
                      <a:effectLst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'UCB change'!$B$18:$E$18</c:f>
              <c:strCache>
                <c:ptCount val="4"/>
                <c:pt idx="0">
                  <c:v>2017-18</c:v>
                </c:pt>
                <c:pt idx="1">
                  <c:v>2018-19</c:v>
                </c:pt>
                <c:pt idx="2">
                  <c:v>2019-20</c:v>
                </c:pt>
                <c:pt idx="3">
                  <c:v>2020-21</c:v>
                </c:pt>
              </c:strCache>
            </c:strRef>
          </c:cat>
          <c:val>
            <c:numRef>
              <c:f>'UCB change'!$B$19:$E$19</c:f>
              <c:numCache>
                <c:formatCode>0</c:formatCode>
                <c:ptCount val="4"/>
                <c:pt idx="0">
                  <c:v>-1.591</c:v>
                </c:pt>
                <c:pt idx="1">
                  <c:v>-0.64300000000000002</c:v>
                </c:pt>
                <c:pt idx="2">
                  <c:v>-1.5489999999999999</c:v>
                </c:pt>
                <c:pt idx="3">
                  <c:v>-6.9429999999999996</c:v>
                </c:pt>
              </c:numCache>
            </c:numRef>
          </c:val>
        </c:ser>
        <c:ser>
          <c:idx val="1"/>
          <c:order val="1"/>
          <c:tx>
            <c:strRef>
              <c:f>'UCB change'!$A$20</c:f>
              <c:strCache>
                <c:ptCount val="1"/>
                <c:pt idx="0">
                  <c:v>Parameter and other variations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a:rPr>
                      <a:t>Parameter and</a:t>
                    </a:r>
                    <a:r>
                      <a:rPr lang="en-US" baseline="0"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a:rPr>
                      <a:t> other variations</a:t>
                    </a:r>
                    <a:endParaRPr lang="en-US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1309488139825219"/>
                  <c:y val="-2.0480555555555554E-2"/>
                </c:manualLayout>
              </c:layout>
              <c:tx>
                <c:rich>
                  <a:bodyPr/>
                  <a:lstStyle/>
                  <a:p>
                    <a:r>
                      <a:rPr lang="en-US" sz="700"/>
                      <a:t>Improvement</a:t>
                    </a:r>
                    <a:r>
                      <a:rPr lang="en-US" sz="700" baseline="0"/>
                      <a:t>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'UCB change'!$B$18:$E$18</c:f>
              <c:strCache>
                <c:ptCount val="4"/>
                <c:pt idx="0">
                  <c:v>2017-18</c:v>
                </c:pt>
                <c:pt idx="1">
                  <c:v>2018-19</c:v>
                </c:pt>
                <c:pt idx="2">
                  <c:v>2019-20</c:v>
                </c:pt>
                <c:pt idx="3">
                  <c:v>2020-21</c:v>
                </c:pt>
              </c:strCache>
            </c:strRef>
          </c:cat>
          <c:val>
            <c:numRef>
              <c:f>'UCB change'!$B$20:$E$20</c:f>
              <c:numCache>
                <c:formatCode>0</c:formatCode>
                <c:ptCount val="4"/>
                <c:pt idx="0">
                  <c:v>6.96</c:v>
                </c:pt>
                <c:pt idx="1">
                  <c:v>6.6740000000000004</c:v>
                </c:pt>
                <c:pt idx="2">
                  <c:v>6.4210000000000003</c:v>
                </c:pt>
                <c:pt idx="3">
                  <c:v>7.7370000000000001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07808"/>
        <c:axId val="130413696"/>
      </c:barChart>
      <c:barChart>
        <c:barDir val="col"/>
        <c:grouping val="clustered"/>
        <c:varyColors val="0"/>
        <c:ser>
          <c:idx val="2"/>
          <c:order val="2"/>
          <c:tx>
            <c:v>DUMMY</c:v>
          </c:tx>
          <c:spPr>
            <a:noFill/>
            <a:ln w="25400">
              <a:noFill/>
            </a:ln>
            <a:effectLst/>
          </c:spPr>
          <c:invertIfNegative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816896"/>
        <c:axId val="130415616"/>
      </c:barChart>
      <c:catAx>
        <c:axId val="130407808"/>
        <c:scaling>
          <c:orientation val="minMax"/>
        </c:scaling>
        <c:delete val="0"/>
        <c:axPos val="b"/>
        <c:majorTickMark val="cross"/>
        <c:minorTickMark val="none"/>
        <c:tickLblPos val="low"/>
        <c:spPr>
          <a:ln w="12700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0413696"/>
        <c:crosses val="autoZero"/>
        <c:auto val="1"/>
        <c:lblAlgn val="ctr"/>
        <c:lblOffset val="100"/>
        <c:noMultiLvlLbl val="0"/>
      </c:catAx>
      <c:valAx>
        <c:axId val="130413696"/>
        <c:scaling>
          <c:orientation val="minMax"/>
          <c:max val="12"/>
          <c:min val="-8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700" b="0" i="0"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$billion</a:t>
                </a:r>
              </a:p>
            </c:rich>
          </c:tx>
          <c:layout>
            <c:manualLayout>
              <c:xMode val="edge"/>
              <c:yMode val="edge"/>
              <c:x val="2.9400749063670391E-3"/>
              <c:y val="0"/>
            </c:manualLayout>
          </c:layout>
          <c:overlay val="0"/>
        </c:title>
        <c:numFmt formatCode="0" sourceLinked="0"/>
        <c:majorTickMark val="in"/>
        <c:minorTickMark val="none"/>
        <c:tickLblPos val="nextTo"/>
        <c:spPr>
          <a:ln w="12700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0407808"/>
        <c:crosses val="autoZero"/>
        <c:crossBetween val="between"/>
        <c:majorUnit val="4"/>
      </c:valAx>
      <c:valAx>
        <c:axId val="130415616"/>
        <c:scaling>
          <c:orientation val="minMax"/>
          <c:max val="12"/>
          <c:min val="-8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00" b="0" i="0">
                    <a:latin typeface="Arial"/>
                    <a:ea typeface="Arial"/>
                    <a:cs typeface="Arial"/>
                  </a:defRPr>
                </a:pPr>
                <a:r>
                  <a:rPr lang="en-AU"/>
                  <a:t>$billion</a:t>
                </a:r>
              </a:p>
            </c:rich>
          </c:tx>
          <c:layout>
            <c:manualLayout>
              <c:xMode val="edge"/>
              <c:yMode val="edge"/>
              <c:x val="0.88436142322097377"/>
              <c:y val="0"/>
            </c:manualLayout>
          </c:layout>
          <c:overlay val="0"/>
        </c:title>
        <c:numFmt formatCode="0" sourceLinked="0"/>
        <c:majorTickMark val="in"/>
        <c:minorTickMark val="none"/>
        <c:tickLblPos val="nextTo"/>
        <c:spPr>
          <a:ln w="12700">
            <a:solidFill>
              <a:srgbClr val="808080"/>
            </a:solidFill>
            <a:prstDash val="solid"/>
          </a:ln>
        </c:spPr>
        <c:txPr>
          <a:bodyPr rot="-60000000" vert="horz"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4816896"/>
        <c:crosses val="max"/>
        <c:crossBetween val="between"/>
        <c:majorUnit val="4"/>
        <c:minorUnit val="0.4"/>
      </c:valAx>
      <c:catAx>
        <c:axId val="134816896"/>
        <c:scaling>
          <c:orientation val="minMax"/>
        </c:scaling>
        <c:delete val="1"/>
        <c:axPos val="b"/>
        <c:majorTickMark val="out"/>
        <c:minorTickMark val="none"/>
        <c:tickLblPos val="nextTo"/>
        <c:crossAx val="130415616"/>
        <c:crosses val="autoZero"/>
        <c:auto val="1"/>
        <c:lblAlgn val="ctr"/>
        <c:lblOffset val="100"/>
        <c:noMultiLvlLbl val="0"/>
      </c:catAx>
      <c:spPr>
        <a:solidFill>
          <a:srgbClr val="FFFFFF"/>
        </a:solidFill>
        <a:ln>
          <a:noFill/>
          <a:round/>
        </a:ln>
        <a:effectLst/>
        <a:extLst>
          <a:ext uri="{91240B29-F687-4F45-9708-019B960494DF}">
            <a14:hiddenLine xmlns:a14="http://schemas.microsoft.com/office/drawing/2010/main">
              <a:noFill/>
              <a:round/>
            </a14:hiddenLine>
          </a:ext>
        </a:extLst>
      </c:spPr>
    </c:plotArea>
    <c:plotVisOnly val="1"/>
    <c:dispBlanksAs val="gap"/>
    <c:showDLblsOverMax val="0"/>
  </c:chart>
  <c:spPr>
    <a:solidFill>
      <a:srgbClr val="FFFFFF"/>
    </a:solidFill>
    <a:ln w="9525" cap="flat" cmpd="sng" algn="ctr">
      <a:noFill/>
      <a:prstDash val="solid"/>
      <a:round/>
    </a:ln>
    <a:effectLst/>
    <a:extLst>
      <a:ext uri="{91240B29-F687-4F45-9708-019B960494DF}">
        <a14:hiddenLine xmlns:a14="http://schemas.microsoft.com/office/drawing/2010/main" w="9525" cap="flat" cmpd="sng" algn="ctr">
          <a:solidFill>
            <a:srgbClr val="000000">
              <a:tint val="75000"/>
              <a:shade val="95000"/>
              <a:satMod val="105000"/>
            </a:srgbClr>
          </a:solidFill>
          <a:prstDash val="solid"/>
          <a:round/>
        </a14:hiddenLine>
      </a:ext>
    </a:extLst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AU" sz="800"/>
              <a:t>Underlying</a:t>
            </a:r>
            <a:r>
              <a:rPr lang="en-AU" sz="800" baseline="0"/>
              <a:t> </a:t>
            </a:r>
            <a:r>
              <a:rPr lang="en-AU" sz="800"/>
              <a:t>cash balance impact</a:t>
            </a:r>
          </a:p>
        </c:rich>
      </c:tx>
      <c:layout>
        <c:manualLayout>
          <c:xMode val="edge"/>
          <c:yMode val="edge"/>
          <c:x val="0.298609238451935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9928214731585517E-2"/>
          <c:y val="0.10962277777777778"/>
          <c:w val="0.86014357053682899"/>
          <c:h val="0.7948211111111110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'Policy and parameters'!$A$3</c:f>
              <c:strCache>
                <c:ptCount val="1"/>
                <c:pt idx="0">
                  <c:v>Receipts 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0.64213473315835523"/>
                  <c:y val="0.42737100368858261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92D050"/>
                        </a:solidFill>
                      </a:rPr>
                      <a:t>Receipts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3226471691038625E-2"/>
                  <c:y val="0.16147720933330742"/>
                </c:manualLayout>
              </c:layout>
              <c:tx>
                <c:rich>
                  <a:bodyPr/>
                  <a:lstStyle/>
                  <a:p>
                    <a:r>
                      <a:rPr lang="en-US" sz="750"/>
                      <a:t>Improvement</a:t>
                    </a:r>
                    <a:r>
                      <a:rPr lang="en-US" sz="750" baseline="0"/>
                      <a:t> </a:t>
                    </a:r>
                    <a:endParaRPr lang="en-US" sz="75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'Policy and parameters'!$B$2:$E$2</c:f>
              <c:strCache>
                <c:ptCount val="4"/>
                <c:pt idx="0">
                  <c:v>2017-18</c:v>
                </c:pt>
                <c:pt idx="1">
                  <c:v>2018-19</c:v>
                </c:pt>
                <c:pt idx="2">
                  <c:v>2019-20</c:v>
                </c:pt>
                <c:pt idx="3">
                  <c:v>2020-21</c:v>
                </c:pt>
              </c:strCache>
            </c:strRef>
          </c:cat>
          <c:val>
            <c:numRef>
              <c:f>'Policy and parameters'!$B$3:$E$3</c:f>
              <c:numCache>
                <c:formatCode>0.0</c:formatCode>
                <c:ptCount val="4"/>
                <c:pt idx="0">
                  <c:v>2.9000000000000001E-2</c:v>
                </c:pt>
                <c:pt idx="1">
                  <c:v>0.67400000000000004</c:v>
                </c:pt>
                <c:pt idx="2">
                  <c:v>-0.95</c:v>
                </c:pt>
                <c:pt idx="3">
                  <c:v>-6.9669999999999996</c:v>
                </c:pt>
              </c:numCache>
            </c:numRef>
          </c:val>
        </c:ser>
        <c:ser>
          <c:idx val="2"/>
          <c:order val="1"/>
          <c:tx>
            <c:strRef>
              <c:f>'Policy and parameters'!$A$4</c:f>
              <c:strCache>
                <c:ptCount val="1"/>
                <c:pt idx="0">
                  <c:v>Payments</c:v>
                </c:pt>
              </c:strCache>
            </c:strRef>
          </c:tx>
          <c:spPr>
            <a:solidFill>
              <a:srgbClr val="3D4DC5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8.4666666666666668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3D4DC5"/>
                        </a:solidFill>
                      </a:rPr>
                      <a:t>Payments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3271466066741656E-2"/>
                  <c:y val="-0.19845129488955074"/>
                </c:manualLayout>
              </c:layout>
              <c:tx>
                <c:rich>
                  <a:bodyPr/>
                  <a:lstStyle/>
                  <a:p>
                    <a:pPr>
                      <a:defRPr sz="750"/>
                    </a:pPr>
                    <a:r>
                      <a:rPr lang="en-US" sz="750"/>
                      <a:t>Deterioration</a:t>
                    </a:r>
                    <a:r>
                      <a:rPr lang="en-US" sz="750" baseline="0"/>
                      <a:t> </a:t>
                    </a:r>
                    <a:endParaRPr lang="en-US" sz="750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'Policy and parameters'!$B$2:$E$2</c:f>
              <c:strCache>
                <c:ptCount val="4"/>
                <c:pt idx="0">
                  <c:v>2017-18</c:v>
                </c:pt>
                <c:pt idx="1">
                  <c:v>2018-19</c:v>
                </c:pt>
                <c:pt idx="2">
                  <c:v>2019-20</c:v>
                </c:pt>
                <c:pt idx="3">
                  <c:v>2020-21</c:v>
                </c:pt>
              </c:strCache>
            </c:strRef>
          </c:cat>
          <c:val>
            <c:numRef>
              <c:f>'Policy and parameters'!$B$4:$E$4</c:f>
              <c:numCache>
                <c:formatCode>0.0</c:formatCode>
                <c:ptCount val="4"/>
                <c:pt idx="0">
                  <c:v>-1.62</c:v>
                </c:pt>
                <c:pt idx="1">
                  <c:v>-1.3180000000000001</c:v>
                </c:pt>
                <c:pt idx="2">
                  <c:v>-0.59899999999999998</c:v>
                </c:pt>
                <c:pt idx="3">
                  <c:v>2.4E-2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867200"/>
        <c:axId val="136527872"/>
      </c:barChart>
      <c:barChart>
        <c:barDir val="col"/>
        <c:grouping val="stacked"/>
        <c:varyColors val="0"/>
        <c:ser>
          <c:idx val="1"/>
          <c:order val="2"/>
          <c:tx>
            <c:v>DUMMY</c:v>
          </c:tx>
          <c:spPr>
            <a:noFill/>
            <a:ln w="25400">
              <a:noFill/>
            </a:ln>
            <a:effectLst/>
          </c:spPr>
          <c:invertIfNegative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6540160"/>
        <c:axId val="136529792"/>
      </c:barChart>
      <c:catAx>
        <c:axId val="134867200"/>
        <c:scaling>
          <c:orientation val="minMax"/>
        </c:scaling>
        <c:delete val="0"/>
        <c:axPos val="b"/>
        <c:majorTickMark val="cross"/>
        <c:minorTickMark val="none"/>
        <c:tickLblPos val="low"/>
        <c:spPr>
          <a:ln w="12700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6527872"/>
        <c:crosses val="autoZero"/>
        <c:auto val="1"/>
        <c:lblAlgn val="ctr"/>
        <c:lblOffset val="100"/>
        <c:noMultiLvlLbl val="0"/>
      </c:catAx>
      <c:valAx>
        <c:axId val="136527872"/>
        <c:scaling>
          <c:orientation val="minMax"/>
          <c:max val="5"/>
          <c:min val="-1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700" b="0" i="0"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$billion</a:t>
                </a:r>
              </a:p>
            </c:rich>
          </c:tx>
          <c:layout>
            <c:manualLayout>
              <c:xMode val="edge"/>
              <c:yMode val="edge"/>
              <c:x val="0"/>
              <c:y val="0"/>
            </c:manualLayout>
          </c:layout>
          <c:overlay val="0"/>
        </c:title>
        <c:numFmt formatCode="0" sourceLinked="0"/>
        <c:majorTickMark val="in"/>
        <c:minorTickMark val="none"/>
        <c:tickLblPos val="nextTo"/>
        <c:spPr>
          <a:ln w="12700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4867200"/>
        <c:crosses val="autoZero"/>
        <c:crossBetween val="between"/>
        <c:majorUnit val="5"/>
      </c:valAx>
      <c:valAx>
        <c:axId val="136529792"/>
        <c:scaling>
          <c:orientation val="minMax"/>
          <c:max val="5"/>
          <c:min val="-1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00" b="0" i="0">
                    <a:latin typeface="Arial"/>
                    <a:ea typeface="Arial"/>
                    <a:cs typeface="Arial"/>
                  </a:defRPr>
                </a:pPr>
                <a:r>
                  <a:rPr lang="en-AU"/>
                  <a:t>$billion</a:t>
                </a:r>
              </a:p>
            </c:rich>
          </c:tx>
          <c:layout>
            <c:manualLayout>
              <c:xMode val="edge"/>
              <c:yMode val="edge"/>
              <c:x val="0.8898064918851436"/>
              <c:y val="0"/>
            </c:manualLayout>
          </c:layout>
          <c:overlay val="0"/>
        </c:title>
        <c:numFmt formatCode="General" sourceLinked="0"/>
        <c:majorTickMark val="in"/>
        <c:minorTickMark val="none"/>
        <c:tickLblPos val="nextTo"/>
        <c:spPr>
          <a:ln w="12700">
            <a:solidFill>
              <a:srgbClr val="808080"/>
            </a:solidFill>
            <a:prstDash val="solid"/>
          </a:ln>
        </c:spPr>
        <c:txPr>
          <a:bodyPr rot="-60000000" vert="horz"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6540160"/>
        <c:crosses val="max"/>
        <c:crossBetween val="between"/>
        <c:majorUnit val="5"/>
        <c:minorUnit val="1"/>
      </c:valAx>
      <c:catAx>
        <c:axId val="136540160"/>
        <c:scaling>
          <c:orientation val="minMax"/>
        </c:scaling>
        <c:delete val="1"/>
        <c:axPos val="b"/>
        <c:majorTickMark val="out"/>
        <c:minorTickMark val="none"/>
        <c:tickLblPos val="nextTo"/>
        <c:crossAx val="136529792"/>
        <c:crosses val="autoZero"/>
        <c:auto val="1"/>
        <c:lblAlgn val="ctr"/>
        <c:lblOffset val="100"/>
        <c:noMultiLvlLbl val="0"/>
      </c:catAx>
      <c:spPr>
        <a:solidFill>
          <a:srgbClr val="FFFFFF"/>
        </a:solidFill>
        <a:ln>
          <a:noFill/>
          <a:round/>
        </a:ln>
        <a:effectLst/>
        <a:extLst>
          <a:ext uri="{91240B29-F687-4F45-9708-019B960494DF}">
            <a14:hiddenLine xmlns:a14="http://schemas.microsoft.com/office/drawing/2010/main">
              <a:noFill/>
              <a:round/>
            </a14:hiddenLine>
          </a:ext>
        </a:extLst>
      </c:spPr>
    </c:plotArea>
    <c:plotVisOnly val="1"/>
    <c:dispBlanksAs val="gap"/>
    <c:showDLblsOverMax val="0"/>
  </c:chart>
  <c:spPr>
    <a:solidFill>
      <a:srgbClr val="FFFFFF"/>
    </a:solidFill>
    <a:ln w="9525" cap="flat" cmpd="sng" algn="ctr">
      <a:noFill/>
      <a:prstDash val="solid"/>
      <a:round/>
    </a:ln>
    <a:effectLst/>
    <a:extLst>
      <a:ext uri="{91240B29-F687-4F45-9708-019B960494DF}">
        <a14:hiddenLine xmlns:a14="http://schemas.microsoft.com/office/drawing/2010/main" w="9525" cap="flat" cmpd="sng" algn="ctr">
          <a:solidFill>
            <a:srgbClr val="000000">
              <a:tint val="75000"/>
              <a:shade val="95000"/>
              <a:satMod val="105000"/>
            </a:srgbClr>
          </a:solidFill>
          <a:prstDash val="solid"/>
          <a:round/>
        </a14:hiddenLine>
      </a:ext>
    </a:extLst>
  </c:spPr>
  <c:txPr>
    <a:bodyPr/>
    <a:lstStyle/>
    <a:p>
      <a:pPr>
        <a:defRPr sz="700" b="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/>
            </a:pPr>
            <a:r>
              <a:rPr lang="en-AU" sz="800" b="0"/>
              <a:t>Total over five years</a:t>
            </a:r>
          </a:p>
          <a:p>
            <a:pPr>
              <a:defRPr sz="800" b="0"/>
            </a:pPr>
            <a:r>
              <a:rPr lang="en-AU" sz="800" b="0"/>
              <a:t>2017-18 to 2021-22 ($ billion)</a:t>
            </a:r>
          </a:p>
        </c:rich>
      </c:tx>
      <c:layout>
        <c:manualLayout>
          <c:xMode val="edge"/>
          <c:yMode val="edge"/>
          <c:x val="0.3007496878901372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691448189762796"/>
          <c:y val="0.16886055555555557"/>
          <c:w val="0.7503261548064919"/>
          <c:h val="0.7355833333333333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2D050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$1.9b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$2.4b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$3.6b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-$12.8b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-$13.4b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'Policy and parameters'!$A$21:$A$25</c:f>
              <c:strCache>
                <c:ptCount val="5"/>
                <c:pt idx="0">
                  <c:v>Black Economy Taskforce - additional ATO funding</c:v>
                </c:pt>
                <c:pt idx="1">
                  <c:v>R&amp;D tax incentive - new rates</c:v>
                </c:pt>
                <c:pt idx="2">
                  <c:v>Combatting Illicit Tobacco</c:v>
                </c:pt>
                <c:pt idx="3">
                  <c:v>Reduce Medicare Levy
from 2.5% to 2%</c:v>
                </c:pt>
                <c:pt idx="4">
                  <c:v>Personal Income Tax Plan</c:v>
                </c:pt>
              </c:strCache>
            </c:strRef>
          </c:cat>
          <c:val>
            <c:numRef>
              <c:f>'Policy and parameters'!$B$21:$B$25</c:f>
              <c:numCache>
                <c:formatCode>0.0</c:formatCode>
                <c:ptCount val="5"/>
                <c:pt idx="0">
                  <c:v>1.9169</c:v>
                </c:pt>
                <c:pt idx="1">
                  <c:v>2.4382000000000001</c:v>
                </c:pt>
                <c:pt idx="2">
                  <c:v>3.5771000000000002</c:v>
                </c:pt>
                <c:pt idx="3">
                  <c:v>-12.799999999999999</c:v>
                </c:pt>
                <c:pt idx="4">
                  <c:v>-13.4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60"/>
        <c:axId val="136564736"/>
        <c:axId val="136566272"/>
      </c:barChart>
      <c:catAx>
        <c:axId val="136564736"/>
        <c:scaling>
          <c:orientation val="minMax"/>
        </c:scaling>
        <c:delete val="0"/>
        <c:axPos val="l"/>
        <c:majorTickMark val="none"/>
        <c:minorTickMark val="none"/>
        <c:tickLblPos val="low"/>
        <c:spPr>
          <a:ln w="12700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n-US"/>
          </a:p>
        </c:txPr>
        <c:crossAx val="136566272"/>
        <c:crosses val="autoZero"/>
        <c:auto val="1"/>
        <c:lblAlgn val="ctr"/>
        <c:lblOffset val="100"/>
        <c:noMultiLvlLbl val="0"/>
      </c:catAx>
      <c:valAx>
        <c:axId val="136566272"/>
        <c:scaling>
          <c:orientation val="minMax"/>
          <c:max val="10"/>
          <c:min val="-20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 b="0"/>
                </a:pPr>
                <a:r>
                  <a:rPr lang="en-AU" b="0"/>
                  <a:t>$billion</a:t>
                </a:r>
              </a:p>
            </c:rich>
          </c:tx>
          <c:layout>
            <c:manualLayout>
              <c:xMode val="edge"/>
              <c:yMode val="edge"/>
              <c:x val="4.7565543071161051E-2"/>
              <c:y val="0.90688516061906621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12700">
            <a:solidFill>
              <a:srgbClr val="808080"/>
            </a:solidFill>
            <a:prstDash val="solid"/>
          </a:ln>
        </c:spPr>
        <c:crossAx val="136564736"/>
        <c:crosses val="autoZero"/>
        <c:crossBetween val="between"/>
        <c:majorUnit val="5"/>
      </c:valAx>
      <c:spPr>
        <a:solidFill>
          <a:srgbClr val="FFFFFF"/>
        </a:solidFill>
        <a:ln>
          <a:noFill/>
          <a:round/>
        </a:ln>
        <a:effectLst/>
        <a:extLst>
          <a:ext uri="{91240B29-F687-4F45-9708-019B960494DF}">
            <a14:hiddenLine xmlns:a14="http://schemas.microsoft.com/office/drawing/2010/main">
              <a:noFill/>
              <a:round/>
            </a14:hiddenLine>
          </a:ext>
        </a:extLst>
      </c:spPr>
    </c:plotArea>
    <c:plotVisOnly val="1"/>
    <c:dispBlanksAs val="gap"/>
    <c:showDLblsOverMax val="0"/>
  </c:chart>
  <c:spPr>
    <a:solidFill>
      <a:srgbClr val="FFFFFF"/>
    </a:solidFill>
    <a:ln w="9525" cap="flat" cmpd="sng" algn="ctr">
      <a:noFill/>
      <a:prstDash val="solid"/>
      <a:round/>
    </a:ln>
    <a:effectLst/>
    <a:extLst>
      <a:ext uri="{91240B29-F687-4F45-9708-019B960494DF}">
        <a14:hiddenLine xmlns:a14="http://schemas.microsoft.com/office/drawing/2010/main" w="9525" cap="flat" cmpd="sng" algn="ctr">
          <a:solidFill>
            <a:srgbClr val="000000">
              <a:tint val="75000"/>
              <a:shade val="95000"/>
              <a:satMod val="105000"/>
            </a:srgbClr>
          </a:solidFill>
          <a:prstDash val="solid"/>
          <a:round/>
        </a14:hiddenLine>
      </a:ext>
    </a:extLst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/>
            </a:pPr>
            <a:r>
              <a:rPr lang="en-AU" sz="800" b="0"/>
              <a:t>Total over five years</a:t>
            </a:r>
          </a:p>
          <a:p>
            <a:pPr>
              <a:defRPr sz="800" b="0"/>
            </a:pPr>
            <a:r>
              <a:rPr lang="en-AU" sz="800" b="0"/>
              <a:t>2017-18 to 2021-22 ($ billion)</a:t>
            </a:r>
          </a:p>
        </c:rich>
      </c:tx>
      <c:layout>
        <c:manualLayout>
          <c:xMode val="edge"/>
          <c:yMode val="edge"/>
          <c:x val="0.28093071161048683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72765293383271"/>
          <c:y val="0.20048853734378513"/>
          <c:w val="0.77807272159800245"/>
          <c:h val="0.7073609288357630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D4DC5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-$0.4b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$0.4b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$0.5b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$0.8b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$1.0b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'Policy and parameters'!$A$41:$A$45</c:f>
              <c:strCache>
                <c:ptCount val="5"/>
                <c:pt idx="0">
                  <c:v>Visas for GPs</c:v>
                </c:pt>
                <c:pt idx="1">
                  <c:v>Remote Indigenous 
Housing in the NT</c:v>
                </c:pt>
                <c:pt idx="2">
                  <c:v>Great Barrier Reef funding</c:v>
                </c:pt>
                <c:pt idx="3">
                  <c:v>Pharmaceutical benefit 
scheme listings</c:v>
                </c:pt>
                <c:pt idx="4">
                  <c:v>Continuing public 
hospital funding</c:v>
                </c:pt>
              </c:strCache>
            </c:strRef>
          </c:cat>
          <c:val>
            <c:numRef>
              <c:f>'Policy and parameters'!$B$41:$B$45</c:f>
              <c:numCache>
                <c:formatCode>0.0</c:formatCode>
                <c:ptCount val="5"/>
                <c:pt idx="0">
                  <c:v>-0.41909999999999997</c:v>
                </c:pt>
                <c:pt idx="1">
                  <c:v>0.44</c:v>
                </c:pt>
                <c:pt idx="2">
                  <c:v>0.47799999999999992</c:v>
                </c:pt>
                <c:pt idx="3">
                  <c:v>0.76959999999999995</c:v>
                </c:pt>
                <c:pt idx="4">
                  <c:v>0.95009999999999994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axId val="136853376"/>
        <c:axId val="136854912"/>
      </c:barChart>
      <c:catAx>
        <c:axId val="136853376"/>
        <c:scaling>
          <c:orientation val="minMax"/>
        </c:scaling>
        <c:delete val="0"/>
        <c:axPos val="l"/>
        <c:majorTickMark val="none"/>
        <c:minorTickMark val="none"/>
        <c:tickLblPos val="low"/>
        <c:spPr>
          <a:ln w="12700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n-US"/>
          </a:p>
        </c:txPr>
        <c:crossAx val="136854912"/>
        <c:crosses val="autoZero"/>
        <c:auto val="1"/>
        <c:lblAlgn val="ctr"/>
        <c:lblOffset val="100"/>
        <c:noMultiLvlLbl val="0"/>
      </c:catAx>
      <c:valAx>
        <c:axId val="136854912"/>
        <c:scaling>
          <c:orientation val="minMax"/>
          <c:max val="2"/>
          <c:min val="-1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 b="0"/>
                </a:pPr>
                <a:r>
                  <a:rPr lang="en-AU" b="0"/>
                  <a:t>$billion</a:t>
                </a:r>
              </a:p>
            </c:rich>
          </c:tx>
          <c:layout>
            <c:manualLayout>
              <c:xMode val="edge"/>
              <c:yMode val="edge"/>
              <c:x val="0.22593632958801499"/>
              <c:y val="0.9068849999999998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12700">
            <a:solidFill>
              <a:srgbClr val="808080"/>
            </a:solidFill>
            <a:prstDash val="solid"/>
          </a:ln>
        </c:spPr>
        <c:crossAx val="136853376"/>
        <c:crosses val="autoZero"/>
        <c:crossBetween val="between"/>
        <c:majorUnit val="1"/>
      </c:valAx>
      <c:spPr>
        <a:solidFill>
          <a:srgbClr val="FFFFFF"/>
        </a:solidFill>
        <a:ln>
          <a:noFill/>
          <a:round/>
        </a:ln>
        <a:effectLst/>
        <a:extLst>
          <a:ext uri="{91240B29-F687-4F45-9708-019B960494DF}">
            <a14:hiddenLine xmlns:a14="http://schemas.microsoft.com/office/drawing/2010/main">
              <a:noFill/>
              <a:round/>
            </a14:hiddenLine>
          </a:ext>
        </a:extLst>
      </c:spPr>
    </c:plotArea>
    <c:plotVisOnly val="1"/>
    <c:dispBlanksAs val="gap"/>
    <c:showDLblsOverMax val="0"/>
  </c:chart>
  <c:spPr>
    <a:solidFill>
      <a:srgbClr val="FFFFFF"/>
    </a:solidFill>
    <a:ln w="9525" cap="flat" cmpd="sng" algn="ctr">
      <a:noFill/>
      <a:prstDash val="solid"/>
      <a:round/>
    </a:ln>
    <a:effectLst/>
    <a:extLst>
      <a:ext uri="{91240B29-F687-4F45-9708-019B960494DF}">
        <a14:hiddenLine xmlns:a14="http://schemas.microsoft.com/office/drawing/2010/main" w="9525" cap="flat" cmpd="sng" algn="ctr">
          <a:solidFill>
            <a:srgbClr val="000000">
              <a:tint val="75000"/>
              <a:shade val="95000"/>
              <a:satMod val="105000"/>
            </a:srgbClr>
          </a:solidFill>
          <a:prstDash val="solid"/>
          <a:round/>
        </a14:hiddenLine>
      </a:ext>
    </a:extLst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AU"/>
              <a:t>Underlying cash balance</a:t>
            </a:r>
            <a:r>
              <a:rPr lang="en-AU" baseline="0"/>
              <a:t> impact</a:t>
            </a:r>
            <a:endParaRPr lang="en-AU"/>
          </a:p>
        </c:rich>
      </c:tx>
      <c:layout>
        <c:manualLayout>
          <c:xMode val="edge"/>
          <c:yMode val="edge"/>
          <c:x val="0.26864294631710361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8.5783395755305872E-2"/>
          <c:y val="0.10519833333333334"/>
          <c:w val="0.84032459425717854"/>
          <c:h val="0.7992455555555555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'Policy and parameters'!$A$81</c:f>
              <c:strCache>
                <c:ptCount val="1"/>
                <c:pt idx="0">
                  <c:v>Receipts 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1"/>
              <c:layout>
                <c:manualLayout>
                  <c:x val="-3.963795255930087E-3"/>
                  <c:y val="-0.18344555555555556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92D050"/>
                        </a:solidFill>
                      </a:rPr>
                      <a:t>Receipts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32106741573033709"/>
                  <c:y val="0.26404833333333333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700" b="0" i="0" u="none" strike="noStrike" kern="1200" baseline="0">
                        <a:solidFill>
                          <a:srgbClr val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750" b="0" i="0" baseline="0">
                        <a:effectLst/>
                      </a:rPr>
                      <a:t>Deterioration </a:t>
                    </a:r>
                    <a:endParaRPr lang="en-AU" sz="750">
                      <a:effectLst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'Policy and parameters'!$B$2:$E$2</c:f>
              <c:strCache>
                <c:ptCount val="4"/>
                <c:pt idx="0">
                  <c:v>2017-18</c:v>
                </c:pt>
                <c:pt idx="1">
                  <c:v>2018-19</c:v>
                </c:pt>
                <c:pt idx="2">
                  <c:v>2019-20</c:v>
                </c:pt>
                <c:pt idx="3">
                  <c:v>2020-21</c:v>
                </c:pt>
              </c:strCache>
            </c:strRef>
          </c:cat>
          <c:val>
            <c:numRef>
              <c:f>'Policy and parameters'!$B$81:$E$81</c:f>
              <c:numCache>
                <c:formatCode>0.0</c:formatCode>
                <c:ptCount val="4"/>
                <c:pt idx="0">
                  <c:v>7.0019999999999998</c:v>
                </c:pt>
                <c:pt idx="1">
                  <c:v>8.4610000000000003</c:v>
                </c:pt>
                <c:pt idx="2">
                  <c:v>6.4850000000000003</c:v>
                </c:pt>
                <c:pt idx="3">
                  <c:v>4.7869999999999999</c:v>
                </c:pt>
              </c:numCache>
            </c:numRef>
          </c:val>
        </c:ser>
        <c:ser>
          <c:idx val="2"/>
          <c:order val="1"/>
          <c:tx>
            <c:strRef>
              <c:f>'Policy and parameters'!$A$82</c:f>
              <c:strCache>
                <c:ptCount val="1"/>
                <c:pt idx="0">
                  <c:v>Payments</c:v>
                </c:pt>
              </c:strCache>
            </c:strRef>
          </c:tx>
          <c:spPr>
            <a:solidFill>
              <a:srgbClr val="3D4DC5"/>
            </a:solidFill>
          </c:spPr>
          <c:invertIfNegative val="0"/>
          <c:dLbls>
            <c:dLbl>
              <c:idx val="0"/>
              <c:layout>
                <c:manualLayout>
                  <c:x val="0.20202049815084996"/>
                  <c:y val="0.31774008510865359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3D4DC5"/>
                        </a:solidFill>
                      </a:rPr>
                      <a:t>Payments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28935705368289638"/>
                  <c:y val="-0.18858555555555553"/>
                </c:manualLayout>
              </c:layout>
              <c:tx>
                <c:rich>
                  <a:bodyPr/>
                  <a:lstStyle/>
                  <a:p>
                    <a:r>
                      <a:rPr lang="en-US" sz="750" b="0" i="0" baseline="0">
                        <a:effectLst/>
                        <a:latin typeface="Arial" panose="020B0604020202020204" pitchFamily="34" charset="0"/>
                        <a:cs typeface="Arial" panose="020B0604020202020204" pitchFamily="34" charset="0"/>
                      </a:rPr>
                      <a:t>Improvement </a:t>
                    </a:r>
                    <a:endParaRPr lang="en-AU" sz="750">
                      <a:effectLst/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'Policy and parameters'!$B$2:$E$2</c:f>
              <c:strCache>
                <c:ptCount val="4"/>
                <c:pt idx="0">
                  <c:v>2017-18</c:v>
                </c:pt>
                <c:pt idx="1">
                  <c:v>2018-19</c:v>
                </c:pt>
                <c:pt idx="2">
                  <c:v>2019-20</c:v>
                </c:pt>
                <c:pt idx="3">
                  <c:v>2020-21</c:v>
                </c:pt>
              </c:strCache>
            </c:strRef>
          </c:cat>
          <c:val>
            <c:numRef>
              <c:f>'Policy and parameters'!$B$82:$E$82</c:f>
              <c:numCache>
                <c:formatCode>0.0</c:formatCode>
                <c:ptCount val="4"/>
                <c:pt idx="0">
                  <c:v>0.38500000000000001</c:v>
                </c:pt>
                <c:pt idx="1">
                  <c:v>-1.7310000000000001</c:v>
                </c:pt>
                <c:pt idx="2">
                  <c:v>-6.9999999999998952E-3</c:v>
                </c:pt>
                <c:pt idx="3">
                  <c:v>2.95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6904064"/>
        <c:axId val="139355264"/>
      </c:barChart>
      <c:barChart>
        <c:barDir val="col"/>
        <c:grouping val="stacked"/>
        <c:varyColors val="0"/>
        <c:ser>
          <c:idx val="1"/>
          <c:order val="2"/>
          <c:tx>
            <c:v>DUMMY</c:v>
          </c:tx>
          <c:spPr>
            <a:noFill/>
            <a:ln w="25400">
              <a:noFill/>
            </a:ln>
            <a:effectLst/>
          </c:spPr>
          <c:invertIfNegative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9359360"/>
        <c:axId val="139357184"/>
      </c:barChart>
      <c:catAx>
        <c:axId val="136904064"/>
        <c:scaling>
          <c:orientation val="minMax"/>
        </c:scaling>
        <c:delete val="0"/>
        <c:axPos val="b"/>
        <c:majorTickMark val="cross"/>
        <c:minorTickMark val="none"/>
        <c:tickLblPos val="low"/>
        <c:spPr>
          <a:ln w="12700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9355264"/>
        <c:crosses val="autoZero"/>
        <c:auto val="1"/>
        <c:lblAlgn val="ctr"/>
        <c:lblOffset val="100"/>
        <c:noMultiLvlLbl val="0"/>
      </c:catAx>
      <c:valAx>
        <c:axId val="139355264"/>
        <c:scaling>
          <c:orientation val="minMax"/>
          <c:max val="15"/>
          <c:min val="-1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700" b="0" i="0"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$billion</a:t>
                </a:r>
              </a:p>
            </c:rich>
          </c:tx>
          <c:layout>
            <c:manualLayout>
              <c:xMode val="edge"/>
              <c:yMode val="edge"/>
              <c:x val="1.9818976279650437E-2"/>
              <c:y val="0"/>
            </c:manualLayout>
          </c:layout>
          <c:overlay val="0"/>
        </c:title>
        <c:numFmt formatCode="0" sourceLinked="0"/>
        <c:majorTickMark val="in"/>
        <c:minorTickMark val="none"/>
        <c:tickLblPos val="nextTo"/>
        <c:spPr>
          <a:ln w="12700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6904064"/>
        <c:crosses val="autoZero"/>
        <c:crossBetween val="between"/>
        <c:majorUnit val="5"/>
      </c:valAx>
      <c:valAx>
        <c:axId val="139357184"/>
        <c:scaling>
          <c:orientation val="minMax"/>
          <c:max val="15"/>
          <c:min val="-1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00" b="0" i="0">
                    <a:latin typeface="Arial"/>
                    <a:ea typeface="Arial"/>
                    <a:cs typeface="Arial"/>
                  </a:defRPr>
                </a:pPr>
                <a:r>
                  <a:rPr lang="en-AU"/>
                  <a:t>$billion</a:t>
                </a:r>
              </a:p>
            </c:rich>
          </c:tx>
          <c:layout>
            <c:manualLayout>
              <c:xMode val="edge"/>
              <c:yMode val="edge"/>
              <c:x val="0.88584269662921344"/>
              <c:y val="0"/>
            </c:manualLayout>
          </c:layout>
          <c:overlay val="0"/>
        </c:title>
        <c:numFmt formatCode="0" sourceLinked="0"/>
        <c:majorTickMark val="in"/>
        <c:minorTickMark val="none"/>
        <c:tickLblPos val="nextTo"/>
        <c:spPr>
          <a:ln w="12700">
            <a:solidFill>
              <a:srgbClr val="808080"/>
            </a:solidFill>
            <a:prstDash val="solid"/>
          </a:ln>
        </c:spPr>
        <c:txPr>
          <a:bodyPr rot="-60000000" vert="horz"/>
          <a:lstStyle/>
          <a:p>
            <a:pPr>
              <a:defRPr sz="700" b="0" i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9359360"/>
        <c:crosses val="max"/>
        <c:crossBetween val="between"/>
        <c:majorUnit val="5"/>
        <c:minorUnit val="1"/>
      </c:valAx>
      <c:catAx>
        <c:axId val="139359360"/>
        <c:scaling>
          <c:orientation val="minMax"/>
        </c:scaling>
        <c:delete val="1"/>
        <c:axPos val="b"/>
        <c:majorTickMark val="out"/>
        <c:minorTickMark val="none"/>
        <c:tickLblPos val="nextTo"/>
        <c:crossAx val="139357184"/>
        <c:crosses val="autoZero"/>
        <c:auto val="1"/>
        <c:lblAlgn val="ctr"/>
        <c:lblOffset val="100"/>
        <c:noMultiLvlLbl val="0"/>
      </c:catAx>
      <c:spPr>
        <a:solidFill>
          <a:srgbClr val="FFFFFF"/>
        </a:solidFill>
        <a:ln>
          <a:noFill/>
          <a:round/>
        </a:ln>
        <a:effectLst/>
        <a:extLst>
          <a:ext uri="{91240B29-F687-4F45-9708-019B960494DF}">
            <a14:hiddenLine xmlns:a14="http://schemas.microsoft.com/office/drawing/2010/main">
              <a:noFill/>
              <a:round/>
            </a14:hiddenLine>
          </a:ext>
        </a:extLst>
      </c:spPr>
    </c:plotArea>
    <c:plotVisOnly val="1"/>
    <c:dispBlanksAs val="gap"/>
    <c:showDLblsOverMax val="0"/>
  </c:chart>
  <c:spPr>
    <a:solidFill>
      <a:srgbClr val="FFFFFF"/>
    </a:solidFill>
    <a:ln w="9525" cap="flat" cmpd="sng" algn="ctr">
      <a:noFill/>
      <a:prstDash val="solid"/>
      <a:round/>
    </a:ln>
    <a:effectLst/>
    <a:extLst>
      <a:ext uri="{91240B29-F687-4F45-9708-019B960494DF}">
        <a14:hiddenLine xmlns:a14="http://schemas.microsoft.com/office/drawing/2010/main" w="9525" cap="flat" cmpd="sng" algn="ctr">
          <a:solidFill>
            <a:srgbClr val="000000">
              <a:tint val="75000"/>
              <a:shade val="95000"/>
              <a:satMod val="105000"/>
            </a:srgbClr>
          </a:solidFill>
          <a:prstDash val="solid"/>
          <a:round/>
        </a14:hiddenLine>
      </a:ext>
    </a:extLst>
  </c:spPr>
  <c:txPr>
    <a:bodyPr/>
    <a:lstStyle/>
    <a:p>
      <a:pPr>
        <a:defRPr sz="700" b="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0.76148</cdr:x>
      <cdr:y>0.06085</cdr:y>
    </cdr:from>
    <cdr:to>
      <cdr:x>0.76148</cdr:x>
      <cdr:y>0.87421</cdr:y>
    </cdr:to>
    <cdr:cxnSp macro="">
      <cdr:nvCxnSpPr>
        <cdr:cNvPr id="2" name="Straight Connector 1"/>
        <cdr:cNvCxnSpPr/>
      </cdr:nvCxnSpPr>
      <cdr:spPr>
        <a:xfrm xmlns:a="http://schemas.openxmlformats.org/drawingml/2006/main">
          <a:off x="2467196" y="109528"/>
          <a:ext cx="0" cy="1464042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rgbClr val="00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0.85924</cdr:x>
      <cdr:y>0.10557</cdr:y>
    </cdr:from>
    <cdr:to>
      <cdr:x>0.85924</cdr:x>
      <cdr:y>0.90218</cdr:y>
    </cdr:to>
    <cdr:cxnSp macro="">
      <cdr:nvCxnSpPr>
        <cdr:cNvPr id="2" name="Straight Connector 1"/>
        <cdr:cNvCxnSpPr/>
      </cdr:nvCxnSpPr>
      <cdr:spPr>
        <a:xfrm xmlns:a="http://schemas.openxmlformats.org/drawingml/2006/main">
          <a:off x="2758704" y="190026"/>
          <a:ext cx="0" cy="1433898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rgbClr val="00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0.75178</cdr:x>
      <cdr:y>0.08504</cdr:y>
    </cdr:from>
    <cdr:to>
      <cdr:x>0.75178</cdr:x>
      <cdr:y>0.89839</cdr:y>
    </cdr:to>
    <cdr:cxnSp macro="">
      <cdr:nvCxnSpPr>
        <cdr:cNvPr id="3" name="Straight Connector 1"/>
        <cdr:cNvCxnSpPr/>
      </cdr:nvCxnSpPr>
      <cdr:spPr>
        <a:xfrm xmlns:a="http://schemas.openxmlformats.org/drawingml/2006/main">
          <a:off x="2435770" y="153076"/>
          <a:ext cx="0" cy="146403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rgbClr val="00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PBO colours">
  <a:themeElements>
    <a:clrScheme name="New PBO colours">
      <a:dk1>
        <a:srgbClr val="202C47"/>
      </a:dk1>
      <a:lt1>
        <a:srgbClr val="FFFFFF"/>
      </a:lt1>
      <a:dk2>
        <a:srgbClr val="202C47"/>
      </a:dk2>
      <a:lt2>
        <a:srgbClr val="3D4D7D"/>
      </a:lt2>
      <a:accent1>
        <a:srgbClr val="8D487F"/>
      </a:accent1>
      <a:accent2>
        <a:srgbClr val="C64E45"/>
      </a:accent2>
      <a:accent3>
        <a:srgbClr val="F1873D"/>
      </a:accent3>
      <a:accent4>
        <a:srgbClr val="FCC648"/>
      </a:accent4>
      <a:accent5>
        <a:srgbClr val="86BE57"/>
      </a:accent5>
      <a:accent6>
        <a:srgbClr val="788184"/>
      </a:accent6>
      <a:hlink>
        <a:srgbClr val="000000"/>
      </a:hlink>
      <a:folHlink>
        <a:srgbClr val="000000"/>
      </a:folHlink>
    </a:clrScheme>
    <a:fontScheme name="PBO v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38883-19C0-4F59-B0E2-A98F37DF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2018–19 Budget Snapshot</vt:lpstr>
    </vt:vector>
  </TitlesOfParts>
  <Company>Parliament of Australia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2018–19 Budget Snapshot</dc:title>
  <dc:creator>PBO@pbo.gov.au</dc:creator>
  <cp:lastModifiedBy>Pratley, Lauren (PBO)</cp:lastModifiedBy>
  <cp:revision>120</cp:revision>
  <cp:lastPrinted>2018-05-10T02:45:00Z</cp:lastPrinted>
  <dcterms:created xsi:type="dcterms:W3CDTF">2018-04-26T23:31:00Z</dcterms:created>
  <dcterms:modified xsi:type="dcterms:W3CDTF">2018-05-11T01:41:00Z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