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footer14.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7BBF" w:rsidRPr="00D1571C" w:rsidRDefault="002400BD" w:rsidP="00D1571C">
      <w:pPr>
        <w:pStyle w:val="Title"/>
        <w:spacing w:before="6100"/>
        <w:rPr>
          <w:b/>
          <w:color w:val="FFFFFF"/>
          <w:sz w:val="52"/>
          <w:szCs w:val="52"/>
        </w:rPr>
      </w:pPr>
      <w:r w:rsidRPr="00D1571C">
        <w:rPr>
          <w:b/>
          <w:sz w:val="52"/>
          <w:szCs w:val="52"/>
        </w:rPr>
        <w:t>2018</w:t>
      </w:r>
      <w:r w:rsidR="004012E7" w:rsidRPr="00D1571C">
        <w:rPr>
          <w:b/>
          <w:sz w:val="52"/>
          <w:szCs w:val="52"/>
        </w:rPr>
        <w:t>-</w:t>
      </w:r>
      <w:r w:rsidRPr="00D1571C">
        <w:rPr>
          <w:b/>
          <w:sz w:val="52"/>
          <w:szCs w:val="52"/>
        </w:rPr>
        <w:t>19 Budget:</w:t>
      </w:r>
      <w:r w:rsidR="00AB1ED5" w:rsidRPr="00D1571C">
        <w:rPr>
          <w:b/>
          <w:sz w:val="52"/>
          <w:szCs w:val="52"/>
        </w:rPr>
        <w:t xml:space="preserve"> </w:t>
      </w:r>
      <w:r w:rsidR="00AB1ED5" w:rsidRPr="00D1571C">
        <w:rPr>
          <w:b/>
          <w:sz w:val="52"/>
          <w:szCs w:val="52"/>
        </w:rPr>
        <w:br/>
      </w:r>
      <w:r w:rsidRPr="00D1571C">
        <w:rPr>
          <w:b/>
          <w:sz w:val="52"/>
          <w:szCs w:val="52"/>
        </w:rPr>
        <w:t xml:space="preserve">Medium-term </w:t>
      </w:r>
      <w:r w:rsidR="000C5170" w:rsidRPr="00D1571C">
        <w:rPr>
          <w:b/>
          <w:sz w:val="52"/>
          <w:szCs w:val="52"/>
        </w:rPr>
        <w:br/>
      </w:r>
      <w:r w:rsidRPr="00D1571C">
        <w:rPr>
          <w:b/>
          <w:sz w:val="52"/>
          <w:szCs w:val="52"/>
        </w:rPr>
        <w:t>projections</w:t>
      </w:r>
    </w:p>
    <w:p w:rsidR="00086FD2" w:rsidRPr="001C2B0F" w:rsidRDefault="00086FD2" w:rsidP="00D1571C">
      <w:pPr>
        <w:pStyle w:val="Title3"/>
        <w:framePr w:w="3244" w:wrap="around" w:x="8153"/>
        <w:spacing w:after="60"/>
        <w:rPr>
          <w:b/>
        </w:rPr>
      </w:pPr>
      <w:r w:rsidRPr="001C2B0F">
        <w:rPr>
          <w:rStyle w:val="Title3Heading"/>
          <w:b/>
        </w:rPr>
        <w:t>Report No.</w:t>
      </w:r>
      <w:r w:rsidR="002400BD" w:rsidRPr="001C2B0F">
        <w:rPr>
          <w:rStyle w:val="Title3Heading"/>
          <w:b/>
        </w:rPr>
        <w:t xml:space="preserve"> 03/2018</w:t>
      </w:r>
    </w:p>
    <w:p w:rsidR="00086FD2" w:rsidRDefault="00086FD2" w:rsidP="002400BD">
      <w:pPr>
        <w:pStyle w:val="Title2"/>
        <w:ind w:left="0"/>
        <w:sectPr w:rsidR="00086FD2" w:rsidSect="00A16EB0">
          <w:headerReference w:type="even" r:id="rId9"/>
          <w:headerReference w:type="default" r:id="rId10"/>
          <w:headerReference w:type="first" r:id="rId11"/>
          <w:pgSz w:w="11907" w:h="16840" w:code="9"/>
          <w:pgMar w:top="1191" w:right="1418" w:bottom="1021" w:left="1418" w:header="567" w:footer="709" w:gutter="0"/>
          <w:cols w:space="708"/>
          <w:titlePg/>
          <w:docGrid w:linePitch="360"/>
        </w:sectPr>
      </w:pPr>
    </w:p>
    <w:tbl>
      <w:tblPr>
        <w:tblpPr w:leftFromText="181" w:rightFromText="181" w:horzAnchor="margin" w:tblpY="4310"/>
        <w:tblOverlap w:val="never"/>
        <w:tblW w:w="0" w:type="auto"/>
        <w:tblCellMar>
          <w:bottom w:w="57" w:type="dxa"/>
          <w:right w:w="57" w:type="dxa"/>
        </w:tblCellMar>
        <w:tblLook w:val="04A0" w:firstRow="1" w:lastRow="0" w:firstColumn="1" w:lastColumn="0" w:noHBand="0" w:noVBand="1"/>
      </w:tblPr>
      <w:tblGrid>
        <w:gridCol w:w="8220"/>
      </w:tblGrid>
      <w:tr w:rsidR="001830F3" w:rsidRPr="001830F3" w:rsidTr="00CC37CA">
        <w:trPr>
          <w:trHeight w:val="8165"/>
        </w:trPr>
        <w:tc>
          <w:tcPr>
            <w:tcW w:w="8220" w:type="dxa"/>
            <w:vAlign w:val="bottom"/>
          </w:tcPr>
          <w:p w:rsidR="001830F3" w:rsidRPr="001830F3" w:rsidRDefault="001830F3" w:rsidP="00CC37CA">
            <w:pPr>
              <w:pStyle w:val="xDisclaimerText2"/>
              <w:framePr w:hSpace="0" w:wrap="auto" w:hAnchor="text" w:yAlign="inline"/>
              <w:suppressOverlap w:val="0"/>
            </w:pPr>
            <w:r w:rsidRPr="001830F3">
              <w:lastRenderedPageBreak/>
              <w:t>©</w:t>
            </w:r>
            <w:bookmarkStart w:id="0" w:name="_DisclaimerMarker"/>
            <w:bookmarkEnd w:id="0"/>
            <w:r w:rsidRPr="001830F3">
              <w:t xml:space="preserve"> Commonwealth of Australia </w:t>
            </w:r>
            <w:r w:rsidR="002400BD">
              <w:t>2018</w:t>
            </w:r>
          </w:p>
          <w:p w:rsidR="001830F3" w:rsidRPr="001830F3" w:rsidRDefault="000C5170" w:rsidP="00CC37CA">
            <w:pPr>
              <w:pStyle w:val="xDisclaimerText2"/>
              <w:framePr w:hSpace="0" w:wrap="auto" w:hAnchor="text" w:yAlign="inline"/>
              <w:suppressOverlap w:val="0"/>
            </w:pPr>
            <w:r w:rsidRPr="000C5170">
              <w:rPr>
                <w:b/>
              </w:rPr>
              <w:t>978-0-6482138-6-4</w:t>
            </w:r>
            <w:r w:rsidR="006A4C4F" w:rsidRPr="000C5170">
              <w:rPr>
                <w:b/>
              </w:rPr>
              <w:t xml:space="preserve"> </w:t>
            </w:r>
            <w:r w:rsidRPr="000C5170">
              <w:t>2018</w:t>
            </w:r>
            <w:r w:rsidR="004012E7">
              <w:t>-</w:t>
            </w:r>
            <w:r w:rsidRPr="000C5170">
              <w:t>19 Budget medium-term projection</w:t>
            </w:r>
            <w:r w:rsidRPr="000C5170">
              <w:rPr>
                <w:color w:val="auto"/>
              </w:rPr>
              <w:t>s</w:t>
            </w:r>
            <w:r w:rsidR="006A4C4F" w:rsidRPr="000C5170">
              <w:rPr>
                <w:color w:val="auto"/>
              </w:rPr>
              <w:t xml:space="preserve"> (PDF)</w:t>
            </w:r>
            <w:r w:rsidR="006A4C4F" w:rsidRPr="00484380">
              <w:rPr>
                <w:highlight w:val="yellow"/>
              </w:rPr>
              <w:br/>
            </w:r>
            <w:r w:rsidRPr="000C5170">
              <w:rPr>
                <w:b/>
              </w:rPr>
              <w:t xml:space="preserve">978-0-6482138-7-1 </w:t>
            </w:r>
            <w:r w:rsidRPr="000C5170">
              <w:t>2018</w:t>
            </w:r>
            <w:r w:rsidR="004012E7">
              <w:t>-</w:t>
            </w:r>
            <w:r w:rsidRPr="000C5170">
              <w:t>19 Budget medium-term projection</w:t>
            </w:r>
            <w:r w:rsidRPr="000C5170">
              <w:rPr>
                <w:color w:val="auto"/>
              </w:rPr>
              <w:t>s (</w:t>
            </w:r>
            <w:r w:rsidR="007D713C">
              <w:rPr>
                <w:color w:val="auto"/>
              </w:rPr>
              <w:t>DOC</w:t>
            </w:r>
            <w:r w:rsidRPr="000C5170">
              <w:rPr>
                <w:color w:val="auto"/>
              </w:rPr>
              <w:t>)</w:t>
            </w:r>
          </w:p>
          <w:p w:rsidR="008A0A35" w:rsidRDefault="008A0A35" w:rsidP="008A0A35">
            <w:pPr>
              <w:pStyle w:val="xDisclaimerHeading"/>
              <w:framePr w:hSpace="0" w:wrap="auto" w:hAnchor="text" w:yAlign="inline"/>
              <w:suppressOverlap w:val="0"/>
            </w:pPr>
            <w:r>
              <w:t xml:space="preserve">Copyright </w:t>
            </w:r>
            <w:r w:rsidRPr="0086076E">
              <w:t>notice</w:t>
            </w:r>
          </w:p>
          <w:p w:rsidR="001830F3" w:rsidRPr="001830F3" w:rsidRDefault="001830F3" w:rsidP="00CC37CA">
            <w:pPr>
              <w:pStyle w:val="xDisclaimerText2"/>
              <w:framePr w:hSpace="0" w:wrap="auto" w:hAnchor="text" w:yAlign="inline"/>
              <w:suppressOverlap w:val="0"/>
            </w:pPr>
            <w:r w:rsidRPr="001830F3">
              <w:t>This work is licensed under the Creative Commons Attribution-</w:t>
            </w:r>
            <w:proofErr w:type="spellStart"/>
            <w:r w:rsidRPr="001830F3">
              <w:t>NonCommercial</w:t>
            </w:r>
            <w:proofErr w:type="spellEnd"/>
            <w:r w:rsidRPr="001830F3">
              <w:t>-</w:t>
            </w:r>
            <w:proofErr w:type="spellStart"/>
            <w:r w:rsidRPr="001830F3">
              <w:t>NoDerivs</w:t>
            </w:r>
            <w:proofErr w:type="spellEnd"/>
            <w:r w:rsidR="00395ABA">
              <w:br/>
            </w:r>
            <w:r w:rsidRPr="001830F3">
              <w:t>3.0 Australia License</w:t>
            </w:r>
            <w:r w:rsidR="008A0A35">
              <w:t xml:space="preserve"> </w:t>
            </w:r>
            <w:hyperlink r:id="rId12" w:history="1">
              <w:r w:rsidR="008A0A35" w:rsidRPr="00FF62B9">
                <w:rPr>
                  <w:rFonts w:ascii="Calibri" w:eastAsia="Calibri" w:hAnsi="Calibri" w:cs="Times New Roman"/>
                  <w:u w:val="single"/>
                </w:rPr>
                <w:t>http://creativecommons.org/licenses/by-nc-nd/3.0/au/</w:t>
              </w:r>
            </w:hyperlink>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noProof/>
                <w:lang w:eastAsia="en-AU"/>
              </w:rPr>
              <w:drawing>
                <wp:inline distT="0" distB="0" distL="0" distR="0" wp14:anchorId="1629CCA3" wp14:editId="5C9C3CFD">
                  <wp:extent cx="731520" cy="25623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on creativ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523" cy="255539"/>
                          </a:xfrm>
                          <a:prstGeom prst="rect">
                            <a:avLst/>
                          </a:prstGeom>
                        </pic:spPr>
                      </pic:pic>
                    </a:graphicData>
                  </a:graphic>
                </wp:inline>
              </w:drawing>
            </w:r>
          </w:p>
          <w:p w:rsidR="001830F3" w:rsidRDefault="00395ABA" w:rsidP="00CC37CA">
            <w:pPr>
              <w:pStyle w:val="xDisclaimerHeading"/>
              <w:framePr w:hSpace="0" w:wrap="auto" w:hAnchor="text" w:yAlign="inline"/>
              <w:suppressOverlap w:val="0"/>
            </w:pPr>
            <w:r>
              <w:t>Attribution</w:t>
            </w:r>
          </w:p>
          <w:p w:rsidR="00395ABA" w:rsidRPr="00CC37CA" w:rsidRDefault="00395ABA" w:rsidP="00395ABA">
            <w:pPr>
              <w:pStyle w:val="xDisclaimerText"/>
              <w:framePr w:w="0" w:wrap="auto" w:hAnchor="text" w:yAlign="inline"/>
            </w:pPr>
            <w:r>
              <w:t xml:space="preserve">This publication should be attributed as follows: Parliamentary Budget Office, </w:t>
            </w:r>
            <w:r w:rsidR="000C5170" w:rsidRPr="000C5170">
              <w:t>2018</w:t>
            </w:r>
            <w:r w:rsidR="004012E7">
              <w:t>-</w:t>
            </w:r>
            <w:r w:rsidR="000C5170" w:rsidRPr="000C5170">
              <w:t>19 Budget medium-term projections</w:t>
            </w:r>
            <w:r w:rsidR="000C5170">
              <w:t>.</w:t>
            </w:r>
          </w:p>
          <w:p w:rsidR="00395ABA" w:rsidRDefault="00395ABA" w:rsidP="00395ABA">
            <w:pPr>
              <w:pStyle w:val="xDisclaimerHeading"/>
              <w:framePr w:hSpace="0" w:wrap="auto" w:hAnchor="text" w:yAlign="inline"/>
              <w:suppressOverlap w:val="0"/>
            </w:pPr>
            <w:r>
              <w:t>Use of the Coat of Arms</w:t>
            </w:r>
          </w:p>
          <w:p w:rsidR="001830F3" w:rsidRPr="001830F3" w:rsidRDefault="00395ABA" w:rsidP="00CC37CA">
            <w:pPr>
              <w:pStyle w:val="xDisclaimerText2"/>
              <w:framePr w:hSpace="0" w:wrap="auto" w:hAnchor="text" w:yAlign="inline"/>
              <w:suppressOverlap w:val="0"/>
            </w:pPr>
            <w:r w:rsidRPr="00FF62B9">
              <w:rPr>
                <w:rFonts w:ascii="Calibri" w:eastAsia="Calibri" w:hAnsi="Calibri" w:cs="Times New Roman"/>
              </w:rPr>
              <w:t xml:space="preserve">The terms under which the Coat of Arms can be used are detailed on the following website: </w:t>
            </w:r>
            <w:hyperlink r:id="rId14" w:history="1">
              <w:r w:rsidRPr="00FF62B9">
                <w:rPr>
                  <w:rFonts w:ascii="Calibri" w:eastAsia="Calibri" w:hAnsi="Calibri" w:cs="Times New Roman"/>
                  <w:u w:val="single"/>
                </w:rPr>
                <w:t>www.itsanhonour.gov.au/coat-arms</w:t>
              </w:r>
            </w:hyperlink>
          </w:p>
        </w:tc>
      </w:tr>
    </w:tbl>
    <w:p w:rsidR="00924801" w:rsidRDefault="00924801"/>
    <w:p w:rsidR="00C800F2" w:rsidRDefault="00C800F2"/>
    <w:p w:rsidR="001830F3" w:rsidRDefault="001830F3" w:rsidP="001830F3">
      <w:pPr>
        <w:sectPr w:rsidR="001830F3" w:rsidSect="00AB1ED5">
          <w:headerReference w:type="even" r:id="rId15"/>
          <w:headerReference w:type="default" r:id="rId16"/>
          <w:footerReference w:type="even" r:id="rId17"/>
          <w:footerReference w:type="default" r:id="rId18"/>
          <w:headerReference w:type="first" r:id="rId19"/>
          <w:footerReference w:type="first" r:id="rId20"/>
          <w:pgSz w:w="11907" w:h="16840" w:code="9"/>
          <w:pgMar w:top="1191" w:right="1418" w:bottom="1021" w:left="1418" w:header="567" w:footer="709" w:gutter="0"/>
          <w:pgNumType w:fmt="lowerRoman"/>
          <w:cols w:space="708"/>
          <w:docGrid w:linePitch="360"/>
        </w:sectPr>
      </w:pPr>
    </w:p>
    <w:p w:rsidR="00D559DF" w:rsidRDefault="00D559DF" w:rsidP="00FF1368">
      <w:pPr>
        <w:pStyle w:val="TOCHeading"/>
      </w:pPr>
      <w:r w:rsidRPr="00FF1368">
        <w:lastRenderedPageBreak/>
        <w:t>Contents</w:t>
      </w:r>
      <w:bookmarkStart w:id="1" w:name="_TOCMarker"/>
      <w:bookmarkEnd w:id="1"/>
    </w:p>
    <w:p w:rsidR="00014976" w:rsidRDefault="00014976">
      <w:pPr>
        <w:pStyle w:val="TOC1"/>
        <w:rPr>
          <w:rFonts w:eastAsiaTheme="minorEastAsia"/>
          <w:b w:val="0"/>
          <w:color w:val="auto"/>
          <w:sz w:val="22"/>
          <w:lang w:eastAsia="en-AU"/>
        </w:rPr>
      </w:pPr>
      <w:r>
        <w:rPr>
          <w:b w:val="0"/>
          <w:color w:val="9778B4" w:themeColor="text2"/>
        </w:rPr>
        <w:fldChar w:fldCharType="begin"/>
      </w:r>
      <w:r>
        <w:rPr>
          <w:b w:val="0"/>
          <w:color w:val="9778B4" w:themeColor="text2"/>
        </w:rPr>
        <w:instrText xml:space="preserve"> TOC \o "1-2" \h \z \u </w:instrText>
      </w:r>
      <w:r>
        <w:rPr>
          <w:b w:val="0"/>
          <w:color w:val="9778B4" w:themeColor="text2"/>
        </w:rPr>
        <w:fldChar w:fldCharType="separate"/>
      </w:r>
      <w:hyperlink w:anchor="_Toc523758518" w:history="1">
        <w:r w:rsidRPr="00420229">
          <w:rPr>
            <w:rStyle w:val="Hyperlink"/>
          </w:rPr>
          <w:t>Foreword</w:t>
        </w:r>
        <w:r>
          <w:rPr>
            <w:webHidden/>
          </w:rPr>
          <w:tab/>
        </w:r>
        <w:r>
          <w:rPr>
            <w:webHidden/>
          </w:rPr>
          <w:fldChar w:fldCharType="begin"/>
        </w:r>
        <w:r>
          <w:rPr>
            <w:webHidden/>
          </w:rPr>
          <w:instrText xml:space="preserve"> PAGEREF _Toc523758518 \h </w:instrText>
        </w:r>
        <w:r>
          <w:rPr>
            <w:webHidden/>
          </w:rPr>
        </w:r>
        <w:r>
          <w:rPr>
            <w:webHidden/>
          </w:rPr>
          <w:fldChar w:fldCharType="separate"/>
        </w:r>
        <w:r w:rsidR="002828FF">
          <w:rPr>
            <w:webHidden/>
          </w:rPr>
          <w:t>iv</w:t>
        </w:r>
        <w:r>
          <w:rPr>
            <w:webHidden/>
          </w:rPr>
          <w:fldChar w:fldCharType="end"/>
        </w:r>
      </w:hyperlink>
    </w:p>
    <w:p w:rsidR="00014976" w:rsidRDefault="00931897">
      <w:pPr>
        <w:pStyle w:val="TOC1"/>
        <w:rPr>
          <w:rFonts w:eastAsiaTheme="minorEastAsia"/>
          <w:b w:val="0"/>
          <w:color w:val="auto"/>
          <w:sz w:val="22"/>
          <w:lang w:eastAsia="en-AU"/>
        </w:rPr>
      </w:pPr>
      <w:hyperlink w:anchor="_Toc523758519" w:history="1">
        <w:r w:rsidR="00014976" w:rsidRPr="00420229">
          <w:rPr>
            <w:rStyle w:val="Hyperlink"/>
          </w:rPr>
          <w:t>Overview</w:t>
        </w:r>
        <w:r w:rsidR="00014976">
          <w:rPr>
            <w:webHidden/>
          </w:rPr>
          <w:tab/>
        </w:r>
        <w:r w:rsidR="00014976">
          <w:rPr>
            <w:webHidden/>
          </w:rPr>
          <w:fldChar w:fldCharType="begin"/>
        </w:r>
        <w:r w:rsidR="00014976">
          <w:rPr>
            <w:webHidden/>
          </w:rPr>
          <w:instrText xml:space="preserve"> PAGEREF _Toc523758519 \h </w:instrText>
        </w:r>
        <w:r w:rsidR="00014976">
          <w:rPr>
            <w:webHidden/>
          </w:rPr>
        </w:r>
        <w:r w:rsidR="00014976">
          <w:rPr>
            <w:webHidden/>
          </w:rPr>
          <w:fldChar w:fldCharType="separate"/>
        </w:r>
        <w:r w:rsidR="002828FF">
          <w:rPr>
            <w:webHidden/>
          </w:rPr>
          <w:t>1</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20" w:history="1">
        <w:r w:rsidR="00014976" w:rsidRPr="00420229">
          <w:rPr>
            <w:rStyle w:val="Hyperlink"/>
          </w:rPr>
          <w:t>1</w:t>
        </w:r>
        <w:r w:rsidR="00014976">
          <w:rPr>
            <w:rFonts w:eastAsiaTheme="minorEastAsia"/>
            <w:b w:val="0"/>
            <w:color w:val="auto"/>
            <w:sz w:val="22"/>
            <w:lang w:eastAsia="en-AU"/>
          </w:rPr>
          <w:tab/>
        </w:r>
        <w:r w:rsidR="00014976" w:rsidRPr="00420229">
          <w:rPr>
            <w:rStyle w:val="Hyperlink"/>
          </w:rPr>
          <w:t>Introduction</w:t>
        </w:r>
        <w:r w:rsidR="00014976">
          <w:rPr>
            <w:webHidden/>
          </w:rPr>
          <w:tab/>
        </w:r>
        <w:r w:rsidR="00014976">
          <w:rPr>
            <w:webHidden/>
          </w:rPr>
          <w:fldChar w:fldCharType="begin"/>
        </w:r>
        <w:r w:rsidR="00014976">
          <w:rPr>
            <w:webHidden/>
          </w:rPr>
          <w:instrText xml:space="preserve"> PAGEREF _Toc523758520 \h </w:instrText>
        </w:r>
        <w:r w:rsidR="00014976">
          <w:rPr>
            <w:webHidden/>
          </w:rPr>
        </w:r>
        <w:r w:rsidR="00014976">
          <w:rPr>
            <w:webHidden/>
          </w:rPr>
          <w:fldChar w:fldCharType="separate"/>
        </w:r>
        <w:r w:rsidR="002828FF">
          <w:rPr>
            <w:webHidden/>
          </w:rPr>
          <w:t>2</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21" w:history="1">
        <w:r w:rsidR="00014976" w:rsidRPr="00420229">
          <w:rPr>
            <w:rStyle w:val="Hyperlink"/>
          </w:rPr>
          <w:t>2</w:t>
        </w:r>
        <w:r w:rsidR="00014976">
          <w:rPr>
            <w:rFonts w:eastAsiaTheme="minorEastAsia"/>
            <w:b w:val="0"/>
            <w:color w:val="auto"/>
            <w:sz w:val="22"/>
            <w:lang w:eastAsia="en-AU"/>
          </w:rPr>
          <w:tab/>
        </w:r>
        <w:r w:rsidR="00014976" w:rsidRPr="00420229">
          <w:rPr>
            <w:rStyle w:val="Hyperlink"/>
          </w:rPr>
          <w:t>Projected underlying cash balance</w:t>
        </w:r>
        <w:r w:rsidR="00014976">
          <w:rPr>
            <w:webHidden/>
          </w:rPr>
          <w:tab/>
        </w:r>
        <w:r w:rsidR="00014976">
          <w:rPr>
            <w:webHidden/>
          </w:rPr>
          <w:fldChar w:fldCharType="begin"/>
        </w:r>
        <w:r w:rsidR="00014976">
          <w:rPr>
            <w:webHidden/>
          </w:rPr>
          <w:instrText xml:space="preserve"> PAGEREF _Toc523758521 \h </w:instrText>
        </w:r>
        <w:r w:rsidR="00014976">
          <w:rPr>
            <w:webHidden/>
          </w:rPr>
        </w:r>
        <w:r w:rsidR="00014976">
          <w:rPr>
            <w:webHidden/>
          </w:rPr>
          <w:fldChar w:fldCharType="separate"/>
        </w:r>
        <w:r w:rsidR="002828FF">
          <w:rPr>
            <w:webHidden/>
          </w:rPr>
          <w:t>3</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22" w:history="1">
        <w:r w:rsidR="00014976" w:rsidRPr="00420229">
          <w:rPr>
            <w:rStyle w:val="Hyperlink"/>
          </w:rPr>
          <w:t>3</w:t>
        </w:r>
        <w:r w:rsidR="00014976">
          <w:rPr>
            <w:rFonts w:eastAsiaTheme="minorEastAsia"/>
            <w:b w:val="0"/>
            <w:color w:val="auto"/>
            <w:sz w:val="22"/>
            <w:lang w:eastAsia="en-AU"/>
          </w:rPr>
          <w:tab/>
        </w:r>
        <w:r w:rsidR="00014976" w:rsidRPr="00420229">
          <w:rPr>
            <w:rStyle w:val="Hyperlink"/>
          </w:rPr>
          <w:t>Projected receipts</w:t>
        </w:r>
        <w:r w:rsidR="00014976">
          <w:rPr>
            <w:webHidden/>
          </w:rPr>
          <w:tab/>
        </w:r>
        <w:r w:rsidR="00014976">
          <w:rPr>
            <w:webHidden/>
          </w:rPr>
          <w:fldChar w:fldCharType="begin"/>
        </w:r>
        <w:r w:rsidR="00014976">
          <w:rPr>
            <w:webHidden/>
          </w:rPr>
          <w:instrText xml:space="preserve"> PAGEREF _Toc523758522 \h </w:instrText>
        </w:r>
        <w:r w:rsidR="00014976">
          <w:rPr>
            <w:webHidden/>
          </w:rPr>
        </w:r>
        <w:r w:rsidR="00014976">
          <w:rPr>
            <w:webHidden/>
          </w:rPr>
          <w:fldChar w:fldCharType="separate"/>
        </w:r>
        <w:r w:rsidR="002828FF">
          <w:rPr>
            <w:webHidden/>
          </w:rPr>
          <w:t>4</w:t>
        </w:r>
        <w:r w:rsidR="00014976">
          <w:rPr>
            <w:webHidden/>
          </w:rPr>
          <w:fldChar w:fldCharType="end"/>
        </w:r>
      </w:hyperlink>
    </w:p>
    <w:p w:rsidR="00014976" w:rsidRDefault="00931897">
      <w:pPr>
        <w:pStyle w:val="TOC2"/>
        <w:rPr>
          <w:rFonts w:asciiTheme="minorHAnsi" w:hAnsiTheme="minorHAnsi"/>
          <w:color w:val="auto"/>
          <w:sz w:val="22"/>
        </w:rPr>
      </w:pPr>
      <w:hyperlink w:anchor="_Toc523758523" w:history="1">
        <w:r w:rsidR="00014976" w:rsidRPr="00420229">
          <w:rPr>
            <w:rStyle w:val="Hyperlink"/>
          </w:rPr>
          <w:t>3.1</w:t>
        </w:r>
        <w:r w:rsidR="00014976">
          <w:rPr>
            <w:rFonts w:asciiTheme="minorHAnsi" w:hAnsiTheme="minorHAnsi"/>
            <w:color w:val="auto"/>
            <w:sz w:val="22"/>
          </w:rPr>
          <w:tab/>
        </w:r>
        <w:r w:rsidR="00014976" w:rsidRPr="00420229">
          <w:rPr>
            <w:rStyle w:val="Hyperlink"/>
          </w:rPr>
          <w:t>Total receipts</w:t>
        </w:r>
        <w:r w:rsidR="00014976">
          <w:rPr>
            <w:webHidden/>
          </w:rPr>
          <w:tab/>
        </w:r>
        <w:r w:rsidR="00014976">
          <w:rPr>
            <w:webHidden/>
          </w:rPr>
          <w:fldChar w:fldCharType="begin"/>
        </w:r>
        <w:r w:rsidR="00014976">
          <w:rPr>
            <w:webHidden/>
          </w:rPr>
          <w:instrText xml:space="preserve"> PAGEREF _Toc523758523 \h </w:instrText>
        </w:r>
        <w:r w:rsidR="00014976">
          <w:rPr>
            <w:webHidden/>
          </w:rPr>
        </w:r>
        <w:r w:rsidR="00014976">
          <w:rPr>
            <w:webHidden/>
          </w:rPr>
          <w:fldChar w:fldCharType="separate"/>
        </w:r>
        <w:r w:rsidR="002828FF">
          <w:rPr>
            <w:webHidden/>
          </w:rPr>
          <w:t>4</w:t>
        </w:r>
        <w:r w:rsidR="00014976">
          <w:rPr>
            <w:webHidden/>
          </w:rPr>
          <w:fldChar w:fldCharType="end"/>
        </w:r>
      </w:hyperlink>
    </w:p>
    <w:p w:rsidR="00014976" w:rsidRDefault="00931897">
      <w:pPr>
        <w:pStyle w:val="TOC2"/>
        <w:rPr>
          <w:rFonts w:asciiTheme="minorHAnsi" w:hAnsiTheme="minorHAnsi"/>
          <w:color w:val="auto"/>
          <w:sz w:val="22"/>
        </w:rPr>
      </w:pPr>
      <w:hyperlink w:anchor="_Toc523758524" w:history="1">
        <w:r w:rsidR="00014976" w:rsidRPr="00420229">
          <w:rPr>
            <w:rStyle w:val="Hyperlink"/>
          </w:rPr>
          <w:t>3.2</w:t>
        </w:r>
        <w:r w:rsidR="00014976">
          <w:rPr>
            <w:rFonts w:asciiTheme="minorHAnsi" w:hAnsiTheme="minorHAnsi"/>
            <w:color w:val="auto"/>
            <w:sz w:val="22"/>
          </w:rPr>
          <w:tab/>
        </w:r>
        <w:r w:rsidR="00014976" w:rsidRPr="00420229">
          <w:rPr>
            <w:rStyle w:val="Hyperlink"/>
          </w:rPr>
          <w:t>Personal income tax receipts</w:t>
        </w:r>
        <w:r w:rsidR="00014976">
          <w:rPr>
            <w:webHidden/>
          </w:rPr>
          <w:tab/>
        </w:r>
        <w:r w:rsidR="00014976">
          <w:rPr>
            <w:webHidden/>
          </w:rPr>
          <w:fldChar w:fldCharType="begin"/>
        </w:r>
        <w:r w:rsidR="00014976">
          <w:rPr>
            <w:webHidden/>
          </w:rPr>
          <w:instrText xml:space="preserve"> PAGEREF _Toc523758524 \h </w:instrText>
        </w:r>
        <w:r w:rsidR="00014976">
          <w:rPr>
            <w:webHidden/>
          </w:rPr>
        </w:r>
        <w:r w:rsidR="00014976">
          <w:rPr>
            <w:webHidden/>
          </w:rPr>
          <w:fldChar w:fldCharType="separate"/>
        </w:r>
        <w:r w:rsidR="002828FF">
          <w:rPr>
            <w:webHidden/>
          </w:rPr>
          <w:t>5</w:t>
        </w:r>
        <w:r w:rsidR="00014976">
          <w:rPr>
            <w:webHidden/>
          </w:rPr>
          <w:fldChar w:fldCharType="end"/>
        </w:r>
      </w:hyperlink>
    </w:p>
    <w:p w:rsidR="00014976" w:rsidRDefault="00931897">
      <w:pPr>
        <w:pStyle w:val="TOC2"/>
        <w:rPr>
          <w:rFonts w:asciiTheme="minorHAnsi" w:hAnsiTheme="minorHAnsi"/>
          <w:color w:val="auto"/>
          <w:sz w:val="22"/>
        </w:rPr>
      </w:pPr>
      <w:hyperlink w:anchor="_Toc523758525" w:history="1">
        <w:r w:rsidR="00014976" w:rsidRPr="00420229">
          <w:rPr>
            <w:rStyle w:val="Hyperlink"/>
          </w:rPr>
          <w:t>3.3</w:t>
        </w:r>
        <w:r w:rsidR="00014976">
          <w:rPr>
            <w:rFonts w:asciiTheme="minorHAnsi" w:hAnsiTheme="minorHAnsi"/>
            <w:color w:val="auto"/>
            <w:sz w:val="22"/>
          </w:rPr>
          <w:tab/>
        </w:r>
        <w:r w:rsidR="00014976" w:rsidRPr="00420229">
          <w:rPr>
            <w:rStyle w:val="Hyperlink"/>
          </w:rPr>
          <w:t>Company tax receipts</w:t>
        </w:r>
        <w:r w:rsidR="00014976">
          <w:rPr>
            <w:webHidden/>
          </w:rPr>
          <w:tab/>
        </w:r>
        <w:r w:rsidR="00014976">
          <w:rPr>
            <w:webHidden/>
          </w:rPr>
          <w:fldChar w:fldCharType="begin"/>
        </w:r>
        <w:r w:rsidR="00014976">
          <w:rPr>
            <w:webHidden/>
          </w:rPr>
          <w:instrText xml:space="preserve"> PAGEREF _Toc523758525 \h </w:instrText>
        </w:r>
        <w:r w:rsidR="00014976">
          <w:rPr>
            <w:webHidden/>
          </w:rPr>
        </w:r>
        <w:r w:rsidR="00014976">
          <w:rPr>
            <w:webHidden/>
          </w:rPr>
          <w:fldChar w:fldCharType="separate"/>
        </w:r>
        <w:r w:rsidR="002828FF">
          <w:rPr>
            <w:webHidden/>
          </w:rPr>
          <w:t>7</w:t>
        </w:r>
        <w:r w:rsidR="00014976">
          <w:rPr>
            <w:webHidden/>
          </w:rPr>
          <w:fldChar w:fldCharType="end"/>
        </w:r>
      </w:hyperlink>
    </w:p>
    <w:p w:rsidR="00014976" w:rsidRDefault="00931897">
      <w:pPr>
        <w:pStyle w:val="TOC2"/>
        <w:rPr>
          <w:rFonts w:asciiTheme="minorHAnsi" w:hAnsiTheme="minorHAnsi"/>
          <w:color w:val="auto"/>
          <w:sz w:val="22"/>
        </w:rPr>
      </w:pPr>
      <w:hyperlink w:anchor="_Toc523758526" w:history="1">
        <w:r w:rsidR="00014976" w:rsidRPr="00420229">
          <w:rPr>
            <w:rStyle w:val="Hyperlink"/>
          </w:rPr>
          <w:t>3.4</w:t>
        </w:r>
        <w:r w:rsidR="00014976">
          <w:rPr>
            <w:rFonts w:asciiTheme="minorHAnsi" w:hAnsiTheme="minorHAnsi"/>
            <w:color w:val="auto"/>
            <w:sz w:val="22"/>
          </w:rPr>
          <w:tab/>
        </w:r>
        <w:r w:rsidR="00014976" w:rsidRPr="00420229">
          <w:rPr>
            <w:rStyle w:val="Hyperlink"/>
          </w:rPr>
          <w:t>Superannuation fund tax receipts</w:t>
        </w:r>
        <w:r w:rsidR="00014976">
          <w:rPr>
            <w:webHidden/>
          </w:rPr>
          <w:tab/>
        </w:r>
        <w:r w:rsidR="00014976">
          <w:rPr>
            <w:webHidden/>
          </w:rPr>
          <w:fldChar w:fldCharType="begin"/>
        </w:r>
        <w:r w:rsidR="00014976">
          <w:rPr>
            <w:webHidden/>
          </w:rPr>
          <w:instrText xml:space="preserve"> PAGEREF _Toc523758526 \h </w:instrText>
        </w:r>
        <w:r w:rsidR="00014976">
          <w:rPr>
            <w:webHidden/>
          </w:rPr>
        </w:r>
        <w:r w:rsidR="00014976">
          <w:rPr>
            <w:webHidden/>
          </w:rPr>
          <w:fldChar w:fldCharType="separate"/>
        </w:r>
        <w:r w:rsidR="002828FF">
          <w:rPr>
            <w:webHidden/>
          </w:rPr>
          <w:t>9</w:t>
        </w:r>
        <w:r w:rsidR="00014976">
          <w:rPr>
            <w:webHidden/>
          </w:rPr>
          <w:fldChar w:fldCharType="end"/>
        </w:r>
      </w:hyperlink>
    </w:p>
    <w:p w:rsidR="00014976" w:rsidRDefault="00931897">
      <w:pPr>
        <w:pStyle w:val="TOC2"/>
        <w:rPr>
          <w:rFonts w:asciiTheme="minorHAnsi" w:hAnsiTheme="minorHAnsi"/>
          <w:color w:val="auto"/>
          <w:sz w:val="22"/>
        </w:rPr>
      </w:pPr>
      <w:hyperlink w:anchor="_Toc523758527" w:history="1">
        <w:r w:rsidR="00014976" w:rsidRPr="00420229">
          <w:rPr>
            <w:rStyle w:val="Hyperlink"/>
          </w:rPr>
          <w:t>3.5</w:t>
        </w:r>
        <w:r w:rsidR="00014976">
          <w:rPr>
            <w:rFonts w:asciiTheme="minorHAnsi" w:hAnsiTheme="minorHAnsi"/>
            <w:color w:val="auto"/>
            <w:sz w:val="22"/>
          </w:rPr>
          <w:tab/>
        </w:r>
        <w:r w:rsidR="00014976" w:rsidRPr="00420229">
          <w:rPr>
            <w:rStyle w:val="Hyperlink"/>
          </w:rPr>
          <w:t>Other receipts</w:t>
        </w:r>
        <w:r w:rsidR="00014976">
          <w:rPr>
            <w:webHidden/>
          </w:rPr>
          <w:tab/>
        </w:r>
        <w:r w:rsidR="00014976">
          <w:rPr>
            <w:webHidden/>
          </w:rPr>
          <w:fldChar w:fldCharType="begin"/>
        </w:r>
        <w:r w:rsidR="00014976">
          <w:rPr>
            <w:webHidden/>
          </w:rPr>
          <w:instrText xml:space="preserve"> PAGEREF _Toc523758527 \h </w:instrText>
        </w:r>
        <w:r w:rsidR="00014976">
          <w:rPr>
            <w:webHidden/>
          </w:rPr>
        </w:r>
        <w:r w:rsidR="00014976">
          <w:rPr>
            <w:webHidden/>
          </w:rPr>
          <w:fldChar w:fldCharType="separate"/>
        </w:r>
        <w:r w:rsidR="002828FF">
          <w:rPr>
            <w:webHidden/>
          </w:rPr>
          <w:t>9</w:t>
        </w:r>
        <w:r w:rsidR="00014976">
          <w:rPr>
            <w:webHidden/>
          </w:rPr>
          <w:fldChar w:fldCharType="end"/>
        </w:r>
      </w:hyperlink>
    </w:p>
    <w:p w:rsidR="00014976" w:rsidRDefault="00931897">
      <w:pPr>
        <w:pStyle w:val="TOC2"/>
        <w:rPr>
          <w:rFonts w:asciiTheme="minorHAnsi" w:hAnsiTheme="minorHAnsi"/>
          <w:color w:val="auto"/>
          <w:sz w:val="22"/>
        </w:rPr>
      </w:pPr>
      <w:hyperlink w:anchor="_Toc523758528" w:history="1">
        <w:r w:rsidR="00014976" w:rsidRPr="00420229">
          <w:rPr>
            <w:rStyle w:val="Hyperlink"/>
          </w:rPr>
          <w:t>3.6</w:t>
        </w:r>
        <w:r w:rsidR="00014976">
          <w:rPr>
            <w:rFonts w:asciiTheme="minorHAnsi" w:hAnsiTheme="minorHAnsi"/>
            <w:color w:val="auto"/>
            <w:sz w:val="22"/>
          </w:rPr>
          <w:tab/>
        </w:r>
        <w:r w:rsidR="00014976" w:rsidRPr="00420229">
          <w:rPr>
            <w:rStyle w:val="Hyperlink"/>
          </w:rPr>
          <w:t>Risks around projected receipts</w:t>
        </w:r>
        <w:r w:rsidR="00014976">
          <w:rPr>
            <w:webHidden/>
          </w:rPr>
          <w:tab/>
        </w:r>
        <w:r w:rsidR="00014976">
          <w:rPr>
            <w:webHidden/>
          </w:rPr>
          <w:fldChar w:fldCharType="begin"/>
        </w:r>
        <w:r w:rsidR="00014976">
          <w:rPr>
            <w:webHidden/>
          </w:rPr>
          <w:instrText xml:space="preserve"> PAGEREF _Toc523758528 \h </w:instrText>
        </w:r>
        <w:r w:rsidR="00014976">
          <w:rPr>
            <w:webHidden/>
          </w:rPr>
        </w:r>
        <w:r w:rsidR="00014976">
          <w:rPr>
            <w:webHidden/>
          </w:rPr>
          <w:fldChar w:fldCharType="separate"/>
        </w:r>
        <w:r w:rsidR="002828FF">
          <w:rPr>
            <w:webHidden/>
          </w:rPr>
          <w:t>10</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29" w:history="1">
        <w:r w:rsidR="00014976" w:rsidRPr="00420229">
          <w:rPr>
            <w:rStyle w:val="Hyperlink"/>
          </w:rPr>
          <w:t>4</w:t>
        </w:r>
        <w:r w:rsidR="00014976">
          <w:rPr>
            <w:rFonts w:eastAsiaTheme="minorEastAsia"/>
            <w:b w:val="0"/>
            <w:color w:val="auto"/>
            <w:sz w:val="22"/>
            <w:lang w:eastAsia="en-AU"/>
          </w:rPr>
          <w:tab/>
        </w:r>
        <w:r w:rsidR="00014976" w:rsidRPr="00420229">
          <w:rPr>
            <w:rStyle w:val="Hyperlink"/>
          </w:rPr>
          <w:t>Projected spending</w:t>
        </w:r>
        <w:r w:rsidR="00014976">
          <w:rPr>
            <w:webHidden/>
          </w:rPr>
          <w:tab/>
        </w:r>
        <w:r w:rsidR="00014976">
          <w:rPr>
            <w:webHidden/>
          </w:rPr>
          <w:fldChar w:fldCharType="begin"/>
        </w:r>
        <w:r w:rsidR="00014976">
          <w:rPr>
            <w:webHidden/>
          </w:rPr>
          <w:instrText xml:space="preserve"> PAGEREF _Toc523758529 \h </w:instrText>
        </w:r>
        <w:r w:rsidR="00014976">
          <w:rPr>
            <w:webHidden/>
          </w:rPr>
        </w:r>
        <w:r w:rsidR="00014976">
          <w:rPr>
            <w:webHidden/>
          </w:rPr>
          <w:fldChar w:fldCharType="separate"/>
        </w:r>
        <w:r w:rsidR="002828FF">
          <w:rPr>
            <w:webHidden/>
          </w:rPr>
          <w:t>12</w:t>
        </w:r>
        <w:r w:rsidR="00014976">
          <w:rPr>
            <w:webHidden/>
          </w:rPr>
          <w:fldChar w:fldCharType="end"/>
        </w:r>
      </w:hyperlink>
    </w:p>
    <w:p w:rsidR="00014976" w:rsidRDefault="00931897">
      <w:pPr>
        <w:pStyle w:val="TOC2"/>
        <w:rPr>
          <w:rFonts w:asciiTheme="minorHAnsi" w:hAnsiTheme="minorHAnsi"/>
          <w:color w:val="auto"/>
          <w:sz w:val="22"/>
        </w:rPr>
      </w:pPr>
      <w:hyperlink w:anchor="_Toc523758530" w:history="1">
        <w:r w:rsidR="00014976" w:rsidRPr="00420229">
          <w:rPr>
            <w:rStyle w:val="Hyperlink"/>
          </w:rPr>
          <w:t>4.1</w:t>
        </w:r>
        <w:r w:rsidR="00014976">
          <w:rPr>
            <w:rFonts w:asciiTheme="minorHAnsi" w:hAnsiTheme="minorHAnsi"/>
            <w:color w:val="auto"/>
            <w:sz w:val="22"/>
          </w:rPr>
          <w:tab/>
        </w:r>
        <w:r w:rsidR="00014976" w:rsidRPr="00420229">
          <w:rPr>
            <w:rStyle w:val="Hyperlink"/>
          </w:rPr>
          <w:t>Spending growth by program</w:t>
        </w:r>
        <w:r w:rsidR="00014976">
          <w:rPr>
            <w:webHidden/>
          </w:rPr>
          <w:tab/>
        </w:r>
        <w:r w:rsidR="00014976">
          <w:rPr>
            <w:webHidden/>
          </w:rPr>
          <w:fldChar w:fldCharType="begin"/>
        </w:r>
        <w:r w:rsidR="00014976">
          <w:rPr>
            <w:webHidden/>
          </w:rPr>
          <w:instrText xml:space="preserve"> PAGEREF _Toc523758530 \h </w:instrText>
        </w:r>
        <w:r w:rsidR="00014976">
          <w:rPr>
            <w:webHidden/>
          </w:rPr>
        </w:r>
        <w:r w:rsidR="00014976">
          <w:rPr>
            <w:webHidden/>
          </w:rPr>
          <w:fldChar w:fldCharType="separate"/>
        </w:r>
        <w:r w:rsidR="002828FF">
          <w:rPr>
            <w:webHidden/>
          </w:rPr>
          <w:t>15</w:t>
        </w:r>
        <w:r w:rsidR="00014976">
          <w:rPr>
            <w:webHidden/>
          </w:rPr>
          <w:fldChar w:fldCharType="end"/>
        </w:r>
      </w:hyperlink>
    </w:p>
    <w:p w:rsidR="00014976" w:rsidRDefault="00931897">
      <w:pPr>
        <w:pStyle w:val="TOC2"/>
        <w:rPr>
          <w:rFonts w:asciiTheme="minorHAnsi" w:hAnsiTheme="minorHAnsi"/>
          <w:color w:val="auto"/>
          <w:sz w:val="22"/>
        </w:rPr>
      </w:pPr>
      <w:hyperlink w:anchor="_Toc523758531" w:history="1">
        <w:r w:rsidR="00014976" w:rsidRPr="00420229">
          <w:rPr>
            <w:rStyle w:val="Hyperlink"/>
          </w:rPr>
          <w:t>4.2</w:t>
        </w:r>
        <w:r w:rsidR="00014976">
          <w:rPr>
            <w:rFonts w:asciiTheme="minorHAnsi" w:hAnsiTheme="minorHAnsi"/>
            <w:color w:val="auto"/>
            <w:sz w:val="22"/>
          </w:rPr>
          <w:tab/>
        </w:r>
        <w:r w:rsidR="00014976" w:rsidRPr="00420229">
          <w:rPr>
            <w:rStyle w:val="Hyperlink"/>
          </w:rPr>
          <w:t>Risks around projected spending</w:t>
        </w:r>
        <w:r w:rsidR="00014976">
          <w:rPr>
            <w:webHidden/>
          </w:rPr>
          <w:tab/>
        </w:r>
        <w:r w:rsidR="00014976">
          <w:rPr>
            <w:webHidden/>
          </w:rPr>
          <w:fldChar w:fldCharType="begin"/>
        </w:r>
        <w:r w:rsidR="00014976">
          <w:rPr>
            <w:webHidden/>
          </w:rPr>
          <w:instrText xml:space="preserve"> PAGEREF _Toc523758531 \h </w:instrText>
        </w:r>
        <w:r w:rsidR="00014976">
          <w:rPr>
            <w:webHidden/>
          </w:rPr>
        </w:r>
        <w:r w:rsidR="00014976">
          <w:rPr>
            <w:webHidden/>
          </w:rPr>
          <w:fldChar w:fldCharType="separate"/>
        </w:r>
        <w:r w:rsidR="002828FF">
          <w:rPr>
            <w:webHidden/>
          </w:rPr>
          <w:t>18</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32" w:history="1">
        <w:r w:rsidR="00014976" w:rsidRPr="00420229">
          <w:rPr>
            <w:rStyle w:val="Hyperlink"/>
          </w:rPr>
          <w:t>5</w:t>
        </w:r>
        <w:r w:rsidR="00014976">
          <w:rPr>
            <w:rFonts w:eastAsiaTheme="minorEastAsia"/>
            <w:b w:val="0"/>
            <w:color w:val="auto"/>
            <w:sz w:val="22"/>
            <w:lang w:eastAsia="en-AU"/>
          </w:rPr>
          <w:tab/>
        </w:r>
        <w:r w:rsidR="00014976" w:rsidRPr="00420229">
          <w:rPr>
            <w:rStyle w:val="Hyperlink"/>
          </w:rPr>
          <w:t>Projected net debt and net financial worth</w:t>
        </w:r>
        <w:r w:rsidR="00014976">
          <w:rPr>
            <w:webHidden/>
          </w:rPr>
          <w:tab/>
        </w:r>
        <w:r w:rsidR="00014976">
          <w:rPr>
            <w:webHidden/>
          </w:rPr>
          <w:fldChar w:fldCharType="begin"/>
        </w:r>
        <w:r w:rsidR="00014976">
          <w:rPr>
            <w:webHidden/>
          </w:rPr>
          <w:instrText xml:space="preserve"> PAGEREF _Toc523758532 \h </w:instrText>
        </w:r>
        <w:r w:rsidR="00014976">
          <w:rPr>
            <w:webHidden/>
          </w:rPr>
        </w:r>
        <w:r w:rsidR="00014976">
          <w:rPr>
            <w:webHidden/>
          </w:rPr>
          <w:fldChar w:fldCharType="separate"/>
        </w:r>
        <w:r w:rsidR="002828FF">
          <w:rPr>
            <w:webHidden/>
          </w:rPr>
          <w:t>19</w:t>
        </w:r>
        <w:r w:rsidR="00014976">
          <w:rPr>
            <w:webHidden/>
          </w:rPr>
          <w:fldChar w:fldCharType="end"/>
        </w:r>
      </w:hyperlink>
    </w:p>
    <w:p w:rsidR="00014976" w:rsidRDefault="00931897">
      <w:pPr>
        <w:pStyle w:val="TOC2"/>
        <w:rPr>
          <w:rFonts w:asciiTheme="minorHAnsi" w:hAnsiTheme="minorHAnsi"/>
          <w:color w:val="auto"/>
          <w:sz w:val="22"/>
        </w:rPr>
      </w:pPr>
      <w:hyperlink w:anchor="_Toc523758533" w:history="1">
        <w:r w:rsidR="00014976" w:rsidRPr="00420229">
          <w:rPr>
            <w:rStyle w:val="Hyperlink"/>
          </w:rPr>
          <w:t>5.1</w:t>
        </w:r>
        <w:r w:rsidR="00014976">
          <w:rPr>
            <w:rFonts w:asciiTheme="minorHAnsi" w:hAnsiTheme="minorHAnsi"/>
            <w:color w:val="auto"/>
            <w:sz w:val="22"/>
          </w:rPr>
          <w:tab/>
        </w:r>
        <w:r w:rsidR="00014976" w:rsidRPr="00420229">
          <w:rPr>
            <w:rStyle w:val="Hyperlink"/>
          </w:rPr>
          <w:t>Net debt</w:t>
        </w:r>
        <w:r w:rsidR="00014976">
          <w:rPr>
            <w:webHidden/>
          </w:rPr>
          <w:tab/>
        </w:r>
        <w:r w:rsidR="00014976">
          <w:rPr>
            <w:webHidden/>
          </w:rPr>
          <w:fldChar w:fldCharType="begin"/>
        </w:r>
        <w:r w:rsidR="00014976">
          <w:rPr>
            <w:webHidden/>
          </w:rPr>
          <w:instrText xml:space="preserve"> PAGEREF _Toc523758533 \h </w:instrText>
        </w:r>
        <w:r w:rsidR="00014976">
          <w:rPr>
            <w:webHidden/>
          </w:rPr>
        </w:r>
        <w:r w:rsidR="00014976">
          <w:rPr>
            <w:webHidden/>
          </w:rPr>
          <w:fldChar w:fldCharType="separate"/>
        </w:r>
        <w:r w:rsidR="002828FF">
          <w:rPr>
            <w:webHidden/>
          </w:rPr>
          <w:t>19</w:t>
        </w:r>
        <w:r w:rsidR="00014976">
          <w:rPr>
            <w:webHidden/>
          </w:rPr>
          <w:fldChar w:fldCharType="end"/>
        </w:r>
      </w:hyperlink>
    </w:p>
    <w:p w:rsidR="00014976" w:rsidRDefault="00931897">
      <w:pPr>
        <w:pStyle w:val="TOC2"/>
        <w:rPr>
          <w:rFonts w:asciiTheme="minorHAnsi" w:hAnsiTheme="minorHAnsi"/>
          <w:color w:val="auto"/>
          <w:sz w:val="22"/>
        </w:rPr>
      </w:pPr>
      <w:hyperlink w:anchor="_Toc523758534" w:history="1">
        <w:r w:rsidR="00014976" w:rsidRPr="00420229">
          <w:rPr>
            <w:rStyle w:val="Hyperlink"/>
          </w:rPr>
          <w:t>5.2</w:t>
        </w:r>
        <w:r w:rsidR="00014976">
          <w:rPr>
            <w:rFonts w:asciiTheme="minorHAnsi" w:hAnsiTheme="minorHAnsi"/>
            <w:color w:val="auto"/>
            <w:sz w:val="22"/>
          </w:rPr>
          <w:tab/>
        </w:r>
        <w:r w:rsidR="00014976" w:rsidRPr="00420229">
          <w:rPr>
            <w:rStyle w:val="Hyperlink"/>
          </w:rPr>
          <w:t>Net financial worth</w:t>
        </w:r>
        <w:r w:rsidR="00014976">
          <w:rPr>
            <w:webHidden/>
          </w:rPr>
          <w:tab/>
        </w:r>
        <w:r w:rsidR="00014976">
          <w:rPr>
            <w:webHidden/>
          </w:rPr>
          <w:fldChar w:fldCharType="begin"/>
        </w:r>
        <w:r w:rsidR="00014976">
          <w:rPr>
            <w:webHidden/>
          </w:rPr>
          <w:instrText xml:space="preserve"> PAGEREF _Toc523758534 \h </w:instrText>
        </w:r>
        <w:r w:rsidR="00014976">
          <w:rPr>
            <w:webHidden/>
          </w:rPr>
        </w:r>
        <w:r w:rsidR="00014976">
          <w:rPr>
            <w:webHidden/>
          </w:rPr>
          <w:fldChar w:fldCharType="separate"/>
        </w:r>
        <w:r w:rsidR="002828FF">
          <w:rPr>
            <w:webHidden/>
          </w:rPr>
          <w:t>20</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35" w:history="1">
        <w:r w:rsidR="00014976" w:rsidRPr="00420229">
          <w:rPr>
            <w:rStyle w:val="Hyperlink"/>
          </w:rPr>
          <w:t>Appendix A – Receipt projection methodology</w:t>
        </w:r>
        <w:r w:rsidR="00014976">
          <w:rPr>
            <w:webHidden/>
          </w:rPr>
          <w:tab/>
        </w:r>
        <w:r w:rsidR="00014976">
          <w:rPr>
            <w:webHidden/>
          </w:rPr>
          <w:fldChar w:fldCharType="begin"/>
        </w:r>
        <w:r w:rsidR="00014976">
          <w:rPr>
            <w:webHidden/>
          </w:rPr>
          <w:instrText xml:space="preserve"> PAGEREF _Toc523758535 \h </w:instrText>
        </w:r>
        <w:r w:rsidR="00014976">
          <w:rPr>
            <w:webHidden/>
          </w:rPr>
        </w:r>
        <w:r w:rsidR="00014976">
          <w:rPr>
            <w:webHidden/>
          </w:rPr>
          <w:fldChar w:fldCharType="separate"/>
        </w:r>
        <w:r w:rsidR="002828FF">
          <w:rPr>
            <w:webHidden/>
          </w:rPr>
          <w:t>21</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36" w:history="1">
        <w:r w:rsidR="00014976" w:rsidRPr="00420229">
          <w:rPr>
            <w:rStyle w:val="Hyperlink"/>
          </w:rPr>
          <w:t>Appendix B – Spending projection methodology</w:t>
        </w:r>
        <w:r w:rsidR="00014976">
          <w:rPr>
            <w:webHidden/>
          </w:rPr>
          <w:tab/>
        </w:r>
        <w:r w:rsidR="00014976">
          <w:rPr>
            <w:webHidden/>
          </w:rPr>
          <w:fldChar w:fldCharType="begin"/>
        </w:r>
        <w:r w:rsidR="00014976">
          <w:rPr>
            <w:webHidden/>
          </w:rPr>
          <w:instrText xml:space="preserve"> PAGEREF _Toc523758536 \h </w:instrText>
        </w:r>
        <w:r w:rsidR="00014976">
          <w:rPr>
            <w:webHidden/>
          </w:rPr>
        </w:r>
        <w:r w:rsidR="00014976">
          <w:rPr>
            <w:webHidden/>
          </w:rPr>
          <w:fldChar w:fldCharType="separate"/>
        </w:r>
        <w:r w:rsidR="002828FF">
          <w:rPr>
            <w:webHidden/>
          </w:rPr>
          <w:t>24</w:t>
        </w:r>
        <w:r w:rsidR="00014976">
          <w:rPr>
            <w:webHidden/>
          </w:rPr>
          <w:fldChar w:fldCharType="end"/>
        </w:r>
      </w:hyperlink>
    </w:p>
    <w:p w:rsidR="00014976" w:rsidRDefault="00931897">
      <w:pPr>
        <w:pStyle w:val="TOC1"/>
        <w:rPr>
          <w:rFonts w:eastAsiaTheme="minorEastAsia"/>
          <w:b w:val="0"/>
          <w:color w:val="auto"/>
          <w:sz w:val="22"/>
          <w:lang w:eastAsia="en-AU"/>
        </w:rPr>
      </w:pPr>
      <w:hyperlink w:anchor="_Toc523758537" w:history="1">
        <w:r w:rsidR="00014976" w:rsidRPr="00420229">
          <w:rPr>
            <w:rStyle w:val="Hyperlink"/>
          </w:rPr>
          <w:t>Appendix C – Influence of policy decisions on payments</w:t>
        </w:r>
        <w:r w:rsidR="00014976">
          <w:rPr>
            <w:webHidden/>
          </w:rPr>
          <w:tab/>
        </w:r>
        <w:r w:rsidR="00014976">
          <w:rPr>
            <w:webHidden/>
          </w:rPr>
          <w:fldChar w:fldCharType="begin"/>
        </w:r>
        <w:r w:rsidR="00014976">
          <w:rPr>
            <w:webHidden/>
          </w:rPr>
          <w:instrText xml:space="preserve"> PAGEREF _Toc523758537 \h </w:instrText>
        </w:r>
        <w:r w:rsidR="00014976">
          <w:rPr>
            <w:webHidden/>
          </w:rPr>
        </w:r>
        <w:r w:rsidR="00014976">
          <w:rPr>
            <w:webHidden/>
          </w:rPr>
          <w:fldChar w:fldCharType="separate"/>
        </w:r>
        <w:r w:rsidR="002828FF">
          <w:rPr>
            <w:webHidden/>
          </w:rPr>
          <w:t>29</w:t>
        </w:r>
        <w:r w:rsidR="00014976">
          <w:rPr>
            <w:webHidden/>
          </w:rPr>
          <w:fldChar w:fldCharType="end"/>
        </w:r>
      </w:hyperlink>
    </w:p>
    <w:p w:rsidR="00C800F2" w:rsidRDefault="00014976" w:rsidP="00AB79E1">
      <w:pPr>
        <w:rPr>
          <w:bCs/>
        </w:rPr>
      </w:pPr>
      <w:r>
        <w:rPr>
          <w:b/>
          <w:noProof/>
          <w:color w:val="9778B4" w:themeColor="text2"/>
          <w:sz w:val="24"/>
        </w:rPr>
        <w:fldChar w:fldCharType="end"/>
      </w:r>
    </w:p>
    <w:p w:rsidR="00CC37CA" w:rsidRDefault="00CC37CA">
      <w:pPr>
        <w:rPr>
          <w:bCs/>
        </w:rPr>
        <w:sectPr w:rsidR="00CC37CA" w:rsidSect="00AB1ED5">
          <w:headerReference w:type="even" r:id="rId21"/>
          <w:headerReference w:type="default" r:id="rId22"/>
          <w:footerReference w:type="even" r:id="rId23"/>
          <w:footerReference w:type="default" r:id="rId24"/>
          <w:pgSz w:w="11907" w:h="16840" w:code="9"/>
          <w:pgMar w:top="1191" w:right="1418" w:bottom="1021" w:left="1418" w:header="567" w:footer="709" w:gutter="0"/>
          <w:pgNumType w:fmt="lowerRoman"/>
          <w:cols w:space="708"/>
          <w:docGrid w:linePitch="360"/>
        </w:sectPr>
      </w:pPr>
    </w:p>
    <w:p w:rsidR="00CC37CA" w:rsidRDefault="00CC37CA" w:rsidP="00CC37CA">
      <w:pPr>
        <w:pStyle w:val="Heading1NoNumbering"/>
      </w:pPr>
      <w:bookmarkStart w:id="2" w:name="_Toc396331953"/>
      <w:bookmarkStart w:id="3" w:name="_Toc523757303"/>
      <w:bookmarkStart w:id="4" w:name="_Toc523758518"/>
      <w:r>
        <w:t>Foreword</w:t>
      </w:r>
      <w:bookmarkStart w:id="5" w:name="_ForewordMarker"/>
      <w:bookmarkEnd w:id="2"/>
      <w:bookmarkEnd w:id="3"/>
      <w:bookmarkEnd w:id="5"/>
      <w:bookmarkEnd w:id="4"/>
    </w:p>
    <w:p w:rsidR="00685718" w:rsidRDefault="005F5E89" w:rsidP="00685718">
      <w:pPr>
        <w:pStyle w:val="OverviewBodyText"/>
      </w:pPr>
      <w:r>
        <w:t>After the release of the Government’s budget</w:t>
      </w:r>
      <w:r w:rsidR="000D48F9">
        <w:t>,</w:t>
      </w:r>
      <w:r>
        <w:t xml:space="preserve"> the PBO produces an annual report that provides detailed projections of receipts and payments over the next decade to </w:t>
      </w:r>
      <w:r w:rsidR="0066601A">
        <w:t xml:space="preserve">highlight </w:t>
      </w:r>
      <w:r>
        <w:t xml:space="preserve">the </w:t>
      </w:r>
      <w:r w:rsidR="0066601A">
        <w:t>factors that explain</w:t>
      </w:r>
      <w:r>
        <w:t xml:space="preserve">, and assess the sustainability of, the projected underlying cash balance and net debt position.  We </w:t>
      </w:r>
      <w:r w:rsidR="00AF39CE">
        <w:t xml:space="preserve">consider </w:t>
      </w:r>
      <w:r>
        <w:t>this an important contribution to increasing the understanding of the budget projections.</w:t>
      </w:r>
    </w:p>
    <w:p w:rsidR="00CC37CA" w:rsidRDefault="00685718" w:rsidP="00685718">
      <w:pPr>
        <w:pStyle w:val="OverviewBodyText"/>
      </w:pPr>
      <w:r>
        <w:t xml:space="preserve">This report was authored by </w:t>
      </w:r>
      <w:r w:rsidR="00EF0722">
        <w:t xml:space="preserve">Tim Pyne, </w:t>
      </w:r>
      <w:r>
        <w:t xml:space="preserve">Paul Gardiner, Lok Potticary and Anupam Sharma.  The projections were prepared by Aaryn </w:t>
      </w:r>
      <w:proofErr w:type="spellStart"/>
      <w:r>
        <w:t>Lally</w:t>
      </w:r>
      <w:proofErr w:type="spellEnd"/>
      <w:r>
        <w:t xml:space="preserve">, Sam </w:t>
      </w:r>
      <w:proofErr w:type="spellStart"/>
      <w:r>
        <w:t>McInerney</w:t>
      </w:r>
      <w:proofErr w:type="spellEnd"/>
      <w:r>
        <w:t>, Hanna Maslen, Cid Mateo, Vijay Murik, Sam Pelly, Lok Potticary, Anupam Sharma, Nutan Singh and Kate Wagner.  The report was prepared for publication by Lauren Pratley.</w:t>
      </w:r>
    </w:p>
    <w:p w:rsidR="00CC37CA" w:rsidRPr="00784ADB" w:rsidRDefault="00E76098" w:rsidP="000165A7">
      <w:pPr>
        <w:spacing w:before="480"/>
      </w:pPr>
      <w:r>
        <w:t>Jenny Wilkinson</w:t>
      </w:r>
    </w:p>
    <w:p w:rsidR="00CC37CA" w:rsidRDefault="00E76098" w:rsidP="000165A7">
      <w:r w:rsidRPr="00E76098">
        <w:t>Parliamentary Budget Officer</w:t>
      </w:r>
    </w:p>
    <w:p w:rsidR="00C800F2" w:rsidRDefault="00931897">
      <w:sdt>
        <w:sdtPr>
          <w:alias w:val="Date"/>
          <w:tag w:val="Date"/>
          <w:id w:val="-226846581"/>
          <w:placeholder>
            <w:docPart w:val="61A22AEE43CD4D27992B822863061560"/>
          </w:placeholder>
          <w:date w:fullDate="2018-09-06T00:00:00Z">
            <w:dateFormat w:val="d MMMM yyyy"/>
            <w:lid w:val="en-AU"/>
            <w:storeMappedDataAs w:val="dateTime"/>
            <w:calendar w:val="gregorian"/>
          </w:date>
        </w:sdtPr>
        <w:sdtEndPr/>
        <w:sdtContent>
          <w:r w:rsidR="00D933AA" w:rsidRPr="00D933AA">
            <w:t>6 September 2018</w:t>
          </w:r>
        </w:sdtContent>
      </w:sdt>
    </w:p>
    <w:p w:rsidR="00CC37CA" w:rsidRPr="00CC37CA" w:rsidRDefault="00CC37CA" w:rsidP="00CC37CA">
      <w:pPr>
        <w:sectPr w:rsidR="00CC37CA" w:rsidRPr="00CC37CA" w:rsidSect="00AB1ED5">
          <w:headerReference w:type="even" r:id="rId25"/>
          <w:headerReference w:type="default" r:id="rId26"/>
          <w:footerReference w:type="even" r:id="rId27"/>
          <w:footerReference w:type="default" r:id="rId28"/>
          <w:pgSz w:w="11907" w:h="16840" w:code="9"/>
          <w:pgMar w:top="1191" w:right="1418" w:bottom="1021" w:left="1418" w:header="567" w:footer="709" w:gutter="0"/>
          <w:pgNumType w:fmt="lowerRoman"/>
          <w:cols w:space="708"/>
          <w:docGrid w:linePitch="360"/>
        </w:sectPr>
      </w:pPr>
    </w:p>
    <w:p w:rsidR="00CC37CA" w:rsidRPr="00C51D0B" w:rsidRDefault="00CC37CA" w:rsidP="006530FA">
      <w:pPr>
        <w:pStyle w:val="Heading1NoNumbering"/>
        <w:spacing w:after="360"/>
      </w:pPr>
      <w:bookmarkStart w:id="6" w:name="_Toc396331954"/>
      <w:bookmarkStart w:id="7" w:name="_Toc523757304"/>
      <w:bookmarkStart w:id="8" w:name="_Toc523758519"/>
      <w:r w:rsidRPr="00C51D0B">
        <w:t>Overview</w:t>
      </w:r>
      <w:bookmarkStart w:id="9" w:name="_OverviewMarker"/>
      <w:bookmarkEnd w:id="6"/>
      <w:bookmarkEnd w:id="7"/>
      <w:bookmarkEnd w:id="9"/>
      <w:bookmarkEnd w:id="8"/>
    </w:p>
    <w:p w:rsidR="009B5E1F" w:rsidRDefault="00F60EAE" w:rsidP="009B5E1F">
      <w:pPr>
        <w:pStyle w:val="BodyText"/>
      </w:pPr>
      <w:r>
        <w:t>The underlying cash balance is projected by the Government to move from a deficit of 1.0 per cent of GDP in 2017</w:t>
      </w:r>
      <w:r w:rsidR="004012E7">
        <w:t>-</w:t>
      </w:r>
      <w:r>
        <w:t>18 to a surplus of 0.8 per cent of GDP by 2021</w:t>
      </w:r>
      <w:r w:rsidR="004012E7">
        <w:t>-</w:t>
      </w:r>
      <w:r>
        <w:t>22.  Beyond the forward estimates, the PBO projects the surplus to reach 1.</w:t>
      </w:r>
      <w:r w:rsidR="009A060B">
        <w:t>3</w:t>
      </w:r>
      <w:r>
        <w:t xml:space="preserve"> per cent of GDP by 2028</w:t>
      </w:r>
      <w:r w:rsidR="004012E7">
        <w:t>-</w:t>
      </w:r>
      <w:r>
        <w:t xml:space="preserve">29.  Our projection over the next </w:t>
      </w:r>
      <w:r w:rsidR="00F85337">
        <w:t>d</w:t>
      </w:r>
      <w:r>
        <w:t>ecade is broadly consistent with the medium-term position presented in the</w:t>
      </w:r>
      <w:r w:rsidR="002E0822">
        <w:t xml:space="preserve"> </w:t>
      </w:r>
      <w:r>
        <w:t>2018</w:t>
      </w:r>
      <w:r w:rsidR="004012E7">
        <w:t>-</w:t>
      </w:r>
      <w:r>
        <w:t xml:space="preserve">19 </w:t>
      </w:r>
      <w:r w:rsidR="002E0822">
        <w:t>B</w:t>
      </w:r>
      <w:r>
        <w:t>udget.</w:t>
      </w:r>
    </w:p>
    <w:p w:rsidR="009B5E1F" w:rsidRDefault="009B5E1F" w:rsidP="009B5E1F">
      <w:pPr>
        <w:pStyle w:val="BodyText"/>
      </w:pPr>
      <w:r>
        <w:t xml:space="preserve">The main </w:t>
      </w:r>
      <w:r w:rsidR="00975B5B">
        <w:t xml:space="preserve">contribution to </w:t>
      </w:r>
      <w:r>
        <w:t xml:space="preserve">the projected improvement in the </w:t>
      </w:r>
      <w:r w:rsidR="00AF39CE">
        <w:t>budget position</w:t>
      </w:r>
      <w:r>
        <w:t xml:space="preserve"> </w:t>
      </w:r>
      <w:r w:rsidR="00975B5B">
        <w:t>comes from a</w:t>
      </w:r>
      <w:r>
        <w:t xml:space="preserve"> rise in personal income tax receipts.  </w:t>
      </w:r>
      <w:r w:rsidR="00317352">
        <w:t xml:space="preserve">With increasing wages, a larger proportion of income is taxed in </w:t>
      </w:r>
      <w:r>
        <w:t>higher income tax brackets resulting in a rise in the average tax rate.  Personal income tax receipts are projected to increase by 1.3 per cent of GDP over the next decade, with the average tax rate projected to increase from 22.9 to 25.2 per cent.</w:t>
      </w:r>
      <w:r w:rsidR="004B2A25">
        <w:t xml:space="preserve"> </w:t>
      </w:r>
      <w:r>
        <w:t xml:space="preserve">The projected increase in personal income tax </w:t>
      </w:r>
      <w:r w:rsidR="00AF39CE">
        <w:t xml:space="preserve">receipts </w:t>
      </w:r>
      <w:r>
        <w:t xml:space="preserve">and the average tax rate occurs even with the cuts to personal income taxes resulting from the Government’s Personal Income Tax Plan.  </w:t>
      </w:r>
      <w:r w:rsidR="00F60EAE">
        <w:t>Our</w:t>
      </w:r>
      <w:r>
        <w:t xml:space="preserve"> distributional analysis highlights that the largest increases in average tax rates occur in the low- to middle-income groups.</w:t>
      </w:r>
    </w:p>
    <w:p w:rsidR="009B5E1F" w:rsidRDefault="009B5E1F" w:rsidP="009B5E1F">
      <w:pPr>
        <w:pStyle w:val="BodyText"/>
      </w:pPr>
      <w:r>
        <w:t xml:space="preserve">Further contributing to the improvement </w:t>
      </w:r>
      <w:r w:rsidR="00AF39CE">
        <w:t xml:space="preserve">in the budget position </w:t>
      </w:r>
      <w:r>
        <w:t xml:space="preserve">is a projected fall in spending </w:t>
      </w:r>
      <w:r w:rsidR="00CD7643">
        <w:t xml:space="preserve">of </w:t>
      </w:r>
      <w:r w:rsidR="004A088F">
        <w:br/>
      </w:r>
      <w:r w:rsidR="00227575">
        <w:t>0.9</w:t>
      </w:r>
      <w:r w:rsidR="00CD7643">
        <w:t xml:space="preserve"> per cent of GDP </w:t>
      </w:r>
      <w:r>
        <w:t>over the next decade</w:t>
      </w:r>
      <w:r w:rsidR="00527545">
        <w:t>.</w:t>
      </w:r>
      <w:r>
        <w:t xml:space="preserve">  While spending on the NDIS increases significantly over th</w:t>
      </w:r>
      <w:r w:rsidR="00CD7643">
        <w:t>is period, it</w:t>
      </w:r>
      <w:r>
        <w:t xml:space="preserve"> is more than offset by </w:t>
      </w:r>
      <w:r w:rsidR="00AF39CE">
        <w:t xml:space="preserve">projected </w:t>
      </w:r>
      <w:r>
        <w:t xml:space="preserve">falls in </w:t>
      </w:r>
      <w:r w:rsidR="00F972E1">
        <w:t xml:space="preserve">spending </w:t>
      </w:r>
      <w:r w:rsidR="00AF39CE">
        <w:t xml:space="preserve">as a share of GDP </w:t>
      </w:r>
      <w:r w:rsidR="00F972E1">
        <w:t xml:space="preserve">on </w:t>
      </w:r>
      <w:r>
        <w:t xml:space="preserve">a number of large payments including Family Tax Benefit, pharmaceutical benefits and the Disability Support Pension.  </w:t>
      </w:r>
      <w:r w:rsidR="00975B5B">
        <w:t>The</w:t>
      </w:r>
      <w:r w:rsidR="00F60EAE">
        <w:t xml:space="preserve"> decline in spending on government administration over the forward estimates period</w:t>
      </w:r>
      <w:r w:rsidR="00975B5B">
        <w:t>,</w:t>
      </w:r>
      <w:r w:rsidR="00F60EAE" w:rsidDel="00311F54">
        <w:t xml:space="preserve"> </w:t>
      </w:r>
      <w:r w:rsidR="00975B5B">
        <w:t xml:space="preserve">as forecast </w:t>
      </w:r>
      <w:r w:rsidR="00F60EAE">
        <w:t>in the 2018</w:t>
      </w:r>
      <w:r w:rsidR="004012E7">
        <w:t>-</w:t>
      </w:r>
      <w:r w:rsidR="00F60EAE">
        <w:t>19 Budget</w:t>
      </w:r>
      <w:r w:rsidR="00975B5B">
        <w:t>, is also a significant source of restraint</w:t>
      </w:r>
      <w:r w:rsidR="00527545">
        <w:t xml:space="preserve">. </w:t>
      </w:r>
      <w:r w:rsidR="00F60EAE">
        <w:t xml:space="preserve"> </w:t>
      </w:r>
      <w:r>
        <w:t>These projected declines in spending reflect the ongoing impact of policy changes and spending restraint that ha</w:t>
      </w:r>
      <w:r w:rsidR="00311F54">
        <w:t>s</w:t>
      </w:r>
      <w:r>
        <w:t xml:space="preserve"> seen the growth in </w:t>
      </w:r>
      <w:r w:rsidR="00F972E1">
        <w:t xml:space="preserve">these </w:t>
      </w:r>
      <w:r>
        <w:t>payments slow dramatically over the past five years.</w:t>
      </w:r>
    </w:p>
    <w:p w:rsidR="006530FA" w:rsidRDefault="00B77A32" w:rsidP="00EA279A">
      <w:pPr>
        <w:pStyle w:val="BodyText"/>
        <w:rPr>
          <w:noProof/>
          <w:lang w:eastAsia="en-AU"/>
        </w:rPr>
      </w:pPr>
      <w:r>
        <w:rPr>
          <w:noProof/>
          <w:lang w:eastAsia="en-AU"/>
        </w:rPr>
        <w:t xml:space="preserve">These projections reflect the fiscal position at the time of the 2018-19 Budget.  The recent government decision not to proceeed with </w:t>
      </w:r>
      <w:r w:rsidR="00D30AB2">
        <w:rPr>
          <w:noProof/>
          <w:lang w:eastAsia="en-AU"/>
        </w:rPr>
        <w:t xml:space="preserve">unlegislated </w:t>
      </w:r>
      <w:r>
        <w:rPr>
          <w:noProof/>
          <w:lang w:eastAsia="en-AU"/>
        </w:rPr>
        <w:t>reductions in company tax rate</w:t>
      </w:r>
      <w:r w:rsidR="00AC61F0">
        <w:rPr>
          <w:noProof/>
          <w:lang w:eastAsia="en-AU"/>
        </w:rPr>
        <w:t>s</w:t>
      </w:r>
      <w:r>
        <w:rPr>
          <w:noProof/>
          <w:lang w:eastAsia="en-AU"/>
        </w:rPr>
        <w:t xml:space="preserve"> will improve </w:t>
      </w:r>
      <w:r w:rsidR="00AC78C8">
        <w:rPr>
          <w:noProof/>
          <w:lang w:eastAsia="en-AU"/>
        </w:rPr>
        <w:t xml:space="preserve">the budget balance over the period </w:t>
      </w:r>
      <w:r w:rsidR="00AC4090">
        <w:rPr>
          <w:noProof/>
          <w:lang w:eastAsia="en-AU"/>
        </w:rPr>
        <w:t>2018</w:t>
      </w:r>
      <w:r w:rsidR="00AC78C8">
        <w:rPr>
          <w:noProof/>
          <w:lang w:eastAsia="en-AU"/>
        </w:rPr>
        <w:t>-</w:t>
      </w:r>
      <w:r w:rsidR="00AC4090">
        <w:rPr>
          <w:noProof/>
          <w:lang w:eastAsia="en-AU"/>
        </w:rPr>
        <w:t xml:space="preserve">19 </w:t>
      </w:r>
      <w:r w:rsidR="00AC78C8">
        <w:rPr>
          <w:noProof/>
          <w:lang w:eastAsia="en-AU"/>
        </w:rPr>
        <w:t>to 2026-27</w:t>
      </w:r>
      <w:r w:rsidR="00547311">
        <w:rPr>
          <w:noProof/>
          <w:lang w:eastAsia="en-AU"/>
        </w:rPr>
        <w:t xml:space="preserve"> if not offset by other measures</w:t>
      </w:r>
      <w:r w:rsidR="00AC78C8">
        <w:rPr>
          <w:noProof/>
          <w:lang w:eastAsia="en-AU"/>
        </w:rPr>
        <w:t>.</w:t>
      </w:r>
    </w:p>
    <w:p w:rsidR="004B2A25" w:rsidRDefault="00EA279A" w:rsidP="00EA279A">
      <w:pPr>
        <w:pStyle w:val="BodyText"/>
      </w:pPr>
      <w:r>
        <w:t xml:space="preserve">There are three key areas of risk in the medium-term projections.  </w:t>
      </w:r>
    </w:p>
    <w:p w:rsidR="00EA279A" w:rsidRDefault="00EA279A" w:rsidP="00EA279A">
      <w:pPr>
        <w:pStyle w:val="BodyText"/>
      </w:pPr>
      <w:r>
        <w:t xml:space="preserve">Firstly, there are the risks that result from uncertainty in the underlying economic parameters. </w:t>
      </w:r>
      <w:r w:rsidR="00AC61F0">
        <w:t xml:space="preserve"> </w:t>
      </w:r>
      <w:r>
        <w:t xml:space="preserve">The projected surpluses over the medium term are </w:t>
      </w:r>
      <w:r w:rsidR="00AF39CE">
        <w:t xml:space="preserve">predicated </w:t>
      </w:r>
      <w:r>
        <w:t xml:space="preserve">on above trend economic growth for much of the period and a return to close to trend wages growth by the </w:t>
      </w:r>
      <w:r w:rsidR="0058773C">
        <w:t>end of the forward estimates period.</w:t>
      </w:r>
      <w:r w:rsidR="002E0822">
        <w:t xml:space="preserve"> </w:t>
      </w:r>
      <w:r>
        <w:t xml:space="preserve">The projections </w:t>
      </w:r>
      <w:r w:rsidR="00AF39CE">
        <w:t xml:space="preserve">for the budget position have become </w:t>
      </w:r>
      <w:r>
        <w:t xml:space="preserve">more sensitive to these </w:t>
      </w:r>
      <w:r w:rsidR="004B2A25">
        <w:t xml:space="preserve">macroeconomic </w:t>
      </w:r>
      <w:r>
        <w:t xml:space="preserve">risks because of </w:t>
      </w:r>
      <w:r w:rsidR="00B77A32">
        <w:t xml:space="preserve">the effect of the Personal Income </w:t>
      </w:r>
      <w:r w:rsidR="00BC152E">
        <w:t>T</w:t>
      </w:r>
      <w:r w:rsidR="00B77A32">
        <w:t>ax Plan</w:t>
      </w:r>
      <w:r>
        <w:t xml:space="preserve">.  </w:t>
      </w:r>
      <w:r w:rsidR="00F85337">
        <w:t xml:space="preserve">Based on the 2018-19 Budget, </w:t>
      </w:r>
      <w:r w:rsidR="003D6595">
        <w:t xml:space="preserve">we project </w:t>
      </w:r>
      <w:r w:rsidR="00F85337">
        <w:t>tax receipts will not reach the Government’s tax-to-GDP cap of 23.9 per cent of GDP until 2027</w:t>
      </w:r>
      <w:r w:rsidR="004012E7">
        <w:t>-</w:t>
      </w:r>
      <w:r w:rsidR="00F85337">
        <w:t xml:space="preserve">28, although this may now be achieved earlier with the recent company tax decision.  Any weakness in tax receipts before the tax cap is reached will flow through directly to the budget bottom line.  </w:t>
      </w:r>
      <w:r>
        <w:t xml:space="preserve">In preceding medium-term projection reports, </w:t>
      </w:r>
      <w:r w:rsidR="00F85337">
        <w:t xml:space="preserve">in contrast, </w:t>
      </w:r>
      <w:r>
        <w:t xml:space="preserve">tax receipts were projected to be </w:t>
      </w:r>
      <w:r w:rsidR="00F85337">
        <w:t xml:space="preserve">well </w:t>
      </w:r>
      <w:r>
        <w:t xml:space="preserve">above the Government’s tax-to-GDP </w:t>
      </w:r>
      <w:r w:rsidR="00F368C4">
        <w:t xml:space="preserve">cap </w:t>
      </w:r>
      <w:r>
        <w:t>for most of the medium term</w:t>
      </w:r>
      <w:r w:rsidR="004B2A25">
        <w:t xml:space="preserve">.  This meant that if </w:t>
      </w:r>
      <w:r>
        <w:t xml:space="preserve">weaker economic circumstances </w:t>
      </w:r>
      <w:r w:rsidR="004B2A25">
        <w:t xml:space="preserve">occurred, they could have weakened tax receipts without adversely affecting the </w:t>
      </w:r>
      <w:r w:rsidR="005275EC">
        <w:t>budget balance</w:t>
      </w:r>
      <w:r>
        <w:t xml:space="preserve">.  </w:t>
      </w:r>
    </w:p>
    <w:p w:rsidR="00EA279A" w:rsidRDefault="00EA279A" w:rsidP="00EA279A">
      <w:pPr>
        <w:pStyle w:val="BodyText"/>
      </w:pPr>
      <w:r>
        <w:t xml:space="preserve">Secondly, our recent analysis of the broad trends within the Commonwealth tax system highlighted specific downside risks to a number of consumption taxes.  </w:t>
      </w:r>
      <w:r w:rsidR="005275EC">
        <w:t xml:space="preserve">Ongoing </w:t>
      </w:r>
      <w:r w:rsidR="00150788">
        <w:t>w</w:t>
      </w:r>
      <w:r>
        <w:t xml:space="preserve">eakness in the consumption tax base </w:t>
      </w:r>
      <w:r w:rsidR="005275EC">
        <w:t>would lead</w:t>
      </w:r>
      <w:r>
        <w:t xml:space="preserve"> receipts</w:t>
      </w:r>
      <w:r w:rsidR="00F85337">
        <w:t xml:space="preserve"> and the budget balance</w:t>
      </w:r>
      <w:r>
        <w:t xml:space="preserve"> </w:t>
      </w:r>
      <w:r w:rsidR="005275EC">
        <w:t xml:space="preserve">to </w:t>
      </w:r>
      <w:r>
        <w:t>be lower than our central projections.</w:t>
      </w:r>
    </w:p>
    <w:p w:rsidR="00F67A12" w:rsidRDefault="00EA279A" w:rsidP="009B5E1F">
      <w:pPr>
        <w:pStyle w:val="BodyText"/>
      </w:pPr>
      <w:r>
        <w:t xml:space="preserve">Thirdly, the projections of spending assume no new spending initiatives beyond those contained in the budget estimates.  The spending restraint seen over the past few years may be increasingly difficult to maintain with an improving budget </w:t>
      </w:r>
      <w:r w:rsidRPr="001F114F">
        <w:t>outlook</w:t>
      </w:r>
      <w:r w:rsidRPr="00525E7E">
        <w:t>.</w:t>
      </w:r>
      <w:r w:rsidR="00F67A12">
        <w:br w:type="page"/>
      </w:r>
    </w:p>
    <w:p w:rsidR="001D6C52" w:rsidRDefault="00E76098" w:rsidP="00297971">
      <w:pPr>
        <w:pStyle w:val="Heading1"/>
      </w:pPr>
      <w:bookmarkStart w:id="10" w:name="_Toc523757305"/>
      <w:bookmarkStart w:id="11" w:name="_Toc523758520"/>
      <w:r>
        <w:t>Introduction</w:t>
      </w:r>
      <w:bookmarkEnd w:id="10"/>
      <w:bookmarkEnd w:id="11"/>
    </w:p>
    <w:p w:rsidR="00E76098" w:rsidRDefault="00E76098" w:rsidP="00E76098">
      <w:pPr>
        <w:pStyle w:val="BodyText"/>
      </w:pPr>
      <w:r>
        <w:t>The 2018</w:t>
      </w:r>
      <w:r w:rsidR="004012E7">
        <w:t>-</w:t>
      </w:r>
      <w:r>
        <w:t>19 Budget papers include projections of the underlying cash balance, net debt and net financial worth to 2028</w:t>
      </w:r>
      <w:r w:rsidR="004012E7">
        <w:t>-</w:t>
      </w:r>
      <w:r>
        <w:t xml:space="preserve">29 but do not include projections of receipts and spending beyond the forward estimates period </w:t>
      </w:r>
      <w:r w:rsidR="0066601A">
        <w:t xml:space="preserve">which ends in </w:t>
      </w:r>
      <w:r>
        <w:t>2021</w:t>
      </w:r>
      <w:r w:rsidR="004012E7">
        <w:t>-</w:t>
      </w:r>
      <w:r>
        <w:t>22.</w:t>
      </w:r>
      <w:r w:rsidR="003142AB">
        <w:t xml:space="preserve"> </w:t>
      </w:r>
    </w:p>
    <w:p w:rsidR="005F5E89" w:rsidRDefault="005F5E89" w:rsidP="005F5E89">
      <w:pPr>
        <w:pStyle w:val="BodyText"/>
      </w:pPr>
      <w:r>
        <w:t xml:space="preserve">In this regular PBO report we </w:t>
      </w:r>
      <w:r w:rsidR="0066601A">
        <w:t xml:space="preserve">analyse </w:t>
      </w:r>
      <w:r>
        <w:t>project</w:t>
      </w:r>
      <w:r w:rsidR="0066601A">
        <w:t xml:space="preserve">ions for </w:t>
      </w:r>
      <w:r>
        <w:t xml:space="preserve">receipts and spending </w:t>
      </w:r>
      <w:r w:rsidR="0066601A">
        <w:t xml:space="preserve">at a detailed level </w:t>
      </w:r>
      <w:r>
        <w:t>over the period to 2028</w:t>
      </w:r>
      <w:r w:rsidR="004012E7">
        <w:t>-</w:t>
      </w:r>
      <w:r>
        <w:t xml:space="preserve">29 to explain the main </w:t>
      </w:r>
      <w:r w:rsidR="00975B5B">
        <w:t>reasons for</w:t>
      </w:r>
      <w:r>
        <w:t xml:space="preserve"> the projected return to surplus, fall in net debt, and increase in net financial worth over this period.  This analysis takes the budget forward estimates as the starting point and projects receipts and spending for an additional </w:t>
      </w:r>
      <w:r w:rsidR="00EF0722">
        <w:t xml:space="preserve">seven </w:t>
      </w:r>
      <w:r>
        <w:t xml:space="preserve">years.  </w:t>
      </w:r>
      <w:r w:rsidR="000D48F9">
        <w:t>A</w:t>
      </w:r>
      <w:r>
        <w:t xml:space="preserve">s required by our legislation, our budget projections use the economic forecasts and other parameters </w:t>
      </w:r>
      <w:r w:rsidR="0066601A">
        <w:t xml:space="preserve">that </w:t>
      </w:r>
      <w:r>
        <w:t>underpin the 2018</w:t>
      </w:r>
      <w:r w:rsidR="004012E7">
        <w:t>-</w:t>
      </w:r>
      <w:r>
        <w:t xml:space="preserve">19 </w:t>
      </w:r>
      <w:proofErr w:type="gramStart"/>
      <w:r>
        <w:t>Budget</w:t>
      </w:r>
      <w:proofErr w:type="gramEnd"/>
      <w:r>
        <w:t>.</w:t>
      </w:r>
    </w:p>
    <w:p w:rsidR="005F5E89" w:rsidRDefault="005F5E89" w:rsidP="005F5E89">
      <w:pPr>
        <w:pStyle w:val="BodyText"/>
      </w:pPr>
      <w:r>
        <w:t xml:space="preserve">The projections assume that the Government’s policy settings remain unchanged from those </w:t>
      </w:r>
      <w:r w:rsidR="003A536A">
        <w:t>incorporated in</w:t>
      </w:r>
      <w:r>
        <w:t xml:space="preserve"> the 2018</w:t>
      </w:r>
      <w:r w:rsidR="004012E7">
        <w:t>-</w:t>
      </w:r>
      <w:r>
        <w:t>19 Budget.  Where government policy has not been made explicit beyond the forward estimates period, our projections assume the continuation of current policy settings.</w:t>
      </w:r>
    </w:p>
    <w:p w:rsidR="005F5E89" w:rsidRDefault="005F5E89" w:rsidP="005F5E89">
      <w:pPr>
        <w:pStyle w:val="BodyText"/>
      </w:pPr>
      <w:r>
        <w:t>The detailed projections contained in this report increase transparency and highlight the policy trade-offs that are being made</w:t>
      </w:r>
      <w:r w:rsidR="000D48F9">
        <w:t>.</w:t>
      </w:r>
      <w:r w:rsidR="00431F62">
        <w:t xml:space="preserve">  </w:t>
      </w:r>
      <w:r w:rsidR="000D48F9">
        <w:t>T</w:t>
      </w:r>
      <w:r w:rsidR="00A15185">
        <w:t xml:space="preserve">hey illustrate </w:t>
      </w:r>
      <w:r>
        <w:t xml:space="preserve">the impact on the budget of significant programs that mature beyond the forward estimates period and identify potential areas of the budget that present challenges and risks for ongoing </w:t>
      </w:r>
      <w:r w:rsidR="0066601A">
        <w:t xml:space="preserve">fiscal </w:t>
      </w:r>
      <w:r>
        <w:t xml:space="preserve">sustainability.  While projections are subject to uncertainty, this information is an important contribution </w:t>
      </w:r>
      <w:r w:rsidR="0066601A">
        <w:t xml:space="preserve">to improving </w:t>
      </w:r>
      <w:r w:rsidR="006D483E">
        <w:t xml:space="preserve">the </w:t>
      </w:r>
      <w:r>
        <w:t>understanding of fiscal policy settings.</w:t>
      </w:r>
    </w:p>
    <w:p w:rsidR="002F17E3" w:rsidRDefault="002F17E3"/>
    <w:p w:rsidR="004228FD" w:rsidRDefault="004228FD">
      <w:pPr>
        <w:rPr>
          <w:rFonts w:cs="Times New Roman"/>
        </w:rPr>
      </w:pPr>
      <w:r>
        <w:br w:type="page"/>
      </w:r>
    </w:p>
    <w:p w:rsidR="00E76098" w:rsidRDefault="00E76098" w:rsidP="00E76098">
      <w:pPr>
        <w:pStyle w:val="Heading1"/>
      </w:pPr>
      <w:bookmarkStart w:id="12" w:name="_Toc523757306"/>
      <w:bookmarkStart w:id="13" w:name="_Toc523758521"/>
      <w:r>
        <w:t>Projected underlying cash balance</w:t>
      </w:r>
      <w:bookmarkEnd w:id="12"/>
      <w:bookmarkEnd w:id="13"/>
    </w:p>
    <w:p w:rsidR="00E76098" w:rsidRDefault="00E76098" w:rsidP="00E76098">
      <w:pPr>
        <w:pStyle w:val="BodyText"/>
      </w:pPr>
      <w:r>
        <w:t>The underlying cash bal</w:t>
      </w:r>
      <w:r w:rsidR="00ED68D8">
        <w:t>ance (UCB) is projected by the G</w:t>
      </w:r>
      <w:r>
        <w:t xml:space="preserve">overnment to move from a deficit of </w:t>
      </w:r>
      <w:r w:rsidR="00525E7E">
        <w:t>1.0 per cent of GDP (</w:t>
      </w:r>
      <w:r>
        <w:t>$18.2</w:t>
      </w:r>
      <w:r w:rsidR="000D48F9">
        <w:t> </w:t>
      </w:r>
      <w:r>
        <w:t>billion</w:t>
      </w:r>
      <w:r w:rsidR="00525E7E">
        <w:t>)</w:t>
      </w:r>
      <w:r>
        <w:t xml:space="preserve"> to a surplus of </w:t>
      </w:r>
      <w:r w:rsidR="00525E7E">
        <w:t xml:space="preserve">0.8 per cent of GDP </w:t>
      </w:r>
      <w:r>
        <w:t>(</w:t>
      </w:r>
      <w:r w:rsidR="00525E7E">
        <w:t>$16.6 billion</w:t>
      </w:r>
      <w:r>
        <w:t>) by 2021</w:t>
      </w:r>
      <w:r w:rsidR="004012E7">
        <w:t>-</w:t>
      </w:r>
      <w:r>
        <w:t>22.  Beyond the forward estimates</w:t>
      </w:r>
      <w:r w:rsidR="00944AB2">
        <w:t>,</w:t>
      </w:r>
      <w:r>
        <w:t xml:space="preserve"> </w:t>
      </w:r>
      <w:r w:rsidR="008E3AC0">
        <w:t xml:space="preserve">the PBO </w:t>
      </w:r>
      <w:r>
        <w:t>project</w:t>
      </w:r>
      <w:r w:rsidR="008E3AC0">
        <w:t>s</w:t>
      </w:r>
      <w:r>
        <w:t xml:space="preserve"> the surplus to reach </w:t>
      </w:r>
      <w:r w:rsidR="00525E7E">
        <w:t xml:space="preserve">1.3 per cent of GDP </w:t>
      </w:r>
      <w:r w:rsidR="00525E7E">
        <w:br/>
      </w:r>
      <w:r w:rsidR="002E3181">
        <w:t>(</w:t>
      </w:r>
      <w:r w:rsidR="00525E7E">
        <w:t>$42.3 billion</w:t>
      </w:r>
      <w:r w:rsidR="003C7464">
        <w:t>) by 2028</w:t>
      </w:r>
      <w:r w:rsidR="004012E7">
        <w:t>-</w:t>
      </w:r>
      <w:r w:rsidR="003C7464">
        <w:t>29 (</w:t>
      </w:r>
      <w:r w:rsidR="003C7464">
        <w:fldChar w:fldCharType="begin"/>
      </w:r>
      <w:r w:rsidR="003C7464">
        <w:instrText xml:space="preserve"> REF _Ref520381208 \h </w:instrText>
      </w:r>
      <w:r w:rsidR="003C7464">
        <w:fldChar w:fldCharType="separate"/>
      </w:r>
      <w:r w:rsidR="002828FF" w:rsidRPr="00E76098">
        <w:t xml:space="preserve">Figure </w:t>
      </w:r>
      <w:r w:rsidR="002828FF">
        <w:rPr>
          <w:noProof/>
        </w:rPr>
        <w:t>2</w:t>
      </w:r>
      <w:r w:rsidR="002828FF" w:rsidRPr="00E76098">
        <w:t>–</w:t>
      </w:r>
      <w:r w:rsidR="002828FF">
        <w:rPr>
          <w:noProof/>
        </w:rPr>
        <w:t>1</w:t>
      </w:r>
      <w:r w:rsidR="003C7464">
        <w:fldChar w:fldCharType="end"/>
      </w:r>
      <w:r>
        <w:t>).  Our projection over the next decade is broadly consistent with the medium-term budget position presented in the 2018</w:t>
      </w:r>
      <w:r w:rsidR="004012E7">
        <w:t>-</w:t>
      </w:r>
      <w:r>
        <w:t>19 Budget.</w:t>
      </w:r>
      <w:r w:rsidR="003142AB">
        <w:t xml:space="preserve"> </w:t>
      </w:r>
    </w:p>
    <w:p w:rsidR="00E76098" w:rsidRDefault="00E76098" w:rsidP="00150788">
      <w:pPr>
        <w:pStyle w:val="Caption"/>
      </w:pPr>
    </w:p>
    <w:p w:rsidR="00E76098" w:rsidRDefault="00E76098">
      <w:pPr>
        <w:pStyle w:val="Caption"/>
      </w:pPr>
      <w:bookmarkStart w:id="14" w:name="_Ref520381208"/>
      <w:r w:rsidRPr="00E76098">
        <w:t xml:space="preserve">Figure </w:t>
      </w:r>
      <w:fldSimple w:instr=" STYLEREF 1 \s ">
        <w:r w:rsidR="002828FF">
          <w:rPr>
            <w:noProof/>
          </w:rPr>
          <w:t>2</w:t>
        </w:r>
      </w:fldSimple>
      <w:r w:rsidRPr="00E76098">
        <w:t>–</w:t>
      </w:r>
      <w:fldSimple w:instr=" SEQ Figure \* ARABIC \s 1 ">
        <w:r w:rsidR="002828FF">
          <w:rPr>
            <w:noProof/>
          </w:rPr>
          <w:t>1</w:t>
        </w:r>
      </w:fldSimple>
      <w:bookmarkEnd w:id="14"/>
      <w:r w:rsidRPr="00E76098">
        <w:t>: Underlying cash balance</w:t>
      </w:r>
    </w:p>
    <w:p w:rsidR="00E76098" w:rsidRPr="00E76098" w:rsidRDefault="00614358" w:rsidP="00E76098">
      <w:pPr>
        <w:pStyle w:val="CaptionDescriptor"/>
      </w:pPr>
      <w:r>
        <w:rPr>
          <w:noProof/>
          <w:lang w:eastAsia="en-AU"/>
        </w:rPr>
        <w:drawing>
          <wp:inline distT="0" distB="0" distL="0" distR="0" wp14:anchorId="6DF68CC0">
            <wp:extent cx="541401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4010" cy="3657600"/>
                    </a:xfrm>
                    <a:prstGeom prst="rect">
                      <a:avLst/>
                    </a:prstGeom>
                    <a:noFill/>
                  </pic:spPr>
                </pic:pic>
              </a:graphicData>
            </a:graphic>
          </wp:inline>
        </w:drawing>
      </w:r>
    </w:p>
    <w:p w:rsidR="007A237E" w:rsidRDefault="003C7464" w:rsidP="007A237E">
      <w:pPr>
        <w:pStyle w:val="Source"/>
        <w:spacing w:after="120"/>
        <w:rPr>
          <w:noProof/>
          <w:lang w:eastAsia="en-AU"/>
        </w:rPr>
      </w:pPr>
      <w:r w:rsidRPr="003C7464">
        <w:rPr>
          <w:noProof/>
          <w:lang w:eastAsia="en-AU"/>
        </w:rPr>
        <w:t>Note: Net Future Fund earnings are included in the underlying cash balance from 2020</w:t>
      </w:r>
      <w:r w:rsidR="004012E7">
        <w:rPr>
          <w:noProof/>
          <w:lang w:eastAsia="en-AU"/>
        </w:rPr>
        <w:t>-</w:t>
      </w:r>
      <w:r w:rsidRPr="003C7464">
        <w:rPr>
          <w:noProof/>
          <w:lang w:eastAsia="en-AU"/>
        </w:rPr>
        <w:t>21 consistent with the 2018</w:t>
      </w:r>
      <w:r w:rsidR="004012E7">
        <w:rPr>
          <w:noProof/>
          <w:lang w:eastAsia="en-AU"/>
        </w:rPr>
        <w:t>-</w:t>
      </w:r>
      <w:r w:rsidRPr="003C7464">
        <w:rPr>
          <w:noProof/>
          <w:lang w:eastAsia="en-AU"/>
        </w:rPr>
        <w:t>19 Budget treatment.</w:t>
      </w:r>
    </w:p>
    <w:p w:rsidR="00E76098" w:rsidRDefault="007A237E" w:rsidP="007A237E">
      <w:pPr>
        <w:pStyle w:val="Source"/>
        <w:spacing w:after="120"/>
        <w:rPr>
          <w:noProof/>
          <w:lang w:eastAsia="en-AU"/>
        </w:rPr>
      </w:pPr>
      <w:r>
        <w:rPr>
          <w:noProof/>
          <w:lang w:eastAsia="en-AU"/>
        </w:rPr>
        <w:t xml:space="preserve">Source: </w:t>
      </w:r>
      <w:r w:rsidRPr="007A237E">
        <w:rPr>
          <w:noProof/>
          <w:lang w:eastAsia="en-AU"/>
        </w:rPr>
        <w:t>2018</w:t>
      </w:r>
      <w:r w:rsidR="004012E7">
        <w:rPr>
          <w:noProof/>
          <w:lang w:eastAsia="en-AU"/>
        </w:rPr>
        <w:t>-</w:t>
      </w:r>
      <w:r w:rsidRPr="007A237E">
        <w:rPr>
          <w:noProof/>
          <w:lang w:eastAsia="en-AU"/>
        </w:rPr>
        <w:t>19 Budget and PBO analysis.</w:t>
      </w:r>
    </w:p>
    <w:p w:rsidR="00525E7E" w:rsidRPr="00431F62" w:rsidRDefault="003C7464" w:rsidP="00525E7E">
      <w:pPr>
        <w:pStyle w:val="BodyText"/>
      </w:pPr>
      <w:r>
        <w:t>The return to surplus in 2019</w:t>
      </w:r>
      <w:r w:rsidR="004012E7">
        <w:t>-</w:t>
      </w:r>
      <w:r>
        <w:t>20 primarily reflects an increase in total receipts of 1.0 per cent of GDP between 2017</w:t>
      </w:r>
      <w:r w:rsidR="004012E7">
        <w:t>-</w:t>
      </w:r>
      <w:r>
        <w:t>18 and 2019</w:t>
      </w:r>
      <w:r w:rsidR="004012E7">
        <w:t>-</w:t>
      </w:r>
      <w:r>
        <w:t>20.  Beyond the forward estimates</w:t>
      </w:r>
      <w:r w:rsidR="00AC3F82">
        <w:t>,</w:t>
      </w:r>
      <w:r>
        <w:t xml:space="preserve"> </w:t>
      </w:r>
      <w:r w:rsidR="008E3AC0">
        <w:t>the</w:t>
      </w:r>
      <w:r>
        <w:t xml:space="preserve"> </w:t>
      </w:r>
      <w:r w:rsidR="008E3AC0">
        <w:t xml:space="preserve">PBO </w:t>
      </w:r>
      <w:r>
        <w:t>project</w:t>
      </w:r>
      <w:r w:rsidR="008E3AC0">
        <w:t>s</w:t>
      </w:r>
      <w:r>
        <w:t xml:space="preserve"> total receipts to remain broadly flat, with the Government’s </w:t>
      </w:r>
      <w:r w:rsidR="006D483E">
        <w:t xml:space="preserve">cap on the </w:t>
      </w:r>
      <w:r>
        <w:t xml:space="preserve">tax-to-GDP </w:t>
      </w:r>
      <w:r w:rsidR="006D483E">
        <w:t>ratio</w:t>
      </w:r>
      <w:r>
        <w:t xml:space="preserve"> of 23.9 per cent of GDP</w:t>
      </w:r>
      <w:r w:rsidR="00150788" w:rsidRPr="007979E1">
        <w:rPr>
          <w:rStyle w:val="FootnoteReference"/>
        </w:rPr>
        <w:footnoteReference w:id="1"/>
      </w:r>
      <w:r w:rsidR="00150788">
        <w:t xml:space="preserve"> </w:t>
      </w:r>
      <w:r w:rsidR="006D483E">
        <w:t xml:space="preserve">being </w:t>
      </w:r>
      <w:r>
        <w:t>reached in 2027</w:t>
      </w:r>
      <w:r w:rsidR="004012E7">
        <w:t>-</w:t>
      </w:r>
      <w:r>
        <w:t>28.   The continuing improvement in the UCB over the latter part of the decade reflects declining spending</w:t>
      </w:r>
      <w:r w:rsidR="00347EE8">
        <w:t xml:space="preserve"> as a share of GDP</w:t>
      </w:r>
      <w:r>
        <w:t>, which we project to fall from 24.7 per cent of GDP in 2021</w:t>
      </w:r>
      <w:r w:rsidR="004012E7">
        <w:t>-</w:t>
      </w:r>
      <w:r>
        <w:t>22 to 24.1 per cent of GDP by 2028</w:t>
      </w:r>
      <w:r w:rsidR="004012E7">
        <w:t>-</w:t>
      </w:r>
      <w:r>
        <w:t xml:space="preserve">29. </w:t>
      </w:r>
      <w:r w:rsidR="00525E7E">
        <w:t xml:space="preserve"> </w:t>
      </w:r>
      <w:r w:rsidR="00525E7E" w:rsidRPr="00431F62">
        <w:t>Net Future Fund earnings contribute to the UCB from 2020</w:t>
      </w:r>
      <w:r w:rsidR="004012E7">
        <w:t>-</w:t>
      </w:r>
      <w:r w:rsidR="00525E7E" w:rsidRPr="00431F62">
        <w:t>21 onwards, adding 0.2 per cent of GDP to the surplus from 2020</w:t>
      </w:r>
      <w:r w:rsidR="004012E7">
        <w:t>-</w:t>
      </w:r>
      <w:r w:rsidR="00525E7E" w:rsidRPr="00431F62">
        <w:t>21.</w:t>
      </w:r>
      <w:r w:rsidR="002E0822">
        <w:t xml:space="preserve"> </w:t>
      </w:r>
    </w:p>
    <w:p w:rsidR="00490AF1" w:rsidRDefault="00490AF1" w:rsidP="003C7464">
      <w:pPr>
        <w:pStyle w:val="BodyText"/>
      </w:pPr>
      <w:r>
        <w:t xml:space="preserve">These projections reflect the </w:t>
      </w:r>
      <w:r w:rsidR="00525E7E">
        <w:t xml:space="preserve">policy settings and the economic parameters </w:t>
      </w:r>
      <w:r>
        <w:t>at the time of the 2018</w:t>
      </w:r>
      <w:r w:rsidR="004012E7">
        <w:t>-</w:t>
      </w:r>
      <w:r>
        <w:t>19 Budget.  The projected UCB surplus w</w:t>
      </w:r>
      <w:r w:rsidR="003D6595">
        <w:t>ould</w:t>
      </w:r>
      <w:r>
        <w:t xml:space="preserve"> be </w:t>
      </w:r>
      <w:r w:rsidR="003D6595">
        <w:t xml:space="preserve">further </w:t>
      </w:r>
      <w:r>
        <w:t>improved from 2019</w:t>
      </w:r>
      <w:r w:rsidR="004012E7">
        <w:t>-</w:t>
      </w:r>
      <w:r>
        <w:t>20 by the recent government decision not to proceed with reductions in the company tax rate for larger companies</w:t>
      </w:r>
      <w:r w:rsidR="003D6595">
        <w:t xml:space="preserve"> if not offset by other measures</w:t>
      </w:r>
      <w:r>
        <w:t>.  This dec</w:t>
      </w:r>
      <w:r w:rsidR="00525E7E">
        <w:t>i</w:t>
      </w:r>
      <w:r>
        <w:t xml:space="preserve">sion will increase receipts, and consequently the UCB, until tax receipts reach the </w:t>
      </w:r>
      <w:r w:rsidRPr="00FF002C">
        <w:t>Government’s tax-to-GDP cap</w:t>
      </w:r>
      <w:r w:rsidR="00361E1A">
        <w:t xml:space="preserve"> </w:t>
      </w:r>
      <w:r w:rsidRPr="00FF002C">
        <w:t>of 23.9 per cent of GDP</w:t>
      </w:r>
      <w:r>
        <w:t xml:space="preserve"> (see Box 2).</w:t>
      </w:r>
      <w:r w:rsidR="003142AB">
        <w:t xml:space="preserve"> </w:t>
      </w:r>
    </w:p>
    <w:p w:rsidR="007A237E" w:rsidRDefault="003C7464" w:rsidP="009D6FBE">
      <w:pPr>
        <w:pStyle w:val="BodyText"/>
        <w:spacing w:after="600"/>
        <w:rPr>
          <w:noProof/>
          <w:lang w:eastAsia="en-AU"/>
        </w:rPr>
      </w:pPr>
      <w:r>
        <w:rPr>
          <w:noProof/>
          <w:lang w:eastAsia="en-AU"/>
        </w:rPr>
        <w:t xml:space="preserve">The </w:t>
      </w:r>
      <w:r w:rsidR="006D483E">
        <w:rPr>
          <w:noProof/>
          <w:lang w:eastAsia="en-AU"/>
        </w:rPr>
        <w:t xml:space="preserve">underlying trends in the components of </w:t>
      </w:r>
      <w:r>
        <w:rPr>
          <w:noProof/>
          <w:lang w:eastAsia="en-AU"/>
        </w:rPr>
        <w:t>receipts and spending are explored in more detail in the following sections.</w:t>
      </w:r>
    </w:p>
    <w:p w:rsidR="003C7464" w:rsidRDefault="003C7464" w:rsidP="003C7464">
      <w:pPr>
        <w:pStyle w:val="Heading1"/>
      </w:pPr>
      <w:bookmarkStart w:id="15" w:name="_Toc523757307"/>
      <w:bookmarkStart w:id="16" w:name="_Toc523758522"/>
      <w:r w:rsidRPr="003C7464">
        <w:t>Projected receipts</w:t>
      </w:r>
      <w:bookmarkEnd w:id="15"/>
      <w:bookmarkEnd w:id="16"/>
    </w:p>
    <w:p w:rsidR="00051600" w:rsidRDefault="00051600" w:rsidP="00AB79E1">
      <w:pPr>
        <w:pStyle w:val="Heading2"/>
      </w:pPr>
      <w:bookmarkStart w:id="17" w:name="_Toc523757308"/>
      <w:bookmarkStart w:id="18" w:name="_Toc523758523"/>
      <w:r>
        <w:t>Total receipts</w:t>
      </w:r>
      <w:bookmarkEnd w:id="17"/>
      <w:bookmarkEnd w:id="18"/>
    </w:p>
    <w:p w:rsidR="003C7464" w:rsidRDefault="004E7DC3">
      <w:pPr>
        <w:pStyle w:val="BodyText"/>
      </w:pPr>
      <w:r>
        <w:t xml:space="preserve">Total receipts are </w:t>
      </w:r>
      <w:r w:rsidRPr="00B044F6">
        <w:t>projected by the Government to increase from 24.3 per cent of GDP in 2017</w:t>
      </w:r>
      <w:r w:rsidR="004012E7" w:rsidRPr="00B044F6">
        <w:t>-</w:t>
      </w:r>
      <w:r w:rsidRPr="00B044F6">
        <w:t>18 to 25.5 per cent of GDP in 2021</w:t>
      </w:r>
      <w:r w:rsidR="004012E7" w:rsidRPr="00B044F6">
        <w:t>-</w:t>
      </w:r>
      <w:r w:rsidRPr="00B044F6">
        <w:t xml:space="preserve">22.  </w:t>
      </w:r>
      <w:r w:rsidR="00533E24" w:rsidRPr="00B044F6">
        <w:t>T</w:t>
      </w:r>
      <w:r w:rsidRPr="00B044F6">
        <w:t xml:space="preserve">he PBO projects receipts to </w:t>
      </w:r>
      <w:r w:rsidR="00B74CFE" w:rsidRPr="00B044F6">
        <w:t>remain around this level over the next decade</w:t>
      </w:r>
      <w:r w:rsidR="0060129B" w:rsidRPr="00B044F6">
        <w:t xml:space="preserve"> </w:t>
      </w:r>
      <w:r w:rsidR="0060129B" w:rsidRPr="00B044F6">
        <w:rPr>
          <w:lang w:eastAsia="en-AU"/>
        </w:rPr>
        <w:t>(</w:t>
      </w:r>
      <w:r w:rsidR="0089345D" w:rsidRPr="00B044F6">
        <w:rPr>
          <w:lang w:eastAsia="en-AU"/>
        </w:rPr>
        <w:fldChar w:fldCharType="begin"/>
      </w:r>
      <w:r w:rsidR="0089345D" w:rsidRPr="00B044F6">
        <w:rPr>
          <w:lang w:eastAsia="en-AU"/>
        </w:rPr>
        <w:instrText xml:space="preserve"> REF _Ref523488578 \h </w:instrText>
      </w:r>
      <w:r w:rsidR="00B044F6">
        <w:rPr>
          <w:lang w:eastAsia="en-AU"/>
        </w:rPr>
        <w:instrText xml:space="preserve"> \* MERGEFORMAT </w:instrText>
      </w:r>
      <w:r w:rsidR="0089345D" w:rsidRPr="00B044F6">
        <w:rPr>
          <w:lang w:eastAsia="en-AU"/>
        </w:rPr>
      </w:r>
      <w:r w:rsidR="0089345D" w:rsidRPr="00B044F6">
        <w:rPr>
          <w:lang w:eastAsia="en-AU"/>
        </w:rPr>
        <w:fldChar w:fldCharType="separate"/>
      </w:r>
      <w:r w:rsidR="002828FF" w:rsidRPr="00AA00D8">
        <w:t xml:space="preserve">Figure </w:t>
      </w:r>
      <w:r w:rsidR="002828FF">
        <w:rPr>
          <w:noProof/>
        </w:rPr>
        <w:t>3</w:t>
      </w:r>
      <w:r w:rsidR="002828FF" w:rsidRPr="00AA00D8">
        <w:t>–</w:t>
      </w:r>
      <w:r w:rsidR="002828FF">
        <w:rPr>
          <w:noProof/>
        </w:rPr>
        <w:t>1</w:t>
      </w:r>
      <w:r w:rsidR="0089345D" w:rsidRPr="00B044F6">
        <w:rPr>
          <w:lang w:eastAsia="en-AU"/>
        </w:rPr>
        <w:fldChar w:fldCharType="end"/>
      </w:r>
      <w:r w:rsidR="0060129B" w:rsidRPr="00B044F6">
        <w:rPr>
          <w:lang w:eastAsia="en-AU"/>
        </w:rPr>
        <w:t>)</w:t>
      </w:r>
      <w:r w:rsidR="0060129B" w:rsidRPr="00B044F6">
        <w:t>.</w:t>
      </w:r>
    </w:p>
    <w:p w:rsidR="004F277A" w:rsidRPr="00816093" w:rsidRDefault="004F277A" w:rsidP="003C7464">
      <w:pPr>
        <w:pStyle w:val="Caption"/>
        <w:rPr>
          <w:sz w:val="20"/>
          <w:szCs w:val="20"/>
        </w:rPr>
      </w:pPr>
      <w:bookmarkStart w:id="19" w:name="_Ref520381399"/>
    </w:p>
    <w:p w:rsidR="003C7464" w:rsidRDefault="003C7464" w:rsidP="003C7464">
      <w:pPr>
        <w:pStyle w:val="Caption"/>
      </w:pPr>
      <w:bookmarkStart w:id="20" w:name="_Ref523488578"/>
      <w:r w:rsidRPr="00AA00D8">
        <w:t xml:space="preserve">Figure </w:t>
      </w:r>
      <w:fldSimple w:instr=" STYLEREF 1 \s ">
        <w:r w:rsidR="002828FF">
          <w:rPr>
            <w:noProof/>
          </w:rPr>
          <w:t>3</w:t>
        </w:r>
      </w:fldSimple>
      <w:r w:rsidRPr="00AA00D8">
        <w:t>–</w:t>
      </w:r>
      <w:fldSimple w:instr=" SEQ Figure \* ARABIC \s 1 ">
        <w:r w:rsidR="002828FF">
          <w:rPr>
            <w:noProof/>
          </w:rPr>
          <w:t>1</w:t>
        </w:r>
      </w:fldSimple>
      <w:bookmarkEnd w:id="19"/>
      <w:bookmarkEnd w:id="20"/>
      <w:r w:rsidRPr="00AA00D8">
        <w:t>: Total receipts</w:t>
      </w:r>
    </w:p>
    <w:p w:rsidR="003C7464" w:rsidRPr="003C7464" w:rsidRDefault="00C97CF1" w:rsidP="003C7464">
      <w:pPr>
        <w:pStyle w:val="BodyText"/>
        <w:jc w:val="center"/>
      </w:pPr>
      <w:r>
        <w:rPr>
          <w:noProof/>
          <w:lang w:eastAsia="en-AU"/>
        </w:rPr>
        <w:drawing>
          <wp:inline distT="0" distB="0" distL="0" distR="0" wp14:anchorId="0F1E02C1" wp14:editId="0D5C5CF7">
            <wp:extent cx="5462270" cy="3456940"/>
            <wp:effectExtent l="0" t="0" r="508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62270" cy="3456940"/>
                    </a:xfrm>
                    <a:prstGeom prst="rect">
                      <a:avLst/>
                    </a:prstGeom>
                    <a:noFill/>
                  </pic:spPr>
                </pic:pic>
              </a:graphicData>
            </a:graphic>
          </wp:inline>
        </w:drawing>
      </w:r>
    </w:p>
    <w:p w:rsidR="003C7464" w:rsidRDefault="003C7464" w:rsidP="003C7464">
      <w:pPr>
        <w:pStyle w:val="Source"/>
        <w:spacing w:after="120"/>
        <w:rPr>
          <w:noProof/>
          <w:lang w:eastAsia="en-AU"/>
        </w:rPr>
      </w:pPr>
      <w:r>
        <w:rPr>
          <w:noProof/>
          <w:lang w:eastAsia="en-AU"/>
        </w:rPr>
        <w:t xml:space="preserve">Source: </w:t>
      </w:r>
      <w:r w:rsidRPr="007A237E">
        <w:rPr>
          <w:noProof/>
          <w:lang w:eastAsia="en-AU"/>
        </w:rPr>
        <w:t>2018</w:t>
      </w:r>
      <w:r w:rsidR="004012E7">
        <w:rPr>
          <w:noProof/>
          <w:lang w:eastAsia="en-AU"/>
        </w:rPr>
        <w:t>-</w:t>
      </w:r>
      <w:r w:rsidRPr="007A237E">
        <w:rPr>
          <w:noProof/>
          <w:lang w:eastAsia="en-AU"/>
        </w:rPr>
        <w:t>19 Budget and PBO analysis.</w:t>
      </w:r>
    </w:p>
    <w:p w:rsidR="00F41135" w:rsidRDefault="00F41135" w:rsidP="00A45FA0">
      <w:pPr>
        <w:pStyle w:val="BodyTextAfterListTable"/>
      </w:pPr>
      <w:r>
        <w:t xml:space="preserve">Prior to the </w:t>
      </w:r>
      <w:r w:rsidR="00AC3F82">
        <w:t xml:space="preserve">announcement of the </w:t>
      </w:r>
      <w:r>
        <w:t>Government’s Personal Income Tax Plan, receipts were projected to grow strongly</w:t>
      </w:r>
      <w:r w:rsidR="0060129B">
        <w:t xml:space="preserve"> reaching 26.7 per cent of GDP in 2028</w:t>
      </w:r>
      <w:r w:rsidR="004012E7">
        <w:t>-</w:t>
      </w:r>
      <w:r w:rsidR="0060129B">
        <w:t xml:space="preserve">29, </w:t>
      </w:r>
      <w:r>
        <w:t xml:space="preserve">and </w:t>
      </w:r>
      <w:r w:rsidR="00DD7F07">
        <w:t xml:space="preserve">taxation receipts would have exceeded the </w:t>
      </w:r>
      <w:r w:rsidR="00DD7F07" w:rsidRPr="00FF002C">
        <w:t>Government’s tax-to-GDP cap</w:t>
      </w:r>
      <w:r w:rsidR="00593EFF">
        <w:t xml:space="preserve"> </w:t>
      </w:r>
      <w:r w:rsidR="00DD7F07" w:rsidRPr="00FF002C">
        <w:t>of 23.9 per cent of GDP</w:t>
      </w:r>
      <w:r w:rsidR="00DD7F07" w:rsidRPr="005901E4">
        <w:t xml:space="preserve"> </w:t>
      </w:r>
      <w:r w:rsidR="00DD7F07">
        <w:t>from 2021</w:t>
      </w:r>
      <w:r w:rsidR="004012E7">
        <w:t>-</w:t>
      </w:r>
      <w:r w:rsidR="00DD7F07">
        <w:t xml:space="preserve">22.  </w:t>
      </w:r>
      <w:r>
        <w:t xml:space="preserve">With </w:t>
      </w:r>
      <w:r w:rsidRPr="00FF002C">
        <w:t xml:space="preserve">the </w:t>
      </w:r>
      <w:r w:rsidR="00DD7F07">
        <w:t xml:space="preserve">personal income tax cuts, </w:t>
      </w:r>
      <w:r w:rsidRPr="00FF002C">
        <w:t xml:space="preserve">tax receipts will not reach the Government’s tax-to-GDP cap of </w:t>
      </w:r>
      <w:r w:rsidR="00A33112">
        <w:br/>
      </w:r>
      <w:r w:rsidRPr="00FF002C">
        <w:t>23.9 per cent of GDP</w:t>
      </w:r>
      <w:r w:rsidRPr="005901E4">
        <w:t xml:space="preserve"> until 20</w:t>
      </w:r>
      <w:r>
        <w:t>2</w:t>
      </w:r>
      <w:r w:rsidRPr="005901E4">
        <w:t>7</w:t>
      </w:r>
      <w:r w:rsidR="004012E7">
        <w:t>-</w:t>
      </w:r>
      <w:r>
        <w:t>2</w:t>
      </w:r>
      <w:r w:rsidRPr="005901E4">
        <w:t>8</w:t>
      </w:r>
      <w:r>
        <w:t>.</w:t>
      </w:r>
    </w:p>
    <w:p w:rsidR="004F277A" w:rsidRDefault="004F277A" w:rsidP="004671B5">
      <w:pPr>
        <w:pStyle w:val="BodyText"/>
      </w:pPr>
      <w:r w:rsidRPr="003C7464">
        <w:t>In the absence of the tax cap, total receipts are projected to be 25.9 per cent of GDP in 2028</w:t>
      </w:r>
      <w:r w:rsidR="004012E7">
        <w:t>-</w:t>
      </w:r>
      <w:r w:rsidRPr="003C7464">
        <w:t>29</w:t>
      </w:r>
      <w:r w:rsidR="0060129B">
        <w:t>.</w:t>
      </w:r>
    </w:p>
    <w:p w:rsidR="003C7464" w:rsidRPr="003C7464" w:rsidRDefault="003C7464" w:rsidP="009D6FBE">
      <w:pPr>
        <w:pStyle w:val="BodyText"/>
        <w:spacing w:after="240"/>
        <w:rPr>
          <w:lang w:eastAsia="en-AU"/>
        </w:rPr>
      </w:pPr>
      <w:proofErr w:type="gramStart"/>
      <w:r w:rsidRPr="003C7464">
        <w:rPr>
          <w:lang w:eastAsia="en-AU"/>
        </w:rPr>
        <w:t xml:space="preserve">The main driver of the increase in </w:t>
      </w:r>
      <w:r w:rsidR="00AD6982">
        <w:rPr>
          <w:lang w:eastAsia="en-AU"/>
        </w:rPr>
        <w:t xml:space="preserve">total </w:t>
      </w:r>
      <w:r w:rsidRPr="003C7464">
        <w:rPr>
          <w:lang w:eastAsia="en-AU"/>
        </w:rPr>
        <w:t xml:space="preserve">receipts as a per cent of GDP is the projected rise in </w:t>
      </w:r>
      <w:r w:rsidR="005D5E74" w:rsidRPr="003C7464">
        <w:rPr>
          <w:lang w:eastAsia="en-AU"/>
        </w:rPr>
        <w:t xml:space="preserve">personal income tax </w:t>
      </w:r>
      <w:r w:rsidR="005D5E74">
        <w:rPr>
          <w:lang w:eastAsia="en-AU"/>
        </w:rPr>
        <w:t>(reported in the Budget as ‘</w:t>
      </w:r>
      <w:r w:rsidRPr="003C7464">
        <w:rPr>
          <w:lang w:eastAsia="en-AU"/>
        </w:rPr>
        <w:t>Individuals and Other Withholding Tax</w:t>
      </w:r>
      <w:r w:rsidR="005D5E74">
        <w:rPr>
          <w:lang w:eastAsia="en-AU"/>
        </w:rPr>
        <w:t>’</w:t>
      </w:r>
      <w:r w:rsidRPr="003C7464">
        <w:rPr>
          <w:lang w:eastAsia="en-AU"/>
        </w:rPr>
        <w:t xml:space="preserve"> receipts</w:t>
      </w:r>
      <w:r w:rsidR="005D5E74">
        <w:rPr>
          <w:lang w:eastAsia="en-AU"/>
        </w:rPr>
        <w:t>)</w:t>
      </w:r>
      <w:r w:rsidRPr="003C7464">
        <w:rPr>
          <w:lang w:eastAsia="en-AU"/>
        </w:rPr>
        <w:t xml:space="preserve"> over the next decade.</w:t>
      </w:r>
      <w:proofErr w:type="gramEnd"/>
      <w:r w:rsidRPr="003C7464">
        <w:rPr>
          <w:lang w:eastAsia="en-AU"/>
        </w:rPr>
        <w:t xml:space="preserve">  This increase occurs even when factoring in the Personal Income Tax Plan that was announced i</w:t>
      </w:r>
      <w:r w:rsidR="00B1233B">
        <w:rPr>
          <w:lang w:eastAsia="en-AU"/>
        </w:rPr>
        <w:t>n the 2018</w:t>
      </w:r>
      <w:r w:rsidR="004012E7">
        <w:rPr>
          <w:lang w:eastAsia="en-AU"/>
        </w:rPr>
        <w:t>-</w:t>
      </w:r>
      <w:r w:rsidR="00B1233B">
        <w:rPr>
          <w:lang w:eastAsia="en-AU"/>
        </w:rPr>
        <w:t xml:space="preserve">19 </w:t>
      </w:r>
      <w:proofErr w:type="gramStart"/>
      <w:r w:rsidR="00B1233B">
        <w:rPr>
          <w:lang w:eastAsia="en-AU"/>
        </w:rPr>
        <w:t>Budget</w:t>
      </w:r>
      <w:proofErr w:type="gramEnd"/>
      <w:r w:rsidR="00B1233B">
        <w:rPr>
          <w:lang w:eastAsia="en-AU"/>
        </w:rPr>
        <w:t xml:space="preserve"> </w:t>
      </w:r>
      <w:r w:rsidR="00B1233B" w:rsidRPr="00B1233B">
        <w:rPr>
          <w:lang w:eastAsia="en-AU"/>
        </w:rPr>
        <w:t>(</w:t>
      </w:r>
      <w:r w:rsidR="00B1233B" w:rsidRPr="00B1233B">
        <w:rPr>
          <w:lang w:eastAsia="en-AU"/>
        </w:rPr>
        <w:fldChar w:fldCharType="begin"/>
      </w:r>
      <w:r w:rsidR="00B1233B" w:rsidRPr="00B1233B">
        <w:rPr>
          <w:lang w:eastAsia="en-AU"/>
        </w:rPr>
        <w:instrText xml:space="preserve"> REF _Ref520381503 \h </w:instrText>
      </w:r>
      <w:r w:rsidR="00B1233B">
        <w:rPr>
          <w:lang w:eastAsia="en-AU"/>
        </w:rPr>
        <w:instrText xml:space="preserve"> \* MERGEFORMAT </w:instrText>
      </w:r>
      <w:r w:rsidR="00B1233B" w:rsidRPr="00B1233B">
        <w:rPr>
          <w:lang w:eastAsia="en-AU"/>
        </w:rPr>
      </w:r>
      <w:r w:rsidR="00B1233B" w:rsidRPr="00B1233B">
        <w:rPr>
          <w:lang w:eastAsia="en-AU"/>
        </w:rPr>
        <w:fldChar w:fldCharType="separate"/>
      </w:r>
      <w:r w:rsidR="002828FF" w:rsidRPr="00AA00D8">
        <w:t xml:space="preserve">Figure </w:t>
      </w:r>
      <w:r w:rsidR="002828FF">
        <w:rPr>
          <w:noProof/>
        </w:rPr>
        <w:t>3</w:t>
      </w:r>
      <w:r w:rsidR="002828FF" w:rsidRPr="00AA00D8">
        <w:t>–</w:t>
      </w:r>
      <w:r w:rsidR="002828FF">
        <w:rPr>
          <w:noProof/>
        </w:rPr>
        <w:t>2</w:t>
      </w:r>
      <w:r w:rsidR="00B1233B" w:rsidRPr="00B1233B">
        <w:rPr>
          <w:lang w:eastAsia="en-AU"/>
        </w:rPr>
        <w:fldChar w:fldCharType="end"/>
      </w:r>
      <w:r w:rsidRPr="00B1233B">
        <w:rPr>
          <w:lang w:eastAsia="en-AU"/>
        </w:rPr>
        <w:t>).</w:t>
      </w:r>
    </w:p>
    <w:p w:rsidR="00B1233B" w:rsidRDefault="00B1233B" w:rsidP="00B1233B">
      <w:pPr>
        <w:pStyle w:val="Caption"/>
      </w:pPr>
      <w:bookmarkStart w:id="21" w:name="_Ref520381503"/>
      <w:r w:rsidRPr="00AA00D8">
        <w:t xml:space="preserve">Figure </w:t>
      </w:r>
      <w:fldSimple w:instr=" STYLEREF 1 \s ">
        <w:r w:rsidR="002828FF">
          <w:rPr>
            <w:noProof/>
          </w:rPr>
          <w:t>3</w:t>
        </w:r>
      </w:fldSimple>
      <w:r w:rsidRPr="00AA00D8">
        <w:t>–</w:t>
      </w:r>
      <w:fldSimple w:instr=" SEQ Figure \* ARABIC \s 1 ">
        <w:r w:rsidR="002828FF">
          <w:rPr>
            <w:noProof/>
          </w:rPr>
          <w:t>2</w:t>
        </w:r>
      </w:fldSimple>
      <w:bookmarkEnd w:id="21"/>
      <w:r w:rsidRPr="00AA00D8">
        <w:t>: Breakdown of receipts</w:t>
      </w:r>
    </w:p>
    <w:p w:rsidR="00B1233B" w:rsidRPr="00B1233B" w:rsidRDefault="00C97CF1" w:rsidP="00B1233B">
      <w:pPr>
        <w:pStyle w:val="CaptionDescriptor"/>
      </w:pPr>
      <w:r>
        <w:rPr>
          <w:noProof/>
          <w:lang w:eastAsia="en-AU"/>
        </w:rPr>
        <w:drawing>
          <wp:inline distT="0" distB="0" distL="0" distR="0" wp14:anchorId="2B6721B6" wp14:editId="2E84FC83">
            <wp:extent cx="5261113" cy="36982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0353" cy="3697726"/>
                    </a:xfrm>
                    <a:prstGeom prst="rect">
                      <a:avLst/>
                    </a:prstGeom>
                    <a:noFill/>
                  </pic:spPr>
                </pic:pic>
              </a:graphicData>
            </a:graphic>
          </wp:inline>
        </w:drawing>
      </w:r>
    </w:p>
    <w:p w:rsidR="0077695C" w:rsidRDefault="0077695C" w:rsidP="00B1233B">
      <w:pPr>
        <w:pStyle w:val="Source"/>
        <w:spacing w:after="120"/>
        <w:rPr>
          <w:noProof/>
          <w:lang w:eastAsia="en-AU"/>
        </w:rPr>
      </w:pPr>
      <w:r>
        <w:rPr>
          <w:noProof/>
          <w:lang w:eastAsia="en-AU"/>
        </w:rPr>
        <w:t xml:space="preserve">Note: The breakdown </w:t>
      </w:r>
      <w:r w:rsidR="00DC32C3">
        <w:rPr>
          <w:noProof/>
          <w:lang w:eastAsia="en-AU"/>
        </w:rPr>
        <w:t>of</w:t>
      </w:r>
      <w:r>
        <w:rPr>
          <w:noProof/>
          <w:lang w:eastAsia="en-AU"/>
        </w:rPr>
        <w:t xml:space="preserve"> receipts presented here differs from the breakdown shown in the previous PBO report </w:t>
      </w:r>
      <w:r w:rsidRPr="00527545">
        <w:rPr>
          <w:i/>
          <w:noProof/>
          <w:lang w:eastAsia="en-AU"/>
        </w:rPr>
        <w:t>Trends affecting the sustainability of Commonwealth taxes</w:t>
      </w:r>
      <w:r>
        <w:rPr>
          <w:noProof/>
          <w:lang w:eastAsia="en-AU"/>
        </w:rPr>
        <w:t xml:space="preserve">.  </w:t>
      </w:r>
      <w:r w:rsidR="00606785">
        <w:rPr>
          <w:noProof/>
          <w:lang w:eastAsia="en-AU"/>
        </w:rPr>
        <w:t>T</w:t>
      </w:r>
      <w:r>
        <w:rPr>
          <w:noProof/>
          <w:lang w:eastAsia="en-AU"/>
        </w:rPr>
        <w:t xml:space="preserve">he breakdown </w:t>
      </w:r>
      <w:r w:rsidR="00606785">
        <w:rPr>
          <w:noProof/>
          <w:lang w:eastAsia="en-AU"/>
        </w:rPr>
        <w:t xml:space="preserve">for the current report </w:t>
      </w:r>
      <w:r>
        <w:rPr>
          <w:noProof/>
          <w:lang w:eastAsia="en-AU"/>
        </w:rPr>
        <w:t>shows the two largest heads of revenue as identified in the 2018</w:t>
      </w:r>
      <w:r>
        <w:rPr>
          <w:noProof/>
          <w:lang w:eastAsia="en-AU"/>
        </w:rPr>
        <w:noBreakHyphen/>
        <w:t xml:space="preserve">19 Budget, with all other receipts grouped together.  The previous report instead used the conceptual categories of labour, capital, and consumption tax receipts.  While </w:t>
      </w:r>
      <w:r w:rsidR="00A84ABD">
        <w:rPr>
          <w:noProof/>
          <w:lang w:eastAsia="en-AU"/>
        </w:rPr>
        <w:t xml:space="preserve">tax on </w:t>
      </w:r>
      <w:r>
        <w:rPr>
          <w:noProof/>
          <w:lang w:eastAsia="en-AU"/>
        </w:rPr>
        <w:t xml:space="preserve">labour mainly comprises personal income tax and </w:t>
      </w:r>
      <w:r w:rsidR="00A84ABD">
        <w:rPr>
          <w:noProof/>
          <w:lang w:eastAsia="en-AU"/>
        </w:rPr>
        <w:t xml:space="preserve">tax on </w:t>
      </w:r>
      <w:r>
        <w:rPr>
          <w:noProof/>
          <w:lang w:eastAsia="en-AU"/>
        </w:rPr>
        <w:t>capital mainly comprises company tax, the categories differ in the treatment of several taxes, most notably taxes on superannuation and capital gains tax for individuals</w:t>
      </w:r>
      <w:r w:rsidR="00606785">
        <w:rPr>
          <w:noProof/>
          <w:lang w:eastAsia="en-AU"/>
        </w:rPr>
        <w:t>, as well as the treatment of franking credits</w:t>
      </w:r>
      <w:r>
        <w:rPr>
          <w:noProof/>
          <w:lang w:eastAsia="en-AU"/>
        </w:rPr>
        <w:t>.</w:t>
      </w:r>
    </w:p>
    <w:p w:rsidR="00B1233B" w:rsidRDefault="00B1233B" w:rsidP="00B1233B">
      <w:pPr>
        <w:pStyle w:val="Source"/>
        <w:spacing w:after="120"/>
        <w:rPr>
          <w:noProof/>
          <w:lang w:eastAsia="en-AU"/>
        </w:rPr>
      </w:pPr>
      <w:r>
        <w:rPr>
          <w:noProof/>
          <w:lang w:eastAsia="en-AU"/>
        </w:rPr>
        <w:t xml:space="preserve">Source: </w:t>
      </w:r>
      <w:r w:rsidRPr="007A237E">
        <w:rPr>
          <w:noProof/>
          <w:lang w:eastAsia="en-AU"/>
        </w:rPr>
        <w:t>2018</w:t>
      </w:r>
      <w:r w:rsidR="004012E7">
        <w:rPr>
          <w:noProof/>
          <w:lang w:eastAsia="en-AU"/>
        </w:rPr>
        <w:t>-</w:t>
      </w:r>
      <w:r w:rsidRPr="007A237E">
        <w:rPr>
          <w:noProof/>
          <w:lang w:eastAsia="en-AU"/>
        </w:rPr>
        <w:t>19 Budget and PBO analysis.</w:t>
      </w:r>
    </w:p>
    <w:p w:rsidR="00AD6982" w:rsidRDefault="00AD6982" w:rsidP="00527545">
      <w:pPr>
        <w:pStyle w:val="Heading2"/>
      </w:pPr>
      <w:bookmarkStart w:id="22" w:name="_Toc523757309"/>
      <w:bookmarkStart w:id="23" w:name="_Toc523758524"/>
      <w:r>
        <w:t>Personal income tax receipts</w:t>
      </w:r>
      <w:bookmarkEnd w:id="22"/>
      <w:bookmarkEnd w:id="23"/>
    </w:p>
    <w:p w:rsidR="00B1233B" w:rsidRDefault="00B1233B" w:rsidP="00B1233B">
      <w:pPr>
        <w:pStyle w:val="BodyText"/>
      </w:pPr>
      <w:r>
        <w:t>Personal income tax receipts are projected to increase by 1.3 per cent of GDP over the next decade, from 11.2 per cent of GDP in 2017</w:t>
      </w:r>
      <w:r w:rsidR="004012E7">
        <w:t>-</w:t>
      </w:r>
      <w:r>
        <w:t>18 to 12.5 per cent of GDP in 2028</w:t>
      </w:r>
      <w:r w:rsidR="004012E7">
        <w:t>-</w:t>
      </w:r>
      <w:r>
        <w:t>29.  The projected rate of growth in personal income tax receipts slows once the Government’s commitment of a tax-to-GDP cap of 23.9 per cent of GDP is reached in 2027</w:t>
      </w:r>
      <w:r w:rsidR="004012E7">
        <w:t>-</w:t>
      </w:r>
      <w:r>
        <w:t xml:space="preserve">28.  The growth in personal income tax receipts is largely the result of the assumed </w:t>
      </w:r>
      <w:r w:rsidR="00D02956">
        <w:t xml:space="preserve">trajectory for </w:t>
      </w:r>
      <w:r>
        <w:t xml:space="preserve">wage growth over the next decade leading to higher average tax rates as a result of bracket creep.  </w:t>
      </w:r>
    </w:p>
    <w:p w:rsidR="007A237E" w:rsidRDefault="00B1233B" w:rsidP="00B1233B">
      <w:pPr>
        <w:pStyle w:val="BodyText"/>
      </w:pPr>
      <w:r>
        <w:t xml:space="preserve">The profile </w:t>
      </w:r>
      <w:r w:rsidR="005D5E74">
        <w:t xml:space="preserve">for </w:t>
      </w:r>
      <w:r>
        <w:t xml:space="preserve">projected personal income tax receipts largely </w:t>
      </w:r>
      <w:r w:rsidR="005D5E74">
        <w:t xml:space="preserve">reflects </w:t>
      </w:r>
      <w:r>
        <w:t xml:space="preserve">the staged </w:t>
      </w:r>
      <w:r w:rsidR="005D5E74">
        <w:t>implem</w:t>
      </w:r>
      <w:r w:rsidR="00A66526">
        <w:t>en</w:t>
      </w:r>
      <w:r w:rsidR="005D5E74">
        <w:t>tation</w:t>
      </w:r>
      <w:r>
        <w:t xml:space="preserve"> of the Government’s Personal Income Tax Plan.  The fall in personal income tax receipts as a share of GDP in 2022</w:t>
      </w:r>
      <w:r w:rsidR="004012E7">
        <w:t>-</w:t>
      </w:r>
      <w:r>
        <w:t xml:space="preserve">23 </w:t>
      </w:r>
      <w:r w:rsidR="00AC3F82">
        <w:t>occurs because</w:t>
      </w:r>
      <w:r>
        <w:t xml:space="preserve"> the top threshold for the 32.5</w:t>
      </w:r>
      <w:r w:rsidR="00243B12">
        <w:t> </w:t>
      </w:r>
      <w:r>
        <w:t>per</w:t>
      </w:r>
      <w:r w:rsidR="00243B12">
        <w:t> </w:t>
      </w:r>
      <w:r>
        <w:t xml:space="preserve">cent bracket </w:t>
      </w:r>
      <w:r w:rsidR="00AC3F82">
        <w:t xml:space="preserve">increases </w:t>
      </w:r>
      <w:r>
        <w:t xml:space="preserve">from $90,000 to $120,000 </w:t>
      </w:r>
      <w:r w:rsidR="00AC3F82">
        <w:t xml:space="preserve">on </w:t>
      </w:r>
      <w:r>
        <w:t xml:space="preserve">1 July 2022.  </w:t>
      </w:r>
      <w:r w:rsidR="00AC3F82">
        <w:t xml:space="preserve">On </w:t>
      </w:r>
      <w:r>
        <w:t>1</w:t>
      </w:r>
      <w:r w:rsidR="00243B12">
        <w:t> </w:t>
      </w:r>
      <w:r>
        <w:t>July</w:t>
      </w:r>
      <w:r w:rsidR="00243B12">
        <w:t> </w:t>
      </w:r>
      <w:r>
        <w:t xml:space="preserve">2024, the top threshold of the 32.5 per cent bracket will increase to $200,000, thereby removing the current 37 per cent bracket and reducing the number of tax brackets from five to four.  These changes to the personal income tax system reduce the impact of bracket creep, but bracket creep will continue to occur as average tax rates increase </w:t>
      </w:r>
      <w:r w:rsidR="00D02956">
        <w:t>with growth in incomes</w:t>
      </w:r>
      <w:r>
        <w:t xml:space="preserve"> (see Box 1).</w:t>
      </w:r>
    </w:p>
    <w:tbl>
      <w:tblPr>
        <w:tblStyle w:val="BoxPlaceholder"/>
        <w:tblW w:w="8789" w:type="dxa"/>
        <w:tblLayout w:type="fixed"/>
        <w:tblLook w:val="04A0" w:firstRow="1" w:lastRow="0" w:firstColumn="1" w:lastColumn="0" w:noHBand="0" w:noVBand="1"/>
      </w:tblPr>
      <w:tblGrid>
        <w:gridCol w:w="8789"/>
      </w:tblGrid>
      <w:tr w:rsidR="00B53EE1" w:rsidTr="00B83AE2">
        <w:tc>
          <w:tcPr>
            <w:tcW w:w="8789" w:type="dxa"/>
          </w:tcPr>
          <w:p w:rsidR="00B53EE1" w:rsidRPr="00844FC4" w:rsidRDefault="00B53EE1" w:rsidP="00E160BB">
            <w:pPr>
              <w:pStyle w:val="CaptionLeft"/>
              <w:rPr>
                <w:sz w:val="28"/>
                <w:szCs w:val="28"/>
              </w:rPr>
            </w:pPr>
            <w:r w:rsidRPr="00844FC4">
              <w:rPr>
                <w:sz w:val="28"/>
                <w:szCs w:val="28"/>
              </w:rPr>
              <w:t xml:space="preserve">Box </w:t>
            </w:r>
            <w:r w:rsidR="008E3AC0" w:rsidRPr="00844FC4">
              <w:rPr>
                <w:sz w:val="28"/>
                <w:szCs w:val="28"/>
              </w:rPr>
              <w:fldChar w:fldCharType="begin"/>
            </w:r>
            <w:r w:rsidR="008E3AC0" w:rsidRPr="00844FC4">
              <w:rPr>
                <w:sz w:val="28"/>
                <w:szCs w:val="28"/>
              </w:rPr>
              <w:instrText xml:space="preserve"> SEQ Box \* ARABIC </w:instrText>
            </w:r>
            <w:r w:rsidR="008E3AC0" w:rsidRPr="00844FC4">
              <w:rPr>
                <w:sz w:val="28"/>
                <w:szCs w:val="28"/>
              </w:rPr>
              <w:fldChar w:fldCharType="separate"/>
            </w:r>
            <w:r w:rsidR="002828FF">
              <w:rPr>
                <w:noProof/>
                <w:sz w:val="28"/>
                <w:szCs w:val="28"/>
              </w:rPr>
              <w:t>1</w:t>
            </w:r>
            <w:r w:rsidR="008E3AC0" w:rsidRPr="00844FC4">
              <w:rPr>
                <w:noProof/>
                <w:sz w:val="28"/>
                <w:szCs w:val="28"/>
              </w:rPr>
              <w:fldChar w:fldCharType="end"/>
            </w:r>
            <w:r w:rsidRPr="00844FC4">
              <w:rPr>
                <w:sz w:val="28"/>
                <w:szCs w:val="28"/>
              </w:rPr>
              <w:t>: Changes in average personal income tax rates</w:t>
            </w:r>
          </w:p>
          <w:p w:rsidR="00FD2C8B" w:rsidRDefault="005D5E74" w:rsidP="00062B5E">
            <w:pPr>
              <w:pStyle w:val="BodyText"/>
            </w:pPr>
            <w:r>
              <w:t xml:space="preserve">The Government’s Personal </w:t>
            </w:r>
            <w:r w:rsidR="00FD2C8B">
              <w:t>Income</w:t>
            </w:r>
            <w:r>
              <w:t xml:space="preserve"> Tax Plan changed </w:t>
            </w:r>
            <w:r w:rsidR="00AC3F82">
              <w:t xml:space="preserve">a number of </w:t>
            </w:r>
            <w:r>
              <w:t xml:space="preserve">marginal tax rates </w:t>
            </w:r>
            <w:r w:rsidR="00FD2C8B">
              <w:t>and</w:t>
            </w:r>
            <w:r>
              <w:t xml:space="preserve"> thresholds </w:t>
            </w:r>
            <w:r w:rsidR="00FF567E">
              <w:t>in the personal income tax system (see</w:t>
            </w:r>
            <w:r>
              <w:t xml:space="preserve"> Figure 3-3</w:t>
            </w:r>
            <w:r w:rsidR="00FF567E">
              <w:t>)</w:t>
            </w:r>
            <w:r>
              <w:t>.</w:t>
            </w:r>
            <w:r w:rsidR="00062B5E">
              <w:t xml:space="preserve">  </w:t>
            </w:r>
            <w:r w:rsidR="00B53EE1" w:rsidRPr="00B53EE1">
              <w:t xml:space="preserve">Once fully implemented </w:t>
            </w:r>
            <w:r w:rsidR="00FF567E">
              <w:t xml:space="preserve">on </w:t>
            </w:r>
            <w:r w:rsidR="00F00032">
              <w:br/>
            </w:r>
            <w:r w:rsidR="00FF567E">
              <w:t>1 July 2024</w:t>
            </w:r>
            <w:r w:rsidR="00B53EE1" w:rsidRPr="00B53EE1">
              <w:t xml:space="preserve">, the Personal Income Tax Plan will extend the 32.5 per cent bracket to </w:t>
            </w:r>
            <w:r w:rsidR="00FD2C8B">
              <w:t xml:space="preserve">individuals on income up to </w:t>
            </w:r>
            <w:r w:rsidR="00B53EE1" w:rsidRPr="00B53EE1">
              <w:t>$200,000 and eliminate the 37 per</w:t>
            </w:r>
            <w:r w:rsidR="00F50A9D">
              <w:t xml:space="preserve"> </w:t>
            </w:r>
            <w:r w:rsidR="00B53EE1" w:rsidRPr="00B53EE1">
              <w:t xml:space="preserve">cent bracket.  These </w:t>
            </w:r>
            <w:r w:rsidR="00B53EE1" w:rsidRPr="00AA00D8">
              <w:t xml:space="preserve">changes will result in changes to the average tax rates applying to taxable income </w:t>
            </w:r>
            <w:r w:rsidR="00FD2C8B">
              <w:t>across the income distribution</w:t>
            </w:r>
            <w:r w:rsidR="00525E7E">
              <w:t>.</w:t>
            </w:r>
            <w:r w:rsidR="00B9413E">
              <w:rPr>
                <w:lang w:eastAsia="en-AU"/>
              </w:rPr>
              <w:t xml:space="preserve">  Across all income levels above $37,000, average tax rates will be lower in 2024</w:t>
            </w:r>
            <w:r w:rsidR="004012E7">
              <w:rPr>
                <w:lang w:eastAsia="en-AU"/>
              </w:rPr>
              <w:t>-</w:t>
            </w:r>
            <w:r w:rsidR="00B9413E">
              <w:rPr>
                <w:lang w:eastAsia="en-AU"/>
              </w:rPr>
              <w:t>25 than they are in 2017</w:t>
            </w:r>
            <w:r w:rsidR="004012E7">
              <w:rPr>
                <w:lang w:eastAsia="en-AU"/>
              </w:rPr>
              <w:t>-</w:t>
            </w:r>
            <w:r w:rsidR="00B9413E">
              <w:rPr>
                <w:lang w:eastAsia="en-AU"/>
              </w:rPr>
              <w:t>18.</w:t>
            </w:r>
          </w:p>
          <w:p w:rsidR="00B53EE1" w:rsidRDefault="00B53EE1" w:rsidP="00DB481B">
            <w:pPr>
              <w:pStyle w:val="Caption"/>
              <w:spacing w:before="240"/>
            </w:pPr>
            <w:bookmarkStart w:id="24" w:name="_Ref520381774"/>
            <w:r w:rsidRPr="00AA00D8">
              <w:t xml:space="preserve">Figure </w:t>
            </w:r>
            <w:fldSimple w:instr=" STYLEREF 1 \s ">
              <w:r w:rsidR="002828FF">
                <w:rPr>
                  <w:noProof/>
                </w:rPr>
                <w:t>3</w:t>
              </w:r>
            </w:fldSimple>
            <w:r w:rsidRPr="00AA00D8">
              <w:t>–</w:t>
            </w:r>
            <w:fldSimple w:instr=" SEQ Figure \* ARABIC \s 1 ">
              <w:r w:rsidR="002828FF">
                <w:rPr>
                  <w:noProof/>
                </w:rPr>
                <w:t>3</w:t>
              </w:r>
            </w:fldSimple>
            <w:bookmarkEnd w:id="24"/>
            <w:r w:rsidRPr="00AA00D8">
              <w:t>: Average and marginal tax rates in 2017</w:t>
            </w:r>
            <w:r w:rsidR="004012E7">
              <w:t>-</w:t>
            </w:r>
            <w:r w:rsidRPr="00AA00D8">
              <w:t xml:space="preserve">18 and </w:t>
            </w:r>
            <w:r w:rsidR="00B6182C">
              <w:t xml:space="preserve">from </w:t>
            </w:r>
            <w:r w:rsidRPr="00AA00D8">
              <w:t>2024</w:t>
            </w:r>
            <w:r w:rsidR="004012E7">
              <w:t>-</w:t>
            </w:r>
            <w:r w:rsidRPr="00AA00D8">
              <w:t>25</w:t>
            </w:r>
          </w:p>
          <w:p w:rsidR="00B53EE1" w:rsidRDefault="00DB4B71" w:rsidP="00DB4B71">
            <w:pPr>
              <w:pStyle w:val="CaptionDescriptor"/>
              <w:jc w:val="left"/>
            </w:pPr>
            <w:r>
              <w:rPr>
                <w:noProof/>
                <w:lang w:eastAsia="en-AU"/>
              </w:rPr>
              <w:drawing>
                <wp:inline distT="0" distB="0" distL="0" distR="0" wp14:anchorId="196CA00D" wp14:editId="7744C5AC">
                  <wp:extent cx="5401310" cy="3060700"/>
                  <wp:effectExtent l="0" t="0" r="889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1310" cy="3060700"/>
                          </a:xfrm>
                          <a:prstGeom prst="rect">
                            <a:avLst/>
                          </a:prstGeom>
                          <a:noFill/>
                        </pic:spPr>
                      </pic:pic>
                    </a:graphicData>
                  </a:graphic>
                </wp:inline>
              </w:drawing>
            </w:r>
          </w:p>
          <w:p w:rsidR="00B53EE1" w:rsidRDefault="00B53EE1" w:rsidP="00B53EE1">
            <w:pPr>
              <w:pStyle w:val="Source"/>
              <w:spacing w:after="120"/>
              <w:rPr>
                <w:noProof/>
                <w:lang w:eastAsia="en-AU"/>
              </w:rPr>
            </w:pPr>
            <w:r w:rsidRPr="00B53EE1">
              <w:rPr>
                <w:noProof/>
                <w:lang w:eastAsia="en-AU"/>
              </w:rPr>
              <w:t>Note: This chart does</w:t>
            </w:r>
            <w:r w:rsidR="00F50A9D">
              <w:rPr>
                <w:noProof/>
                <w:lang w:eastAsia="en-AU"/>
              </w:rPr>
              <w:t xml:space="preserve"> </w:t>
            </w:r>
            <w:r w:rsidRPr="00B53EE1">
              <w:rPr>
                <w:noProof/>
                <w:lang w:eastAsia="en-AU"/>
              </w:rPr>
              <w:t>n</w:t>
            </w:r>
            <w:r w:rsidR="00F50A9D">
              <w:rPr>
                <w:noProof/>
                <w:lang w:eastAsia="en-AU"/>
              </w:rPr>
              <w:t>o</w:t>
            </w:r>
            <w:r w:rsidRPr="00B53EE1">
              <w:rPr>
                <w:noProof/>
                <w:lang w:eastAsia="en-AU"/>
              </w:rPr>
              <w:t>t include the Medicare Levy and surcharge or tax offsets, which can vary depending on the characteristics of the taxpayer.</w:t>
            </w:r>
          </w:p>
          <w:p w:rsidR="00B53EE1" w:rsidRDefault="00B53EE1" w:rsidP="00B53EE1">
            <w:pPr>
              <w:pStyle w:val="Source"/>
              <w:spacing w:after="120"/>
              <w:rPr>
                <w:noProof/>
                <w:lang w:eastAsia="en-AU"/>
              </w:rPr>
            </w:pPr>
            <w:r>
              <w:rPr>
                <w:noProof/>
                <w:lang w:eastAsia="en-AU"/>
              </w:rPr>
              <w:t xml:space="preserve">Source: </w:t>
            </w:r>
            <w:r w:rsidRPr="007A237E">
              <w:rPr>
                <w:noProof/>
                <w:lang w:eastAsia="en-AU"/>
              </w:rPr>
              <w:t>PBO analysis.</w:t>
            </w:r>
          </w:p>
          <w:p w:rsidR="009E1F3E" w:rsidRDefault="00B83AE2" w:rsidP="00AA00D8">
            <w:pPr>
              <w:pStyle w:val="BodyText"/>
              <w:rPr>
                <w:lang w:eastAsia="en-AU"/>
              </w:rPr>
            </w:pPr>
            <w:r w:rsidRPr="00B83AE2">
              <w:rPr>
                <w:lang w:eastAsia="en-AU"/>
              </w:rPr>
              <w:fldChar w:fldCharType="begin"/>
            </w:r>
            <w:r w:rsidRPr="00B83AE2">
              <w:rPr>
                <w:lang w:eastAsia="en-AU"/>
              </w:rPr>
              <w:instrText xml:space="preserve"> REF _Ref520381774 \h </w:instrText>
            </w:r>
            <w:r>
              <w:rPr>
                <w:lang w:eastAsia="en-AU"/>
              </w:rPr>
              <w:instrText xml:space="preserve"> \* MERGEFORMAT </w:instrText>
            </w:r>
            <w:r w:rsidRPr="00B83AE2">
              <w:rPr>
                <w:lang w:eastAsia="en-AU"/>
              </w:rPr>
            </w:r>
            <w:r w:rsidRPr="00B83AE2">
              <w:rPr>
                <w:lang w:eastAsia="en-AU"/>
              </w:rPr>
              <w:fldChar w:fldCharType="separate"/>
            </w:r>
            <w:r w:rsidR="002828FF" w:rsidRPr="00AA00D8">
              <w:t xml:space="preserve">Figure </w:t>
            </w:r>
            <w:r w:rsidR="002828FF">
              <w:rPr>
                <w:noProof/>
              </w:rPr>
              <w:t>3</w:t>
            </w:r>
            <w:r w:rsidR="002828FF" w:rsidRPr="00AA00D8">
              <w:t>–</w:t>
            </w:r>
            <w:r w:rsidR="002828FF">
              <w:rPr>
                <w:noProof/>
              </w:rPr>
              <w:t>3</w:t>
            </w:r>
            <w:r w:rsidRPr="00B83AE2">
              <w:rPr>
                <w:lang w:eastAsia="en-AU"/>
              </w:rPr>
              <w:fldChar w:fldCharType="end"/>
            </w:r>
            <w:r w:rsidR="00B53EE1">
              <w:rPr>
                <w:lang w:eastAsia="en-AU"/>
              </w:rPr>
              <w:t xml:space="preserve"> shows that both </w:t>
            </w:r>
            <w:r w:rsidR="00B6182C">
              <w:rPr>
                <w:lang w:eastAsia="en-AU"/>
              </w:rPr>
              <w:t>with and without the Personal Income Tax Plan</w:t>
            </w:r>
            <w:r w:rsidR="00B53EE1">
              <w:rPr>
                <w:lang w:eastAsia="en-AU"/>
              </w:rPr>
              <w:t>, average tax rates increase as taxable income</w:t>
            </w:r>
            <w:r w:rsidR="00B6182C">
              <w:rPr>
                <w:lang w:eastAsia="en-AU"/>
              </w:rPr>
              <w:t>s</w:t>
            </w:r>
            <w:r w:rsidR="00B53EE1">
              <w:rPr>
                <w:lang w:eastAsia="en-AU"/>
              </w:rPr>
              <w:t xml:space="preserve"> increase, even in circumstances where income earners do not cross a marginal tax rate threshold.</w:t>
            </w:r>
            <w:r w:rsidR="00B6182C" w:rsidRPr="007979E1">
              <w:rPr>
                <w:rStyle w:val="FootnoteReference"/>
              </w:rPr>
              <w:footnoteReference w:id="2"/>
            </w:r>
            <w:r w:rsidR="00B53EE1">
              <w:rPr>
                <w:lang w:eastAsia="en-AU"/>
              </w:rPr>
              <w:t xml:space="preserve">  This means that although the impact of bracket creep will be reduced as a result of the Personal Income Tax Plan, taxpayers will continue to experience </w:t>
            </w:r>
            <w:r w:rsidR="0032635F">
              <w:rPr>
                <w:lang w:eastAsia="en-AU"/>
              </w:rPr>
              <w:t xml:space="preserve">higher average tax rates </w:t>
            </w:r>
            <w:r w:rsidR="00B53EE1">
              <w:rPr>
                <w:lang w:eastAsia="en-AU"/>
              </w:rPr>
              <w:t>as their incomes grow over time.</w:t>
            </w:r>
            <w:r w:rsidR="00B6182C">
              <w:rPr>
                <w:lang w:eastAsia="en-AU"/>
              </w:rPr>
              <w:t xml:space="preserve">  Overall, taking into account both the Personal Income Tax Plan and bracket creep, p</w:t>
            </w:r>
            <w:r w:rsidR="00B6182C">
              <w:t xml:space="preserve">ersonal income tax receipts are projected to increase by 1.3 per cent of GDP over the next decade, with the average tax rate across all taxpayers projected to increase from 22.9 to 25.2 per cent.  </w:t>
            </w:r>
          </w:p>
          <w:p w:rsidR="00591A66" w:rsidRDefault="00B83AE2" w:rsidP="00B53EE1">
            <w:pPr>
              <w:pStyle w:val="BodyText"/>
              <w:rPr>
                <w:lang w:eastAsia="en-AU"/>
              </w:rPr>
            </w:pPr>
            <w:r w:rsidRPr="00B83AE2">
              <w:rPr>
                <w:lang w:eastAsia="en-AU"/>
              </w:rPr>
              <w:fldChar w:fldCharType="begin"/>
            </w:r>
            <w:r w:rsidRPr="00B83AE2">
              <w:rPr>
                <w:lang w:eastAsia="en-AU"/>
              </w:rPr>
              <w:instrText xml:space="preserve"> REF _Ref520382086 \h </w:instrText>
            </w:r>
            <w:r>
              <w:rPr>
                <w:lang w:eastAsia="en-AU"/>
              </w:rPr>
              <w:instrText xml:space="preserve"> \* MERGEFORMAT </w:instrText>
            </w:r>
            <w:r w:rsidRPr="00B83AE2">
              <w:rPr>
                <w:lang w:eastAsia="en-AU"/>
              </w:rPr>
            </w:r>
            <w:r w:rsidRPr="00B83AE2">
              <w:rPr>
                <w:lang w:eastAsia="en-AU"/>
              </w:rPr>
              <w:fldChar w:fldCharType="separate"/>
            </w:r>
            <w:r w:rsidR="002828FF" w:rsidRPr="00500EEC">
              <w:t xml:space="preserve">Figure </w:t>
            </w:r>
            <w:r w:rsidR="002828FF">
              <w:rPr>
                <w:noProof/>
              </w:rPr>
              <w:t>3</w:t>
            </w:r>
            <w:r w:rsidR="002828FF" w:rsidRPr="00500EEC">
              <w:t>–</w:t>
            </w:r>
            <w:r w:rsidR="002828FF">
              <w:rPr>
                <w:noProof/>
              </w:rPr>
              <w:t>4</w:t>
            </w:r>
            <w:r w:rsidRPr="00B83AE2">
              <w:rPr>
                <w:lang w:eastAsia="en-AU"/>
              </w:rPr>
              <w:fldChar w:fldCharType="end"/>
            </w:r>
            <w:r w:rsidR="00B53EE1" w:rsidRPr="00B83AE2">
              <w:rPr>
                <w:lang w:eastAsia="en-AU"/>
              </w:rPr>
              <w:t xml:space="preserve"> shows</w:t>
            </w:r>
            <w:r w:rsidR="00B53EE1">
              <w:rPr>
                <w:lang w:eastAsia="en-AU"/>
              </w:rPr>
              <w:t xml:space="preserve"> the projected change in average tax rates by income quintile between </w:t>
            </w:r>
            <w:r w:rsidR="00A33112">
              <w:rPr>
                <w:lang w:eastAsia="en-AU"/>
              </w:rPr>
              <w:br/>
            </w:r>
            <w:r w:rsidR="00B53EE1">
              <w:rPr>
                <w:lang w:eastAsia="en-AU"/>
              </w:rPr>
              <w:t>2017</w:t>
            </w:r>
            <w:r w:rsidR="004012E7">
              <w:rPr>
                <w:lang w:eastAsia="en-AU"/>
              </w:rPr>
              <w:t>-</w:t>
            </w:r>
            <w:r w:rsidR="00B53EE1">
              <w:rPr>
                <w:lang w:eastAsia="en-AU"/>
              </w:rPr>
              <w:t>18 and 2026</w:t>
            </w:r>
            <w:r w:rsidR="004012E7">
              <w:rPr>
                <w:lang w:eastAsia="en-AU"/>
              </w:rPr>
              <w:t>-</w:t>
            </w:r>
            <w:r w:rsidR="00B53EE1">
              <w:rPr>
                <w:lang w:eastAsia="en-AU"/>
              </w:rPr>
              <w:t>27.</w:t>
            </w:r>
            <w:r w:rsidR="009B16B4" w:rsidRPr="007979E1">
              <w:rPr>
                <w:rStyle w:val="FootnoteReference"/>
              </w:rPr>
              <w:footnoteReference w:id="3"/>
            </w:r>
            <w:r w:rsidR="00B53EE1">
              <w:rPr>
                <w:lang w:eastAsia="en-AU"/>
              </w:rPr>
              <w:t xml:space="preserve">  </w:t>
            </w:r>
            <w:r w:rsidR="0069373F">
              <w:rPr>
                <w:lang w:eastAsia="en-AU"/>
              </w:rPr>
              <w:t xml:space="preserve">The change </w:t>
            </w:r>
            <w:r w:rsidR="00FD2C8B">
              <w:rPr>
                <w:lang w:eastAsia="en-AU"/>
              </w:rPr>
              <w:t>has been decomposed into</w:t>
            </w:r>
            <w:r w:rsidR="0069373F">
              <w:rPr>
                <w:lang w:eastAsia="en-AU"/>
              </w:rPr>
              <w:t xml:space="preserve"> two </w:t>
            </w:r>
            <w:r w:rsidR="00591A66">
              <w:rPr>
                <w:lang w:eastAsia="en-AU"/>
              </w:rPr>
              <w:t>effects</w:t>
            </w:r>
            <w:r w:rsidR="0069373F">
              <w:rPr>
                <w:lang w:eastAsia="en-AU"/>
              </w:rPr>
              <w:t xml:space="preserve">: </w:t>
            </w:r>
            <w:r w:rsidR="00FD2C8B">
              <w:rPr>
                <w:lang w:eastAsia="en-AU"/>
              </w:rPr>
              <w:t xml:space="preserve"> the effect</w:t>
            </w:r>
            <w:r w:rsidR="00591A66">
              <w:rPr>
                <w:lang w:eastAsia="en-AU"/>
              </w:rPr>
              <w:t xml:space="preserve"> </w:t>
            </w:r>
            <w:r w:rsidR="0069373F">
              <w:rPr>
                <w:lang w:eastAsia="en-AU"/>
              </w:rPr>
              <w:t xml:space="preserve">of nominal income growth and </w:t>
            </w:r>
            <w:r w:rsidR="00591A66">
              <w:rPr>
                <w:lang w:eastAsia="en-AU"/>
              </w:rPr>
              <w:t>that</w:t>
            </w:r>
            <w:r w:rsidR="0069373F">
              <w:rPr>
                <w:lang w:eastAsia="en-AU"/>
              </w:rPr>
              <w:t xml:space="preserve"> of policy change.  </w:t>
            </w:r>
            <w:r w:rsidR="00A61B1C">
              <w:rPr>
                <w:lang w:eastAsia="en-AU"/>
              </w:rPr>
              <w:t>The n</w:t>
            </w:r>
            <w:r w:rsidR="0069373F">
              <w:rPr>
                <w:lang w:eastAsia="en-AU"/>
              </w:rPr>
              <w:t xml:space="preserve">ominal income growth </w:t>
            </w:r>
            <w:r w:rsidR="00A61B1C">
              <w:rPr>
                <w:lang w:eastAsia="en-AU"/>
              </w:rPr>
              <w:t xml:space="preserve">component </w:t>
            </w:r>
            <w:r w:rsidR="0069373F">
              <w:rPr>
                <w:lang w:eastAsia="en-AU"/>
              </w:rPr>
              <w:t xml:space="preserve">shows </w:t>
            </w:r>
            <w:r w:rsidR="00FD2C8B">
              <w:rPr>
                <w:lang w:eastAsia="en-AU"/>
              </w:rPr>
              <w:t>that</w:t>
            </w:r>
            <w:r w:rsidR="0069373F">
              <w:rPr>
                <w:lang w:eastAsia="en-AU"/>
              </w:rPr>
              <w:t xml:space="preserve"> bracket creep </w:t>
            </w:r>
            <w:r w:rsidR="00A61B1C">
              <w:rPr>
                <w:lang w:eastAsia="en-AU"/>
              </w:rPr>
              <w:t>(</w:t>
            </w:r>
            <w:r w:rsidR="0069373F">
              <w:rPr>
                <w:lang w:eastAsia="en-AU"/>
              </w:rPr>
              <w:t xml:space="preserve">in the absence of </w:t>
            </w:r>
            <w:r w:rsidR="00591A66">
              <w:rPr>
                <w:lang w:eastAsia="en-AU"/>
              </w:rPr>
              <w:t>policy change</w:t>
            </w:r>
            <w:r w:rsidR="00A61B1C">
              <w:rPr>
                <w:lang w:eastAsia="en-AU"/>
              </w:rPr>
              <w:t xml:space="preserve">) increases the average tax rate </w:t>
            </w:r>
            <w:r w:rsidR="00FD2C8B">
              <w:rPr>
                <w:lang w:eastAsia="en-AU"/>
              </w:rPr>
              <w:t>paid at</w:t>
            </w:r>
            <w:r w:rsidR="00A61B1C">
              <w:rPr>
                <w:lang w:eastAsia="en-AU"/>
              </w:rPr>
              <w:t xml:space="preserve"> all income quintiles</w:t>
            </w:r>
            <w:r w:rsidR="0069373F">
              <w:rPr>
                <w:lang w:eastAsia="en-AU"/>
              </w:rPr>
              <w:t xml:space="preserve">.  </w:t>
            </w:r>
            <w:r w:rsidR="00A61B1C">
              <w:rPr>
                <w:lang w:eastAsia="en-AU"/>
              </w:rPr>
              <w:t xml:space="preserve">This increase </w:t>
            </w:r>
            <w:r w:rsidR="00591A66">
              <w:rPr>
                <w:lang w:eastAsia="en-AU"/>
              </w:rPr>
              <w:t xml:space="preserve">is partly offset by the </w:t>
            </w:r>
            <w:r w:rsidR="00A61B1C">
              <w:rPr>
                <w:lang w:eastAsia="en-AU"/>
              </w:rPr>
              <w:t>effect</w:t>
            </w:r>
            <w:r w:rsidR="00591A66">
              <w:rPr>
                <w:lang w:eastAsia="en-AU"/>
              </w:rPr>
              <w:t xml:space="preserve"> of </w:t>
            </w:r>
            <w:r w:rsidR="00A61B1C">
              <w:rPr>
                <w:lang w:eastAsia="en-AU"/>
              </w:rPr>
              <w:t>the</w:t>
            </w:r>
            <w:r w:rsidR="00591A66">
              <w:rPr>
                <w:lang w:eastAsia="en-AU"/>
              </w:rPr>
              <w:t xml:space="preserve"> </w:t>
            </w:r>
            <w:r w:rsidR="00591A66">
              <w:t>income tax cuts legislated in the</w:t>
            </w:r>
            <w:r w:rsidR="00591A66">
              <w:rPr>
                <w:lang w:eastAsia="en-AU"/>
              </w:rPr>
              <w:t xml:space="preserve"> </w:t>
            </w:r>
            <w:r w:rsidR="00591A66" w:rsidRPr="00DB481B">
              <w:rPr>
                <w:lang w:eastAsia="en-AU"/>
              </w:rPr>
              <w:t>Personal Income Tax Plan</w:t>
            </w:r>
            <w:r w:rsidR="00591A66">
              <w:rPr>
                <w:lang w:eastAsia="en-AU"/>
              </w:rPr>
              <w:t xml:space="preserve">.  </w:t>
            </w:r>
            <w:r w:rsidR="00A61B1C">
              <w:rPr>
                <w:lang w:eastAsia="en-AU"/>
              </w:rPr>
              <w:t xml:space="preserve">The net result of these two effects is shown </w:t>
            </w:r>
            <w:r w:rsidR="00FD2C8B">
              <w:rPr>
                <w:lang w:eastAsia="en-AU"/>
              </w:rPr>
              <w:t xml:space="preserve">by the dots </w:t>
            </w:r>
            <w:r w:rsidR="00A61B1C">
              <w:rPr>
                <w:lang w:eastAsia="en-AU"/>
              </w:rPr>
              <w:t xml:space="preserve">in </w:t>
            </w:r>
            <w:r w:rsidR="00A61B1C" w:rsidRPr="00B83AE2">
              <w:rPr>
                <w:lang w:eastAsia="en-AU"/>
              </w:rPr>
              <w:fldChar w:fldCharType="begin"/>
            </w:r>
            <w:r w:rsidR="00A61B1C" w:rsidRPr="00B83AE2">
              <w:rPr>
                <w:lang w:eastAsia="en-AU"/>
              </w:rPr>
              <w:instrText xml:space="preserve"> REF _Ref520382086 \h </w:instrText>
            </w:r>
            <w:r w:rsidR="00A61B1C">
              <w:rPr>
                <w:lang w:eastAsia="en-AU"/>
              </w:rPr>
              <w:instrText xml:space="preserve"> \* MERGEFORMAT </w:instrText>
            </w:r>
            <w:r w:rsidR="00A61B1C" w:rsidRPr="00B83AE2">
              <w:rPr>
                <w:lang w:eastAsia="en-AU"/>
              </w:rPr>
            </w:r>
            <w:r w:rsidR="00A61B1C" w:rsidRPr="00B83AE2">
              <w:rPr>
                <w:lang w:eastAsia="en-AU"/>
              </w:rPr>
              <w:fldChar w:fldCharType="separate"/>
            </w:r>
            <w:r w:rsidR="002828FF" w:rsidRPr="00500EEC">
              <w:t xml:space="preserve">Figure </w:t>
            </w:r>
            <w:r w:rsidR="002828FF">
              <w:rPr>
                <w:noProof/>
              </w:rPr>
              <w:t>3</w:t>
            </w:r>
            <w:r w:rsidR="002828FF" w:rsidRPr="00500EEC">
              <w:t>–</w:t>
            </w:r>
            <w:r w:rsidR="002828FF">
              <w:rPr>
                <w:noProof/>
              </w:rPr>
              <w:t>4</w:t>
            </w:r>
            <w:r w:rsidR="00A61B1C" w:rsidRPr="00B83AE2">
              <w:rPr>
                <w:lang w:eastAsia="en-AU"/>
              </w:rPr>
              <w:fldChar w:fldCharType="end"/>
            </w:r>
            <w:r w:rsidR="00A61B1C">
              <w:rPr>
                <w:lang w:eastAsia="en-AU"/>
              </w:rPr>
              <w:t>.</w:t>
            </w:r>
          </w:p>
          <w:p w:rsidR="00527545" w:rsidRDefault="00DB481B" w:rsidP="00B53EE1">
            <w:pPr>
              <w:pStyle w:val="BodyText"/>
            </w:pPr>
            <w:r>
              <w:rPr>
                <w:lang w:eastAsia="en-AU"/>
              </w:rPr>
              <w:t>A</w:t>
            </w:r>
            <w:r w:rsidR="00591A66">
              <w:t>verage tax rates are projected to increase for all income quintiles over the period</w:t>
            </w:r>
            <w:r w:rsidR="00E4697C">
              <w:t xml:space="preserve"> to 2026</w:t>
            </w:r>
            <w:r w:rsidR="004012E7">
              <w:t>-</w:t>
            </w:r>
            <w:r w:rsidR="00E4697C">
              <w:t>27</w:t>
            </w:r>
            <w:r w:rsidR="00591A66">
              <w:t xml:space="preserve">, </w:t>
            </w:r>
            <w:r w:rsidR="00E4697C">
              <w:t xml:space="preserve">though </w:t>
            </w:r>
            <w:r w:rsidR="00591A66">
              <w:t xml:space="preserve">at a slower rate than </w:t>
            </w:r>
            <w:r w:rsidR="00E4697C">
              <w:t xml:space="preserve">would have occurred </w:t>
            </w:r>
            <w:r w:rsidR="00591A66">
              <w:t xml:space="preserve">without the legislated income tax cuts.  The </w:t>
            </w:r>
            <w:r w:rsidR="00E4697C">
              <w:t xml:space="preserve">second and third quintiles are </w:t>
            </w:r>
            <w:r w:rsidR="00591A66">
              <w:t xml:space="preserve">projected to experience the </w:t>
            </w:r>
            <w:r w:rsidR="00E4697C">
              <w:t>largest</w:t>
            </w:r>
            <w:r w:rsidR="00591A66">
              <w:t xml:space="preserve"> increase</w:t>
            </w:r>
            <w:r w:rsidR="00E4697C">
              <w:t>s</w:t>
            </w:r>
            <w:r w:rsidR="00591A66">
              <w:t xml:space="preserve"> in average tax rates over this period.</w:t>
            </w:r>
            <w:r w:rsidR="00591A66" w:rsidRPr="007979E1">
              <w:rPr>
                <w:rStyle w:val="FootnoteReference"/>
              </w:rPr>
              <w:footnoteReference w:id="4"/>
            </w:r>
          </w:p>
          <w:p w:rsidR="00B53EE1" w:rsidRDefault="00686390" w:rsidP="00F00032">
            <w:pPr>
              <w:pStyle w:val="Caption"/>
              <w:spacing w:before="260"/>
            </w:pPr>
            <w:bookmarkStart w:id="25" w:name="_Ref520382086"/>
            <w:r w:rsidRPr="00500EEC">
              <w:t>F</w:t>
            </w:r>
            <w:r w:rsidR="00B53EE1" w:rsidRPr="00500EEC">
              <w:t xml:space="preserve">igure </w:t>
            </w:r>
            <w:fldSimple w:instr=" STYLEREF 1 \s ">
              <w:r w:rsidR="002828FF">
                <w:rPr>
                  <w:noProof/>
                </w:rPr>
                <w:t>3</w:t>
              </w:r>
            </w:fldSimple>
            <w:r w:rsidR="00B53EE1" w:rsidRPr="00500EEC">
              <w:t>–</w:t>
            </w:r>
            <w:fldSimple w:instr=" SEQ Figure \* ARABIC \s 1 ">
              <w:r w:rsidR="002828FF">
                <w:rPr>
                  <w:noProof/>
                </w:rPr>
                <w:t>4</w:t>
              </w:r>
            </w:fldSimple>
            <w:bookmarkEnd w:id="25"/>
            <w:r w:rsidR="00B53EE1" w:rsidRPr="00500EEC">
              <w:t>: Change in average tax rates from 2017</w:t>
            </w:r>
            <w:r w:rsidR="004012E7">
              <w:t>-</w:t>
            </w:r>
            <w:r w:rsidR="00B53EE1" w:rsidRPr="00500EEC">
              <w:t>18 to 2026</w:t>
            </w:r>
            <w:r w:rsidR="004012E7">
              <w:t>-</w:t>
            </w:r>
            <w:r w:rsidR="00B53EE1" w:rsidRPr="00500EEC">
              <w:t>27 by income quintile</w:t>
            </w:r>
          </w:p>
          <w:p w:rsidR="00B53EE1" w:rsidRDefault="00C97CF1" w:rsidP="00B53EE1">
            <w:pPr>
              <w:pStyle w:val="CaptionDescriptor"/>
            </w:pPr>
            <w:r>
              <w:rPr>
                <w:noProof/>
                <w:lang w:eastAsia="en-AU"/>
              </w:rPr>
              <w:drawing>
                <wp:inline distT="0" distB="0" distL="0" distR="0" wp14:anchorId="2460451B" wp14:editId="1C47ECC2">
                  <wp:extent cx="4366260" cy="315688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76503" cy="3164286"/>
                          </a:xfrm>
                          <a:prstGeom prst="rect">
                            <a:avLst/>
                          </a:prstGeom>
                          <a:noFill/>
                        </pic:spPr>
                      </pic:pic>
                    </a:graphicData>
                  </a:graphic>
                </wp:inline>
              </w:drawing>
            </w:r>
          </w:p>
          <w:p w:rsidR="00B53EE1" w:rsidRPr="00B53EE1" w:rsidRDefault="00B53EE1" w:rsidP="00F00032">
            <w:pPr>
              <w:pStyle w:val="Source"/>
              <w:spacing w:after="60"/>
            </w:pPr>
            <w:r>
              <w:rPr>
                <w:noProof/>
                <w:lang w:eastAsia="en-AU"/>
              </w:rPr>
              <w:t>Source</w:t>
            </w:r>
            <w:r w:rsidRPr="00B53EE1">
              <w:rPr>
                <w:noProof/>
                <w:lang w:eastAsia="en-AU"/>
              </w:rPr>
              <w:t>: PBO analysis, ATO data and parameters underlying the 2018</w:t>
            </w:r>
            <w:r w:rsidR="004012E7">
              <w:rPr>
                <w:noProof/>
                <w:lang w:eastAsia="en-AU"/>
              </w:rPr>
              <w:t>-</w:t>
            </w:r>
            <w:r w:rsidRPr="00B53EE1">
              <w:rPr>
                <w:noProof/>
                <w:lang w:eastAsia="en-AU"/>
              </w:rPr>
              <w:t>19 Budget.</w:t>
            </w:r>
          </w:p>
        </w:tc>
      </w:tr>
    </w:tbl>
    <w:p w:rsidR="00051600" w:rsidRDefault="00051600" w:rsidP="00F00032">
      <w:pPr>
        <w:pStyle w:val="Heading2"/>
        <w:spacing w:before="280"/>
      </w:pPr>
      <w:bookmarkStart w:id="26" w:name="_Toc523757310"/>
      <w:bookmarkStart w:id="27" w:name="_Toc523758525"/>
      <w:r>
        <w:t>Company tax receipts</w:t>
      </w:r>
      <w:bookmarkEnd w:id="26"/>
      <w:bookmarkEnd w:id="27"/>
    </w:p>
    <w:p w:rsidR="00B83AE2" w:rsidRDefault="00B83AE2" w:rsidP="00F00032">
      <w:pPr>
        <w:pStyle w:val="BodyText"/>
        <w:spacing w:before="100" w:line="290" w:lineRule="atLeast"/>
      </w:pPr>
      <w:r>
        <w:t>Company tax receipts are projected to increase from 4.6 per cent of GDP in 2017</w:t>
      </w:r>
      <w:r w:rsidR="004012E7">
        <w:t>-</w:t>
      </w:r>
      <w:r>
        <w:t>18 to 4.7 per cent of GDP in 2022</w:t>
      </w:r>
      <w:r w:rsidR="004012E7">
        <w:t>-</w:t>
      </w:r>
      <w:r>
        <w:t>23, largely driven by forecast growth in corporate profitability</w:t>
      </w:r>
      <w:r w:rsidR="00C320F0">
        <w:t xml:space="preserve"> as depreciation and losses carried forward from resources investment decline over time</w:t>
      </w:r>
      <w:r>
        <w:t>.  Company tax receipts are then projected to decline as a share of GDP from 2023</w:t>
      </w:r>
      <w:r w:rsidR="004012E7">
        <w:t>-</w:t>
      </w:r>
      <w:r>
        <w:t>24 onwards</w:t>
      </w:r>
      <w:r w:rsidR="00B62C09">
        <w:t xml:space="preserve"> to 4.3 per cent of GDP in 2028-29</w:t>
      </w:r>
      <w:r>
        <w:t xml:space="preserve">, due to the </w:t>
      </w:r>
      <w:r w:rsidR="00B62C09">
        <w:t xml:space="preserve">policy of further reductions in the company tax rate that applied at the 2018-19 Budget.  The decision to not proceed with further reductions will see company tax as a share of GDP </w:t>
      </w:r>
      <w:r w:rsidR="001C1518">
        <w:t xml:space="preserve">rise slightly </w:t>
      </w:r>
      <w:r w:rsidR="00B62C09">
        <w:t>over the medium term (see Box 2).</w:t>
      </w:r>
      <w:r w:rsidR="00221E82">
        <w:rPr>
          <w:rStyle w:val="FootnoteReference"/>
        </w:rPr>
        <w:footnoteReference w:id="5"/>
      </w:r>
    </w:p>
    <w:tbl>
      <w:tblPr>
        <w:tblStyle w:val="BoxPlaceholder"/>
        <w:tblW w:w="8789" w:type="dxa"/>
        <w:tblLayout w:type="fixed"/>
        <w:tblLook w:val="04A0" w:firstRow="1" w:lastRow="0" w:firstColumn="1" w:lastColumn="0" w:noHBand="0" w:noVBand="1"/>
      </w:tblPr>
      <w:tblGrid>
        <w:gridCol w:w="8789"/>
      </w:tblGrid>
      <w:tr w:rsidR="00326E61" w:rsidTr="001C2B0F">
        <w:tc>
          <w:tcPr>
            <w:tcW w:w="8789" w:type="dxa"/>
          </w:tcPr>
          <w:p w:rsidR="00326E61" w:rsidRPr="00A45FA0" w:rsidRDefault="00326E61" w:rsidP="00326E61">
            <w:pPr>
              <w:pStyle w:val="CaptionLeft"/>
              <w:rPr>
                <w:sz w:val="28"/>
                <w:szCs w:val="28"/>
              </w:rPr>
            </w:pPr>
            <w:r w:rsidRPr="00A45FA0">
              <w:rPr>
                <w:sz w:val="28"/>
                <w:szCs w:val="28"/>
              </w:rPr>
              <w:t xml:space="preserve">Box </w:t>
            </w:r>
            <w:r w:rsidRPr="00A45FA0">
              <w:rPr>
                <w:sz w:val="28"/>
                <w:szCs w:val="28"/>
              </w:rPr>
              <w:fldChar w:fldCharType="begin"/>
            </w:r>
            <w:r w:rsidRPr="00A45FA0">
              <w:rPr>
                <w:sz w:val="28"/>
                <w:szCs w:val="28"/>
              </w:rPr>
              <w:instrText xml:space="preserve"> SEQ Box \* ARABIC </w:instrText>
            </w:r>
            <w:r w:rsidRPr="00A45FA0">
              <w:rPr>
                <w:sz w:val="28"/>
                <w:szCs w:val="28"/>
              </w:rPr>
              <w:fldChar w:fldCharType="separate"/>
            </w:r>
            <w:r w:rsidR="002828FF">
              <w:rPr>
                <w:noProof/>
                <w:sz w:val="28"/>
                <w:szCs w:val="28"/>
              </w:rPr>
              <w:t>2</w:t>
            </w:r>
            <w:r w:rsidRPr="00A45FA0">
              <w:rPr>
                <w:noProof/>
                <w:sz w:val="28"/>
                <w:szCs w:val="28"/>
              </w:rPr>
              <w:fldChar w:fldCharType="end"/>
            </w:r>
            <w:r w:rsidRPr="00A45FA0">
              <w:rPr>
                <w:sz w:val="28"/>
                <w:szCs w:val="28"/>
              </w:rPr>
              <w:t xml:space="preserve">: </w:t>
            </w:r>
            <w:r w:rsidR="00B9413E">
              <w:rPr>
                <w:sz w:val="28"/>
                <w:szCs w:val="28"/>
              </w:rPr>
              <w:t xml:space="preserve">Impact </w:t>
            </w:r>
            <w:r w:rsidR="00490AF1">
              <w:rPr>
                <w:sz w:val="28"/>
                <w:szCs w:val="28"/>
              </w:rPr>
              <w:t xml:space="preserve">of not proceeding with </w:t>
            </w:r>
            <w:r w:rsidRPr="00A45FA0">
              <w:rPr>
                <w:sz w:val="28"/>
                <w:szCs w:val="28"/>
              </w:rPr>
              <w:t>unlegislated company tax cuts</w:t>
            </w:r>
          </w:p>
          <w:p w:rsidR="005D52B9" w:rsidRDefault="00490AF1" w:rsidP="00F00032">
            <w:pPr>
              <w:pStyle w:val="BodyText"/>
              <w:spacing w:before="100"/>
            </w:pPr>
            <w:r>
              <w:t xml:space="preserve">The </w:t>
            </w:r>
            <w:r w:rsidR="000678B2">
              <w:t xml:space="preserve">recent </w:t>
            </w:r>
            <w:r>
              <w:t xml:space="preserve">decision not </w:t>
            </w:r>
            <w:r w:rsidR="005D52B9">
              <w:t xml:space="preserve">to </w:t>
            </w:r>
            <w:proofErr w:type="gramStart"/>
            <w:r>
              <w:t>proceed</w:t>
            </w:r>
            <w:proofErr w:type="gramEnd"/>
            <w:r>
              <w:t xml:space="preserve"> with the unlegislated company tax </w:t>
            </w:r>
            <w:r w:rsidR="00FE5C52">
              <w:t>cuts</w:t>
            </w:r>
            <w:r w:rsidR="00B9413E">
              <w:t xml:space="preserve">, in the absence of any other changes in tax policy, </w:t>
            </w:r>
            <w:r w:rsidR="000A05EE">
              <w:t>will increase total rece</w:t>
            </w:r>
            <w:r w:rsidR="000678B2">
              <w:t>i</w:t>
            </w:r>
            <w:r w:rsidR="000A05EE">
              <w:t xml:space="preserve">pts and the UCB over the period </w:t>
            </w:r>
            <w:r w:rsidR="00D65692">
              <w:t>2018</w:t>
            </w:r>
            <w:r w:rsidR="00932D3A">
              <w:noBreakHyphen/>
            </w:r>
            <w:r w:rsidR="00D65692">
              <w:t xml:space="preserve">19 </w:t>
            </w:r>
            <w:r w:rsidR="000A05EE">
              <w:t>to 20</w:t>
            </w:r>
            <w:r w:rsidR="000678B2">
              <w:t>26</w:t>
            </w:r>
            <w:r w:rsidR="004012E7">
              <w:rPr>
                <w:noProof/>
                <w:lang w:eastAsia="en-AU"/>
              </w:rPr>
              <w:t>-</w:t>
            </w:r>
            <w:r w:rsidR="00361E1A">
              <w:t>27</w:t>
            </w:r>
            <w:r w:rsidR="000678B2">
              <w:t xml:space="preserve">.  </w:t>
            </w:r>
          </w:p>
          <w:p w:rsidR="00326E61" w:rsidRDefault="005D52B9" w:rsidP="00F00032">
            <w:pPr>
              <w:pStyle w:val="BodyText"/>
              <w:spacing w:before="100"/>
            </w:pPr>
            <w:r>
              <w:t xml:space="preserve">With this </w:t>
            </w:r>
            <w:r w:rsidRPr="00B044F6">
              <w:t>decision, tax receipts are projected to reach the Government’s tax-to-GDP cap of 23.9 per cent of GDP in 2023</w:t>
            </w:r>
            <w:r w:rsidRPr="00B044F6">
              <w:rPr>
                <w:noProof/>
                <w:lang w:eastAsia="en-AU"/>
              </w:rPr>
              <w:t>-</w:t>
            </w:r>
            <w:r w:rsidRPr="00B044F6">
              <w:t>24 and to be well above levels implied by the tax cap towards the end of the decade</w:t>
            </w:r>
            <w:r w:rsidR="002B022C" w:rsidRPr="00B044F6">
              <w:t xml:space="preserve"> (</w:t>
            </w:r>
            <w:r w:rsidR="002B022C" w:rsidRPr="00B044F6">
              <w:fldChar w:fldCharType="begin"/>
            </w:r>
            <w:r w:rsidR="002B022C" w:rsidRPr="00B044F6">
              <w:instrText xml:space="preserve"> REF _Ref523396783 \h </w:instrText>
            </w:r>
            <w:r w:rsidR="00B044F6">
              <w:instrText xml:space="preserve"> \* MERGEFORMAT </w:instrText>
            </w:r>
            <w:r w:rsidR="002B022C" w:rsidRPr="00B044F6">
              <w:fldChar w:fldCharType="separate"/>
            </w:r>
            <w:r w:rsidR="002828FF" w:rsidRPr="00533E24">
              <w:t xml:space="preserve">Figure </w:t>
            </w:r>
            <w:r w:rsidR="002828FF">
              <w:rPr>
                <w:noProof/>
              </w:rPr>
              <w:t>3</w:t>
            </w:r>
            <w:r w:rsidR="002828FF" w:rsidRPr="00533E24">
              <w:t>–</w:t>
            </w:r>
            <w:r w:rsidR="002828FF">
              <w:rPr>
                <w:noProof/>
              </w:rPr>
              <w:t>5</w:t>
            </w:r>
            <w:r w:rsidR="002B022C" w:rsidRPr="00B044F6">
              <w:fldChar w:fldCharType="end"/>
            </w:r>
            <w:r w:rsidR="002B022C" w:rsidRPr="00B044F6">
              <w:t>)</w:t>
            </w:r>
            <w:r w:rsidRPr="00B044F6">
              <w:t>.  These stronger projections could provide a more significant buffer against weaker economic circumstances, were they to eventuate, unless alternative measures are announced.</w:t>
            </w:r>
          </w:p>
          <w:p w:rsidR="00910FE3" w:rsidRDefault="00B9413E" w:rsidP="00932D3A">
            <w:pPr>
              <w:pStyle w:val="Caption"/>
            </w:pPr>
            <w:bookmarkStart w:id="29" w:name="_Ref523396783"/>
            <w:r w:rsidRPr="00533E24">
              <w:t xml:space="preserve">Figure </w:t>
            </w:r>
            <w:r w:rsidRPr="00533E24">
              <w:fldChar w:fldCharType="begin"/>
            </w:r>
            <w:r w:rsidRPr="00932D3A">
              <w:instrText xml:space="preserve"> STYLEREF 1 \s </w:instrText>
            </w:r>
            <w:r w:rsidRPr="00533E24">
              <w:fldChar w:fldCharType="separate"/>
            </w:r>
            <w:r w:rsidR="002828FF">
              <w:rPr>
                <w:noProof/>
              </w:rPr>
              <w:t>3</w:t>
            </w:r>
            <w:r w:rsidRPr="00533E24">
              <w:fldChar w:fldCharType="end"/>
            </w:r>
            <w:r w:rsidRPr="00533E24">
              <w:t>–</w:t>
            </w:r>
            <w:r w:rsidRPr="00415292">
              <w:fldChar w:fldCharType="begin"/>
            </w:r>
            <w:r w:rsidRPr="00932D3A">
              <w:instrText xml:space="preserve"> SEQ Figure \* ARABIC \s 1 </w:instrText>
            </w:r>
            <w:r w:rsidRPr="00415292">
              <w:fldChar w:fldCharType="separate"/>
            </w:r>
            <w:r w:rsidR="002828FF">
              <w:rPr>
                <w:noProof/>
              </w:rPr>
              <w:t>5</w:t>
            </w:r>
            <w:r w:rsidRPr="00415292">
              <w:fldChar w:fldCharType="end"/>
            </w:r>
            <w:bookmarkEnd w:id="29"/>
            <w:r w:rsidRPr="00415292">
              <w:t xml:space="preserve">: </w:t>
            </w:r>
            <w:r w:rsidR="001F114F">
              <w:t>T</w:t>
            </w:r>
            <w:r w:rsidRPr="00CF1FAB">
              <w:t>otal receipts</w:t>
            </w:r>
          </w:p>
          <w:p w:rsidR="00910FE3" w:rsidRDefault="001928D3" w:rsidP="00EB5D54">
            <w:pPr>
              <w:pStyle w:val="BodyText"/>
              <w:jc w:val="center"/>
            </w:pPr>
            <w:r>
              <w:rPr>
                <w:noProof/>
                <w:lang w:eastAsia="en-AU"/>
              </w:rPr>
              <w:drawing>
                <wp:inline distT="0" distB="0" distL="0" distR="0" wp14:anchorId="6F933E82">
                  <wp:extent cx="4733925" cy="2682519"/>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45724" cy="2689205"/>
                          </a:xfrm>
                          <a:prstGeom prst="rect">
                            <a:avLst/>
                          </a:prstGeom>
                          <a:noFill/>
                        </pic:spPr>
                      </pic:pic>
                    </a:graphicData>
                  </a:graphic>
                </wp:inline>
              </w:drawing>
            </w:r>
          </w:p>
          <w:p w:rsidR="00910FE3" w:rsidRDefault="00910FE3" w:rsidP="009D6FBE">
            <w:pPr>
              <w:pStyle w:val="Source"/>
              <w:spacing w:after="120"/>
              <w:rPr>
                <w:noProof/>
                <w:lang w:eastAsia="en-AU"/>
              </w:rPr>
            </w:pPr>
            <w:r>
              <w:rPr>
                <w:noProof/>
                <w:lang w:eastAsia="en-AU"/>
              </w:rPr>
              <w:t xml:space="preserve">Source: </w:t>
            </w:r>
            <w:r w:rsidR="00361E1A">
              <w:rPr>
                <w:noProof/>
                <w:lang w:eastAsia="en-AU"/>
              </w:rPr>
              <w:t xml:space="preserve">2018-19 Budget and </w:t>
            </w:r>
            <w:r>
              <w:rPr>
                <w:noProof/>
                <w:lang w:eastAsia="en-AU"/>
              </w:rPr>
              <w:t xml:space="preserve">PBO </w:t>
            </w:r>
            <w:r w:rsidR="00361E1A">
              <w:rPr>
                <w:noProof/>
                <w:lang w:eastAsia="en-AU"/>
              </w:rPr>
              <w:t>analysis</w:t>
            </w:r>
          </w:p>
          <w:p w:rsidR="001C1518" w:rsidRDefault="00743FBF" w:rsidP="00F00032">
            <w:pPr>
              <w:pStyle w:val="BodyText"/>
              <w:spacing w:before="100"/>
            </w:pPr>
            <w:r w:rsidRPr="00415292">
              <w:t xml:space="preserve">The company tax rate reductions under the Enterprise Tax Plan, if fully implemented, </w:t>
            </w:r>
            <w:r w:rsidR="001F114F" w:rsidRPr="00415292">
              <w:t>had been</w:t>
            </w:r>
            <w:r w:rsidRPr="00415292">
              <w:t xml:space="preserve"> projected to result in company tax receipts as a share of GDP falling over the medium term.  With the unlegislated company tax </w:t>
            </w:r>
            <w:r w:rsidR="00EF3D79">
              <w:t>cuts</w:t>
            </w:r>
            <w:r w:rsidRPr="00415292">
              <w:t xml:space="preserve"> no longer proceeding, company tax receipts are projected to rise over the medium term </w:t>
            </w:r>
            <w:r w:rsidR="00C320F0" w:rsidRPr="00415292">
              <w:t xml:space="preserve">with increased corporate profitability </w:t>
            </w:r>
            <w:r w:rsidRPr="00415292">
              <w:t>(Figure</w:t>
            </w:r>
            <w:r w:rsidR="002370A3" w:rsidRPr="00415292">
              <w:t xml:space="preserve"> 3–6).</w:t>
            </w:r>
          </w:p>
          <w:p w:rsidR="00910FE3" w:rsidRDefault="00BC152E" w:rsidP="00F00032">
            <w:pPr>
              <w:pStyle w:val="BodyText"/>
              <w:spacing w:before="80"/>
              <w:jc w:val="center"/>
            </w:pPr>
            <w:r>
              <w:rPr>
                <w:rFonts w:cstheme="minorBidi"/>
                <w:b/>
                <w:bCs/>
                <w:color w:val="3D4D7D" w:themeColor="background2"/>
              </w:rPr>
              <w:t xml:space="preserve">Figure </w:t>
            </w:r>
            <w:r w:rsidR="00743FBF">
              <w:rPr>
                <w:rFonts w:cstheme="minorBidi"/>
                <w:b/>
                <w:bCs/>
                <w:color w:val="3D4D7D" w:themeColor="background2"/>
              </w:rPr>
              <w:t>3</w:t>
            </w:r>
            <w:r w:rsidR="00743FBF" w:rsidRPr="009D6FBE">
              <w:rPr>
                <w:rFonts w:cstheme="minorBidi"/>
                <w:b/>
                <w:bCs/>
                <w:color w:val="3D4D7D" w:themeColor="background2"/>
              </w:rPr>
              <w:t>–</w:t>
            </w:r>
            <w:r w:rsidR="002370A3" w:rsidRPr="009D6FBE">
              <w:rPr>
                <w:rFonts w:cstheme="minorBidi"/>
                <w:b/>
                <w:bCs/>
                <w:color w:val="3D4D7D" w:themeColor="background2"/>
              </w:rPr>
              <w:t>6</w:t>
            </w:r>
            <w:r>
              <w:rPr>
                <w:rFonts w:cstheme="minorBidi"/>
                <w:b/>
                <w:bCs/>
                <w:color w:val="3D4D7D" w:themeColor="background2"/>
              </w:rPr>
              <w:t xml:space="preserve">: </w:t>
            </w:r>
            <w:r w:rsidR="001F114F">
              <w:rPr>
                <w:rFonts w:cstheme="minorBidi"/>
                <w:b/>
                <w:bCs/>
                <w:color w:val="3D4D7D" w:themeColor="background2"/>
              </w:rPr>
              <w:t>C</w:t>
            </w:r>
            <w:r w:rsidR="002370A3">
              <w:rPr>
                <w:rFonts w:cstheme="minorBidi"/>
                <w:b/>
                <w:bCs/>
                <w:color w:val="3D4D7D" w:themeColor="background2"/>
              </w:rPr>
              <w:t xml:space="preserve">ompany tax receipts </w:t>
            </w:r>
          </w:p>
          <w:p w:rsidR="00BC152E" w:rsidRDefault="00C76B91" w:rsidP="00C76B91">
            <w:pPr>
              <w:pStyle w:val="BodyText"/>
              <w:jc w:val="center"/>
            </w:pPr>
            <w:r>
              <w:rPr>
                <w:noProof/>
                <w:lang w:eastAsia="en-AU"/>
              </w:rPr>
              <w:drawing>
                <wp:inline distT="0" distB="0" distL="0" distR="0" wp14:anchorId="1C8E0EB2" wp14:editId="10D69011">
                  <wp:extent cx="4975479" cy="2819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7522" cy="2826224"/>
                          </a:xfrm>
                          <a:prstGeom prst="rect">
                            <a:avLst/>
                          </a:prstGeom>
                          <a:noFill/>
                        </pic:spPr>
                      </pic:pic>
                    </a:graphicData>
                  </a:graphic>
                </wp:inline>
              </w:drawing>
            </w:r>
          </w:p>
          <w:p w:rsidR="00935AF1" w:rsidRPr="00233BE7" w:rsidRDefault="00BC152E" w:rsidP="00EB5D54">
            <w:pPr>
              <w:pStyle w:val="Source"/>
              <w:spacing w:after="120"/>
            </w:pPr>
            <w:r>
              <w:rPr>
                <w:noProof/>
                <w:lang w:eastAsia="en-AU"/>
              </w:rPr>
              <w:t xml:space="preserve">Source: </w:t>
            </w:r>
            <w:r w:rsidR="00361E1A" w:rsidRPr="00361E1A">
              <w:rPr>
                <w:noProof/>
                <w:lang w:eastAsia="en-AU"/>
              </w:rPr>
              <w:t>2018-19 Budget and PBO analysis</w:t>
            </w:r>
          </w:p>
        </w:tc>
      </w:tr>
    </w:tbl>
    <w:p w:rsidR="00D02956" w:rsidRDefault="00D02956" w:rsidP="00527545">
      <w:pPr>
        <w:pStyle w:val="Heading2"/>
      </w:pPr>
      <w:bookmarkStart w:id="30" w:name="_Toc523757311"/>
      <w:bookmarkStart w:id="31" w:name="_Toc523758526"/>
      <w:r>
        <w:t>Superannuation fund tax receipts</w:t>
      </w:r>
      <w:bookmarkEnd w:id="30"/>
      <w:bookmarkEnd w:id="31"/>
    </w:p>
    <w:p w:rsidR="00B83AE2" w:rsidRDefault="00B83AE2" w:rsidP="00B83AE2">
      <w:pPr>
        <w:pStyle w:val="BodyText"/>
      </w:pPr>
      <w:r>
        <w:t>Superannuation fund tax</w:t>
      </w:r>
      <w:r w:rsidR="00F50A9D">
        <w:t xml:space="preserve"> receipts </w:t>
      </w:r>
      <w:r>
        <w:t>are projected to increase by 0.1 per cent of GDP over the period from 2017</w:t>
      </w:r>
      <w:r w:rsidR="004012E7">
        <w:t>-</w:t>
      </w:r>
      <w:r>
        <w:t>18 to 2028</w:t>
      </w:r>
      <w:r w:rsidR="004012E7">
        <w:t>-</w:t>
      </w:r>
      <w:r>
        <w:t>29</w:t>
      </w:r>
      <w:r w:rsidR="0032635F">
        <w:t xml:space="preserve">.  </w:t>
      </w:r>
      <w:r w:rsidR="00EF02F5">
        <w:t>G</w:t>
      </w:r>
      <w:r>
        <w:t>rowth in superannuation fund tax</w:t>
      </w:r>
      <w:r w:rsidR="006C0D69">
        <w:t xml:space="preserve"> receipts </w:t>
      </w:r>
      <w:r>
        <w:t>in 2017</w:t>
      </w:r>
      <w:r w:rsidR="004012E7">
        <w:t>-</w:t>
      </w:r>
      <w:r>
        <w:t>18 w</w:t>
      </w:r>
      <w:r w:rsidR="00F50A9D">
        <w:t>as</w:t>
      </w:r>
      <w:r>
        <w:t xml:space="preserve"> very strong, partly reflecting one-off increases due to strong net foreign exchange gains for </w:t>
      </w:r>
      <w:r w:rsidR="009B16B4">
        <w:t>superannuation funds in 2016</w:t>
      </w:r>
      <w:r w:rsidR="004012E7">
        <w:t>-</w:t>
      </w:r>
      <w:r w:rsidR="009B16B4">
        <w:t>17</w:t>
      </w:r>
      <w:r w:rsidR="00F50A9D">
        <w:t>.</w:t>
      </w:r>
      <w:r w:rsidR="009B16B4" w:rsidRPr="007979E1">
        <w:rPr>
          <w:rStyle w:val="FootnoteReference"/>
        </w:rPr>
        <w:footnoteReference w:id="6"/>
      </w:r>
      <w:r>
        <w:t xml:space="preserve">  The growth in superannuation fund tax</w:t>
      </w:r>
      <w:r w:rsidR="00DC32C3">
        <w:t xml:space="preserve"> receipts </w:t>
      </w:r>
      <w:r>
        <w:t xml:space="preserve">over the remainder of the next decade is the result of the projected increase in taxes </w:t>
      </w:r>
      <w:r w:rsidR="001F114F">
        <w:t xml:space="preserve">on realised </w:t>
      </w:r>
      <w:r>
        <w:t>capital gains and the increase in superannuation contributions resulting from the rise in the compulsory superannuation guarantee from 1 July 2021.</w:t>
      </w:r>
    </w:p>
    <w:p w:rsidR="00D02956" w:rsidRDefault="00D02956" w:rsidP="00527545">
      <w:pPr>
        <w:pStyle w:val="Heading2"/>
      </w:pPr>
      <w:bookmarkStart w:id="32" w:name="_Toc523757312"/>
      <w:bookmarkStart w:id="33" w:name="_Toc523758527"/>
      <w:r>
        <w:t>Other receipts</w:t>
      </w:r>
      <w:bookmarkEnd w:id="32"/>
      <w:bookmarkEnd w:id="33"/>
    </w:p>
    <w:p w:rsidR="00B53EE1" w:rsidRDefault="00610E05" w:rsidP="005E452A">
      <w:pPr>
        <w:pStyle w:val="BodyText"/>
        <w:keepNext/>
      </w:pPr>
      <w:r>
        <w:fldChar w:fldCharType="begin"/>
      </w:r>
      <w:r>
        <w:instrText xml:space="preserve"> REF _Ref520382636 \h </w:instrText>
      </w:r>
      <w:r>
        <w:fldChar w:fldCharType="separate"/>
      </w:r>
      <w:r w:rsidR="002828FF" w:rsidRPr="00B84BD3">
        <w:t xml:space="preserve">Table </w:t>
      </w:r>
      <w:r w:rsidR="002828FF">
        <w:rPr>
          <w:noProof/>
        </w:rPr>
        <w:t>3</w:t>
      </w:r>
      <w:r w:rsidR="002828FF" w:rsidRPr="00B84BD3">
        <w:t>–</w:t>
      </w:r>
      <w:r w:rsidR="002828FF">
        <w:rPr>
          <w:noProof/>
        </w:rPr>
        <w:t>1</w:t>
      </w:r>
      <w:r>
        <w:fldChar w:fldCharType="end"/>
      </w:r>
      <w:r w:rsidR="00B83AE2">
        <w:t xml:space="preserve"> shows our projections of the change in receipts by </w:t>
      </w:r>
      <w:r w:rsidR="008368A3">
        <w:t xml:space="preserve">each major category </w:t>
      </w:r>
      <w:r w:rsidR="00B83AE2">
        <w:t>over the period 2017</w:t>
      </w:r>
      <w:r w:rsidR="004012E7">
        <w:t>-</w:t>
      </w:r>
      <w:r w:rsidR="00B83AE2">
        <w:t>18 to 2028</w:t>
      </w:r>
      <w:r w:rsidR="004012E7">
        <w:t>-</w:t>
      </w:r>
      <w:r w:rsidR="00B83AE2">
        <w:t xml:space="preserve">29 and their projected contribution to growth in total receipts.  </w:t>
      </w:r>
      <w:r w:rsidR="008368A3">
        <w:t xml:space="preserve">It shows that, based on the Government’s economic parameters, </w:t>
      </w:r>
      <w:r w:rsidR="000E1E2B">
        <w:t>there is expected to be a small increase in the Goods and Services Tax (GST) as a percentage of GDP, but little change in other rece</w:t>
      </w:r>
      <w:r w:rsidR="00EF02F5">
        <w:t>i</w:t>
      </w:r>
      <w:r w:rsidR="000E1E2B">
        <w:t>pts, other than those already discussed above.</w:t>
      </w:r>
    </w:p>
    <w:p w:rsidR="001C468F" w:rsidRDefault="001C468F">
      <w:pPr>
        <w:rPr>
          <w:rFonts w:cs="Times New Roman"/>
        </w:rPr>
      </w:pPr>
    </w:p>
    <w:p w:rsidR="005E452A" w:rsidRPr="00B84BD3" w:rsidRDefault="005E452A" w:rsidP="00B84BD3">
      <w:pPr>
        <w:pStyle w:val="Caption"/>
      </w:pPr>
      <w:bookmarkStart w:id="34" w:name="_Ref520382636"/>
      <w:r w:rsidRPr="00B84BD3">
        <w:t xml:space="preserve">Table </w:t>
      </w:r>
      <w:fldSimple w:instr=" STYLEREF 1 \s ">
        <w:r w:rsidR="002828FF">
          <w:rPr>
            <w:noProof/>
          </w:rPr>
          <w:t>3</w:t>
        </w:r>
      </w:fldSimple>
      <w:r w:rsidRPr="00B84BD3">
        <w:t>–</w:t>
      </w:r>
      <w:fldSimple w:instr=" SEQ Table \* ARABIC \s 1 ">
        <w:r w:rsidR="002828FF">
          <w:rPr>
            <w:noProof/>
          </w:rPr>
          <w:t>1</w:t>
        </w:r>
      </w:fldSimple>
      <w:bookmarkEnd w:id="34"/>
      <w:r w:rsidRPr="00B84BD3">
        <w:t>: Receipts, tax cap applied from 2027</w:t>
      </w:r>
      <w:r w:rsidR="004012E7">
        <w:t>-</w:t>
      </w:r>
      <w:r w:rsidRPr="00B84BD3">
        <w:t>28</w:t>
      </w:r>
    </w:p>
    <w:tbl>
      <w:tblPr>
        <w:tblStyle w:val="TableGridDarkHeader"/>
        <w:tblW w:w="8992" w:type="dxa"/>
        <w:tblCellMar>
          <w:top w:w="17" w:type="dxa"/>
          <w:bottom w:w="17" w:type="dxa"/>
        </w:tblCellMar>
        <w:tblLook w:val="04A0" w:firstRow="1" w:lastRow="0" w:firstColumn="1" w:lastColumn="0" w:noHBand="0" w:noVBand="1"/>
      </w:tblPr>
      <w:tblGrid>
        <w:gridCol w:w="2219"/>
        <w:gridCol w:w="847"/>
        <w:gridCol w:w="847"/>
        <w:gridCol w:w="847"/>
        <w:gridCol w:w="847"/>
        <w:gridCol w:w="1281"/>
        <w:gridCol w:w="1052"/>
        <w:gridCol w:w="1052"/>
      </w:tblGrid>
      <w:tr w:rsidR="00B84BD3" w:rsidTr="009D04E4">
        <w:trPr>
          <w:cnfStyle w:val="100000000000" w:firstRow="1" w:lastRow="0" w:firstColumn="0" w:lastColumn="0" w:oddVBand="0" w:evenVBand="0" w:oddHBand="0" w:evenHBand="0" w:firstRowFirstColumn="0" w:firstRowLastColumn="0" w:lastRowFirstColumn="0" w:lastRowLastColumn="0"/>
          <w:trHeight w:val="576"/>
        </w:trPr>
        <w:tc>
          <w:tcPr>
            <w:tcW w:w="2219" w:type="dxa"/>
            <w:vMerge w:val="restart"/>
            <w:tcBorders>
              <w:bottom w:val="single" w:sz="4" w:space="0" w:color="FFFFFF" w:themeColor="background1"/>
              <w:right w:val="single" w:sz="4" w:space="0" w:color="FFFFFF" w:themeColor="background1"/>
            </w:tcBorders>
            <w:vAlign w:val="center"/>
            <w:hideMark/>
          </w:tcPr>
          <w:p w:rsidR="00B84BD3" w:rsidRDefault="00B84BD3" w:rsidP="00347EE8">
            <w:pPr>
              <w:pStyle w:val="TableHeading"/>
              <w:jc w:val="center"/>
            </w:pPr>
            <w:r>
              <w:t>Receipts</w:t>
            </w:r>
          </w:p>
        </w:tc>
        <w:tc>
          <w:tcPr>
            <w:tcW w:w="1694"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rsidR="00B84BD3" w:rsidRDefault="00B84BD3" w:rsidP="00347EE8">
            <w:pPr>
              <w:pStyle w:val="TableHeading"/>
              <w:jc w:val="center"/>
            </w:pPr>
            <w:r>
              <w:t>Nominal receipts</w:t>
            </w:r>
          </w:p>
        </w:tc>
        <w:tc>
          <w:tcPr>
            <w:tcW w:w="1694"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rsidR="00B84BD3" w:rsidRDefault="00B84BD3" w:rsidP="00347EE8">
            <w:pPr>
              <w:pStyle w:val="TableHeading"/>
              <w:jc w:val="center"/>
            </w:pPr>
            <w:r>
              <w:t>Per cent of GDP</w:t>
            </w:r>
          </w:p>
        </w:tc>
        <w:tc>
          <w:tcPr>
            <w:tcW w:w="1281" w:type="dxa"/>
            <w:tcBorders>
              <w:left w:val="single" w:sz="4" w:space="0" w:color="FFFFFF" w:themeColor="background1"/>
              <w:bottom w:val="single" w:sz="4" w:space="0" w:color="FFFFFF" w:themeColor="background1"/>
              <w:right w:val="single" w:sz="4" w:space="0" w:color="FFFFFF" w:themeColor="background1"/>
            </w:tcBorders>
            <w:hideMark/>
          </w:tcPr>
          <w:p w:rsidR="00B84BD3" w:rsidRDefault="00B84BD3" w:rsidP="00347EE8">
            <w:pPr>
              <w:pStyle w:val="TableHeading"/>
              <w:jc w:val="center"/>
            </w:pPr>
            <w:r>
              <w:t>Change in per cent of GDP</w:t>
            </w:r>
          </w:p>
        </w:tc>
        <w:tc>
          <w:tcPr>
            <w:tcW w:w="1052" w:type="dxa"/>
            <w:tcBorders>
              <w:left w:val="single" w:sz="4" w:space="0" w:color="FFFFFF" w:themeColor="background1"/>
              <w:bottom w:val="single" w:sz="4" w:space="0" w:color="FFFFFF" w:themeColor="background1"/>
              <w:right w:val="single" w:sz="4" w:space="0" w:color="FFFFFF" w:themeColor="background1"/>
            </w:tcBorders>
            <w:hideMark/>
          </w:tcPr>
          <w:p w:rsidR="00B84BD3" w:rsidRDefault="00B84BD3" w:rsidP="00347EE8">
            <w:pPr>
              <w:pStyle w:val="TableHeading"/>
              <w:jc w:val="center"/>
            </w:pPr>
            <w:r>
              <w:t>Annual real growth</w:t>
            </w:r>
          </w:p>
        </w:tc>
        <w:tc>
          <w:tcPr>
            <w:tcW w:w="1052" w:type="dxa"/>
            <w:tcBorders>
              <w:left w:val="single" w:sz="4" w:space="0" w:color="FFFFFF" w:themeColor="background1"/>
              <w:bottom w:val="single" w:sz="4" w:space="0" w:color="FFFFFF" w:themeColor="background1"/>
            </w:tcBorders>
            <w:hideMark/>
          </w:tcPr>
          <w:p w:rsidR="00B84BD3" w:rsidRDefault="00B84BD3" w:rsidP="00347EE8">
            <w:pPr>
              <w:pStyle w:val="TableHeading"/>
              <w:jc w:val="center"/>
            </w:pPr>
            <w:r>
              <w:t>Share of total receipts</w:t>
            </w:r>
          </w:p>
        </w:tc>
      </w:tr>
      <w:tr w:rsidR="00635616" w:rsidTr="009D04E4">
        <w:trPr>
          <w:cnfStyle w:val="000000100000" w:firstRow="0" w:lastRow="0" w:firstColumn="0" w:lastColumn="0" w:oddVBand="0" w:evenVBand="0" w:oddHBand="1" w:evenHBand="0" w:firstRowFirstColumn="0" w:firstRowLastColumn="0" w:lastRowFirstColumn="0" w:lastRowLastColumn="0"/>
          <w:trHeight w:val="320"/>
        </w:trPr>
        <w:tc>
          <w:tcPr>
            <w:tcW w:w="0" w:type="auto"/>
            <w:vMerge/>
            <w:tcBorders>
              <w:top w:val="single" w:sz="4" w:space="0" w:color="FFFFFF" w:themeColor="background1"/>
              <w:right w:val="single" w:sz="4" w:space="0" w:color="FFFFFF" w:themeColor="background1"/>
            </w:tcBorders>
            <w:shd w:val="clear" w:color="auto" w:fill="3D4D7D" w:themeFill="background2"/>
            <w:hideMark/>
          </w:tcPr>
          <w:p w:rsidR="00B84BD3" w:rsidRDefault="00B84BD3" w:rsidP="00347EE8">
            <w:pPr>
              <w:pStyle w:val="TableHeading"/>
              <w:rPr>
                <w:b/>
              </w:rPr>
            </w:pPr>
          </w:p>
        </w:tc>
        <w:tc>
          <w:tcPr>
            <w:tcW w:w="847" w:type="dxa"/>
            <w:tcBorders>
              <w:top w:val="single" w:sz="4" w:space="0" w:color="FFFFFF" w:themeColor="background1"/>
              <w:left w:val="single" w:sz="4" w:space="0" w:color="FFFFFF" w:themeColor="background1"/>
            </w:tcBorders>
            <w:shd w:val="clear" w:color="auto" w:fill="3D4D7D" w:themeFill="background2"/>
            <w:hideMark/>
          </w:tcPr>
          <w:p w:rsidR="00B84BD3" w:rsidRPr="005C6A60" w:rsidRDefault="00B84BD3" w:rsidP="00347EE8">
            <w:pPr>
              <w:pStyle w:val="TableHeading"/>
              <w:rPr>
                <w:b/>
                <w:sz w:val="18"/>
              </w:rPr>
            </w:pPr>
            <w:r w:rsidRPr="005C6A60">
              <w:rPr>
                <w:b/>
                <w:sz w:val="18"/>
              </w:rPr>
              <w:t>2017-18</w:t>
            </w:r>
          </w:p>
        </w:tc>
        <w:tc>
          <w:tcPr>
            <w:tcW w:w="847" w:type="dxa"/>
            <w:tcBorders>
              <w:top w:val="single" w:sz="4" w:space="0" w:color="FFFFFF" w:themeColor="background1"/>
              <w:right w:val="single" w:sz="4" w:space="0" w:color="FFFFFF" w:themeColor="background1"/>
            </w:tcBorders>
            <w:shd w:val="clear" w:color="auto" w:fill="3D4D7D" w:themeFill="background2"/>
            <w:hideMark/>
          </w:tcPr>
          <w:p w:rsidR="00B84BD3" w:rsidRPr="005C6A60" w:rsidRDefault="00B84BD3" w:rsidP="00347EE8">
            <w:pPr>
              <w:pStyle w:val="TableHeading"/>
              <w:rPr>
                <w:b/>
                <w:sz w:val="18"/>
              </w:rPr>
            </w:pPr>
            <w:r w:rsidRPr="005C6A60">
              <w:rPr>
                <w:b/>
                <w:sz w:val="18"/>
              </w:rPr>
              <w:t>2028-29</w:t>
            </w:r>
          </w:p>
        </w:tc>
        <w:tc>
          <w:tcPr>
            <w:tcW w:w="847" w:type="dxa"/>
            <w:tcBorders>
              <w:top w:val="single" w:sz="4" w:space="0" w:color="FFFFFF" w:themeColor="background1"/>
              <w:left w:val="single" w:sz="4" w:space="0" w:color="FFFFFF" w:themeColor="background1"/>
            </w:tcBorders>
            <w:shd w:val="clear" w:color="auto" w:fill="3D4D7D" w:themeFill="background2"/>
            <w:hideMark/>
          </w:tcPr>
          <w:p w:rsidR="00B84BD3" w:rsidRPr="005C6A60" w:rsidRDefault="00B84BD3" w:rsidP="00347EE8">
            <w:pPr>
              <w:pStyle w:val="TableHeading"/>
              <w:rPr>
                <w:b/>
                <w:sz w:val="18"/>
              </w:rPr>
            </w:pPr>
            <w:r w:rsidRPr="005C6A60">
              <w:rPr>
                <w:b/>
                <w:sz w:val="18"/>
              </w:rPr>
              <w:t>2017-18</w:t>
            </w:r>
          </w:p>
        </w:tc>
        <w:tc>
          <w:tcPr>
            <w:tcW w:w="847" w:type="dxa"/>
            <w:tcBorders>
              <w:top w:val="single" w:sz="4" w:space="0" w:color="FFFFFF" w:themeColor="background1"/>
              <w:right w:val="single" w:sz="4" w:space="0" w:color="FFFFFF" w:themeColor="background1"/>
            </w:tcBorders>
            <w:shd w:val="clear" w:color="auto" w:fill="3D4D7D" w:themeFill="background2"/>
            <w:hideMark/>
          </w:tcPr>
          <w:p w:rsidR="00B84BD3" w:rsidRPr="005C6A60" w:rsidRDefault="00B84BD3" w:rsidP="00347EE8">
            <w:pPr>
              <w:pStyle w:val="TableHeading"/>
              <w:rPr>
                <w:b/>
                <w:sz w:val="18"/>
              </w:rPr>
            </w:pPr>
            <w:r w:rsidRPr="005C6A60">
              <w:rPr>
                <w:b/>
                <w:sz w:val="18"/>
              </w:rPr>
              <w:t>2028-29</w:t>
            </w:r>
          </w:p>
        </w:tc>
        <w:tc>
          <w:tcPr>
            <w:tcW w:w="2333" w:type="dxa"/>
            <w:gridSpan w:val="2"/>
            <w:tcBorders>
              <w:top w:val="single" w:sz="4" w:space="0" w:color="FFFFFF" w:themeColor="background1"/>
              <w:left w:val="single" w:sz="4" w:space="0" w:color="FFFFFF" w:themeColor="background1"/>
              <w:right w:val="single" w:sz="4" w:space="0" w:color="FFFFFF" w:themeColor="background1"/>
            </w:tcBorders>
            <w:shd w:val="clear" w:color="auto" w:fill="3D4D7D" w:themeFill="background2"/>
            <w:hideMark/>
          </w:tcPr>
          <w:p w:rsidR="00B84BD3" w:rsidRPr="005C6A60" w:rsidRDefault="00B84BD3" w:rsidP="00347EE8">
            <w:pPr>
              <w:pStyle w:val="TableHeading"/>
              <w:jc w:val="center"/>
              <w:rPr>
                <w:b/>
                <w:sz w:val="18"/>
              </w:rPr>
            </w:pPr>
            <w:r w:rsidRPr="005C6A60">
              <w:rPr>
                <w:b/>
                <w:sz w:val="18"/>
              </w:rPr>
              <w:t>2017-18 to 2028-29</w:t>
            </w:r>
          </w:p>
        </w:tc>
        <w:tc>
          <w:tcPr>
            <w:tcW w:w="1052" w:type="dxa"/>
            <w:tcBorders>
              <w:top w:val="single" w:sz="4" w:space="0" w:color="FFFFFF" w:themeColor="background1"/>
              <w:left w:val="single" w:sz="4" w:space="0" w:color="FFFFFF" w:themeColor="background1"/>
            </w:tcBorders>
            <w:shd w:val="clear" w:color="auto" w:fill="3D4D7D" w:themeFill="background2"/>
            <w:hideMark/>
          </w:tcPr>
          <w:p w:rsidR="00B84BD3" w:rsidRPr="005C6A60" w:rsidRDefault="00B84BD3" w:rsidP="00347EE8">
            <w:pPr>
              <w:pStyle w:val="TableHeading"/>
              <w:jc w:val="center"/>
              <w:rPr>
                <w:b/>
                <w:sz w:val="18"/>
              </w:rPr>
            </w:pPr>
            <w:r w:rsidRPr="005C6A60">
              <w:rPr>
                <w:b/>
                <w:sz w:val="18"/>
              </w:rPr>
              <w:t>2028-29</w:t>
            </w:r>
          </w:p>
        </w:tc>
      </w:tr>
      <w:tr w:rsidR="008D79B3" w:rsidTr="009D04E4">
        <w:trPr>
          <w:trHeight w:val="384"/>
        </w:trPr>
        <w:tc>
          <w:tcPr>
            <w:tcW w:w="2219" w:type="dxa"/>
            <w:tcBorders>
              <w:right w:val="single" w:sz="4" w:space="0" w:color="3D4D7D" w:themeColor="background2"/>
            </w:tcBorders>
            <w:shd w:val="clear" w:color="auto" w:fill="7C8CBF" w:themeFill="background2" w:themeFillTint="99"/>
            <w:hideMark/>
          </w:tcPr>
          <w:p w:rsidR="00B84BD3" w:rsidRDefault="00B84BD3" w:rsidP="00347EE8">
            <w:pPr>
              <w:rPr>
                <w:rFonts w:ascii="Calibri" w:hAnsi="Calibri"/>
                <w:sz w:val="14"/>
                <w:szCs w:val="14"/>
              </w:rPr>
            </w:pPr>
            <w:r>
              <w:rPr>
                <w:rFonts w:ascii="Calibri" w:hAnsi="Calibri"/>
                <w:sz w:val="14"/>
                <w:szCs w:val="14"/>
              </w:rPr>
              <w:t> </w:t>
            </w:r>
          </w:p>
        </w:tc>
        <w:tc>
          <w:tcPr>
            <w:tcW w:w="1694" w:type="dxa"/>
            <w:gridSpan w:val="2"/>
            <w:tcBorders>
              <w:left w:val="single" w:sz="4" w:space="0" w:color="3D4D7D" w:themeColor="background2"/>
              <w:right w:val="single" w:sz="4" w:space="0" w:color="3D4D7D" w:themeColor="background2"/>
            </w:tcBorders>
            <w:shd w:val="clear" w:color="auto" w:fill="7C8CBF" w:themeFill="background2" w:themeFillTint="99"/>
            <w:vAlign w:val="center"/>
            <w:hideMark/>
          </w:tcPr>
          <w:p w:rsidR="00B84BD3" w:rsidRPr="005C6A60" w:rsidRDefault="00B84BD3" w:rsidP="00347EE8">
            <w:pPr>
              <w:pStyle w:val="TableSubheading"/>
              <w:jc w:val="center"/>
              <w:rPr>
                <w:color w:val="FFFFFF" w:themeColor="background1"/>
              </w:rPr>
            </w:pPr>
            <w:r w:rsidRPr="005C6A60">
              <w:rPr>
                <w:color w:val="FFFFFF" w:themeColor="background1"/>
              </w:rPr>
              <w:t>$b</w:t>
            </w:r>
          </w:p>
        </w:tc>
        <w:tc>
          <w:tcPr>
            <w:tcW w:w="1694" w:type="dxa"/>
            <w:gridSpan w:val="2"/>
            <w:tcBorders>
              <w:left w:val="single" w:sz="4" w:space="0" w:color="3D4D7D" w:themeColor="background2"/>
              <w:right w:val="single" w:sz="4" w:space="0" w:color="3D4D7D" w:themeColor="background2"/>
            </w:tcBorders>
            <w:shd w:val="clear" w:color="auto" w:fill="7C8CBF" w:themeFill="background2" w:themeFillTint="99"/>
            <w:vAlign w:val="center"/>
            <w:hideMark/>
          </w:tcPr>
          <w:p w:rsidR="00B84BD3" w:rsidRPr="005C6A60" w:rsidRDefault="00B84BD3" w:rsidP="00347EE8">
            <w:pPr>
              <w:pStyle w:val="TableSubheading"/>
              <w:jc w:val="center"/>
              <w:rPr>
                <w:color w:val="FFFFFF" w:themeColor="background1"/>
              </w:rPr>
            </w:pPr>
            <w:r w:rsidRPr="005C6A60">
              <w:rPr>
                <w:color w:val="FFFFFF" w:themeColor="background1"/>
              </w:rPr>
              <w:t>%</w:t>
            </w:r>
          </w:p>
        </w:tc>
        <w:tc>
          <w:tcPr>
            <w:tcW w:w="1281" w:type="dxa"/>
            <w:tcBorders>
              <w:left w:val="single" w:sz="4" w:space="0" w:color="3D4D7D" w:themeColor="background2"/>
              <w:right w:val="single" w:sz="4" w:space="0" w:color="3D4D7D" w:themeColor="background2"/>
            </w:tcBorders>
            <w:shd w:val="clear" w:color="auto" w:fill="7C8CBF" w:themeFill="background2" w:themeFillTint="99"/>
            <w:vAlign w:val="center"/>
            <w:hideMark/>
          </w:tcPr>
          <w:p w:rsidR="00B84BD3" w:rsidRPr="005C6A60" w:rsidRDefault="00B84BD3" w:rsidP="00347EE8">
            <w:pPr>
              <w:pStyle w:val="TableSubheading"/>
              <w:jc w:val="center"/>
              <w:rPr>
                <w:color w:val="FFFFFF" w:themeColor="background1"/>
              </w:rPr>
            </w:pPr>
            <w:r w:rsidRPr="005C6A60">
              <w:rPr>
                <w:color w:val="FFFFFF" w:themeColor="background1"/>
              </w:rPr>
              <w:t>%</w:t>
            </w:r>
          </w:p>
        </w:tc>
        <w:tc>
          <w:tcPr>
            <w:tcW w:w="1052" w:type="dxa"/>
            <w:tcBorders>
              <w:left w:val="single" w:sz="4" w:space="0" w:color="3D4D7D" w:themeColor="background2"/>
              <w:right w:val="single" w:sz="4" w:space="0" w:color="3D4D7D" w:themeColor="background2"/>
            </w:tcBorders>
            <w:shd w:val="clear" w:color="auto" w:fill="7C8CBF" w:themeFill="background2" w:themeFillTint="99"/>
            <w:vAlign w:val="center"/>
            <w:hideMark/>
          </w:tcPr>
          <w:p w:rsidR="00B84BD3" w:rsidRPr="005C6A60" w:rsidRDefault="00B84BD3" w:rsidP="00347EE8">
            <w:pPr>
              <w:pStyle w:val="TableSubheading"/>
              <w:jc w:val="center"/>
              <w:rPr>
                <w:color w:val="FFFFFF" w:themeColor="background1"/>
              </w:rPr>
            </w:pPr>
            <w:r w:rsidRPr="005C6A60">
              <w:rPr>
                <w:color w:val="FFFFFF" w:themeColor="background1"/>
              </w:rPr>
              <w:t>%</w:t>
            </w:r>
          </w:p>
        </w:tc>
        <w:tc>
          <w:tcPr>
            <w:tcW w:w="1052" w:type="dxa"/>
            <w:tcBorders>
              <w:left w:val="single" w:sz="4" w:space="0" w:color="3D4D7D" w:themeColor="background2"/>
            </w:tcBorders>
            <w:shd w:val="clear" w:color="auto" w:fill="7C8CBF" w:themeFill="background2" w:themeFillTint="99"/>
            <w:vAlign w:val="center"/>
            <w:hideMark/>
          </w:tcPr>
          <w:p w:rsidR="00B84BD3" w:rsidRPr="005C6A60" w:rsidRDefault="00B84BD3" w:rsidP="00347EE8">
            <w:pPr>
              <w:pStyle w:val="TableSubheading"/>
              <w:jc w:val="center"/>
              <w:rPr>
                <w:color w:val="FFFFFF" w:themeColor="background1"/>
              </w:rPr>
            </w:pPr>
            <w:r w:rsidRPr="005C6A60">
              <w:rPr>
                <w:color w:val="FFFFFF" w:themeColor="background1"/>
              </w:rPr>
              <w:t>%</w:t>
            </w:r>
          </w:p>
        </w:tc>
      </w:tr>
      <w:tr w:rsidR="00B84BD3" w:rsidTr="009D04E4">
        <w:trPr>
          <w:cnfStyle w:val="000000100000" w:firstRow="0" w:lastRow="0" w:firstColumn="0" w:lastColumn="0" w:oddVBand="0" w:evenVBand="0" w:oddHBand="1" w:evenHBand="0" w:firstRowFirstColumn="0" w:firstRowLastColumn="0" w:lastRowFirstColumn="0" w:lastRowLastColumn="0"/>
          <w:trHeight w:val="384"/>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Individuals and other withholding taxes</w:t>
            </w:r>
          </w:p>
        </w:tc>
        <w:tc>
          <w:tcPr>
            <w:tcW w:w="847" w:type="dxa"/>
            <w:tcBorders>
              <w:left w:val="single" w:sz="4" w:space="0" w:color="3D4D7D" w:themeColor="background2"/>
            </w:tcBorders>
            <w:vAlign w:val="center"/>
            <w:hideMark/>
          </w:tcPr>
          <w:p w:rsidR="00B84BD3" w:rsidRDefault="00B84BD3" w:rsidP="00347EE8">
            <w:pPr>
              <w:pStyle w:val="TableHeadingCentred"/>
            </w:pPr>
            <w:r>
              <w:t>206</w:t>
            </w:r>
          </w:p>
        </w:tc>
        <w:tc>
          <w:tcPr>
            <w:tcW w:w="847" w:type="dxa"/>
            <w:tcBorders>
              <w:right w:val="single" w:sz="4" w:space="0" w:color="3D4D7D" w:themeColor="background2"/>
            </w:tcBorders>
            <w:vAlign w:val="center"/>
            <w:hideMark/>
          </w:tcPr>
          <w:p w:rsidR="00B84BD3" w:rsidRDefault="00B84BD3" w:rsidP="00347EE8">
            <w:pPr>
              <w:pStyle w:val="TableHeadingCentred"/>
            </w:pPr>
            <w:r>
              <w:t>391</w:t>
            </w:r>
          </w:p>
        </w:tc>
        <w:tc>
          <w:tcPr>
            <w:tcW w:w="847" w:type="dxa"/>
            <w:tcBorders>
              <w:left w:val="single" w:sz="4" w:space="0" w:color="3D4D7D" w:themeColor="background2"/>
            </w:tcBorders>
            <w:vAlign w:val="center"/>
            <w:hideMark/>
          </w:tcPr>
          <w:p w:rsidR="00B84BD3" w:rsidRDefault="00B84BD3" w:rsidP="00347EE8">
            <w:pPr>
              <w:pStyle w:val="TableHeadingCentred"/>
            </w:pPr>
            <w:r>
              <w:t>11.2</w:t>
            </w:r>
          </w:p>
        </w:tc>
        <w:tc>
          <w:tcPr>
            <w:tcW w:w="847" w:type="dxa"/>
            <w:tcBorders>
              <w:right w:val="single" w:sz="4" w:space="0" w:color="3D4D7D" w:themeColor="background2"/>
            </w:tcBorders>
            <w:vAlign w:val="center"/>
            <w:hideMark/>
          </w:tcPr>
          <w:p w:rsidR="00B84BD3" w:rsidRDefault="00B84BD3" w:rsidP="00347EE8">
            <w:pPr>
              <w:pStyle w:val="TableHeadingCentred"/>
            </w:pPr>
            <w:r>
              <w:t>12.5</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1.3</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3.5</w:t>
            </w:r>
          </w:p>
        </w:tc>
        <w:tc>
          <w:tcPr>
            <w:tcW w:w="1052" w:type="dxa"/>
            <w:tcBorders>
              <w:left w:val="single" w:sz="4" w:space="0" w:color="3D4D7D" w:themeColor="background2"/>
            </w:tcBorders>
            <w:vAlign w:val="center"/>
            <w:hideMark/>
          </w:tcPr>
          <w:p w:rsidR="00B84BD3" w:rsidRDefault="00B84BD3" w:rsidP="00347EE8">
            <w:pPr>
              <w:pStyle w:val="TableHeadingCentred"/>
            </w:pPr>
            <w:r>
              <w:t>49.0</w:t>
            </w:r>
          </w:p>
        </w:tc>
      </w:tr>
      <w:tr w:rsidR="00B84BD3" w:rsidTr="009D04E4">
        <w:trPr>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Company tax</w:t>
            </w:r>
          </w:p>
        </w:tc>
        <w:tc>
          <w:tcPr>
            <w:tcW w:w="847" w:type="dxa"/>
            <w:tcBorders>
              <w:left w:val="single" w:sz="4" w:space="0" w:color="3D4D7D" w:themeColor="background2"/>
            </w:tcBorders>
            <w:vAlign w:val="center"/>
            <w:hideMark/>
          </w:tcPr>
          <w:p w:rsidR="00B84BD3" w:rsidRDefault="00B84BD3" w:rsidP="00347EE8">
            <w:pPr>
              <w:pStyle w:val="TableHeadingCentred"/>
            </w:pPr>
            <w:r>
              <w:t>84</w:t>
            </w:r>
          </w:p>
        </w:tc>
        <w:tc>
          <w:tcPr>
            <w:tcW w:w="847" w:type="dxa"/>
            <w:tcBorders>
              <w:right w:val="single" w:sz="4" w:space="0" w:color="3D4D7D" w:themeColor="background2"/>
            </w:tcBorders>
            <w:vAlign w:val="center"/>
            <w:hideMark/>
          </w:tcPr>
          <w:p w:rsidR="00B84BD3" w:rsidRDefault="00B84BD3" w:rsidP="00347EE8">
            <w:pPr>
              <w:pStyle w:val="TableHeadingCentred"/>
            </w:pPr>
            <w:r>
              <w:t>136</w:t>
            </w:r>
          </w:p>
        </w:tc>
        <w:tc>
          <w:tcPr>
            <w:tcW w:w="847" w:type="dxa"/>
            <w:tcBorders>
              <w:left w:val="single" w:sz="4" w:space="0" w:color="3D4D7D" w:themeColor="background2"/>
            </w:tcBorders>
            <w:vAlign w:val="center"/>
            <w:hideMark/>
          </w:tcPr>
          <w:p w:rsidR="00B84BD3" w:rsidRDefault="00B84BD3" w:rsidP="00347EE8">
            <w:pPr>
              <w:pStyle w:val="TableHeadingCentred"/>
            </w:pPr>
            <w:r>
              <w:t>4.6</w:t>
            </w:r>
          </w:p>
        </w:tc>
        <w:tc>
          <w:tcPr>
            <w:tcW w:w="847" w:type="dxa"/>
            <w:tcBorders>
              <w:right w:val="single" w:sz="4" w:space="0" w:color="3D4D7D" w:themeColor="background2"/>
            </w:tcBorders>
            <w:vAlign w:val="center"/>
            <w:hideMark/>
          </w:tcPr>
          <w:p w:rsidR="00B84BD3" w:rsidRDefault="00B84BD3" w:rsidP="00347EE8">
            <w:pPr>
              <w:pStyle w:val="TableHeadingCentred"/>
            </w:pPr>
            <w:r>
              <w:t>4.3</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-0.2</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2.0</w:t>
            </w:r>
          </w:p>
        </w:tc>
        <w:tc>
          <w:tcPr>
            <w:tcW w:w="1052" w:type="dxa"/>
            <w:tcBorders>
              <w:left w:val="single" w:sz="4" w:space="0" w:color="3D4D7D" w:themeColor="background2"/>
            </w:tcBorders>
            <w:vAlign w:val="center"/>
            <w:hideMark/>
          </w:tcPr>
          <w:p w:rsidR="00B84BD3" w:rsidRDefault="00B84BD3" w:rsidP="00347EE8">
            <w:pPr>
              <w:pStyle w:val="TableHeadingCentred"/>
            </w:pPr>
            <w:r>
              <w:t>17.0</w:t>
            </w: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Superannuation fund taxes</w:t>
            </w:r>
          </w:p>
        </w:tc>
        <w:tc>
          <w:tcPr>
            <w:tcW w:w="847" w:type="dxa"/>
            <w:tcBorders>
              <w:left w:val="single" w:sz="4" w:space="0" w:color="3D4D7D" w:themeColor="background2"/>
            </w:tcBorders>
            <w:vAlign w:val="center"/>
            <w:hideMark/>
          </w:tcPr>
          <w:p w:rsidR="00B84BD3" w:rsidRDefault="00B84BD3" w:rsidP="00347EE8">
            <w:pPr>
              <w:pStyle w:val="TableHeadingCentred"/>
            </w:pPr>
            <w:r>
              <w:t>11</w:t>
            </w:r>
          </w:p>
        </w:tc>
        <w:tc>
          <w:tcPr>
            <w:tcW w:w="847" w:type="dxa"/>
            <w:tcBorders>
              <w:right w:val="single" w:sz="4" w:space="0" w:color="3D4D7D" w:themeColor="background2"/>
            </w:tcBorders>
            <w:vAlign w:val="center"/>
            <w:hideMark/>
          </w:tcPr>
          <w:p w:rsidR="00B84BD3" w:rsidRDefault="00B84BD3" w:rsidP="00347EE8">
            <w:pPr>
              <w:pStyle w:val="TableHeadingCentred"/>
            </w:pPr>
            <w:r>
              <w:t>22</w:t>
            </w:r>
          </w:p>
        </w:tc>
        <w:tc>
          <w:tcPr>
            <w:tcW w:w="847" w:type="dxa"/>
            <w:tcBorders>
              <w:left w:val="single" w:sz="4" w:space="0" w:color="3D4D7D" w:themeColor="background2"/>
            </w:tcBorders>
            <w:vAlign w:val="center"/>
            <w:hideMark/>
          </w:tcPr>
          <w:p w:rsidR="00B84BD3" w:rsidRDefault="00B84BD3" w:rsidP="00347EE8">
            <w:pPr>
              <w:pStyle w:val="TableHeadingCentred"/>
            </w:pPr>
            <w:r>
              <w:t>0.6</w:t>
            </w:r>
          </w:p>
        </w:tc>
        <w:tc>
          <w:tcPr>
            <w:tcW w:w="847" w:type="dxa"/>
            <w:tcBorders>
              <w:right w:val="single" w:sz="4" w:space="0" w:color="3D4D7D" w:themeColor="background2"/>
            </w:tcBorders>
            <w:vAlign w:val="center"/>
            <w:hideMark/>
          </w:tcPr>
          <w:p w:rsidR="00B84BD3" w:rsidRDefault="00B84BD3" w:rsidP="00347EE8">
            <w:pPr>
              <w:pStyle w:val="TableHeadingCentred"/>
            </w:pPr>
            <w:r>
              <w:t>0.7</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0.1</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3.8</w:t>
            </w:r>
          </w:p>
        </w:tc>
        <w:tc>
          <w:tcPr>
            <w:tcW w:w="1052" w:type="dxa"/>
            <w:tcBorders>
              <w:left w:val="single" w:sz="4" w:space="0" w:color="3D4D7D" w:themeColor="background2"/>
            </w:tcBorders>
            <w:vAlign w:val="center"/>
            <w:hideMark/>
          </w:tcPr>
          <w:p w:rsidR="00B84BD3" w:rsidRDefault="00B84BD3" w:rsidP="00347EE8">
            <w:pPr>
              <w:pStyle w:val="TableHeadingCentred"/>
            </w:pPr>
            <w:r>
              <w:t>2.7</w:t>
            </w:r>
          </w:p>
        </w:tc>
      </w:tr>
      <w:tr w:rsidR="00B84BD3" w:rsidTr="009D04E4">
        <w:trPr>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Goods and services tax</w:t>
            </w:r>
          </w:p>
        </w:tc>
        <w:tc>
          <w:tcPr>
            <w:tcW w:w="847" w:type="dxa"/>
            <w:tcBorders>
              <w:left w:val="single" w:sz="4" w:space="0" w:color="3D4D7D" w:themeColor="background2"/>
            </w:tcBorders>
            <w:vAlign w:val="center"/>
            <w:hideMark/>
          </w:tcPr>
          <w:p w:rsidR="00B84BD3" w:rsidRDefault="00B84BD3" w:rsidP="00347EE8">
            <w:pPr>
              <w:pStyle w:val="TableHeadingCentred"/>
            </w:pPr>
            <w:r>
              <w:t>64</w:t>
            </w:r>
          </w:p>
        </w:tc>
        <w:tc>
          <w:tcPr>
            <w:tcW w:w="847" w:type="dxa"/>
            <w:tcBorders>
              <w:right w:val="single" w:sz="4" w:space="0" w:color="3D4D7D" w:themeColor="background2"/>
            </w:tcBorders>
            <w:vAlign w:val="center"/>
            <w:hideMark/>
          </w:tcPr>
          <w:p w:rsidR="00B84BD3" w:rsidRDefault="00B84BD3" w:rsidP="00347EE8">
            <w:pPr>
              <w:pStyle w:val="TableHeadingCentred"/>
            </w:pPr>
            <w:r>
              <w:t>111</w:t>
            </w:r>
          </w:p>
        </w:tc>
        <w:tc>
          <w:tcPr>
            <w:tcW w:w="847" w:type="dxa"/>
            <w:tcBorders>
              <w:left w:val="single" w:sz="4" w:space="0" w:color="3D4D7D" w:themeColor="background2"/>
            </w:tcBorders>
            <w:vAlign w:val="center"/>
            <w:hideMark/>
          </w:tcPr>
          <w:p w:rsidR="00B84BD3" w:rsidRDefault="00B84BD3" w:rsidP="00347EE8">
            <w:pPr>
              <w:pStyle w:val="TableHeadingCentred"/>
            </w:pPr>
            <w:r>
              <w:t>3.5</w:t>
            </w:r>
          </w:p>
        </w:tc>
        <w:tc>
          <w:tcPr>
            <w:tcW w:w="847" w:type="dxa"/>
            <w:tcBorders>
              <w:right w:val="single" w:sz="4" w:space="0" w:color="3D4D7D" w:themeColor="background2"/>
            </w:tcBorders>
            <w:vAlign w:val="center"/>
            <w:hideMark/>
          </w:tcPr>
          <w:p w:rsidR="00B84BD3" w:rsidRDefault="00B84BD3" w:rsidP="00347EE8">
            <w:pPr>
              <w:pStyle w:val="TableHeadingCentred"/>
            </w:pPr>
            <w:r>
              <w:t>3.6</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0.1</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2.7</w:t>
            </w:r>
          </w:p>
        </w:tc>
        <w:tc>
          <w:tcPr>
            <w:tcW w:w="1052" w:type="dxa"/>
            <w:tcBorders>
              <w:left w:val="single" w:sz="4" w:space="0" w:color="3D4D7D" w:themeColor="background2"/>
            </w:tcBorders>
            <w:vAlign w:val="center"/>
            <w:hideMark/>
          </w:tcPr>
          <w:p w:rsidR="00B84BD3" w:rsidRDefault="00B84BD3" w:rsidP="00347EE8">
            <w:pPr>
              <w:pStyle w:val="TableHeadingCentred"/>
            </w:pPr>
            <w:r>
              <w:t>14.0</w:t>
            </w: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Fringe benefits tax</w:t>
            </w:r>
          </w:p>
        </w:tc>
        <w:tc>
          <w:tcPr>
            <w:tcW w:w="847" w:type="dxa"/>
            <w:tcBorders>
              <w:left w:val="single" w:sz="4" w:space="0" w:color="3D4D7D" w:themeColor="background2"/>
            </w:tcBorders>
            <w:vAlign w:val="center"/>
            <w:hideMark/>
          </w:tcPr>
          <w:p w:rsidR="00B84BD3" w:rsidRDefault="00B84BD3" w:rsidP="00347EE8">
            <w:pPr>
              <w:pStyle w:val="TableHeadingCentred"/>
            </w:pPr>
            <w:r>
              <w:t>4</w:t>
            </w:r>
          </w:p>
        </w:tc>
        <w:tc>
          <w:tcPr>
            <w:tcW w:w="847" w:type="dxa"/>
            <w:tcBorders>
              <w:right w:val="single" w:sz="4" w:space="0" w:color="3D4D7D" w:themeColor="background2"/>
            </w:tcBorders>
            <w:vAlign w:val="center"/>
            <w:hideMark/>
          </w:tcPr>
          <w:p w:rsidR="00B84BD3" w:rsidRDefault="00B84BD3" w:rsidP="00347EE8">
            <w:pPr>
              <w:pStyle w:val="TableHeadingCentred"/>
            </w:pPr>
            <w:r>
              <w:t>7</w:t>
            </w:r>
          </w:p>
        </w:tc>
        <w:tc>
          <w:tcPr>
            <w:tcW w:w="847" w:type="dxa"/>
            <w:tcBorders>
              <w:left w:val="single" w:sz="4" w:space="0" w:color="3D4D7D" w:themeColor="background2"/>
            </w:tcBorders>
            <w:vAlign w:val="center"/>
            <w:hideMark/>
          </w:tcPr>
          <w:p w:rsidR="00B84BD3" w:rsidRDefault="00B84BD3" w:rsidP="00347EE8">
            <w:pPr>
              <w:pStyle w:val="TableHeadingCentred"/>
            </w:pPr>
            <w:r>
              <w:t>0.2</w:t>
            </w:r>
          </w:p>
        </w:tc>
        <w:tc>
          <w:tcPr>
            <w:tcW w:w="847" w:type="dxa"/>
            <w:tcBorders>
              <w:right w:val="single" w:sz="4" w:space="0" w:color="3D4D7D" w:themeColor="background2"/>
            </w:tcBorders>
            <w:vAlign w:val="center"/>
            <w:hideMark/>
          </w:tcPr>
          <w:p w:rsidR="00B84BD3" w:rsidRDefault="00B84BD3" w:rsidP="00347EE8">
            <w:pPr>
              <w:pStyle w:val="TableHeadingCentred"/>
            </w:pPr>
            <w:r>
              <w:t>0.2</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2.6</w:t>
            </w:r>
          </w:p>
        </w:tc>
        <w:tc>
          <w:tcPr>
            <w:tcW w:w="1052" w:type="dxa"/>
            <w:tcBorders>
              <w:left w:val="single" w:sz="4" w:space="0" w:color="3D4D7D" w:themeColor="background2"/>
            </w:tcBorders>
            <w:vAlign w:val="center"/>
            <w:hideMark/>
          </w:tcPr>
          <w:p w:rsidR="00B84BD3" w:rsidRDefault="00B84BD3" w:rsidP="00347EE8">
            <w:pPr>
              <w:pStyle w:val="TableHeadingCentred"/>
            </w:pPr>
            <w:r>
              <w:t>0.9</w:t>
            </w:r>
          </w:p>
        </w:tc>
      </w:tr>
      <w:tr w:rsidR="00B84BD3" w:rsidTr="009D04E4">
        <w:trPr>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Resource rent taxes</w:t>
            </w:r>
          </w:p>
        </w:tc>
        <w:tc>
          <w:tcPr>
            <w:tcW w:w="847" w:type="dxa"/>
            <w:tcBorders>
              <w:left w:val="single" w:sz="4" w:space="0" w:color="3D4D7D" w:themeColor="background2"/>
            </w:tcBorders>
            <w:vAlign w:val="center"/>
            <w:hideMark/>
          </w:tcPr>
          <w:p w:rsidR="00B84BD3" w:rsidRDefault="00B84BD3" w:rsidP="00347EE8">
            <w:pPr>
              <w:pStyle w:val="TableHeadingCentred"/>
            </w:pPr>
            <w:r>
              <w:t>1</w:t>
            </w:r>
          </w:p>
        </w:tc>
        <w:tc>
          <w:tcPr>
            <w:tcW w:w="847" w:type="dxa"/>
            <w:tcBorders>
              <w:right w:val="single" w:sz="4" w:space="0" w:color="3D4D7D" w:themeColor="background2"/>
            </w:tcBorders>
            <w:vAlign w:val="center"/>
            <w:hideMark/>
          </w:tcPr>
          <w:p w:rsidR="00B84BD3" w:rsidRDefault="00B84BD3" w:rsidP="00347EE8">
            <w:pPr>
              <w:pStyle w:val="TableHeadingCentred"/>
            </w:pPr>
            <w:r>
              <w:t>2</w:t>
            </w:r>
          </w:p>
        </w:tc>
        <w:tc>
          <w:tcPr>
            <w:tcW w:w="847" w:type="dxa"/>
            <w:tcBorders>
              <w:left w:val="single" w:sz="4" w:space="0" w:color="3D4D7D" w:themeColor="background2"/>
            </w:tcBorders>
            <w:vAlign w:val="center"/>
            <w:hideMark/>
          </w:tcPr>
          <w:p w:rsidR="00B84BD3" w:rsidRDefault="00B84BD3" w:rsidP="00347EE8">
            <w:pPr>
              <w:pStyle w:val="TableHeadingCentred"/>
            </w:pPr>
            <w:r>
              <w:t>0.1</w:t>
            </w:r>
          </w:p>
        </w:tc>
        <w:tc>
          <w:tcPr>
            <w:tcW w:w="847" w:type="dxa"/>
            <w:tcBorders>
              <w:right w:val="single" w:sz="4" w:space="0" w:color="3D4D7D" w:themeColor="background2"/>
            </w:tcBorders>
            <w:vAlign w:val="center"/>
            <w:hideMark/>
          </w:tcPr>
          <w:p w:rsidR="00B84BD3" w:rsidRDefault="00B84BD3" w:rsidP="00347EE8">
            <w:pPr>
              <w:pStyle w:val="TableHeadingCentred"/>
            </w:pPr>
            <w:r>
              <w:t>0.1</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1.5</w:t>
            </w:r>
          </w:p>
        </w:tc>
        <w:tc>
          <w:tcPr>
            <w:tcW w:w="1052" w:type="dxa"/>
            <w:tcBorders>
              <w:left w:val="single" w:sz="4" w:space="0" w:color="3D4D7D" w:themeColor="background2"/>
            </w:tcBorders>
            <w:vAlign w:val="center"/>
            <w:hideMark/>
          </w:tcPr>
          <w:p w:rsidR="00B84BD3" w:rsidRDefault="00B84BD3" w:rsidP="00347EE8">
            <w:pPr>
              <w:pStyle w:val="TableHeadingCentred"/>
            </w:pPr>
            <w:r>
              <w:t>0.2</w:t>
            </w: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Wine equalisation tax</w:t>
            </w:r>
          </w:p>
        </w:tc>
        <w:tc>
          <w:tcPr>
            <w:tcW w:w="847" w:type="dxa"/>
            <w:tcBorders>
              <w:left w:val="single" w:sz="4" w:space="0" w:color="3D4D7D" w:themeColor="background2"/>
            </w:tcBorders>
            <w:vAlign w:val="center"/>
            <w:hideMark/>
          </w:tcPr>
          <w:p w:rsidR="00B84BD3" w:rsidRDefault="00B84BD3" w:rsidP="00347EE8">
            <w:pPr>
              <w:pStyle w:val="TableHeadingCentred"/>
            </w:pPr>
            <w:r>
              <w:t>1</w:t>
            </w:r>
          </w:p>
        </w:tc>
        <w:tc>
          <w:tcPr>
            <w:tcW w:w="847" w:type="dxa"/>
            <w:tcBorders>
              <w:right w:val="single" w:sz="4" w:space="0" w:color="3D4D7D" w:themeColor="background2"/>
            </w:tcBorders>
            <w:vAlign w:val="center"/>
            <w:hideMark/>
          </w:tcPr>
          <w:p w:rsidR="00B84BD3" w:rsidRDefault="00B84BD3" w:rsidP="00347EE8">
            <w:pPr>
              <w:pStyle w:val="TableHeadingCentred"/>
            </w:pPr>
            <w:r>
              <w:t>1</w:t>
            </w:r>
          </w:p>
        </w:tc>
        <w:tc>
          <w:tcPr>
            <w:tcW w:w="847" w:type="dxa"/>
            <w:tcBorders>
              <w:left w:val="single" w:sz="4" w:space="0" w:color="3D4D7D" w:themeColor="background2"/>
            </w:tcBorders>
            <w:vAlign w:val="center"/>
            <w:hideMark/>
          </w:tcPr>
          <w:p w:rsidR="00B84BD3" w:rsidRDefault="00B84BD3" w:rsidP="00347EE8">
            <w:pPr>
              <w:pStyle w:val="TableHeadingCentred"/>
            </w:pPr>
            <w:r>
              <w:t>0.0</w:t>
            </w:r>
          </w:p>
        </w:tc>
        <w:tc>
          <w:tcPr>
            <w:tcW w:w="847" w:type="dxa"/>
            <w:tcBorders>
              <w:right w:val="single" w:sz="4" w:space="0" w:color="3D4D7D" w:themeColor="background2"/>
            </w:tcBorders>
            <w:vAlign w:val="center"/>
            <w:hideMark/>
          </w:tcPr>
          <w:p w:rsidR="00B84BD3" w:rsidRDefault="00B84BD3" w:rsidP="00347EE8">
            <w:pPr>
              <w:pStyle w:val="TableHeadingCentred"/>
            </w:pPr>
            <w:r>
              <w:t>0.0</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2.0</w:t>
            </w:r>
          </w:p>
        </w:tc>
        <w:tc>
          <w:tcPr>
            <w:tcW w:w="1052" w:type="dxa"/>
            <w:tcBorders>
              <w:left w:val="single" w:sz="4" w:space="0" w:color="3D4D7D" w:themeColor="background2"/>
            </w:tcBorders>
            <w:vAlign w:val="center"/>
            <w:hideMark/>
          </w:tcPr>
          <w:p w:rsidR="00B84BD3" w:rsidRDefault="00B84BD3" w:rsidP="00347EE8">
            <w:pPr>
              <w:pStyle w:val="TableHeadingCentred"/>
            </w:pPr>
            <w:r>
              <w:t>0.2</w:t>
            </w:r>
          </w:p>
        </w:tc>
      </w:tr>
      <w:tr w:rsidR="00B84BD3" w:rsidTr="009D04E4">
        <w:trPr>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Luxury car tax</w:t>
            </w:r>
          </w:p>
        </w:tc>
        <w:tc>
          <w:tcPr>
            <w:tcW w:w="847" w:type="dxa"/>
            <w:tcBorders>
              <w:left w:val="single" w:sz="4" w:space="0" w:color="3D4D7D" w:themeColor="background2"/>
            </w:tcBorders>
            <w:vAlign w:val="center"/>
            <w:hideMark/>
          </w:tcPr>
          <w:p w:rsidR="00B84BD3" w:rsidRDefault="00B84BD3" w:rsidP="00347EE8">
            <w:pPr>
              <w:pStyle w:val="TableHeadingCentred"/>
            </w:pPr>
            <w:r>
              <w:t>1</w:t>
            </w:r>
          </w:p>
        </w:tc>
        <w:tc>
          <w:tcPr>
            <w:tcW w:w="847" w:type="dxa"/>
            <w:tcBorders>
              <w:right w:val="single" w:sz="4" w:space="0" w:color="3D4D7D" w:themeColor="background2"/>
            </w:tcBorders>
            <w:vAlign w:val="center"/>
            <w:hideMark/>
          </w:tcPr>
          <w:p w:rsidR="00B84BD3" w:rsidRDefault="00B84BD3" w:rsidP="00347EE8">
            <w:pPr>
              <w:pStyle w:val="TableHeadingCentred"/>
            </w:pPr>
            <w:r>
              <w:t>1</w:t>
            </w:r>
          </w:p>
        </w:tc>
        <w:tc>
          <w:tcPr>
            <w:tcW w:w="847" w:type="dxa"/>
            <w:tcBorders>
              <w:left w:val="single" w:sz="4" w:space="0" w:color="3D4D7D" w:themeColor="background2"/>
            </w:tcBorders>
            <w:vAlign w:val="center"/>
            <w:hideMark/>
          </w:tcPr>
          <w:p w:rsidR="00B84BD3" w:rsidRDefault="00B84BD3" w:rsidP="00347EE8">
            <w:pPr>
              <w:pStyle w:val="TableHeadingCentred"/>
            </w:pPr>
            <w:r>
              <w:t>0.0</w:t>
            </w:r>
          </w:p>
        </w:tc>
        <w:tc>
          <w:tcPr>
            <w:tcW w:w="847" w:type="dxa"/>
            <w:tcBorders>
              <w:right w:val="single" w:sz="4" w:space="0" w:color="3D4D7D" w:themeColor="background2"/>
            </w:tcBorders>
            <w:vAlign w:val="center"/>
            <w:hideMark/>
          </w:tcPr>
          <w:p w:rsidR="00B84BD3" w:rsidRDefault="00B84BD3" w:rsidP="00347EE8">
            <w:pPr>
              <w:pStyle w:val="TableHeadingCentred"/>
            </w:pPr>
            <w:r>
              <w:t>0.0</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2.3</w:t>
            </w:r>
          </w:p>
        </w:tc>
        <w:tc>
          <w:tcPr>
            <w:tcW w:w="1052" w:type="dxa"/>
            <w:tcBorders>
              <w:left w:val="single" w:sz="4" w:space="0" w:color="3D4D7D" w:themeColor="background2"/>
            </w:tcBorders>
            <w:vAlign w:val="center"/>
            <w:hideMark/>
          </w:tcPr>
          <w:p w:rsidR="00B84BD3" w:rsidRDefault="00B84BD3" w:rsidP="00347EE8">
            <w:pPr>
              <w:pStyle w:val="TableHeadingCentred"/>
            </w:pPr>
            <w:r>
              <w:t>0.1</w:t>
            </w: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Excise and customs duty</w:t>
            </w:r>
          </w:p>
        </w:tc>
        <w:tc>
          <w:tcPr>
            <w:tcW w:w="847" w:type="dxa"/>
            <w:tcBorders>
              <w:left w:val="single" w:sz="4" w:space="0" w:color="3D4D7D" w:themeColor="background2"/>
            </w:tcBorders>
            <w:vAlign w:val="center"/>
            <w:hideMark/>
          </w:tcPr>
          <w:p w:rsidR="00B84BD3" w:rsidRDefault="00B84BD3" w:rsidP="00347EE8">
            <w:pPr>
              <w:pStyle w:val="TableHeadingCentred"/>
            </w:pPr>
            <w:r>
              <w:t>38</w:t>
            </w:r>
          </w:p>
        </w:tc>
        <w:tc>
          <w:tcPr>
            <w:tcW w:w="847" w:type="dxa"/>
            <w:tcBorders>
              <w:right w:val="single" w:sz="4" w:space="0" w:color="3D4D7D" w:themeColor="background2"/>
            </w:tcBorders>
            <w:vAlign w:val="center"/>
            <w:hideMark/>
          </w:tcPr>
          <w:p w:rsidR="00B84BD3" w:rsidRDefault="00B84BD3" w:rsidP="00347EE8">
            <w:pPr>
              <w:pStyle w:val="TableHeadingCentred"/>
            </w:pPr>
            <w:r>
              <w:t>64</w:t>
            </w:r>
          </w:p>
        </w:tc>
        <w:tc>
          <w:tcPr>
            <w:tcW w:w="847" w:type="dxa"/>
            <w:tcBorders>
              <w:left w:val="single" w:sz="4" w:space="0" w:color="3D4D7D" w:themeColor="background2"/>
            </w:tcBorders>
            <w:vAlign w:val="center"/>
            <w:hideMark/>
          </w:tcPr>
          <w:p w:rsidR="00B84BD3" w:rsidRDefault="00B84BD3" w:rsidP="00347EE8">
            <w:pPr>
              <w:pStyle w:val="TableHeadingCentred"/>
            </w:pPr>
            <w:r>
              <w:t>2.1</w:t>
            </w:r>
          </w:p>
        </w:tc>
        <w:tc>
          <w:tcPr>
            <w:tcW w:w="847" w:type="dxa"/>
            <w:tcBorders>
              <w:right w:val="single" w:sz="4" w:space="0" w:color="3D4D7D" w:themeColor="background2"/>
            </w:tcBorders>
            <w:vAlign w:val="center"/>
            <w:hideMark/>
          </w:tcPr>
          <w:p w:rsidR="00B84BD3" w:rsidRDefault="00B84BD3" w:rsidP="00347EE8">
            <w:pPr>
              <w:pStyle w:val="TableHeadingCentred"/>
            </w:pPr>
            <w:r>
              <w:t>2.0</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2.4</w:t>
            </w:r>
          </w:p>
        </w:tc>
        <w:tc>
          <w:tcPr>
            <w:tcW w:w="1052" w:type="dxa"/>
            <w:tcBorders>
              <w:left w:val="single" w:sz="4" w:space="0" w:color="3D4D7D" w:themeColor="background2"/>
            </w:tcBorders>
            <w:vAlign w:val="center"/>
            <w:hideMark/>
          </w:tcPr>
          <w:p w:rsidR="00B84BD3" w:rsidRDefault="00B84BD3" w:rsidP="00347EE8">
            <w:pPr>
              <w:pStyle w:val="TableHeadingCentred"/>
            </w:pPr>
            <w:r>
              <w:t>8.0</w:t>
            </w:r>
          </w:p>
        </w:tc>
      </w:tr>
      <w:tr w:rsidR="00B84BD3" w:rsidTr="009D04E4">
        <w:trPr>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Other taxes and charges</w:t>
            </w:r>
          </w:p>
        </w:tc>
        <w:tc>
          <w:tcPr>
            <w:tcW w:w="847" w:type="dxa"/>
            <w:tcBorders>
              <w:left w:val="single" w:sz="4" w:space="0" w:color="3D4D7D" w:themeColor="background2"/>
            </w:tcBorders>
            <w:vAlign w:val="center"/>
            <w:hideMark/>
          </w:tcPr>
          <w:p w:rsidR="00B84BD3" w:rsidRDefault="00B84BD3" w:rsidP="00347EE8">
            <w:pPr>
              <w:pStyle w:val="TableHeadingCentred"/>
            </w:pPr>
            <w:r>
              <w:t>8</w:t>
            </w:r>
          </w:p>
        </w:tc>
        <w:tc>
          <w:tcPr>
            <w:tcW w:w="847" w:type="dxa"/>
            <w:tcBorders>
              <w:right w:val="single" w:sz="4" w:space="0" w:color="3D4D7D" w:themeColor="background2"/>
            </w:tcBorders>
            <w:vAlign w:val="center"/>
            <w:hideMark/>
          </w:tcPr>
          <w:p w:rsidR="00B84BD3" w:rsidRDefault="00B84BD3" w:rsidP="00347EE8">
            <w:pPr>
              <w:pStyle w:val="TableHeadingCentred"/>
            </w:pPr>
            <w:r>
              <w:t>14</w:t>
            </w:r>
          </w:p>
        </w:tc>
        <w:tc>
          <w:tcPr>
            <w:tcW w:w="847" w:type="dxa"/>
            <w:tcBorders>
              <w:left w:val="single" w:sz="4" w:space="0" w:color="3D4D7D" w:themeColor="background2"/>
            </w:tcBorders>
            <w:vAlign w:val="center"/>
            <w:hideMark/>
          </w:tcPr>
          <w:p w:rsidR="00B84BD3" w:rsidRDefault="00B84BD3" w:rsidP="00347EE8">
            <w:pPr>
              <w:pStyle w:val="TableHeadingCentred"/>
            </w:pPr>
            <w:r>
              <w:t>0.4</w:t>
            </w:r>
          </w:p>
        </w:tc>
        <w:tc>
          <w:tcPr>
            <w:tcW w:w="847" w:type="dxa"/>
            <w:tcBorders>
              <w:right w:val="single" w:sz="4" w:space="0" w:color="3D4D7D" w:themeColor="background2"/>
            </w:tcBorders>
            <w:vAlign w:val="center"/>
            <w:hideMark/>
          </w:tcPr>
          <w:p w:rsidR="00B84BD3" w:rsidRDefault="00B84BD3" w:rsidP="00347EE8">
            <w:pPr>
              <w:pStyle w:val="TableHeadingCentred"/>
            </w:pPr>
            <w:r>
              <w:t>0.4</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2.7</w:t>
            </w:r>
          </w:p>
        </w:tc>
        <w:tc>
          <w:tcPr>
            <w:tcW w:w="1052" w:type="dxa"/>
            <w:tcBorders>
              <w:left w:val="single" w:sz="4" w:space="0" w:color="3D4D7D" w:themeColor="background2"/>
            </w:tcBorders>
            <w:vAlign w:val="center"/>
            <w:hideMark/>
          </w:tcPr>
          <w:p w:rsidR="00B84BD3" w:rsidRDefault="00B84BD3" w:rsidP="00347EE8">
            <w:pPr>
              <w:pStyle w:val="TableHeadingCentred"/>
            </w:pPr>
            <w:r>
              <w:t>1.8</w:t>
            </w: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hideMark/>
          </w:tcPr>
          <w:p w:rsidR="00B84BD3" w:rsidRDefault="00B84BD3" w:rsidP="00347EE8">
            <w:pPr>
              <w:pStyle w:val="TableSubheading"/>
              <w:rPr>
                <w:bCs/>
              </w:rPr>
            </w:pPr>
            <w:r>
              <w:rPr>
                <w:bCs/>
              </w:rPr>
              <w:t>Total tax receipts</w:t>
            </w:r>
          </w:p>
        </w:tc>
        <w:tc>
          <w:tcPr>
            <w:tcW w:w="847" w:type="dxa"/>
            <w:tcBorders>
              <w:left w:val="single" w:sz="4" w:space="0" w:color="3D4D7D" w:themeColor="background2"/>
            </w:tcBorders>
            <w:vAlign w:val="center"/>
            <w:hideMark/>
          </w:tcPr>
          <w:p w:rsidR="00B84BD3" w:rsidRDefault="00B84BD3" w:rsidP="00347EE8">
            <w:pPr>
              <w:pStyle w:val="TableHeadingCentred"/>
              <w:rPr>
                <w:b/>
                <w:bCs/>
              </w:rPr>
            </w:pPr>
            <w:r>
              <w:rPr>
                <w:b/>
                <w:bCs/>
              </w:rPr>
              <w:t>416</w:t>
            </w:r>
          </w:p>
        </w:tc>
        <w:tc>
          <w:tcPr>
            <w:tcW w:w="847" w:type="dxa"/>
            <w:tcBorders>
              <w:right w:val="single" w:sz="4" w:space="0" w:color="3D4D7D" w:themeColor="background2"/>
            </w:tcBorders>
            <w:vAlign w:val="center"/>
            <w:hideMark/>
          </w:tcPr>
          <w:p w:rsidR="00B84BD3" w:rsidRDefault="00B84BD3" w:rsidP="00347EE8">
            <w:pPr>
              <w:pStyle w:val="TableHeadingCentred"/>
              <w:rPr>
                <w:b/>
                <w:bCs/>
              </w:rPr>
            </w:pPr>
            <w:r>
              <w:rPr>
                <w:b/>
                <w:bCs/>
              </w:rPr>
              <w:t>749</w:t>
            </w:r>
          </w:p>
        </w:tc>
        <w:tc>
          <w:tcPr>
            <w:tcW w:w="847" w:type="dxa"/>
            <w:tcBorders>
              <w:left w:val="single" w:sz="4" w:space="0" w:color="3D4D7D" w:themeColor="background2"/>
            </w:tcBorders>
            <w:vAlign w:val="center"/>
            <w:hideMark/>
          </w:tcPr>
          <w:p w:rsidR="00B84BD3" w:rsidRDefault="00B84BD3" w:rsidP="00347EE8">
            <w:pPr>
              <w:pStyle w:val="TableHeadingCentred"/>
              <w:rPr>
                <w:b/>
                <w:bCs/>
              </w:rPr>
            </w:pPr>
            <w:r>
              <w:rPr>
                <w:b/>
                <w:bCs/>
              </w:rPr>
              <w:t>22.7</w:t>
            </w:r>
          </w:p>
        </w:tc>
        <w:tc>
          <w:tcPr>
            <w:tcW w:w="847" w:type="dxa"/>
            <w:tcBorders>
              <w:right w:val="single" w:sz="4" w:space="0" w:color="3D4D7D" w:themeColor="background2"/>
            </w:tcBorders>
            <w:vAlign w:val="center"/>
            <w:hideMark/>
          </w:tcPr>
          <w:p w:rsidR="00B84BD3" w:rsidRDefault="00B84BD3" w:rsidP="00347EE8">
            <w:pPr>
              <w:pStyle w:val="TableHeadingCentred"/>
              <w:rPr>
                <w:b/>
                <w:bCs/>
              </w:rPr>
            </w:pPr>
            <w:r>
              <w:rPr>
                <w:b/>
                <w:bCs/>
              </w:rPr>
              <w:t>23.9</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rPr>
                <w:b/>
                <w:bCs/>
              </w:rPr>
            </w:pPr>
            <w:r>
              <w:rPr>
                <w:b/>
                <w:bCs/>
              </w:rPr>
              <w:t>1.2</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rPr>
                <w:b/>
                <w:bCs/>
              </w:rPr>
            </w:pPr>
            <w:r>
              <w:rPr>
                <w:b/>
                <w:bCs/>
              </w:rPr>
              <w:t>3.0</w:t>
            </w:r>
          </w:p>
        </w:tc>
        <w:tc>
          <w:tcPr>
            <w:tcW w:w="1052" w:type="dxa"/>
            <w:tcBorders>
              <w:left w:val="single" w:sz="4" w:space="0" w:color="3D4D7D" w:themeColor="background2"/>
            </w:tcBorders>
            <w:vAlign w:val="center"/>
            <w:hideMark/>
          </w:tcPr>
          <w:p w:rsidR="00B84BD3" w:rsidRDefault="00B84BD3" w:rsidP="00347EE8">
            <w:pPr>
              <w:pStyle w:val="TableHeadingCentred"/>
              <w:rPr>
                <w:b/>
                <w:bCs/>
              </w:rPr>
            </w:pPr>
            <w:r>
              <w:rPr>
                <w:b/>
                <w:bCs/>
              </w:rPr>
              <w:t>93.8</w:t>
            </w:r>
          </w:p>
        </w:tc>
      </w:tr>
      <w:tr w:rsidR="00B84BD3" w:rsidTr="009D04E4">
        <w:trPr>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Non-tax receipts</w:t>
            </w:r>
          </w:p>
        </w:tc>
        <w:tc>
          <w:tcPr>
            <w:tcW w:w="847" w:type="dxa"/>
            <w:tcBorders>
              <w:left w:val="single" w:sz="4" w:space="0" w:color="3D4D7D" w:themeColor="background2"/>
            </w:tcBorders>
            <w:vAlign w:val="center"/>
            <w:hideMark/>
          </w:tcPr>
          <w:p w:rsidR="00B84BD3" w:rsidRDefault="00B84BD3" w:rsidP="00347EE8">
            <w:pPr>
              <w:pStyle w:val="TableHeadingCentred"/>
            </w:pPr>
            <w:r>
              <w:t>29</w:t>
            </w:r>
          </w:p>
        </w:tc>
        <w:tc>
          <w:tcPr>
            <w:tcW w:w="847" w:type="dxa"/>
            <w:tcBorders>
              <w:right w:val="single" w:sz="4" w:space="0" w:color="3D4D7D" w:themeColor="background2"/>
            </w:tcBorders>
            <w:vAlign w:val="center"/>
            <w:hideMark/>
          </w:tcPr>
          <w:p w:rsidR="00B84BD3" w:rsidRDefault="00B84BD3" w:rsidP="00347EE8">
            <w:pPr>
              <w:pStyle w:val="TableHeadingCentred"/>
            </w:pPr>
            <w:r>
              <w:t>50</w:t>
            </w:r>
          </w:p>
        </w:tc>
        <w:tc>
          <w:tcPr>
            <w:tcW w:w="847" w:type="dxa"/>
            <w:tcBorders>
              <w:left w:val="single" w:sz="4" w:space="0" w:color="3D4D7D" w:themeColor="background2"/>
            </w:tcBorders>
            <w:vAlign w:val="center"/>
            <w:hideMark/>
          </w:tcPr>
          <w:p w:rsidR="00B84BD3" w:rsidRDefault="00B84BD3" w:rsidP="00347EE8">
            <w:pPr>
              <w:pStyle w:val="TableHeadingCentred"/>
            </w:pPr>
            <w:r>
              <w:t>1.6</w:t>
            </w:r>
          </w:p>
        </w:tc>
        <w:tc>
          <w:tcPr>
            <w:tcW w:w="847" w:type="dxa"/>
            <w:tcBorders>
              <w:right w:val="single" w:sz="4" w:space="0" w:color="3D4D7D" w:themeColor="background2"/>
            </w:tcBorders>
            <w:vAlign w:val="center"/>
            <w:hideMark/>
          </w:tcPr>
          <w:p w:rsidR="00B84BD3" w:rsidRDefault="00B84BD3" w:rsidP="00347EE8">
            <w:pPr>
              <w:pStyle w:val="TableHeadingCentred"/>
            </w:pPr>
            <w:r>
              <w:t>1.6</w:t>
            </w:r>
          </w:p>
        </w:tc>
        <w:tc>
          <w:tcPr>
            <w:tcW w:w="1281"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0.0</w:t>
            </w:r>
          </w:p>
        </w:tc>
        <w:tc>
          <w:tcPr>
            <w:tcW w:w="1052" w:type="dxa"/>
            <w:tcBorders>
              <w:left w:val="single" w:sz="4" w:space="0" w:color="3D4D7D" w:themeColor="background2"/>
              <w:right w:val="single" w:sz="4" w:space="0" w:color="3D4D7D" w:themeColor="background2"/>
            </w:tcBorders>
            <w:vAlign w:val="center"/>
            <w:hideMark/>
          </w:tcPr>
          <w:p w:rsidR="00B84BD3" w:rsidRDefault="00B84BD3" w:rsidP="00347EE8">
            <w:pPr>
              <w:pStyle w:val="TableHeadingCentred"/>
            </w:pPr>
            <w:r>
              <w:t>2.6</w:t>
            </w:r>
          </w:p>
        </w:tc>
        <w:tc>
          <w:tcPr>
            <w:tcW w:w="1052" w:type="dxa"/>
            <w:tcBorders>
              <w:left w:val="single" w:sz="4" w:space="0" w:color="3D4D7D" w:themeColor="background2"/>
            </w:tcBorders>
            <w:vAlign w:val="center"/>
            <w:hideMark/>
          </w:tcPr>
          <w:p w:rsidR="00B84BD3" w:rsidRDefault="00B84BD3" w:rsidP="00347EE8">
            <w:pPr>
              <w:pStyle w:val="TableHeadingCentred"/>
            </w:pPr>
            <w:r>
              <w:t>6.2</w:t>
            </w: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shd w:val="clear" w:color="auto" w:fill="3D4D7D" w:themeFill="background2"/>
            <w:hideMark/>
          </w:tcPr>
          <w:p w:rsidR="00B84BD3" w:rsidRDefault="00B84BD3" w:rsidP="00347EE8">
            <w:pPr>
              <w:pStyle w:val="TableSubheading"/>
              <w:rPr>
                <w:bCs/>
                <w:color w:val="FFFFFF"/>
              </w:rPr>
            </w:pPr>
            <w:r>
              <w:rPr>
                <w:bCs/>
                <w:color w:val="FFFFFF"/>
              </w:rPr>
              <w:t>Total receipts</w:t>
            </w:r>
          </w:p>
        </w:tc>
        <w:tc>
          <w:tcPr>
            <w:tcW w:w="847" w:type="dxa"/>
            <w:tcBorders>
              <w:lef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445</w:t>
            </w:r>
          </w:p>
        </w:tc>
        <w:tc>
          <w:tcPr>
            <w:tcW w:w="847" w:type="dxa"/>
            <w:tcBorders>
              <w:righ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799</w:t>
            </w:r>
          </w:p>
        </w:tc>
        <w:tc>
          <w:tcPr>
            <w:tcW w:w="847" w:type="dxa"/>
            <w:tcBorders>
              <w:lef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24.3</w:t>
            </w:r>
          </w:p>
        </w:tc>
        <w:tc>
          <w:tcPr>
            <w:tcW w:w="847" w:type="dxa"/>
            <w:tcBorders>
              <w:righ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25.5</w:t>
            </w:r>
          </w:p>
        </w:tc>
        <w:tc>
          <w:tcPr>
            <w:tcW w:w="1281" w:type="dxa"/>
            <w:tcBorders>
              <w:left w:val="single" w:sz="4" w:space="0" w:color="3D4D7D" w:themeColor="background2"/>
              <w:righ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1.2</w:t>
            </w:r>
          </w:p>
        </w:tc>
        <w:tc>
          <w:tcPr>
            <w:tcW w:w="1052" w:type="dxa"/>
            <w:tcBorders>
              <w:left w:val="single" w:sz="4" w:space="0" w:color="3D4D7D" w:themeColor="background2"/>
              <w:righ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3.0</w:t>
            </w:r>
          </w:p>
        </w:tc>
        <w:tc>
          <w:tcPr>
            <w:tcW w:w="1052" w:type="dxa"/>
            <w:tcBorders>
              <w:left w:val="single" w:sz="4" w:space="0" w:color="3D4D7D" w:themeColor="background2"/>
            </w:tcBorders>
            <w:shd w:val="clear" w:color="auto" w:fill="3D4D7D" w:themeFill="background2"/>
            <w:hideMark/>
          </w:tcPr>
          <w:p w:rsidR="00B84BD3" w:rsidRDefault="00B84BD3" w:rsidP="00347EE8">
            <w:pPr>
              <w:pStyle w:val="TableHeadingCentred"/>
              <w:rPr>
                <w:b/>
                <w:bCs/>
                <w:color w:val="FFFFFF"/>
              </w:rPr>
            </w:pPr>
            <w:r>
              <w:rPr>
                <w:b/>
                <w:bCs/>
                <w:color w:val="FFFFFF"/>
              </w:rPr>
              <w:t>100</w:t>
            </w:r>
          </w:p>
        </w:tc>
      </w:tr>
      <w:tr w:rsidR="00B84BD3" w:rsidTr="009D04E4">
        <w:trPr>
          <w:trHeight w:val="320"/>
        </w:trPr>
        <w:tc>
          <w:tcPr>
            <w:tcW w:w="0" w:type="auto"/>
            <w:tcBorders>
              <w:right w:val="single" w:sz="4" w:space="0" w:color="3D4D7D" w:themeColor="background2"/>
            </w:tcBorders>
            <w:noWrap/>
            <w:hideMark/>
          </w:tcPr>
          <w:p w:rsidR="00B84BD3" w:rsidRPr="00CE3169" w:rsidRDefault="00B84BD3" w:rsidP="00347EE8">
            <w:pPr>
              <w:pStyle w:val="TableSubheading"/>
              <w:rPr>
                <w:rFonts w:ascii="Calibri" w:hAnsi="Calibri"/>
                <w:b w:val="0"/>
                <w:bCs/>
                <w:i/>
                <w:iCs/>
                <w:color w:val="2B3B5F"/>
              </w:rPr>
            </w:pPr>
            <w:r w:rsidRPr="00CE3169">
              <w:rPr>
                <w:rFonts w:ascii="Calibri" w:hAnsi="Calibri"/>
                <w:b w:val="0"/>
                <w:bCs/>
                <w:i/>
                <w:iCs/>
                <w:color w:val="2B3B5F"/>
              </w:rPr>
              <w:t>Memorandum item:</w:t>
            </w:r>
          </w:p>
        </w:tc>
        <w:tc>
          <w:tcPr>
            <w:tcW w:w="847" w:type="dxa"/>
            <w:tcBorders>
              <w:left w:val="single" w:sz="4" w:space="0" w:color="3D4D7D" w:themeColor="background2"/>
            </w:tcBorders>
            <w:hideMark/>
          </w:tcPr>
          <w:p w:rsidR="00B84BD3" w:rsidRDefault="00B84BD3" w:rsidP="00347EE8">
            <w:pPr>
              <w:pStyle w:val="TableHeadingCentred"/>
            </w:pPr>
          </w:p>
        </w:tc>
        <w:tc>
          <w:tcPr>
            <w:tcW w:w="847" w:type="dxa"/>
            <w:tcBorders>
              <w:right w:val="single" w:sz="4" w:space="0" w:color="3D4D7D" w:themeColor="background2"/>
            </w:tcBorders>
            <w:hideMark/>
          </w:tcPr>
          <w:p w:rsidR="00B84BD3" w:rsidRDefault="00B84BD3" w:rsidP="00347EE8">
            <w:pPr>
              <w:pStyle w:val="TableHeadingCentred"/>
            </w:pPr>
          </w:p>
        </w:tc>
        <w:tc>
          <w:tcPr>
            <w:tcW w:w="847" w:type="dxa"/>
            <w:tcBorders>
              <w:left w:val="single" w:sz="4" w:space="0" w:color="3D4D7D" w:themeColor="background2"/>
            </w:tcBorders>
            <w:hideMark/>
          </w:tcPr>
          <w:p w:rsidR="00B84BD3" w:rsidRDefault="00B84BD3" w:rsidP="00347EE8">
            <w:pPr>
              <w:pStyle w:val="TableHeadingCentred"/>
            </w:pPr>
          </w:p>
        </w:tc>
        <w:tc>
          <w:tcPr>
            <w:tcW w:w="847" w:type="dxa"/>
            <w:tcBorders>
              <w:right w:val="single" w:sz="4" w:space="0" w:color="3D4D7D" w:themeColor="background2"/>
            </w:tcBorders>
            <w:hideMark/>
          </w:tcPr>
          <w:p w:rsidR="00B84BD3" w:rsidRDefault="00B84BD3" w:rsidP="00347EE8">
            <w:pPr>
              <w:pStyle w:val="TableHeadingCentred"/>
            </w:pPr>
          </w:p>
        </w:tc>
        <w:tc>
          <w:tcPr>
            <w:tcW w:w="1281" w:type="dxa"/>
            <w:tcBorders>
              <w:left w:val="single" w:sz="4" w:space="0" w:color="3D4D7D" w:themeColor="background2"/>
              <w:right w:val="single" w:sz="4" w:space="0" w:color="3D4D7D" w:themeColor="background2"/>
            </w:tcBorders>
            <w:hideMark/>
          </w:tcPr>
          <w:p w:rsidR="00B84BD3" w:rsidRDefault="00B84BD3" w:rsidP="00347EE8">
            <w:pPr>
              <w:pStyle w:val="TableHeadingCentred"/>
            </w:pPr>
          </w:p>
        </w:tc>
        <w:tc>
          <w:tcPr>
            <w:tcW w:w="1052" w:type="dxa"/>
            <w:tcBorders>
              <w:left w:val="single" w:sz="4" w:space="0" w:color="3D4D7D" w:themeColor="background2"/>
              <w:right w:val="single" w:sz="4" w:space="0" w:color="3D4D7D" w:themeColor="background2"/>
            </w:tcBorders>
            <w:hideMark/>
          </w:tcPr>
          <w:p w:rsidR="00B84BD3" w:rsidRDefault="00B84BD3" w:rsidP="00347EE8">
            <w:pPr>
              <w:pStyle w:val="TableHeadingCentred"/>
            </w:pPr>
          </w:p>
        </w:tc>
        <w:tc>
          <w:tcPr>
            <w:tcW w:w="1052" w:type="dxa"/>
            <w:tcBorders>
              <w:left w:val="single" w:sz="4" w:space="0" w:color="3D4D7D" w:themeColor="background2"/>
            </w:tcBorders>
            <w:hideMark/>
          </w:tcPr>
          <w:p w:rsidR="00B84BD3" w:rsidRDefault="00B84BD3" w:rsidP="00347EE8">
            <w:pPr>
              <w:pStyle w:val="TableHeadingCentred"/>
            </w:pPr>
          </w:p>
        </w:tc>
      </w:tr>
      <w:tr w:rsidR="00B84BD3" w:rsidTr="009D04E4">
        <w:trPr>
          <w:cnfStyle w:val="000000100000" w:firstRow="0" w:lastRow="0" w:firstColumn="0" w:lastColumn="0" w:oddVBand="0" w:evenVBand="0" w:oddHBand="1" w:evenHBand="0" w:firstRowFirstColumn="0" w:firstRowLastColumn="0" w:lastRowFirstColumn="0" w:lastRowLastColumn="0"/>
          <w:trHeight w:val="320"/>
        </w:trPr>
        <w:tc>
          <w:tcPr>
            <w:tcW w:w="2219" w:type="dxa"/>
            <w:tcBorders>
              <w:right w:val="single" w:sz="4" w:space="0" w:color="3D4D7D" w:themeColor="background2"/>
            </w:tcBorders>
            <w:hideMark/>
          </w:tcPr>
          <w:p w:rsidR="00B84BD3" w:rsidRPr="00CE3169" w:rsidRDefault="00B84BD3" w:rsidP="00347EE8">
            <w:pPr>
              <w:pStyle w:val="TableSubheading"/>
              <w:rPr>
                <w:b w:val="0"/>
              </w:rPr>
            </w:pPr>
            <w:r w:rsidRPr="00CE3169">
              <w:rPr>
                <w:b w:val="0"/>
              </w:rPr>
              <w:t>Capital gains tax</w:t>
            </w:r>
          </w:p>
        </w:tc>
        <w:tc>
          <w:tcPr>
            <w:tcW w:w="847" w:type="dxa"/>
            <w:tcBorders>
              <w:left w:val="single" w:sz="4" w:space="0" w:color="3D4D7D" w:themeColor="background2"/>
            </w:tcBorders>
            <w:hideMark/>
          </w:tcPr>
          <w:p w:rsidR="00B84BD3" w:rsidRDefault="00B84BD3" w:rsidP="00347EE8">
            <w:pPr>
              <w:pStyle w:val="TableHeadingCentred"/>
            </w:pPr>
            <w:r>
              <w:t>16</w:t>
            </w:r>
          </w:p>
        </w:tc>
        <w:tc>
          <w:tcPr>
            <w:tcW w:w="847" w:type="dxa"/>
            <w:tcBorders>
              <w:right w:val="single" w:sz="4" w:space="0" w:color="3D4D7D" w:themeColor="background2"/>
            </w:tcBorders>
            <w:hideMark/>
          </w:tcPr>
          <w:p w:rsidR="00B84BD3" w:rsidRDefault="00B84BD3" w:rsidP="00347EE8">
            <w:pPr>
              <w:pStyle w:val="TableHeadingCentred"/>
            </w:pPr>
            <w:r>
              <w:t>32</w:t>
            </w:r>
          </w:p>
        </w:tc>
        <w:tc>
          <w:tcPr>
            <w:tcW w:w="847" w:type="dxa"/>
            <w:tcBorders>
              <w:left w:val="single" w:sz="4" w:space="0" w:color="3D4D7D" w:themeColor="background2"/>
            </w:tcBorders>
            <w:hideMark/>
          </w:tcPr>
          <w:p w:rsidR="00B84BD3" w:rsidRDefault="00B84BD3" w:rsidP="00347EE8">
            <w:pPr>
              <w:pStyle w:val="TableHeadingCentred"/>
            </w:pPr>
            <w:r>
              <w:t>0.9</w:t>
            </w:r>
          </w:p>
        </w:tc>
        <w:tc>
          <w:tcPr>
            <w:tcW w:w="847" w:type="dxa"/>
            <w:tcBorders>
              <w:right w:val="single" w:sz="4" w:space="0" w:color="3D4D7D" w:themeColor="background2"/>
            </w:tcBorders>
            <w:hideMark/>
          </w:tcPr>
          <w:p w:rsidR="00B84BD3" w:rsidRDefault="00B84BD3" w:rsidP="00347EE8">
            <w:pPr>
              <w:pStyle w:val="TableHeadingCentred"/>
            </w:pPr>
            <w:r>
              <w:t>1.0</w:t>
            </w:r>
          </w:p>
        </w:tc>
        <w:tc>
          <w:tcPr>
            <w:tcW w:w="1281" w:type="dxa"/>
            <w:tcBorders>
              <w:left w:val="single" w:sz="4" w:space="0" w:color="3D4D7D" w:themeColor="background2"/>
              <w:right w:val="single" w:sz="4" w:space="0" w:color="3D4D7D" w:themeColor="background2"/>
            </w:tcBorders>
            <w:hideMark/>
          </w:tcPr>
          <w:p w:rsidR="00B84BD3" w:rsidRDefault="00B84BD3" w:rsidP="00347EE8">
            <w:pPr>
              <w:pStyle w:val="TableHeadingCentred"/>
            </w:pPr>
            <w:r>
              <w:t>0.1</w:t>
            </w:r>
          </w:p>
        </w:tc>
        <w:tc>
          <w:tcPr>
            <w:tcW w:w="1052" w:type="dxa"/>
            <w:tcBorders>
              <w:left w:val="single" w:sz="4" w:space="0" w:color="3D4D7D" w:themeColor="background2"/>
              <w:right w:val="single" w:sz="4" w:space="0" w:color="3D4D7D" w:themeColor="background2"/>
            </w:tcBorders>
            <w:hideMark/>
          </w:tcPr>
          <w:p w:rsidR="00B84BD3" w:rsidRDefault="00B84BD3" w:rsidP="00347EE8">
            <w:pPr>
              <w:pStyle w:val="TableHeadingCentred"/>
            </w:pPr>
            <w:r>
              <w:t>4.0</w:t>
            </w:r>
          </w:p>
        </w:tc>
        <w:tc>
          <w:tcPr>
            <w:tcW w:w="1052" w:type="dxa"/>
            <w:tcBorders>
              <w:left w:val="single" w:sz="4" w:space="0" w:color="3D4D7D" w:themeColor="background2"/>
            </w:tcBorders>
            <w:hideMark/>
          </w:tcPr>
          <w:p w:rsidR="00B84BD3" w:rsidRDefault="00B84BD3" w:rsidP="00347EE8">
            <w:pPr>
              <w:pStyle w:val="TableHeadingCentred"/>
            </w:pPr>
            <w:r>
              <w:t>4.0</w:t>
            </w:r>
          </w:p>
        </w:tc>
      </w:tr>
    </w:tbl>
    <w:p w:rsidR="00E31F39" w:rsidRDefault="009B16B4" w:rsidP="009B16B4">
      <w:pPr>
        <w:pStyle w:val="Source"/>
        <w:spacing w:after="120"/>
        <w:rPr>
          <w:noProof/>
          <w:lang w:eastAsia="en-AU"/>
        </w:rPr>
      </w:pPr>
      <w:r>
        <w:rPr>
          <w:noProof/>
          <w:lang w:eastAsia="en-AU"/>
        </w:rPr>
        <w:t xml:space="preserve">Source: </w:t>
      </w:r>
      <w:r w:rsidRPr="007A237E">
        <w:rPr>
          <w:noProof/>
          <w:lang w:eastAsia="en-AU"/>
        </w:rPr>
        <w:t>2018</w:t>
      </w:r>
      <w:r w:rsidR="004012E7">
        <w:rPr>
          <w:noProof/>
          <w:lang w:eastAsia="en-AU"/>
        </w:rPr>
        <w:t>-</w:t>
      </w:r>
      <w:r w:rsidRPr="007A237E">
        <w:rPr>
          <w:noProof/>
          <w:lang w:eastAsia="en-AU"/>
        </w:rPr>
        <w:t>19 Budget and PBO analysis.</w:t>
      </w:r>
    </w:p>
    <w:p w:rsidR="00D02956" w:rsidRDefault="00D02956" w:rsidP="00527545">
      <w:pPr>
        <w:pStyle w:val="Heading2"/>
        <w:rPr>
          <w:lang w:eastAsia="en-AU"/>
        </w:rPr>
      </w:pPr>
      <w:bookmarkStart w:id="35" w:name="_Toc523757313"/>
      <w:bookmarkStart w:id="36" w:name="_Toc523758528"/>
      <w:r>
        <w:rPr>
          <w:lang w:eastAsia="en-AU"/>
        </w:rPr>
        <w:t>Risks around projected receipts</w:t>
      </w:r>
      <w:bookmarkEnd w:id="35"/>
      <w:bookmarkEnd w:id="36"/>
    </w:p>
    <w:p w:rsidR="0029733D" w:rsidRPr="009B16B4" w:rsidRDefault="0029733D">
      <w:pPr>
        <w:pStyle w:val="BodyText"/>
      </w:pPr>
      <w:r>
        <w:t>The PBO projections for rece</w:t>
      </w:r>
      <w:r w:rsidR="009B195A">
        <w:t>i</w:t>
      </w:r>
      <w:r>
        <w:t xml:space="preserve">pts </w:t>
      </w:r>
      <w:r w:rsidRPr="009B16B4">
        <w:t>use the economic parameters that underpin the 2018</w:t>
      </w:r>
      <w:r w:rsidR="004012E7">
        <w:t>-</w:t>
      </w:r>
      <w:r w:rsidRPr="009B16B4">
        <w:t xml:space="preserve">19 </w:t>
      </w:r>
      <w:proofErr w:type="gramStart"/>
      <w:r w:rsidRPr="009B16B4">
        <w:t>Budget</w:t>
      </w:r>
      <w:proofErr w:type="gramEnd"/>
      <w:r w:rsidR="008764FD">
        <w:t xml:space="preserve">, which are prepared </w:t>
      </w:r>
      <w:r w:rsidRPr="009B16B4">
        <w:t xml:space="preserve">by the Treasury </w:t>
      </w:r>
      <w:r w:rsidR="006974E5">
        <w:t xml:space="preserve">according to their </w:t>
      </w:r>
      <w:r w:rsidRPr="009B16B4">
        <w:t>medium-term economic projection methodology</w:t>
      </w:r>
      <w:r w:rsidR="009A62F1">
        <w:t>.</w:t>
      </w:r>
      <w:r w:rsidR="006974E5" w:rsidRPr="007979E1">
        <w:rPr>
          <w:rStyle w:val="FootnoteReference"/>
        </w:rPr>
        <w:footnoteReference w:id="7"/>
      </w:r>
      <w:r w:rsidRPr="009B16B4">
        <w:t xml:space="preserve">  As with any medium-term projections, there is uncertainty around the assumptions underpinn</w:t>
      </w:r>
      <w:r w:rsidR="00E31DAF">
        <w:t>ing the parameter projections.</w:t>
      </w:r>
    </w:p>
    <w:p w:rsidR="0029733D" w:rsidRPr="00EB5D54" w:rsidRDefault="0029733D">
      <w:pPr>
        <w:pStyle w:val="BodyText"/>
        <w:rPr>
          <w:rFonts w:cstheme="minorBidi"/>
        </w:rPr>
      </w:pPr>
      <w:r w:rsidRPr="009B16B4">
        <w:t xml:space="preserve">PBO </w:t>
      </w:r>
      <w:r w:rsidR="00EF02F5">
        <w:t>R</w:t>
      </w:r>
      <w:r w:rsidR="00EF02F5" w:rsidRPr="009B16B4">
        <w:t>eport</w:t>
      </w:r>
      <w:r w:rsidR="00EF02F5">
        <w:t xml:space="preserve"> no.</w:t>
      </w:r>
      <w:r w:rsidR="00C320F0">
        <w:t xml:space="preserve"> </w:t>
      </w:r>
      <w:r w:rsidR="00EF02F5">
        <w:t xml:space="preserve">05/2017 </w:t>
      </w:r>
      <w:r w:rsidRPr="00527545">
        <w:rPr>
          <w:i/>
        </w:rPr>
        <w:t>2017</w:t>
      </w:r>
      <w:r w:rsidR="004012E7">
        <w:rPr>
          <w:i/>
        </w:rPr>
        <w:t>-</w:t>
      </w:r>
      <w:r w:rsidRPr="00527545">
        <w:rPr>
          <w:i/>
        </w:rPr>
        <w:t xml:space="preserve">18 Budget medium-term projections: economic scenario </w:t>
      </w:r>
      <w:proofErr w:type="gramStart"/>
      <w:r w:rsidRPr="00527545">
        <w:rPr>
          <w:i/>
        </w:rPr>
        <w:t>analysis</w:t>
      </w:r>
      <w:r w:rsidR="00205AC4">
        <w:rPr>
          <w:i/>
        </w:rPr>
        <w:t>,</w:t>
      </w:r>
      <w:proofErr w:type="gramEnd"/>
      <w:r w:rsidRPr="009B16B4">
        <w:t xml:space="preserve"> showed that Government revenue is particularly sensitive to variations in the growth rate of the nominal economy.  Changes to the economic projections directly translate into revenue projections.</w:t>
      </w:r>
      <w:r w:rsidR="000E1E2B">
        <w:t xml:space="preserve">  This report showed that a</w:t>
      </w:r>
      <w:r w:rsidR="00E31DAF">
        <w:t xml:space="preserve"> structural change in the economy</w:t>
      </w:r>
      <w:r w:rsidR="00FD2DDA">
        <w:t>,</w:t>
      </w:r>
      <w:r w:rsidR="00E31DAF">
        <w:t xml:space="preserve"> such as an enduring change in the rate of productivity </w:t>
      </w:r>
      <w:r w:rsidR="00FD2DDA">
        <w:t>growth,</w:t>
      </w:r>
      <w:r w:rsidR="00E31DAF">
        <w:t xml:space="preserve"> </w:t>
      </w:r>
      <w:r w:rsidR="00FD2DDA">
        <w:t xml:space="preserve">would have a significant and </w:t>
      </w:r>
      <w:r w:rsidR="009B195A" w:rsidRPr="00062B5E">
        <w:rPr>
          <w:rFonts w:cstheme="minorBidi"/>
        </w:rPr>
        <w:t>compounding</w:t>
      </w:r>
      <w:r w:rsidR="00FD2DDA" w:rsidRPr="00062B5E">
        <w:rPr>
          <w:rFonts w:cstheme="minorBidi"/>
        </w:rPr>
        <w:t xml:space="preserve"> effect on tax receipts over time.  A temporary </w:t>
      </w:r>
      <w:r w:rsidR="008764FD" w:rsidRPr="00EB5D54">
        <w:rPr>
          <w:rFonts w:cstheme="minorBidi"/>
        </w:rPr>
        <w:t xml:space="preserve">deviation from the projected economic parameters, such as a slower return </w:t>
      </w:r>
      <w:r w:rsidRPr="00EB5D54">
        <w:rPr>
          <w:rFonts w:cstheme="minorBidi"/>
        </w:rPr>
        <w:t xml:space="preserve">to trend wages growth than </w:t>
      </w:r>
      <w:r w:rsidR="008764FD" w:rsidRPr="00EB5D54">
        <w:rPr>
          <w:rFonts w:cstheme="minorBidi"/>
        </w:rPr>
        <w:t xml:space="preserve">is </w:t>
      </w:r>
      <w:r w:rsidRPr="00EB5D54">
        <w:rPr>
          <w:rFonts w:cstheme="minorBidi"/>
        </w:rPr>
        <w:t xml:space="preserve">currently projected, </w:t>
      </w:r>
      <w:r w:rsidR="008764FD" w:rsidRPr="00EB5D54">
        <w:rPr>
          <w:rFonts w:cstheme="minorBidi"/>
        </w:rPr>
        <w:t xml:space="preserve">would weaken </w:t>
      </w:r>
      <w:r w:rsidRPr="00EB5D54">
        <w:rPr>
          <w:rFonts w:cstheme="minorBidi"/>
        </w:rPr>
        <w:t>tax receipts</w:t>
      </w:r>
      <w:r w:rsidR="00205AC4" w:rsidRPr="00EB5D54">
        <w:rPr>
          <w:rFonts w:cstheme="minorBidi"/>
        </w:rPr>
        <w:t xml:space="preserve"> for a period</w:t>
      </w:r>
      <w:r w:rsidR="008764FD" w:rsidRPr="00EB5D54">
        <w:rPr>
          <w:rFonts w:cstheme="minorBidi"/>
        </w:rPr>
        <w:t>.</w:t>
      </w:r>
    </w:p>
    <w:p w:rsidR="00A66526" w:rsidRPr="00062B5E" w:rsidRDefault="00020D22" w:rsidP="00EB5D54">
      <w:pPr>
        <w:spacing w:before="120"/>
        <w:rPr>
          <w:rFonts w:cs="Times New Roman"/>
        </w:rPr>
      </w:pPr>
      <w:r>
        <w:t>The project</w:t>
      </w:r>
      <w:r w:rsidR="000E1E2B">
        <w:t xml:space="preserve">ions for </w:t>
      </w:r>
      <w:r>
        <w:t>receipts over the medium term are dependent on above-trend economic growth for much of the period and a return to trend wages growth.</w:t>
      </w:r>
      <w:r w:rsidR="00A66526">
        <w:t xml:space="preserve">  </w:t>
      </w:r>
      <w:r w:rsidR="00F55C0A">
        <w:t>Based on the 2018-19 Budget, tax receipts will not reach the Government’s tax-to-GDP cap of 23.9 per cent of GDP until 2027</w:t>
      </w:r>
      <w:r w:rsidR="004012E7">
        <w:t>-</w:t>
      </w:r>
      <w:r w:rsidR="00F55C0A">
        <w:t>28, although this may now be achieved earlier with the recent company tax decision.  Any weakness in receipts before the tax cap is reached will flow through directly to the budget bottom line.</w:t>
      </w:r>
    </w:p>
    <w:p w:rsidR="0029733D" w:rsidRDefault="008764FD" w:rsidP="00527545">
      <w:pPr>
        <w:pStyle w:val="BodyText"/>
      </w:pPr>
      <w:r w:rsidRPr="009B16B4">
        <w:t xml:space="preserve">Our projections are also subject to </w:t>
      </w:r>
      <w:r>
        <w:t>r</w:t>
      </w:r>
      <w:r w:rsidRPr="009B16B4">
        <w:t xml:space="preserve">isk from trends in the tax system that could lead to revenue being weaker than projected.  PBO </w:t>
      </w:r>
      <w:r w:rsidR="008A3911">
        <w:t>R</w:t>
      </w:r>
      <w:r w:rsidRPr="009B16B4">
        <w:t xml:space="preserve">eport </w:t>
      </w:r>
      <w:r w:rsidR="008A3911">
        <w:t xml:space="preserve">no. 02/2018 </w:t>
      </w:r>
      <w:r w:rsidRPr="0032635F">
        <w:rPr>
          <w:i/>
        </w:rPr>
        <w:t>Trends affecting the sustainability of Commonwealth taxes</w:t>
      </w:r>
      <w:r w:rsidRPr="009B16B4">
        <w:t xml:space="preserve"> outlined that there are significant downside risks to a number of Commonwealth taxes, most notably taxes on consumption, including the GST and excises on fuel, alcohol and tobacco</w:t>
      </w:r>
      <w:r w:rsidR="008979B0">
        <w:t xml:space="preserve"> (see Box </w:t>
      </w:r>
      <w:r w:rsidR="00F50A9D">
        <w:t>3</w:t>
      </w:r>
      <w:r w:rsidR="008979B0">
        <w:t>).</w:t>
      </w:r>
    </w:p>
    <w:p w:rsidR="008979B0" w:rsidRDefault="001110D9" w:rsidP="00527545">
      <w:pPr>
        <w:pStyle w:val="BodyText"/>
      </w:pPr>
      <w:r>
        <w:t>W</w:t>
      </w:r>
      <w:r w:rsidR="008979B0" w:rsidRPr="009B16B4">
        <w:t xml:space="preserve">eaknesses in the consumption tax base would likely mean one of </w:t>
      </w:r>
      <w:r w:rsidR="008979B0">
        <w:t>three</w:t>
      </w:r>
      <w:r w:rsidR="008979B0" w:rsidRPr="009B16B4">
        <w:t xml:space="preserve"> things: </w:t>
      </w:r>
      <w:r w:rsidR="008979B0">
        <w:t xml:space="preserve"> </w:t>
      </w:r>
      <w:r w:rsidR="008979B0" w:rsidRPr="009B16B4">
        <w:t>either receipts would be lower and therefore the UCB surplus would be smaller than our central projections; other taxes will need to increase in order to achieve our central tax projections</w:t>
      </w:r>
      <w:r w:rsidR="008979B0">
        <w:t xml:space="preserve">; or, if the weakness </w:t>
      </w:r>
      <w:r w:rsidR="00431F62">
        <w:t>is</w:t>
      </w:r>
      <w:r w:rsidR="008979B0">
        <w:t xml:space="preserve"> in the GST base, the states and territories would be worse off</w:t>
      </w:r>
      <w:r w:rsidR="008979B0" w:rsidRPr="009B16B4">
        <w:t>.</w:t>
      </w:r>
      <w:r w:rsidR="008979B0" w:rsidRPr="00004271">
        <w:rPr>
          <w:rStyle w:val="FootnoteReference"/>
        </w:rPr>
        <w:t xml:space="preserve"> </w:t>
      </w:r>
    </w:p>
    <w:p w:rsidR="008979B0" w:rsidRDefault="001110D9" w:rsidP="00527545">
      <w:pPr>
        <w:spacing w:before="120"/>
      </w:pPr>
      <w:r>
        <w:t xml:space="preserve">In the absence of policy change, </w:t>
      </w:r>
      <w:r w:rsidR="00366AEE">
        <w:t xml:space="preserve">weaker economic projections or </w:t>
      </w:r>
      <w:r>
        <w:t>l</w:t>
      </w:r>
      <w:r w:rsidR="008979B0">
        <w:t xml:space="preserve">ower consumption taxes </w:t>
      </w:r>
      <w:r w:rsidR="00366AEE">
        <w:t xml:space="preserve">(other than the GST) </w:t>
      </w:r>
      <w:r w:rsidR="008979B0">
        <w:t xml:space="preserve">would result in a weaker underlying cash balance </w:t>
      </w:r>
      <w:r w:rsidR="009B195A">
        <w:t>in</w:t>
      </w:r>
      <w:r w:rsidR="008979B0">
        <w:t xml:space="preserve"> the period </w:t>
      </w:r>
      <w:r>
        <w:t>up to 2027</w:t>
      </w:r>
      <w:r w:rsidR="004012E7">
        <w:t>-</w:t>
      </w:r>
      <w:r>
        <w:t>28</w:t>
      </w:r>
      <w:r w:rsidR="00366AEE">
        <w:t xml:space="preserve">, given that, over </w:t>
      </w:r>
      <w:r>
        <w:t>this period, t</w:t>
      </w:r>
      <w:r w:rsidR="008979B0">
        <w:t xml:space="preserve">he tax-to-GDP cap </w:t>
      </w:r>
      <w:r>
        <w:t xml:space="preserve">is not projected to </w:t>
      </w:r>
      <w:r w:rsidR="002E7557">
        <w:t>b</w:t>
      </w:r>
      <w:r>
        <w:t>ind.</w:t>
      </w:r>
    </w:p>
    <w:p w:rsidR="001C468F" w:rsidRDefault="001C468F" w:rsidP="00527545">
      <w:pPr>
        <w:spacing w:before="120"/>
        <w:rPr>
          <w:lang w:eastAsia="en-AU"/>
        </w:rPr>
      </w:pPr>
    </w:p>
    <w:tbl>
      <w:tblPr>
        <w:tblStyle w:val="BoxPlaceholder"/>
        <w:tblW w:w="8789" w:type="dxa"/>
        <w:tblLayout w:type="fixed"/>
        <w:tblLook w:val="04A0" w:firstRow="1" w:lastRow="0" w:firstColumn="1" w:lastColumn="0" w:noHBand="0" w:noVBand="1"/>
      </w:tblPr>
      <w:tblGrid>
        <w:gridCol w:w="8789"/>
      </w:tblGrid>
      <w:tr w:rsidR="009B16B4" w:rsidTr="00E160BB">
        <w:tc>
          <w:tcPr>
            <w:tcW w:w="9071" w:type="dxa"/>
          </w:tcPr>
          <w:p w:rsidR="009B16B4" w:rsidRPr="00844FC4" w:rsidRDefault="009B16B4" w:rsidP="00E160BB">
            <w:pPr>
              <w:pStyle w:val="CaptionLeft"/>
              <w:rPr>
                <w:sz w:val="28"/>
                <w:szCs w:val="28"/>
              </w:rPr>
            </w:pPr>
            <w:r w:rsidRPr="00844FC4">
              <w:rPr>
                <w:sz w:val="28"/>
                <w:szCs w:val="28"/>
              </w:rPr>
              <w:t xml:space="preserve">Box </w:t>
            </w:r>
            <w:r w:rsidR="008E3AC0" w:rsidRPr="00844FC4">
              <w:rPr>
                <w:sz w:val="28"/>
                <w:szCs w:val="28"/>
              </w:rPr>
              <w:fldChar w:fldCharType="begin"/>
            </w:r>
            <w:r w:rsidR="008E3AC0" w:rsidRPr="00844FC4">
              <w:rPr>
                <w:sz w:val="28"/>
                <w:szCs w:val="28"/>
              </w:rPr>
              <w:instrText xml:space="preserve"> SEQ Box \* ARABIC </w:instrText>
            </w:r>
            <w:r w:rsidR="008E3AC0" w:rsidRPr="00844FC4">
              <w:rPr>
                <w:sz w:val="28"/>
                <w:szCs w:val="28"/>
              </w:rPr>
              <w:fldChar w:fldCharType="separate"/>
            </w:r>
            <w:r w:rsidR="002828FF">
              <w:rPr>
                <w:noProof/>
                <w:sz w:val="28"/>
                <w:szCs w:val="28"/>
              </w:rPr>
              <w:t>3</w:t>
            </w:r>
            <w:r w:rsidR="008E3AC0" w:rsidRPr="00844FC4">
              <w:rPr>
                <w:noProof/>
                <w:sz w:val="28"/>
                <w:szCs w:val="28"/>
              </w:rPr>
              <w:fldChar w:fldCharType="end"/>
            </w:r>
            <w:r w:rsidRPr="00844FC4">
              <w:rPr>
                <w:sz w:val="28"/>
                <w:szCs w:val="28"/>
              </w:rPr>
              <w:t xml:space="preserve">: </w:t>
            </w:r>
            <w:r w:rsidR="008979B0">
              <w:rPr>
                <w:sz w:val="28"/>
                <w:szCs w:val="28"/>
              </w:rPr>
              <w:t>Risks to revenue from consumption tax trends</w:t>
            </w:r>
            <w:r w:rsidR="001F114F" w:rsidRPr="007979E1">
              <w:rPr>
                <w:rStyle w:val="FootnoteReference"/>
              </w:rPr>
              <w:footnoteReference w:id="8"/>
            </w:r>
          </w:p>
          <w:p w:rsidR="00E23718" w:rsidRDefault="00E23718" w:rsidP="00500EEC">
            <w:pPr>
              <w:pStyle w:val="BodyText"/>
            </w:pPr>
            <w:r>
              <w:t xml:space="preserve">Trends in tax receipts can shift over time as a result of changes in policy and the economic environment, as well as changes in the behaviour of individuals, companies, and other entities.  These changes were discussed in the PBO report </w:t>
            </w:r>
            <w:r w:rsidRPr="00EB506A">
              <w:rPr>
                <w:i/>
              </w:rPr>
              <w:t>Trends affecting the sustainability of Commonwealth taxes</w:t>
            </w:r>
            <w:r>
              <w:t>.</w:t>
            </w:r>
          </w:p>
          <w:p w:rsidR="009B16B4" w:rsidRPr="009B16B4" w:rsidRDefault="00366AEE" w:rsidP="00500EEC">
            <w:pPr>
              <w:pStyle w:val="BodyText"/>
            </w:pPr>
            <w:r>
              <w:t>There are four c</w:t>
            </w:r>
            <w:r w:rsidR="008979B0">
              <w:t xml:space="preserve">onsumption tax </w:t>
            </w:r>
            <w:r w:rsidR="009B16B4" w:rsidRPr="009B16B4">
              <w:t xml:space="preserve">trends that pose a </w:t>
            </w:r>
            <w:r>
              <w:t xml:space="preserve">particular </w:t>
            </w:r>
            <w:r w:rsidR="009B16B4" w:rsidRPr="009B16B4">
              <w:t>risk to tax receipts</w:t>
            </w:r>
            <w:r>
              <w:t>.</w:t>
            </w:r>
          </w:p>
          <w:p w:rsidR="009B16B4" w:rsidRPr="009B16B4" w:rsidRDefault="009B16B4" w:rsidP="00EB5D54">
            <w:pPr>
              <w:pStyle w:val="ListBullet"/>
            </w:pPr>
            <w:r>
              <w:t>T</w:t>
            </w:r>
            <w:r w:rsidRPr="009B16B4">
              <w:t>he proportion of household spending on goods and services that are subject to the GST has fall</w:t>
            </w:r>
            <w:r w:rsidR="00F117EE">
              <w:t xml:space="preserve">en </w:t>
            </w:r>
            <w:r w:rsidR="00593496">
              <w:t>steadily</w:t>
            </w:r>
            <w:r w:rsidRPr="009B16B4">
              <w:t xml:space="preserve"> since the introduction of the GST in 2000</w:t>
            </w:r>
            <w:r w:rsidR="004012E7">
              <w:t>-</w:t>
            </w:r>
            <w:r w:rsidRPr="009B16B4">
              <w:t>01.</w:t>
            </w:r>
            <w:r w:rsidR="00EB5D54">
              <w:t xml:space="preserve"> </w:t>
            </w:r>
            <w:r w:rsidRPr="009B16B4">
              <w:t xml:space="preserve"> </w:t>
            </w:r>
            <w:r>
              <w:t>T</w:t>
            </w:r>
            <w:r w:rsidRPr="009B16B4">
              <w:t xml:space="preserve">his is largely due to households allocating a larger share of their spending towards goods and services that are </w:t>
            </w:r>
            <w:r w:rsidR="00471476" w:rsidRPr="009B16B4">
              <w:t xml:space="preserve">GST </w:t>
            </w:r>
            <w:r w:rsidRPr="009B16B4">
              <w:t>exempt, including housing, health, and education.</w:t>
            </w:r>
          </w:p>
          <w:p w:rsidR="009B16B4" w:rsidRPr="009B16B4" w:rsidRDefault="009B16B4" w:rsidP="009B16B4">
            <w:pPr>
              <w:pStyle w:val="ListBullet"/>
            </w:pPr>
            <w:r w:rsidRPr="009B16B4">
              <w:t>The average fuel consumption for passenger vehicles has fall</w:t>
            </w:r>
            <w:r w:rsidR="00F117EE">
              <w:t>en</w:t>
            </w:r>
            <w:r w:rsidRPr="009B16B4">
              <w:t xml:space="preserve"> since the mid-2000s meaning that households are consuming less fuel per kilometre driven.</w:t>
            </w:r>
          </w:p>
          <w:p w:rsidR="009B16B4" w:rsidRPr="009B16B4" w:rsidRDefault="009B16B4" w:rsidP="009B16B4">
            <w:pPr>
              <w:pStyle w:val="ListBullet"/>
            </w:pPr>
            <w:r w:rsidRPr="009B16B4">
              <w:t xml:space="preserve">Alcohol consumption per capita </w:t>
            </w:r>
            <w:r w:rsidR="00F117EE">
              <w:t>has fallen</w:t>
            </w:r>
            <w:r w:rsidRPr="009B16B4">
              <w:t>, and at the same time, consumption patterns</w:t>
            </w:r>
            <w:r w:rsidR="00F117EE">
              <w:t xml:space="preserve"> have moved </w:t>
            </w:r>
            <w:r w:rsidRPr="009B16B4">
              <w:t>away from higher taxed products (beer) towards lower taxed products (wine).</w:t>
            </w:r>
          </w:p>
          <w:p w:rsidR="009B16B4" w:rsidRPr="009B16B4" w:rsidRDefault="009B16B4" w:rsidP="009B16B4">
            <w:pPr>
              <w:pStyle w:val="ListBullet"/>
            </w:pPr>
            <w:r w:rsidRPr="009B16B4">
              <w:t>Increases in the cost of tobacco products from excise rate increases and the lower take up of smoking by younger people have resulted in the proportion of adults who are daily smokers falling from 22.4 per ce</w:t>
            </w:r>
            <w:r>
              <w:t xml:space="preserve">nt in </w:t>
            </w:r>
            <w:r w:rsidRPr="00AC4090">
              <w:t>2001</w:t>
            </w:r>
            <w:r>
              <w:t xml:space="preserve"> to 14.5 per cent in </w:t>
            </w:r>
            <w:r w:rsidRPr="009B16B4">
              <w:t>2014</w:t>
            </w:r>
            <w:r w:rsidR="004012E7">
              <w:t>-</w:t>
            </w:r>
            <w:r w:rsidRPr="009B16B4">
              <w:t>15.</w:t>
            </w:r>
          </w:p>
          <w:p w:rsidR="00082EAE" w:rsidRDefault="009B16B4" w:rsidP="00EB506A">
            <w:pPr>
              <w:pStyle w:val="BodyText"/>
            </w:pPr>
            <w:r w:rsidRPr="009D6FBE">
              <w:t xml:space="preserve">A continuation of these observed trends over the next decade, which are not </w:t>
            </w:r>
            <w:r w:rsidR="002972CD" w:rsidRPr="009D6FBE">
              <w:t xml:space="preserve">currently </w:t>
            </w:r>
            <w:r w:rsidRPr="009D6FBE">
              <w:t>factored into the economic parameters, is projected to result in lower taxation receipts from consumption taxes compare</w:t>
            </w:r>
            <w:r w:rsidR="00690B63" w:rsidRPr="009D6FBE">
              <w:t xml:space="preserve">d to our central projections.  </w:t>
            </w:r>
            <w:r w:rsidR="000E1E2B" w:rsidRPr="009D6FBE">
              <w:t>The magnitude of this impact could be between ¼ and ½ per cent of GDP.</w:t>
            </w:r>
            <w:r w:rsidR="001F114F" w:rsidRPr="007979E1">
              <w:rPr>
                <w:rStyle w:val="FootnoteReference"/>
              </w:rPr>
              <w:footnoteReference w:id="9"/>
            </w:r>
            <w:r w:rsidR="000E1E2B" w:rsidRPr="009D6FBE">
              <w:t xml:space="preserve">  </w:t>
            </w:r>
          </w:p>
          <w:p w:rsidR="009B16B4" w:rsidRPr="00233BE7" w:rsidRDefault="009B16B4" w:rsidP="00EB506A">
            <w:pPr>
              <w:pStyle w:val="BodyText"/>
            </w:pPr>
          </w:p>
        </w:tc>
      </w:tr>
    </w:tbl>
    <w:p w:rsidR="00527545" w:rsidRDefault="00527545" w:rsidP="009B16B4">
      <w:pPr>
        <w:rPr>
          <w:lang w:eastAsia="en-AU"/>
        </w:rPr>
      </w:pPr>
    </w:p>
    <w:p w:rsidR="00527545" w:rsidRDefault="00527545" w:rsidP="00527545">
      <w:pPr>
        <w:rPr>
          <w:lang w:eastAsia="en-AU"/>
        </w:rPr>
      </w:pPr>
      <w:r>
        <w:rPr>
          <w:lang w:eastAsia="en-AU"/>
        </w:rPr>
        <w:br w:type="page"/>
      </w:r>
    </w:p>
    <w:p w:rsidR="005E452A" w:rsidRDefault="009B16B4" w:rsidP="009B16B4">
      <w:pPr>
        <w:pStyle w:val="Heading1"/>
      </w:pPr>
      <w:bookmarkStart w:id="37" w:name="_Toc523757314"/>
      <w:bookmarkStart w:id="38" w:name="_Toc523758529"/>
      <w:r w:rsidRPr="009B16B4">
        <w:t>Projected spending</w:t>
      </w:r>
      <w:bookmarkEnd w:id="37"/>
      <w:bookmarkEnd w:id="38"/>
    </w:p>
    <w:p w:rsidR="00F04B95" w:rsidRPr="00F04B95" w:rsidRDefault="00F04B95" w:rsidP="00F04B95">
      <w:pPr>
        <w:pStyle w:val="BodyText"/>
      </w:pPr>
      <w:r>
        <w:t xml:space="preserve">Spending is projected by the </w:t>
      </w:r>
      <w:r w:rsidR="00ED68D8">
        <w:t>G</w:t>
      </w:r>
      <w:r>
        <w:t xml:space="preserve">overnment to decline from </w:t>
      </w:r>
      <w:r w:rsidRPr="00A12DA7">
        <w:t>25.1 per cent of GDP in 2017</w:t>
      </w:r>
      <w:r w:rsidR="004012E7">
        <w:t>-</w:t>
      </w:r>
      <w:r w:rsidRPr="00A12DA7">
        <w:t>18</w:t>
      </w:r>
      <w:r>
        <w:t xml:space="preserve"> to </w:t>
      </w:r>
      <w:r w:rsidR="009D04E4">
        <w:br/>
      </w:r>
      <w:r>
        <w:t>24.7 per cent of GDP by 2021</w:t>
      </w:r>
      <w:r w:rsidR="00132F0D">
        <w:t>-</w:t>
      </w:r>
      <w:r>
        <w:t>22.  Beyond the forward estimates</w:t>
      </w:r>
      <w:r w:rsidR="005B4488">
        <w:t>, and given current policy settings,</w:t>
      </w:r>
      <w:r>
        <w:t xml:space="preserve"> the PBO projects spending to decline further</w:t>
      </w:r>
      <w:r w:rsidR="0049268F">
        <w:t>,</w:t>
      </w:r>
      <w:r>
        <w:t xml:space="preserve"> reaching 24.1 per cent of GDP</w:t>
      </w:r>
      <w:r w:rsidR="0049268F">
        <w:t xml:space="preserve"> by 2028</w:t>
      </w:r>
      <w:r w:rsidR="004012E7">
        <w:t>-</w:t>
      </w:r>
      <w:r w:rsidR="0049268F">
        <w:t>29</w:t>
      </w:r>
      <w:r>
        <w:t xml:space="preserve"> </w:t>
      </w:r>
      <w:r w:rsidR="0049268F">
        <w:t>(</w:t>
      </w:r>
      <w:r w:rsidR="003533B7">
        <w:fldChar w:fldCharType="begin"/>
      </w:r>
      <w:r w:rsidR="003533B7">
        <w:instrText xml:space="preserve"> REF _Ref520987330 \h </w:instrText>
      </w:r>
      <w:r w:rsidR="003533B7">
        <w:fldChar w:fldCharType="separate"/>
      </w:r>
      <w:r w:rsidR="002828FF" w:rsidRPr="00A12DA7">
        <w:t xml:space="preserve">Figure </w:t>
      </w:r>
      <w:r w:rsidR="002828FF">
        <w:rPr>
          <w:noProof/>
        </w:rPr>
        <w:t>4</w:t>
      </w:r>
      <w:r w:rsidR="002828FF" w:rsidRPr="00A12DA7">
        <w:t>–</w:t>
      </w:r>
      <w:r w:rsidR="002828FF">
        <w:rPr>
          <w:noProof/>
        </w:rPr>
        <w:t>1</w:t>
      </w:r>
      <w:r w:rsidR="003533B7">
        <w:fldChar w:fldCharType="end"/>
      </w:r>
      <w:r w:rsidR="0049268F" w:rsidRPr="00A12DA7">
        <w:t>).</w:t>
      </w:r>
    </w:p>
    <w:p w:rsidR="00907536" w:rsidRDefault="00907536" w:rsidP="00A45FA0">
      <w:pPr>
        <w:pStyle w:val="CaptionLeft"/>
      </w:pPr>
    </w:p>
    <w:p w:rsidR="00907536" w:rsidRPr="00A12DA7" w:rsidRDefault="00907536" w:rsidP="00907536">
      <w:pPr>
        <w:pStyle w:val="Caption"/>
      </w:pPr>
      <w:bookmarkStart w:id="39" w:name="_Ref520987330"/>
      <w:r w:rsidRPr="00A12DA7">
        <w:t xml:space="preserve">Figure </w:t>
      </w:r>
      <w:fldSimple w:instr=" STYLEREF 1 \s ">
        <w:r w:rsidR="002828FF">
          <w:rPr>
            <w:noProof/>
          </w:rPr>
          <w:t>4</w:t>
        </w:r>
      </w:fldSimple>
      <w:r w:rsidRPr="00A12DA7">
        <w:t>–</w:t>
      </w:r>
      <w:fldSimple w:instr=" SEQ Figure \* ARABIC \s 1 ">
        <w:r w:rsidR="002828FF">
          <w:rPr>
            <w:noProof/>
          </w:rPr>
          <w:t>1</w:t>
        </w:r>
      </w:fldSimple>
      <w:bookmarkEnd w:id="39"/>
      <w:r w:rsidRPr="00A12DA7">
        <w:t xml:space="preserve">: </w:t>
      </w:r>
      <w:r>
        <w:t>Total spending</w:t>
      </w:r>
    </w:p>
    <w:p w:rsidR="00907536" w:rsidRDefault="00907536" w:rsidP="00A45FA0">
      <w:pPr>
        <w:pStyle w:val="CaptionDescriptor"/>
        <w:rPr>
          <w:noProof/>
          <w:lang w:eastAsia="en-AU"/>
        </w:rPr>
      </w:pPr>
      <w:r w:rsidRPr="00907536">
        <w:t>Per cent of GDP</w:t>
      </w:r>
      <w:r>
        <w:rPr>
          <w:noProof/>
          <w:lang w:eastAsia="en-AU"/>
        </w:rPr>
        <w:t xml:space="preserve"> </w:t>
      </w:r>
    </w:p>
    <w:p w:rsidR="00232C61" w:rsidRDefault="00C90CC9" w:rsidP="00907536">
      <w:pPr>
        <w:pStyle w:val="BodyText"/>
        <w:jc w:val="center"/>
      </w:pPr>
      <w:r>
        <w:rPr>
          <w:noProof/>
          <w:lang w:eastAsia="en-AU"/>
        </w:rPr>
        <w:drawing>
          <wp:inline distT="0" distB="0" distL="0" distR="0" wp14:anchorId="1261A802" wp14:editId="4777014F">
            <wp:extent cx="5650173" cy="3650102"/>
            <wp:effectExtent l="0" t="0" r="825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63588" cy="3658768"/>
                    </a:xfrm>
                    <a:prstGeom prst="rect">
                      <a:avLst/>
                    </a:prstGeom>
                    <a:noFill/>
                  </pic:spPr>
                </pic:pic>
              </a:graphicData>
            </a:graphic>
          </wp:inline>
        </w:drawing>
      </w:r>
    </w:p>
    <w:p w:rsidR="00666026" w:rsidRDefault="00907536" w:rsidP="00907536">
      <w:pPr>
        <w:pStyle w:val="Source"/>
        <w:rPr>
          <w:noProof/>
          <w:lang w:eastAsia="en-AU"/>
        </w:rPr>
      </w:pPr>
      <w:r>
        <w:t xml:space="preserve">Source: </w:t>
      </w:r>
      <w:r w:rsidRPr="007A237E">
        <w:rPr>
          <w:noProof/>
          <w:lang w:eastAsia="en-AU"/>
        </w:rPr>
        <w:t>2018</w:t>
      </w:r>
      <w:r w:rsidR="004012E7">
        <w:rPr>
          <w:noProof/>
          <w:lang w:eastAsia="en-AU"/>
        </w:rPr>
        <w:t>-</w:t>
      </w:r>
      <w:r w:rsidRPr="007A237E">
        <w:rPr>
          <w:noProof/>
          <w:lang w:eastAsia="en-AU"/>
        </w:rPr>
        <w:t>19 Budget and PBO analysis.</w:t>
      </w:r>
    </w:p>
    <w:p w:rsidR="0049268F" w:rsidRDefault="0049268F" w:rsidP="00A45FA0">
      <w:pPr>
        <w:pStyle w:val="BodyTextAfterListTable"/>
      </w:pPr>
      <w:r>
        <w:t xml:space="preserve">The decline in spending </w:t>
      </w:r>
      <w:r w:rsidR="005B4488">
        <w:t xml:space="preserve">as a per cent of GDP </w:t>
      </w:r>
      <w:r>
        <w:t>over the next decade reflects the ongoing impact of policy changes and spending restraint that have seen the growth across a number of key payments slow significantly over the past five years (</w:t>
      </w:r>
      <w:r w:rsidR="007A7381">
        <w:t xml:space="preserve">see </w:t>
      </w:r>
      <w:r>
        <w:t xml:space="preserve">Box </w:t>
      </w:r>
      <w:r w:rsidR="00F50A9D">
        <w:t>4</w:t>
      </w:r>
      <w:r>
        <w:t>).  The decline occurs notwithstanding the increase in spending on the National Disability Insurance Scheme (NDIS), which contributes to the uptick in spending in 2018</w:t>
      </w:r>
      <w:r w:rsidR="004012E7">
        <w:t>-</w:t>
      </w:r>
      <w:r>
        <w:t xml:space="preserve">19 as the </w:t>
      </w:r>
      <w:r w:rsidR="005F1B4E">
        <w:t>NDIS</w:t>
      </w:r>
      <w:r>
        <w:t xml:space="preserve"> </w:t>
      </w:r>
      <w:r w:rsidR="00B438E6">
        <w:t xml:space="preserve">approaches </w:t>
      </w:r>
      <w:r>
        <w:t>maturity.</w:t>
      </w:r>
    </w:p>
    <w:p w:rsidR="001E1360" w:rsidRDefault="006B3440" w:rsidP="0049268F">
      <w:pPr>
        <w:pStyle w:val="BodyText"/>
        <w:rPr>
          <w:lang w:eastAsia="en-AU"/>
        </w:rPr>
      </w:pPr>
      <w:r>
        <w:rPr>
          <w:lang w:eastAsia="en-AU"/>
        </w:rPr>
        <w:t>While receipts are more closely linked to economic growth, changes in nominal GDP will, amongst other things, affect spending when expressed as a proportion of GDP.</w:t>
      </w:r>
      <w:r w:rsidRPr="007979E1">
        <w:rPr>
          <w:rStyle w:val="FootnoteReference"/>
        </w:rPr>
        <w:footnoteReference w:id="10"/>
      </w:r>
      <w:r>
        <w:rPr>
          <w:lang w:eastAsia="en-AU"/>
        </w:rPr>
        <w:t xml:space="preserve">  To the extent that nominal GDP over the next decade </w:t>
      </w:r>
      <w:r w:rsidR="00AE0CFA">
        <w:rPr>
          <w:lang w:eastAsia="en-AU"/>
        </w:rPr>
        <w:t>is higher (lower) than that</w:t>
      </w:r>
      <w:r>
        <w:rPr>
          <w:lang w:eastAsia="en-AU"/>
        </w:rPr>
        <w:t xml:space="preserve"> underlying our projections, the</w:t>
      </w:r>
      <w:r w:rsidR="00AE0CFA">
        <w:rPr>
          <w:lang w:eastAsia="en-AU"/>
        </w:rPr>
        <w:t>n</w:t>
      </w:r>
      <w:r>
        <w:rPr>
          <w:lang w:eastAsia="en-AU"/>
        </w:rPr>
        <w:t xml:space="preserve"> </w:t>
      </w:r>
      <w:r w:rsidR="00AE0CFA">
        <w:rPr>
          <w:lang w:eastAsia="en-AU"/>
        </w:rPr>
        <w:t>spending</w:t>
      </w:r>
      <w:r>
        <w:rPr>
          <w:lang w:eastAsia="en-AU"/>
        </w:rPr>
        <w:t xml:space="preserve"> as a </w:t>
      </w:r>
      <w:r w:rsidR="00AE0CFA">
        <w:rPr>
          <w:lang w:eastAsia="en-AU"/>
        </w:rPr>
        <w:t>proportion of GDP will be lower (higher)</w:t>
      </w:r>
      <w:r>
        <w:rPr>
          <w:lang w:eastAsia="en-AU"/>
        </w:rPr>
        <w:t>.</w:t>
      </w:r>
    </w:p>
    <w:p w:rsidR="00ED68D8" w:rsidRDefault="000C542F" w:rsidP="0049268F">
      <w:pPr>
        <w:pStyle w:val="BodyText"/>
      </w:pPr>
      <w:r>
        <w:t>As a</w:t>
      </w:r>
      <w:r w:rsidR="004F73BE">
        <w:t xml:space="preserve">n </w:t>
      </w:r>
      <w:r w:rsidR="009212DA">
        <w:t>alternative</w:t>
      </w:r>
      <w:r>
        <w:t>, it is instructive to examine</w:t>
      </w:r>
      <w:r w:rsidR="004F73BE">
        <w:t xml:space="preserve"> spending adjusted for inflation and population growth.  </w:t>
      </w:r>
      <w:r w:rsidR="003533B7">
        <w:fldChar w:fldCharType="begin"/>
      </w:r>
      <w:r w:rsidR="003533B7">
        <w:instrText xml:space="preserve"> REF _Ref520987297 \h </w:instrText>
      </w:r>
      <w:r w:rsidR="003533B7">
        <w:fldChar w:fldCharType="separate"/>
      </w:r>
      <w:r w:rsidR="002828FF" w:rsidRPr="00A12DA7">
        <w:t xml:space="preserve">Figure </w:t>
      </w:r>
      <w:r w:rsidR="002828FF">
        <w:rPr>
          <w:noProof/>
        </w:rPr>
        <w:t>4</w:t>
      </w:r>
      <w:r w:rsidR="002828FF" w:rsidRPr="00A12DA7">
        <w:t>–</w:t>
      </w:r>
      <w:r w:rsidR="002828FF">
        <w:rPr>
          <w:noProof/>
        </w:rPr>
        <w:t>2</w:t>
      </w:r>
      <w:r w:rsidR="003533B7">
        <w:fldChar w:fldCharType="end"/>
      </w:r>
      <w:r w:rsidR="003533B7">
        <w:t xml:space="preserve"> </w:t>
      </w:r>
      <w:r w:rsidR="004F73BE">
        <w:t xml:space="preserve">illustrates </w:t>
      </w:r>
      <w:r w:rsidR="0049268F">
        <w:t xml:space="preserve">that </w:t>
      </w:r>
      <w:r w:rsidR="004F73BE">
        <w:t xml:space="preserve">while </w:t>
      </w:r>
      <w:r w:rsidR="0049268F">
        <w:t xml:space="preserve">government spending </w:t>
      </w:r>
      <w:r w:rsidR="004F73BE">
        <w:t>is projected to de</w:t>
      </w:r>
      <w:r w:rsidR="0049268F">
        <w:t xml:space="preserve">cline as a proportion of GDP, </w:t>
      </w:r>
      <w:r w:rsidR="005F1B4E">
        <w:t xml:space="preserve">government spending per person </w:t>
      </w:r>
      <w:r w:rsidR="0049268F">
        <w:t xml:space="preserve">is still projected to grow </w:t>
      </w:r>
      <w:r w:rsidR="004F73BE">
        <w:t>over the next decade</w:t>
      </w:r>
      <w:r w:rsidR="00ED68D8">
        <w:t xml:space="preserve"> in real terms</w:t>
      </w:r>
      <w:r w:rsidR="004F73BE">
        <w:t xml:space="preserve">.  Over the forward estimates period the Government projects that real per capita spending will increase </w:t>
      </w:r>
      <w:r w:rsidR="00F431CB">
        <w:t>by 0.</w:t>
      </w:r>
      <w:r w:rsidR="003F1F84">
        <w:t>2</w:t>
      </w:r>
      <w:r w:rsidR="0049268F">
        <w:t xml:space="preserve"> per cent </w:t>
      </w:r>
      <w:r w:rsidR="007A7381">
        <w:t>per year</w:t>
      </w:r>
      <w:r w:rsidR="004F73BE">
        <w:t>.  Beyond the forward estimates the PBO p</w:t>
      </w:r>
      <w:r w:rsidR="00F431CB">
        <w:t>ro</w:t>
      </w:r>
      <w:r w:rsidR="00391D30">
        <w:t xml:space="preserve">jects that </w:t>
      </w:r>
      <w:r w:rsidR="005F1B4E">
        <w:t xml:space="preserve">it </w:t>
      </w:r>
      <w:r w:rsidR="00391D30">
        <w:t xml:space="preserve">will </w:t>
      </w:r>
      <w:r w:rsidR="005F1B4E">
        <w:t>increase by</w:t>
      </w:r>
      <w:r w:rsidR="00391D30">
        <w:t xml:space="preserve"> 1.</w:t>
      </w:r>
      <w:r w:rsidR="007A7381">
        <w:t>0 per </w:t>
      </w:r>
      <w:r w:rsidR="004F73BE">
        <w:t xml:space="preserve">cent </w:t>
      </w:r>
      <w:r w:rsidR="007A7381">
        <w:t>per year</w:t>
      </w:r>
      <w:r w:rsidR="004F73BE">
        <w:t>.</w:t>
      </w:r>
    </w:p>
    <w:p w:rsidR="0049268F" w:rsidRPr="00CF5B71" w:rsidRDefault="0049268F" w:rsidP="00CF5B71">
      <w:pPr>
        <w:pStyle w:val="Caption"/>
      </w:pPr>
    </w:p>
    <w:p w:rsidR="00907536" w:rsidRPr="00A12DA7" w:rsidRDefault="00907536" w:rsidP="00907536">
      <w:pPr>
        <w:pStyle w:val="Caption"/>
      </w:pPr>
      <w:bookmarkStart w:id="40" w:name="_Ref520987297"/>
      <w:r w:rsidRPr="00A12DA7">
        <w:t xml:space="preserve">Figure </w:t>
      </w:r>
      <w:fldSimple w:instr=" STYLEREF 1 \s ">
        <w:r w:rsidR="002828FF">
          <w:rPr>
            <w:noProof/>
          </w:rPr>
          <w:t>4</w:t>
        </w:r>
      </w:fldSimple>
      <w:r w:rsidRPr="00A12DA7">
        <w:t>–</w:t>
      </w:r>
      <w:fldSimple w:instr=" SEQ Figure \* ARABIC \s 1 ">
        <w:r w:rsidR="002828FF">
          <w:rPr>
            <w:noProof/>
          </w:rPr>
          <w:t>2</w:t>
        </w:r>
      </w:fldSimple>
      <w:bookmarkEnd w:id="40"/>
      <w:r w:rsidRPr="00A12DA7">
        <w:t xml:space="preserve">: </w:t>
      </w:r>
      <w:r>
        <w:t>Total spending</w:t>
      </w:r>
    </w:p>
    <w:p w:rsidR="00907536" w:rsidRDefault="00907536" w:rsidP="00CF5B71">
      <w:pPr>
        <w:pStyle w:val="CaptionDescriptor"/>
      </w:pPr>
      <w:r w:rsidRPr="00907536">
        <w:t>Real per capita, 2017</w:t>
      </w:r>
      <w:r w:rsidR="004012E7">
        <w:t>-</w:t>
      </w:r>
      <w:r w:rsidRPr="00907536">
        <w:t>18 dollars</w:t>
      </w:r>
    </w:p>
    <w:p w:rsidR="00F04B95" w:rsidRPr="00907536" w:rsidRDefault="00F04B95" w:rsidP="00907536">
      <w:pPr>
        <w:pStyle w:val="BodyText"/>
        <w:spacing w:before="0"/>
        <w:jc w:val="center"/>
        <w:rPr>
          <w:rFonts w:cstheme="minorBidi"/>
          <w:bCs/>
          <w:color w:val="3D4D7D" w:themeColor="background2"/>
          <w:sz w:val="20"/>
        </w:rPr>
      </w:pPr>
    </w:p>
    <w:p w:rsidR="00907536" w:rsidRPr="00907536" w:rsidRDefault="002E3181" w:rsidP="006B3440">
      <w:pPr>
        <w:jc w:val="center"/>
        <w:rPr>
          <w:lang w:eastAsia="en-AU"/>
        </w:rPr>
      </w:pPr>
      <w:r>
        <w:rPr>
          <w:noProof/>
          <w:lang w:eastAsia="en-AU"/>
        </w:rPr>
        <w:drawing>
          <wp:inline distT="0" distB="0" distL="0" distR="0" wp14:anchorId="3B7A1076" wp14:editId="54D653C3">
            <wp:extent cx="5704764" cy="3675036"/>
            <wp:effectExtent l="0" t="0" r="0" b="19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04885" cy="3675114"/>
                    </a:xfrm>
                    <a:prstGeom prst="rect">
                      <a:avLst/>
                    </a:prstGeom>
                    <a:noFill/>
                  </pic:spPr>
                </pic:pic>
              </a:graphicData>
            </a:graphic>
          </wp:inline>
        </w:drawing>
      </w:r>
    </w:p>
    <w:p w:rsidR="00AE0CFA" w:rsidRDefault="00AE0CFA" w:rsidP="00AE0CFA">
      <w:pPr>
        <w:pStyle w:val="Source"/>
        <w:rPr>
          <w:noProof/>
          <w:lang w:eastAsia="en-AU"/>
        </w:rPr>
      </w:pPr>
      <w:r>
        <w:t xml:space="preserve">Source: </w:t>
      </w:r>
      <w:r w:rsidRPr="007A237E">
        <w:rPr>
          <w:noProof/>
          <w:lang w:eastAsia="en-AU"/>
        </w:rPr>
        <w:t>2018</w:t>
      </w:r>
      <w:r w:rsidR="004012E7">
        <w:rPr>
          <w:noProof/>
          <w:lang w:eastAsia="en-AU"/>
        </w:rPr>
        <w:t>-</w:t>
      </w:r>
      <w:r w:rsidRPr="007A237E">
        <w:rPr>
          <w:noProof/>
          <w:lang w:eastAsia="en-AU"/>
        </w:rPr>
        <w:t>19 Budget and PBO analysis.</w:t>
      </w:r>
    </w:p>
    <w:p w:rsidR="00E83758" w:rsidRDefault="000C542F" w:rsidP="00A45FA0">
      <w:pPr>
        <w:pStyle w:val="BodyTextAfterListTable"/>
      </w:pPr>
      <w:r>
        <w:t xml:space="preserve">As already discussed, </w:t>
      </w:r>
      <w:r w:rsidR="006D5F0F">
        <w:t>the PBO’s projections are based on the policy settings underlying the 2018</w:t>
      </w:r>
      <w:r w:rsidR="004012E7">
        <w:t>-</w:t>
      </w:r>
      <w:r w:rsidR="006D5F0F">
        <w:t>19 Budget assuming no change to these settings over the medium term.  That is, the PBO does not make an explicit allowance against particular programs for new policy decisions</w:t>
      </w:r>
      <w:r>
        <w:t xml:space="preserve"> other than in </w:t>
      </w:r>
      <w:r w:rsidR="00E83758">
        <w:t xml:space="preserve">two areas </w:t>
      </w:r>
      <w:r w:rsidR="007A7381">
        <w:t>–</w:t>
      </w:r>
      <w:r w:rsidR="007A7381" w:rsidDel="007A7381">
        <w:t xml:space="preserve"> </w:t>
      </w:r>
      <w:r w:rsidR="00E83758">
        <w:t xml:space="preserve">infrastructure and pharmaceutical benefits </w:t>
      </w:r>
      <w:r w:rsidR="007A7381">
        <w:t>(</w:t>
      </w:r>
      <w:r w:rsidR="00E83758">
        <w:t>see Appendix B for further detail)</w:t>
      </w:r>
      <w:r w:rsidR="006D5F0F">
        <w:t xml:space="preserve">. </w:t>
      </w:r>
      <w:r w:rsidR="00E83758">
        <w:t xml:space="preserve"> Ongoing spending restraint is therefore embodied in these projections.</w:t>
      </w:r>
    </w:p>
    <w:p w:rsidR="006C37BA" w:rsidRDefault="00E83758" w:rsidP="006C37BA">
      <w:pPr>
        <w:pStyle w:val="BodyText"/>
      </w:pPr>
      <w:r>
        <w:t xml:space="preserve">Projections for </w:t>
      </w:r>
      <w:r w:rsidR="00AE0CFA">
        <w:t xml:space="preserve">spending </w:t>
      </w:r>
      <w:r>
        <w:t xml:space="preserve">at a program level </w:t>
      </w:r>
      <w:r w:rsidR="00AE0CFA">
        <w:t>are explored in more detail below.</w:t>
      </w:r>
    </w:p>
    <w:p w:rsidR="00765085" w:rsidRDefault="00765085" w:rsidP="006C37BA">
      <w:pPr>
        <w:pStyle w:val="BodyText"/>
      </w:pPr>
    </w:p>
    <w:p w:rsidR="00765085" w:rsidRDefault="00765085" w:rsidP="00765085">
      <w:pPr>
        <w:tabs>
          <w:tab w:val="left" w:pos="454"/>
        </w:tabs>
        <w:autoSpaceDE w:val="0"/>
        <w:autoSpaceDN w:val="0"/>
        <w:adjustRightInd w:val="0"/>
        <w:spacing w:after="113" w:line="240" w:lineRule="auto"/>
        <w:ind w:left="454" w:hanging="454"/>
        <w:rPr>
          <w:rFonts w:ascii="Times New Roman" w:hAnsi="Times New Roman" w:cs="Times New Roman"/>
        </w:rPr>
      </w:pPr>
    </w:p>
    <w:tbl>
      <w:tblPr>
        <w:tblStyle w:val="BoxPlaceholder"/>
        <w:tblW w:w="8789" w:type="dxa"/>
        <w:tblLayout w:type="fixed"/>
        <w:tblLook w:val="04A0" w:firstRow="1" w:lastRow="0" w:firstColumn="1" w:lastColumn="0" w:noHBand="0" w:noVBand="1"/>
      </w:tblPr>
      <w:tblGrid>
        <w:gridCol w:w="8789"/>
      </w:tblGrid>
      <w:tr w:rsidR="007E2496" w:rsidTr="004A3BD6">
        <w:tc>
          <w:tcPr>
            <w:tcW w:w="8789" w:type="dxa"/>
          </w:tcPr>
          <w:p w:rsidR="007E2496" w:rsidRPr="00844FC4" w:rsidRDefault="007E2496" w:rsidP="004A3BD6">
            <w:pPr>
              <w:pStyle w:val="CaptionLeft"/>
              <w:rPr>
                <w:sz w:val="28"/>
                <w:szCs w:val="28"/>
              </w:rPr>
            </w:pPr>
            <w:r w:rsidRPr="00844FC4">
              <w:rPr>
                <w:sz w:val="28"/>
                <w:szCs w:val="28"/>
              </w:rPr>
              <w:t xml:space="preserve">Box </w:t>
            </w:r>
            <w:r w:rsidRPr="00844FC4">
              <w:rPr>
                <w:sz w:val="28"/>
                <w:szCs w:val="28"/>
              </w:rPr>
              <w:fldChar w:fldCharType="begin"/>
            </w:r>
            <w:r w:rsidRPr="00844FC4">
              <w:rPr>
                <w:sz w:val="28"/>
                <w:szCs w:val="28"/>
              </w:rPr>
              <w:instrText xml:space="preserve"> SEQ Box \* ARABIC </w:instrText>
            </w:r>
            <w:r w:rsidRPr="00844FC4">
              <w:rPr>
                <w:sz w:val="28"/>
                <w:szCs w:val="28"/>
              </w:rPr>
              <w:fldChar w:fldCharType="separate"/>
            </w:r>
            <w:r w:rsidR="002828FF">
              <w:rPr>
                <w:noProof/>
                <w:sz w:val="28"/>
                <w:szCs w:val="28"/>
              </w:rPr>
              <w:t>4</w:t>
            </w:r>
            <w:r w:rsidRPr="00844FC4">
              <w:rPr>
                <w:sz w:val="28"/>
                <w:szCs w:val="28"/>
              </w:rPr>
              <w:fldChar w:fldCharType="end"/>
            </w:r>
            <w:r w:rsidRPr="00844FC4">
              <w:rPr>
                <w:sz w:val="28"/>
                <w:szCs w:val="28"/>
              </w:rPr>
              <w:t>: Historical and projected spending growth</w:t>
            </w:r>
          </w:p>
          <w:p w:rsidR="007E2496" w:rsidRPr="006C37BA" w:rsidRDefault="00271A3D" w:rsidP="004A3BD6">
            <w:pPr>
              <w:pStyle w:val="BodyText"/>
            </w:pPr>
            <w:r>
              <w:t xml:space="preserve">The analysis in this Box </w:t>
            </w:r>
            <w:r w:rsidR="007E2496" w:rsidRPr="006C37BA">
              <w:t xml:space="preserve">provides some historical context for the projected growth in spending.  It </w:t>
            </w:r>
            <w:r>
              <w:t xml:space="preserve">examines </w:t>
            </w:r>
            <w:r w:rsidR="007E2496" w:rsidRPr="006C37BA">
              <w:t>real growth in spending in</w:t>
            </w:r>
            <w:r>
              <w:t xml:space="preserve"> </w:t>
            </w:r>
            <w:r w:rsidR="007E2496" w:rsidRPr="006C37BA">
              <w:t xml:space="preserve">five distinct periods, </w:t>
            </w:r>
            <w:r>
              <w:t xml:space="preserve">to </w:t>
            </w:r>
            <w:r w:rsidR="007E2496">
              <w:t xml:space="preserve">abstract </w:t>
            </w:r>
            <w:r w:rsidR="007E2496" w:rsidRPr="006C37BA">
              <w:t>from some of the artificial ‘lumpiness’ in government spending</w:t>
            </w:r>
            <w:r>
              <w:t xml:space="preserve"> from one year to the next</w:t>
            </w:r>
            <w:r w:rsidR="007E2496" w:rsidRPr="006C37BA">
              <w:t>.</w:t>
            </w:r>
            <w:r w:rsidR="007E2496" w:rsidRPr="007979E1">
              <w:rPr>
                <w:rStyle w:val="FootnoteReference"/>
              </w:rPr>
              <w:footnoteReference w:id="11"/>
            </w:r>
            <w:r w:rsidR="007E2496" w:rsidRPr="006C37BA">
              <w:t xml:space="preserve">  </w:t>
            </w:r>
          </w:p>
          <w:p w:rsidR="007E2496" w:rsidRPr="006C37BA" w:rsidRDefault="00271A3D" w:rsidP="004A3BD6">
            <w:pPr>
              <w:pStyle w:val="BodyText"/>
            </w:pPr>
            <w:r>
              <w:t xml:space="preserve">As illustrated in </w:t>
            </w:r>
            <w:r>
              <w:fldChar w:fldCharType="begin"/>
            </w:r>
            <w:r>
              <w:instrText xml:space="preserve"> REF _Ref520383993 \h </w:instrText>
            </w:r>
            <w:r>
              <w:fldChar w:fldCharType="separate"/>
            </w:r>
            <w:r w:rsidR="002828FF" w:rsidRPr="006C37BA">
              <w:t xml:space="preserve">Figure </w:t>
            </w:r>
            <w:r w:rsidR="002828FF">
              <w:rPr>
                <w:noProof/>
              </w:rPr>
              <w:t>4</w:t>
            </w:r>
            <w:r w:rsidR="002828FF" w:rsidRPr="006C37BA">
              <w:t>–</w:t>
            </w:r>
            <w:r w:rsidR="002828FF">
              <w:rPr>
                <w:noProof/>
              </w:rPr>
              <w:t>3</w:t>
            </w:r>
            <w:r>
              <w:fldChar w:fldCharType="end"/>
            </w:r>
            <w:r>
              <w:t>, f</w:t>
            </w:r>
            <w:r w:rsidR="007E2496" w:rsidRPr="006C37BA">
              <w:t>rom 1992</w:t>
            </w:r>
            <w:r w:rsidR="004012E7">
              <w:t>-</w:t>
            </w:r>
            <w:r w:rsidR="007E2496" w:rsidRPr="006C37BA">
              <w:t>93 through to 2006</w:t>
            </w:r>
            <w:r w:rsidR="004012E7">
              <w:t>-</w:t>
            </w:r>
            <w:r w:rsidR="007E2496" w:rsidRPr="006C37BA">
              <w:t xml:space="preserve">07, the period between economic downturns in Australia, real </w:t>
            </w:r>
            <w:r w:rsidR="007E2496">
              <w:t xml:space="preserve">annual </w:t>
            </w:r>
            <w:r w:rsidR="007E2496" w:rsidRPr="006C37BA">
              <w:t>growth in spending averaged 3.2 per cent.  From 2007</w:t>
            </w:r>
            <w:r w:rsidR="004012E7">
              <w:t>-</w:t>
            </w:r>
            <w:r w:rsidR="007E2496" w:rsidRPr="006C37BA">
              <w:t>08 to 2011</w:t>
            </w:r>
            <w:r w:rsidR="004012E7">
              <w:t>-</w:t>
            </w:r>
            <w:r w:rsidR="007E2496" w:rsidRPr="006C37BA">
              <w:t>12, spending growth spiked with the onset of the global financial crisis (GFC) and associated stimulus (averaging 4.9 per cent annually).  Spending growth has fallen sharply in the aftermath of the GFC, averaging 1.5 per cent annually.</w:t>
            </w:r>
          </w:p>
          <w:p w:rsidR="007E2496" w:rsidRDefault="007E2496" w:rsidP="004A3BD6">
            <w:pPr>
              <w:pStyle w:val="BodyText"/>
            </w:pPr>
            <w:r w:rsidRPr="006C37BA">
              <w:t xml:space="preserve">The Government’s forward estimates and our projections </w:t>
            </w:r>
            <w:r w:rsidR="00271A3D">
              <w:t>imply</w:t>
            </w:r>
            <w:r w:rsidRPr="006C37BA">
              <w:t xml:space="preserve"> that growth will </w:t>
            </w:r>
            <w:r w:rsidR="00391D30">
              <w:t>rebound somewhat (to 1.</w:t>
            </w:r>
            <w:r w:rsidR="00EB2012">
              <w:t>8</w:t>
            </w:r>
            <w:r w:rsidR="00391D30">
              <w:t xml:space="preserve"> and 2.4</w:t>
            </w:r>
            <w:r w:rsidRPr="006C37BA">
              <w:t xml:space="preserve"> per cent respectively), but not return to the rates experienced prior to the GFC.  </w:t>
            </w:r>
          </w:p>
          <w:p w:rsidR="00844FC4" w:rsidRDefault="00844FC4" w:rsidP="004A3BD6">
            <w:pPr>
              <w:pStyle w:val="BodyText"/>
            </w:pPr>
          </w:p>
          <w:p w:rsidR="007E2496" w:rsidRDefault="007E2496" w:rsidP="004A3BD6">
            <w:pPr>
              <w:pStyle w:val="Caption"/>
            </w:pPr>
            <w:bookmarkStart w:id="41" w:name="_Ref520383993"/>
            <w:r w:rsidRPr="006C37BA">
              <w:t xml:space="preserve">Figure </w:t>
            </w:r>
            <w:fldSimple w:instr=" STYLEREF 1 \s ">
              <w:r w:rsidR="002828FF">
                <w:rPr>
                  <w:noProof/>
                </w:rPr>
                <w:t>4</w:t>
              </w:r>
            </w:fldSimple>
            <w:r w:rsidRPr="006C37BA">
              <w:t>–</w:t>
            </w:r>
            <w:fldSimple w:instr=" SEQ Figure \* ARABIC \s 1 ">
              <w:r w:rsidR="002828FF">
                <w:rPr>
                  <w:noProof/>
                </w:rPr>
                <w:t>3</w:t>
              </w:r>
            </w:fldSimple>
            <w:bookmarkEnd w:id="41"/>
            <w:r w:rsidRPr="006C37BA">
              <w:t>: Historical and projected real payments growth</w:t>
            </w:r>
          </w:p>
          <w:p w:rsidR="007E2496" w:rsidRPr="006C37BA" w:rsidRDefault="001E1361" w:rsidP="00844FC4">
            <w:pPr>
              <w:pStyle w:val="CaptionDescriptor"/>
            </w:pPr>
            <w:r>
              <w:rPr>
                <w:noProof/>
                <w:lang w:eastAsia="en-AU"/>
              </w:rPr>
              <w:drawing>
                <wp:inline distT="0" distB="0" distL="0" distR="0" wp14:anchorId="3D5831F6" wp14:editId="7B818733">
                  <wp:extent cx="5296444" cy="2743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03621" cy="2746917"/>
                          </a:xfrm>
                          <a:prstGeom prst="rect">
                            <a:avLst/>
                          </a:prstGeom>
                          <a:noFill/>
                        </pic:spPr>
                      </pic:pic>
                    </a:graphicData>
                  </a:graphic>
                </wp:inline>
              </w:drawing>
            </w:r>
          </w:p>
          <w:p w:rsidR="007E2496" w:rsidRDefault="007E2496" w:rsidP="004A3BD6">
            <w:pPr>
              <w:pStyle w:val="Source"/>
            </w:pPr>
            <w:r>
              <w:t xml:space="preserve">Source: </w:t>
            </w:r>
            <w:r w:rsidRPr="009E1A95">
              <w:t>2018</w:t>
            </w:r>
            <w:r w:rsidR="004012E7">
              <w:t>-</w:t>
            </w:r>
            <w:r w:rsidRPr="009E1A95">
              <w:t>19 Budget and PBO analysis.</w:t>
            </w:r>
          </w:p>
          <w:p w:rsidR="007E2496" w:rsidRDefault="007E2496" w:rsidP="00A45FA0">
            <w:pPr>
              <w:pStyle w:val="BodyTextAfterListTable"/>
            </w:pPr>
            <w:r>
              <w:t xml:space="preserve">One of the most striking features of </w:t>
            </w:r>
            <w:r>
              <w:fldChar w:fldCharType="begin"/>
            </w:r>
            <w:r>
              <w:instrText xml:space="preserve"> REF _Ref520383993 \h </w:instrText>
            </w:r>
            <w:r>
              <w:fldChar w:fldCharType="separate"/>
            </w:r>
            <w:r w:rsidR="002828FF" w:rsidRPr="006C37BA">
              <w:t xml:space="preserve">Figure </w:t>
            </w:r>
            <w:r w:rsidR="002828FF">
              <w:rPr>
                <w:noProof/>
              </w:rPr>
              <w:t>4</w:t>
            </w:r>
            <w:r w:rsidR="002828FF" w:rsidRPr="006C37BA">
              <w:t>–</w:t>
            </w:r>
            <w:r w:rsidR="002828FF">
              <w:rPr>
                <w:noProof/>
              </w:rPr>
              <w:t>3</w:t>
            </w:r>
            <w:r>
              <w:fldChar w:fldCharType="end"/>
            </w:r>
            <w:r>
              <w:t xml:space="preserve"> is the decline in spending growth over the past five years.  A key factor behind this has been policy restraint – </w:t>
            </w:r>
            <w:r w:rsidR="007A7381">
              <w:t xml:space="preserve">a </w:t>
            </w:r>
            <w:r>
              <w:t xml:space="preserve">stemming </w:t>
            </w:r>
            <w:r w:rsidR="007A7381">
              <w:t xml:space="preserve">in </w:t>
            </w:r>
            <w:r>
              <w:t xml:space="preserve">the flow of new spending decisions and </w:t>
            </w:r>
            <w:r w:rsidR="007A7381">
              <w:t xml:space="preserve">a </w:t>
            </w:r>
            <w:r>
              <w:t xml:space="preserve">tightening </w:t>
            </w:r>
            <w:r w:rsidR="007A7381">
              <w:t xml:space="preserve">of </w:t>
            </w:r>
            <w:r>
              <w:t xml:space="preserve">eligibility for payments.  </w:t>
            </w:r>
          </w:p>
          <w:p w:rsidR="007E2496" w:rsidRDefault="007E2496" w:rsidP="004A3BD6">
            <w:pPr>
              <w:pStyle w:val="BodyText"/>
            </w:pPr>
            <w:r>
              <w:t xml:space="preserve">This has occurred across a range of major payment programs including the Age Pension, Medicare, Family Tax Benefit, Disability Support Pension, pharmaceutical benefits and carer income support.  These payments experienced strong growth prior to (and during) the GFC, but recent growth has been more subdued.  Policy decisions have played a key role in this restraint (see Appendix C for more detail). </w:t>
            </w:r>
          </w:p>
          <w:p w:rsidR="007E2496" w:rsidRPr="00233BE7" w:rsidRDefault="007E2496" w:rsidP="004A3BD6">
            <w:pPr>
              <w:pStyle w:val="BodyText"/>
            </w:pPr>
            <w:r>
              <w:t xml:space="preserve">The above analysis also highlights that anchoring expectations of future growth in spending to longer term historical </w:t>
            </w:r>
            <w:r w:rsidR="00271A3D">
              <w:t>trends</w:t>
            </w:r>
            <w:r>
              <w:t xml:space="preserve"> may no longer be appropriate.  For many programs</w:t>
            </w:r>
            <w:r w:rsidR="002E2BB5">
              <w:t>,</w:t>
            </w:r>
            <w:r>
              <w:t xml:space="preserve"> the rules around eligibility, the regime for assessing compliance, or the benefit paid by government are fundamentally different from those applying a decade ago.</w:t>
            </w:r>
          </w:p>
        </w:tc>
      </w:tr>
    </w:tbl>
    <w:p w:rsidR="00321DD0" w:rsidRPr="00321DD0" w:rsidRDefault="002E2BB5" w:rsidP="00321DD0">
      <w:pPr>
        <w:pStyle w:val="Heading2"/>
      </w:pPr>
      <w:bookmarkStart w:id="42" w:name="_Toc523757315"/>
      <w:bookmarkStart w:id="43" w:name="_Toc523758530"/>
      <w:r>
        <w:t>Spending growth by program</w:t>
      </w:r>
      <w:bookmarkEnd w:id="42"/>
      <w:bookmarkEnd w:id="43"/>
    </w:p>
    <w:p w:rsidR="00AC6174" w:rsidRDefault="00AC6174" w:rsidP="00AC6174">
      <w:pPr>
        <w:pStyle w:val="BodyText"/>
      </w:pPr>
      <w:r>
        <w:t xml:space="preserve">The largest </w:t>
      </w:r>
      <w:r w:rsidR="002E2BB5">
        <w:t>contributor to</w:t>
      </w:r>
      <w:r w:rsidR="00CA3323">
        <w:t xml:space="preserve"> the growth </w:t>
      </w:r>
      <w:r>
        <w:t>in spending over the next decade is spending on the NDIS (</w:t>
      </w:r>
      <w:r w:rsidR="003533B7">
        <w:fldChar w:fldCharType="begin"/>
      </w:r>
      <w:r w:rsidR="003533B7">
        <w:instrText xml:space="preserve"> REF _Ref520987247 \h </w:instrText>
      </w:r>
      <w:r w:rsidR="003533B7">
        <w:fldChar w:fldCharType="separate"/>
      </w:r>
      <w:r w:rsidR="002828FF" w:rsidRPr="00321DD0">
        <w:t xml:space="preserve">Figure </w:t>
      </w:r>
      <w:r w:rsidR="002828FF">
        <w:rPr>
          <w:noProof/>
        </w:rPr>
        <w:t>4</w:t>
      </w:r>
      <w:r w:rsidR="002828FF" w:rsidRPr="00321DD0">
        <w:t>–</w:t>
      </w:r>
      <w:r w:rsidR="002828FF">
        <w:rPr>
          <w:noProof/>
        </w:rPr>
        <w:t>4</w:t>
      </w:r>
      <w:r w:rsidR="003533B7">
        <w:fldChar w:fldCharType="end"/>
      </w:r>
      <w:r>
        <w:t>), which is projected to increase by 0.6 per cent of GDP.  Growth in NDIS spending is expected to increase significantly up to 2019</w:t>
      </w:r>
      <w:r w:rsidR="004012E7">
        <w:t>-</w:t>
      </w:r>
      <w:r>
        <w:t>20 at which point the scheme achieves national coverage.  Beyond 2019</w:t>
      </w:r>
      <w:r w:rsidR="004012E7">
        <w:t>-</w:t>
      </w:r>
      <w:r>
        <w:t xml:space="preserve">20 spending growth is expected to stabilise as the </w:t>
      </w:r>
      <w:r w:rsidR="008F39EF">
        <w:t xml:space="preserve">NDIS </w:t>
      </w:r>
      <w:r>
        <w:t>matures.</w:t>
      </w:r>
    </w:p>
    <w:p w:rsidR="00CA3323" w:rsidRPr="00A12DA7" w:rsidRDefault="00CA3323" w:rsidP="00CA3323">
      <w:pPr>
        <w:pStyle w:val="BodyText"/>
      </w:pPr>
      <w:r>
        <w:t>Aged care spending is project</w:t>
      </w:r>
      <w:r w:rsidR="00391D30">
        <w:t>ed by the PBO to increase by 0.3</w:t>
      </w:r>
      <w:r>
        <w:t xml:space="preserve"> per cent of GDP over the next decade.  We project spending on aged care will continue to rise beyond the forward estimates reflecting the impact of the ageing population on the demand for aged care services.</w:t>
      </w:r>
    </w:p>
    <w:p w:rsidR="00CA3323" w:rsidRDefault="00CA3323" w:rsidP="00CA3323">
      <w:pPr>
        <w:pStyle w:val="BodyText"/>
      </w:pPr>
      <w:r>
        <w:t>The PBO projects defence spending to increase by 0.2 per cent of GDP over the next decade reflecting the Government’s funding commitments in the 2016 Defence White Paper.  There is uncertainty around the projections in individual years, given that the acquisition of military equipment is inherently ‘lumpy’ in nature and can be subject to changes in the timing of delivery.</w:t>
      </w:r>
    </w:p>
    <w:p w:rsidR="00CA3323" w:rsidRDefault="00CA3323" w:rsidP="00AC6174">
      <w:pPr>
        <w:pStyle w:val="Caption"/>
      </w:pPr>
    </w:p>
    <w:p w:rsidR="00AC6174" w:rsidRDefault="00AC6174" w:rsidP="00AC6174">
      <w:pPr>
        <w:pStyle w:val="Caption"/>
      </w:pPr>
      <w:bookmarkStart w:id="44" w:name="_Ref520987247"/>
      <w:r w:rsidRPr="00321DD0">
        <w:t xml:space="preserve">Figure </w:t>
      </w:r>
      <w:fldSimple w:instr=" STYLEREF 1 \s ">
        <w:r w:rsidR="002828FF">
          <w:rPr>
            <w:noProof/>
          </w:rPr>
          <w:t>4</w:t>
        </w:r>
      </w:fldSimple>
      <w:r w:rsidRPr="00321DD0">
        <w:t>–</w:t>
      </w:r>
      <w:fldSimple w:instr=" SEQ Figure \* ARABIC \s 1 ">
        <w:r w:rsidR="002828FF">
          <w:rPr>
            <w:noProof/>
          </w:rPr>
          <w:t>4</w:t>
        </w:r>
      </w:fldSimple>
      <w:bookmarkEnd w:id="44"/>
      <w:r w:rsidRPr="00321DD0">
        <w:t xml:space="preserve">: </w:t>
      </w:r>
      <w:r w:rsidR="002E2BB5">
        <w:t>P</w:t>
      </w:r>
      <w:r w:rsidRPr="00321DD0">
        <w:t>rojected spending over the next decade</w:t>
      </w:r>
    </w:p>
    <w:p w:rsidR="004E1F6D" w:rsidRDefault="00AC6174" w:rsidP="004E1F6D">
      <w:pPr>
        <w:pStyle w:val="CaptionDescriptor"/>
      </w:pPr>
      <w:r w:rsidRPr="00321DD0">
        <w:t>Change from 2017</w:t>
      </w:r>
      <w:r w:rsidR="004012E7">
        <w:t>-</w:t>
      </w:r>
      <w:r w:rsidRPr="00321DD0">
        <w:t>18 to 2028</w:t>
      </w:r>
      <w:r w:rsidR="004012E7">
        <w:t>-</w:t>
      </w:r>
      <w:r w:rsidRPr="00321DD0">
        <w:t>29</w:t>
      </w:r>
    </w:p>
    <w:p w:rsidR="00AC6174" w:rsidRPr="00321DD0" w:rsidRDefault="00935DCF" w:rsidP="005A6E75">
      <w:pPr>
        <w:pStyle w:val="CaptionDescriptor"/>
      </w:pPr>
      <w:r>
        <w:rPr>
          <w:noProof/>
          <w:lang w:eastAsia="en-AU"/>
        </w:rPr>
        <w:drawing>
          <wp:inline distT="0" distB="0" distL="0" distR="0" wp14:anchorId="332CB1C1" wp14:editId="54AC071D">
            <wp:extent cx="5790730" cy="3626864"/>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94783" cy="3629403"/>
                    </a:xfrm>
                    <a:prstGeom prst="rect">
                      <a:avLst/>
                    </a:prstGeom>
                    <a:noFill/>
                  </pic:spPr>
                </pic:pic>
              </a:graphicData>
            </a:graphic>
          </wp:inline>
        </w:drawing>
      </w:r>
    </w:p>
    <w:p w:rsidR="00D2621E" w:rsidRDefault="00AC6174" w:rsidP="00AC6174">
      <w:pPr>
        <w:pStyle w:val="Source"/>
        <w:rPr>
          <w:noProof/>
          <w:lang w:eastAsia="en-AU"/>
        </w:rPr>
      </w:pPr>
      <w:r>
        <w:rPr>
          <w:noProof/>
          <w:lang w:eastAsia="en-AU"/>
        </w:rPr>
        <w:t xml:space="preserve">Source: </w:t>
      </w:r>
      <w:r w:rsidRPr="007A237E">
        <w:rPr>
          <w:noProof/>
          <w:lang w:eastAsia="en-AU"/>
        </w:rPr>
        <w:t>2018</w:t>
      </w:r>
      <w:r w:rsidR="004012E7">
        <w:rPr>
          <w:noProof/>
          <w:lang w:eastAsia="en-AU"/>
        </w:rPr>
        <w:t>-</w:t>
      </w:r>
      <w:r w:rsidRPr="007A237E">
        <w:rPr>
          <w:noProof/>
          <w:lang w:eastAsia="en-AU"/>
        </w:rPr>
        <w:t>19 Budget and PBO analysis.</w:t>
      </w:r>
    </w:p>
    <w:p w:rsidR="00D2621E" w:rsidRDefault="00D2621E" w:rsidP="00D2621E">
      <w:pPr>
        <w:rPr>
          <w:rFonts w:cs="Times New Roman"/>
          <w:noProof/>
          <w:color w:val="788184"/>
          <w:sz w:val="18"/>
          <w:szCs w:val="14"/>
          <w:lang w:eastAsia="en-AU"/>
        </w:rPr>
      </w:pPr>
      <w:r>
        <w:rPr>
          <w:noProof/>
          <w:lang w:eastAsia="en-AU"/>
        </w:rPr>
        <w:br w:type="page"/>
      </w:r>
    </w:p>
    <w:p w:rsidR="00844FC4" w:rsidRDefault="00CA3323" w:rsidP="00CA3323">
      <w:pPr>
        <w:pStyle w:val="BodyText"/>
      </w:pPr>
      <w:r>
        <w:t>More than offsetting the above increases is a decline in spending as a proportion of GDP across a range of payment programs</w:t>
      </w:r>
      <w:r w:rsidR="008F39EF">
        <w:t>, a significant proportion of which are expected to occur over the forward estimates</w:t>
      </w:r>
      <w:r>
        <w:t xml:space="preserve">.   </w:t>
      </w:r>
    </w:p>
    <w:p w:rsidR="00CA3323" w:rsidRDefault="00CA3323" w:rsidP="00CA3323">
      <w:pPr>
        <w:pStyle w:val="BodyText"/>
      </w:pPr>
      <w:r>
        <w:t xml:space="preserve">Spending on government administration </w:t>
      </w:r>
      <w:r w:rsidR="006A675A">
        <w:t xml:space="preserve">is projected to decline by </w:t>
      </w:r>
      <w:r>
        <w:t>0.3 per cent of GDP</w:t>
      </w:r>
      <w:r w:rsidR="006A675A">
        <w:t xml:space="preserve"> over the next decade</w:t>
      </w:r>
      <w:r>
        <w:t>.</w:t>
      </w:r>
      <w:r w:rsidRPr="007979E1">
        <w:rPr>
          <w:rStyle w:val="FootnoteReference"/>
        </w:rPr>
        <w:footnoteReference w:id="12"/>
      </w:r>
      <w:r>
        <w:t xml:space="preserve">  All of this fall takes place in the forward estimates period, with the 2018</w:t>
      </w:r>
      <w:r w:rsidR="004012E7">
        <w:t>-</w:t>
      </w:r>
      <w:r>
        <w:t>19 Budget projecting government administration to fall in nominal terms from 2017</w:t>
      </w:r>
      <w:r w:rsidR="004012E7">
        <w:t>-</w:t>
      </w:r>
      <w:r>
        <w:t>18 to 2021</w:t>
      </w:r>
      <w:r w:rsidR="004012E7">
        <w:t>-</w:t>
      </w:r>
      <w:r>
        <w:t>22.  This reflects measures across successive governments to restrain the size of the public sector</w:t>
      </w:r>
      <w:r w:rsidR="006A675A">
        <w:t xml:space="preserve">, including efficiency dividends and restrictions on public service employee </w:t>
      </w:r>
      <w:r w:rsidR="009212DA">
        <w:t>wage growth</w:t>
      </w:r>
      <w:r>
        <w:t>.  Beyond 2021</w:t>
      </w:r>
      <w:r w:rsidR="004012E7">
        <w:t>-</w:t>
      </w:r>
      <w:r>
        <w:t>22, for projection purposes</w:t>
      </w:r>
      <w:r w:rsidR="002E2BB5">
        <w:t>,</w:t>
      </w:r>
      <w:r>
        <w:t xml:space="preserve"> spending on government administration is assumed</w:t>
      </w:r>
      <w:r w:rsidR="006A675A">
        <w:t xml:space="preserve"> by the PBO</w:t>
      </w:r>
      <w:r>
        <w:t xml:space="preserve"> to grow in line with nominal GDP.  This </w:t>
      </w:r>
      <w:r w:rsidR="00EB2269">
        <w:t>implies that the</w:t>
      </w:r>
      <w:r w:rsidR="002E2BB5">
        <w:t xml:space="preserve"> size of government administration, as a share of the overall economy, will stay broadly constant</w:t>
      </w:r>
      <w:r w:rsidR="00BB208F">
        <w:t xml:space="preserve"> from 2021</w:t>
      </w:r>
      <w:r w:rsidR="004012E7">
        <w:t>-</w:t>
      </w:r>
      <w:r w:rsidR="00BB208F">
        <w:t>22 onwards</w:t>
      </w:r>
      <w:r w:rsidR="002E2BB5">
        <w:t xml:space="preserve">. </w:t>
      </w:r>
    </w:p>
    <w:p w:rsidR="00817272" w:rsidRDefault="00817272" w:rsidP="00817272">
      <w:pPr>
        <w:pStyle w:val="BodyText"/>
      </w:pPr>
      <w:r>
        <w:t xml:space="preserve">Spending on </w:t>
      </w:r>
      <w:r w:rsidR="007A7381">
        <w:t xml:space="preserve">the </w:t>
      </w:r>
      <w:r>
        <w:t xml:space="preserve">Family Tax Benefit (FTB) </w:t>
      </w:r>
      <w:r w:rsidR="007A7381">
        <w:t xml:space="preserve">payment </w:t>
      </w:r>
      <w:r>
        <w:t>is also projected to fall by 0.3 per cent of GDP over the projection period.  Most of the projected decline occurs in the period 2017</w:t>
      </w:r>
      <w:r w:rsidR="004012E7">
        <w:t>-</w:t>
      </w:r>
      <w:r>
        <w:t>18 to 2020</w:t>
      </w:r>
      <w:r w:rsidR="004012E7">
        <w:t>-</w:t>
      </w:r>
      <w:r>
        <w:t xml:space="preserve">21 </w:t>
      </w:r>
      <w:r w:rsidR="00B931A9">
        <w:t xml:space="preserve">partially </w:t>
      </w:r>
      <w:r>
        <w:t>due to the impact of policy decisions to freeze FTB higher income free thresholds until</w:t>
      </w:r>
      <w:r w:rsidR="00EB5D54">
        <w:br/>
      </w:r>
      <w:r>
        <w:t>2020</w:t>
      </w:r>
      <w:r w:rsidR="004012E7">
        <w:t>-</w:t>
      </w:r>
      <w:r>
        <w:t>21, and pause indexation of FTB payment rates for two years from 2017</w:t>
      </w:r>
      <w:r w:rsidR="004012E7">
        <w:t>-</w:t>
      </w:r>
      <w:r>
        <w:t>18.</w:t>
      </w:r>
    </w:p>
    <w:p w:rsidR="000B79C0" w:rsidRDefault="00817272" w:rsidP="00817272">
      <w:pPr>
        <w:pStyle w:val="BodyText"/>
      </w:pPr>
      <w:r>
        <w:rPr>
          <w:lang w:eastAsia="en-AU"/>
        </w:rPr>
        <w:t>Spending on road and rail infrastructure is also projected to fall by 0.2 per cent of GDP over the next decade.  Spending declines over the forward estimates period (by 0.2 per cent of GDP) before pick</w:t>
      </w:r>
      <w:r w:rsidR="0024163F">
        <w:rPr>
          <w:lang w:eastAsia="en-AU"/>
        </w:rPr>
        <w:t>ing up in 2022</w:t>
      </w:r>
      <w:r w:rsidR="004012E7">
        <w:rPr>
          <w:lang w:eastAsia="en-AU"/>
        </w:rPr>
        <w:t>-</w:t>
      </w:r>
      <w:r w:rsidR="0024163F">
        <w:rPr>
          <w:lang w:eastAsia="en-AU"/>
        </w:rPr>
        <w:t>23</w:t>
      </w:r>
      <w:r>
        <w:rPr>
          <w:lang w:eastAsia="en-AU"/>
        </w:rPr>
        <w:t xml:space="preserve">.  This reflects the </w:t>
      </w:r>
      <w:r w:rsidR="00D402A4">
        <w:rPr>
          <w:lang w:eastAsia="en-AU"/>
        </w:rPr>
        <w:t xml:space="preserve">PBO’s projected profile of </w:t>
      </w:r>
      <w:r w:rsidR="0024163F">
        <w:rPr>
          <w:lang w:eastAsia="en-AU"/>
        </w:rPr>
        <w:t xml:space="preserve">spending on </w:t>
      </w:r>
      <w:r w:rsidR="006E0256">
        <w:rPr>
          <w:lang w:eastAsia="en-AU"/>
        </w:rPr>
        <w:t xml:space="preserve">announced </w:t>
      </w:r>
      <w:r>
        <w:rPr>
          <w:lang w:eastAsia="en-AU"/>
        </w:rPr>
        <w:t xml:space="preserve">road and rail infrastructure </w:t>
      </w:r>
      <w:r w:rsidR="00D402A4">
        <w:rPr>
          <w:lang w:eastAsia="en-AU"/>
        </w:rPr>
        <w:t xml:space="preserve">projects </w:t>
      </w:r>
      <w:r>
        <w:rPr>
          <w:lang w:eastAsia="en-AU"/>
        </w:rPr>
        <w:t>included in the 2018</w:t>
      </w:r>
      <w:r w:rsidR="004012E7">
        <w:rPr>
          <w:lang w:eastAsia="en-AU"/>
        </w:rPr>
        <w:t>-</w:t>
      </w:r>
      <w:r>
        <w:rPr>
          <w:lang w:eastAsia="en-AU"/>
        </w:rPr>
        <w:t xml:space="preserve">19 </w:t>
      </w:r>
      <w:proofErr w:type="gramStart"/>
      <w:r>
        <w:rPr>
          <w:lang w:eastAsia="en-AU"/>
        </w:rPr>
        <w:t>Budget</w:t>
      </w:r>
      <w:proofErr w:type="gramEnd"/>
      <w:r>
        <w:rPr>
          <w:lang w:eastAsia="en-AU"/>
        </w:rPr>
        <w:t>.  After 2024</w:t>
      </w:r>
      <w:r w:rsidR="004012E7">
        <w:rPr>
          <w:lang w:eastAsia="en-AU"/>
        </w:rPr>
        <w:t>-</w:t>
      </w:r>
      <w:r>
        <w:rPr>
          <w:lang w:eastAsia="en-AU"/>
        </w:rPr>
        <w:t xml:space="preserve">25, the PBO assumes infrastructure spending grows in line with projected nominal GDP growth, recognising that projects yet </w:t>
      </w:r>
      <w:r w:rsidR="009D1299">
        <w:rPr>
          <w:lang w:eastAsia="en-AU"/>
        </w:rPr>
        <w:t xml:space="preserve">to </w:t>
      </w:r>
      <w:r>
        <w:rPr>
          <w:lang w:eastAsia="en-AU"/>
        </w:rPr>
        <w:t>be agreed will come on line over the latter ha</w:t>
      </w:r>
      <w:r w:rsidR="0024163F">
        <w:rPr>
          <w:lang w:eastAsia="en-AU"/>
        </w:rPr>
        <w:t>lf of the next decade</w:t>
      </w:r>
      <w:r>
        <w:rPr>
          <w:lang w:eastAsia="en-AU"/>
        </w:rPr>
        <w:t>.</w:t>
      </w:r>
      <w:r w:rsidR="00363711" w:rsidRPr="00363711">
        <w:rPr>
          <w:rStyle w:val="FootnoteReference"/>
        </w:rPr>
        <w:t xml:space="preserve"> </w:t>
      </w:r>
      <w:r w:rsidR="007A7381">
        <w:t xml:space="preserve"> </w:t>
      </w:r>
      <w:r w:rsidR="003142AB">
        <w:t>Note that t</w:t>
      </w:r>
      <w:r w:rsidR="000B79C0">
        <w:t>he</w:t>
      </w:r>
      <w:r w:rsidR="009D1299">
        <w:t>se</w:t>
      </w:r>
      <w:r w:rsidR="000B79C0">
        <w:t xml:space="preserve"> figures understate the Government’s investment in infrastructure as t</w:t>
      </w:r>
      <w:r w:rsidR="000B79C0" w:rsidRPr="000B79C0">
        <w:t>he</w:t>
      </w:r>
      <w:r w:rsidR="000B79C0">
        <w:t xml:space="preserve">y </w:t>
      </w:r>
      <w:r w:rsidR="000B79C0" w:rsidRPr="000B79C0">
        <w:t xml:space="preserve">only include the spending relating to road and rail infrastructure, including grants to state and territory governments.  They do not capture infrastructure investment funded through equity injections into Australian government public non-financial corporations such as the Australian Rail Track Corporation, or concessional loans such as the loan to the New South Wales Government for the </w:t>
      </w:r>
      <w:proofErr w:type="spellStart"/>
      <w:r w:rsidR="000B79C0" w:rsidRPr="000B79C0">
        <w:t>WestConnex</w:t>
      </w:r>
      <w:proofErr w:type="spellEnd"/>
      <w:r w:rsidR="000B79C0" w:rsidRPr="000B79C0">
        <w:t xml:space="preserve"> project.</w:t>
      </w:r>
    </w:p>
    <w:p w:rsidR="00F50A9D" w:rsidRDefault="00F50A9D" w:rsidP="00F50A9D">
      <w:pPr>
        <w:pStyle w:val="BodyText"/>
        <w:rPr>
          <w:lang w:eastAsia="en-AU"/>
        </w:rPr>
      </w:pPr>
      <w:r>
        <w:rPr>
          <w:lang w:eastAsia="en-AU"/>
        </w:rPr>
        <w:t>Spending on pharmaceutical benefits is projected to decline by 0.2 per cent of GDP, with all of this fall occurring over the forward estimates.  Much of the decline is due to the revised administrative arrangements for pharmaceutical benefits</w:t>
      </w:r>
      <w:r w:rsidRPr="007979E1">
        <w:rPr>
          <w:rStyle w:val="FootnoteReference"/>
        </w:rPr>
        <w:footnoteReference w:id="13"/>
      </w:r>
      <w:r>
        <w:rPr>
          <w:lang w:eastAsia="en-AU"/>
        </w:rPr>
        <w:t xml:space="preserve"> and the ongoing impact of pricing reforms.  Beyond the forward estimates we have projected spending as a proportion of GDP to stabilise, which largely reflects the expected ongoing listing of new drugs and a more moderate ongoing impact from pricing reforms. </w:t>
      </w:r>
    </w:p>
    <w:p w:rsidR="00EB5D54" w:rsidRDefault="00EB5D54" w:rsidP="00F50A9D">
      <w:pPr>
        <w:pStyle w:val="BodyText"/>
        <w:rPr>
          <w:lang w:eastAsia="en-AU"/>
        </w:rPr>
      </w:pPr>
    </w:p>
    <w:p w:rsidR="0039322D" w:rsidRPr="004C63E5" w:rsidRDefault="0039322D" w:rsidP="004C63E5">
      <w:pPr>
        <w:pStyle w:val="Caption"/>
      </w:pPr>
      <w:bookmarkStart w:id="45" w:name="_Ref520451970"/>
      <w:r w:rsidRPr="004C63E5">
        <w:t xml:space="preserve">Table </w:t>
      </w:r>
      <w:fldSimple w:instr=" STYLEREF 1 \s ">
        <w:r w:rsidR="002828FF">
          <w:rPr>
            <w:noProof/>
          </w:rPr>
          <w:t>4</w:t>
        </w:r>
      </w:fldSimple>
      <w:r w:rsidRPr="004C63E5">
        <w:t>–</w:t>
      </w:r>
      <w:fldSimple w:instr=" SEQ Table \* ARABIC \s 1 ">
        <w:r w:rsidR="002828FF">
          <w:rPr>
            <w:noProof/>
          </w:rPr>
          <w:t>1</w:t>
        </w:r>
      </w:fldSimple>
      <w:bookmarkEnd w:id="45"/>
      <w:r w:rsidRPr="004C63E5">
        <w:t>: Spending by key program area</w:t>
      </w:r>
    </w:p>
    <w:tbl>
      <w:tblPr>
        <w:tblStyle w:val="TableGridDarkHeader"/>
        <w:tblW w:w="8931" w:type="dxa"/>
        <w:tblCellMar>
          <w:top w:w="11" w:type="dxa"/>
          <w:bottom w:w="11" w:type="dxa"/>
        </w:tblCellMar>
        <w:tblLook w:val="04A0" w:firstRow="1" w:lastRow="0" w:firstColumn="1" w:lastColumn="0" w:noHBand="0" w:noVBand="1"/>
      </w:tblPr>
      <w:tblGrid>
        <w:gridCol w:w="2551"/>
        <w:gridCol w:w="773"/>
        <w:gridCol w:w="773"/>
        <w:gridCol w:w="865"/>
        <w:gridCol w:w="868"/>
        <w:gridCol w:w="1067"/>
        <w:gridCol w:w="1038"/>
        <w:gridCol w:w="996"/>
      </w:tblGrid>
      <w:tr w:rsidR="004C63E5" w:rsidRPr="002E3181" w:rsidTr="004A0E29">
        <w:trPr>
          <w:cnfStyle w:val="100000000000" w:firstRow="1" w:lastRow="0" w:firstColumn="0" w:lastColumn="0" w:oddVBand="0" w:evenVBand="0" w:oddHBand="0" w:evenHBand="0" w:firstRowFirstColumn="0" w:firstRowLastColumn="0" w:lastRowFirstColumn="0" w:lastRowLastColumn="0"/>
          <w:trHeight w:val="557"/>
        </w:trPr>
        <w:tc>
          <w:tcPr>
            <w:tcW w:w="2551" w:type="dxa"/>
            <w:vMerge w:val="restart"/>
            <w:vAlign w:val="center"/>
            <w:hideMark/>
          </w:tcPr>
          <w:p w:rsidR="004C63E5" w:rsidRPr="008D79B3" w:rsidRDefault="004C63E5" w:rsidP="00347EE8">
            <w:pPr>
              <w:pStyle w:val="TableHeading"/>
              <w:jc w:val="center"/>
            </w:pPr>
            <w:r w:rsidRPr="008D79B3">
              <w:t>Payments</w:t>
            </w:r>
          </w:p>
        </w:tc>
        <w:tc>
          <w:tcPr>
            <w:tcW w:w="1546" w:type="dxa"/>
            <w:gridSpan w:val="2"/>
            <w:tcBorders>
              <w:bottom w:val="single" w:sz="4" w:space="0" w:color="FFFFFF" w:themeColor="background1"/>
              <w:right w:val="single" w:sz="4" w:space="0" w:color="FFFFFF" w:themeColor="background1"/>
            </w:tcBorders>
            <w:vAlign w:val="center"/>
            <w:hideMark/>
          </w:tcPr>
          <w:p w:rsidR="004C63E5" w:rsidRPr="008D79B3" w:rsidRDefault="004C63E5" w:rsidP="00347EE8">
            <w:pPr>
              <w:pStyle w:val="TableHeading"/>
              <w:jc w:val="center"/>
            </w:pPr>
            <w:r w:rsidRPr="008D79B3">
              <w:t>Nominal payments</w:t>
            </w:r>
          </w:p>
        </w:tc>
        <w:tc>
          <w:tcPr>
            <w:tcW w:w="1733" w:type="dxa"/>
            <w:gridSpan w:val="2"/>
            <w:tcBorders>
              <w:left w:val="single" w:sz="4" w:space="0" w:color="FFFFFF" w:themeColor="background1"/>
              <w:bottom w:val="single" w:sz="4" w:space="0" w:color="FFFFFF" w:themeColor="background1"/>
              <w:right w:val="single" w:sz="4" w:space="0" w:color="FFFFFF" w:themeColor="background1"/>
            </w:tcBorders>
            <w:vAlign w:val="center"/>
            <w:hideMark/>
          </w:tcPr>
          <w:p w:rsidR="004C63E5" w:rsidRPr="008D79B3" w:rsidRDefault="004C63E5" w:rsidP="00347EE8">
            <w:pPr>
              <w:pStyle w:val="TableHeading"/>
              <w:jc w:val="center"/>
            </w:pPr>
            <w:r w:rsidRPr="008D79B3">
              <w:t>Per cent of GDP</w:t>
            </w:r>
          </w:p>
        </w:tc>
        <w:tc>
          <w:tcPr>
            <w:tcW w:w="1067" w:type="dxa"/>
            <w:tcBorders>
              <w:left w:val="single" w:sz="4" w:space="0" w:color="FFFFFF" w:themeColor="background1"/>
              <w:bottom w:val="single" w:sz="4" w:space="0" w:color="FFFFFF" w:themeColor="background1"/>
              <w:right w:val="single" w:sz="4" w:space="0" w:color="FFFFFF" w:themeColor="background1"/>
            </w:tcBorders>
            <w:vAlign w:val="center"/>
            <w:hideMark/>
          </w:tcPr>
          <w:p w:rsidR="004C63E5" w:rsidRPr="008D79B3" w:rsidRDefault="004C63E5" w:rsidP="00347EE8">
            <w:pPr>
              <w:pStyle w:val="TableHeading"/>
              <w:jc w:val="center"/>
            </w:pPr>
            <w:r w:rsidRPr="008D79B3">
              <w:t>Change in per cent of GDP</w:t>
            </w:r>
          </w:p>
        </w:tc>
        <w:tc>
          <w:tcPr>
            <w:tcW w:w="1038" w:type="dxa"/>
            <w:tcBorders>
              <w:left w:val="single" w:sz="4" w:space="0" w:color="FFFFFF" w:themeColor="background1"/>
              <w:bottom w:val="single" w:sz="4" w:space="0" w:color="FFFFFF" w:themeColor="background1"/>
              <w:right w:val="single" w:sz="4" w:space="0" w:color="FFFFFF" w:themeColor="background1"/>
            </w:tcBorders>
            <w:vAlign w:val="center"/>
            <w:hideMark/>
          </w:tcPr>
          <w:p w:rsidR="004C63E5" w:rsidRPr="008D79B3" w:rsidRDefault="004C63E5" w:rsidP="00347EE8">
            <w:pPr>
              <w:pStyle w:val="TableHeading"/>
              <w:jc w:val="center"/>
            </w:pPr>
            <w:r w:rsidRPr="008D79B3">
              <w:t>Annual real growth</w:t>
            </w:r>
          </w:p>
        </w:tc>
        <w:tc>
          <w:tcPr>
            <w:tcW w:w="996" w:type="dxa"/>
            <w:tcBorders>
              <w:left w:val="single" w:sz="4" w:space="0" w:color="FFFFFF" w:themeColor="background1"/>
              <w:bottom w:val="single" w:sz="4" w:space="0" w:color="FFFFFF" w:themeColor="background1"/>
            </w:tcBorders>
            <w:vAlign w:val="center"/>
            <w:hideMark/>
          </w:tcPr>
          <w:p w:rsidR="004C63E5" w:rsidRPr="008D79B3" w:rsidRDefault="004C63E5" w:rsidP="00347EE8">
            <w:pPr>
              <w:pStyle w:val="TableHeading"/>
              <w:jc w:val="center"/>
            </w:pPr>
            <w:r w:rsidRPr="008D79B3">
              <w:t>Share of total payments</w:t>
            </w:r>
          </w:p>
        </w:tc>
      </w:tr>
      <w:tr w:rsidR="00635616" w:rsidRPr="002E3181" w:rsidTr="00CE3169">
        <w:trPr>
          <w:cnfStyle w:val="000000100000" w:firstRow="0" w:lastRow="0" w:firstColumn="0" w:lastColumn="0" w:oddVBand="0" w:evenVBand="0" w:oddHBand="1" w:evenHBand="0" w:firstRowFirstColumn="0" w:firstRowLastColumn="0" w:lastRowFirstColumn="0" w:lastRowLastColumn="0"/>
          <w:trHeight w:val="310"/>
        </w:trPr>
        <w:tc>
          <w:tcPr>
            <w:tcW w:w="2551" w:type="dxa"/>
            <w:vMerge/>
            <w:tcBorders>
              <w:right w:val="single" w:sz="4" w:space="0" w:color="FFFFFF" w:themeColor="background1"/>
            </w:tcBorders>
            <w:hideMark/>
          </w:tcPr>
          <w:p w:rsidR="00CE3169" w:rsidRPr="008D79B3" w:rsidRDefault="00CE3169" w:rsidP="00347EE8">
            <w:pPr>
              <w:pStyle w:val="TableHeading"/>
              <w:jc w:val="center"/>
              <w:rPr>
                <w:b/>
              </w:rPr>
            </w:pPr>
          </w:p>
        </w:tc>
        <w:tc>
          <w:tcPr>
            <w:tcW w:w="773" w:type="dxa"/>
            <w:tcBorders>
              <w:top w:val="single" w:sz="4" w:space="0" w:color="FFFFFF" w:themeColor="background1"/>
              <w:left w:val="single" w:sz="4" w:space="0" w:color="FFFFFF" w:themeColor="background1"/>
            </w:tcBorders>
            <w:shd w:val="clear" w:color="auto" w:fill="3D4D7D" w:themeFill="background2"/>
            <w:hideMark/>
          </w:tcPr>
          <w:p w:rsidR="00CE3169" w:rsidRPr="008D79B3" w:rsidRDefault="00CE3169" w:rsidP="00347EE8">
            <w:pPr>
              <w:pStyle w:val="TableHeading"/>
              <w:ind w:left="0" w:right="0"/>
              <w:jc w:val="center"/>
              <w:rPr>
                <w:b/>
                <w:sz w:val="18"/>
              </w:rPr>
            </w:pPr>
            <w:r w:rsidRPr="008D79B3">
              <w:rPr>
                <w:b/>
                <w:sz w:val="18"/>
              </w:rPr>
              <w:t>2017-18</w:t>
            </w:r>
          </w:p>
        </w:tc>
        <w:tc>
          <w:tcPr>
            <w:tcW w:w="773" w:type="dxa"/>
            <w:tcBorders>
              <w:top w:val="single" w:sz="4" w:space="0" w:color="FFFFFF" w:themeColor="background1"/>
              <w:right w:val="single" w:sz="4" w:space="0" w:color="FFFFFF" w:themeColor="background1"/>
            </w:tcBorders>
            <w:shd w:val="clear" w:color="auto" w:fill="3D4D7D" w:themeFill="background2"/>
            <w:hideMark/>
          </w:tcPr>
          <w:p w:rsidR="00CE3169" w:rsidRPr="008D79B3" w:rsidRDefault="00CE3169" w:rsidP="00347EE8">
            <w:pPr>
              <w:pStyle w:val="TableHeading"/>
              <w:ind w:left="0" w:right="0"/>
              <w:jc w:val="center"/>
              <w:rPr>
                <w:b/>
                <w:sz w:val="18"/>
              </w:rPr>
            </w:pPr>
            <w:r w:rsidRPr="008D79B3">
              <w:rPr>
                <w:b/>
                <w:sz w:val="18"/>
              </w:rPr>
              <w:t>2028-29</w:t>
            </w:r>
          </w:p>
        </w:tc>
        <w:tc>
          <w:tcPr>
            <w:tcW w:w="865" w:type="dxa"/>
            <w:tcBorders>
              <w:top w:val="single" w:sz="4" w:space="0" w:color="FFFFFF" w:themeColor="background1"/>
              <w:left w:val="single" w:sz="4" w:space="0" w:color="FFFFFF" w:themeColor="background1"/>
            </w:tcBorders>
            <w:shd w:val="clear" w:color="auto" w:fill="3D4D7D" w:themeFill="background2"/>
            <w:vAlign w:val="center"/>
            <w:hideMark/>
          </w:tcPr>
          <w:p w:rsidR="00CE3169" w:rsidRPr="008D79B3" w:rsidRDefault="00CE3169" w:rsidP="00347EE8">
            <w:pPr>
              <w:pStyle w:val="TableHeading"/>
              <w:ind w:left="0" w:right="0"/>
              <w:jc w:val="center"/>
              <w:rPr>
                <w:b/>
                <w:sz w:val="18"/>
              </w:rPr>
            </w:pPr>
            <w:r w:rsidRPr="008D79B3">
              <w:rPr>
                <w:b/>
                <w:sz w:val="18"/>
              </w:rPr>
              <w:t>2017-18</w:t>
            </w:r>
          </w:p>
        </w:tc>
        <w:tc>
          <w:tcPr>
            <w:tcW w:w="868" w:type="dxa"/>
            <w:tcBorders>
              <w:top w:val="single" w:sz="4" w:space="0" w:color="FFFFFF" w:themeColor="background1"/>
              <w:right w:val="single" w:sz="4" w:space="0" w:color="FFFFFF" w:themeColor="background1"/>
            </w:tcBorders>
            <w:shd w:val="clear" w:color="auto" w:fill="3D4D7D" w:themeFill="background2"/>
            <w:vAlign w:val="center"/>
            <w:hideMark/>
          </w:tcPr>
          <w:p w:rsidR="00CE3169" w:rsidRPr="008D79B3" w:rsidRDefault="00CE3169" w:rsidP="00347EE8">
            <w:pPr>
              <w:pStyle w:val="TableHeading"/>
              <w:jc w:val="center"/>
              <w:rPr>
                <w:b/>
                <w:sz w:val="18"/>
              </w:rPr>
            </w:pPr>
            <w:r w:rsidRPr="008D79B3">
              <w:rPr>
                <w:b/>
                <w:sz w:val="18"/>
              </w:rPr>
              <w:t>2028-29</w:t>
            </w:r>
          </w:p>
        </w:tc>
        <w:tc>
          <w:tcPr>
            <w:tcW w:w="2105" w:type="dxa"/>
            <w:gridSpan w:val="2"/>
            <w:tcBorders>
              <w:top w:val="single" w:sz="4" w:space="0" w:color="FFFFFF" w:themeColor="background1"/>
              <w:left w:val="single" w:sz="4" w:space="0" w:color="FFFFFF" w:themeColor="background1"/>
              <w:right w:val="single" w:sz="4" w:space="0" w:color="FFFFFF" w:themeColor="background1"/>
            </w:tcBorders>
            <w:shd w:val="clear" w:color="auto" w:fill="3D4D7D" w:themeFill="background2"/>
            <w:vAlign w:val="center"/>
            <w:hideMark/>
          </w:tcPr>
          <w:p w:rsidR="00CE3169" w:rsidRPr="008D79B3" w:rsidRDefault="00CE3169" w:rsidP="00CE3169">
            <w:pPr>
              <w:pStyle w:val="TableHeading"/>
              <w:jc w:val="center"/>
              <w:rPr>
                <w:b/>
                <w:sz w:val="18"/>
              </w:rPr>
            </w:pPr>
            <w:r w:rsidRPr="008D79B3">
              <w:rPr>
                <w:b/>
                <w:sz w:val="18"/>
              </w:rPr>
              <w:t>2017-18 to 2028-29</w:t>
            </w:r>
          </w:p>
        </w:tc>
        <w:tc>
          <w:tcPr>
            <w:tcW w:w="996" w:type="dxa"/>
            <w:tcBorders>
              <w:top w:val="single" w:sz="4" w:space="0" w:color="FFFFFF" w:themeColor="background1"/>
              <w:left w:val="single" w:sz="4" w:space="0" w:color="FFFFFF" w:themeColor="background1"/>
            </w:tcBorders>
            <w:shd w:val="clear" w:color="auto" w:fill="3D4D7D" w:themeFill="background2"/>
            <w:vAlign w:val="center"/>
            <w:hideMark/>
          </w:tcPr>
          <w:p w:rsidR="00CE3169" w:rsidRPr="008D79B3" w:rsidRDefault="00CE3169" w:rsidP="00347EE8">
            <w:pPr>
              <w:pStyle w:val="TableHeading"/>
              <w:jc w:val="center"/>
              <w:rPr>
                <w:b/>
                <w:sz w:val="18"/>
              </w:rPr>
            </w:pPr>
            <w:r w:rsidRPr="008D79B3">
              <w:rPr>
                <w:b/>
                <w:sz w:val="18"/>
              </w:rPr>
              <w:t>2028-29</w:t>
            </w:r>
          </w:p>
        </w:tc>
      </w:tr>
      <w:tr w:rsidR="004C63E5" w:rsidRPr="002E3181" w:rsidTr="004A0E29">
        <w:trPr>
          <w:trHeight w:val="371"/>
        </w:trPr>
        <w:tc>
          <w:tcPr>
            <w:tcW w:w="2551" w:type="dxa"/>
            <w:tcBorders>
              <w:right w:val="single" w:sz="4" w:space="0" w:color="3D4D7D" w:themeColor="background2"/>
            </w:tcBorders>
            <w:shd w:val="clear" w:color="auto" w:fill="7C8CBF" w:themeFill="background2" w:themeFillTint="99"/>
            <w:hideMark/>
          </w:tcPr>
          <w:p w:rsidR="004C63E5" w:rsidRPr="002E3181" w:rsidRDefault="004C63E5" w:rsidP="00347EE8">
            <w:pPr>
              <w:rPr>
                <w:rFonts w:ascii="Calibri" w:eastAsia="Times New Roman" w:hAnsi="Calibri" w:cs="Times New Roman"/>
                <w:sz w:val="14"/>
                <w:szCs w:val="14"/>
                <w:lang w:eastAsia="en-AU"/>
              </w:rPr>
            </w:pPr>
            <w:r w:rsidRPr="002E3181">
              <w:rPr>
                <w:rFonts w:ascii="Calibri" w:eastAsia="Times New Roman" w:hAnsi="Calibri" w:cs="Times New Roman"/>
                <w:sz w:val="14"/>
                <w:szCs w:val="14"/>
                <w:lang w:eastAsia="en-AU"/>
              </w:rPr>
              <w:t> </w:t>
            </w:r>
          </w:p>
        </w:tc>
        <w:tc>
          <w:tcPr>
            <w:tcW w:w="1546" w:type="dxa"/>
            <w:gridSpan w:val="2"/>
            <w:tcBorders>
              <w:left w:val="single" w:sz="4" w:space="0" w:color="3D4D7D" w:themeColor="background2"/>
              <w:right w:val="single" w:sz="4" w:space="0" w:color="3D4D7D" w:themeColor="background2"/>
            </w:tcBorders>
            <w:shd w:val="clear" w:color="auto" w:fill="7C8CBF" w:themeFill="background2" w:themeFillTint="99"/>
            <w:hideMark/>
          </w:tcPr>
          <w:p w:rsidR="004C63E5" w:rsidRPr="008D79B3" w:rsidRDefault="004C63E5" w:rsidP="00347EE8">
            <w:pPr>
              <w:pStyle w:val="TableSubheading"/>
              <w:jc w:val="center"/>
              <w:rPr>
                <w:color w:val="FFFFFF" w:themeColor="background1"/>
              </w:rPr>
            </w:pPr>
            <w:r w:rsidRPr="008D79B3">
              <w:rPr>
                <w:color w:val="FFFFFF" w:themeColor="background1"/>
              </w:rPr>
              <w:t>$b</w:t>
            </w:r>
          </w:p>
        </w:tc>
        <w:tc>
          <w:tcPr>
            <w:tcW w:w="1733" w:type="dxa"/>
            <w:gridSpan w:val="2"/>
            <w:tcBorders>
              <w:left w:val="single" w:sz="4" w:space="0" w:color="3D4D7D" w:themeColor="background2"/>
              <w:right w:val="single" w:sz="4" w:space="0" w:color="3D4D7D" w:themeColor="background2"/>
            </w:tcBorders>
            <w:shd w:val="clear" w:color="auto" w:fill="7C8CBF" w:themeFill="background2" w:themeFillTint="99"/>
            <w:hideMark/>
          </w:tcPr>
          <w:p w:rsidR="004C63E5" w:rsidRPr="008D79B3" w:rsidRDefault="004C63E5" w:rsidP="00347EE8">
            <w:pPr>
              <w:pStyle w:val="TableSubheading"/>
              <w:jc w:val="center"/>
              <w:rPr>
                <w:color w:val="FFFFFF" w:themeColor="background1"/>
              </w:rPr>
            </w:pPr>
            <w:r w:rsidRPr="008D79B3">
              <w:rPr>
                <w:color w:val="FFFFFF" w:themeColor="background1"/>
              </w:rPr>
              <w:t>%</w:t>
            </w:r>
          </w:p>
        </w:tc>
        <w:tc>
          <w:tcPr>
            <w:tcW w:w="1067" w:type="dxa"/>
            <w:tcBorders>
              <w:left w:val="single" w:sz="4" w:space="0" w:color="3D4D7D" w:themeColor="background2"/>
              <w:right w:val="single" w:sz="4" w:space="0" w:color="3D4D7D" w:themeColor="background2"/>
            </w:tcBorders>
            <w:shd w:val="clear" w:color="auto" w:fill="7C8CBF" w:themeFill="background2" w:themeFillTint="99"/>
            <w:hideMark/>
          </w:tcPr>
          <w:p w:rsidR="004C63E5" w:rsidRPr="008D79B3" w:rsidRDefault="004C63E5" w:rsidP="00347EE8">
            <w:pPr>
              <w:pStyle w:val="TableSubheading"/>
              <w:jc w:val="center"/>
              <w:rPr>
                <w:color w:val="FFFFFF" w:themeColor="background1"/>
              </w:rPr>
            </w:pPr>
            <w:r w:rsidRPr="008D79B3">
              <w:rPr>
                <w:color w:val="FFFFFF" w:themeColor="background1"/>
              </w:rPr>
              <w:t>%</w:t>
            </w:r>
          </w:p>
        </w:tc>
        <w:tc>
          <w:tcPr>
            <w:tcW w:w="1038" w:type="dxa"/>
            <w:tcBorders>
              <w:left w:val="single" w:sz="4" w:space="0" w:color="3D4D7D" w:themeColor="background2"/>
              <w:right w:val="single" w:sz="4" w:space="0" w:color="3D4D7D" w:themeColor="background2"/>
            </w:tcBorders>
            <w:shd w:val="clear" w:color="auto" w:fill="7C8CBF" w:themeFill="background2" w:themeFillTint="99"/>
            <w:hideMark/>
          </w:tcPr>
          <w:p w:rsidR="004C63E5" w:rsidRPr="008D79B3" w:rsidRDefault="004C63E5" w:rsidP="00347EE8">
            <w:pPr>
              <w:pStyle w:val="TableSubheading"/>
              <w:jc w:val="center"/>
              <w:rPr>
                <w:color w:val="FFFFFF" w:themeColor="background1"/>
              </w:rPr>
            </w:pPr>
            <w:r w:rsidRPr="008D79B3">
              <w:rPr>
                <w:color w:val="FFFFFF" w:themeColor="background1"/>
              </w:rPr>
              <w:t>%</w:t>
            </w:r>
          </w:p>
        </w:tc>
        <w:tc>
          <w:tcPr>
            <w:tcW w:w="996" w:type="dxa"/>
            <w:tcBorders>
              <w:left w:val="single" w:sz="4" w:space="0" w:color="3D4D7D" w:themeColor="background2"/>
            </w:tcBorders>
            <w:shd w:val="clear" w:color="auto" w:fill="7C8CBF" w:themeFill="background2" w:themeFillTint="99"/>
            <w:hideMark/>
          </w:tcPr>
          <w:p w:rsidR="004C63E5" w:rsidRPr="008D79B3" w:rsidRDefault="004C63E5" w:rsidP="00347EE8">
            <w:pPr>
              <w:pStyle w:val="TableSubheading"/>
              <w:jc w:val="center"/>
              <w:rPr>
                <w:color w:val="FFFFFF" w:themeColor="background1"/>
              </w:rPr>
            </w:pPr>
            <w:r w:rsidRPr="008D79B3">
              <w:rPr>
                <w:color w:val="FFFFFF" w:themeColor="background1"/>
              </w:rPr>
              <w:t>%</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415"/>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National Disability Insurance Scheme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7</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31</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1.0</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0.6</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12.3</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4.1</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Aged care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18</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40</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1.0</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1.3</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0.3</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4.6</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5.2</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Defence spending</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35</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68</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1.9</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2.2</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3.6</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8.9</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Child care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7</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15</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0.5</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4.5</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2.0</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GST transfers to states</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64</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111</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3.5</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3.5</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2.6</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14.7</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Medicare Benefits Schedule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23</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41</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1.3</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1.3</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2.9</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5.5</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Carer income support</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8</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15</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0.5</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0.5</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0.0</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3.0</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2.0</w:t>
            </w:r>
          </w:p>
        </w:tc>
      </w:tr>
      <w:tr w:rsidR="004C63E5" w:rsidRPr="002E3181" w:rsidTr="004A0E29">
        <w:trPr>
          <w:trHeight w:val="499"/>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Fuel Tax Credit Scheme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7</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12</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0.4</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0.0</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3.1</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1.6</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Schools</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18</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31</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1.0</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1.0</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0.0</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2.5</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4.2</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Government superannuation</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7</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12</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0.4</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0.0</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2.5</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1.5</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Public hospitals</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21</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35</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1.1</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1.1</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0.0</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2.4</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4.6</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Parenting payments</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5</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8</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0.3</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0.3</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0.0</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1.3</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1.1</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433"/>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Private Health Insurance Rebate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6</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9</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0.3</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0.3</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0.9</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1.1</w:t>
            </w:r>
          </w:p>
        </w:tc>
      </w:tr>
      <w:tr w:rsidR="004C63E5" w:rsidRPr="002E3181" w:rsidTr="004A0E29">
        <w:trPr>
          <w:trHeight w:val="402"/>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Official Development Assistance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4</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5</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0.2</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-0.6</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0.6</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Age Pension</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45</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74</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2.4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2.4</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2.2</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9.8</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Job Seeker Income Support</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11</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16</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0.6</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0.5</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0.7</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2.1</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87"/>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Commonwealth Grants Scheme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7</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8</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0.3</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-0.1</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-0.9</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1.1</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Disability Support Pension</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16</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23</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0.9</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0.7</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0.6</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3.0</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Veterans support</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6</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5</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0.3</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-4.4</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0.7</w:t>
            </w:r>
          </w:p>
        </w:tc>
      </w:tr>
      <w:tr w:rsidR="004C63E5" w:rsidRPr="002E3181" w:rsidTr="004A0E29">
        <w:trPr>
          <w:trHeight w:val="433"/>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Pharmaceutical benefits</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12</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13</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0.6</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0.4</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-1.1</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1.8</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Road and rail infrastructure</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7</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6</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0.4</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-0.2</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-4.2</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0.8</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Family Tax Benefit</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19</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24</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1.0</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0.8</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-0.3</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-0.4</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3.1</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rPr>
                <w:b w:val="0"/>
              </w:rPr>
            </w:pPr>
            <w:r w:rsidRPr="002D497D">
              <w:rPr>
                <w:b w:val="0"/>
              </w:rPr>
              <w:t>Public debt interest</w:t>
            </w:r>
          </w:p>
        </w:tc>
        <w:tc>
          <w:tcPr>
            <w:tcW w:w="773" w:type="dxa"/>
            <w:tcBorders>
              <w:left w:val="single" w:sz="4" w:space="0" w:color="3D4D7D" w:themeColor="background2"/>
            </w:tcBorders>
            <w:vAlign w:val="center"/>
            <w:hideMark/>
          </w:tcPr>
          <w:p w:rsidR="004C63E5" w:rsidRPr="008D79B3" w:rsidRDefault="004C63E5" w:rsidP="00347EE8">
            <w:pPr>
              <w:pStyle w:val="TableHeadingCentred"/>
            </w:pPr>
            <w:r w:rsidRPr="008D79B3">
              <w:t>16</w:t>
            </w:r>
          </w:p>
        </w:tc>
        <w:tc>
          <w:tcPr>
            <w:tcW w:w="773" w:type="dxa"/>
            <w:tcBorders>
              <w:right w:val="single" w:sz="4" w:space="0" w:color="3D4D7D" w:themeColor="background2"/>
            </w:tcBorders>
            <w:vAlign w:val="center"/>
            <w:hideMark/>
          </w:tcPr>
          <w:p w:rsidR="004C63E5" w:rsidRPr="008D79B3" w:rsidRDefault="004C63E5" w:rsidP="00347EE8">
            <w:pPr>
              <w:pStyle w:val="TableHeadingCentred"/>
            </w:pPr>
            <w:r w:rsidRPr="008D79B3">
              <w:t>17</w:t>
            </w:r>
          </w:p>
        </w:tc>
        <w:tc>
          <w:tcPr>
            <w:tcW w:w="865" w:type="dxa"/>
            <w:tcBorders>
              <w:left w:val="single" w:sz="4" w:space="0" w:color="3D4D7D" w:themeColor="background2"/>
            </w:tcBorders>
            <w:vAlign w:val="center"/>
            <w:hideMark/>
          </w:tcPr>
          <w:p w:rsidR="004C63E5" w:rsidRPr="008D79B3" w:rsidRDefault="004C63E5" w:rsidP="00347EE8">
            <w:pPr>
              <w:pStyle w:val="TableHeadingCentred"/>
            </w:pPr>
            <w:r w:rsidRPr="008D79B3">
              <w:t>0.9</w:t>
            </w:r>
          </w:p>
        </w:tc>
        <w:tc>
          <w:tcPr>
            <w:tcW w:w="868" w:type="dxa"/>
            <w:tcBorders>
              <w:right w:val="single" w:sz="4" w:space="0" w:color="3D4D7D" w:themeColor="background2"/>
            </w:tcBorders>
            <w:vAlign w:val="center"/>
            <w:hideMark/>
          </w:tcPr>
          <w:p w:rsidR="004C63E5" w:rsidRPr="008D79B3" w:rsidRDefault="004C63E5" w:rsidP="00347EE8">
            <w:pPr>
              <w:pStyle w:val="TableHeadingCentred"/>
            </w:pPr>
            <w:r w:rsidRPr="008D79B3">
              <w:t>0.5</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-0.3</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pPr>
            <w:r w:rsidRPr="008D79B3">
              <w:t>-1.9</w:t>
            </w:r>
          </w:p>
        </w:tc>
        <w:tc>
          <w:tcPr>
            <w:tcW w:w="996" w:type="dxa"/>
            <w:tcBorders>
              <w:left w:val="single" w:sz="4" w:space="0" w:color="3D4D7D" w:themeColor="background2"/>
            </w:tcBorders>
            <w:vAlign w:val="center"/>
            <w:hideMark/>
          </w:tcPr>
          <w:p w:rsidR="004C63E5" w:rsidRPr="008D79B3" w:rsidRDefault="004C63E5" w:rsidP="00347EE8">
            <w:pPr>
              <w:pStyle w:val="TableHeadingCentred"/>
            </w:pPr>
            <w:r w:rsidRPr="008D79B3">
              <w:t>2.3</w:t>
            </w:r>
          </w:p>
        </w:tc>
      </w:tr>
      <w:tr w:rsidR="004C63E5" w:rsidRPr="002E3181" w:rsidTr="004A0E29">
        <w:trPr>
          <w:trHeight w:val="310"/>
        </w:trPr>
        <w:tc>
          <w:tcPr>
            <w:tcW w:w="2551" w:type="dxa"/>
            <w:tcBorders>
              <w:right w:val="single" w:sz="4" w:space="0" w:color="3D4D7D" w:themeColor="background2"/>
            </w:tcBorders>
            <w:hideMark/>
          </w:tcPr>
          <w:p w:rsidR="004C63E5" w:rsidRPr="008D79B3" w:rsidRDefault="004C63E5" w:rsidP="00347EE8">
            <w:pPr>
              <w:pStyle w:val="TableSubheading"/>
            </w:pPr>
            <w:r w:rsidRPr="008D79B3">
              <w:t>Total modelled spending</w:t>
            </w:r>
          </w:p>
        </w:tc>
        <w:tc>
          <w:tcPr>
            <w:tcW w:w="773" w:type="dxa"/>
            <w:tcBorders>
              <w:left w:val="single" w:sz="4" w:space="0" w:color="3D4D7D" w:themeColor="background2"/>
            </w:tcBorders>
            <w:vAlign w:val="center"/>
            <w:hideMark/>
          </w:tcPr>
          <w:p w:rsidR="004C63E5" w:rsidRPr="002D497D" w:rsidRDefault="004C63E5" w:rsidP="00347EE8">
            <w:pPr>
              <w:pStyle w:val="TableHeadingCentred"/>
              <w:rPr>
                <w:b/>
              </w:rPr>
            </w:pPr>
            <w:r w:rsidRPr="002D497D">
              <w:rPr>
                <w:b/>
              </w:rPr>
              <w:t>371</w:t>
            </w:r>
          </w:p>
        </w:tc>
        <w:tc>
          <w:tcPr>
            <w:tcW w:w="773" w:type="dxa"/>
            <w:tcBorders>
              <w:right w:val="single" w:sz="4" w:space="0" w:color="3D4D7D" w:themeColor="background2"/>
            </w:tcBorders>
            <w:vAlign w:val="center"/>
            <w:hideMark/>
          </w:tcPr>
          <w:p w:rsidR="004C63E5" w:rsidRPr="002D497D" w:rsidRDefault="004C63E5" w:rsidP="00347EE8">
            <w:pPr>
              <w:pStyle w:val="TableHeadingCentred"/>
              <w:rPr>
                <w:b/>
              </w:rPr>
            </w:pPr>
            <w:r w:rsidRPr="002D497D">
              <w:rPr>
                <w:b/>
              </w:rPr>
              <w:t>620</w:t>
            </w:r>
          </w:p>
        </w:tc>
        <w:tc>
          <w:tcPr>
            <w:tcW w:w="865" w:type="dxa"/>
            <w:tcBorders>
              <w:left w:val="single" w:sz="4" w:space="0" w:color="3D4D7D" w:themeColor="background2"/>
            </w:tcBorders>
            <w:vAlign w:val="center"/>
            <w:hideMark/>
          </w:tcPr>
          <w:p w:rsidR="004C63E5" w:rsidRPr="002D497D" w:rsidRDefault="004C63E5" w:rsidP="00347EE8">
            <w:pPr>
              <w:pStyle w:val="TableHeadingCentred"/>
              <w:rPr>
                <w:b/>
              </w:rPr>
            </w:pPr>
            <w:r w:rsidRPr="002D497D">
              <w:rPr>
                <w:b/>
              </w:rPr>
              <w:t>20.2</w:t>
            </w:r>
          </w:p>
        </w:tc>
        <w:tc>
          <w:tcPr>
            <w:tcW w:w="868" w:type="dxa"/>
            <w:tcBorders>
              <w:right w:val="single" w:sz="4" w:space="0" w:color="3D4D7D" w:themeColor="background2"/>
            </w:tcBorders>
            <w:vAlign w:val="center"/>
            <w:hideMark/>
          </w:tcPr>
          <w:p w:rsidR="004C63E5" w:rsidRPr="002D497D" w:rsidRDefault="004C63E5" w:rsidP="00347EE8">
            <w:pPr>
              <w:pStyle w:val="TableHeadingCentred"/>
              <w:rPr>
                <w:b/>
              </w:rPr>
            </w:pPr>
            <w:r w:rsidRPr="002D497D">
              <w:rPr>
                <w:b/>
              </w:rPr>
              <w:t>19.8</w:t>
            </w:r>
          </w:p>
        </w:tc>
        <w:tc>
          <w:tcPr>
            <w:tcW w:w="1067" w:type="dxa"/>
            <w:tcBorders>
              <w:left w:val="single" w:sz="4" w:space="0" w:color="3D4D7D" w:themeColor="background2"/>
              <w:right w:val="single" w:sz="4" w:space="0" w:color="3D4D7D" w:themeColor="background2"/>
            </w:tcBorders>
            <w:vAlign w:val="center"/>
            <w:hideMark/>
          </w:tcPr>
          <w:p w:rsidR="004C63E5" w:rsidRPr="002D497D" w:rsidRDefault="004C63E5" w:rsidP="00347EE8">
            <w:pPr>
              <w:pStyle w:val="TableHeadingCentred"/>
              <w:rPr>
                <w:b/>
              </w:rPr>
            </w:pPr>
            <w:r w:rsidRPr="002D497D">
              <w:rPr>
                <w:b/>
              </w:rPr>
              <w:t>-0.5</w:t>
            </w:r>
          </w:p>
        </w:tc>
        <w:tc>
          <w:tcPr>
            <w:tcW w:w="1038" w:type="dxa"/>
            <w:tcBorders>
              <w:left w:val="single" w:sz="4" w:space="0" w:color="3D4D7D" w:themeColor="background2"/>
              <w:right w:val="single" w:sz="4" w:space="0" w:color="3D4D7D" w:themeColor="background2"/>
            </w:tcBorders>
            <w:vAlign w:val="center"/>
            <w:hideMark/>
          </w:tcPr>
          <w:p w:rsidR="004C63E5" w:rsidRPr="002D497D" w:rsidRDefault="004C63E5" w:rsidP="00347EE8">
            <w:pPr>
              <w:pStyle w:val="TableHeadingCentred"/>
              <w:rPr>
                <w:b/>
              </w:rPr>
            </w:pPr>
            <w:r w:rsidRPr="002D497D">
              <w:rPr>
                <w:b/>
              </w:rPr>
              <w:t>2.3</w:t>
            </w:r>
          </w:p>
        </w:tc>
        <w:tc>
          <w:tcPr>
            <w:tcW w:w="996" w:type="dxa"/>
            <w:tcBorders>
              <w:left w:val="single" w:sz="4" w:space="0" w:color="3D4D7D" w:themeColor="background2"/>
            </w:tcBorders>
            <w:vAlign w:val="center"/>
            <w:hideMark/>
          </w:tcPr>
          <w:p w:rsidR="004C63E5" w:rsidRPr="002D497D" w:rsidRDefault="004C63E5" w:rsidP="00347EE8">
            <w:pPr>
              <w:pStyle w:val="TableHeadingCentred"/>
              <w:rPr>
                <w:b/>
              </w:rPr>
            </w:pPr>
            <w:r w:rsidRPr="002D497D">
              <w:rPr>
                <w:b/>
              </w:rPr>
              <w:t>82.0</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8D79B3" w:rsidRDefault="004C63E5" w:rsidP="00347EE8">
            <w:pPr>
              <w:pStyle w:val="TableSubheading"/>
            </w:pPr>
            <w:r w:rsidRPr="008D79B3">
              <w:t>Other spending</w:t>
            </w:r>
          </w:p>
        </w:tc>
        <w:tc>
          <w:tcPr>
            <w:tcW w:w="773" w:type="dxa"/>
            <w:tcBorders>
              <w:left w:val="single" w:sz="4" w:space="0" w:color="3D4D7D" w:themeColor="background2"/>
            </w:tcBorders>
            <w:vAlign w:val="center"/>
            <w:hideMark/>
          </w:tcPr>
          <w:p w:rsidR="004C63E5" w:rsidRPr="004C63E5" w:rsidRDefault="004C63E5" w:rsidP="00347EE8">
            <w:pPr>
              <w:pStyle w:val="TableHeadingCentred"/>
              <w:rPr>
                <w:b/>
              </w:rPr>
            </w:pPr>
            <w:r w:rsidRPr="004C63E5">
              <w:rPr>
                <w:b/>
              </w:rPr>
              <w:t>89</w:t>
            </w:r>
          </w:p>
        </w:tc>
        <w:tc>
          <w:tcPr>
            <w:tcW w:w="773" w:type="dxa"/>
            <w:tcBorders>
              <w:right w:val="single" w:sz="4" w:space="0" w:color="3D4D7D" w:themeColor="background2"/>
            </w:tcBorders>
            <w:vAlign w:val="center"/>
            <w:hideMark/>
          </w:tcPr>
          <w:p w:rsidR="004C63E5" w:rsidRPr="004C63E5" w:rsidRDefault="004C63E5" w:rsidP="00347EE8">
            <w:pPr>
              <w:pStyle w:val="TableHeadingCentred"/>
              <w:rPr>
                <w:b/>
              </w:rPr>
            </w:pPr>
            <w:r w:rsidRPr="004C63E5">
              <w:rPr>
                <w:b/>
              </w:rPr>
              <w:t>137</w:t>
            </w:r>
          </w:p>
        </w:tc>
        <w:tc>
          <w:tcPr>
            <w:tcW w:w="865" w:type="dxa"/>
            <w:tcBorders>
              <w:left w:val="single" w:sz="4" w:space="0" w:color="3D4D7D" w:themeColor="background2"/>
            </w:tcBorders>
            <w:vAlign w:val="center"/>
            <w:hideMark/>
          </w:tcPr>
          <w:p w:rsidR="004C63E5" w:rsidRPr="004C63E5" w:rsidRDefault="004C63E5" w:rsidP="00347EE8">
            <w:pPr>
              <w:pStyle w:val="TableHeadingCentred"/>
              <w:rPr>
                <w:b/>
              </w:rPr>
            </w:pPr>
            <w:r w:rsidRPr="004C63E5">
              <w:rPr>
                <w:b/>
              </w:rPr>
              <w:t>4.8</w:t>
            </w:r>
          </w:p>
        </w:tc>
        <w:tc>
          <w:tcPr>
            <w:tcW w:w="868" w:type="dxa"/>
            <w:tcBorders>
              <w:right w:val="single" w:sz="4" w:space="0" w:color="3D4D7D" w:themeColor="background2"/>
            </w:tcBorders>
            <w:vAlign w:val="center"/>
            <w:hideMark/>
          </w:tcPr>
          <w:p w:rsidR="004C63E5" w:rsidRPr="004C63E5" w:rsidRDefault="004C63E5" w:rsidP="00347EE8">
            <w:pPr>
              <w:pStyle w:val="TableHeadingCentred"/>
              <w:rPr>
                <w:b/>
              </w:rPr>
            </w:pPr>
            <w:r w:rsidRPr="004C63E5">
              <w:rPr>
                <w:b/>
              </w:rPr>
              <w:t>4.4</w:t>
            </w:r>
          </w:p>
        </w:tc>
        <w:tc>
          <w:tcPr>
            <w:tcW w:w="1067" w:type="dxa"/>
            <w:tcBorders>
              <w:left w:val="single" w:sz="4" w:space="0" w:color="3D4D7D" w:themeColor="background2"/>
              <w:right w:val="single" w:sz="4" w:space="0" w:color="3D4D7D" w:themeColor="background2"/>
            </w:tcBorders>
            <w:vAlign w:val="center"/>
            <w:hideMark/>
          </w:tcPr>
          <w:p w:rsidR="004C63E5" w:rsidRPr="004C63E5" w:rsidRDefault="004C63E5" w:rsidP="00347EE8">
            <w:pPr>
              <w:pStyle w:val="TableHeadingCentred"/>
              <w:rPr>
                <w:b/>
              </w:rPr>
            </w:pPr>
            <w:r w:rsidRPr="004C63E5">
              <w:rPr>
                <w:b/>
              </w:rPr>
              <w:t>-0.5</w:t>
            </w:r>
          </w:p>
        </w:tc>
        <w:tc>
          <w:tcPr>
            <w:tcW w:w="1038" w:type="dxa"/>
            <w:tcBorders>
              <w:left w:val="single" w:sz="4" w:space="0" w:color="3D4D7D" w:themeColor="background2"/>
              <w:right w:val="single" w:sz="4" w:space="0" w:color="3D4D7D" w:themeColor="background2"/>
            </w:tcBorders>
            <w:vAlign w:val="center"/>
            <w:hideMark/>
          </w:tcPr>
          <w:p w:rsidR="004C63E5" w:rsidRPr="004C63E5" w:rsidRDefault="004C63E5" w:rsidP="00347EE8">
            <w:pPr>
              <w:pStyle w:val="TableHeadingCentred"/>
              <w:rPr>
                <w:b/>
              </w:rPr>
            </w:pPr>
            <w:r w:rsidRPr="004C63E5">
              <w:rPr>
                <w:b/>
              </w:rPr>
              <w:t>1.5</w:t>
            </w:r>
          </w:p>
        </w:tc>
        <w:tc>
          <w:tcPr>
            <w:tcW w:w="996" w:type="dxa"/>
            <w:tcBorders>
              <w:left w:val="single" w:sz="4" w:space="0" w:color="3D4D7D" w:themeColor="background2"/>
            </w:tcBorders>
            <w:vAlign w:val="center"/>
            <w:hideMark/>
          </w:tcPr>
          <w:p w:rsidR="004C63E5" w:rsidRPr="004C63E5" w:rsidRDefault="004C63E5" w:rsidP="00347EE8">
            <w:pPr>
              <w:pStyle w:val="TableHeadingCentred"/>
              <w:rPr>
                <w:b/>
              </w:rPr>
            </w:pPr>
            <w:r w:rsidRPr="004C63E5">
              <w:rPr>
                <w:b/>
              </w:rPr>
              <w:t>18.0</w:t>
            </w:r>
          </w:p>
        </w:tc>
      </w:tr>
      <w:tr w:rsidR="004C63E5" w:rsidRPr="002E3181" w:rsidTr="004A0E29">
        <w:trPr>
          <w:trHeight w:val="310"/>
        </w:trPr>
        <w:tc>
          <w:tcPr>
            <w:tcW w:w="2551" w:type="dxa"/>
            <w:tcBorders>
              <w:right w:val="single" w:sz="4" w:space="0" w:color="3D4D7D" w:themeColor="background2"/>
            </w:tcBorders>
            <w:hideMark/>
          </w:tcPr>
          <w:p w:rsidR="004C63E5" w:rsidRPr="002D497D" w:rsidRDefault="004C63E5" w:rsidP="00347EE8">
            <w:pPr>
              <w:pStyle w:val="TableSubheading"/>
              <w:ind w:left="284"/>
              <w:rPr>
                <w:rFonts w:ascii="Calibri" w:hAnsi="Calibri"/>
                <w:b w:val="0"/>
                <w:bCs/>
                <w:i/>
                <w:iCs/>
                <w:color w:val="2B3B5F"/>
              </w:rPr>
            </w:pPr>
            <w:r w:rsidRPr="002D497D">
              <w:rPr>
                <w:rFonts w:ascii="Calibri" w:hAnsi="Calibri"/>
                <w:b w:val="0"/>
                <w:bCs/>
                <w:i/>
                <w:iCs/>
                <w:color w:val="2B3B5F"/>
              </w:rPr>
              <w:t>Government administration</w:t>
            </w:r>
          </w:p>
        </w:tc>
        <w:tc>
          <w:tcPr>
            <w:tcW w:w="773" w:type="dxa"/>
            <w:tcBorders>
              <w:left w:val="single" w:sz="4" w:space="0" w:color="3D4D7D" w:themeColor="background2"/>
            </w:tcBorders>
            <w:vAlign w:val="center"/>
            <w:hideMark/>
          </w:tcPr>
          <w:p w:rsidR="004C63E5" w:rsidRPr="008D79B3" w:rsidRDefault="004C63E5" w:rsidP="00347EE8">
            <w:pPr>
              <w:pStyle w:val="TableHeadingCentred"/>
              <w:rPr>
                <w:i/>
              </w:rPr>
            </w:pPr>
            <w:r w:rsidRPr="008D79B3">
              <w:rPr>
                <w:i/>
              </w:rPr>
              <w:t>34</w:t>
            </w:r>
          </w:p>
        </w:tc>
        <w:tc>
          <w:tcPr>
            <w:tcW w:w="773" w:type="dxa"/>
            <w:tcBorders>
              <w:right w:val="single" w:sz="4" w:space="0" w:color="3D4D7D" w:themeColor="background2"/>
            </w:tcBorders>
            <w:vAlign w:val="center"/>
            <w:hideMark/>
          </w:tcPr>
          <w:p w:rsidR="004C63E5" w:rsidRPr="008D79B3" w:rsidRDefault="004C63E5" w:rsidP="00347EE8">
            <w:pPr>
              <w:pStyle w:val="TableHeadingCentred"/>
              <w:rPr>
                <w:i/>
              </w:rPr>
            </w:pPr>
            <w:r w:rsidRPr="008D79B3">
              <w:rPr>
                <w:i/>
              </w:rPr>
              <w:t>48</w:t>
            </w:r>
          </w:p>
        </w:tc>
        <w:tc>
          <w:tcPr>
            <w:tcW w:w="865" w:type="dxa"/>
            <w:tcBorders>
              <w:left w:val="single" w:sz="4" w:space="0" w:color="3D4D7D" w:themeColor="background2"/>
            </w:tcBorders>
            <w:vAlign w:val="center"/>
            <w:hideMark/>
          </w:tcPr>
          <w:p w:rsidR="004C63E5" w:rsidRPr="008D79B3" w:rsidRDefault="004C63E5" w:rsidP="00347EE8">
            <w:pPr>
              <w:pStyle w:val="TableHeadingCentred"/>
              <w:rPr>
                <w:i/>
              </w:rPr>
            </w:pPr>
            <w:r w:rsidRPr="008D79B3">
              <w:rPr>
                <w:i/>
              </w:rPr>
              <w:t>1.8</w:t>
            </w:r>
          </w:p>
        </w:tc>
        <w:tc>
          <w:tcPr>
            <w:tcW w:w="868" w:type="dxa"/>
            <w:tcBorders>
              <w:right w:val="single" w:sz="4" w:space="0" w:color="3D4D7D" w:themeColor="background2"/>
            </w:tcBorders>
            <w:vAlign w:val="center"/>
            <w:hideMark/>
          </w:tcPr>
          <w:p w:rsidR="004C63E5" w:rsidRPr="008D79B3" w:rsidRDefault="004C63E5" w:rsidP="00347EE8">
            <w:pPr>
              <w:pStyle w:val="TableHeadingCentred"/>
              <w:rPr>
                <w:i/>
              </w:rPr>
            </w:pPr>
            <w:r w:rsidRPr="008D79B3">
              <w:rPr>
                <w:i/>
              </w:rPr>
              <w:t>1.5</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rPr>
                <w:i/>
              </w:rPr>
            </w:pPr>
            <w:r w:rsidRPr="008D79B3">
              <w:rPr>
                <w:i/>
              </w:rPr>
              <w:t>-0.3</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rPr>
                <w:i/>
              </w:rPr>
            </w:pPr>
            <w:r w:rsidRPr="008D79B3">
              <w:rPr>
                <w:i/>
              </w:rPr>
              <w:t>0.7</w:t>
            </w:r>
          </w:p>
        </w:tc>
        <w:tc>
          <w:tcPr>
            <w:tcW w:w="996" w:type="dxa"/>
            <w:tcBorders>
              <w:left w:val="single" w:sz="4" w:space="0" w:color="3D4D7D" w:themeColor="background2"/>
            </w:tcBorders>
            <w:vAlign w:val="center"/>
            <w:hideMark/>
          </w:tcPr>
          <w:p w:rsidR="004C63E5" w:rsidRPr="008D79B3" w:rsidRDefault="004C63E5" w:rsidP="00347EE8">
            <w:pPr>
              <w:pStyle w:val="TableHeadingCentred"/>
              <w:rPr>
                <w:i/>
              </w:rPr>
            </w:pPr>
            <w:r w:rsidRPr="008D79B3">
              <w:rPr>
                <w:i/>
              </w:rPr>
              <w:t>6.3</w:t>
            </w:r>
          </w:p>
        </w:tc>
      </w:tr>
      <w:tr w:rsidR="004C63E5" w:rsidRPr="002E3181" w:rsidTr="004A0E29">
        <w:trPr>
          <w:cnfStyle w:val="000000100000" w:firstRow="0" w:lastRow="0" w:firstColumn="0" w:lastColumn="0" w:oddVBand="0" w:evenVBand="0" w:oddHBand="1" w:evenHBand="0" w:firstRowFirstColumn="0" w:firstRowLastColumn="0" w:lastRowFirstColumn="0" w:lastRowLastColumn="0"/>
          <w:trHeight w:val="310"/>
        </w:trPr>
        <w:tc>
          <w:tcPr>
            <w:tcW w:w="2551" w:type="dxa"/>
            <w:tcBorders>
              <w:right w:val="single" w:sz="4" w:space="0" w:color="3D4D7D" w:themeColor="background2"/>
            </w:tcBorders>
            <w:hideMark/>
          </w:tcPr>
          <w:p w:rsidR="004C63E5" w:rsidRPr="002D497D" w:rsidRDefault="004C63E5" w:rsidP="00347EE8">
            <w:pPr>
              <w:pStyle w:val="TableSubheading"/>
              <w:ind w:left="284"/>
              <w:rPr>
                <w:rFonts w:ascii="Calibri" w:hAnsi="Calibri"/>
                <w:b w:val="0"/>
                <w:bCs/>
                <w:i/>
                <w:iCs/>
                <w:color w:val="2B3B5F"/>
              </w:rPr>
            </w:pPr>
            <w:r w:rsidRPr="002D497D">
              <w:rPr>
                <w:rFonts w:ascii="Calibri" w:hAnsi="Calibri"/>
                <w:b w:val="0"/>
                <w:bCs/>
                <w:i/>
                <w:iCs/>
                <w:color w:val="2B3B5F"/>
              </w:rPr>
              <w:t>Remaining spending</w:t>
            </w:r>
          </w:p>
        </w:tc>
        <w:tc>
          <w:tcPr>
            <w:tcW w:w="773" w:type="dxa"/>
            <w:tcBorders>
              <w:left w:val="single" w:sz="4" w:space="0" w:color="3D4D7D" w:themeColor="background2"/>
            </w:tcBorders>
            <w:vAlign w:val="center"/>
            <w:hideMark/>
          </w:tcPr>
          <w:p w:rsidR="004C63E5" w:rsidRPr="008D79B3" w:rsidRDefault="004C63E5" w:rsidP="00347EE8">
            <w:pPr>
              <w:pStyle w:val="TableHeadingCentred"/>
              <w:rPr>
                <w:i/>
              </w:rPr>
            </w:pPr>
            <w:r w:rsidRPr="008D79B3">
              <w:rPr>
                <w:i/>
              </w:rPr>
              <w:t>55</w:t>
            </w:r>
          </w:p>
        </w:tc>
        <w:tc>
          <w:tcPr>
            <w:tcW w:w="773" w:type="dxa"/>
            <w:tcBorders>
              <w:right w:val="single" w:sz="4" w:space="0" w:color="3D4D7D" w:themeColor="background2"/>
            </w:tcBorders>
            <w:vAlign w:val="center"/>
            <w:hideMark/>
          </w:tcPr>
          <w:p w:rsidR="004C63E5" w:rsidRPr="008D79B3" w:rsidRDefault="004C63E5" w:rsidP="00347EE8">
            <w:pPr>
              <w:pStyle w:val="TableHeadingCentred"/>
              <w:rPr>
                <w:i/>
              </w:rPr>
            </w:pPr>
            <w:r w:rsidRPr="008D79B3">
              <w:rPr>
                <w:i/>
              </w:rPr>
              <w:t>89</w:t>
            </w:r>
          </w:p>
        </w:tc>
        <w:tc>
          <w:tcPr>
            <w:tcW w:w="865" w:type="dxa"/>
            <w:tcBorders>
              <w:left w:val="single" w:sz="4" w:space="0" w:color="3D4D7D" w:themeColor="background2"/>
            </w:tcBorders>
            <w:vAlign w:val="center"/>
            <w:hideMark/>
          </w:tcPr>
          <w:p w:rsidR="004C63E5" w:rsidRPr="008D79B3" w:rsidRDefault="004C63E5" w:rsidP="00347EE8">
            <w:pPr>
              <w:pStyle w:val="TableHeadingCentred"/>
              <w:rPr>
                <w:i/>
              </w:rPr>
            </w:pPr>
            <w:r w:rsidRPr="008D79B3">
              <w:rPr>
                <w:i/>
              </w:rPr>
              <w:t>3.0</w:t>
            </w:r>
          </w:p>
        </w:tc>
        <w:tc>
          <w:tcPr>
            <w:tcW w:w="868" w:type="dxa"/>
            <w:tcBorders>
              <w:right w:val="single" w:sz="4" w:space="0" w:color="3D4D7D" w:themeColor="background2"/>
            </w:tcBorders>
            <w:vAlign w:val="center"/>
            <w:hideMark/>
          </w:tcPr>
          <w:p w:rsidR="004C63E5" w:rsidRPr="008D79B3" w:rsidRDefault="004C63E5" w:rsidP="00347EE8">
            <w:pPr>
              <w:pStyle w:val="TableHeadingCentred"/>
              <w:rPr>
                <w:i/>
              </w:rPr>
            </w:pPr>
            <w:r w:rsidRPr="008D79B3">
              <w:rPr>
                <w:i/>
              </w:rPr>
              <w:t>2.8</w:t>
            </w:r>
          </w:p>
        </w:tc>
        <w:tc>
          <w:tcPr>
            <w:tcW w:w="1067"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rPr>
                <w:i/>
              </w:rPr>
            </w:pPr>
            <w:r w:rsidRPr="008D79B3">
              <w:rPr>
                <w:i/>
              </w:rPr>
              <w:t>-0.2</w:t>
            </w:r>
          </w:p>
        </w:tc>
        <w:tc>
          <w:tcPr>
            <w:tcW w:w="1038" w:type="dxa"/>
            <w:tcBorders>
              <w:left w:val="single" w:sz="4" w:space="0" w:color="3D4D7D" w:themeColor="background2"/>
              <w:right w:val="single" w:sz="4" w:space="0" w:color="3D4D7D" w:themeColor="background2"/>
            </w:tcBorders>
            <w:vAlign w:val="center"/>
            <w:hideMark/>
          </w:tcPr>
          <w:p w:rsidR="004C63E5" w:rsidRPr="008D79B3" w:rsidRDefault="004C63E5" w:rsidP="00347EE8">
            <w:pPr>
              <w:pStyle w:val="TableHeadingCentred"/>
              <w:rPr>
                <w:i/>
              </w:rPr>
            </w:pPr>
            <w:r w:rsidRPr="008D79B3">
              <w:rPr>
                <w:i/>
              </w:rPr>
              <w:t>2.0</w:t>
            </w:r>
          </w:p>
        </w:tc>
        <w:tc>
          <w:tcPr>
            <w:tcW w:w="996" w:type="dxa"/>
            <w:tcBorders>
              <w:left w:val="single" w:sz="4" w:space="0" w:color="3D4D7D" w:themeColor="background2"/>
            </w:tcBorders>
            <w:vAlign w:val="center"/>
            <w:hideMark/>
          </w:tcPr>
          <w:p w:rsidR="004C63E5" w:rsidRPr="008D79B3" w:rsidRDefault="004C63E5" w:rsidP="00347EE8">
            <w:pPr>
              <w:pStyle w:val="TableHeadingCentred"/>
              <w:rPr>
                <w:i/>
              </w:rPr>
            </w:pPr>
            <w:r w:rsidRPr="008D79B3">
              <w:rPr>
                <w:i/>
              </w:rPr>
              <w:t>11.7</w:t>
            </w:r>
          </w:p>
        </w:tc>
      </w:tr>
      <w:tr w:rsidR="004C63E5" w:rsidRPr="002E3181" w:rsidTr="004A0E29">
        <w:trPr>
          <w:trHeight w:val="310"/>
        </w:trPr>
        <w:tc>
          <w:tcPr>
            <w:tcW w:w="2551" w:type="dxa"/>
            <w:tcBorders>
              <w:right w:val="single" w:sz="4" w:space="0" w:color="3D4D7D" w:themeColor="background2"/>
            </w:tcBorders>
            <w:shd w:val="clear" w:color="auto" w:fill="3D4D7D" w:themeFill="background2"/>
            <w:hideMark/>
          </w:tcPr>
          <w:p w:rsidR="004C63E5" w:rsidRPr="008D79B3" w:rsidRDefault="004C63E5" w:rsidP="00347EE8">
            <w:pPr>
              <w:pStyle w:val="TableSubheading"/>
              <w:rPr>
                <w:b w:val="0"/>
                <w:bCs/>
                <w:color w:val="FFFFFF"/>
              </w:rPr>
            </w:pPr>
            <w:r w:rsidRPr="008D79B3">
              <w:rPr>
                <w:bCs/>
                <w:color w:val="FFFFFF"/>
              </w:rPr>
              <w:t>Total spending</w:t>
            </w:r>
          </w:p>
        </w:tc>
        <w:tc>
          <w:tcPr>
            <w:tcW w:w="773" w:type="dxa"/>
            <w:tcBorders>
              <w:left w:val="single" w:sz="4" w:space="0" w:color="3D4D7D" w:themeColor="background2"/>
              <w:righ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460</w:t>
            </w:r>
          </w:p>
        </w:tc>
        <w:tc>
          <w:tcPr>
            <w:tcW w:w="773" w:type="dxa"/>
            <w:tcBorders>
              <w:left w:val="single" w:sz="4" w:space="0" w:color="3D4D7D" w:themeColor="background2"/>
              <w:righ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757</w:t>
            </w:r>
          </w:p>
        </w:tc>
        <w:tc>
          <w:tcPr>
            <w:tcW w:w="865" w:type="dxa"/>
            <w:tcBorders>
              <w:left w:val="single" w:sz="4" w:space="0" w:color="3D4D7D" w:themeColor="background2"/>
              <w:righ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25.1</w:t>
            </w:r>
          </w:p>
        </w:tc>
        <w:tc>
          <w:tcPr>
            <w:tcW w:w="868" w:type="dxa"/>
            <w:tcBorders>
              <w:left w:val="single" w:sz="4" w:space="0" w:color="3D4D7D" w:themeColor="background2"/>
              <w:righ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24.1</w:t>
            </w:r>
          </w:p>
        </w:tc>
        <w:tc>
          <w:tcPr>
            <w:tcW w:w="1067" w:type="dxa"/>
            <w:tcBorders>
              <w:left w:val="single" w:sz="4" w:space="0" w:color="3D4D7D" w:themeColor="background2"/>
              <w:righ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-0.9</w:t>
            </w:r>
          </w:p>
        </w:tc>
        <w:tc>
          <w:tcPr>
            <w:tcW w:w="1038" w:type="dxa"/>
            <w:tcBorders>
              <w:left w:val="single" w:sz="4" w:space="0" w:color="3D4D7D" w:themeColor="background2"/>
              <w:righ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2.1</w:t>
            </w:r>
          </w:p>
        </w:tc>
        <w:tc>
          <w:tcPr>
            <w:tcW w:w="996" w:type="dxa"/>
            <w:tcBorders>
              <w:left w:val="single" w:sz="4" w:space="0" w:color="3D4D7D" w:themeColor="background2"/>
            </w:tcBorders>
            <w:shd w:val="clear" w:color="auto" w:fill="3D4D7D" w:themeFill="background2"/>
            <w:vAlign w:val="center"/>
            <w:hideMark/>
          </w:tcPr>
          <w:p w:rsidR="004C63E5" w:rsidRPr="008D79B3" w:rsidRDefault="004C63E5" w:rsidP="00347EE8">
            <w:pPr>
              <w:jc w:val="center"/>
              <w:rPr>
                <w:b/>
                <w:bCs/>
                <w:color w:val="FFFFFF"/>
                <w:szCs w:val="20"/>
              </w:rPr>
            </w:pPr>
            <w:r w:rsidRPr="008D79B3">
              <w:rPr>
                <w:b/>
                <w:bCs/>
                <w:color w:val="FFFFFF"/>
                <w:szCs w:val="20"/>
              </w:rPr>
              <w:t>100.0</w:t>
            </w:r>
          </w:p>
        </w:tc>
      </w:tr>
    </w:tbl>
    <w:p w:rsidR="0039322D" w:rsidRDefault="0039322D" w:rsidP="0039322D">
      <w:pPr>
        <w:pStyle w:val="Source"/>
      </w:pPr>
      <w:r>
        <w:t xml:space="preserve">Source: </w:t>
      </w:r>
      <w:r w:rsidRPr="00363711">
        <w:t>2018</w:t>
      </w:r>
      <w:r w:rsidR="004012E7">
        <w:t>-</w:t>
      </w:r>
      <w:r w:rsidRPr="00363711">
        <w:t>19 Budget and PBO analysis.</w:t>
      </w:r>
    </w:p>
    <w:p w:rsidR="004C63E5" w:rsidRDefault="004C63E5">
      <w:pPr>
        <w:rPr>
          <w:rFonts w:cs="Times New Roman"/>
        </w:rPr>
      </w:pPr>
      <w:r>
        <w:br w:type="page"/>
      </w:r>
    </w:p>
    <w:p w:rsidR="00363711" w:rsidRDefault="0039322D" w:rsidP="00691940">
      <w:pPr>
        <w:pStyle w:val="BodyTextAfterListTable"/>
      </w:pPr>
      <w:r>
        <w:t>S</w:t>
      </w:r>
      <w:r w:rsidR="00363711">
        <w:t xml:space="preserve">pending on the Disability Support Pension (DSP) is projected to fall by 0.2 per cent of GDP over the next decade.  The main driver of this is past policies which have focussed on stemming the flow of people onto the payment.  In particular, compliance and assessment measures which applied from </w:t>
      </w:r>
      <w:r w:rsidR="009D04E4">
        <w:br/>
      </w:r>
      <w:r w:rsidR="00363711">
        <w:t xml:space="preserve">1 January </w:t>
      </w:r>
      <w:proofErr w:type="gramStart"/>
      <w:r w:rsidR="00363711">
        <w:t>2012,</w:t>
      </w:r>
      <w:proofErr w:type="gramEnd"/>
      <w:r w:rsidR="00363711">
        <w:t xml:space="preserve"> have had an impact in reducing the growth in the number of people being assessed as eligible for the payment.</w:t>
      </w:r>
      <w:r w:rsidR="00363711" w:rsidRPr="007979E1">
        <w:rPr>
          <w:rStyle w:val="FootnoteReference"/>
        </w:rPr>
        <w:footnoteReference w:id="14"/>
      </w:r>
      <w:r w:rsidR="00363711">
        <w:t xml:space="preserve">  We project that these measures will have an ongoing effect, such that the impact on spending over the next decade is shared equally between the forward estimates and the period beyond. </w:t>
      </w:r>
      <w:r w:rsidR="00297C5F">
        <w:t xml:space="preserve"> </w:t>
      </w:r>
    </w:p>
    <w:p w:rsidR="00DF5F73" w:rsidRDefault="001D6FF7" w:rsidP="001D6FF7">
      <w:pPr>
        <w:pStyle w:val="BodyText"/>
      </w:pPr>
      <w:r w:rsidRPr="00A4062E">
        <w:t xml:space="preserve">The DSP interacts with other income support payments, </w:t>
      </w:r>
      <w:r>
        <w:t xml:space="preserve">including </w:t>
      </w:r>
      <w:proofErr w:type="spellStart"/>
      <w:r>
        <w:t>Newstart</w:t>
      </w:r>
      <w:proofErr w:type="spellEnd"/>
      <w:r>
        <w:t xml:space="preserve"> (which makes up the bulk of Job Seeker Income Support).</w:t>
      </w:r>
      <w:r w:rsidRPr="00A4062E">
        <w:t xml:space="preserve">  Tightening the eligibility criteria around the DSP may reduce direct expenditure on the DSP, but from a whole-of-government expenditure perspective this may be partly offset by expenditure increases on other payments such as </w:t>
      </w:r>
      <w:proofErr w:type="spellStart"/>
      <w:r w:rsidRPr="00A4062E">
        <w:t>Newstart</w:t>
      </w:r>
      <w:proofErr w:type="spellEnd"/>
      <w:r w:rsidRPr="00A4062E">
        <w:t xml:space="preserve"> which is paid at a lower rate.</w:t>
      </w:r>
      <w:r w:rsidR="001A4FED" w:rsidRPr="007979E1">
        <w:rPr>
          <w:rStyle w:val="FootnoteReference"/>
        </w:rPr>
        <w:footnoteReference w:id="15"/>
      </w:r>
      <w:r w:rsidRPr="00A4062E">
        <w:t xml:space="preserve"> </w:t>
      </w:r>
      <w:r w:rsidR="001A4FED">
        <w:t xml:space="preserve"> </w:t>
      </w:r>
    </w:p>
    <w:p w:rsidR="001C3A40" w:rsidRDefault="00363711" w:rsidP="00363711">
      <w:pPr>
        <w:pStyle w:val="BodyText"/>
      </w:pPr>
      <w:r>
        <w:t xml:space="preserve">The decline in veterans support (0.2 per cent of GDP) reflects a continual decrease in the eligible </w:t>
      </w:r>
      <w:r w:rsidR="001C3A40">
        <w:t>population over the next decade.</w:t>
      </w:r>
    </w:p>
    <w:p w:rsidR="00363711" w:rsidRDefault="001C3A40" w:rsidP="00363711">
      <w:pPr>
        <w:pStyle w:val="BodyText"/>
      </w:pPr>
      <w:r>
        <w:t>P</w:t>
      </w:r>
      <w:r w:rsidR="00363711">
        <w:t>ublic debt interest falls</w:t>
      </w:r>
      <w:r w:rsidR="00D41103">
        <w:t xml:space="preserve"> by 0.3 per cent of GDP over the next decade</w:t>
      </w:r>
      <w:r w:rsidR="00363711">
        <w:t xml:space="preserve"> in line with the projected improvement in the budget balance.</w:t>
      </w:r>
    </w:p>
    <w:p w:rsidR="00F327BA" w:rsidRDefault="00E83758" w:rsidP="00AE0FEA">
      <w:pPr>
        <w:pStyle w:val="Heading2"/>
      </w:pPr>
      <w:bookmarkStart w:id="46" w:name="_Toc523757316"/>
      <w:bookmarkStart w:id="47" w:name="_Toc523758531"/>
      <w:r w:rsidRPr="001E6A58">
        <w:t>Risks</w:t>
      </w:r>
      <w:r>
        <w:t xml:space="preserve"> around projected </w:t>
      </w:r>
      <w:r w:rsidR="00342279">
        <w:t>spending</w:t>
      </w:r>
      <w:bookmarkEnd w:id="46"/>
      <w:bookmarkEnd w:id="47"/>
    </w:p>
    <w:p w:rsidR="007A7381" w:rsidRDefault="00342279">
      <w:pPr>
        <w:pStyle w:val="BodyText"/>
      </w:pPr>
      <w:r w:rsidRPr="007400D2">
        <w:t>As with receipts, the payment projections are subject to uncertainty.  In general, the projections of spending assume no new spending initiatives beyond those contained in the budget estimates.  The spending restraint seen over the past f</w:t>
      </w:r>
      <w:r w:rsidR="00C770FC" w:rsidRPr="007400D2">
        <w:t xml:space="preserve">ew </w:t>
      </w:r>
      <w:r w:rsidR="00C770FC" w:rsidRPr="00B044F6">
        <w:t xml:space="preserve">years, as illustrated in Box </w:t>
      </w:r>
      <w:r w:rsidR="00F50A9D" w:rsidRPr="00B044F6">
        <w:t>4</w:t>
      </w:r>
      <w:r w:rsidR="00C770FC" w:rsidRPr="00B044F6">
        <w:t xml:space="preserve">, </w:t>
      </w:r>
      <w:r w:rsidRPr="00B044F6">
        <w:t xml:space="preserve">may be increasingly difficult to maintain with an improving budget outlook.  </w:t>
      </w:r>
      <w:r w:rsidR="002B022C" w:rsidRPr="00B044F6">
        <w:t>In recent</w:t>
      </w:r>
      <w:r w:rsidR="007400D2" w:rsidRPr="00B044F6">
        <w:t xml:space="preserve"> </w:t>
      </w:r>
      <w:r w:rsidR="002B022C" w:rsidRPr="00B044F6">
        <w:t xml:space="preserve">months, in particular, we note the </w:t>
      </w:r>
      <w:r w:rsidR="007400D2" w:rsidRPr="00B044F6">
        <w:t xml:space="preserve">public discussion </w:t>
      </w:r>
      <w:r w:rsidR="002B022C" w:rsidRPr="00B044F6">
        <w:t xml:space="preserve">that suggests </w:t>
      </w:r>
      <w:r w:rsidR="007400D2" w:rsidRPr="00B044F6">
        <w:t xml:space="preserve">spending pressures may arise in relation to </w:t>
      </w:r>
      <w:r w:rsidR="002B022C" w:rsidRPr="00B044F6">
        <w:t xml:space="preserve">expenditures on programs such as the </w:t>
      </w:r>
      <w:proofErr w:type="spellStart"/>
      <w:r w:rsidR="007400D2" w:rsidRPr="00B044F6">
        <w:t>Newstart</w:t>
      </w:r>
      <w:proofErr w:type="spellEnd"/>
      <w:r w:rsidR="007400D2" w:rsidRPr="00B044F6">
        <w:t xml:space="preserve"> allowance and </w:t>
      </w:r>
      <w:r w:rsidR="002B022C" w:rsidRPr="00B044F6">
        <w:t xml:space="preserve">on </w:t>
      </w:r>
      <w:r w:rsidR="007400D2" w:rsidRPr="00B044F6">
        <w:t>education.</w:t>
      </w:r>
    </w:p>
    <w:p w:rsidR="00342279" w:rsidRDefault="00342279">
      <w:pPr>
        <w:pStyle w:val="BodyText"/>
      </w:pPr>
      <w:r>
        <w:t xml:space="preserve">The NDIS is in the early stages of implementation and as with any program which is yet to mature there are risks that the longer-term costs associated with the </w:t>
      </w:r>
      <w:r w:rsidR="00DF7B03">
        <w:t>NDIS</w:t>
      </w:r>
      <w:r>
        <w:t xml:space="preserve"> may increase.  While the Productivity Commission</w:t>
      </w:r>
      <w:r w:rsidR="00C770FC">
        <w:t xml:space="preserve"> </w:t>
      </w:r>
      <w:r>
        <w:t xml:space="preserve">noted that </w:t>
      </w:r>
      <w:r w:rsidR="00942A23">
        <w:t xml:space="preserve">preliminary data indicated that the costs of the </w:t>
      </w:r>
      <w:r w:rsidR="00DF7B03">
        <w:t xml:space="preserve">NDIS </w:t>
      </w:r>
      <w:r>
        <w:t xml:space="preserve">were </w:t>
      </w:r>
      <w:r w:rsidR="00EB2269">
        <w:t xml:space="preserve">broadly </w:t>
      </w:r>
      <w:r w:rsidR="00942A23">
        <w:t xml:space="preserve">in line with National Disability Insurance Agency long-term estimates, it is likely that </w:t>
      </w:r>
      <w:r w:rsidR="00CE6C4C">
        <w:t xml:space="preserve">spending </w:t>
      </w:r>
      <w:r w:rsidR="00942A23">
        <w:t xml:space="preserve">pressures will emerge as the </w:t>
      </w:r>
      <w:r w:rsidR="00DF7B03">
        <w:t xml:space="preserve">NDIS </w:t>
      </w:r>
      <w:r w:rsidR="00942A23">
        <w:t xml:space="preserve">is fully rolled out. </w:t>
      </w:r>
      <w:r w:rsidR="00C770FC">
        <w:t xml:space="preserve"> </w:t>
      </w:r>
    </w:p>
    <w:p w:rsidR="00342279" w:rsidRDefault="00342279" w:rsidP="00342279">
      <w:pPr>
        <w:pStyle w:val="BodyText"/>
        <w:rPr>
          <w:lang w:eastAsia="en-AU"/>
        </w:rPr>
      </w:pPr>
      <w:r>
        <w:rPr>
          <w:lang w:eastAsia="en-AU"/>
        </w:rPr>
        <w:t>There is a large degree of uncertainty regarding our projections for spending on pharmaceutical benefits.  Future drug listings would increase the quantity of drugs available and hence the costs associated with the program, as evidenced by the recent listing of drugs to treat Hepatitis C.</w:t>
      </w:r>
      <w:r w:rsidRPr="007979E1">
        <w:rPr>
          <w:rStyle w:val="FootnoteReference"/>
        </w:rPr>
        <w:footnoteReference w:id="16"/>
      </w:r>
      <w:r>
        <w:rPr>
          <w:lang w:eastAsia="en-AU"/>
        </w:rPr>
        <w:t xml:space="preserve">  Working in the other direction, the price falls of listed drugs coming off patent has been significant in recent years but future trends are challenging to predict.</w:t>
      </w:r>
    </w:p>
    <w:p w:rsidR="00342279" w:rsidRDefault="00342279" w:rsidP="00342279">
      <w:pPr>
        <w:pStyle w:val="BodyText"/>
        <w:rPr>
          <w:lang w:eastAsia="en-AU"/>
        </w:rPr>
      </w:pPr>
    </w:p>
    <w:p w:rsidR="00E83758" w:rsidRPr="001E6A58" w:rsidRDefault="00E83758" w:rsidP="001E6A58">
      <w:pPr>
        <w:pStyle w:val="BodyText"/>
      </w:pPr>
    </w:p>
    <w:p w:rsidR="00E809F6" w:rsidRDefault="00E809F6" w:rsidP="00E809F6">
      <w:pPr>
        <w:pStyle w:val="Heading1"/>
      </w:pPr>
      <w:bookmarkStart w:id="48" w:name="_Toc522875103"/>
      <w:bookmarkStart w:id="49" w:name="_Toc523757317"/>
      <w:bookmarkStart w:id="50" w:name="_Toc523758532"/>
      <w:bookmarkEnd w:id="48"/>
      <w:r w:rsidRPr="00E809F6">
        <w:t>Projected net debt and net financial worth</w:t>
      </w:r>
      <w:bookmarkEnd w:id="49"/>
      <w:bookmarkEnd w:id="50"/>
    </w:p>
    <w:p w:rsidR="00E84310" w:rsidRPr="003533B7" w:rsidRDefault="00E84310" w:rsidP="00E95B0B">
      <w:pPr>
        <w:pStyle w:val="Heading2"/>
      </w:pPr>
      <w:bookmarkStart w:id="51" w:name="_Toc523757318"/>
      <w:bookmarkStart w:id="52" w:name="_Toc523758533"/>
      <w:r w:rsidRPr="003533B7">
        <w:t>Net debt</w:t>
      </w:r>
      <w:bookmarkEnd w:id="51"/>
      <w:bookmarkEnd w:id="52"/>
    </w:p>
    <w:p w:rsidR="00703A5C" w:rsidRDefault="000547F6" w:rsidP="00E809F6">
      <w:pPr>
        <w:pStyle w:val="BodyText"/>
      </w:pPr>
      <w:r>
        <w:t>The Government projects that net debt</w:t>
      </w:r>
      <w:r w:rsidR="007E66B7" w:rsidRPr="007979E1">
        <w:rPr>
          <w:rStyle w:val="FootnoteReference"/>
        </w:rPr>
        <w:footnoteReference w:id="17"/>
      </w:r>
      <w:r>
        <w:t xml:space="preserve"> will fall </w:t>
      </w:r>
      <w:r w:rsidR="00391D30">
        <w:t xml:space="preserve">from </w:t>
      </w:r>
      <w:r w:rsidR="007A7381" w:rsidRPr="00E809F6">
        <w:t>18.6 per cent of GDP</w:t>
      </w:r>
      <w:r w:rsidR="007A7381">
        <w:t xml:space="preserve"> (</w:t>
      </w:r>
      <w:r w:rsidR="00391D30">
        <w:t>$341.0</w:t>
      </w:r>
      <w:r w:rsidRPr="00E809F6">
        <w:t xml:space="preserve"> billion</w:t>
      </w:r>
      <w:r w:rsidR="007A7381">
        <w:t>)</w:t>
      </w:r>
      <w:r w:rsidRPr="00E809F6">
        <w:t xml:space="preserve"> </w:t>
      </w:r>
      <w:r w:rsidR="007A7381" w:rsidRPr="00E809F6">
        <w:t>in</w:t>
      </w:r>
      <w:r w:rsidR="007A7381">
        <w:t> </w:t>
      </w:r>
      <w:r w:rsidR="007A7381">
        <w:br/>
      </w:r>
      <w:r w:rsidRPr="00E809F6">
        <w:t>2017</w:t>
      </w:r>
      <w:r w:rsidR="004012E7">
        <w:t>-</w:t>
      </w:r>
      <w:r w:rsidRPr="00E809F6">
        <w:t>18</w:t>
      </w:r>
      <w:r w:rsidR="007A7381">
        <w:t xml:space="preserve"> to 14.7 per cent of GDP </w:t>
      </w:r>
      <w:r w:rsidRPr="00E809F6">
        <w:t>(</w:t>
      </w:r>
      <w:r w:rsidR="007A7381">
        <w:t>$319.3 billion</w:t>
      </w:r>
      <w:r w:rsidRPr="00E809F6">
        <w:t>)</w:t>
      </w:r>
      <w:r>
        <w:t xml:space="preserve"> in 2021</w:t>
      </w:r>
      <w:r w:rsidR="004012E7">
        <w:t>-</w:t>
      </w:r>
      <w:r>
        <w:t>22.</w:t>
      </w:r>
      <w:r w:rsidRPr="000547F6">
        <w:t xml:space="preserve"> </w:t>
      </w:r>
      <w:r>
        <w:t xml:space="preserve"> </w:t>
      </w:r>
      <w:r w:rsidRPr="00E809F6">
        <w:t>Beyond the forward estimates</w:t>
      </w:r>
      <w:r w:rsidR="00DF7B03">
        <w:t>,</w:t>
      </w:r>
      <w:r w:rsidRPr="00E809F6">
        <w:t xml:space="preserve"> </w:t>
      </w:r>
      <w:r w:rsidR="00F96881">
        <w:t xml:space="preserve">the PBO </w:t>
      </w:r>
      <w:r w:rsidRPr="00E809F6">
        <w:t>project</w:t>
      </w:r>
      <w:r w:rsidR="00F96881">
        <w:t>s</w:t>
      </w:r>
      <w:r w:rsidRPr="00E809F6">
        <w:t xml:space="preserve"> that net debt will fall to </w:t>
      </w:r>
      <w:r w:rsidR="007A7381">
        <w:t>2.8 per cent of GDP</w:t>
      </w:r>
      <w:r w:rsidR="007A7381" w:rsidRPr="00E809F6">
        <w:t xml:space="preserve"> </w:t>
      </w:r>
      <w:r w:rsidR="007A7381">
        <w:t>(</w:t>
      </w:r>
      <w:r w:rsidRPr="00E809F6">
        <w:t>$88.</w:t>
      </w:r>
      <w:r w:rsidR="00391D30">
        <w:t>0</w:t>
      </w:r>
      <w:r w:rsidRPr="00E809F6">
        <w:t xml:space="preserve"> billion</w:t>
      </w:r>
      <w:r w:rsidR="007A7381">
        <w:t>)</w:t>
      </w:r>
      <w:r>
        <w:t xml:space="preserve"> by 2028</w:t>
      </w:r>
      <w:r w:rsidR="004012E7">
        <w:t>-</w:t>
      </w:r>
      <w:r>
        <w:t>29 (</w:t>
      </w:r>
      <w:r w:rsidR="00DD57A0">
        <w:fldChar w:fldCharType="begin"/>
      </w:r>
      <w:r w:rsidR="00DD57A0">
        <w:instrText xml:space="preserve"> REF  _Ref520986428 \h </w:instrText>
      </w:r>
      <w:r w:rsidR="00DD57A0">
        <w:fldChar w:fldCharType="separate"/>
      </w:r>
      <w:r w:rsidR="002828FF" w:rsidRPr="00E809F6">
        <w:t xml:space="preserve">Figure </w:t>
      </w:r>
      <w:r w:rsidR="002828FF">
        <w:rPr>
          <w:noProof/>
        </w:rPr>
        <w:t>5</w:t>
      </w:r>
      <w:r w:rsidR="002828FF" w:rsidRPr="00E809F6">
        <w:t>–</w:t>
      </w:r>
      <w:r w:rsidR="002828FF">
        <w:rPr>
          <w:noProof/>
        </w:rPr>
        <w:t>1</w:t>
      </w:r>
      <w:r w:rsidR="00DD57A0">
        <w:fldChar w:fldCharType="end"/>
      </w:r>
      <w:r w:rsidRPr="00E809F6">
        <w:t>)</w:t>
      </w:r>
      <w:r>
        <w:t>.</w:t>
      </w:r>
    </w:p>
    <w:p w:rsidR="00FD3EC1" w:rsidRDefault="00FD3EC1" w:rsidP="00A45FA0">
      <w:pPr>
        <w:pStyle w:val="Caption"/>
      </w:pPr>
    </w:p>
    <w:p w:rsidR="00FD3EC1" w:rsidRDefault="00FD3EC1" w:rsidP="00FD3EC1">
      <w:pPr>
        <w:pStyle w:val="Caption"/>
      </w:pPr>
      <w:bookmarkStart w:id="53" w:name="_Ref520986428"/>
      <w:r w:rsidRPr="00E809F6">
        <w:t xml:space="preserve">Figure </w:t>
      </w:r>
      <w:fldSimple w:instr=" STYLEREF 1 \s ">
        <w:r w:rsidR="002828FF">
          <w:rPr>
            <w:noProof/>
          </w:rPr>
          <w:t>5</w:t>
        </w:r>
      </w:fldSimple>
      <w:r w:rsidRPr="00E809F6">
        <w:t>–</w:t>
      </w:r>
      <w:fldSimple w:instr=" SEQ Figure \* ARABIC \s 1 ">
        <w:r w:rsidR="002828FF">
          <w:rPr>
            <w:noProof/>
          </w:rPr>
          <w:t>1</w:t>
        </w:r>
      </w:fldSimple>
      <w:bookmarkEnd w:id="53"/>
      <w:r w:rsidRPr="00E809F6">
        <w:t xml:space="preserve">: </w:t>
      </w:r>
      <w:r>
        <w:t>Net debt</w:t>
      </w:r>
    </w:p>
    <w:p w:rsidR="007D35E0" w:rsidRDefault="003A609C" w:rsidP="003533B7">
      <w:pPr>
        <w:pStyle w:val="BodyText"/>
        <w:jc w:val="center"/>
      </w:pPr>
      <w:r>
        <w:rPr>
          <w:noProof/>
          <w:lang w:eastAsia="en-AU"/>
        </w:rPr>
        <w:drawing>
          <wp:inline distT="0" distB="0" distL="0" distR="0" wp14:anchorId="6699C0BE" wp14:editId="338437BA">
            <wp:extent cx="4985244" cy="3541594"/>
            <wp:effectExtent l="0" t="0" r="635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83182" cy="3540129"/>
                    </a:xfrm>
                    <a:prstGeom prst="rect">
                      <a:avLst/>
                    </a:prstGeom>
                    <a:noFill/>
                  </pic:spPr>
                </pic:pic>
              </a:graphicData>
            </a:graphic>
          </wp:inline>
        </w:drawing>
      </w:r>
    </w:p>
    <w:p w:rsidR="00FD3EC1" w:rsidRDefault="00FD3EC1" w:rsidP="00FD3EC1">
      <w:pPr>
        <w:pStyle w:val="Source"/>
      </w:pPr>
      <w:r>
        <w:t xml:space="preserve">Source: </w:t>
      </w:r>
      <w:r w:rsidRPr="00363711">
        <w:t>2018</w:t>
      </w:r>
      <w:r w:rsidR="004012E7">
        <w:t>-</w:t>
      </w:r>
      <w:r w:rsidRPr="00363711">
        <w:t>19 Budget and PBO analysis.</w:t>
      </w:r>
    </w:p>
    <w:p w:rsidR="0086166A" w:rsidRDefault="0086166A" w:rsidP="00A45FA0">
      <w:pPr>
        <w:pStyle w:val="BodyTextAfterListTable"/>
      </w:pPr>
      <w:r>
        <w:t xml:space="preserve">Net debt is projected </w:t>
      </w:r>
      <w:r w:rsidRPr="00080483">
        <w:t xml:space="preserve">to </w:t>
      </w:r>
      <w:r w:rsidR="004B6568" w:rsidRPr="00080483">
        <w:t xml:space="preserve">have </w:t>
      </w:r>
      <w:r w:rsidRPr="00080483">
        <w:t>peak</w:t>
      </w:r>
      <w:r w:rsidR="004B6568" w:rsidRPr="00080483">
        <w:t>ed</w:t>
      </w:r>
      <w:r w:rsidRPr="00080483">
        <w:t xml:space="preserve"> in</w:t>
      </w:r>
      <w:r>
        <w:t xml:space="preserve"> 2017</w:t>
      </w:r>
      <w:r w:rsidR="004012E7">
        <w:t>-</w:t>
      </w:r>
      <w:r>
        <w:t xml:space="preserve">18 and then decline over the next decade reflecting the reduced financing task from the projected move to budget surpluses.  </w:t>
      </w:r>
      <w:r w:rsidR="009D1299">
        <w:t>Falls in t</w:t>
      </w:r>
      <w:r>
        <w:t>he market value of government debt also contribute to th</w:t>
      </w:r>
      <w:r w:rsidR="009D1299">
        <w:t xml:space="preserve">is decline </w:t>
      </w:r>
      <w:r>
        <w:t>as the yield on long-term securities is assumed to increase over the projection period, consistent with the 2018</w:t>
      </w:r>
      <w:r w:rsidR="004012E7">
        <w:t>-</w:t>
      </w:r>
      <w:r>
        <w:t xml:space="preserve">19 Budget.  </w:t>
      </w:r>
    </w:p>
    <w:p w:rsidR="00C268D8" w:rsidRDefault="00F472CE" w:rsidP="00E809F6">
      <w:pPr>
        <w:pStyle w:val="BodyText"/>
      </w:pPr>
      <w:r>
        <w:t xml:space="preserve">As </w:t>
      </w:r>
      <w:r w:rsidR="00DD57A0">
        <w:fldChar w:fldCharType="begin"/>
      </w:r>
      <w:r w:rsidR="00DD57A0">
        <w:instrText xml:space="preserve"> REF  _Ref520986428 \h </w:instrText>
      </w:r>
      <w:r w:rsidR="00DD57A0">
        <w:fldChar w:fldCharType="separate"/>
      </w:r>
      <w:r w:rsidR="002828FF" w:rsidRPr="00E809F6">
        <w:t xml:space="preserve">Figure </w:t>
      </w:r>
      <w:r w:rsidR="002828FF">
        <w:rPr>
          <w:noProof/>
        </w:rPr>
        <w:t>5</w:t>
      </w:r>
      <w:r w:rsidR="002828FF" w:rsidRPr="00E809F6">
        <w:t>–</w:t>
      </w:r>
      <w:r w:rsidR="002828FF">
        <w:rPr>
          <w:noProof/>
        </w:rPr>
        <w:t>1</w:t>
      </w:r>
      <w:r w:rsidR="00DD57A0">
        <w:fldChar w:fldCharType="end"/>
      </w:r>
      <w:r w:rsidR="004A1C74">
        <w:t xml:space="preserve"> </w:t>
      </w:r>
      <w:r>
        <w:t xml:space="preserve">illustrates, the projected improvement in the net debt position </w:t>
      </w:r>
      <w:r w:rsidR="003575A2">
        <w:t xml:space="preserve">over the next decade </w:t>
      </w:r>
      <w:r>
        <w:t xml:space="preserve">is not without precedent.  </w:t>
      </w:r>
      <w:r w:rsidR="00743CCB">
        <w:t xml:space="preserve">Following expansionary fiscal policy in the wake of the early 1990s recession, net debt </w:t>
      </w:r>
      <w:r w:rsidR="00F327BA">
        <w:t>increased to</w:t>
      </w:r>
      <w:r w:rsidR="00743CCB">
        <w:t xml:space="preserve"> </w:t>
      </w:r>
      <w:r w:rsidR="00C939E8">
        <w:t>18.2 per cent of GDP in 1995</w:t>
      </w:r>
      <w:r w:rsidR="004012E7">
        <w:t>-</w:t>
      </w:r>
      <w:r w:rsidR="00C939E8">
        <w:t>96</w:t>
      </w:r>
      <w:r w:rsidR="00743CCB">
        <w:t xml:space="preserve">.  Net debt </w:t>
      </w:r>
      <w:r w:rsidR="00C939E8">
        <w:t xml:space="preserve">fell continuously </w:t>
      </w:r>
      <w:r w:rsidR="00743CCB">
        <w:t xml:space="preserve">over the next decade </w:t>
      </w:r>
      <w:r w:rsidR="00C939E8">
        <w:t>to reach -3.</w:t>
      </w:r>
      <w:r w:rsidR="00DF7B03">
        <w:t>4</w:t>
      </w:r>
      <w:r w:rsidR="00C939E8">
        <w:t xml:space="preserve"> per cent of GDP in 2007</w:t>
      </w:r>
      <w:r w:rsidR="004012E7">
        <w:t>-</w:t>
      </w:r>
      <w:r w:rsidR="00C939E8">
        <w:t>08.</w:t>
      </w:r>
      <w:r w:rsidR="005E3033">
        <w:t xml:space="preserve">  </w:t>
      </w:r>
      <w:r w:rsidR="00065ABE">
        <w:t xml:space="preserve">However, there were unique factors behind the improvement in the budget balance and consequently net debt over this period. </w:t>
      </w:r>
    </w:p>
    <w:p w:rsidR="00847F5F" w:rsidRDefault="00743CCB" w:rsidP="00E809F6">
      <w:pPr>
        <w:pStyle w:val="BodyText"/>
      </w:pPr>
      <w:r>
        <w:t xml:space="preserve">In particular, the </w:t>
      </w:r>
      <w:r w:rsidR="003575A2">
        <w:t>Government</w:t>
      </w:r>
      <w:r>
        <w:t xml:space="preserve"> undertook a program of selling government-owned businesses </w:t>
      </w:r>
      <w:r w:rsidR="009D04E4">
        <w:br/>
      </w:r>
      <w:r>
        <w:t>(public non-financial corporations)</w:t>
      </w:r>
      <w:r w:rsidR="00847F5F">
        <w:t xml:space="preserve">, using </w:t>
      </w:r>
      <w:r w:rsidR="004C21C4">
        <w:t xml:space="preserve">the proceeds to pay </w:t>
      </w:r>
      <w:r w:rsidR="00065ABE">
        <w:t>off Government debt</w:t>
      </w:r>
      <w:r>
        <w:t xml:space="preserve">.  The sales were large and staggered over the period and included the sale of </w:t>
      </w:r>
      <w:r w:rsidR="00E84310">
        <w:t xml:space="preserve">the </w:t>
      </w:r>
      <w:r>
        <w:t xml:space="preserve">Commonwealth Bank, airports and, most significantly, Telstra. </w:t>
      </w:r>
      <w:r w:rsidR="003575A2">
        <w:t xml:space="preserve"> Further aiding the speed of fiscal </w:t>
      </w:r>
      <w:r w:rsidR="00C268D8">
        <w:t xml:space="preserve">consolidation was the largest sustained boost to the terms of trade in Australia’s history, which translated through to a considerable boost to national income and taxation revenue.  </w:t>
      </w:r>
      <w:r w:rsidR="00A069ED">
        <w:t xml:space="preserve">These factors are unlikely to </w:t>
      </w:r>
      <w:r w:rsidR="00554777">
        <w:t xml:space="preserve">be repeated </w:t>
      </w:r>
      <w:r w:rsidR="00A069ED">
        <w:t>over the next decade.</w:t>
      </w:r>
    </w:p>
    <w:p w:rsidR="00A069ED" w:rsidRDefault="00A069ED" w:rsidP="00A069ED">
      <w:pPr>
        <w:pStyle w:val="BodyText"/>
      </w:pPr>
      <w:r w:rsidRPr="00F14342">
        <w:t xml:space="preserve">The </w:t>
      </w:r>
      <w:r>
        <w:t xml:space="preserve">net debt position </w:t>
      </w:r>
      <w:r w:rsidRPr="00F14342">
        <w:t xml:space="preserve">is a consequence of the accumulated </w:t>
      </w:r>
      <w:r>
        <w:t xml:space="preserve">receipt and spending </w:t>
      </w:r>
      <w:r w:rsidRPr="00F14342">
        <w:t>flows discussed in previous chapters.</w:t>
      </w:r>
      <w:r>
        <w:t xml:space="preserve">  To the extent that the downside risks to </w:t>
      </w:r>
      <w:r w:rsidR="009D1299">
        <w:t xml:space="preserve">the budget balance </w:t>
      </w:r>
      <w:r>
        <w:t>identified in this report do eventuate, then this will result in higher levels of net debt over the next decade.</w:t>
      </w:r>
    </w:p>
    <w:p w:rsidR="00E84310" w:rsidRPr="003533B7" w:rsidRDefault="00E84310" w:rsidP="00E95B0B">
      <w:pPr>
        <w:pStyle w:val="Heading2"/>
      </w:pPr>
      <w:bookmarkStart w:id="54" w:name="_Toc523757319"/>
      <w:bookmarkStart w:id="55" w:name="_Toc523758534"/>
      <w:r>
        <w:t>Net financial worth</w:t>
      </w:r>
      <w:bookmarkEnd w:id="54"/>
      <w:bookmarkEnd w:id="55"/>
    </w:p>
    <w:p w:rsidR="004C21C4" w:rsidRDefault="009B0057" w:rsidP="00703A5C">
      <w:pPr>
        <w:pStyle w:val="BodyText"/>
      </w:pPr>
      <w:r>
        <w:t xml:space="preserve">An alternative measure of the </w:t>
      </w:r>
      <w:r w:rsidR="004C171B">
        <w:t xml:space="preserve">strength of the </w:t>
      </w:r>
      <w:r>
        <w:t xml:space="preserve">government’s </w:t>
      </w:r>
      <w:r w:rsidR="00A069ED">
        <w:t>balance sheet</w:t>
      </w:r>
      <w:r w:rsidR="004C171B">
        <w:t xml:space="preserve"> is n</w:t>
      </w:r>
      <w:r w:rsidR="00703A5C">
        <w:t>et financial worth</w:t>
      </w:r>
      <w:r w:rsidR="004C171B">
        <w:t xml:space="preserve">. </w:t>
      </w:r>
      <w:r w:rsidR="004C21C4">
        <w:t xml:space="preserve"> Net financial worth is a broader measure than net debt as it includes all of the Commonwealth’s financial assets and liabilities, including the unfunded superannuation liability and equity investment</w:t>
      </w:r>
      <w:r w:rsidR="00E84310">
        <w:t>s</w:t>
      </w:r>
      <w:r w:rsidR="004C21C4">
        <w:t xml:space="preserve">.  </w:t>
      </w:r>
    </w:p>
    <w:p w:rsidR="002F6DEC" w:rsidRDefault="004C21C4" w:rsidP="00703A5C">
      <w:pPr>
        <w:pStyle w:val="BodyText"/>
      </w:pPr>
      <w:r>
        <w:t>Net financial worth</w:t>
      </w:r>
      <w:r w:rsidR="009D1299">
        <w:t xml:space="preserve"> shows a broadly similar improvement to that projected for net debt, </w:t>
      </w:r>
      <w:r>
        <w:t>improv</w:t>
      </w:r>
      <w:r w:rsidR="009D1299">
        <w:t>ing</w:t>
      </w:r>
      <w:r>
        <w:t xml:space="preserve"> from </w:t>
      </w:r>
      <w:r w:rsidR="007A7381">
        <w:t>-25.4 per cent of GDP (</w:t>
      </w:r>
      <w:r>
        <w:t>-$466.3 billion</w:t>
      </w:r>
      <w:r w:rsidR="007A7381">
        <w:t>)</w:t>
      </w:r>
      <w:r>
        <w:t xml:space="preserve"> in 2017</w:t>
      </w:r>
      <w:r w:rsidR="004012E7">
        <w:t>-</w:t>
      </w:r>
      <w:r>
        <w:t xml:space="preserve">18 to </w:t>
      </w:r>
      <w:r w:rsidR="007A7381">
        <w:t xml:space="preserve">-6.4 per cent of GDP </w:t>
      </w:r>
      <w:r w:rsidR="004012E7">
        <w:t>(</w:t>
      </w:r>
      <w:r>
        <w:t>-$199.</w:t>
      </w:r>
      <w:r w:rsidR="00BC3CFB">
        <w:t>1</w:t>
      </w:r>
      <w:r>
        <w:t xml:space="preserve"> billion</w:t>
      </w:r>
      <w:r w:rsidR="004012E7">
        <w:t>)</w:t>
      </w:r>
      <w:r>
        <w:t xml:space="preserve"> in 2028</w:t>
      </w:r>
      <w:r w:rsidR="004012E7">
        <w:t>-</w:t>
      </w:r>
      <w:r>
        <w:t>29 (</w:t>
      </w:r>
      <w:r w:rsidR="00F327BA">
        <w:fldChar w:fldCharType="begin"/>
      </w:r>
      <w:r w:rsidR="00F327BA">
        <w:instrText xml:space="preserve"> REF _Ref520986320 \h </w:instrText>
      </w:r>
      <w:r w:rsidR="00F327BA">
        <w:fldChar w:fldCharType="separate"/>
      </w:r>
      <w:r w:rsidR="002828FF" w:rsidRPr="003533B7">
        <w:t xml:space="preserve">Figure </w:t>
      </w:r>
      <w:r w:rsidR="002828FF">
        <w:rPr>
          <w:noProof/>
        </w:rPr>
        <w:t>5</w:t>
      </w:r>
      <w:r w:rsidR="002828FF" w:rsidRPr="003533B7">
        <w:t>–</w:t>
      </w:r>
      <w:r w:rsidR="002828FF">
        <w:rPr>
          <w:noProof/>
        </w:rPr>
        <w:t>2</w:t>
      </w:r>
      <w:r w:rsidR="00F327BA">
        <w:fldChar w:fldCharType="end"/>
      </w:r>
      <w:r>
        <w:t>).  The improvement in net financial worth is driven by the same factors driving the reduction in net debt, along with a projected increase in the value of the Future Fund.</w:t>
      </w:r>
    </w:p>
    <w:p w:rsidR="00F327BA" w:rsidRDefault="00F327BA" w:rsidP="00626663">
      <w:pPr>
        <w:pStyle w:val="Caption"/>
      </w:pPr>
    </w:p>
    <w:p w:rsidR="00065ABE" w:rsidRDefault="00F327BA" w:rsidP="003A609C">
      <w:pPr>
        <w:pStyle w:val="Caption"/>
      </w:pPr>
      <w:bookmarkStart w:id="56" w:name="_Ref520986320"/>
      <w:r w:rsidRPr="003533B7">
        <w:t xml:space="preserve">Figure </w:t>
      </w:r>
      <w:r w:rsidRPr="003533B7">
        <w:fldChar w:fldCharType="begin"/>
      </w:r>
      <w:r w:rsidRPr="00E95B0B">
        <w:instrText xml:space="preserve"> STYLEREF 1 \s </w:instrText>
      </w:r>
      <w:r w:rsidRPr="003533B7">
        <w:fldChar w:fldCharType="separate"/>
      </w:r>
      <w:r w:rsidR="002828FF">
        <w:rPr>
          <w:noProof/>
        </w:rPr>
        <w:t>5</w:t>
      </w:r>
      <w:r w:rsidRPr="003533B7">
        <w:fldChar w:fldCharType="end"/>
      </w:r>
      <w:r w:rsidRPr="003533B7">
        <w:t>–</w:t>
      </w:r>
      <w:fldSimple w:instr=" SEQ Figure \* ARABIC \s 1 ">
        <w:r w:rsidR="002828FF">
          <w:rPr>
            <w:noProof/>
          </w:rPr>
          <w:t>2</w:t>
        </w:r>
      </w:fldSimple>
      <w:bookmarkEnd w:id="56"/>
      <w:r w:rsidRPr="00E95B0B">
        <w:t xml:space="preserve">: </w:t>
      </w:r>
      <w:r>
        <w:t>Net financial worth</w:t>
      </w:r>
    </w:p>
    <w:p w:rsidR="00F327BA" w:rsidRDefault="000D4D04" w:rsidP="000D4D04">
      <w:pPr>
        <w:pStyle w:val="Source"/>
        <w:spacing w:after="120"/>
        <w:jc w:val="center"/>
        <w:rPr>
          <w:noProof/>
          <w:lang w:eastAsia="en-AU"/>
        </w:rPr>
      </w:pPr>
      <w:r>
        <w:rPr>
          <w:noProof/>
          <w:lang w:eastAsia="en-AU"/>
        </w:rPr>
        <w:drawing>
          <wp:inline distT="0" distB="0" distL="0" distR="0" wp14:anchorId="082D6AE6">
            <wp:extent cx="5584190" cy="39630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4190" cy="3963035"/>
                    </a:xfrm>
                    <a:prstGeom prst="rect">
                      <a:avLst/>
                    </a:prstGeom>
                    <a:noFill/>
                  </pic:spPr>
                </pic:pic>
              </a:graphicData>
            </a:graphic>
          </wp:inline>
        </w:drawing>
      </w:r>
    </w:p>
    <w:p w:rsidR="00F327BA" w:rsidRDefault="00F327BA" w:rsidP="00F327BA">
      <w:pPr>
        <w:pStyle w:val="Source"/>
        <w:spacing w:after="120"/>
        <w:rPr>
          <w:noProof/>
          <w:lang w:eastAsia="en-AU"/>
        </w:rPr>
      </w:pPr>
      <w:r w:rsidRPr="003C7464">
        <w:rPr>
          <w:noProof/>
          <w:lang w:eastAsia="en-AU"/>
        </w:rPr>
        <w:t>Note: </w:t>
      </w:r>
      <w:r>
        <w:rPr>
          <w:noProof/>
          <w:lang w:eastAsia="en-AU"/>
        </w:rPr>
        <w:t>Consistent data for net financial worth is only available from 1999</w:t>
      </w:r>
      <w:r w:rsidR="004012E7">
        <w:t>-</w:t>
      </w:r>
      <w:r>
        <w:rPr>
          <w:noProof/>
          <w:lang w:eastAsia="en-AU"/>
        </w:rPr>
        <w:t>00.</w:t>
      </w:r>
    </w:p>
    <w:p w:rsidR="00F327BA" w:rsidRDefault="00F327BA" w:rsidP="00F327BA">
      <w:pPr>
        <w:pStyle w:val="Source"/>
      </w:pPr>
      <w:r>
        <w:t xml:space="preserve">Source: </w:t>
      </w:r>
      <w:r w:rsidRPr="00363711">
        <w:t>2018</w:t>
      </w:r>
      <w:r w:rsidR="004012E7">
        <w:t>-</w:t>
      </w:r>
      <w:r w:rsidRPr="00363711">
        <w:t>19 Budget and PBO analysis.</w:t>
      </w:r>
    </w:p>
    <w:p w:rsidR="00D2397F" w:rsidRDefault="00D2397F" w:rsidP="00703A5C">
      <w:pPr>
        <w:pStyle w:val="BodyText"/>
        <w:sectPr w:rsidR="00D2397F" w:rsidSect="00560DD4">
          <w:headerReference w:type="default" r:id="rId42"/>
          <w:footerReference w:type="default" r:id="rId43"/>
          <w:pgSz w:w="11907" w:h="16840" w:code="9"/>
          <w:pgMar w:top="1191" w:right="1418" w:bottom="1021" w:left="1418" w:header="567" w:footer="709" w:gutter="0"/>
          <w:pgNumType w:start="1"/>
          <w:cols w:space="708"/>
          <w:docGrid w:linePitch="360"/>
        </w:sectPr>
      </w:pPr>
    </w:p>
    <w:p w:rsidR="007676C0" w:rsidRDefault="007979E1" w:rsidP="007979E1">
      <w:pPr>
        <w:pStyle w:val="Heading1NoNumbering"/>
      </w:pPr>
      <w:bookmarkStart w:id="57" w:name="_Toc523757320"/>
      <w:bookmarkStart w:id="58" w:name="_Toc523758535"/>
      <w:bookmarkStart w:id="59" w:name="ReturnHere"/>
      <w:r>
        <w:t xml:space="preserve">Appendix A </w:t>
      </w:r>
      <w:r w:rsidR="007676C0">
        <w:t xml:space="preserve">– </w:t>
      </w:r>
      <w:r w:rsidR="007676C0" w:rsidRPr="0029340A">
        <w:t>Receipt projection methodology</w:t>
      </w:r>
      <w:bookmarkEnd w:id="57"/>
      <w:bookmarkEnd w:id="58"/>
    </w:p>
    <w:bookmarkEnd w:id="59"/>
    <w:p w:rsidR="00D2397F" w:rsidRDefault="00D2397F" w:rsidP="0029340A">
      <w:pPr>
        <w:pStyle w:val="BodyText"/>
      </w:pPr>
      <w:r>
        <w:t>The PBO’s projections comprise individual receipt projections of all of the Commonwealth Government’s major heads of revenue.</w:t>
      </w:r>
    </w:p>
    <w:p w:rsidR="00D2397F" w:rsidRDefault="00D2397F" w:rsidP="0029340A">
      <w:pPr>
        <w:pStyle w:val="BodyText"/>
      </w:pPr>
      <w:r>
        <w:t>The PBO’s projections of receipts are generally prepared using a base plus growth methodology.  Economic parameters are used to estimate growth rates which are then applied to the relevant base.  The economic parameters used to estimate growth rates in this report are the same as those underpinning the 2018</w:t>
      </w:r>
      <w:r w:rsidR="004012E7">
        <w:t>-</w:t>
      </w:r>
      <w:r>
        <w:t>19 Budget, as required by the PBO’s legislation.</w:t>
      </w:r>
    </w:p>
    <w:p w:rsidR="00D2397F" w:rsidRDefault="00D2397F" w:rsidP="0029340A">
      <w:pPr>
        <w:pStyle w:val="BodyText"/>
      </w:pPr>
      <w:r>
        <w:t>For policy decisions where the impact is not already factored into the base year data or the economic parameters, the projected impact of these measures are added to the base projections.</w:t>
      </w:r>
    </w:p>
    <w:p w:rsidR="00D2397F" w:rsidRDefault="00D2397F" w:rsidP="0029340A">
      <w:pPr>
        <w:pStyle w:val="BodyText"/>
      </w:pPr>
      <w:r>
        <w:t xml:space="preserve">In order to incorporate the impact of recent trends in tax collection, the PBO uses the </w:t>
      </w:r>
      <w:r w:rsidR="002607C3">
        <w:br/>
      </w:r>
      <w:r>
        <w:t>2018</w:t>
      </w:r>
      <w:r w:rsidR="004012E7">
        <w:t>-</w:t>
      </w:r>
      <w:r>
        <w:t>19 Budget receipt forecasts for 2018</w:t>
      </w:r>
      <w:r w:rsidR="004012E7">
        <w:t>-</w:t>
      </w:r>
      <w:r>
        <w:t>19, 2019</w:t>
      </w:r>
      <w:r w:rsidR="004012E7">
        <w:t>-</w:t>
      </w:r>
      <w:r>
        <w:t>20, 2020</w:t>
      </w:r>
      <w:r w:rsidR="004012E7">
        <w:t>-</w:t>
      </w:r>
      <w:r>
        <w:t>21 and 2021</w:t>
      </w:r>
      <w:r w:rsidR="004012E7">
        <w:t>-</w:t>
      </w:r>
      <w:r>
        <w:t xml:space="preserve">22 as the base years for the PBO’s projections.  </w:t>
      </w:r>
    </w:p>
    <w:p w:rsidR="00D2397F" w:rsidRPr="00D2397F" w:rsidRDefault="00D2397F" w:rsidP="0029340A">
      <w:pPr>
        <w:pStyle w:val="BodyText"/>
      </w:pPr>
      <w:r>
        <w:t>Details of the methodology used to arrive at projections for individual revenue heads are outlined in the table below.</w:t>
      </w:r>
    </w:p>
    <w:p w:rsidR="00D2397F" w:rsidRDefault="00D2397F" w:rsidP="0029340A">
      <w:pPr>
        <w:pStyle w:val="CaptionDescriptor"/>
      </w:pPr>
    </w:p>
    <w:tbl>
      <w:tblPr>
        <w:tblStyle w:val="TableGrid"/>
        <w:tblW w:w="5000" w:type="pct"/>
        <w:tblBorders>
          <w:top w:val="none" w:sz="0" w:space="0" w:color="auto"/>
          <w:bottom w:val="none" w:sz="0" w:space="0" w:color="auto"/>
        </w:tblBorders>
        <w:tblLook w:val="04A0" w:firstRow="1" w:lastRow="0" w:firstColumn="1" w:lastColumn="0" w:noHBand="0" w:noVBand="1"/>
      </w:tblPr>
      <w:tblGrid>
        <w:gridCol w:w="1965"/>
        <w:gridCol w:w="2938"/>
        <w:gridCol w:w="4170"/>
      </w:tblGrid>
      <w:tr w:rsidR="00D2397F" w:rsidRPr="00D2397F" w:rsidTr="00E31F3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83" w:type="pct"/>
            <w:tcBorders>
              <w:bottom w:val="none" w:sz="0" w:space="0" w:color="auto"/>
            </w:tcBorders>
            <w:shd w:val="clear" w:color="auto" w:fill="3D4D7D" w:themeFill="background2"/>
            <w:hideMark/>
          </w:tcPr>
          <w:p w:rsidR="00D2397F" w:rsidRDefault="00D2397F" w:rsidP="0029340A">
            <w:pPr>
              <w:pStyle w:val="TableHeading"/>
            </w:pPr>
            <w:r>
              <w:t xml:space="preserve">Model </w:t>
            </w:r>
          </w:p>
        </w:tc>
        <w:tc>
          <w:tcPr>
            <w:tcW w:w="1619" w:type="pct"/>
            <w:tcBorders>
              <w:bottom w:val="none" w:sz="0" w:space="0" w:color="auto"/>
            </w:tcBorders>
            <w:shd w:val="clear" w:color="auto" w:fill="3D4D7D" w:themeFill="background2"/>
            <w:hideMark/>
          </w:tcPr>
          <w:p w:rsidR="00D2397F" w:rsidRDefault="00D2397F" w:rsidP="0029340A">
            <w:pPr>
              <w:pStyle w:val="TableHeading"/>
              <w:cnfStyle w:val="100000000000" w:firstRow="1" w:lastRow="0" w:firstColumn="0" w:lastColumn="0" w:oddVBand="0" w:evenVBand="0" w:oddHBand="0" w:evenHBand="0" w:firstRowFirstColumn="0" w:firstRowLastColumn="0" w:lastRowFirstColumn="0" w:lastRowLastColumn="0"/>
            </w:pPr>
            <w:r>
              <w:t xml:space="preserve">Description </w:t>
            </w:r>
          </w:p>
        </w:tc>
        <w:tc>
          <w:tcPr>
            <w:tcW w:w="2298" w:type="pct"/>
            <w:tcBorders>
              <w:bottom w:val="none" w:sz="0" w:space="0" w:color="auto"/>
            </w:tcBorders>
            <w:shd w:val="clear" w:color="auto" w:fill="3D4D7D" w:themeFill="background2"/>
            <w:hideMark/>
          </w:tcPr>
          <w:p w:rsidR="00D2397F" w:rsidRDefault="00D2397F" w:rsidP="0029340A">
            <w:pPr>
              <w:pStyle w:val="TableHeading"/>
              <w:cnfStyle w:val="100000000000" w:firstRow="1" w:lastRow="0" w:firstColumn="0" w:lastColumn="0" w:oddVBand="0" w:evenVBand="0" w:oddHBand="0" w:evenHBand="0" w:firstRowFirstColumn="0" w:firstRowLastColumn="0" w:lastRowFirstColumn="0" w:lastRowLastColumn="0"/>
            </w:pPr>
            <w:r>
              <w:t>Methodology</w:t>
            </w:r>
          </w:p>
        </w:tc>
      </w:tr>
      <w:tr w:rsidR="00D2397F" w:rsidRPr="00B15CC9" w:rsidTr="00E31F39">
        <w:trPr>
          <w:trHeight w:val="3628"/>
        </w:trPr>
        <w:tc>
          <w:tcPr>
            <w:tcW w:w="1083" w:type="pct"/>
            <w:shd w:val="clear" w:color="auto" w:fill="auto"/>
            <w:hideMark/>
          </w:tcPr>
          <w:p w:rsidR="00D2397F" w:rsidRPr="003653D3" w:rsidRDefault="00D2397F" w:rsidP="0029340A">
            <w:pPr>
              <w:pStyle w:val="TableSubheading"/>
            </w:pPr>
            <w:r w:rsidRPr="003653D3">
              <w:t>Gross income tax withholding and gross other individuals and refunds</w:t>
            </w:r>
          </w:p>
        </w:tc>
        <w:tc>
          <w:tcPr>
            <w:tcW w:w="1619" w:type="pct"/>
            <w:shd w:val="clear" w:color="auto" w:fill="auto"/>
            <w:hideMark/>
          </w:tcPr>
          <w:p w:rsidR="00D2397F" w:rsidRPr="003653D3" w:rsidRDefault="00D2397F" w:rsidP="0029340A">
            <w:pPr>
              <w:rPr>
                <w:rFonts w:ascii="Calibri" w:hAnsi="Calibri"/>
                <w:color w:val="000000"/>
              </w:rPr>
            </w:pPr>
            <w:r w:rsidRPr="003653D3">
              <w:rPr>
                <w:rFonts w:ascii="Calibri" w:hAnsi="Calibri"/>
                <w:color w:val="000000"/>
              </w:rPr>
              <w:t>These revenue heads broadly cover all personal income tax, including revenue from salary and wages, the Medicare Levy and Medicare Levy Surcharge, personal income tax offsets, income from profits from unincorporated businesses, primary production and investment activities, as well as capital gains.</w:t>
            </w:r>
          </w:p>
        </w:tc>
        <w:tc>
          <w:tcPr>
            <w:tcW w:w="2298" w:type="pct"/>
            <w:shd w:val="clear" w:color="auto" w:fill="auto"/>
            <w:hideMark/>
          </w:tcPr>
          <w:p w:rsidR="00D2397F" w:rsidRDefault="00D2397F" w:rsidP="0029340A">
            <w:pPr>
              <w:pStyle w:val="TableText"/>
            </w:pPr>
            <w:r w:rsidRPr="003653D3">
              <w:t xml:space="preserve">The aggregate taxable income for individuals over the medium term is </w:t>
            </w:r>
            <w:r>
              <w:t>calculated</w:t>
            </w:r>
            <w:r w:rsidRPr="003653D3">
              <w:t xml:space="preserve"> by growing </w:t>
            </w:r>
            <w:r>
              <w:t xml:space="preserve">individual </w:t>
            </w:r>
            <w:r w:rsidRPr="003653D3">
              <w:t xml:space="preserve">income items from </w:t>
            </w:r>
            <w:r>
              <w:t xml:space="preserve">the ATO’s </w:t>
            </w:r>
            <w:r w:rsidRPr="003653D3">
              <w:t xml:space="preserve">Taxation Statistics </w:t>
            </w:r>
            <w:r>
              <w:t xml:space="preserve">data </w:t>
            </w:r>
            <w:r w:rsidRPr="003653D3">
              <w:t>by the relevant economic parameters</w:t>
            </w:r>
            <w:r w:rsidRPr="00CB4842">
              <w:t>, most notably compensation of employees</w:t>
            </w:r>
            <w:r>
              <w:t>.</w:t>
            </w:r>
            <w:r w:rsidRPr="003653D3">
              <w:t xml:space="preserve">  </w:t>
            </w:r>
          </w:p>
          <w:p w:rsidR="00D2397F" w:rsidRDefault="00D2397F" w:rsidP="0029340A">
            <w:pPr>
              <w:pStyle w:val="TableText"/>
            </w:pPr>
            <w:r w:rsidRPr="003653D3">
              <w:t xml:space="preserve">For each year, an average gross tax rate is applied </w:t>
            </w:r>
            <w:r w:rsidR="00DF7B03">
              <w:t xml:space="preserve">reflecting the policy settings and the economic parameters at the time of the 2018-19 Budget.  </w:t>
            </w:r>
          </w:p>
          <w:p w:rsidR="00D2397F" w:rsidRDefault="00D2397F" w:rsidP="0029340A">
            <w:pPr>
              <w:pStyle w:val="TableText"/>
            </w:pPr>
            <w:r w:rsidRPr="00CB4842">
              <w:t>Projected tax offsets are applied and the timing of tax collections is taken into account to</w:t>
            </w:r>
            <w:r>
              <w:t xml:space="preserve"> arrive at the receipts projections.  </w:t>
            </w:r>
          </w:p>
          <w:p w:rsidR="00D2397F" w:rsidRPr="003653D3" w:rsidRDefault="00D2397F" w:rsidP="0029340A">
            <w:pPr>
              <w:pStyle w:val="TableText"/>
            </w:pPr>
            <w:r w:rsidRPr="00363833">
              <w:t>From 2027</w:t>
            </w:r>
            <w:r w:rsidR="004012E7">
              <w:t>-</w:t>
            </w:r>
            <w:r w:rsidRPr="00363833">
              <w:t>28</w:t>
            </w:r>
            <w:r>
              <w:t xml:space="preserve">, </w:t>
            </w:r>
            <w:r w:rsidRPr="007654EE">
              <w:t>the PBO adjusts the individual and other withholding tax receipt projections</w:t>
            </w:r>
            <w:r>
              <w:t xml:space="preserve"> such that total tax receipts remain at </w:t>
            </w:r>
            <w:r w:rsidRPr="007654EE">
              <w:t>23.9 per cent of GDP</w:t>
            </w:r>
            <w:r>
              <w:t>,</w:t>
            </w:r>
            <w:r w:rsidRPr="007654EE">
              <w:t xml:space="preserve"> </w:t>
            </w:r>
            <w:r>
              <w:t xml:space="preserve">consistent with </w:t>
            </w:r>
            <w:r w:rsidRPr="007654EE">
              <w:t xml:space="preserve">the Government’s </w:t>
            </w:r>
            <w:r>
              <w:t>commitment</w:t>
            </w:r>
            <w:r w:rsidRPr="007654EE">
              <w:t xml:space="preserve"> of a tax-to-GDP cap.</w:t>
            </w:r>
          </w:p>
        </w:tc>
      </w:tr>
      <w:tr w:rsidR="00D2397F" w:rsidRPr="00B15CC9" w:rsidTr="00E31F39">
        <w:trPr>
          <w:cnfStyle w:val="000000010000" w:firstRow="0" w:lastRow="0" w:firstColumn="0" w:lastColumn="0" w:oddVBand="0" w:evenVBand="0" w:oddHBand="0" w:evenHBand="1" w:firstRowFirstColumn="0" w:firstRowLastColumn="0" w:lastRowFirstColumn="0" w:lastRowLastColumn="0"/>
          <w:trHeight w:val="2045"/>
        </w:trPr>
        <w:tc>
          <w:tcPr>
            <w:tcW w:w="1083" w:type="pct"/>
            <w:hideMark/>
          </w:tcPr>
          <w:p w:rsidR="00D2397F" w:rsidRPr="00954812" w:rsidRDefault="00D2397F" w:rsidP="0029340A">
            <w:pPr>
              <w:pStyle w:val="TableSubheading"/>
            </w:pPr>
            <w:r w:rsidRPr="00954812">
              <w:t>Company tax</w:t>
            </w:r>
          </w:p>
        </w:tc>
        <w:tc>
          <w:tcPr>
            <w:tcW w:w="1619" w:type="pct"/>
            <w:hideMark/>
          </w:tcPr>
          <w:p w:rsidR="00D2397F" w:rsidRPr="00954812" w:rsidRDefault="00D2397F" w:rsidP="0029340A">
            <w:pPr>
              <w:spacing w:after="720"/>
              <w:rPr>
                <w:rFonts w:ascii="Calibri" w:hAnsi="Calibri"/>
                <w:color w:val="000000"/>
              </w:rPr>
            </w:pPr>
            <w:r w:rsidRPr="00954812">
              <w:rPr>
                <w:rFonts w:ascii="Calibri" w:hAnsi="Calibri"/>
                <w:color w:val="000000"/>
              </w:rPr>
              <w:t>Tax on profits, including capital gains, of incorporated businesses</w:t>
            </w:r>
            <w:r>
              <w:rPr>
                <w:rFonts w:ascii="Calibri" w:hAnsi="Calibri"/>
                <w:color w:val="000000"/>
              </w:rPr>
              <w:t>.</w:t>
            </w:r>
          </w:p>
        </w:tc>
        <w:tc>
          <w:tcPr>
            <w:tcW w:w="2298" w:type="pct"/>
            <w:hideMark/>
          </w:tcPr>
          <w:p w:rsidR="00D2397F" w:rsidRDefault="00D2397F" w:rsidP="0029340A">
            <w:r>
              <w:t>The projections are based on an approach whereby company tax revenue is recognised at the point that a company tax payable liability arises for a company from its underlying economic activity.  Three industry groupings, Mining, Finance and all Other companies are utilised in the projection modelling, to reflect structural differences in companies from different industries.</w:t>
            </w:r>
            <w:r>
              <w:br/>
              <w:t xml:space="preserve">The tax base across the three sector groupings (itself derived from the </w:t>
            </w:r>
            <w:r w:rsidRPr="00471476">
              <w:t>2014</w:t>
            </w:r>
            <w:r w:rsidR="004012E7">
              <w:t>-</w:t>
            </w:r>
            <w:r w:rsidRPr="00471476">
              <w:t>15</w:t>
            </w:r>
            <w:r>
              <w:t xml:space="preserve"> company tax return unit record data), is grown with the Gross Operating Surplus economic parameter corresponding to the relevant industry grouping.  Adjustments are made to capture depreciation and net capital gains. </w:t>
            </w:r>
          </w:p>
          <w:p w:rsidR="00D2397F" w:rsidRDefault="00D2397F" w:rsidP="0029340A">
            <w:r w:rsidRPr="000F4591">
              <w:t xml:space="preserve">The timing of tax collections is taken into account to arrive at the receipts projections.  </w:t>
            </w:r>
          </w:p>
          <w:p w:rsidR="00D2397F" w:rsidRPr="00B15CC9" w:rsidRDefault="00D2397F" w:rsidP="0029340A">
            <w:pPr>
              <w:rPr>
                <w:rFonts w:ascii="Calibri" w:hAnsi="Calibri"/>
                <w:color w:val="000000"/>
                <w:highlight w:val="yellow"/>
              </w:rPr>
            </w:pPr>
            <w:r>
              <w:t xml:space="preserve">Adjustments are made to account for other elements (principally the R&amp;D tax offset) that are reported against company tax receipts. </w:t>
            </w:r>
          </w:p>
        </w:tc>
      </w:tr>
      <w:tr w:rsidR="00D2397F" w:rsidTr="00E31F39">
        <w:trPr>
          <w:trHeight w:val="3564"/>
        </w:trPr>
        <w:tc>
          <w:tcPr>
            <w:tcW w:w="1083" w:type="pct"/>
            <w:shd w:val="clear" w:color="auto" w:fill="auto"/>
            <w:hideMark/>
          </w:tcPr>
          <w:p w:rsidR="00D2397F" w:rsidRPr="007671D8" w:rsidRDefault="00D2397F" w:rsidP="0029340A">
            <w:pPr>
              <w:pStyle w:val="TableSubheading"/>
            </w:pPr>
            <w:r w:rsidRPr="007671D8">
              <w:t xml:space="preserve">Superannuation </w:t>
            </w:r>
            <w:r w:rsidR="0073484E">
              <w:br/>
            </w:r>
            <w:r w:rsidRPr="007671D8">
              <w:t>fund taxes</w:t>
            </w:r>
          </w:p>
        </w:tc>
        <w:tc>
          <w:tcPr>
            <w:tcW w:w="1619" w:type="pct"/>
            <w:shd w:val="clear" w:color="auto" w:fill="auto"/>
            <w:hideMark/>
          </w:tcPr>
          <w:p w:rsidR="00D2397F" w:rsidRPr="007671D8" w:rsidRDefault="00D2397F" w:rsidP="0029340A">
            <w:pPr>
              <w:rPr>
                <w:rFonts w:ascii="Calibri" w:hAnsi="Calibri"/>
                <w:color w:val="000000"/>
              </w:rPr>
            </w:pPr>
            <w:r w:rsidRPr="007671D8">
              <w:rPr>
                <w:rFonts w:ascii="Calibri" w:hAnsi="Calibri"/>
                <w:color w:val="000000"/>
              </w:rPr>
              <w:t xml:space="preserve">Tax on super fund contributions and investment earnings, including capital gains, of Australian Prudential Regulation Authority funds and </w:t>
            </w:r>
            <w:r w:rsidR="009D04E4">
              <w:rPr>
                <w:rFonts w:ascii="Calibri" w:hAnsi="Calibri"/>
                <w:color w:val="000000"/>
              </w:rPr>
              <w:br/>
            </w:r>
            <w:r w:rsidRPr="007671D8">
              <w:rPr>
                <w:rFonts w:ascii="Calibri" w:hAnsi="Calibri"/>
                <w:color w:val="000000"/>
              </w:rPr>
              <w:t>self-managed super funds</w:t>
            </w:r>
            <w:r>
              <w:rPr>
                <w:rFonts w:ascii="Calibri" w:hAnsi="Calibri"/>
                <w:color w:val="000000"/>
              </w:rPr>
              <w:t>.</w:t>
            </w:r>
          </w:p>
        </w:tc>
        <w:tc>
          <w:tcPr>
            <w:tcW w:w="2298" w:type="pct"/>
            <w:shd w:val="clear" w:color="auto" w:fill="auto"/>
            <w:hideMark/>
          </w:tcPr>
          <w:p w:rsidR="00D2397F" w:rsidRDefault="00D2397F" w:rsidP="0029340A">
            <w:r>
              <w:t xml:space="preserve">Projections for the taxable income of </w:t>
            </w:r>
            <w:r>
              <w:br/>
              <w:t xml:space="preserve">APRA-regulated superannuation funds and </w:t>
            </w:r>
            <w:r>
              <w:br/>
              <w:t xml:space="preserve">self-managed superannuation funds are based on the structure of a superannuation fund’s tax return.  </w:t>
            </w:r>
          </w:p>
          <w:p w:rsidR="00D2397F" w:rsidRDefault="00D2397F" w:rsidP="0029340A">
            <w:r>
              <w:t xml:space="preserve">Historical data from APRA’s Annual Superannuation Bulletin and the ATO’s Taxation Statistics data are grown by relevant economic parameters for projections of taxable income.  Statutory tax rates are then applied to the projections of taxable income.  </w:t>
            </w:r>
          </w:p>
          <w:p w:rsidR="00D2397F" w:rsidRDefault="00D2397F" w:rsidP="0029340A">
            <w:pPr>
              <w:rPr>
                <w:rFonts w:ascii="Calibri" w:hAnsi="Calibri"/>
                <w:color w:val="000000"/>
              </w:rPr>
            </w:pPr>
            <w:r>
              <w:rPr>
                <w:rFonts w:ascii="Calibri" w:hAnsi="Calibri"/>
                <w:color w:val="000000"/>
              </w:rPr>
              <w:t>Projected tax offsets are applied and t</w:t>
            </w:r>
            <w:r w:rsidRPr="003653D3">
              <w:rPr>
                <w:rFonts w:ascii="Calibri" w:hAnsi="Calibri"/>
                <w:color w:val="000000"/>
              </w:rPr>
              <w:t xml:space="preserve">he timing </w:t>
            </w:r>
            <w:r>
              <w:rPr>
                <w:rFonts w:ascii="Calibri" w:hAnsi="Calibri"/>
                <w:color w:val="000000"/>
              </w:rPr>
              <w:t>of</w:t>
            </w:r>
            <w:r w:rsidRPr="003653D3">
              <w:rPr>
                <w:rFonts w:ascii="Calibri" w:hAnsi="Calibri"/>
                <w:color w:val="000000"/>
              </w:rPr>
              <w:t xml:space="preserve"> tax collections </w:t>
            </w:r>
            <w:r>
              <w:rPr>
                <w:rFonts w:ascii="Calibri" w:hAnsi="Calibri"/>
                <w:color w:val="000000"/>
              </w:rPr>
              <w:t xml:space="preserve">is </w:t>
            </w:r>
            <w:r w:rsidRPr="003653D3">
              <w:rPr>
                <w:rFonts w:ascii="Calibri" w:hAnsi="Calibri"/>
                <w:color w:val="000000"/>
              </w:rPr>
              <w:t>taken into account</w:t>
            </w:r>
            <w:r>
              <w:rPr>
                <w:rFonts w:ascii="Calibri" w:hAnsi="Calibri"/>
                <w:color w:val="000000"/>
              </w:rPr>
              <w:t xml:space="preserve"> to arrive at the receipts projections.  </w:t>
            </w:r>
          </w:p>
        </w:tc>
      </w:tr>
      <w:tr w:rsidR="00D2397F" w:rsidTr="00E31F39">
        <w:trPr>
          <w:cnfStyle w:val="000000010000" w:firstRow="0" w:lastRow="0" w:firstColumn="0" w:lastColumn="0" w:oddVBand="0" w:evenVBand="0" w:oddHBand="0" w:evenHBand="1" w:firstRowFirstColumn="0" w:firstRowLastColumn="0" w:lastRowFirstColumn="0" w:lastRowLastColumn="0"/>
          <w:trHeight w:val="866"/>
        </w:trPr>
        <w:tc>
          <w:tcPr>
            <w:tcW w:w="1083" w:type="pct"/>
            <w:hideMark/>
          </w:tcPr>
          <w:p w:rsidR="00D2397F" w:rsidRDefault="00D2397F" w:rsidP="0029340A">
            <w:pPr>
              <w:pStyle w:val="TableSubheading"/>
            </w:pPr>
            <w:r>
              <w:t>Customs and excise</w:t>
            </w:r>
          </w:p>
        </w:tc>
        <w:tc>
          <w:tcPr>
            <w:tcW w:w="1619" w:type="pct"/>
            <w:hideMark/>
          </w:tcPr>
          <w:p w:rsidR="00D2397F" w:rsidRDefault="00D2397F" w:rsidP="0029340A">
            <w:pPr>
              <w:rPr>
                <w:rFonts w:ascii="Calibri" w:hAnsi="Calibri"/>
                <w:color w:val="000000"/>
              </w:rPr>
            </w:pPr>
            <w:r>
              <w:rPr>
                <w:rFonts w:ascii="Calibri" w:hAnsi="Calibri"/>
                <w:color w:val="000000"/>
              </w:rPr>
              <w:t>Includes customs duties on textiles, clothing and footwear, passenger motor vehicles and other imports, excise on fuel and excise and customs duties on tobacco and alcohol (except wine, for which WET applies).</w:t>
            </w:r>
          </w:p>
        </w:tc>
        <w:tc>
          <w:tcPr>
            <w:tcW w:w="2298" w:type="pct"/>
            <w:hideMark/>
          </w:tcPr>
          <w:p w:rsidR="00D2397F" w:rsidRDefault="00D2397F" w:rsidP="0029340A">
            <w:pPr>
              <w:rPr>
                <w:rFonts w:ascii="Calibri" w:hAnsi="Calibri"/>
                <w:color w:val="000000"/>
              </w:rPr>
            </w:pPr>
            <w:r>
              <w:rPr>
                <w:rFonts w:ascii="Calibri" w:hAnsi="Calibri"/>
                <w:color w:val="000000"/>
              </w:rPr>
              <w:t>Receipts from e</w:t>
            </w:r>
            <w:r w:rsidRPr="001155AE">
              <w:rPr>
                <w:rFonts w:ascii="Calibri" w:hAnsi="Calibri"/>
                <w:color w:val="000000"/>
              </w:rPr>
              <w:t xml:space="preserve">ach category of excise and customs duty </w:t>
            </w:r>
            <w:r>
              <w:rPr>
                <w:rFonts w:ascii="Calibri" w:hAnsi="Calibri"/>
                <w:color w:val="000000"/>
              </w:rPr>
              <w:t>are</w:t>
            </w:r>
            <w:r w:rsidRPr="001155AE">
              <w:rPr>
                <w:rFonts w:ascii="Calibri" w:hAnsi="Calibri"/>
                <w:color w:val="000000"/>
              </w:rPr>
              <w:t xml:space="preserve"> </w:t>
            </w:r>
            <w:r>
              <w:rPr>
                <w:rFonts w:ascii="Calibri" w:hAnsi="Calibri"/>
                <w:color w:val="000000"/>
              </w:rPr>
              <w:t>projected</w:t>
            </w:r>
            <w:r w:rsidRPr="001155AE">
              <w:rPr>
                <w:rFonts w:ascii="Calibri" w:hAnsi="Calibri"/>
                <w:color w:val="000000"/>
              </w:rPr>
              <w:t xml:space="preserve"> in a similar way: a growth rate is determined using a quantity pa</w:t>
            </w:r>
            <w:r>
              <w:rPr>
                <w:rFonts w:ascii="Calibri" w:hAnsi="Calibri"/>
                <w:color w:val="000000"/>
              </w:rPr>
              <w:t>rameter, and where appropriate, prices are grown using the appropriate price parameter</w:t>
            </w:r>
            <w:r w:rsidRPr="001155AE">
              <w:rPr>
                <w:rFonts w:ascii="Calibri" w:hAnsi="Calibri"/>
                <w:color w:val="000000"/>
              </w:rPr>
              <w:t>.</w:t>
            </w:r>
          </w:p>
          <w:p w:rsidR="00D2397F" w:rsidRDefault="00D2397F" w:rsidP="0029340A">
            <w:pPr>
              <w:rPr>
                <w:rFonts w:ascii="Calibri" w:hAnsi="Calibri"/>
                <w:color w:val="000000"/>
              </w:rPr>
            </w:pPr>
            <w:r>
              <w:rPr>
                <w:rFonts w:ascii="Calibri" w:hAnsi="Calibri"/>
                <w:color w:val="000000"/>
              </w:rPr>
              <w:t>The relevant parameters are:</w:t>
            </w:r>
          </w:p>
          <w:p w:rsidR="00D2397F" w:rsidRDefault="00D2397F" w:rsidP="0029340A">
            <w:pPr>
              <w:pStyle w:val="TableTextBullet"/>
              <w:numPr>
                <w:ilvl w:val="0"/>
                <w:numId w:val="33"/>
              </w:numPr>
            </w:pPr>
            <w:r>
              <w:t>fuel—private consumption of fuel, real GDP and the Consumer Price Index</w:t>
            </w:r>
          </w:p>
          <w:p w:rsidR="00D2397F" w:rsidRPr="001F6A32" w:rsidRDefault="00D2397F" w:rsidP="0029340A">
            <w:pPr>
              <w:pStyle w:val="TableTextBullet"/>
              <w:numPr>
                <w:ilvl w:val="0"/>
                <w:numId w:val="33"/>
              </w:numPr>
            </w:pPr>
            <w:r w:rsidRPr="001F6A32">
              <w:t>textile, clothing and footwear</w:t>
            </w:r>
            <w:r>
              <w:t>—</w:t>
            </w:r>
            <w:r>
              <w:rPr>
                <w:rFonts w:ascii="Calibri" w:hAnsi="Calibri"/>
                <w:color w:val="000000"/>
              </w:rPr>
              <w:t>i</w:t>
            </w:r>
            <w:r w:rsidRPr="001F6A32">
              <w:rPr>
                <w:rFonts w:ascii="Calibri" w:hAnsi="Calibri"/>
                <w:color w:val="000000"/>
              </w:rPr>
              <w:t>mports of textiles, clothing, footwear</w:t>
            </w:r>
          </w:p>
          <w:p w:rsidR="00D2397F" w:rsidRDefault="00D2397F" w:rsidP="0029340A">
            <w:pPr>
              <w:pStyle w:val="TableTextBullet"/>
              <w:numPr>
                <w:ilvl w:val="0"/>
                <w:numId w:val="33"/>
              </w:numPr>
            </w:pPr>
            <w:r>
              <w:rPr>
                <w:rFonts w:ascii="Calibri" w:hAnsi="Calibri"/>
                <w:color w:val="000000"/>
              </w:rPr>
              <w:t>passenger motor vehicles—</w:t>
            </w:r>
            <w:r>
              <w:t>i</w:t>
            </w:r>
            <w:r w:rsidRPr="001F6A32">
              <w:t>mports of non-industrial transport equipment</w:t>
            </w:r>
          </w:p>
          <w:p w:rsidR="00887468" w:rsidRDefault="00D2397F" w:rsidP="0029340A">
            <w:pPr>
              <w:pStyle w:val="TableTextBullet"/>
              <w:numPr>
                <w:ilvl w:val="0"/>
                <w:numId w:val="33"/>
              </w:numPr>
            </w:pPr>
            <w:r w:rsidRPr="001F6A32">
              <w:t>other imports</w:t>
            </w:r>
            <w:r>
              <w:t>—imports of endogenous goods less imports of non-industrial transport equipment and imports of textiles, clothing, footwear</w:t>
            </w:r>
          </w:p>
          <w:p w:rsidR="00D2397F" w:rsidRDefault="00D2397F" w:rsidP="0029340A">
            <w:pPr>
              <w:pStyle w:val="TableTextBullet"/>
              <w:numPr>
                <w:ilvl w:val="0"/>
                <w:numId w:val="33"/>
              </w:numPr>
            </w:pPr>
            <w:r w:rsidRPr="001F6A32">
              <w:t>tobacco</w:t>
            </w:r>
            <w:r>
              <w:t>—p</w:t>
            </w:r>
            <w:r w:rsidRPr="001F6A32">
              <w:t xml:space="preserve">rivate consumption of cigarettes </w:t>
            </w:r>
            <w:r>
              <w:t xml:space="preserve">and </w:t>
            </w:r>
            <w:r w:rsidRPr="001F6A32">
              <w:t>Adult Ordinary Time Earnings</w:t>
            </w:r>
          </w:p>
          <w:p w:rsidR="00D2397F" w:rsidRDefault="00D2397F" w:rsidP="0029340A">
            <w:pPr>
              <w:pStyle w:val="TableTextBullet"/>
              <w:numPr>
                <w:ilvl w:val="0"/>
                <w:numId w:val="33"/>
              </w:numPr>
              <w:rPr>
                <w:rFonts w:ascii="Calibri" w:hAnsi="Calibri"/>
                <w:color w:val="000000"/>
              </w:rPr>
            </w:pPr>
            <w:proofErr w:type="gramStart"/>
            <w:r w:rsidRPr="00596271">
              <w:t>alcohol</w:t>
            </w:r>
            <w:r>
              <w:t>—</w:t>
            </w:r>
            <w:proofErr w:type="gramEnd"/>
            <w:r>
              <w:t>p</w:t>
            </w:r>
            <w:r w:rsidRPr="00596271">
              <w:t xml:space="preserve">rivate consumption of alcohol </w:t>
            </w:r>
            <w:r>
              <w:t>and the Consumer Price Index.</w:t>
            </w:r>
          </w:p>
        </w:tc>
      </w:tr>
      <w:tr w:rsidR="00D2397F" w:rsidTr="00E31F39">
        <w:tc>
          <w:tcPr>
            <w:tcW w:w="1083" w:type="pct"/>
            <w:shd w:val="clear" w:color="auto" w:fill="auto"/>
            <w:hideMark/>
          </w:tcPr>
          <w:p w:rsidR="00D2397F" w:rsidRDefault="00D2397F" w:rsidP="0029340A">
            <w:pPr>
              <w:pStyle w:val="TableSubheading"/>
            </w:pPr>
            <w:r>
              <w:t>Petroleum Resources Rent Tax (PRRT)</w:t>
            </w:r>
          </w:p>
        </w:tc>
        <w:tc>
          <w:tcPr>
            <w:tcW w:w="1619" w:type="pct"/>
            <w:shd w:val="clear" w:color="auto" w:fill="auto"/>
            <w:hideMark/>
          </w:tcPr>
          <w:p w:rsidR="00D2397F" w:rsidRDefault="00D2397F" w:rsidP="0029340A">
            <w:pPr>
              <w:rPr>
                <w:rFonts w:ascii="Calibri" w:hAnsi="Calibri"/>
                <w:color w:val="000000"/>
              </w:rPr>
            </w:pPr>
            <w:r>
              <w:rPr>
                <w:rFonts w:ascii="Calibri" w:hAnsi="Calibri"/>
                <w:color w:val="000000"/>
              </w:rPr>
              <w:t>Tax on profits from sales of petroleum products.</w:t>
            </w:r>
          </w:p>
        </w:tc>
        <w:tc>
          <w:tcPr>
            <w:tcW w:w="2298" w:type="pct"/>
            <w:shd w:val="clear" w:color="auto" w:fill="auto"/>
            <w:hideMark/>
          </w:tcPr>
          <w:p w:rsidR="00D2397F" w:rsidRDefault="00D2397F" w:rsidP="0029340A">
            <w:pPr>
              <w:rPr>
                <w:rFonts w:ascii="Calibri" w:hAnsi="Calibri"/>
                <w:color w:val="000000"/>
              </w:rPr>
            </w:pPr>
            <w:r w:rsidRPr="006F2696">
              <w:rPr>
                <w:rFonts w:ascii="Calibri" w:hAnsi="Calibri"/>
                <w:color w:val="000000"/>
              </w:rPr>
              <w:t xml:space="preserve">PRRT </w:t>
            </w:r>
            <w:r>
              <w:rPr>
                <w:rFonts w:ascii="Calibri" w:hAnsi="Calibri"/>
                <w:color w:val="000000"/>
              </w:rPr>
              <w:t xml:space="preserve">receipts are projected </w:t>
            </w:r>
            <w:r w:rsidRPr="006F2696">
              <w:rPr>
                <w:rFonts w:ascii="Calibri" w:hAnsi="Calibri"/>
                <w:color w:val="000000"/>
              </w:rPr>
              <w:t xml:space="preserve">based on volume and </w:t>
            </w:r>
            <w:r>
              <w:rPr>
                <w:rFonts w:ascii="Calibri" w:hAnsi="Calibri"/>
                <w:color w:val="000000"/>
              </w:rPr>
              <w:t xml:space="preserve">AUD </w:t>
            </w:r>
            <w:r w:rsidRPr="006F2696">
              <w:rPr>
                <w:rFonts w:ascii="Calibri" w:hAnsi="Calibri"/>
                <w:color w:val="000000"/>
              </w:rPr>
              <w:t>price of oil</w:t>
            </w:r>
            <w:r>
              <w:rPr>
                <w:rFonts w:ascii="Calibri" w:hAnsi="Calibri"/>
                <w:color w:val="000000"/>
              </w:rPr>
              <w:t xml:space="preserve"> (Malaysian Tapis) </w:t>
            </w:r>
            <w:r w:rsidRPr="006F2696">
              <w:rPr>
                <w:rFonts w:ascii="Calibri" w:hAnsi="Calibri"/>
                <w:color w:val="000000"/>
              </w:rPr>
              <w:t>in the forward estimates</w:t>
            </w:r>
            <w:r>
              <w:rPr>
                <w:rFonts w:ascii="Calibri" w:hAnsi="Calibri"/>
                <w:color w:val="000000"/>
              </w:rPr>
              <w:t xml:space="preserve"> period</w:t>
            </w:r>
            <w:r w:rsidRPr="006F2696">
              <w:rPr>
                <w:rFonts w:ascii="Calibri" w:hAnsi="Calibri"/>
                <w:color w:val="000000"/>
              </w:rPr>
              <w:t xml:space="preserve">, and </w:t>
            </w:r>
            <w:r>
              <w:rPr>
                <w:rFonts w:ascii="Calibri" w:hAnsi="Calibri"/>
                <w:color w:val="000000"/>
              </w:rPr>
              <w:t>AUD</w:t>
            </w:r>
            <w:r w:rsidRPr="006F2696">
              <w:rPr>
                <w:rFonts w:ascii="Calibri" w:hAnsi="Calibri"/>
                <w:color w:val="000000"/>
              </w:rPr>
              <w:t xml:space="preserve"> price </w:t>
            </w:r>
            <w:r>
              <w:rPr>
                <w:rFonts w:ascii="Calibri" w:hAnsi="Calibri"/>
                <w:color w:val="000000"/>
              </w:rPr>
              <w:t xml:space="preserve">of oil </w:t>
            </w:r>
            <w:r w:rsidRPr="006F2696">
              <w:rPr>
                <w:rFonts w:ascii="Calibri" w:hAnsi="Calibri"/>
                <w:color w:val="000000"/>
              </w:rPr>
              <w:t>only beyond the forward estimates</w:t>
            </w:r>
            <w:r>
              <w:rPr>
                <w:rFonts w:ascii="Calibri" w:hAnsi="Calibri"/>
                <w:color w:val="000000"/>
              </w:rPr>
              <w:t xml:space="preserve"> period.</w:t>
            </w:r>
          </w:p>
        </w:tc>
      </w:tr>
      <w:tr w:rsidR="00D2397F" w:rsidTr="00E31F39">
        <w:trPr>
          <w:cnfStyle w:val="000000010000" w:firstRow="0" w:lastRow="0" w:firstColumn="0" w:lastColumn="0" w:oddVBand="0" w:evenVBand="0" w:oddHBand="0" w:evenHBand="1" w:firstRowFirstColumn="0" w:firstRowLastColumn="0" w:lastRowFirstColumn="0" w:lastRowLastColumn="0"/>
        </w:trPr>
        <w:tc>
          <w:tcPr>
            <w:tcW w:w="1083" w:type="pct"/>
            <w:hideMark/>
          </w:tcPr>
          <w:p w:rsidR="00D2397F" w:rsidRDefault="00D2397F" w:rsidP="0029340A">
            <w:pPr>
              <w:pStyle w:val="TableSubheading"/>
            </w:pPr>
            <w:r>
              <w:t>Goods and services tax (GST)</w:t>
            </w:r>
          </w:p>
        </w:tc>
        <w:tc>
          <w:tcPr>
            <w:tcW w:w="1619" w:type="pct"/>
            <w:hideMark/>
          </w:tcPr>
          <w:p w:rsidR="00D2397F" w:rsidRDefault="00D2397F" w:rsidP="0029340A">
            <w:pPr>
              <w:rPr>
                <w:rFonts w:ascii="Calibri" w:hAnsi="Calibri"/>
                <w:color w:val="000000"/>
              </w:rPr>
            </w:pPr>
            <w:r>
              <w:rPr>
                <w:rFonts w:ascii="Calibri" w:hAnsi="Calibri"/>
                <w:color w:val="000000"/>
              </w:rPr>
              <w:t>Indirect tax on the consumption of certain goods and services.</w:t>
            </w:r>
          </w:p>
        </w:tc>
        <w:tc>
          <w:tcPr>
            <w:tcW w:w="2298" w:type="pct"/>
            <w:hideMark/>
          </w:tcPr>
          <w:p w:rsidR="00D2397F" w:rsidRDefault="00D2397F" w:rsidP="0029340A">
            <w:pPr>
              <w:rPr>
                <w:rFonts w:ascii="Calibri" w:hAnsi="Calibri"/>
                <w:color w:val="000000"/>
              </w:rPr>
            </w:pPr>
            <w:r>
              <w:rPr>
                <w:rFonts w:ascii="Calibri" w:hAnsi="Calibri"/>
                <w:color w:val="000000"/>
              </w:rPr>
              <w:t>GST receipts are projected based on the</w:t>
            </w:r>
            <w:r w:rsidRPr="00725025">
              <w:rPr>
                <w:rFonts w:ascii="Calibri" w:hAnsi="Calibri"/>
                <w:color w:val="000000"/>
              </w:rPr>
              <w:t xml:space="preserve"> growth in consumption subject to GST </w:t>
            </w:r>
            <w:r>
              <w:rPr>
                <w:rFonts w:ascii="Calibri" w:hAnsi="Calibri"/>
                <w:color w:val="000000"/>
              </w:rPr>
              <w:t xml:space="preserve">using the </w:t>
            </w:r>
            <w:r w:rsidRPr="00725025">
              <w:rPr>
                <w:rFonts w:ascii="Calibri" w:hAnsi="Calibri"/>
                <w:color w:val="000000"/>
              </w:rPr>
              <w:t xml:space="preserve">following </w:t>
            </w:r>
            <w:r>
              <w:rPr>
                <w:rFonts w:ascii="Calibri" w:hAnsi="Calibri"/>
                <w:color w:val="000000"/>
              </w:rPr>
              <w:t>parameters</w:t>
            </w:r>
            <w:r w:rsidRPr="00725025">
              <w:rPr>
                <w:rFonts w:ascii="Calibri" w:hAnsi="Calibri"/>
                <w:color w:val="000000"/>
              </w:rPr>
              <w:t xml:space="preserve">: consumption subject to GST, private dwelling investment, </w:t>
            </w:r>
            <w:r>
              <w:rPr>
                <w:rFonts w:ascii="Calibri" w:hAnsi="Calibri"/>
                <w:color w:val="000000"/>
              </w:rPr>
              <w:t xml:space="preserve">and </w:t>
            </w:r>
            <w:r w:rsidRPr="00725025">
              <w:rPr>
                <w:rFonts w:ascii="Calibri" w:hAnsi="Calibri"/>
                <w:color w:val="000000"/>
              </w:rPr>
              <w:t>ownership transfer costs.</w:t>
            </w:r>
          </w:p>
        </w:tc>
      </w:tr>
      <w:tr w:rsidR="00D2397F" w:rsidTr="00E31F39">
        <w:tc>
          <w:tcPr>
            <w:tcW w:w="1083" w:type="pct"/>
            <w:shd w:val="clear" w:color="auto" w:fill="auto"/>
            <w:hideMark/>
          </w:tcPr>
          <w:p w:rsidR="00D2397F" w:rsidRDefault="00D2397F" w:rsidP="0029340A">
            <w:pPr>
              <w:pStyle w:val="TableSubheading"/>
            </w:pPr>
            <w:r>
              <w:t>Wine equalisation tax (WET)</w:t>
            </w:r>
          </w:p>
        </w:tc>
        <w:tc>
          <w:tcPr>
            <w:tcW w:w="1619" w:type="pct"/>
            <w:shd w:val="clear" w:color="auto" w:fill="auto"/>
            <w:hideMark/>
          </w:tcPr>
          <w:p w:rsidR="00D2397F" w:rsidRDefault="00D2397F" w:rsidP="0029340A">
            <w:pPr>
              <w:rPr>
                <w:rFonts w:ascii="Calibri" w:hAnsi="Calibri"/>
                <w:color w:val="000000"/>
              </w:rPr>
            </w:pPr>
            <w:r>
              <w:rPr>
                <w:rFonts w:ascii="Calibri" w:hAnsi="Calibri"/>
                <w:color w:val="000000"/>
              </w:rPr>
              <w:t>A value-based tax on wine consumed in Australia.</w:t>
            </w:r>
          </w:p>
        </w:tc>
        <w:tc>
          <w:tcPr>
            <w:tcW w:w="2298" w:type="pct"/>
            <w:shd w:val="clear" w:color="auto" w:fill="auto"/>
            <w:hideMark/>
          </w:tcPr>
          <w:p w:rsidR="00D2397F" w:rsidRDefault="00D2397F" w:rsidP="0029340A">
            <w:pPr>
              <w:rPr>
                <w:rFonts w:ascii="Calibri" w:hAnsi="Calibri"/>
                <w:color w:val="000000"/>
              </w:rPr>
            </w:pPr>
            <w:r>
              <w:rPr>
                <w:rFonts w:ascii="Calibri" w:hAnsi="Calibri"/>
                <w:color w:val="000000"/>
              </w:rPr>
              <w:t>WET</w:t>
            </w:r>
            <w:r w:rsidRPr="00325CAA">
              <w:rPr>
                <w:rFonts w:ascii="Calibri" w:hAnsi="Calibri"/>
                <w:color w:val="000000"/>
              </w:rPr>
              <w:t xml:space="preserve"> receipts </w:t>
            </w:r>
            <w:r>
              <w:rPr>
                <w:rFonts w:ascii="Calibri" w:hAnsi="Calibri"/>
                <w:color w:val="000000"/>
              </w:rPr>
              <w:t xml:space="preserve">are projected </w:t>
            </w:r>
            <w:r w:rsidRPr="00325CAA">
              <w:rPr>
                <w:rFonts w:ascii="Calibri" w:hAnsi="Calibri"/>
                <w:color w:val="000000"/>
              </w:rPr>
              <w:t>based on the</w:t>
            </w:r>
            <w:r>
              <w:rPr>
                <w:rFonts w:ascii="Calibri" w:hAnsi="Calibri"/>
                <w:color w:val="000000"/>
              </w:rPr>
              <w:t xml:space="preserve"> growth in private consumption of alcohol.</w:t>
            </w:r>
          </w:p>
        </w:tc>
      </w:tr>
      <w:tr w:rsidR="00D2397F" w:rsidTr="00E31F39">
        <w:trPr>
          <w:cnfStyle w:val="000000010000" w:firstRow="0" w:lastRow="0" w:firstColumn="0" w:lastColumn="0" w:oddVBand="0" w:evenVBand="0" w:oddHBand="0" w:evenHBand="1" w:firstRowFirstColumn="0" w:firstRowLastColumn="0" w:lastRowFirstColumn="0" w:lastRowLastColumn="0"/>
        </w:trPr>
        <w:tc>
          <w:tcPr>
            <w:tcW w:w="1083" w:type="pct"/>
            <w:hideMark/>
          </w:tcPr>
          <w:p w:rsidR="00D2397F" w:rsidRDefault="00D2397F" w:rsidP="0029340A">
            <w:pPr>
              <w:pStyle w:val="TableSubheading"/>
            </w:pPr>
            <w:r>
              <w:t>Luxury car tax (LCT)</w:t>
            </w:r>
          </w:p>
        </w:tc>
        <w:tc>
          <w:tcPr>
            <w:tcW w:w="1619" w:type="pct"/>
            <w:hideMark/>
          </w:tcPr>
          <w:p w:rsidR="00D2397F" w:rsidRDefault="00D2397F" w:rsidP="0029340A">
            <w:pPr>
              <w:rPr>
                <w:rFonts w:ascii="Calibri" w:hAnsi="Calibri"/>
                <w:color w:val="000000"/>
              </w:rPr>
            </w:pPr>
            <w:r>
              <w:rPr>
                <w:rFonts w:ascii="Calibri" w:hAnsi="Calibri"/>
                <w:color w:val="000000"/>
              </w:rPr>
              <w:t>A tax on luxury cars sold or imported, where their value exceeds a threshold.</w:t>
            </w:r>
          </w:p>
        </w:tc>
        <w:tc>
          <w:tcPr>
            <w:tcW w:w="2298" w:type="pct"/>
            <w:hideMark/>
          </w:tcPr>
          <w:p w:rsidR="00D2397F" w:rsidRDefault="00D2397F" w:rsidP="0029340A">
            <w:pPr>
              <w:rPr>
                <w:rFonts w:ascii="Calibri" w:hAnsi="Calibri"/>
                <w:color w:val="000000"/>
              </w:rPr>
            </w:pPr>
            <w:r>
              <w:rPr>
                <w:rFonts w:ascii="Calibri" w:hAnsi="Calibri"/>
                <w:color w:val="000000"/>
              </w:rPr>
              <w:t>LCT</w:t>
            </w:r>
            <w:r w:rsidRPr="006025AB">
              <w:rPr>
                <w:rFonts w:ascii="Calibri" w:hAnsi="Calibri"/>
                <w:color w:val="000000"/>
              </w:rPr>
              <w:t xml:space="preserve"> receipts </w:t>
            </w:r>
            <w:r>
              <w:rPr>
                <w:rFonts w:ascii="Calibri" w:hAnsi="Calibri"/>
                <w:color w:val="000000"/>
              </w:rPr>
              <w:t>are p</w:t>
            </w:r>
            <w:r w:rsidRPr="006025AB">
              <w:rPr>
                <w:rFonts w:ascii="Calibri" w:hAnsi="Calibri"/>
                <w:color w:val="000000"/>
              </w:rPr>
              <w:t>roject</w:t>
            </w:r>
            <w:r>
              <w:rPr>
                <w:rFonts w:ascii="Calibri" w:hAnsi="Calibri"/>
                <w:color w:val="000000"/>
              </w:rPr>
              <w:t>ed</w:t>
            </w:r>
            <w:r w:rsidRPr="006025AB">
              <w:rPr>
                <w:rFonts w:ascii="Calibri" w:hAnsi="Calibri"/>
                <w:color w:val="000000"/>
              </w:rPr>
              <w:t xml:space="preserve"> based on the growth in</w:t>
            </w:r>
            <w:r>
              <w:rPr>
                <w:rFonts w:ascii="Calibri" w:hAnsi="Calibri"/>
                <w:color w:val="000000"/>
              </w:rPr>
              <w:t xml:space="preserve"> s</w:t>
            </w:r>
            <w:r w:rsidRPr="006025AB">
              <w:rPr>
                <w:rFonts w:ascii="Calibri" w:hAnsi="Calibri"/>
                <w:color w:val="000000"/>
              </w:rPr>
              <w:t xml:space="preserve">ales of </w:t>
            </w:r>
            <w:r w:rsidRPr="00471476">
              <w:rPr>
                <w:rFonts w:ascii="Calibri" w:hAnsi="Calibri"/>
                <w:color w:val="000000"/>
              </w:rPr>
              <w:t>cars and station wagons</w:t>
            </w:r>
            <w:r>
              <w:rPr>
                <w:rFonts w:ascii="Calibri" w:hAnsi="Calibri"/>
                <w:color w:val="000000"/>
              </w:rPr>
              <w:t xml:space="preserve"> and the m</w:t>
            </w:r>
            <w:r w:rsidRPr="006025AB">
              <w:rPr>
                <w:rFonts w:ascii="Calibri" w:hAnsi="Calibri"/>
                <w:color w:val="000000"/>
              </w:rPr>
              <w:t>otor vehicle price indicator</w:t>
            </w:r>
            <w:r>
              <w:rPr>
                <w:rFonts w:ascii="Calibri" w:hAnsi="Calibri"/>
                <w:color w:val="000000"/>
              </w:rPr>
              <w:t>.</w:t>
            </w:r>
          </w:p>
        </w:tc>
      </w:tr>
      <w:tr w:rsidR="00D2397F" w:rsidTr="00E31F39">
        <w:tc>
          <w:tcPr>
            <w:tcW w:w="1083" w:type="pct"/>
            <w:shd w:val="clear" w:color="auto" w:fill="auto"/>
          </w:tcPr>
          <w:p w:rsidR="00D2397F" w:rsidRPr="00B15CC9" w:rsidRDefault="00D2397F" w:rsidP="0029340A">
            <w:pPr>
              <w:pStyle w:val="TableSubheading"/>
              <w:rPr>
                <w:highlight w:val="yellow"/>
              </w:rPr>
            </w:pPr>
            <w:r w:rsidRPr="00436B8B">
              <w:t>Other taxes and charges</w:t>
            </w:r>
          </w:p>
        </w:tc>
        <w:tc>
          <w:tcPr>
            <w:tcW w:w="1619" w:type="pct"/>
            <w:shd w:val="clear" w:color="auto" w:fill="auto"/>
          </w:tcPr>
          <w:p w:rsidR="00D2397F" w:rsidRPr="00B15CC9" w:rsidRDefault="00D2397F" w:rsidP="0029340A">
            <w:pPr>
              <w:rPr>
                <w:rFonts w:ascii="Calibri" w:hAnsi="Calibri"/>
                <w:color w:val="000000"/>
                <w:highlight w:val="yellow"/>
              </w:rPr>
            </w:pPr>
            <w:r>
              <w:rPr>
                <w:rFonts w:ascii="Calibri" w:hAnsi="Calibri"/>
                <w:color w:val="000000"/>
              </w:rPr>
              <w:t>Other indirect taxes and levies, including the major bank levy, agricultural levies and the Skilling Australians Fund levy.</w:t>
            </w:r>
          </w:p>
        </w:tc>
        <w:tc>
          <w:tcPr>
            <w:tcW w:w="2298" w:type="pct"/>
            <w:shd w:val="clear" w:color="auto" w:fill="auto"/>
          </w:tcPr>
          <w:p w:rsidR="00D2397F" w:rsidRDefault="00D2397F" w:rsidP="0029340A">
            <w:pPr>
              <w:rPr>
                <w:rFonts w:ascii="Calibri" w:hAnsi="Calibri"/>
                <w:color w:val="000000"/>
              </w:rPr>
            </w:pPr>
            <w:r w:rsidRPr="00B75AC1">
              <w:rPr>
                <w:rFonts w:ascii="Calibri" w:hAnsi="Calibri"/>
                <w:color w:val="000000"/>
              </w:rPr>
              <w:t>Other taxes and charges</w:t>
            </w:r>
            <w:r>
              <w:rPr>
                <w:rFonts w:ascii="Calibri" w:hAnsi="Calibri"/>
                <w:color w:val="000000"/>
              </w:rPr>
              <w:t xml:space="preserve"> </w:t>
            </w:r>
            <w:r w:rsidRPr="00B75AC1">
              <w:rPr>
                <w:rFonts w:ascii="Calibri" w:hAnsi="Calibri"/>
                <w:color w:val="000000"/>
              </w:rPr>
              <w:t xml:space="preserve">are projected based on the growth in </w:t>
            </w:r>
            <w:r>
              <w:rPr>
                <w:rFonts w:ascii="Calibri" w:hAnsi="Calibri"/>
                <w:color w:val="000000"/>
              </w:rPr>
              <w:t>nominal GDP</w:t>
            </w:r>
            <w:r w:rsidRPr="00B75AC1">
              <w:rPr>
                <w:rFonts w:ascii="Calibri" w:hAnsi="Calibri"/>
                <w:color w:val="000000"/>
              </w:rPr>
              <w:t>.</w:t>
            </w:r>
          </w:p>
        </w:tc>
      </w:tr>
      <w:tr w:rsidR="00D2397F" w:rsidTr="00E31F39">
        <w:trPr>
          <w:cnfStyle w:val="000000010000" w:firstRow="0" w:lastRow="0" w:firstColumn="0" w:lastColumn="0" w:oddVBand="0" w:evenVBand="0" w:oddHBand="0" w:evenHBand="1" w:firstRowFirstColumn="0" w:firstRowLastColumn="0" w:lastRowFirstColumn="0" w:lastRowLastColumn="0"/>
        </w:trPr>
        <w:tc>
          <w:tcPr>
            <w:tcW w:w="1083" w:type="pct"/>
            <w:hideMark/>
          </w:tcPr>
          <w:p w:rsidR="00D2397F" w:rsidRPr="00E237F6" w:rsidRDefault="00D2397F" w:rsidP="0029340A">
            <w:pPr>
              <w:pStyle w:val="TableSubheading"/>
            </w:pPr>
            <w:r w:rsidRPr="00E237F6">
              <w:t>Non-tax receipts</w:t>
            </w:r>
          </w:p>
        </w:tc>
        <w:tc>
          <w:tcPr>
            <w:tcW w:w="1619" w:type="pct"/>
            <w:hideMark/>
          </w:tcPr>
          <w:p w:rsidR="00D2397F" w:rsidRPr="00E237F6" w:rsidRDefault="00D2397F" w:rsidP="0029340A">
            <w:pPr>
              <w:rPr>
                <w:rFonts w:ascii="Calibri" w:hAnsi="Calibri"/>
                <w:color w:val="000000"/>
              </w:rPr>
            </w:pPr>
            <w:r w:rsidRPr="00E237F6">
              <w:rPr>
                <w:rFonts w:ascii="Calibri" w:hAnsi="Calibri"/>
                <w:color w:val="000000"/>
              </w:rPr>
              <w:t>Includes interest and dividend earnings (including Future Fund earnings), NDIS contributions from the States and Territories, sale of non-financial assets, and other non-tax receipts</w:t>
            </w:r>
            <w:r>
              <w:rPr>
                <w:rFonts w:ascii="Calibri" w:hAnsi="Calibri"/>
                <w:color w:val="000000"/>
              </w:rPr>
              <w:t>.</w:t>
            </w:r>
            <w:r w:rsidRPr="00E237F6">
              <w:rPr>
                <w:rFonts w:ascii="Calibri" w:hAnsi="Calibri"/>
                <w:color w:val="000000"/>
              </w:rPr>
              <w:t xml:space="preserve"> </w:t>
            </w:r>
          </w:p>
        </w:tc>
        <w:tc>
          <w:tcPr>
            <w:tcW w:w="2298" w:type="pct"/>
            <w:hideMark/>
          </w:tcPr>
          <w:p w:rsidR="00D2397F" w:rsidRDefault="00D2397F" w:rsidP="0029340A">
            <w:pPr>
              <w:rPr>
                <w:rFonts w:ascii="Calibri" w:hAnsi="Calibri"/>
                <w:color w:val="000000"/>
              </w:rPr>
            </w:pPr>
            <w:r w:rsidRPr="00415B2B">
              <w:rPr>
                <w:rFonts w:ascii="Calibri" w:hAnsi="Calibri"/>
                <w:color w:val="000000"/>
              </w:rPr>
              <w:t xml:space="preserve">The largest component of </w:t>
            </w:r>
            <w:r>
              <w:rPr>
                <w:rFonts w:ascii="Calibri" w:hAnsi="Calibri"/>
                <w:color w:val="000000"/>
              </w:rPr>
              <w:t>receipts from the</w:t>
            </w:r>
            <w:r w:rsidRPr="00415B2B">
              <w:rPr>
                <w:rFonts w:ascii="Calibri" w:hAnsi="Calibri"/>
                <w:color w:val="000000"/>
              </w:rPr>
              <w:t xml:space="preserve"> sales of goods and services </w:t>
            </w:r>
            <w:r w:rsidRPr="00681247">
              <w:rPr>
                <w:rFonts w:ascii="Calibri" w:hAnsi="Calibri"/>
                <w:color w:val="000000"/>
              </w:rPr>
              <w:t xml:space="preserve">are NDIS contributions from the States and Territories, which are consistent with the PBO’s profile of </w:t>
            </w:r>
            <w:r>
              <w:rPr>
                <w:rFonts w:ascii="Calibri" w:hAnsi="Calibri"/>
                <w:color w:val="000000"/>
              </w:rPr>
              <w:t xml:space="preserve">NDIS </w:t>
            </w:r>
            <w:r w:rsidRPr="00681247">
              <w:rPr>
                <w:rFonts w:ascii="Calibri" w:hAnsi="Calibri"/>
                <w:color w:val="000000"/>
              </w:rPr>
              <w:t xml:space="preserve">expenditure </w:t>
            </w:r>
            <w:r>
              <w:rPr>
                <w:rFonts w:ascii="Calibri" w:hAnsi="Calibri"/>
                <w:color w:val="000000"/>
              </w:rPr>
              <w:t xml:space="preserve">over the </w:t>
            </w:r>
            <w:r w:rsidRPr="00681247">
              <w:rPr>
                <w:rFonts w:ascii="Calibri" w:hAnsi="Calibri"/>
                <w:color w:val="000000"/>
              </w:rPr>
              <w:t>medium-term.</w:t>
            </w:r>
            <w:r>
              <w:rPr>
                <w:rFonts w:ascii="Calibri" w:hAnsi="Calibri"/>
                <w:color w:val="000000"/>
              </w:rPr>
              <w:t xml:space="preserve">  </w:t>
            </w:r>
          </w:p>
          <w:p w:rsidR="00D2397F" w:rsidRPr="00415B2B" w:rsidRDefault="00D2397F" w:rsidP="0029340A">
            <w:pPr>
              <w:pStyle w:val="TableText"/>
            </w:pPr>
            <w:r w:rsidRPr="002045B4">
              <w:t xml:space="preserve">Future Fund earnings are projected over the medium-term using the projection methodology from PBO Report </w:t>
            </w:r>
            <w:r w:rsidR="002D497D">
              <w:t>n</w:t>
            </w:r>
            <w:r w:rsidRPr="002045B4">
              <w:t xml:space="preserve">o. 01/2017.  </w:t>
            </w:r>
            <w:r>
              <w:t xml:space="preserve">Reflecting the Government’s decision to delay the drawdown of the Future Fund and to reduce its </w:t>
            </w:r>
            <w:r w:rsidRPr="00AE1BE5">
              <w:t xml:space="preserve">target return </w:t>
            </w:r>
            <w:r>
              <w:t>to</w:t>
            </w:r>
            <w:r w:rsidRPr="00AE1BE5">
              <w:t xml:space="preserve"> at least the Consumer Price Index (CPI) </w:t>
            </w:r>
            <w:r>
              <w:t xml:space="preserve">plus </w:t>
            </w:r>
            <w:r w:rsidRPr="00AE1BE5">
              <w:t>4 to 5 per cent</w:t>
            </w:r>
            <w:r>
              <w:t>, d</w:t>
            </w:r>
            <w:r w:rsidRPr="002045B4">
              <w:t xml:space="preserve">rawdowns are assumed to occur once the projected Fund </w:t>
            </w:r>
            <w:r>
              <w:t xml:space="preserve">balance </w:t>
            </w:r>
            <w:r w:rsidRPr="002045B4">
              <w:t>reach</w:t>
            </w:r>
            <w:r>
              <w:t>es</w:t>
            </w:r>
            <w:r w:rsidRPr="002045B4">
              <w:t xml:space="preserve"> its </w:t>
            </w:r>
            <w:r>
              <w:t>projected target asset level in 2027</w:t>
            </w:r>
            <w:r w:rsidR="004012E7">
              <w:t>-</w:t>
            </w:r>
            <w:r w:rsidRPr="002045B4">
              <w:t>28.</w:t>
            </w:r>
            <w:r>
              <w:t xml:space="preserve">  </w:t>
            </w:r>
            <w:r w:rsidRPr="003F2767">
              <w:t xml:space="preserve">Under the </w:t>
            </w:r>
            <w:r w:rsidRPr="003F2767">
              <w:rPr>
                <w:i/>
              </w:rPr>
              <w:t>Future Fund Act 2006</w:t>
            </w:r>
            <w:r w:rsidRPr="003F2767">
              <w:t>, net Future Fund earnings will be available to meet the Government superannuation liability in 2020</w:t>
            </w:r>
            <w:r w:rsidR="004012E7">
              <w:t>-</w:t>
            </w:r>
            <w:r w:rsidRPr="003F2767">
              <w:t xml:space="preserve">21. </w:t>
            </w:r>
            <w:r>
              <w:t xml:space="preserve"> Consistent with the 2018</w:t>
            </w:r>
            <w:r w:rsidR="004012E7">
              <w:t>-</w:t>
            </w:r>
            <w:r>
              <w:t xml:space="preserve">19 Budget assumption, </w:t>
            </w:r>
            <w:r w:rsidRPr="003F2767">
              <w:t>the underlying cash balance includes expected net Future Fund earnings</w:t>
            </w:r>
            <w:r>
              <w:t xml:space="preserve"> from 2020</w:t>
            </w:r>
            <w:r w:rsidR="004012E7">
              <w:t>-</w:t>
            </w:r>
            <w:r>
              <w:t>21</w:t>
            </w:r>
            <w:r w:rsidRPr="003F2767">
              <w:t>.</w:t>
            </w:r>
          </w:p>
          <w:p w:rsidR="00D2397F" w:rsidRPr="00415B2B" w:rsidRDefault="00D2397F" w:rsidP="0029340A">
            <w:pPr>
              <w:rPr>
                <w:rFonts w:ascii="Calibri" w:hAnsi="Calibri"/>
                <w:color w:val="000000"/>
              </w:rPr>
            </w:pPr>
            <w:r w:rsidRPr="00CB4842">
              <w:rPr>
                <w:rFonts w:ascii="Calibri" w:hAnsi="Calibri"/>
                <w:color w:val="000000"/>
              </w:rPr>
              <w:t>Other interest receipts and dividend receipt projections are consistent with the 201</w:t>
            </w:r>
            <w:r>
              <w:rPr>
                <w:rFonts w:ascii="Calibri" w:hAnsi="Calibri"/>
                <w:color w:val="000000"/>
              </w:rPr>
              <w:t>8</w:t>
            </w:r>
            <w:r w:rsidR="004012E7">
              <w:rPr>
                <w:rFonts w:ascii="Calibri" w:hAnsi="Calibri"/>
                <w:color w:val="000000"/>
              </w:rPr>
              <w:t>-</w:t>
            </w:r>
            <w:r w:rsidRPr="00CB4842">
              <w:rPr>
                <w:rFonts w:ascii="Calibri" w:hAnsi="Calibri"/>
                <w:color w:val="000000"/>
              </w:rPr>
              <w:t>1</w:t>
            </w:r>
            <w:r>
              <w:rPr>
                <w:rFonts w:ascii="Calibri" w:hAnsi="Calibri"/>
                <w:color w:val="000000"/>
              </w:rPr>
              <w:t>9</w:t>
            </w:r>
            <w:r w:rsidRPr="00CB4842">
              <w:rPr>
                <w:rFonts w:ascii="Calibri" w:hAnsi="Calibri"/>
                <w:color w:val="000000"/>
              </w:rPr>
              <w:t xml:space="preserve"> Budget forward </w:t>
            </w:r>
            <w:r w:rsidRPr="003D78B8">
              <w:rPr>
                <w:rFonts w:ascii="Calibri" w:hAnsi="Calibri"/>
                <w:color w:val="000000"/>
              </w:rPr>
              <w:t xml:space="preserve">estimates </w:t>
            </w:r>
            <w:r>
              <w:rPr>
                <w:rFonts w:ascii="Calibri" w:hAnsi="Calibri"/>
                <w:color w:val="000000"/>
              </w:rPr>
              <w:t xml:space="preserve">period </w:t>
            </w:r>
            <w:r w:rsidRPr="003D78B8">
              <w:rPr>
                <w:rFonts w:ascii="Calibri" w:hAnsi="Calibri"/>
                <w:color w:val="000000"/>
              </w:rPr>
              <w:t>and then grown consistent with recent history over the medium-term.</w:t>
            </w:r>
          </w:p>
          <w:p w:rsidR="00D2397F" w:rsidRDefault="00D2397F" w:rsidP="0029340A">
            <w:pPr>
              <w:rPr>
                <w:rFonts w:ascii="Calibri" w:hAnsi="Calibri"/>
                <w:color w:val="000000"/>
              </w:rPr>
            </w:pPr>
            <w:r>
              <w:rPr>
                <w:rFonts w:ascii="Calibri" w:hAnsi="Calibri"/>
                <w:color w:val="000000"/>
              </w:rPr>
              <w:t>The remainder of non-tax receipts</w:t>
            </w:r>
            <w:r w:rsidRPr="00415B2B">
              <w:rPr>
                <w:rFonts w:ascii="Calibri" w:hAnsi="Calibri"/>
                <w:color w:val="000000"/>
              </w:rPr>
              <w:t xml:space="preserve"> </w:t>
            </w:r>
            <w:r>
              <w:rPr>
                <w:rFonts w:ascii="Calibri" w:hAnsi="Calibri"/>
                <w:color w:val="000000"/>
              </w:rPr>
              <w:t>are consistent with the 2018</w:t>
            </w:r>
            <w:r w:rsidR="004012E7">
              <w:rPr>
                <w:rFonts w:ascii="Calibri" w:hAnsi="Calibri"/>
                <w:color w:val="000000"/>
              </w:rPr>
              <w:t>-</w:t>
            </w:r>
            <w:r>
              <w:rPr>
                <w:rFonts w:ascii="Calibri" w:hAnsi="Calibri"/>
                <w:color w:val="000000"/>
              </w:rPr>
              <w:t>19 Budget forward estimates period and then assumed to remain as a constant share of</w:t>
            </w:r>
            <w:r w:rsidRPr="00415B2B">
              <w:rPr>
                <w:rFonts w:ascii="Calibri" w:hAnsi="Calibri"/>
                <w:color w:val="000000"/>
              </w:rPr>
              <w:t xml:space="preserve"> nom</w:t>
            </w:r>
            <w:r>
              <w:rPr>
                <w:rFonts w:ascii="Calibri" w:hAnsi="Calibri"/>
                <w:color w:val="000000"/>
              </w:rPr>
              <w:t>inal GDP over the medium-term.</w:t>
            </w:r>
          </w:p>
        </w:tc>
      </w:tr>
    </w:tbl>
    <w:p w:rsidR="00D2397F" w:rsidRDefault="00D2397F" w:rsidP="0029340A">
      <w:pPr>
        <w:pStyle w:val="CaptionDescriptor"/>
      </w:pPr>
    </w:p>
    <w:p w:rsidR="00D2397F" w:rsidRPr="00D2397F" w:rsidRDefault="00D2397F" w:rsidP="0029340A">
      <w:pPr>
        <w:pStyle w:val="CaptionDescriptor"/>
      </w:pPr>
    </w:p>
    <w:p w:rsidR="00D2397F" w:rsidRDefault="00D2397F" w:rsidP="0029340A">
      <w:pPr>
        <w:pStyle w:val="BodyText"/>
      </w:pPr>
    </w:p>
    <w:p w:rsidR="0053015E" w:rsidRDefault="0053015E" w:rsidP="0029340A">
      <w:pPr>
        <w:pStyle w:val="BodyText"/>
      </w:pPr>
    </w:p>
    <w:p w:rsidR="0053015E" w:rsidRDefault="0053015E" w:rsidP="0029340A">
      <w:pPr>
        <w:pStyle w:val="BodyText"/>
        <w:sectPr w:rsidR="0053015E" w:rsidSect="007676C0">
          <w:headerReference w:type="even" r:id="rId44"/>
          <w:headerReference w:type="default" r:id="rId45"/>
          <w:footerReference w:type="even" r:id="rId46"/>
          <w:footerReference w:type="default" r:id="rId47"/>
          <w:headerReference w:type="first" r:id="rId48"/>
          <w:footerReference w:type="first" r:id="rId49"/>
          <w:pgSz w:w="11907" w:h="16839" w:code="9"/>
          <w:pgMar w:top="1191" w:right="1417" w:bottom="1020" w:left="1417" w:header="567" w:footer="709" w:gutter="0"/>
          <w:cols w:space="708"/>
          <w:docGrid w:linePitch="360"/>
        </w:sectPr>
      </w:pPr>
    </w:p>
    <w:p w:rsidR="007676C0" w:rsidRDefault="007979E1" w:rsidP="007979E1">
      <w:pPr>
        <w:pStyle w:val="Heading1NoNumbering"/>
      </w:pPr>
      <w:bookmarkStart w:id="60" w:name="_Toc523757321"/>
      <w:bookmarkStart w:id="61" w:name="_Toc523758536"/>
      <w:r>
        <w:t xml:space="preserve">Appendix B – </w:t>
      </w:r>
      <w:r w:rsidR="007676C0">
        <w:t>Spending</w:t>
      </w:r>
      <w:r w:rsidR="007676C0" w:rsidRPr="001F76A3">
        <w:t xml:space="preserve"> projection methodology</w:t>
      </w:r>
      <w:bookmarkEnd w:id="60"/>
      <w:bookmarkEnd w:id="61"/>
    </w:p>
    <w:p w:rsidR="0053015E" w:rsidRDefault="00853A08" w:rsidP="0029340A">
      <w:pPr>
        <w:pStyle w:val="BodyText"/>
      </w:pPr>
      <w:r>
        <w:t>Our</w:t>
      </w:r>
      <w:r w:rsidR="0053015E">
        <w:t xml:space="preserve"> spending projections comprise 23 individual projections of key Government payments, which in total comprise approximately 80 per cent of total government </w:t>
      </w:r>
      <w:r>
        <w:t>spending</w:t>
      </w:r>
      <w:r w:rsidR="0053015E">
        <w:t>.</w:t>
      </w:r>
      <w:r w:rsidR="0053015E" w:rsidRPr="008D6E0C">
        <w:t xml:space="preserve"> </w:t>
      </w:r>
    </w:p>
    <w:p w:rsidR="0053015E" w:rsidRDefault="00853A08" w:rsidP="0029340A">
      <w:pPr>
        <w:pStyle w:val="BodyText"/>
      </w:pPr>
      <w:r>
        <w:t>Up to 2021</w:t>
      </w:r>
      <w:r w:rsidR="004012E7">
        <w:t>-</w:t>
      </w:r>
      <w:r>
        <w:t xml:space="preserve">22, our spending </w:t>
      </w:r>
      <w:r w:rsidR="0053015E">
        <w:t>projections are consistent with the 2018</w:t>
      </w:r>
      <w:r w:rsidR="004012E7">
        <w:t>-</w:t>
      </w:r>
      <w:r w:rsidR="0053015E">
        <w:t xml:space="preserve">19 Budget forward estimates and are used as the base for projecting expenditure over the medium term. </w:t>
      </w:r>
    </w:p>
    <w:p w:rsidR="0053015E" w:rsidRDefault="0053015E" w:rsidP="0029340A">
      <w:pPr>
        <w:pStyle w:val="BodyText"/>
      </w:pPr>
      <w:r w:rsidRPr="009E29E1">
        <w:t>Projecte</w:t>
      </w:r>
      <w:r>
        <w:t>d levels of spending beyond 2021</w:t>
      </w:r>
      <w:r w:rsidR="004012E7">
        <w:t>-</w:t>
      </w:r>
      <w:r>
        <w:t>22</w:t>
      </w:r>
      <w:r w:rsidRPr="009E29E1">
        <w:t xml:space="preserve"> have been prepared based on information provided by </w:t>
      </w:r>
      <w:r>
        <w:t xml:space="preserve">government </w:t>
      </w:r>
      <w:r w:rsidRPr="009E29E1">
        <w:t xml:space="preserve">agencies </w:t>
      </w:r>
      <w:r>
        <w:t>using</w:t>
      </w:r>
      <w:r w:rsidRPr="009E29E1">
        <w:t xml:space="preserve"> a range of PBO models which take account of population growth, the age structure of the population, estimates of trends in the demand for government services and program indexation arrangements.</w:t>
      </w:r>
    </w:p>
    <w:p w:rsidR="0053015E" w:rsidRDefault="00853A08" w:rsidP="0029340A">
      <w:pPr>
        <w:pStyle w:val="BodyText"/>
      </w:pPr>
      <w:r>
        <w:t xml:space="preserve">Our </w:t>
      </w:r>
      <w:r w:rsidR="0053015E">
        <w:t>projections are based on the policy settings underlying the 2018</w:t>
      </w:r>
      <w:r w:rsidR="004012E7">
        <w:t>-</w:t>
      </w:r>
      <w:r w:rsidR="0053015E">
        <w:t xml:space="preserve">19 </w:t>
      </w:r>
      <w:proofErr w:type="gramStart"/>
      <w:r w:rsidR="0053015E">
        <w:t>Budget</w:t>
      </w:r>
      <w:proofErr w:type="gramEnd"/>
      <w:r w:rsidR="0053015E">
        <w:t xml:space="preserve"> assuming no change to these settings over the medium term.  </w:t>
      </w:r>
      <w:r w:rsidR="0053015E" w:rsidRPr="00634284">
        <w:t>Where government policy has not been made explicit beyond the forward estimates period the PBO’s projections assume the continuation of the current policy settings.</w:t>
      </w:r>
    </w:p>
    <w:p w:rsidR="00A82125" w:rsidRPr="00E809F6" w:rsidRDefault="00A82125" w:rsidP="0029340A">
      <w:pPr>
        <w:pStyle w:val="BodyText"/>
      </w:pPr>
      <w:r w:rsidRPr="00E809F6">
        <w:t>The two exceptions to this are</w:t>
      </w:r>
      <w:r>
        <w:t xml:space="preserve"> projections for spending on</w:t>
      </w:r>
      <w:r w:rsidRPr="00E809F6">
        <w:t xml:space="preserve"> road and rail infrastructure and pharmaceutical benefits, which are inextricably linked to decisions of government.  To not factor any policy decisions in for these programs would result in implausibly low estimates </w:t>
      </w:r>
      <w:r>
        <w:t xml:space="preserve">of spending on </w:t>
      </w:r>
      <w:r w:rsidRPr="00E809F6">
        <w:t xml:space="preserve">these programs over the next decade.  </w:t>
      </w:r>
    </w:p>
    <w:p w:rsidR="0053015E" w:rsidRDefault="0053015E" w:rsidP="0029340A">
      <w:pPr>
        <w:pStyle w:val="BodyText"/>
      </w:pPr>
      <w:r>
        <w:t>Departmental expenses have been excluded from modelled programs except in the cases of Defence spending and the NDIS where departmental costs are an integral part of the program.</w:t>
      </w:r>
    </w:p>
    <w:p w:rsidR="00A82125" w:rsidRDefault="0053015E" w:rsidP="0029340A">
      <w:pPr>
        <w:pStyle w:val="BodyText"/>
      </w:pPr>
      <w:r>
        <w:t>Details of the methodology used to arrive at projections for individual programs are outlined in the table below.</w:t>
      </w:r>
    </w:p>
    <w:p w:rsidR="00A82125" w:rsidRDefault="00A82125" w:rsidP="0029340A">
      <w:pPr>
        <w:pStyle w:val="BodyText"/>
      </w:pPr>
    </w:p>
    <w:tbl>
      <w:tblPr>
        <w:tblStyle w:val="TableGrid"/>
        <w:tblW w:w="5000" w:type="pct"/>
        <w:tblBorders>
          <w:top w:val="none" w:sz="0" w:space="0" w:color="auto"/>
          <w:bottom w:val="none" w:sz="0" w:space="0" w:color="auto"/>
        </w:tblBorders>
        <w:tblLook w:val="04A0" w:firstRow="1" w:lastRow="0" w:firstColumn="1" w:lastColumn="0" w:noHBand="0" w:noVBand="1"/>
      </w:tblPr>
      <w:tblGrid>
        <w:gridCol w:w="1965"/>
        <w:gridCol w:w="2938"/>
        <w:gridCol w:w="4170"/>
      </w:tblGrid>
      <w:tr w:rsidR="0053015E" w:rsidRPr="00D2397F" w:rsidTr="00E31F39">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083" w:type="pct"/>
            <w:tcBorders>
              <w:bottom w:val="none" w:sz="0" w:space="0" w:color="auto"/>
            </w:tcBorders>
            <w:shd w:val="clear" w:color="auto" w:fill="3D4D7D" w:themeFill="background2"/>
            <w:hideMark/>
          </w:tcPr>
          <w:p w:rsidR="0053015E" w:rsidRPr="00E31F39" w:rsidRDefault="0053015E" w:rsidP="0029340A">
            <w:pPr>
              <w:pStyle w:val="TableHeading"/>
            </w:pPr>
            <w:r w:rsidRPr="00E31F39">
              <w:t xml:space="preserve">Model </w:t>
            </w:r>
          </w:p>
        </w:tc>
        <w:tc>
          <w:tcPr>
            <w:tcW w:w="1619" w:type="pct"/>
            <w:tcBorders>
              <w:bottom w:val="none" w:sz="0" w:space="0" w:color="auto"/>
            </w:tcBorders>
            <w:shd w:val="clear" w:color="auto" w:fill="3D4D7D" w:themeFill="background2"/>
            <w:hideMark/>
          </w:tcPr>
          <w:p w:rsidR="0053015E" w:rsidRPr="00E31F39" w:rsidRDefault="0053015E" w:rsidP="0029340A">
            <w:pPr>
              <w:pStyle w:val="TableHeading"/>
              <w:cnfStyle w:val="100000000000" w:firstRow="1" w:lastRow="0" w:firstColumn="0" w:lastColumn="0" w:oddVBand="0" w:evenVBand="0" w:oddHBand="0" w:evenHBand="0" w:firstRowFirstColumn="0" w:firstRowLastColumn="0" w:lastRowFirstColumn="0" w:lastRowLastColumn="0"/>
            </w:pPr>
            <w:r w:rsidRPr="00E31F39">
              <w:t xml:space="preserve">Description </w:t>
            </w:r>
          </w:p>
        </w:tc>
        <w:tc>
          <w:tcPr>
            <w:tcW w:w="2298" w:type="pct"/>
            <w:tcBorders>
              <w:bottom w:val="none" w:sz="0" w:space="0" w:color="auto"/>
            </w:tcBorders>
            <w:shd w:val="clear" w:color="auto" w:fill="3D4D7D" w:themeFill="background2"/>
            <w:hideMark/>
          </w:tcPr>
          <w:p w:rsidR="0053015E" w:rsidRPr="00E31F39" w:rsidRDefault="0053015E" w:rsidP="0029340A">
            <w:pPr>
              <w:pStyle w:val="TableHeading"/>
              <w:cnfStyle w:val="100000000000" w:firstRow="1" w:lastRow="0" w:firstColumn="0" w:lastColumn="0" w:oddVBand="0" w:evenVBand="0" w:oddHBand="0" w:evenHBand="0" w:firstRowFirstColumn="0" w:firstRowLastColumn="0" w:lastRowFirstColumn="0" w:lastRowLastColumn="0"/>
            </w:pPr>
            <w:r w:rsidRPr="00E31F39">
              <w:t>Methodology</w:t>
            </w:r>
          </w:p>
        </w:tc>
      </w:tr>
      <w:tr w:rsidR="0053015E" w:rsidTr="00E31F39">
        <w:trPr>
          <w:cantSplit/>
        </w:trPr>
        <w:tc>
          <w:tcPr>
            <w:tcW w:w="1083" w:type="pct"/>
          </w:tcPr>
          <w:p w:rsidR="0053015E" w:rsidRPr="00DB261D" w:rsidRDefault="0053015E" w:rsidP="0029340A">
            <w:pPr>
              <w:pStyle w:val="TableSubheading"/>
            </w:pPr>
            <w:r w:rsidRPr="00DB261D">
              <w:t>National Disability Insurance Scheme (NDIS)</w:t>
            </w:r>
          </w:p>
        </w:tc>
        <w:tc>
          <w:tcPr>
            <w:tcW w:w="1619" w:type="pct"/>
          </w:tcPr>
          <w:p w:rsidR="0053015E" w:rsidRPr="00DB261D" w:rsidRDefault="0053015E" w:rsidP="0029340A">
            <w:pPr>
              <w:rPr>
                <w:rFonts w:ascii="Calibri" w:hAnsi="Calibri"/>
                <w:color w:val="000000"/>
              </w:rPr>
            </w:pPr>
            <w:r w:rsidRPr="00DB261D">
              <w:rPr>
                <w:rFonts w:ascii="Calibri" w:hAnsi="Calibri"/>
                <w:color w:val="000000"/>
              </w:rPr>
              <w:t xml:space="preserve">The coverage of the NDIS projections is the administered and departmental spending of the National Disability Insurance Agency and transitional funding. </w:t>
            </w:r>
          </w:p>
        </w:tc>
        <w:tc>
          <w:tcPr>
            <w:tcW w:w="2298" w:type="pct"/>
          </w:tcPr>
          <w:p w:rsidR="0053015E" w:rsidRPr="00DB261D" w:rsidRDefault="0053015E" w:rsidP="0029340A">
            <w:pPr>
              <w:pStyle w:val="TableText"/>
            </w:pPr>
            <w:r w:rsidRPr="00DB261D">
              <w:t>Expenditure projections (in accrual terms) of recipients’ care and support are based on projections of the number of recipients and the average disability package costs of two cohorts, those aged 0</w:t>
            </w:r>
            <w:r w:rsidR="0073484E">
              <w:t>–</w:t>
            </w:r>
            <w:r w:rsidRPr="00DB261D">
              <w:t xml:space="preserve">64 years and those aged 65 years and over.  </w:t>
            </w:r>
          </w:p>
          <w:p w:rsidR="0053015E" w:rsidRPr="00DB261D" w:rsidRDefault="0053015E" w:rsidP="0029340A">
            <w:pPr>
              <w:pStyle w:val="TableText"/>
            </w:pPr>
            <w:r w:rsidRPr="00DB261D">
              <w:t>Spending projections (in cash terms) are calculated by applying a ratio of payments to expenses.  From around 90 per cent by the end of the forward estimates period, this ratio increases to around 95 per cent by the end of the medium-term largely reflecting a reduction of in-kind payment arrangements between States and the Commonwealth.</w:t>
            </w:r>
          </w:p>
          <w:p w:rsidR="0053015E" w:rsidRPr="008976D3" w:rsidRDefault="0053015E" w:rsidP="0029340A">
            <w:pPr>
              <w:pStyle w:val="TableText"/>
            </w:pPr>
            <w:r w:rsidRPr="00DB261D">
              <w:t xml:space="preserve">The departmental spending of the NDIA is assumed to be relatively flat over the </w:t>
            </w:r>
            <w:r w:rsidR="0073484E">
              <w:br/>
            </w:r>
            <w:r w:rsidRPr="00DB261D">
              <w:t>medium-term.</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E237F6" w:rsidRDefault="0053015E" w:rsidP="0029340A">
            <w:pPr>
              <w:pStyle w:val="TableSubheading"/>
            </w:pPr>
            <w:r>
              <w:t>Aged Care</w:t>
            </w:r>
          </w:p>
        </w:tc>
        <w:tc>
          <w:tcPr>
            <w:tcW w:w="1619" w:type="pct"/>
          </w:tcPr>
          <w:p w:rsidR="0053015E" w:rsidRPr="00E237F6" w:rsidRDefault="00773CBF" w:rsidP="0029340A">
            <w:pPr>
              <w:rPr>
                <w:rFonts w:ascii="Calibri" w:hAnsi="Calibri"/>
                <w:color w:val="000000"/>
              </w:rPr>
            </w:pPr>
            <w:r w:rsidRPr="00773CBF">
              <w:rPr>
                <w:rFonts w:ascii="Calibri" w:hAnsi="Calibri"/>
                <w:color w:val="000000"/>
              </w:rPr>
              <w:t>Consists of subsidies for residential care, the Commonwealth Home Support Program and subsidies for Home Care Packages.</w:t>
            </w:r>
          </w:p>
        </w:tc>
        <w:tc>
          <w:tcPr>
            <w:tcW w:w="2298" w:type="pct"/>
          </w:tcPr>
          <w:p w:rsidR="0053015E" w:rsidRDefault="0053015E" w:rsidP="0029340A">
            <w:pPr>
              <w:rPr>
                <w:rFonts w:ascii="Calibri" w:hAnsi="Calibri"/>
                <w:color w:val="000000"/>
              </w:rPr>
            </w:pPr>
            <w:r>
              <w:rPr>
                <w:rFonts w:ascii="Calibri" w:hAnsi="Calibri"/>
                <w:color w:val="000000"/>
              </w:rPr>
              <w:t>The number of subsidised aged care places follows Government policy to provide 125 aged care places per 1,000 persons aged over 70 years old by 2021</w:t>
            </w:r>
            <w:r w:rsidR="004012E7">
              <w:t>-</w:t>
            </w:r>
            <w:r>
              <w:rPr>
                <w:rFonts w:ascii="Calibri" w:hAnsi="Calibri"/>
                <w:color w:val="000000"/>
              </w:rPr>
              <w:t>22 and maintains this ratio beyond 2021</w:t>
            </w:r>
            <w:r w:rsidR="004012E7">
              <w:rPr>
                <w:rFonts w:ascii="Calibri" w:hAnsi="Calibri"/>
                <w:color w:val="000000"/>
              </w:rPr>
              <w:t>-</w:t>
            </w:r>
            <w:r w:rsidRPr="002642F0">
              <w:rPr>
                <w:rFonts w:ascii="Calibri" w:hAnsi="Calibri"/>
                <w:color w:val="000000"/>
              </w:rPr>
              <w:t xml:space="preserve">22. The value of residential care and home care packages subsidies are assumed by the PBO to grow by the </w:t>
            </w:r>
            <w:r>
              <w:rPr>
                <w:rFonts w:ascii="Calibri" w:hAnsi="Calibri"/>
                <w:color w:val="000000"/>
              </w:rPr>
              <w:t>growth in wages</w:t>
            </w:r>
            <w:r w:rsidRPr="002642F0">
              <w:rPr>
                <w:rFonts w:ascii="Calibri" w:hAnsi="Calibri"/>
                <w:color w:val="000000"/>
              </w:rPr>
              <w:t xml:space="preserve"> beyond the forward estimates</w:t>
            </w:r>
            <w:r>
              <w:rPr>
                <w:rFonts w:ascii="Calibri" w:hAnsi="Calibri"/>
                <w:color w:val="000000"/>
              </w:rPr>
              <w:t xml:space="preserve"> period</w:t>
            </w:r>
            <w:r w:rsidRPr="002642F0">
              <w:rPr>
                <w:rFonts w:ascii="Calibri" w:hAnsi="Calibri"/>
                <w:color w:val="000000"/>
              </w:rPr>
              <w:t xml:space="preserve">.  </w:t>
            </w:r>
          </w:p>
          <w:p w:rsidR="0053015E" w:rsidRPr="00415B2B" w:rsidRDefault="0053015E" w:rsidP="0029340A">
            <w:pPr>
              <w:rPr>
                <w:rFonts w:ascii="Calibri" w:hAnsi="Calibri"/>
                <w:color w:val="000000"/>
              </w:rPr>
            </w:pPr>
            <w:r>
              <w:rPr>
                <w:rFonts w:ascii="Calibri" w:hAnsi="Calibri"/>
                <w:color w:val="000000"/>
              </w:rPr>
              <w:t xml:space="preserve">The Commonwealth Home Support Program is an annual appropriation projected to grow at a wage cost index plus 3.5 per cent (in line with the aged care measure announced in the </w:t>
            </w:r>
            <w:r w:rsidR="009D04E4">
              <w:rPr>
                <w:rFonts w:ascii="Calibri" w:hAnsi="Calibri"/>
                <w:color w:val="000000"/>
              </w:rPr>
              <w:br/>
            </w:r>
            <w:r>
              <w:rPr>
                <w:rFonts w:ascii="Calibri" w:hAnsi="Calibri"/>
                <w:color w:val="000000"/>
              </w:rPr>
              <w:t>2014</w:t>
            </w:r>
            <w:r w:rsidR="004012E7">
              <w:rPr>
                <w:rFonts w:ascii="Calibri" w:hAnsi="Calibri"/>
                <w:color w:val="000000"/>
              </w:rPr>
              <w:t>-</w:t>
            </w:r>
            <w:r>
              <w:rPr>
                <w:rFonts w:ascii="Calibri" w:hAnsi="Calibri"/>
                <w:color w:val="000000"/>
              </w:rPr>
              <w:t>15 Budget).</w:t>
            </w:r>
          </w:p>
        </w:tc>
      </w:tr>
      <w:tr w:rsidR="0053015E" w:rsidTr="00E31F39">
        <w:trPr>
          <w:cantSplit/>
        </w:trPr>
        <w:tc>
          <w:tcPr>
            <w:tcW w:w="1083" w:type="pct"/>
          </w:tcPr>
          <w:p w:rsidR="0053015E" w:rsidRPr="00E237F6" w:rsidRDefault="0053015E" w:rsidP="0029340A">
            <w:pPr>
              <w:pStyle w:val="TableSubheading"/>
            </w:pPr>
            <w:r>
              <w:t>Child Care</w:t>
            </w:r>
          </w:p>
        </w:tc>
        <w:tc>
          <w:tcPr>
            <w:tcW w:w="1619" w:type="pct"/>
          </w:tcPr>
          <w:p w:rsidR="0053015E" w:rsidRPr="00E237F6" w:rsidRDefault="00074485" w:rsidP="0029340A">
            <w:pPr>
              <w:rPr>
                <w:rFonts w:ascii="Calibri" w:hAnsi="Calibri"/>
                <w:color w:val="000000"/>
              </w:rPr>
            </w:pPr>
            <w:r w:rsidRPr="00074485">
              <w:rPr>
                <w:rFonts w:ascii="Calibri" w:hAnsi="Calibri"/>
                <w:color w:val="000000"/>
              </w:rPr>
              <w:t xml:space="preserve">Includes the Child Care Benefit and Child Care Rebate for </w:t>
            </w:r>
            <w:r w:rsidR="009D04E4">
              <w:rPr>
                <w:rFonts w:ascii="Calibri" w:hAnsi="Calibri"/>
                <w:color w:val="000000"/>
              </w:rPr>
              <w:br/>
            </w:r>
            <w:r w:rsidRPr="00074485">
              <w:rPr>
                <w:rFonts w:ascii="Calibri" w:hAnsi="Calibri"/>
                <w:color w:val="000000"/>
              </w:rPr>
              <w:t>2017</w:t>
            </w:r>
            <w:r w:rsidR="004012E7">
              <w:rPr>
                <w:rFonts w:ascii="Calibri" w:hAnsi="Calibri"/>
                <w:color w:val="000000"/>
              </w:rPr>
              <w:t>-</w:t>
            </w:r>
            <w:r w:rsidRPr="00074485">
              <w:rPr>
                <w:rFonts w:ascii="Calibri" w:hAnsi="Calibri"/>
                <w:color w:val="000000"/>
              </w:rPr>
              <w:t>18 becoming the Child Care Subsidy in 2018</w:t>
            </w:r>
            <w:r w:rsidR="004012E7">
              <w:rPr>
                <w:rFonts w:ascii="Calibri" w:hAnsi="Calibri"/>
                <w:color w:val="000000"/>
              </w:rPr>
              <w:t>-</w:t>
            </w:r>
            <w:r w:rsidRPr="00074485">
              <w:rPr>
                <w:rFonts w:ascii="Calibri" w:hAnsi="Calibri"/>
                <w:color w:val="000000"/>
              </w:rPr>
              <w:t>19.</w:t>
            </w:r>
          </w:p>
        </w:tc>
        <w:tc>
          <w:tcPr>
            <w:tcW w:w="2298" w:type="pct"/>
          </w:tcPr>
          <w:p w:rsidR="0053015E" w:rsidRDefault="0053015E" w:rsidP="0029340A">
            <w:pPr>
              <w:rPr>
                <w:rFonts w:ascii="Calibri" w:hAnsi="Calibri"/>
                <w:color w:val="000000"/>
              </w:rPr>
            </w:pPr>
            <w:r>
              <w:rPr>
                <w:rFonts w:ascii="Calibri" w:hAnsi="Calibri"/>
                <w:color w:val="000000"/>
              </w:rPr>
              <w:t xml:space="preserve">The number of recipients of the Child Care Subsidy is projected based on the rate of population growth of young children plus an additional growth factor (based on historical data) which takes into account that child care hours used has grown faster than eligible population growth.  </w:t>
            </w:r>
          </w:p>
          <w:p w:rsidR="0053015E" w:rsidRPr="00415B2B" w:rsidRDefault="00074485" w:rsidP="0029340A">
            <w:pPr>
              <w:rPr>
                <w:rFonts w:ascii="Calibri" w:hAnsi="Calibri"/>
                <w:color w:val="000000"/>
              </w:rPr>
            </w:pPr>
            <w:r w:rsidRPr="00074485">
              <w:rPr>
                <w:rFonts w:ascii="Calibri" w:hAnsi="Calibri"/>
                <w:color w:val="000000"/>
              </w:rPr>
              <w:t>Child care prices are projected to grow in line with recent historical trends in child care fees, adjusted to account for the impact of the fee cap.</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Default="0053015E" w:rsidP="0029340A">
            <w:pPr>
              <w:pStyle w:val="TableSubheading"/>
            </w:pPr>
            <w:r>
              <w:t>Defence spending</w:t>
            </w:r>
          </w:p>
        </w:tc>
        <w:tc>
          <w:tcPr>
            <w:tcW w:w="1619" w:type="pct"/>
          </w:tcPr>
          <w:p w:rsidR="0053015E" w:rsidRDefault="0053015E" w:rsidP="0029340A">
            <w:pPr>
              <w:rPr>
                <w:rFonts w:ascii="Calibri" w:hAnsi="Calibri"/>
                <w:color w:val="000000"/>
              </w:rPr>
            </w:pPr>
            <w:r>
              <w:rPr>
                <w:rFonts w:ascii="Calibri" w:hAnsi="Calibri"/>
                <w:color w:val="000000"/>
              </w:rPr>
              <w:t xml:space="preserve">The net cost of service for the Department of Defence </w:t>
            </w:r>
            <w:r w:rsidR="001E1361">
              <w:rPr>
                <w:rFonts w:ascii="Calibri" w:hAnsi="Calibri"/>
                <w:color w:val="000000"/>
              </w:rPr>
              <w:t>(including the Australian Signals Directorate</w:t>
            </w:r>
            <w:proofErr w:type="gramStart"/>
            <w:r w:rsidR="001E1361">
              <w:rPr>
                <w:rFonts w:ascii="Calibri" w:hAnsi="Calibri"/>
                <w:color w:val="000000"/>
              </w:rPr>
              <w:t xml:space="preserve">) </w:t>
            </w:r>
            <w:r>
              <w:rPr>
                <w:rFonts w:ascii="Calibri" w:hAnsi="Calibri"/>
                <w:color w:val="000000"/>
              </w:rPr>
              <w:t>including</w:t>
            </w:r>
            <w:proofErr w:type="gramEnd"/>
            <w:r>
              <w:rPr>
                <w:rFonts w:ascii="Calibri" w:hAnsi="Calibri"/>
                <w:color w:val="000000"/>
              </w:rPr>
              <w:t xml:space="preserve"> employee costs, supplies and purchases of capital including specialist military equipment.</w:t>
            </w:r>
          </w:p>
        </w:tc>
        <w:tc>
          <w:tcPr>
            <w:tcW w:w="2298" w:type="pct"/>
          </w:tcPr>
          <w:p w:rsidR="00B96F75" w:rsidRPr="00B96F75" w:rsidRDefault="00B96F75" w:rsidP="0029340A">
            <w:pPr>
              <w:rPr>
                <w:rFonts w:ascii="Calibri" w:hAnsi="Calibri"/>
                <w:color w:val="000000"/>
              </w:rPr>
            </w:pPr>
            <w:r w:rsidRPr="00B96F75">
              <w:rPr>
                <w:rFonts w:ascii="Calibri" w:hAnsi="Calibri"/>
                <w:color w:val="000000"/>
              </w:rPr>
              <w:t>Projections of defence spending over the medium term are based on long-term funding commitments to 2025</w:t>
            </w:r>
            <w:r w:rsidR="004012E7">
              <w:rPr>
                <w:rFonts w:ascii="Calibri" w:hAnsi="Calibri"/>
                <w:color w:val="000000"/>
              </w:rPr>
              <w:t>-</w:t>
            </w:r>
            <w:r w:rsidRPr="00B96F75">
              <w:rPr>
                <w:rFonts w:ascii="Calibri" w:hAnsi="Calibri"/>
                <w:color w:val="000000"/>
              </w:rPr>
              <w:t xml:space="preserve">26 made in the 2016 Defence White Paper updated for developments in subsequent budgets. </w:t>
            </w:r>
          </w:p>
          <w:p w:rsidR="0053015E" w:rsidRDefault="00B96F75" w:rsidP="0029340A">
            <w:pPr>
              <w:rPr>
                <w:rFonts w:ascii="Calibri" w:hAnsi="Calibri"/>
                <w:color w:val="000000"/>
              </w:rPr>
            </w:pPr>
            <w:r w:rsidRPr="00B96F75">
              <w:rPr>
                <w:rFonts w:ascii="Calibri" w:hAnsi="Calibri"/>
                <w:color w:val="000000"/>
              </w:rPr>
              <w:t>From 2026</w:t>
            </w:r>
            <w:r w:rsidR="004012E7">
              <w:rPr>
                <w:rFonts w:ascii="Calibri" w:hAnsi="Calibri"/>
                <w:color w:val="000000"/>
              </w:rPr>
              <w:t>-</w:t>
            </w:r>
            <w:r w:rsidRPr="00B96F75">
              <w:rPr>
                <w:rFonts w:ascii="Calibri" w:hAnsi="Calibri"/>
                <w:color w:val="000000"/>
              </w:rPr>
              <w:t>27 the PBO has assumed growth in Defence spending</w:t>
            </w:r>
            <w:r w:rsidR="00792DDA">
              <w:rPr>
                <w:rFonts w:ascii="Calibri" w:hAnsi="Calibri"/>
                <w:color w:val="000000"/>
              </w:rPr>
              <w:t xml:space="preserve"> is maintained at the 2025</w:t>
            </w:r>
            <w:r w:rsidR="004012E7">
              <w:rPr>
                <w:rFonts w:ascii="Calibri" w:hAnsi="Calibri"/>
                <w:color w:val="000000"/>
              </w:rPr>
              <w:t>-</w:t>
            </w:r>
            <w:r w:rsidR="00792DDA">
              <w:rPr>
                <w:rFonts w:ascii="Calibri" w:hAnsi="Calibri"/>
                <w:color w:val="000000"/>
              </w:rPr>
              <w:t>26 rate</w:t>
            </w:r>
            <w:r w:rsidRPr="00B96F75">
              <w:rPr>
                <w:rFonts w:ascii="Calibri" w:hAnsi="Calibri"/>
                <w:color w:val="000000"/>
              </w:rPr>
              <w:t>.</w:t>
            </w:r>
          </w:p>
        </w:tc>
      </w:tr>
      <w:tr w:rsidR="0053015E" w:rsidTr="00E31F39">
        <w:trPr>
          <w:cantSplit/>
        </w:trPr>
        <w:tc>
          <w:tcPr>
            <w:tcW w:w="1083" w:type="pct"/>
          </w:tcPr>
          <w:p w:rsidR="0053015E" w:rsidRDefault="0053015E" w:rsidP="0029340A">
            <w:pPr>
              <w:pStyle w:val="TableSubheading"/>
            </w:pPr>
            <w:r>
              <w:t>Schools</w:t>
            </w:r>
          </w:p>
        </w:tc>
        <w:tc>
          <w:tcPr>
            <w:tcW w:w="1619" w:type="pct"/>
          </w:tcPr>
          <w:p w:rsidR="0053015E" w:rsidRDefault="00EC6FDB" w:rsidP="0029340A">
            <w:pPr>
              <w:rPr>
                <w:rFonts w:ascii="Calibri" w:hAnsi="Calibri"/>
                <w:color w:val="000000"/>
              </w:rPr>
            </w:pPr>
            <w:r w:rsidRPr="00EC6FDB">
              <w:rPr>
                <w:rFonts w:ascii="Calibri" w:hAnsi="Calibri"/>
                <w:color w:val="000000"/>
              </w:rPr>
              <w:t>Comprises the Quality Schools National Specific Purpose Payment from the Commonwealth to states and territories (states) for government schools and the non-government sector.</w:t>
            </w:r>
          </w:p>
        </w:tc>
        <w:tc>
          <w:tcPr>
            <w:tcW w:w="2298" w:type="pct"/>
          </w:tcPr>
          <w:p w:rsidR="00B96F75" w:rsidRPr="00B96F75" w:rsidRDefault="009D04E4" w:rsidP="0029340A">
            <w:pPr>
              <w:rPr>
                <w:rFonts w:ascii="Calibri" w:hAnsi="Calibri"/>
                <w:color w:val="000000"/>
              </w:rPr>
            </w:pPr>
            <w:r>
              <w:rPr>
                <w:rFonts w:ascii="Calibri" w:hAnsi="Calibri"/>
                <w:color w:val="000000"/>
              </w:rPr>
              <w:t xml:space="preserve">Projections are based on the </w:t>
            </w:r>
            <w:r w:rsidR="00B96F75" w:rsidRPr="00B96F75">
              <w:rPr>
                <w:rFonts w:ascii="Calibri" w:hAnsi="Calibri"/>
                <w:color w:val="000000"/>
              </w:rPr>
              <w:t xml:space="preserve">Quality Schools policy as legislated under the Australian Education Act 2013. Schools are funded by a per student amount based on the Schooling Resource Standard (SRS) and additional amounts for six loadings that reflect the student profile and location and size of the school. </w:t>
            </w:r>
          </w:p>
          <w:p w:rsidR="00B96F75" w:rsidRPr="00B96F75" w:rsidRDefault="00B96F75" w:rsidP="0029340A">
            <w:pPr>
              <w:rPr>
                <w:rFonts w:ascii="Calibri" w:hAnsi="Calibri"/>
                <w:color w:val="000000"/>
              </w:rPr>
            </w:pPr>
            <w:r w:rsidRPr="00B96F75">
              <w:rPr>
                <w:rFonts w:ascii="Calibri" w:hAnsi="Calibri"/>
                <w:color w:val="000000"/>
              </w:rPr>
              <w:t>Schools expenditure over the medium term is calculated based on achieving target levels of the funding as share of the SRS to 2027. The target for non-government schools (Catholic and Independent) is 80 per cent. The target for government schools is 20 per cent.  Schools funded below the target will transition by 2023 those above the target will transition by 2027.</w:t>
            </w:r>
          </w:p>
          <w:p w:rsidR="0053015E" w:rsidRDefault="00B96F75" w:rsidP="0029340A">
            <w:pPr>
              <w:rPr>
                <w:rFonts w:ascii="Calibri" w:hAnsi="Calibri"/>
                <w:color w:val="000000"/>
              </w:rPr>
            </w:pPr>
            <w:r w:rsidRPr="00B96F75">
              <w:rPr>
                <w:rFonts w:ascii="Calibri" w:hAnsi="Calibri"/>
                <w:color w:val="000000"/>
              </w:rPr>
              <w:t xml:space="preserve">Government schools funding increases from </w:t>
            </w:r>
            <w:r w:rsidR="009D04E4">
              <w:rPr>
                <w:rFonts w:ascii="Calibri" w:hAnsi="Calibri"/>
                <w:color w:val="000000"/>
              </w:rPr>
              <w:br/>
            </w:r>
            <w:r w:rsidRPr="00B96F75">
              <w:rPr>
                <w:rFonts w:ascii="Calibri" w:hAnsi="Calibri"/>
                <w:color w:val="000000"/>
              </w:rPr>
              <w:t>17.8 per cent of the SRS in 2018 19 to 20 per cent by 2023</w:t>
            </w:r>
            <w:r w:rsidR="004012E7">
              <w:rPr>
                <w:rFonts w:ascii="Calibri" w:hAnsi="Calibri"/>
                <w:color w:val="000000"/>
              </w:rPr>
              <w:t>-</w:t>
            </w:r>
            <w:r w:rsidRPr="00B96F75">
              <w:rPr>
                <w:rFonts w:ascii="Calibri" w:hAnsi="Calibri"/>
                <w:color w:val="000000"/>
              </w:rPr>
              <w:t>24 and 77.3 per cent in 2018</w:t>
            </w:r>
            <w:r w:rsidR="004012E7">
              <w:rPr>
                <w:rFonts w:ascii="Calibri" w:hAnsi="Calibri"/>
                <w:color w:val="000000"/>
              </w:rPr>
              <w:t>-</w:t>
            </w:r>
            <w:r w:rsidRPr="00B96F75">
              <w:rPr>
                <w:rFonts w:ascii="Calibri" w:hAnsi="Calibri"/>
                <w:color w:val="000000"/>
              </w:rPr>
              <w:t>1</w:t>
            </w:r>
            <w:r w:rsidR="009A62F1">
              <w:rPr>
                <w:rFonts w:ascii="Calibri" w:hAnsi="Calibri"/>
                <w:color w:val="000000"/>
              </w:rPr>
              <w:t xml:space="preserve">9 to </w:t>
            </w:r>
            <w:r w:rsidR="009D04E4">
              <w:rPr>
                <w:rFonts w:ascii="Calibri" w:hAnsi="Calibri"/>
                <w:color w:val="000000"/>
              </w:rPr>
              <w:br/>
            </w:r>
            <w:r w:rsidR="009A62F1">
              <w:rPr>
                <w:rFonts w:ascii="Calibri" w:hAnsi="Calibri"/>
                <w:color w:val="000000"/>
              </w:rPr>
              <w:t>80 per cent by 2027</w:t>
            </w:r>
            <w:r w:rsidR="004012E7">
              <w:rPr>
                <w:rFonts w:ascii="Calibri" w:hAnsi="Calibri"/>
                <w:color w:val="000000"/>
              </w:rPr>
              <w:t>-</w:t>
            </w:r>
            <w:r w:rsidRPr="00B96F75">
              <w:rPr>
                <w:rFonts w:ascii="Calibri" w:hAnsi="Calibri"/>
                <w:color w:val="000000"/>
              </w:rPr>
              <w:t>28 for non-government schools.</w:t>
            </w:r>
          </w:p>
        </w:tc>
      </w:tr>
      <w:tr w:rsidR="0053015E" w:rsidTr="00E31F39">
        <w:trPr>
          <w:cnfStyle w:val="000000010000" w:firstRow="0" w:lastRow="0" w:firstColumn="0" w:lastColumn="0" w:oddVBand="0" w:evenVBand="0" w:oddHBand="0" w:evenHBand="1" w:firstRowFirstColumn="0" w:firstRowLastColumn="0" w:lastRowFirstColumn="0" w:lastRowLastColumn="0"/>
          <w:cantSplit/>
          <w:trHeight w:val="3428"/>
        </w:trPr>
        <w:tc>
          <w:tcPr>
            <w:tcW w:w="1083" w:type="pct"/>
          </w:tcPr>
          <w:p w:rsidR="0053015E" w:rsidRPr="00E237F6" w:rsidRDefault="0053015E" w:rsidP="0029340A">
            <w:pPr>
              <w:pStyle w:val="TableSubheading"/>
            </w:pPr>
            <w:r>
              <w:t>Payments to individuals</w:t>
            </w:r>
          </w:p>
        </w:tc>
        <w:tc>
          <w:tcPr>
            <w:tcW w:w="1619" w:type="pct"/>
          </w:tcPr>
          <w:p w:rsidR="0053015E" w:rsidRPr="00E237F6" w:rsidRDefault="0053015E" w:rsidP="0029340A">
            <w:pPr>
              <w:rPr>
                <w:rFonts w:ascii="Calibri" w:hAnsi="Calibri"/>
                <w:color w:val="000000"/>
              </w:rPr>
            </w:pPr>
            <w:r>
              <w:rPr>
                <w:rFonts w:ascii="Calibri" w:hAnsi="Calibri"/>
                <w:color w:val="000000"/>
              </w:rPr>
              <w:t>Social security payments including the Family Tax Benefit; Disability Support Pension; Carer income support (primarily Carer Payment and Carer Allowance); Parenting Payments (Single and Partnered); and Job Seeker Income Support (</w:t>
            </w:r>
            <w:proofErr w:type="spellStart"/>
            <w:r>
              <w:rPr>
                <w:rFonts w:ascii="Calibri" w:hAnsi="Calibri"/>
                <w:color w:val="000000"/>
              </w:rPr>
              <w:t>Newstart</w:t>
            </w:r>
            <w:proofErr w:type="spellEnd"/>
            <w:r>
              <w:rPr>
                <w:rFonts w:ascii="Calibri" w:hAnsi="Calibri"/>
                <w:color w:val="000000"/>
              </w:rPr>
              <w:t>, Youth Allowance (Other), Sickness Allowance, becoming Jobseeker Payment).</w:t>
            </w:r>
          </w:p>
        </w:tc>
        <w:tc>
          <w:tcPr>
            <w:tcW w:w="2298" w:type="pct"/>
          </w:tcPr>
          <w:p w:rsidR="0053015E" w:rsidRDefault="0053015E" w:rsidP="0029340A">
            <w:pPr>
              <w:pStyle w:val="TableText"/>
            </w:pPr>
            <w:r>
              <w:t>Projected expenditure on these payments is calculated as projected recipients multiplied by the average payment rate.</w:t>
            </w:r>
          </w:p>
          <w:p w:rsidR="0053015E" w:rsidRDefault="0053015E" w:rsidP="0029340A">
            <w:pPr>
              <w:pStyle w:val="TableText"/>
            </w:pPr>
            <w:r w:rsidRPr="00C258D3">
              <w:t>Recipient numbers are proje</w:t>
            </w:r>
            <w:r>
              <w:t>cted by grouping them into age and</w:t>
            </w:r>
            <w:r w:rsidRPr="00C258D3">
              <w:t xml:space="preserve"> gender cohorts and calculating the historical per capita growth in take-up of the payment. This </w:t>
            </w:r>
            <w:r>
              <w:br/>
            </w:r>
            <w:r w:rsidRPr="00C258D3">
              <w:t xml:space="preserve">per-capita take-up growth is </w:t>
            </w:r>
            <w:r>
              <w:t xml:space="preserve">applied to medium-term </w:t>
            </w:r>
            <w:r w:rsidRPr="00C258D3">
              <w:t xml:space="preserve">population projections. </w:t>
            </w:r>
            <w:r>
              <w:t>Job seeker income support also adjusts for projected changes in unemployment.</w:t>
            </w:r>
            <w:r w:rsidR="00074485">
              <w:t xml:space="preserve"> </w:t>
            </w:r>
            <w:r w:rsidR="00074485" w:rsidRPr="00074485">
              <w:t>Some working age payments are also adjusted to include greater numbers of over 65 year old recipients as the Age Pension eligibility age is progressively increased.</w:t>
            </w:r>
          </w:p>
          <w:p w:rsidR="0053015E" w:rsidRPr="00415B2B" w:rsidRDefault="0053015E" w:rsidP="0029340A">
            <w:pPr>
              <w:pStyle w:val="TableText"/>
            </w:pPr>
            <w:r>
              <w:t>The average rate of payment is grown by the legislated indexation factor for that program (which is either CPI or wages).</w:t>
            </w:r>
          </w:p>
        </w:tc>
      </w:tr>
      <w:tr w:rsidR="0053015E" w:rsidTr="00E31F39">
        <w:trPr>
          <w:cantSplit/>
          <w:trHeight w:val="1783"/>
        </w:trPr>
        <w:tc>
          <w:tcPr>
            <w:tcW w:w="1083" w:type="pct"/>
          </w:tcPr>
          <w:p w:rsidR="0053015E" w:rsidRDefault="0053015E" w:rsidP="0029340A">
            <w:pPr>
              <w:pStyle w:val="TableSubheading"/>
            </w:pPr>
            <w:r>
              <w:t>Medicare Benefits Schedule</w:t>
            </w:r>
          </w:p>
        </w:tc>
        <w:tc>
          <w:tcPr>
            <w:tcW w:w="1619" w:type="pct"/>
          </w:tcPr>
          <w:p w:rsidR="0053015E" w:rsidRDefault="0053015E" w:rsidP="0029340A">
            <w:pPr>
              <w:rPr>
                <w:rFonts w:ascii="Calibri" w:hAnsi="Calibri"/>
                <w:color w:val="000000"/>
              </w:rPr>
            </w:pPr>
            <w:r>
              <w:rPr>
                <w:rFonts w:ascii="Calibri" w:hAnsi="Calibri"/>
                <w:color w:val="000000"/>
              </w:rPr>
              <w:t>Includes non-DVA related expenditure under the Medicare Benefits Schedule.</w:t>
            </w:r>
          </w:p>
        </w:tc>
        <w:tc>
          <w:tcPr>
            <w:tcW w:w="2298" w:type="pct"/>
          </w:tcPr>
          <w:p w:rsidR="0053015E" w:rsidRDefault="0053015E" w:rsidP="0029340A">
            <w:pPr>
              <w:rPr>
                <w:rFonts w:ascii="Calibri" w:hAnsi="Calibri"/>
                <w:color w:val="000000"/>
              </w:rPr>
            </w:pPr>
            <w:r>
              <w:rPr>
                <w:rFonts w:ascii="Calibri" w:hAnsi="Calibri"/>
                <w:color w:val="000000"/>
              </w:rPr>
              <w:t>D</w:t>
            </w:r>
            <w:r w:rsidRPr="004D468E">
              <w:rPr>
                <w:rFonts w:ascii="Calibri" w:hAnsi="Calibri"/>
                <w:color w:val="000000"/>
              </w:rPr>
              <w:t xml:space="preserve">etailed </w:t>
            </w:r>
            <w:r>
              <w:rPr>
                <w:rFonts w:ascii="Calibri" w:hAnsi="Calibri"/>
                <w:color w:val="000000"/>
              </w:rPr>
              <w:t>historical</w:t>
            </w:r>
            <w:r w:rsidRPr="004D468E">
              <w:rPr>
                <w:rFonts w:ascii="Calibri" w:hAnsi="Calibri"/>
                <w:color w:val="000000"/>
              </w:rPr>
              <w:t xml:space="preserve"> data </w:t>
            </w:r>
            <w:r>
              <w:rPr>
                <w:rFonts w:ascii="Calibri" w:hAnsi="Calibri"/>
                <w:color w:val="000000"/>
              </w:rPr>
              <w:t xml:space="preserve">is used </w:t>
            </w:r>
            <w:r w:rsidRPr="004D468E">
              <w:rPr>
                <w:rFonts w:ascii="Calibri" w:hAnsi="Calibri"/>
                <w:color w:val="000000"/>
              </w:rPr>
              <w:t>to model expenditure by age, gender and service type (e.g. GP s</w:t>
            </w:r>
            <w:r>
              <w:rPr>
                <w:rFonts w:ascii="Calibri" w:hAnsi="Calibri"/>
                <w:color w:val="000000"/>
              </w:rPr>
              <w:t>ervices, allied health etc.</w:t>
            </w:r>
            <w:r w:rsidRPr="004D468E">
              <w:rPr>
                <w:rFonts w:ascii="Calibri" w:hAnsi="Calibri"/>
                <w:color w:val="000000"/>
              </w:rPr>
              <w:t>)</w:t>
            </w:r>
            <w:r>
              <w:rPr>
                <w:rFonts w:ascii="Calibri" w:hAnsi="Calibri"/>
                <w:color w:val="000000"/>
              </w:rPr>
              <w:t>. The MBS projection</w:t>
            </w:r>
            <w:r w:rsidRPr="004D468E">
              <w:rPr>
                <w:rFonts w:ascii="Calibri" w:hAnsi="Calibri"/>
                <w:color w:val="000000"/>
              </w:rPr>
              <w:t xml:space="preserve"> methodology is described in </w:t>
            </w:r>
            <w:r>
              <w:rPr>
                <w:rFonts w:ascii="Calibri" w:hAnsi="Calibri"/>
                <w:color w:val="000000"/>
              </w:rPr>
              <w:t xml:space="preserve">detail in </w:t>
            </w:r>
            <w:r w:rsidRPr="004D468E">
              <w:rPr>
                <w:rFonts w:ascii="Calibri" w:hAnsi="Calibri"/>
                <w:color w:val="000000"/>
              </w:rPr>
              <w:t xml:space="preserve">Appendix C - Technical Notes and Sources of the </w:t>
            </w:r>
            <w:r w:rsidRPr="002D497D">
              <w:rPr>
                <w:rFonts w:ascii="Calibri" w:hAnsi="Calibri"/>
                <w:color w:val="000000"/>
              </w:rPr>
              <w:t xml:space="preserve">PBO </w:t>
            </w:r>
            <w:r w:rsidR="002D497D" w:rsidRPr="002D497D">
              <w:rPr>
                <w:rFonts w:ascii="Calibri" w:hAnsi="Calibri"/>
                <w:color w:val="000000"/>
              </w:rPr>
              <w:t>R</w:t>
            </w:r>
            <w:r w:rsidRPr="002D497D">
              <w:rPr>
                <w:rFonts w:ascii="Calibri" w:hAnsi="Calibri"/>
                <w:color w:val="000000"/>
              </w:rPr>
              <w:t xml:space="preserve">eport </w:t>
            </w:r>
            <w:r w:rsidR="002D497D" w:rsidRPr="002D497D">
              <w:rPr>
                <w:rFonts w:ascii="Calibri" w:hAnsi="Calibri"/>
                <w:color w:val="000000"/>
              </w:rPr>
              <w:t xml:space="preserve">no. </w:t>
            </w:r>
            <w:r w:rsidRPr="00626663">
              <w:rPr>
                <w:rFonts w:ascii="Calibri" w:hAnsi="Calibri"/>
                <w:color w:val="000000"/>
              </w:rPr>
              <w:t>04/2015</w:t>
            </w:r>
            <w:r w:rsidRPr="004D468E">
              <w:rPr>
                <w:rFonts w:ascii="Calibri" w:hAnsi="Calibri"/>
                <w:i/>
                <w:color w:val="000000"/>
              </w:rPr>
              <w:t xml:space="preserve"> Medicare Benefits Schedule</w:t>
            </w:r>
            <w:r w:rsidRPr="004D468E">
              <w:rPr>
                <w:rFonts w:ascii="Calibri" w:hAnsi="Calibri"/>
                <w:color w:val="000000"/>
              </w:rPr>
              <w:t>.</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Pr="00E237F6" w:rsidRDefault="0053015E" w:rsidP="0029340A">
            <w:pPr>
              <w:pStyle w:val="TableSubheading"/>
            </w:pPr>
            <w:r>
              <w:t>Public hospitals</w:t>
            </w:r>
          </w:p>
        </w:tc>
        <w:tc>
          <w:tcPr>
            <w:tcW w:w="1619" w:type="pct"/>
          </w:tcPr>
          <w:p w:rsidR="0053015E" w:rsidRPr="00E237F6" w:rsidRDefault="0053015E" w:rsidP="0029340A">
            <w:pPr>
              <w:rPr>
                <w:rFonts w:ascii="Calibri" w:hAnsi="Calibri"/>
                <w:color w:val="000000"/>
              </w:rPr>
            </w:pPr>
            <w:r>
              <w:rPr>
                <w:rFonts w:ascii="Calibri" w:hAnsi="Calibri"/>
                <w:color w:val="000000"/>
              </w:rPr>
              <w:t>Commonwealth funding of public hospitals</w:t>
            </w:r>
          </w:p>
        </w:tc>
        <w:tc>
          <w:tcPr>
            <w:tcW w:w="2298" w:type="pct"/>
          </w:tcPr>
          <w:p w:rsidR="00074485" w:rsidRPr="00074485" w:rsidRDefault="00074485" w:rsidP="0029340A">
            <w:pPr>
              <w:rPr>
                <w:rFonts w:ascii="Calibri" w:hAnsi="Calibri"/>
                <w:color w:val="000000"/>
              </w:rPr>
            </w:pPr>
            <w:r w:rsidRPr="00074485">
              <w:rPr>
                <w:rFonts w:ascii="Calibri" w:hAnsi="Calibri"/>
                <w:color w:val="000000"/>
              </w:rPr>
              <w:t>Projected Commonwealth funding for public hospitals over the medium term is set with reference to the annual determination of the National Efficient Price (NEP).</w:t>
            </w:r>
          </w:p>
          <w:p w:rsidR="00074485" w:rsidRPr="00074485" w:rsidRDefault="00074485" w:rsidP="0029340A">
            <w:pPr>
              <w:rPr>
                <w:rFonts w:ascii="Calibri" w:hAnsi="Calibri"/>
                <w:color w:val="000000"/>
              </w:rPr>
            </w:pPr>
            <w:r w:rsidRPr="00074485">
              <w:rPr>
                <w:rFonts w:ascii="Calibri" w:hAnsi="Calibri"/>
                <w:color w:val="000000"/>
              </w:rPr>
              <w:t>This funding profile is based on the current National Health Reform Agreement that expires in 2020, and the proposed agreement to extend the funding arrangement to 2025. The PBO has made an indicative assumption that the funding arrangement will continue over the projection period.</w:t>
            </w:r>
          </w:p>
          <w:p w:rsidR="00074485" w:rsidRPr="00074485" w:rsidRDefault="00074485" w:rsidP="0029340A">
            <w:pPr>
              <w:rPr>
                <w:rFonts w:ascii="Calibri" w:hAnsi="Calibri"/>
                <w:color w:val="000000"/>
              </w:rPr>
            </w:pPr>
            <w:r w:rsidRPr="00074485">
              <w:rPr>
                <w:rFonts w:ascii="Calibri" w:hAnsi="Calibri"/>
                <w:color w:val="000000"/>
              </w:rPr>
              <w:t>The projection of price growth in providing hospital services is based on the indexation rate in the latest NEP determination.</w:t>
            </w:r>
          </w:p>
          <w:p w:rsidR="0053015E" w:rsidRPr="00415B2B" w:rsidRDefault="00074485" w:rsidP="0029340A">
            <w:pPr>
              <w:rPr>
                <w:rFonts w:ascii="Calibri" w:hAnsi="Calibri"/>
                <w:color w:val="000000"/>
              </w:rPr>
            </w:pPr>
            <w:r w:rsidRPr="00074485">
              <w:rPr>
                <w:rFonts w:ascii="Calibri" w:hAnsi="Calibri"/>
                <w:color w:val="000000"/>
              </w:rPr>
              <w:t>Growth in the number of patient services is projected based on the trend of historical number of services provided annually.</w:t>
            </w:r>
          </w:p>
        </w:tc>
      </w:tr>
      <w:tr w:rsidR="0053015E" w:rsidTr="00E31F39">
        <w:trPr>
          <w:cantSplit/>
          <w:trHeight w:val="544"/>
        </w:trPr>
        <w:tc>
          <w:tcPr>
            <w:tcW w:w="1083" w:type="pct"/>
          </w:tcPr>
          <w:p w:rsidR="0053015E" w:rsidRDefault="0053015E" w:rsidP="0029340A">
            <w:pPr>
              <w:pStyle w:val="TableSubheading"/>
            </w:pPr>
            <w:r>
              <w:t>GST transfers to states</w:t>
            </w:r>
          </w:p>
        </w:tc>
        <w:tc>
          <w:tcPr>
            <w:tcW w:w="1619" w:type="pct"/>
          </w:tcPr>
          <w:p w:rsidR="0053015E" w:rsidRDefault="0053015E" w:rsidP="0029340A">
            <w:pPr>
              <w:rPr>
                <w:rFonts w:ascii="Calibri" w:hAnsi="Calibri"/>
                <w:color w:val="000000"/>
              </w:rPr>
            </w:pPr>
            <w:r>
              <w:rPr>
                <w:rFonts w:ascii="Calibri" w:hAnsi="Calibri"/>
                <w:color w:val="000000"/>
              </w:rPr>
              <w:t xml:space="preserve">GST receipts less non-general interest charge penalties collected. </w:t>
            </w:r>
          </w:p>
        </w:tc>
        <w:tc>
          <w:tcPr>
            <w:tcW w:w="2298" w:type="pct"/>
          </w:tcPr>
          <w:p w:rsidR="0053015E" w:rsidRDefault="0053015E" w:rsidP="0029340A">
            <w:pPr>
              <w:rPr>
                <w:rFonts w:ascii="Calibri" w:hAnsi="Calibri"/>
                <w:color w:val="000000"/>
              </w:rPr>
            </w:pPr>
            <w:r>
              <w:rPr>
                <w:rFonts w:ascii="Calibri" w:hAnsi="Calibri"/>
                <w:color w:val="000000"/>
              </w:rPr>
              <w:t>See Receipts projection methodology, GST receipts.</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Default="0053015E" w:rsidP="0029340A">
            <w:pPr>
              <w:pStyle w:val="TableSubheading"/>
            </w:pPr>
            <w:r>
              <w:t>Fuel Tax Credit Scheme</w:t>
            </w:r>
          </w:p>
        </w:tc>
        <w:tc>
          <w:tcPr>
            <w:tcW w:w="1619" w:type="pct"/>
          </w:tcPr>
          <w:p w:rsidR="0053015E" w:rsidRDefault="0053015E" w:rsidP="0029340A">
            <w:pPr>
              <w:rPr>
                <w:rFonts w:ascii="Calibri" w:hAnsi="Calibri"/>
                <w:color w:val="000000"/>
                <w:szCs w:val="20"/>
              </w:rPr>
            </w:pPr>
            <w:r>
              <w:rPr>
                <w:rFonts w:ascii="Calibri" w:hAnsi="Calibri"/>
                <w:color w:val="000000"/>
              </w:rPr>
              <w:t>Credits for the excise or customs duty on fuel a business uses in machinery, plant, equipment, heavy vehicles and light vehicles travelling off pubic roads or on private roads.</w:t>
            </w:r>
          </w:p>
        </w:tc>
        <w:tc>
          <w:tcPr>
            <w:tcW w:w="2298" w:type="pct"/>
          </w:tcPr>
          <w:p w:rsidR="0053015E" w:rsidRDefault="0053015E" w:rsidP="0029340A">
            <w:pPr>
              <w:rPr>
                <w:rFonts w:ascii="Calibri" w:hAnsi="Calibri"/>
                <w:color w:val="000000"/>
                <w:szCs w:val="20"/>
              </w:rPr>
            </w:pPr>
            <w:r>
              <w:rPr>
                <w:rFonts w:ascii="Calibri" w:hAnsi="Calibri"/>
                <w:color w:val="000000"/>
              </w:rPr>
              <w:t>Fuel Tax Credit Scheme expenditure is calculated by applying credit scheme rates on projected fuel excise and customs duty revenue collections (see Receipts projection methodology, Customs and excise).  Credit scheme rates are projected by indexing them in line with the CPI.</w:t>
            </w:r>
          </w:p>
        </w:tc>
      </w:tr>
      <w:tr w:rsidR="0053015E" w:rsidTr="00E31F39">
        <w:trPr>
          <w:cantSplit/>
        </w:trPr>
        <w:tc>
          <w:tcPr>
            <w:tcW w:w="1083" w:type="pct"/>
          </w:tcPr>
          <w:p w:rsidR="0053015E" w:rsidRDefault="0053015E" w:rsidP="0029340A">
            <w:pPr>
              <w:pStyle w:val="TableSubheading"/>
            </w:pPr>
            <w:r>
              <w:t>Government superannuation</w:t>
            </w:r>
          </w:p>
        </w:tc>
        <w:tc>
          <w:tcPr>
            <w:tcW w:w="1619" w:type="pct"/>
          </w:tcPr>
          <w:p w:rsidR="0053015E" w:rsidRDefault="0053015E" w:rsidP="0029340A">
            <w:pPr>
              <w:rPr>
                <w:rFonts w:ascii="Calibri" w:hAnsi="Calibri"/>
                <w:color w:val="000000"/>
              </w:rPr>
            </w:pPr>
            <w:r>
              <w:rPr>
                <w:rFonts w:ascii="Calibri" w:hAnsi="Calibri"/>
                <w:color w:val="000000"/>
              </w:rPr>
              <w:t xml:space="preserve">Cash payments associated with the unfunded civilian and military schemes. </w:t>
            </w:r>
          </w:p>
        </w:tc>
        <w:tc>
          <w:tcPr>
            <w:tcW w:w="2298" w:type="pct"/>
          </w:tcPr>
          <w:p w:rsidR="0053015E" w:rsidRDefault="0053015E" w:rsidP="0029340A">
            <w:pPr>
              <w:rPr>
                <w:rFonts w:ascii="Calibri" w:hAnsi="Calibri"/>
                <w:color w:val="000000"/>
              </w:rPr>
            </w:pPr>
            <w:r>
              <w:rPr>
                <w:rFonts w:ascii="Calibri" w:hAnsi="Calibri"/>
                <w:color w:val="000000"/>
              </w:rPr>
              <w:t xml:space="preserve">Projections are based on the </w:t>
            </w:r>
            <w:r w:rsidRPr="00147D11">
              <w:rPr>
                <w:rFonts w:ascii="Calibri" w:hAnsi="Calibri"/>
                <w:i/>
                <w:color w:val="000000"/>
              </w:rPr>
              <w:t>Long Term Cost Report</w:t>
            </w:r>
            <w:r>
              <w:rPr>
                <w:rFonts w:ascii="Calibri" w:hAnsi="Calibri"/>
                <w:i/>
                <w:color w:val="000000"/>
              </w:rPr>
              <w:t>s</w:t>
            </w:r>
            <w:r>
              <w:rPr>
                <w:rFonts w:ascii="Calibri" w:hAnsi="Calibri"/>
                <w:color w:val="000000"/>
              </w:rPr>
              <w:t xml:space="preserve"> </w:t>
            </w:r>
            <w:r>
              <w:t>updated for developments in subsequent budgets.</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Default="0053015E" w:rsidP="0029340A">
            <w:pPr>
              <w:pStyle w:val="TableSubheading"/>
            </w:pPr>
            <w:r>
              <w:t>Age Pension</w:t>
            </w:r>
          </w:p>
        </w:tc>
        <w:tc>
          <w:tcPr>
            <w:tcW w:w="1619" w:type="pct"/>
          </w:tcPr>
          <w:p w:rsidR="0053015E" w:rsidRDefault="0053015E" w:rsidP="0029340A">
            <w:pPr>
              <w:rPr>
                <w:rFonts w:ascii="Calibri" w:hAnsi="Calibri"/>
                <w:color w:val="000000"/>
              </w:rPr>
            </w:pPr>
            <w:r>
              <w:rPr>
                <w:rFonts w:ascii="Calibri" w:hAnsi="Calibri"/>
                <w:color w:val="000000"/>
              </w:rPr>
              <w:t xml:space="preserve">Includes the Age Pension under the Income Support for Seniors program. </w:t>
            </w:r>
          </w:p>
        </w:tc>
        <w:tc>
          <w:tcPr>
            <w:tcW w:w="2298" w:type="pct"/>
          </w:tcPr>
          <w:p w:rsidR="0053015E" w:rsidRDefault="0053015E" w:rsidP="0029340A">
            <w:pPr>
              <w:pStyle w:val="TableText"/>
            </w:pPr>
            <w:r>
              <w:t>Projected expenditure for the Age Pension is calculated as projected recipients multiplied by the average payment rate.</w:t>
            </w:r>
          </w:p>
          <w:p w:rsidR="0053015E" w:rsidRDefault="0053015E" w:rsidP="0029340A">
            <w:pPr>
              <w:pStyle w:val="TableText"/>
            </w:pPr>
            <w:r>
              <w:t xml:space="preserve">Historical Age Pension recipient data is used and grown at the same rate as the growth in the Australian population of Age Pension age. The impact of the increase </w:t>
            </w:r>
            <w:r w:rsidR="00A06B0D">
              <w:t>in</w:t>
            </w:r>
            <w:r>
              <w:t xml:space="preserve"> the Age Pension eligibility age</w:t>
            </w:r>
            <w:r w:rsidR="00A06B0D">
              <w:t xml:space="preserve"> to 70</w:t>
            </w:r>
            <w:r>
              <w:t xml:space="preserve"> is included over the medium term. </w:t>
            </w:r>
          </w:p>
          <w:p w:rsidR="0053015E" w:rsidRDefault="0053015E" w:rsidP="0029340A">
            <w:pPr>
              <w:pStyle w:val="TableText"/>
            </w:pPr>
            <w:r>
              <w:t xml:space="preserve">The projected average rate of payment is based on projections of MTAWE, CPI and Pensioner and Beneficiary Cost of Living Index and the proportions of full-rate and part-rate Age Pension recipients.  It is assumed that the proportion of part-rate Age Pension recipients gradually increases over the medium term in line with increasing superannuation balances. </w:t>
            </w:r>
          </w:p>
        </w:tc>
      </w:tr>
      <w:tr w:rsidR="0053015E" w:rsidTr="00E31F39">
        <w:trPr>
          <w:cantSplit/>
        </w:trPr>
        <w:tc>
          <w:tcPr>
            <w:tcW w:w="1083" w:type="pct"/>
          </w:tcPr>
          <w:p w:rsidR="0053015E" w:rsidRDefault="0053015E" w:rsidP="0029340A">
            <w:pPr>
              <w:pStyle w:val="TableSubheading"/>
            </w:pPr>
            <w:r>
              <w:t>Private Health Insurance (PHI) rebate</w:t>
            </w:r>
          </w:p>
        </w:tc>
        <w:tc>
          <w:tcPr>
            <w:tcW w:w="1619" w:type="pct"/>
          </w:tcPr>
          <w:p w:rsidR="0053015E" w:rsidRDefault="0053015E" w:rsidP="0029340A">
            <w:pPr>
              <w:rPr>
                <w:rFonts w:ascii="Calibri" w:hAnsi="Calibri"/>
                <w:color w:val="000000"/>
              </w:rPr>
            </w:pPr>
            <w:r>
              <w:rPr>
                <w:rFonts w:ascii="Calibri" w:hAnsi="Calibri"/>
                <w:color w:val="000000"/>
              </w:rPr>
              <w:t>Department of Health and Australian Taxation Office payments related to the PHI rebate.</w:t>
            </w:r>
          </w:p>
        </w:tc>
        <w:tc>
          <w:tcPr>
            <w:tcW w:w="2298" w:type="pct"/>
          </w:tcPr>
          <w:p w:rsidR="0053015E" w:rsidRDefault="0053015E" w:rsidP="0029340A">
            <w:pPr>
              <w:rPr>
                <w:rFonts w:ascii="Calibri" w:hAnsi="Calibri"/>
                <w:color w:val="000000"/>
              </w:rPr>
            </w:pPr>
            <w:r>
              <w:rPr>
                <w:rFonts w:ascii="Calibri" w:hAnsi="Calibri"/>
                <w:color w:val="000000"/>
              </w:rPr>
              <w:t xml:space="preserve">Detailed historical PHI data is used to project the proportion of persons covered by health insurance. These coverage ratios are then applied to future population estimates. The coverage ratios remain </w:t>
            </w:r>
            <w:r w:rsidRPr="00EE7AE1">
              <w:rPr>
                <w:rFonts w:ascii="Calibri" w:hAnsi="Calibri"/>
                <w:color w:val="000000"/>
              </w:rPr>
              <w:t>fixed over the medium term</w:t>
            </w:r>
            <w:r>
              <w:rPr>
                <w:rFonts w:ascii="Calibri" w:hAnsi="Calibri"/>
                <w:color w:val="000000"/>
              </w:rPr>
              <w:t xml:space="preserve">, reflecting the recent flattening </w:t>
            </w:r>
            <w:r w:rsidRPr="00EE7AE1">
              <w:rPr>
                <w:rFonts w:ascii="Calibri" w:hAnsi="Calibri"/>
                <w:color w:val="000000"/>
              </w:rPr>
              <w:t>in PHI coverage</w:t>
            </w:r>
            <w:r w:rsidRPr="00C258D3">
              <w:rPr>
                <w:rFonts w:ascii="Calibri" w:hAnsi="Calibri"/>
                <w:color w:val="000000"/>
              </w:rPr>
              <w:t>.</w:t>
            </w:r>
          </w:p>
        </w:tc>
      </w:tr>
      <w:tr w:rsidR="0053015E" w:rsidTr="00E31F39">
        <w:trPr>
          <w:cnfStyle w:val="000000010000" w:firstRow="0" w:lastRow="0" w:firstColumn="0" w:lastColumn="0" w:oddVBand="0" w:evenVBand="0" w:oddHBand="0" w:evenHBand="1" w:firstRowFirstColumn="0" w:firstRowLastColumn="0" w:lastRowFirstColumn="0" w:lastRowLastColumn="0"/>
          <w:cantSplit/>
          <w:trHeight w:val="1510"/>
        </w:trPr>
        <w:tc>
          <w:tcPr>
            <w:tcW w:w="1083" w:type="pct"/>
          </w:tcPr>
          <w:p w:rsidR="0053015E" w:rsidRDefault="0053015E" w:rsidP="0029340A">
            <w:pPr>
              <w:pStyle w:val="TableSubheading"/>
            </w:pPr>
            <w:r>
              <w:t>Official Development Assistance</w:t>
            </w:r>
          </w:p>
        </w:tc>
        <w:tc>
          <w:tcPr>
            <w:tcW w:w="1619" w:type="pct"/>
          </w:tcPr>
          <w:p w:rsidR="0053015E" w:rsidRDefault="0053015E" w:rsidP="0029340A">
            <w:pPr>
              <w:rPr>
                <w:rFonts w:ascii="Calibri" w:hAnsi="Calibri"/>
                <w:color w:val="000000"/>
              </w:rPr>
            </w:pPr>
            <w:r>
              <w:rPr>
                <w:rFonts w:ascii="Calibri" w:hAnsi="Calibri"/>
                <w:color w:val="000000"/>
              </w:rPr>
              <w:t>Comprises expenditure on foreign aid administered by the Department of Foreign Affairs and a small component for associated spending in other departments.</w:t>
            </w:r>
          </w:p>
        </w:tc>
        <w:tc>
          <w:tcPr>
            <w:tcW w:w="2298" w:type="pct"/>
          </w:tcPr>
          <w:p w:rsidR="0053015E" w:rsidRDefault="00867E43" w:rsidP="0029340A">
            <w:pPr>
              <w:rPr>
                <w:rFonts w:ascii="Calibri" w:hAnsi="Calibri"/>
                <w:color w:val="000000"/>
              </w:rPr>
            </w:pPr>
            <w:r>
              <w:rPr>
                <w:rFonts w:ascii="Calibri" w:hAnsi="Calibri"/>
                <w:color w:val="000000"/>
                <w:lang w:eastAsia="en-AU"/>
              </w:rPr>
              <w:t>After a two-year indexation freeze introduced in the 2017</w:t>
            </w:r>
            <w:r w:rsidR="004012E7">
              <w:rPr>
                <w:lang w:eastAsia="en-AU"/>
              </w:rPr>
              <w:t>-</w:t>
            </w:r>
            <w:r>
              <w:rPr>
                <w:rFonts w:ascii="Calibri" w:hAnsi="Calibri"/>
                <w:color w:val="000000"/>
                <w:lang w:eastAsia="en-AU"/>
              </w:rPr>
              <w:t>18 Budget, Official Development Assistance has been capped at $4.0 billion from 2018</w:t>
            </w:r>
            <w:r w:rsidR="004012E7">
              <w:rPr>
                <w:rFonts w:ascii="Calibri" w:hAnsi="Calibri"/>
                <w:color w:val="000000"/>
                <w:lang w:eastAsia="en-AU"/>
              </w:rPr>
              <w:t>-</w:t>
            </w:r>
            <w:r>
              <w:rPr>
                <w:rFonts w:ascii="Calibri" w:hAnsi="Calibri"/>
                <w:color w:val="000000"/>
                <w:lang w:eastAsia="en-AU"/>
              </w:rPr>
              <w:t>19 to 2021</w:t>
            </w:r>
            <w:r w:rsidR="004012E7">
              <w:rPr>
                <w:rFonts w:ascii="Calibri" w:hAnsi="Calibri"/>
                <w:color w:val="000000"/>
                <w:lang w:eastAsia="en-AU"/>
              </w:rPr>
              <w:t>-</w:t>
            </w:r>
            <w:r>
              <w:rPr>
                <w:rFonts w:ascii="Calibri" w:hAnsi="Calibri"/>
                <w:color w:val="000000"/>
                <w:lang w:eastAsia="en-AU"/>
              </w:rPr>
              <w:t xml:space="preserve">22. </w:t>
            </w:r>
            <w:r w:rsidR="00EB5D54">
              <w:rPr>
                <w:rFonts w:ascii="Calibri" w:hAnsi="Calibri"/>
                <w:color w:val="000000"/>
                <w:lang w:eastAsia="en-AU"/>
              </w:rPr>
              <w:t xml:space="preserve"> </w:t>
            </w:r>
            <w:r>
              <w:rPr>
                <w:rFonts w:ascii="Calibri" w:hAnsi="Calibri"/>
                <w:color w:val="000000"/>
                <w:lang w:eastAsia="en-AU"/>
              </w:rPr>
              <w:t>Expenditure over the medium term is projected by indexing the payment to growth in the CPI.</w:t>
            </w:r>
          </w:p>
        </w:tc>
      </w:tr>
      <w:tr w:rsidR="0053015E" w:rsidTr="00E31F39">
        <w:trPr>
          <w:cantSplit/>
        </w:trPr>
        <w:tc>
          <w:tcPr>
            <w:tcW w:w="1083" w:type="pct"/>
          </w:tcPr>
          <w:p w:rsidR="0053015E" w:rsidRDefault="0053015E" w:rsidP="0029340A">
            <w:pPr>
              <w:pStyle w:val="TableSubheading"/>
            </w:pPr>
            <w:r>
              <w:t>Commonwealth Grants Scheme</w:t>
            </w:r>
          </w:p>
        </w:tc>
        <w:tc>
          <w:tcPr>
            <w:tcW w:w="1619" w:type="pct"/>
          </w:tcPr>
          <w:p w:rsidR="0053015E" w:rsidRDefault="0053015E" w:rsidP="0029340A">
            <w:pPr>
              <w:rPr>
                <w:rFonts w:ascii="Calibri" w:hAnsi="Calibri"/>
                <w:color w:val="000000"/>
              </w:rPr>
            </w:pPr>
            <w:r>
              <w:rPr>
                <w:rFonts w:ascii="Calibri" w:hAnsi="Calibri"/>
                <w:color w:val="000000"/>
                <w:szCs w:val="20"/>
              </w:rPr>
              <w:t xml:space="preserve">Grant funding to higher education providers for each student enrolled in a Commonwealth Supported Place (CSP) at the institution. </w:t>
            </w:r>
          </w:p>
        </w:tc>
        <w:tc>
          <w:tcPr>
            <w:tcW w:w="2298" w:type="pct"/>
          </w:tcPr>
          <w:p w:rsidR="0053015E" w:rsidRDefault="0053015E" w:rsidP="0029340A">
            <w:pPr>
              <w:rPr>
                <w:rFonts w:ascii="Calibri" w:hAnsi="Calibri"/>
                <w:color w:val="000000"/>
              </w:rPr>
            </w:pPr>
            <w:r>
              <w:rPr>
                <w:rFonts w:ascii="Calibri" w:hAnsi="Calibri"/>
                <w:color w:val="000000"/>
                <w:szCs w:val="20"/>
              </w:rPr>
              <w:t xml:space="preserve">Commonwealth Grants Scheme (CGS) expenditure is calculated based on recent trends in CSP student enrolment projections across eight clusters with varying per student amounts for areas of study reflecting associated course costs. </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Default="0053015E" w:rsidP="0029340A">
            <w:pPr>
              <w:pStyle w:val="TableSubheading"/>
            </w:pPr>
            <w:r>
              <w:t xml:space="preserve">Pharmaceutical benefits </w:t>
            </w:r>
          </w:p>
        </w:tc>
        <w:tc>
          <w:tcPr>
            <w:tcW w:w="1619" w:type="pct"/>
          </w:tcPr>
          <w:p w:rsidR="0053015E" w:rsidRDefault="0053015E" w:rsidP="0029340A">
            <w:pPr>
              <w:rPr>
                <w:rFonts w:ascii="Calibri" w:hAnsi="Calibri"/>
                <w:color w:val="000000"/>
              </w:rPr>
            </w:pPr>
            <w:r w:rsidRPr="009A0E74">
              <w:rPr>
                <w:rFonts w:ascii="Calibri" w:hAnsi="Calibri"/>
                <w:color w:val="000000"/>
              </w:rPr>
              <w:t>Co</w:t>
            </w:r>
            <w:r>
              <w:rPr>
                <w:rFonts w:ascii="Calibri" w:hAnsi="Calibri"/>
                <w:color w:val="000000"/>
              </w:rPr>
              <w:t>mprises</w:t>
            </w:r>
            <w:r w:rsidRPr="009A0E74">
              <w:rPr>
                <w:rFonts w:ascii="Calibri" w:hAnsi="Calibri"/>
                <w:color w:val="000000"/>
              </w:rPr>
              <w:t xml:space="preserve"> the special appropriation of the </w:t>
            </w:r>
            <w:r>
              <w:rPr>
                <w:rFonts w:ascii="Calibri" w:hAnsi="Calibri"/>
                <w:color w:val="000000"/>
              </w:rPr>
              <w:t>Pharmaceutical Benefits Scheme</w:t>
            </w:r>
            <w:r w:rsidRPr="009A0E74">
              <w:rPr>
                <w:rFonts w:ascii="Calibri" w:hAnsi="Calibri"/>
                <w:color w:val="000000"/>
              </w:rPr>
              <w:t>.</w:t>
            </w:r>
          </w:p>
        </w:tc>
        <w:tc>
          <w:tcPr>
            <w:tcW w:w="2298" w:type="pct"/>
          </w:tcPr>
          <w:p w:rsidR="0053015E" w:rsidRDefault="00471320" w:rsidP="0029340A">
            <w:pPr>
              <w:keepLines/>
              <w:pageBreakBefore/>
              <w:rPr>
                <w:rFonts w:ascii="Calibri" w:hAnsi="Calibri"/>
                <w:color w:val="000000"/>
              </w:rPr>
            </w:pPr>
            <w:r>
              <w:rPr>
                <w:rFonts w:ascii="Calibri" w:hAnsi="Calibri"/>
                <w:color w:val="000000"/>
              </w:rPr>
              <w:t>Pharmaceutical benefit</w:t>
            </w:r>
            <w:r w:rsidR="0053015E">
              <w:rPr>
                <w:rFonts w:ascii="Calibri" w:hAnsi="Calibri"/>
                <w:color w:val="000000"/>
              </w:rPr>
              <w:t xml:space="preserve"> projections are calculated by taking h</w:t>
            </w:r>
            <w:r w:rsidR="0053015E" w:rsidRPr="009A0E74">
              <w:rPr>
                <w:rFonts w:ascii="Calibri" w:hAnsi="Calibri"/>
                <w:color w:val="000000"/>
              </w:rPr>
              <w:t xml:space="preserve">istorical expenditure data </w:t>
            </w:r>
            <w:r w:rsidR="0053015E">
              <w:rPr>
                <w:rFonts w:ascii="Calibri" w:hAnsi="Calibri"/>
                <w:color w:val="000000"/>
              </w:rPr>
              <w:t>grouped by age and</w:t>
            </w:r>
            <w:r w:rsidR="0053015E" w:rsidRPr="00C258D3">
              <w:rPr>
                <w:rFonts w:ascii="Calibri" w:hAnsi="Calibri"/>
                <w:color w:val="000000"/>
              </w:rPr>
              <w:t xml:space="preserve"> gender cohorts and calculating the historical per capita growth in </w:t>
            </w:r>
            <w:r w:rsidR="0053015E">
              <w:rPr>
                <w:rFonts w:ascii="Calibri" w:hAnsi="Calibri"/>
                <w:color w:val="000000"/>
              </w:rPr>
              <w:t>expenditure</w:t>
            </w:r>
            <w:r w:rsidR="0053015E" w:rsidRPr="00C258D3">
              <w:rPr>
                <w:rFonts w:ascii="Calibri" w:hAnsi="Calibri"/>
                <w:color w:val="000000"/>
              </w:rPr>
              <w:t xml:space="preserve">. </w:t>
            </w:r>
            <w:r w:rsidR="00EB5D54">
              <w:rPr>
                <w:rFonts w:ascii="Calibri" w:hAnsi="Calibri"/>
                <w:color w:val="000000"/>
              </w:rPr>
              <w:t xml:space="preserve"> </w:t>
            </w:r>
            <w:r w:rsidR="0053015E" w:rsidRPr="009A0E74">
              <w:rPr>
                <w:rFonts w:ascii="Calibri" w:hAnsi="Calibri"/>
                <w:color w:val="000000"/>
              </w:rPr>
              <w:t xml:space="preserve">This is then used to derive a trend </w:t>
            </w:r>
            <w:r w:rsidR="0053015E">
              <w:rPr>
                <w:rFonts w:ascii="Calibri" w:hAnsi="Calibri"/>
                <w:color w:val="000000"/>
              </w:rPr>
              <w:t xml:space="preserve">growth </w:t>
            </w:r>
            <w:r w:rsidR="0053015E" w:rsidRPr="009A0E74">
              <w:rPr>
                <w:rFonts w:ascii="Calibri" w:hAnsi="Calibri"/>
                <w:color w:val="000000"/>
              </w:rPr>
              <w:t xml:space="preserve">for </w:t>
            </w:r>
            <w:r>
              <w:rPr>
                <w:rFonts w:ascii="Calibri" w:hAnsi="Calibri"/>
                <w:color w:val="000000"/>
              </w:rPr>
              <w:t xml:space="preserve">pharmaceutical benefits </w:t>
            </w:r>
            <w:r w:rsidR="0053015E" w:rsidRPr="009A0E74">
              <w:rPr>
                <w:rFonts w:ascii="Calibri" w:hAnsi="Calibri"/>
                <w:color w:val="000000"/>
              </w:rPr>
              <w:t>spending per capita</w:t>
            </w:r>
            <w:r w:rsidR="0053015E">
              <w:rPr>
                <w:rFonts w:ascii="Calibri" w:hAnsi="Calibri"/>
                <w:color w:val="000000"/>
              </w:rPr>
              <w:t xml:space="preserve"> over the medium term.</w:t>
            </w:r>
          </w:p>
        </w:tc>
      </w:tr>
      <w:tr w:rsidR="0053015E" w:rsidTr="00E31F39">
        <w:trPr>
          <w:cantSplit/>
        </w:trPr>
        <w:tc>
          <w:tcPr>
            <w:tcW w:w="1083" w:type="pct"/>
          </w:tcPr>
          <w:p w:rsidR="0053015E" w:rsidRDefault="0053015E" w:rsidP="0029340A">
            <w:pPr>
              <w:pStyle w:val="TableSubheading"/>
            </w:pPr>
            <w:r>
              <w:t>Veterans Support</w:t>
            </w:r>
          </w:p>
        </w:tc>
        <w:tc>
          <w:tcPr>
            <w:tcW w:w="1619" w:type="pct"/>
          </w:tcPr>
          <w:p w:rsidR="0053015E" w:rsidRDefault="0053015E" w:rsidP="0029340A">
            <w:pPr>
              <w:rPr>
                <w:rFonts w:ascii="Calibri" w:hAnsi="Calibri"/>
                <w:color w:val="000000"/>
              </w:rPr>
            </w:pPr>
            <w:r>
              <w:rPr>
                <w:rFonts w:ascii="Calibri" w:hAnsi="Calibri"/>
                <w:color w:val="000000"/>
              </w:rPr>
              <w:t>Comprises expenditure on income support and health programs for veterans.</w:t>
            </w:r>
          </w:p>
        </w:tc>
        <w:tc>
          <w:tcPr>
            <w:tcW w:w="2298" w:type="pct"/>
          </w:tcPr>
          <w:p w:rsidR="0053015E" w:rsidRDefault="0053015E" w:rsidP="0029340A">
            <w:pPr>
              <w:pStyle w:val="TableText"/>
            </w:pPr>
            <w:r>
              <w:t>Projections of expenditure on veterans support are based on projected growth in recipient numbers and the average payment for the service provided.</w:t>
            </w:r>
          </w:p>
          <w:p w:rsidR="0053015E" w:rsidRDefault="0053015E" w:rsidP="0029340A">
            <w:pPr>
              <w:pStyle w:val="TableText"/>
            </w:pPr>
            <w:r>
              <w:t xml:space="preserve">Recipient projections are based on 10-year Pensioner Beneficiary Statistics prepared by the Department of Veterans Affairs. </w:t>
            </w:r>
          </w:p>
          <w:p w:rsidR="0053015E" w:rsidRDefault="0053015E" w:rsidP="0029340A">
            <w:pPr>
              <w:pStyle w:val="TableText"/>
            </w:pPr>
            <w:r>
              <w:t>The average rate of payment is grown by the relevant indexation factor for that program.</w:t>
            </w:r>
          </w:p>
        </w:tc>
      </w:tr>
      <w:tr w:rsidR="0053015E" w:rsidTr="00E31F39">
        <w:trPr>
          <w:cnfStyle w:val="000000010000" w:firstRow="0" w:lastRow="0" w:firstColumn="0" w:lastColumn="0" w:oddVBand="0" w:evenVBand="0" w:oddHBand="0" w:evenHBand="1" w:firstRowFirstColumn="0" w:firstRowLastColumn="0" w:lastRowFirstColumn="0" w:lastRowLastColumn="0"/>
          <w:cantSplit/>
        </w:trPr>
        <w:tc>
          <w:tcPr>
            <w:tcW w:w="1083" w:type="pct"/>
          </w:tcPr>
          <w:p w:rsidR="0053015E" w:rsidRDefault="0053015E" w:rsidP="0029340A">
            <w:pPr>
              <w:pStyle w:val="TableSubheading"/>
            </w:pPr>
            <w:r>
              <w:t>Road and rail Infrastructure</w:t>
            </w:r>
          </w:p>
        </w:tc>
        <w:tc>
          <w:tcPr>
            <w:tcW w:w="1619" w:type="pct"/>
          </w:tcPr>
          <w:p w:rsidR="0053015E" w:rsidRDefault="0053015E" w:rsidP="0029340A">
            <w:pPr>
              <w:rPr>
                <w:rFonts w:ascii="Calibri" w:hAnsi="Calibri"/>
                <w:color w:val="000000"/>
              </w:rPr>
            </w:pPr>
            <w:r>
              <w:rPr>
                <w:rFonts w:ascii="Calibri" w:hAnsi="Calibri"/>
                <w:color w:val="000000"/>
              </w:rPr>
              <w:t xml:space="preserve">Comprises expenses for road and rail projects. </w:t>
            </w:r>
          </w:p>
        </w:tc>
        <w:tc>
          <w:tcPr>
            <w:tcW w:w="2298" w:type="pct"/>
          </w:tcPr>
          <w:p w:rsidR="008B6913" w:rsidRDefault="008B6913" w:rsidP="0029340A">
            <w:pPr>
              <w:rPr>
                <w:rFonts w:ascii="Calibri" w:hAnsi="Calibri"/>
                <w:color w:val="000000"/>
              </w:rPr>
            </w:pPr>
            <w:r w:rsidRPr="00EB5D54">
              <w:rPr>
                <w:rFonts w:ascii="Calibri" w:hAnsi="Calibri"/>
                <w:color w:val="000000"/>
              </w:rPr>
              <w:t>Expenditure f</w:t>
            </w:r>
            <w:r w:rsidR="00EE0647" w:rsidRPr="00EB5D54">
              <w:rPr>
                <w:rFonts w:ascii="Calibri" w:hAnsi="Calibri"/>
                <w:color w:val="000000"/>
              </w:rPr>
              <w:t>rom 2017</w:t>
            </w:r>
            <w:r w:rsidR="004012E7" w:rsidRPr="00EB5D54">
              <w:rPr>
                <w:rFonts w:ascii="Calibri" w:hAnsi="Calibri"/>
                <w:color w:val="000000"/>
              </w:rPr>
              <w:t>-</w:t>
            </w:r>
            <w:r w:rsidR="00EE0647" w:rsidRPr="00EB5D54">
              <w:rPr>
                <w:rFonts w:ascii="Calibri" w:hAnsi="Calibri"/>
                <w:color w:val="000000"/>
              </w:rPr>
              <w:t>18</w:t>
            </w:r>
            <w:r w:rsidR="00867E43" w:rsidRPr="00EB5D54">
              <w:rPr>
                <w:rFonts w:ascii="Calibri" w:hAnsi="Calibri"/>
                <w:color w:val="000000"/>
              </w:rPr>
              <w:t xml:space="preserve"> to 2024</w:t>
            </w:r>
            <w:r w:rsidR="004012E7" w:rsidRPr="00EB5D54">
              <w:rPr>
                <w:rFonts w:ascii="Calibri" w:hAnsi="Calibri"/>
                <w:color w:val="000000"/>
              </w:rPr>
              <w:t>-</w:t>
            </w:r>
            <w:r w:rsidR="00867E43" w:rsidRPr="00EB5D54">
              <w:rPr>
                <w:rFonts w:ascii="Calibri" w:hAnsi="Calibri"/>
                <w:color w:val="000000"/>
              </w:rPr>
              <w:t xml:space="preserve">25 </w:t>
            </w:r>
            <w:r w:rsidRPr="00EB5D54">
              <w:rPr>
                <w:rFonts w:ascii="Calibri" w:hAnsi="Calibri"/>
                <w:color w:val="000000"/>
              </w:rPr>
              <w:t xml:space="preserve">reflects the </w:t>
            </w:r>
            <w:r w:rsidRPr="00EB5D54">
              <w:rPr>
                <w:lang w:eastAsia="en-AU"/>
              </w:rPr>
              <w:t>PBO’s projected profile of spending on currently agreed road and rail infrastructure projects included in the 2018-19 Budget.</w:t>
            </w:r>
            <w:r>
              <w:rPr>
                <w:lang w:eastAsia="en-AU"/>
              </w:rPr>
              <w:t xml:space="preserve">  </w:t>
            </w:r>
            <w:r>
              <w:rPr>
                <w:rFonts w:ascii="Calibri" w:hAnsi="Calibri"/>
                <w:color w:val="000000"/>
              </w:rPr>
              <w:t>From</w:t>
            </w:r>
            <w:r w:rsidR="00867E43" w:rsidRPr="00867E43">
              <w:rPr>
                <w:rFonts w:ascii="Calibri" w:hAnsi="Calibri"/>
                <w:color w:val="000000"/>
              </w:rPr>
              <w:t xml:space="preserve"> 2025</w:t>
            </w:r>
            <w:r w:rsidR="004012E7">
              <w:rPr>
                <w:rFonts w:ascii="Calibri" w:hAnsi="Calibri"/>
                <w:color w:val="000000"/>
              </w:rPr>
              <w:t>-</w:t>
            </w:r>
            <w:r w:rsidR="00867E43" w:rsidRPr="00867E43">
              <w:rPr>
                <w:rFonts w:ascii="Calibri" w:hAnsi="Calibri"/>
                <w:color w:val="000000"/>
              </w:rPr>
              <w:t>26 to 2028</w:t>
            </w:r>
            <w:r w:rsidR="004012E7">
              <w:rPr>
                <w:rFonts w:ascii="Calibri" w:hAnsi="Calibri"/>
                <w:color w:val="000000"/>
              </w:rPr>
              <w:t>-</w:t>
            </w:r>
            <w:r w:rsidR="00867E43" w:rsidRPr="00867E43">
              <w:rPr>
                <w:rFonts w:ascii="Calibri" w:hAnsi="Calibri"/>
                <w:color w:val="000000"/>
              </w:rPr>
              <w:t>29 road and rail expenditure is projected to grow in line with the growth rate of nominal GDP.</w:t>
            </w:r>
            <w:r>
              <w:rPr>
                <w:rFonts w:ascii="Calibri" w:hAnsi="Calibri"/>
                <w:color w:val="000000"/>
              </w:rPr>
              <w:t xml:space="preserve"> </w:t>
            </w:r>
          </w:p>
        </w:tc>
      </w:tr>
      <w:tr w:rsidR="0053015E" w:rsidTr="00E31F39">
        <w:trPr>
          <w:cantSplit/>
        </w:trPr>
        <w:tc>
          <w:tcPr>
            <w:tcW w:w="1083" w:type="pct"/>
          </w:tcPr>
          <w:p w:rsidR="0053015E" w:rsidRDefault="0053015E" w:rsidP="0029340A">
            <w:pPr>
              <w:pStyle w:val="TableSubheading"/>
            </w:pPr>
            <w:r>
              <w:t>Public debt interest</w:t>
            </w:r>
          </w:p>
        </w:tc>
        <w:tc>
          <w:tcPr>
            <w:tcW w:w="1619" w:type="pct"/>
          </w:tcPr>
          <w:p w:rsidR="0053015E" w:rsidRDefault="0053015E" w:rsidP="0029340A">
            <w:pPr>
              <w:rPr>
                <w:rFonts w:ascii="Calibri" w:hAnsi="Calibri"/>
                <w:color w:val="000000"/>
              </w:rPr>
            </w:pPr>
            <w:r>
              <w:rPr>
                <w:rFonts w:ascii="Calibri" w:hAnsi="Calibri"/>
                <w:color w:val="000000"/>
              </w:rPr>
              <w:t>Interest paid on Commonwealth Government Securities on issue.</w:t>
            </w:r>
          </w:p>
        </w:tc>
        <w:tc>
          <w:tcPr>
            <w:tcW w:w="2298" w:type="pct"/>
          </w:tcPr>
          <w:p w:rsidR="0053015E" w:rsidRDefault="0053015E" w:rsidP="0029340A">
            <w:pPr>
              <w:rPr>
                <w:rFonts w:ascii="Calibri" w:hAnsi="Calibri"/>
                <w:color w:val="000000"/>
              </w:rPr>
            </w:pPr>
            <w:r w:rsidRPr="007258E2">
              <w:rPr>
                <w:rFonts w:ascii="Calibri" w:hAnsi="Calibri"/>
                <w:color w:val="000000"/>
              </w:rPr>
              <w:t>Public debt interest payments are projected based on the financing task implied by PBO projections of receipts and all other payments, and adopt the same assumptions regarding interest rates on Commonwealth Government Securities as the 201</w:t>
            </w:r>
            <w:r>
              <w:rPr>
                <w:rFonts w:ascii="Calibri" w:hAnsi="Calibri"/>
                <w:color w:val="000000"/>
              </w:rPr>
              <w:t>8</w:t>
            </w:r>
            <w:r w:rsidR="004012E7">
              <w:rPr>
                <w:rFonts w:ascii="Calibri" w:hAnsi="Calibri"/>
                <w:color w:val="000000"/>
              </w:rPr>
              <w:t>-</w:t>
            </w:r>
            <w:r w:rsidRPr="007258E2">
              <w:rPr>
                <w:rFonts w:ascii="Calibri" w:hAnsi="Calibri"/>
                <w:color w:val="000000"/>
              </w:rPr>
              <w:t>1</w:t>
            </w:r>
            <w:r>
              <w:rPr>
                <w:rFonts w:ascii="Calibri" w:hAnsi="Calibri"/>
                <w:color w:val="000000"/>
              </w:rPr>
              <w:t>9</w:t>
            </w:r>
            <w:r w:rsidRPr="007258E2">
              <w:rPr>
                <w:rFonts w:ascii="Calibri" w:hAnsi="Calibri"/>
                <w:color w:val="000000"/>
              </w:rPr>
              <w:t xml:space="preserve"> Budget. </w:t>
            </w:r>
            <w:r>
              <w:rPr>
                <w:rFonts w:ascii="Calibri" w:hAnsi="Calibri"/>
                <w:color w:val="000000"/>
              </w:rPr>
              <w:t xml:space="preserve"> </w:t>
            </w:r>
          </w:p>
        </w:tc>
      </w:tr>
      <w:tr w:rsidR="0053015E" w:rsidTr="00E31F39">
        <w:trPr>
          <w:cnfStyle w:val="000000010000" w:firstRow="0" w:lastRow="0" w:firstColumn="0" w:lastColumn="0" w:oddVBand="0" w:evenVBand="0" w:oddHBand="0" w:evenHBand="1" w:firstRowFirstColumn="0" w:firstRowLastColumn="0" w:lastRowFirstColumn="0" w:lastRowLastColumn="0"/>
          <w:cantSplit/>
          <w:trHeight w:val="845"/>
        </w:trPr>
        <w:tc>
          <w:tcPr>
            <w:tcW w:w="1083" w:type="pct"/>
          </w:tcPr>
          <w:p w:rsidR="0053015E" w:rsidRDefault="0053015E" w:rsidP="0029340A">
            <w:pPr>
              <w:pStyle w:val="TableSubheading"/>
            </w:pPr>
            <w:r>
              <w:t>Other payments</w:t>
            </w:r>
          </w:p>
        </w:tc>
        <w:tc>
          <w:tcPr>
            <w:tcW w:w="1619" w:type="pct"/>
          </w:tcPr>
          <w:p w:rsidR="0053015E" w:rsidRDefault="0053015E" w:rsidP="0029340A">
            <w:pPr>
              <w:rPr>
                <w:rFonts w:ascii="Calibri" w:hAnsi="Calibri"/>
                <w:color w:val="000000"/>
              </w:rPr>
            </w:pPr>
            <w:r>
              <w:rPr>
                <w:rFonts w:ascii="Calibri" w:hAnsi="Calibri"/>
                <w:color w:val="000000"/>
              </w:rPr>
              <w:t>Other payments include payments that are not modelled by the PBO.</w:t>
            </w:r>
            <w:r w:rsidR="00035B32">
              <w:rPr>
                <w:rFonts w:ascii="Calibri" w:hAnsi="Calibri"/>
                <w:color w:val="000000"/>
              </w:rPr>
              <w:t xml:space="preserve">  This covers</w:t>
            </w:r>
            <w:r w:rsidR="00DB261D">
              <w:rPr>
                <w:rFonts w:ascii="Calibri" w:hAnsi="Calibri"/>
                <w:color w:val="000000"/>
              </w:rPr>
              <w:t xml:space="preserve"> government administration,</w:t>
            </w:r>
            <w:r w:rsidR="00035B32">
              <w:rPr>
                <w:rFonts w:ascii="Calibri" w:hAnsi="Calibri"/>
                <w:color w:val="000000"/>
              </w:rPr>
              <w:t xml:space="preserve"> a range of small grant and subsidy programs, smaller specific purpose payments to the states (i.e. other than health, education and infrastructure) and the conservative bias allowance</w:t>
            </w:r>
            <w:r w:rsidR="00DB261D">
              <w:rPr>
                <w:rFonts w:ascii="Calibri" w:hAnsi="Calibri"/>
                <w:color w:val="000000"/>
              </w:rPr>
              <w:t>.</w:t>
            </w:r>
          </w:p>
        </w:tc>
        <w:tc>
          <w:tcPr>
            <w:tcW w:w="2298" w:type="pct"/>
          </w:tcPr>
          <w:p w:rsidR="0053015E" w:rsidRDefault="0053015E" w:rsidP="0029340A">
            <w:pPr>
              <w:rPr>
                <w:rFonts w:ascii="Calibri" w:hAnsi="Calibri"/>
                <w:color w:val="000000"/>
              </w:rPr>
            </w:pPr>
            <w:r>
              <w:rPr>
                <w:rFonts w:ascii="Calibri" w:hAnsi="Calibri"/>
                <w:color w:val="000000"/>
              </w:rPr>
              <w:t xml:space="preserve">Payments not modelled by the PBO are grown by the growth rate of nominal GDP over the medium term. </w:t>
            </w:r>
          </w:p>
        </w:tc>
      </w:tr>
    </w:tbl>
    <w:p w:rsidR="0053015E" w:rsidRPr="0053015E" w:rsidRDefault="0053015E" w:rsidP="0029340A">
      <w:pPr>
        <w:pStyle w:val="BodyText"/>
      </w:pPr>
    </w:p>
    <w:p w:rsidR="0053015E" w:rsidRDefault="0053015E" w:rsidP="0029340A">
      <w:pPr>
        <w:pStyle w:val="BodyText"/>
      </w:pPr>
    </w:p>
    <w:p w:rsidR="00A71C44" w:rsidRDefault="00A71C44" w:rsidP="0029340A">
      <w:pPr>
        <w:pStyle w:val="BodyText"/>
        <w:sectPr w:rsidR="00A71C44" w:rsidSect="007676C0">
          <w:headerReference w:type="even" r:id="rId50"/>
          <w:headerReference w:type="default" r:id="rId51"/>
          <w:footerReference w:type="even" r:id="rId52"/>
          <w:footerReference w:type="default" r:id="rId53"/>
          <w:headerReference w:type="first" r:id="rId54"/>
          <w:footerReference w:type="first" r:id="rId55"/>
          <w:pgSz w:w="11907" w:h="16839" w:code="9"/>
          <w:pgMar w:top="1191" w:right="1417" w:bottom="1020" w:left="1417" w:header="567" w:footer="709" w:gutter="0"/>
          <w:cols w:space="708"/>
          <w:docGrid w:linePitch="360"/>
        </w:sectPr>
      </w:pPr>
    </w:p>
    <w:p w:rsidR="00AB79E1" w:rsidRPr="00AB79E1" w:rsidRDefault="007979E1" w:rsidP="007979E1">
      <w:pPr>
        <w:pStyle w:val="Heading1NoNumbering"/>
      </w:pPr>
      <w:bookmarkStart w:id="62" w:name="_Toc523757322"/>
      <w:bookmarkStart w:id="63" w:name="_Toc523758537"/>
      <w:r>
        <w:t xml:space="preserve">Appendix C – </w:t>
      </w:r>
      <w:r w:rsidR="00AB79E1" w:rsidRPr="00AB79E1">
        <w:t>Influence of policy decisions on payments</w:t>
      </w:r>
      <w:bookmarkEnd w:id="62"/>
      <w:bookmarkEnd w:id="63"/>
    </w:p>
    <w:p w:rsidR="002A5E0A" w:rsidRDefault="002A5E0A" w:rsidP="002A5E0A">
      <w:pPr>
        <w:spacing w:before="120"/>
        <w:rPr>
          <w:rFonts w:ascii="Calibri" w:eastAsia="Calibri" w:hAnsi="Calibri" w:cs="Times New Roman"/>
        </w:rPr>
      </w:pPr>
      <w:r w:rsidRPr="004B63DF">
        <w:rPr>
          <w:rFonts w:ascii="Calibri" w:eastAsia="Calibri" w:hAnsi="Calibri" w:cs="Times New Roman"/>
        </w:rPr>
        <w:t xml:space="preserve">As noted in the body of the report, policy decisions have been a key factor in driving the relatively strong growth in spending prior to (and during) the GFC, and the lower rates of growth more recently.  </w:t>
      </w:r>
      <w:r>
        <w:rPr>
          <w:rFonts w:ascii="Calibri" w:eastAsia="Calibri" w:hAnsi="Calibri" w:cs="Times New Roman"/>
        </w:rPr>
        <w:t xml:space="preserve">This Appendix looks at four major spending programs, which make up around 20 per cent of total government spending, to highlight the importance of policy in influencing spending growth. </w:t>
      </w:r>
    </w:p>
    <w:p w:rsidR="002A5E0A" w:rsidRPr="007979E1" w:rsidRDefault="002A5E0A" w:rsidP="00014976">
      <w:pPr>
        <w:pStyle w:val="Heading2NoNumbering"/>
      </w:pPr>
      <w:bookmarkStart w:id="64" w:name="_Toc523757323"/>
      <w:r w:rsidRPr="007979E1">
        <w:t>Age Pension</w:t>
      </w:r>
      <w:bookmarkEnd w:id="64"/>
      <w:r w:rsidR="00EE705C" w:rsidRPr="007979E1">
        <w:tab/>
      </w:r>
    </w:p>
    <w:p w:rsidR="002A5E0A" w:rsidRDefault="002A5E0A" w:rsidP="002A5E0A">
      <w:pPr>
        <w:pStyle w:val="ListBullet"/>
        <w:numPr>
          <w:ilvl w:val="0"/>
          <w:numId w:val="0"/>
        </w:numPr>
      </w:pPr>
      <w:r>
        <w:t xml:space="preserve">The Age Pension program is the second largest government payment, accounting for 10 per cent of projected </w:t>
      </w:r>
      <w:r w:rsidR="00CD23E6">
        <w:t>spending</w:t>
      </w:r>
      <w:r>
        <w:t xml:space="preserve"> ($45 billion) in 2017</w:t>
      </w:r>
      <w:r w:rsidR="004012E7">
        <w:t>-</w:t>
      </w:r>
      <w:r>
        <w:t>18.  Demographics are a key driver of underlying growth in Age Pension spending, but policy changes have also contributed to strong growth in the</w:t>
      </w:r>
      <w:r w:rsidR="00A53FA9">
        <w:t xml:space="preserve"> payment up to 2013</w:t>
      </w:r>
      <w:r w:rsidR="004012E7">
        <w:t>-</w:t>
      </w:r>
      <w:r w:rsidR="00A53FA9">
        <w:t>14 (</w:t>
      </w:r>
      <w:r w:rsidR="00A53FA9">
        <w:fldChar w:fldCharType="begin"/>
      </w:r>
      <w:r w:rsidR="00A53FA9">
        <w:instrText xml:space="preserve"> REF _Ref522529437 \h </w:instrText>
      </w:r>
      <w:r w:rsidR="00A53FA9">
        <w:fldChar w:fldCharType="separate"/>
      </w:r>
      <w:r w:rsidR="002828FF" w:rsidRPr="00A53FA9">
        <w:t>Figure</w:t>
      </w:r>
      <w:r w:rsidR="002828FF">
        <w:t xml:space="preserve"> C</w:t>
      </w:r>
      <w:r w:rsidR="002828FF" w:rsidRPr="00A53FA9">
        <w:t>–</w:t>
      </w:r>
      <w:r w:rsidR="00A53FA9">
        <w:fldChar w:fldCharType="end"/>
      </w:r>
      <w:r w:rsidR="00EF402D">
        <w:t>1</w:t>
      </w:r>
      <w:r>
        <w:t>).</w:t>
      </w:r>
    </w:p>
    <w:p w:rsidR="002A5E0A" w:rsidRDefault="002A5E0A" w:rsidP="002A5E0A">
      <w:pPr>
        <w:pStyle w:val="ListBullet"/>
        <w:numPr>
          <w:ilvl w:val="0"/>
          <w:numId w:val="0"/>
        </w:numPr>
      </w:pPr>
      <w:r>
        <w:t xml:space="preserve">In particular, the pension assets test was relaxed </w:t>
      </w:r>
      <w:r w:rsidRPr="00B7367F">
        <w:t xml:space="preserve">in 2007 as part of </w:t>
      </w:r>
      <w:r>
        <w:t xml:space="preserve">the </w:t>
      </w:r>
      <w:r w:rsidRPr="00B7367F">
        <w:rPr>
          <w:i/>
        </w:rPr>
        <w:t>Simpler Superannuation</w:t>
      </w:r>
      <w:r w:rsidRPr="00B7367F">
        <w:t xml:space="preserve"> </w:t>
      </w:r>
      <w:r>
        <w:t>reforms, in which the assets test withdrawal rate was halved from $3 per $1,000 above the relevant thresholds to $1.50 per $1,000.  The 2009</w:t>
      </w:r>
      <w:r w:rsidR="004012E7">
        <w:t>-</w:t>
      </w:r>
      <w:r>
        <w:t xml:space="preserve">10 </w:t>
      </w:r>
      <w:proofErr w:type="gramStart"/>
      <w:r>
        <w:t>Budget</w:t>
      </w:r>
      <w:proofErr w:type="gramEnd"/>
      <w:r>
        <w:t xml:space="preserve"> included a more generous payment rate, changes to the income test and future increases in the eligibility age (reaching 67 years by </w:t>
      </w:r>
      <w:r w:rsidR="009D04E4">
        <w:br/>
      </w:r>
      <w:r>
        <w:t>1 J</w:t>
      </w:r>
      <w:r w:rsidR="00EE26A7">
        <w:t>uly</w:t>
      </w:r>
      <w:r>
        <w:t xml:space="preserve"> 202</w:t>
      </w:r>
      <w:r w:rsidR="00EE26A7">
        <w:t>3</w:t>
      </w:r>
      <w:r>
        <w:t xml:space="preserve">).  </w:t>
      </w:r>
    </w:p>
    <w:p w:rsidR="002A5E0A" w:rsidRDefault="002A5E0A" w:rsidP="00626663">
      <w:pPr>
        <w:pStyle w:val="Caption"/>
      </w:pPr>
    </w:p>
    <w:p w:rsidR="00A53FA9" w:rsidRPr="00A53FA9" w:rsidRDefault="00A53FA9" w:rsidP="00BA4307">
      <w:pPr>
        <w:pStyle w:val="Caption"/>
      </w:pPr>
      <w:bookmarkStart w:id="65" w:name="_Ref522529437"/>
      <w:r w:rsidRPr="00A53FA9">
        <w:t>Figure</w:t>
      </w:r>
      <w:r>
        <w:t xml:space="preserve"> </w:t>
      </w:r>
      <w:r w:rsidR="001C468F">
        <w:t>C</w:t>
      </w:r>
      <w:r w:rsidRPr="00A53FA9">
        <w:t>–</w:t>
      </w:r>
      <w:bookmarkEnd w:id="65"/>
      <w:r w:rsidR="00EF402D">
        <w:t>1</w:t>
      </w:r>
      <w:r w:rsidRPr="00A53FA9">
        <w:t>: Real growth in Age Pension spending</w:t>
      </w:r>
    </w:p>
    <w:p w:rsidR="002A5E0A" w:rsidRDefault="002A5E0A" w:rsidP="00D2621E">
      <w:pPr>
        <w:pStyle w:val="ListBullet"/>
        <w:numPr>
          <w:ilvl w:val="0"/>
          <w:numId w:val="0"/>
        </w:numPr>
      </w:pPr>
      <w:r>
        <w:rPr>
          <w:noProof/>
          <w:lang w:eastAsia="en-AU"/>
        </w:rPr>
        <w:drawing>
          <wp:inline distT="0" distB="0" distL="0" distR="0" wp14:anchorId="454F65C1" wp14:editId="11FF698B">
            <wp:extent cx="5907405" cy="2737485"/>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7405" cy="2737485"/>
                    </a:xfrm>
                    <a:prstGeom prst="rect">
                      <a:avLst/>
                    </a:prstGeom>
                    <a:noFill/>
                  </pic:spPr>
                </pic:pic>
              </a:graphicData>
            </a:graphic>
          </wp:inline>
        </w:drawing>
      </w:r>
    </w:p>
    <w:p w:rsidR="002A5E0A" w:rsidRPr="002A5E0A" w:rsidRDefault="002A5E0A" w:rsidP="002A5E0A">
      <w:pPr>
        <w:pStyle w:val="Source"/>
        <w:spacing w:after="120"/>
        <w:rPr>
          <w:noProof/>
          <w:lang w:eastAsia="en-AU"/>
        </w:rPr>
      </w:pPr>
      <w:r w:rsidRPr="002A5E0A">
        <w:rPr>
          <w:noProof/>
          <w:lang w:eastAsia="en-AU"/>
        </w:rPr>
        <w:t>Note:  Data prior to 2017</w:t>
      </w:r>
      <w:r w:rsidR="004012E7">
        <w:rPr>
          <w:noProof/>
          <w:lang w:eastAsia="en-AU"/>
        </w:rPr>
        <w:t>-</w:t>
      </w:r>
      <w:r w:rsidRPr="002A5E0A">
        <w:rPr>
          <w:noProof/>
          <w:lang w:eastAsia="en-AU"/>
        </w:rPr>
        <w:t>18 is on an accrual basis, whereas data from 2017</w:t>
      </w:r>
      <w:r w:rsidR="004012E7">
        <w:rPr>
          <w:noProof/>
          <w:lang w:eastAsia="en-AU"/>
        </w:rPr>
        <w:t>-</w:t>
      </w:r>
      <w:r w:rsidRPr="002A5E0A">
        <w:rPr>
          <w:noProof/>
          <w:lang w:eastAsia="en-AU"/>
        </w:rPr>
        <w:t>18 onwards is on a cash basis. This has a slight effect on the growth between 2016</w:t>
      </w:r>
      <w:r w:rsidR="004012E7">
        <w:rPr>
          <w:noProof/>
          <w:lang w:eastAsia="en-AU"/>
        </w:rPr>
        <w:t>-</w:t>
      </w:r>
      <w:r w:rsidRPr="002A5E0A">
        <w:rPr>
          <w:noProof/>
          <w:lang w:eastAsia="en-AU"/>
        </w:rPr>
        <w:t>17 and 2017</w:t>
      </w:r>
      <w:r w:rsidR="004012E7">
        <w:rPr>
          <w:noProof/>
          <w:lang w:eastAsia="en-AU"/>
        </w:rPr>
        <w:t>-</w:t>
      </w:r>
      <w:r w:rsidRPr="002A5E0A">
        <w:rPr>
          <w:noProof/>
          <w:lang w:eastAsia="en-AU"/>
        </w:rPr>
        <w:t>18.</w:t>
      </w:r>
    </w:p>
    <w:p w:rsidR="002A5E0A" w:rsidRDefault="002A5E0A" w:rsidP="002A5E0A">
      <w:pPr>
        <w:pStyle w:val="Source"/>
      </w:pPr>
      <w:r>
        <w:t>Source:  Department of Social Services annual reports, 2018</w:t>
      </w:r>
      <w:r w:rsidR="004012E7">
        <w:t>-</w:t>
      </w:r>
      <w:r>
        <w:t xml:space="preserve">19 Budget, and </w:t>
      </w:r>
      <w:r w:rsidRPr="002A5E0A">
        <w:t>PBO analysis.</w:t>
      </w:r>
    </w:p>
    <w:p w:rsidR="002A5E0A" w:rsidRDefault="002A5E0A" w:rsidP="00626663">
      <w:pPr>
        <w:pStyle w:val="BodyText"/>
      </w:pPr>
      <w:r>
        <w:t xml:space="preserve">Further increases to the Age Pension were provided as part of the Clean Energy Future package, which made a one-off payment to pensioners </w:t>
      </w:r>
      <w:r w:rsidR="00D652CB">
        <w:t xml:space="preserve">in 2012 and introduced the Clean Energy Supplement (now the Energy Supplement) with effect </w:t>
      </w:r>
      <w:r>
        <w:t xml:space="preserve">from 2013. </w:t>
      </w:r>
    </w:p>
    <w:p w:rsidR="002A5E0A" w:rsidRPr="002A5E0A" w:rsidRDefault="002A5E0A" w:rsidP="002A5E0A">
      <w:pPr>
        <w:pStyle w:val="ListBullet"/>
        <w:numPr>
          <w:ilvl w:val="0"/>
          <w:numId w:val="0"/>
        </w:numPr>
      </w:pPr>
      <w:r>
        <w:t>However, more recently growth has slowed, with no new major policy initiatives being announced and the introduction of savings measures in the 2014</w:t>
      </w:r>
      <w:r w:rsidR="004012E7">
        <w:t>-</w:t>
      </w:r>
      <w:r>
        <w:t>15 and 2015</w:t>
      </w:r>
      <w:r w:rsidR="004012E7">
        <w:t>-</w:t>
      </w:r>
      <w:r>
        <w:t>16 Budgets.  This included a further increase in the eligibility age (to 70 years by 1 July 2035)</w:t>
      </w:r>
      <w:r w:rsidR="00B838BB">
        <w:rPr>
          <w:rStyle w:val="FootnoteReference"/>
        </w:rPr>
        <w:footnoteReference w:id="18"/>
      </w:r>
      <w:r>
        <w:t xml:space="preserve"> and a doubling of the assets test </w:t>
      </w:r>
      <w:r w:rsidR="00EE26A7">
        <w:t xml:space="preserve">taper </w:t>
      </w:r>
      <w:r>
        <w:t xml:space="preserve">rate from 1 January 2017.  These savings measures are projected to have a significant effect on Age Pension spending, </w:t>
      </w:r>
      <w:r w:rsidR="00EE26A7">
        <w:t xml:space="preserve">partially </w:t>
      </w:r>
      <w:r>
        <w:t xml:space="preserve">offsetting the impact of ageing on the payment over the next decade.  </w:t>
      </w:r>
    </w:p>
    <w:p w:rsidR="002A5E0A" w:rsidRDefault="002A5E0A" w:rsidP="00014976">
      <w:pPr>
        <w:pStyle w:val="Heading2NoNumbering"/>
      </w:pPr>
      <w:bookmarkStart w:id="66" w:name="_Toc523757324"/>
      <w:r>
        <w:t>Medicare</w:t>
      </w:r>
      <w:bookmarkEnd w:id="66"/>
    </w:p>
    <w:p w:rsidR="002A5E0A" w:rsidRDefault="002A5E0A" w:rsidP="002A5E0A">
      <w:pPr>
        <w:pStyle w:val="ListBullet"/>
        <w:numPr>
          <w:ilvl w:val="0"/>
          <w:numId w:val="0"/>
        </w:numPr>
      </w:pPr>
      <w:r>
        <w:t xml:space="preserve">Medicare is the fourth largest government payment, accounting for 5 per cent of projected </w:t>
      </w:r>
      <w:r w:rsidR="00CD23E6">
        <w:t>spending</w:t>
      </w:r>
      <w:r>
        <w:t xml:space="preserve"> ($23 billion) in 2017</w:t>
      </w:r>
      <w:r w:rsidR="004012E7">
        <w:t>-</w:t>
      </w:r>
      <w:r>
        <w:t xml:space="preserve">18.  </w:t>
      </w:r>
    </w:p>
    <w:p w:rsidR="002A5E0A" w:rsidRDefault="002A5E0A" w:rsidP="002A5E0A">
      <w:pPr>
        <w:pStyle w:val="BodyText"/>
      </w:pPr>
      <w:r>
        <w:t>From 2003</w:t>
      </w:r>
      <w:r w:rsidR="004012E7">
        <w:t>-</w:t>
      </w:r>
      <w:r>
        <w:t>04 to 2014</w:t>
      </w:r>
      <w:r w:rsidR="004012E7">
        <w:t>-</w:t>
      </w:r>
      <w:r>
        <w:t>15, the significant increase in growth was due to major policy decisions that applied to services provided by genera</w:t>
      </w:r>
      <w:r w:rsidR="00A53FA9">
        <w:t>l practitioners (GPs) (</w:t>
      </w:r>
      <w:r w:rsidR="00A53FA9">
        <w:fldChar w:fldCharType="begin"/>
      </w:r>
      <w:r w:rsidR="00A53FA9">
        <w:instrText xml:space="preserve"> REF _Ref522529483 \h </w:instrText>
      </w:r>
      <w:r w:rsidR="00A53FA9">
        <w:fldChar w:fldCharType="separate"/>
      </w:r>
      <w:r w:rsidR="002828FF" w:rsidRPr="00A53FA9">
        <w:t xml:space="preserve">Figure </w:t>
      </w:r>
      <w:r w:rsidR="002828FF">
        <w:t>C</w:t>
      </w:r>
      <w:r w:rsidR="002828FF" w:rsidRPr="00A53FA9">
        <w:t>–</w:t>
      </w:r>
      <w:r w:rsidR="00A53FA9">
        <w:fldChar w:fldCharType="end"/>
      </w:r>
      <w:r w:rsidR="00EF402D">
        <w:t>2</w:t>
      </w:r>
      <w:r>
        <w:t>).  The increase in the GP rebate</w:t>
      </w:r>
      <w:r w:rsidRPr="00227D7D">
        <w:t xml:space="preserve"> from 85 per cent to 100 per cent of the Schedule F</w:t>
      </w:r>
      <w:r>
        <w:t xml:space="preserve">ee and </w:t>
      </w:r>
      <w:r w:rsidRPr="00227D7D">
        <w:t>the introduction of bulk billing incentives resulted in higher government benefits being paid for</w:t>
      </w:r>
      <w:r>
        <w:t xml:space="preserve"> GP</w:t>
      </w:r>
      <w:r w:rsidRPr="00227D7D">
        <w:t xml:space="preserve"> services</w:t>
      </w:r>
      <w:r>
        <w:t xml:space="preserve">.  Increased benefits </w:t>
      </w:r>
      <w:r w:rsidRPr="00227D7D">
        <w:t xml:space="preserve">were also </w:t>
      </w:r>
      <w:r>
        <w:t xml:space="preserve">introduced </w:t>
      </w:r>
      <w:r w:rsidRPr="00227D7D">
        <w:t>for after</w:t>
      </w:r>
      <w:r>
        <w:noBreakHyphen/>
      </w:r>
      <w:r w:rsidRPr="00227D7D">
        <w:t xml:space="preserve">hours GP services </w:t>
      </w:r>
      <w:r>
        <w:t>at the same time.</w:t>
      </w:r>
    </w:p>
    <w:p w:rsidR="002A5E0A" w:rsidRDefault="002A5E0A" w:rsidP="00626663">
      <w:pPr>
        <w:pStyle w:val="Caption"/>
      </w:pPr>
    </w:p>
    <w:p w:rsidR="00A53FA9" w:rsidRPr="00A53FA9" w:rsidRDefault="00A53FA9">
      <w:pPr>
        <w:pStyle w:val="Caption"/>
      </w:pPr>
      <w:bookmarkStart w:id="67" w:name="_Ref522529483"/>
      <w:r w:rsidRPr="00A53FA9">
        <w:t xml:space="preserve">Figure </w:t>
      </w:r>
      <w:r w:rsidR="00EF402D">
        <w:t>C</w:t>
      </w:r>
      <w:r w:rsidRPr="00A53FA9">
        <w:t>–</w:t>
      </w:r>
      <w:bookmarkEnd w:id="67"/>
      <w:r w:rsidR="00EF402D">
        <w:t>2</w:t>
      </w:r>
      <w:r w:rsidRPr="00A53FA9">
        <w:t>: Real growth in Medicare spending</w:t>
      </w:r>
    </w:p>
    <w:p w:rsidR="002A5E0A" w:rsidRDefault="002A5E0A" w:rsidP="002A5E0A">
      <w:pPr>
        <w:pStyle w:val="BodyText"/>
      </w:pPr>
      <w:r>
        <w:rPr>
          <w:noProof/>
          <w:lang w:eastAsia="en-AU"/>
        </w:rPr>
        <w:drawing>
          <wp:inline distT="0" distB="0" distL="0" distR="0" wp14:anchorId="0E80B777" wp14:editId="7B0B0C05">
            <wp:extent cx="5871210" cy="2743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71210" cy="2743200"/>
                    </a:xfrm>
                    <a:prstGeom prst="rect">
                      <a:avLst/>
                    </a:prstGeom>
                    <a:noFill/>
                  </pic:spPr>
                </pic:pic>
              </a:graphicData>
            </a:graphic>
          </wp:inline>
        </w:drawing>
      </w:r>
    </w:p>
    <w:p w:rsidR="002A5E0A" w:rsidRDefault="002A5E0A" w:rsidP="002A5E0A">
      <w:pPr>
        <w:pStyle w:val="Source"/>
        <w:spacing w:after="120"/>
        <w:rPr>
          <w:noProof/>
          <w:lang w:eastAsia="en-AU"/>
        </w:rPr>
      </w:pPr>
      <w:r w:rsidRPr="002A5E0A">
        <w:rPr>
          <w:noProof/>
          <w:lang w:eastAsia="en-AU"/>
        </w:rPr>
        <w:t>Note:  Data prior to 2017</w:t>
      </w:r>
      <w:r w:rsidR="004012E7">
        <w:rPr>
          <w:noProof/>
          <w:lang w:eastAsia="en-AU"/>
        </w:rPr>
        <w:t>-</w:t>
      </w:r>
      <w:r w:rsidRPr="002A5E0A">
        <w:rPr>
          <w:noProof/>
          <w:lang w:eastAsia="en-AU"/>
        </w:rPr>
        <w:t>18 is on an accrual basis, whereas data from 2017</w:t>
      </w:r>
      <w:r w:rsidR="004012E7">
        <w:rPr>
          <w:noProof/>
          <w:lang w:eastAsia="en-AU"/>
        </w:rPr>
        <w:t>-</w:t>
      </w:r>
      <w:r w:rsidRPr="002A5E0A">
        <w:rPr>
          <w:noProof/>
          <w:lang w:eastAsia="en-AU"/>
        </w:rPr>
        <w:t>18 onwards is on a cash basis. This has a slight effect on the growth between 2016</w:t>
      </w:r>
      <w:r w:rsidR="004012E7">
        <w:rPr>
          <w:noProof/>
          <w:lang w:eastAsia="en-AU"/>
        </w:rPr>
        <w:t>-</w:t>
      </w:r>
      <w:r w:rsidRPr="002A5E0A">
        <w:rPr>
          <w:noProof/>
          <w:lang w:eastAsia="en-AU"/>
        </w:rPr>
        <w:t>17 and 2017</w:t>
      </w:r>
      <w:r w:rsidR="004012E7">
        <w:rPr>
          <w:noProof/>
          <w:lang w:eastAsia="en-AU"/>
        </w:rPr>
        <w:t>-</w:t>
      </w:r>
      <w:r w:rsidRPr="002A5E0A">
        <w:rPr>
          <w:noProof/>
          <w:lang w:eastAsia="en-AU"/>
        </w:rPr>
        <w:t>18.</w:t>
      </w:r>
    </w:p>
    <w:p w:rsidR="002A5E0A" w:rsidRDefault="002A5E0A" w:rsidP="002A5E0A">
      <w:pPr>
        <w:pStyle w:val="Source"/>
      </w:pPr>
      <w:r>
        <w:t>Source:  Department of Health annual reports, 2018</w:t>
      </w:r>
      <w:r w:rsidR="004012E7">
        <w:t>-</w:t>
      </w:r>
      <w:r>
        <w:t xml:space="preserve">19 Budget, and </w:t>
      </w:r>
      <w:r w:rsidRPr="002A5E0A">
        <w:t>PBO analysis.</w:t>
      </w:r>
    </w:p>
    <w:p w:rsidR="002A5E0A" w:rsidRDefault="002A5E0A" w:rsidP="00CF5B71">
      <w:pPr>
        <w:pStyle w:val="BodyText"/>
      </w:pPr>
      <w:r>
        <w:t>The addition of allied health services further broadened the scope of Medicare and contributed to real growth in spending.  In 2004</w:t>
      </w:r>
      <w:r w:rsidR="004012E7">
        <w:t>-</w:t>
      </w:r>
      <w:r>
        <w:t>05 benefits were made available for a wide range of allied health services (such as physiotherapy) and allied mental health services were added in 2006</w:t>
      </w:r>
      <w:r w:rsidR="004012E7">
        <w:t>-</w:t>
      </w:r>
      <w:r>
        <w:t>07.</w:t>
      </w:r>
    </w:p>
    <w:p w:rsidR="002A5E0A" w:rsidRPr="00A46235" w:rsidRDefault="002A5E0A" w:rsidP="002A5E0A">
      <w:pPr>
        <w:pStyle w:val="BodyText"/>
      </w:pPr>
      <w:r w:rsidRPr="00A46235">
        <w:t>The Extended Medicare Safety Net (EMSN) was introduced in 2003</w:t>
      </w:r>
      <w:r w:rsidR="004012E7">
        <w:t>-</w:t>
      </w:r>
      <w:r w:rsidRPr="00A46235">
        <w:t xml:space="preserve">04 and paid 80 per cent of </w:t>
      </w:r>
      <w:r w:rsidR="009D04E4">
        <w:br/>
      </w:r>
      <w:r w:rsidRPr="00A46235">
        <w:t xml:space="preserve">out-of-hospital patient expenses over a set threshold.  This meant that </w:t>
      </w:r>
      <w:r>
        <w:t xml:space="preserve">increased </w:t>
      </w:r>
      <w:r w:rsidRPr="00A46235">
        <w:t>benefits were paid when providers charged substantially more than the government</w:t>
      </w:r>
      <w:r>
        <w:t>-</w:t>
      </w:r>
      <w:r w:rsidRPr="00A46235">
        <w:t>determined Schedule Fee.  The introduction of the EMSN primarily affected surgeries and treatments and specialist services by significantly increasing the benefit paid by the</w:t>
      </w:r>
      <w:r>
        <w:t xml:space="preserve"> government for these services.</w:t>
      </w:r>
    </w:p>
    <w:p w:rsidR="002A5E0A" w:rsidRDefault="002A5E0A" w:rsidP="002A5E0A">
      <w:pPr>
        <w:pStyle w:val="BodyText"/>
      </w:pPr>
      <w:r w:rsidRPr="00A46235">
        <w:t>In response, the Government progressively introduced a range of E</w:t>
      </w:r>
      <w:r>
        <w:t>MSN benefit</w:t>
      </w:r>
      <w:r w:rsidRPr="00A46235">
        <w:t xml:space="preserve"> </w:t>
      </w:r>
      <w:r>
        <w:t>c</w:t>
      </w:r>
      <w:r w:rsidRPr="00A46235">
        <w:t xml:space="preserve">aps from </w:t>
      </w:r>
      <w:r w:rsidR="009D04E4">
        <w:br/>
      </w:r>
      <w:r w:rsidRPr="00A46235">
        <w:t>1 January 2010, which limit the out</w:t>
      </w:r>
      <w:r w:rsidRPr="00A46235">
        <w:noBreakHyphen/>
        <w:t>of</w:t>
      </w:r>
      <w:r w:rsidRPr="00A46235">
        <w:noBreakHyphen/>
        <w:t>pocket expenses the MBS will co</w:t>
      </w:r>
      <w:r>
        <w:t xml:space="preserve">ver for certain services.  This, along with no large new additions to the Schedule, </w:t>
      </w:r>
      <w:r w:rsidRPr="00A922FC">
        <w:t>and freezing the indexation of certain benefits on the Schedule</w:t>
      </w:r>
      <w:r>
        <w:t xml:space="preserve">, has </w:t>
      </w:r>
      <w:r w:rsidRPr="00A46235">
        <w:t>re</w:t>
      </w:r>
      <w:r>
        <w:t>sulted in slower growth in spending more recently</w:t>
      </w:r>
      <w:r w:rsidR="00347EE8">
        <w:t xml:space="preserve">.  Even with the progressive unfreezing of certain benefits over the forward estimates the slower growth is </w:t>
      </w:r>
      <w:r>
        <w:t xml:space="preserve">projected to continue over the next decade. </w:t>
      </w:r>
    </w:p>
    <w:p w:rsidR="002A5E0A" w:rsidRDefault="002A5E0A" w:rsidP="00014976">
      <w:pPr>
        <w:pStyle w:val="Heading2NoNumbering"/>
      </w:pPr>
      <w:bookmarkStart w:id="68" w:name="_Toc523757325"/>
      <w:r>
        <w:t>Disability Support Pension</w:t>
      </w:r>
      <w:bookmarkEnd w:id="68"/>
    </w:p>
    <w:p w:rsidR="002A5E0A" w:rsidRDefault="002A5E0A" w:rsidP="002A5E0A">
      <w:pPr>
        <w:pStyle w:val="ListBullet"/>
        <w:numPr>
          <w:ilvl w:val="0"/>
          <w:numId w:val="0"/>
        </w:numPr>
      </w:pPr>
      <w:r>
        <w:t xml:space="preserve">Disability Support Pension (DSP) accounts for </w:t>
      </w:r>
      <w:r w:rsidR="009108F8">
        <w:t>4</w:t>
      </w:r>
      <w:r>
        <w:t xml:space="preserve"> per cent of projected </w:t>
      </w:r>
      <w:r w:rsidR="00CD23E6">
        <w:t>spending</w:t>
      </w:r>
      <w:r>
        <w:t xml:space="preserve"> ($23 billion) in 2017</w:t>
      </w:r>
      <w:r w:rsidR="00CD23E6">
        <w:noBreakHyphen/>
      </w:r>
      <w:r>
        <w:t xml:space="preserve">18.  </w:t>
      </w:r>
    </w:p>
    <w:p w:rsidR="002A5E0A" w:rsidRDefault="002A5E0A" w:rsidP="002A5E0A">
      <w:pPr>
        <w:pStyle w:val="BodyText"/>
      </w:pPr>
      <w:r w:rsidRPr="00A4062E">
        <w:t>From introduction of the payment in 1991</w:t>
      </w:r>
      <w:r w:rsidR="004012E7">
        <w:t>-</w:t>
      </w:r>
      <w:r w:rsidRPr="00A4062E">
        <w:t>92 to 2007</w:t>
      </w:r>
      <w:r w:rsidR="004012E7">
        <w:t>-</w:t>
      </w:r>
      <w:r w:rsidRPr="00A4062E">
        <w:t xml:space="preserve">08, growth </w:t>
      </w:r>
      <w:r>
        <w:t>in DSP spending was relatively stable.  However, i</w:t>
      </w:r>
      <w:r w:rsidRPr="00BB7725">
        <w:t>n 2008</w:t>
      </w:r>
      <w:r w:rsidR="004012E7">
        <w:t>-</w:t>
      </w:r>
      <w:r w:rsidRPr="00BB7725">
        <w:t>09 growth increased sharply coincid</w:t>
      </w:r>
      <w:r>
        <w:t xml:space="preserve">ing </w:t>
      </w:r>
      <w:r w:rsidRPr="00BB7725">
        <w:t>with softer labour market conditions due to the global financial crisis (GFC)</w:t>
      </w:r>
      <w:r w:rsidR="00BA4307">
        <w:t xml:space="preserve"> (</w:t>
      </w:r>
      <w:r w:rsidR="00BA4307">
        <w:fldChar w:fldCharType="begin"/>
      </w:r>
      <w:r w:rsidR="00BA4307">
        <w:instrText xml:space="preserve"> REF _Ref522529526 \h </w:instrText>
      </w:r>
      <w:r w:rsidR="00BA4307">
        <w:fldChar w:fldCharType="separate"/>
      </w:r>
      <w:r w:rsidR="002828FF" w:rsidRPr="00A53FA9">
        <w:t xml:space="preserve">Figure </w:t>
      </w:r>
      <w:r w:rsidR="002828FF">
        <w:t>C</w:t>
      </w:r>
      <w:r w:rsidR="002828FF" w:rsidRPr="00A53FA9">
        <w:t>–</w:t>
      </w:r>
      <w:r w:rsidR="00BA4307">
        <w:fldChar w:fldCharType="end"/>
      </w:r>
      <w:r w:rsidR="00EF402D">
        <w:t>3</w:t>
      </w:r>
      <w:r>
        <w:t>)</w:t>
      </w:r>
      <w:r w:rsidRPr="00BB7725">
        <w:t xml:space="preserve">. </w:t>
      </w:r>
      <w:r>
        <w:t xml:space="preserve"> </w:t>
      </w:r>
      <w:r w:rsidRPr="00BB7725">
        <w:t>The pension rate was also increased from 25 per cent to 27.7 per cent of Male Total Average Weekly Earnings (MTAWE) in 2009</w:t>
      </w:r>
      <w:r w:rsidR="004012E7">
        <w:t>-</w:t>
      </w:r>
      <w:r w:rsidRPr="00BB7725">
        <w:t xml:space="preserve">10.  </w:t>
      </w:r>
    </w:p>
    <w:p w:rsidR="002A5E0A" w:rsidRDefault="002A5E0A" w:rsidP="00626663">
      <w:pPr>
        <w:pStyle w:val="CaptionLeft"/>
      </w:pPr>
    </w:p>
    <w:p w:rsidR="002A5E0A" w:rsidRDefault="00A53FA9" w:rsidP="00A53FA9">
      <w:pPr>
        <w:pStyle w:val="Caption"/>
      </w:pPr>
      <w:bookmarkStart w:id="69" w:name="_Ref522529526"/>
      <w:r w:rsidRPr="00A53FA9">
        <w:t xml:space="preserve">Figure </w:t>
      </w:r>
      <w:r w:rsidR="00EF402D">
        <w:t>C</w:t>
      </w:r>
      <w:r w:rsidRPr="00A53FA9">
        <w:t>–</w:t>
      </w:r>
      <w:bookmarkEnd w:id="69"/>
      <w:r w:rsidR="00EF402D">
        <w:t>3</w:t>
      </w:r>
      <w:r w:rsidRPr="00A53FA9">
        <w:t>: Real growth in Disability Support Pension spending</w:t>
      </w:r>
      <w:r>
        <w:t xml:space="preserve"> </w:t>
      </w:r>
    </w:p>
    <w:p w:rsidR="002A5E0A" w:rsidRDefault="00EF7198" w:rsidP="002A5E0A">
      <w:pPr>
        <w:pStyle w:val="BodyText"/>
      </w:pPr>
      <w:r>
        <w:rPr>
          <w:noProof/>
          <w:lang w:eastAsia="en-AU"/>
        </w:rPr>
        <w:drawing>
          <wp:inline distT="0" distB="0" distL="0" distR="0" wp14:anchorId="267BD6F0">
            <wp:extent cx="5781675" cy="261705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89733" cy="2620699"/>
                    </a:xfrm>
                    <a:prstGeom prst="rect">
                      <a:avLst/>
                    </a:prstGeom>
                    <a:noFill/>
                  </pic:spPr>
                </pic:pic>
              </a:graphicData>
            </a:graphic>
          </wp:inline>
        </w:drawing>
      </w:r>
    </w:p>
    <w:p w:rsidR="002A5E0A" w:rsidRPr="002A5E0A" w:rsidRDefault="002A5E0A" w:rsidP="002A5E0A">
      <w:pPr>
        <w:pStyle w:val="Source"/>
        <w:spacing w:after="120"/>
        <w:rPr>
          <w:noProof/>
          <w:lang w:eastAsia="en-AU"/>
        </w:rPr>
      </w:pPr>
      <w:r w:rsidRPr="002A5E0A">
        <w:rPr>
          <w:noProof/>
          <w:lang w:eastAsia="en-AU"/>
        </w:rPr>
        <w:t>Note:  Data prior to 2017</w:t>
      </w:r>
      <w:r w:rsidR="004012E7">
        <w:rPr>
          <w:noProof/>
          <w:lang w:eastAsia="en-AU"/>
        </w:rPr>
        <w:t>-</w:t>
      </w:r>
      <w:r w:rsidRPr="002A5E0A">
        <w:rPr>
          <w:noProof/>
          <w:lang w:eastAsia="en-AU"/>
        </w:rPr>
        <w:t>18 is on an accrual basis, whereas data from 2017</w:t>
      </w:r>
      <w:r w:rsidR="004012E7">
        <w:rPr>
          <w:noProof/>
          <w:lang w:eastAsia="en-AU"/>
        </w:rPr>
        <w:t>-</w:t>
      </w:r>
      <w:r w:rsidRPr="002A5E0A">
        <w:rPr>
          <w:noProof/>
          <w:lang w:eastAsia="en-AU"/>
        </w:rPr>
        <w:t>18 onwards is on a cash basis. This has a slight effect on the growth between 2016</w:t>
      </w:r>
      <w:r w:rsidR="004012E7">
        <w:rPr>
          <w:noProof/>
          <w:lang w:eastAsia="en-AU"/>
        </w:rPr>
        <w:t>-</w:t>
      </w:r>
      <w:r w:rsidRPr="002A5E0A">
        <w:rPr>
          <w:noProof/>
          <w:lang w:eastAsia="en-AU"/>
        </w:rPr>
        <w:t>17 and 2017</w:t>
      </w:r>
      <w:r w:rsidR="004012E7">
        <w:rPr>
          <w:noProof/>
          <w:lang w:eastAsia="en-AU"/>
        </w:rPr>
        <w:t>-</w:t>
      </w:r>
      <w:r w:rsidRPr="002A5E0A">
        <w:rPr>
          <w:noProof/>
          <w:lang w:eastAsia="en-AU"/>
        </w:rPr>
        <w:t>18.</w:t>
      </w:r>
    </w:p>
    <w:p w:rsidR="002A5E0A" w:rsidRDefault="002A5E0A" w:rsidP="002A5E0A">
      <w:pPr>
        <w:pStyle w:val="Source"/>
      </w:pPr>
      <w:r>
        <w:t>Source:  Department of Social Services annual reports, 2018</w:t>
      </w:r>
      <w:r w:rsidR="004012E7">
        <w:t>-</w:t>
      </w:r>
      <w:r>
        <w:t xml:space="preserve">19 Budget, and </w:t>
      </w:r>
      <w:r w:rsidRPr="002A5E0A">
        <w:t>PBO analysis.</w:t>
      </w:r>
    </w:p>
    <w:p w:rsidR="002A5E0A" w:rsidRDefault="002A5E0A" w:rsidP="00626663">
      <w:pPr>
        <w:pStyle w:val="BodyTextAfterListTable"/>
      </w:pPr>
      <w:r>
        <w:t>From 2012</w:t>
      </w:r>
      <w:r w:rsidR="004012E7">
        <w:t>-</w:t>
      </w:r>
      <w:r>
        <w:t>13 growth in DSP expenditure slowed sharply.  This has been affected by significant changes to assessment processes, particularly the introduction of new assessment tables for work</w:t>
      </w:r>
      <w:r>
        <w:noBreakHyphen/>
        <w:t xml:space="preserve">related </w:t>
      </w:r>
      <w:r w:rsidRPr="006C2178">
        <w:t>impairment which took effect from 1 January 2012 and additional job capacity assessments of</w:t>
      </w:r>
      <w:r>
        <w:t xml:space="preserve"> </w:t>
      </w:r>
      <w:r w:rsidRPr="00D0033E">
        <w:t>new applicants which commenced in 2011</w:t>
      </w:r>
      <w:r w:rsidR="004012E7">
        <w:t>-</w:t>
      </w:r>
      <w:r w:rsidRPr="00D0033E">
        <w:t xml:space="preserve">12.  The introduction of new assessment tables and </w:t>
      </w:r>
      <w:r>
        <w:t>processes has effectively</w:t>
      </w:r>
      <w:r w:rsidRPr="00D0033E">
        <w:t xml:space="preserve"> resulted in a structural break over the historical period, as the regime for assess</w:t>
      </w:r>
      <w:r>
        <w:t xml:space="preserve">ing eligibility for the DSP </w:t>
      </w:r>
      <w:r w:rsidRPr="00D0033E">
        <w:t xml:space="preserve">fundamentally changed from </w:t>
      </w:r>
      <w:r>
        <w:t>2011</w:t>
      </w:r>
      <w:r w:rsidR="004012E7">
        <w:t>-</w:t>
      </w:r>
      <w:r>
        <w:t>12.</w:t>
      </w:r>
    </w:p>
    <w:p w:rsidR="002A5E0A" w:rsidRDefault="002A5E0A" w:rsidP="002A5E0A">
      <w:pPr>
        <w:pStyle w:val="BodyText"/>
      </w:pPr>
      <w:r>
        <w:t>The DSP compliance measures are projected to have an ongoing impact over the next decade.  The projections incorporate a rebound in recipient numbers from historically low levels, along with the increase in the Age Pension eligibility age (which results in an increase in the number of people who remain on the DSP).</w:t>
      </w:r>
    </w:p>
    <w:p w:rsidR="009D04E4" w:rsidRDefault="009D04E4">
      <w:pPr>
        <w:rPr>
          <w:rFonts w:cs="Times New Roman"/>
        </w:rPr>
      </w:pPr>
      <w:r>
        <w:br w:type="page"/>
      </w:r>
    </w:p>
    <w:p w:rsidR="002A5E0A" w:rsidRDefault="002A5E0A" w:rsidP="00014976">
      <w:pPr>
        <w:pStyle w:val="Heading2NoNumbering"/>
      </w:pPr>
      <w:bookmarkStart w:id="70" w:name="_Toc523757326"/>
      <w:r>
        <w:t>Carer income support</w:t>
      </w:r>
      <w:bookmarkEnd w:id="70"/>
    </w:p>
    <w:p w:rsidR="002A5E0A" w:rsidRDefault="002A5E0A" w:rsidP="002A5E0A">
      <w:pPr>
        <w:pStyle w:val="BodyText"/>
      </w:pPr>
      <w:r w:rsidRPr="00E524B1">
        <w:t xml:space="preserve">Carer </w:t>
      </w:r>
      <w:r>
        <w:t>i</w:t>
      </w:r>
      <w:r w:rsidRPr="00E524B1">
        <w:t xml:space="preserve">ncome </w:t>
      </w:r>
      <w:r>
        <w:t>s</w:t>
      </w:r>
      <w:r w:rsidRPr="00E524B1">
        <w:t xml:space="preserve">upport is comprised of multiple payment programs offered to individuals who care for persons with severe disabilities and medical conditions.  </w:t>
      </w:r>
      <w:r>
        <w:t>Carer income support makes up around 2</w:t>
      </w:r>
      <w:r w:rsidR="003D3AF1">
        <w:t> </w:t>
      </w:r>
      <w:r>
        <w:t xml:space="preserve">per cent of projected </w:t>
      </w:r>
      <w:r w:rsidR="00CD23E6">
        <w:t>spending</w:t>
      </w:r>
      <w:r>
        <w:t xml:space="preserve"> in 2017</w:t>
      </w:r>
      <w:r w:rsidR="004012E7">
        <w:t>-</w:t>
      </w:r>
      <w:r>
        <w:t>18 ($8 billion) and has been one of the fastest growing government payments during the past decade.  While demographics have played a part in this growth, policy change has been t</w:t>
      </w:r>
      <w:r w:rsidR="00BA4307">
        <w:t>he largest contributor (</w:t>
      </w:r>
      <w:r w:rsidR="00BA4307">
        <w:fldChar w:fldCharType="begin"/>
      </w:r>
      <w:r w:rsidR="00BA4307">
        <w:instrText xml:space="preserve"> REF _Ref522529609 \h </w:instrText>
      </w:r>
      <w:r w:rsidR="00BA4307">
        <w:fldChar w:fldCharType="separate"/>
      </w:r>
      <w:r w:rsidR="002828FF" w:rsidRPr="00BA4307">
        <w:t xml:space="preserve">Figure </w:t>
      </w:r>
      <w:r w:rsidR="002828FF">
        <w:t>C</w:t>
      </w:r>
      <w:r w:rsidR="002828FF" w:rsidRPr="00BA4307">
        <w:t>–</w:t>
      </w:r>
      <w:r w:rsidR="00BA4307">
        <w:fldChar w:fldCharType="end"/>
      </w:r>
      <w:r w:rsidR="00EF402D">
        <w:t>4</w:t>
      </w:r>
      <w:r>
        <w:t xml:space="preserve">). </w:t>
      </w:r>
    </w:p>
    <w:p w:rsidR="002A5E0A" w:rsidRPr="00D2621E" w:rsidRDefault="002A5E0A" w:rsidP="00626663">
      <w:pPr>
        <w:pStyle w:val="Caption"/>
      </w:pPr>
    </w:p>
    <w:p w:rsidR="002A5E0A" w:rsidRDefault="00BA4307">
      <w:pPr>
        <w:pStyle w:val="Caption"/>
      </w:pPr>
      <w:bookmarkStart w:id="71" w:name="_Ref522529609"/>
      <w:r w:rsidRPr="00BA4307">
        <w:t xml:space="preserve">Figure </w:t>
      </w:r>
      <w:r w:rsidR="00EF402D">
        <w:t>C</w:t>
      </w:r>
      <w:r w:rsidRPr="00BA4307">
        <w:t>–</w:t>
      </w:r>
      <w:bookmarkEnd w:id="71"/>
      <w:r w:rsidR="00EF402D">
        <w:t>4</w:t>
      </w:r>
      <w:r w:rsidRPr="00BA4307">
        <w:t>: Real growth in carer income support spending</w:t>
      </w:r>
    </w:p>
    <w:p w:rsidR="002A5E0A" w:rsidRDefault="002A5E0A" w:rsidP="009D04E4">
      <w:pPr>
        <w:pStyle w:val="BodyText"/>
        <w:jc w:val="center"/>
        <w:rPr>
          <w:rFonts w:ascii="Calibri" w:eastAsia="Cambria" w:hAnsi="Calibri" w:cs="Arial"/>
          <w:sz w:val="18"/>
          <w:szCs w:val="20"/>
        </w:rPr>
      </w:pPr>
      <w:r>
        <w:rPr>
          <w:rFonts w:ascii="Calibri" w:eastAsia="Cambria" w:hAnsi="Calibri" w:cs="Arial"/>
          <w:noProof/>
          <w:sz w:val="18"/>
          <w:szCs w:val="20"/>
          <w:lang w:eastAsia="en-AU"/>
        </w:rPr>
        <w:drawing>
          <wp:inline distT="0" distB="0" distL="0" distR="0" wp14:anchorId="7DE0AD4E" wp14:editId="2F6596A7">
            <wp:extent cx="5946404" cy="2742702"/>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7484" cy="2743200"/>
                    </a:xfrm>
                    <a:prstGeom prst="rect">
                      <a:avLst/>
                    </a:prstGeom>
                    <a:noFill/>
                  </pic:spPr>
                </pic:pic>
              </a:graphicData>
            </a:graphic>
          </wp:inline>
        </w:drawing>
      </w:r>
    </w:p>
    <w:p w:rsidR="002A5E0A" w:rsidRPr="002A5E0A" w:rsidRDefault="002A5E0A" w:rsidP="002A5E0A">
      <w:pPr>
        <w:pStyle w:val="Source"/>
        <w:spacing w:after="120"/>
        <w:rPr>
          <w:noProof/>
          <w:lang w:eastAsia="en-AU"/>
        </w:rPr>
      </w:pPr>
      <w:r w:rsidRPr="002A5E0A">
        <w:rPr>
          <w:noProof/>
          <w:lang w:eastAsia="en-AU"/>
        </w:rPr>
        <w:t>Note:  Data prior to 2017</w:t>
      </w:r>
      <w:r w:rsidR="004012E7">
        <w:rPr>
          <w:noProof/>
          <w:lang w:eastAsia="en-AU"/>
        </w:rPr>
        <w:t>-</w:t>
      </w:r>
      <w:r w:rsidRPr="002A5E0A">
        <w:rPr>
          <w:noProof/>
          <w:lang w:eastAsia="en-AU"/>
        </w:rPr>
        <w:t>18 is on an accrual basis, whereas data from 2017</w:t>
      </w:r>
      <w:r w:rsidR="004012E7">
        <w:rPr>
          <w:noProof/>
          <w:lang w:eastAsia="en-AU"/>
        </w:rPr>
        <w:t>-</w:t>
      </w:r>
      <w:r w:rsidRPr="002A5E0A">
        <w:rPr>
          <w:noProof/>
          <w:lang w:eastAsia="en-AU"/>
        </w:rPr>
        <w:t>18 onwards is on a cash basis. This has a slight effect on the growth between 2016</w:t>
      </w:r>
      <w:r w:rsidR="004012E7">
        <w:rPr>
          <w:noProof/>
          <w:lang w:eastAsia="en-AU"/>
        </w:rPr>
        <w:t>-</w:t>
      </w:r>
      <w:r w:rsidRPr="002A5E0A">
        <w:rPr>
          <w:noProof/>
          <w:lang w:eastAsia="en-AU"/>
        </w:rPr>
        <w:t>17 and 2017</w:t>
      </w:r>
      <w:r w:rsidR="004012E7">
        <w:rPr>
          <w:noProof/>
          <w:lang w:eastAsia="en-AU"/>
        </w:rPr>
        <w:t>-</w:t>
      </w:r>
      <w:r w:rsidRPr="002A5E0A">
        <w:rPr>
          <w:noProof/>
          <w:lang w:eastAsia="en-AU"/>
        </w:rPr>
        <w:t>18.</w:t>
      </w:r>
    </w:p>
    <w:p w:rsidR="002A5E0A" w:rsidRDefault="002A5E0A" w:rsidP="002A5E0A">
      <w:pPr>
        <w:pStyle w:val="Source"/>
      </w:pPr>
      <w:r>
        <w:t>Source:  Department of Social Services annual reports, 2018</w:t>
      </w:r>
      <w:r w:rsidR="004012E7">
        <w:t>-</w:t>
      </w:r>
      <w:r>
        <w:t xml:space="preserve">19 Budget, and </w:t>
      </w:r>
      <w:r w:rsidRPr="002A5E0A">
        <w:t>PBO analysis.</w:t>
      </w:r>
    </w:p>
    <w:p w:rsidR="002A5E0A" w:rsidRDefault="002A5E0A" w:rsidP="00626663">
      <w:pPr>
        <w:pStyle w:val="BodyTextAfterListTable"/>
      </w:pPr>
      <w:r>
        <w:t xml:space="preserve">With a relatively strong budget position during the early part of the past decade, policy decisions increased a number of carer income support payments.  This included the payment of one-off </w:t>
      </w:r>
      <w:r w:rsidRPr="007662F7">
        <w:t>carer bonuses each year from 2003</w:t>
      </w:r>
      <w:r w:rsidR="004012E7">
        <w:t>-</w:t>
      </w:r>
      <w:r w:rsidRPr="007662F7">
        <w:t>04 to 2007</w:t>
      </w:r>
      <w:r w:rsidR="004012E7">
        <w:t>-</w:t>
      </w:r>
      <w:r w:rsidRPr="007662F7">
        <w:t>08</w:t>
      </w:r>
      <w:r>
        <w:t xml:space="preserve">.  The </w:t>
      </w:r>
      <w:r w:rsidRPr="007662F7">
        <w:t xml:space="preserve">Child Disability Assistance Payment </w:t>
      </w:r>
      <w:r>
        <w:t xml:space="preserve">was also introduced </w:t>
      </w:r>
      <w:r w:rsidRPr="007662F7">
        <w:t>in July 2007</w:t>
      </w:r>
      <w:r>
        <w:t xml:space="preserve"> and the Carer Supplement two years later. </w:t>
      </w:r>
    </w:p>
    <w:p w:rsidR="002A5E0A" w:rsidRDefault="002A5E0A" w:rsidP="002A5E0A">
      <w:pPr>
        <w:pStyle w:val="BodyText"/>
      </w:pPr>
      <w:r>
        <w:t xml:space="preserve">However, with relatively few policy changes since 2009, growth has been more subdued.  Recent historical outcomes suggest that growth in the take up of carer payments among key age cohorts has plateaued (or declined), which points to relatively slower growth over the next decade. </w:t>
      </w:r>
    </w:p>
    <w:p w:rsidR="002A5E0A" w:rsidRDefault="002A5E0A" w:rsidP="002A5E0A">
      <w:pPr>
        <w:pStyle w:val="BodyText"/>
      </w:pPr>
    </w:p>
    <w:p w:rsidR="00243D3A" w:rsidRPr="00243D3A" w:rsidRDefault="00243D3A" w:rsidP="00243D3A">
      <w:pPr>
        <w:pStyle w:val="BodyText"/>
      </w:pPr>
    </w:p>
    <w:sectPr w:rsidR="00243D3A" w:rsidRPr="00243D3A" w:rsidSect="00AB79E1">
      <w:headerReference w:type="even" r:id="rId60"/>
      <w:headerReference w:type="default" r:id="rId61"/>
      <w:footerReference w:type="even" r:id="rId62"/>
      <w:footerReference w:type="default" r:id="rId63"/>
      <w:headerReference w:type="first" r:id="rId64"/>
      <w:footerReference w:type="first" r:id="rId65"/>
      <w:pgSz w:w="11907" w:h="16839" w:code="9"/>
      <w:pgMar w:top="1191" w:right="1417" w:bottom="1020" w:left="1417" w:header="56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38BB" w:rsidRDefault="00B838BB" w:rsidP="00A20802">
      <w:pPr>
        <w:spacing w:line="240" w:lineRule="auto"/>
      </w:pPr>
      <w:r>
        <w:separator/>
      </w:r>
    </w:p>
    <w:p w:rsidR="00B838BB" w:rsidRDefault="00B838BB"/>
    <w:p w:rsidR="00B838BB" w:rsidRDefault="00B838BB"/>
  </w:endnote>
  <w:endnote w:type="continuationSeparator" w:id="0">
    <w:p w:rsidR="00B838BB" w:rsidRDefault="00B838BB" w:rsidP="00A20802">
      <w:pPr>
        <w:spacing w:line="240" w:lineRule="auto"/>
      </w:pPr>
      <w:r>
        <w:continuationSeparator/>
      </w:r>
    </w:p>
    <w:p w:rsidR="00B838BB" w:rsidRDefault="00B838BB"/>
    <w:p w:rsidR="00B838BB" w:rsidRDefault="00B838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B838BB" w:rsidRPr="00BA1E8D" w:rsidTr="007676C0">
      <w:trPr>
        <w:trHeight w:val="879"/>
      </w:trPr>
      <w:tc>
        <w:tcPr>
          <w:tcW w:w="8504" w:type="dxa"/>
        </w:tcPr>
        <w:p w:rsidR="00B838BB" w:rsidRPr="00BA1E8D" w:rsidRDefault="00B838BB" w:rsidP="007676C0">
          <w:pPr>
            <w:pStyle w:val="FooterRight"/>
          </w:pPr>
          <w:r>
            <w:t xml:space="preserve">2018-19 Budget: Medium-term </w:t>
          </w:r>
          <w:r w:rsidRPr="00AB1ED5">
            <w:t>projections</w:t>
          </w:r>
        </w:p>
      </w:tc>
      <w:tc>
        <w:tcPr>
          <w:tcW w:w="1417" w:type="dxa"/>
        </w:tcPr>
        <w:p w:rsidR="00B838BB" w:rsidRPr="00F24BF6" w:rsidRDefault="00B838BB" w:rsidP="007676C0">
          <w:pPr>
            <w:pStyle w:val="FooterRightPageNumber"/>
          </w:pPr>
          <w:r w:rsidRPr="00F24BF6">
            <w:fldChar w:fldCharType="begin"/>
          </w:r>
          <w:r w:rsidRPr="00F24BF6">
            <w:instrText xml:space="preserve"> PAGE   \* MERGEFORMAT </w:instrText>
          </w:r>
          <w:r w:rsidRPr="00F24BF6">
            <w:fldChar w:fldCharType="separate"/>
          </w:r>
          <w:r w:rsidR="00931897">
            <w:t>23</w:t>
          </w:r>
          <w:r w:rsidRPr="00F24BF6">
            <w:fldChar w:fldCharType="end"/>
          </w:r>
        </w:p>
      </w:tc>
    </w:tr>
  </w:tbl>
  <w:p w:rsidR="00B838BB" w:rsidRDefault="00B838BB"/>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YSpec="bottom"/>
      <w:tblW w:w="9921" w:type="dxa"/>
      <w:tblLayout w:type="fixed"/>
      <w:tblLook w:val="04A0" w:firstRow="1" w:lastRow="0" w:firstColumn="1" w:lastColumn="0" w:noHBand="0" w:noVBand="1"/>
    </w:tblPr>
    <w:tblGrid>
      <w:gridCol w:w="1417"/>
      <w:gridCol w:w="8504"/>
    </w:tblGrid>
    <w:tr w:rsidR="00B838BB" w:rsidRPr="00BA1E8D" w:rsidTr="007676C0">
      <w:trPr>
        <w:trHeight w:val="879"/>
      </w:trPr>
      <w:tc>
        <w:tcPr>
          <w:tcW w:w="1417" w:type="dxa"/>
        </w:tcPr>
        <w:p w:rsidR="00B838BB" w:rsidRPr="00023A6F" w:rsidRDefault="00B838BB" w:rsidP="007676C0">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931897">
            <w:rPr>
              <w:noProof/>
            </w:rPr>
            <w:t>28</w:t>
          </w:r>
          <w:r w:rsidRPr="00BA1E8D">
            <w:rPr>
              <w:noProof/>
            </w:rPr>
            <w:fldChar w:fldCharType="end"/>
          </w:r>
        </w:p>
      </w:tc>
      <w:tc>
        <w:tcPr>
          <w:tcW w:w="8504" w:type="dxa"/>
        </w:tcPr>
        <w:p w:rsidR="00B838BB" w:rsidRPr="00BA1E8D" w:rsidRDefault="00B838BB" w:rsidP="007676C0">
          <w:pPr>
            <w:pStyle w:val="FooterLeft"/>
          </w:pPr>
          <w:r>
            <w:t xml:space="preserve">2018-19 Budget: Medium-term </w:t>
          </w:r>
          <w:r w:rsidRPr="00AB1ED5">
            <w:t>projections</w:t>
          </w:r>
        </w:p>
      </w:tc>
    </w:tr>
  </w:tbl>
  <w:p w:rsidR="00B838BB" w:rsidRPr="008E2623" w:rsidRDefault="00B838BB" w:rsidP="00560DD4">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B838BB" w:rsidRPr="00BA1E8D" w:rsidTr="007676C0">
      <w:trPr>
        <w:trHeight w:val="879"/>
      </w:trPr>
      <w:tc>
        <w:tcPr>
          <w:tcW w:w="8504" w:type="dxa"/>
        </w:tcPr>
        <w:p w:rsidR="00B838BB" w:rsidRPr="00BA1E8D" w:rsidRDefault="00B838BB" w:rsidP="007676C0">
          <w:pPr>
            <w:pStyle w:val="FooterRight"/>
          </w:pPr>
          <w:r>
            <w:t xml:space="preserve">2018-19 Budget: Medium-term </w:t>
          </w:r>
          <w:r w:rsidRPr="00AB1ED5">
            <w:t>projections</w:t>
          </w:r>
        </w:p>
      </w:tc>
      <w:tc>
        <w:tcPr>
          <w:tcW w:w="1417" w:type="dxa"/>
        </w:tcPr>
        <w:p w:rsidR="00B838BB" w:rsidRPr="00F24BF6" w:rsidRDefault="00B838BB" w:rsidP="007676C0">
          <w:pPr>
            <w:pStyle w:val="FooterRightPageNumber"/>
          </w:pPr>
          <w:r w:rsidRPr="00F24BF6">
            <w:fldChar w:fldCharType="begin"/>
          </w:r>
          <w:r w:rsidRPr="00F24BF6">
            <w:instrText xml:space="preserve"> PAGE   \* MERGEFORMAT </w:instrText>
          </w:r>
          <w:r w:rsidRPr="00F24BF6">
            <w:fldChar w:fldCharType="separate"/>
          </w:r>
          <w:r w:rsidR="00931897">
            <w:t>27</w:t>
          </w:r>
          <w:r w:rsidRPr="00F24BF6">
            <w:fldChar w:fldCharType="end"/>
          </w:r>
        </w:p>
      </w:tc>
    </w:tr>
  </w:tbl>
  <w:p w:rsidR="00B838BB" w:rsidRDefault="00B838BB"/>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YSpec="bottom"/>
      <w:tblW w:w="9921" w:type="dxa"/>
      <w:tblLayout w:type="fixed"/>
      <w:tblLook w:val="04A0" w:firstRow="1" w:lastRow="0" w:firstColumn="1" w:lastColumn="0" w:noHBand="0" w:noVBand="1"/>
    </w:tblPr>
    <w:tblGrid>
      <w:gridCol w:w="1417"/>
      <w:gridCol w:w="8504"/>
    </w:tblGrid>
    <w:tr w:rsidR="00B838BB" w:rsidRPr="00BA1E8D" w:rsidTr="00AB79E1">
      <w:trPr>
        <w:trHeight w:val="879"/>
      </w:trPr>
      <w:tc>
        <w:tcPr>
          <w:tcW w:w="1417" w:type="dxa"/>
        </w:tcPr>
        <w:p w:rsidR="00B838BB" w:rsidRPr="00023A6F" w:rsidRDefault="00B838BB" w:rsidP="00AB79E1">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2828FF">
            <w:rPr>
              <w:noProof/>
            </w:rPr>
            <w:t>32</w:t>
          </w:r>
          <w:r w:rsidRPr="00BA1E8D">
            <w:rPr>
              <w:noProof/>
            </w:rPr>
            <w:fldChar w:fldCharType="end"/>
          </w:r>
        </w:p>
      </w:tc>
      <w:tc>
        <w:tcPr>
          <w:tcW w:w="8504" w:type="dxa"/>
        </w:tcPr>
        <w:p w:rsidR="00B838BB" w:rsidRPr="00BA1E8D" w:rsidRDefault="00B838BB" w:rsidP="00AB79E1">
          <w:pPr>
            <w:pStyle w:val="FooterLeft"/>
          </w:pPr>
          <w:r>
            <w:t xml:space="preserve">2018-19 Budget: Medium-term </w:t>
          </w:r>
          <w:r w:rsidRPr="00AB1ED5">
            <w:t>projections</w:t>
          </w:r>
        </w:p>
      </w:tc>
    </w:tr>
  </w:tbl>
  <w:p w:rsidR="00B838BB" w:rsidRPr="008E2623" w:rsidRDefault="00B838BB" w:rsidP="007979E1">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B838BB" w:rsidRPr="00BA1E8D" w:rsidTr="00AB79E1">
      <w:trPr>
        <w:trHeight w:val="879"/>
      </w:trPr>
      <w:tc>
        <w:tcPr>
          <w:tcW w:w="8504" w:type="dxa"/>
        </w:tcPr>
        <w:p w:rsidR="00B838BB" w:rsidRPr="00BA1E8D" w:rsidRDefault="00B838BB" w:rsidP="00AB79E1">
          <w:pPr>
            <w:pStyle w:val="FooterRight"/>
          </w:pPr>
          <w:r>
            <w:t xml:space="preserve">2018-19 Budget: Medium-term </w:t>
          </w:r>
          <w:r w:rsidRPr="00AB1ED5">
            <w:t>projections</w:t>
          </w:r>
        </w:p>
      </w:tc>
      <w:tc>
        <w:tcPr>
          <w:tcW w:w="1417" w:type="dxa"/>
        </w:tcPr>
        <w:p w:rsidR="00B838BB" w:rsidRPr="00F24BF6" w:rsidRDefault="00B838BB" w:rsidP="00AB79E1">
          <w:pPr>
            <w:pStyle w:val="FooterRightPageNumber"/>
          </w:pPr>
          <w:r w:rsidRPr="00F24BF6">
            <w:fldChar w:fldCharType="begin"/>
          </w:r>
          <w:r w:rsidRPr="00F24BF6">
            <w:instrText xml:space="preserve"> PAGE   \* MERGEFORMAT </w:instrText>
          </w:r>
          <w:r w:rsidRPr="00F24BF6">
            <w:fldChar w:fldCharType="separate"/>
          </w:r>
          <w:r w:rsidR="002828FF">
            <w:t>31</w:t>
          </w:r>
          <w:r w:rsidRPr="00F24BF6">
            <w:fldChar w:fldCharType="end"/>
          </w:r>
        </w:p>
      </w:tc>
    </w:tr>
  </w:tbl>
  <w:p w:rsidR="00B838BB" w:rsidRDefault="00B838BB"/>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B838BB" w:rsidRPr="00BA1E8D" w:rsidTr="00DB43E0">
      <w:trPr>
        <w:trHeight w:val="879"/>
      </w:trPr>
      <w:tc>
        <w:tcPr>
          <w:tcW w:w="1417" w:type="dxa"/>
        </w:tcPr>
        <w:p w:rsidR="00B838BB" w:rsidRPr="00023A6F" w:rsidRDefault="00B838BB" w:rsidP="008E2623">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Pr>
              <w:noProof/>
            </w:rPr>
            <w:t>xxxi</w:t>
          </w:r>
          <w:r w:rsidRPr="00BA1E8D">
            <w:rPr>
              <w:noProof/>
            </w:rPr>
            <w:fldChar w:fldCharType="end"/>
          </w:r>
        </w:p>
      </w:tc>
      <w:tc>
        <w:tcPr>
          <w:tcW w:w="8504" w:type="dxa"/>
        </w:tcPr>
        <w:p w:rsidR="00B838BB" w:rsidRPr="00BA1E8D" w:rsidRDefault="00B838BB" w:rsidP="008E2623">
          <w:pPr>
            <w:pStyle w:val="FooterLeft"/>
          </w:pPr>
          <w:r>
            <w:fldChar w:fldCharType="begin"/>
          </w:r>
          <w:r>
            <w:instrText xml:space="preserve"> if </w:instrText>
          </w:r>
          <w:fldSimple w:instr=" STYLEREF  Title ">
            <w:r w:rsidR="002828FF">
              <w:rPr>
                <w:noProof/>
              </w:rPr>
              <w:instrText xml:space="preserve">2018-19 Budget: </w:instrText>
            </w:r>
            <w:r w:rsidR="002828FF">
              <w:rPr>
                <w:noProof/>
              </w:rPr>
              <w:br/>
              <w:instrText xml:space="preserve">Medium-term </w:instrText>
            </w:r>
            <w:r w:rsidR="002828FF">
              <w:rPr>
                <w:noProof/>
              </w:rPr>
              <w:br/>
              <w:instrText>projections</w:instrText>
            </w:r>
          </w:fldSimple>
          <w:r>
            <w:instrText xml:space="preserve">&lt;&gt; "Error*" </w:instrText>
          </w:r>
          <w:fldSimple w:instr=" STYLEREF  Title ">
            <w:r w:rsidR="002828FF">
              <w:rPr>
                <w:noProof/>
              </w:rPr>
              <w:instrText xml:space="preserve">2018-19 Budget: </w:instrText>
            </w:r>
            <w:r w:rsidR="002828FF">
              <w:rPr>
                <w:noProof/>
              </w:rPr>
              <w:br/>
              <w:instrText xml:space="preserve">Medium-term </w:instrText>
            </w:r>
            <w:r w:rsidR="002828FF">
              <w:rPr>
                <w:noProof/>
              </w:rPr>
              <w:br/>
              <w:instrText>projections</w:instrText>
            </w:r>
          </w:fldSimple>
          <w:r>
            <w:instrText xml:space="preserve"> </w:instrText>
          </w:r>
          <w:r>
            <w:fldChar w:fldCharType="separate"/>
          </w:r>
          <w:r w:rsidR="002828FF">
            <w:rPr>
              <w:noProof/>
            </w:rPr>
            <w:t xml:space="preserve">2018-19 Budget: </w:t>
          </w:r>
          <w:r w:rsidR="002828FF">
            <w:rPr>
              <w:noProof/>
            </w:rPr>
            <w:br/>
            <w:t xml:space="preserve">Medium-term </w:t>
          </w:r>
          <w:r w:rsidR="002828FF">
            <w:rPr>
              <w:noProof/>
            </w:rPr>
            <w:br/>
            <w:t>projections</w:t>
          </w:r>
          <w:r>
            <w:fldChar w:fldCharType="end"/>
          </w:r>
        </w:p>
      </w:tc>
    </w:tr>
  </w:tbl>
  <w:p w:rsidR="00B838BB" w:rsidRPr="008E2623" w:rsidRDefault="00B838BB" w:rsidP="008E262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B838BB" w:rsidRPr="00BA1E8D" w:rsidTr="00DB43E0">
      <w:trPr>
        <w:trHeight w:val="879"/>
      </w:trPr>
      <w:tc>
        <w:tcPr>
          <w:tcW w:w="8504" w:type="dxa"/>
        </w:tcPr>
        <w:p w:rsidR="00B838BB" w:rsidRPr="00BA1E8D" w:rsidRDefault="00B838BB" w:rsidP="00132F0D">
          <w:pPr>
            <w:pStyle w:val="FooterRight"/>
          </w:pPr>
          <w:r>
            <w:t xml:space="preserve">2018-19 Budget: Medium-term </w:t>
          </w:r>
          <w:r w:rsidRPr="00AB1ED5">
            <w:t>projections</w:t>
          </w:r>
        </w:p>
      </w:tc>
      <w:tc>
        <w:tcPr>
          <w:tcW w:w="1417" w:type="dxa"/>
        </w:tcPr>
        <w:p w:rsidR="00B838BB" w:rsidRPr="00BA1E8D" w:rsidRDefault="00B838BB" w:rsidP="00023A6F">
          <w:pPr>
            <w:pStyle w:val="FooterRightPageNumber"/>
          </w:pPr>
          <w:r w:rsidRPr="00BA1E8D">
            <w:fldChar w:fldCharType="begin"/>
          </w:r>
          <w:r w:rsidRPr="00BA1E8D">
            <w:instrText xml:space="preserve"> PAGE   \* MERGEFORMAT </w:instrText>
          </w:r>
          <w:r w:rsidRPr="00BA1E8D">
            <w:fldChar w:fldCharType="separate"/>
          </w:r>
          <w:r w:rsidR="00931897">
            <w:t>iii</w:t>
          </w:r>
          <w:r w:rsidRPr="00BA1E8D">
            <w:fldChar w:fldCharType="end"/>
          </w:r>
        </w:p>
      </w:tc>
    </w:tr>
  </w:tbl>
  <w:p w:rsidR="00B838BB" w:rsidRPr="004816D7" w:rsidRDefault="00B838BB" w:rsidP="00BA1E8D">
    <w:pPr>
      <w:pStyle w:val="FooterRigh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YSpec="bottom"/>
      <w:tblW w:w="9921" w:type="dxa"/>
      <w:tblLayout w:type="fixed"/>
      <w:tblLook w:val="04A0" w:firstRow="1" w:lastRow="0" w:firstColumn="1" w:lastColumn="0" w:noHBand="0" w:noVBand="1"/>
    </w:tblPr>
    <w:tblGrid>
      <w:gridCol w:w="1417"/>
      <w:gridCol w:w="8504"/>
    </w:tblGrid>
    <w:tr w:rsidR="00B838BB" w:rsidRPr="00BA1E8D" w:rsidTr="00560DD4">
      <w:trPr>
        <w:trHeight w:val="879"/>
      </w:trPr>
      <w:tc>
        <w:tcPr>
          <w:tcW w:w="1417" w:type="dxa"/>
        </w:tcPr>
        <w:p w:rsidR="00B838BB" w:rsidRPr="00023A6F" w:rsidRDefault="00B838BB" w:rsidP="00560DD4">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931897">
            <w:rPr>
              <w:noProof/>
            </w:rPr>
            <w:t>iv</w:t>
          </w:r>
          <w:r w:rsidRPr="00BA1E8D">
            <w:rPr>
              <w:noProof/>
            </w:rPr>
            <w:fldChar w:fldCharType="end"/>
          </w:r>
        </w:p>
      </w:tc>
      <w:tc>
        <w:tcPr>
          <w:tcW w:w="8504" w:type="dxa"/>
        </w:tcPr>
        <w:p w:rsidR="00B838BB" w:rsidRPr="00BA1E8D" w:rsidRDefault="00B838BB" w:rsidP="00560DD4">
          <w:pPr>
            <w:pStyle w:val="FooterLeft"/>
          </w:pPr>
          <w:r>
            <w:t xml:space="preserve">2018-19 Budget: Medium-term </w:t>
          </w:r>
          <w:r w:rsidRPr="00AB1ED5">
            <w:t>projections</w:t>
          </w:r>
        </w:p>
      </w:tc>
    </w:tr>
  </w:tbl>
  <w:p w:rsidR="00B838BB" w:rsidRPr="008E2623" w:rsidRDefault="00B838BB" w:rsidP="00560DD4">
    <w:pPr>
      <w:pStyle w:val="Footer"/>
    </w:pPr>
  </w:p>
  <w:p w:rsidR="00B838BB" w:rsidRPr="00560DD4" w:rsidRDefault="00B838BB" w:rsidP="00560DD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4" w:vertAnchor="page" w:horzAnchor="page" w:tblpXSpec="right" w:tblpYSpec="bottom"/>
      <w:tblW w:w="9921" w:type="dxa"/>
      <w:tblLayout w:type="fixed"/>
      <w:tblLook w:val="04A0" w:firstRow="1" w:lastRow="0" w:firstColumn="1" w:lastColumn="0" w:noHBand="0" w:noVBand="1"/>
    </w:tblPr>
    <w:tblGrid>
      <w:gridCol w:w="8504"/>
      <w:gridCol w:w="1417"/>
    </w:tblGrid>
    <w:tr w:rsidR="00B838BB" w:rsidRPr="00BA1E8D" w:rsidTr="00560DD4">
      <w:trPr>
        <w:trHeight w:val="879"/>
      </w:trPr>
      <w:tc>
        <w:tcPr>
          <w:tcW w:w="8504" w:type="dxa"/>
        </w:tcPr>
        <w:p w:rsidR="00B838BB" w:rsidRPr="00BA1E8D" w:rsidRDefault="00B838BB" w:rsidP="00560DD4">
          <w:pPr>
            <w:pStyle w:val="FooterRight"/>
          </w:pPr>
          <w:r>
            <w:t xml:space="preserve">2018-19 Budget: Medium-term </w:t>
          </w:r>
          <w:r w:rsidRPr="00AB1ED5">
            <w:t>projections</w:t>
          </w:r>
        </w:p>
      </w:tc>
      <w:tc>
        <w:tcPr>
          <w:tcW w:w="1417" w:type="dxa"/>
        </w:tcPr>
        <w:p w:rsidR="00B838BB" w:rsidRPr="00F24BF6" w:rsidRDefault="00B838BB" w:rsidP="00560DD4">
          <w:pPr>
            <w:pStyle w:val="FooterRightPageNumber"/>
          </w:pPr>
          <w:r w:rsidRPr="00F24BF6">
            <w:fldChar w:fldCharType="begin"/>
          </w:r>
          <w:r w:rsidRPr="00F24BF6">
            <w:instrText xml:space="preserve"> PAGE   \* MERGEFORMAT </w:instrText>
          </w:r>
          <w:r w:rsidRPr="00F24BF6">
            <w:fldChar w:fldCharType="separate"/>
          </w:r>
          <w:r w:rsidR="00F67A12">
            <w:t>v</w:t>
          </w:r>
          <w:r w:rsidRPr="00F24BF6">
            <w:fldChar w:fldCharType="end"/>
          </w:r>
        </w:p>
      </w:tc>
    </w:tr>
  </w:tbl>
  <w:p w:rsidR="00B838BB" w:rsidRDefault="00B838BB"/>
  <w:p w:rsidR="00B838BB" w:rsidRPr="00560DD4" w:rsidRDefault="00B838BB" w:rsidP="00560DD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XSpec="right" w:tblpYSpec="bottom"/>
      <w:tblW w:w="9921" w:type="dxa"/>
      <w:tblLayout w:type="fixed"/>
      <w:tblLook w:val="04A0" w:firstRow="1" w:lastRow="0" w:firstColumn="1" w:lastColumn="0" w:noHBand="0" w:noVBand="1"/>
    </w:tblPr>
    <w:tblGrid>
      <w:gridCol w:w="8504"/>
      <w:gridCol w:w="1417"/>
    </w:tblGrid>
    <w:tr w:rsidR="00B838BB" w:rsidRPr="00BA1E8D" w:rsidTr="00A71C44">
      <w:trPr>
        <w:trHeight w:val="879"/>
      </w:trPr>
      <w:tc>
        <w:tcPr>
          <w:tcW w:w="8504" w:type="dxa"/>
        </w:tcPr>
        <w:p w:rsidR="00B838BB" w:rsidRPr="00BA1E8D" w:rsidRDefault="00B838BB" w:rsidP="00DE7228">
          <w:pPr>
            <w:pStyle w:val="FooterRight"/>
          </w:pPr>
          <w:r>
            <w:t xml:space="preserve">2018-19 Budget: Medium-term </w:t>
          </w:r>
          <w:r w:rsidRPr="00AB1ED5">
            <w:t>projections</w:t>
          </w:r>
        </w:p>
      </w:tc>
      <w:tc>
        <w:tcPr>
          <w:tcW w:w="1417" w:type="dxa"/>
        </w:tcPr>
        <w:p w:rsidR="00B838BB" w:rsidRPr="00F24BF6" w:rsidRDefault="00B838BB" w:rsidP="00A71C44">
          <w:pPr>
            <w:pStyle w:val="FooterRightPageNumber"/>
          </w:pPr>
          <w:r w:rsidRPr="00F24BF6">
            <w:fldChar w:fldCharType="begin"/>
          </w:r>
          <w:r w:rsidRPr="00F24BF6">
            <w:instrText xml:space="preserve"> PAGE   \* MERGEFORMAT </w:instrText>
          </w:r>
          <w:r w:rsidRPr="00F24BF6">
            <w:fldChar w:fldCharType="separate"/>
          </w:r>
          <w:r w:rsidR="00931897">
            <w:t>1</w:t>
          </w:r>
          <w:r w:rsidRPr="00F24BF6">
            <w:fldChar w:fldCharType="end"/>
          </w:r>
        </w:p>
      </w:tc>
    </w:tr>
  </w:tbl>
  <w:p w:rsidR="00B838BB" w:rsidRDefault="00B838BB"/>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FooterPlaceholder"/>
      <w:tblpPr w:bottomFromText="283" w:vertAnchor="page" w:horzAnchor="page" w:tblpYSpec="bottom"/>
      <w:tblW w:w="9921" w:type="dxa"/>
      <w:tblLayout w:type="fixed"/>
      <w:tblLook w:val="04A0" w:firstRow="1" w:lastRow="0" w:firstColumn="1" w:lastColumn="0" w:noHBand="0" w:noVBand="1"/>
    </w:tblPr>
    <w:tblGrid>
      <w:gridCol w:w="1417"/>
      <w:gridCol w:w="8504"/>
    </w:tblGrid>
    <w:tr w:rsidR="00B838BB" w:rsidRPr="00BA1E8D" w:rsidTr="007676C0">
      <w:trPr>
        <w:trHeight w:val="879"/>
      </w:trPr>
      <w:tc>
        <w:tcPr>
          <w:tcW w:w="1417" w:type="dxa"/>
        </w:tcPr>
        <w:p w:rsidR="00B838BB" w:rsidRPr="00023A6F" w:rsidRDefault="00B838BB" w:rsidP="007676C0">
          <w:pPr>
            <w:pStyle w:val="FooterLeftPageNumber"/>
          </w:pPr>
          <w:r w:rsidRPr="00BA1E8D">
            <w:rPr>
              <w:noProof/>
            </w:rPr>
            <w:fldChar w:fldCharType="begin"/>
          </w:r>
          <w:r w:rsidRPr="00BA1E8D">
            <w:rPr>
              <w:noProof/>
            </w:rPr>
            <w:instrText xml:space="preserve"> PAGE   \* MERGEFORMAT </w:instrText>
          </w:r>
          <w:r w:rsidRPr="00BA1E8D">
            <w:rPr>
              <w:noProof/>
            </w:rPr>
            <w:fldChar w:fldCharType="separate"/>
          </w:r>
          <w:r w:rsidR="00931897">
            <w:rPr>
              <w:noProof/>
            </w:rPr>
            <w:t>22</w:t>
          </w:r>
          <w:r w:rsidRPr="00BA1E8D">
            <w:rPr>
              <w:noProof/>
            </w:rPr>
            <w:fldChar w:fldCharType="end"/>
          </w:r>
        </w:p>
      </w:tc>
      <w:tc>
        <w:tcPr>
          <w:tcW w:w="8504" w:type="dxa"/>
        </w:tcPr>
        <w:p w:rsidR="00B838BB" w:rsidRPr="00BA1E8D" w:rsidRDefault="00B838BB" w:rsidP="007676C0">
          <w:pPr>
            <w:pStyle w:val="FooterLeft"/>
          </w:pPr>
          <w:r>
            <w:t xml:space="preserve">2018-19 Budget: Medium-term </w:t>
          </w:r>
          <w:r w:rsidRPr="00AB1ED5">
            <w:t>projections</w:t>
          </w:r>
        </w:p>
      </w:tc>
    </w:tr>
  </w:tbl>
  <w:p w:rsidR="00B838BB" w:rsidRPr="008E2623" w:rsidRDefault="00B838BB" w:rsidP="00560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38BB" w:rsidRPr="000557A7" w:rsidRDefault="00B838BB" w:rsidP="008D5A11">
      <w:pPr>
        <w:pBdr>
          <w:top w:val="single" w:sz="4" w:space="1" w:color="auto"/>
        </w:pBdr>
        <w:spacing w:before="240" w:line="60" w:lineRule="exact"/>
        <w:rPr>
          <w:sz w:val="16"/>
          <w:szCs w:val="16"/>
        </w:rPr>
      </w:pPr>
    </w:p>
    <w:p w:rsidR="00B838BB" w:rsidRDefault="00B838BB"/>
  </w:footnote>
  <w:footnote w:type="continuationSeparator" w:id="0">
    <w:p w:rsidR="00B838BB" w:rsidRDefault="00B838BB" w:rsidP="00A20802">
      <w:pPr>
        <w:spacing w:line="240" w:lineRule="auto"/>
      </w:pPr>
      <w:r>
        <w:continuationSeparator/>
      </w:r>
    </w:p>
    <w:p w:rsidR="00B838BB" w:rsidRDefault="00B838BB"/>
    <w:p w:rsidR="00B838BB" w:rsidRDefault="00B838BB"/>
  </w:footnote>
  <w:footnote w:id="1">
    <w:p w:rsidR="00B838BB" w:rsidRPr="00051600" w:rsidRDefault="00B838BB" w:rsidP="00150788">
      <w:pPr>
        <w:pStyle w:val="FootnoteText"/>
      </w:pPr>
      <w:r w:rsidRPr="008A7A54">
        <w:footnoteRef/>
      </w:r>
      <w:r>
        <w:tab/>
        <w:t>As part of its fiscal strategy, the Government has a commitment to maintaining the ratio of tax receipts to GDP at or below 23.9 per cent of GDP.</w:t>
      </w:r>
    </w:p>
  </w:footnote>
  <w:footnote w:id="2">
    <w:p w:rsidR="00B838BB" w:rsidRPr="00FD2C8B" w:rsidRDefault="00B838BB" w:rsidP="00B6182C">
      <w:pPr>
        <w:pStyle w:val="FootnoteText"/>
      </w:pPr>
      <w:r w:rsidRPr="005818E8">
        <w:footnoteRef/>
      </w:r>
      <w:r>
        <w:tab/>
      </w:r>
      <w:r>
        <w:rPr>
          <w:lang w:eastAsia="en-AU"/>
        </w:rPr>
        <w:t xml:space="preserve">Bracket creep occurs due to a combination of static tax thresholds and growing incomes resulting in taxpayers facing higher average tax rates over time.  For more detail on the effects of bracket creep, see PBO Report no. 03/2017 </w:t>
      </w:r>
      <w:r w:rsidRPr="00527545">
        <w:rPr>
          <w:i/>
          <w:lang w:eastAsia="en-AU"/>
        </w:rPr>
        <w:t>Changes in average personal income tax rates: distributional impacts</w:t>
      </w:r>
      <w:r>
        <w:rPr>
          <w:i/>
          <w:lang w:eastAsia="en-AU"/>
        </w:rPr>
        <w:t>.</w:t>
      </w:r>
    </w:p>
  </w:footnote>
  <w:footnote w:id="3">
    <w:p w:rsidR="00B838BB" w:rsidRPr="00CF32AB" w:rsidRDefault="00B838BB" w:rsidP="009B16B4">
      <w:pPr>
        <w:pStyle w:val="FootnoteText"/>
      </w:pPr>
      <w:r w:rsidRPr="00CF32AB">
        <w:footnoteRef/>
      </w:r>
      <w:r>
        <w:tab/>
        <w:t>Based on the PBO’s projections, the Government’s tax-to-GDP cap would require an unspecified change in tax policy to reduce taxes from 2027-28 onwards.  As distributional analysis cannot be undertaken in the absence of specific policy, the analysis presented here ends in 2026-27.</w:t>
      </w:r>
    </w:p>
  </w:footnote>
  <w:footnote w:id="4">
    <w:p w:rsidR="00B838BB" w:rsidRDefault="00B838BB" w:rsidP="00591A66">
      <w:pPr>
        <w:pStyle w:val="FootnoteText"/>
      </w:pPr>
      <w:r w:rsidRPr="00690B63">
        <w:footnoteRef/>
      </w:r>
      <w:r>
        <w:tab/>
        <w:t xml:space="preserve">A longer time period is examined here compared with the analysis published in PBO Report no. 03/2017 </w:t>
      </w:r>
      <w:r w:rsidRPr="004A5B62">
        <w:rPr>
          <w:i/>
        </w:rPr>
        <w:t>Changes in average personal income tax rates: distributional analysis</w:t>
      </w:r>
      <w:r>
        <w:t>.  This leads to slightly different results for the bracket creep component to those that have previously been published.  The previous analysis had a greater impact for the third quintile than for the second quintile.</w:t>
      </w:r>
    </w:p>
    <w:p w:rsidR="00B838BB" w:rsidRPr="00690B63" w:rsidRDefault="00B838BB" w:rsidP="00591A66">
      <w:pPr>
        <w:pStyle w:val="FootnoteText"/>
        <w:ind w:firstLine="0"/>
      </w:pPr>
      <w:r>
        <w:t>Typically an individual’s average income tax rate will increase at its greatest rate when they have just crossed a tax threshold.  The longer time period in this analysis means that bracket creep pushes a substantial proportion of individuals in the second quintile into a higher tax bracket.  However, the longer time period does not cause any additional individuals in the third quintile to cross a tax threshold, so their average tax rate continues to grow, but not as quickly.  Together, these two effects lead to a similar change in average tax rate for the second and third quintile.</w:t>
      </w:r>
    </w:p>
  </w:footnote>
  <w:footnote w:id="5">
    <w:p w:rsidR="00221E82" w:rsidRPr="00221E82" w:rsidRDefault="00221E82">
      <w:pPr>
        <w:pStyle w:val="FootnoteText"/>
      </w:pPr>
      <w:r w:rsidRPr="00221E82">
        <w:footnoteRef/>
      </w:r>
      <w:r>
        <w:tab/>
      </w:r>
      <w:r w:rsidRPr="00221E82">
        <w:t xml:space="preserve">The estimated impact of not proceeding with unlegislated company tax cuts </w:t>
      </w:r>
      <w:r>
        <w:t>is</w:t>
      </w:r>
      <w:r w:rsidRPr="00221E82">
        <w:t xml:space="preserve"> indicative and based on </w:t>
      </w:r>
      <w:r>
        <w:t>parameters in the</w:t>
      </w:r>
      <w:r w:rsidRPr="00221E82">
        <w:t xml:space="preserve"> 2018-19 Budget.  The</w:t>
      </w:r>
      <w:bookmarkStart w:id="28" w:name="_GoBack"/>
      <w:bookmarkEnd w:id="28"/>
      <w:r w:rsidRPr="00221E82">
        <w:t xml:space="preserve"> costings of decisions </w:t>
      </w:r>
      <w:r w:rsidR="00E41767">
        <w:t>included in the Government’s next economic and fiscal update</w:t>
      </w:r>
      <w:r w:rsidR="002828FF">
        <w:t xml:space="preserve"> will be</w:t>
      </w:r>
      <w:r w:rsidR="00E41767">
        <w:t xml:space="preserve"> </w:t>
      </w:r>
      <w:r w:rsidRPr="00221E82">
        <w:t xml:space="preserve">based on </w:t>
      </w:r>
      <w:r w:rsidR="002828FF">
        <w:t>the</w:t>
      </w:r>
      <w:r w:rsidRPr="00221E82">
        <w:t xml:space="preserve"> economic parameters</w:t>
      </w:r>
      <w:r w:rsidR="002828FF">
        <w:t xml:space="preserve"> at that time</w:t>
      </w:r>
      <w:r w:rsidRPr="00221E82">
        <w:t>.</w:t>
      </w:r>
    </w:p>
  </w:footnote>
  <w:footnote w:id="6">
    <w:p w:rsidR="00B838BB" w:rsidRPr="00C95E72" w:rsidRDefault="00B838BB" w:rsidP="009B16B4">
      <w:pPr>
        <w:pStyle w:val="FootnoteText"/>
      </w:pPr>
      <w:r w:rsidRPr="00C95E72">
        <w:footnoteRef/>
      </w:r>
      <w:r>
        <w:tab/>
        <w:t>Australian Government (2018), 2018-19 Budget, Budget Paper No. 1, page 5-12</w:t>
      </w:r>
    </w:p>
  </w:footnote>
  <w:footnote w:id="7">
    <w:p w:rsidR="00B838BB" w:rsidRPr="006974E5" w:rsidRDefault="00B838BB" w:rsidP="00EF02F5">
      <w:pPr>
        <w:pStyle w:val="FootnoteText"/>
      </w:pPr>
      <w:r w:rsidRPr="00EF02F5">
        <w:footnoteRef/>
      </w:r>
      <w:r w:rsidRPr="00E31DAF">
        <w:tab/>
      </w:r>
      <w:proofErr w:type="gramStart"/>
      <w:r w:rsidRPr="00E31DAF">
        <w:t xml:space="preserve">Bullen, J., Greenwell, J., </w:t>
      </w:r>
      <w:proofErr w:type="spellStart"/>
      <w:r w:rsidRPr="00E31DAF">
        <w:t>Kouparitsas</w:t>
      </w:r>
      <w:proofErr w:type="spellEnd"/>
      <w:r w:rsidRPr="00E31DAF">
        <w:t>, M., Muller, D., O’Leary, J. &amp; Wilcox, R., 2014b.</w:t>
      </w:r>
      <w:proofErr w:type="gramEnd"/>
      <w:r w:rsidRPr="00E31DAF">
        <w:t xml:space="preserve"> </w:t>
      </w:r>
      <w:r w:rsidRPr="00EF02F5">
        <w:rPr>
          <w:i/>
        </w:rPr>
        <w:t>Treasury’s Medium</w:t>
      </w:r>
      <w:r w:rsidRPr="00EF02F5">
        <w:rPr>
          <w:i/>
        </w:rPr>
        <w:noBreakHyphen/>
        <w:t>Term Economic Projection Methodology</w:t>
      </w:r>
      <w:r w:rsidRPr="00E31DAF">
        <w:t xml:space="preserve">. </w:t>
      </w:r>
      <w:proofErr w:type="gramStart"/>
      <w:r w:rsidRPr="00E31DAF">
        <w:t>Treasury Working Paper, 2014–02.</w:t>
      </w:r>
      <w:proofErr w:type="gramEnd"/>
    </w:p>
  </w:footnote>
  <w:footnote w:id="8">
    <w:p w:rsidR="00B838BB" w:rsidRPr="001F114F" w:rsidRDefault="00B838BB">
      <w:pPr>
        <w:pStyle w:val="FootnoteText"/>
      </w:pPr>
      <w:r w:rsidRPr="001C2B0F">
        <w:footnoteRef/>
      </w:r>
      <w:r>
        <w:tab/>
      </w:r>
      <w:r w:rsidRPr="009B195A">
        <w:t>This is a partial analysis as it does not account for any corresponding impact of the scenarios on other economic parameters.</w:t>
      </w:r>
    </w:p>
  </w:footnote>
  <w:footnote w:id="9">
    <w:p w:rsidR="00B838BB" w:rsidRPr="001F114F" w:rsidRDefault="00B838BB">
      <w:pPr>
        <w:pStyle w:val="FootnoteText"/>
      </w:pPr>
      <w:r w:rsidRPr="001C2B0F">
        <w:footnoteRef/>
      </w:r>
      <w:r>
        <w:tab/>
      </w:r>
      <w:r w:rsidRPr="009D6FBE">
        <w:t>Since GST receipts are paid to the states, lower GST receipts would also decrease Commonwealth payments.</w:t>
      </w:r>
    </w:p>
  </w:footnote>
  <w:footnote w:id="10">
    <w:p w:rsidR="00B838BB" w:rsidRPr="006B3440" w:rsidRDefault="00B838BB" w:rsidP="006B3440">
      <w:pPr>
        <w:pStyle w:val="FootnoteText"/>
      </w:pPr>
      <w:r w:rsidRPr="006B3440">
        <w:footnoteRef/>
      </w:r>
      <w:r>
        <w:tab/>
        <w:t>For example, from 2003-</w:t>
      </w:r>
      <w:r w:rsidRPr="002860E6">
        <w:t xml:space="preserve">04 to </w:t>
      </w:r>
      <w:r>
        <w:t xml:space="preserve">2007-08, the strong growth in the terms of trade, and consequently nominal GDP, contributed to the fall in spending as a proportion of GDP over the same period.  </w:t>
      </w:r>
    </w:p>
  </w:footnote>
  <w:footnote w:id="11">
    <w:p w:rsidR="00B838BB" w:rsidRPr="00BD449A" w:rsidRDefault="00B838BB" w:rsidP="007E2496">
      <w:pPr>
        <w:pStyle w:val="FootnoteText"/>
      </w:pPr>
      <w:r w:rsidRPr="00BD449A">
        <w:footnoteRef/>
      </w:r>
      <w:r>
        <w:tab/>
        <w:t>Spending was affected by the</w:t>
      </w:r>
      <w:r w:rsidRPr="008445DB">
        <w:t xml:space="preserve"> bringing forward and deferral of </w:t>
      </w:r>
      <w:r>
        <w:t>Commonwealth payments across a range of areas into 2011-</w:t>
      </w:r>
      <w:r w:rsidRPr="008445DB">
        <w:t>12 and 2013</w:t>
      </w:r>
      <w:r>
        <w:t>-14 respectively.  Spending in 2013-14 was also heavily affected by a cash injection to the Reserve Bank of Australia that was treated as a grant in the Commonwealth Budget papers.</w:t>
      </w:r>
    </w:p>
  </w:footnote>
  <w:footnote w:id="12">
    <w:p w:rsidR="00B838BB" w:rsidRPr="00637113" w:rsidRDefault="00B838BB" w:rsidP="00CA3323">
      <w:pPr>
        <w:pStyle w:val="FootnoteText"/>
      </w:pPr>
      <w:r w:rsidRPr="0034616F">
        <w:footnoteRef/>
      </w:r>
      <w:r w:rsidRPr="0034616F">
        <w:tab/>
      </w:r>
      <w:r>
        <w:t>Departmental spending</w:t>
      </w:r>
      <w:r w:rsidRPr="0034616F">
        <w:t xml:space="preserve"> ex</w:t>
      </w:r>
      <w:r>
        <w:t>cludes</w:t>
      </w:r>
      <w:r w:rsidRPr="0034616F">
        <w:t xml:space="preserve"> National Disability Insurance Agency spending that is administered in nature and defence spending.</w:t>
      </w:r>
      <w:r>
        <w:t xml:space="preserve"> See</w:t>
      </w:r>
      <w:r w:rsidRPr="00316D00">
        <w:t xml:space="preserve"> </w:t>
      </w:r>
      <w:r>
        <w:t>2018-19 Budget, Budget Paper no. 4.</w:t>
      </w:r>
    </w:p>
  </w:footnote>
  <w:footnote w:id="13">
    <w:p w:rsidR="00B838BB" w:rsidRPr="00E918BB" w:rsidRDefault="00B838BB" w:rsidP="00F50A9D">
      <w:pPr>
        <w:pStyle w:val="FootnoteText"/>
      </w:pPr>
      <w:r w:rsidRPr="00E918BB">
        <w:footnoteRef/>
      </w:r>
      <w:r>
        <w:tab/>
        <w:t>Under current administrative arrangements, the government negotiates agreements with drug manufacturers to contain the cost to the budget of subsidising pharmaceutical benefits.  One type of agreement involves the manufacturer repaying the difference between the higher publicly published price of a drug and a confidential price negotiated between the manufacturer and government. This repayment, or rebate, from the manufacturer lowers the effective price faced by the government and is recognised as non-tax revenue. The agreements allow Australia to access drugs at a lower cost-effective price without affecting the price for the drug in other markets.  Under the new administrative arrangements, rather than paying the higher published price and receiving a rebate, the government will pay the lower negotiated price to the suppliers. This has the effect of reducing both spending and non-tax revenue, with no net impact on the budget.</w:t>
      </w:r>
    </w:p>
  </w:footnote>
  <w:footnote w:id="14">
    <w:p w:rsidR="00B838BB" w:rsidRPr="0030674E" w:rsidRDefault="00B838BB" w:rsidP="00363711">
      <w:pPr>
        <w:pStyle w:val="FootnoteText"/>
        <w:rPr>
          <w:i/>
        </w:rPr>
      </w:pPr>
      <w:r w:rsidRPr="009D6FBE">
        <w:footnoteRef/>
      </w:r>
      <w:r w:rsidRPr="009D6FBE">
        <w:tab/>
        <w:t xml:space="preserve">See PBO Report no. 01/2018 </w:t>
      </w:r>
      <w:r w:rsidRPr="009D6FBE">
        <w:rPr>
          <w:i/>
        </w:rPr>
        <w:t>Disability Support Pension – Historical and projected trends.</w:t>
      </w:r>
    </w:p>
  </w:footnote>
  <w:footnote w:id="15">
    <w:p w:rsidR="00B838BB" w:rsidRPr="001A4FED" w:rsidRDefault="00B838BB">
      <w:pPr>
        <w:pStyle w:val="FootnoteText"/>
      </w:pPr>
      <w:r w:rsidRPr="001A4FED">
        <w:footnoteRef/>
      </w:r>
      <w:r>
        <w:tab/>
      </w:r>
      <w:r w:rsidRPr="001A4FED">
        <w:t xml:space="preserve">It is difficult to establish the extent to which growth in </w:t>
      </w:r>
      <w:proofErr w:type="spellStart"/>
      <w:r w:rsidRPr="001A4FED">
        <w:t>Newstart</w:t>
      </w:r>
      <w:proofErr w:type="spellEnd"/>
      <w:r w:rsidRPr="001A4FED">
        <w:t xml:space="preserve"> recipients has been affected by people that have been unsuccessful in applying for the DSP.</w:t>
      </w:r>
      <w:r>
        <w:t xml:space="preserve">  Over the next decade projected growth in </w:t>
      </w:r>
      <w:proofErr w:type="spellStart"/>
      <w:r>
        <w:t>Newstart</w:t>
      </w:r>
      <w:proofErr w:type="spellEnd"/>
      <w:r>
        <w:t xml:space="preserve"> spending is primarily driven by the unemployment rate. </w:t>
      </w:r>
    </w:p>
  </w:footnote>
  <w:footnote w:id="16">
    <w:p w:rsidR="00B838BB" w:rsidRPr="00752605" w:rsidRDefault="00B838BB" w:rsidP="00342279">
      <w:pPr>
        <w:pStyle w:val="FootnoteText"/>
      </w:pPr>
      <w:r w:rsidRPr="00752605">
        <w:footnoteRef/>
      </w:r>
      <w:r>
        <w:tab/>
        <w:t xml:space="preserve">To address some of this uncertainty the </w:t>
      </w:r>
      <w:r w:rsidRPr="000A1A16">
        <w:t>Government has included a $1.0 billion provision in the Contingency Reserve for future increases in new me</w:t>
      </w:r>
      <w:r>
        <w:t xml:space="preserve">dicine listings. This is not </w:t>
      </w:r>
      <w:r w:rsidRPr="000A1A16">
        <w:t xml:space="preserve">included in the estimates </w:t>
      </w:r>
      <w:r>
        <w:t>for pharmaceutical benefits</w:t>
      </w:r>
      <w:r w:rsidRPr="000A1A16">
        <w:t xml:space="preserve"> and will be progressively recognised when new listings are announced</w:t>
      </w:r>
      <w:r>
        <w:t>.</w:t>
      </w:r>
      <w:r w:rsidRPr="00752605">
        <w:t xml:space="preserve"> </w:t>
      </w:r>
      <w:r>
        <w:t>This is included in ‘other spending’.</w:t>
      </w:r>
    </w:p>
  </w:footnote>
  <w:footnote w:id="17">
    <w:p w:rsidR="00B838BB" w:rsidRPr="007E66B7" w:rsidRDefault="00B838BB" w:rsidP="007E66B7">
      <w:pPr>
        <w:pStyle w:val="FootnoteText"/>
      </w:pPr>
      <w:r w:rsidRPr="007E66B7">
        <w:footnoteRef/>
      </w:r>
      <w:r>
        <w:tab/>
      </w:r>
      <w:r w:rsidRPr="007E66B7">
        <w:t>Net debt is the sum of selected financial liabilities (deposits held, advances received, government securities, loans and other borrowings) less the sum of selected financial assets (cash and deposits, advances paid, and investments, loans and placements).  It is a common measure of the strength of a government’s financial position.</w:t>
      </w:r>
    </w:p>
  </w:footnote>
  <w:footnote w:id="18">
    <w:p w:rsidR="00B838BB" w:rsidRPr="00B838BB" w:rsidRDefault="00B838BB">
      <w:pPr>
        <w:pStyle w:val="FootnoteText"/>
      </w:pPr>
      <w:r w:rsidRPr="00B838BB">
        <w:footnoteRef/>
      </w:r>
      <w:r>
        <w:tab/>
        <w:t xml:space="preserve">Real growth in the Age Pension will </w:t>
      </w:r>
      <w:r w:rsidR="007B4B09">
        <w:t>increase</w:t>
      </w:r>
      <w:r>
        <w:t xml:space="preserve"> from that projected in this report due to the announcement that the Government will not proceed with the change in the eligibility age to 70 years.  This affects the projections</w:t>
      </w:r>
      <w:r>
        <w:br/>
        <w:t>from 2025-26.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46976" behindDoc="1" locked="1" layoutInCell="1" allowOverlap="1" wp14:anchorId="6F96F2D0" wp14:editId="0CEE1B17">
              <wp:simplePos x="0" y="0"/>
              <wp:positionH relativeFrom="page">
                <wp:align>center</wp:align>
              </wp:positionH>
              <wp:positionV relativeFrom="page">
                <wp:align>center</wp:align>
              </wp:positionV>
              <wp:extent cx="7560000" cy="1796400"/>
              <wp:effectExtent l="0" t="0" r="0" b="0"/>
              <wp:wrapNone/>
              <wp:docPr id="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26" type="#_x0000_t202" style="position:absolute;margin-left:0;margin-top:0;width:595.3pt;height:141.45pt;z-index:-2516695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IOtgIAALw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Pr="00560DD4" w:rsidRDefault="00B838BB" w:rsidP="00560DD4">
    <w:pPr>
      <w:pStyle w:val="Header"/>
    </w:pPr>
    <w:r>
      <w:rPr>
        <w:noProof/>
        <w:lang w:eastAsia="en-AU"/>
      </w:rPr>
      <mc:AlternateContent>
        <mc:Choice Requires="wps">
          <w:drawing>
            <wp:anchor distT="0" distB="0" distL="114300" distR="114300" simplePos="0" relativeHeight="251736064" behindDoc="1" locked="1" layoutInCell="1" allowOverlap="1" wp14:anchorId="7FFA949C" wp14:editId="4B243189">
              <wp:simplePos x="0" y="0"/>
              <wp:positionH relativeFrom="page">
                <wp:align>center</wp:align>
              </wp:positionH>
              <wp:positionV relativeFrom="page">
                <wp:align>center</wp:align>
              </wp:positionV>
              <wp:extent cx="7560000" cy="1796400"/>
              <wp:effectExtent l="0" t="0" r="0" b="0"/>
              <wp:wrapNone/>
              <wp:docPr id="3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margin-left:0;margin-top:0;width:595.3pt;height:141.45pt;z-index:-251580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xXtFquwIA&#10;AMQFAAAOAAAAAAAAAAAAAAAAAC4CAABkcnMvZTJvRG9jLnhtbFBLAQItABQABgAIAAAAIQA0xUTO&#10;2wAAAAYBAAAPAAAAAAAAAAAAAAAAABUFAABkcnMvZG93bnJldi54bWxQSwUGAAAAAAQABADzAAAA&#10;HQYAAAAA&#10;" filled="f" stroked="f">
              <v:textbox>
                <w:txbxContent>
                  <w:p w:rsidR="00B838BB" w:rsidRPr="0001226A" w:rsidRDefault="00B838BB"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29920" behindDoc="1" locked="1" layoutInCell="1" allowOverlap="1" wp14:anchorId="468D4131" wp14:editId="340AC846">
              <wp:simplePos x="0" y="0"/>
              <wp:positionH relativeFrom="page">
                <wp:align>center</wp:align>
              </wp:positionH>
              <wp:positionV relativeFrom="page">
                <wp:align>center</wp:align>
              </wp:positionV>
              <wp:extent cx="7560000" cy="1796400"/>
              <wp:effectExtent l="0" t="0" r="0" b="0"/>
              <wp:wrapNone/>
              <wp:docPr id="4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margin-left:0;margin-top:0;width:595.3pt;height:141.45pt;z-index:-251586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AP6Bx5uwIA&#10;AMUFAAAOAAAAAAAAAAAAAAAAAC4CAABkcnMvZTJvRG9jLnhtbFBLAQItABQABgAIAAAAIQA0xUTO&#10;2wAAAAYBAAAPAAAAAAAAAAAAAAAAABUFAABkcnMvZG93bnJldi54bWxQSwUGAAAAAAQABADzAAAA&#10;HQY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27872" behindDoc="1" locked="1" layoutInCell="1" allowOverlap="1" wp14:anchorId="1CB1E63F" wp14:editId="6FDAB6EE">
              <wp:simplePos x="0" y="0"/>
              <wp:positionH relativeFrom="page">
                <wp:align>center</wp:align>
              </wp:positionH>
              <wp:positionV relativeFrom="page">
                <wp:align>center</wp:align>
              </wp:positionV>
              <wp:extent cx="7560000" cy="1796400"/>
              <wp:effectExtent l="0" t="0" r="0" b="0"/>
              <wp:wrapNone/>
              <wp:docPr id="4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0;margin-top:0;width:595.3pt;height:141.45pt;z-index:-251588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C4I+L6uwIA&#10;AMUFAAAOAAAAAAAAAAAAAAAAAC4CAABkcnMvZTJvRG9jLnhtbFBLAQItABQABgAIAAAAIQA0xUTO&#10;2wAAAAYBAAAPAAAAAAAAAAAAAAAAABUFAABkcnMvZG93bnJldi54bWxQSwUGAAAAAAQABADzAAAA&#10;HQY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31968" behindDoc="1" locked="1" layoutInCell="1" allowOverlap="1" wp14:anchorId="34A8C392" wp14:editId="49637C4C">
              <wp:simplePos x="0" y="0"/>
              <wp:positionH relativeFrom="page">
                <wp:align>center</wp:align>
              </wp:positionH>
              <wp:positionV relativeFrom="page">
                <wp:align>center</wp:align>
              </wp:positionV>
              <wp:extent cx="7560000" cy="1796400"/>
              <wp:effectExtent l="0" t="0" r="0" b="0"/>
              <wp:wrapNone/>
              <wp:docPr id="4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margin-left:0;margin-top:0;width:595.3pt;height:141.45pt;z-index:-251584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EMp6Y7wC&#10;AADFBQAADgAAAAAAAAAAAAAAAAAuAgAAZHJzL2Uyb0RvYy54bWxQSwECLQAUAAYACAAAACEANMVE&#10;ztsAAAAGAQAADwAAAAAAAAAAAAAAAAAWBQAAZHJzL2Rvd25yZXYueG1sUEsFBgAAAAAEAAQA8wAA&#10;AB4GA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23776" behindDoc="1" locked="1" layoutInCell="1" allowOverlap="1" wp14:anchorId="08A45BA9" wp14:editId="245D1306">
              <wp:simplePos x="0" y="0"/>
              <wp:positionH relativeFrom="page">
                <wp:align>center</wp:align>
              </wp:positionH>
              <wp:positionV relativeFrom="page">
                <wp:align>center</wp:align>
              </wp:positionV>
              <wp:extent cx="7560000" cy="1796400"/>
              <wp:effectExtent l="0" t="0" r="0" b="0"/>
              <wp:wrapNone/>
              <wp:docPr id="2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9" type="#_x0000_t202" style="position:absolute;margin-left:0;margin-top:0;width:595.3pt;height:141.45pt;z-index:-251592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oBQbKLwC&#10;AADFBQAADgAAAAAAAAAAAAAAAAAuAgAAZHJzL2Uyb0RvYy54bWxQSwECLQAUAAYACAAAACEANMVE&#10;ztsAAAAGAQAADwAAAAAAAAAAAAAAAAAWBQAAZHJzL2Rvd25yZXYueG1sUEsFBgAAAAAEAAQA8wAA&#10;AB4GA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21728" behindDoc="1" locked="1" layoutInCell="1" allowOverlap="1" wp14:anchorId="21AFA29A" wp14:editId="69FDA41E">
              <wp:simplePos x="0" y="0"/>
              <wp:positionH relativeFrom="page">
                <wp:align>center</wp:align>
              </wp:positionH>
              <wp:positionV relativeFrom="page">
                <wp:align>center</wp:align>
              </wp:positionV>
              <wp:extent cx="7560000" cy="1796400"/>
              <wp:effectExtent l="0" t="0" r="0" b="0"/>
              <wp:wrapNone/>
              <wp:docPr id="2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0;margin-top:0;width:595.3pt;height:141.45pt;z-index:-251594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HuUdpLwC&#10;AADFBQAADgAAAAAAAAAAAAAAAAAuAgAAZHJzL2Uyb0RvYy54bWxQSwECLQAUAAYACAAAACEANMVE&#10;ztsAAAAGAQAADwAAAAAAAAAAAAAAAAAWBQAAZHJzL2Rvd25yZXYueG1sUEsFBgAAAAAEAAQA8wAA&#10;AB4GA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25824" behindDoc="1" locked="1" layoutInCell="1" allowOverlap="1" wp14:anchorId="428DF940" wp14:editId="5B9FEABC">
              <wp:simplePos x="0" y="0"/>
              <wp:positionH relativeFrom="page">
                <wp:align>center</wp:align>
              </wp:positionH>
              <wp:positionV relativeFrom="page">
                <wp:align>center</wp:align>
              </wp:positionV>
              <wp:extent cx="7560000" cy="1796400"/>
              <wp:effectExtent l="0" t="0" r="0" b="0"/>
              <wp:wrapNone/>
              <wp:docPr id="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1" type="#_x0000_t202" style="position:absolute;margin-left:0;margin-top:0;width:595.3pt;height:141.45pt;z-index:-251590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17632" behindDoc="1" locked="1" layoutInCell="1" allowOverlap="1" wp14:anchorId="2D39CB08" wp14:editId="1D2EB45F">
              <wp:simplePos x="0" y="0"/>
              <wp:positionH relativeFrom="page">
                <wp:align>center</wp:align>
              </wp:positionH>
              <wp:positionV relativeFrom="page">
                <wp:align>center</wp:align>
              </wp:positionV>
              <wp:extent cx="7560000" cy="1796400"/>
              <wp:effectExtent l="0" t="0" r="0" b="0"/>
              <wp:wrapNone/>
              <wp:docPr id="10"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0;margin-top:0;width:595.3pt;height:141.45pt;z-index:-251598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9ukuQIAAMU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ASvbpLkCAADF&#10;BQAADgAAAAAAAAAAAAAAAAAuAgAAZHJzL2Uyb0RvYy54bWxQSwECLQAUAAYACAAAACEANMVEztsA&#10;AAAGAQAADwAAAAAAAAAAAAAAAAATBQAAZHJzL2Rvd25yZXYueG1sUEsFBgAAAAAEAAQA8wAAABsG&#10;AAAAAA==&#10;" filled="f" stroked="f">
              <v:textbox>
                <w:txbxContent>
                  <w:p w:rsidR="00560DD4" w:rsidRPr="0001226A" w:rsidRDefault="00560DD4" w:rsidP="00F45442">
                    <w:pPr>
                      <w:pStyle w:val="xStatus"/>
                      <w:rPr>
                        <w:szCs w:val="120"/>
                      </w:rPr>
                    </w:pPr>
                  </w:p>
                </w:txbxContent>
              </v:textbox>
              <w10:wrap anchorx="page" anchory="page"/>
              <w10:anchorlock/>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15584" behindDoc="1" locked="1" layoutInCell="1" allowOverlap="1" wp14:anchorId="23CA5869" wp14:editId="24AE7AF4">
              <wp:simplePos x="0" y="0"/>
              <wp:positionH relativeFrom="page">
                <wp:align>center</wp:align>
              </wp:positionH>
              <wp:positionV relativeFrom="page">
                <wp:align>center</wp:align>
              </wp:positionV>
              <wp:extent cx="7560000" cy="1796400"/>
              <wp:effectExtent l="0" t="0" r="0" b="0"/>
              <wp:wrapNone/>
              <wp:docPr id="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0;margin-top:0;width:595.3pt;height:141.45pt;z-index:-251600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2Yff4uwIA&#10;AMQFAAAOAAAAAAAAAAAAAAAAAC4CAABkcnMvZTJvRG9jLnhtbFBLAQItABQABgAIAAAAIQA0xUTO&#10;2wAAAAYBAAAPAAAAAAAAAAAAAAAAABUFAABkcnMvZG93bnJldi54bWxQSwUGAAAAAAQABADzAAAA&#10;HQYAAAAA&#10;" filled="f" stroked="f">
              <v:textbox>
                <w:txbxContent>
                  <w:p w:rsidR="00560DD4" w:rsidRPr="0001226A" w:rsidRDefault="00560DD4" w:rsidP="00F45442">
                    <w:pPr>
                      <w:pStyle w:val="xStatus"/>
                      <w:rPr>
                        <w:szCs w:val="120"/>
                      </w:rPr>
                    </w:pPr>
                  </w:p>
                </w:txbxContent>
              </v:textbox>
              <w10:wrap anchorx="page" anchory="page"/>
              <w10:anchorlock/>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53120" behindDoc="1" locked="1" layoutInCell="1" allowOverlap="1" wp14:anchorId="2591E8B2" wp14:editId="6998B600">
              <wp:simplePos x="0" y="0"/>
              <wp:positionH relativeFrom="page">
                <wp:align>center</wp:align>
              </wp:positionH>
              <wp:positionV relativeFrom="page">
                <wp:align>center</wp:align>
              </wp:positionV>
              <wp:extent cx="7560000" cy="1796400"/>
              <wp:effectExtent l="0" t="0" r="0" b="0"/>
              <wp:wrapNone/>
              <wp:docPr id="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0;margin-top:0;width:595.3pt;height:141.45pt;z-index:-251663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eAB0W6AgAA&#10;wwUAAA4AAAAAAAAAAAAAAAAALgIAAGRycy9lMm9Eb2MueG1sUEsBAi0AFAAGAAgAAAAhADTFRM7b&#10;AAAABgEAAA8AAAAAAAAAAAAAAAAAFAUAAGRycy9kb3ducmV2LnhtbFBLBQYAAAAABAAEAPMAAAAc&#10;Bg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719680" behindDoc="1" locked="1" layoutInCell="1" allowOverlap="1" wp14:anchorId="54AFAF11" wp14:editId="72DC0381">
              <wp:simplePos x="0" y="0"/>
              <wp:positionH relativeFrom="page">
                <wp:align>center</wp:align>
              </wp:positionH>
              <wp:positionV relativeFrom="page">
                <wp:align>center</wp:align>
              </wp:positionV>
              <wp:extent cx="7560000" cy="1796400"/>
              <wp:effectExtent l="0" t="0" r="0" b="0"/>
              <wp:wrapNone/>
              <wp:docPr id="1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margin-left:0;margin-top:0;width:595.3pt;height:141.45pt;z-index:-251596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bOugIAAMU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Bv4Rs66AgAA&#10;xQUAAA4AAAAAAAAAAAAAAAAALgIAAGRycy9lMm9Eb2MueG1sUEsBAi0AFAAGAAgAAAAhADTFRM7b&#10;AAAABgEAAA8AAAAAAAAAAAAAAAAAFAUAAGRycy9kb3ducmV2LnhtbFBLBQYAAAAABAAEAPMAAAAc&#10;BgAAAAA=&#10;" filled="f" stroked="f">
              <v:textbox>
                <w:txbxContent>
                  <w:p w:rsidR="00560DD4" w:rsidRPr="0001226A" w:rsidRDefault="00560DD4" w:rsidP="00F45442">
                    <w:pPr>
                      <w:pStyle w:val="xStatus"/>
                      <w:rPr>
                        <w:szCs w:val="120"/>
                      </w:rPr>
                    </w:pPr>
                  </w:p>
                </w:txbxContent>
              </v:textbox>
              <w10:wrap anchorx="page" anchory="page"/>
              <w10:anchorlock/>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w:drawing>
        <wp:anchor distT="0" distB="0" distL="114300" distR="114300" simplePos="0" relativeHeight="251712512" behindDoc="0" locked="1" layoutInCell="1" allowOverlap="1" wp14:anchorId="228B06D4" wp14:editId="4A91AAE9">
          <wp:simplePos x="0" y="0"/>
          <wp:positionH relativeFrom="page">
            <wp:posOffset>939800</wp:posOffset>
          </wp:positionH>
          <wp:positionV relativeFrom="page">
            <wp:posOffset>1260475</wp:posOffset>
          </wp:positionV>
          <wp:extent cx="1918800" cy="586800"/>
          <wp:effectExtent l="0" t="0" r="5715" b="3810"/>
          <wp:wrapNone/>
          <wp:docPr id="17" name="Picture 17" descr="Parliamentary Budget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8800" cy="586800"/>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711488" behindDoc="1" locked="1" layoutInCell="1" allowOverlap="1" wp14:anchorId="515699D0" wp14:editId="0257B35B">
          <wp:simplePos x="896815" y="509954"/>
          <wp:positionH relativeFrom="page">
            <wp:align>left</wp:align>
          </wp:positionH>
          <wp:positionV relativeFrom="page">
            <wp:align>top</wp:align>
          </wp:positionV>
          <wp:extent cx="7559675" cy="10692765"/>
          <wp:effectExtent l="0" t="0" r="3175" b="0"/>
          <wp:wrapNone/>
          <wp:docPr id="21" name="Picture 21" descr="Decorative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s.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9675" cy="106932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mc:AlternateContent>
        <mc:Choice Requires="wps">
          <w:drawing>
            <wp:anchor distT="0" distB="0" distL="114300" distR="114300" simplePos="0" relativeHeight="251713536" behindDoc="1" locked="1" layoutInCell="1" allowOverlap="1" wp14:anchorId="79886805" wp14:editId="010B9058">
              <wp:simplePos x="0" y="0"/>
              <wp:positionH relativeFrom="page">
                <wp:align>center</wp:align>
              </wp:positionH>
              <wp:positionV relativeFrom="page">
                <wp:align>center</wp:align>
              </wp:positionV>
              <wp:extent cx="7560000" cy="1796400"/>
              <wp:effectExtent l="0" t="0" r="0" b="0"/>
              <wp:wrapNone/>
              <wp:docPr id="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150788">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0;width:595.3pt;height:141.45pt;z-index:-251602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sOS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Gtyw5K6AgAA&#10;wwUAAA4AAAAAAAAAAAAAAAAALgIAAGRycy9lMm9Eb2MueG1sUEsBAi0AFAAGAAgAAAAhADTFRM7b&#10;AAAABgEAAA8AAAAAAAAAAAAAAAAAFAUAAGRycy9kb3ducmV2LnhtbFBLBQYAAAAABAAEAPMAAAAc&#10;BgAAAAA=&#10;" filled="f" stroked="f">
              <v:textbox>
                <w:txbxContent>
                  <w:p w:rsidR="00B838BB" w:rsidRPr="0001226A" w:rsidRDefault="00B838BB" w:rsidP="00150788">
                    <w:pPr>
                      <w:pStyle w:val="xStatus"/>
                      <w:rPr>
                        <w:szCs w:val="120"/>
                      </w:rPr>
                    </w:pPr>
                  </w:p>
                </w:txbxContent>
              </v:textbox>
              <w10:wrap anchorx="page" anchory="page"/>
              <w10:anchorlock/>
            </v:shape>
          </w:pict>
        </mc:Fallback>
      </mc:AlternateContent>
    </w:r>
  </w:p>
  <w:p w:rsidR="00B838BB" w:rsidRDefault="00B838B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76672" behindDoc="1" locked="1" layoutInCell="1" allowOverlap="1" wp14:anchorId="33AD2210" wp14:editId="14008C18">
              <wp:simplePos x="0" y="0"/>
              <wp:positionH relativeFrom="page">
                <wp:align>center</wp:align>
              </wp:positionH>
              <wp:positionV relativeFrom="page">
                <wp:align>center</wp:align>
              </wp:positionV>
              <wp:extent cx="7560000" cy="1796400"/>
              <wp:effectExtent l="0" t="0" r="0" b="0"/>
              <wp:wrapNone/>
              <wp:docPr id="1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0;width:595.3pt;height:141.45pt;z-index:-2516398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78720" behindDoc="1" locked="1" layoutInCell="1" allowOverlap="1" wp14:anchorId="740B303F" wp14:editId="6C46D9EE">
              <wp:simplePos x="0" y="0"/>
              <wp:positionH relativeFrom="page">
                <wp:align>center</wp:align>
              </wp:positionH>
              <wp:positionV relativeFrom="page">
                <wp:align>center</wp:align>
              </wp:positionV>
              <wp:extent cx="7560000" cy="1796400"/>
              <wp:effectExtent l="0" t="0" r="0" b="0"/>
              <wp:wrapNone/>
              <wp:docPr id="1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0;margin-top:0;width:595.3pt;height:141.45pt;z-index:-251637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DjfZqa6AgAA&#10;xAUAAA4AAAAAAAAAAAAAAAAALgIAAGRycy9lMm9Eb2MueG1sUEsBAi0AFAAGAAgAAAAhADTFRM7b&#10;AAAABgEAAA8AAAAAAAAAAAAAAAAAFAUAAGRycy9kb3ducmV2LnhtbFBLBQYAAAAABAAEAPMAAAAc&#10;Bg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74624" behindDoc="1" locked="1" layoutInCell="1" allowOverlap="1" wp14:anchorId="75237D6A" wp14:editId="6D8F3262">
              <wp:simplePos x="0" y="0"/>
              <wp:positionH relativeFrom="page">
                <wp:align>center</wp:align>
              </wp:positionH>
              <wp:positionV relativeFrom="page">
                <wp:align>center</wp:align>
              </wp:positionV>
              <wp:extent cx="7560000" cy="1796400"/>
              <wp:effectExtent l="0" t="0" r="0" b="0"/>
              <wp:wrapNone/>
              <wp:docPr id="1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0;margin-top:0;width:595.3pt;height:141.45pt;z-index:-251641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OVugIAAMQ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80U5W6AgAA&#10;xAUAAA4AAAAAAAAAAAAAAAAALgIAAGRycy9lMm9Eb2MueG1sUEsBAi0AFAAGAAgAAAAhADTFRM7b&#10;AAAABgEAAA8AAAAAAAAAAAAAAAAAFAUAAGRycy9kb3ducmV2LnhtbFBLBQYAAAAABAAEAPMAAAAc&#10;Bg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67456" behindDoc="1" locked="1" layoutInCell="1" allowOverlap="1" wp14:anchorId="13FA37C1" wp14:editId="0139A6F5">
              <wp:simplePos x="0" y="0"/>
              <wp:positionH relativeFrom="page">
                <wp:align>center</wp:align>
              </wp:positionH>
              <wp:positionV relativeFrom="page">
                <wp:align>center</wp:align>
              </wp:positionV>
              <wp:extent cx="7560000" cy="1796400"/>
              <wp:effectExtent l="0" t="0" r="0" b="0"/>
              <wp:wrapNone/>
              <wp:docPr id="4"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0;margin-top:0;width:595.3pt;height:141.45pt;z-index:-2516490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ISvYDu6AgAA&#10;wwUAAA4AAAAAAAAAAAAAAAAALgIAAGRycy9lMm9Eb2MueG1sUEsBAi0AFAAGAAgAAAAhADTFRM7b&#10;AAAABgEAAA8AAAAAAAAAAAAAAAAAFAUAAGRycy9kb3ducmV2LnhtbFBLBQYAAAAABAAEAPMAAAAc&#10;Bg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Default="00B838BB">
    <w:pPr>
      <w:pStyle w:val="Header"/>
    </w:pPr>
    <w:r>
      <w:rPr>
        <w:noProof/>
        <w:lang w:eastAsia="en-AU"/>
      </w:rPr>
      <mc:AlternateContent>
        <mc:Choice Requires="wps">
          <w:drawing>
            <wp:anchor distT="0" distB="0" distL="114300" distR="114300" simplePos="0" relativeHeight="251661312" behindDoc="1" locked="1" layoutInCell="1" allowOverlap="1" wp14:anchorId="1BC6AF31" wp14:editId="303BA865">
              <wp:simplePos x="0" y="0"/>
              <wp:positionH relativeFrom="page">
                <wp:align>center</wp:align>
              </wp:positionH>
              <wp:positionV relativeFrom="page">
                <wp:align>center</wp:align>
              </wp:positionV>
              <wp:extent cx="7560000" cy="1796400"/>
              <wp:effectExtent l="0" t="0" r="0" b="0"/>
              <wp:wrapNone/>
              <wp:docPr id="28"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0;margin-top:0;width:595.3pt;height:141.45pt;z-index:-2516551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HZz5kK6AgAA&#10;xAUAAA4AAAAAAAAAAAAAAAAALgIAAGRycy9lMm9Eb2MueG1sUEsBAi0AFAAGAAgAAAAhADTFRM7b&#10;AAAABgEAAA8AAAAAAAAAAAAAAAAAFAUAAGRycy9kb3ducmV2LnhtbFBLBQYAAAAABAAEAPMAAAAc&#10;BgAAAAA=&#10;" filled="f" stroked="f">
              <v:textbox>
                <w:txbxContent>
                  <w:p w:rsidR="00B838BB" w:rsidRPr="0001226A" w:rsidRDefault="00B838BB" w:rsidP="00F45442">
                    <w:pPr>
                      <w:pStyle w:val="xStatus"/>
                      <w:rPr>
                        <w:szCs w:val="120"/>
                      </w:rPr>
                    </w:pPr>
                  </w:p>
                </w:txbxContent>
              </v:textbox>
              <w10:wrap anchorx="page" anchory="page"/>
              <w10:anchorlock/>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38BB" w:rsidRPr="00560DD4" w:rsidRDefault="00B838BB" w:rsidP="00560DD4">
    <w:pPr>
      <w:pStyle w:val="Header"/>
    </w:pPr>
    <w:r>
      <w:rPr>
        <w:noProof/>
        <w:lang w:eastAsia="en-AU"/>
      </w:rPr>
      <mc:AlternateContent>
        <mc:Choice Requires="wps">
          <w:drawing>
            <wp:anchor distT="0" distB="0" distL="114300" distR="114300" simplePos="0" relativeHeight="251734016" behindDoc="1" locked="1" layoutInCell="1" allowOverlap="1" wp14:anchorId="7BB7F581" wp14:editId="5B525102">
              <wp:simplePos x="0" y="0"/>
              <wp:positionH relativeFrom="page">
                <wp:align>center</wp:align>
              </wp:positionH>
              <wp:positionV relativeFrom="page">
                <wp:align>center</wp:align>
              </wp:positionV>
              <wp:extent cx="7560000" cy="1796400"/>
              <wp:effectExtent l="0" t="0" r="0" b="0"/>
              <wp:wrapNone/>
              <wp:docPr id="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38BB" w:rsidRPr="0001226A" w:rsidRDefault="00B838BB"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0;margin-top:0;width:595.3pt;height:141.45pt;z-index:-251582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" filled="f" stroked="f">
              <v:textbox>
                <w:txbxContent>
                  <w:p w:rsidR="00B838BB" w:rsidRPr="0001226A" w:rsidRDefault="00B838BB" w:rsidP="00F45442">
                    <w:pPr>
                      <w:pStyle w:val="xStatus"/>
                      <w:rPr>
                        <w:szCs w:val="120"/>
                      </w:rPr>
                    </w:pPr>
                    <w:r w:rsidRPr="0001226A">
                      <w:rPr>
                        <w:szCs w:val="120"/>
                      </w:rPr>
                      <w:fldChar w:fldCharType="begin"/>
                    </w:r>
                    <w:r w:rsidRPr="0001226A">
                      <w:rPr>
                        <w:szCs w:val="120"/>
                      </w:rPr>
                      <w:instrText xml:space="preserve"> DOCPROPERTY  xStatus  \* MERGEFORMAT </w:instrText>
                    </w:r>
                    <w:r w:rsidRPr="0001226A">
                      <w:rPr>
                        <w:szCs w:val="120"/>
                      </w:rPr>
                      <w:fldChar w:fldCharType="end"/>
                    </w:r>
                  </w:p>
                </w:txbxContent>
              </v:textbox>
              <w10:wrap anchorx="page" anchory="page"/>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9A30C23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C2D2723E"/>
    <w:lvl w:ilvl="0">
      <w:start w:val="1"/>
      <w:numFmt w:val="bullet"/>
      <w:lvlText w:val=""/>
      <w:lvlJc w:val="left"/>
      <w:pPr>
        <w:tabs>
          <w:tab w:val="num" w:pos="1209"/>
        </w:tabs>
        <w:ind w:left="1209" w:hanging="360"/>
      </w:pPr>
      <w:rPr>
        <w:rFonts w:ascii="Symbol" w:hAnsi="Symbol" w:hint="default"/>
      </w:rPr>
    </w:lvl>
  </w:abstractNum>
  <w:abstractNum w:abstractNumId="2">
    <w:nsid w:val="068B37FE"/>
    <w:multiLevelType w:val="multilevel"/>
    <w:tmpl w:val="D3748072"/>
    <w:name w:val="Bullets"/>
    <w:lvl w:ilvl="0">
      <w:start w:val="1"/>
      <w:numFmt w:val="bullet"/>
      <w:lvlText w:val="•"/>
      <w:lvlJc w:val="left"/>
      <w:pPr>
        <w:tabs>
          <w:tab w:val="num" w:pos="284"/>
        </w:tabs>
        <w:ind w:left="284" w:hanging="284"/>
      </w:pPr>
      <w:rPr>
        <w:rFonts w:ascii="Calibri" w:hAnsi="Calibri" w:hint="default"/>
        <w:b w:val="0"/>
        <w:i w:val="0"/>
        <w:color w:val="auto"/>
        <w:position w:val="0"/>
        <w:sz w:val="19"/>
      </w:rPr>
    </w:lvl>
    <w:lvl w:ilvl="1">
      <w:start w:val="1"/>
      <w:numFmt w:val="bullet"/>
      <w:lvlText w:val="–"/>
      <w:lvlJc w:val="left"/>
      <w:pPr>
        <w:tabs>
          <w:tab w:val="num" w:pos="568"/>
        </w:tabs>
        <w:ind w:left="568" w:hanging="284"/>
      </w:pPr>
      <w:rPr>
        <w:rFonts w:ascii="Calibri" w:hAnsi="Calibri" w:hint="default"/>
        <w:b w:val="0"/>
        <w:i w:val="0"/>
        <w:color w:val="auto"/>
        <w:position w:val="0"/>
        <w:sz w:val="19"/>
      </w:rPr>
    </w:lvl>
    <w:lvl w:ilvl="2">
      <w:start w:val="1"/>
      <w:numFmt w:val="bullet"/>
      <w:lvlText w:val=""/>
      <w:lvlJc w:val="left"/>
      <w:pPr>
        <w:tabs>
          <w:tab w:val="num" w:pos="852"/>
        </w:tabs>
        <w:ind w:left="852" w:hanging="284"/>
      </w:pPr>
      <w:rPr>
        <w:rFonts w:ascii="Wingdings" w:hAnsi="Wingdings" w:hint="default"/>
        <w:b w:val="0"/>
        <w:i w:val="0"/>
        <w:color w:val="auto"/>
        <w:spacing w:val="0"/>
        <w:w w:val="100"/>
        <w:position w:val="0"/>
        <w:sz w:val="19"/>
        <w:szCs w:val="16"/>
      </w:rPr>
    </w:lvl>
    <w:lvl w:ilvl="3">
      <w:start w:val="1"/>
      <w:numFmt w:val="none"/>
      <w:lvlText w:val=""/>
      <w:lvlJc w:val="left"/>
      <w:pPr>
        <w:tabs>
          <w:tab w:val="num" w:pos="1136"/>
        </w:tabs>
        <w:ind w:left="1136" w:hanging="284"/>
      </w:pPr>
      <w:rPr>
        <w:rFonts w:hint="default"/>
      </w:rPr>
    </w:lvl>
    <w:lvl w:ilvl="4">
      <w:start w:val="1"/>
      <w:numFmt w:val="none"/>
      <w:lvlText w:val=""/>
      <w:lvlJc w:val="left"/>
      <w:pPr>
        <w:tabs>
          <w:tab w:val="num" w:pos="1420"/>
        </w:tabs>
        <w:ind w:left="1420" w:hanging="284"/>
      </w:pPr>
      <w:rPr>
        <w:rFonts w:hint="default"/>
      </w:rPr>
    </w:lvl>
    <w:lvl w:ilvl="5">
      <w:start w:val="1"/>
      <w:numFmt w:val="none"/>
      <w:lvlText w:val=""/>
      <w:lvlJc w:val="left"/>
      <w:pPr>
        <w:tabs>
          <w:tab w:val="num" w:pos="1704"/>
        </w:tabs>
        <w:ind w:left="1704" w:hanging="284"/>
      </w:pPr>
      <w:rPr>
        <w:rFonts w:hint="default"/>
      </w:rPr>
    </w:lvl>
    <w:lvl w:ilvl="6">
      <w:start w:val="1"/>
      <w:numFmt w:val="none"/>
      <w:lvlText w:val=""/>
      <w:lvlJc w:val="left"/>
      <w:pPr>
        <w:tabs>
          <w:tab w:val="num" w:pos="1988"/>
        </w:tabs>
        <w:ind w:left="1988" w:hanging="284"/>
      </w:pPr>
      <w:rPr>
        <w:rFonts w:hint="default"/>
      </w:rPr>
    </w:lvl>
    <w:lvl w:ilvl="7">
      <w:start w:val="1"/>
      <w:numFmt w:val="none"/>
      <w:lvlText w:val=""/>
      <w:lvlJc w:val="left"/>
      <w:pPr>
        <w:tabs>
          <w:tab w:val="num" w:pos="2272"/>
        </w:tabs>
        <w:ind w:left="2272" w:hanging="284"/>
      </w:pPr>
      <w:rPr>
        <w:rFonts w:hint="default"/>
      </w:rPr>
    </w:lvl>
    <w:lvl w:ilvl="8">
      <w:start w:val="1"/>
      <w:numFmt w:val="none"/>
      <w:lvlText w:val=""/>
      <w:lvlJc w:val="left"/>
      <w:pPr>
        <w:tabs>
          <w:tab w:val="num" w:pos="2556"/>
        </w:tabs>
        <w:ind w:left="2556" w:hanging="284"/>
      </w:pPr>
      <w:rPr>
        <w:rFonts w:hint="default"/>
      </w:rPr>
    </w:lvl>
  </w:abstractNum>
  <w:abstractNum w:abstractNumId="3">
    <w:nsid w:val="0D745448"/>
    <w:multiLevelType w:val="multilevel"/>
    <w:tmpl w:val="C570F8B4"/>
    <w:name w:val="PBOHeadings"/>
    <w:lvl w:ilvl="0">
      <w:start w:val="1"/>
      <w:numFmt w:val="decimal"/>
      <w:pStyle w:val="Heading1"/>
      <w:lvlText w:val="%1"/>
      <w:lvlJc w:val="left"/>
      <w:pPr>
        <w:ind w:left="765" w:hanging="765"/>
      </w:pPr>
      <w:rPr>
        <w:rFonts w:hint="default"/>
      </w:rPr>
    </w:lvl>
    <w:lvl w:ilvl="1">
      <w:start w:val="1"/>
      <w:numFmt w:val="decimal"/>
      <w:pStyle w:val="Heading2"/>
      <w:lvlText w:val="%1.%2"/>
      <w:lvlJc w:val="left"/>
      <w:pPr>
        <w:ind w:left="765" w:hanging="765"/>
      </w:pPr>
      <w:rPr>
        <w:rFonts w:hint="default"/>
      </w:rPr>
    </w:lvl>
    <w:lvl w:ilvl="2">
      <w:start w:val="1"/>
      <w:numFmt w:val="decimal"/>
      <w:pStyle w:val="Heading3"/>
      <w:lvlText w:val="%1.%2.%3"/>
      <w:lvlJc w:val="left"/>
      <w:pPr>
        <w:ind w:left="765" w:hanging="765"/>
      </w:pPr>
      <w:rPr>
        <w:rFonts w:hint="default"/>
      </w:rPr>
    </w:lvl>
    <w:lvl w:ilvl="3">
      <w:start w:val="1"/>
      <w:numFmt w:val="none"/>
      <w:lvlText w:val=""/>
      <w:lvlJc w:val="left"/>
      <w:pPr>
        <w:ind w:left="765" w:hanging="765"/>
      </w:pPr>
      <w:rPr>
        <w:rFonts w:hint="default"/>
      </w:rPr>
    </w:lvl>
    <w:lvl w:ilvl="4">
      <w:start w:val="1"/>
      <w:numFmt w:val="none"/>
      <w:lvlText w:val=""/>
      <w:lvlJc w:val="left"/>
      <w:pPr>
        <w:ind w:left="765" w:hanging="765"/>
      </w:pPr>
      <w:rPr>
        <w:rFonts w:hint="default"/>
      </w:rPr>
    </w:lvl>
    <w:lvl w:ilvl="5">
      <w:start w:val="1"/>
      <w:numFmt w:val="none"/>
      <w:lvlText w:val=""/>
      <w:lvlJc w:val="lef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left"/>
      <w:pPr>
        <w:ind w:left="765" w:hanging="765"/>
      </w:pPr>
      <w:rPr>
        <w:rFonts w:hint="default"/>
      </w:rPr>
    </w:lvl>
  </w:abstractNum>
  <w:abstractNum w:abstractNumId="4">
    <w:nsid w:val="0FB2573F"/>
    <w:multiLevelType w:val="multilevel"/>
    <w:tmpl w:val="CBAACE70"/>
    <w:name w:val="TableFootnotes"/>
    <w:lvl w:ilvl="0">
      <w:start w:val="1"/>
      <w:numFmt w:val="lowerLetter"/>
      <w:pStyle w:val="TableFootnotes"/>
      <w:lvlText w:val="(%1)"/>
      <w:lvlJc w:val="left"/>
      <w:pPr>
        <w:ind w:left="284" w:hanging="284"/>
      </w:pPr>
      <w:rPr>
        <w:rFonts w:hint="default"/>
        <w:color w:val="788184"/>
        <w:spacing w:val="0"/>
        <w:sz w:val="16"/>
        <w:vertAlign w:val="baseline"/>
      </w:rPr>
    </w:lvl>
    <w:lvl w:ilvl="1">
      <w:start w:val="1"/>
      <w:numFmt w:val="bullet"/>
      <w:lvlText w:val=""/>
      <w:lvlJc w:val="left"/>
      <w:pPr>
        <w:tabs>
          <w:tab w:val="num" w:pos="454"/>
        </w:tabs>
        <w:ind w:left="568" w:hanging="284"/>
      </w:pPr>
      <w:rPr>
        <w:rFonts w:ascii="Symbol" w:hAnsi="Symbol" w:hint="default"/>
        <w:spacing w:val="0"/>
        <w:w w:val="100"/>
        <w:kern w:val="0"/>
        <w:position w:val="0"/>
      </w:rPr>
    </w:lvl>
    <w:lvl w:ilvl="2">
      <w:start w:val="1"/>
      <w:numFmt w:val="bullet"/>
      <w:lvlRestart w:val="1"/>
      <w:lvlText w:val=""/>
      <w:lvlJc w:val="left"/>
      <w:pPr>
        <w:tabs>
          <w:tab w:val="num" w:pos="624"/>
        </w:tabs>
        <w:ind w:left="852" w:hanging="284"/>
      </w:pPr>
      <w:rPr>
        <w:rFonts w:ascii="Symbol" w:hAnsi="Symbol" w:hint="default"/>
        <w:color w:val="auto"/>
        <w:spacing w:val="-4"/>
      </w:rPr>
    </w:lvl>
    <w:lvl w:ilvl="3">
      <w:start w:val="1"/>
      <w:numFmt w:val="none"/>
      <w:lvlText w:val=""/>
      <w:lvlJc w:val="left"/>
      <w:pPr>
        <w:tabs>
          <w:tab w:val="num" w:pos="0"/>
        </w:tabs>
        <w:ind w:left="1136" w:hanging="284"/>
      </w:pPr>
      <w:rPr>
        <w:rFonts w:hint="default"/>
        <w:spacing w:val="-10"/>
        <w:w w:val="100"/>
      </w:rPr>
    </w:lvl>
    <w:lvl w:ilvl="4">
      <w:start w:val="1"/>
      <w:numFmt w:val="none"/>
      <w:lvlText w:val=""/>
      <w:lvlJc w:val="left"/>
      <w:pPr>
        <w:tabs>
          <w:tab w:val="num" w:pos="2835"/>
        </w:tabs>
        <w:ind w:left="1420" w:hanging="284"/>
      </w:pPr>
      <w:rPr>
        <w:rFonts w:hint="default"/>
      </w:rPr>
    </w:lvl>
    <w:lvl w:ilvl="5">
      <w:start w:val="1"/>
      <w:numFmt w:val="none"/>
      <w:lvlText w:val=""/>
      <w:lvlJc w:val="left"/>
      <w:pPr>
        <w:tabs>
          <w:tab w:val="num" w:pos="2160"/>
        </w:tabs>
        <w:ind w:left="1704" w:hanging="284"/>
      </w:pPr>
      <w:rPr>
        <w:rFonts w:hint="default"/>
      </w:rPr>
    </w:lvl>
    <w:lvl w:ilvl="6">
      <w:start w:val="1"/>
      <w:numFmt w:val="lowerRoman"/>
      <w:lvlRestart w:val="1"/>
      <w:lvlText w:val="%7"/>
      <w:lvlJc w:val="left"/>
      <w:pPr>
        <w:tabs>
          <w:tab w:val="num" w:pos="369"/>
        </w:tabs>
        <w:ind w:left="1988" w:hanging="284"/>
      </w:pPr>
      <w:rPr>
        <w:rFonts w:hint="default"/>
      </w:rPr>
    </w:lvl>
    <w:lvl w:ilvl="7">
      <w:start w:val="1"/>
      <w:numFmt w:val="lowerLetter"/>
      <w:lvlText w:val="%8."/>
      <w:lvlJc w:val="left"/>
      <w:pPr>
        <w:tabs>
          <w:tab w:val="num" w:pos="737"/>
        </w:tabs>
        <w:ind w:left="2272" w:hanging="284"/>
      </w:pPr>
      <w:rPr>
        <w:rFonts w:hint="default"/>
        <w:position w:val="0"/>
      </w:rPr>
    </w:lvl>
    <w:lvl w:ilvl="8">
      <w:start w:val="1"/>
      <w:numFmt w:val="bullet"/>
      <w:lvlText w:val=""/>
      <w:lvlJc w:val="left"/>
      <w:pPr>
        <w:tabs>
          <w:tab w:val="num" w:pos="1106"/>
        </w:tabs>
        <w:ind w:left="2556" w:hanging="284"/>
      </w:pPr>
      <w:rPr>
        <w:rFonts w:ascii="Symbol" w:hAnsi="Symbol" w:hint="default"/>
        <w:position w:val="2"/>
        <w:sz w:val="20"/>
        <w:szCs w:val="20"/>
      </w:rPr>
    </w:lvl>
  </w:abstractNum>
  <w:abstractNum w:abstractNumId="5">
    <w:nsid w:val="194A695C"/>
    <w:multiLevelType w:val="multilevel"/>
    <w:tmpl w:val="40883434"/>
    <w:name w:val="TableBullets"/>
    <w:lvl w:ilvl="0">
      <w:start w:val="1"/>
      <w:numFmt w:val="bullet"/>
      <w:pStyle w:val="TableTextBullet"/>
      <w:lvlText w:val="–"/>
      <w:lvlJc w:val="left"/>
      <w:pPr>
        <w:ind w:left="255" w:hanging="170"/>
      </w:pPr>
      <w:rPr>
        <w:rFonts w:ascii="Calibri" w:hAnsi="Calibri" w:hint="default"/>
        <w:color w:val="auto"/>
        <w:position w:val="2"/>
        <w:sz w:val="20"/>
        <w:szCs w:val="12"/>
      </w:rPr>
    </w:lvl>
    <w:lvl w:ilvl="1">
      <w:start w:val="1"/>
      <w:numFmt w:val="bullet"/>
      <w:pStyle w:val="TableTextBullet2"/>
      <w:lvlText w:val="–"/>
      <w:lvlJc w:val="left"/>
      <w:pPr>
        <w:ind w:left="425" w:hanging="170"/>
      </w:pPr>
      <w:rPr>
        <w:rFonts w:ascii="Times New Roman" w:hAnsi="Times New Roman" w:cs="Times New Roman" w:hint="default"/>
        <w:b w:val="0"/>
        <w:i w:val="0"/>
        <w:color w:val="auto"/>
        <w:sz w:val="20"/>
        <w:szCs w:val="18"/>
      </w:rPr>
    </w:lvl>
    <w:lvl w:ilvl="2">
      <w:start w:val="1"/>
      <w:numFmt w:val="bullet"/>
      <w:pStyle w:val="TableTextBullet3"/>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6">
    <w:nsid w:val="25CB236B"/>
    <w:multiLevelType w:val="multilevel"/>
    <w:tmpl w:val="582E5DAA"/>
    <w:name w:val="Pull Box Numbering"/>
    <w:lvl w:ilvl="0">
      <w:start w:val="1"/>
      <w:numFmt w:val="decimal"/>
      <w:pStyle w:val="PullOutBoxNumber"/>
      <w:lvlText w:val="%1"/>
      <w:lvlJc w:val="left"/>
      <w:pPr>
        <w:ind w:left="567" w:hanging="283"/>
      </w:pPr>
      <w:rPr>
        <w:rFonts w:hint="default"/>
      </w:rPr>
    </w:lvl>
    <w:lvl w:ilvl="1">
      <w:start w:val="1"/>
      <w:numFmt w:val="lowerLetter"/>
      <w:pStyle w:val="PullOutBoxNumber2"/>
      <w:lvlText w:val="%2"/>
      <w:lvlJc w:val="left"/>
      <w:pPr>
        <w:ind w:left="851" w:hanging="283"/>
      </w:pPr>
      <w:rPr>
        <w:rFonts w:hint="default"/>
      </w:rPr>
    </w:lvl>
    <w:lvl w:ilvl="2">
      <w:start w:val="1"/>
      <w:numFmt w:val="lowerRoman"/>
      <w:pStyle w:val="PullOutBoxNumber3"/>
      <w:lvlText w:val="%3"/>
      <w:lvlJc w:val="lef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7">
    <w:nsid w:val="27981AF9"/>
    <w:multiLevelType w:val="multilevel"/>
    <w:tmpl w:val="68087D48"/>
    <w:name w:val="Bullets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8">
    <w:nsid w:val="2C72580B"/>
    <w:multiLevelType w:val="multilevel"/>
    <w:tmpl w:val="A1605A0E"/>
    <w:name w:val="PullOutNumbering"/>
    <w:lvl w:ilvl="0">
      <w:start w:val="1"/>
      <w:numFmt w:val="decimal"/>
      <w:lvlText w:val="%1"/>
      <w:lvlJc w:val="left"/>
      <w:pPr>
        <w:tabs>
          <w:tab w:val="num" w:pos="624"/>
        </w:tabs>
        <w:ind w:left="624" w:hanging="340"/>
      </w:pPr>
      <w:rPr>
        <w:rFonts w:hint="default"/>
      </w:rPr>
    </w:lvl>
    <w:lvl w:ilvl="1">
      <w:start w:val="1"/>
      <w:numFmt w:val="lowerLetter"/>
      <w:lvlText w:val="%2"/>
      <w:lvlJc w:val="left"/>
      <w:pPr>
        <w:tabs>
          <w:tab w:val="num" w:pos="964"/>
        </w:tabs>
        <w:ind w:left="964" w:hanging="340"/>
      </w:pPr>
      <w:rPr>
        <w:rFonts w:hint="default"/>
        <w:color w:val="auto"/>
      </w:rPr>
    </w:lvl>
    <w:lvl w:ilvl="2">
      <w:start w:val="1"/>
      <w:numFmt w:val="lowerRoman"/>
      <w:lvlText w:val="%3"/>
      <w:lvlJc w:val="left"/>
      <w:pPr>
        <w:tabs>
          <w:tab w:val="num" w:pos="1304"/>
        </w:tabs>
        <w:ind w:left="1304" w:hanging="340"/>
      </w:pPr>
      <w:rPr>
        <w:rFonts w:hint="default"/>
        <w:color w:val="auto"/>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
    <w:nsid w:val="38723AD4"/>
    <w:multiLevelType w:val="multilevel"/>
    <w:tmpl w:val="CC2400A2"/>
    <w:name w:val="PullOutBullets"/>
    <w:lvl w:ilvl="0">
      <w:start w:val="1"/>
      <w:numFmt w:val="bullet"/>
      <w:lvlText w:val="•"/>
      <w:lvlJc w:val="left"/>
      <w:pPr>
        <w:tabs>
          <w:tab w:val="num" w:pos="624"/>
        </w:tabs>
        <w:ind w:left="624" w:hanging="340"/>
      </w:pPr>
      <w:rPr>
        <w:rFonts w:ascii="Calibri" w:hAnsi="Calibri" w:hint="default"/>
        <w:color w:val="auto"/>
        <w:sz w:val="22"/>
      </w:rPr>
    </w:lvl>
    <w:lvl w:ilvl="1">
      <w:start w:val="1"/>
      <w:numFmt w:val="bullet"/>
      <w:lvlText w:val="–"/>
      <w:lvlJc w:val="left"/>
      <w:pPr>
        <w:tabs>
          <w:tab w:val="num" w:pos="964"/>
        </w:tabs>
        <w:ind w:left="964" w:hanging="340"/>
      </w:pPr>
      <w:rPr>
        <w:rFonts w:ascii="Calibri" w:hAnsi="Calibri" w:hint="default"/>
        <w:color w:val="auto"/>
        <w:sz w:val="22"/>
      </w:rPr>
    </w:lvl>
    <w:lvl w:ilvl="2">
      <w:start w:val="1"/>
      <w:numFmt w:val="bullet"/>
      <w:lvlText w:val=""/>
      <w:lvlJc w:val="left"/>
      <w:pPr>
        <w:tabs>
          <w:tab w:val="num" w:pos="1304"/>
        </w:tabs>
        <w:ind w:left="1304" w:hanging="340"/>
      </w:pPr>
      <w:rPr>
        <w:rFonts w:ascii="Wingdings" w:hAnsi="Wingdings" w:hint="default"/>
        <w:color w:val="auto"/>
        <w:position w:val="0"/>
        <w:sz w:val="22"/>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nsid w:val="3FA54DC2"/>
    <w:multiLevelType w:val="multilevel"/>
    <w:tmpl w:val="9BE41134"/>
    <w:lvl w:ilvl="0">
      <w:start w:val="1"/>
      <w:numFmt w:val="bullet"/>
      <w:pStyle w:val="PullOutBoxBullet"/>
      <w:lvlText w:val="•"/>
      <w:lvlJc w:val="left"/>
      <w:pPr>
        <w:ind w:left="567" w:hanging="283"/>
      </w:pPr>
      <w:rPr>
        <w:rFonts w:ascii="Calibri" w:hAnsi="Calibri" w:hint="default"/>
      </w:rPr>
    </w:lvl>
    <w:lvl w:ilvl="1">
      <w:start w:val="1"/>
      <w:numFmt w:val="bullet"/>
      <w:pStyle w:val="PullOutBoxBullet2"/>
      <w:lvlText w:val="–"/>
      <w:lvlJc w:val="left"/>
      <w:pPr>
        <w:ind w:left="851" w:hanging="283"/>
      </w:pPr>
      <w:rPr>
        <w:rFonts w:ascii="Calibri" w:hAnsi="Calibri" w:hint="default"/>
      </w:rPr>
    </w:lvl>
    <w:lvl w:ilvl="2">
      <w:start w:val="1"/>
      <w:numFmt w:val="bullet"/>
      <w:pStyle w:val="PullOutBoxBullet3"/>
      <w:lvlText w:val=""/>
      <w:lvlJc w:val="left"/>
      <w:pPr>
        <w:ind w:left="1135" w:hanging="283"/>
      </w:pPr>
      <w:rPr>
        <w:rFonts w:ascii="Wingdings" w:hAnsi="Wingdings" w:hint="default"/>
      </w:rPr>
    </w:lvl>
    <w:lvl w:ilvl="3">
      <w:start w:val="1"/>
      <w:numFmt w:val="bullet"/>
      <w:lvlText w:val=""/>
      <w:lvlJc w:val="left"/>
      <w:pPr>
        <w:ind w:left="1419" w:hanging="283"/>
      </w:pPr>
      <w:rPr>
        <w:rFonts w:ascii="Symbol" w:hAnsi="Symbol" w:hint="default"/>
      </w:rPr>
    </w:lvl>
    <w:lvl w:ilvl="4">
      <w:start w:val="1"/>
      <w:numFmt w:val="bullet"/>
      <w:lvlText w:val="o"/>
      <w:lvlJc w:val="left"/>
      <w:pPr>
        <w:ind w:left="1703" w:hanging="283"/>
      </w:pPr>
      <w:rPr>
        <w:rFonts w:ascii="Courier New" w:hAnsi="Courier New" w:cs="Courier New"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Symbol" w:hAnsi="Symbol" w:hint="default"/>
      </w:rPr>
    </w:lvl>
    <w:lvl w:ilvl="7">
      <w:start w:val="1"/>
      <w:numFmt w:val="bullet"/>
      <w:lvlText w:val="o"/>
      <w:lvlJc w:val="left"/>
      <w:pPr>
        <w:ind w:left="2555" w:hanging="283"/>
      </w:pPr>
      <w:rPr>
        <w:rFonts w:ascii="Courier New" w:hAnsi="Courier New" w:cs="Courier New" w:hint="default"/>
      </w:rPr>
    </w:lvl>
    <w:lvl w:ilvl="8">
      <w:start w:val="1"/>
      <w:numFmt w:val="bullet"/>
      <w:lvlText w:val=""/>
      <w:lvlJc w:val="left"/>
      <w:pPr>
        <w:ind w:left="2839" w:hanging="283"/>
      </w:pPr>
      <w:rPr>
        <w:rFonts w:ascii="Wingdings" w:hAnsi="Wingdings" w:hint="default"/>
      </w:rPr>
    </w:lvl>
  </w:abstractNum>
  <w:abstractNum w:abstractNumId="11">
    <w:nsid w:val="53750991"/>
    <w:multiLevelType w:val="multilevel"/>
    <w:tmpl w:val="3A0AFD7E"/>
    <w:name w:val="NumberedList2"/>
    <w:lvl w:ilvl="0">
      <w:start w:val="1"/>
      <w:numFmt w:val="decimal"/>
      <w:pStyle w:val="ListNumber"/>
      <w:lvlText w:val="%1"/>
      <w:lvlJc w:val="left"/>
      <w:pPr>
        <w:tabs>
          <w:tab w:val="num" w:pos="284"/>
        </w:tabs>
        <w:ind w:left="284" w:hanging="284"/>
      </w:pPr>
      <w:rPr>
        <w:rFonts w:hint="default"/>
      </w:rPr>
    </w:lvl>
    <w:lvl w:ilvl="1">
      <w:start w:val="1"/>
      <w:numFmt w:val="lowerLetter"/>
      <w:pStyle w:val="ListNumber2"/>
      <w:lvlText w:val="%2"/>
      <w:lvlJc w:val="left"/>
      <w:pPr>
        <w:tabs>
          <w:tab w:val="num" w:pos="567"/>
        </w:tabs>
        <w:ind w:left="568" w:hanging="284"/>
      </w:pPr>
      <w:rPr>
        <w:rFonts w:hint="default"/>
      </w:rPr>
    </w:lvl>
    <w:lvl w:ilvl="2">
      <w:start w:val="1"/>
      <w:numFmt w:val="lowerRoman"/>
      <w:pStyle w:val="ListNumber3"/>
      <w:lvlText w:val="%3"/>
      <w:lvlJc w:val="left"/>
      <w:pPr>
        <w:tabs>
          <w:tab w:val="num" w:pos="851"/>
        </w:tabs>
        <w:ind w:left="852" w:hanging="284"/>
      </w:pPr>
      <w:rPr>
        <w:rFonts w:hint="default"/>
      </w:rPr>
    </w:lvl>
    <w:lvl w:ilvl="3">
      <w:start w:val="1"/>
      <w:numFmt w:val="upperLetter"/>
      <w:pStyle w:val="ListNumber4"/>
      <w:lvlText w:val="%4"/>
      <w:lvlJc w:val="left"/>
      <w:pPr>
        <w:tabs>
          <w:tab w:val="num" w:pos="1134"/>
        </w:tabs>
        <w:ind w:left="1136" w:hanging="284"/>
      </w:pPr>
      <w:rPr>
        <w:rFonts w:hint="default"/>
      </w:rPr>
    </w:lvl>
    <w:lvl w:ilvl="4">
      <w:start w:val="1"/>
      <w:numFmt w:val="upperRoman"/>
      <w:pStyle w:val="ListNumber5"/>
      <w:lvlText w:val="%5"/>
      <w:lvlJc w:val="left"/>
      <w:pPr>
        <w:tabs>
          <w:tab w:val="num" w:pos="1418"/>
        </w:tabs>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nsid w:val="5C7B378A"/>
    <w:multiLevelType w:val="multilevel"/>
    <w:tmpl w:val="26F84EF2"/>
    <w:name w:val="Bullets"/>
    <w:lvl w:ilvl="0">
      <w:start w:val="1"/>
      <w:numFmt w:val="bullet"/>
      <w:pStyle w:val="ListBullet"/>
      <w:lvlText w:val="•"/>
      <w:lvlJc w:val="left"/>
      <w:pPr>
        <w:tabs>
          <w:tab w:val="num" w:pos="284"/>
        </w:tabs>
        <w:ind w:left="284" w:hanging="284"/>
      </w:pPr>
      <w:rPr>
        <w:rFonts w:ascii="Calibri" w:hAnsi="Calibri" w:hint="default"/>
        <w:color w:val="auto"/>
      </w:rPr>
    </w:lvl>
    <w:lvl w:ilvl="1">
      <w:start w:val="1"/>
      <w:numFmt w:val="bullet"/>
      <w:pStyle w:val="ListBullet2"/>
      <w:lvlText w:val="‒"/>
      <w:lvlJc w:val="left"/>
      <w:pPr>
        <w:tabs>
          <w:tab w:val="num" w:pos="567"/>
        </w:tabs>
        <w:ind w:left="568" w:hanging="284"/>
      </w:pPr>
      <w:rPr>
        <w:rFonts w:ascii="Calibri" w:hAnsi="Calibri" w:hint="default"/>
        <w:color w:val="auto"/>
      </w:rPr>
    </w:lvl>
    <w:lvl w:ilvl="2">
      <w:start w:val="1"/>
      <w:numFmt w:val="bullet"/>
      <w:pStyle w:val="ListBullet3"/>
      <w:lvlText w:val="s"/>
      <w:lvlJc w:val="left"/>
      <w:pPr>
        <w:tabs>
          <w:tab w:val="num" w:pos="851"/>
        </w:tabs>
        <w:ind w:left="852" w:hanging="284"/>
      </w:pPr>
      <w:rPr>
        <w:rFonts w:ascii="Wingdings" w:hAnsi="Wingdings" w:hint="default"/>
        <w:color w:val="auto"/>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3">
    <w:nsid w:val="5D0540A9"/>
    <w:multiLevelType w:val="multilevel"/>
    <w:tmpl w:val="78D86724"/>
    <w:name w:val="AppendicesNumbering"/>
    <w:lvl w:ilvl="0">
      <w:start w:val="1"/>
      <w:numFmt w:val="upperLetter"/>
      <w:pStyle w:val="Heading8"/>
      <w:suff w:val="nothing"/>
      <w:lvlText w:val="Appendix %1"/>
      <w:lvlJc w:val="left"/>
      <w:pPr>
        <w:ind w:left="0" w:firstLine="0"/>
      </w:pPr>
      <w:rPr>
        <w:rFonts w:ascii="Calibri Light" w:hAnsi="Calibri Light" w:hint="default"/>
        <w:b w:val="0"/>
        <w:i w:val="0"/>
        <w:sz w:val="52"/>
      </w:rPr>
    </w:lvl>
    <w:lvl w:ilvl="1">
      <w:start w:val="1"/>
      <w:numFmt w:val="decimal"/>
      <w:pStyle w:val="Heading9"/>
      <w:lvlText w:val="%1%2."/>
      <w:lvlJc w:val="left"/>
      <w:pPr>
        <w:tabs>
          <w:tab w:val="num" w:pos="765"/>
        </w:tabs>
        <w:ind w:left="765" w:hanging="765"/>
      </w:pPr>
      <w:rPr>
        <w:rFonts w:hint="default"/>
        <w:sz w:val="28"/>
      </w:rPr>
    </w:lvl>
    <w:lvl w:ilvl="2">
      <w:start w:val="1"/>
      <w:numFmt w:val="decimal"/>
      <w:pStyle w:val="AppendixHeading2"/>
      <w:lvlText w:val="%1%2.%3"/>
      <w:lvlJc w:val="left"/>
      <w:pPr>
        <w:tabs>
          <w:tab w:val="num" w:pos="765"/>
        </w:tabs>
        <w:ind w:left="765" w:hanging="765"/>
      </w:pPr>
      <w:rPr>
        <w:rFonts w:hint="default"/>
      </w:rPr>
    </w:lvl>
    <w:lvl w:ilvl="3">
      <w:start w:val="1"/>
      <w:numFmt w:val="decimal"/>
      <w:pStyle w:val="AppendixHeading3"/>
      <w:lvlText w:val="%1%2.%3.%4"/>
      <w:lvlJc w:val="left"/>
      <w:pPr>
        <w:tabs>
          <w:tab w:val="num" w:pos="765"/>
        </w:tabs>
        <w:ind w:left="765" w:hanging="765"/>
      </w:pPr>
      <w:rPr>
        <w:rFonts w:hint="default"/>
      </w:rPr>
    </w:lvl>
    <w:lvl w:ilvl="4">
      <w:start w:val="1"/>
      <w:numFmt w:val="decimal"/>
      <w:lvlText w:val="%1%2.%3.%4.%5"/>
      <w:lvlJc w:val="left"/>
      <w:pPr>
        <w:tabs>
          <w:tab w:val="num" w:pos="1134"/>
        </w:tabs>
        <w:ind w:left="765" w:hanging="765"/>
      </w:pPr>
      <w:rPr>
        <w:rFonts w:hint="default"/>
      </w:rPr>
    </w:lvl>
    <w:lvl w:ilvl="5">
      <w:start w:val="1"/>
      <w:numFmt w:val="none"/>
      <w:lvlText w:val=""/>
      <w:lvlJc w:val="right"/>
      <w:pPr>
        <w:ind w:left="765" w:hanging="765"/>
      </w:pPr>
      <w:rPr>
        <w:rFonts w:hint="default"/>
      </w:rPr>
    </w:lvl>
    <w:lvl w:ilvl="6">
      <w:start w:val="1"/>
      <w:numFmt w:val="none"/>
      <w:lvlText w:val=""/>
      <w:lvlJc w:val="left"/>
      <w:pPr>
        <w:ind w:left="765" w:hanging="765"/>
      </w:pPr>
      <w:rPr>
        <w:rFonts w:hint="default"/>
      </w:rPr>
    </w:lvl>
    <w:lvl w:ilvl="7">
      <w:start w:val="1"/>
      <w:numFmt w:val="none"/>
      <w:lvlText w:val=""/>
      <w:lvlJc w:val="left"/>
      <w:pPr>
        <w:ind w:left="765" w:hanging="765"/>
      </w:pPr>
      <w:rPr>
        <w:rFonts w:hint="default"/>
      </w:rPr>
    </w:lvl>
    <w:lvl w:ilvl="8">
      <w:start w:val="1"/>
      <w:numFmt w:val="none"/>
      <w:lvlText w:val=""/>
      <w:lvlJc w:val="right"/>
      <w:pPr>
        <w:ind w:left="765" w:hanging="765"/>
      </w:pPr>
      <w:rPr>
        <w:rFonts w:hint="default"/>
      </w:rPr>
    </w:lvl>
  </w:abstractNum>
  <w:abstractNum w:abstractNumId="14">
    <w:nsid w:val="6437676F"/>
    <w:multiLevelType w:val="multilevel"/>
    <w:tmpl w:val="AD04EFFE"/>
    <w:lvl w:ilvl="0">
      <w:start w:val="1"/>
      <w:numFmt w:val="bullet"/>
      <w:lvlText w:val=""/>
      <w:lvlJc w:val="left"/>
      <w:pPr>
        <w:ind w:left="255" w:hanging="170"/>
      </w:pPr>
      <w:rPr>
        <w:rFonts w:ascii="Symbol" w:hAnsi="Symbol" w:hint="default"/>
        <w:color w:val="auto"/>
        <w:position w:val="2"/>
        <w:sz w:val="20"/>
        <w:szCs w:val="12"/>
      </w:rPr>
    </w:lvl>
    <w:lvl w:ilvl="1">
      <w:start w:val="1"/>
      <w:numFmt w:val="bullet"/>
      <w:lvlText w:val="–"/>
      <w:lvlJc w:val="left"/>
      <w:pPr>
        <w:ind w:left="425" w:hanging="170"/>
      </w:pPr>
      <w:rPr>
        <w:rFonts w:ascii="Times New Roman" w:hAnsi="Times New Roman" w:cs="Times New Roman" w:hint="default"/>
        <w:b w:val="0"/>
        <w:i w:val="0"/>
        <w:color w:val="auto"/>
        <w:sz w:val="20"/>
        <w:szCs w:val="18"/>
      </w:rPr>
    </w:lvl>
    <w:lvl w:ilvl="2">
      <w:start w:val="1"/>
      <w:numFmt w:val="bullet"/>
      <w:lvlText w:val="–"/>
      <w:lvlJc w:val="left"/>
      <w:pPr>
        <w:ind w:left="595" w:hanging="170"/>
      </w:pPr>
      <w:rPr>
        <w:rFonts w:ascii="Calibri" w:hAnsi="Calibri" w:hint="default"/>
        <w:color w:val="auto"/>
        <w:position w:val="1"/>
        <w:sz w:val="20"/>
      </w:rPr>
    </w:lvl>
    <w:lvl w:ilvl="3">
      <w:start w:val="1"/>
      <w:numFmt w:val="none"/>
      <w:lvlText w:val=""/>
      <w:lvlJc w:val="left"/>
      <w:pPr>
        <w:tabs>
          <w:tab w:val="num" w:pos="794"/>
        </w:tabs>
        <w:ind w:left="765" w:hanging="170"/>
      </w:pPr>
      <w:rPr>
        <w:rFonts w:hint="default"/>
      </w:rPr>
    </w:lvl>
    <w:lvl w:ilvl="4">
      <w:start w:val="1"/>
      <w:numFmt w:val="none"/>
      <w:lvlText w:val=""/>
      <w:lvlJc w:val="left"/>
      <w:pPr>
        <w:tabs>
          <w:tab w:val="num" w:pos="964"/>
        </w:tabs>
        <w:ind w:left="935" w:hanging="170"/>
      </w:pPr>
      <w:rPr>
        <w:rFonts w:hint="default"/>
      </w:rPr>
    </w:lvl>
    <w:lvl w:ilvl="5">
      <w:start w:val="1"/>
      <w:numFmt w:val="none"/>
      <w:lvlText w:val=""/>
      <w:lvlJc w:val="left"/>
      <w:pPr>
        <w:tabs>
          <w:tab w:val="num" w:pos="1134"/>
        </w:tabs>
        <w:ind w:left="1105" w:hanging="170"/>
      </w:pPr>
      <w:rPr>
        <w:rFonts w:hint="default"/>
      </w:rPr>
    </w:lvl>
    <w:lvl w:ilvl="6">
      <w:start w:val="1"/>
      <w:numFmt w:val="none"/>
      <w:lvlText w:val=""/>
      <w:lvlJc w:val="left"/>
      <w:pPr>
        <w:tabs>
          <w:tab w:val="num" w:pos="1304"/>
        </w:tabs>
        <w:ind w:left="1275" w:hanging="170"/>
      </w:pPr>
      <w:rPr>
        <w:rFonts w:hint="default"/>
      </w:rPr>
    </w:lvl>
    <w:lvl w:ilvl="7">
      <w:start w:val="1"/>
      <w:numFmt w:val="none"/>
      <w:lvlText w:val=""/>
      <w:lvlJc w:val="left"/>
      <w:pPr>
        <w:tabs>
          <w:tab w:val="num" w:pos="1474"/>
        </w:tabs>
        <w:ind w:left="1445" w:hanging="170"/>
      </w:pPr>
      <w:rPr>
        <w:rFonts w:hint="default"/>
      </w:rPr>
    </w:lvl>
    <w:lvl w:ilvl="8">
      <w:start w:val="1"/>
      <w:numFmt w:val="none"/>
      <w:lvlText w:val=""/>
      <w:lvlJc w:val="left"/>
      <w:pPr>
        <w:tabs>
          <w:tab w:val="num" w:pos="1644"/>
        </w:tabs>
        <w:ind w:left="1615" w:hanging="170"/>
      </w:pPr>
      <w:rPr>
        <w:rFonts w:hint="default"/>
      </w:rPr>
    </w:lvl>
  </w:abstractNum>
  <w:abstractNum w:abstractNumId="15">
    <w:nsid w:val="66E247CC"/>
    <w:multiLevelType w:val="multilevel"/>
    <w:tmpl w:val="68087D48"/>
    <w:name w:val="Bullets22"/>
    <w:lvl w:ilvl="0">
      <w:start w:val="1"/>
      <w:numFmt w:val="bullet"/>
      <w:lvlText w:val="•"/>
      <w:lvlJc w:val="left"/>
      <w:pPr>
        <w:ind w:left="397" w:hanging="397"/>
      </w:pPr>
      <w:rPr>
        <w:rFonts w:ascii="Dada Grotesk" w:hAnsi="Dada Grotesk"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abstractNum w:abstractNumId="16">
    <w:nsid w:val="6B655F8D"/>
    <w:multiLevelType w:val="multilevel"/>
    <w:tmpl w:val="ED00D300"/>
    <w:name w:val="NumberedList"/>
    <w:styleLink w:val="NumberedList"/>
    <w:lvl w:ilvl="0">
      <w:start w:val="1"/>
      <w:numFmt w:val="decimal"/>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upperLetter"/>
      <w:lvlText w:val="%4"/>
      <w:lvlJc w:val="left"/>
      <w:pPr>
        <w:ind w:left="1136" w:hanging="284"/>
      </w:pPr>
      <w:rPr>
        <w:rFonts w:hint="default"/>
      </w:rPr>
    </w:lvl>
    <w:lvl w:ilvl="4">
      <w:start w:val="1"/>
      <w:numFmt w:val="upperRoman"/>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7">
    <w:nsid w:val="6D1D40AC"/>
    <w:multiLevelType w:val="multilevel"/>
    <w:tmpl w:val="2AC4119A"/>
    <w:name w:val="TableNumbering"/>
    <w:lvl w:ilvl="0">
      <w:start w:val="1"/>
      <w:numFmt w:val="decimal"/>
      <w:pStyle w:val="TableTextNumber"/>
      <w:lvlText w:val="%1"/>
      <w:lvlJc w:val="left"/>
      <w:pPr>
        <w:ind w:left="369" w:hanging="284"/>
      </w:pPr>
      <w:rPr>
        <w:rFonts w:hint="default"/>
      </w:rPr>
    </w:lvl>
    <w:lvl w:ilvl="1">
      <w:start w:val="1"/>
      <w:numFmt w:val="lowerLetter"/>
      <w:pStyle w:val="TableTextNumber2"/>
      <w:lvlText w:val="%2"/>
      <w:lvlJc w:val="left"/>
      <w:pPr>
        <w:ind w:left="653" w:hanging="284"/>
      </w:pPr>
      <w:rPr>
        <w:rFonts w:hint="default"/>
      </w:rPr>
    </w:lvl>
    <w:lvl w:ilvl="2">
      <w:start w:val="1"/>
      <w:numFmt w:val="lowerRoman"/>
      <w:pStyle w:val="TableTextNumber3"/>
      <w:lvlText w:val="%3"/>
      <w:lvlJc w:val="left"/>
      <w:pPr>
        <w:tabs>
          <w:tab w:val="num" w:pos="1191"/>
        </w:tabs>
        <w:ind w:left="937" w:hanging="284"/>
      </w:pPr>
      <w:rPr>
        <w:rFonts w:hint="default"/>
      </w:rPr>
    </w:lvl>
    <w:lvl w:ilvl="3">
      <w:start w:val="1"/>
      <w:numFmt w:val="none"/>
      <w:lvlText w:val=""/>
      <w:lvlJc w:val="left"/>
      <w:pPr>
        <w:tabs>
          <w:tab w:val="num" w:pos="1588"/>
        </w:tabs>
        <w:ind w:left="1221" w:hanging="284"/>
      </w:pPr>
      <w:rPr>
        <w:rFonts w:hint="default"/>
      </w:rPr>
    </w:lvl>
    <w:lvl w:ilvl="4">
      <w:start w:val="1"/>
      <w:numFmt w:val="none"/>
      <w:lvlText w:val=""/>
      <w:lvlJc w:val="left"/>
      <w:pPr>
        <w:tabs>
          <w:tab w:val="num" w:pos="1985"/>
        </w:tabs>
        <w:ind w:left="1505" w:hanging="284"/>
      </w:pPr>
      <w:rPr>
        <w:rFonts w:hint="default"/>
      </w:rPr>
    </w:lvl>
    <w:lvl w:ilvl="5">
      <w:start w:val="1"/>
      <w:numFmt w:val="none"/>
      <w:lvlText w:val=""/>
      <w:lvlJc w:val="left"/>
      <w:pPr>
        <w:tabs>
          <w:tab w:val="num" w:pos="2382"/>
        </w:tabs>
        <w:ind w:left="1789" w:hanging="284"/>
      </w:pPr>
      <w:rPr>
        <w:rFonts w:hint="default"/>
      </w:rPr>
    </w:lvl>
    <w:lvl w:ilvl="6">
      <w:start w:val="1"/>
      <w:numFmt w:val="none"/>
      <w:lvlText w:val=""/>
      <w:lvlJc w:val="left"/>
      <w:pPr>
        <w:tabs>
          <w:tab w:val="num" w:pos="2779"/>
        </w:tabs>
        <w:ind w:left="2073" w:hanging="284"/>
      </w:pPr>
      <w:rPr>
        <w:rFonts w:hint="default"/>
      </w:rPr>
    </w:lvl>
    <w:lvl w:ilvl="7">
      <w:start w:val="1"/>
      <w:numFmt w:val="none"/>
      <w:lvlText w:val=""/>
      <w:lvlJc w:val="left"/>
      <w:pPr>
        <w:tabs>
          <w:tab w:val="num" w:pos="3176"/>
        </w:tabs>
        <w:ind w:left="2357" w:hanging="284"/>
      </w:pPr>
      <w:rPr>
        <w:rFonts w:hint="default"/>
      </w:rPr>
    </w:lvl>
    <w:lvl w:ilvl="8">
      <w:start w:val="1"/>
      <w:numFmt w:val="none"/>
      <w:lvlText w:val=""/>
      <w:lvlJc w:val="left"/>
      <w:pPr>
        <w:tabs>
          <w:tab w:val="num" w:pos="3573"/>
        </w:tabs>
        <w:ind w:left="2641" w:hanging="284"/>
      </w:pPr>
      <w:rPr>
        <w:rFonts w:hint="default"/>
      </w:rPr>
    </w:lvl>
  </w:abstractNum>
  <w:abstractNum w:abstractNumId="18">
    <w:nsid w:val="6E644AF7"/>
    <w:multiLevelType w:val="multilevel"/>
    <w:tmpl w:val="9C96D62A"/>
    <w:name w:val="BulletedList"/>
    <w:styleLink w:val="Bullets"/>
    <w:lvl w:ilvl="0">
      <w:start w:val="1"/>
      <w:numFmt w:val="bullet"/>
      <w:lvlText w:val="•"/>
      <w:lvlJc w:val="left"/>
      <w:pPr>
        <w:ind w:left="284" w:hanging="284"/>
      </w:pPr>
      <w:rPr>
        <w:rFonts w:ascii="Calibri" w:hAnsi="Calibri" w:hint="default"/>
        <w:color w:val="auto"/>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9">
    <w:nsid w:val="70250B03"/>
    <w:multiLevelType w:val="multilevel"/>
    <w:tmpl w:val="880A672E"/>
    <w:name w:val="QuoteBullets"/>
    <w:lvl w:ilvl="0">
      <w:start w:val="1"/>
      <w:numFmt w:val="bullet"/>
      <w:pStyle w:val="QuoteBullet"/>
      <w:lvlText w:val="•"/>
      <w:lvlJc w:val="left"/>
      <w:pPr>
        <w:ind w:left="567" w:hanging="283"/>
      </w:pPr>
      <w:rPr>
        <w:rFonts w:ascii="Calibri" w:hAnsi="Calibri" w:hint="default"/>
        <w:color w:val="auto"/>
        <w:sz w:val="22"/>
      </w:rPr>
    </w:lvl>
    <w:lvl w:ilvl="1">
      <w:start w:val="1"/>
      <w:numFmt w:val="bullet"/>
      <w:pStyle w:val="QuoteBullet2"/>
      <w:lvlText w:val="‒"/>
      <w:lvlJc w:val="left"/>
      <w:pPr>
        <w:ind w:left="851" w:hanging="283"/>
      </w:pPr>
      <w:rPr>
        <w:rFonts w:ascii="Calibri" w:hAnsi="Calibri" w:hint="default"/>
        <w:color w:val="auto"/>
      </w:rPr>
    </w:lvl>
    <w:lvl w:ilvl="2">
      <w:start w:val="1"/>
      <w:numFmt w:val="bullet"/>
      <w:lvlText w:val="‒"/>
      <w:lvlJc w:val="left"/>
      <w:pPr>
        <w:tabs>
          <w:tab w:val="num" w:pos="1418"/>
        </w:tabs>
        <w:ind w:left="1135" w:hanging="283"/>
      </w:pPr>
      <w:rPr>
        <w:rFonts w:ascii="Calibri" w:hAnsi="Calibri" w:hint="default"/>
        <w:color w:val="9778B4" w:themeColor="text2"/>
      </w:rPr>
    </w:lvl>
    <w:lvl w:ilvl="3">
      <w:start w:val="1"/>
      <w:numFmt w:val="bullet"/>
      <w:lvlText w:val=""/>
      <w:lvlJc w:val="left"/>
      <w:pPr>
        <w:ind w:left="1419" w:hanging="283"/>
      </w:pPr>
      <w:rPr>
        <w:rFonts w:ascii="Symbol" w:hAnsi="Symbol" w:hint="default"/>
      </w:rPr>
    </w:lvl>
    <w:lvl w:ilvl="4">
      <w:start w:val="1"/>
      <w:numFmt w:val="bullet"/>
      <w:lvlText w:val=""/>
      <w:lvlJc w:val="left"/>
      <w:pPr>
        <w:ind w:left="1703" w:hanging="283"/>
      </w:pPr>
      <w:rPr>
        <w:rFonts w:ascii="Symbol" w:hAnsi="Symbol" w:hint="default"/>
      </w:rPr>
    </w:lvl>
    <w:lvl w:ilvl="5">
      <w:start w:val="1"/>
      <w:numFmt w:val="bullet"/>
      <w:lvlText w:val=""/>
      <w:lvlJc w:val="left"/>
      <w:pPr>
        <w:ind w:left="1987" w:hanging="283"/>
      </w:pPr>
      <w:rPr>
        <w:rFonts w:ascii="Wingdings" w:hAnsi="Wingdings" w:hint="default"/>
      </w:rPr>
    </w:lvl>
    <w:lvl w:ilvl="6">
      <w:start w:val="1"/>
      <w:numFmt w:val="bullet"/>
      <w:lvlText w:val=""/>
      <w:lvlJc w:val="left"/>
      <w:pPr>
        <w:ind w:left="2271" w:hanging="283"/>
      </w:pPr>
      <w:rPr>
        <w:rFonts w:ascii="Wingdings" w:hAnsi="Wingdings" w:hint="default"/>
      </w:rPr>
    </w:lvl>
    <w:lvl w:ilvl="7">
      <w:start w:val="1"/>
      <w:numFmt w:val="bullet"/>
      <w:lvlText w:val=""/>
      <w:lvlJc w:val="left"/>
      <w:pPr>
        <w:ind w:left="2555" w:hanging="283"/>
      </w:pPr>
      <w:rPr>
        <w:rFonts w:ascii="Symbol" w:hAnsi="Symbol" w:hint="default"/>
      </w:rPr>
    </w:lvl>
    <w:lvl w:ilvl="8">
      <w:start w:val="1"/>
      <w:numFmt w:val="bullet"/>
      <w:lvlText w:val=""/>
      <w:lvlJc w:val="left"/>
      <w:pPr>
        <w:ind w:left="2839" w:hanging="283"/>
      </w:pPr>
      <w:rPr>
        <w:rFonts w:ascii="Symbol" w:hAnsi="Symbol" w:hint="default"/>
      </w:rPr>
    </w:lvl>
  </w:abstractNum>
  <w:abstractNum w:abstractNumId="20">
    <w:nsid w:val="74275C4B"/>
    <w:multiLevelType w:val="multilevel"/>
    <w:tmpl w:val="0C09001D"/>
    <w:name w:val="Bullets22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7839021E"/>
    <w:multiLevelType w:val="multilevel"/>
    <w:tmpl w:val="464425F6"/>
    <w:name w:val="ListNumbering"/>
    <w:lvl w:ilvl="0">
      <w:start w:val="1"/>
      <w:numFmt w:val="decimal"/>
      <w:lvlText w:val="%1"/>
      <w:lvlJc w:val="left"/>
      <w:pPr>
        <w:ind w:left="397" w:hanging="397"/>
      </w:pPr>
      <w:rPr>
        <w:rFonts w:hint="default"/>
        <w:color w:val="auto"/>
        <w:spacing w:val="0"/>
        <w:sz w:val="19"/>
      </w:rPr>
    </w:lvl>
    <w:lvl w:ilvl="1">
      <w:start w:val="1"/>
      <w:numFmt w:val="lowerLetter"/>
      <w:lvlText w:val="%2"/>
      <w:lvlJc w:val="left"/>
      <w:pPr>
        <w:ind w:left="794" w:hanging="397"/>
      </w:pPr>
      <w:rPr>
        <w:rFonts w:hint="default"/>
        <w:color w:val="auto"/>
        <w:spacing w:val="0"/>
        <w:sz w:val="19"/>
      </w:rPr>
    </w:lvl>
    <w:lvl w:ilvl="2">
      <w:start w:val="1"/>
      <w:numFmt w:val="lowerRoman"/>
      <w:lvlText w:val="%3"/>
      <w:lvlJc w:val="left"/>
      <w:pPr>
        <w:ind w:left="1191" w:hanging="397"/>
      </w:pPr>
      <w:rPr>
        <w:rFonts w:hint="default"/>
        <w:color w:val="auto"/>
        <w:spacing w:val="0"/>
        <w:position w:val="0"/>
        <w:sz w:val="19"/>
        <w:szCs w:val="16"/>
      </w:rPr>
    </w:lvl>
    <w:lvl w:ilvl="3">
      <w:start w:val="1"/>
      <w:numFmt w:val="upperLetter"/>
      <w:lvlText w:val="%4"/>
      <w:lvlJc w:val="left"/>
      <w:pPr>
        <w:ind w:left="1588" w:hanging="397"/>
      </w:pPr>
      <w:rPr>
        <w:rFonts w:hint="default"/>
      </w:rPr>
    </w:lvl>
    <w:lvl w:ilvl="4">
      <w:start w:val="1"/>
      <w:numFmt w:val="upperRoman"/>
      <w:lvlText w:val="%5"/>
      <w:lvlJc w:val="left"/>
      <w:pPr>
        <w:ind w:left="1985" w:hanging="397"/>
      </w:pPr>
      <w:rPr>
        <w:rFonts w:hint="default"/>
      </w:rPr>
    </w:lvl>
    <w:lvl w:ilvl="5">
      <w:start w:val="1"/>
      <w:numFmt w:val="none"/>
      <w:lvlText w:val=""/>
      <w:lvlJc w:val="left"/>
      <w:pPr>
        <w:tabs>
          <w:tab w:val="num" w:pos="-31680"/>
        </w:tabs>
        <w:ind w:left="2382" w:hanging="397"/>
      </w:pPr>
      <w:rPr>
        <w:rFonts w:hint="default"/>
      </w:rPr>
    </w:lvl>
    <w:lvl w:ilvl="6">
      <w:start w:val="1"/>
      <w:numFmt w:val="none"/>
      <w:lvlText w:val=""/>
      <w:lvlJc w:val="left"/>
      <w:pPr>
        <w:tabs>
          <w:tab w:val="num" w:pos="-31680"/>
        </w:tabs>
        <w:ind w:left="2779" w:hanging="397"/>
      </w:pPr>
      <w:rPr>
        <w:rFonts w:hint="default"/>
      </w:rPr>
    </w:lvl>
    <w:lvl w:ilvl="7">
      <w:start w:val="1"/>
      <w:numFmt w:val="none"/>
      <w:lvlText w:val=""/>
      <w:lvlJc w:val="left"/>
      <w:pPr>
        <w:tabs>
          <w:tab w:val="num" w:pos="-31680"/>
        </w:tabs>
        <w:ind w:left="3176" w:hanging="397"/>
      </w:pPr>
      <w:rPr>
        <w:rFonts w:hint="default"/>
      </w:rPr>
    </w:lvl>
    <w:lvl w:ilvl="8">
      <w:start w:val="1"/>
      <w:numFmt w:val="none"/>
      <w:lvlText w:val=""/>
      <w:lvlJc w:val="left"/>
      <w:pPr>
        <w:tabs>
          <w:tab w:val="num" w:pos="-31680"/>
        </w:tabs>
        <w:ind w:left="3573" w:hanging="397"/>
      </w:pPr>
      <w:rPr>
        <w:rFonts w:hint="default"/>
      </w:rPr>
    </w:lvl>
  </w:abstractNum>
  <w:num w:numId="1">
    <w:abstractNumId w:val="13"/>
  </w:num>
  <w:num w:numId="2">
    <w:abstractNumId w:val="2"/>
  </w:num>
  <w:num w:numId="3">
    <w:abstractNumId w:val="21"/>
  </w:num>
  <w:num w:numId="4">
    <w:abstractNumId w:val="19"/>
  </w:num>
  <w:num w:numId="5">
    <w:abstractNumId w:val="4"/>
  </w:num>
  <w:num w:numId="6">
    <w:abstractNumId w:val="5"/>
  </w:num>
  <w:num w:numId="7">
    <w:abstractNumId w:val="17"/>
  </w:num>
  <w:num w:numId="8">
    <w:abstractNumId w:val="3"/>
  </w:num>
  <w:num w:numId="9">
    <w:abstractNumId w:val="10"/>
  </w:num>
  <w:num w:numId="10">
    <w:abstractNumId w:val="6"/>
  </w:num>
  <w:num w:numId="11">
    <w:abstractNumId w:val="7"/>
  </w:num>
  <w:num w:numId="12">
    <w:abstractNumId w:val="15"/>
  </w:num>
  <w:num w:numId="13">
    <w:abstractNumId w:val="20"/>
  </w:num>
  <w:num w:numId="14">
    <w:abstractNumId w:val="18"/>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16"/>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0"/>
  </w:num>
  <w:num w:numId="23">
    <w:abstractNumId w:val="11"/>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 w:numId="31">
    <w:abstractNumId w:val="3"/>
  </w:num>
  <w:num w:numId="32">
    <w:abstractNumId w:val="3"/>
  </w:num>
  <w:num w:numId="33">
    <w:abstractNumId w:val="14"/>
  </w:num>
  <w:num w:numId="34">
    <w:abstractNumId w:val="1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ppendices" w:val="True"/>
    <w:docVar w:name="AppendixName" w:val="Appendix"/>
    <w:docVar w:name="CoverDesign" w:val="1"/>
    <w:docVar w:name="Disclaimer" w:val="True"/>
    <w:docVar w:name="Foreword" w:val="True"/>
    <w:docVar w:name="Heading1Numbered" w:val="True"/>
    <w:docVar w:name="Heading2Numbered" w:val="True"/>
    <w:docVar w:name="Heading3Numbered" w:val="True"/>
    <w:docVar w:name="IsWordingOverview" w:val="True"/>
    <w:docVar w:name="NumberedBodyText" w:val="False"/>
    <w:docVar w:name="optHeading1OddPage" w:val="False"/>
    <w:docVar w:name="Overview" w:val="True"/>
    <w:docVar w:name="PageSetup" w:val="Double"/>
    <w:docVar w:name="RibbonLabel" w:val="Appendix"/>
    <w:docVar w:name="TOC" w:val="True"/>
    <w:docVar w:name="TOCNew" w:val="False"/>
    <w:docVar w:name="Version" w:val="Version 1"/>
  </w:docVars>
  <w:rsids>
    <w:rsidRoot w:val="002400BD"/>
    <w:rsid w:val="0000322C"/>
    <w:rsid w:val="00003CDD"/>
    <w:rsid w:val="00012996"/>
    <w:rsid w:val="0001300D"/>
    <w:rsid w:val="00013785"/>
    <w:rsid w:val="00014976"/>
    <w:rsid w:val="000165A7"/>
    <w:rsid w:val="000168A7"/>
    <w:rsid w:val="00020D22"/>
    <w:rsid w:val="00023A6F"/>
    <w:rsid w:val="000278D0"/>
    <w:rsid w:val="00027E62"/>
    <w:rsid w:val="000307C8"/>
    <w:rsid w:val="00030F73"/>
    <w:rsid w:val="000316FD"/>
    <w:rsid w:val="00034A4F"/>
    <w:rsid w:val="00035ADE"/>
    <w:rsid w:val="00035B32"/>
    <w:rsid w:val="00040EA0"/>
    <w:rsid w:val="0004224B"/>
    <w:rsid w:val="00046226"/>
    <w:rsid w:val="00047703"/>
    <w:rsid w:val="0005014C"/>
    <w:rsid w:val="00051600"/>
    <w:rsid w:val="0005330D"/>
    <w:rsid w:val="0005397B"/>
    <w:rsid w:val="000547F6"/>
    <w:rsid w:val="00054C31"/>
    <w:rsid w:val="0005508A"/>
    <w:rsid w:val="000557A7"/>
    <w:rsid w:val="00055805"/>
    <w:rsid w:val="00056CB3"/>
    <w:rsid w:val="00056E7B"/>
    <w:rsid w:val="0005727F"/>
    <w:rsid w:val="00060A16"/>
    <w:rsid w:val="00062B5E"/>
    <w:rsid w:val="00065ABE"/>
    <w:rsid w:val="000678B2"/>
    <w:rsid w:val="00067A28"/>
    <w:rsid w:val="0007013B"/>
    <w:rsid w:val="000709D7"/>
    <w:rsid w:val="0007260F"/>
    <w:rsid w:val="00072B60"/>
    <w:rsid w:val="00074485"/>
    <w:rsid w:val="00080483"/>
    <w:rsid w:val="000805D5"/>
    <w:rsid w:val="0008103B"/>
    <w:rsid w:val="00082EAE"/>
    <w:rsid w:val="0008324E"/>
    <w:rsid w:val="00085F97"/>
    <w:rsid w:val="00086ADA"/>
    <w:rsid w:val="00086FD2"/>
    <w:rsid w:val="000878ED"/>
    <w:rsid w:val="00091755"/>
    <w:rsid w:val="00091D53"/>
    <w:rsid w:val="00092A33"/>
    <w:rsid w:val="00092B6C"/>
    <w:rsid w:val="00093EB9"/>
    <w:rsid w:val="00095298"/>
    <w:rsid w:val="000A05EE"/>
    <w:rsid w:val="000A2FEC"/>
    <w:rsid w:val="000A348F"/>
    <w:rsid w:val="000A596A"/>
    <w:rsid w:val="000B3F9F"/>
    <w:rsid w:val="000B58CC"/>
    <w:rsid w:val="000B5D81"/>
    <w:rsid w:val="000B6942"/>
    <w:rsid w:val="000B79C0"/>
    <w:rsid w:val="000C09FA"/>
    <w:rsid w:val="000C1294"/>
    <w:rsid w:val="000C37A9"/>
    <w:rsid w:val="000C455B"/>
    <w:rsid w:val="000C5170"/>
    <w:rsid w:val="000C542F"/>
    <w:rsid w:val="000C6728"/>
    <w:rsid w:val="000C702E"/>
    <w:rsid w:val="000D15E9"/>
    <w:rsid w:val="000D2996"/>
    <w:rsid w:val="000D3182"/>
    <w:rsid w:val="000D45C4"/>
    <w:rsid w:val="000D48F9"/>
    <w:rsid w:val="000D4D04"/>
    <w:rsid w:val="000E18F3"/>
    <w:rsid w:val="000E1E2B"/>
    <w:rsid w:val="000E266E"/>
    <w:rsid w:val="000F1515"/>
    <w:rsid w:val="000F16B5"/>
    <w:rsid w:val="000F616E"/>
    <w:rsid w:val="00104F78"/>
    <w:rsid w:val="00110D43"/>
    <w:rsid w:val="001110D9"/>
    <w:rsid w:val="00112010"/>
    <w:rsid w:val="001159EA"/>
    <w:rsid w:val="00123889"/>
    <w:rsid w:val="00125410"/>
    <w:rsid w:val="00126406"/>
    <w:rsid w:val="00130858"/>
    <w:rsid w:val="00132F0D"/>
    <w:rsid w:val="00136C26"/>
    <w:rsid w:val="0014059F"/>
    <w:rsid w:val="00141551"/>
    <w:rsid w:val="001417CE"/>
    <w:rsid w:val="00142520"/>
    <w:rsid w:val="0014479F"/>
    <w:rsid w:val="00146675"/>
    <w:rsid w:val="00150788"/>
    <w:rsid w:val="001507F8"/>
    <w:rsid w:val="001525D6"/>
    <w:rsid w:val="00152BCC"/>
    <w:rsid w:val="00154DC5"/>
    <w:rsid w:val="00160C8D"/>
    <w:rsid w:val="00161E45"/>
    <w:rsid w:val="001629C0"/>
    <w:rsid w:val="001649ED"/>
    <w:rsid w:val="00165122"/>
    <w:rsid w:val="00165854"/>
    <w:rsid w:val="00173DFD"/>
    <w:rsid w:val="00180FF9"/>
    <w:rsid w:val="001821AE"/>
    <w:rsid w:val="001830F3"/>
    <w:rsid w:val="001855E4"/>
    <w:rsid w:val="001901A1"/>
    <w:rsid w:val="001928D3"/>
    <w:rsid w:val="00193386"/>
    <w:rsid w:val="001938AF"/>
    <w:rsid w:val="001943F2"/>
    <w:rsid w:val="00195228"/>
    <w:rsid w:val="00195696"/>
    <w:rsid w:val="00196532"/>
    <w:rsid w:val="001969C5"/>
    <w:rsid w:val="001A1EFC"/>
    <w:rsid w:val="001A25BA"/>
    <w:rsid w:val="001A48EF"/>
    <w:rsid w:val="001A49CC"/>
    <w:rsid w:val="001A4FED"/>
    <w:rsid w:val="001A5553"/>
    <w:rsid w:val="001A716E"/>
    <w:rsid w:val="001A7AF9"/>
    <w:rsid w:val="001B0565"/>
    <w:rsid w:val="001B1C04"/>
    <w:rsid w:val="001B2C65"/>
    <w:rsid w:val="001B7058"/>
    <w:rsid w:val="001C1518"/>
    <w:rsid w:val="001C2B0F"/>
    <w:rsid w:val="001C3A40"/>
    <w:rsid w:val="001C3A4F"/>
    <w:rsid w:val="001C4121"/>
    <w:rsid w:val="001C468F"/>
    <w:rsid w:val="001C48DE"/>
    <w:rsid w:val="001C5EE0"/>
    <w:rsid w:val="001C69EC"/>
    <w:rsid w:val="001C6EB4"/>
    <w:rsid w:val="001D1435"/>
    <w:rsid w:val="001D2BC3"/>
    <w:rsid w:val="001D3F69"/>
    <w:rsid w:val="001D4894"/>
    <w:rsid w:val="001D52E3"/>
    <w:rsid w:val="001D576F"/>
    <w:rsid w:val="001D6C52"/>
    <w:rsid w:val="001D6FF7"/>
    <w:rsid w:val="001D7C29"/>
    <w:rsid w:val="001E0475"/>
    <w:rsid w:val="001E1360"/>
    <w:rsid w:val="001E1361"/>
    <w:rsid w:val="001E4949"/>
    <w:rsid w:val="001E6A58"/>
    <w:rsid w:val="001F114F"/>
    <w:rsid w:val="001F1B70"/>
    <w:rsid w:val="001F5C90"/>
    <w:rsid w:val="001F767C"/>
    <w:rsid w:val="00200D7A"/>
    <w:rsid w:val="00205AC4"/>
    <w:rsid w:val="0020606E"/>
    <w:rsid w:val="00207FBC"/>
    <w:rsid w:val="00210FCF"/>
    <w:rsid w:val="00217400"/>
    <w:rsid w:val="00217EF3"/>
    <w:rsid w:val="00221E82"/>
    <w:rsid w:val="00222EFF"/>
    <w:rsid w:val="002240D5"/>
    <w:rsid w:val="002246CB"/>
    <w:rsid w:val="002261A7"/>
    <w:rsid w:val="00226AEC"/>
    <w:rsid w:val="00227575"/>
    <w:rsid w:val="00232C61"/>
    <w:rsid w:val="00233BE7"/>
    <w:rsid w:val="002370A3"/>
    <w:rsid w:val="002400BD"/>
    <w:rsid w:val="0024163F"/>
    <w:rsid w:val="00243B12"/>
    <w:rsid w:val="00243D3A"/>
    <w:rsid w:val="00244690"/>
    <w:rsid w:val="00245C18"/>
    <w:rsid w:val="002478BB"/>
    <w:rsid w:val="00250A99"/>
    <w:rsid w:val="0025378F"/>
    <w:rsid w:val="002545F3"/>
    <w:rsid w:val="002607C3"/>
    <w:rsid w:val="0026344F"/>
    <w:rsid w:val="00266A17"/>
    <w:rsid w:val="00267FD8"/>
    <w:rsid w:val="00270372"/>
    <w:rsid w:val="00271A3D"/>
    <w:rsid w:val="0027400D"/>
    <w:rsid w:val="00275534"/>
    <w:rsid w:val="00277075"/>
    <w:rsid w:val="00277480"/>
    <w:rsid w:val="002775D2"/>
    <w:rsid w:val="00281ADD"/>
    <w:rsid w:val="002828FF"/>
    <w:rsid w:val="00282EA8"/>
    <w:rsid w:val="002860E6"/>
    <w:rsid w:val="0029340A"/>
    <w:rsid w:val="00293E0D"/>
    <w:rsid w:val="00293E80"/>
    <w:rsid w:val="00296BFB"/>
    <w:rsid w:val="002972CD"/>
    <w:rsid w:val="0029733D"/>
    <w:rsid w:val="002973B0"/>
    <w:rsid w:val="00297971"/>
    <w:rsid w:val="00297C14"/>
    <w:rsid w:val="00297C5F"/>
    <w:rsid w:val="00297DC0"/>
    <w:rsid w:val="002A220F"/>
    <w:rsid w:val="002A24F1"/>
    <w:rsid w:val="002A5778"/>
    <w:rsid w:val="002A5E0A"/>
    <w:rsid w:val="002B022C"/>
    <w:rsid w:val="002B1E84"/>
    <w:rsid w:val="002B2085"/>
    <w:rsid w:val="002B2490"/>
    <w:rsid w:val="002B3EC4"/>
    <w:rsid w:val="002B4A26"/>
    <w:rsid w:val="002C0323"/>
    <w:rsid w:val="002C37D5"/>
    <w:rsid w:val="002D14CD"/>
    <w:rsid w:val="002D34DB"/>
    <w:rsid w:val="002D497D"/>
    <w:rsid w:val="002D4B11"/>
    <w:rsid w:val="002D7692"/>
    <w:rsid w:val="002E05A3"/>
    <w:rsid w:val="002E0822"/>
    <w:rsid w:val="002E2BB5"/>
    <w:rsid w:val="002E3181"/>
    <w:rsid w:val="002E5633"/>
    <w:rsid w:val="002E5C7D"/>
    <w:rsid w:val="002E7557"/>
    <w:rsid w:val="002F17E3"/>
    <w:rsid w:val="002F1963"/>
    <w:rsid w:val="002F452D"/>
    <w:rsid w:val="002F5B6E"/>
    <w:rsid w:val="002F61B5"/>
    <w:rsid w:val="002F6DEC"/>
    <w:rsid w:val="0030209B"/>
    <w:rsid w:val="00311F54"/>
    <w:rsid w:val="003127E4"/>
    <w:rsid w:val="00313215"/>
    <w:rsid w:val="003142AB"/>
    <w:rsid w:val="00315B39"/>
    <w:rsid w:val="00315D23"/>
    <w:rsid w:val="00317352"/>
    <w:rsid w:val="003174C3"/>
    <w:rsid w:val="00321C83"/>
    <w:rsid w:val="00321DD0"/>
    <w:rsid w:val="0032239F"/>
    <w:rsid w:val="00323CE7"/>
    <w:rsid w:val="0032557A"/>
    <w:rsid w:val="0032635F"/>
    <w:rsid w:val="00326E61"/>
    <w:rsid w:val="003271E9"/>
    <w:rsid w:val="00331065"/>
    <w:rsid w:val="003321FB"/>
    <w:rsid w:val="00333058"/>
    <w:rsid w:val="00333616"/>
    <w:rsid w:val="00340778"/>
    <w:rsid w:val="00342279"/>
    <w:rsid w:val="00344D2C"/>
    <w:rsid w:val="003458CE"/>
    <w:rsid w:val="00345A57"/>
    <w:rsid w:val="00346D90"/>
    <w:rsid w:val="00347EE8"/>
    <w:rsid w:val="00351F62"/>
    <w:rsid w:val="003533B7"/>
    <w:rsid w:val="00353C54"/>
    <w:rsid w:val="003575A2"/>
    <w:rsid w:val="003601F4"/>
    <w:rsid w:val="00361E1A"/>
    <w:rsid w:val="00363711"/>
    <w:rsid w:val="00366AEE"/>
    <w:rsid w:val="003671E2"/>
    <w:rsid w:val="00372AE6"/>
    <w:rsid w:val="00373378"/>
    <w:rsid w:val="00377D53"/>
    <w:rsid w:val="003802C3"/>
    <w:rsid w:val="00380A33"/>
    <w:rsid w:val="00381C0F"/>
    <w:rsid w:val="00383440"/>
    <w:rsid w:val="003837E1"/>
    <w:rsid w:val="0038584D"/>
    <w:rsid w:val="00391D30"/>
    <w:rsid w:val="0039257F"/>
    <w:rsid w:val="0039290B"/>
    <w:rsid w:val="003931DE"/>
    <w:rsid w:val="0039322D"/>
    <w:rsid w:val="00393DE4"/>
    <w:rsid w:val="00395ABA"/>
    <w:rsid w:val="00397D1A"/>
    <w:rsid w:val="003A0674"/>
    <w:rsid w:val="003A163C"/>
    <w:rsid w:val="003A195A"/>
    <w:rsid w:val="003A2B4E"/>
    <w:rsid w:val="003A2FBB"/>
    <w:rsid w:val="003A3799"/>
    <w:rsid w:val="003A403B"/>
    <w:rsid w:val="003A41BF"/>
    <w:rsid w:val="003A43A0"/>
    <w:rsid w:val="003A4913"/>
    <w:rsid w:val="003A536A"/>
    <w:rsid w:val="003A54A9"/>
    <w:rsid w:val="003A609C"/>
    <w:rsid w:val="003A7083"/>
    <w:rsid w:val="003B38B3"/>
    <w:rsid w:val="003B3A97"/>
    <w:rsid w:val="003B3D44"/>
    <w:rsid w:val="003B52E7"/>
    <w:rsid w:val="003C186D"/>
    <w:rsid w:val="003C2C4F"/>
    <w:rsid w:val="003C7464"/>
    <w:rsid w:val="003C7CC2"/>
    <w:rsid w:val="003D3AF1"/>
    <w:rsid w:val="003D50B6"/>
    <w:rsid w:val="003D6595"/>
    <w:rsid w:val="003E05DF"/>
    <w:rsid w:val="003E15A5"/>
    <w:rsid w:val="003E2D3C"/>
    <w:rsid w:val="003E6085"/>
    <w:rsid w:val="003E6B64"/>
    <w:rsid w:val="003E6CA3"/>
    <w:rsid w:val="003F1F84"/>
    <w:rsid w:val="003F4C96"/>
    <w:rsid w:val="003F6A1E"/>
    <w:rsid w:val="004012E7"/>
    <w:rsid w:val="00401DBD"/>
    <w:rsid w:val="00403A8E"/>
    <w:rsid w:val="00405AC0"/>
    <w:rsid w:val="00406002"/>
    <w:rsid w:val="00406AD3"/>
    <w:rsid w:val="00412E42"/>
    <w:rsid w:val="00413CE6"/>
    <w:rsid w:val="00415292"/>
    <w:rsid w:val="004228FD"/>
    <w:rsid w:val="00426356"/>
    <w:rsid w:val="00426929"/>
    <w:rsid w:val="00431F62"/>
    <w:rsid w:val="00432266"/>
    <w:rsid w:val="004325ED"/>
    <w:rsid w:val="00441C92"/>
    <w:rsid w:val="00442798"/>
    <w:rsid w:val="00442C16"/>
    <w:rsid w:val="00442F58"/>
    <w:rsid w:val="00446439"/>
    <w:rsid w:val="00450BDA"/>
    <w:rsid w:val="00450C9B"/>
    <w:rsid w:val="00453A3E"/>
    <w:rsid w:val="00453B4C"/>
    <w:rsid w:val="0045452F"/>
    <w:rsid w:val="00456DEB"/>
    <w:rsid w:val="0045766B"/>
    <w:rsid w:val="00463D72"/>
    <w:rsid w:val="0046426A"/>
    <w:rsid w:val="00466F3F"/>
    <w:rsid w:val="004671B5"/>
    <w:rsid w:val="00471320"/>
    <w:rsid w:val="00471476"/>
    <w:rsid w:val="00474BB7"/>
    <w:rsid w:val="004764E9"/>
    <w:rsid w:val="00476DD3"/>
    <w:rsid w:val="004816D7"/>
    <w:rsid w:val="0048342E"/>
    <w:rsid w:val="00483F98"/>
    <w:rsid w:val="00484380"/>
    <w:rsid w:val="00487478"/>
    <w:rsid w:val="0048782D"/>
    <w:rsid w:val="00490AF1"/>
    <w:rsid w:val="0049268F"/>
    <w:rsid w:val="00494DC1"/>
    <w:rsid w:val="004A088F"/>
    <w:rsid w:val="004A0E29"/>
    <w:rsid w:val="004A1C74"/>
    <w:rsid w:val="004A2B4C"/>
    <w:rsid w:val="004A3BD6"/>
    <w:rsid w:val="004A3F56"/>
    <w:rsid w:val="004A5E21"/>
    <w:rsid w:val="004A666A"/>
    <w:rsid w:val="004A7282"/>
    <w:rsid w:val="004B143F"/>
    <w:rsid w:val="004B203B"/>
    <w:rsid w:val="004B2A25"/>
    <w:rsid w:val="004B3E13"/>
    <w:rsid w:val="004B49A0"/>
    <w:rsid w:val="004B6568"/>
    <w:rsid w:val="004B744D"/>
    <w:rsid w:val="004C171B"/>
    <w:rsid w:val="004C21C4"/>
    <w:rsid w:val="004C5F64"/>
    <w:rsid w:val="004C6306"/>
    <w:rsid w:val="004C63E5"/>
    <w:rsid w:val="004C6F5E"/>
    <w:rsid w:val="004C7E94"/>
    <w:rsid w:val="004D00F8"/>
    <w:rsid w:val="004D58BA"/>
    <w:rsid w:val="004D7CF8"/>
    <w:rsid w:val="004D7EDA"/>
    <w:rsid w:val="004E0E49"/>
    <w:rsid w:val="004E197A"/>
    <w:rsid w:val="004E1F6D"/>
    <w:rsid w:val="004E5059"/>
    <w:rsid w:val="004E5D52"/>
    <w:rsid w:val="004E5FAE"/>
    <w:rsid w:val="004E7DC3"/>
    <w:rsid w:val="004F07D7"/>
    <w:rsid w:val="004F1297"/>
    <w:rsid w:val="004F16DB"/>
    <w:rsid w:val="004F2275"/>
    <w:rsid w:val="004F277A"/>
    <w:rsid w:val="004F4D7E"/>
    <w:rsid w:val="004F5B16"/>
    <w:rsid w:val="004F5D9D"/>
    <w:rsid w:val="004F68E5"/>
    <w:rsid w:val="004F73BE"/>
    <w:rsid w:val="004F741B"/>
    <w:rsid w:val="00500EEC"/>
    <w:rsid w:val="00503253"/>
    <w:rsid w:val="00503B7F"/>
    <w:rsid w:val="00503BB0"/>
    <w:rsid w:val="00503E03"/>
    <w:rsid w:val="00504C2E"/>
    <w:rsid w:val="005050DA"/>
    <w:rsid w:val="0050514F"/>
    <w:rsid w:val="00512226"/>
    <w:rsid w:val="005147C6"/>
    <w:rsid w:val="005159B1"/>
    <w:rsid w:val="00517181"/>
    <w:rsid w:val="00517F82"/>
    <w:rsid w:val="00522502"/>
    <w:rsid w:val="005255A1"/>
    <w:rsid w:val="00525D95"/>
    <w:rsid w:val="00525E7E"/>
    <w:rsid w:val="0052641C"/>
    <w:rsid w:val="00527545"/>
    <w:rsid w:val="005275EC"/>
    <w:rsid w:val="00527C64"/>
    <w:rsid w:val="00527E59"/>
    <w:rsid w:val="0053015E"/>
    <w:rsid w:val="00533E1F"/>
    <w:rsid w:val="00533E24"/>
    <w:rsid w:val="005371D5"/>
    <w:rsid w:val="0053795D"/>
    <w:rsid w:val="00543007"/>
    <w:rsid w:val="00544522"/>
    <w:rsid w:val="005468AB"/>
    <w:rsid w:val="00547311"/>
    <w:rsid w:val="005501A0"/>
    <w:rsid w:val="00550831"/>
    <w:rsid w:val="00554273"/>
    <w:rsid w:val="00554777"/>
    <w:rsid w:val="005573D9"/>
    <w:rsid w:val="00560DD4"/>
    <w:rsid w:val="00563884"/>
    <w:rsid w:val="005642B6"/>
    <w:rsid w:val="005664BF"/>
    <w:rsid w:val="005679CC"/>
    <w:rsid w:val="00571D5E"/>
    <w:rsid w:val="005823D0"/>
    <w:rsid w:val="0058674C"/>
    <w:rsid w:val="0058773C"/>
    <w:rsid w:val="00591A66"/>
    <w:rsid w:val="00593496"/>
    <w:rsid w:val="00593EFF"/>
    <w:rsid w:val="005974B3"/>
    <w:rsid w:val="005A003F"/>
    <w:rsid w:val="005A2748"/>
    <w:rsid w:val="005A443F"/>
    <w:rsid w:val="005A522B"/>
    <w:rsid w:val="005A6E75"/>
    <w:rsid w:val="005B1CFE"/>
    <w:rsid w:val="005B403C"/>
    <w:rsid w:val="005B4488"/>
    <w:rsid w:val="005B58D4"/>
    <w:rsid w:val="005C07B3"/>
    <w:rsid w:val="005C284E"/>
    <w:rsid w:val="005C47D4"/>
    <w:rsid w:val="005C5141"/>
    <w:rsid w:val="005C6A60"/>
    <w:rsid w:val="005C7EAE"/>
    <w:rsid w:val="005D1346"/>
    <w:rsid w:val="005D51D0"/>
    <w:rsid w:val="005D52B9"/>
    <w:rsid w:val="005D5E74"/>
    <w:rsid w:val="005D6F83"/>
    <w:rsid w:val="005D7877"/>
    <w:rsid w:val="005D7941"/>
    <w:rsid w:val="005D7CCF"/>
    <w:rsid w:val="005E3033"/>
    <w:rsid w:val="005E452A"/>
    <w:rsid w:val="005E58C4"/>
    <w:rsid w:val="005E5D8F"/>
    <w:rsid w:val="005F1B4E"/>
    <w:rsid w:val="005F3334"/>
    <w:rsid w:val="005F5A5C"/>
    <w:rsid w:val="005F5CD9"/>
    <w:rsid w:val="005F5E89"/>
    <w:rsid w:val="00600FCA"/>
    <w:rsid w:val="0060129B"/>
    <w:rsid w:val="00602FBA"/>
    <w:rsid w:val="0060339E"/>
    <w:rsid w:val="00603400"/>
    <w:rsid w:val="00606785"/>
    <w:rsid w:val="006101C2"/>
    <w:rsid w:val="00610E05"/>
    <w:rsid w:val="0061135C"/>
    <w:rsid w:val="006136DD"/>
    <w:rsid w:val="00614358"/>
    <w:rsid w:val="006149F0"/>
    <w:rsid w:val="00617026"/>
    <w:rsid w:val="00617179"/>
    <w:rsid w:val="006220A5"/>
    <w:rsid w:val="0062239F"/>
    <w:rsid w:val="006242BA"/>
    <w:rsid w:val="00624AC8"/>
    <w:rsid w:val="00626663"/>
    <w:rsid w:val="00630FF2"/>
    <w:rsid w:val="00633C60"/>
    <w:rsid w:val="00635616"/>
    <w:rsid w:val="006375D1"/>
    <w:rsid w:val="00637A15"/>
    <w:rsid w:val="0064126D"/>
    <w:rsid w:val="006451B8"/>
    <w:rsid w:val="00645722"/>
    <w:rsid w:val="00645F6C"/>
    <w:rsid w:val="00647CD3"/>
    <w:rsid w:val="00652432"/>
    <w:rsid w:val="006530FA"/>
    <w:rsid w:val="00657840"/>
    <w:rsid w:val="00657E49"/>
    <w:rsid w:val="0066003C"/>
    <w:rsid w:val="0066041E"/>
    <w:rsid w:val="00660D68"/>
    <w:rsid w:val="0066386B"/>
    <w:rsid w:val="0066422B"/>
    <w:rsid w:val="0066601A"/>
    <w:rsid w:val="00666026"/>
    <w:rsid w:val="00670614"/>
    <w:rsid w:val="00673CCC"/>
    <w:rsid w:val="00675C98"/>
    <w:rsid w:val="0067797F"/>
    <w:rsid w:val="00677C6A"/>
    <w:rsid w:val="0068075E"/>
    <w:rsid w:val="00681A4D"/>
    <w:rsid w:val="00685519"/>
    <w:rsid w:val="00685718"/>
    <w:rsid w:val="00686390"/>
    <w:rsid w:val="0069026B"/>
    <w:rsid w:val="00690B63"/>
    <w:rsid w:val="00691578"/>
    <w:rsid w:val="00691940"/>
    <w:rsid w:val="006933F6"/>
    <w:rsid w:val="00693423"/>
    <w:rsid w:val="0069373F"/>
    <w:rsid w:val="006956EA"/>
    <w:rsid w:val="006974E5"/>
    <w:rsid w:val="006A1DBE"/>
    <w:rsid w:val="006A490C"/>
    <w:rsid w:val="006A4C4F"/>
    <w:rsid w:val="006A675A"/>
    <w:rsid w:val="006B0662"/>
    <w:rsid w:val="006B3440"/>
    <w:rsid w:val="006B4F7D"/>
    <w:rsid w:val="006B62CE"/>
    <w:rsid w:val="006B6D26"/>
    <w:rsid w:val="006B7B60"/>
    <w:rsid w:val="006C0638"/>
    <w:rsid w:val="006C0D69"/>
    <w:rsid w:val="006C114C"/>
    <w:rsid w:val="006C37BA"/>
    <w:rsid w:val="006C3864"/>
    <w:rsid w:val="006C5383"/>
    <w:rsid w:val="006C5E72"/>
    <w:rsid w:val="006C67BC"/>
    <w:rsid w:val="006C6985"/>
    <w:rsid w:val="006D2AEC"/>
    <w:rsid w:val="006D483E"/>
    <w:rsid w:val="006D4919"/>
    <w:rsid w:val="006D4C8E"/>
    <w:rsid w:val="006D5F0F"/>
    <w:rsid w:val="006D6087"/>
    <w:rsid w:val="006D6508"/>
    <w:rsid w:val="006E0256"/>
    <w:rsid w:val="006E079F"/>
    <w:rsid w:val="006E19D1"/>
    <w:rsid w:val="006E1CBB"/>
    <w:rsid w:val="006E26A6"/>
    <w:rsid w:val="006E4057"/>
    <w:rsid w:val="006F100B"/>
    <w:rsid w:val="006F239A"/>
    <w:rsid w:val="006F2C9D"/>
    <w:rsid w:val="007014D3"/>
    <w:rsid w:val="00703216"/>
    <w:rsid w:val="00703A5C"/>
    <w:rsid w:val="0070637D"/>
    <w:rsid w:val="00706FFB"/>
    <w:rsid w:val="007071DD"/>
    <w:rsid w:val="0070771F"/>
    <w:rsid w:val="00712A14"/>
    <w:rsid w:val="00714E17"/>
    <w:rsid w:val="00716C04"/>
    <w:rsid w:val="00717180"/>
    <w:rsid w:val="007179D2"/>
    <w:rsid w:val="00720750"/>
    <w:rsid w:val="0072549C"/>
    <w:rsid w:val="00725A80"/>
    <w:rsid w:val="00727265"/>
    <w:rsid w:val="00727B85"/>
    <w:rsid w:val="00733970"/>
    <w:rsid w:val="0073484E"/>
    <w:rsid w:val="00737709"/>
    <w:rsid w:val="007400D2"/>
    <w:rsid w:val="0074100C"/>
    <w:rsid w:val="0074231F"/>
    <w:rsid w:val="0074275C"/>
    <w:rsid w:val="00743CCB"/>
    <w:rsid w:val="00743FBF"/>
    <w:rsid w:val="00753812"/>
    <w:rsid w:val="00753CFB"/>
    <w:rsid w:val="00754C58"/>
    <w:rsid w:val="00761969"/>
    <w:rsid w:val="00765085"/>
    <w:rsid w:val="007676C0"/>
    <w:rsid w:val="00772FED"/>
    <w:rsid w:val="00773CBF"/>
    <w:rsid w:val="007747DB"/>
    <w:rsid w:val="00775D62"/>
    <w:rsid w:val="0077695C"/>
    <w:rsid w:val="00776E78"/>
    <w:rsid w:val="0078138A"/>
    <w:rsid w:val="00783014"/>
    <w:rsid w:val="007834DC"/>
    <w:rsid w:val="007834E5"/>
    <w:rsid w:val="00784ADB"/>
    <w:rsid w:val="007850F9"/>
    <w:rsid w:val="00785B35"/>
    <w:rsid w:val="00792DDA"/>
    <w:rsid w:val="007959D8"/>
    <w:rsid w:val="0079630F"/>
    <w:rsid w:val="007979E1"/>
    <w:rsid w:val="007A04C2"/>
    <w:rsid w:val="007A237E"/>
    <w:rsid w:val="007A47FB"/>
    <w:rsid w:val="007A4E03"/>
    <w:rsid w:val="007A7381"/>
    <w:rsid w:val="007B146A"/>
    <w:rsid w:val="007B4B09"/>
    <w:rsid w:val="007B7B26"/>
    <w:rsid w:val="007C0040"/>
    <w:rsid w:val="007C0767"/>
    <w:rsid w:val="007C0E7C"/>
    <w:rsid w:val="007C0EAA"/>
    <w:rsid w:val="007C44B2"/>
    <w:rsid w:val="007C6496"/>
    <w:rsid w:val="007C745E"/>
    <w:rsid w:val="007D35E0"/>
    <w:rsid w:val="007D713C"/>
    <w:rsid w:val="007E0BEC"/>
    <w:rsid w:val="007E2496"/>
    <w:rsid w:val="007E3F8C"/>
    <w:rsid w:val="007E66B7"/>
    <w:rsid w:val="007F2058"/>
    <w:rsid w:val="007F5CD7"/>
    <w:rsid w:val="007F5FAD"/>
    <w:rsid w:val="007F7685"/>
    <w:rsid w:val="0080011D"/>
    <w:rsid w:val="00800EA5"/>
    <w:rsid w:val="00801C01"/>
    <w:rsid w:val="00804D8C"/>
    <w:rsid w:val="0081085D"/>
    <w:rsid w:val="00812A2A"/>
    <w:rsid w:val="008130BB"/>
    <w:rsid w:val="008134FE"/>
    <w:rsid w:val="00816093"/>
    <w:rsid w:val="00816436"/>
    <w:rsid w:val="00817272"/>
    <w:rsid w:val="008237FA"/>
    <w:rsid w:val="0082594C"/>
    <w:rsid w:val="00825AC7"/>
    <w:rsid w:val="00825D37"/>
    <w:rsid w:val="0082702C"/>
    <w:rsid w:val="008368A3"/>
    <w:rsid w:val="008369B0"/>
    <w:rsid w:val="0084403B"/>
    <w:rsid w:val="00844FC4"/>
    <w:rsid w:val="00847F5F"/>
    <w:rsid w:val="00851994"/>
    <w:rsid w:val="00853A08"/>
    <w:rsid w:val="00855602"/>
    <w:rsid w:val="0085732C"/>
    <w:rsid w:val="0086076E"/>
    <w:rsid w:val="00860B45"/>
    <w:rsid w:val="0086155C"/>
    <w:rsid w:val="0086166A"/>
    <w:rsid w:val="0086189A"/>
    <w:rsid w:val="008621A9"/>
    <w:rsid w:val="00863860"/>
    <w:rsid w:val="008638B5"/>
    <w:rsid w:val="00865400"/>
    <w:rsid w:val="00867E43"/>
    <w:rsid w:val="00870DB9"/>
    <w:rsid w:val="008734DB"/>
    <w:rsid w:val="0087390B"/>
    <w:rsid w:val="00873B4C"/>
    <w:rsid w:val="008745A1"/>
    <w:rsid w:val="008764FD"/>
    <w:rsid w:val="008768E9"/>
    <w:rsid w:val="0087751B"/>
    <w:rsid w:val="008800AA"/>
    <w:rsid w:val="00880485"/>
    <w:rsid w:val="00880B44"/>
    <w:rsid w:val="00881117"/>
    <w:rsid w:val="00887468"/>
    <w:rsid w:val="00890995"/>
    <w:rsid w:val="008914FB"/>
    <w:rsid w:val="00891685"/>
    <w:rsid w:val="0089345D"/>
    <w:rsid w:val="00895C99"/>
    <w:rsid w:val="0089645A"/>
    <w:rsid w:val="008979B0"/>
    <w:rsid w:val="00897E99"/>
    <w:rsid w:val="008A0A35"/>
    <w:rsid w:val="008A3911"/>
    <w:rsid w:val="008A4829"/>
    <w:rsid w:val="008B2384"/>
    <w:rsid w:val="008B38D6"/>
    <w:rsid w:val="008B3AE3"/>
    <w:rsid w:val="008B4802"/>
    <w:rsid w:val="008B6913"/>
    <w:rsid w:val="008B69E3"/>
    <w:rsid w:val="008B717C"/>
    <w:rsid w:val="008C053B"/>
    <w:rsid w:val="008C1FD1"/>
    <w:rsid w:val="008C2303"/>
    <w:rsid w:val="008C24A8"/>
    <w:rsid w:val="008C35EF"/>
    <w:rsid w:val="008C5996"/>
    <w:rsid w:val="008D190E"/>
    <w:rsid w:val="008D33F1"/>
    <w:rsid w:val="008D36A7"/>
    <w:rsid w:val="008D47B9"/>
    <w:rsid w:val="008D5A11"/>
    <w:rsid w:val="008D5E23"/>
    <w:rsid w:val="008D6056"/>
    <w:rsid w:val="008D79B3"/>
    <w:rsid w:val="008E05E9"/>
    <w:rsid w:val="008E2623"/>
    <w:rsid w:val="008E3AC0"/>
    <w:rsid w:val="008E3BC8"/>
    <w:rsid w:val="008E5A9B"/>
    <w:rsid w:val="008E64EB"/>
    <w:rsid w:val="008E6D59"/>
    <w:rsid w:val="008F18DE"/>
    <w:rsid w:val="008F2338"/>
    <w:rsid w:val="008F39EF"/>
    <w:rsid w:val="008F5D66"/>
    <w:rsid w:val="008F6E06"/>
    <w:rsid w:val="009028AA"/>
    <w:rsid w:val="00902A14"/>
    <w:rsid w:val="00903E3F"/>
    <w:rsid w:val="009049C3"/>
    <w:rsid w:val="00904D3B"/>
    <w:rsid w:val="009057D9"/>
    <w:rsid w:val="00907536"/>
    <w:rsid w:val="0090774A"/>
    <w:rsid w:val="009108F8"/>
    <w:rsid w:val="00910D07"/>
    <w:rsid w:val="00910FE3"/>
    <w:rsid w:val="00914B19"/>
    <w:rsid w:val="00914B2F"/>
    <w:rsid w:val="009150E6"/>
    <w:rsid w:val="00917F89"/>
    <w:rsid w:val="00921137"/>
    <w:rsid w:val="009212DA"/>
    <w:rsid w:val="00921FB4"/>
    <w:rsid w:val="00924801"/>
    <w:rsid w:val="009255EE"/>
    <w:rsid w:val="00925603"/>
    <w:rsid w:val="00925F76"/>
    <w:rsid w:val="009269BB"/>
    <w:rsid w:val="00931897"/>
    <w:rsid w:val="00932D3A"/>
    <w:rsid w:val="00932E89"/>
    <w:rsid w:val="009334E5"/>
    <w:rsid w:val="0093359D"/>
    <w:rsid w:val="00933F2B"/>
    <w:rsid w:val="00935AF1"/>
    <w:rsid w:val="00935DCF"/>
    <w:rsid w:val="00937971"/>
    <w:rsid w:val="00942A23"/>
    <w:rsid w:val="00942EEB"/>
    <w:rsid w:val="0094468E"/>
    <w:rsid w:val="00944AB2"/>
    <w:rsid w:val="00945261"/>
    <w:rsid w:val="009464E2"/>
    <w:rsid w:val="0095033F"/>
    <w:rsid w:val="009506A5"/>
    <w:rsid w:val="009534E9"/>
    <w:rsid w:val="009541CC"/>
    <w:rsid w:val="00956564"/>
    <w:rsid w:val="00956D5A"/>
    <w:rsid w:val="00961351"/>
    <w:rsid w:val="00961B2C"/>
    <w:rsid w:val="00961DBB"/>
    <w:rsid w:val="0096618E"/>
    <w:rsid w:val="00966BA1"/>
    <w:rsid w:val="009708C7"/>
    <w:rsid w:val="00975449"/>
    <w:rsid w:val="00975B5B"/>
    <w:rsid w:val="00980288"/>
    <w:rsid w:val="009810ED"/>
    <w:rsid w:val="00981433"/>
    <w:rsid w:val="00981867"/>
    <w:rsid w:val="0098269D"/>
    <w:rsid w:val="009851B6"/>
    <w:rsid w:val="00985C07"/>
    <w:rsid w:val="00991BDB"/>
    <w:rsid w:val="0099278E"/>
    <w:rsid w:val="00993077"/>
    <w:rsid w:val="00995B4F"/>
    <w:rsid w:val="00997582"/>
    <w:rsid w:val="009A060B"/>
    <w:rsid w:val="009A1FB9"/>
    <w:rsid w:val="009A2C21"/>
    <w:rsid w:val="009A3118"/>
    <w:rsid w:val="009A3E58"/>
    <w:rsid w:val="009A5F02"/>
    <w:rsid w:val="009A62F1"/>
    <w:rsid w:val="009A7AB1"/>
    <w:rsid w:val="009B0057"/>
    <w:rsid w:val="009B16B4"/>
    <w:rsid w:val="009B195A"/>
    <w:rsid w:val="009B1E4D"/>
    <w:rsid w:val="009B2150"/>
    <w:rsid w:val="009B5E1F"/>
    <w:rsid w:val="009B6A69"/>
    <w:rsid w:val="009C1BCF"/>
    <w:rsid w:val="009C2F20"/>
    <w:rsid w:val="009C6DAA"/>
    <w:rsid w:val="009C7962"/>
    <w:rsid w:val="009D04E4"/>
    <w:rsid w:val="009D0E74"/>
    <w:rsid w:val="009D0F59"/>
    <w:rsid w:val="009D1299"/>
    <w:rsid w:val="009D1A12"/>
    <w:rsid w:val="009D1A96"/>
    <w:rsid w:val="009D28A2"/>
    <w:rsid w:val="009D370B"/>
    <w:rsid w:val="009D6FBE"/>
    <w:rsid w:val="009E0227"/>
    <w:rsid w:val="009E1A95"/>
    <w:rsid w:val="009E1F3E"/>
    <w:rsid w:val="009E2087"/>
    <w:rsid w:val="009E252B"/>
    <w:rsid w:val="009E2E1C"/>
    <w:rsid w:val="009E3265"/>
    <w:rsid w:val="009E3353"/>
    <w:rsid w:val="009E446D"/>
    <w:rsid w:val="009E7C09"/>
    <w:rsid w:val="009F146D"/>
    <w:rsid w:val="009F1D45"/>
    <w:rsid w:val="009F4F1E"/>
    <w:rsid w:val="00A00611"/>
    <w:rsid w:val="00A015E4"/>
    <w:rsid w:val="00A05C2D"/>
    <w:rsid w:val="00A068F4"/>
    <w:rsid w:val="00A069ED"/>
    <w:rsid w:val="00A06B0D"/>
    <w:rsid w:val="00A071E8"/>
    <w:rsid w:val="00A075BC"/>
    <w:rsid w:val="00A11222"/>
    <w:rsid w:val="00A12C39"/>
    <w:rsid w:val="00A12DA7"/>
    <w:rsid w:val="00A134FB"/>
    <w:rsid w:val="00A15185"/>
    <w:rsid w:val="00A16EB0"/>
    <w:rsid w:val="00A20516"/>
    <w:rsid w:val="00A20802"/>
    <w:rsid w:val="00A230C0"/>
    <w:rsid w:val="00A25092"/>
    <w:rsid w:val="00A253C7"/>
    <w:rsid w:val="00A25B4F"/>
    <w:rsid w:val="00A27EE1"/>
    <w:rsid w:val="00A308DB"/>
    <w:rsid w:val="00A31756"/>
    <w:rsid w:val="00A326AE"/>
    <w:rsid w:val="00A33112"/>
    <w:rsid w:val="00A35122"/>
    <w:rsid w:val="00A442BF"/>
    <w:rsid w:val="00A44B43"/>
    <w:rsid w:val="00A45FA0"/>
    <w:rsid w:val="00A5238D"/>
    <w:rsid w:val="00A52999"/>
    <w:rsid w:val="00A53716"/>
    <w:rsid w:val="00A53FA9"/>
    <w:rsid w:val="00A5629E"/>
    <w:rsid w:val="00A56763"/>
    <w:rsid w:val="00A56CFA"/>
    <w:rsid w:val="00A600BE"/>
    <w:rsid w:val="00A61B1C"/>
    <w:rsid w:val="00A63A5C"/>
    <w:rsid w:val="00A64832"/>
    <w:rsid w:val="00A64CDC"/>
    <w:rsid w:val="00A66526"/>
    <w:rsid w:val="00A71C44"/>
    <w:rsid w:val="00A732DB"/>
    <w:rsid w:val="00A753E2"/>
    <w:rsid w:val="00A766C5"/>
    <w:rsid w:val="00A768C5"/>
    <w:rsid w:val="00A77F60"/>
    <w:rsid w:val="00A80C82"/>
    <w:rsid w:val="00A82125"/>
    <w:rsid w:val="00A83A76"/>
    <w:rsid w:val="00A84ABD"/>
    <w:rsid w:val="00A86F04"/>
    <w:rsid w:val="00A870B8"/>
    <w:rsid w:val="00A92C13"/>
    <w:rsid w:val="00A946C4"/>
    <w:rsid w:val="00A97E19"/>
    <w:rsid w:val="00AA00D8"/>
    <w:rsid w:val="00AA0A34"/>
    <w:rsid w:val="00AA10D6"/>
    <w:rsid w:val="00AA21FB"/>
    <w:rsid w:val="00AA38E9"/>
    <w:rsid w:val="00AB11EA"/>
    <w:rsid w:val="00AB1ED5"/>
    <w:rsid w:val="00AB315F"/>
    <w:rsid w:val="00AB79E1"/>
    <w:rsid w:val="00AC01F8"/>
    <w:rsid w:val="00AC049D"/>
    <w:rsid w:val="00AC059A"/>
    <w:rsid w:val="00AC2AF4"/>
    <w:rsid w:val="00AC374D"/>
    <w:rsid w:val="00AC3784"/>
    <w:rsid w:val="00AC39D5"/>
    <w:rsid w:val="00AC3F82"/>
    <w:rsid w:val="00AC4090"/>
    <w:rsid w:val="00AC4F90"/>
    <w:rsid w:val="00AC6174"/>
    <w:rsid w:val="00AC61F0"/>
    <w:rsid w:val="00AC78C8"/>
    <w:rsid w:val="00AD0308"/>
    <w:rsid w:val="00AD1DE2"/>
    <w:rsid w:val="00AD2869"/>
    <w:rsid w:val="00AD377A"/>
    <w:rsid w:val="00AD5468"/>
    <w:rsid w:val="00AD67BB"/>
    <w:rsid w:val="00AD6982"/>
    <w:rsid w:val="00AD6B82"/>
    <w:rsid w:val="00AD7CE9"/>
    <w:rsid w:val="00AE0CFA"/>
    <w:rsid w:val="00AE0FEA"/>
    <w:rsid w:val="00AE1CC1"/>
    <w:rsid w:val="00AE1DE7"/>
    <w:rsid w:val="00AE3EA4"/>
    <w:rsid w:val="00AE67DF"/>
    <w:rsid w:val="00AE6C72"/>
    <w:rsid w:val="00AF1B02"/>
    <w:rsid w:val="00AF1ED5"/>
    <w:rsid w:val="00AF39CE"/>
    <w:rsid w:val="00AF41E4"/>
    <w:rsid w:val="00AF4AD5"/>
    <w:rsid w:val="00AF5365"/>
    <w:rsid w:val="00AF6161"/>
    <w:rsid w:val="00B02D1C"/>
    <w:rsid w:val="00B02E93"/>
    <w:rsid w:val="00B044F6"/>
    <w:rsid w:val="00B06A75"/>
    <w:rsid w:val="00B06BC3"/>
    <w:rsid w:val="00B1233B"/>
    <w:rsid w:val="00B14030"/>
    <w:rsid w:val="00B15A0F"/>
    <w:rsid w:val="00B16AC8"/>
    <w:rsid w:val="00B20236"/>
    <w:rsid w:val="00B20937"/>
    <w:rsid w:val="00B220A0"/>
    <w:rsid w:val="00B2295B"/>
    <w:rsid w:val="00B22B64"/>
    <w:rsid w:val="00B22FEA"/>
    <w:rsid w:val="00B24321"/>
    <w:rsid w:val="00B245AF"/>
    <w:rsid w:val="00B30FB0"/>
    <w:rsid w:val="00B30FEB"/>
    <w:rsid w:val="00B311D4"/>
    <w:rsid w:val="00B31911"/>
    <w:rsid w:val="00B3307E"/>
    <w:rsid w:val="00B33637"/>
    <w:rsid w:val="00B33A8F"/>
    <w:rsid w:val="00B33BF3"/>
    <w:rsid w:val="00B34E91"/>
    <w:rsid w:val="00B366ED"/>
    <w:rsid w:val="00B40AA3"/>
    <w:rsid w:val="00B438E6"/>
    <w:rsid w:val="00B44478"/>
    <w:rsid w:val="00B51696"/>
    <w:rsid w:val="00B5287B"/>
    <w:rsid w:val="00B53EE1"/>
    <w:rsid w:val="00B54866"/>
    <w:rsid w:val="00B57AB5"/>
    <w:rsid w:val="00B6002C"/>
    <w:rsid w:val="00B615C2"/>
    <w:rsid w:val="00B6182C"/>
    <w:rsid w:val="00B620EE"/>
    <w:rsid w:val="00B62C09"/>
    <w:rsid w:val="00B62E34"/>
    <w:rsid w:val="00B640FD"/>
    <w:rsid w:val="00B67429"/>
    <w:rsid w:val="00B74CFE"/>
    <w:rsid w:val="00B7516E"/>
    <w:rsid w:val="00B75F1E"/>
    <w:rsid w:val="00B76F3E"/>
    <w:rsid w:val="00B772ED"/>
    <w:rsid w:val="00B77A32"/>
    <w:rsid w:val="00B838BB"/>
    <w:rsid w:val="00B83AE2"/>
    <w:rsid w:val="00B84BD3"/>
    <w:rsid w:val="00B85366"/>
    <w:rsid w:val="00B87789"/>
    <w:rsid w:val="00B87F60"/>
    <w:rsid w:val="00B9079B"/>
    <w:rsid w:val="00B931A9"/>
    <w:rsid w:val="00B93D3D"/>
    <w:rsid w:val="00B9413E"/>
    <w:rsid w:val="00B962CD"/>
    <w:rsid w:val="00B96F75"/>
    <w:rsid w:val="00B974DA"/>
    <w:rsid w:val="00BA041E"/>
    <w:rsid w:val="00BA0753"/>
    <w:rsid w:val="00BA1E8D"/>
    <w:rsid w:val="00BA3091"/>
    <w:rsid w:val="00BA4307"/>
    <w:rsid w:val="00BA471F"/>
    <w:rsid w:val="00BA6261"/>
    <w:rsid w:val="00BB0A82"/>
    <w:rsid w:val="00BB208F"/>
    <w:rsid w:val="00BB2EC7"/>
    <w:rsid w:val="00BB3C52"/>
    <w:rsid w:val="00BB5013"/>
    <w:rsid w:val="00BB528E"/>
    <w:rsid w:val="00BB5714"/>
    <w:rsid w:val="00BC0200"/>
    <w:rsid w:val="00BC057E"/>
    <w:rsid w:val="00BC08EB"/>
    <w:rsid w:val="00BC152E"/>
    <w:rsid w:val="00BC2600"/>
    <w:rsid w:val="00BC3143"/>
    <w:rsid w:val="00BC36F0"/>
    <w:rsid w:val="00BC3CFB"/>
    <w:rsid w:val="00BC4FA7"/>
    <w:rsid w:val="00BC5E30"/>
    <w:rsid w:val="00BC6CF8"/>
    <w:rsid w:val="00BD02C5"/>
    <w:rsid w:val="00BD0418"/>
    <w:rsid w:val="00BD068D"/>
    <w:rsid w:val="00BD1273"/>
    <w:rsid w:val="00BE0D9A"/>
    <w:rsid w:val="00BE1A50"/>
    <w:rsid w:val="00BE2F0D"/>
    <w:rsid w:val="00BE3337"/>
    <w:rsid w:val="00BE42AD"/>
    <w:rsid w:val="00BE45B2"/>
    <w:rsid w:val="00BE58D6"/>
    <w:rsid w:val="00BF0BD5"/>
    <w:rsid w:val="00BF55F8"/>
    <w:rsid w:val="00C051FD"/>
    <w:rsid w:val="00C06673"/>
    <w:rsid w:val="00C14097"/>
    <w:rsid w:val="00C151A8"/>
    <w:rsid w:val="00C20604"/>
    <w:rsid w:val="00C20C7D"/>
    <w:rsid w:val="00C20DEF"/>
    <w:rsid w:val="00C22E6F"/>
    <w:rsid w:val="00C24B25"/>
    <w:rsid w:val="00C251DF"/>
    <w:rsid w:val="00C268D8"/>
    <w:rsid w:val="00C320F0"/>
    <w:rsid w:val="00C32C2F"/>
    <w:rsid w:val="00C3738A"/>
    <w:rsid w:val="00C4028F"/>
    <w:rsid w:val="00C4254D"/>
    <w:rsid w:val="00C4315A"/>
    <w:rsid w:val="00C43F5E"/>
    <w:rsid w:val="00C44074"/>
    <w:rsid w:val="00C44E4F"/>
    <w:rsid w:val="00C4651F"/>
    <w:rsid w:val="00C47931"/>
    <w:rsid w:val="00C51D0B"/>
    <w:rsid w:val="00C52A50"/>
    <w:rsid w:val="00C52D9F"/>
    <w:rsid w:val="00C63C8A"/>
    <w:rsid w:val="00C642D4"/>
    <w:rsid w:val="00C71155"/>
    <w:rsid w:val="00C7125B"/>
    <w:rsid w:val="00C730F4"/>
    <w:rsid w:val="00C76B91"/>
    <w:rsid w:val="00C770FC"/>
    <w:rsid w:val="00C800F2"/>
    <w:rsid w:val="00C80200"/>
    <w:rsid w:val="00C8270B"/>
    <w:rsid w:val="00C841A9"/>
    <w:rsid w:val="00C85E66"/>
    <w:rsid w:val="00C8695B"/>
    <w:rsid w:val="00C8728F"/>
    <w:rsid w:val="00C90CC9"/>
    <w:rsid w:val="00C939E8"/>
    <w:rsid w:val="00C96EFE"/>
    <w:rsid w:val="00C97CF1"/>
    <w:rsid w:val="00C97FBC"/>
    <w:rsid w:val="00CA0B7E"/>
    <w:rsid w:val="00CA2C0B"/>
    <w:rsid w:val="00CA3323"/>
    <w:rsid w:val="00CA5598"/>
    <w:rsid w:val="00CA5C20"/>
    <w:rsid w:val="00CA5EF8"/>
    <w:rsid w:val="00CB28A3"/>
    <w:rsid w:val="00CB58C3"/>
    <w:rsid w:val="00CB7EB2"/>
    <w:rsid w:val="00CC00A0"/>
    <w:rsid w:val="00CC37CA"/>
    <w:rsid w:val="00CC37F4"/>
    <w:rsid w:val="00CC427C"/>
    <w:rsid w:val="00CC5455"/>
    <w:rsid w:val="00CC6C06"/>
    <w:rsid w:val="00CD23E6"/>
    <w:rsid w:val="00CD4580"/>
    <w:rsid w:val="00CD5269"/>
    <w:rsid w:val="00CD5509"/>
    <w:rsid w:val="00CD6357"/>
    <w:rsid w:val="00CD7643"/>
    <w:rsid w:val="00CE1EB0"/>
    <w:rsid w:val="00CE3169"/>
    <w:rsid w:val="00CE3DF2"/>
    <w:rsid w:val="00CE6879"/>
    <w:rsid w:val="00CE6C4C"/>
    <w:rsid w:val="00CF0C0F"/>
    <w:rsid w:val="00CF1690"/>
    <w:rsid w:val="00CF1F2A"/>
    <w:rsid w:val="00CF5B71"/>
    <w:rsid w:val="00CF5CE3"/>
    <w:rsid w:val="00CF7056"/>
    <w:rsid w:val="00CF7412"/>
    <w:rsid w:val="00D0005D"/>
    <w:rsid w:val="00D026DD"/>
    <w:rsid w:val="00D02956"/>
    <w:rsid w:val="00D030F8"/>
    <w:rsid w:val="00D077B7"/>
    <w:rsid w:val="00D1528A"/>
    <w:rsid w:val="00D1571C"/>
    <w:rsid w:val="00D20297"/>
    <w:rsid w:val="00D21E6B"/>
    <w:rsid w:val="00D23634"/>
    <w:rsid w:val="00D2397F"/>
    <w:rsid w:val="00D2621E"/>
    <w:rsid w:val="00D264C9"/>
    <w:rsid w:val="00D27280"/>
    <w:rsid w:val="00D30AB2"/>
    <w:rsid w:val="00D31ECD"/>
    <w:rsid w:val="00D34551"/>
    <w:rsid w:val="00D36118"/>
    <w:rsid w:val="00D402A4"/>
    <w:rsid w:val="00D41103"/>
    <w:rsid w:val="00D44B1A"/>
    <w:rsid w:val="00D457D6"/>
    <w:rsid w:val="00D53425"/>
    <w:rsid w:val="00D559DF"/>
    <w:rsid w:val="00D572F8"/>
    <w:rsid w:val="00D64CE2"/>
    <w:rsid w:val="00D64D07"/>
    <w:rsid w:val="00D652CB"/>
    <w:rsid w:val="00D65692"/>
    <w:rsid w:val="00D702A3"/>
    <w:rsid w:val="00D76489"/>
    <w:rsid w:val="00D7751B"/>
    <w:rsid w:val="00D815DC"/>
    <w:rsid w:val="00D822B5"/>
    <w:rsid w:val="00D83D3C"/>
    <w:rsid w:val="00D867AE"/>
    <w:rsid w:val="00D87BBB"/>
    <w:rsid w:val="00D87C87"/>
    <w:rsid w:val="00D87CCD"/>
    <w:rsid w:val="00D91929"/>
    <w:rsid w:val="00D921C4"/>
    <w:rsid w:val="00D9296A"/>
    <w:rsid w:val="00D933AA"/>
    <w:rsid w:val="00D93C23"/>
    <w:rsid w:val="00D94EFD"/>
    <w:rsid w:val="00D95638"/>
    <w:rsid w:val="00D9584C"/>
    <w:rsid w:val="00D9641B"/>
    <w:rsid w:val="00DA0AC0"/>
    <w:rsid w:val="00DA14D9"/>
    <w:rsid w:val="00DB1026"/>
    <w:rsid w:val="00DB13AD"/>
    <w:rsid w:val="00DB2342"/>
    <w:rsid w:val="00DB23F9"/>
    <w:rsid w:val="00DB261D"/>
    <w:rsid w:val="00DB43E0"/>
    <w:rsid w:val="00DB481B"/>
    <w:rsid w:val="00DB4B71"/>
    <w:rsid w:val="00DB4D11"/>
    <w:rsid w:val="00DB58BE"/>
    <w:rsid w:val="00DB6176"/>
    <w:rsid w:val="00DB651B"/>
    <w:rsid w:val="00DB6AA0"/>
    <w:rsid w:val="00DB6EF6"/>
    <w:rsid w:val="00DB7C3A"/>
    <w:rsid w:val="00DC01CD"/>
    <w:rsid w:val="00DC32C3"/>
    <w:rsid w:val="00DC7945"/>
    <w:rsid w:val="00DD32AB"/>
    <w:rsid w:val="00DD448F"/>
    <w:rsid w:val="00DD4DDB"/>
    <w:rsid w:val="00DD57A0"/>
    <w:rsid w:val="00DD5BF6"/>
    <w:rsid w:val="00DD7F07"/>
    <w:rsid w:val="00DE16F3"/>
    <w:rsid w:val="00DE1865"/>
    <w:rsid w:val="00DE2781"/>
    <w:rsid w:val="00DE6CEF"/>
    <w:rsid w:val="00DE7228"/>
    <w:rsid w:val="00DF0D08"/>
    <w:rsid w:val="00DF11C2"/>
    <w:rsid w:val="00DF4593"/>
    <w:rsid w:val="00DF5F73"/>
    <w:rsid w:val="00DF6577"/>
    <w:rsid w:val="00DF7B03"/>
    <w:rsid w:val="00E06B08"/>
    <w:rsid w:val="00E10D05"/>
    <w:rsid w:val="00E11CBA"/>
    <w:rsid w:val="00E134A8"/>
    <w:rsid w:val="00E160BB"/>
    <w:rsid w:val="00E167B4"/>
    <w:rsid w:val="00E2223E"/>
    <w:rsid w:val="00E22D98"/>
    <w:rsid w:val="00E23718"/>
    <w:rsid w:val="00E24623"/>
    <w:rsid w:val="00E252E3"/>
    <w:rsid w:val="00E31DAF"/>
    <w:rsid w:val="00E31F39"/>
    <w:rsid w:val="00E33CA5"/>
    <w:rsid w:val="00E40505"/>
    <w:rsid w:val="00E40906"/>
    <w:rsid w:val="00E41767"/>
    <w:rsid w:val="00E42A41"/>
    <w:rsid w:val="00E42C06"/>
    <w:rsid w:val="00E45766"/>
    <w:rsid w:val="00E4697C"/>
    <w:rsid w:val="00E47727"/>
    <w:rsid w:val="00E54919"/>
    <w:rsid w:val="00E567E5"/>
    <w:rsid w:val="00E60F4D"/>
    <w:rsid w:val="00E657DB"/>
    <w:rsid w:val="00E6708B"/>
    <w:rsid w:val="00E67BBF"/>
    <w:rsid w:val="00E73A8C"/>
    <w:rsid w:val="00E75050"/>
    <w:rsid w:val="00E759FD"/>
    <w:rsid w:val="00E76098"/>
    <w:rsid w:val="00E76F42"/>
    <w:rsid w:val="00E809F6"/>
    <w:rsid w:val="00E83758"/>
    <w:rsid w:val="00E84310"/>
    <w:rsid w:val="00E915E6"/>
    <w:rsid w:val="00E917C6"/>
    <w:rsid w:val="00E91C83"/>
    <w:rsid w:val="00E929D4"/>
    <w:rsid w:val="00E95B0B"/>
    <w:rsid w:val="00EA2038"/>
    <w:rsid w:val="00EA279A"/>
    <w:rsid w:val="00EA3E11"/>
    <w:rsid w:val="00EA5CA9"/>
    <w:rsid w:val="00EA6EB3"/>
    <w:rsid w:val="00EB2012"/>
    <w:rsid w:val="00EB2269"/>
    <w:rsid w:val="00EB4A8E"/>
    <w:rsid w:val="00EB4E71"/>
    <w:rsid w:val="00EB4FFC"/>
    <w:rsid w:val="00EB506A"/>
    <w:rsid w:val="00EB5D54"/>
    <w:rsid w:val="00EB5EF3"/>
    <w:rsid w:val="00EB695D"/>
    <w:rsid w:val="00EB7420"/>
    <w:rsid w:val="00EC2948"/>
    <w:rsid w:val="00EC4FFB"/>
    <w:rsid w:val="00EC6FDB"/>
    <w:rsid w:val="00ED39CE"/>
    <w:rsid w:val="00ED3BAB"/>
    <w:rsid w:val="00ED4134"/>
    <w:rsid w:val="00ED68D8"/>
    <w:rsid w:val="00ED7F0A"/>
    <w:rsid w:val="00EE05F1"/>
    <w:rsid w:val="00EE0647"/>
    <w:rsid w:val="00EE26A7"/>
    <w:rsid w:val="00EE3EB6"/>
    <w:rsid w:val="00EE471A"/>
    <w:rsid w:val="00EE5492"/>
    <w:rsid w:val="00EE62FE"/>
    <w:rsid w:val="00EE705C"/>
    <w:rsid w:val="00EF02F5"/>
    <w:rsid w:val="00EF0406"/>
    <w:rsid w:val="00EF0722"/>
    <w:rsid w:val="00EF2295"/>
    <w:rsid w:val="00EF3D79"/>
    <w:rsid w:val="00EF402D"/>
    <w:rsid w:val="00EF7198"/>
    <w:rsid w:val="00F00032"/>
    <w:rsid w:val="00F01D07"/>
    <w:rsid w:val="00F038F2"/>
    <w:rsid w:val="00F04B95"/>
    <w:rsid w:val="00F07BD5"/>
    <w:rsid w:val="00F117EE"/>
    <w:rsid w:val="00F122D6"/>
    <w:rsid w:val="00F15BF4"/>
    <w:rsid w:val="00F16F81"/>
    <w:rsid w:val="00F176BC"/>
    <w:rsid w:val="00F176DD"/>
    <w:rsid w:val="00F17940"/>
    <w:rsid w:val="00F2046C"/>
    <w:rsid w:val="00F20647"/>
    <w:rsid w:val="00F244D2"/>
    <w:rsid w:val="00F24BF6"/>
    <w:rsid w:val="00F27191"/>
    <w:rsid w:val="00F278FF"/>
    <w:rsid w:val="00F303B8"/>
    <w:rsid w:val="00F31392"/>
    <w:rsid w:val="00F327BA"/>
    <w:rsid w:val="00F348B5"/>
    <w:rsid w:val="00F34A9B"/>
    <w:rsid w:val="00F3652B"/>
    <w:rsid w:val="00F367FB"/>
    <w:rsid w:val="00F368C4"/>
    <w:rsid w:val="00F37043"/>
    <w:rsid w:val="00F377B9"/>
    <w:rsid w:val="00F41135"/>
    <w:rsid w:val="00F431CB"/>
    <w:rsid w:val="00F45442"/>
    <w:rsid w:val="00F45880"/>
    <w:rsid w:val="00F47012"/>
    <w:rsid w:val="00F472CE"/>
    <w:rsid w:val="00F50838"/>
    <w:rsid w:val="00F50A9D"/>
    <w:rsid w:val="00F5145E"/>
    <w:rsid w:val="00F558EA"/>
    <w:rsid w:val="00F55C0A"/>
    <w:rsid w:val="00F60EAE"/>
    <w:rsid w:val="00F613CB"/>
    <w:rsid w:val="00F61F79"/>
    <w:rsid w:val="00F64998"/>
    <w:rsid w:val="00F656A4"/>
    <w:rsid w:val="00F6665E"/>
    <w:rsid w:val="00F67A12"/>
    <w:rsid w:val="00F7075F"/>
    <w:rsid w:val="00F7087C"/>
    <w:rsid w:val="00F71D76"/>
    <w:rsid w:val="00F72708"/>
    <w:rsid w:val="00F72D7F"/>
    <w:rsid w:val="00F8349F"/>
    <w:rsid w:val="00F83FB7"/>
    <w:rsid w:val="00F843ED"/>
    <w:rsid w:val="00F85337"/>
    <w:rsid w:val="00F85935"/>
    <w:rsid w:val="00F85D29"/>
    <w:rsid w:val="00F85D85"/>
    <w:rsid w:val="00F86794"/>
    <w:rsid w:val="00F92C03"/>
    <w:rsid w:val="00F94DB2"/>
    <w:rsid w:val="00F96881"/>
    <w:rsid w:val="00F969D3"/>
    <w:rsid w:val="00F972E1"/>
    <w:rsid w:val="00FA190E"/>
    <w:rsid w:val="00FA1C22"/>
    <w:rsid w:val="00FA54D8"/>
    <w:rsid w:val="00FA59B2"/>
    <w:rsid w:val="00FA616E"/>
    <w:rsid w:val="00FA6CC9"/>
    <w:rsid w:val="00FA7001"/>
    <w:rsid w:val="00FB33D3"/>
    <w:rsid w:val="00FB44CA"/>
    <w:rsid w:val="00FC01A1"/>
    <w:rsid w:val="00FC3C40"/>
    <w:rsid w:val="00FC4FB7"/>
    <w:rsid w:val="00FD2C8B"/>
    <w:rsid w:val="00FD2DDA"/>
    <w:rsid w:val="00FD357B"/>
    <w:rsid w:val="00FD3658"/>
    <w:rsid w:val="00FD38FC"/>
    <w:rsid w:val="00FD3EC1"/>
    <w:rsid w:val="00FD5427"/>
    <w:rsid w:val="00FD6119"/>
    <w:rsid w:val="00FD688E"/>
    <w:rsid w:val="00FD79D5"/>
    <w:rsid w:val="00FD7C0C"/>
    <w:rsid w:val="00FE045C"/>
    <w:rsid w:val="00FE0C52"/>
    <w:rsid w:val="00FE1692"/>
    <w:rsid w:val="00FE5C52"/>
    <w:rsid w:val="00FF002C"/>
    <w:rsid w:val="00FF0454"/>
    <w:rsid w:val="00FF0566"/>
    <w:rsid w:val="00FF0EDA"/>
    <w:rsid w:val="00FF1368"/>
    <w:rsid w:val="00FF2995"/>
    <w:rsid w:val="00FF567E"/>
    <w:rsid w:val="00FF60B3"/>
    <w:rsid w:val="00FF6218"/>
    <w:rsid w:val="00FF703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foot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014976"/>
    <w:pPr>
      <w:numPr>
        <w:ilvl w:val="0"/>
        <w:numId w:val="0"/>
      </w:numPr>
      <w:outlineLvl w:val="2"/>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Default">
    <w:name w:val="Default"/>
    <w:rsid w:val="006974E5"/>
    <w:pPr>
      <w:autoSpaceDE w:val="0"/>
      <w:autoSpaceDN w:val="0"/>
      <w:adjustRightInd w:val="0"/>
      <w:spacing w:line="240" w:lineRule="auto"/>
    </w:pPr>
    <w:rPr>
      <w:rFonts w:ascii="Calibri" w:hAnsi="Calibri" w:cs="Calibri"/>
      <w:color w:val="000000"/>
      <w:sz w:val="24"/>
      <w:szCs w:val="24"/>
    </w:rPr>
  </w:style>
  <w:style w:type="character" w:customStyle="1" w:styleId="CaptionChar">
    <w:name w:val="Caption Char"/>
    <w:basedOn w:val="DefaultParagraphFont"/>
    <w:link w:val="Caption"/>
    <w:rsid w:val="002A5E0A"/>
    <w:rPr>
      <w:b/>
      <w:bCs/>
      <w:color w:val="3D4D7D" w:themeColor="background2"/>
    </w:rPr>
  </w:style>
  <w:style w:type="paragraph" w:styleId="Revision">
    <w:name w:val="Revision"/>
    <w:hidden/>
    <w:uiPriority w:val="99"/>
    <w:semiHidden/>
    <w:rsid w:val="00EB5D54"/>
    <w:pPr>
      <w:spacing w:line="240" w:lineRule="auto"/>
    </w:pPr>
  </w:style>
  <w:style w:type="paragraph" w:styleId="TOC9">
    <w:name w:val="toc 9"/>
    <w:basedOn w:val="Normal"/>
    <w:next w:val="Normal"/>
    <w:autoRedefine/>
    <w:semiHidden/>
    <w:unhideWhenUsed/>
    <w:rsid w:val="00560DD4"/>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line="300" w:lineRule="atLeast"/>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8" w:uiPriority="39"/>
    <w:lsdException w:name="footnote text" w:uiPriority="2"/>
    <w:lsdException w:name="header" w:uiPriority="99"/>
    <w:lsdException w:name="footer" w:uiPriority="99"/>
    <w:lsdException w:name="caption" w:qFormat="1"/>
    <w:lsdException w:name="table of figures" w:semiHidden="0" w:uiPriority="99" w:unhideWhenUsed="0"/>
    <w:lsdException w:name="List Bullet" w:qFormat="1"/>
    <w:lsdException w:name="List Number" w:qFormat="1"/>
    <w:lsdException w:name="List Bullet 2" w:qFormat="1"/>
    <w:lsdException w:name="List Number 2" w:qFormat="1"/>
    <w:lsdException w:name="List Number 3" w:qFormat="1"/>
    <w:lsdException w:name="Title" w:semiHidden="0" w:unhideWhenUsed="0" w:qFormat="1"/>
    <w:lsdException w:name="Default Paragraph Font" w:uiPriority="1"/>
    <w:lsdException w:name="Body Text" w:qFormat="1"/>
    <w:lsdException w:name="List Continue" w:qFormat="1"/>
    <w:lsdException w:name="List Continue 2"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lsdException w:name="Emphasis" w:semiHidden="0" w:unhideWhenUsed="0"/>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lsdException w:name="Quote" w:semiHidden="0" w:unhideWhenUsed="0" w:qFormat="1"/>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sdException w:name="TOC Heading" w:qFormat="1"/>
  </w:latentStyles>
  <w:style w:type="paragraph" w:default="1" w:styleId="Normal">
    <w:name w:val="Normal"/>
    <w:qFormat/>
    <w:rsid w:val="00EC4FFB"/>
  </w:style>
  <w:style w:type="paragraph" w:styleId="Heading1">
    <w:name w:val="heading 1"/>
    <w:basedOn w:val="Normal"/>
    <w:next w:val="BodyText"/>
    <w:link w:val="Heading1Char"/>
    <w:qFormat/>
    <w:rsid w:val="0081085D"/>
    <w:pPr>
      <w:keepNext/>
      <w:keepLines/>
      <w:numPr>
        <w:numId w:val="8"/>
      </w:numPr>
      <w:tabs>
        <w:tab w:val="right" w:pos="1418"/>
        <w:tab w:val="right" w:pos="1701"/>
        <w:tab w:val="right" w:pos="1985"/>
      </w:tabs>
      <w:spacing w:after="600" w:line="204" w:lineRule="auto"/>
      <w:outlineLvl w:val="0"/>
    </w:pPr>
    <w:rPr>
      <w:rFonts w:ascii="Calibri Light" w:hAnsi="Calibri Light"/>
      <w:bCs/>
      <w:color w:val="3D4D7D" w:themeColor="background2"/>
      <w:kern w:val="32"/>
      <w:sz w:val="52"/>
      <w:szCs w:val="32"/>
    </w:rPr>
  </w:style>
  <w:style w:type="paragraph" w:styleId="Heading2">
    <w:name w:val="heading 2"/>
    <w:basedOn w:val="Normal"/>
    <w:next w:val="BodyText"/>
    <w:link w:val="Heading2Char"/>
    <w:qFormat/>
    <w:rsid w:val="0081085D"/>
    <w:pPr>
      <w:keepNext/>
      <w:keepLines/>
      <w:numPr>
        <w:ilvl w:val="1"/>
        <w:numId w:val="8"/>
      </w:numPr>
      <w:tabs>
        <w:tab w:val="left" w:pos="1418"/>
        <w:tab w:val="left" w:pos="1701"/>
        <w:tab w:val="left" w:pos="1985"/>
      </w:tabs>
      <w:spacing w:before="330" w:after="80" w:line="240" w:lineRule="auto"/>
      <w:outlineLvl w:val="1"/>
    </w:pPr>
    <w:rPr>
      <w:rFonts w:asciiTheme="majorHAnsi" w:hAnsiTheme="majorHAnsi"/>
      <w:b/>
      <w:bCs/>
      <w:iCs/>
      <w:color w:val="3D4D7D" w:themeColor="background2"/>
      <w:kern w:val="20"/>
      <w:sz w:val="28"/>
      <w:szCs w:val="28"/>
    </w:rPr>
  </w:style>
  <w:style w:type="paragraph" w:styleId="Heading3">
    <w:name w:val="heading 3"/>
    <w:basedOn w:val="Normal"/>
    <w:next w:val="BodyText"/>
    <w:link w:val="Heading3Char"/>
    <w:qFormat/>
    <w:rsid w:val="00AE1DE7"/>
    <w:pPr>
      <w:keepNext/>
      <w:keepLines/>
      <w:numPr>
        <w:ilvl w:val="2"/>
        <w:numId w:val="8"/>
      </w:numPr>
      <w:tabs>
        <w:tab w:val="left" w:pos="1418"/>
        <w:tab w:val="left" w:pos="1701"/>
        <w:tab w:val="left" w:pos="1985"/>
      </w:tabs>
      <w:spacing w:before="300" w:after="90" w:line="240" w:lineRule="auto"/>
      <w:outlineLvl w:val="2"/>
    </w:pPr>
    <w:rPr>
      <w:b/>
      <w:sz w:val="23"/>
    </w:rPr>
  </w:style>
  <w:style w:type="paragraph" w:styleId="Heading4">
    <w:name w:val="heading 4"/>
    <w:basedOn w:val="Normal"/>
    <w:next w:val="BodyText"/>
    <w:link w:val="Heading4Char"/>
    <w:qFormat/>
    <w:rsid w:val="00AE1DE7"/>
    <w:pPr>
      <w:keepNext/>
      <w:keepLines/>
      <w:tabs>
        <w:tab w:val="left" w:pos="1418"/>
        <w:tab w:val="left" w:pos="1701"/>
        <w:tab w:val="left" w:pos="1985"/>
      </w:tabs>
      <w:spacing w:before="310" w:after="110" w:line="240" w:lineRule="auto"/>
      <w:outlineLvl w:val="3"/>
    </w:pPr>
    <w:rPr>
      <w:rFonts w:eastAsiaTheme="majorEastAsia" w:cstheme="majorBidi"/>
      <w:b/>
      <w:bCs/>
      <w:i/>
      <w:iCs/>
      <w:color w:val="000000" w:themeColor="text1"/>
      <w:sz w:val="23"/>
    </w:rPr>
  </w:style>
  <w:style w:type="paragraph" w:styleId="Heading5">
    <w:name w:val="heading 5"/>
    <w:basedOn w:val="Normal"/>
    <w:next w:val="BodyText"/>
    <w:link w:val="Heading5Char"/>
    <w:qFormat/>
    <w:rsid w:val="00AE1DE7"/>
    <w:pPr>
      <w:keepNext/>
      <w:keepLines/>
      <w:spacing w:before="310" w:after="110" w:line="240" w:lineRule="auto"/>
      <w:outlineLvl w:val="4"/>
    </w:pPr>
    <w:rPr>
      <w:rFonts w:asciiTheme="majorHAnsi" w:eastAsiaTheme="majorEastAsia" w:hAnsiTheme="majorHAnsi" w:cstheme="majorBidi"/>
      <w:i/>
      <w:color w:val="000000" w:themeColor="text1"/>
      <w:sz w:val="23"/>
    </w:rPr>
  </w:style>
  <w:style w:type="paragraph" w:styleId="Heading6">
    <w:name w:val="heading 6"/>
    <w:basedOn w:val="Normal"/>
    <w:next w:val="BodyText"/>
    <w:link w:val="Heading6Char"/>
    <w:qFormat/>
    <w:rsid w:val="0081085D"/>
    <w:pPr>
      <w:keepNext/>
      <w:keepLines/>
      <w:spacing w:before="310" w:after="110" w:line="240" w:lineRule="auto"/>
      <w:outlineLvl w:val="5"/>
    </w:pPr>
    <w:rPr>
      <w:rFonts w:asciiTheme="majorHAnsi" w:eastAsiaTheme="majorEastAsia" w:hAnsiTheme="majorHAnsi" w:cstheme="majorBidi"/>
      <w:i/>
      <w:iCs/>
      <w:color w:val="3D4D7D" w:themeColor="background2"/>
      <w:sz w:val="23"/>
    </w:rPr>
  </w:style>
  <w:style w:type="paragraph" w:styleId="Heading7">
    <w:name w:val="heading 7"/>
    <w:basedOn w:val="Normal"/>
    <w:next w:val="Normal"/>
    <w:link w:val="Heading7Char"/>
    <w:semiHidden/>
    <w:rsid w:val="00961DBB"/>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29"/>
    <w:rsid w:val="0081085D"/>
    <w:pPr>
      <w:keepNext/>
      <w:keepLines/>
      <w:numPr>
        <w:numId w:val="1"/>
      </w:numPr>
      <w:tabs>
        <w:tab w:val="left" w:pos="4536"/>
      </w:tabs>
      <w:spacing w:after="600" w:line="204" w:lineRule="auto"/>
      <w:outlineLvl w:val="7"/>
    </w:pPr>
    <w:rPr>
      <w:rFonts w:ascii="Calibri Light" w:eastAsiaTheme="majorEastAsia" w:hAnsi="Calibri Light" w:cstheme="majorBidi"/>
      <w:color w:val="3D4D7D" w:themeColor="background2"/>
      <w:sz w:val="52"/>
    </w:rPr>
  </w:style>
  <w:style w:type="paragraph" w:styleId="Heading9">
    <w:name w:val="heading 9"/>
    <w:aliases w:val="Appendix Heading 1"/>
    <w:basedOn w:val="Normal"/>
    <w:next w:val="BodyText"/>
    <w:link w:val="Heading9Char"/>
    <w:uiPriority w:val="29"/>
    <w:rsid w:val="0081085D"/>
    <w:pPr>
      <w:keepNext/>
      <w:keepLines/>
      <w:numPr>
        <w:ilvl w:val="1"/>
        <w:numId w:val="1"/>
      </w:numPr>
      <w:tabs>
        <w:tab w:val="left" w:pos="1559"/>
        <w:tab w:val="left" w:pos="1843"/>
        <w:tab w:val="left" w:pos="2126"/>
        <w:tab w:val="left" w:pos="2410"/>
      </w:tabs>
      <w:spacing w:before="330" w:after="80" w:line="240" w:lineRule="auto"/>
      <w:outlineLvl w:val="8"/>
    </w:pPr>
    <w:rPr>
      <w:b/>
      <w:color w:val="3D4D7D" w:themeColor="background2"/>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2"/>
    <w:rsid w:val="00F7087C"/>
    <w:pPr>
      <w:tabs>
        <w:tab w:val="left" w:pos="425"/>
      </w:tabs>
      <w:spacing w:before="60" w:line="240" w:lineRule="exact"/>
      <w:ind w:left="284" w:hanging="284"/>
    </w:pPr>
    <w:rPr>
      <w:kern w:val="16"/>
      <w:sz w:val="18"/>
    </w:rPr>
  </w:style>
  <w:style w:type="character" w:customStyle="1" w:styleId="FootnoteTextChar">
    <w:name w:val="Footnote Text Char"/>
    <w:basedOn w:val="DefaultParagraphFont"/>
    <w:link w:val="FootnoteText"/>
    <w:uiPriority w:val="2"/>
    <w:rsid w:val="00F7087C"/>
    <w:rPr>
      <w:kern w:val="16"/>
      <w:sz w:val="18"/>
    </w:rPr>
  </w:style>
  <w:style w:type="character" w:styleId="FootnoteReference">
    <w:name w:val="footnote reference"/>
    <w:basedOn w:val="DefaultParagraphFont"/>
    <w:uiPriority w:val="2"/>
    <w:rsid w:val="00961DBB"/>
    <w:rPr>
      <w:rFonts w:asciiTheme="minorHAnsi" w:hAnsiTheme="minorHAnsi"/>
      <w:color w:val="auto"/>
      <w:vertAlign w:val="superscript"/>
    </w:rPr>
  </w:style>
  <w:style w:type="paragraph" w:styleId="BodyText">
    <w:name w:val="Body Text"/>
    <w:basedOn w:val="Normal"/>
    <w:link w:val="BodyTextChar"/>
    <w:qFormat/>
    <w:rsid w:val="00D264C9"/>
    <w:pPr>
      <w:spacing w:before="120"/>
    </w:pPr>
    <w:rPr>
      <w:rFonts w:cs="Times New Roman"/>
    </w:rPr>
  </w:style>
  <w:style w:type="character" w:customStyle="1" w:styleId="BodyTextChar">
    <w:name w:val="Body Text Char"/>
    <w:basedOn w:val="DefaultParagraphFont"/>
    <w:link w:val="BodyText"/>
    <w:rsid w:val="00D264C9"/>
    <w:rPr>
      <w:rFonts w:cs="Times New Roman"/>
    </w:rPr>
  </w:style>
  <w:style w:type="table" w:customStyle="1" w:styleId="PullOutBoxwithDecorativeLines">
    <w:name w:val="Pull Out Box with Decorative Lines"/>
    <w:basedOn w:val="TableNormal"/>
    <w:uiPriority w:val="99"/>
    <w:rsid w:val="00403A8E"/>
    <w:pPr>
      <w:keepNext/>
      <w:keepLines/>
      <w:spacing w:before="120" w:after="120" w:line="276" w:lineRule="auto"/>
    </w:pPr>
    <w:tblPr>
      <w:tblCellMar>
        <w:top w:w="28" w:type="dxa"/>
        <w:left w:w="0" w:type="dxa"/>
        <w:bottom w:w="28" w:type="dxa"/>
        <w:right w:w="0" w:type="dxa"/>
      </w:tblCellMar>
    </w:tblPr>
    <w:trPr>
      <w:cantSplit/>
    </w:trPr>
    <w:tblStylePr w:type="firstRow">
      <w:pPr>
        <w:keepNext/>
        <w:wordWrap/>
        <w:spacing w:beforeLines="0" w:before="0" w:beforeAutospacing="0" w:afterLines="0" w:after="0" w:afterAutospacing="0" w:line="80" w:lineRule="exact"/>
      </w:pPr>
      <w:rPr>
        <w:sz w:val="14"/>
      </w:rPr>
      <w:tblPr/>
      <w:tcPr>
        <w:tcBorders>
          <w:top w:val="nil"/>
          <w:left w:val="nil"/>
          <w:bottom w:val="nil"/>
          <w:right w:val="nil"/>
          <w:insideH w:val="nil"/>
          <w:insideV w:val="nil"/>
          <w:tl2br w:val="nil"/>
          <w:tr2bl w:val="nil"/>
        </w:tcBorders>
      </w:tcPr>
    </w:tblStylePr>
    <w:tblStylePr w:type="lastRow">
      <w:pPr>
        <w:wordWrap/>
        <w:spacing w:beforeLines="0" w:before="0" w:beforeAutospacing="0" w:afterLines="0" w:after="0" w:afterAutospacing="0" w:line="80" w:lineRule="exact"/>
      </w:pPr>
    </w:tblStylePr>
  </w:style>
  <w:style w:type="character" w:customStyle="1" w:styleId="Heading1Char">
    <w:name w:val="Heading 1 Char"/>
    <w:basedOn w:val="DefaultParagraphFont"/>
    <w:link w:val="Heading1"/>
    <w:rsid w:val="0081085D"/>
    <w:rPr>
      <w:rFonts w:ascii="Calibri Light" w:hAnsi="Calibri Light"/>
      <w:bCs/>
      <w:color w:val="3D4D7D" w:themeColor="background2"/>
      <w:kern w:val="32"/>
      <w:sz w:val="52"/>
      <w:szCs w:val="32"/>
    </w:rPr>
  </w:style>
  <w:style w:type="character" w:customStyle="1" w:styleId="Heading2Char">
    <w:name w:val="Heading 2 Char"/>
    <w:basedOn w:val="DefaultParagraphFont"/>
    <w:link w:val="Heading2"/>
    <w:rsid w:val="0081085D"/>
    <w:rPr>
      <w:rFonts w:asciiTheme="majorHAnsi" w:hAnsiTheme="majorHAnsi"/>
      <w:b/>
      <w:bCs/>
      <w:iCs/>
      <w:color w:val="3D4D7D" w:themeColor="background2"/>
      <w:kern w:val="20"/>
      <w:sz w:val="28"/>
      <w:szCs w:val="28"/>
    </w:rPr>
  </w:style>
  <w:style w:type="character" w:customStyle="1" w:styleId="Heading3Char">
    <w:name w:val="Heading 3 Char"/>
    <w:basedOn w:val="DefaultParagraphFont"/>
    <w:link w:val="Heading3"/>
    <w:rsid w:val="00AE1DE7"/>
    <w:rPr>
      <w:b/>
      <w:sz w:val="23"/>
    </w:rPr>
  </w:style>
  <w:style w:type="character" w:customStyle="1" w:styleId="Heading4Char">
    <w:name w:val="Heading 4 Char"/>
    <w:basedOn w:val="DefaultParagraphFont"/>
    <w:link w:val="Heading4"/>
    <w:rsid w:val="00AE1DE7"/>
    <w:rPr>
      <w:rFonts w:eastAsiaTheme="majorEastAsia" w:cstheme="majorBidi"/>
      <w:b/>
      <w:bCs/>
      <w:i/>
      <w:iCs/>
      <w:color w:val="000000" w:themeColor="text1"/>
      <w:sz w:val="23"/>
    </w:rPr>
  </w:style>
  <w:style w:type="character" w:customStyle="1" w:styleId="Heading5Char">
    <w:name w:val="Heading 5 Char"/>
    <w:basedOn w:val="DefaultParagraphFont"/>
    <w:link w:val="Heading5"/>
    <w:rsid w:val="00AE1DE7"/>
    <w:rPr>
      <w:rFonts w:asciiTheme="majorHAnsi" w:eastAsiaTheme="majorEastAsia" w:hAnsiTheme="majorHAnsi" w:cstheme="majorBidi"/>
      <w:i/>
      <w:color w:val="000000" w:themeColor="text1"/>
      <w:sz w:val="23"/>
    </w:rPr>
  </w:style>
  <w:style w:type="character" w:customStyle="1" w:styleId="Heading6Char">
    <w:name w:val="Heading 6 Char"/>
    <w:basedOn w:val="DefaultParagraphFont"/>
    <w:link w:val="Heading6"/>
    <w:rsid w:val="0081085D"/>
    <w:rPr>
      <w:rFonts w:asciiTheme="majorHAnsi" w:eastAsiaTheme="majorEastAsia" w:hAnsiTheme="majorHAnsi" w:cstheme="majorBidi"/>
      <w:i/>
      <w:iCs/>
      <w:color w:val="3D4D7D" w:themeColor="background2"/>
      <w:sz w:val="23"/>
    </w:rPr>
  </w:style>
  <w:style w:type="character" w:customStyle="1" w:styleId="Heading7Char">
    <w:name w:val="Heading 7 Char"/>
    <w:basedOn w:val="DefaultParagraphFont"/>
    <w:link w:val="Heading7"/>
    <w:semiHidden/>
    <w:rsid w:val="000E266E"/>
    <w:rPr>
      <w:rFonts w:asciiTheme="majorHAnsi" w:eastAsiaTheme="majorEastAsia" w:hAnsiTheme="majorHAnsi" w:cstheme="majorBidi"/>
      <w:b/>
      <w:iCs/>
      <w:color w:val="FFFFFF"/>
    </w:rPr>
  </w:style>
  <w:style w:type="character" w:customStyle="1" w:styleId="Heading8Char">
    <w:name w:val="Heading 8 Char"/>
    <w:aliases w:val="Appendix Title Char"/>
    <w:basedOn w:val="DefaultParagraphFont"/>
    <w:link w:val="Heading8"/>
    <w:uiPriority w:val="29"/>
    <w:rsid w:val="0081085D"/>
    <w:rPr>
      <w:rFonts w:ascii="Calibri Light" w:eastAsiaTheme="majorEastAsia" w:hAnsi="Calibri Light" w:cstheme="majorBidi"/>
      <w:color w:val="3D4D7D" w:themeColor="background2"/>
      <w:sz w:val="52"/>
    </w:rPr>
  </w:style>
  <w:style w:type="character" w:customStyle="1" w:styleId="Heading9Char">
    <w:name w:val="Heading 9 Char"/>
    <w:aliases w:val="Appendix Heading 1 Char"/>
    <w:basedOn w:val="DefaultParagraphFont"/>
    <w:link w:val="Heading9"/>
    <w:uiPriority w:val="29"/>
    <w:rsid w:val="0081085D"/>
    <w:rPr>
      <w:b/>
      <w:color w:val="3D4D7D" w:themeColor="background2"/>
      <w:sz w:val="28"/>
    </w:rPr>
  </w:style>
  <w:style w:type="paragraph" w:customStyle="1" w:styleId="AppendixHeading2">
    <w:name w:val="Appendix Heading 2"/>
    <w:basedOn w:val="Normal"/>
    <w:next w:val="BodyText"/>
    <w:uiPriority w:val="30"/>
    <w:rsid w:val="0081085D"/>
    <w:pPr>
      <w:keepNext/>
      <w:keepLines/>
      <w:numPr>
        <w:ilvl w:val="2"/>
        <w:numId w:val="1"/>
      </w:numPr>
      <w:tabs>
        <w:tab w:val="left" w:pos="1559"/>
        <w:tab w:val="left" w:pos="1843"/>
        <w:tab w:val="left" w:pos="2126"/>
        <w:tab w:val="left" w:pos="2410"/>
      </w:tabs>
      <w:spacing w:before="300" w:after="90" w:line="240" w:lineRule="auto"/>
    </w:pPr>
    <w:rPr>
      <w:rFonts w:asciiTheme="majorHAnsi" w:hAnsiTheme="majorHAnsi"/>
      <w:b/>
      <w:sz w:val="23"/>
    </w:rPr>
  </w:style>
  <w:style w:type="paragraph" w:customStyle="1" w:styleId="AppendixHeading3">
    <w:name w:val="Appendix Heading 3"/>
    <w:basedOn w:val="Normal"/>
    <w:next w:val="BodyText"/>
    <w:uiPriority w:val="30"/>
    <w:rsid w:val="0081085D"/>
    <w:pPr>
      <w:keepNext/>
      <w:keepLines/>
      <w:numPr>
        <w:ilvl w:val="3"/>
        <w:numId w:val="1"/>
      </w:numPr>
      <w:tabs>
        <w:tab w:val="left" w:pos="1559"/>
        <w:tab w:val="left" w:pos="1843"/>
        <w:tab w:val="left" w:pos="2126"/>
        <w:tab w:val="left" w:pos="2410"/>
        <w:tab w:val="left" w:pos="6804"/>
      </w:tabs>
      <w:spacing w:before="310" w:after="110" w:line="240" w:lineRule="auto"/>
    </w:pPr>
    <w:rPr>
      <w:rFonts w:asciiTheme="majorHAnsi" w:hAnsiTheme="majorHAnsi"/>
      <w:b/>
      <w:i/>
      <w:color w:val="000000" w:themeColor="text1"/>
      <w:sz w:val="23"/>
    </w:rPr>
  </w:style>
  <w:style w:type="character" w:customStyle="1" w:styleId="Bold">
    <w:name w:val="Bold"/>
    <w:rsid w:val="00961DBB"/>
    <w:rPr>
      <w:b/>
    </w:rPr>
  </w:style>
  <w:style w:type="character" w:customStyle="1" w:styleId="BoldAndItalics">
    <w:name w:val="Bold And Italics"/>
    <w:rsid w:val="00961DBB"/>
    <w:rPr>
      <w:b/>
      <w:i/>
    </w:rPr>
  </w:style>
  <w:style w:type="paragraph" w:styleId="Caption">
    <w:name w:val="caption"/>
    <w:basedOn w:val="Normal"/>
    <w:next w:val="CaptionDescriptor"/>
    <w:link w:val="CaptionChar"/>
    <w:qFormat/>
    <w:rsid w:val="0081085D"/>
    <w:pPr>
      <w:keepNext/>
      <w:spacing w:before="40" w:after="40" w:line="240" w:lineRule="auto"/>
      <w:jc w:val="center"/>
    </w:pPr>
    <w:rPr>
      <w:b/>
      <w:bCs/>
      <w:color w:val="3D4D7D" w:themeColor="background2"/>
    </w:rPr>
  </w:style>
  <w:style w:type="paragraph" w:styleId="Footer">
    <w:name w:val="footer"/>
    <w:basedOn w:val="Normal"/>
    <w:link w:val="FooterChar"/>
    <w:uiPriority w:val="99"/>
    <w:rsid w:val="00F24BF6"/>
    <w:pPr>
      <w:spacing w:line="240" w:lineRule="auto"/>
    </w:pPr>
    <w:rPr>
      <w:caps/>
      <w:color w:val="000000" w:themeColor="text1"/>
      <w:spacing w:val="5"/>
      <w:sz w:val="16"/>
    </w:rPr>
  </w:style>
  <w:style w:type="character" w:customStyle="1" w:styleId="FooterChar">
    <w:name w:val="Footer Char"/>
    <w:basedOn w:val="DefaultParagraphFont"/>
    <w:link w:val="Footer"/>
    <w:uiPriority w:val="99"/>
    <w:rsid w:val="00F24BF6"/>
    <w:rPr>
      <w:caps/>
      <w:color w:val="000000" w:themeColor="text1"/>
      <w:spacing w:val="5"/>
      <w:sz w:val="16"/>
    </w:rPr>
  </w:style>
  <w:style w:type="paragraph" w:customStyle="1" w:styleId="FooterLeft">
    <w:name w:val="Footer Left"/>
    <w:basedOn w:val="Footer"/>
    <w:uiPriority w:val="99"/>
    <w:rsid w:val="00023A6F"/>
  </w:style>
  <w:style w:type="paragraph" w:customStyle="1" w:styleId="FooterRight">
    <w:name w:val="Footer Right"/>
    <w:basedOn w:val="FooterLeft"/>
    <w:next w:val="Footer"/>
    <w:uiPriority w:val="99"/>
    <w:rsid w:val="00023A6F"/>
    <w:pPr>
      <w:jc w:val="right"/>
    </w:pPr>
    <w:rPr>
      <w:rFonts w:eastAsia="Times New Roman" w:cs="Arial"/>
      <w:noProof/>
      <w:lang w:eastAsia="en-AU"/>
    </w:rPr>
  </w:style>
  <w:style w:type="paragraph" w:customStyle="1" w:styleId="FooterRightPageNumber">
    <w:name w:val="Footer Right Page Number"/>
    <w:basedOn w:val="Normal"/>
    <w:uiPriority w:val="99"/>
    <w:rsid w:val="008E2623"/>
    <w:pPr>
      <w:spacing w:line="240" w:lineRule="auto"/>
      <w:ind w:right="652"/>
      <w:jc w:val="right"/>
    </w:pPr>
    <w:rPr>
      <w:rFonts w:eastAsia="Times New Roman" w:cs="Arial"/>
      <w:b/>
      <w:noProof/>
      <w:color w:val="000000" w:themeColor="text1"/>
      <w:sz w:val="16"/>
      <w:lang w:eastAsia="en-AU"/>
    </w:rPr>
  </w:style>
  <w:style w:type="paragraph" w:customStyle="1" w:styleId="FooterLeftPageNumber">
    <w:name w:val="Footer Left Page Number"/>
    <w:basedOn w:val="Footer"/>
    <w:uiPriority w:val="99"/>
    <w:rsid w:val="008E2623"/>
    <w:pPr>
      <w:ind w:left="652"/>
    </w:pPr>
    <w:rPr>
      <w:b/>
      <w:caps w:val="0"/>
      <w:spacing w:val="0"/>
    </w:rPr>
  </w:style>
  <w:style w:type="paragraph" w:customStyle="1" w:styleId="FootnoteSeparator">
    <w:name w:val="Footnote Separator"/>
    <w:basedOn w:val="Normal"/>
    <w:uiPriority w:val="2"/>
    <w:unhideWhenUsed/>
    <w:rsid w:val="00961DBB"/>
    <w:pPr>
      <w:pBdr>
        <w:top w:val="single" w:sz="2" w:space="0" w:color="000000" w:themeColor="text1"/>
      </w:pBdr>
      <w:spacing w:before="120" w:line="120" w:lineRule="exact"/>
    </w:pPr>
    <w:rPr>
      <w:sz w:val="14"/>
      <w:szCs w:val="16"/>
    </w:rPr>
  </w:style>
  <w:style w:type="paragraph" w:styleId="Header">
    <w:name w:val="header"/>
    <w:basedOn w:val="Normal"/>
    <w:link w:val="HeaderChar"/>
    <w:uiPriority w:val="99"/>
    <w:rsid w:val="00961DBB"/>
    <w:pPr>
      <w:spacing w:line="240" w:lineRule="auto"/>
    </w:pPr>
  </w:style>
  <w:style w:type="character" w:customStyle="1" w:styleId="HeaderChar">
    <w:name w:val="Header Char"/>
    <w:basedOn w:val="DefaultParagraphFont"/>
    <w:link w:val="Header"/>
    <w:uiPriority w:val="99"/>
    <w:rsid w:val="00A77F60"/>
  </w:style>
  <w:style w:type="paragraph" w:customStyle="1" w:styleId="Introduction">
    <w:name w:val="Introduction"/>
    <w:basedOn w:val="Normal"/>
    <w:next w:val="BodyText"/>
    <w:qFormat/>
    <w:rsid w:val="00BA1E8D"/>
    <w:pPr>
      <w:spacing w:before="180" w:after="180" w:line="216" w:lineRule="auto"/>
    </w:pPr>
    <w:rPr>
      <w:b/>
      <w:color w:val="8D487F" w:themeColor="accent1"/>
      <w:sz w:val="24"/>
    </w:rPr>
  </w:style>
  <w:style w:type="character" w:customStyle="1" w:styleId="Italics">
    <w:name w:val="Italics"/>
    <w:rsid w:val="00961DBB"/>
    <w:rPr>
      <w:i/>
    </w:rPr>
  </w:style>
  <w:style w:type="paragraph" w:styleId="ListBullet">
    <w:name w:val="List Bullet"/>
    <w:basedOn w:val="Normal"/>
    <w:unhideWhenUsed/>
    <w:qFormat/>
    <w:rsid w:val="00D264C9"/>
    <w:pPr>
      <w:keepLines/>
      <w:numPr>
        <w:numId w:val="16"/>
      </w:numPr>
      <w:spacing w:before="120"/>
    </w:pPr>
  </w:style>
  <w:style w:type="paragraph" w:styleId="ListBullet2">
    <w:name w:val="List Bullet 2"/>
    <w:basedOn w:val="ListBullet"/>
    <w:unhideWhenUsed/>
    <w:qFormat/>
    <w:rsid w:val="00D264C9"/>
    <w:pPr>
      <w:numPr>
        <w:ilvl w:val="1"/>
      </w:numPr>
    </w:pPr>
    <w:rPr>
      <w:color w:val="000000" w:themeColor="text1"/>
    </w:rPr>
  </w:style>
  <w:style w:type="paragraph" w:styleId="ListBullet3">
    <w:name w:val="List Bullet 3"/>
    <w:basedOn w:val="ListBullet2"/>
    <w:unhideWhenUsed/>
    <w:rsid w:val="00D264C9"/>
    <w:pPr>
      <w:numPr>
        <w:ilvl w:val="2"/>
      </w:numPr>
      <w:ind w:left="851"/>
    </w:pPr>
  </w:style>
  <w:style w:type="paragraph" w:styleId="ListContinue">
    <w:name w:val="List Continue"/>
    <w:basedOn w:val="Normal"/>
    <w:qFormat/>
    <w:rsid w:val="00503B7F"/>
    <w:pPr>
      <w:spacing w:before="120"/>
      <w:ind w:left="284"/>
    </w:pPr>
  </w:style>
  <w:style w:type="paragraph" w:styleId="ListContinue2">
    <w:name w:val="List Continue 2"/>
    <w:basedOn w:val="Normal"/>
    <w:qFormat/>
    <w:rsid w:val="00503B7F"/>
    <w:pPr>
      <w:spacing w:before="120"/>
      <w:ind w:left="567"/>
    </w:pPr>
  </w:style>
  <w:style w:type="paragraph" w:styleId="ListNumber">
    <w:name w:val="List Number"/>
    <w:basedOn w:val="Normal"/>
    <w:qFormat/>
    <w:rsid w:val="00503B7F"/>
    <w:pPr>
      <w:numPr>
        <w:numId w:val="23"/>
      </w:numPr>
      <w:spacing w:before="120"/>
    </w:pPr>
  </w:style>
  <w:style w:type="paragraph" w:styleId="ListNumber2">
    <w:name w:val="List Number 2"/>
    <w:basedOn w:val="Normal"/>
    <w:qFormat/>
    <w:rsid w:val="00D264C9"/>
    <w:pPr>
      <w:numPr>
        <w:ilvl w:val="1"/>
        <w:numId w:val="23"/>
      </w:numPr>
      <w:spacing w:before="120"/>
    </w:pPr>
    <w:rPr>
      <w:spacing w:val="-1"/>
    </w:rPr>
  </w:style>
  <w:style w:type="paragraph" w:styleId="ListNumber3">
    <w:name w:val="List Number 3"/>
    <w:basedOn w:val="Normal"/>
    <w:qFormat/>
    <w:rsid w:val="00D264C9"/>
    <w:pPr>
      <w:numPr>
        <w:ilvl w:val="2"/>
        <w:numId w:val="23"/>
      </w:numPr>
      <w:spacing w:before="120"/>
      <w:ind w:left="851"/>
    </w:pPr>
    <w:rPr>
      <w:spacing w:val="-1"/>
    </w:rPr>
  </w:style>
  <w:style w:type="character" w:customStyle="1" w:styleId="MySubscript">
    <w:name w:val="MySubscript"/>
    <w:uiPriority w:val="99"/>
    <w:rsid w:val="00961DBB"/>
    <w:rPr>
      <w:vertAlign w:val="subscript"/>
    </w:rPr>
  </w:style>
  <w:style w:type="character" w:customStyle="1" w:styleId="MySubscriptItalics">
    <w:name w:val="MySubscript&amp;Italics"/>
    <w:uiPriority w:val="99"/>
    <w:rsid w:val="00961DBB"/>
    <w:rPr>
      <w:i/>
      <w:vertAlign w:val="subscript"/>
    </w:rPr>
  </w:style>
  <w:style w:type="character" w:customStyle="1" w:styleId="MySuperscript">
    <w:name w:val="MySuperscript"/>
    <w:uiPriority w:val="99"/>
    <w:rsid w:val="00961DBB"/>
    <w:rPr>
      <w:vertAlign w:val="superscript"/>
    </w:rPr>
  </w:style>
  <w:style w:type="character" w:customStyle="1" w:styleId="MySuperscriptItalics">
    <w:name w:val="MySuperscript&amp;Italics"/>
    <w:uiPriority w:val="99"/>
    <w:rsid w:val="00961DBB"/>
    <w:rPr>
      <w:i/>
      <w:vertAlign w:val="superscript"/>
    </w:rPr>
  </w:style>
  <w:style w:type="paragraph" w:styleId="NoSpacing">
    <w:name w:val="No Spacing"/>
    <w:next w:val="BodyText"/>
    <w:rsid w:val="00961DBB"/>
    <w:pPr>
      <w:spacing w:line="240" w:lineRule="auto"/>
    </w:pPr>
    <w:rPr>
      <w:rFonts w:eastAsia="Times New Roman" w:cs="Arial"/>
      <w:lang w:eastAsia="en-AU"/>
    </w:rPr>
  </w:style>
  <w:style w:type="paragraph" w:customStyle="1" w:styleId="OverviewBodyText">
    <w:name w:val="Overview Body Text"/>
    <w:basedOn w:val="Normal"/>
    <w:rsid w:val="00E54919"/>
    <w:pPr>
      <w:spacing w:before="120"/>
    </w:pPr>
  </w:style>
  <w:style w:type="paragraph" w:customStyle="1" w:styleId="OverviewHeading2">
    <w:name w:val="Overview Heading 2"/>
    <w:basedOn w:val="Normal"/>
    <w:next w:val="OverviewBodyText"/>
    <w:rsid w:val="0081085D"/>
    <w:pPr>
      <w:keepNext/>
      <w:keepLines/>
      <w:spacing w:before="330" w:after="80" w:line="240" w:lineRule="auto"/>
    </w:pPr>
    <w:rPr>
      <w:b/>
      <w:color w:val="3D4D7D" w:themeColor="background2"/>
      <w:sz w:val="28"/>
    </w:rPr>
  </w:style>
  <w:style w:type="paragraph" w:customStyle="1" w:styleId="OverviewHeading3">
    <w:name w:val="Overview Heading 3"/>
    <w:basedOn w:val="OverviewHeading2"/>
    <w:next w:val="OverviewBodyText"/>
    <w:rsid w:val="005050DA"/>
    <w:pPr>
      <w:spacing w:before="300" w:after="90"/>
    </w:pPr>
    <w:rPr>
      <w:color w:val="000000" w:themeColor="text1"/>
      <w:sz w:val="23"/>
    </w:rPr>
  </w:style>
  <w:style w:type="character" w:styleId="PageNumber">
    <w:name w:val="page number"/>
    <w:basedOn w:val="DefaultParagraphFont"/>
    <w:semiHidden/>
    <w:rsid w:val="00961DBB"/>
    <w:rPr>
      <w:rFonts w:ascii="Arial" w:hAnsi="Arial"/>
      <w:b/>
      <w:color w:val="auto"/>
      <w:sz w:val="16"/>
    </w:rPr>
  </w:style>
  <w:style w:type="paragraph" w:customStyle="1" w:styleId="PullOutBoxBodyText">
    <w:name w:val="Pull Out Box Body Text"/>
    <w:basedOn w:val="Normal"/>
    <w:qFormat/>
    <w:rsid w:val="0081085D"/>
    <w:pPr>
      <w:spacing w:before="120" w:after="120" w:line="320" w:lineRule="atLeast"/>
      <w:ind w:left="284" w:right="284"/>
    </w:pPr>
    <w:rPr>
      <w:rFonts w:eastAsia="Times New Roman" w:cs="Arial"/>
      <w:b/>
      <w:i/>
      <w:color w:val="3D4D7D" w:themeColor="background2"/>
      <w:spacing w:val="-1"/>
      <w:lang w:eastAsia="en-AU"/>
    </w:rPr>
  </w:style>
  <w:style w:type="paragraph" w:customStyle="1" w:styleId="PullOutBoxBullet">
    <w:name w:val="Pull Out Box Bullet"/>
    <w:basedOn w:val="PullOutBoxBodyText"/>
    <w:qFormat/>
    <w:rsid w:val="00B2295B"/>
    <w:pPr>
      <w:numPr>
        <w:numId w:val="9"/>
      </w:numPr>
      <w:spacing w:before="60" w:after="60"/>
    </w:pPr>
  </w:style>
  <w:style w:type="paragraph" w:customStyle="1" w:styleId="PullOutBoxBullet2">
    <w:name w:val="Pull Out Box Bullet 2"/>
    <w:basedOn w:val="PullOutBoxBodyText"/>
    <w:qFormat/>
    <w:rsid w:val="00B2295B"/>
    <w:pPr>
      <w:numPr>
        <w:ilvl w:val="1"/>
        <w:numId w:val="9"/>
      </w:numPr>
      <w:spacing w:before="60" w:after="60"/>
    </w:pPr>
  </w:style>
  <w:style w:type="paragraph" w:customStyle="1" w:styleId="PullOutBoxBullet3">
    <w:name w:val="Pull Out Box Bullet 3"/>
    <w:basedOn w:val="PullOutBoxBodyText"/>
    <w:semiHidden/>
    <w:qFormat/>
    <w:rsid w:val="00B2295B"/>
    <w:pPr>
      <w:numPr>
        <w:ilvl w:val="2"/>
        <w:numId w:val="9"/>
      </w:numPr>
      <w:spacing w:before="60" w:after="60"/>
    </w:pPr>
  </w:style>
  <w:style w:type="paragraph" w:customStyle="1" w:styleId="PullOutBoxHeading">
    <w:name w:val="Pull Out Box Heading"/>
    <w:basedOn w:val="PullOutBoxBodyText"/>
    <w:qFormat/>
    <w:rsid w:val="00413CE6"/>
    <w:pPr>
      <w:keepNext/>
      <w:keepLines/>
      <w:spacing w:before="114" w:after="114" w:line="360" w:lineRule="atLeast"/>
    </w:pPr>
    <w:rPr>
      <w:sz w:val="28"/>
    </w:rPr>
  </w:style>
  <w:style w:type="paragraph" w:customStyle="1" w:styleId="PullOutBoxNumber">
    <w:name w:val="Pull Out Box Number"/>
    <w:basedOn w:val="PullOutBoxBodyText"/>
    <w:qFormat/>
    <w:rsid w:val="00B2295B"/>
    <w:pPr>
      <w:numPr>
        <w:numId w:val="10"/>
      </w:numPr>
      <w:spacing w:before="60" w:after="60"/>
    </w:pPr>
  </w:style>
  <w:style w:type="paragraph" w:customStyle="1" w:styleId="PullOutBoxNumber2">
    <w:name w:val="Pull Out Box Number 2"/>
    <w:basedOn w:val="PullOutBoxBodyText"/>
    <w:qFormat/>
    <w:rsid w:val="00B2295B"/>
    <w:pPr>
      <w:numPr>
        <w:ilvl w:val="1"/>
        <w:numId w:val="10"/>
      </w:numPr>
      <w:spacing w:before="60" w:after="60"/>
    </w:pPr>
  </w:style>
  <w:style w:type="paragraph" w:customStyle="1" w:styleId="PullOutBoxNumber3">
    <w:name w:val="Pull Out Box Number 3"/>
    <w:basedOn w:val="PullOutBoxBodyText"/>
    <w:qFormat/>
    <w:rsid w:val="00B2295B"/>
    <w:pPr>
      <w:numPr>
        <w:ilvl w:val="2"/>
        <w:numId w:val="10"/>
      </w:numPr>
      <w:spacing w:before="60" w:after="60"/>
    </w:pPr>
  </w:style>
  <w:style w:type="table" w:customStyle="1" w:styleId="PullOutBoxTable">
    <w:name w:val="Pull Out Box Table"/>
    <w:basedOn w:val="TableNormal"/>
    <w:uiPriority w:val="99"/>
    <w:rsid w:val="00AD2869"/>
    <w:pPr>
      <w:spacing w:before="120" w:after="120" w:line="320" w:lineRule="atLeast"/>
      <w:ind w:left="284" w:right="284"/>
    </w:pPr>
    <w:rPr>
      <w:rFonts w:eastAsia="Times New Roman" w:cs="Arial"/>
      <w:color w:val="3D4D7D" w:themeColor="background2"/>
      <w:lang w:eastAsia="en-AU"/>
    </w:rPr>
    <w:tblPr>
      <w:tblBorders>
        <w:top w:val="single" w:sz="4" w:space="0" w:color="FEF5DF"/>
        <w:left w:val="single" w:sz="4" w:space="0" w:color="FEF5DF"/>
        <w:bottom w:val="single" w:sz="4" w:space="0" w:color="FEF5DF"/>
        <w:right w:val="single" w:sz="4" w:space="0" w:color="FEF5DF"/>
        <w:insideH w:val="single" w:sz="4" w:space="0" w:color="FEF5DF"/>
        <w:insideV w:val="single" w:sz="4" w:space="0" w:color="FEF5DF"/>
      </w:tblBorders>
      <w:tblCellMar>
        <w:top w:w="142" w:type="dxa"/>
        <w:left w:w="0" w:type="dxa"/>
        <w:bottom w:w="142" w:type="dxa"/>
        <w:right w:w="0" w:type="dxa"/>
      </w:tblCellMar>
    </w:tblPr>
    <w:tcPr>
      <w:shd w:val="clear" w:color="auto" w:fill="FEF5DF"/>
    </w:tcPr>
  </w:style>
  <w:style w:type="paragraph" w:styleId="Quote">
    <w:name w:val="Quote"/>
    <w:basedOn w:val="Normal"/>
    <w:link w:val="QuoteChar"/>
    <w:qFormat/>
    <w:rsid w:val="00A326AE"/>
    <w:pPr>
      <w:tabs>
        <w:tab w:val="left" w:pos="1134"/>
      </w:tabs>
      <w:spacing w:before="120"/>
      <w:ind w:left="284"/>
    </w:pPr>
    <w:rPr>
      <w:i/>
      <w:iCs/>
    </w:rPr>
  </w:style>
  <w:style w:type="character" w:customStyle="1" w:styleId="QuoteChar">
    <w:name w:val="Quote Char"/>
    <w:basedOn w:val="DefaultParagraphFont"/>
    <w:link w:val="Quote"/>
    <w:rsid w:val="00A326AE"/>
    <w:rPr>
      <w:i/>
      <w:iCs/>
    </w:rPr>
  </w:style>
  <w:style w:type="paragraph" w:customStyle="1" w:styleId="QuoteBullet">
    <w:name w:val="Quote Bullet"/>
    <w:basedOn w:val="Quote"/>
    <w:qFormat/>
    <w:rsid w:val="00A326AE"/>
    <w:pPr>
      <w:numPr>
        <w:numId w:val="4"/>
      </w:numPr>
      <w:ind w:left="568" w:hanging="284"/>
    </w:pPr>
  </w:style>
  <w:style w:type="paragraph" w:customStyle="1" w:styleId="QuoteBullet2">
    <w:name w:val="Quote Bullet 2"/>
    <w:basedOn w:val="Quote"/>
    <w:qFormat/>
    <w:rsid w:val="002D14CD"/>
    <w:pPr>
      <w:numPr>
        <w:ilvl w:val="1"/>
        <w:numId w:val="4"/>
      </w:numPr>
      <w:tabs>
        <w:tab w:val="clear" w:pos="1134"/>
      </w:tabs>
    </w:pPr>
  </w:style>
  <w:style w:type="character" w:customStyle="1" w:styleId="Superscript">
    <w:name w:val="Superscript"/>
    <w:rsid w:val="00961DBB"/>
    <w:rPr>
      <w:vertAlign w:val="superscript"/>
    </w:rPr>
  </w:style>
  <w:style w:type="table" w:customStyle="1" w:styleId="TableGridDarkHeader">
    <w:name w:val="Table Grid Dark Header"/>
    <w:basedOn w:val="TableNormal"/>
    <w:uiPriority w:val="99"/>
    <w:rsid w:val="00AD2869"/>
    <w:pPr>
      <w:spacing w:before="40" w:after="40" w:line="240" w:lineRule="auto"/>
    </w:pPr>
    <w:rPr>
      <w:sz w:val="20"/>
    </w:rPr>
    <w:tblPr>
      <w:tblStyleRowBandSize w:val="1"/>
      <w:tblCellMar>
        <w:top w:w="57" w:type="dxa"/>
        <w:left w:w="0" w:type="dxa"/>
        <w:bottom w:w="57" w:type="dxa"/>
        <w:right w:w="0" w:type="dxa"/>
      </w:tblCellMar>
    </w:tblPr>
    <w:tblStylePr w:type="firstRow">
      <w:rPr>
        <w:b/>
        <w:color w:val="FFFFFF" w:themeColor="background1"/>
      </w:rPr>
      <w:tblPr/>
      <w:tcPr>
        <w:shd w:val="clear" w:color="auto" w:fill="3D4D7D" w:themeFill="background2"/>
      </w:tcPr>
    </w:tblStylePr>
    <w:tblStylePr w:type="lastRow">
      <w:rPr>
        <w:b/>
      </w:rPr>
      <w:tblPr/>
      <w:tcPr>
        <w:shd w:val="clear" w:color="auto" w:fill="A7B2D4" w:themeFill="background2" w:themeFillTint="66"/>
      </w:tcPr>
    </w:tblStylePr>
    <w:tblStylePr w:type="band1Horz">
      <w:tblPr/>
      <w:tcPr>
        <w:shd w:val="clear" w:color="auto" w:fill="D3D8E9" w:themeFill="background2" w:themeFillTint="33"/>
      </w:tcPr>
    </w:tblStylePr>
  </w:style>
  <w:style w:type="paragraph" w:customStyle="1" w:styleId="TableFootnotes">
    <w:name w:val="Table Footnotes"/>
    <w:basedOn w:val="Normal"/>
    <w:rsid w:val="001901A1"/>
    <w:pPr>
      <w:keepLines/>
      <w:numPr>
        <w:numId w:val="5"/>
      </w:numPr>
      <w:spacing w:before="60" w:after="60" w:line="260" w:lineRule="atLeast"/>
    </w:pPr>
    <w:rPr>
      <w:color w:val="788184"/>
      <w:sz w:val="18"/>
    </w:rPr>
  </w:style>
  <w:style w:type="table" w:styleId="TableGrid">
    <w:name w:val="Table Grid"/>
    <w:basedOn w:val="TableNormal"/>
    <w:uiPriority w:val="59"/>
    <w:rsid w:val="00AD2869"/>
    <w:pPr>
      <w:spacing w:before="40" w:after="40" w:line="240" w:lineRule="auto"/>
      <w:ind w:left="85" w:right="85"/>
    </w:pPr>
    <w:rPr>
      <w:sz w:val="20"/>
    </w:rPr>
    <w:tblPr>
      <w:tblStyleRowBandSize w:val="1"/>
      <w:tblBorders>
        <w:top w:val="single" w:sz="4" w:space="0" w:color="000000" w:themeColor="text1"/>
        <w:bottom w:val="single" w:sz="4" w:space="0" w:color="000000" w:themeColor="text1"/>
      </w:tblBorders>
      <w:tblCellMar>
        <w:top w:w="57" w:type="dxa"/>
        <w:left w:w="0" w:type="dxa"/>
        <w:bottom w:w="57" w:type="dxa"/>
        <w:right w:w="0" w:type="dxa"/>
      </w:tblCellMar>
    </w:tblPr>
    <w:tblStylePr w:type="firstRow">
      <w:rPr>
        <w:b/>
      </w:rPr>
      <w:tblPr/>
      <w:tcPr>
        <w:tcBorders>
          <w:bottom w:val="single" w:sz="4" w:space="0" w:color="auto"/>
        </w:tcBorders>
      </w:tcPr>
    </w:tblStylePr>
    <w:tblStylePr w:type="lastRow">
      <w:rPr>
        <w:b/>
      </w:rPr>
      <w:tblPr/>
      <w:tcPr>
        <w:shd w:val="clear" w:color="auto" w:fill="A7B2D4" w:themeFill="background2" w:themeFillTint="66"/>
      </w:tcPr>
    </w:tblStylePr>
    <w:tblStylePr w:type="band2Horz">
      <w:tblPr/>
      <w:tcPr>
        <w:shd w:val="clear" w:color="auto" w:fill="D3D8E9" w:themeFill="background2" w:themeFillTint="33"/>
      </w:tcPr>
    </w:tblStylePr>
    <w:tblStylePr w:type="nwCell">
      <w:rPr>
        <w:color w:val="000000" w:themeColor="text1"/>
      </w:rPr>
    </w:tblStylePr>
  </w:style>
  <w:style w:type="paragraph" w:customStyle="1" w:styleId="TableHeading">
    <w:name w:val="Table Heading"/>
    <w:basedOn w:val="Normal"/>
    <w:qFormat/>
    <w:rsid w:val="00297971"/>
    <w:pPr>
      <w:spacing w:before="40" w:after="40" w:line="240" w:lineRule="auto"/>
      <w:ind w:left="85" w:right="85"/>
    </w:pPr>
    <w:rPr>
      <w:color w:val="FFFFFF" w:themeColor="background1"/>
    </w:rPr>
  </w:style>
  <w:style w:type="paragraph" w:customStyle="1" w:styleId="TableHeadingCentred">
    <w:name w:val="Table Heading Centred"/>
    <w:basedOn w:val="Normal"/>
    <w:qFormat/>
    <w:rsid w:val="00CA5C20"/>
    <w:pPr>
      <w:spacing w:before="40" w:after="40" w:line="240" w:lineRule="auto"/>
      <w:jc w:val="center"/>
    </w:pPr>
  </w:style>
  <w:style w:type="paragraph" w:customStyle="1" w:styleId="TableHeadingRight">
    <w:name w:val="Table Heading Right"/>
    <w:basedOn w:val="Normal"/>
    <w:qFormat/>
    <w:rsid w:val="00CA5C20"/>
    <w:pPr>
      <w:spacing w:before="40" w:after="40" w:line="240" w:lineRule="auto"/>
      <w:jc w:val="right"/>
    </w:pPr>
  </w:style>
  <w:style w:type="paragraph" w:customStyle="1" w:styleId="Source">
    <w:name w:val="Source"/>
    <w:basedOn w:val="Normal"/>
    <w:next w:val="Normal"/>
    <w:rsid w:val="001901A1"/>
    <w:pPr>
      <w:spacing w:before="120" w:after="40" w:line="240" w:lineRule="auto"/>
    </w:pPr>
    <w:rPr>
      <w:rFonts w:cs="Times New Roman"/>
      <w:color w:val="788184"/>
      <w:sz w:val="18"/>
      <w:szCs w:val="14"/>
    </w:rPr>
  </w:style>
  <w:style w:type="paragraph" w:customStyle="1" w:styleId="TableText">
    <w:name w:val="Table Text"/>
    <w:basedOn w:val="Normal"/>
    <w:qFormat/>
    <w:rsid w:val="00456DEB"/>
    <w:pPr>
      <w:spacing w:before="40" w:after="40" w:line="240" w:lineRule="auto"/>
      <w:ind w:left="85" w:right="85"/>
    </w:pPr>
    <w:rPr>
      <w:sz w:val="20"/>
    </w:rPr>
  </w:style>
  <w:style w:type="paragraph" w:customStyle="1" w:styleId="TableTextBold">
    <w:name w:val="Table Text Bold"/>
    <w:basedOn w:val="TableText"/>
    <w:semiHidden/>
    <w:qFormat/>
    <w:rsid w:val="00961DBB"/>
    <w:rPr>
      <w:b/>
    </w:rPr>
  </w:style>
  <w:style w:type="paragraph" w:customStyle="1" w:styleId="TableTextBullet">
    <w:name w:val="Table Text Bullet"/>
    <w:basedOn w:val="TableText"/>
    <w:rsid w:val="00961DBB"/>
    <w:pPr>
      <w:numPr>
        <w:numId w:val="6"/>
      </w:numPr>
    </w:pPr>
  </w:style>
  <w:style w:type="paragraph" w:customStyle="1" w:styleId="TableTextBullet2">
    <w:name w:val="Table Text Bullet 2"/>
    <w:basedOn w:val="TableTextBullet"/>
    <w:qFormat/>
    <w:rsid w:val="00961DBB"/>
    <w:pPr>
      <w:numPr>
        <w:ilvl w:val="1"/>
      </w:numPr>
    </w:pPr>
    <w:rPr>
      <w:bCs/>
    </w:rPr>
  </w:style>
  <w:style w:type="paragraph" w:customStyle="1" w:styleId="TableTextBullet3">
    <w:name w:val="Table Text Bullet 3"/>
    <w:basedOn w:val="TableTextBullet2"/>
    <w:qFormat/>
    <w:rsid w:val="00961DBB"/>
    <w:pPr>
      <w:numPr>
        <w:ilvl w:val="2"/>
      </w:numPr>
    </w:pPr>
    <w:rPr>
      <w:bCs w:val="0"/>
    </w:rPr>
  </w:style>
  <w:style w:type="paragraph" w:customStyle="1" w:styleId="TableTextNumber">
    <w:name w:val="Table Text Number"/>
    <w:basedOn w:val="TableText"/>
    <w:qFormat/>
    <w:rsid w:val="00961DBB"/>
    <w:pPr>
      <w:numPr>
        <w:numId w:val="7"/>
      </w:numPr>
    </w:pPr>
  </w:style>
  <w:style w:type="paragraph" w:customStyle="1" w:styleId="TableTextNumber2">
    <w:name w:val="Table Text Number 2"/>
    <w:basedOn w:val="TableTextNumber"/>
    <w:qFormat/>
    <w:rsid w:val="00961DBB"/>
    <w:pPr>
      <w:numPr>
        <w:ilvl w:val="1"/>
      </w:numPr>
    </w:pPr>
  </w:style>
  <w:style w:type="paragraph" w:customStyle="1" w:styleId="TableTextNumber3">
    <w:name w:val="Table Text Number 3"/>
    <w:basedOn w:val="TableTextNumber2"/>
    <w:qFormat/>
    <w:rsid w:val="00961DBB"/>
    <w:pPr>
      <w:numPr>
        <w:ilvl w:val="2"/>
      </w:numPr>
    </w:pPr>
  </w:style>
  <w:style w:type="paragraph" w:customStyle="1" w:styleId="TableTextRight">
    <w:name w:val="Table Text Right"/>
    <w:basedOn w:val="TableText"/>
    <w:qFormat/>
    <w:rsid w:val="00961DBB"/>
    <w:pPr>
      <w:jc w:val="right"/>
    </w:pPr>
  </w:style>
  <w:style w:type="paragraph" w:customStyle="1" w:styleId="TableofContents2">
    <w:name w:val="TableofContents2"/>
    <w:basedOn w:val="Normal"/>
    <w:semiHidden/>
    <w:rsid w:val="00CA0B7E"/>
    <w:pPr>
      <w:keepNext/>
      <w:spacing w:after="113"/>
    </w:pPr>
    <w:rPr>
      <w:sz w:val="28"/>
      <w:szCs w:val="28"/>
    </w:rPr>
  </w:style>
  <w:style w:type="paragraph" w:styleId="Title">
    <w:name w:val="Title"/>
    <w:basedOn w:val="Normal"/>
    <w:next w:val="Normal"/>
    <w:link w:val="TitleChar"/>
    <w:uiPriority w:val="3"/>
    <w:rsid w:val="00785B35"/>
    <w:pPr>
      <w:spacing w:before="5700" w:after="280" w:line="235" w:lineRule="auto"/>
      <w:ind w:left="227" w:right="3119"/>
      <w:contextualSpacing/>
    </w:pPr>
    <w:rPr>
      <w:rFonts w:ascii="Calibri Light" w:eastAsiaTheme="majorEastAsia" w:hAnsi="Calibri Light" w:cstheme="majorBidi"/>
      <w:caps/>
      <w:color w:val="FFFFFF" w:themeColor="background1"/>
      <w:spacing w:val="14"/>
      <w:sz w:val="44"/>
      <w:szCs w:val="50"/>
      <w:lang w:eastAsia="en-AU"/>
    </w:rPr>
  </w:style>
  <w:style w:type="character" w:customStyle="1" w:styleId="TitleChar">
    <w:name w:val="Title Char"/>
    <w:basedOn w:val="DefaultParagraphFont"/>
    <w:link w:val="Title"/>
    <w:uiPriority w:val="3"/>
    <w:rsid w:val="00785B35"/>
    <w:rPr>
      <w:rFonts w:ascii="Calibri Light" w:eastAsiaTheme="majorEastAsia" w:hAnsi="Calibri Light" w:cstheme="majorBidi"/>
      <w:caps/>
      <w:color w:val="FFFFFF" w:themeColor="background1"/>
      <w:spacing w:val="14"/>
      <w:sz w:val="44"/>
      <w:szCs w:val="50"/>
      <w:lang w:eastAsia="en-AU"/>
    </w:rPr>
  </w:style>
  <w:style w:type="paragraph" w:customStyle="1" w:styleId="Title2">
    <w:name w:val="Title 2"/>
    <w:basedOn w:val="Normal"/>
    <w:link w:val="Title2Char"/>
    <w:uiPriority w:val="3"/>
    <w:rsid w:val="00785B35"/>
    <w:pPr>
      <w:spacing w:line="380" w:lineRule="atLeast"/>
      <w:ind w:left="227" w:right="3119"/>
    </w:pPr>
    <w:rPr>
      <w:rFonts w:asciiTheme="majorHAnsi" w:hAnsiTheme="majorHAnsi"/>
      <w:b/>
      <w:color w:val="FFFFFF" w:themeColor="background1"/>
      <w:spacing w:val="-1"/>
      <w:sz w:val="26"/>
    </w:rPr>
  </w:style>
  <w:style w:type="character" w:customStyle="1" w:styleId="Title2Char">
    <w:name w:val="Title 2 Char"/>
    <w:basedOn w:val="DefaultParagraphFont"/>
    <w:link w:val="Title2"/>
    <w:uiPriority w:val="3"/>
    <w:rsid w:val="00785B35"/>
    <w:rPr>
      <w:rFonts w:asciiTheme="majorHAnsi" w:hAnsiTheme="majorHAnsi"/>
      <w:b/>
      <w:color w:val="FFFFFF" w:themeColor="background1"/>
      <w:spacing w:val="-1"/>
      <w:sz w:val="26"/>
    </w:rPr>
  </w:style>
  <w:style w:type="paragraph" w:customStyle="1" w:styleId="Title3">
    <w:name w:val="Title 3"/>
    <w:basedOn w:val="Title2"/>
    <w:link w:val="Title3Char"/>
    <w:uiPriority w:val="3"/>
    <w:rsid w:val="0081085D"/>
    <w:pPr>
      <w:framePr w:w="2835" w:wrap="around" w:vAnchor="page" w:hAnchor="page" w:x="8591" w:y="7854"/>
      <w:spacing w:after="120" w:line="600" w:lineRule="atLeast"/>
      <w:ind w:right="0"/>
      <w:contextualSpacing/>
    </w:pPr>
    <w:rPr>
      <w:rFonts w:eastAsia="Times New Roman" w:cs="Arial"/>
      <w:b w:val="0"/>
      <w:color w:val="3D4D7D" w:themeColor="background2"/>
      <w:spacing w:val="0"/>
      <w:sz w:val="46"/>
      <w:lang w:eastAsia="en-AU"/>
    </w:rPr>
  </w:style>
  <w:style w:type="paragraph" w:styleId="TOC1">
    <w:name w:val="toc 1"/>
    <w:basedOn w:val="Normal"/>
    <w:next w:val="Normal"/>
    <w:uiPriority w:val="39"/>
    <w:rsid w:val="00E91C83"/>
    <w:pPr>
      <w:tabs>
        <w:tab w:val="left" w:pos="567"/>
        <w:tab w:val="right" w:pos="7654"/>
      </w:tabs>
      <w:spacing w:before="260" w:after="130" w:line="240" w:lineRule="auto"/>
      <w:ind w:left="567" w:right="1983" w:hanging="567"/>
    </w:pPr>
    <w:rPr>
      <w:b/>
      <w:noProof/>
      <w:color w:val="000000" w:themeColor="text1"/>
      <w:sz w:val="24"/>
    </w:rPr>
  </w:style>
  <w:style w:type="paragraph" w:styleId="TOC2">
    <w:name w:val="toc 2"/>
    <w:basedOn w:val="Normal"/>
    <w:next w:val="Normal"/>
    <w:uiPriority w:val="39"/>
    <w:rsid w:val="00E91C83"/>
    <w:pPr>
      <w:tabs>
        <w:tab w:val="left" w:pos="567"/>
        <w:tab w:val="right" w:pos="7654"/>
      </w:tabs>
      <w:spacing w:after="40" w:line="240" w:lineRule="auto"/>
      <w:ind w:left="567" w:right="1985" w:hanging="567"/>
    </w:pPr>
    <w:rPr>
      <w:rFonts w:ascii="Calibri Light" w:eastAsiaTheme="minorEastAsia" w:hAnsi="Calibri Light"/>
      <w:noProof/>
      <w:color w:val="000000" w:themeColor="text1"/>
      <w:sz w:val="24"/>
      <w:lang w:eastAsia="en-AU"/>
    </w:rPr>
  </w:style>
  <w:style w:type="paragraph" w:styleId="TOC3">
    <w:name w:val="toc 3"/>
    <w:basedOn w:val="Normal"/>
    <w:next w:val="Normal"/>
    <w:uiPriority w:val="39"/>
    <w:rsid w:val="00E91C83"/>
    <w:pPr>
      <w:tabs>
        <w:tab w:val="left" w:pos="1417"/>
        <w:tab w:val="right" w:pos="7654"/>
      </w:tabs>
      <w:spacing w:before="120" w:after="120" w:line="240" w:lineRule="auto"/>
      <w:ind w:left="1417" w:right="1985" w:hanging="850"/>
      <w:contextualSpacing/>
    </w:pPr>
    <w:rPr>
      <w:rFonts w:ascii="Calibri Light" w:eastAsiaTheme="minorEastAsia" w:hAnsi="Calibri Light"/>
      <w:noProof/>
      <w:color w:val="000000" w:themeColor="text1"/>
      <w:sz w:val="24"/>
    </w:rPr>
  </w:style>
  <w:style w:type="paragraph" w:styleId="TOC4">
    <w:name w:val="toc 4"/>
    <w:basedOn w:val="Normal"/>
    <w:uiPriority w:val="39"/>
    <w:rsid w:val="00FF1368"/>
    <w:pPr>
      <w:tabs>
        <w:tab w:val="left" w:pos="454"/>
        <w:tab w:val="right" w:pos="7655"/>
      </w:tabs>
      <w:spacing w:after="40" w:line="240" w:lineRule="auto"/>
      <w:ind w:left="454" w:hanging="454"/>
    </w:pPr>
    <w:rPr>
      <w:rFonts w:ascii="Calibri Light" w:hAnsi="Calibri Light"/>
      <w:noProof/>
      <w:color w:val="000000" w:themeColor="text1"/>
      <w:sz w:val="24"/>
    </w:rPr>
  </w:style>
  <w:style w:type="paragraph" w:styleId="TOC5">
    <w:name w:val="toc 5"/>
    <w:basedOn w:val="Normal"/>
    <w:next w:val="Normal"/>
    <w:autoRedefine/>
    <w:uiPriority w:val="39"/>
    <w:rsid w:val="0081085D"/>
    <w:pPr>
      <w:tabs>
        <w:tab w:val="left" w:pos="567"/>
        <w:tab w:val="right" w:pos="7655"/>
      </w:tabs>
      <w:spacing w:after="40" w:line="240" w:lineRule="auto"/>
      <w:ind w:left="567" w:right="1985" w:hanging="567"/>
    </w:pPr>
    <w:rPr>
      <w:rFonts w:ascii="Calibri Light" w:hAnsi="Calibri Light"/>
      <w:b/>
      <w:color w:val="3D4D7D" w:themeColor="background2"/>
      <w:sz w:val="24"/>
    </w:rPr>
  </w:style>
  <w:style w:type="paragraph" w:styleId="TOC6">
    <w:name w:val="toc 6"/>
    <w:basedOn w:val="Normal"/>
    <w:next w:val="Normal"/>
    <w:autoRedefine/>
    <w:semiHidden/>
    <w:rsid w:val="00961DBB"/>
    <w:pPr>
      <w:spacing w:after="100"/>
      <w:ind w:left="1000"/>
    </w:pPr>
  </w:style>
  <w:style w:type="paragraph" w:styleId="TOC7">
    <w:name w:val="toc 7"/>
    <w:basedOn w:val="Normal"/>
    <w:next w:val="Normal"/>
    <w:autoRedefine/>
    <w:semiHidden/>
    <w:rsid w:val="00961DBB"/>
    <w:pPr>
      <w:spacing w:after="100"/>
      <w:ind w:left="1200"/>
    </w:pPr>
  </w:style>
  <w:style w:type="paragraph" w:styleId="TOC8">
    <w:name w:val="toc 8"/>
    <w:basedOn w:val="Normal"/>
    <w:next w:val="Normal"/>
    <w:autoRedefine/>
    <w:semiHidden/>
    <w:rsid w:val="00BE45B2"/>
    <w:pPr>
      <w:tabs>
        <w:tab w:val="left" w:pos="454"/>
        <w:tab w:val="right" w:pos="7626"/>
      </w:tabs>
      <w:spacing w:after="30" w:line="240" w:lineRule="auto"/>
      <w:ind w:left="454" w:hanging="454"/>
    </w:pPr>
    <w:rPr>
      <w:rFonts w:ascii="Calibri Light" w:hAnsi="Calibri Light"/>
      <w:color w:val="000000" w:themeColor="text1"/>
      <w:sz w:val="24"/>
    </w:rPr>
  </w:style>
  <w:style w:type="paragraph" w:styleId="TOCHeading">
    <w:name w:val="TOC Heading"/>
    <w:basedOn w:val="Normal"/>
    <w:uiPriority w:val="39"/>
    <w:rsid w:val="0081085D"/>
    <w:pPr>
      <w:tabs>
        <w:tab w:val="right" w:pos="7655"/>
      </w:tabs>
      <w:spacing w:after="1220" w:line="204" w:lineRule="auto"/>
    </w:pPr>
    <w:rPr>
      <w:rFonts w:ascii="Calibri Light" w:hAnsi="Calibri Light"/>
      <w:color w:val="3D4D7D" w:themeColor="background2"/>
      <w:sz w:val="52"/>
      <w:szCs w:val="40"/>
    </w:rPr>
  </w:style>
  <w:style w:type="paragraph" w:customStyle="1" w:styleId="TOFHeading">
    <w:name w:val="TOF Heading"/>
    <w:basedOn w:val="Normal"/>
    <w:uiPriority w:val="39"/>
    <w:rsid w:val="0081085D"/>
    <w:pPr>
      <w:keepNext/>
      <w:tabs>
        <w:tab w:val="left" w:pos="2268"/>
      </w:tabs>
      <w:spacing w:before="300" w:after="120"/>
    </w:pPr>
    <w:rPr>
      <w:color w:val="3D4D7D" w:themeColor="background2"/>
      <w:sz w:val="28"/>
      <w:szCs w:val="32"/>
    </w:rPr>
  </w:style>
  <w:style w:type="paragraph" w:customStyle="1" w:styleId="xDisclaimerHeading">
    <w:name w:val="xDisclaimer Heading"/>
    <w:basedOn w:val="Normal"/>
    <w:next w:val="xDisclaimerText"/>
    <w:link w:val="xDisclaimerHeadingChar"/>
    <w:uiPriority w:val="3"/>
    <w:rsid w:val="0081085D"/>
    <w:pPr>
      <w:framePr w:hSpace="181" w:wrap="around" w:hAnchor="margin" w:y="4310"/>
      <w:spacing w:before="320" w:line="280" w:lineRule="atLeast"/>
      <w:suppressOverlap/>
    </w:pPr>
    <w:rPr>
      <w:b/>
      <w:color w:val="3D4D7D" w:themeColor="background2"/>
      <w:sz w:val="26"/>
    </w:rPr>
  </w:style>
  <w:style w:type="character" w:customStyle="1" w:styleId="xDisclaimerHeadingChar">
    <w:name w:val="xDisclaimer Heading Char"/>
    <w:basedOn w:val="DefaultParagraphFont"/>
    <w:link w:val="xDisclaimerHeading"/>
    <w:uiPriority w:val="3"/>
    <w:rsid w:val="0081085D"/>
    <w:rPr>
      <w:b/>
      <w:color w:val="3D4D7D" w:themeColor="background2"/>
      <w:sz w:val="26"/>
    </w:rPr>
  </w:style>
  <w:style w:type="paragraph" w:customStyle="1" w:styleId="xDisclaimerText">
    <w:name w:val="xDisclaimer Text"/>
    <w:basedOn w:val="Normal"/>
    <w:uiPriority w:val="3"/>
    <w:rsid w:val="003A43A0"/>
    <w:pPr>
      <w:framePr w:w="7768" w:wrap="around" w:hAnchor="margin" w:yAlign="bottom"/>
      <w:spacing w:after="57"/>
    </w:pPr>
    <w:rPr>
      <w:rFonts w:cs="Times New Roman"/>
      <w:color w:val="000000" w:themeColor="text1"/>
    </w:rPr>
  </w:style>
  <w:style w:type="paragraph" w:customStyle="1" w:styleId="xDisclaimerText2">
    <w:name w:val="xDisclaimer Text 2"/>
    <w:basedOn w:val="xDisclaimerHeading"/>
    <w:uiPriority w:val="3"/>
    <w:rsid w:val="008A0A35"/>
    <w:pPr>
      <w:framePr w:wrap="around"/>
      <w:spacing w:before="0" w:after="170" w:line="302" w:lineRule="atLeast"/>
    </w:pPr>
    <w:rPr>
      <w:b w:val="0"/>
      <w:color w:val="000000" w:themeColor="text1"/>
      <w:sz w:val="22"/>
    </w:rPr>
  </w:style>
  <w:style w:type="table" w:customStyle="1" w:styleId="FooterPlaceholder">
    <w:name w:val="Footer Placeholder"/>
    <w:basedOn w:val="TableNormal"/>
    <w:uiPriority w:val="99"/>
    <w:rsid w:val="00F24BF6"/>
    <w:pPr>
      <w:spacing w:line="240" w:lineRule="auto"/>
    </w:pPr>
    <w:rPr>
      <w:sz w:val="16"/>
    </w:rPr>
    <w:tblPr>
      <w:tblCellMar>
        <w:left w:w="0" w:type="dxa"/>
        <w:right w:w="0" w:type="dxa"/>
      </w:tblCellMar>
    </w:tblPr>
  </w:style>
  <w:style w:type="paragraph" w:customStyle="1" w:styleId="xInlineShape">
    <w:name w:val="xInlineShape"/>
    <w:basedOn w:val="Normal"/>
    <w:next w:val="BodyText"/>
    <w:uiPriority w:val="3"/>
    <w:rsid w:val="00E54919"/>
    <w:pPr>
      <w:keepNext/>
      <w:spacing w:before="60" w:after="60" w:line="240" w:lineRule="auto"/>
      <w:jc w:val="center"/>
    </w:pPr>
  </w:style>
  <w:style w:type="paragraph" w:customStyle="1" w:styleId="xStatus">
    <w:name w:val="xStatus"/>
    <w:basedOn w:val="Normal"/>
    <w:semiHidden/>
    <w:rsid w:val="0094468E"/>
    <w:pPr>
      <w:tabs>
        <w:tab w:val="left" w:pos="1134"/>
        <w:tab w:val="left" w:pos="2268"/>
        <w:tab w:val="left" w:pos="3402"/>
        <w:tab w:val="left" w:pos="4536"/>
        <w:tab w:val="left" w:pos="5103"/>
      </w:tabs>
      <w:spacing w:line="1400" w:lineRule="exact"/>
      <w:jc w:val="center"/>
    </w:pPr>
    <w:rPr>
      <w:caps/>
      <w:color w:val="EAEAEA"/>
      <w:spacing w:val="40"/>
      <w:sz w:val="140"/>
    </w:rPr>
  </w:style>
  <w:style w:type="character" w:styleId="Hyperlink">
    <w:name w:val="Hyperlink"/>
    <w:basedOn w:val="DefaultParagraphFont"/>
    <w:uiPriority w:val="99"/>
    <w:unhideWhenUsed/>
    <w:rsid w:val="00903E3F"/>
    <w:rPr>
      <w:color w:val="auto"/>
      <w:u w:val="single"/>
    </w:rPr>
  </w:style>
  <w:style w:type="paragraph" w:styleId="BalloonText">
    <w:name w:val="Balloon Text"/>
    <w:basedOn w:val="Normal"/>
    <w:link w:val="BalloonTextChar"/>
    <w:semiHidden/>
    <w:unhideWhenUsed/>
    <w:rsid w:val="00903E3F"/>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0E266E"/>
    <w:rPr>
      <w:rFonts w:ascii="Tahoma" w:hAnsi="Tahoma" w:cs="Tahoma"/>
      <w:sz w:val="16"/>
      <w:szCs w:val="16"/>
    </w:rPr>
  </w:style>
  <w:style w:type="paragraph" w:customStyle="1" w:styleId="Heading1NoNumbering">
    <w:name w:val="Heading 1 No Numbering"/>
    <w:basedOn w:val="Heading1"/>
    <w:qFormat/>
    <w:rsid w:val="00FF1368"/>
    <w:pPr>
      <w:numPr>
        <w:numId w:val="0"/>
      </w:numPr>
    </w:pPr>
  </w:style>
  <w:style w:type="paragraph" w:styleId="TableofFigures">
    <w:name w:val="table of figures"/>
    <w:basedOn w:val="Normal"/>
    <w:next w:val="Normal"/>
    <w:uiPriority w:val="99"/>
    <w:rsid w:val="00563884"/>
    <w:pPr>
      <w:tabs>
        <w:tab w:val="right" w:pos="7655"/>
      </w:tabs>
      <w:spacing w:after="40"/>
      <w:ind w:right="1985"/>
    </w:pPr>
    <w:rPr>
      <w:rFonts w:ascii="Calibri Light" w:hAnsi="Calibri Light"/>
    </w:rPr>
  </w:style>
  <w:style w:type="paragraph" w:customStyle="1" w:styleId="TableTextCentred">
    <w:name w:val="Table Text Centred"/>
    <w:basedOn w:val="TableText"/>
    <w:qFormat/>
    <w:rsid w:val="00AE1CC1"/>
    <w:pPr>
      <w:jc w:val="center"/>
    </w:pPr>
    <w:rPr>
      <w:rFonts w:eastAsia="Times New Roman"/>
      <w:lang w:eastAsia="en-AU"/>
    </w:rPr>
  </w:style>
  <w:style w:type="character" w:customStyle="1" w:styleId="MyBoldItalicsUnderline">
    <w:name w:val="MyBoldItalicsUnderline"/>
    <w:uiPriority w:val="99"/>
    <w:rsid w:val="000E266E"/>
    <w:rPr>
      <w:b/>
      <w:i/>
      <w:u w:val="single"/>
      <w:vertAlign w:val="baseline"/>
    </w:rPr>
  </w:style>
  <w:style w:type="character" w:customStyle="1" w:styleId="MyBoldUnderline">
    <w:name w:val="MyBoldUnderline"/>
    <w:uiPriority w:val="99"/>
    <w:rsid w:val="000E266E"/>
    <w:rPr>
      <w:b/>
      <w:i/>
      <w:u w:val="single"/>
      <w:vertAlign w:val="baseline"/>
    </w:rPr>
  </w:style>
  <w:style w:type="character" w:customStyle="1" w:styleId="MyItalicsUnderline">
    <w:name w:val="MyItalicsUnderline"/>
    <w:uiPriority w:val="99"/>
    <w:rsid w:val="000E266E"/>
    <w:rPr>
      <w:b/>
      <w:i/>
      <w:u w:val="single"/>
      <w:vertAlign w:val="baseline"/>
    </w:rPr>
  </w:style>
  <w:style w:type="character" w:customStyle="1" w:styleId="MyUnderline">
    <w:name w:val="MyUnderline"/>
    <w:uiPriority w:val="99"/>
    <w:rsid w:val="000E266E"/>
    <w:rPr>
      <w:b w:val="0"/>
      <w:i w:val="0"/>
      <w:u w:val="single"/>
      <w:vertAlign w:val="baseline"/>
    </w:rPr>
  </w:style>
  <w:style w:type="paragraph" w:customStyle="1" w:styleId="BodyTextAfterListTable">
    <w:name w:val="Body Text After List/Table"/>
    <w:basedOn w:val="BodyText"/>
    <w:next w:val="BodyText"/>
    <w:qFormat/>
    <w:rsid w:val="00E167B4"/>
    <w:pPr>
      <w:spacing w:before="240"/>
    </w:pPr>
  </w:style>
  <w:style w:type="paragraph" w:customStyle="1" w:styleId="TableTextIndented">
    <w:name w:val="Table Text Indented"/>
    <w:basedOn w:val="TableText"/>
    <w:qFormat/>
    <w:rsid w:val="009B1E4D"/>
    <w:pPr>
      <w:ind w:left="170"/>
    </w:pPr>
  </w:style>
  <w:style w:type="character" w:customStyle="1" w:styleId="Title3Heading">
    <w:name w:val="Title 3 Heading"/>
    <w:basedOn w:val="DefaultParagraphFont"/>
    <w:uiPriority w:val="3"/>
    <w:qFormat/>
    <w:rsid w:val="008621A9"/>
    <w:rPr>
      <w:sz w:val="36"/>
    </w:rPr>
  </w:style>
  <w:style w:type="character" w:customStyle="1" w:styleId="Title3Char">
    <w:name w:val="Title 3 Char"/>
    <w:basedOn w:val="Title2Char"/>
    <w:link w:val="Title3"/>
    <w:uiPriority w:val="3"/>
    <w:rsid w:val="0081085D"/>
    <w:rPr>
      <w:rFonts w:asciiTheme="majorHAnsi" w:eastAsia="Times New Roman" w:hAnsiTheme="majorHAnsi" w:cs="Arial"/>
      <w:b w:val="0"/>
      <w:color w:val="3D4D7D" w:themeColor="background2"/>
      <w:spacing w:val="-1"/>
      <w:sz w:val="46"/>
      <w:lang w:eastAsia="en-AU"/>
    </w:rPr>
  </w:style>
  <w:style w:type="character" w:styleId="CommentReference">
    <w:name w:val="annotation reference"/>
    <w:basedOn w:val="DefaultParagraphFont"/>
    <w:semiHidden/>
    <w:unhideWhenUsed/>
    <w:rsid w:val="00217EF3"/>
    <w:rPr>
      <w:sz w:val="16"/>
      <w:szCs w:val="16"/>
    </w:rPr>
  </w:style>
  <w:style w:type="paragraph" w:styleId="CommentText">
    <w:name w:val="annotation text"/>
    <w:basedOn w:val="Normal"/>
    <w:link w:val="CommentTextChar"/>
    <w:semiHidden/>
    <w:unhideWhenUsed/>
    <w:rsid w:val="00217EF3"/>
    <w:pPr>
      <w:spacing w:line="240" w:lineRule="auto"/>
    </w:pPr>
    <w:rPr>
      <w:sz w:val="20"/>
      <w:szCs w:val="20"/>
    </w:rPr>
  </w:style>
  <w:style w:type="character" w:customStyle="1" w:styleId="CommentTextChar">
    <w:name w:val="Comment Text Char"/>
    <w:basedOn w:val="DefaultParagraphFont"/>
    <w:link w:val="CommentText"/>
    <w:semiHidden/>
    <w:rsid w:val="00217EF3"/>
    <w:rPr>
      <w:sz w:val="20"/>
      <w:szCs w:val="20"/>
    </w:rPr>
  </w:style>
  <w:style w:type="paragraph" w:styleId="CommentSubject">
    <w:name w:val="annotation subject"/>
    <w:basedOn w:val="CommentText"/>
    <w:next w:val="CommentText"/>
    <w:link w:val="CommentSubjectChar"/>
    <w:semiHidden/>
    <w:unhideWhenUsed/>
    <w:rsid w:val="00217EF3"/>
    <w:rPr>
      <w:b/>
      <w:bCs/>
    </w:rPr>
  </w:style>
  <w:style w:type="character" w:customStyle="1" w:styleId="CommentSubjectChar">
    <w:name w:val="Comment Subject Char"/>
    <w:basedOn w:val="CommentTextChar"/>
    <w:link w:val="CommentSubject"/>
    <w:semiHidden/>
    <w:rsid w:val="00217EF3"/>
    <w:rPr>
      <w:b/>
      <w:bCs/>
      <w:sz w:val="20"/>
      <w:szCs w:val="20"/>
    </w:rPr>
  </w:style>
  <w:style w:type="table" w:styleId="ColorfulGrid">
    <w:name w:val="Colorful Grid"/>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AD7E6" w:themeFill="accent1" w:themeFillTint="33"/>
    </w:tcPr>
    <w:tblStylePr w:type="firstRow">
      <w:rPr>
        <w:b/>
        <w:bCs/>
      </w:rPr>
      <w:tblPr/>
      <w:tcPr>
        <w:shd w:val="clear" w:color="auto" w:fill="D6B0CE" w:themeFill="accent1" w:themeFillTint="66"/>
      </w:tcPr>
    </w:tblStylePr>
    <w:tblStylePr w:type="lastRow">
      <w:rPr>
        <w:b/>
        <w:bCs/>
        <w:color w:val="000000" w:themeColor="text1"/>
      </w:rPr>
      <w:tblPr/>
      <w:tcPr>
        <w:shd w:val="clear" w:color="auto" w:fill="D6B0CE" w:themeFill="accent1" w:themeFillTint="66"/>
      </w:tcPr>
    </w:tblStylePr>
    <w:tblStylePr w:type="firstCol">
      <w:rPr>
        <w:color w:val="FFFFFF" w:themeColor="background1"/>
      </w:rPr>
      <w:tblPr/>
      <w:tcPr>
        <w:shd w:val="clear" w:color="auto" w:fill="69365E" w:themeFill="accent1" w:themeFillShade="BF"/>
      </w:tcPr>
    </w:tblStylePr>
    <w:tblStylePr w:type="lastCol">
      <w:rPr>
        <w:color w:val="FFFFFF" w:themeColor="background1"/>
      </w:rPr>
      <w:tblPr/>
      <w:tcPr>
        <w:shd w:val="clear" w:color="auto" w:fill="69365E" w:themeFill="accent1" w:themeFillShade="BF"/>
      </w:tc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ColorfulGrid-Accent2">
    <w:name w:val="Colorful Grid Accent 2"/>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3DBD9" w:themeFill="accent2" w:themeFillTint="33"/>
    </w:tcPr>
    <w:tblStylePr w:type="firstRow">
      <w:rPr>
        <w:b/>
        <w:bCs/>
      </w:rPr>
      <w:tblPr/>
      <w:tcPr>
        <w:shd w:val="clear" w:color="auto" w:fill="E8B7B4" w:themeFill="accent2" w:themeFillTint="66"/>
      </w:tcPr>
    </w:tblStylePr>
    <w:tblStylePr w:type="lastRow">
      <w:rPr>
        <w:b/>
        <w:bCs/>
        <w:color w:val="000000" w:themeColor="text1"/>
      </w:rPr>
      <w:tblPr/>
      <w:tcPr>
        <w:shd w:val="clear" w:color="auto" w:fill="E8B7B4" w:themeFill="accent2" w:themeFillTint="66"/>
      </w:tcPr>
    </w:tblStylePr>
    <w:tblStylePr w:type="firstCol">
      <w:rPr>
        <w:color w:val="FFFFFF" w:themeColor="background1"/>
      </w:rPr>
      <w:tblPr/>
      <w:tcPr>
        <w:shd w:val="clear" w:color="auto" w:fill="98362F" w:themeFill="accent2" w:themeFillShade="BF"/>
      </w:tcPr>
    </w:tblStylePr>
    <w:tblStylePr w:type="lastCol">
      <w:rPr>
        <w:color w:val="FFFFFF" w:themeColor="background1"/>
      </w:rPr>
      <w:tblPr/>
      <w:tcPr>
        <w:shd w:val="clear" w:color="auto" w:fill="98362F" w:themeFill="accent2" w:themeFillShade="BF"/>
      </w:tc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ColorfulGrid-Accent3">
    <w:name w:val="Colorful Grid Accent 3"/>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E6D8" w:themeFill="accent3" w:themeFillTint="33"/>
    </w:tcPr>
    <w:tblStylePr w:type="firstRow">
      <w:rPr>
        <w:b/>
        <w:bCs/>
      </w:rPr>
      <w:tblPr/>
      <w:tcPr>
        <w:shd w:val="clear" w:color="auto" w:fill="F9CEB1" w:themeFill="accent3" w:themeFillTint="66"/>
      </w:tcPr>
    </w:tblStylePr>
    <w:tblStylePr w:type="lastRow">
      <w:rPr>
        <w:b/>
        <w:bCs/>
        <w:color w:val="000000" w:themeColor="text1"/>
      </w:rPr>
      <w:tblPr/>
      <w:tcPr>
        <w:shd w:val="clear" w:color="auto" w:fill="F9CEB1" w:themeFill="accent3" w:themeFillTint="66"/>
      </w:tcPr>
    </w:tblStylePr>
    <w:tblStylePr w:type="firstCol">
      <w:rPr>
        <w:color w:val="FFFFFF" w:themeColor="background1"/>
      </w:rPr>
      <w:tblPr/>
      <w:tcPr>
        <w:shd w:val="clear" w:color="auto" w:fill="D25E0F" w:themeFill="accent3" w:themeFillShade="BF"/>
      </w:tcPr>
    </w:tblStylePr>
    <w:tblStylePr w:type="lastCol">
      <w:rPr>
        <w:color w:val="FFFFFF" w:themeColor="background1"/>
      </w:rPr>
      <w:tblPr/>
      <w:tcPr>
        <w:shd w:val="clear" w:color="auto" w:fill="D25E0F" w:themeFill="accent3" w:themeFillShade="BF"/>
      </w:tc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ColorfulGrid-Accent4">
    <w:name w:val="Colorful Grid Accent 4"/>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3DA" w:themeFill="accent4" w:themeFillTint="33"/>
    </w:tcPr>
    <w:tblStylePr w:type="firstRow">
      <w:rPr>
        <w:b/>
        <w:bCs/>
      </w:rPr>
      <w:tblPr/>
      <w:tcPr>
        <w:shd w:val="clear" w:color="auto" w:fill="FDE7B5" w:themeFill="accent4" w:themeFillTint="66"/>
      </w:tcPr>
    </w:tblStylePr>
    <w:tblStylePr w:type="lastRow">
      <w:rPr>
        <w:b/>
        <w:bCs/>
        <w:color w:val="000000" w:themeColor="text1"/>
      </w:rPr>
      <w:tblPr/>
      <w:tcPr>
        <w:shd w:val="clear" w:color="auto" w:fill="FDE7B5" w:themeFill="accent4" w:themeFillTint="66"/>
      </w:tcPr>
    </w:tblStylePr>
    <w:tblStylePr w:type="firstCol">
      <w:rPr>
        <w:color w:val="FFFFFF" w:themeColor="background1"/>
      </w:rPr>
      <w:tblPr/>
      <w:tcPr>
        <w:shd w:val="clear" w:color="auto" w:fill="EEA704" w:themeFill="accent4" w:themeFillShade="BF"/>
      </w:tcPr>
    </w:tblStylePr>
    <w:tblStylePr w:type="lastCol">
      <w:rPr>
        <w:color w:val="FFFFFF" w:themeColor="background1"/>
      </w:rPr>
      <w:tblPr/>
      <w:tcPr>
        <w:shd w:val="clear" w:color="auto" w:fill="EEA704" w:themeFill="accent4" w:themeFillShade="BF"/>
      </w:tc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ColorfulGrid-Accent5">
    <w:name w:val="Colorful Grid Accent 5"/>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6F2DD" w:themeFill="accent5" w:themeFillTint="33"/>
    </w:tcPr>
    <w:tblStylePr w:type="firstRow">
      <w:rPr>
        <w:b/>
        <w:bCs/>
      </w:rPr>
      <w:tblPr/>
      <w:tcPr>
        <w:shd w:val="clear" w:color="auto" w:fill="CEE5BB" w:themeFill="accent5" w:themeFillTint="66"/>
      </w:tcPr>
    </w:tblStylePr>
    <w:tblStylePr w:type="lastRow">
      <w:rPr>
        <w:b/>
        <w:bCs/>
        <w:color w:val="000000" w:themeColor="text1"/>
      </w:rPr>
      <w:tblPr/>
      <w:tcPr>
        <w:shd w:val="clear" w:color="auto" w:fill="CEE5BB" w:themeFill="accent5" w:themeFillTint="66"/>
      </w:tcPr>
    </w:tblStylePr>
    <w:tblStylePr w:type="firstCol">
      <w:rPr>
        <w:color w:val="FFFFFF" w:themeColor="background1"/>
      </w:rPr>
      <w:tblPr/>
      <w:tcPr>
        <w:shd w:val="clear" w:color="auto" w:fill="63953A" w:themeFill="accent5" w:themeFillShade="BF"/>
      </w:tcPr>
    </w:tblStylePr>
    <w:tblStylePr w:type="lastCol">
      <w:rPr>
        <w:color w:val="FFFFFF" w:themeColor="background1"/>
      </w:rPr>
      <w:tblPr/>
      <w:tcPr>
        <w:shd w:val="clear" w:color="auto" w:fill="63953A" w:themeFill="accent5" w:themeFillShade="BF"/>
      </w:tc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ColorfulGrid-Accent6">
    <w:name w:val="Colorful Grid Accent 6"/>
    <w:basedOn w:val="TableNormal"/>
    <w:uiPriority w:val="73"/>
    <w:semiHidden/>
    <w:rsid w:val="00EE3EB6"/>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3E5E6" w:themeFill="accent6" w:themeFillTint="33"/>
    </w:tcPr>
    <w:tblStylePr w:type="firstRow">
      <w:rPr>
        <w:b/>
        <w:bCs/>
      </w:rPr>
      <w:tblPr/>
      <w:tcPr>
        <w:shd w:val="clear" w:color="auto" w:fill="C8CCCD" w:themeFill="accent6" w:themeFillTint="66"/>
      </w:tcPr>
    </w:tblStylePr>
    <w:tblStylePr w:type="lastRow">
      <w:rPr>
        <w:b/>
        <w:bCs/>
        <w:color w:val="000000" w:themeColor="text1"/>
      </w:rPr>
      <w:tblPr/>
      <w:tcPr>
        <w:shd w:val="clear" w:color="auto" w:fill="C8CCCD" w:themeFill="accent6" w:themeFillTint="66"/>
      </w:tcPr>
    </w:tblStylePr>
    <w:tblStylePr w:type="firstCol">
      <w:rPr>
        <w:color w:val="FFFFFF" w:themeColor="background1"/>
      </w:rPr>
      <w:tblPr/>
      <w:tcPr>
        <w:shd w:val="clear" w:color="auto" w:fill="5A6062" w:themeFill="accent6" w:themeFillShade="BF"/>
      </w:tcPr>
    </w:tblStylePr>
    <w:tblStylePr w:type="lastCol">
      <w:rPr>
        <w:color w:val="FFFFFF" w:themeColor="background1"/>
      </w:rPr>
      <w:tblPr/>
      <w:tcPr>
        <w:shd w:val="clear" w:color="auto" w:fill="5A6062" w:themeFill="accent6" w:themeFillShade="BF"/>
      </w:tc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ColorfulList">
    <w:name w:val="Colorful List"/>
    <w:basedOn w:val="TableNormal"/>
    <w:uiPriority w:val="72"/>
    <w:semiHidden/>
    <w:rsid w:val="00EE3EB6"/>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EE3EB6"/>
    <w:pPr>
      <w:spacing w:line="240" w:lineRule="auto"/>
    </w:pPr>
    <w:rPr>
      <w:color w:val="000000" w:themeColor="text1"/>
    </w:rPr>
    <w:tblPr>
      <w:tblStyleRowBandSize w:val="1"/>
      <w:tblStyleColBandSize w:val="1"/>
    </w:tblPr>
    <w:tcPr>
      <w:shd w:val="clear" w:color="auto" w:fill="F5EBF3" w:themeFill="accent1"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CEE1" w:themeFill="accent1" w:themeFillTint="3F"/>
      </w:tcPr>
    </w:tblStylePr>
    <w:tblStylePr w:type="band1Horz">
      <w:tblPr/>
      <w:tcPr>
        <w:shd w:val="clear" w:color="auto" w:fill="EAD7E6" w:themeFill="accent1" w:themeFillTint="33"/>
      </w:tcPr>
    </w:tblStylePr>
  </w:style>
  <w:style w:type="table" w:styleId="ColorfulList-Accent2">
    <w:name w:val="Colorful List Accent 2"/>
    <w:basedOn w:val="TableNormal"/>
    <w:uiPriority w:val="72"/>
    <w:semiHidden/>
    <w:rsid w:val="00EE3EB6"/>
    <w:pPr>
      <w:spacing w:line="240" w:lineRule="auto"/>
    </w:pPr>
    <w:rPr>
      <w:color w:val="000000" w:themeColor="text1"/>
    </w:rPr>
    <w:tblPr>
      <w:tblStyleRowBandSize w:val="1"/>
      <w:tblStyleColBandSize w:val="1"/>
    </w:tblPr>
    <w:tcPr>
      <w:shd w:val="clear" w:color="auto" w:fill="F9EDEC" w:themeFill="accent2" w:themeFillTint="19"/>
    </w:tcPr>
    <w:tblStylePr w:type="firstRow">
      <w:rPr>
        <w:b/>
        <w:bCs/>
        <w:color w:val="FFFFFF" w:themeColor="background1"/>
      </w:rPr>
      <w:tblPr/>
      <w:tcPr>
        <w:tcBorders>
          <w:bottom w:val="single" w:sz="12" w:space="0" w:color="FFFFFF" w:themeColor="background1"/>
        </w:tcBorders>
        <w:shd w:val="clear" w:color="auto" w:fill="A33932" w:themeFill="accent2" w:themeFillShade="CC"/>
      </w:tcPr>
    </w:tblStylePr>
    <w:tblStylePr w:type="lastRow">
      <w:rPr>
        <w:b/>
        <w:bCs/>
        <w:color w:val="A339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D2D0" w:themeFill="accent2" w:themeFillTint="3F"/>
      </w:tcPr>
    </w:tblStylePr>
    <w:tblStylePr w:type="band1Horz">
      <w:tblPr/>
      <w:tcPr>
        <w:shd w:val="clear" w:color="auto" w:fill="F3DBD9" w:themeFill="accent2" w:themeFillTint="33"/>
      </w:tcPr>
    </w:tblStylePr>
  </w:style>
  <w:style w:type="table" w:styleId="ColorfulList-Accent3">
    <w:name w:val="Colorful List Accent 3"/>
    <w:basedOn w:val="TableNormal"/>
    <w:uiPriority w:val="72"/>
    <w:semiHidden/>
    <w:rsid w:val="00EE3EB6"/>
    <w:pPr>
      <w:spacing w:line="240" w:lineRule="auto"/>
    </w:pPr>
    <w:rPr>
      <w:color w:val="000000" w:themeColor="text1"/>
    </w:rPr>
    <w:tblPr>
      <w:tblStyleRowBandSize w:val="1"/>
      <w:tblStyleColBandSize w:val="1"/>
    </w:tblPr>
    <w:tcPr>
      <w:shd w:val="clear" w:color="auto" w:fill="FDF3EB" w:themeFill="accent3" w:themeFillTint="19"/>
    </w:tcPr>
    <w:tblStylePr w:type="firstRow">
      <w:rPr>
        <w:b/>
        <w:bCs/>
        <w:color w:val="FFFFFF" w:themeColor="background1"/>
      </w:rPr>
      <w:tblPr/>
      <w:tcPr>
        <w:tcBorders>
          <w:bottom w:val="single" w:sz="12" w:space="0" w:color="FFFFFF" w:themeColor="background1"/>
        </w:tcBorders>
        <w:shd w:val="clear" w:color="auto" w:fill="FBB108" w:themeFill="accent4" w:themeFillShade="CC"/>
      </w:tcPr>
    </w:tblStylePr>
    <w:tblStylePr w:type="lastRow">
      <w:rPr>
        <w:b/>
        <w:bCs/>
        <w:color w:val="FBB10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E1CE" w:themeFill="accent3" w:themeFillTint="3F"/>
      </w:tcPr>
    </w:tblStylePr>
    <w:tblStylePr w:type="band1Horz">
      <w:tblPr/>
      <w:tcPr>
        <w:shd w:val="clear" w:color="auto" w:fill="FCE6D8" w:themeFill="accent3" w:themeFillTint="33"/>
      </w:tcPr>
    </w:tblStylePr>
  </w:style>
  <w:style w:type="table" w:styleId="ColorfulList-Accent4">
    <w:name w:val="Colorful List Accent 4"/>
    <w:basedOn w:val="TableNormal"/>
    <w:uiPriority w:val="72"/>
    <w:semiHidden/>
    <w:rsid w:val="00EE3EB6"/>
    <w:pPr>
      <w:spacing w:line="240" w:lineRule="auto"/>
    </w:pPr>
    <w:rPr>
      <w:color w:val="000000" w:themeColor="text1"/>
    </w:rPr>
    <w:tblPr>
      <w:tblStyleRowBandSize w:val="1"/>
      <w:tblStyleColBandSize w:val="1"/>
    </w:tblPr>
    <w:tcPr>
      <w:shd w:val="clear" w:color="auto" w:fill="FEF9EC" w:themeFill="accent4" w:themeFillTint="19"/>
    </w:tcPr>
    <w:tblStylePr w:type="firstRow">
      <w:rPr>
        <w:b/>
        <w:bCs/>
        <w:color w:val="FFFFFF" w:themeColor="background1"/>
      </w:rPr>
      <w:tblPr/>
      <w:tcPr>
        <w:tcBorders>
          <w:bottom w:val="single" w:sz="12" w:space="0" w:color="FFFFFF" w:themeColor="background1"/>
        </w:tcBorders>
        <w:shd w:val="clear" w:color="auto" w:fill="E16510" w:themeFill="accent3" w:themeFillShade="CC"/>
      </w:tcPr>
    </w:tblStylePr>
    <w:tblStylePr w:type="lastRow">
      <w:rPr>
        <w:b/>
        <w:bCs/>
        <w:color w:val="E1651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0D1" w:themeFill="accent4" w:themeFillTint="3F"/>
      </w:tcPr>
    </w:tblStylePr>
    <w:tblStylePr w:type="band1Horz">
      <w:tblPr/>
      <w:tcPr>
        <w:shd w:val="clear" w:color="auto" w:fill="FEF3DA" w:themeFill="accent4" w:themeFillTint="33"/>
      </w:tcPr>
    </w:tblStylePr>
  </w:style>
  <w:style w:type="table" w:styleId="ColorfulList-Accent5">
    <w:name w:val="Colorful List Accent 5"/>
    <w:basedOn w:val="TableNormal"/>
    <w:uiPriority w:val="72"/>
    <w:semiHidden/>
    <w:rsid w:val="00EE3EB6"/>
    <w:pPr>
      <w:spacing w:line="240" w:lineRule="auto"/>
    </w:pPr>
    <w:rPr>
      <w:color w:val="000000" w:themeColor="text1"/>
    </w:rPr>
    <w:tblPr>
      <w:tblStyleRowBandSize w:val="1"/>
      <w:tblStyleColBandSize w:val="1"/>
    </w:tblPr>
    <w:tcPr>
      <w:shd w:val="clear" w:color="auto" w:fill="F3F8EE" w:themeFill="accent5" w:themeFillTint="19"/>
    </w:tcPr>
    <w:tblStylePr w:type="firstRow">
      <w:rPr>
        <w:b/>
        <w:bCs/>
        <w:color w:val="FFFFFF" w:themeColor="background1"/>
      </w:rPr>
      <w:tblPr/>
      <w:tcPr>
        <w:tcBorders>
          <w:bottom w:val="single" w:sz="12" w:space="0" w:color="FFFFFF" w:themeColor="background1"/>
        </w:tcBorders>
        <w:shd w:val="clear" w:color="auto" w:fill="606768" w:themeFill="accent6" w:themeFillShade="CC"/>
      </w:tcPr>
    </w:tblStylePr>
    <w:tblStylePr w:type="lastRow">
      <w:rPr>
        <w:b/>
        <w:bCs/>
        <w:color w:val="60676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EFD5" w:themeFill="accent5" w:themeFillTint="3F"/>
      </w:tcPr>
    </w:tblStylePr>
    <w:tblStylePr w:type="band1Horz">
      <w:tblPr/>
      <w:tcPr>
        <w:shd w:val="clear" w:color="auto" w:fill="E6F2DD" w:themeFill="accent5" w:themeFillTint="33"/>
      </w:tcPr>
    </w:tblStylePr>
  </w:style>
  <w:style w:type="table" w:styleId="ColorfulList-Accent6">
    <w:name w:val="Colorful List Accent 6"/>
    <w:basedOn w:val="TableNormal"/>
    <w:uiPriority w:val="72"/>
    <w:semiHidden/>
    <w:rsid w:val="00EE3EB6"/>
    <w:pPr>
      <w:spacing w:line="240" w:lineRule="auto"/>
    </w:pPr>
    <w:rPr>
      <w:color w:val="000000" w:themeColor="text1"/>
    </w:rPr>
    <w:tblPr>
      <w:tblStyleRowBandSize w:val="1"/>
      <w:tblStyleColBandSize w:val="1"/>
    </w:tblPr>
    <w:tcPr>
      <w:shd w:val="clear" w:color="auto" w:fill="F1F2F2" w:themeFill="accent6" w:themeFillTint="19"/>
    </w:tcPr>
    <w:tblStylePr w:type="firstRow">
      <w:rPr>
        <w:b/>
        <w:bCs/>
        <w:color w:val="FFFFFF" w:themeColor="background1"/>
      </w:rPr>
      <w:tblPr/>
      <w:tcPr>
        <w:tcBorders>
          <w:bottom w:val="single" w:sz="12" w:space="0" w:color="FFFFFF" w:themeColor="background1"/>
        </w:tcBorders>
        <w:shd w:val="clear" w:color="auto" w:fill="6A9F3D" w:themeFill="accent5" w:themeFillShade="CC"/>
      </w:tcPr>
    </w:tblStylePr>
    <w:tblStylePr w:type="lastRow">
      <w:rPr>
        <w:b/>
        <w:bCs/>
        <w:color w:val="6A9F3D"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DFE0" w:themeFill="accent6" w:themeFillTint="3F"/>
      </w:tcPr>
    </w:tblStylePr>
    <w:tblStylePr w:type="band1Horz">
      <w:tblPr/>
      <w:tcPr>
        <w:shd w:val="clear" w:color="auto" w:fill="E3E5E6" w:themeFill="accent6" w:themeFillTint="33"/>
      </w:tcPr>
    </w:tblStylePr>
  </w:style>
  <w:style w:type="table" w:styleId="ColorfulShading">
    <w:name w:val="Colorful Shading"/>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8D487F" w:themeColor="accent1"/>
        <w:bottom w:val="single" w:sz="4" w:space="0" w:color="8D487F" w:themeColor="accent1"/>
        <w:right w:val="single" w:sz="4" w:space="0" w:color="8D487F" w:themeColor="accent1"/>
        <w:insideH w:val="single" w:sz="4" w:space="0" w:color="FFFFFF" w:themeColor="background1"/>
        <w:insideV w:val="single" w:sz="4" w:space="0" w:color="FFFFFF" w:themeColor="background1"/>
      </w:tblBorders>
    </w:tblPr>
    <w:tcPr>
      <w:shd w:val="clear" w:color="auto" w:fill="F5EBF3" w:themeFill="accent1"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2B4B" w:themeFill="accent1" w:themeFillShade="99"/>
      </w:tcPr>
    </w:tblStylePr>
    <w:tblStylePr w:type="firstCol">
      <w:rPr>
        <w:color w:val="FFFFFF" w:themeColor="background1"/>
      </w:rPr>
      <w:tblPr/>
      <w:tcPr>
        <w:tcBorders>
          <w:top w:val="nil"/>
          <w:left w:val="nil"/>
          <w:bottom w:val="nil"/>
          <w:right w:val="nil"/>
          <w:insideH w:val="single" w:sz="4" w:space="0" w:color="542B4B" w:themeColor="accent1" w:themeShade="99"/>
          <w:insideV w:val="nil"/>
        </w:tcBorders>
        <w:shd w:val="clear" w:color="auto" w:fill="542B4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542B4B" w:themeFill="accent1" w:themeFillShade="99"/>
      </w:tcPr>
    </w:tblStylePr>
    <w:tblStylePr w:type="band1Vert">
      <w:tblPr/>
      <w:tcPr>
        <w:shd w:val="clear" w:color="auto" w:fill="D6B0CE" w:themeFill="accent1" w:themeFillTint="66"/>
      </w:tcPr>
    </w:tblStylePr>
    <w:tblStylePr w:type="band1Horz">
      <w:tblPr/>
      <w:tcPr>
        <w:shd w:val="clear" w:color="auto" w:fill="CD9DC3"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EE3EB6"/>
    <w:pPr>
      <w:spacing w:line="240" w:lineRule="auto"/>
    </w:pPr>
    <w:rPr>
      <w:color w:val="000000" w:themeColor="text1"/>
    </w:rPr>
    <w:tblPr>
      <w:tblStyleRowBandSize w:val="1"/>
      <w:tblStyleColBandSize w:val="1"/>
      <w:tblBorders>
        <w:top w:val="single" w:sz="24" w:space="0" w:color="C64E45" w:themeColor="accent2"/>
        <w:left w:val="single" w:sz="4" w:space="0" w:color="C64E45" w:themeColor="accent2"/>
        <w:bottom w:val="single" w:sz="4" w:space="0" w:color="C64E45" w:themeColor="accent2"/>
        <w:right w:val="single" w:sz="4" w:space="0" w:color="C64E45" w:themeColor="accent2"/>
        <w:insideH w:val="single" w:sz="4" w:space="0" w:color="FFFFFF" w:themeColor="background1"/>
        <w:insideV w:val="single" w:sz="4" w:space="0" w:color="FFFFFF" w:themeColor="background1"/>
      </w:tblBorders>
    </w:tblPr>
    <w:tcPr>
      <w:shd w:val="clear" w:color="auto" w:fill="F9EDEC" w:themeFill="accent2" w:themeFillTint="19"/>
    </w:tcPr>
    <w:tblStylePr w:type="firstRow">
      <w:rPr>
        <w:b/>
        <w:bCs/>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2B25" w:themeFill="accent2" w:themeFillShade="99"/>
      </w:tcPr>
    </w:tblStylePr>
    <w:tblStylePr w:type="firstCol">
      <w:rPr>
        <w:color w:val="FFFFFF" w:themeColor="background1"/>
      </w:rPr>
      <w:tblPr/>
      <w:tcPr>
        <w:tcBorders>
          <w:top w:val="nil"/>
          <w:left w:val="nil"/>
          <w:bottom w:val="nil"/>
          <w:right w:val="nil"/>
          <w:insideH w:val="single" w:sz="4" w:space="0" w:color="7A2B25" w:themeColor="accent2" w:themeShade="99"/>
          <w:insideV w:val="nil"/>
        </w:tcBorders>
        <w:shd w:val="clear" w:color="auto" w:fill="7A2B2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A2B25" w:themeFill="accent2" w:themeFillShade="99"/>
      </w:tcPr>
    </w:tblStylePr>
    <w:tblStylePr w:type="band1Vert">
      <w:tblPr/>
      <w:tcPr>
        <w:shd w:val="clear" w:color="auto" w:fill="E8B7B4" w:themeFill="accent2" w:themeFillTint="66"/>
      </w:tcPr>
    </w:tblStylePr>
    <w:tblStylePr w:type="band1Horz">
      <w:tblPr/>
      <w:tcPr>
        <w:shd w:val="clear" w:color="auto" w:fill="E2A6A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EE3EB6"/>
    <w:pPr>
      <w:spacing w:line="240" w:lineRule="auto"/>
    </w:pPr>
    <w:rPr>
      <w:color w:val="000000" w:themeColor="text1"/>
    </w:rPr>
    <w:tblPr>
      <w:tblStyleRowBandSize w:val="1"/>
      <w:tblStyleColBandSize w:val="1"/>
      <w:tblBorders>
        <w:top w:val="single" w:sz="24" w:space="0" w:color="FCC648" w:themeColor="accent4"/>
        <w:left w:val="single" w:sz="4" w:space="0" w:color="F1873D" w:themeColor="accent3"/>
        <w:bottom w:val="single" w:sz="4" w:space="0" w:color="F1873D" w:themeColor="accent3"/>
        <w:right w:val="single" w:sz="4" w:space="0" w:color="F1873D" w:themeColor="accent3"/>
        <w:insideH w:val="single" w:sz="4" w:space="0" w:color="FFFFFF" w:themeColor="background1"/>
        <w:insideV w:val="single" w:sz="4" w:space="0" w:color="FFFFFF" w:themeColor="background1"/>
      </w:tblBorders>
    </w:tblPr>
    <w:tcPr>
      <w:shd w:val="clear" w:color="auto" w:fill="FDF3EB" w:themeFill="accent3" w:themeFillTint="19"/>
    </w:tcPr>
    <w:tblStylePr w:type="firstRow">
      <w:rPr>
        <w:b/>
        <w:bCs/>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4C0C" w:themeFill="accent3" w:themeFillShade="99"/>
      </w:tcPr>
    </w:tblStylePr>
    <w:tblStylePr w:type="firstCol">
      <w:rPr>
        <w:color w:val="FFFFFF" w:themeColor="background1"/>
      </w:rPr>
      <w:tblPr/>
      <w:tcPr>
        <w:tcBorders>
          <w:top w:val="nil"/>
          <w:left w:val="nil"/>
          <w:bottom w:val="nil"/>
          <w:right w:val="nil"/>
          <w:insideH w:val="single" w:sz="4" w:space="0" w:color="A84C0C" w:themeColor="accent3" w:themeShade="99"/>
          <w:insideV w:val="nil"/>
        </w:tcBorders>
        <w:shd w:val="clear" w:color="auto" w:fill="A84C0C"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A84C0C" w:themeFill="accent3" w:themeFillShade="99"/>
      </w:tcPr>
    </w:tblStylePr>
    <w:tblStylePr w:type="band1Vert">
      <w:tblPr/>
      <w:tcPr>
        <w:shd w:val="clear" w:color="auto" w:fill="F9CEB1" w:themeFill="accent3" w:themeFillTint="66"/>
      </w:tcPr>
    </w:tblStylePr>
    <w:tblStylePr w:type="band1Horz">
      <w:tblPr/>
      <w:tcPr>
        <w:shd w:val="clear" w:color="auto" w:fill="F8C29E" w:themeFill="accent3" w:themeFillTint="7F"/>
      </w:tcPr>
    </w:tblStylePr>
  </w:style>
  <w:style w:type="table" w:styleId="ColorfulShading-Accent4">
    <w:name w:val="Colorful Shading Accent 4"/>
    <w:basedOn w:val="TableNormal"/>
    <w:uiPriority w:val="71"/>
    <w:semiHidden/>
    <w:rsid w:val="00EE3EB6"/>
    <w:pPr>
      <w:spacing w:line="240" w:lineRule="auto"/>
    </w:pPr>
    <w:rPr>
      <w:color w:val="000000" w:themeColor="text1"/>
    </w:rPr>
    <w:tblPr>
      <w:tblStyleRowBandSize w:val="1"/>
      <w:tblStyleColBandSize w:val="1"/>
      <w:tblBorders>
        <w:top w:val="single" w:sz="24" w:space="0" w:color="F1873D" w:themeColor="accent3"/>
        <w:left w:val="single" w:sz="4" w:space="0" w:color="FCC648" w:themeColor="accent4"/>
        <w:bottom w:val="single" w:sz="4" w:space="0" w:color="FCC648" w:themeColor="accent4"/>
        <w:right w:val="single" w:sz="4" w:space="0" w:color="FCC648" w:themeColor="accent4"/>
        <w:insideH w:val="single" w:sz="4" w:space="0" w:color="FFFFFF" w:themeColor="background1"/>
        <w:insideV w:val="single" w:sz="4" w:space="0" w:color="FFFFFF" w:themeColor="background1"/>
      </w:tblBorders>
    </w:tblPr>
    <w:tcPr>
      <w:shd w:val="clear" w:color="auto" w:fill="FEF9EC" w:themeFill="accent4" w:themeFillTint="19"/>
    </w:tcPr>
    <w:tblStylePr w:type="firstRow">
      <w:rPr>
        <w:b/>
        <w:bCs/>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F8603" w:themeFill="accent4" w:themeFillShade="99"/>
      </w:tcPr>
    </w:tblStylePr>
    <w:tblStylePr w:type="firstCol">
      <w:rPr>
        <w:color w:val="FFFFFF" w:themeColor="background1"/>
      </w:rPr>
      <w:tblPr/>
      <w:tcPr>
        <w:tcBorders>
          <w:top w:val="nil"/>
          <w:left w:val="nil"/>
          <w:bottom w:val="nil"/>
          <w:right w:val="nil"/>
          <w:insideH w:val="single" w:sz="4" w:space="0" w:color="BF8603" w:themeColor="accent4" w:themeShade="99"/>
          <w:insideV w:val="nil"/>
        </w:tcBorders>
        <w:shd w:val="clear" w:color="auto" w:fill="BF860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BF8603" w:themeFill="accent4" w:themeFillShade="99"/>
      </w:tcPr>
    </w:tblStylePr>
    <w:tblStylePr w:type="band1Vert">
      <w:tblPr/>
      <w:tcPr>
        <w:shd w:val="clear" w:color="auto" w:fill="FDE7B5" w:themeFill="accent4" w:themeFillTint="66"/>
      </w:tcPr>
    </w:tblStylePr>
    <w:tblStylePr w:type="band1Horz">
      <w:tblPr/>
      <w:tcPr>
        <w:shd w:val="clear" w:color="auto" w:fill="FDE2A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EE3EB6"/>
    <w:pPr>
      <w:spacing w:line="240" w:lineRule="auto"/>
    </w:pPr>
    <w:rPr>
      <w:color w:val="000000" w:themeColor="text1"/>
    </w:rPr>
    <w:tblPr>
      <w:tblStyleRowBandSize w:val="1"/>
      <w:tblStyleColBandSize w:val="1"/>
      <w:tblBorders>
        <w:top w:val="single" w:sz="24" w:space="0" w:color="788183" w:themeColor="accent6"/>
        <w:left w:val="single" w:sz="4" w:space="0" w:color="86BE57" w:themeColor="accent5"/>
        <w:bottom w:val="single" w:sz="4" w:space="0" w:color="86BE57" w:themeColor="accent5"/>
        <w:right w:val="single" w:sz="4" w:space="0" w:color="86BE57" w:themeColor="accent5"/>
        <w:insideH w:val="single" w:sz="4" w:space="0" w:color="FFFFFF" w:themeColor="background1"/>
        <w:insideV w:val="single" w:sz="4" w:space="0" w:color="FFFFFF" w:themeColor="background1"/>
      </w:tblBorders>
    </w:tblPr>
    <w:tcPr>
      <w:shd w:val="clear" w:color="auto" w:fill="F3F8EE" w:themeFill="accent5" w:themeFillTint="19"/>
    </w:tcPr>
    <w:tblStylePr w:type="firstRow">
      <w:rPr>
        <w:b/>
        <w:bCs/>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772E" w:themeFill="accent5" w:themeFillShade="99"/>
      </w:tcPr>
    </w:tblStylePr>
    <w:tblStylePr w:type="firstCol">
      <w:rPr>
        <w:color w:val="FFFFFF" w:themeColor="background1"/>
      </w:rPr>
      <w:tblPr/>
      <w:tcPr>
        <w:tcBorders>
          <w:top w:val="nil"/>
          <w:left w:val="nil"/>
          <w:bottom w:val="nil"/>
          <w:right w:val="nil"/>
          <w:insideH w:val="single" w:sz="4" w:space="0" w:color="4F772E" w:themeColor="accent5" w:themeShade="99"/>
          <w:insideV w:val="nil"/>
        </w:tcBorders>
        <w:shd w:val="clear" w:color="auto" w:fill="4F772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F772E" w:themeFill="accent5" w:themeFillShade="99"/>
      </w:tcPr>
    </w:tblStylePr>
    <w:tblStylePr w:type="band1Vert">
      <w:tblPr/>
      <w:tcPr>
        <w:shd w:val="clear" w:color="auto" w:fill="CEE5BB" w:themeFill="accent5" w:themeFillTint="66"/>
      </w:tcPr>
    </w:tblStylePr>
    <w:tblStylePr w:type="band1Horz">
      <w:tblPr/>
      <w:tcPr>
        <w:shd w:val="clear" w:color="auto" w:fill="C2DEAB"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EE3EB6"/>
    <w:pPr>
      <w:spacing w:line="240" w:lineRule="auto"/>
    </w:pPr>
    <w:rPr>
      <w:color w:val="000000" w:themeColor="text1"/>
    </w:rPr>
    <w:tblPr>
      <w:tblStyleRowBandSize w:val="1"/>
      <w:tblStyleColBandSize w:val="1"/>
      <w:tblBorders>
        <w:top w:val="single" w:sz="24" w:space="0" w:color="86BE57" w:themeColor="accent5"/>
        <w:left w:val="single" w:sz="4" w:space="0" w:color="788183" w:themeColor="accent6"/>
        <w:bottom w:val="single" w:sz="4" w:space="0" w:color="788183" w:themeColor="accent6"/>
        <w:right w:val="single" w:sz="4" w:space="0" w:color="788183" w:themeColor="accent6"/>
        <w:insideH w:val="single" w:sz="4" w:space="0" w:color="FFFFFF" w:themeColor="background1"/>
        <w:insideV w:val="single" w:sz="4" w:space="0" w:color="FFFFFF" w:themeColor="background1"/>
      </w:tblBorders>
    </w:tblPr>
    <w:tcPr>
      <w:shd w:val="clear" w:color="auto" w:fill="F1F2F2" w:themeFill="accent6" w:themeFillTint="19"/>
    </w:tcPr>
    <w:tblStylePr w:type="firstRow">
      <w:rPr>
        <w:b/>
        <w:bCs/>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D4E" w:themeFill="accent6" w:themeFillShade="99"/>
      </w:tcPr>
    </w:tblStylePr>
    <w:tblStylePr w:type="firstCol">
      <w:rPr>
        <w:color w:val="FFFFFF" w:themeColor="background1"/>
      </w:rPr>
      <w:tblPr/>
      <w:tcPr>
        <w:tcBorders>
          <w:top w:val="nil"/>
          <w:left w:val="nil"/>
          <w:bottom w:val="nil"/>
          <w:right w:val="nil"/>
          <w:insideH w:val="single" w:sz="4" w:space="0" w:color="484D4E" w:themeColor="accent6" w:themeShade="99"/>
          <w:insideV w:val="nil"/>
        </w:tcBorders>
        <w:shd w:val="clear" w:color="auto" w:fill="484D4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D4E" w:themeFill="accent6" w:themeFillShade="99"/>
      </w:tcPr>
    </w:tblStylePr>
    <w:tblStylePr w:type="band1Vert">
      <w:tblPr/>
      <w:tcPr>
        <w:shd w:val="clear" w:color="auto" w:fill="C8CCCD" w:themeFill="accent6" w:themeFillTint="66"/>
      </w:tcPr>
    </w:tblStylePr>
    <w:tblStylePr w:type="band1Horz">
      <w:tblPr/>
      <w:tcPr>
        <w:shd w:val="clear" w:color="auto" w:fill="BBC0C1"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EE3EB6"/>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EE3EB6"/>
    <w:pPr>
      <w:spacing w:line="240" w:lineRule="auto"/>
    </w:pPr>
    <w:rPr>
      <w:color w:val="FFFFFF" w:themeColor="background1"/>
    </w:rPr>
    <w:tblPr>
      <w:tblStyleRowBandSize w:val="1"/>
      <w:tblStyleColBandSize w:val="1"/>
    </w:tblPr>
    <w:tcPr>
      <w:shd w:val="clear" w:color="auto" w:fill="8D487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6243F"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69365E"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69365E" w:themeFill="accent1" w:themeFillShade="BF"/>
      </w:tcPr>
    </w:tblStylePr>
    <w:tblStylePr w:type="band1Vert">
      <w:tblPr/>
      <w:tcPr>
        <w:tcBorders>
          <w:top w:val="nil"/>
          <w:left w:val="nil"/>
          <w:bottom w:val="nil"/>
          <w:right w:val="nil"/>
          <w:insideH w:val="nil"/>
          <w:insideV w:val="nil"/>
        </w:tcBorders>
        <w:shd w:val="clear" w:color="auto" w:fill="69365E" w:themeFill="accent1" w:themeFillShade="BF"/>
      </w:tcPr>
    </w:tblStylePr>
    <w:tblStylePr w:type="band1Horz">
      <w:tblPr/>
      <w:tcPr>
        <w:tcBorders>
          <w:top w:val="nil"/>
          <w:left w:val="nil"/>
          <w:bottom w:val="nil"/>
          <w:right w:val="nil"/>
          <w:insideH w:val="nil"/>
          <w:insideV w:val="nil"/>
        </w:tcBorders>
        <w:shd w:val="clear" w:color="auto" w:fill="69365E" w:themeFill="accent1" w:themeFillShade="BF"/>
      </w:tcPr>
    </w:tblStylePr>
  </w:style>
  <w:style w:type="table" w:styleId="DarkList-Accent2">
    <w:name w:val="Dark List Accent 2"/>
    <w:basedOn w:val="TableNormal"/>
    <w:uiPriority w:val="70"/>
    <w:semiHidden/>
    <w:rsid w:val="00EE3EB6"/>
    <w:pPr>
      <w:spacing w:line="240" w:lineRule="auto"/>
    </w:pPr>
    <w:rPr>
      <w:color w:val="FFFFFF" w:themeColor="background1"/>
    </w:rPr>
    <w:tblPr>
      <w:tblStyleRowBandSize w:val="1"/>
      <w:tblStyleColBandSize w:val="1"/>
    </w:tblPr>
    <w:tcPr>
      <w:shd w:val="clear" w:color="auto" w:fill="C64E45"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523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836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8362F" w:themeFill="accent2" w:themeFillShade="BF"/>
      </w:tcPr>
    </w:tblStylePr>
    <w:tblStylePr w:type="band1Vert">
      <w:tblPr/>
      <w:tcPr>
        <w:tcBorders>
          <w:top w:val="nil"/>
          <w:left w:val="nil"/>
          <w:bottom w:val="nil"/>
          <w:right w:val="nil"/>
          <w:insideH w:val="nil"/>
          <w:insideV w:val="nil"/>
        </w:tcBorders>
        <w:shd w:val="clear" w:color="auto" w:fill="98362F" w:themeFill="accent2" w:themeFillShade="BF"/>
      </w:tcPr>
    </w:tblStylePr>
    <w:tblStylePr w:type="band1Horz">
      <w:tblPr/>
      <w:tcPr>
        <w:tcBorders>
          <w:top w:val="nil"/>
          <w:left w:val="nil"/>
          <w:bottom w:val="nil"/>
          <w:right w:val="nil"/>
          <w:insideH w:val="nil"/>
          <w:insideV w:val="nil"/>
        </w:tcBorders>
        <w:shd w:val="clear" w:color="auto" w:fill="98362F" w:themeFill="accent2" w:themeFillShade="BF"/>
      </w:tcPr>
    </w:tblStylePr>
  </w:style>
  <w:style w:type="table" w:styleId="DarkList-Accent3">
    <w:name w:val="Dark List Accent 3"/>
    <w:basedOn w:val="TableNormal"/>
    <w:uiPriority w:val="70"/>
    <w:semiHidden/>
    <w:rsid w:val="00EE3EB6"/>
    <w:pPr>
      <w:spacing w:line="240" w:lineRule="auto"/>
    </w:pPr>
    <w:rPr>
      <w:color w:val="FFFFFF" w:themeColor="background1"/>
    </w:rPr>
    <w:tblPr>
      <w:tblStyleRowBandSize w:val="1"/>
      <w:tblStyleColBandSize w:val="1"/>
    </w:tblPr>
    <w:tcPr>
      <w:shd w:val="clear" w:color="auto" w:fill="F1873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C3F0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D25E0F"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D25E0F" w:themeFill="accent3" w:themeFillShade="BF"/>
      </w:tcPr>
    </w:tblStylePr>
    <w:tblStylePr w:type="band1Vert">
      <w:tblPr/>
      <w:tcPr>
        <w:tcBorders>
          <w:top w:val="nil"/>
          <w:left w:val="nil"/>
          <w:bottom w:val="nil"/>
          <w:right w:val="nil"/>
          <w:insideH w:val="nil"/>
          <w:insideV w:val="nil"/>
        </w:tcBorders>
        <w:shd w:val="clear" w:color="auto" w:fill="D25E0F" w:themeFill="accent3" w:themeFillShade="BF"/>
      </w:tcPr>
    </w:tblStylePr>
    <w:tblStylePr w:type="band1Horz">
      <w:tblPr/>
      <w:tcPr>
        <w:tcBorders>
          <w:top w:val="nil"/>
          <w:left w:val="nil"/>
          <w:bottom w:val="nil"/>
          <w:right w:val="nil"/>
          <w:insideH w:val="nil"/>
          <w:insideV w:val="nil"/>
        </w:tcBorders>
        <w:shd w:val="clear" w:color="auto" w:fill="D25E0F" w:themeFill="accent3" w:themeFillShade="BF"/>
      </w:tcPr>
    </w:tblStylePr>
  </w:style>
  <w:style w:type="table" w:styleId="DarkList-Accent4">
    <w:name w:val="Dark List Accent 4"/>
    <w:basedOn w:val="TableNormal"/>
    <w:uiPriority w:val="70"/>
    <w:semiHidden/>
    <w:rsid w:val="00EE3EB6"/>
    <w:pPr>
      <w:spacing w:line="240" w:lineRule="auto"/>
    </w:pPr>
    <w:rPr>
      <w:color w:val="FFFFFF" w:themeColor="background1"/>
    </w:rPr>
    <w:tblPr>
      <w:tblStyleRowBandSize w:val="1"/>
      <w:tblStyleColBandSize w:val="1"/>
    </w:tblPr>
    <w:tcPr>
      <w:shd w:val="clear" w:color="auto" w:fill="FCC6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E6F0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EEA70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EEA704" w:themeFill="accent4" w:themeFillShade="BF"/>
      </w:tcPr>
    </w:tblStylePr>
    <w:tblStylePr w:type="band1Vert">
      <w:tblPr/>
      <w:tcPr>
        <w:tcBorders>
          <w:top w:val="nil"/>
          <w:left w:val="nil"/>
          <w:bottom w:val="nil"/>
          <w:right w:val="nil"/>
          <w:insideH w:val="nil"/>
          <w:insideV w:val="nil"/>
        </w:tcBorders>
        <w:shd w:val="clear" w:color="auto" w:fill="EEA704" w:themeFill="accent4" w:themeFillShade="BF"/>
      </w:tcPr>
    </w:tblStylePr>
    <w:tblStylePr w:type="band1Horz">
      <w:tblPr/>
      <w:tcPr>
        <w:tcBorders>
          <w:top w:val="nil"/>
          <w:left w:val="nil"/>
          <w:bottom w:val="nil"/>
          <w:right w:val="nil"/>
          <w:insideH w:val="nil"/>
          <w:insideV w:val="nil"/>
        </w:tcBorders>
        <w:shd w:val="clear" w:color="auto" w:fill="EEA704" w:themeFill="accent4" w:themeFillShade="BF"/>
      </w:tcPr>
    </w:tblStylePr>
  </w:style>
  <w:style w:type="table" w:styleId="DarkList-Accent5">
    <w:name w:val="Dark List Accent 5"/>
    <w:basedOn w:val="TableNormal"/>
    <w:uiPriority w:val="70"/>
    <w:semiHidden/>
    <w:rsid w:val="00EE3EB6"/>
    <w:pPr>
      <w:spacing w:line="240" w:lineRule="auto"/>
    </w:pPr>
    <w:rPr>
      <w:color w:val="FFFFFF" w:themeColor="background1"/>
    </w:rPr>
    <w:tblPr>
      <w:tblStyleRowBandSize w:val="1"/>
      <w:tblStyleColBandSize w:val="1"/>
    </w:tblPr>
    <w:tcPr>
      <w:shd w:val="clear" w:color="auto" w:fill="86BE57"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632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63953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63953A" w:themeFill="accent5" w:themeFillShade="BF"/>
      </w:tcPr>
    </w:tblStylePr>
    <w:tblStylePr w:type="band1Vert">
      <w:tblPr/>
      <w:tcPr>
        <w:tcBorders>
          <w:top w:val="nil"/>
          <w:left w:val="nil"/>
          <w:bottom w:val="nil"/>
          <w:right w:val="nil"/>
          <w:insideH w:val="nil"/>
          <w:insideV w:val="nil"/>
        </w:tcBorders>
        <w:shd w:val="clear" w:color="auto" w:fill="63953A" w:themeFill="accent5" w:themeFillShade="BF"/>
      </w:tcPr>
    </w:tblStylePr>
    <w:tblStylePr w:type="band1Horz">
      <w:tblPr/>
      <w:tcPr>
        <w:tcBorders>
          <w:top w:val="nil"/>
          <w:left w:val="nil"/>
          <w:bottom w:val="nil"/>
          <w:right w:val="nil"/>
          <w:insideH w:val="nil"/>
          <w:insideV w:val="nil"/>
        </w:tcBorders>
        <w:shd w:val="clear" w:color="auto" w:fill="63953A" w:themeFill="accent5" w:themeFillShade="BF"/>
      </w:tcPr>
    </w:tblStylePr>
  </w:style>
  <w:style w:type="table" w:styleId="DarkList-Accent6">
    <w:name w:val="Dark List Accent 6"/>
    <w:basedOn w:val="TableNormal"/>
    <w:uiPriority w:val="70"/>
    <w:semiHidden/>
    <w:rsid w:val="00EE3EB6"/>
    <w:pPr>
      <w:spacing w:line="240" w:lineRule="auto"/>
    </w:pPr>
    <w:rPr>
      <w:color w:val="FFFFFF" w:themeColor="background1"/>
    </w:rPr>
    <w:tblPr>
      <w:tblStyleRowBandSize w:val="1"/>
      <w:tblStyleColBandSize w:val="1"/>
    </w:tblPr>
    <w:tcPr>
      <w:shd w:val="clear" w:color="auto" w:fill="78818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404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06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062" w:themeFill="accent6" w:themeFillShade="BF"/>
      </w:tcPr>
    </w:tblStylePr>
    <w:tblStylePr w:type="band1Vert">
      <w:tblPr/>
      <w:tcPr>
        <w:tcBorders>
          <w:top w:val="nil"/>
          <w:left w:val="nil"/>
          <w:bottom w:val="nil"/>
          <w:right w:val="nil"/>
          <w:insideH w:val="nil"/>
          <w:insideV w:val="nil"/>
        </w:tcBorders>
        <w:shd w:val="clear" w:color="auto" w:fill="5A6062" w:themeFill="accent6" w:themeFillShade="BF"/>
      </w:tcPr>
    </w:tblStylePr>
    <w:tblStylePr w:type="band1Horz">
      <w:tblPr/>
      <w:tcPr>
        <w:tcBorders>
          <w:top w:val="nil"/>
          <w:left w:val="nil"/>
          <w:bottom w:val="nil"/>
          <w:right w:val="nil"/>
          <w:insideH w:val="nil"/>
          <w:insideV w:val="nil"/>
        </w:tcBorders>
        <w:shd w:val="clear" w:color="auto" w:fill="5A6062" w:themeFill="accent6" w:themeFillShade="BF"/>
      </w:tcPr>
    </w:tblStylePr>
  </w:style>
  <w:style w:type="table" w:customStyle="1" w:styleId="GridTable1Light">
    <w:name w:val="Grid Table 1 Light"/>
    <w:basedOn w:val="TableNormal"/>
    <w:uiPriority w:val="46"/>
    <w:semiHidden/>
    <w:rsid w:val="00EE3EB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semiHidden/>
    <w:rsid w:val="00EE3EB6"/>
    <w:pPr>
      <w:spacing w:line="240" w:lineRule="auto"/>
    </w:pPr>
    <w:tblPr>
      <w:tblStyleRowBandSize w:val="1"/>
      <w:tblStyleColBandSize w:val="1"/>
      <w:tblBorders>
        <w:top w:val="single" w:sz="4" w:space="0" w:color="D6B0CE" w:themeColor="accent1" w:themeTint="66"/>
        <w:left w:val="single" w:sz="4" w:space="0" w:color="D6B0CE" w:themeColor="accent1" w:themeTint="66"/>
        <w:bottom w:val="single" w:sz="4" w:space="0" w:color="D6B0CE" w:themeColor="accent1" w:themeTint="66"/>
        <w:right w:val="single" w:sz="4" w:space="0" w:color="D6B0CE" w:themeColor="accent1" w:themeTint="66"/>
        <w:insideH w:val="single" w:sz="4" w:space="0" w:color="D6B0CE" w:themeColor="accent1" w:themeTint="66"/>
        <w:insideV w:val="single" w:sz="4" w:space="0" w:color="D6B0CE" w:themeColor="accent1" w:themeTint="66"/>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2" w:space="0" w:color="C288B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semiHidden/>
    <w:rsid w:val="00EE3EB6"/>
    <w:pPr>
      <w:spacing w:line="240" w:lineRule="auto"/>
    </w:pPr>
    <w:tblPr>
      <w:tblStyleRowBandSize w:val="1"/>
      <w:tblStyleColBandSize w:val="1"/>
      <w:tblBorders>
        <w:top w:val="single" w:sz="4" w:space="0" w:color="E8B7B4" w:themeColor="accent2" w:themeTint="66"/>
        <w:left w:val="single" w:sz="4" w:space="0" w:color="E8B7B4" w:themeColor="accent2" w:themeTint="66"/>
        <w:bottom w:val="single" w:sz="4" w:space="0" w:color="E8B7B4" w:themeColor="accent2" w:themeTint="66"/>
        <w:right w:val="single" w:sz="4" w:space="0" w:color="E8B7B4" w:themeColor="accent2" w:themeTint="66"/>
        <w:insideH w:val="single" w:sz="4" w:space="0" w:color="E8B7B4" w:themeColor="accent2" w:themeTint="66"/>
        <w:insideV w:val="single" w:sz="4" w:space="0" w:color="E8B7B4" w:themeColor="accent2" w:themeTint="66"/>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2" w:space="0" w:color="DC948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semiHidden/>
    <w:rsid w:val="00EE3EB6"/>
    <w:pPr>
      <w:spacing w:line="240" w:lineRule="auto"/>
    </w:pPr>
    <w:tblPr>
      <w:tblStyleRowBandSize w:val="1"/>
      <w:tblStyleColBandSize w:val="1"/>
      <w:tblBorders>
        <w:top w:val="single" w:sz="4" w:space="0" w:color="F9CEB1" w:themeColor="accent3" w:themeTint="66"/>
        <w:left w:val="single" w:sz="4" w:space="0" w:color="F9CEB1" w:themeColor="accent3" w:themeTint="66"/>
        <w:bottom w:val="single" w:sz="4" w:space="0" w:color="F9CEB1" w:themeColor="accent3" w:themeTint="66"/>
        <w:right w:val="single" w:sz="4" w:space="0" w:color="F9CEB1" w:themeColor="accent3" w:themeTint="66"/>
        <w:insideH w:val="single" w:sz="4" w:space="0" w:color="F9CEB1" w:themeColor="accent3" w:themeTint="66"/>
        <w:insideV w:val="single" w:sz="4" w:space="0" w:color="F9CEB1" w:themeColor="accent3" w:themeTint="66"/>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2" w:space="0" w:color="F6B68A"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semiHidden/>
    <w:rsid w:val="00EE3EB6"/>
    <w:pPr>
      <w:spacing w:line="240" w:lineRule="auto"/>
    </w:pPr>
    <w:tblPr>
      <w:tblStyleRowBandSize w:val="1"/>
      <w:tblStyleColBandSize w:val="1"/>
      <w:tblBorders>
        <w:top w:val="single" w:sz="4" w:space="0" w:color="FDE7B5" w:themeColor="accent4" w:themeTint="66"/>
        <w:left w:val="single" w:sz="4" w:space="0" w:color="FDE7B5" w:themeColor="accent4" w:themeTint="66"/>
        <w:bottom w:val="single" w:sz="4" w:space="0" w:color="FDE7B5" w:themeColor="accent4" w:themeTint="66"/>
        <w:right w:val="single" w:sz="4" w:space="0" w:color="FDE7B5" w:themeColor="accent4" w:themeTint="66"/>
        <w:insideH w:val="single" w:sz="4" w:space="0" w:color="FDE7B5" w:themeColor="accent4" w:themeTint="66"/>
        <w:insideV w:val="single" w:sz="4" w:space="0" w:color="FDE7B5" w:themeColor="accent4" w:themeTint="66"/>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2" w:space="0" w:color="FDDC91"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semiHidden/>
    <w:rsid w:val="00EE3EB6"/>
    <w:pPr>
      <w:spacing w:line="240" w:lineRule="auto"/>
    </w:pPr>
    <w:tblPr>
      <w:tblStyleRowBandSize w:val="1"/>
      <w:tblStyleColBandSize w:val="1"/>
      <w:tblBorders>
        <w:top w:val="single" w:sz="4" w:space="0" w:color="CEE5BB" w:themeColor="accent5" w:themeTint="66"/>
        <w:left w:val="single" w:sz="4" w:space="0" w:color="CEE5BB" w:themeColor="accent5" w:themeTint="66"/>
        <w:bottom w:val="single" w:sz="4" w:space="0" w:color="CEE5BB" w:themeColor="accent5" w:themeTint="66"/>
        <w:right w:val="single" w:sz="4" w:space="0" w:color="CEE5BB" w:themeColor="accent5" w:themeTint="66"/>
        <w:insideH w:val="single" w:sz="4" w:space="0" w:color="CEE5BB" w:themeColor="accent5" w:themeTint="66"/>
        <w:insideV w:val="single" w:sz="4" w:space="0" w:color="CEE5BB" w:themeColor="accent5" w:themeTint="66"/>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2" w:space="0" w:color="B6D89A"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semiHidden/>
    <w:rsid w:val="00EE3EB6"/>
    <w:pPr>
      <w:spacing w:line="240" w:lineRule="auto"/>
    </w:pPr>
    <w:tblPr>
      <w:tblStyleRowBandSize w:val="1"/>
      <w:tblStyleColBandSize w:val="1"/>
      <w:tblBorders>
        <w:top w:val="single" w:sz="4" w:space="0" w:color="C8CCCD" w:themeColor="accent6" w:themeTint="66"/>
        <w:left w:val="single" w:sz="4" w:space="0" w:color="C8CCCD" w:themeColor="accent6" w:themeTint="66"/>
        <w:bottom w:val="single" w:sz="4" w:space="0" w:color="C8CCCD" w:themeColor="accent6" w:themeTint="66"/>
        <w:right w:val="single" w:sz="4" w:space="0" w:color="C8CCCD" w:themeColor="accent6" w:themeTint="66"/>
        <w:insideH w:val="single" w:sz="4" w:space="0" w:color="C8CCCD" w:themeColor="accent6" w:themeTint="66"/>
        <w:insideV w:val="single" w:sz="4" w:space="0" w:color="C8CCCD" w:themeColor="accent6" w:themeTint="66"/>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2" w:space="0" w:color="ADB3B4"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semiHidden/>
    <w:rsid w:val="00EE3EB6"/>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semiHidden/>
    <w:rsid w:val="00EE3EB6"/>
    <w:pPr>
      <w:spacing w:line="240" w:lineRule="auto"/>
    </w:pPr>
    <w:tblPr>
      <w:tblStyleRowBandSize w:val="1"/>
      <w:tblStyleColBandSize w:val="1"/>
      <w:tblBorders>
        <w:top w:val="single" w:sz="2" w:space="0" w:color="C288B7" w:themeColor="accent1" w:themeTint="99"/>
        <w:bottom w:val="single" w:sz="2" w:space="0" w:color="C288B7" w:themeColor="accent1" w:themeTint="99"/>
        <w:insideH w:val="single" w:sz="2" w:space="0" w:color="C288B7" w:themeColor="accent1" w:themeTint="99"/>
        <w:insideV w:val="single" w:sz="2" w:space="0" w:color="C288B7" w:themeColor="accent1" w:themeTint="99"/>
      </w:tblBorders>
    </w:tblPr>
    <w:tblStylePr w:type="firstRow">
      <w:rPr>
        <w:b/>
        <w:bCs/>
      </w:rPr>
      <w:tblPr/>
      <w:tcPr>
        <w:tcBorders>
          <w:top w:val="nil"/>
          <w:bottom w:val="single" w:sz="12" w:space="0" w:color="C288B7" w:themeColor="accent1" w:themeTint="99"/>
          <w:insideH w:val="nil"/>
          <w:insideV w:val="nil"/>
        </w:tcBorders>
        <w:shd w:val="clear" w:color="auto" w:fill="FFFFFF" w:themeFill="background1"/>
      </w:tcPr>
    </w:tblStylePr>
    <w:tblStylePr w:type="lastRow">
      <w:rPr>
        <w:b/>
        <w:bCs/>
      </w:rPr>
      <w:tblPr/>
      <w:tcPr>
        <w:tcBorders>
          <w:top w:val="double" w:sz="2" w:space="0" w:color="C288B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2Accent2">
    <w:name w:val="Grid Table 2 Accent 2"/>
    <w:basedOn w:val="TableNormal"/>
    <w:uiPriority w:val="47"/>
    <w:semiHidden/>
    <w:rsid w:val="00EE3EB6"/>
    <w:pPr>
      <w:spacing w:line="240" w:lineRule="auto"/>
    </w:pPr>
    <w:tblPr>
      <w:tblStyleRowBandSize w:val="1"/>
      <w:tblStyleColBandSize w:val="1"/>
      <w:tblBorders>
        <w:top w:val="single" w:sz="2" w:space="0" w:color="DC948F" w:themeColor="accent2" w:themeTint="99"/>
        <w:bottom w:val="single" w:sz="2" w:space="0" w:color="DC948F" w:themeColor="accent2" w:themeTint="99"/>
        <w:insideH w:val="single" w:sz="2" w:space="0" w:color="DC948F" w:themeColor="accent2" w:themeTint="99"/>
        <w:insideV w:val="single" w:sz="2" w:space="0" w:color="DC948F" w:themeColor="accent2" w:themeTint="99"/>
      </w:tblBorders>
    </w:tblPr>
    <w:tblStylePr w:type="firstRow">
      <w:rPr>
        <w:b/>
        <w:bCs/>
      </w:rPr>
      <w:tblPr/>
      <w:tcPr>
        <w:tcBorders>
          <w:top w:val="nil"/>
          <w:bottom w:val="single" w:sz="12" w:space="0" w:color="DC948F" w:themeColor="accent2" w:themeTint="99"/>
          <w:insideH w:val="nil"/>
          <w:insideV w:val="nil"/>
        </w:tcBorders>
        <w:shd w:val="clear" w:color="auto" w:fill="FFFFFF" w:themeFill="background1"/>
      </w:tcPr>
    </w:tblStylePr>
    <w:tblStylePr w:type="lastRow">
      <w:rPr>
        <w:b/>
        <w:bCs/>
      </w:rPr>
      <w:tblPr/>
      <w:tcPr>
        <w:tcBorders>
          <w:top w:val="double" w:sz="2" w:space="0" w:color="DC948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2Accent3">
    <w:name w:val="Grid Table 2 Accent 3"/>
    <w:basedOn w:val="TableNormal"/>
    <w:uiPriority w:val="47"/>
    <w:semiHidden/>
    <w:rsid w:val="00EE3EB6"/>
    <w:pPr>
      <w:spacing w:line="240" w:lineRule="auto"/>
    </w:pPr>
    <w:tblPr>
      <w:tblStyleRowBandSize w:val="1"/>
      <w:tblStyleColBandSize w:val="1"/>
      <w:tblBorders>
        <w:top w:val="single" w:sz="2" w:space="0" w:color="F6B68A" w:themeColor="accent3" w:themeTint="99"/>
        <w:bottom w:val="single" w:sz="2" w:space="0" w:color="F6B68A" w:themeColor="accent3" w:themeTint="99"/>
        <w:insideH w:val="single" w:sz="2" w:space="0" w:color="F6B68A" w:themeColor="accent3" w:themeTint="99"/>
        <w:insideV w:val="single" w:sz="2" w:space="0" w:color="F6B68A" w:themeColor="accent3" w:themeTint="99"/>
      </w:tblBorders>
    </w:tblPr>
    <w:tblStylePr w:type="firstRow">
      <w:rPr>
        <w:b/>
        <w:bCs/>
      </w:rPr>
      <w:tblPr/>
      <w:tcPr>
        <w:tcBorders>
          <w:top w:val="nil"/>
          <w:bottom w:val="single" w:sz="12" w:space="0" w:color="F6B68A" w:themeColor="accent3" w:themeTint="99"/>
          <w:insideH w:val="nil"/>
          <w:insideV w:val="nil"/>
        </w:tcBorders>
        <w:shd w:val="clear" w:color="auto" w:fill="FFFFFF" w:themeFill="background1"/>
      </w:tcPr>
    </w:tblStylePr>
    <w:tblStylePr w:type="lastRow">
      <w:rPr>
        <w:b/>
        <w:bCs/>
      </w:rPr>
      <w:tblPr/>
      <w:tcPr>
        <w:tcBorders>
          <w:top w:val="double" w:sz="2" w:space="0" w:color="F6B68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2Accent4">
    <w:name w:val="Grid Table 2 Accent 4"/>
    <w:basedOn w:val="TableNormal"/>
    <w:uiPriority w:val="47"/>
    <w:semiHidden/>
    <w:rsid w:val="00EE3EB6"/>
    <w:pPr>
      <w:spacing w:line="240" w:lineRule="auto"/>
    </w:pPr>
    <w:tblPr>
      <w:tblStyleRowBandSize w:val="1"/>
      <w:tblStyleColBandSize w:val="1"/>
      <w:tblBorders>
        <w:top w:val="single" w:sz="2" w:space="0" w:color="FDDC91" w:themeColor="accent4" w:themeTint="99"/>
        <w:bottom w:val="single" w:sz="2" w:space="0" w:color="FDDC91" w:themeColor="accent4" w:themeTint="99"/>
        <w:insideH w:val="single" w:sz="2" w:space="0" w:color="FDDC91" w:themeColor="accent4" w:themeTint="99"/>
        <w:insideV w:val="single" w:sz="2" w:space="0" w:color="FDDC91" w:themeColor="accent4" w:themeTint="99"/>
      </w:tblBorders>
    </w:tblPr>
    <w:tblStylePr w:type="firstRow">
      <w:rPr>
        <w:b/>
        <w:bCs/>
      </w:rPr>
      <w:tblPr/>
      <w:tcPr>
        <w:tcBorders>
          <w:top w:val="nil"/>
          <w:bottom w:val="single" w:sz="12" w:space="0" w:color="FDDC91" w:themeColor="accent4" w:themeTint="99"/>
          <w:insideH w:val="nil"/>
          <w:insideV w:val="nil"/>
        </w:tcBorders>
        <w:shd w:val="clear" w:color="auto" w:fill="FFFFFF" w:themeFill="background1"/>
      </w:tcPr>
    </w:tblStylePr>
    <w:tblStylePr w:type="lastRow">
      <w:rPr>
        <w:b/>
        <w:bCs/>
      </w:rPr>
      <w:tblPr/>
      <w:tcPr>
        <w:tcBorders>
          <w:top w:val="double" w:sz="2" w:space="0" w:color="FDDC9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2Accent5">
    <w:name w:val="Grid Table 2 Accent 5"/>
    <w:basedOn w:val="TableNormal"/>
    <w:uiPriority w:val="47"/>
    <w:semiHidden/>
    <w:rsid w:val="00EE3EB6"/>
    <w:pPr>
      <w:spacing w:line="240" w:lineRule="auto"/>
    </w:pPr>
    <w:tblPr>
      <w:tblStyleRowBandSize w:val="1"/>
      <w:tblStyleColBandSize w:val="1"/>
      <w:tblBorders>
        <w:top w:val="single" w:sz="2" w:space="0" w:color="B6D89A" w:themeColor="accent5" w:themeTint="99"/>
        <w:bottom w:val="single" w:sz="2" w:space="0" w:color="B6D89A" w:themeColor="accent5" w:themeTint="99"/>
        <w:insideH w:val="single" w:sz="2" w:space="0" w:color="B6D89A" w:themeColor="accent5" w:themeTint="99"/>
        <w:insideV w:val="single" w:sz="2" w:space="0" w:color="B6D89A" w:themeColor="accent5" w:themeTint="99"/>
      </w:tblBorders>
    </w:tblPr>
    <w:tblStylePr w:type="firstRow">
      <w:rPr>
        <w:b/>
        <w:bCs/>
      </w:rPr>
      <w:tblPr/>
      <w:tcPr>
        <w:tcBorders>
          <w:top w:val="nil"/>
          <w:bottom w:val="single" w:sz="12" w:space="0" w:color="B6D89A" w:themeColor="accent5" w:themeTint="99"/>
          <w:insideH w:val="nil"/>
          <w:insideV w:val="nil"/>
        </w:tcBorders>
        <w:shd w:val="clear" w:color="auto" w:fill="FFFFFF" w:themeFill="background1"/>
      </w:tcPr>
    </w:tblStylePr>
    <w:tblStylePr w:type="lastRow">
      <w:rPr>
        <w:b/>
        <w:bCs/>
      </w:rPr>
      <w:tblPr/>
      <w:tcPr>
        <w:tcBorders>
          <w:top w:val="double" w:sz="2" w:space="0" w:color="B6D89A"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2Accent6">
    <w:name w:val="Grid Table 2 Accent 6"/>
    <w:basedOn w:val="TableNormal"/>
    <w:uiPriority w:val="47"/>
    <w:semiHidden/>
    <w:rsid w:val="00EE3EB6"/>
    <w:pPr>
      <w:spacing w:line="240" w:lineRule="auto"/>
    </w:pPr>
    <w:tblPr>
      <w:tblStyleRowBandSize w:val="1"/>
      <w:tblStyleColBandSize w:val="1"/>
      <w:tblBorders>
        <w:top w:val="single" w:sz="2" w:space="0" w:color="ADB3B4" w:themeColor="accent6" w:themeTint="99"/>
        <w:bottom w:val="single" w:sz="2" w:space="0" w:color="ADB3B4" w:themeColor="accent6" w:themeTint="99"/>
        <w:insideH w:val="single" w:sz="2" w:space="0" w:color="ADB3B4" w:themeColor="accent6" w:themeTint="99"/>
        <w:insideV w:val="single" w:sz="2" w:space="0" w:color="ADB3B4" w:themeColor="accent6" w:themeTint="99"/>
      </w:tblBorders>
    </w:tblPr>
    <w:tblStylePr w:type="firstRow">
      <w:rPr>
        <w:b/>
        <w:bCs/>
      </w:rPr>
      <w:tblPr/>
      <w:tcPr>
        <w:tcBorders>
          <w:top w:val="nil"/>
          <w:bottom w:val="single" w:sz="12" w:space="0" w:color="ADB3B4" w:themeColor="accent6" w:themeTint="99"/>
          <w:insideH w:val="nil"/>
          <w:insideV w:val="nil"/>
        </w:tcBorders>
        <w:shd w:val="clear" w:color="auto" w:fill="FFFFFF" w:themeFill="background1"/>
      </w:tcPr>
    </w:tblStylePr>
    <w:tblStylePr w:type="lastRow">
      <w:rPr>
        <w:b/>
        <w:bCs/>
      </w:rPr>
      <w:tblPr/>
      <w:tcPr>
        <w:tcBorders>
          <w:top w:val="double" w:sz="2" w:space="0" w:color="ADB3B4"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3">
    <w:name w:val="Grid Table 3"/>
    <w:basedOn w:val="TableNormal"/>
    <w:uiPriority w:val="48"/>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3Accent2">
    <w:name w:val="Grid Table 3 Accent 2"/>
    <w:basedOn w:val="TableNormal"/>
    <w:uiPriority w:val="48"/>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3Accent3">
    <w:name w:val="Grid Table 3 Accent 3"/>
    <w:basedOn w:val="TableNormal"/>
    <w:uiPriority w:val="48"/>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3Accent4">
    <w:name w:val="Grid Table 3 Accent 4"/>
    <w:basedOn w:val="TableNormal"/>
    <w:uiPriority w:val="48"/>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3Accent5">
    <w:name w:val="Grid Table 3 Accent 5"/>
    <w:basedOn w:val="TableNormal"/>
    <w:uiPriority w:val="48"/>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3Accent6">
    <w:name w:val="Grid Table 3 Accent 6"/>
    <w:basedOn w:val="TableNormal"/>
    <w:uiPriority w:val="48"/>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customStyle="1" w:styleId="GridTable4">
    <w:name w:val="Grid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insideV w:val="nil"/>
        </w:tcBorders>
        <w:shd w:val="clear" w:color="auto" w:fill="8D487F" w:themeFill="accent1"/>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4Accent2">
    <w:name w:val="Grid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insideV w:val="nil"/>
        </w:tcBorders>
        <w:shd w:val="clear" w:color="auto" w:fill="C64E45" w:themeFill="accent2"/>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4Accent3">
    <w:name w:val="Grid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insideV w:val="nil"/>
        </w:tcBorders>
        <w:shd w:val="clear" w:color="auto" w:fill="F1873D" w:themeFill="accent3"/>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4Accent4">
    <w:name w:val="Grid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insideV w:val="nil"/>
        </w:tcBorders>
        <w:shd w:val="clear" w:color="auto" w:fill="FCC648" w:themeFill="accent4"/>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4Accent5">
    <w:name w:val="Grid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insideV w:val="nil"/>
        </w:tcBorders>
        <w:shd w:val="clear" w:color="auto" w:fill="86BE57" w:themeFill="accent5"/>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4Accent6">
    <w:name w:val="Grid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insideV w:val="nil"/>
        </w:tcBorders>
        <w:shd w:val="clear" w:color="auto" w:fill="788183" w:themeFill="accent6"/>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5Dark">
    <w:name w:val="Grid Table 5 Dark"/>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7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D487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D487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D487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D487F" w:themeFill="accent1"/>
      </w:tcPr>
    </w:tblStylePr>
    <w:tblStylePr w:type="band1Vert">
      <w:tblPr/>
      <w:tcPr>
        <w:shd w:val="clear" w:color="auto" w:fill="D6B0CE" w:themeFill="accent1" w:themeFillTint="66"/>
      </w:tcPr>
    </w:tblStylePr>
    <w:tblStylePr w:type="band1Horz">
      <w:tblPr/>
      <w:tcPr>
        <w:shd w:val="clear" w:color="auto" w:fill="D6B0CE" w:themeFill="accent1" w:themeFillTint="66"/>
      </w:tcPr>
    </w:tblStylePr>
  </w:style>
  <w:style w:type="table" w:customStyle="1" w:styleId="GridTable5DarkAccent2">
    <w:name w:val="Grid Table 5 Dark Accent 2"/>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DBD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64E4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64E4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64E4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64E45" w:themeFill="accent2"/>
      </w:tcPr>
    </w:tblStylePr>
    <w:tblStylePr w:type="band1Vert">
      <w:tblPr/>
      <w:tcPr>
        <w:shd w:val="clear" w:color="auto" w:fill="E8B7B4" w:themeFill="accent2" w:themeFillTint="66"/>
      </w:tcPr>
    </w:tblStylePr>
    <w:tblStylePr w:type="band1Horz">
      <w:tblPr/>
      <w:tcPr>
        <w:shd w:val="clear" w:color="auto" w:fill="E8B7B4" w:themeFill="accent2" w:themeFillTint="66"/>
      </w:tcPr>
    </w:tblStylePr>
  </w:style>
  <w:style w:type="table" w:customStyle="1" w:styleId="GridTable5DarkAccent3">
    <w:name w:val="Grid Table 5 Dark Accent 3"/>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E6D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873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873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873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873D" w:themeFill="accent3"/>
      </w:tcPr>
    </w:tblStylePr>
    <w:tblStylePr w:type="band1Vert">
      <w:tblPr/>
      <w:tcPr>
        <w:shd w:val="clear" w:color="auto" w:fill="F9CEB1" w:themeFill="accent3" w:themeFillTint="66"/>
      </w:tcPr>
    </w:tblStylePr>
    <w:tblStylePr w:type="band1Horz">
      <w:tblPr/>
      <w:tcPr>
        <w:shd w:val="clear" w:color="auto" w:fill="F9CEB1" w:themeFill="accent3" w:themeFillTint="66"/>
      </w:tcPr>
    </w:tblStylePr>
  </w:style>
  <w:style w:type="table" w:customStyle="1" w:styleId="GridTable5DarkAccent4">
    <w:name w:val="Grid Table 5 Dark Accent 4"/>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3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CC6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CC6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CC6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CC648" w:themeFill="accent4"/>
      </w:tcPr>
    </w:tblStylePr>
    <w:tblStylePr w:type="band1Vert">
      <w:tblPr/>
      <w:tcPr>
        <w:shd w:val="clear" w:color="auto" w:fill="FDE7B5" w:themeFill="accent4" w:themeFillTint="66"/>
      </w:tcPr>
    </w:tblStylePr>
    <w:tblStylePr w:type="band1Horz">
      <w:tblPr/>
      <w:tcPr>
        <w:shd w:val="clear" w:color="auto" w:fill="FDE7B5" w:themeFill="accent4" w:themeFillTint="66"/>
      </w:tcPr>
    </w:tblStylePr>
  </w:style>
  <w:style w:type="table" w:customStyle="1" w:styleId="GridTable5DarkAccent5">
    <w:name w:val="Grid Table 5 Dark Accent 5"/>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F2D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6BE57"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6BE57"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6BE57"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6BE57" w:themeFill="accent5"/>
      </w:tcPr>
    </w:tblStylePr>
    <w:tblStylePr w:type="band1Vert">
      <w:tblPr/>
      <w:tcPr>
        <w:shd w:val="clear" w:color="auto" w:fill="CEE5BB" w:themeFill="accent5" w:themeFillTint="66"/>
      </w:tcPr>
    </w:tblStylePr>
    <w:tblStylePr w:type="band1Horz">
      <w:tblPr/>
      <w:tcPr>
        <w:shd w:val="clear" w:color="auto" w:fill="CEE5BB" w:themeFill="accent5" w:themeFillTint="66"/>
      </w:tcPr>
    </w:tblStylePr>
  </w:style>
  <w:style w:type="table" w:customStyle="1" w:styleId="GridTable5DarkAccent6">
    <w:name w:val="Grid Table 5 Dark Accent 6"/>
    <w:basedOn w:val="TableNormal"/>
    <w:uiPriority w:val="50"/>
    <w:semiHidden/>
    <w:rsid w:val="00EE3EB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E5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8818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8818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8818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88183" w:themeFill="accent6"/>
      </w:tcPr>
    </w:tblStylePr>
    <w:tblStylePr w:type="band1Vert">
      <w:tblPr/>
      <w:tcPr>
        <w:shd w:val="clear" w:color="auto" w:fill="C8CCCD" w:themeFill="accent6" w:themeFillTint="66"/>
      </w:tcPr>
    </w:tblStylePr>
    <w:tblStylePr w:type="band1Horz">
      <w:tblPr/>
      <w:tcPr>
        <w:shd w:val="clear" w:color="auto" w:fill="C8CCCD" w:themeFill="accent6" w:themeFillTint="66"/>
      </w:tcPr>
    </w:tblStylePr>
  </w:style>
  <w:style w:type="table" w:customStyle="1" w:styleId="GridTable6Colorful">
    <w:name w:val="Grid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bottom w:val="single" w:sz="12" w:space="0" w:color="C288B7" w:themeColor="accent1" w:themeTint="99"/>
        </w:tcBorders>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GridTable6ColorfulAccent2">
    <w:name w:val="Grid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bottom w:val="single" w:sz="12" w:space="0" w:color="DC948F" w:themeColor="accent2" w:themeTint="99"/>
        </w:tcBorders>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GridTable6ColorfulAccent3">
    <w:name w:val="Grid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bottom w:val="single" w:sz="12" w:space="0" w:color="F6B68A" w:themeColor="accent3" w:themeTint="99"/>
        </w:tcBorders>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GridTable6ColorfulAccent4">
    <w:name w:val="Grid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bottom w:val="single" w:sz="12" w:space="0" w:color="FDDC91" w:themeColor="accent4" w:themeTint="99"/>
        </w:tcBorders>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GridTable6ColorfulAccent5">
    <w:name w:val="Grid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bottom w:val="single" w:sz="12" w:space="0" w:color="B6D89A" w:themeColor="accent5" w:themeTint="99"/>
        </w:tcBorders>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GridTable6ColorfulAccent6">
    <w:name w:val="Grid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bottom w:val="single" w:sz="12" w:space="0" w:color="ADB3B4" w:themeColor="accent6" w:themeTint="99"/>
        </w:tcBorders>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GridTable7Colorful">
    <w:name w:val="Grid Table 7 Colorful"/>
    <w:basedOn w:val="TableNormal"/>
    <w:uiPriority w:val="52"/>
    <w:semiHidden/>
    <w:rsid w:val="00EE3EB6"/>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semiHidden/>
    <w:rsid w:val="00EE3EB6"/>
    <w:pPr>
      <w:spacing w:line="240" w:lineRule="auto"/>
    </w:pPr>
    <w:rPr>
      <w:color w:val="69365E" w:themeColor="accent1" w:themeShade="BF"/>
    </w:r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insideV w:val="single" w:sz="4" w:space="0" w:color="C288B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bottom w:val="single" w:sz="4" w:space="0" w:color="C288B7" w:themeColor="accent1" w:themeTint="99"/>
        </w:tcBorders>
      </w:tcPr>
    </w:tblStylePr>
    <w:tblStylePr w:type="nwCell">
      <w:tblPr/>
      <w:tcPr>
        <w:tcBorders>
          <w:bottom w:val="single" w:sz="4" w:space="0" w:color="C288B7" w:themeColor="accent1" w:themeTint="99"/>
        </w:tcBorders>
      </w:tcPr>
    </w:tblStylePr>
    <w:tblStylePr w:type="seCell">
      <w:tblPr/>
      <w:tcPr>
        <w:tcBorders>
          <w:top w:val="single" w:sz="4" w:space="0" w:color="C288B7" w:themeColor="accent1" w:themeTint="99"/>
        </w:tcBorders>
      </w:tcPr>
    </w:tblStylePr>
    <w:tblStylePr w:type="swCell">
      <w:tblPr/>
      <w:tcPr>
        <w:tcBorders>
          <w:top w:val="single" w:sz="4" w:space="0" w:color="C288B7" w:themeColor="accent1" w:themeTint="99"/>
        </w:tcBorders>
      </w:tcPr>
    </w:tblStylePr>
  </w:style>
  <w:style w:type="table" w:customStyle="1" w:styleId="GridTable7ColorfulAccent2">
    <w:name w:val="Grid Table 7 Colorful Accent 2"/>
    <w:basedOn w:val="TableNormal"/>
    <w:uiPriority w:val="52"/>
    <w:semiHidden/>
    <w:rsid w:val="00EE3EB6"/>
    <w:pPr>
      <w:spacing w:line="240" w:lineRule="auto"/>
    </w:pPr>
    <w:rPr>
      <w:color w:val="98362F" w:themeColor="accent2" w:themeShade="BF"/>
    </w:r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insideV w:val="single" w:sz="4" w:space="0" w:color="DC948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bottom w:val="single" w:sz="4" w:space="0" w:color="DC948F" w:themeColor="accent2" w:themeTint="99"/>
        </w:tcBorders>
      </w:tcPr>
    </w:tblStylePr>
    <w:tblStylePr w:type="nwCell">
      <w:tblPr/>
      <w:tcPr>
        <w:tcBorders>
          <w:bottom w:val="single" w:sz="4" w:space="0" w:color="DC948F" w:themeColor="accent2" w:themeTint="99"/>
        </w:tcBorders>
      </w:tcPr>
    </w:tblStylePr>
    <w:tblStylePr w:type="seCell">
      <w:tblPr/>
      <w:tcPr>
        <w:tcBorders>
          <w:top w:val="single" w:sz="4" w:space="0" w:color="DC948F" w:themeColor="accent2" w:themeTint="99"/>
        </w:tcBorders>
      </w:tcPr>
    </w:tblStylePr>
    <w:tblStylePr w:type="swCell">
      <w:tblPr/>
      <w:tcPr>
        <w:tcBorders>
          <w:top w:val="single" w:sz="4" w:space="0" w:color="DC948F" w:themeColor="accent2" w:themeTint="99"/>
        </w:tcBorders>
      </w:tcPr>
    </w:tblStylePr>
  </w:style>
  <w:style w:type="table" w:customStyle="1" w:styleId="GridTable7ColorfulAccent3">
    <w:name w:val="Grid Table 7 Colorful Accent 3"/>
    <w:basedOn w:val="TableNormal"/>
    <w:uiPriority w:val="52"/>
    <w:semiHidden/>
    <w:rsid w:val="00EE3EB6"/>
    <w:pPr>
      <w:spacing w:line="240" w:lineRule="auto"/>
    </w:pPr>
    <w:rPr>
      <w:color w:val="D25E0F" w:themeColor="accent3" w:themeShade="BF"/>
    </w:r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insideV w:val="single" w:sz="4" w:space="0" w:color="F6B68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bottom w:val="single" w:sz="4" w:space="0" w:color="F6B68A" w:themeColor="accent3" w:themeTint="99"/>
        </w:tcBorders>
      </w:tcPr>
    </w:tblStylePr>
    <w:tblStylePr w:type="nwCell">
      <w:tblPr/>
      <w:tcPr>
        <w:tcBorders>
          <w:bottom w:val="single" w:sz="4" w:space="0" w:color="F6B68A" w:themeColor="accent3" w:themeTint="99"/>
        </w:tcBorders>
      </w:tcPr>
    </w:tblStylePr>
    <w:tblStylePr w:type="seCell">
      <w:tblPr/>
      <w:tcPr>
        <w:tcBorders>
          <w:top w:val="single" w:sz="4" w:space="0" w:color="F6B68A" w:themeColor="accent3" w:themeTint="99"/>
        </w:tcBorders>
      </w:tcPr>
    </w:tblStylePr>
    <w:tblStylePr w:type="swCell">
      <w:tblPr/>
      <w:tcPr>
        <w:tcBorders>
          <w:top w:val="single" w:sz="4" w:space="0" w:color="F6B68A" w:themeColor="accent3" w:themeTint="99"/>
        </w:tcBorders>
      </w:tcPr>
    </w:tblStylePr>
  </w:style>
  <w:style w:type="table" w:customStyle="1" w:styleId="GridTable7ColorfulAccent4">
    <w:name w:val="Grid Table 7 Colorful Accent 4"/>
    <w:basedOn w:val="TableNormal"/>
    <w:uiPriority w:val="52"/>
    <w:semiHidden/>
    <w:rsid w:val="00EE3EB6"/>
    <w:pPr>
      <w:spacing w:line="240" w:lineRule="auto"/>
    </w:pPr>
    <w:rPr>
      <w:color w:val="EEA704" w:themeColor="accent4" w:themeShade="BF"/>
    </w:r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insideV w:val="single" w:sz="4" w:space="0" w:color="FDDC9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bottom w:val="single" w:sz="4" w:space="0" w:color="FDDC91" w:themeColor="accent4" w:themeTint="99"/>
        </w:tcBorders>
      </w:tcPr>
    </w:tblStylePr>
    <w:tblStylePr w:type="nwCell">
      <w:tblPr/>
      <w:tcPr>
        <w:tcBorders>
          <w:bottom w:val="single" w:sz="4" w:space="0" w:color="FDDC91" w:themeColor="accent4" w:themeTint="99"/>
        </w:tcBorders>
      </w:tcPr>
    </w:tblStylePr>
    <w:tblStylePr w:type="seCell">
      <w:tblPr/>
      <w:tcPr>
        <w:tcBorders>
          <w:top w:val="single" w:sz="4" w:space="0" w:color="FDDC91" w:themeColor="accent4" w:themeTint="99"/>
        </w:tcBorders>
      </w:tcPr>
    </w:tblStylePr>
    <w:tblStylePr w:type="swCell">
      <w:tblPr/>
      <w:tcPr>
        <w:tcBorders>
          <w:top w:val="single" w:sz="4" w:space="0" w:color="FDDC91" w:themeColor="accent4" w:themeTint="99"/>
        </w:tcBorders>
      </w:tcPr>
    </w:tblStylePr>
  </w:style>
  <w:style w:type="table" w:customStyle="1" w:styleId="GridTable7ColorfulAccent5">
    <w:name w:val="Grid Table 7 Colorful Accent 5"/>
    <w:basedOn w:val="TableNormal"/>
    <w:uiPriority w:val="52"/>
    <w:semiHidden/>
    <w:rsid w:val="00EE3EB6"/>
    <w:pPr>
      <w:spacing w:line="240" w:lineRule="auto"/>
    </w:pPr>
    <w:rPr>
      <w:color w:val="63953A" w:themeColor="accent5" w:themeShade="BF"/>
    </w:r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insideV w:val="single" w:sz="4" w:space="0" w:color="B6D89A"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bottom w:val="single" w:sz="4" w:space="0" w:color="B6D89A" w:themeColor="accent5" w:themeTint="99"/>
        </w:tcBorders>
      </w:tcPr>
    </w:tblStylePr>
    <w:tblStylePr w:type="nwCell">
      <w:tblPr/>
      <w:tcPr>
        <w:tcBorders>
          <w:bottom w:val="single" w:sz="4" w:space="0" w:color="B6D89A" w:themeColor="accent5" w:themeTint="99"/>
        </w:tcBorders>
      </w:tcPr>
    </w:tblStylePr>
    <w:tblStylePr w:type="seCell">
      <w:tblPr/>
      <w:tcPr>
        <w:tcBorders>
          <w:top w:val="single" w:sz="4" w:space="0" w:color="B6D89A" w:themeColor="accent5" w:themeTint="99"/>
        </w:tcBorders>
      </w:tcPr>
    </w:tblStylePr>
    <w:tblStylePr w:type="swCell">
      <w:tblPr/>
      <w:tcPr>
        <w:tcBorders>
          <w:top w:val="single" w:sz="4" w:space="0" w:color="B6D89A" w:themeColor="accent5" w:themeTint="99"/>
        </w:tcBorders>
      </w:tcPr>
    </w:tblStylePr>
  </w:style>
  <w:style w:type="table" w:customStyle="1" w:styleId="GridTable7ColorfulAccent6">
    <w:name w:val="Grid Table 7 Colorful Accent 6"/>
    <w:basedOn w:val="TableNormal"/>
    <w:uiPriority w:val="52"/>
    <w:semiHidden/>
    <w:rsid w:val="00EE3EB6"/>
    <w:pPr>
      <w:spacing w:line="240" w:lineRule="auto"/>
    </w:pPr>
    <w:rPr>
      <w:color w:val="5A6062" w:themeColor="accent6" w:themeShade="BF"/>
    </w:r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insideV w:val="single" w:sz="4" w:space="0" w:color="ADB3B4"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bottom w:val="single" w:sz="4" w:space="0" w:color="ADB3B4" w:themeColor="accent6" w:themeTint="99"/>
        </w:tcBorders>
      </w:tcPr>
    </w:tblStylePr>
    <w:tblStylePr w:type="nwCell">
      <w:tblPr/>
      <w:tcPr>
        <w:tcBorders>
          <w:bottom w:val="single" w:sz="4" w:space="0" w:color="ADB3B4" w:themeColor="accent6" w:themeTint="99"/>
        </w:tcBorders>
      </w:tcPr>
    </w:tblStylePr>
    <w:tblStylePr w:type="seCell">
      <w:tblPr/>
      <w:tcPr>
        <w:tcBorders>
          <w:top w:val="single" w:sz="4" w:space="0" w:color="ADB3B4" w:themeColor="accent6" w:themeTint="99"/>
        </w:tcBorders>
      </w:tcPr>
    </w:tblStylePr>
    <w:tblStylePr w:type="swCell">
      <w:tblPr/>
      <w:tcPr>
        <w:tcBorders>
          <w:top w:val="single" w:sz="4" w:space="0" w:color="ADB3B4" w:themeColor="accent6" w:themeTint="99"/>
        </w:tcBorders>
      </w:tcPr>
    </w:tblStylePr>
  </w:style>
  <w:style w:type="table" w:styleId="LightGrid">
    <w:name w:val="Light Grid"/>
    <w:basedOn w:val="TableNormal"/>
    <w:uiPriority w:val="62"/>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18" w:space="0" w:color="8D487F" w:themeColor="accent1"/>
          <w:right w:val="single" w:sz="8" w:space="0" w:color="8D487F" w:themeColor="accent1"/>
          <w:insideH w:val="nil"/>
          <w:insideV w:val="single" w:sz="8" w:space="0" w:color="8D487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insideH w:val="nil"/>
          <w:insideV w:val="single" w:sz="8" w:space="0" w:color="8D487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shd w:val="clear" w:color="auto" w:fill="E6CEE1" w:themeFill="accent1" w:themeFillTint="3F"/>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shd w:val="clear" w:color="auto" w:fill="E6CEE1" w:themeFill="accent1" w:themeFillTint="3F"/>
      </w:tcPr>
    </w:tblStylePr>
    <w:tblStylePr w:type="band2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insideV w:val="single" w:sz="8" w:space="0" w:color="8D487F" w:themeColor="accent1"/>
        </w:tcBorders>
      </w:tcPr>
    </w:tblStylePr>
  </w:style>
  <w:style w:type="table" w:styleId="LightGrid-Accent2">
    <w:name w:val="Light Grid Accent 2"/>
    <w:basedOn w:val="TableNormal"/>
    <w:uiPriority w:val="62"/>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18" w:space="0" w:color="C64E45" w:themeColor="accent2"/>
          <w:right w:val="single" w:sz="8" w:space="0" w:color="C64E45" w:themeColor="accent2"/>
          <w:insideH w:val="nil"/>
          <w:insideV w:val="single" w:sz="8" w:space="0" w:color="C64E45"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insideH w:val="nil"/>
          <w:insideV w:val="single" w:sz="8" w:space="0" w:color="C64E45"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shd w:val="clear" w:color="auto" w:fill="F1D2D0" w:themeFill="accent2" w:themeFillTint="3F"/>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shd w:val="clear" w:color="auto" w:fill="F1D2D0" w:themeFill="accent2" w:themeFillTint="3F"/>
      </w:tcPr>
    </w:tblStylePr>
    <w:tblStylePr w:type="band2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insideV w:val="single" w:sz="8" w:space="0" w:color="C64E45" w:themeColor="accent2"/>
        </w:tcBorders>
      </w:tcPr>
    </w:tblStylePr>
  </w:style>
  <w:style w:type="table" w:styleId="LightGrid-Accent3">
    <w:name w:val="Light Grid Accent 3"/>
    <w:basedOn w:val="TableNormal"/>
    <w:uiPriority w:val="62"/>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18" w:space="0" w:color="F1873D" w:themeColor="accent3"/>
          <w:right w:val="single" w:sz="8" w:space="0" w:color="F1873D" w:themeColor="accent3"/>
          <w:insideH w:val="nil"/>
          <w:insideV w:val="single" w:sz="8" w:space="0" w:color="F1873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insideH w:val="nil"/>
          <w:insideV w:val="single" w:sz="8" w:space="0" w:color="F1873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shd w:val="clear" w:color="auto" w:fill="FBE1CE" w:themeFill="accent3" w:themeFillTint="3F"/>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shd w:val="clear" w:color="auto" w:fill="FBE1CE" w:themeFill="accent3" w:themeFillTint="3F"/>
      </w:tcPr>
    </w:tblStylePr>
    <w:tblStylePr w:type="band2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insideV w:val="single" w:sz="8" w:space="0" w:color="F1873D" w:themeColor="accent3"/>
        </w:tcBorders>
      </w:tcPr>
    </w:tblStylePr>
  </w:style>
  <w:style w:type="table" w:styleId="LightGrid-Accent4">
    <w:name w:val="Light Grid Accent 4"/>
    <w:basedOn w:val="TableNormal"/>
    <w:uiPriority w:val="62"/>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18" w:space="0" w:color="FCC648" w:themeColor="accent4"/>
          <w:right w:val="single" w:sz="8" w:space="0" w:color="FCC648" w:themeColor="accent4"/>
          <w:insideH w:val="nil"/>
          <w:insideV w:val="single" w:sz="8" w:space="0" w:color="FCC6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insideH w:val="nil"/>
          <w:insideV w:val="single" w:sz="8" w:space="0" w:color="FCC6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shd w:val="clear" w:color="auto" w:fill="FEF0D1" w:themeFill="accent4" w:themeFillTint="3F"/>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shd w:val="clear" w:color="auto" w:fill="FEF0D1" w:themeFill="accent4" w:themeFillTint="3F"/>
      </w:tcPr>
    </w:tblStylePr>
    <w:tblStylePr w:type="band2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insideV w:val="single" w:sz="8" w:space="0" w:color="FCC648" w:themeColor="accent4"/>
        </w:tcBorders>
      </w:tcPr>
    </w:tblStylePr>
  </w:style>
  <w:style w:type="table" w:styleId="LightGrid-Accent5">
    <w:name w:val="Light Grid Accent 5"/>
    <w:basedOn w:val="TableNormal"/>
    <w:uiPriority w:val="62"/>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18" w:space="0" w:color="86BE57" w:themeColor="accent5"/>
          <w:right w:val="single" w:sz="8" w:space="0" w:color="86BE57" w:themeColor="accent5"/>
          <w:insideH w:val="nil"/>
          <w:insideV w:val="single" w:sz="8" w:space="0" w:color="86BE5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insideH w:val="nil"/>
          <w:insideV w:val="single" w:sz="8" w:space="0" w:color="86BE5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shd w:val="clear" w:color="auto" w:fill="E1EFD5" w:themeFill="accent5" w:themeFillTint="3F"/>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shd w:val="clear" w:color="auto" w:fill="E1EFD5" w:themeFill="accent5" w:themeFillTint="3F"/>
      </w:tcPr>
    </w:tblStylePr>
    <w:tblStylePr w:type="band2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insideV w:val="single" w:sz="8" w:space="0" w:color="86BE57" w:themeColor="accent5"/>
        </w:tcBorders>
      </w:tcPr>
    </w:tblStylePr>
  </w:style>
  <w:style w:type="table" w:styleId="LightGrid-Accent6">
    <w:name w:val="Light Grid Accent 6"/>
    <w:basedOn w:val="TableNormal"/>
    <w:uiPriority w:val="62"/>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18" w:space="0" w:color="788183" w:themeColor="accent6"/>
          <w:right w:val="single" w:sz="8" w:space="0" w:color="788183" w:themeColor="accent6"/>
          <w:insideH w:val="nil"/>
          <w:insideV w:val="single" w:sz="8" w:space="0" w:color="78818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insideH w:val="nil"/>
          <w:insideV w:val="single" w:sz="8" w:space="0" w:color="78818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shd w:val="clear" w:color="auto" w:fill="DDDFE0" w:themeFill="accent6" w:themeFillTint="3F"/>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shd w:val="clear" w:color="auto" w:fill="DDDFE0" w:themeFill="accent6" w:themeFillTint="3F"/>
      </w:tcPr>
    </w:tblStylePr>
    <w:tblStylePr w:type="band2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insideV w:val="single" w:sz="8" w:space="0" w:color="788183" w:themeColor="accent6"/>
        </w:tcBorders>
      </w:tcPr>
    </w:tblStylePr>
  </w:style>
  <w:style w:type="table" w:styleId="LightList">
    <w:name w:val="Light List"/>
    <w:basedOn w:val="TableNormal"/>
    <w:uiPriority w:val="61"/>
    <w:semiHidden/>
    <w:rsid w:val="00EE3EB6"/>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EE3EB6"/>
    <w:pPr>
      <w:spacing w:line="240" w:lineRule="auto"/>
    </w:p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pPr>
        <w:spacing w:before="0" w:after="0" w:line="240" w:lineRule="auto"/>
      </w:pPr>
      <w:rPr>
        <w:b/>
        <w:bCs/>
        <w:color w:val="FFFFFF" w:themeColor="background1"/>
      </w:rPr>
      <w:tblPr/>
      <w:tcPr>
        <w:shd w:val="clear" w:color="auto" w:fill="8D487F" w:themeFill="accent1"/>
      </w:tcPr>
    </w:tblStylePr>
    <w:tblStylePr w:type="lastRow">
      <w:pPr>
        <w:spacing w:before="0" w:after="0" w:line="240" w:lineRule="auto"/>
      </w:pPr>
      <w:rPr>
        <w:b/>
        <w:bCs/>
      </w:rPr>
      <w:tblPr/>
      <w:tcPr>
        <w:tcBorders>
          <w:top w:val="double" w:sz="6" w:space="0" w:color="8D487F" w:themeColor="accent1"/>
          <w:left w:val="single" w:sz="8" w:space="0" w:color="8D487F" w:themeColor="accent1"/>
          <w:bottom w:val="single" w:sz="8" w:space="0" w:color="8D487F" w:themeColor="accent1"/>
          <w:right w:val="single" w:sz="8" w:space="0" w:color="8D487F" w:themeColor="accent1"/>
        </w:tcBorders>
      </w:tcPr>
    </w:tblStylePr>
    <w:tblStylePr w:type="firstCol">
      <w:rPr>
        <w:b/>
        <w:bCs/>
      </w:rPr>
    </w:tblStylePr>
    <w:tblStylePr w:type="lastCol">
      <w:rPr>
        <w:b/>
        <w:bCs/>
      </w:rPr>
    </w:tblStylePr>
    <w:tblStylePr w:type="band1Vert">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tblStylePr w:type="band1Horz">
      <w:tblPr/>
      <w:tcPr>
        <w:tcBorders>
          <w:top w:val="single" w:sz="8" w:space="0" w:color="8D487F" w:themeColor="accent1"/>
          <w:left w:val="single" w:sz="8" w:space="0" w:color="8D487F" w:themeColor="accent1"/>
          <w:bottom w:val="single" w:sz="8" w:space="0" w:color="8D487F" w:themeColor="accent1"/>
          <w:right w:val="single" w:sz="8" w:space="0" w:color="8D487F" w:themeColor="accent1"/>
        </w:tcBorders>
      </w:tcPr>
    </w:tblStylePr>
  </w:style>
  <w:style w:type="table" w:styleId="LightList-Accent2">
    <w:name w:val="Light List Accent 2"/>
    <w:basedOn w:val="TableNormal"/>
    <w:uiPriority w:val="61"/>
    <w:semiHidden/>
    <w:rsid w:val="00EE3EB6"/>
    <w:pPr>
      <w:spacing w:line="240" w:lineRule="auto"/>
    </w:p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pPr>
        <w:spacing w:before="0" w:after="0" w:line="240" w:lineRule="auto"/>
      </w:pPr>
      <w:rPr>
        <w:b/>
        <w:bCs/>
        <w:color w:val="FFFFFF" w:themeColor="background1"/>
      </w:rPr>
      <w:tblPr/>
      <w:tcPr>
        <w:shd w:val="clear" w:color="auto" w:fill="C64E45" w:themeFill="accent2"/>
      </w:tcPr>
    </w:tblStylePr>
    <w:tblStylePr w:type="lastRow">
      <w:pPr>
        <w:spacing w:before="0" w:after="0" w:line="240" w:lineRule="auto"/>
      </w:pPr>
      <w:rPr>
        <w:b/>
        <w:bCs/>
      </w:rPr>
      <w:tblPr/>
      <w:tcPr>
        <w:tcBorders>
          <w:top w:val="double" w:sz="6" w:space="0" w:color="C64E45" w:themeColor="accent2"/>
          <w:left w:val="single" w:sz="8" w:space="0" w:color="C64E45" w:themeColor="accent2"/>
          <w:bottom w:val="single" w:sz="8" w:space="0" w:color="C64E45" w:themeColor="accent2"/>
          <w:right w:val="single" w:sz="8" w:space="0" w:color="C64E45" w:themeColor="accent2"/>
        </w:tcBorders>
      </w:tcPr>
    </w:tblStylePr>
    <w:tblStylePr w:type="firstCol">
      <w:rPr>
        <w:b/>
        <w:bCs/>
      </w:rPr>
    </w:tblStylePr>
    <w:tblStylePr w:type="lastCol">
      <w:rPr>
        <w:b/>
        <w:bCs/>
      </w:rPr>
    </w:tblStylePr>
    <w:tblStylePr w:type="band1Vert">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tblStylePr w:type="band1Horz">
      <w:tblPr/>
      <w:tcPr>
        <w:tcBorders>
          <w:top w:val="single" w:sz="8" w:space="0" w:color="C64E45" w:themeColor="accent2"/>
          <w:left w:val="single" w:sz="8" w:space="0" w:color="C64E45" w:themeColor="accent2"/>
          <w:bottom w:val="single" w:sz="8" w:space="0" w:color="C64E45" w:themeColor="accent2"/>
          <w:right w:val="single" w:sz="8" w:space="0" w:color="C64E45" w:themeColor="accent2"/>
        </w:tcBorders>
      </w:tcPr>
    </w:tblStylePr>
  </w:style>
  <w:style w:type="table" w:styleId="LightList-Accent3">
    <w:name w:val="Light List Accent 3"/>
    <w:basedOn w:val="TableNormal"/>
    <w:uiPriority w:val="61"/>
    <w:semiHidden/>
    <w:rsid w:val="00EE3EB6"/>
    <w:pPr>
      <w:spacing w:line="240" w:lineRule="auto"/>
    </w:p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pPr>
        <w:spacing w:before="0" w:after="0" w:line="240" w:lineRule="auto"/>
      </w:pPr>
      <w:rPr>
        <w:b/>
        <w:bCs/>
        <w:color w:val="FFFFFF" w:themeColor="background1"/>
      </w:rPr>
      <w:tblPr/>
      <w:tcPr>
        <w:shd w:val="clear" w:color="auto" w:fill="F1873D" w:themeFill="accent3"/>
      </w:tcPr>
    </w:tblStylePr>
    <w:tblStylePr w:type="lastRow">
      <w:pPr>
        <w:spacing w:before="0" w:after="0" w:line="240" w:lineRule="auto"/>
      </w:pPr>
      <w:rPr>
        <w:b/>
        <w:bCs/>
      </w:rPr>
      <w:tblPr/>
      <w:tcPr>
        <w:tcBorders>
          <w:top w:val="double" w:sz="6" w:space="0" w:color="F1873D" w:themeColor="accent3"/>
          <w:left w:val="single" w:sz="8" w:space="0" w:color="F1873D" w:themeColor="accent3"/>
          <w:bottom w:val="single" w:sz="8" w:space="0" w:color="F1873D" w:themeColor="accent3"/>
          <w:right w:val="single" w:sz="8" w:space="0" w:color="F1873D" w:themeColor="accent3"/>
        </w:tcBorders>
      </w:tcPr>
    </w:tblStylePr>
    <w:tblStylePr w:type="firstCol">
      <w:rPr>
        <w:b/>
        <w:bCs/>
      </w:rPr>
    </w:tblStylePr>
    <w:tblStylePr w:type="lastCol">
      <w:rPr>
        <w:b/>
        <w:bCs/>
      </w:rPr>
    </w:tblStylePr>
    <w:tblStylePr w:type="band1Vert">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tblStylePr w:type="band1Horz">
      <w:tblPr/>
      <w:tcPr>
        <w:tcBorders>
          <w:top w:val="single" w:sz="8" w:space="0" w:color="F1873D" w:themeColor="accent3"/>
          <w:left w:val="single" w:sz="8" w:space="0" w:color="F1873D" w:themeColor="accent3"/>
          <w:bottom w:val="single" w:sz="8" w:space="0" w:color="F1873D" w:themeColor="accent3"/>
          <w:right w:val="single" w:sz="8" w:space="0" w:color="F1873D" w:themeColor="accent3"/>
        </w:tcBorders>
      </w:tcPr>
    </w:tblStylePr>
  </w:style>
  <w:style w:type="table" w:styleId="LightList-Accent4">
    <w:name w:val="Light List Accent 4"/>
    <w:basedOn w:val="TableNormal"/>
    <w:uiPriority w:val="61"/>
    <w:semiHidden/>
    <w:rsid w:val="00EE3EB6"/>
    <w:pPr>
      <w:spacing w:line="240" w:lineRule="auto"/>
    </w:p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pPr>
        <w:spacing w:before="0" w:after="0" w:line="240" w:lineRule="auto"/>
      </w:pPr>
      <w:rPr>
        <w:b/>
        <w:bCs/>
        <w:color w:val="FFFFFF" w:themeColor="background1"/>
      </w:rPr>
      <w:tblPr/>
      <w:tcPr>
        <w:shd w:val="clear" w:color="auto" w:fill="FCC648" w:themeFill="accent4"/>
      </w:tcPr>
    </w:tblStylePr>
    <w:tblStylePr w:type="lastRow">
      <w:pPr>
        <w:spacing w:before="0" w:after="0" w:line="240" w:lineRule="auto"/>
      </w:pPr>
      <w:rPr>
        <w:b/>
        <w:bCs/>
      </w:rPr>
      <w:tblPr/>
      <w:tcPr>
        <w:tcBorders>
          <w:top w:val="double" w:sz="6" w:space="0" w:color="FCC648" w:themeColor="accent4"/>
          <w:left w:val="single" w:sz="8" w:space="0" w:color="FCC648" w:themeColor="accent4"/>
          <w:bottom w:val="single" w:sz="8" w:space="0" w:color="FCC648" w:themeColor="accent4"/>
          <w:right w:val="single" w:sz="8" w:space="0" w:color="FCC648" w:themeColor="accent4"/>
        </w:tcBorders>
      </w:tcPr>
    </w:tblStylePr>
    <w:tblStylePr w:type="firstCol">
      <w:rPr>
        <w:b/>
        <w:bCs/>
      </w:rPr>
    </w:tblStylePr>
    <w:tblStylePr w:type="lastCol">
      <w:rPr>
        <w:b/>
        <w:bCs/>
      </w:rPr>
    </w:tblStylePr>
    <w:tblStylePr w:type="band1Vert">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tblStylePr w:type="band1Horz">
      <w:tblPr/>
      <w:tcPr>
        <w:tcBorders>
          <w:top w:val="single" w:sz="8" w:space="0" w:color="FCC648" w:themeColor="accent4"/>
          <w:left w:val="single" w:sz="8" w:space="0" w:color="FCC648" w:themeColor="accent4"/>
          <w:bottom w:val="single" w:sz="8" w:space="0" w:color="FCC648" w:themeColor="accent4"/>
          <w:right w:val="single" w:sz="8" w:space="0" w:color="FCC648" w:themeColor="accent4"/>
        </w:tcBorders>
      </w:tcPr>
    </w:tblStylePr>
  </w:style>
  <w:style w:type="table" w:styleId="LightList-Accent5">
    <w:name w:val="Light List Accent 5"/>
    <w:basedOn w:val="TableNormal"/>
    <w:uiPriority w:val="61"/>
    <w:semiHidden/>
    <w:rsid w:val="00EE3EB6"/>
    <w:pPr>
      <w:spacing w:line="240" w:lineRule="auto"/>
    </w:p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pPr>
        <w:spacing w:before="0" w:after="0" w:line="240" w:lineRule="auto"/>
      </w:pPr>
      <w:rPr>
        <w:b/>
        <w:bCs/>
        <w:color w:val="FFFFFF" w:themeColor="background1"/>
      </w:rPr>
      <w:tblPr/>
      <w:tcPr>
        <w:shd w:val="clear" w:color="auto" w:fill="86BE57" w:themeFill="accent5"/>
      </w:tcPr>
    </w:tblStylePr>
    <w:tblStylePr w:type="lastRow">
      <w:pPr>
        <w:spacing w:before="0" w:after="0" w:line="240" w:lineRule="auto"/>
      </w:pPr>
      <w:rPr>
        <w:b/>
        <w:bCs/>
      </w:rPr>
      <w:tblPr/>
      <w:tcPr>
        <w:tcBorders>
          <w:top w:val="double" w:sz="6" w:space="0" w:color="86BE57" w:themeColor="accent5"/>
          <w:left w:val="single" w:sz="8" w:space="0" w:color="86BE57" w:themeColor="accent5"/>
          <w:bottom w:val="single" w:sz="8" w:space="0" w:color="86BE57" w:themeColor="accent5"/>
          <w:right w:val="single" w:sz="8" w:space="0" w:color="86BE57" w:themeColor="accent5"/>
        </w:tcBorders>
      </w:tcPr>
    </w:tblStylePr>
    <w:tblStylePr w:type="firstCol">
      <w:rPr>
        <w:b/>
        <w:bCs/>
      </w:rPr>
    </w:tblStylePr>
    <w:tblStylePr w:type="lastCol">
      <w:rPr>
        <w:b/>
        <w:bCs/>
      </w:rPr>
    </w:tblStylePr>
    <w:tblStylePr w:type="band1Vert">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tblStylePr w:type="band1Horz">
      <w:tblPr/>
      <w:tcPr>
        <w:tcBorders>
          <w:top w:val="single" w:sz="8" w:space="0" w:color="86BE57" w:themeColor="accent5"/>
          <w:left w:val="single" w:sz="8" w:space="0" w:color="86BE57" w:themeColor="accent5"/>
          <w:bottom w:val="single" w:sz="8" w:space="0" w:color="86BE57" w:themeColor="accent5"/>
          <w:right w:val="single" w:sz="8" w:space="0" w:color="86BE57" w:themeColor="accent5"/>
        </w:tcBorders>
      </w:tcPr>
    </w:tblStylePr>
  </w:style>
  <w:style w:type="table" w:styleId="LightList-Accent6">
    <w:name w:val="Light List Accent 6"/>
    <w:basedOn w:val="TableNormal"/>
    <w:uiPriority w:val="61"/>
    <w:semiHidden/>
    <w:rsid w:val="00EE3EB6"/>
    <w:pPr>
      <w:spacing w:line="240" w:lineRule="auto"/>
    </w:p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pPr>
        <w:spacing w:before="0" w:after="0" w:line="240" w:lineRule="auto"/>
      </w:pPr>
      <w:rPr>
        <w:b/>
        <w:bCs/>
        <w:color w:val="FFFFFF" w:themeColor="background1"/>
      </w:rPr>
      <w:tblPr/>
      <w:tcPr>
        <w:shd w:val="clear" w:color="auto" w:fill="788183" w:themeFill="accent6"/>
      </w:tcPr>
    </w:tblStylePr>
    <w:tblStylePr w:type="lastRow">
      <w:pPr>
        <w:spacing w:before="0" w:after="0" w:line="240" w:lineRule="auto"/>
      </w:pPr>
      <w:rPr>
        <w:b/>
        <w:bCs/>
      </w:rPr>
      <w:tblPr/>
      <w:tcPr>
        <w:tcBorders>
          <w:top w:val="double" w:sz="6" w:space="0" w:color="788183" w:themeColor="accent6"/>
          <w:left w:val="single" w:sz="8" w:space="0" w:color="788183" w:themeColor="accent6"/>
          <w:bottom w:val="single" w:sz="8" w:space="0" w:color="788183" w:themeColor="accent6"/>
          <w:right w:val="single" w:sz="8" w:space="0" w:color="788183" w:themeColor="accent6"/>
        </w:tcBorders>
      </w:tcPr>
    </w:tblStylePr>
    <w:tblStylePr w:type="firstCol">
      <w:rPr>
        <w:b/>
        <w:bCs/>
      </w:rPr>
    </w:tblStylePr>
    <w:tblStylePr w:type="lastCol">
      <w:rPr>
        <w:b/>
        <w:bCs/>
      </w:rPr>
    </w:tblStylePr>
    <w:tblStylePr w:type="band1Vert">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tblStylePr w:type="band1Horz">
      <w:tblPr/>
      <w:tcPr>
        <w:tcBorders>
          <w:top w:val="single" w:sz="8" w:space="0" w:color="788183" w:themeColor="accent6"/>
          <w:left w:val="single" w:sz="8" w:space="0" w:color="788183" w:themeColor="accent6"/>
          <w:bottom w:val="single" w:sz="8" w:space="0" w:color="788183" w:themeColor="accent6"/>
          <w:right w:val="single" w:sz="8" w:space="0" w:color="788183" w:themeColor="accent6"/>
        </w:tcBorders>
      </w:tcPr>
    </w:tblStylePr>
  </w:style>
  <w:style w:type="table" w:styleId="LightShading">
    <w:name w:val="Light Shading"/>
    <w:basedOn w:val="TableNormal"/>
    <w:uiPriority w:val="60"/>
    <w:semiHidden/>
    <w:rsid w:val="00EE3EB6"/>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EE3EB6"/>
    <w:pPr>
      <w:spacing w:line="240" w:lineRule="auto"/>
    </w:pPr>
    <w:rPr>
      <w:color w:val="69365E" w:themeColor="accent1" w:themeShade="BF"/>
    </w:rPr>
    <w:tblPr>
      <w:tblStyleRowBandSize w:val="1"/>
      <w:tblStyleColBandSize w:val="1"/>
      <w:tblBorders>
        <w:top w:val="single" w:sz="8" w:space="0" w:color="8D487F" w:themeColor="accent1"/>
        <w:bottom w:val="single" w:sz="8" w:space="0" w:color="8D487F" w:themeColor="accent1"/>
      </w:tblBorders>
    </w:tblPr>
    <w:tblStylePr w:type="fir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lastRow">
      <w:pPr>
        <w:spacing w:before="0" w:after="0" w:line="240" w:lineRule="auto"/>
      </w:pPr>
      <w:rPr>
        <w:b/>
        <w:bCs/>
      </w:rPr>
      <w:tblPr/>
      <w:tcPr>
        <w:tcBorders>
          <w:top w:val="single" w:sz="8" w:space="0" w:color="8D487F" w:themeColor="accent1"/>
          <w:left w:val="nil"/>
          <w:bottom w:val="single" w:sz="8" w:space="0" w:color="8D48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left w:val="nil"/>
          <w:right w:val="nil"/>
          <w:insideH w:val="nil"/>
          <w:insideV w:val="nil"/>
        </w:tcBorders>
        <w:shd w:val="clear" w:color="auto" w:fill="E6CEE1" w:themeFill="accent1" w:themeFillTint="3F"/>
      </w:tcPr>
    </w:tblStylePr>
  </w:style>
  <w:style w:type="table" w:styleId="LightShading-Accent2">
    <w:name w:val="Light Shading Accent 2"/>
    <w:basedOn w:val="TableNormal"/>
    <w:uiPriority w:val="60"/>
    <w:semiHidden/>
    <w:rsid w:val="00EE3EB6"/>
    <w:pPr>
      <w:spacing w:line="240" w:lineRule="auto"/>
    </w:pPr>
    <w:rPr>
      <w:color w:val="98362F" w:themeColor="accent2" w:themeShade="BF"/>
    </w:rPr>
    <w:tblPr>
      <w:tblStyleRowBandSize w:val="1"/>
      <w:tblStyleColBandSize w:val="1"/>
      <w:tblBorders>
        <w:top w:val="single" w:sz="8" w:space="0" w:color="C64E45" w:themeColor="accent2"/>
        <w:bottom w:val="single" w:sz="8" w:space="0" w:color="C64E45" w:themeColor="accent2"/>
      </w:tblBorders>
    </w:tblPr>
    <w:tblStylePr w:type="fir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lastRow">
      <w:pPr>
        <w:spacing w:before="0" w:after="0" w:line="240" w:lineRule="auto"/>
      </w:pPr>
      <w:rPr>
        <w:b/>
        <w:bCs/>
      </w:rPr>
      <w:tblPr/>
      <w:tcPr>
        <w:tcBorders>
          <w:top w:val="single" w:sz="8" w:space="0" w:color="C64E45" w:themeColor="accent2"/>
          <w:left w:val="nil"/>
          <w:bottom w:val="single" w:sz="8" w:space="0" w:color="C64E45"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left w:val="nil"/>
          <w:right w:val="nil"/>
          <w:insideH w:val="nil"/>
          <w:insideV w:val="nil"/>
        </w:tcBorders>
        <w:shd w:val="clear" w:color="auto" w:fill="F1D2D0" w:themeFill="accent2" w:themeFillTint="3F"/>
      </w:tcPr>
    </w:tblStylePr>
  </w:style>
  <w:style w:type="table" w:styleId="LightShading-Accent3">
    <w:name w:val="Light Shading Accent 3"/>
    <w:basedOn w:val="TableNormal"/>
    <w:uiPriority w:val="60"/>
    <w:semiHidden/>
    <w:rsid w:val="00EE3EB6"/>
    <w:pPr>
      <w:spacing w:line="240" w:lineRule="auto"/>
    </w:pPr>
    <w:rPr>
      <w:color w:val="D25E0F" w:themeColor="accent3" w:themeShade="BF"/>
    </w:rPr>
    <w:tblPr>
      <w:tblStyleRowBandSize w:val="1"/>
      <w:tblStyleColBandSize w:val="1"/>
      <w:tblBorders>
        <w:top w:val="single" w:sz="8" w:space="0" w:color="F1873D" w:themeColor="accent3"/>
        <w:bottom w:val="single" w:sz="8" w:space="0" w:color="F1873D" w:themeColor="accent3"/>
      </w:tblBorders>
    </w:tblPr>
    <w:tblStylePr w:type="fir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lastRow">
      <w:pPr>
        <w:spacing w:before="0" w:after="0" w:line="240" w:lineRule="auto"/>
      </w:pPr>
      <w:rPr>
        <w:b/>
        <w:bCs/>
      </w:rPr>
      <w:tblPr/>
      <w:tcPr>
        <w:tcBorders>
          <w:top w:val="single" w:sz="8" w:space="0" w:color="F1873D" w:themeColor="accent3"/>
          <w:left w:val="nil"/>
          <w:bottom w:val="single" w:sz="8" w:space="0" w:color="F1873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left w:val="nil"/>
          <w:right w:val="nil"/>
          <w:insideH w:val="nil"/>
          <w:insideV w:val="nil"/>
        </w:tcBorders>
        <w:shd w:val="clear" w:color="auto" w:fill="FBE1CE" w:themeFill="accent3" w:themeFillTint="3F"/>
      </w:tcPr>
    </w:tblStylePr>
  </w:style>
  <w:style w:type="table" w:styleId="LightShading-Accent4">
    <w:name w:val="Light Shading Accent 4"/>
    <w:basedOn w:val="TableNormal"/>
    <w:uiPriority w:val="60"/>
    <w:semiHidden/>
    <w:rsid w:val="00EE3EB6"/>
    <w:pPr>
      <w:spacing w:line="240" w:lineRule="auto"/>
    </w:pPr>
    <w:rPr>
      <w:color w:val="EEA704" w:themeColor="accent4" w:themeShade="BF"/>
    </w:rPr>
    <w:tblPr>
      <w:tblStyleRowBandSize w:val="1"/>
      <w:tblStyleColBandSize w:val="1"/>
      <w:tblBorders>
        <w:top w:val="single" w:sz="8" w:space="0" w:color="FCC648" w:themeColor="accent4"/>
        <w:bottom w:val="single" w:sz="8" w:space="0" w:color="FCC648" w:themeColor="accent4"/>
      </w:tblBorders>
    </w:tblPr>
    <w:tblStylePr w:type="fir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lastRow">
      <w:pPr>
        <w:spacing w:before="0" w:after="0" w:line="240" w:lineRule="auto"/>
      </w:pPr>
      <w:rPr>
        <w:b/>
        <w:bCs/>
      </w:rPr>
      <w:tblPr/>
      <w:tcPr>
        <w:tcBorders>
          <w:top w:val="single" w:sz="8" w:space="0" w:color="FCC648" w:themeColor="accent4"/>
          <w:left w:val="nil"/>
          <w:bottom w:val="single" w:sz="8" w:space="0" w:color="FCC6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left w:val="nil"/>
          <w:right w:val="nil"/>
          <w:insideH w:val="nil"/>
          <w:insideV w:val="nil"/>
        </w:tcBorders>
        <w:shd w:val="clear" w:color="auto" w:fill="FEF0D1" w:themeFill="accent4" w:themeFillTint="3F"/>
      </w:tcPr>
    </w:tblStylePr>
  </w:style>
  <w:style w:type="table" w:styleId="LightShading-Accent5">
    <w:name w:val="Light Shading Accent 5"/>
    <w:basedOn w:val="TableNormal"/>
    <w:uiPriority w:val="60"/>
    <w:semiHidden/>
    <w:rsid w:val="00EE3EB6"/>
    <w:pPr>
      <w:spacing w:line="240" w:lineRule="auto"/>
    </w:pPr>
    <w:rPr>
      <w:color w:val="63953A" w:themeColor="accent5" w:themeShade="BF"/>
    </w:rPr>
    <w:tblPr>
      <w:tblStyleRowBandSize w:val="1"/>
      <w:tblStyleColBandSize w:val="1"/>
      <w:tblBorders>
        <w:top w:val="single" w:sz="8" w:space="0" w:color="86BE57" w:themeColor="accent5"/>
        <w:bottom w:val="single" w:sz="8" w:space="0" w:color="86BE57" w:themeColor="accent5"/>
      </w:tblBorders>
    </w:tblPr>
    <w:tblStylePr w:type="fir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lastRow">
      <w:pPr>
        <w:spacing w:before="0" w:after="0" w:line="240" w:lineRule="auto"/>
      </w:pPr>
      <w:rPr>
        <w:b/>
        <w:bCs/>
      </w:rPr>
      <w:tblPr/>
      <w:tcPr>
        <w:tcBorders>
          <w:top w:val="single" w:sz="8" w:space="0" w:color="86BE57" w:themeColor="accent5"/>
          <w:left w:val="nil"/>
          <w:bottom w:val="single" w:sz="8" w:space="0" w:color="86BE57"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left w:val="nil"/>
          <w:right w:val="nil"/>
          <w:insideH w:val="nil"/>
          <w:insideV w:val="nil"/>
        </w:tcBorders>
        <w:shd w:val="clear" w:color="auto" w:fill="E1EFD5" w:themeFill="accent5" w:themeFillTint="3F"/>
      </w:tcPr>
    </w:tblStylePr>
  </w:style>
  <w:style w:type="table" w:styleId="LightShading-Accent6">
    <w:name w:val="Light Shading Accent 6"/>
    <w:basedOn w:val="TableNormal"/>
    <w:uiPriority w:val="60"/>
    <w:semiHidden/>
    <w:rsid w:val="00EE3EB6"/>
    <w:pPr>
      <w:spacing w:line="240" w:lineRule="auto"/>
    </w:pPr>
    <w:rPr>
      <w:color w:val="5A6062" w:themeColor="accent6" w:themeShade="BF"/>
    </w:rPr>
    <w:tblPr>
      <w:tblStyleRowBandSize w:val="1"/>
      <w:tblStyleColBandSize w:val="1"/>
      <w:tblBorders>
        <w:top w:val="single" w:sz="8" w:space="0" w:color="788183" w:themeColor="accent6"/>
        <w:bottom w:val="single" w:sz="8" w:space="0" w:color="788183" w:themeColor="accent6"/>
      </w:tblBorders>
    </w:tblPr>
    <w:tblStylePr w:type="fir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lastRow">
      <w:pPr>
        <w:spacing w:before="0" w:after="0" w:line="240" w:lineRule="auto"/>
      </w:pPr>
      <w:rPr>
        <w:b/>
        <w:bCs/>
      </w:rPr>
      <w:tblPr/>
      <w:tcPr>
        <w:tcBorders>
          <w:top w:val="single" w:sz="8" w:space="0" w:color="788183" w:themeColor="accent6"/>
          <w:left w:val="nil"/>
          <w:bottom w:val="single" w:sz="8" w:space="0" w:color="78818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left w:val="nil"/>
          <w:right w:val="nil"/>
          <w:insideH w:val="nil"/>
          <w:insideV w:val="nil"/>
        </w:tcBorders>
        <w:shd w:val="clear" w:color="auto" w:fill="DDDFE0" w:themeFill="accent6" w:themeFillTint="3F"/>
      </w:tcPr>
    </w:tblStylePr>
  </w:style>
  <w:style w:type="table" w:customStyle="1" w:styleId="ListTable1Light">
    <w:name w:val="List Table 1 Light"/>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C288B7" w:themeColor="accent1" w:themeTint="99"/>
        </w:tcBorders>
      </w:tcPr>
    </w:tblStylePr>
    <w:tblStylePr w:type="lastRow">
      <w:rPr>
        <w:b/>
        <w:bCs/>
      </w:rPr>
      <w:tblPr/>
      <w:tcPr>
        <w:tcBorders>
          <w:top w:val="sing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1LightAccent2">
    <w:name w:val="List Table 1 Light Accent 2"/>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DC948F" w:themeColor="accent2" w:themeTint="99"/>
        </w:tcBorders>
      </w:tcPr>
    </w:tblStylePr>
    <w:tblStylePr w:type="lastRow">
      <w:rPr>
        <w:b/>
        <w:bCs/>
      </w:rPr>
      <w:tblPr/>
      <w:tcPr>
        <w:tcBorders>
          <w:top w:val="sing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1LightAccent3">
    <w:name w:val="List Table 1 Light Accent 3"/>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6B68A" w:themeColor="accent3" w:themeTint="99"/>
        </w:tcBorders>
      </w:tcPr>
    </w:tblStylePr>
    <w:tblStylePr w:type="lastRow">
      <w:rPr>
        <w:b/>
        <w:bCs/>
      </w:rPr>
      <w:tblPr/>
      <w:tcPr>
        <w:tcBorders>
          <w:top w:val="sing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1LightAccent4">
    <w:name w:val="List Table 1 Light Accent 4"/>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FDDC91" w:themeColor="accent4" w:themeTint="99"/>
        </w:tcBorders>
      </w:tcPr>
    </w:tblStylePr>
    <w:tblStylePr w:type="lastRow">
      <w:rPr>
        <w:b/>
        <w:bCs/>
      </w:rPr>
      <w:tblPr/>
      <w:tcPr>
        <w:tcBorders>
          <w:top w:val="sing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1LightAccent5">
    <w:name w:val="List Table 1 Light Accent 5"/>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B6D89A" w:themeColor="accent5" w:themeTint="99"/>
        </w:tcBorders>
      </w:tcPr>
    </w:tblStylePr>
    <w:tblStylePr w:type="lastRow">
      <w:rPr>
        <w:b/>
        <w:bCs/>
      </w:rPr>
      <w:tblPr/>
      <w:tcPr>
        <w:tcBorders>
          <w:top w:val="sing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1LightAccent6">
    <w:name w:val="List Table 1 Light Accent 6"/>
    <w:basedOn w:val="TableNormal"/>
    <w:uiPriority w:val="46"/>
    <w:semiHidden/>
    <w:rsid w:val="00EE3EB6"/>
    <w:pPr>
      <w:spacing w:line="240" w:lineRule="auto"/>
    </w:pPr>
    <w:tblPr>
      <w:tblStyleRowBandSize w:val="1"/>
      <w:tblStyleColBandSize w:val="1"/>
    </w:tblPr>
    <w:tblStylePr w:type="firstRow">
      <w:rPr>
        <w:b/>
        <w:bCs/>
      </w:rPr>
      <w:tblPr/>
      <w:tcPr>
        <w:tcBorders>
          <w:bottom w:val="single" w:sz="4" w:space="0" w:color="ADB3B4" w:themeColor="accent6" w:themeTint="99"/>
        </w:tcBorders>
      </w:tcPr>
    </w:tblStylePr>
    <w:tblStylePr w:type="lastRow">
      <w:rPr>
        <w:b/>
        <w:bCs/>
      </w:rPr>
      <w:tblPr/>
      <w:tcPr>
        <w:tcBorders>
          <w:top w:val="sing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2">
    <w:name w:val="List Table 2"/>
    <w:basedOn w:val="TableNormal"/>
    <w:uiPriority w:val="47"/>
    <w:semiHidden/>
    <w:rsid w:val="00EE3EB6"/>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semiHidden/>
    <w:rsid w:val="00EE3EB6"/>
    <w:pPr>
      <w:spacing w:line="240" w:lineRule="auto"/>
    </w:pPr>
    <w:tblPr>
      <w:tblStyleRowBandSize w:val="1"/>
      <w:tblStyleColBandSize w:val="1"/>
      <w:tblBorders>
        <w:top w:val="single" w:sz="4" w:space="0" w:color="C288B7" w:themeColor="accent1" w:themeTint="99"/>
        <w:bottom w:val="single" w:sz="4" w:space="0" w:color="C288B7" w:themeColor="accent1" w:themeTint="99"/>
        <w:insideH w:val="single" w:sz="4" w:space="0" w:color="C288B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2Accent2">
    <w:name w:val="List Table 2 Accent 2"/>
    <w:basedOn w:val="TableNormal"/>
    <w:uiPriority w:val="47"/>
    <w:semiHidden/>
    <w:rsid w:val="00EE3EB6"/>
    <w:pPr>
      <w:spacing w:line="240" w:lineRule="auto"/>
    </w:pPr>
    <w:tblPr>
      <w:tblStyleRowBandSize w:val="1"/>
      <w:tblStyleColBandSize w:val="1"/>
      <w:tblBorders>
        <w:top w:val="single" w:sz="4" w:space="0" w:color="DC948F" w:themeColor="accent2" w:themeTint="99"/>
        <w:bottom w:val="single" w:sz="4" w:space="0" w:color="DC948F" w:themeColor="accent2" w:themeTint="99"/>
        <w:insideH w:val="single" w:sz="4" w:space="0" w:color="DC948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2Accent3">
    <w:name w:val="List Table 2 Accent 3"/>
    <w:basedOn w:val="TableNormal"/>
    <w:uiPriority w:val="47"/>
    <w:semiHidden/>
    <w:rsid w:val="00EE3EB6"/>
    <w:pPr>
      <w:spacing w:line="240" w:lineRule="auto"/>
    </w:pPr>
    <w:tblPr>
      <w:tblStyleRowBandSize w:val="1"/>
      <w:tblStyleColBandSize w:val="1"/>
      <w:tblBorders>
        <w:top w:val="single" w:sz="4" w:space="0" w:color="F6B68A" w:themeColor="accent3" w:themeTint="99"/>
        <w:bottom w:val="single" w:sz="4" w:space="0" w:color="F6B68A" w:themeColor="accent3" w:themeTint="99"/>
        <w:insideH w:val="single" w:sz="4" w:space="0" w:color="F6B68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2Accent4">
    <w:name w:val="List Table 2 Accent 4"/>
    <w:basedOn w:val="TableNormal"/>
    <w:uiPriority w:val="47"/>
    <w:semiHidden/>
    <w:rsid w:val="00EE3EB6"/>
    <w:pPr>
      <w:spacing w:line="240" w:lineRule="auto"/>
    </w:pPr>
    <w:tblPr>
      <w:tblStyleRowBandSize w:val="1"/>
      <w:tblStyleColBandSize w:val="1"/>
      <w:tblBorders>
        <w:top w:val="single" w:sz="4" w:space="0" w:color="FDDC91" w:themeColor="accent4" w:themeTint="99"/>
        <w:bottom w:val="single" w:sz="4" w:space="0" w:color="FDDC91" w:themeColor="accent4" w:themeTint="99"/>
        <w:insideH w:val="single" w:sz="4" w:space="0" w:color="FDDC9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2Accent5">
    <w:name w:val="List Table 2 Accent 5"/>
    <w:basedOn w:val="TableNormal"/>
    <w:uiPriority w:val="47"/>
    <w:semiHidden/>
    <w:rsid w:val="00EE3EB6"/>
    <w:pPr>
      <w:spacing w:line="240" w:lineRule="auto"/>
    </w:pPr>
    <w:tblPr>
      <w:tblStyleRowBandSize w:val="1"/>
      <w:tblStyleColBandSize w:val="1"/>
      <w:tblBorders>
        <w:top w:val="single" w:sz="4" w:space="0" w:color="B6D89A" w:themeColor="accent5" w:themeTint="99"/>
        <w:bottom w:val="single" w:sz="4" w:space="0" w:color="B6D89A" w:themeColor="accent5" w:themeTint="99"/>
        <w:insideH w:val="single" w:sz="4" w:space="0" w:color="B6D89A"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2Accent6">
    <w:name w:val="List Table 2 Accent 6"/>
    <w:basedOn w:val="TableNormal"/>
    <w:uiPriority w:val="47"/>
    <w:semiHidden/>
    <w:rsid w:val="00EE3EB6"/>
    <w:pPr>
      <w:spacing w:line="240" w:lineRule="auto"/>
    </w:pPr>
    <w:tblPr>
      <w:tblStyleRowBandSize w:val="1"/>
      <w:tblStyleColBandSize w:val="1"/>
      <w:tblBorders>
        <w:top w:val="single" w:sz="4" w:space="0" w:color="ADB3B4" w:themeColor="accent6" w:themeTint="99"/>
        <w:bottom w:val="single" w:sz="4" w:space="0" w:color="ADB3B4" w:themeColor="accent6" w:themeTint="99"/>
        <w:insideH w:val="single" w:sz="4" w:space="0" w:color="ADB3B4"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3">
    <w:name w:val="List Table 3"/>
    <w:basedOn w:val="TableNormal"/>
    <w:uiPriority w:val="48"/>
    <w:semiHidden/>
    <w:rsid w:val="00EE3EB6"/>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semiHidden/>
    <w:rsid w:val="00EE3EB6"/>
    <w:pPr>
      <w:spacing w:line="240" w:lineRule="auto"/>
    </w:pPr>
    <w:tblPr>
      <w:tblStyleRowBandSize w:val="1"/>
      <w:tblStyleColBandSize w:val="1"/>
      <w:tblBorders>
        <w:top w:val="single" w:sz="4" w:space="0" w:color="8D487F" w:themeColor="accent1"/>
        <w:left w:val="single" w:sz="4" w:space="0" w:color="8D487F" w:themeColor="accent1"/>
        <w:bottom w:val="single" w:sz="4" w:space="0" w:color="8D487F" w:themeColor="accent1"/>
        <w:right w:val="single" w:sz="4" w:space="0" w:color="8D487F" w:themeColor="accent1"/>
      </w:tblBorders>
    </w:tblPr>
    <w:tblStylePr w:type="firstRow">
      <w:rPr>
        <w:b/>
        <w:bCs/>
        <w:color w:val="FFFFFF" w:themeColor="background1"/>
      </w:rPr>
      <w:tblPr/>
      <w:tcPr>
        <w:shd w:val="clear" w:color="auto" w:fill="8D487F" w:themeFill="accent1"/>
      </w:tcPr>
    </w:tblStylePr>
    <w:tblStylePr w:type="lastRow">
      <w:rPr>
        <w:b/>
        <w:bCs/>
      </w:rPr>
      <w:tblPr/>
      <w:tcPr>
        <w:tcBorders>
          <w:top w:val="double" w:sz="4" w:space="0" w:color="8D487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D487F" w:themeColor="accent1"/>
          <w:right w:val="single" w:sz="4" w:space="0" w:color="8D487F" w:themeColor="accent1"/>
        </w:tcBorders>
      </w:tcPr>
    </w:tblStylePr>
    <w:tblStylePr w:type="band1Horz">
      <w:tblPr/>
      <w:tcPr>
        <w:tcBorders>
          <w:top w:val="single" w:sz="4" w:space="0" w:color="8D487F" w:themeColor="accent1"/>
          <w:bottom w:val="single" w:sz="4" w:space="0" w:color="8D487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D487F" w:themeColor="accent1"/>
          <w:left w:val="nil"/>
        </w:tcBorders>
      </w:tcPr>
    </w:tblStylePr>
    <w:tblStylePr w:type="swCell">
      <w:tblPr/>
      <w:tcPr>
        <w:tcBorders>
          <w:top w:val="double" w:sz="4" w:space="0" w:color="8D487F" w:themeColor="accent1"/>
          <w:right w:val="nil"/>
        </w:tcBorders>
      </w:tcPr>
    </w:tblStylePr>
  </w:style>
  <w:style w:type="table" w:customStyle="1" w:styleId="ListTable3Accent2">
    <w:name w:val="List Table 3 Accent 2"/>
    <w:basedOn w:val="TableNormal"/>
    <w:uiPriority w:val="48"/>
    <w:semiHidden/>
    <w:rsid w:val="00EE3EB6"/>
    <w:pPr>
      <w:spacing w:line="240" w:lineRule="auto"/>
    </w:pPr>
    <w:tblPr>
      <w:tblStyleRowBandSize w:val="1"/>
      <w:tblStyleColBandSize w:val="1"/>
      <w:tblBorders>
        <w:top w:val="single" w:sz="4" w:space="0" w:color="C64E45" w:themeColor="accent2"/>
        <w:left w:val="single" w:sz="4" w:space="0" w:color="C64E45" w:themeColor="accent2"/>
        <w:bottom w:val="single" w:sz="4" w:space="0" w:color="C64E45" w:themeColor="accent2"/>
        <w:right w:val="single" w:sz="4" w:space="0" w:color="C64E45" w:themeColor="accent2"/>
      </w:tblBorders>
    </w:tblPr>
    <w:tblStylePr w:type="firstRow">
      <w:rPr>
        <w:b/>
        <w:bCs/>
        <w:color w:val="FFFFFF" w:themeColor="background1"/>
      </w:rPr>
      <w:tblPr/>
      <w:tcPr>
        <w:shd w:val="clear" w:color="auto" w:fill="C64E45" w:themeFill="accent2"/>
      </w:tcPr>
    </w:tblStylePr>
    <w:tblStylePr w:type="lastRow">
      <w:rPr>
        <w:b/>
        <w:bCs/>
      </w:rPr>
      <w:tblPr/>
      <w:tcPr>
        <w:tcBorders>
          <w:top w:val="double" w:sz="4" w:space="0" w:color="C64E4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64E45" w:themeColor="accent2"/>
          <w:right w:val="single" w:sz="4" w:space="0" w:color="C64E45" w:themeColor="accent2"/>
        </w:tcBorders>
      </w:tcPr>
    </w:tblStylePr>
    <w:tblStylePr w:type="band1Horz">
      <w:tblPr/>
      <w:tcPr>
        <w:tcBorders>
          <w:top w:val="single" w:sz="4" w:space="0" w:color="C64E45" w:themeColor="accent2"/>
          <w:bottom w:val="single" w:sz="4" w:space="0" w:color="C64E4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64E45" w:themeColor="accent2"/>
          <w:left w:val="nil"/>
        </w:tcBorders>
      </w:tcPr>
    </w:tblStylePr>
    <w:tblStylePr w:type="swCell">
      <w:tblPr/>
      <w:tcPr>
        <w:tcBorders>
          <w:top w:val="double" w:sz="4" w:space="0" w:color="C64E45" w:themeColor="accent2"/>
          <w:right w:val="nil"/>
        </w:tcBorders>
      </w:tcPr>
    </w:tblStylePr>
  </w:style>
  <w:style w:type="table" w:customStyle="1" w:styleId="ListTable3Accent3">
    <w:name w:val="List Table 3 Accent 3"/>
    <w:basedOn w:val="TableNormal"/>
    <w:uiPriority w:val="48"/>
    <w:semiHidden/>
    <w:rsid w:val="00EE3EB6"/>
    <w:pPr>
      <w:spacing w:line="240" w:lineRule="auto"/>
    </w:pPr>
    <w:tblPr>
      <w:tblStyleRowBandSize w:val="1"/>
      <w:tblStyleColBandSize w:val="1"/>
      <w:tblBorders>
        <w:top w:val="single" w:sz="4" w:space="0" w:color="F1873D" w:themeColor="accent3"/>
        <w:left w:val="single" w:sz="4" w:space="0" w:color="F1873D" w:themeColor="accent3"/>
        <w:bottom w:val="single" w:sz="4" w:space="0" w:color="F1873D" w:themeColor="accent3"/>
        <w:right w:val="single" w:sz="4" w:space="0" w:color="F1873D" w:themeColor="accent3"/>
      </w:tblBorders>
    </w:tblPr>
    <w:tblStylePr w:type="firstRow">
      <w:rPr>
        <w:b/>
        <w:bCs/>
        <w:color w:val="FFFFFF" w:themeColor="background1"/>
      </w:rPr>
      <w:tblPr/>
      <w:tcPr>
        <w:shd w:val="clear" w:color="auto" w:fill="F1873D" w:themeFill="accent3"/>
      </w:tcPr>
    </w:tblStylePr>
    <w:tblStylePr w:type="lastRow">
      <w:rPr>
        <w:b/>
        <w:bCs/>
      </w:rPr>
      <w:tblPr/>
      <w:tcPr>
        <w:tcBorders>
          <w:top w:val="double" w:sz="4" w:space="0" w:color="F1873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873D" w:themeColor="accent3"/>
          <w:right w:val="single" w:sz="4" w:space="0" w:color="F1873D" w:themeColor="accent3"/>
        </w:tcBorders>
      </w:tcPr>
    </w:tblStylePr>
    <w:tblStylePr w:type="band1Horz">
      <w:tblPr/>
      <w:tcPr>
        <w:tcBorders>
          <w:top w:val="single" w:sz="4" w:space="0" w:color="F1873D" w:themeColor="accent3"/>
          <w:bottom w:val="single" w:sz="4" w:space="0" w:color="F1873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873D" w:themeColor="accent3"/>
          <w:left w:val="nil"/>
        </w:tcBorders>
      </w:tcPr>
    </w:tblStylePr>
    <w:tblStylePr w:type="swCell">
      <w:tblPr/>
      <w:tcPr>
        <w:tcBorders>
          <w:top w:val="double" w:sz="4" w:space="0" w:color="F1873D" w:themeColor="accent3"/>
          <w:right w:val="nil"/>
        </w:tcBorders>
      </w:tcPr>
    </w:tblStylePr>
  </w:style>
  <w:style w:type="table" w:customStyle="1" w:styleId="ListTable3Accent4">
    <w:name w:val="List Table 3 Accent 4"/>
    <w:basedOn w:val="TableNormal"/>
    <w:uiPriority w:val="48"/>
    <w:semiHidden/>
    <w:rsid w:val="00EE3EB6"/>
    <w:pPr>
      <w:spacing w:line="240" w:lineRule="auto"/>
    </w:pPr>
    <w:tblPr>
      <w:tblStyleRowBandSize w:val="1"/>
      <w:tblStyleColBandSize w:val="1"/>
      <w:tblBorders>
        <w:top w:val="single" w:sz="4" w:space="0" w:color="FCC648" w:themeColor="accent4"/>
        <w:left w:val="single" w:sz="4" w:space="0" w:color="FCC648" w:themeColor="accent4"/>
        <w:bottom w:val="single" w:sz="4" w:space="0" w:color="FCC648" w:themeColor="accent4"/>
        <w:right w:val="single" w:sz="4" w:space="0" w:color="FCC648" w:themeColor="accent4"/>
      </w:tblBorders>
    </w:tblPr>
    <w:tblStylePr w:type="firstRow">
      <w:rPr>
        <w:b/>
        <w:bCs/>
        <w:color w:val="FFFFFF" w:themeColor="background1"/>
      </w:rPr>
      <w:tblPr/>
      <w:tcPr>
        <w:shd w:val="clear" w:color="auto" w:fill="FCC648" w:themeFill="accent4"/>
      </w:tcPr>
    </w:tblStylePr>
    <w:tblStylePr w:type="lastRow">
      <w:rPr>
        <w:b/>
        <w:bCs/>
      </w:rPr>
      <w:tblPr/>
      <w:tcPr>
        <w:tcBorders>
          <w:top w:val="double" w:sz="4" w:space="0" w:color="FCC6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C648" w:themeColor="accent4"/>
          <w:right w:val="single" w:sz="4" w:space="0" w:color="FCC648" w:themeColor="accent4"/>
        </w:tcBorders>
      </w:tcPr>
    </w:tblStylePr>
    <w:tblStylePr w:type="band1Horz">
      <w:tblPr/>
      <w:tcPr>
        <w:tcBorders>
          <w:top w:val="single" w:sz="4" w:space="0" w:color="FCC648" w:themeColor="accent4"/>
          <w:bottom w:val="single" w:sz="4" w:space="0" w:color="FCC6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C648" w:themeColor="accent4"/>
          <w:left w:val="nil"/>
        </w:tcBorders>
      </w:tcPr>
    </w:tblStylePr>
    <w:tblStylePr w:type="swCell">
      <w:tblPr/>
      <w:tcPr>
        <w:tcBorders>
          <w:top w:val="double" w:sz="4" w:space="0" w:color="FCC648" w:themeColor="accent4"/>
          <w:right w:val="nil"/>
        </w:tcBorders>
      </w:tcPr>
    </w:tblStylePr>
  </w:style>
  <w:style w:type="table" w:customStyle="1" w:styleId="ListTable3Accent5">
    <w:name w:val="List Table 3 Accent 5"/>
    <w:basedOn w:val="TableNormal"/>
    <w:uiPriority w:val="48"/>
    <w:semiHidden/>
    <w:rsid w:val="00EE3EB6"/>
    <w:pPr>
      <w:spacing w:line="240" w:lineRule="auto"/>
    </w:pPr>
    <w:tblPr>
      <w:tblStyleRowBandSize w:val="1"/>
      <w:tblStyleColBandSize w:val="1"/>
      <w:tblBorders>
        <w:top w:val="single" w:sz="4" w:space="0" w:color="86BE57" w:themeColor="accent5"/>
        <w:left w:val="single" w:sz="4" w:space="0" w:color="86BE57" w:themeColor="accent5"/>
        <w:bottom w:val="single" w:sz="4" w:space="0" w:color="86BE57" w:themeColor="accent5"/>
        <w:right w:val="single" w:sz="4" w:space="0" w:color="86BE57" w:themeColor="accent5"/>
      </w:tblBorders>
    </w:tblPr>
    <w:tblStylePr w:type="firstRow">
      <w:rPr>
        <w:b/>
        <w:bCs/>
        <w:color w:val="FFFFFF" w:themeColor="background1"/>
      </w:rPr>
      <w:tblPr/>
      <w:tcPr>
        <w:shd w:val="clear" w:color="auto" w:fill="86BE57" w:themeFill="accent5"/>
      </w:tcPr>
    </w:tblStylePr>
    <w:tblStylePr w:type="lastRow">
      <w:rPr>
        <w:b/>
        <w:bCs/>
      </w:rPr>
      <w:tblPr/>
      <w:tcPr>
        <w:tcBorders>
          <w:top w:val="double" w:sz="4" w:space="0" w:color="86BE57"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6BE57" w:themeColor="accent5"/>
          <w:right w:val="single" w:sz="4" w:space="0" w:color="86BE57" w:themeColor="accent5"/>
        </w:tcBorders>
      </w:tcPr>
    </w:tblStylePr>
    <w:tblStylePr w:type="band1Horz">
      <w:tblPr/>
      <w:tcPr>
        <w:tcBorders>
          <w:top w:val="single" w:sz="4" w:space="0" w:color="86BE57" w:themeColor="accent5"/>
          <w:bottom w:val="single" w:sz="4" w:space="0" w:color="86BE57"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6BE57" w:themeColor="accent5"/>
          <w:left w:val="nil"/>
        </w:tcBorders>
      </w:tcPr>
    </w:tblStylePr>
    <w:tblStylePr w:type="swCell">
      <w:tblPr/>
      <w:tcPr>
        <w:tcBorders>
          <w:top w:val="double" w:sz="4" w:space="0" w:color="86BE57" w:themeColor="accent5"/>
          <w:right w:val="nil"/>
        </w:tcBorders>
      </w:tcPr>
    </w:tblStylePr>
  </w:style>
  <w:style w:type="table" w:customStyle="1" w:styleId="ListTable3Accent6">
    <w:name w:val="List Table 3 Accent 6"/>
    <w:basedOn w:val="TableNormal"/>
    <w:uiPriority w:val="48"/>
    <w:semiHidden/>
    <w:rsid w:val="00EE3EB6"/>
    <w:pPr>
      <w:spacing w:line="240" w:lineRule="auto"/>
    </w:pPr>
    <w:tblPr>
      <w:tblStyleRowBandSize w:val="1"/>
      <w:tblStyleColBandSize w:val="1"/>
      <w:tblBorders>
        <w:top w:val="single" w:sz="4" w:space="0" w:color="788183" w:themeColor="accent6"/>
        <w:left w:val="single" w:sz="4" w:space="0" w:color="788183" w:themeColor="accent6"/>
        <w:bottom w:val="single" w:sz="4" w:space="0" w:color="788183" w:themeColor="accent6"/>
        <w:right w:val="single" w:sz="4" w:space="0" w:color="788183" w:themeColor="accent6"/>
      </w:tblBorders>
    </w:tblPr>
    <w:tblStylePr w:type="firstRow">
      <w:rPr>
        <w:b/>
        <w:bCs/>
        <w:color w:val="FFFFFF" w:themeColor="background1"/>
      </w:rPr>
      <w:tblPr/>
      <w:tcPr>
        <w:shd w:val="clear" w:color="auto" w:fill="788183" w:themeFill="accent6"/>
      </w:tcPr>
    </w:tblStylePr>
    <w:tblStylePr w:type="lastRow">
      <w:rPr>
        <w:b/>
        <w:bCs/>
      </w:rPr>
      <w:tblPr/>
      <w:tcPr>
        <w:tcBorders>
          <w:top w:val="double" w:sz="4" w:space="0" w:color="78818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88183" w:themeColor="accent6"/>
          <w:right w:val="single" w:sz="4" w:space="0" w:color="788183" w:themeColor="accent6"/>
        </w:tcBorders>
      </w:tcPr>
    </w:tblStylePr>
    <w:tblStylePr w:type="band1Horz">
      <w:tblPr/>
      <w:tcPr>
        <w:tcBorders>
          <w:top w:val="single" w:sz="4" w:space="0" w:color="788183" w:themeColor="accent6"/>
          <w:bottom w:val="single" w:sz="4" w:space="0" w:color="78818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88183" w:themeColor="accent6"/>
          <w:left w:val="nil"/>
        </w:tcBorders>
      </w:tcPr>
    </w:tblStylePr>
    <w:tblStylePr w:type="swCell">
      <w:tblPr/>
      <w:tcPr>
        <w:tcBorders>
          <w:top w:val="double" w:sz="4" w:space="0" w:color="788183" w:themeColor="accent6"/>
          <w:right w:val="nil"/>
        </w:tcBorders>
      </w:tcPr>
    </w:tblStylePr>
  </w:style>
  <w:style w:type="table" w:customStyle="1" w:styleId="ListTable4">
    <w:name w:val="List Table 4"/>
    <w:basedOn w:val="TableNormal"/>
    <w:uiPriority w:val="49"/>
    <w:semiHidden/>
    <w:rsid w:val="00EE3EB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semiHidden/>
    <w:rsid w:val="00EE3EB6"/>
    <w:pPr>
      <w:spacing w:line="240" w:lineRule="auto"/>
    </w:pPr>
    <w:tblPr>
      <w:tblStyleRowBandSize w:val="1"/>
      <w:tblStyleColBandSize w:val="1"/>
      <w:tblBorders>
        <w:top w:val="single" w:sz="4" w:space="0" w:color="C288B7" w:themeColor="accent1" w:themeTint="99"/>
        <w:left w:val="single" w:sz="4" w:space="0" w:color="C288B7" w:themeColor="accent1" w:themeTint="99"/>
        <w:bottom w:val="single" w:sz="4" w:space="0" w:color="C288B7" w:themeColor="accent1" w:themeTint="99"/>
        <w:right w:val="single" w:sz="4" w:space="0" w:color="C288B7" w:themeColor="accent1" w:themeTint="99"/>
        <w:insideH w:val="single" w:sz="4" w:space="0" w:color="C288B7" w:themeColor="accent1" w:themeTint="99"/>
      </w:tblBorders>
    </w:tblPr>
    <w:tblStylePr w:type="firstRow">
      <w:rPr>
        <w:b/>
        <w:bCs/>
        <w:color w:val="FFFFFF" w:themeColor="background1"/>
      </w:rPr>
      <w:tblPr/>
      <w:tcPr>
        <w:tcBorders>
          <w:top w:val="single" w:sz="4" w:space="0" w:color="8D487F" w:themeColor="accent1"/>
          <w:left w:val="single" w:sz="4" w:space="0" w:color="8D487F" w:themeColor="accent1"/>
          <w:bottom w:val="single" w:sz="4" w:space="0" w:color="8D487F" w:themeColor="accent1"/>
          <w:right w:val="single" w:sz="4" w:space="0" w:color="8D487F" w:themeColor="accent1"/>
          <w:insideH w:val="nil"/>
        </w:tcBorders>
        <w:shd w:val="clear" w:color="auto" w:fill="8D487F" w:themeFill="accent1"/>
      </w:tcPr>
    </w:tblStylePr>
    <w:tblStylePr w:type="lastRow">
      <w:rPr>
        <w:b/>
        <w:bCs/>
      </w:rPr>
      <w:tblPr/>
      <w:tcPr>
        <w:tcBorders>
          <w:top w:val="double" w:sz="4" w:space="0" w:color="C288B7" w:themeColor="accent1" w:themeTint="99"/>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4Accent2">
    <w:name w:val="List Table 4 Accent 2"/>
    <w:basedOn w:val="TableNormal"/>
    <w:uiPriority w:val="49"/>
    <w:semiHidden/>
    <w:rsid w:val="00EE3EB6"/>
    <w:pPr>
      <w:spacing w:line="240" w:lineRule="auto"/>
    </w:pPr>
    <w:tblPr>
      <w:tblStyleRowBandSize w:val="1"/>
      <w:tblStyleColBandSize w:val="1"/>
      <w:tblBorders>
        <w:top w:val="single" w:sz="4" w:space="0" w:color="DC948F" w:themeColor="accent2" w:themeTint="99"/>
        <w:left w:val="single" w:sz="4" w:space="0" w:color="DC948F" w:themeColor="accent2" w:themeTint="99"/>
        <w:bottom w:val="single" w:sz="4" w:space="0" w:color="DC948F" w:themeColor="accent2" w:themeTint="99"/>
        <w:right w:val="single" w:sz="4" w:space="0" w:color="DC948F" w:themeColor="accent2" w:themeTint="99"/>
        <w:insideH w:val="single" w:sz="4" w:space="0" w:color="DC948F" w:themeColor="accent2" w:themeTint="99"/>
      </w:tblBorders>
    </w:tblPr>
    <w:tblStylePr w:type="firstRow">
      <w:rPr>
        <w:b/>
        <w:bCs/>
        <w:color w:val="FFFFFF" w:themeColor="background1"/>
      </w:rPr>
      <w:tblPr/>
      <w:tcPr>
        <w:tcBorders>
          <w:top w:val="single" w:sz="4" w:space="0" w:color="C64E45" w:themeColor="accent2"/>
          <w:left w:val="single" w:sz="4" w:space="0" w:color="C64E45" w:themeColor="accent2"/>
          <w:bottom w:val="single" w:sz="4" w:space="0" w:color="C64E45" w:themeColor="accent2"/>
          <w:right w:val="single" w:sz="4" w:space="0" w:color="C64E45" w:themeColor="accent2"/>
          <w:insideH w:val="nil"/>
        </w:tcBorders>
        <w:shd w:val="clear" w:color="auto" w:fill="C64E45" w:themeFill="accent2"/>
      </w:tcPr>
    </w:tblStylePr>
    <w:tblStylePr w:type="lastRow">
      <w:rPr>
        <w:b/>
        <w:bCs/>
      </w:rPr>
      <w:tblPr/>
      <w:tcPr>
        <w:tcBorders>
          <w:top w:val="double" w:sz="4" w:space="0" w:color="DC948F" w:themeColor="accent2" w:themeTint="99"/>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4Accent3">
    <w:name w:val="List Table 4 Accent 3"/>
    <w:basedOn w:val="TableNormal"/>
    <w:uiPriority w:val="49"/>
    <w:semiHidden/>
    <w:rsid w:val="00EE3EB6"/>
    <w:pPr>
      <w:spacing w:line="240" w:lineRule="auto"/>
    </w:pPr>
    <w:tblPr>
      <w:tblStyleRowBandSize w:val="1"/>
      <w:tblStyleColBandSize w:val="1"/>
      <w:tblBorders>
        <w:top w:val="single" w:sz="4" w:space="0" w:color="F6B68A" w:themeColor="accent3" w:themeTint="99"/>
        <w:left w:val="single" w:sz="4" w:space="0" w:color="F6B68A" w:themeColor="accent3" w:themeTint="99"/>
        <w:bottom w:val="single" w:sz="4" w:space="0" w:color="F6B68A" w:themeColor="accent3" w:themeTint="99"/>
        <w:right w:val="single" w:sz="4" w:space="0" w:color="F6B68A" w:themeColor="accent3" w:themeTint="99"/>
        <w:insideH w:val="single" w:sz="4" w:space="0" w:color="F6B68A" w:themeColor="accent3" w:themeTint="99"/>
      </w:tblBorders>
    </w:tblPr>
    <w:tblStylePr w:type="firstRow">
      <w:rPr>
        <w:b/>
        <w:bCs/>
        <w:color w:val="FFFFFF" w:themeColor="background1"/>
      </w:rPr>
      <w:tblPr/>
      <w:tcPr>
        <w:tcBorders>
          <w:top w:val="single" w:sz="4" w:space="0" w:color="F1873D" w:themeColor="accent3"/>
          <w:left w:val="single" w:sz="4" w:space="0" w:color="F1873D" w:themeColor="accent3"/>
          <w:bottom w:val="single" w:sz="4" w:space="0" w:color="F1873D" w:themeColor="accent3"/>
          <w:right w:val="single" w:sz="4" w:space="0" w:color="F1873D" w:themeColor="accent3"/>
          <w:insideH w:val="nil"/>
        </w:tcBorders>
        <w:shd w:val="clear" w:color="auto" w:fill="F1873D" w:themeFill="accent3"/>
      </w:tcPr>
    </w:tblStylePr>
    <w:tblStylePr w:type="lastRow">
      <w:rPr>
        <w:b/>
        <w:bCs/>
      </w:rPr>
      <w:tblPr/>
      <w:tcPr>
        <w:tcBorders>
          <w:top w:val="double" w:sz="4" w:space="0" w:color="F6B68A" w:themeColor="accent3" w:themeTint="99"/>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4Accent4">
    <w:name w:val="List Table 4 Accent 4"/>
    <w:basedOn w:val="TableNormal"/>
    <w:uiPriority w:val="49"/>
    <w:semiHidden/>
    <w:rsid w:val="00EE3EB6"/>
    <w:pPr>
      <w:spacing w:line="240" w:lineRule="auto"/>
    </w:pPr>
    <w:tblPr>
      <w:tblStyleRowBandSize w:val="1"/>
      <w:tblStyleColBandSize w:val="1"/>
      <w:tblBorders>
        <w:top w:val="single" w:sz="4" w:space="0" w:color="FDDC91" w:themeColor="accent4" w:themeTint="99"/>
        <w:left w:val="single" w:sz="4" w:space="0" w:color="FDDC91" w:themeColor="accent4" w:themeTint="99"/>
        <w:bottom w:val="single" w:sz="4" w:space="0" w:color="FDDC91" w:themeColor="accent4" w:themeTint="99"/>
        <w:right w:val="single" w:sz="4" w:space="0" w:color="FDDC91" w:themeColor="accent4" w:themeTint="99"/>
        <w:insideH w:val="single" w:sz="4" w:space="0" w:color="FDDC91" w:themeColor="accent4" w:themeTint="99"/>
      </w:tblBorders>
    </w:tblPr>
    <w:tblStylePr w:type="firstRow">
      <w:rPr>
        <w:b/>
        <w:bCs/>
        <w:color w:val="FFFFFF" w:themeColor="background1"/>
      </w:rPr>
      <w:tblPr/>
      <w:tcPr>
        <w:tcBorders>
          <w:top w:val="single" w:sz="4" w:space="0" w:color="FCC648" w:themeColor="accent4"/>
          <w:left w:val="single" w:sz="4" w:space="0" w:color="FCC648" w:themeColor="accent4"/>
          <w:bottom w:val="single" w:sz="4" w:space="0" w:color="FCC648" w:themeColor="accent4"/>
          <w:right w:val="single" w:sz="4" w:space="0" w:color="FCC648" w:themeColor="accent4"/>
          <w:insideH w:val="nil"/>
        </w:tcBorders>
        <w:shd w:val="clear" w:color="auto" w:fill="FCC648" w:themeFill="accent4"/>
      </w:tcPr>
    </w:tblStylePr>
    <w:tblStylePr w:type="lastRow">
      <w:rPr>
        <w:b/>
        <w:bCs/>
      </w:rPr>
      <w:tblPr/>
      <w:tcPr>
        <w:tcBorders>
          <w:top w:val="double" w:sz="4" w:space="0" w:color="FDDC91" w:themeColor="accent4" w:themeTint="99"/>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4Accent5">
    <w:name w:val="List Table 4 Accent 5"/>
    <w:basedOn w:val="TableNormal"/>
    <w:uiPriority w:val="49"/>
    <w:semiHidden/>
    <w:rsid w:val="00EE3EB6"/>
    <w:pPr>
      <w:spacing w:line="240" w:lineRule="auto"/>
    </w:pPr>
    <w:tblPr>
      <w:tblStyleRowBandSize w:val="1"/>
      <w:tblStyleColBandSize w:val="1"/>
      <w:tblBorders>
        <w:top w:val="single" w:sz="4" w:space="0" w:color="B6D89A" w:themeColor="accent5" w:themeTint="99"/>
        <w:left w:val="single" w:sz="4" w:space="0" w:color="B6D89A" w:themeColor="accent5" w:themeTint="99"/>
        <w:bottom w:val="single" w:sz="4" w:space="0" w:color="B6D89A" w:themeColor="accent5" w:themeTint="99"/>
        <w:right w:val="single" w:sz="4" w:space="0" w:color="B6D89A" w:themeColor="accent5" w:themeTint="99"/>
        <w:insideH w:val="single" w:sz="4" w:space="0" w:color="B6D89A" w:themeColor="accent5" w:themeTint="99"/>
      </w:tblBorders>
    </w:tblPr>
    <w:tblStylePr w:type="firstRow">
      <w:rPr>
        <w:b/>
        <w:bCs/>
        <w:color w:val="FFFFFF" w:themeColor="background1"/>
      </w:rPr>
      <w:tblPr/>
      <w:tcPr>
        <w:tcBorders>
          <w:top w:val="single" w:sz="4" w:space="0" w:color="86BE57" w:themeColor="accent5"/>
          <w:left w:val="single" w:sz="4" w:space="0" w:color="86BE57" w:themeColor="accent5"/>
          <w:bottom w:val="single" w:sz="4" w:space="0" w:color="86BE57" w:themeColor="accent5"/>
          <w:right w:val="single" w:sz="4" w:space="0" w:color="86BE57" w:themeColor="accent5"/>
          <w:insideH w:val="nil"/>
        </w:tcBorders>
        <w:shd w:val="clear" w:color="auto" w:fill="86BE57" w:themeFill="accent5"/>
      </w:tcPr>
    </w:tblStylePr>
    <w:tblStylePr w:type="lastRow">
      <w:rPr>
        <w:b/>
        <w:bCs/>
      </w:rPr>
      <w:tblPr/>
      <w:tcPr>
        <w:tcBorders>
          <w:top w:val="double" w:sz="4" w:space="0" w:color="B6D89A" w:themeColor="accent5" w:themeTint="99"/>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4Accent6">
    <w:name w:val="List Table 4 Accent 6"/>
    <w:basedOn w:val="TableNormal"/>
    <w:uiPriority w:val="49"/>
    <w:semiHidden/>
    <w:rsid w:val="00EE3EB6"/>
    <w:pPr>
      <w:spacing w:line="240" w:lineRule="auto"/>
    </w:pPr>
    <w:tblPr>
      <w:tblStyleRowBandSize w:val="1"/>
      <w:tblStyleColBandSize w:val="1"/>
      <w:tblBorders>
        <w:top w:val="single" w:sz="4" w:space="0" w:color="ADB3B4" w:themeColor="accent6" w:themeTint="99"/>
        <w:left w:val="single" w:sz="4" w:space="0" w:color="ADB3B4" w:themeColor="accent6" w:themeTint="99"/>
        <w:bottom w:val="single" w:sz="4" w:space="0" w:color="ADB3B4" w:themeColor="accent6" w:themeTint="99"/>
        <w:right w:val="single" w:sz="4" w:space="0" w:color="ADB3B4" w:themeColor="accent6" w:themeTint="99"/>
        <w:insideH w:val="single" w:sz="4" w:space="0" w:color="ADB3B4" w:themeColor="accent6" w:themeTint="99"/>
      </w:tblBorders>
    </w:tblPr>
    <w:tblStylePr w:type="firstRow">
      <w:rPr>
        <w:b/>
        <w:bCs/>
        <w:color w:val="FFFFFF" w:themeColor="background1"/>
      </w:rPr>
      <w:tblPr/>
      <w:tcPr>
        <w:tcBorders>
          <w:top w:val="single" w:sz="4" w:space="0" w:color="788183" w:themeColor="accent6"/>
          <w:left w:val="single" w:sz="4" w:space="0" w:color="788183" w:themeColor="accent6"/>
          <w:bottom w:val="single" w:sz="4" w:space="0" w:color="788183" w:themeColor="accent6"/>
          <w:right w:val="single" w:sz="4" w:space="0" w:color="788183" w:themeColor="accent6"/>
          <w:insideH w:val="nil"/>
        </w:tcBorders>
        <w:shd w:val="clear" w:color="auto" w:fill="788183" w:themeFill="accent6"/>
      </w:tcPr>
    </w:tblStylePr>
    <w:tblStylePr w:type="lastRow">
      <w:rPr>
        <w:b/>
        <w:bCs/>
      </w:rPr>
      <w:tblPr/>
      <w:tcPr>
        <w:tcBorders>
          <w:top w:val="double" w:sz="4" w:space="0" w:color="ADB3B4" w:themeColor="accent6" w:themeTint="99"/>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5Dark">
    <w:name w:val="List Table 5 Dark"/>
    <w:basedOn w:val="TableNormal"/>
    <w:uiPriority w:val="50"/>
    <w:semiHidden/>
    <w:rsid w:val="00EE3EB6"/>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semiHidden/>
    <w:rsid w:val="00EE3EB6"/>
    <w:pPr>
      <w:spacing w:line="240" w:lineRule="auto"/>
    </w:pPr>
    <w:rPr>
      <w:color w:val="FFFFFF" w:themeColor="background1"/>
    </w:rPr>
    <w:tblPr>
      <w:tblStyleRowBandSize w:val="1"/>
      <w:tblStyleColBandSize w:val="1"/>
      <w:tblBorders>
        <w:top w:val="single" w:sz="24" w:space="0" w:color="8D487F" w:themeColor="accent1"/>
        <w:left w:val="single" w:sz="24" w:space="0" w:color="8D487F" w:themeColor="accent1"/>
        <w:bottom w:val="single" w:sz="24" w:space="0" w:color="8D487F" w:themeColor="accent1"/>
        <w:right w:val="single" w:sz="24" w:space="0" w:color="8D487F" w:themeColor="accent1"/>
      </w:tblBorders>
    </w:tblPr>
    <w:tcPr>
      <w:shd w:val="clear" w:color="auto" w:fill="8D487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semiHidden/>
    <w:rsid w:val="00EE3EB6"/>
    <w:pPr>
      <w:spacing w:line="240" w:lineRule="auto"/>
    </w:pPr>
    <w:rPr>
      <w:color w:val="FFFFFF" w:themeColor="background1"/>
    </w:rPr>
    <w:tblPr>
      <w:tblStyleRowBandSize w:val="1"/>
      <w:tblStyleColBandSize w:val="1"/>
      <w:tblBorders>
        <w:top w:val="single" w:sz="24" w:space="0" w:color="C64E45" w:themeColor="accent2"/>
        <w:left w:val="single" w:sz="24" w:space="0" w:color="C64E45" w:themeColor="accent2"/>
        <w:bottom w:val="single" w:sz="24" w:space="0" w:color="C64E45" w:themeColor="accent2"/>
        <w:right w:val="single" w:sz="24" w:space="0" w:color="C64E45" w:themeColor="accent2"/>
      </w:tblBorders>
    </w:tblPr>
    <w:tcPr>
      <w:shd w:val="clear" w:color="auto" w:fill="C64E45"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semiHidden/>
    <w:rsid w:val="00EE3EB6"/>
    <w:pPr>
      <w:spacing w:line="240" w:lineRule="auto"/>
    </w:pPr>
    <w:rPr>
      <w:color w:val="FFFFFF" w:themeColor="background1"/>
    </w:rPr>
    <w:tblPr>
      <w:tblStyleRowBandSize w:val="1"/>
      <w:tblStyleColBandSize w:val="1"/>
      <w:tblBorders>
        <w:top w:val="single" w:sz="24" w:space="0" w:color="F1873D" w:themeColor="accent3"/>
        <w:left w:val="single" w:sz="24" w:space="0" w:color="F1873D" w:themeColor="accent3"/>
        <w:bottom w:val="single" w:sz="24" w:space="0" w:color="F1873D" w:themeColor="accent3"/>
        <w:right w:val="single" w:sz="24" w:space="0" w:color="F1873D" w:themeColor="accent3"/>
      </w:tblBorders>
    </w:tblPr>
    <w:tcPr>
      <w:shd w:val="clear" w:color="auto" w:fill="F1873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semiHidden/>
    <w:rsid w:val="00EE3EB6"/>
    <w:pPr>
      <w:spacing w:line="240" w:lineRule="auto"/>
    </w:pPr>
    <w:rPr>
      <w:color w:val="FFFFFF" w:themeColor="background1"/>
    </w:rPr>
    <w:tblPr>
      <w:tblStyleRowBandSize w:val="1"/>
      <w:tblStyleColBandSize w:val="1"/>
      <w:tblBorders>
        <w:top w:val="single" w:sz="24" w:space="0" w:color="FCC648" w:themeColor="accent4"/>
        <w:left w:val="single" w:sz="24" w:space="0" w:color="FCC648" w:themeColor="accent4"/>
        <w:bottom w:val="single" w:sz="24" w:space="0" w:color="FCC648" w:themeColor="accent4"/>
        <w:right w:val="single" w:sz="24" w:space="0" w:color="FCC648" w:themeColor="accent4"/>
      </w:tblBorders>
    </w:tblPr>
    <w:tcPr>
      <w:shd w:val="clear" w:color="auto" w:fill="FCC6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semiHidden/>
    <w:rsid w:val="00EE3EB6"/>
    <w:pPr>
      <w:spacing w:line="240" w:lineRule="auto"/>
    </w:pPr>
    <w:rPr>
      <w:color w:val="FFFFFF" w:themeColor="background1"/>
    </w:rPr>
    <w:tblPr>
      <w:tblStyleRowBandSize w:val="1"/>
      <w:tblStyleColBandSize w:val="1"/>
      <w:tblBorders>
        <w:top w:val="single" w:sz="24" w:space="0" w:color="86BE57" w:themeColor="accent5"/>
        <w:left w:val="single" w:sz="24" w:space="0" w:color="86BE57" w:themeColor="accent5"/>
        <w:bottom w:val="single" w:sz="24" w:space="0" w:color="86BE57" w:themeColor="accent5"/>
        <w:right w:val="single" w:sz="24" w:space="0" w:color="86BE57" w:themeColor="accent5"/>
      </w:tblBorders>
    </w:tblPr>
    <w:tcPr>
      <w:shd w:val="clear" w:color="auto" w:fill="86BE57"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semiHidden/>
    <w:rsid w:val="00EE3EB6"/>
    <w:pPr>
      <w:spacing w:line="240" w:lineRule="auto"/>
    </w:pPr>
    <w:rPr>
      <w:color w:val="FFFFFF" w:themeColor="background1"/>
    </w:rPr>
    <w:tblPr>
      <w:tblStyleRowBandSize w:val="1"/>
      <w:tblStyleColBandSize w:val="1"/>
      <w:tblBorders>
        <w:top w:val="single" w:sz="24" w:space="0" w:color="788183" w:themeColor="accent6"/>
        <w:left w:val="single" w:sz="24" w:space="0" w:color="788183" w:themeColor="accent6"/>
        <w:bottom w:val="single" w:sz="24" w:space="0" w:color="788183" w:themeColor="accent6"/>
        <w:right w:val="single" w:sz="24" w:space="0" w:color="788183" w:themeColor="accent6"/>
      </w:tblBorders>
    </w:tblPr>
    <w:tcPr>
      <w:shd w:val="clear" w:color="auto" w:fill="78818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semiHidden/>
    <w:rsid w:val="00EE3EB6"/>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semiHidden/>
    <w:rsid w:val="00EE3EB6"/>
    <w:pPr>
      <w:spacing w:line="240" w:lineRule="auto"/>
    </w:pPr>
    <w:rPr>
      <w:color w:val="69365E" w:themeColor="accent1" w:themeShade="BF"/>
    </w:rPr>
    <w:tblPr>
      <w:tblStyleRowBandSize w:val="1"/>
      <w:tblStyleColBandSize w:val="1"/>
      <w:tblBorders>
        <w:top w:val="single" w:sz="4" w:space="0" w:color="8D487F" w:themeColor="accent1"/>
        <w:bottom w:val="single" w:sz="4" w:space="0" w:color="8D487F" w:themeColor="accent1"/>
      </w:tblBorders>
    </w:tblPr>
    <w:tblStylePr w:type="firstRow">
      <w:rPr>
        <w:b/>
        <w:bCs/>
      </w:rPr>
      <w:tblPr/>
      <w:tcPr>
        <w:tcBorders>
          <w:bottom w:val="single" w:sz="4" w:space="0" w:color="8D487F" w:themeColor="accent1"/>
        </w:tcBorders>
      </w:tcPr>
    </w:tblStylePr>
    <w:tblStylePr w:type="lastRow">
      <w:rPr>
        <w:b/>
        <w:bCs/>
      </w:rPr>
      <w:tblPr/>
      <w:tcPr>
        <w:tcBorders>
          <w:top w:val="double" w:sz="4" w:space="0" w:color="8D487F" w:themeColor="accent1"/>
        </w:tcBorders>
      </w:tcPr>
    </w:tblStylePr>
    <w:tblStylePr w:type="firstCol">
      <w:rPr>
        <w:b/>
        <w:bCs/>
      </w:rPr>
    </w:tblStylePr>
    <w:tblStylePr w:type="lastCol">
      <w:rPr>
        <w:b/>
        <w:bCs/>
      </w:rPr>
    </w:tblStylePr>
    <w:tblStylePr w:type="band1Vert">
      <w:tblPr/>
      <w:tcPr>
        <w:shd w:val="clear" w:color="auto" w:fill="EAD7E6" w:themeFill="accent1" w:themeFillTint="33"/>
      </w:tcPr>
    </w:tblStylePr>
    <w:tblStylePr w:type="band1Horz">
      <w:tblPr/>
      <w:tcPr>
        <w:shd w:val="clear" w:color="auto" w:fill="EAD7E6" w:themeFill="accent1" w:themeFillTint="33"/>
      </w:tcPr>
    </w:tblStylePr>
  </w:style>
  <w:style w:type="table" w:customStyle="1" w:styleId="ListTable6ColorfulAccent2">
    <w:name w:val="List Table 6 Colorful Accent 2"/>
    <w:basedOn w:val="TableNormal"/>
    <w:uiPriority w:val="51"/>
    <w:semiHidden/>
    <w:rsid w:val="00EE3EB6"/>
    <w:pPr>
      <w:spacing w:line="240" w:lineRule="auto"/>
    </w:pPr>
    <w:rPr>
      <w:color w:val="98362F" w:themeColor="accent2" w:themeShade="BF"/>
    </w:rPr>
    <w:tblPr>
      <w:tblStyleRowBandSize w:val="1"/>
      <w:tblStyleColBandSize w:val="1"/>
      <w:tblBorders>
        <w:top w:val="single" w:sz="4" w:space="0" w:color="C64E45" w:themeColor="accent2"/>
        <w:bottom w:val="single" w:sz="4" w:space="0" w:color="C64E45" w:themeColor="accent2"/>
      </w:tblBorders>
    </w:tblPr>
    <w:tblStylePr w:type="firstRow">
      <w:rPr>
        <w:b/>
        <w:bCs/>
      </w:rPr>
      <w:tblPr/>
      <w:tcPr>
        <w:tcBorders>
          <w:bottom w:val="single" w:sz="4" w:space="0" w:color="C64E45" w:themeColor="accent2"/>
        </w:tcBorders>
      </w:tcPr>
    </w:tblStylePr>
    <w:tblStylePr w:type="lastRow">
      <w:rPr>
        <w:b/>
        <w:bCs/>
      </w:rPr>
      <w:tblPr/>
      <w:tcPr>
        <w:tcBorders>
          <w:top w:val="double" w:sz="4" w:space="0" w:color="C64E45" w:themeColor="accent2"/>
        </w:tcBorders>
      </w:tcPr>
    </w:tblStylePr>
    <w:tblStylePr w:type="firstCol">
      <w:rPr>
        <w:b/>
        <w:bCs/>
      </w:rPr>
    </w:tblStylePr>
    <w:tblStylePr w:type="lastCol">
      <w:rPr>
        <w:b/>
        <w:bCs/>
      </w:rPr>
    </w:tblStylePr>
    <w:tblStylePr w:type="band1Vert">
      <w:tblPr/>
      <w:tcPr>
        <w:shd w:val="clear" w:color="auto" w:fill="F3DBD9" w:themeFill="accent2" w:themeFillTint="33"/>
      </w:tcPr>
    </w:tblStylePr>
    <w:tblStylePr w:type="band1Horz">
      <w:tblPr/>
      <w:tcPr>
        <w:shd w:val="clear" w:color="auto" w:fill="F3DBD9" w:themeFill="accent2" w:themeFillTint="33"/>
      </w:tcPr>
    </w:tblStylePr>
  </w:style>
  <w:style w:type="table" w:customStyle="1" w:styleId="ListTable6ColorfulAccent3">
    <w:name w:val="List Table 6 Colorful Accent 3"/>
    <w:basedOn w:val="TableNormal"/>
    <w:uiPriority w:val="51"/>
    <w:semiHidden/>
    <w:rsid w:val="00EE3EB6"/>
    <w:pPr>
      <w:spacing w:line="240" w:lineRule="auto"/>
    </w:pPr>
    <w:rPr>
      <w:color w:val="D25E0F" w:themeColor="accent3" w:themeShade="BF"/>
    </w:rPr>
    <w:tblPr>
      <w:tblStyleRowBandSize w:val="1"/>
      <w:tblStyleColBandSize w:val="1"/>
      <w:tblBorders>
        <w:top w:val="single" w:sz="4" w:space="0" w:color="F1873D" w:themeColor="accent3"/>
        <w:bottom w:val="single" w:sz="4" w:space="0" w:color="F1873D" w:themeColor="accent3"/>
      </w:tblBorders>
    </w:tblPr>
    <w:tblStylePr w:type="firstRow">
      <w:rPr>
        <w:b/>
        <w:bCs/>
      </w:rPr>
      <w:tblPr/>
      <w:tcPr>
        <w:tcBorders>
          <w:bottom w:val="single" w:sz="4" w:space="0" w:color="F1873D" w:themeColor="accent3"/>
        </w:tcBorders>
      </w:tcPr>
    </w:tblStylePr>
    <w:tblStylePr w:type="lastRow">
      <w:rPr>
        <w:b/>
        <w:bCs/>
      </w:rPr>
      <w:tblPr/>
      <w:tcPr>
        <w:tcBorders>
          <w:top w:val="double" w:sz="4" w:space="0" w:color="F1873D" w:themeColor="accent3"/>
        </w:tcBorders>
      </w:tcPr>
    </w:tblStylePr>
    <w:tblStylePr w:type="firstCol">
      <w:rPr>
        <w:b/>
        <w:bCs/>
      </w:rPr>
    </w:tblStylePr>
    <w:tblStylePr w:type="lastCol">
      <w:rPr>
        <w:b/>
        <w:bCs/>
      </w:rPr>
    </w:tblStylePr>
    <w:tblStylePr w:type="band1Vert">
      <w:tblPr/>
      <w:tcPr>
        <w:shd w:val="clear" w:color="auto" w:fill="FCE6D8" w:themeFill="accent3" w:themeFillTint="33"/>
      </w:tcPr>
    </w:tblStylePr>
    <w:tblStylePr w:type="band1Horz">
      <w:tblPr/>
      <w:tcPr>
        <w:shd w:val="clear" w:color="auto" w:fill="FCE6D8" w:themeFill="accent3" w:themeFillTint="33"/>
      </w:tcPr>
    </w:tblStylePr>
  </w:style>
  <w:style w:type="table" w:customStyle="1" w:styleId="ListTable6ColorfulAccent4">
    <w:name w:val="List Table 6 Colorful Accent 4"/>
    <w:basedOn w:val="TableNormal"/>
    <w:uiPriority w:val="51"/>
    <w:semiHidden/>
    <w:rsid w:val="00EE3EB6"/>
    <w:pPr>
      <w:spacing w:line="240" w:lineRule="auto"/>
    </w:pPr>
    <w:rPr>
      <w:color w:val="EEA704" w:themeColor="accent4" w:themeShade="BF"/>
    </w:rPr>
    <w:tblPr>
      <w:tblStyleRowBandSize w:val="1"/>
      <w:tblStyleColBandSize w:val="1"/>
      <w:tblBorders>
        <w:top w:val="single" w:sz="4" w:space="0" w:color="FCC648" w:themeColor="accent4"/>
        <w:bottom w:val="single" w:sz="4" w:space="0" w:color="FCC648" w:themeColor="accent4"/>
      </w:tblBorders>
    </w:tblPr>
    <w:tblStylePr w:type="firstRow">
      <w:rPr>
        <w:b/>
        <w:bCs/>
      </w:rPr>
      <w:tblPr/>
      <w:tcPr>
        <w:tcBorders>
          <w:bottom w:val="single" w:sz="4" w:space="0" w:color="FCC648" w:themeColor="accent4"/>
        </w:tcBorders>
      </w:tcPr>
    </w:tblStylePr>
    <w:tblStylePr w:type="lastRow">
      <w:rPr>
        <w:b/>
        <w:bCs/>
      </w:rPr>
      <w:tblPr/>
      <w:tcPr>
        <w:tcBorders>
          <w:top w:val="double" w:sz="4" w:space="0" w:color="FCC648" w:themeColor="accent4"/>
        </w:tcBorders>
      </w:tcPr>
    </w:tblStylePr>
    <w:tblStylePr w:type="firstCol">
      <w:rPr>
        <w:b/>
        <w:bCs/>
      </w:rPr>
    </w:tblStylePr>
    <w:tblStylePr w:type="lastCol">
      <w:rPr>
        <w:b/>
        <w:bCs/>
      </w:rPr>
    </w:tblStylePr>
    <w:tblStylePr w:type="band1Vert">
      <w:tblPr/>
      <w:tcPr>
        <w:shd w:val="clear" w:color="auto" w:fill="FEF3DA" w:themeFill="accent4" w:themeFillTint="33"/>
      </w:tcPr>
    </w:tblStylePr>
    <w:tblStylePr w:type="band1Horz">
      <w:tblPr/>
      <w:tcPr>
        <w:shd w:val="clear" w:color="auto" w:fill="FEF3DA" w:themeFill="accent4" w:themeFillTint="33"/>
      </w:tcPr>
    </w:tblStylePr>
  </w:style>
  <w:style w:type="table" w:customStyle="1" w:styleId="ListTable6ColorfulAccent5">
    <w:name w:val="List Table 6 Colorful Accent 5"/>
    <w:basedOn w:val="TableNormal"/>
    <w:uiPriority w:val="51"/>
    <w:semiHidden/>
    <w:rsid w:val="00EE3EB6"/>
    <w:pPr>
      <w:spacing w:line="240" w:lineRule="auto"/>
    </w:pPr>
    <w:rPr>
      <w:color w:val="63953A" w:themeColor="accent5" w:themeShade="BF"/>
    </w:rPr>
    <w:tblPr>
      <w:tblStyleRowBandSize w:val="1"/>
      <w:tblStyleColBandSize w:val="1"/>
      <w:tblBorders>
        <w:top w:val="single" w:sz="4" w:space="0" w:color="86BE57" w:themeColor="accent5"/>
        <w:bottom w:val="single" w:sz="4" w:space="0" w:color="86BE57" w:themeColor="accent5"/>
      </w:tblBorders>
    </w:tblPr>
    <w:tblStylePr w:type="firstRow">
      <w:rPr>
        <w:b/>
        <w:bCs/>
      </w:rPr>
      <w:tblPr/>
      <w:tcPr>
        <w:tcBorders>
          <w:bottom w:val="single" w:sz="4" w:space="0" w:color="86BE57" w:themeColor="accent5"/>
        </w:tcBorders>
      </w:tcPr>
    </w:tblStylePr>
    <w:tblStylePr w:type="lastRow">
      <w:rPr>
        <w:b/>
        <w:bCs/>
      </w:rPr>
      <w:tblPr/>
      <w:tcPr>
        <w:tcBorders>
          <w:top w:val="double" w:sz="4" w:space="0" w:color="86BE57" w:themeColor="accent5"/>
        </w:tcBorders>
      </w:tcPr>
    </w:tblStylePr>
    <w:tblStylePr w:type="firstCol">
      <w:rPr>
        <w:b/>
        <w:bCs/>
      </w:rPr>
    </w:tblStylePr>
    <w:tblStylePr w:type="lastCol">
      <w:rPr>
        <w:b/>
        <w:bCs/>
      </w:rPr>
    </w:tblStylePr>
    <w:tblStylePr w:type="band1Vert">
      <w:tblPr/>
      <w:tcPr>
        <w:shd w:val="clear" w:color="auto" w:fill="E6F2DD" w:themeFill="accent5" w:themeFillTint="33"/>
      </w:tcPr>
    </w:tblStylePr>
    <w:tblStylePr w:type="band1Horz">
      <w:tblPr/>
      <w:tcPr>
        <w:shd w:val="clear" w:color="auto" w:fill="E6F2DD" w:themeFill="accent5" w:themeFillTint="33"/>
      </w:tcPr>
    </w:tblStylePr>
  </w:style>
  <w:style w:type="table" w:customStyle="1" w:styleId="ListTable6ColorfulAccent6">
    <w:name w:val="List Table 6 Colorful Accent 6"/>
    <w:basedOn w:val="TableNormal"/>
    <w:uiPriority w:val="51"/>
    <w:semiHidden/>
    <w:rsid w:val="00EE3EB6"/>
    <w:pPr>
      <w:spacing w:line="240" w:lineRule="auto"/>
    </w:pPr>
    <w:rPr>
      <w:color w:val="5A6062" w:themeColor="accent6" w:themeShade="BF"/>
    </w:rPr>
    <w:tblPr>
      <w:tblStyleRowBandSize w:val="1"/>
      <w:tblStyleColBandSize w:val="1"/>
      <w:tblBorders>
        <w:top w:val="single" w:sz="4" w:space="0" w:color="788183" w:themeColor="accent6"/>
        <w:bottom w:val="single" w:sz="4" w:space="0" w:color="788183" w:themeColor="accent6"/>
      </w:tblBorders>
    </w:tblPr>
    <w:tblStylePr w:type="firstRow">
      <w:rPr>
        <w:b/>
        <w:bCs/>
      </w:rPr>
      <w:tblPr/>
      <w:tcPr>
        <w:tcBorders>
          <w:bottom w:val="single" w:sz="4" w:space="0" w:color="788183" w:themeColor="accent6"/>
        </w:tcBorders>
      </w:tcPr>
    </w:tblStylePr>
    <w:tblStylePr w:type="lastRow">
      <w:rPr>
        <w:b/>
        <w:bCs/>
      </w:rPr>
      <w:tblPr/>
      <w:tcPr>
        <w:tcBorders>
          <w:top w:val="double" w:sz="4" w:space="0" w:color="788183" w:themeColor="accent6"/>
        </w:tcBorders>
      </w:tcPr>
    </w:tblStylePr>
    <w:tblStylePr w:type="firstCol">
      <w:rPr>
        <w:b/>
        <w:bCs/>
      </w:rPr>
    </w:tblStylePr>
    <w:tblStylePr w:type="lastCol">
      <w:rPr>
        <w:b/>
        <w:bCs/>
      </w:rPr>
    </w:tblStylePr>
    <w:tblStylePr w:type="band1Vert">
      <w:tblPr/>
      <w:tcPr>
        <w:shd w:val="clear" w:color="auto" w:fill="E3E5E6" w:themeFill="accent6" w:themeFillTint="33"/>
      </w:tcPr>
    </w:tblStylePr>
    <w:tblStylePr w:type="band1Horz">
      <w:tblPr/>
      <w:tcPr>
        <w:shd w:val="clear" w:color="auto" w:fill="E3E5E6" w:themeFill="accent6" w:themeFillTint="33"/>
      </w:tcPr>
    </w:tblStylePr>
  </w:style>
  <w:style w:type="table" w:customStyle="1" w:styleId="ListTable7Colorful">
    <w:name w:val="List Table 7 Colorful"/>
    <w:basedOn w:val="TableNormal"/>
    <w:uiPriority w:val="52"/>
    <w:semiHidden/>
    <w:rsid w:val="00EE3EB6"/>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semiHidden/>
    <w:rsid w:val="00EE3EB6"/>
    <w:pPr>
      <w:spacing w:line="240" w:lineRule="auto"/>
    </w:pPr>
    <w:rPr>
      <w:color w:val="69365E"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D487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D487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D487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D487F" w:themeColor="accent1"/>
        </w:tcBorders>
        <w:shd w:val="clear" w:color="auto" w:fill="FFFFFF" w:themeFill="background1"/>
      </w:tcPr>
    </w:tblStylePr>
    <w:tblStylePr w:type="band1Vert">
      <w:tblPr/>
      <w:tcPr>
        <w:shd w:val="clear" w:color="auto" w:fill="EAD7E6" w:themeFill="accent1" w:themeFillTint="33"/>
      </w:tcPr>
    </w:tblStylePr>
    <w:tblStylePr w:type="band1Horz">
      <w:tblPr/>
      <w:tcPr>
        <w:shd w:val="clear" w:color="auto" w:fill="EAD7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semiHidden/>
    <w:rsid w:val="00EE3EB6"/>
    <w:pPr>
      <w:spacing w:line="240" w:lineRule="auto"/>
    </w:pPr>
    <w:rPr>
      <w:color w:val="9836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64E45"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64E45"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64E45"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64E45" w:themeColor="accent2"/>
        </w:tcBorders>
        <w:shd w:val="clear" w:color="auto" w:fill="FFFFFF" w:themeFill="background1"/>
      </w:tcPr>
    </w:tblStylePr>
    <w:tblStylePr w:type="band1Vert">
      <w:tblPr/>
      <w:tcPr>
        <w:shd w:val="clear" w:color="auto" w:fill="F3DBD9" w:themeFill="accent2" w:themeFillTint="33"/>
      </w:tcPr>
    </w:tblStylePr>
    <w:tblStylePr w:type="band1Horz">
      <w:tblPr/>
      <w:tcPr>
        <w:shd w:val="clear" w:color="auto" w:fill="F3DBD9"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semiHidden/>
    <w:rsid w:val="00EE3EB6"/>
    <w:pPr>
      <w:spacing w:line="240" w:lineRule="auto"/>
    </w:pPr>
    <w:rPr>
      <w:color w:val="D25E0F"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873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873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873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873D" w:themeColor="accent3"/>
        </w:tcBorders>
        <w:shd w:val="clear" w:color="auto" w:fill="FFFFFF" w:themeFill="background1"/>
      </w:tcPr>
    </w:tblStylePr>
    <w:tblStylePr w:type="band1Vert">
      <w:tblPr/>
      <w:tcPr>
        <w:shd w:val="clear" w:color="auto" w:fill="FCE6D8" w:themeFill="accent3" w:themeFillTint="33"/>
      </w:tcPr>
    </w:tblStylePr>
    <w:tblStylePr w:type="band1Horz">
      <w:tblPr/>
      <w:tcPr>
        <w:shd w:val="clear" w:color="auto" w:fill="FCE6D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semiHidden/>
    <w:rsid w:val="00EE3EB6"/>
    <w:pPr>
      <w:spacing w:line="240" w:lineRule="auto"/>
    </w:pPr>
    <w:rPr>
      <w:color w:val="EEA70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CC6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CC6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CC6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CC648" w:themeColor="accent4"/>
        </w:tcBorders>
        <w:shd w:val="clear" w:color="auto" w:fill="FFFFFF" w:themeFill="background1"/>
      </w:tcPr>
    </w:tblStylePr>
    <w:tblStylePr w:type="band1Vert">
      <w:tblPr/>
      <w:tcPr>
        <w:shd w:val="clear" w:color="auto" w:fill="FEF3DA" w:themeFill="accent4" w:themeFillTint="33"/>
      </w:tcPr>
    </w:tblStylePr>
    <w:tblStylePr w:type="band1Horz">
      <w:tblPr/>
      <w:tcPr>
        <w:shd w:val="clear" w:color="auto" w:fill="FEF3D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semiHidden/>
    <w:rsid w:val="00EE3EB6"/>
    <w:pPr>
      <w:spacing w:line="240" w:lineRule="auto"/>
    </w:pPr>
    <w:rPr>
      <w:color w:val="63953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6BE57"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6BE57"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6BE57"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6BE57" w:themeColor="accent5"/>
        </w:tcBorders>
        <w:shd w:val="clear" w:color="auto" w:fill="FFFFFF" w:themeFill="background1"/>
      </w:tcPr>
    </w:tblStylePr>
    <w:tblStylePr w:type="band1Vert">
      <w:tblPr/>
      <w:tcPr>
        <w:shd w:val="clear" w:color="auto" w:fill="E6F2DD" w:themeFill="accent5" w:themeFillTint="33"/>
      </w:tcPr>
    </w:tblStylePr>
    <w:tblStylePr w:type="band1Horz">
      <w:tblPr/>
      <w:tcPr>
        <w:shd w:val="clear" w:color="auto" w:fill="E6F2D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semiHidden/>
    <w:rsid w:val="00EE3EB6"/>
    <w:pPr>
      <w:spacing w:line="240" w:lineRule="auto"/>
    </w:pPr>
    <w:rPr>
      <w:color w:val="5A606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8818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8818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8818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88183" w:themeColor="accent6"/>
        </w:tcBorders>
        <w:shd w:val="clear" w:color="auto" w:fill="FFFFFF" w:themeFill="background1"/>
      </w:tcPr>
    </w:tblStylePr>
    <w:tblStylePr w:type="band1Vert">
      <w:tblPr/>
      <w:tcPr>
        <w:shd w:val="clear" w:color="auto" w:fill="E3E5E6" w:themeFill="accent6" w:themeFillTint="33"/>
      </w:tcPr>
    </w:tblStylePr>
    <w:tblStylePr w:type="band1Horz">
      <w:tblPr/>
      <w:tcPr>
        <w:shd w:val="clear" w:color="auto" w:fill="E3E5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insideV w:val="single" w:sz="8" w:space="0" w:color="B36BA5" w:themeColor="accent1" w:themeTint="BF"/>
      </w:tblBorders>
    </w:tblPr>
    <w:tcPr>
      <w:shd w:val="clear" w:color="auto" w:fill="E6CEE1" w:themeFill="accent1" w:themeFillTint="3F"/>
    </w:tcPr>
    <w:tblStylePr w:type="firstRow">
      <w:rPr>
        <w:b/>
        <w:bCs/>
      </w:rPr>
    </w:tblStylePr>
    <w:tblStylePr w:type="lastRow">
      <w:rPr>
        <w:b/>
        <w:bCs/>
      </w:rPr>
      <w:tblPr/>
      <w:tcPr>
        <w:tcBorders>
          <w:top w:val="single" w:sz="18" w:space="0" w:color="B36BA5" w:themeColor="accent1" w:themeTint="BF"/>
        </w:tcBorders>
      </w:tcPr>
    </w:tblStylePr>
    <w:tblStylePr w:type="firstCol">
      <w:rPr>
        <w:b/>
        <w:bCs/>
      </w:rPr>
    </w:tblStylePr>
    <w:tblStylePr w:type="lastCol">
      <w:rPr>
        <w:b/>
        <w:bCs/>
      </w:rPr>
    </w:tblStylePr>
    <w:tblStylePr w:type="band1Vert">
      <w:tblPr/>
      <w:tcPr>
        <w:shd w:val="clear" w:color="auto" w:fill="CD9DC3" w:themeFill="accent1" w:themeFillTint="7F"/>
      </w:tcPr>
    </w:tblStylePr>
    <w:tblStylePr w:type="band1Horz">
      <w:tblPr/>
      <w:tcPr>
        <w:shd w:val="clear" w:color="auto" w:fill="CD9DC3" w:themeFill="accent1" w:themeFillTint="7F"/>
      </w:tcPr>
    </w:tblStylePr>
  </w:style>
  <w:style w:type="table" w:styleId="MediumGrid1-Accent2">
    <w:name w:val="Medium Grid 1 Accent 2"/>
    <w:basedOn w:val="TableNormal"/>
    <w:uiPriority w:val="67"/>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insideV w:val="single" w:sz="8" w:space="0" w:color="D47973" w:themeColor="accent2" w:themeTint="BF"/>
      </w:tblBorders>
    </w:tblPr>
    <w:tcPr>
      <w:shd w:val="clear" w:color="auto" w:fill="F1D2D0" w:themeFill="accent2" w:themeFillTint="3F"/>
    </w:tcPr>
    <w:tblStylePr w:type="firstRow">
      <w:rPr>
        <w:b/>
        <w:bCs/>
      </w:rPr>
    </w:tblStylePr>
    <w:tblStylePr w:type="lastRow">
      <w:rPr>
        <w:b/>
        <w:bCs/>
      </w:rPr>
      <w:tblPr/>
      <w:tcPr>
        <w:tcBorders>
          <w:top w:val="single" w:sz="18" w:space="0" w:color="D47973" w:themeColor="accent2" w:themeTint="BF"/>
        </w:tcBorders>
      </w:tcPr>
    </w:tblStylePr>
    <w:tblStylePr w:type="firstCol">
      <w:rPr>
        <w:b/>
        <w:bCs/>
      </w:rPr>
    </w:tblStylePr>
    <w:tblStylePr w:type="lastCol">
      <w:rPr>
        <w:b/>
        <w:bCs/>
      </w:rPr>
    </w:tblStylePr>
    <w:tblStylePr w:type="band1Vert">
      <w:tblPr/>
      <w:tcPr>
        <w:shd w:val="clear" w:color="auto" w:fill="E2A6A2" w:themeFill="accent2" w:themeFillTint="7F"/>
      </w:tcPr>
    </w:tblStylePr>
    <w:tblStylePr w:type="band1Horz">
      <w:tblPr/>
      <w:tcPr>
        <w:shd w:val="clear" w:color="auto" w:fill="E2A6A2" w:themeFill="accent2" w:themeFillTint="7F"/>
      </w:tcPr>
    </w:tblStylePr>
  </w:style>
  <w:style w:type="table" w:styleId="MediumGrid1-Accent3">
    <w:name w:val="Medium Grid 1 Accent 3"/>
    <w:basedOn w:val="TableNormal"/>
    <w:uiPriority w:val="67"/>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insideV w:val="single" w:sz="8" w:space="0" w:color="F4A46D" w:themeColor="accent3" w:themeTint="BF"/>
      </w:tblBorders>
    </w:tblPr>
    <w:tcPr>
      <w:shd w:val="clear" w:color="auto" w:fill="FBE1CE" w:themeFill="accent3" w:themeFillTint="3F"/>
    </w:tcPr>
    <w:tblStylePr w:type="firstRow">
      <w:rPr>
        <w:b/>
        <w:bCs/>
      </w:rPr>
    </w:tblStylePr>
    <w:tblStylePr w:type="lastRow">
      <w:rPr>
        <w:b/>
        <w:bCs/>
      </w:rPr>
      <w:tblPr/>
      <w:tcPr>
        <w:tcBorders>
          <w:top w:val="single" w:sz="18" w:space="0" w:color="F4A46D" w:themeColor="accent3" w:themeTint="BF"/>
        </w:tcBorders>
      </w:tcPr>
    </w:tblStylePr>
    <w:tblStylePr w:type="firstCol">
      <w:rPr>
        <w:b/>
        <w:bCs/>
      </w:rPr>
    </w:tblStylePr>
    <w:tblStylePr w:type="lastCol">
      <w:rPr>
        <w:b/>
        <w:bCs/>
      </w:rPr>
    </w:tblStylePr>
    <w:tblStylePr w:type="band1Vert">
      <w:tblPr/>
      <w:tcPr>
        <w:shd w:val="clear" w:color="auto" w:fill="F8C29E" w:themeFill="accent3" w:themeFillTint="7F"/>
      </w:tcPr>
    </w:tblStylePr>
    <w:tblStylePr w:type="band1Horz">
      <w:tblPr/>
      <w:tcPr>
        <w:shd w:val="clear" w:color="auto" w:fill="F8C29E" w:themeFill="accent3" w:themeFillTint="7F"/>
      </w:tcPr>
    </w:tblStylePr>
  </w:style>
  <w:style w:type="table" w:styleId="MediumGrid1-Accent4">
    <w:name w:val="Medium Grid 1 Accent 4"/>
    <w:basedOn w:val="TableNormal"/>
    <w:uiPriority w:val="67"/>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insideV w:val="single" w:sz="8" w:space="0" w:color="FCD475" w:themeColor="accent4" w:themeTint="BF"/>
      </w:tblBorders>
    </w:tblPr>
    <w:tcPr>
      <w:shd w:val="clear" w:color="auto" w:fill="FEF0D1" w:themeFill="accent4" w:themeFillTint="3F"/>
    </w:tcPr>
    <w:tblStylePr w:type="firstRow">
      <w:rPr>
        <w:b/>
        <w:bCs/>
      </w:rPr>
    </w:tblStylePr>
    <w:tblStylePr w:type="lastRow">
      <w:rPr>
        <w:b/>
        <w:bCs/>
      </w:rPr>
      <w:tblPr/>
      <w:tcPr>
        <w:tcBorders>
          <w:top w:val="single" w:sz="18" w:space="0" w:color="FCD475" w:themeColor="accent4" w:themeTint="BF"/>
        </w:tcBorders>
      </w:tcPr>
    </w:tblStylePr>
    <w:tblStylePr w:type="firstCol">
      <w:rPr>
        <w:b/>
        <w:bCs/>
      </w:rPr>
    </w:tblStylePr>
    <w:tblStylePr w:type="lastCol">
      <w:rPr>
        <w:b/>
        <w:bCs/>
      </w:rPr>
    </w:tblStylePr>
    <w:tblStylePr w:type="band1Vert">
      <w:tblPr/>
      <w:tcPr>
        <w:shd w:val="clear" w:color="auto" w:fill="FDE2A3" w:themeFill="accent4" w:themeFillTint="7F"/>
      </w:tcPr>
    </w:tblStylePr>
    <w:tblStylePr w:type="band1Horz">
      <w:tblPr/>
      <w:tcPr>
        <w:shd w:val="clear" w:color="auto" w:fill="FDE2A3" w:themeFill="accent4" w:themeFillTint="7F"/>
      </w:tcPr>
    </w:tblStylePr>
  </w:style>
  <w:style w:type="table" w:styleId="MediumGrid1-Accent5">
    <w:name w:val="Medium Grid 1 Accent 5"/>
    <w:basedOn w:val="TableNormal"/>
    <w:uiPriority w:val="67"/>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insideV w:val="single" w:sz="8" w:space="0" w:color="A4CE81" w:themeColor="accent5" w:themeTint="BF"/>
      </w:tblBorders>
    </w:tblPr>
    <w:tcPr>
      <w:shd w:val="clear" w:color="auto" w:fill="E1EFD5" w:themeFill="accent5" w:themeFillTint="3F"/>
    </w:tcPr>
    <w:tblStylePr w:type="firstRow">
      <w:rPr>
        <w:b/>
        <w:bCs/>
      </w:rPr>
    </w:tblStylePr>
    <w:tblStylePr w:type="lastRow">
      <w:rPr>
        <w:b/>
        <w:bCs/>
      </w:rPr>
      <w:tblPr/>
      <w:tcPr>
        <w:tcBorders>
          <w:top w:val="single" w:sz="18" w:space="0" w:color="A4CE81" w:themeColor="accent5" w:themeTint="BF"/>
        </w:tcBorders>
      </w:tcPr>
    </w:tblStylePr>
    <w:tblStylePr w:type="firstCol">
      <w:rPr>
        <w:b/>
        <w:bCs/>
      </w:rPr>
    </w:tblStylePr>
    <w:tblStylePr w:type="lastCol">
      <w:rPr>
        <w:b/>
        <w:bCs/>
      </w:rPr>
    </w:tblStylePr>
    <w:tblStylePr w:type="band1Vert">
      <w:tblPr/>
      <w:tcPr>
        <w:shd w:val="clear" w:color="auto" w:fill="C2DEAB" w:themeFill="accent5" w:themeFillTint="7F"/>
      </w:tcPr>
    </w:tblStylePr>
    <w:tblStylePr w:type="band1Horz">
      <w:tblPr/>
      <w:tcPr>
        <w:shd w:val="clear" w:color="auto" w:fill="C2DEAB" w:themeFill="accent5" w:themeFillTint="7F"/>
      </w:tcPr>
    </w:tblStylePr>
  </w:style>
  <w:style w:type="table" w:styleId="MediumGrid1-Accent6">
    <w:name w:val="Medium Grid 1 Accent 6"/>
    <w:basedOn w:val="TableNormal"/>
    <w:uiPriority w:val="67"/>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insideV w:val="single" w:sz="8" w:space="0" w:color="99A0A2" w:themeColor="accent6" w:themeTint="BF"/>
      </w:tblBorders>
    </w:tblPr>
    <w:tcPr>
      <w:shd w:val="clear" w:color="auto" w:fill="DDDFE0" w:themeFill="accent6" w:themeFillTint="3F"/>
    </w:tcPr>
    <w:tblStylePr w:type="firstRow">
      <w:rPr>
        <w:b/>
        <w:bCs/>
      </w:rPr>
    </w:tblStylePr>
    <w:tblStylePr w:type="lastRow">
      <w:rPr>
        <w:b/>
        <w:bCs/>
      </w:rPr>
      <w:tblPr/>
      <w:tcPr>
        <w:tcBorders>
          <w:top w:val="single" w:sz="18" w:space="0" w:color="99A0A2" w:themeColor="accent6" w:themeTint="BF"/>
        </w:tcBorders>
      </w:tcPr>
    </w:tblStylePr>
    <w:tblStylePr w:type="firstCol">
      <w:rPr>
        <w:b/>
        <w:bCs/>
      </w:rPr>
    </w:tblStylePr>
    <w:tblStylePr w:type="lastCol">
      <w:rPr>
        <w:b/>
        <w:bCs/>
      </w:rPr>
    </w:tblStylePr>
    <w:tblStylePr w:type="band1Vert">
      <w:tblPr/>
      <w:tcPr>
        <w:shd w:val="clear" w:color="auto" w:fill="BBC0C1" w:themeFill="accent6" w:themeFillTint="7F"/>
      </w:tcPr>
    </w:tblStylePr>
    <w:tblStylePr w:type="band1Horz">
      <w:tblPr/>
      <w:tcPr>
        <w:shd w:val="clear" w:color="auto" w:fill="BBC0C1" w:themeFill="accent6" w:themeFillTint="7F"/>
      </w:tcPr>
    </w:tblStylePr>
  </w:style>
  <w:style w:type="table" w:styleId="MediumGrid2">
    <w:name w:val="Medium Grid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insideH w:val="single" w:sz="8" w:space="0" w:color="8D487F" w:themeColor="accent1"/>
        <w:insideV w:val="single" w:sz="8" w:space="0" w:color="8D487F" w:themeColor="accent1"/>
      </w:tblBorders>
    </w:tblPr>
    <w:tcPr>
      <w:shd w:val="clear" w:color="auto" w:fill="E6CEE1" w:themeFill="accent1" w:themeFillTint="3F"/>
    </w:tcPr>
    <w:tblStylePr w:type="firstRow">
      <w:rPr>
        <w:b/>
        <w:bCs/>
        <w:color w:val="000000" w:themeColor="text1"/>
      </w:rPr>
      <w:tblPr/>
      <w:tcPr>
        <w:shd w:val="clear" w:color="auto" w:fill="F5EB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D7E6" w:themeFill="accent1" w:themeFillTint="33"/>
      </w:tcPr>
    </w:tblStylePr>
    <w:tblStylePr w:type="band1Vert">
      <w:tblPr/>
      <w:tcPr>
        <w:shd w:val="clear" w:color="auto" w:fill="CD9DC3" w:themeFill="accent1" w:themeFillTint="7F"/>
      </w:tcPr>
    </w:tblStylePr>
    <w:tblStylePr w:type="band1Horz">
      <w:tblPr/>
      <w:tcPr>
        <w:tcBorders>
          <w:insideH w:val="single" w:sz="6" w:space="0" w:color="8D487F" w:themeColor="accent1"/>
          <w:insideV w:val="single" w:sz="6" w:space="0" w:color="8D487F" w:themeColor="accent1"/>
        </w:tcBorders>
        <w:shd w:val="clear" w:color="auto" w:fill="CD9DC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insideH w:val="single" w:sz="8" w:space="0" w:color="C64E45" w:themeColor="accent2"/>
        <w:insideV w:val="single" w:sz="8" w:space="0" w:color="C64E45" w:themeColor="accent2"/>
      </w:tblBorders>
    </w:tblPr>
    <w:tcPr>
      <w:shd w:val="clear" w:color="auto" w:fill="F1D2D0" w:themeFill="accent2" w:themeFillTint="3F"/>
    </w:tcPr>
    <w:tblStylePr w:type="firstRow">
      <w:rPr>
        <w:b/>
        <w:bCs/>
        <w:color w:val="000000" w:themeColor="text1"/>
      </w:rPr>
      <w:tblPr/>
      <w:tcPr>
        <w:shd w:val="clear" w:color="auto" w:fill="F9EDE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3DBD9" w:themeFill="accent2" w:themeFillTint="33"/>
      </w:tcPr>
    </w:tblStylePr>
    <w:tblStylePr w:type="band1Vert">
      <w:tblPr/>
      <w:tcPr>
        <w:shd w:val="clear" w:color="auto" w:fill="E2A6A2" w:themeFill="accent2" w:themeFillTint="7F"/>
      </w:tcPr>
    </w:tblStylePr>
    <w:tblStylePr w:type="band1Horz">
      <w:tblPr/>
      <w:tcPr>
        <w:tcBorders>
          <w:insideH w:val="single" w:sz="6" w:space="0" w:color="C64E45" w:themeColor="accent2"/>
          <w:insideV w:val="single" w:sz="6" w:space="0" w:color="C64E45" w:themeColor="accent2"/>
        </w:tcBorders>
        <w:shd w:val="clear" w:color="auto" w:fill="E2A6A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insideH w:val="single" w:sz="8" w:space="0" w:color="F1873D" w:themeColor="accent3"/>
        <w:insideV w:val="single" w:sz="8" w:space="0" w:color="F1873D" w:themeColor="accent3"/>
      </w:tblBorders>
    </w:tblPr>
    <w:tcPr>
      <w:shd w:val="clear" w:color="auto" w:fill="FBE1CE" w:themeFill="accent3" w:themeFillTint="3F"/>
    </w:tcPr>
    <w:tblStylePr w:type="firstRow">
      <w:rPr>
        <w:b/>
        <w:bCs/>
        <w:color w:val="000000" w:themeColor="text1"/>
      </w:rPr>
      <w:tblPr/>
      <w:tcPr>
        <w:shd w:val="clear" w:color="auto" w:fill="FDF3E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E6D8" w:themeFill="accent3" w:themeFillTint="33"/>
      </w:tcPr>
    </w:tblStylePr>
    <w:tblStylePr w:type="band1Vert">
      <w:tblPr/>
      <w:tcPr>
        <w:shd w:val="clear" w:color="auto" w:fill="F8C29E" w:themeFill="accent3" w:themeFillTint="7F"/>
      </w:tcPr>
    </w:tblStylePr>
    <w:tblStylePr w:type="band1Horz">
      <w:tblPr/>
      <w:tcPr>
        <w:tcBorders>
          <w:insideH w:val="single" w:sz="6" w:space="0" w:color="F1873D" w:themeColor="accent3"/>
          <w:insideV w:val="single" w:sz="6" w:space="0" w:color="F1873D" w:themeColor="accent3"/>
        </w:tcBorders>
        <w:shd w:val="clear" w:color="auto" w:fill="F8C29E"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insideH w:val="single" w:sz="8" w:space="0" w:color="FCC648" w:themeColor="accent4"/>
        <w:insideV w:val="single" w:sz="8" w:space="0" w:color="FCC648" w:themeColor="accent4"/>
      </w:tblBorders>
    </w:tblPr>
    <w:tcPr>
      <w:shd w:val="clear" w:color="auto" w:fill="FEF0D1" w:themeFill="accent4" w:themeFillTint="3F"/>
    </w:tcPr>
    <w:tblStylePr w:type="firstRow">
      <w:rPr>
        <w:b/>
        <w:bCs/>
        <w:color w:val="000000" w:themeColor="text1"/>
      </w:rPr>
      <w:tblPr/>
      <w:tcPr>
        <w:shd w:val="clear" w:color="auto" w:fill="FEF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3DA" w:themeFill="accent4" w:themeFillTint="33"/>
      </w:tcPr>
    </w:tblStylePr>
    <w:tblStylePr w:type="band1Vert">
      <w:tblPr/>
      <w:tcPr>
        <w:shd w:val="clear" w:color="auto" w:fill="FDE2A3" w:themeFill="accent4" w:themeFillTint="7F"/>
      </w:tcPr>
    </w:tblStylePr>
    <w:tblStylePr w:type="band1Horz">
      <w:tblPr/>
      <w:tcPr>
        <w:tcBorders>
          <w:insideH w:val="single" w:sz="6" w:space="0" w:color="FCC648" w:themeColor="accent4"/>
          <w:insideV w:val="single" w:sz="6" w:space="0" w:color="FCC648" w:themeColor="accent4"/>
        </w:tcBorders>
        <w:shd w:val="clear" w:color="auto" w:fill="FDE2A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insideH w:val="single" w:sz="8" w:space="0" w:color="86BE57" w:themeColor="accent5"/>
        <w:insideV w:val="single" w:sz="8" w:space="0" w:color="86BE57" w:themeColor="accent5"/>
      </w:tblBorders>
    </w:tblPr>
    <w:tcPr>
      <w:shd w:val="clear" w:color="auto" w:fill="E1EFD5" w:themeFill="accent5" w:themeFillTint="3F"/>
    </w:tcPr>
    <w:tblStylePr w:type="firstRow">
      <w:rPr>
        <w:b/>
        <w:bCs/>
        <w:color w:val="000000" w:themeColor="text1"/>
      </w:rPr>
      <w:tblPr/>
      <w:tcPr>
        <w:shd w:val="clear" w:color="auto" w:fill="F3F8EE"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6F2DD" w:themeFill="accent5" w:themeFillTint="33"/>
      </w:tcPr>
    </w:tblStylePr>
    <w:tblStylePr w:type="band1Vert">
      <w:tblPr/>
      <w:tcPr>
        <w:shd w:val="clear" w:color="auto" w:fill="C2DEAB" w:themeFill="accent5" w:themeFillTint="7F"/>
      </w:tcPr>
    </w:tblStylePr>
    <w:tblStylePr w:type="band1Horz">
      <w:tblPr/>
      <w:tcPr>
        <w:tcBorders>
          <w:insideH w:val="single" w:sz="6" w:space="0" w:color="86BE57" w:themeColor="accent5"/>
          <w:insideV w:val="single" w:sz="6" w:space="0" w:color="86BE57" w:themeColor="accent5"/>
        </w:tcBorders>
        <w:shd w:val="clear" w:color="auto" w:fill="C2DEAB"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insideH w:val="single" w:sz="8" w:space="0" w:color="788183" w:themeColor="accent6"/>
        <w:insideV w:val="single" w:sz="8" w:space="0" w:color="788183" w:themeColor="accent6"/>
      </w:tblBorders>
    </w:tblPr>
    <w:tcPr>
      <w:shd w:val="clear" w:color="auto" w:fill="DDDFE0" w:themeFill="accent6" w:themeFillTint="3F"/>
    </w:tcPr>
    <w:tblStylePr w:type="firstRow">
      <w:rPr>
        <w:b/>
        <w:bCs/>
        <w:color w:val="000000" w:themeColor="text1"/>
      </w:rPr>
      <w:tblPr/>
      <w:tcPr>
        <w:shd w:val="clear" w:color="auto" w:fill="F1F2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5E6" w:themeFill="accent6" w:themeFillTint="33"/>
      </w:tcPr>
    </w:tblStylePr>
    <w:tblStylePr w:type="band1Vert">
      <w:tblPr/>
      <w:tcPr>
        <w:shd w:val="clear" w:color="auto" w:fill="BBC0C1" w:themeFill="accent6" w:themeFillTint="7F"/>
      </w:tcPr>
    </w:tblStylePr>
    <w:tblStylePr w:type="band1Horz">
      <w:tblPr/>
      <w:tcPr>
        <w:tcBorders>
          <w:insideH w:val="single" w:sz="6" w:space="0" w:color="788183" w:themeColor="accent6"/>
          <w:insideV w:val="single" w:sz="6" w:space="0" w:color="788183" w:themeColor="accent6"/>
        </w:tcBorders>
        <w:shd w:val="clear" w:color="auto" w:fill="BBC0C1"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CE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D487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D487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D487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9DC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9DC3" w:themeFill="accent1" w:themeFillTint="7F"/>
      </w:tcPr>
    </w:tblStylePr>
  </w:style>
  <w:style w:type="table" w:styleId="MediumGrid3-Accent2">
    <w:name w:val="Medium Grid 3 Accent 2"/>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D2D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64E45"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64E45"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64E45"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2A6A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2A6A2" w:themeFill="accent2" w:themeFillTint="7F"/>
      </w:tcPr>
    </w:tblStylePr>
  </w:style>
  <w:style w:type="table" w:styleId="MediumGrid3-Accent3">
    <w:name w:val="Medium Grid 3 Accent 3"/>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E1CE"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873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873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873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C29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C29E" w:themeFill="accent3" w:themeFillTint="7F"/>
      </w:tcPr>
    </w:tblStylePr>
  </w:style>
  <w:style w:type="table" w:styleId="MediumGrid3-Accent4">
    <w:name w:val="Medium Grid 3 Accent 4"/>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0D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CC6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CC6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CC6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E2A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E2A3" w:themeFill="accent4" w:themeFillTint="7F"/>
      </w:tcPr>
    </w:tblStylePr>
  </w:style>
  <w:style w:type="table" w:styleId="MediumGrid3-Accent5">
    <w:name w:val="Medium Grid 3 Accent 5"/>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EFD5"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6BE57"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6BE57"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6BE57"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2DEA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2DEAB" w:themeFill="accent5" w:themeFillTint="7F"/>
      </w:tcPr>
    </w:tblStylePr>
  </w:style>
  <w:style w:type="table" w:styleId="MediumGrid3-Accent6">
    <w:name w:val="Medium Grid 3 Accent 6"/>
    <w:basedOn w:val="TableNormal"/>
    <w:uiPriority w:val="69"/>
    <w:semiHidden/>
    <w:rsid w:val="00EE3EB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DFE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818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818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818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BC0C1"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BC0C1" w:themeFill="accent6" w:themeFillTint="7F"/>
      </w:tcPr>
    </w:tblStylePr>
  </w:style>
  <w:style w:type="table" w:styleId="MediumList1">
    <w:name w:val="Medium List 1"/>
    <w:basedOn w:val="TableNormal"/>
    <w:uiPriority w:val="65"/>
    <w:semiHidden/>
    <w:rsid w:val="00EE3EB6"/>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9778B4"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EE3EB6"/>
    <w:pPr>
      <w:spacing w:line="240" w:lineRule="auto"/>
    </w:pPr>
    <w:rPr>
      <w:color w:val="000000" w:themeColor="text1"/>
    </w:rPr>
    <w:tblPr>
      <w:tblStyleRowBandSize w:val="1"/>
      <w:tblStyleColBandSize w:val="1"/>
      <w:tblBorders>
        <w:top w:val="single" w:sz="8" w:space="0" w:color="8D487F" w:themeColor="accent1"/>
        <w:bottom w:val="single" w:sz="8" w:space="0" w:color="8D487F" w:themeColor="accent1"/>
      </w:tblBorders>
    </w:tblPr>
    <w:tblStylePr w:type="firstRow">
      <w:rPr>
        <w:rFonts w:asciiTheme="majorHAnsi" w:eastAsiaTheme="majorEastAsia" w:hAnsiTheme="majorHAnsi" w:cstheme="majorBidi"/>
      </w:rPr>
      <w:tblPr/>
      <w:tcPr>
        <w:tcBorders>
          <w:top w:val="nil"/>
          <w:bottom w:val="single" w:sz="8" w:space="0" w:color="8D487F" w:themeColor="accent1"/>
        </w:tcBorders>
      </w:tcPr>
    </w:tblStylePr>
    <w:tblStylePr w:type="lastRow">
      <w:rPr>
        <w:b/>
        <w:bCs/>
        <w:color w:val="9778B4" w:themeColor="text2"/>
      </w:rPr>
      <w:tblPr/>
      <w:tcPr>
        <w:tcBorders>
          <w:top w:val="single" w:sz="8" w:space="0" w:color="8D487F" w:themeColor="accent1"/>
          <w:bottom w:val="single" w:sz="8" w:space="0" w:color="8D487F" w:themeColor="accent1"/>
        </w:tcBorders>
      </w:tcPr>
    </w:tblStylePr>
    <w:tblStylePr w:type="firstCol">
      <w:rPr>
        <w:b/>
        <w:bCs/>
      </w:rPr>
    </w:tblStylePr>
    <w:tblStylePr w:type="lastCol">
      <w:rPr>
        <w:b/>
        <w:bCs/>
      </w:rPr>
      <w:tblPr/>
      <w:tcPr>
        <w:tcBorders>
          <w:top w:val="single" w:sz="8" w:space="0" w:color="8D487F" w:themeColor="accent1"/>
          <w:bottom w:val="single" w:sz="8" w:space="0" w:color="8D487F" w:themeColor="accent1"/>
        </w:tcBorders>
      </w:tcPr>
    </w:tblStylePr>
    <w:tblStylePr w:type="band1Vert">
      <w:tblPr/>
      <w:tcPr>
        <w:shd w:val="clear" w:color="auto" w:fill="E6CEE1" w:themeFill="accent1" w:themeFillTint="3F"/>
      </w:tcPr>
    </w:tblStylePr>
    <w:tblStylePr w:type="band1Horz">
      <w:tblPr/>
      <w:tcPr>
        <w:shd w:val="clear" w:color="auto" w:fill="E6CEE1" w:themeFill="accent1" w:themeFillTint="3F"/>
      </w:tcPr>
    </w:tblStylePr>
  </w:style>
  <w:style w:type="table" w:styleId="MediumList1-Accent2">
    <w:name w:val="Medium List 1 Accent 2"/>
    <w:basedOn w:val="TableNormal"/>
    <w:uiPriority w:val="65"/>
    <w:semiHidden/>
    <w:rsid w:val="00EE3EB6"/>
    <w:pPr>
      <w:spacing w:line="240" w:lineRule="auto"/>
    </w:pPr>
    <w:rPr>
      <w:color w:val="000000" w:themeColor="text1"/>
    </w:rPr>
    <w:tblPr>
      <w:tblStyleRowBandSize w:val="1"/>
      <w:tblStyleColBandSize w:val="1"/>
      <w:tblBorders>
        <w:top w:val="single" w:sz="8" w:space="0" w:color="C64E45" w:themeColor="accent2"/>
        <w:bottom w:val="single" w:sz="8" w:space="0" w:color="C64E45" w:themeColor="accent2"/>
      </w:tblBorders>
    </w:tblPr>
    <w:tblStylePr w:type="firstRow">
      <w:rPr>
        <w:rFonts w:asciiTheme="majorHAnsi" w:eastAsiaTheme="majorEastAsia" w:hAnsiTheme="majorHAnsi" w:cstheme="majorBidi"/>
      </w:rPr>
      <w:tblPr/>
      <w:tcPr>
        <w:tcBorders>
          <w:top w:val="nil"/>
          <w:bottom w:val="single" w:sz="8" w:space="0" w:color="C64E45" w:themeColor="accent2"/>
        </w:tcBorders>
      </w:tcPr>
    </w:tblStylePr>
    <w:tblStylePr w:type="lastRow">
      <w:rPr>
        <w:b/>
        <w:bCs/>
        <w:color w:val="9778B4" w:themeColor="text2"/>
      </w:rPr>
      <w:tblPr/>
      <w:tcPr>
        <w:tcBorders>
          <w:top w:val="single" w:sz="8" w:space="0" w:color="C64E45" w:themeColor="accent2"/>
          <w:bottom w:val="single" w:sz="8" w:space="0" w:color="C64E45" w:themeColor="accent2"/>
        </w:tcBorders>
      </w:tcPr>
    </w:tblStylePr>
    <w:tblStylePr w:type="firstCol">
      <w:rPr>
        <w:b/>
        <w:bCs/>
      </w:rPr>
    </w:tblStylePr>
    <w:tblStylePr w:type="lastCol">
      <w:rPr>
        <w:b/>
        <w:bCs/>
      </w:rPr>
      <w:tblPr/>
      <w:tcPr>
        <w:tcBorders>
          <w:top w:val="single" w:sz="8" w:space="0" w:color="C64E45" w:themeColor="accent2"/>
          <w:bottom w:val="single" w:sz="8" w:space="0" w:color="C64E45" w:themeColor="accent2"/>
        </w:tcBorders>
      </w:tcPr>
    </w:tblStylePr>
    <w:tblStylePr w:type="band1Vert">
      <w:tblPr/>
      <w:tcPr>
        <w:shd w:val="clear" w:color="auto" w:fill="F1D2D0" w:themeFill="accent2" w:themeFillTint="3F"/>
      </w:tcPr>
    </w:tblStylePr>
    <w:tblStylePr w:type="band1Horz">
      <w:tblPr/>
      <w:tcPr>
        <w:shd w:val="clear" w:color="auto" w:fill="F1D2D0" w:themeFill="accent2" w:themeFillTint="3F"/>
      </w:tcPr>
    </w:tblStylePr>
  </w:style>
  <w:style w:type="table" w:styleId="MediumList1-Accent3">
    <w:name w:val="Medium List 1 Accent 3"/>
    <w:basedOn w:val="TableNormal"/>
    <w:uiPriority w:val="65"/>
    <w:semiHidden/>
    <w:rsid w:val="00EE3EB6"/>
    <w:pPr>
      <w:spacing w:line="240" w:lineRule="auto"/>
    </w:pPr>
    <w:rPr>
      <w:color w:val="000000" w:themeColor="text1"/>
    </w:rPr>
    <w:tblPr>
      <w:tblStyleRowBandSize w:val="1"/>
      <w:tblStyleColBandSize w:val="1"/>
      <w:tblBorders>
        <w:top w:val="single" w:sz="8" w:space="0" w:color="F1873D" w:themeColor="accent3"/>
        <w:bottom w:val="single" w:sz="8" w:space="0" w:color="F1873D" w:themeColor="accent3"/>
      </w:tblBorders>
    </w:tblPr>
    <w:tblStylePr w:type="firstRow">
      <w:rPr>
        <w:rFonts w:asciiTheme="majorHAnsi" w:eastAsiaTheme="majorEastAsia" w:hAnsiTheme="majorHAnsi" w:cstheme="majorBidi"/>
      </w:rPr>
      <w:tblPr/>
      <w:tcPr>
        <w:tcBorders>
          <w:top w:val="nil"/>
          <w:bottom w:val="single" w:sz="8" w:space="0" w:color="F1873D" w:themeColor="accent3"/>
        </w:tcBorders>
      </w:tcPr>
    </w:tblStylePr>
    <w:tblStylePr w:type="lastRow">
      <w:rPr>
        <w:b/>
        <w:bCs/>
        <w:color w:val="9778B4" w:themeColor="text2"/>
      </w:rPr>
      <w:tblPr/>
      <w:tcPr>
        <w:tcBorders>
          <w:top w:val="single" w:sz="8" w:space="0" w:color="F1873D" w:themeColor="accent3"/>
          <w:bottom w:val="single" w:sz="8" w:space="0" w:color="F1873D" w:themeColor="accent3"/>
        </w:tcBorders>
      </w:tcPr>
    </w:tblStylePr>
    <w:tblStylePr w:type="firstCol">
      <w:rPr>
        <w:b/>
        <w:bCs/>
      </w:rPr>
    </w:tblStylePr>
    <w:tblStylePr w:type="lastCol">
      <w:rPr>
        <w:b/>
        <w:bCs/>
      </w:rPr>
      <w:tblPr/>
      <w:tcPr>
        <w:tcBorders>
          <w:top w:val="single" w:sz="8" w:space="0" w:color="F1873D" w:themeColor="accent3"/>
          <w:bottom w:val="single" w:sz="8" w:space="0" w:color="F1873D" w:themeColor="accent3"/>
        </w:tcBorders>
      </w:tcPr>
    </w:tblStylePr>
    <w:tblStylePr w:type="band1Vert">
      <w:tblPr/>
      <w:tcPr>
        <w:shd w:val="clear" w:color="auto" w:fill="FBE1CE" w:themeFill="accent3" w:themeFillTint="3F"/>
      </w:tcPr>
    </w:tblStylePr>
    <w:tblStylePr w:type="band1Horz">
      <w:tblPr/>
      <w:tcPr>
        <w:shd w:val="clear" w:color="auto" w:fill="FBE1CE" w:themeFill="accent3" w:themeFillTint="3F"/>
      </w:tcPr>
    </w:tblStylePr>
  </w:style>
  <w:style w:type="table" w:styleId="MediumList1-Accent4">
    <w:name w:val="Medium List 1 Accent 4"/>
    <w:basedOn w:val="TableNormal"/>
    <w:uiPriority w:val="65"/>
    <w:semiHidden/>
    <w:rsid w:val="00EE3EB6"/>
    <w:pPr>
      <w:spacing w:line="240" w:lineRule="auto"/>
    </w:pPr>
    <w:rPr>
      <w:color w:val="000000" w:themeColor="text1"/>
    </w:rPr>
    <w:tblPr>
      <w:tblStyleRowBandSize w:val="1"/>
      <w:tblStyleColBandSize w:val="1"/>
      <w:tblBorders>
        <w:top w:val="single" w:sz="8" w:space="0" w:color="FCC648" w:themeColor="accent4"/>
        <w:bottom w:val="single" w:sz="8" w:space="0" w:color="FCC648" w:themeColor="accent4"/>
      </w:tblBorders>
    </w:tblPr>
    <w:tblStylePr w:type="firstRow">
      <w:rPr>
        <w:rFonts w:asciiTheme="majorHAnsi" w:eastAsiaTheme="majorEastAsia" w:hAnsiTheme="majorHAnsi" w:cstheme="majorBidi"/>
      </w:rPr>
      <w:tblPr/>
      <w:tcPr>
        <w:tcBorders>
          <w:top w:val="nil"/>
          <w:bottom w:val="single" w:sz="8" w:space="0" w:color="FCC648" w:themeColor="accent4"/>
        </w:tcBorders>
      </w:tcPr>
    </w:tblStylePr>
    <w:tblStylePr w:type="lastRow">
      <w:rPr>
        <w:b/>
        <w:bCs/>
        <w:color w:val="9778B4" w:themeColor="text2"/>
      </w:rPr>
      <w:tblPr/>
      <w:tcPr>
        <w:tcBorders>
          <w:top w:val="single" w:sz="8" w:space="0" w:color="FCC648" w:themeColor="accent4"/>
          <w:bottom w:val="single" w:sz="8" w:space="0" w:color="FCC648" w:themeColor="accent4"/>
        </w:tcBorders>
      </w:tcPr>
    </w:tblStylePr>
    <w:tblStylePr w:type="firstCol">
      <w:rPr>
        <w:b/>
        <w:bCs/>
      </w:rPr>
    </w:tblStylePr>
    <w:tblStylePr w:type="lastCol">
      <w:rPr>
        <w:b/>
        <w:bCs/>
      </w:rPr>
      <w:tblPr/>
      <w:tcPr>
        <w:tcBorders>
          <w:top w:val="single" w:sz="8" w:space="0" w:color="FCC648" w:themeColor="accent4"/>
          <w:bottom w:val="single" w:sz="8" w:space="0" w:color="FCC648" w:themeColor="accent4"/>
        </w:tcBorders>
      </w:tcPr>
    </w:tblStylePr>
    <w:tblStylePr w:type="band1Vert">
      <w:tblPr/>
      <w:tcPr>
        <w:shd w:val="clear" w:color="auto" w:fill="FEF0D1" w:themeFill="accent4" w:themeFillTint="3F"/>
      </w:tcPr>
    </w:tblStylePr>
    <w:tblStylePr w:type="band1Horz">
      <w:tblPr/>
      <w:tcPr>
        <w:shd w:val="clear" w:color="auto" w:fill="FEF0D1" w:themeFill="accent4" w:themeFillTint="3F"/>
      </w:tcPr>
    </w:tblStylePr>
  </w:style>
  <w:style w:type="table" w:styleId="MediumList1-Accent5">
    <w:name w:val="Medium List 1 Accent 5"/>
    <w:basedOn w:val="TableNormal"/>
    <w:uiPriority w:val="65"/>
    <w:semiHidden/>
    <w:rsid w:val="00EE3EB6"/>
    <w:pPr>
      <w:spacing w:line="240" w:lineRule="auto"/>
    </w:pPr>
    <w:rPr>
      <w:color w:val="000000" w:themeColor="text1"/>
    </w:rPr>
    <w:tblPr>
      <w:tblStyleRowBandSize w:val="1"/>
      <w:tblStyleColBandSize w:val="1"/>
      <w:tblBorders>
        <w:top w:val="single" w:sz="8" w:space="0" w:color="86BE57" w:themeColor="accent5"/>
        <w:bottom w:val="single" w:sz="8" w:space="0" w:color="86BE57" w:themeColor="accent5"/>
      </w:tblBorders>
    </w:tblPr>
    <w:tblStylePr w:type="firstRow">
      <w:rPr>
        <w:rFonts w:asciiTheme="majorHAnsi" w:eastAsiaTheme="majorEastAsia" w:hAnsiTheme="majorHAnsi" w:cstheme="majorBidi"/>
      </w:rPr>
      <w:tblPr/>
      <w:tcPr>
        <w:tcBorders>
          <w:top w:val="nil"/>
          <w:bottom w:val="single" w:sz="8" w:space="0" w:color="86BE57" w:themeColor="accent5"/>
        </w:tcBorders>
      </w:tcPr>
    </w:tblStylePr>
    <w:tblStylePr w:type="lastRow">
      <w:rPr>
        <w:b/>
        <w:bCs/>
        <w:color w:val="9778B4" w:themeColor="text2"/>
      </w:rPr>
      <w:tblPr/>
      <w:tcPr>
        <w:tcBorders>
          <w:top w:val="single" w:sz="8" w:space="0" w:color="86BE57" w:themeColor="accent5"/>
          <w:bottom w:val="single" w:sz="8" w:space="0" w:color="86BE57" w:themeColor="accent5"/>
        </w:tcBorders>
      </w:tcPr>
    </w:tblStylePr>
    <w:tblStylePr w:type="firstCol">
      <w:rPr>
        <w:b/>
        <w:bCs/>
      </w:rPr>
    </w:tblStylePr>
    <w:tblStylePr w:type="lastCol">
      <w:rPr>
        <w:b/>
        <w:bCs/>
      </w:rPr>
      <w:tblPr/>
      <w:tcPr>
        <w:tcBorders>
          <w:top w:val="single" w:sz="8" w:space="0" w:color="86BE57" w:themeColor="accent5"/>
          <w:bottom w:val="single" w:sz="8" w:space="0" w:color="86BE57" w:themeColor="accent5"/>
        </w:tcBorders>
      </w:tcPr>
    </w:tblStylePr>
    <w:tblStylePr w:type="band1Vert">
      <w:tblPr/>
      <w:tcPr>
        <w:shd w:val="clear" w:color="auto" w:fill="E1EFD5" w:themeFill="accent5" w:themeFillTint="3F"/>
      </w:tcPr>
    </w:tblStylePr>
    <w:tblStylePr w:type="band1Horz">
      <w:tblPr/>
      <w:tcPr>
        <w:shd w:val="clear" w:color="auto" w:fill="E1EFD5" w:themeFill="accent5" w:themeFillTint="3F"/>
      </w:tcPr>
    </w:tblStylePr>
  </w:style>
  <w:style w:type="table" w:styleId="MediumList1-Accent6">
    <w:name w:val="Medium List 1 Accent 6"/>
    <w:basedOn w:val="TableNormal"/>
    <w:uiPriority w:val="65"/>
    <w:semiHidden/>
    <w:rsid w:val="00EE3EB6"/>
    <w:pPr>
      <w:spacing w:line="240" w:lineRule="auto"/>
    </w:pPr>
    <w:rPr>
      <w:color w:val="000000" w:themeColor="text1"/>
    </w:rPr>
    <w:tblPr>
      <w:tblStyleRowBandSize w:val="1"/>
      <w:tblStyleColBandSize w:val="1"/>
      <w:tblBorders>
        <w:top w:val="single" w:sz="8" w:space="0" w:color="788183" w:themeColor="accent6"/>
        <w:bottom w:val="single" w:sz="8" w:space="0" w:color="788183" w:themeColor="accent6"/>
      </w:tblBorders>
    </w:tblPr>
    <w:tblStylePr w:type="firstRow">
      <w:rPr>
        <w:rFonts w:asciiTheme="majorHAnsi" w:eastAsiaTheme="majorEastAsia" w:hAnsiTheme="majorHAnsi" w:cstheme="majorBidi"/>
      </w:rPr>
      <w:tblPr/>
      <w:tcPr>
        <w:tcBorders>
          <w:top w:val="nil"/>
          <w:bottom w:val="single" w:sz="8" w:space="0" w:color="788183" w:themeColor="accent6"/>
        </w:tcBorders>
      </w:tcPr>
    </w:tblStylePr>
    <w:tblStylePr w:type="lastRow">
      <w:rPr>
        <w:b/>
        <w:bCs/>
        <w:color w:val="9778B4" w:themeColor="text2"/>
      </w:rPr>
      <w:tblPr/>
      <w:tcPr>
        <w:tcBorders>
          <w:top w:val="single" w:sz="8" w:space="0" w:color="788183" w:themeColor="accent6"/>
          <w:bottom w:val="single" w:sz="8" w:space="0" w:color="788183" w:themeColor="accent6"/>
        </w:tcBorders>
      </w:tcPr>
    </w:tblStylePr>
    <w:tblStylePr w:type="firstCol">
      <w:rPr>
        <w:b/>
        <w:bCs/>
      </w:rPr>
    </w:tblStylePr>
    <w:tblStylePr w:type="lastCol">
      <w:rPr>
        <w:b/>
        <w:bCs/>
      </w:rPr>
      <w:tblPr/>
      <w:tcPr>
        <w:tcBorders>
          <w:top w:val="single" w:sz="8" w:space="0" w:color="788183" w:themeColor="accent6"/>
          <w:bottom w:val="single" w:sz="8" w:space="0" w:color="788183" w:themeColor="accent6"/>
        </w:tcBorders>
      </w:tcPr>
    </w:tblStylePr>
    <w:tblStylePr w:type="band1Vert">
      <w:tblPr/>
      <w:tcPr>
        <w:shd w:val="clear" w:color="auto" w:fill="DDDFE0" w:themeFill="accent6" w:themeFillTint="3F"/>
      </w:tcPr>
    </w:tblStylePr>
    <w:tblStylePr w:type="band1Horz">
      <w:tblPr/>
      <w:tcPr>
        <w:shd w:val="clear" w:color="auto" w:fill="DDDFE0" w:themeFill="accent6" w:themeFillTint="3F"/>
      </w:tcPr>
    </w:tblStylePr>
  </w:style>
  <w:style w:type="table" w:styleId="MediumList2">
    <w:name w:val="Medium Lis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D487F" w:themeColor="accent1"/>
        <w:left w:val="single" w:sz="8" w:space="0" w:color="8D487F" w:themeColor="accent1"/>
        <w:bottom w:val="single" w:sz="8" w:space="0" w:color="8D487F" w:themeColor="accent1"/>
        <w:right w:val="single" w:sz="8" w:space="0" w:color="8D487F" w:themeColor="accent1"/>
      </w:tblBorders>
    </w:tblPr>
    <w:tblStylePr w:type="firstRow">
      <w:rPr>
        <w:sz w:val="24"/>
        <w:szCs w:val="24"/>
      </w:rPr>
      <w:tblPr/>
      <w:tcPr>
        <w:tcBorders>
          <w:top w:val="nil"/>
          <w:left w:val="nil"/>
          <w:bottom w:val="single" w:sz="24" w:space="0" w:color="8D487F" w:themeColor="accent1"/>
          <w:right w:val="nil"/>
          <w:insideH w:val="nil"/>
          <w:insideV w:val="nil"/>
        </w:tcBorders>
        <w:shd w:val="clear" w:color="auto" w:fill="FFFFFF" w:themeFill="background1"/>
      </w:tcPr>
    </w:tblStylePr>
    <w:tblStylePr w:type="lastRow">
      <w:tblPr/>
      <w:tcPr>
        <w:tcBorders>
          <w:top w:val="single" w:sz="8" w:space="0" w:color="8D48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D487F" w:themeColor="accent1"/>
          <w:insideH w:val="nil"/>
          <w:insideV w:val="nil"/>
        </w:tcBorders>
        <w:shd w:val="clear" w:color="auto" w:fill="FFFFFF" w:themeFill="background1"/>
      </w:tcPr>
    </w:tblStylePr>
    <w:tblStylePr w:type="lastCol">
      <w:tblPr/>
      <w:tcPr>
        <w:tcBorders>
          <w:top w:val="nil"/>
          <w:left w:val="single" w:sz="8" w:space="0" w:color="8D48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CEE1" w:themeFill="accent1" w:themeFillTint="3F"/>
      </w:tcPr>
    </w:tblStylePr>
    <w:tblStylePr w:type="band1Horz">
      <w:tblPr/>
      <w:tcPr>
        <w:tcBorders>
          <w:top w:val="nil"/>
          <w:bottom w:val="nil"/>
          <w:insideH w:val="nil"/>
          <w:insideV w:val="nil"/>
        </w:tcBorders>
        <w:shd w:val="clear" w:color="auto" w:fill="E6CE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64E45" w:themeColor="accent2"/>
        <w:left w:val="single" w:sz="8" w:space="0" w:color="C64E45" w:themeColor="accent2"/>
        <w:bottom w:val="single" w:sz="8" w:space="0" w:color="C64E45" w:themeColor="accent2"/>
        <w:right w:val="single" w:sz="8" w:space="0" w:color="C64E45" w:themeColor="accent2"/>
      </w:tblBorders>
    </w:tblPr>
    <w:tblStylePr w:type="firstRow">
      <w:rPr>
        <w:sz w:val="24"/>
        <w:szCs w:val="24"/>
      </w:rPr>
      <w:tblPr/>
      <w:tcPr>
        <w:tcBorders>
          <w:top w:val="nil"/>
          <w:left w:val="nil"/>
          <w:bottom w:val="single" w:sz="24" w:space="0" w:color="C64E45" w:themeColor="accent2"/>
          <w:right w:val="nil"/>
          <w:insideH w:val="nil"/>
          <w:insideV w:val="nil"/>
        </w:tcBorders>
        <w:shd w:val="clear" w:color="auto" w:fill="FFFFFF" w:themeFill="background1"/>
      </w:tcPr>
    </w:tblStylePr>
    <w:tblStylePr w:type="lastRow">
      <w:tblPr/>
      <w:tcPr>
        <w:tcBorders>
          <w:top w:val="single" w:sz="8" w:space="0" w:color="C64E45"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64E45" w:themeColor="accent2"/>
          <w:insideH w:val="nil"/>
          <w:insideV w:val="nil"/>
        </w:tcBorders>
        <w:shd w:val="clear" w:color="auto" w:fill="FFFFFF" w:themeFill="background1"/>
      </w:tcPr>
    </w:tblStylePr>
    <w:tblStylePr w:type="lastCol">
      <w:tblPr/>
      <w:tcPr>
        <w:tcBorders>
          <w:top w:val="nil"/>
          <w:left w:val="single" w:sz="8" w:space="0" w:color="C64E45"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D2D0" w:themeFill="accent2" w:themeFillTint="3F"/>
      </w:tcPr>
    </w:tblStylePr>
    <w:tblStylePr w:type="band1Horz">
      <w:tblPr/>
      <w:tcPr>
        <w:tcBorders>
          <w:top w:val="nil"/>
          <w:bottom w:val="nil"/>
          <w:insideH w:val="nil"/>
          <w:insideV w:val="nil"/>
        </w:tcBorders>
        <w:shd w:val="clear" w:color="auto" w:fill="F1D2D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873D" w:themeColor="accent3"/>
        <w:left w:val="single" w:sz="8" w:space="0" w:color="F1873D" w:themeColor="accent3"/>
        <w:bottom w:val="single" w:sz="8" w:space="0" w:color="F1873D" w:themeColor="accent3"/>
        <w:right w:val="single" w:sz="8" w:space="0" w:color="F1873D" w:themeColor="accent3"/>
      </w:tblBorders>
    </w:tblPr>
    <w:tblStylePr w:type="firstRow">
      <w:rPr>
        <w:sz w:val="24"/>
        <w:szCs w:val="24"/>
      </w:rPr>
      <w:tblPr/>
      <w:tcPr>
        <w:tcBorders>
          <w:top w:val="nil"/>
          <w:left w:val="nil"/>
          <w:bottom w:val="single" w:sz="24" w:space="0" w:color="F1873D" w:themeColor="accent3"/>
          <w:right w:val="nil"/>
          <w:insideH w:val="nil"/>
          <w:insideV w:val="nil"/>
        </w:tcBorders>
        <w:shd w:val="clear" w:color="auto" w:fill="FFFFFF" w:themeFill="background1"/>
      </w:tcPr>
    </w:tblStylePr>
    <w:tblStylePr w:type="lastRow">
      <w:tblPr/>
      <w:tcPr>
        <w:tcBorders>
          <w:top w:val="single" w:sz="8" w:space="0" w:color="F1873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873D" w:themeColor="accent3"/>
          <w:insideH w:val="nil"/>
          <w:insideV w:val="nil"/>
        </w:tcBorders>
        <w:shd w:val="clear" w:color="auto" w:fill="FFFFFF" w:themeFill="background1"/>
      </w:tcPr>
    </w:tblStylePr>
    <w:tblStylePr w:type="lastCol">
      <w:tblPr/>
      <w:tcPr>
        <w:tcBorders>
          <w:top w:val="nil"/>
          <w:left w:val="single" w:sz="8" w:space="0" w:color="F1873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E1CE" w:themeFill="accent3" w:themeFillTint="3F"/>
      </w:tcPr>
    </w:tblStylePr>
    <w:tblStylePr w:type="band1Horz">
      <w:tblPr/>
      <w:tcPr>
        <w:tcBorders>
          <w:top w:val="nil"/>
          <w:bottom w:val="nil"/>
          <w:insideH w:val="nil"/>
          <w:insideV w:val="nil"/>
        </w:tcBorders>
        <w:shd w:val="clear" w:color="auto" w:fill="FBE1CE"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CC648" w:themeColor="accent4"/>
        <w:left w:val="single" w:sz="8" w:space="0" w:color="FCC648" w:themeColor="accent4"/>
        <w:bottom w:val="single" w:sz="8" w:space="0" w:color="FCC648" w:themeColor="accent4"/>
        <w:right w:val="single" w:sz="8" w:space="0" w:color="FCC648" w:themeColor="accent4"/>
      </w:tblBorders>
    </w:tblPr>
    <w:tblStylePr w:type="firstRow">
      <w:rPr>
        <w:sz w:val="24"/>
        <w:szCs w:val="24"/>
      </w:rPr>
      <w:tblPr/>
      <w:tcPr>
        <w:tcBorders>
          <w:top w:val="nil"/>
          <w:left w:val="nil"/>
          <w:bottom w:val="single" w:sz="24" w:space="0" w:color="FCC648" w:themeColor="accent4"/>
          <w:right w:val="nil"/>
          <w:insideH w:val="nil"/>
          <w:insideV w:val="nil"/>
        </w:tcBorders>
        <w:shd w:val="clear" w:color="auto" w:fill="FFFFFF" w:themeFill="background1"/>
      </w:tcPr>
    </w:tblStylePr>
    <w:tblStylePr w:type="lastRow">
      <w:tblPr/>
      <w:tcPr>
        <w:tcBorders>
          <w:top w:val="single" w:sz="8" w:space="0" w:color="FCC6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CC648" w:themeColor="accent4"/>
          <w:insideH w:val="nil"/>
          <w:insideV w:val="nil"/>
        </w:tcBorders>
        <w:shd w:val="clear" w:color="auto" w:fill="FFFFFF" w:themeFill="background1"/>
      </w:tcPr>
    </w:tblStylePr>
    <w:tblStylePr w:type="lastCol">
      <w:tblPr/>
      <w:tcPr>
        <w:tcBorders>
          <w:top w:val="nil"/>
          <w:left w:val="single" w:sz="8" w:space="0" w:color="FCC6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0D1" w:themeFill="accent4" w:themeFillTint="3F"/>
      </w:tcPr>
    </w:tblStylePr>
    <w:tblStylePr w:type="band1Horz">
      <w:tblPr/>
      <w:tcPr>
        <w:tcBorders>
          <w:top w:val="nil"/>
          <w:bottom w:val="nil"/>
          <w:insideH w:val="nil"/>
          <w:insideV w:val="nil"/>
        </w:tcBorders>
        <w:shd w:val="clear" w:color="auto" w:fill="FEF0D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6BE57" w:themeColor="accent5"/>
        <w:left w:val="single" w:sz="8" w:space="0" w:color="86BE57" w:themeColor="accent5"/>
        <w:bottom w:val="single" w:sz="8" w:space="0" w:color="86BE57" w:themeColor="accent5"/>
        <w:right w:val="single" w:sz="8" w:space="0" w:color="86BE57" w:themeColor="accent5"/>
      </w:tblBorders>
    </w:tblPr>
    <w:tblStylePr w:type="firstRow">
      <w:rPr>
        <w:sz w:val="24"/>
        <w:szCs w:val="24"/>
      </w:rPr>
      <w:tblPr/>
      <w:tcPr>
        <w:tcBorders>
          <w:top w:val="nil"/>
          <w:left w:val="nil"/>
          <w:bottom w:val="single" w:sz="24" w:space="0" w:color="86BE57" w:themeColor="accent5"/>
          <w:right w:val="nil"/>
          <w:insideH w:val="nil"/>
          <w:insideV w:val="nil"/>
        </w:tcBorders>
        <w:shd w:val="clear" w:color="auto" w:fill="FFFFFF" w:themeFill="background1"/>
      </w:tcPr>
    </w:tblStylePr>
    <w:tblStylePr w:type="lastRow">
      <w:tblPr/>
      <w:tcPr>
        <w:tcBorders>
          <w:top w:val="single" w:sz="8" w:space="0" w:color="86BE57"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6BE57" w:themeColor="accent5"/>
          <w:insideH w:val="nil"/>
          <w:insideV w:val="nil"/>
        </w:tcBorders>
        <w:shd w:val="clear" w:color="auto" w:fill="FFFFFF" w:themeFill="background1"/>
      </w:tcPr>
    </w:tblStylePr>
    <w:tblStylePr w:type="lastCol">
      <w:tblPr/>
      <w:tcPr>
        <w:tcBorders>
          <w:top w:val="nil"/>
          <w:left w:val="single" w:sz="8" w:space="0" w:color="86BE57"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EFD5" w:themeFill="accent5" w:themeFillTint="3F"/>
      </w:tcPr>
    </w:tblStylePr>
    <w:tblStylePr w:type="band1Horz">
      <w:tblPr/>
      <w:tcPr>
        <w:tcBorders>
          <w:top w:val="nil"/>
          <w:bottom w:val="nil"/>
          <w:insideH w:val="nil"/>
          <w:insideV w:val="nil"/>
        </w:tcBorders>
        <w:shd w:val="clear" w:color="auto" w:fill="E1EFD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EE3EB6"/>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88183" w:themeColor="accent6"/>
        <w:left w:val="single" w:sz="8" w:space="0" w:color="788183" w:themeColor="accent6"/>
        <w:bottom w:val="single" w:sz="8" w:space="0" w:color="788183" w:themeColor="accent6"/>
        <w:right w:val="single" w:sz="8" w:space="0" w:color="788183" w:themeColor="accent6"/>
      </w:tblBorders>
    </w:tblPr>
    <w:tblStylePr w:type="firstRow">
      <w:rPr>
        <w:sz w:val="24"/>
        <w:szCs w:val="24"/>
      </w:rPr>
      <w:tblPr/>
      <w:tcPr>
        <w:tcBorders>
          <w:top w:val="nil"/>
          <w:left w:val="nil"/>
          <w:bottom w:val="single" w:sz="24" w:space="0" w:color="788183" w:themeColor="accent6"/>
          <w:right w:val="nil"/>
          <w:insideH w:val="nil"/>
          <w:insideV w:val="nil"/>
        </w:tcBorders>
        <w:shd w:val="clear" w:color="auto" w:fill="FFFFFF" w:themeFill="background1"/>
      </w:tcPr>
    </w:tblStylePr>
    <w:tblStylePr w:type="lastRow">
      <w:tblPr/>
      <w:tcPr>
        <w:tcBorders>
          <w:top w:val="single" w:sz="8" w:space="0" w:color="78818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8183" w:themeColor="accent6"/>
          <w:insideH w:val="nil"/>
          <w:insideV w:val="nil"/>
        </w:tcBorders>
        <w:shd w:val="clear" w:color="auto" w:fill="FFFFFF" w:themeFill="background1"/>
      </w:tcPr>
    </w:tblStylePr>
    <w:tblStylePr w:type="lastCol">
      <w:tblPr/>
      <w:tcPr>
        <w:tcBorders>
          <w:top w:val="nil"/>
          <w:left w:val="single" w:sz="8" w:space="0" w:color="78818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DFE0" w:themeFill="accent6" w:themeFillTint="3F"/>
      </w:tcPr>
    </w:tblStylePr>
    <w:tblStylePr w:type="band1Horz">
      <w:tblPr/>
      <w:tcPr>
        <w:tcBorders>
          <w:top w:val="nil"/>
          <w:bottom w:val="nil"/>
          <w:insideH w:val="nil"/>
          <w:insideV w:val="nil"/>
        </w:tcBorders>
        <w:shd w:val="clear" w:color="auto" w:fill="DDDFE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EE3EB6"/>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EE3EB6"/>
    <w:pPr>
      <w:spacing w:line="240" w:lineRule="auto"/>
    </w:pPr>
    <w:tblPr>
      <w:tblStyleRowBandSize w:val="1"/>
      <w:tblStyleColBandSize w:val="1"/>
      <w:tbl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single" w:sz="8" w:space="0" w:color="B36BA5" w:themeColor="accent1" w:themeTint="BF"/>
      </w:tblBorders>
    </w:tblPr>
    <w:tblStylePr w:type="firstRow">
      <w:pPr>
        <w:spacing w:before="0" w:after="0" w:line="240" w:lineRule="auto"/>
      </w:pPr>
      <w:rPr>
        <w:b/>
        <w:bCs/>
        <w:color w:val="FFFFFF" w:themeColor="background1"/>
      </w:rPr>
      <w:tblPr/>
      <w:tcPr>
        <w:tcBorders>
          <w:top w:val="single" w:sz="8"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shd w:val="clear" w:color="auto" w:fill="8D487F" w:themeFill="accent1"/>
      </w:tcPr>
    </w:tblStylePr>
    <w:tblStylePr w:type="lastRow">
      <w:pPr>
        <w:spacing w:before="0" w:after="0" w:line="240" w:lineRule="auto"/>
      </w:pPr>
      <w:rPr>
        <w:b/>
        <w:bCs/>
      </w:rPr>
      <w:tblPr/>
      <w:tcPr>
        <w:tcBorders>
          <w:top w:val="double" w:sz="6" w:space="0" w:color="B36BA5" w:themeColor="accent1" w:themeTint="BF"/>
          <w:left w:val="single" w:sz="8" w:space="0" w:color="B36BA5" w:themeColor="accent1" w:themeTint="BF"/>
          <w:bottom w:val="single" w:sz="8" w:space="0" w:color="B36BA5" w:themeColor="accent1" w:themeTint="BF"/>
          <w:right w:val="single" w:sz="8" w:space="0" w:color="B36BA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6CEE1" w:themeFill="accent1" w:themeFillTint="3F"/>
      </w:tcPr>
    </w:tblStylePr>
    <w:tblStylePr w:type="band1Horz">
      <w:tblPr/>
      <w:tcPr>
        <w:tcBorders>
          <w:insideH w:val="nil"/>
          <w:insideV w:val="nil"/>
        </w:tcBorders>
        <w:shd w:val="clear" w:color="auto" w:fill="E6CEE1"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EE3EB6"/>
    <w:pPr>
      <w:spacing w:line="240" w:lineRule="auto"/>
    </w:pPr>
    <w:tblPr>
      <w:tblStyleRowBandSize w:val="1"/>
      <w:tblStyleColBandSize w:val="1"/>
      <w:tbl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single" w:sz="8" w:space="0" w:color="D47973" w:themeColor="accent2" w:themeTint="BF"/>
      </w:tblBorders>
    </w:tblPr>
    <w:tblStylePr w:type="firstRow">
      <w:pPr>
        <w:spacing w:before="0" w:after="0" w:line="240" w:lineRule="auto"/>
      </w:pPr>
      <w:rPr>
        <w:b/>
        <w:bCs/>
        <w:color w:val="FFFFFF" w:themeColor="background1"/>
      </w:rPr>
      <w:tblPr/>
      <w:tcPr>
        <w:tcBorders>
          <w:top w:val="single" w:sz="8"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shd w:val="clear" w:color="auto" w:fill="C64E45" w:themeFill="accent2"/>
      </w:tcPr>
    </w:tblStylePr>
    <w:tblStylePr w:type="lastRow">
      <w:pPr>
        <w:spacing w:before="0" w:after="0" w:line="240" w:lineRule="auto"/>
      </w:pPr>
      <w:rPr>
        <w:b/>
        <w:bCs/>
      </w:rPr>
      <w:tblPr/>
      <w:tcPr>
        <w:tcBorders>
          <w:top w:val="double" w:sz="6" w:space="0" w:color="D47973" w:themeColor="accent2" w:themeTint="BF"/>
          <w:left w:val="single" w:sz="8" w:space="0" w:color="D47973" w:themeColor="accent2" w:themeTint="BF"/>
          <w:bottom w:val="single" w:sz="8" w:space="0" w:color="D47973" w:themeColor="accent2" w:themeTint="BF"/>
          <w:right w:val="single" w:sz="8" w:space="0" w:color="D4797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D2D0" w:themeFill="accent2" w:themeFillTint="3F"/>
      </w:tcPr>
    </w:tblStylePr>
    <w:tblStylePr w:type="band1Horz">
      <w:tblPr/>
      <w:tcPr>
        <w:tcBorders>
          <w:insideH w:val="nil"/>
          <w:insideV w:val="nil"/>
        </w:tcBorders>
        <w:shd w:val="clear" w:color="auto" w:fill="F1D2D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EE3EB6"/>
    <w:pPr>
      <w:spacing w:line="240" w:lineRule="auto"/>
    </w:pPr>
    <w:tblPr>
      <w:tblStyleRowBandSize w:val="1"/>
      <w:tblStyleColBandSize w:val="1"/>
      <w:tbl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single" w:sz="8" w:space="0" w:color="F4A46D" w:themeColor="accent3" w:themeTint="BF"/>
      </w:tblBorders>
    </w:tblPr>
    <w:tblStylePr w:type="firstRow">
      <w:pPr>
        <w:spacing w:before="0" w:after="0" w:line="240" w:lineRule="auto"/>
      </w:pPr>
      <w:rPr>
        <w:b/>
        <w:bCs/>
        <w:color w:val="FFFFFF" w:themeColor="background1"/>
      </w:rPr>
      <w:tblPr/>
      <w:tcPr>
        <w:tcBorders>
          <w:top w:val="single" w:sz="8"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shd w:val="clear" w:color="auto" w:fill="F1873D" w:themeFill="accent3"/>
      </w:tcPr>
    </w:tblStylePr>
    <w:tblStylePr w:type="lastRow">
      <w:pPr>
        <w:spacing w:before="0" w:after="0" w:line="240" w:lineRule="auto"/>
      </w:pPr>
      <w:rPr>
        <w:b/>
        <w:bCs/>
      </w:rPr>
      <w:tblPr/>
      <w:tcPr>
        <w:tcBorders>
          <w:top w:val="double" w:sz="6" w:space="0" w:color="F4A46D" w:themeColor="accent3" w:themeTint="BF"/>
          <w:left w:val="single" w:sz="8" w:space="0" w:color="F4A46D" w:themeColor="accent3" w:themeTint="BF"/>
          <w:bottom w:val="single" w:sz="8" w:space="0" w:color="F4A46D" w:themeColor="accent3" w:themeTint="BF"/>
          <w:right w:val="single" w:sz="8" w:space="0" w:color="F4A46D"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E1CE" w:themeFill="accent3" w:themeFillTint="3F"/>
      </w:tcPr>
    </w:tblStylePr>
    <w:tblStylePr w:type="band1Horz">
      <w:tblPr/>
      <w:tcPr>
        <w:tcBorders>
          <w:insideH w:val="nil"/>
          <w:insideV w:val="nil"/>
        </w:tcBorders>
        <w:shd w:val="clear" w:color="auto" w:fill="FBE1CE"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EE3EB6"/>
    <w:pPr>
      <w:spacing w:line="240" w:lineRule="auto"/>
    </w:pPr>
    <w:tblPr>
      <w:tblStyleRowBandSize w:val="1"/>
      <w:tblStyleColBandSize w:val="1"/>
      <w:tbl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single" w:sz="8" w:space="0" w:color="FCD475" w:themeColor="accent4" w:themeTint="BF"/>
      </w:tblBorders>
    </w:tblPr>
    <w:tblStylePr w:type="firstRow">
      <w:pPr>
        <w:spacing w:before="0" w:after="0" w:line="240" w:lineRule="auto"/>
      </w:pPr>
      <w:rPr>
        <w:b/>
        <w:bCs/>
        <w:color w:val="FFFFFF" w:themeColor="background1"/>
      </w:rPr>
      <w:tblPr/>
      <w:tcPr>
        <w:tcBorders>
          <w:top w:val="single" w:sz="8"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shd w:val="clear" w:color="auto" w:fill="FCC648" w:themeFill="accent4"/>
      </w:tcPr>
    </w:tblStylePr>
    <w:tblStylePr w:type="lastRow">
      <w:pPr>
        <w:spacing w:before="0" w:after="0" w:line="240" w:lineRule="auto"/>
      </w:pPr>
      <w:rPr>
        <w:b/>
        <w:bCs/>
      </w:rPr>
      <w:tblPr/>
      <w:tcPr>
        <w:tcBorders>
          <w:top w:val="double" w:sz="6" w:space="0" w:color="FCD475" w:themeColor="accent4" w:themeTint="BF"/>
          <w:left w:val="single" w:sz="8" w:space="0" w:color="FCD475" w:themeColor="accent4" w:themeTint="BF"/>
          <w:bottom w:val="single" w:sz="8" w:space="0" w:color="FCD475" w:themeColor="accent4" w:themeTint="BF"/>
          <w:right w:val="single" w:sz="8" w:space="0" w:color="FCD475" w:themeColor="accent4" w:themeTint="BF"/>
          <w:insideH w:val="nil"/>
          <w:insideV w:val="nil"/>
        </w:tcBorders>
      </w:tcPr>
    </w:tblStylePr>
    <w:tblStylePr w:type="firstCol">
      <w:rPr>
        <w:b/>
        <w:bCs/>
      </w:rPr>
    </w:tblStylePr>
    <w:tblStylePr w:type="lastCol">
      <w:rPr>
        <w:b/>
        <w:bCs/>
      </w:rPr>
    </w:tblStylePr>
    <w:tblStylePr w:type="band1Vert">
      <w:tblPr/>
      <w:tcPr>
        <w:shd w:val="clear" w:color="auto" w:fill="FEF0D1" w:themeFill="accent4" w:themeFillTint="3F"/>
      </w:tcPr>
    </w:tblStylePr>
    <w:tblStylePr w:type="band1Horz">
      <w:tblPr/>
      <w:tcPr>
        <w:tcBorders>
          <w:insideH w:val="nil"/>
          <w:insideV w:val="nil"/>
        </w:tcBorders>
        <w:shd w:val="clear" w:color="auto" w:fill="FEF0D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EE3EB6"/>
    <w:pPr>
      <w:spacing w:line="240" w:lineRule="auto"/>
    </w:pPr>
    <w:tblPr>
      <w:tblStyleRowBandSize w:val="1"/>
      <w:tblStyleColBandSize w:val="1"/>
      <w:tbl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single" w:sz="8" w:space="0" w:color="A4CE81" w:themeColor="accent5" w:themeTint="BF"/>
      </w:tblBorders>
    </w:tblPr>
    <w:tblStylePr w:type="firstRow">
      <w:pPr>
        <w:spacing w:before="0" w:after="0" w:line="240" w:lineRule="auto"/>
      </w:pPr>
      <w:rPr>
        <w:b/>
        <w:bCs/>
        <w:color w:val="FFFFFF" w:themeColor="background1"/>
      </w:rPr>
      <w:tblPr/>
      <w:tcPr>
        <w:tcBorders>
          <w:top w:val="single" w:sz="8"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shd w:val="clear" w:color="auto" w:fill="86BE57" w:themeFill="accent5"/>
      </w:tcPr>
    </w:tblStylePr>
    <w:tblStylePr w:type="lastRow">
      <w:pPr>
        <w:spacing w:before="0" w:after="0" w:line="240" w:lineRule="auto"/>
      </w:pPr>
      <w:rPr>
        <w:b/>
        <w:bCs/>
      </w:rPr>
      <w:tblPr/>
      <w:tcPr>
        <w:tcBorders>
          <w:top w:val="double" w:sz="6" w:space="0" w:color="A4CE81" w:themeColor="accent5" w:themeTint="BF"/>
          <w:left w:val="single" w:sz="8" w:space="0" w:color="A4CE81" w:themeColor="accent5" w:themeTint="BF"/>
          <w:bottom w:val="single" w:sz="8" w:space="0" w:color="A4CE81" w:themeColor="accent5" w:themeTint="BF"/>
          <w:right w:val="single" w:sz="8" w:space="0" w:color="A4CE81"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EFD5" w:themeFill="accent5" w:themeFillTint="3F"/>
      </w:tcPr>
    </w:tblStylePr>
    <w:tblStylePr w:type="band1Horz">
      <w:tblPr/>
      <w:tcPr>
        <w:tcBorders>
          <w:insideH w:val="nil"/>
          <w:insideV w:val="nil"/>
        </w:tcBorders>
        <w:shd w:val="clear" w:color="auto" w:fill="E1EFD5"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EE3EB6"/>
    <w:pPr>
      <w:spacing w:line="240" w:lineRule="auto"/>
    </w:pPr>
    <w:tblPr>
      <w:tblStyleRowBandSize w:val="1"/>
      <w:tblStyleColBandSize w:val="1"/>
      <w:tbl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single" w:sz="8" w:space="0" w:color="99A0A2" w:themeColor="accent6" w:themeTint="BF"/>
      </w:tblBorders>
    </w:tblPr>
    <w:tblStylePr w:type="firstRow">
      <w:pPr>
        <w:spacing w:before="0" w:after="0" w:line="240" w:lineRule="auto"/>
      </w:pPr>
      <w:rPr>
        <w:b/>
        <w:bCs/>
        <w:color w:val="FFFFFF" w:themeColor="background1"/>
      </w:rPr>
      <w:tblPr/>
      <w:tcPr>
        <w:tcBorders>
          <w:top w:val="single" w:sz="8"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shd w:val="clear" w:color="auto" w:fill="788183" w:themeFill="accent6"/>
      </w:tcPr>
    </w:tblStylePr>
    <w:tblStylePr w:type="lastRow">
      <w:pPr>
        <w:spacing w:before="0" w:after="0" w:line="240" w:lineRule="auto"/>
      </w:pPr>
      <w:rPr>
        <w:b/>
        <w:bCs/>
      </w:rPr>
      <w:tblPr/>
      <w:tcPr>
        <w:tcBorders>
          <w:top w:val="double" w:sz="6" w:space="0" w:color="99A0A2" w:themeColor="accent6" w:themeTint="BF"/>
          <w:left w:val="single" w:sz="8" w:space="0" w:color="99A0A2" w:themeColor="accent6" w:themeTint="BF"/>
          <w:bottom w:val="single" w:sz="8" w:space="0" w:color="99A0A2" w:themeColor="accent6" w:themeTint="BF"/>
          <w:right w:val="single" w:sz="8" w:space="0" w:color="99A0A2"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DFE0" w:themeFill="accent6" w:themeFillTint="3F"/>
      </w:tcPr>
    </w:tblStylePr>
    <w:tblStylePr w:type="band1Horz">
      <w:tblPr/>
      <w:tcPr>
        <w:tcBorders>
          <w:insideH w:val="nil"/>
          <w:insideV w:val="nil"/>
        </w:tcBorders>
        <w:shd w:val="clear" w:color="auto" w:fill="DDDFE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D487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D487F" w:themeFill="accent1"/>
      </w:tcPr>
    </w:tblStylePr>
    <w:tblStylePr w:type="lastCol">
      <w:rPr>
        <w:b/>
        <w:bCs/>
        <w:color w:val="FFFFFF" w:themeColor="background1"/>
      </w:rPr>
      <w:tblPr/>
      <w:tcPr>
        <w:tcBorders>
          <w:left w:val="nil"/>
          <w:right w:val="nil"/>
          <w:insideH w:val="nil"/>
          <w:insideV w:val="nil"/>
        </w:tcBorders>
        <w:shd w:val="clear" w:color="auto" w:fill="8D487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64E45"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64E45" w:themeFill="accent2"/>
      </w:tcPr>
    </w:tblStylePr>
    <w:tblStylePr w:type="lastCol">
      <w:rPr>
        <w:b/>
        <w:bCs/>
        <w:color w:val="FFFFFF" w:themeColor="background1"/>
      </w:rPr>
      <w:tblPr/>
      <w:tcPr>
        <w:tcBorders>
          <w:left w:val="nil"/>
          <w:right w:val="nil"/>
          <w:insideH w:val="nil"/>
          <w:insideV w:val="nil"/>
        </w:tcBorders>
        <w:shd w:val="clear" w:color="auto" w:fill="C64E45"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873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1873D" w:themeFill="accent3"/>
      </w:tcPr>
    </w:tblStylePr>
    <w:tblStylePr w:type="lastCol">
      <w:rPr>
        <w:b/>
        <w:bCs/>
        <w:color w:val="FFFFFF" w:themeColor="background1"/>
      </w:rPr>
      <w:tblPr/>
      <w:tcPr>
        <w:tcBorders>
          <w:left w:val="nil"/>
          <w:right w:val="nil"/>
          <w:insideH w:val="nil"/>
          <w:insideV w:val="nil"/>
        </w:tcBorders>
        <w:shd w:val="clear" w:color="auto" w:fill="F1873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CC6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CC648" w:themeFill="accent4"/>
      </w:tcPr>
    </w:tblStylePr>
    <w:tblStylePr w:type="lastCol">
      <w:rPr>
        <w:b/>
        <w:bCs/>
        <w:color w:val="FFFFFF" w:themeColor="background1"/>
      </w:rPr>
      <w:tblPr/>
      <w:tcPr>
        <w:tcBorders>
          <w:left w:val="nil"/>
          <w:right w:val="nil"/>
          <w:insideH w:val="nil"/>
          <w:insideV w:val="nil"/>
        </w:tcBorders>
        <w:shd w:val="clear" w:color="auto" w:fill="FCC6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6BE57"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6BE57" w:themeFill="accent5"/>
      </w:tcPr>
    </w:tblStylePr>
    <w:tblStylePr w:type="lastCol">
      <w:rPr>
        <w:b/>
        <w:bCs/>
        <w:color w:val="FFFFFF" w:themeColor="background1"/>
      </w:rPr>
      <w:tblPr/>
      <w:tcPr>
        <w:tcBorders>
          <w:left w:val="nil"/>
          <w:right w:val="nil"/>
          <w:insideH w:val="nil"/>
          <w:insideV w:val="nil"/>
        </w:tcBorders>
        <w:shd w:val="clear" w:color="auto" w:fill="86BE57"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EE3EB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818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8183" w:themeFill="accent6"/>
      </w:tcPr>
    </w:tblStylePr>
    <w:tblStylePr w:type="lastCol">
      <w:rPr>
        <w:b/>
        <w:bCs/>
        <w:color w:val="FFFFFF" w:themeColor="background1"/>
      </w:rPr>
      <w:tblPr/>
      <w:tcPr>
        <w:tcBorders>
          <w:left w:val="nil"/>
          <w:right w:val="nil"/>
          <w:insideH w:val="nil"/>
          <w:insideV w:val="nil"/>
        </w:tcBorders>
        <w:shd w:val="clear" w:color="auto" w:fill="78818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PlainTable1">
    <w:name w:val="Plain Table 1"/>
    <w:basedOn w:val="TableNormal"/>
    <w:uiPriority w:val="41"/>
    <w:semiHidden/>
    <w:rsid w:val="00EE3E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semiHidden/>
    <w:rsid w:val="00EE3EB6"/>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semiHidden/>
    <w:rsid w:val="00EE3EB6"/>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semiHidden/>
    <w:rsid w:val="00EE3EB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semiHidden/>
    <w:rsid w:val="00EE3EB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Light">
    <w:name w:val="Grid Table Light"/>
    <w:basedOn w:val="TableNormal"/>
    <w:uiPriority w:val="40"/>
    <w:semiHidden/>
    <w:rsid w:val="00EE3EB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3">
    <w:name w:val="List Continue 3"/>
    <w:basedOn w:val="Normal"/>
    <w:rsid w:val="00503B7F"/>
    <w:pPr>
      <w:spacing w:before="120"/>
      <w:ind w:left="851"/>
    </w:pPr>
  </w:style>
  <w:style w:type="paragraph" w:styleId="ListNumber4">
    <w:name w:val="List Number 4"/>
    <w:basedOn w:val="Normal"/>
    <w:rsid w:val="00D264C9"/>
    <w:pPr>
      <w:numPr>
        <w:ilvl w:val="3"/>
        <w:numId w:val="23"/>
      </w:numPr>
      <w:spacing w:before="120"/>
      <w:ind w:left="1135"/>
    </w:pPr>
  </w:style>
  <w:style w:type="paragraph" w:styleId="ListNumber5">
    <w:name w:val="List Number 5"/>
    <w:basedOn w:val="Normal"/>
    <w:rsid w:val="00D264C9"/>
    <w:pPr>
      <w:numPr>
        <w:ilvl w:val="4"/>
        <w:numId w:val="23"/>
      </w:numPr>
      <w:spacing w:before="120"/>
      <w:ind w:left="1418"/>
    </w:pPr>
  </w:style>
  <w:style w:type="paragraph" w:styleId="ListContinue4">
    <w:name w:val="List Continue 4"/>
    <w:basedOn w:val="Normal"/>
    <w:rsid w:val="00503B7F"/>
    <w:pPr>
      <w:spacing w:before="120" w:after="60"/>
      <w:ind w:left="1134"/>
    </w:pPr>
  </w:style>
  <w:style w:type="paragraph" w:styleId="ListContinue5">
    <w:name w:val="List Continue 5"/>
    <w:basedOn w:val="Normal"/>
    <w:rsid w:val="00503B7F"/>
    <w:pPr>
      <w:spacing w:before="120"/>
      <w:ind w:left="1418"/>
    </w:pPr>
  </w:style>
  <w:style w:type="table" w:customStyle="1" w:styleId="BoxPlaceholder">
    <w:name w:val="Box Placeholder"/>
    <w:basedOn w:val="TableNormal"/>
    <w:uiPriority w:val="99"/>
    <w:rsid w:val="00BC0200"/>
    <w:pPr>
      <w:spacing w:line="240" w:lineRule="auto"/>
    </w:pPr>
    <w:tblPr>
      <w:tblInd w:w="142" w:type="dxa"/>
      <w:tblCellMar>
        <w:top w:w="113" w:type="dxa"/>
        <w:left w:w="142" w:type="dxa"/>
        <w:bottom w:w="113" w:type="dxa"/>
        <w:right w:w="142" w:type="dxa"/>
      </w:tblCellMar>
    </w:tblPr>
    <w:tcPr>
      <w:shd w:val="clear" w:color="auto" w:fill="E3E5E6" w:themeFill="accent6" w:themeFillTint="33"/>
    </w:tcPr>
  </w:style>
  <w:style w:type="character" w:styleId="PlaceholderText">
    <w:name w:val="Placeholder Text"/>
    <w:basedOn w:val="DefaultParagraphFont"/>
    <w:rsid w:val="004D58BA"/>
    <w:rPr>
      <w:color w:val="808080"/>
    </w:rPr>
  </w:style>
  <w:style w:type="table" w:customStyle="1" w:styleId="PBOFinancial">
    <w:name w:val="PBO Financial"/>
    <w:basedOn w:val="TableNormal"/>
    <w:uiPriority w:val="99"/>
    <w:rsid w:val="00456DEB"/>
    <w:pPr>
      <w:spacing w:before="40" w:after="40" w:line="240" w:lineRule="auto"/>
      <w:jc w:val="right"/>
    </w:pPr>
    <w:rPr>
      <w:sz w:val="20"/>
    </w:rPr>
    <w:tblPr>
      <w:tblCellMar>
        <w:top w:w="11" w:type="dxa"/>
        <w:left w:w="0" w:type="dxa"/>
        <w:bottom w:w="11" w:type="dxa"/>
        <w:right w:w="0" w:type="dxa"/>
      </w:tblCellMar>
    </w:tblPr>
    <w:tblStylePr w:type="firstRow">
      <w:rPr>
        <w:b w:val="0"/>
      </w:rPr>
      <w:tblPr/>
      <w:tcPr>
        <w:tcBorders>
          <w:top w:val="nil"/>
          <w:left w:val="nil"/>
          <w:bottom w:val="single" w:sz="4" w:space="0" w:color="auto"/>
          <w:right w:val="nil"/>
          <w:insideH w:val="nil"/>
          <w:insideV w:val="nil"/>
          <w:tl2br w:val="nil"/>
          <w:tr2bl w:val="nil"/>
        </w:tcBorders>
        <w:tcMar>
          <w:top w:w="11" w:type="dxa"/>
          <w:left w:w="0" w:type="nil"/>
          <w:bottom w:w="11" w:type="dxa"/>
          <w:right w:w="57" w:type="dxa"/>
        </w:tcMar>
      </w:tcPr>
    </w:tblStylePr>
    <w:tblStylePr w:type="lastRow">
      <w:rPr>
        <w:b w:val="0"/>
      </w:rPr>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Pr/>
      <w:tcPr>
        <w:tcMar>
          <w:top w:w="28" w:type="dxa"/>
          <w:left w:w="0" w:type="nil"/>
          <w:bottom w:w="28" w:type="dxa"/>
          <w:right w:w="57" w:type="dxa"/>
        </w:tcMar>
      </w:tcPr>
    </w:tblStylePr>
    <w:tblStylePr w:type="swCell">
      <w:rPr>
        <w:b/>
      </w:rPr>
    </w:tblStylePr>
  </w:style>
  <w:style w:type="paragraph" w:customStyle="1" w:styleId="xTableDecorativeA">
    <w:name w:val="xTableDecorativeA"/>
    <w:basedOn w:val="Normal"/>
    <w:next w:val="Normal"/>
    <w:uiPriority w:val="99"/>
    <w:semiHidden/>
    <w:qFormat/>
    <w:rsid w:val="00FD3658"/>
    <w:pPr>
      <w:keepNext/>
      <w:keepLines/>
      <w:spacing w:line="80" w:lineRule="exact"/>
    </w:pPr>
    <w:rPr>
      <w:b/>
      <w:sz w:val="14"/>
    </w:rPr>
  </w:style>
  <w:style w:type="paragraph" w:customStyle="1" w:styleId="PullQuote">
    <w:name w:val="Pull Quote"/>
    <w:basedOn w:val="Normal"/>
    <w:qFormat/>
    <w:rsid w:val="006242BA"/>
    <w:pPr>
      <w:keepNext/>
      <w:keepLines/>
      <w:spacing w:before="120" w:after="120"/>
    </w:pPr>
    <w:rPr>
      <w:b/>
    </w:rPr>
  </w:style>
  <w:style w:type="paragraph" w:customStyle="1" w:styleId="Heading2NoNumbering">
    <w:name w:val="Heading 2 No Numbering"/>
    <w:basedOn w:val="Heading2"/>
    <w:qFormat/>
    <w:rsid w:val="00014976"/>
    <w:pPr>
      <w:numPr>
        <w:ilvl w:val="0"/>
        <w:numId w:val="0"/>
      </w:numPr>
      <w:outlineLvl w:val="2"/>
    </w:pPr>
  </w:style>
  <w:style w:type="paragraph" w:customStyle="1" w:styleId="AppendixHeading4">
    <w:name w:val="Appendix Heading 4"/>
    <w:basedOn w:val="Normal"/>
    <w:next w:val="BodyText"/>
    <w:uiPriority w:val="30"/>
    <w:qFormat/>
    <w:rsid w:val="0081085D"/>
    <w:pPr>
      <w:spacing w:before="310" w:after="110" w:line="240" w:lineRule="auto"/>
    </w:pPr>
    <w:rPr>
      <w:rFonts w:asciiTheme="majorHAnsi" w:hAnsiTheme="majorHAnsi"/>
      <w:i/>
      <w:color w:val="000000" w:themeColor="text1"/>
      <w:sz w:val="23"/>
    </w:rPr>
  </w:style>
  <w:style w:type="paragraph" w:customStyle="1" w:styleId="AppendixHeading5">
    <w:name w:val="Appendix Heading 5"/>
    <w:basedOn w:val="Normal"/>
    <w:next w:val="BodyText"/>
    <w:uiPriority w:val="30"/>
    <w:qFormat/>
    <w:rsid w:val="0081085D"/>
    <w:pPr>
      <w:spacing w:before="310" w:after="110" w:line="240" w:lineRule="auto"/>
    </w:pPr>
    <w:rPr>
      <w:rFonts w:asciiTheme="majorHAnsi" w:hAnsiTheme="majorHAnsi"/>
      <w:i/>
      <w:color w:val="3D4D7D" w:themeColor="background2"/>
      <w:sz w:val="23"/>
    </w:rPr>
  </w:style>
  <w:style w:type="paragraph" w:customStyle="1" w:styleId="Heading3NoNumbering">
    <w:name w:val="Heading 3 No Numbering"/>
    <w:basedOn w:val="Heading3"/>
    <w:next w:val="BodyText"/>
    <w:qFormat/>
    <w:rsid w:val="00B245AF"/>
    <w:pPr>
      <w:numPr>
        <w:ilvl w:val="0"/>
        <w:numId w:val="0"/>
      </w:numPr>
    </w:pPr>
  </w:style>
  <w:style w:type="numbering" w:customStyle="1" w:styleId="Bullets">
    <w:name w:val="Bullets"/>
    <w:uiPriority w:val="99"/>
    <w:rsid w:val="005050DA"/>
    <w:pPr>
      <w:numPr>
        <w:numId w:val="14"/>
      </w:numPr>
    </w:pPr>
  </w:style>
  <w:style w:type="numbering" w:customStyle="1" w:styleId="NumberedList">
    <w:name w:val="NumberedList"/>
    <w:uiPriority w:val="99"/>
    <w:rsid w:val="005050DA"/>
    <w:pPr>
      <w:numPr>
        <w:numId w:val="17"/>
      </w:numPr>
    </w:pPr>
  </w:style>
  <w:style w:type="paragraph" w:customStyle="1" w:styleId="CaptionDescriptor">
    <w:name w:val="Caption Descriptor"/>
    <w:basedOn w:val="Caption"/>
    <w:qFormat/>
    <w:rsid w:val="007C0767"/>
    <w:rPr>
      <w:b w:val="0"/>
      <w:sz w:val="20"/>
    </w:rPr>
  </w:style>
  <w:style w:type="table" w:customStyle="1" w:styleId="TablePlaceholder">
    <w:name w:val="Table Placeholder"/>
    <w:basedOn w:val="TableNormal"/>
    <w:uiPriority w:val="99"/>
    <w:rsid w:val="00B366ED"/>
    <w:tblPr>
      <w:tblCellMar>
        <w:left w:w="0" w:type="dxa"/>
        <w:right w:w="0" w:type="dxa"/>
      </w:tblCellMar>
    </w:tblPr>
  </w:style>
  <w:style w:type="paragraph" w:customStyle="1" w:styleId="CaptionLeft">
    <w:name w:val="Caption Left"/>
    <w:basedOn w:val="Caption"/>
    <w:next w:val="BodyText"/>
    <w:qFormat/>
    <w:rsid w:val="00233BE7"/>
    <w:pPr>
      <w:jc w:val="left"/>
    </w:pPr>
  </w:style>
  <w:style w:type="paragraph" w:customStyle="1" w:styleId="TableSubheading">
    <w:name w:val="Table Subheading"/>
    <w:basedOn w:val="TableText"/>
    <w:qFormat/>
    <w:rsid w:val="000B3F9F"/>
    <w:rPr>
      <w:b/>
      <w:szCs w:val="20"/>
    </w:rPr>
  </w:style>
  <w:style w:type="paragraph" w:customStyle="1" w:styleId="TableHeadingBlueAllCaps">
    <w:name w:val="Table Heading Blue All Caps"/>
    <w:basedOn w:val="TableText"/>
    <w:qFormat/>
    <w:rsid w:val="000B3F9F"/>
    <w:rPr>
      <w:b/>
      <w:caps/>
      <w:color w:val="3D4D7D" w:themeColor="background2"/>
      <w:szCs w:val="20"/>
    </w:rPr>
  </w:style>
  <w:style w:type="paragraph" w:customStyle="1" w:styleId="Default">
    <w:name w:val="Default"/>
    <w:rsid w:val="006974E5"/>
    <w:pPr>
      <w:autoSpaceDE w:val="0"/>
      <w:autoSpaceDN w:val="0"/>
      <w:adjustRightInd w:val="0"/>
      <w:spacing w:line="240" w:lineRule="auto"/>
    </w:pPr>
    <w:rPr>
      <w:rFonts w:ascii="Calibri" w:hAnsi="Calibri" w:cs="Calibri"/>
      <w:color w:val="000000"/>
      <w:sz w:val="24"/>
      <w:szCs w:val="24"/>
    </w:rPr>
  </w:style>
  <w:style w:type="character" w:customStyle="1" w:styleId="CaptionChar">
    <w:name w:val="Caption Char"/>
    <w:basedOn w:val="DefaultParagraphFont"/>
    <w:link w:val="Caption"/>
    <w:rsid w:val="002A5E0A"/>
    <w:rPr>
      <w:b/>
      <w:bCs/>
      <w:color w:val="3D4D7D" w:themeColor="background2"/>
    </w:rPr>
  </w:style>
  <w:style w:type="paragraph" w:styleId="Revision">
    <w:name w:val="Revision"/>
    <w:hidden/>
    <w:uiPriority w:val="99"/>
    <w:semiHidden/>
    <w:rsid w:val="00EB5D54"/>
    <w:pPr>
      <w:spacing w:line="240" w:lineRule="auto"/>
    </w:pPr>
  </w:style>
  <w:style w:type="paragraph" w:styleId="TOC9">
    <w:name w:val="toc 9"/>
    <w:basedOn w:val="Normal"/>
    <w:next w:val="Normal"/>
    <w:autoRedefine/>
    <w:semiHidden/>
    <w:unhideWhenUsed/>
    <w:rsid w:val="00560DD4"/>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234839">
      <w:bodyDiv w:val="1"/>
      <w:marLeft w:val="0"/>
      <w:marRight w:val="0"/>
      <w:marTop w:val="0"/>
      <w:marBottom w:val="0"/>
      <w:divBdr>
        <w:top w:val="none" w:sz="0" w:space="0" w:color="auto"/>
        <w:left w:val="none" w:sz="0" w:space="0" w:color="auto"/>
        <w:bottom w:val="none" w:sz="0" w:space="0" w:color="auto"/>
        <w:right w:val="none" w:sz="0" w:space="0" w:color="auto"/>
      </w:divBdr>
    </w:div>
    <w:div w:id="395275646">
      <w:bodyDiv w:val="1"/>
      <w:marLeft w:val="0"/>
      <w:marRight w:val="0"/>
      <w:marTop w:val="0"/>
      <w:marBottom w:val="0"/>
      <w:divBdr>
        <w:top w:val="none" w:sz="0" w:space="0" w:color="auto"/>
        <w:left w:val="none" w:sz="0" w:space="0" w:color="auto"/>
        <w:bottom w:val="none" w:sz="0" w:space="0" w:color="auto"/>
        <w:right w:val="none" w:sz="0" w:space="0" w:color="auto"/>
      </w:divBdr>
    </w:div>
    <w:div w:id="494225205">
      <w:bodyDiv w:val="1"/>
      <w:marLeft w:val="0"/>
      <w:marRight w:val="0"/>
      <w:marTop w:val="0"/>
      <w:marBottom w:val="0"/>
      <w:divBdr>
        <w:top w:val="none" w:sz="0" w:space="0" w:color="auto"/>
        <w:left w:val="none" w:sz="0" w:space="0" w:color="auto"/>
        <w:bottom w:val="none" w:sz="0" w:space="0" w:color="auto"/>
        <w:right w:val="none" w:sz="0" w:space="0" w:color="auto"/>
      </w:divBdr>
    </w:div>
    <w:div w:id="1263227147">
      <w:bodyDiv w:val="1"/>
      <w:marLeft w:val="0"/>
      <w:marRight w:val="0"/>
      <w:marTop w:val="0"/>
      <w:marBottom w:val="0"/>
      <w:divBdr>
        <w:top w:val="none" w:sz="0" w:space="0" w:color="auto"/>
        <w:left w:val="none" w:sz="0" w:space="0" w:color="auto"/>
        <w:bottom w:val="none" w:sz="0" w:space="0" w:color="auto"/>
        <w:right w:val="none" w:sz="0" w:space="0" w:color="auto"/>
      </w:divBdr>
    </w:div>
    <w:div w:id="1483161688">
      <w:bodyDiv w:val="1"/>
      <w:marLeft w:val="0"/>
      <w:marRight w:val="0"/>
      <w:marTop w:val="0"/>
      <w:marBottom w:val="0"/>
      <w:divBdr>
        <w:top w:val="none" w:sz="0" w:space="0" w:color="auto"/>
        <w:left w:val="none" w:sz="0" w:space="0" w:color="auto"/>
        <w:bottom w:val="none" w:sz="0" w:space="0" w:color="auto"/>
        <w:right w:val="none" w:sz="0" w:space="0" w:color="auto"/>
      </w:divBdr>
    </w:div>
    <w:div w:id="1665233909">
      <w:bodyDiv w:val="1"/>
      <w:marLeft w:val="0"/>
      <w:marRight w:val="0"/>
      <w:marTop w:val="0"/>
      <w:marBottom w:val="0"/>
      <w:divBdr>
        <w:top w:val="none" w:sz="0" w:space="0" w:color="auto"/>
        <w:left w:val="none" w:sz="0" w:space="0" w:color="auto"/>
        <w:bottom w:val="none" w:sz="0" w:space="0" w:color="auto"/>
        <w:right w:val="none" w:sz="0" w:space="0" w:color="auto"/>
      </w:divBdr>
    </w:div>
    <w:div w:id="182970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10.xml"/><Relationship Id="rId39" Type="http://schemas.openxmlformats.org/officeDocument/2006/relationships/image" Target="media/image14.png"/><Relationship Id="rId21" Type="http://schemas.openxmlformats.org/officeDocument/2006/relationships/header" Target="header7.xml"/><Relationship Id="rId34" Type="http://schemas.openxmlformats.org/officeDocument/2006/relationships/image" Target="media/image9.png"/><Relationship Id="rId42" Type="http://schemas.openxmlformats.org/officeDocument/2006/relationships/header" Target="header11.xml"/><Relationship Id="rId47" Type="http://schemas.openxmlformats.org/officeDocument/2006/relationships/footer" Target="footer10.xml"/><Relationship Id="rId50" Type="http://schemas.openxmlformats.org/officeDocument/2006/relationships/header" Target="header15.xml"/><Relationship Id="rId55" Type="http://schemas.openxmlformats.org/officeDocument/2006/relationships/footer" Target="footer14.xml"/><Relationship Id="rId63" Type="http://schemas.openxmlformats.org/officeDocument/2006/relationships/footer" Target="footer16.xml"/><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eader" Target="header13.xml"/><Relationship Id="rId53" Type="http://schemas.openxmlformats.org/officeDocument/2006/relationships/footer" Target="footer13.xml"/><Relationship Id="rId58" Type="http://schemas.openxmlformats.org/officeDocument/2006/relationships/image" Target="media/image19.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footer" Target="footer11.xml"/><Relationship Id="rId57" Type="http://schemas.openxmlformats.org/officeDocument/2006/relationships/image" Target="media/image18.png"/><Relationship Id="rId61" Type="http://schemas.openxmlformats.org/officeDocument/2006/relationships/header" Target="header19.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6.png"/><Relationship Id="rId44" Type="http://schemas.openxmlformats.org/officeDocument/2006/relationships/header" Target="header12.xml"/><Relationship Id="rId52" Type="http://schemas.openxmlformats.org/officeDocument/2006/relationships/footer" Target="footer12.xml"/><Relationship Id="rId60" Type="http://schemas.openxmlformats.org/officeDocument/2006/relationships/header" Target="header18.xml"/><Relationship Id="rId65"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itsanhonour.gov.au/coat-arms" TargetMode="External"/><Relationship Id="rId22" Type="http://schemas.openxmlformats.org/officeDocument/2006/relationships/header" Target="header8.xml"/><Relationship Id="rId27" Type="http://schemas.openxmlformats.org/officeDocument/2006/relationships/footer" Target="footer6.xm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footer" Target="footer8.xml"/><Relationship Id="rId48" Type="http://schemas.openxmlformats.org/officeDocument/2006/relationships/header" Target="header14.xml"/><Relationship Id="rId56" Type="http://schemas.openxmlformats.org/officeDocument/2006/relationships/image" Target="media/image17.png"/><Relationship Id="rId64" Type="http://schemas.openxmlformats.org/officeDocument/2006/relationships/header" Target="header20.xml"/><Relationship Id="rId8" Type="http://schemas.openxmlformats.org/officeDocument/2006/relationships/endnotes" Target="endnotes.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hyperlink" Target="http://creativecommons.org/licenses/by-nc-nd/3.0/au/" TargetMode="External"/><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9.xml"/><Relationship Id="rId59" Type="http://schemas.openxmlformats.org/officeDocument/2006/relationships/image" Target="media/image20.png"/><Relationship Id="rId67" Type="http://schemas.openxmlformats.org/officeDocument/2006/relationships/glossaryDocument" Target="glossary/document.xml"/><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header" Target="header17.xml"/><Relationship Id="rId62" Type="http://schemas.openxmlformats.org/officeDocument/2006/relationships/footer" Target="footer15.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Core\Templates\2.%20Publications\PBO%20Research%20Report%20v2.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1A22AEE43CD4D27992B822863061560"/>
        <w:category>
          <w:name w:val="General"/>
          <w:gallery w:val="placeholder"/>
        </w:category>
        <w:types>
          <w:type w:val="bbPlcHdr"/>
        </w:types>
        <w:behaviors>
          <w:behavior w:val="content"/>
        </w:behaviors>
        <w:guid w:val="{C0B651D5-4973-4EC7-9DF7-7E493A942978}"/>
      </w:docPartPr>
      <w:docPartBody>
        <w:p w:rsidR="00C976A4" w:rsidRDefault="00C976A4">
          <w:pPr>
            <w:pStyle w:val="61A22AEE43CD4D27992B822863061560"/>
          </w:pPr>
          <w:r w:rsidRPr="00CC37CA">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Dada Grotesk">
    <w:panose1 w:val="00000000000000000000"/>
    <w:charset w:val="00"/>
    <w:family w:val="swiss"/>
    <w:notTrueType/>
    <w:pitch w:val="variable"/>
    <w:sig w:usb0="A00000AF" w:usb1="4000206A" w:usb2="00000000" w:usb3="00000000" w:csb0="0000009B"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6A4"/>
    <w:rsid w:val="00075739"/>
    <w:rsid w:val="00097C6E"/>
    <w:rsid w:val="000B48FD"/>
    <w:rsid w:val="000C1290"/>
    <w:rsid w:val="000D2166"/>
    <w:rsid w:val="000F65A9"/>
    <w:rsid w:val="0012258E"/>
    <w:rsid w:val="0016484B"/>
    <w:rsid w:val="0017033C"/>
    <w:rsid w:val="00194AD3"/>
    <w:rsid w:val="001C7955"/>
    <w:rsid w:val="0023005C"/>
    <w:rsid w:val="00244791"/>
    <w:rsid w:val="00255D08"/>
    <w:rsid w:val="00297A97"/>
    <w:rsid w:val="00306A0B"/>
    <w:rsid w:val="00394B9E"/>
    <w:rsid w:val="003F35B2"/>
    <w:rsid w:val="0042339F"/>
    <w:rsid w:val="004F4948"/>
    <w:rsid w:val="004F5B0A"/>
    <w:rsid w:val="00504B8F"/>
    <w:rsid w:val="00564907"/>
    <w:rsid w:val="00574A08"/>
    <w:rsid w:val="005A3446"/>
    <w:rsid w:val="005E2F2F"/>
    <w:rsid w:val="0060786C"/>
    <w:rsid w:val="006565A7"/>
    <w:rsid w:val="00686178"/>
    <w:rsid w:val="007269FB"/>
    <w:rsid w:val="00802AB7"/>
    <w:rsid w:val="00857E7E"/>
    <w:rsid w:val="00861FD0"/>
    <w:rsid w:val="009A481F"/>
    <w:rsid w:val="009E6543"/>
    <w:rsid w:val="00A22AB8"/>
    <w:rsid w:val="00A47B95"/>
    <w:rsid w:val="00A557F0"/>
    <w:rsid w:val="00A7185D"/>
    <w:rsid w:val="00A91B7C"/>
    <w:rsid w:val="00B47BC0"/>
    <w:rsid w:val="00B47F80"/>
    <w:rsid w:val="00B73430"/>
    <w:rsid w:val="00BB4BF0"/>
    <w:rsid w:val="00C25055"/>
    <w:rsid w:val="00C45833"/>
    <w:rsid w:val="00C96F46"/>
    <w:rsid w:val="00C976A4"/>
    <w:rsid w:val="00CA12BF"/>
    <w:rsid w:val="00D11423"/>
    <w:rsid w:val="00D77363"/>
    <w:rsid w:val="00DB70A5"/>
    <w:rsid w:val="00DE6294"/>
    <w:rsid w:val="00DF37C5"/>
    <w:rsid w:val="00E14B98"/>
    <w:rsid w:val="00E21788"/>
    <w:rsid w:val="00EE3667"/>
    <w:rsid w:val="00EF2716"/>
    <w:rsid w:val="00F534D0"/>
    <w:rsid w:val="00F65EB7"/>
    <w:rsid w:val="00F8460C"/>
    <w:rsid w:val="00FE15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A22AEE43CD4D27992B822863061560">
    <w:name w:val="61A22AEE43CD4D27992B822863061560"/>
  </w:style>
  <w:style w:type="paragraph" w:customStyle="1" w:styleId="8A4BC5FD4F5A40E3BEC52C4A4EBFF618">
    <w:name w:val="8A4BC5FD4F5A40E3BEC52C4A4EBFF618"/>
    <w:rsid w:val="00C976A4"/>
  </w:style>
  <w:style w:type="paragraph" w:customStyle="1" w:styleId="4C0C90EC4F0B4F5B9C74625BC3BABA5A">
    <w:name w:val="4C0C90EC4F0B4F5B9C74625BC3BABA5A"/>
    <w:rsid w:val="00C976A4"/>
  </w:style>
  <w:style w:type="paragraph" w:customStyle="1" w:styleId="DE51380BB9794644BBBBC0F727085EFD">
    <w:name w:val="DE51380BB9794644BBBBC0F727085EFD"/>
    <w:rsid w:val="00C976A4"/>
  </w:style>
  <w:style w:type="paragraph" w:customStyle="1" w:styleId="F134927A0F7E4205B2ACE31B8AFDE5D1">
    <w:name w:val="F134927A0F7E4205B2ACE31B8AFDE5D1"/>
    <w:rsid w:val="00C976A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1A22AEE43CD4D27992B822863061560">
    <w:name w:val="61A22AEE43CD4D27992B822863061560"/>
  </w:style>
  <w:style w:type="paragraph" w:customStyle="1" w:styleId="8A4BC5FD4F5A40E3BEC52C4A4EBFF618">
    <w:name w:val="8A4BC5FD4F5A40E3BEC52C4A4EBFF618"/>
    <w:rsid w:val="00C976A4"/>
  </w:style>
  <w:style w:type="paragraph" w:customStyle="1" w:styleId="4C0C90EC4F0B4F5B9C74625BC3BABA5A">
    <w:name w:val="4C0C90EC4F0B4F5B9C74625BC3BABA5A"/>
    <w:rsid w:val="00C976A4"/>
  </w:style>
  <w:style w:type="paragraph" w:customStyle="1" w:styleId="DE51380BB9794644BBBBC0F727085EFD">
    <w:name w:val="DE51380BB9794644BBBBC0F727085EFD"/>
    <w:rsid w:val="00C976A4"/>
  </w:style>
  <w:style w:type="paragraph" w:customStyle="1" w:styleId="F134927A0F7E4205B2ACE31B8AFDE5D1">
    <w:name w:val="F134927A0F7E4205B2ACE31B8AFDE5D1"/>
    <w:rsid w:val="00C976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PBO 2018">
      <a:dk1>
        <a:srgbClr val="000000"/>
      </a:dk1>
      <a:lt1>
        <a:srgbClr val="FFFFFF"/>
      </a:lt1>
      <a:dk2>
        <a:srgbClr val="9778B4"/>
      </a:dk2>
      <a:lt2>
        <a:srgbClr val="3D4D7D"/>
      </a:lt2>
      <a:accent1>
        <a:srgbClr val="8D487F"/>
      </a:accent1>
      <a:accent2>
        <a:srgbClr val="C64E45"/>
      </a:accent2>
      <a:accent3>
        <a:srgbClr val="F1873D"/>
      </a:accent3>
      <a:accent4>
        <a:srgbClr val="FCC648"/>
      </a:accent4>
      <a:accent5>
        <a:srgbClr val="86BE57"/>
      </a:accent5>
      <a:accent6>
        <a:srgbClr val="788183"/>
      </a:accent6>
      <a:hlink>
        <a:srgbClr val="000000"/>
      </a:hlink>
      <a:folHlink>
        <a:srgbClr val="3D4D7D"/>
      </a:folHlink>
    </a:clrScheme>
    <a:fontScheme name="PBO v2">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3F9D8-B1A3-4DF0-A36A-1F1632274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PBO Research Report v2.dotm</Template>
  <TotalTime>195</TotalTime>
  <Pages>36</Pages>
  <Words>10383</Words>
  <Characters>59187</Characters>
  <Application>Microsoft Office Word</Application>
  <DocSecurity>0</DocSecurity>
  <Lines>493</Lines>
  <Paragraphs>138</Paragraphs>
  <ScaleCrop>false</ScaleCrop>
  <HeadingPairs>
    <vt:vector size="2" baseType="variant">
      <vt:variant>
        <vt:lpstr>Title</vt:lpstr>
      </vt:variant>
      <vt:variant>
        <vt:i4>1</vt:i4>
      </vt:variant>
    </vt:vector>
  </HeadingPairs>
  <TitlesOfParts>
    <vt:vector size="1" baseType="lpstr">
      <vt:lpstr>2018-19 Budget: medium-term projections</vt:lpstr>
    </vt:vector>
  </TitlesOfParts>
  <Company>Parliament of Australia</Company>
  <LinksUpToDate>false</LinksUpToDate>
  <CharactersWithSpaces>69432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2018-19 Budget: medium-term projections</dc:title>
  <dc:subject>Self-initiated research</dc:subject>
  <dc:creator>PBO@pbo.gov.au</dc:creator>
  <cp:keywords/>
  <dc:description/>
  <cp:lastModifiedBy>Pratley, Lauren (PBO)</cp:lastModifiedBy>
  <cp:revision>33</cp:revision>
  <cp:lastPrinted>2018-09-05T23:53:00Z</cp:lastPrinted>
  <dcterms:created xsi:type="dcterms:W3CDTF">2018-09-03T05:31:00Z</dcterms:created>
  <dcterms:modified xsi:type="dcterms:W3CDTF">2018-09-05T23:57:00Z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Status">
    <vt:lpwstr/>
  </property>
  <property fmtid="{D5CDD505-2E9C-101B-9397-08002B2CF9AE}" pid="3" name="xTOCH2">
    <vt:lpwstr>Y</vt:lpwstr>
  </property>
  <property fmtid="{D5CDD505-2E9C-101B-9397-08002B2CF9AE}" pid="4" name="xTOCH3">
    <vt:lpwstr>N</vt:lpwstr>
  </property>
  <property fmtid="{D5CDD505-2E9C-101B-9397-08002B2CF9AE}" pid="5" name="xTOCTable">
    <vt:lpwstr>H</vt:lpwstr>
  </property>
  <property fmtid="{D5CDD505-2E9C-101B-9397-08002B2CF9AE}" pid="6" name="xTOCFigure">
    <vt:lpwstr>H</vt:lpwstr>
  </property>
  <property fmtid="{D5CDD505-2E9C-101B-9397-08002B2CF9AE}" pid="7" name="xTOCApp">
    <vt:lpwstr>H</vt:lpwstr>
  </property>
  <property fmtid="{D5CDD505-2E9C-101B-9397-08002B2CF9AE}" pid="8" name="xNumberedBodyText">
    <vt:lpwstr>False</vt:lpwstr>
  </property>
  <property fmtid="{D5CDD505-2E9C-101B-9397-08002B2CF9AE}" pid="9" name="xCR">
    <vt:lpwstr>Figures</vt:lpwstr>
  </property>
  <property fmtid="{D5CDD505-2E9C-101B-9397-08002B2CF9AE}" pid="10" name="xHeadingsNumbered">
    <vt:lpwstr>True</vt:lpwstr>
  </property>
  <property fmtid="{D5CDD505-2E9C-101B-9397-08002B2CF9AE}" pid="11" name="xAppendixName">
    <vt:lpwstr>Appendix</vt:lpwstr>
  </property>
  <property fmtid="{D5CDD505-2E9C-101B-9397-08002B2CF9AE}" pid="12" name="_MarkAsFinal">
    <vt:bool>true</vt:bool>
  </property>
</Properties>
</file>