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4AE" w:rsidRDefault="00DC64AE" w:rsidP="00785B35">
      <w:pPr>
        <w:pStyle w:val="Title"/>
      </w:pPr>
    </w:p>
    <w:p w:rsidR="00E67BBF" w:rsidRPr="00BE42AD" w:rsidRDefault="00816B15" w:rsidP="00785B35">
      <w:pPr>
        <w:pStyle w:val="Title"/>
        <w:rPr>
          <w:color w:val="FFFFFF"/>
        </w:rPr>
      </w:pPr>
      <w:r>
        <w:t>Net Debt and Investment Funds</w:t>
      </w:r>
    </w:p>
    <w:p w:rsidR="00086FD2" w:rsidRPr="00BA0753" w:rsidRDefault="00086FD2" w:rsidP="0081085D">
      <w:pPr>
        <w:pStyle w:val="Title3"/>
        <w:framePr w:wrap="around"/>
      </w:pPr>
      <w:r w:rsidRPr="008621A9">
        <w:rPr>
          <w:rStyle w:val="Title3Heading"/>
        </w:rPr>
        <w:t>Report No.</w:t>
      </w:r>
      <w:r w:rsidR="00AD1DE2">
        <w:rPr>
          <w:rStyle w:val="Title3Heading"/>
        </w:rPr>
        <w:br/>
      </w:r>
      <w:r w:rsidR="0074697E">
        <w:t>01/2019</w:t>
      </w:r>
    </w:p>
    <w:p w:rsidR="00C800F2" w:rsidRDefault="00914F92" w:rsidP="00AD1DE2">
      <w:pPr>
        <w:pStyle w:val="Title2"/>
      </w:pPr>
      <w:r>
        <w:t>Trends and Balance Sheet Implications</w:t>
      </w:r>
    </w:p>
    <w:p w:rsidR="00086FD2" w:rsidRDefault="00086FD2" w:rsidP="00961DBB">
      <w:pPr>
        <w:rPr>
          <w:rFonts w:asciiTheme="majorHAnsi" w:hAnsiTheme="majorHAnsi"/>
          <w:b/>
          <w:color w:val="FFFFFF" w:themeColor="background1"/>
          <w:spacing w:val="-1"/>
          <w:sz w:val="30"/>
        </w:rPr>
      </w:pPr>
    </w:p>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Pr="006C038B" w:rsidRDefault="006C038B" w:rsidP="006C038B"/>
    <w:p w:rsidR="006C038B" w:rsidRDefault="006C038B" w:rsidP="006C038B">
      <w:pPr>
        <w:rPr>
          <w:rFonts w:asciiTheme="majorHAnsi" w:hAnsiTheme="majorHAnsi"/>
          <w:b/>
          <w:color w:val="FFFFFF" w:themeColor="background1"/>
          <w:spacing w:val="-1"/>
          <w:sz w:val="30"/>
        </w:rPr>
      </w:pPr>
    </w:p>
    <w:p w:rsidR="006C038B" w:rsidRPr="006C038B" w:rsidRDefault="006C038B" w:rsidP="006C038B">
      <w:pPr>
        <w:sectPr w:rsidR="006C038B" w:rsidRPr="006C038B" w:rsidSect="00A16EB0">
          <w:headerReference w:type="even" r:id="rId8"/>
          <w:headerReference w:type="default" r:id="rId9"/>
          <w:footerReference w:type="even" r:id="rId10"/>
          <w:footerReference w:type="default" r:id="rId11"/>
          <w:headerReference w:type="first" r:id="rId12"/>
          <w:footerReference w:type="first" r:id="rId13"/>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914F92">
              <w:t>201</w:t>
            </w:r>
            <w:bookmarkStart w:id="1" w:name="Here"/>
            <w:bookmarkEnd w:id="1"/>
            <w:r w:rsidR="0074697E">
              <w:t>9</w:t>
            </w:r>
          </w:p>
          <w:p w:rsidR="001830F3" w:rsidRPr="00997E3D" w:rsidRDefault="00997E3D" w:rsidP="00CC37CA">
            <w:pPr>
              <w:pStyle w:val="xDisclaimerText2"/>
              <w:framePr w:hSpace="0" w:wrap="auto" w:hAnchor="text" w:yAlign="inline"/>
              <w:suppressOverlap w:val="0"/>
            </w:pPr>
            <w:r w:rsidRPr="00997E3D">
              <w:t xml:space="preserve">ISBN </w:t>
            </w:r>
            <w:r w:rsidR="00E151F3" w:rsidRPr="00997E3D">
              <w:t>978-0-6483701-0-9 (online)</w:t>
            </w:r>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4"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21B24A52" wp14:editId="4FD9EACE">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432A1D">
              <w:t>Net Debt</w:t>
            </w:r>
            <w:r w:rsidR="00DA5757">
              <w:t xml:space="preserve"> and Investment Funds – Trends and balance sheet implications</w:t>
            </w:r>
            <w:r w:rsidR="00432A1D">
              <w:t>.</w:t>
            </w:r>
          </w:p>
          <w:p w:rsidR="00395ABA" w:rsidRDefault="00395ABA" w:rsidP="00395ABA">
            <w:pPr>
              <w:pStyle w:val="xDisclaimerHeading"/>
              <w:framePr w:hSpace="0" w:wrap="auto" w:hAnchor="text" w:yAlign="inline"/>
              <w:suppressOverlap w:val="0"/>
            </w:pPr>
            <w:r>
              <w:t>Use of the Coat of Arms</w:t>
            </w:r>
          </w:p>
          <w:p w:rsidR="004A445C" w:rsidRDefault="00395ABA" w:rsidP="0001369C">
            <w:pPr>
              <w:pStyle w:val="xDisclaimerText2"/>
              <w:framePr w:hSpace="0" w:wrap="auto" w:hAnchor="text" w:yAlign="inline"/>
              <w:suppressOverlap w:val="0"/>
              <w:rPr>
                <w:rFonts w:ascii="Calibri" w:eastAsia="Calibri" w:hAnsi="Calibri" w:cs="Times New Roman"/>
                <w:u w:val="single"/>
              </w:rPr>
            </w:pPr>
            <w:r w:rsidRPr="00FF62B9">
              <w:rPr>
                <w:rFonts w:ascii="Calibri" w:eastAsia="Calibri" w:hAnsi="Calibri" w:cs="Times New Roman"/>
              </w:rPr>
              <w:t xml:space="preserve">The terms under which the Coat of Arms can be used are detailed on the following website: </w:t>
            </w:r>
            <w:hyperlink r:id="rId16" w:history="1">
              <w:r w:rsidRPr="00FF62B9">
                <w:rPr>
                  <w:rFonts w:ascii="Calibri" w:eastAsia="Calibri" w:hAnsi="Calibri" w:cs="Times New Roman"/>
                  <w:u w:val="single"/>
                </w:rPr>
                <w:t>www.itsanhonour.gov.au/coat-arms</w:t>
              </w:r>
            </w:hyperlink>
          </w:p>
          <w:p w:rsidR="00375B41" w:rsidRDefault="00375B41" w:rsidP="00991AD8">
            <w:pPr>
              <w:pStyle w:val="xDisclaimerHeading"/>
              <w:framePr w:hSpace="0" w:wrap="auto" w:hAnchor="text" w:yAlign="inline"/>
              <w:suppressOverlap w:val="0"/>
              <w:rPr>
                <w:rFonts w:ascii="Calibri" w:eastAsia="Calibri" w:hAnsi="Calibri" w:cs="Times New Roman"/>
                <w:u w:val="single"/>
              </w:rPr>
            </w:pPr>
            <w:r w:rsidRPr="00991AD8">
              <w:t>Feedback</w:t>
            </w:r>
          </w:p>
          <w:p w:rsidR="00375B41" w:rsidRPr="006677F1" w:rsidRDefault="00375B41" w:rsidP="00991AD8">
            <w:pPr>
              <w:pStyle w:val="xDisclaimerText2"/>
              <w:framePr w:hSpace="0" w:wrap="auto" w:hAnchor="text" w:yAlign="inline"/>
              <w:suppressOverlap w:val="0"/>
              <w:rPr>
                <w:rFonts w:ascii="Calibri" w:eastAsia="Calibri" w:hAnsi="Calibri" w:cs="Times New Roman"/>
                <w:u w:val="single"/>
              </w:rPr>
            </w:pPr>
            <w:r w:rsidRPr="00991AD8">
              <w:rPr>
                <w:rFonts w:ascii="Calibri" w:eastAsia="Calibri" w:hAnsi="Calibri" w:cs="Times New Roman"/>
              </w:rPr>
              <w:t xml:space="preserve">If you found this report useful, or have suggestions for improvement, please provide feedback to </w:t>
            </w:r>
            <w:hyperlink r:id="rId17" w:history="1">
              <w:r w:rsidRPr="00991AD8">
                <w:t>feedback@pbo.gov.au</w:t>
              </w:r>
            </w:hyperlink>
            <w:r w:rsidRPr="00991AD8">
              <w:rPr>
                <w:rFonts w:ascii="Calibri" w:eastAsia="Calibri" w:hAnsi="Calibri" w:cs="Times New Roman"/>
              </w:rPr>
              <w:t>.</w:t>
            </w:r>
            <w:r>
              <w:rPr>
                <w:rFonts w:ascii="Calibri" w:eastAsia="Calibri" w:hAnsi="Calibri" w:cs="Times New Roman"/>
                <w:u w:val="single"/>
              </w:rPr>
              <w:t xml:space="preserve"> </w:t>
            </w:r>
          </w:p>
        </w:tc>
      </w:tr>
    </w:tbl>
    <w:p w:rsidR="00924801" w:rsidRDefault="00924801"/>
    <w:p w:rsidR="00C800F2" w:rsidRDefault="00C800F2"/>
    <w:p w:rsidR="001830F3" w:rsidRDefault="001830F3" w:rsidP="001830F3">
      <w:pPr>
        <w:sectPr w:rsidR="001830F3" w:rsidSect="006E55D0">
          <w:headerReference w:type="even" r:id="rId18"/>
          <w:headerReference w:type="default" r:id="rId19"/>
          <w:footerReference w:type="even" r:id="rId20"/>
          <w:footerReference w:type="default" r:id="rId21"/>
          <w:headerReference w:type="first" r:id="rId22"/>
          <w:footerReference w:type="first" r:id="rId23"/>
          <w:pgSz w:w="11907" w:h="16840" w:code="9"/>
          <w:pgMar w:top="1191" w:right="1418" w:bottom="1021" w:left="1418" w:header="567" w:footer="709" w:gutter="0"/>
          <w:pgNumType w:fmt="lowerRoman"/>
          <w:cols w:space="708"/>
          <w:docGrid w:linePitch="360"/>
        </w:sectPr>
      </w:pPr>
    </w:p>
    <w:p w:rsidR="005C4862" w:rsidRDefault="00816B15" w:rsidP="000B1F76">
      <w:pPr>
        <w:pStyle w:val="TOCHeading"/>
        <w:spacing w:before="120"/>
      </w:pPr>
      <w:r>
        <w:lastRenderedPageBreak/>
        <w:t>NET DEBT AND INVESTMENT FUNDS</w:t>
      </w:r>
      <w:r w:rsidR="005C4862">
        <w:t>—</w:t>
      </w:r>
      <w:r w:rsidR="005C4862" w:rsidRPr="000B1F76">
        <w:rPr>
          <w:sz w:val="40"/>
        </w:rPr>
        <w:t>Trends and balance sheet implications</w:t>
      </w:r>
      <w:r w:rsidR="005C4862" w:rsidRPr="000B1F76">
        <w:rPr>
          <w:sz w:val="40"/>
          <w:vertAlign w:val="superscript"/>
        </w:rPr>
        <w:footnoteReference w:id="1"/>
      </w:r>
    </w:p>
    <w:p w:rsidR="00D559DF" w:rsidRDefault="00D559DF" w:rsidP="00FF1368">
      <w:pPr>
        <w:pStyle w:val="TOCHeading"/>
      </w:pPr>
      <w:r w:rsidRPr="00FF1368">
        <w:t>Contents</w:t>
      </w:r>
      <w:bookmarkStart w:id="3" w:name="_TOCMarker"/>
      <w:bookmarkEnd w:id="3"/>
    </w:p>
    <w:p w:rsidR="004A716E"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2860937" w:history="1">
        <w:r w:rsidR="004A716E" w:rsidRPr="004839DC">
          <w:rPr>
            <w:rStyle w:val="Hyperlink"/>
          </w:rPr>
          <w:t>Overview</w:t>
        </w:r>
        <w:r w:rsidR="004A716E">
          <w:rPr>
            <w:webHidden/>
          </w:rPr>
          <w:tab/>
        </w:r>
        <w:r w:rsidR="004A716E">
          <w:rPr>
            <w:webHidden/>
          </w:rPr>
          <w:fldChar w:fldCharType="begin"/>
        </w:r>
        <w:r w:rsidR="004A716E">
          <w:rPr>
            <w:webHidden/>
          </w:rPr>
          <w:instrText xml:space="preserve"> PAGEREF _Toc2860937 \h </w:instrText>
        </w:r>
        <w:r w:rsidR="004A716E">
          <w:rPr>
            <w:webHidden/>
          </w:rPr>
        </w:r>
        <w:r w:rsidR="004A716E">
          <w:rPr>
            <w:webHidden/>
          </w:rPr>
          <w:fldChar w:fldCharType="separate"/>
        </w:r>
        <w:r w:rsidR="00433BF3">
          <w:rPr>
            <w:webHidden/>
          </w:rPr>
          <w:t>1</w:t>
        </w:r>
        <w:r w:rsidR="004A716E">
          <w:rPr>
            <w:webHidden/>
          </w:rPr>
          <w:fldChar w:fldCharType="end"/>
        </w:r>
      </w:hyperlink>
    </w:p>
    <w:p w:rsidR="004A716E" w:rsidRDefault="00D85CE4">
      <w:pPr>
        <w:pStyle w:val="TOC1"/>
        <w:rPr>
          <w:rFonts w:eastAsiaTheme="minorEastAsia"/>
          <w:b w:val="0"/>
          <w:color w:val="auto"/>
          <w:sz w:val="22"/>
          <w:lang w:eastAsia="en-AU"/>
        </w:rPr>
      </w:pPr>
      <w:hyperlink w:anchor="_Toc2860938" w:history="1">
        <w:r w:rsidR="004A716E" w:rsidRPr="004839DC">
          <w:rPr>
            <w:rStyle w:val="Hyperlink"/>
          </w:rPr>
          <w:t>1</w:t>
        </w:r>
        <w:r w:rsidR="004A716E">
          <w:rPr>
            <w:rFonts w:eastAsiaTheme="minorEastAsia"/>
            <w:b w:val="0"/>
            <w:color w:val="auto"/>
            <w:sz w:val="22"/>
            <w:lang w:eastAsia="en-AU"/>
          </w:rPr>
          <w:tab/>
        </w:r>
        <w:r w:rsidR="004A716E" w:rsidRPr="004839DC">
          <w:rPr>
            <w:rStyle w:val="Hyperlink"/>
          </w:rPr>
          <w:t>Understanding net debt</w:t>
        </w:r>
        <w:r w:rsidR="004A716E">
          <w:rPr>
            <w:webHidden/>
          </w:rPr>
          <w:tab/>
        </w:r>
        <w:r w:rsidR="004A716E">
          <w:rPr>
            <w:webHidden/>
          </w:rPr>
          <w:fldChar w:fldCharType="begin"/>
        </w:r>
        <w:r w:rsidR="004A716E">
          <w:rPr>
            <w:webHidden/>
          </w:rPr>
          <w:instrText xml:space="preserve"> PAGEREF _Toc2860938 \h </w:instrText>
        </w:r>
        <w:r w:rsidR="004A716E">
          <w:rPr>
            <w:webHidden/>
          </w:rPr>
        </w:r>
        <w:r w:rsidR="004A716E">
          <w:rPr>
            <w:webHidden/>
          </w:rPr>
          <w:fldChar w:fldCharType="separate"/>
        </w:r>
        <w:r w:rsidR="00433BF3">
          <w:rPr>
            <w:webHidden/>
          </w:rPr>
          <w:t>2</w:t>
        </w:r>
        <w:r w:rsidR="004A716E">
          <w:rPr>
            <w:webHidden/>
          </w:rPr>
          <w:fldChar w:fldCharType="end"/>
        </w:r>
      </w:hyperlink>
    </w:p>
    <w:p w:rsidR="004A716E" w:rsidRDefault="00D85CE4">
      <w:pPr>
        <w:pStyle w:val="TOC1"/>
        <w:rPr>
          <w:rFonts w:eastAsiaTheme="minorEastAsia"/>
          <w:b w:val="0"/>
          <w:color w:val="auto"/>
          <w:sz w:val="22"/>
          <w:lang w:eastAsia="en-AU"/>
        </w:rPr>
      </w:pPr>
      <w:hyperlink w:anchor="_Toc2860939" w:history="1">
        <w:r w:rsidR="004A716E" w:rsidRPr="004839DC">
          <w:rPr>
            <w:rStyle w:val="Hyperlink"/>
          </w:rPr>
          <w:t>2</w:t>
        </w:r>
        <w:r w:rsidR="004A716E">
          <w:rPr>
            <w:rFonts w:eastAsiaTheme="minorEastAsia"/>
            <w:b w:val="0"/>
            <w:color w:val="auto"/>
            <w:sz w:val="22"/>
            <w:lang w:eastAsia="en-AU"/>
          </w:rPr>
          <w:tab/>
        </w:r>
        <w:r w:rsidR="004A716E" w:rsidRPr="004839DC">
          <w:rPr>
            <w:rStyle w:val="Hyperlink"/>
          </w:rPr>
          <w:t>A closer look at the Future Fund and other investment funds</w:t>
        </w:r>
        <w:r w:rsidR="004A716E">
          <w:rPr>
            <w:webHidden/>
          </w:rPr>
          <w:tab/>
        </w:r>
        <w:r w:rsidR="004A716E">
          <w:rPr>
            <w:webHidden/>
          </w:rPr>
          <w:fldChar w:fldCharType="begin"/>
        </w:r>
        <w:r w:rsidR="004A716E">
          <w:rPr>
            <w:webHidden/>
          </w:rPr>
          <w:instrText xml:space="preserve"> PAGEREF _Toc2860939 \h </w:instrText>
        </w:r>
        <w:r w:rsidR="004A716E">
          <w:rPr>
            <w:webHidden/>
          </w:rPr>
        </w:r>
        <w:r w:rsidR="004A716E">
          <w:rPr>
            <w:webHidden/>
          </w:rPr>
          <w:fldChar w:fldCharType="separate"/>
        </w:r>
        <w:r w:rsidR="00433BF3">
          <w:rPr>
            <w:webHidden/>
          </w:rPr>
          <w:t>8</w:t>
        </w:r>
        <w:r w:rsidR="004A716E">
          <w:rPr>
            <w:webHidden/>
          </w:rPr>
          <w:fldChar w:fldCharType="end"/>
        </w:r>
      </w:hyperlink>
    </w:p>
    <w:p w:rsidR="004A716E" w:rsidRDefault="00D85CE4">
      <w:pPr>
        <w:pStyle w:val="TOC1"/>
        <w:rPr>
          <w:rFonts w:eastAsiaTheme="minorEastAsia"/>
          <w:b w:val="0"/>
          <w:color w:val="auto"/>
          <w:sz w:val="22"/>
          <w:lang w:eastAsia="en-AU"/>
        </w:rPr>
      </w:pPr>
      <w:hyperlink w:anchor="_Toc2860940" w:history="1">
        <w:r w:rsidR="004A716E" w:rsidRPr="004839DC">
          <w:rPr>
            <w:rStyle w:val="Hyperlink"/>
          </w:rPr>
          <w:t>3</w:t>
        </w:r>
        <w:r w:rsidR="004A716E">
          <w:rPr>
            <w:rFonts w:eastAsiaTheme="minorEastAsia"/>
            <w:b w:val="0"/>
            <w:color w:val="auto"/>
            <w:sz w:val="22"/>
            <w:lang w:eastAsia="en-AU"/>
          </w:rPr>
          <w:tab/>
        </w:r>
        <w:r w:rsidR="004A716E" w:rsidRPr="004839DC">
          <w:rPr>
            <w:rStyle w:val="Hyperlink"/>
          </w:rPr>
          <w:t>Alternative net debt calculation</w:t>
        </w:r>
        <w:r w:rsidR="004A716E">
          <w:rPr>
            <w:webHidden/>
          </w:rPr>
          <w:tab/>
        </w:r>
        <w:r w:rsidR="004A716E">
          <w:rPr>
            <w:webHidden/>
          </w:rPr>
          <w:fldChar w:fldCharType="begin"/>
        </w:r>
        <w:r w:rsidR="004A716E">
          <w:rPr>
            <w:webHidden/>
          </w:rPr>
          <w:instrText xml:space="preserve"> PAGEREF _Toc2860940 \h </w:instrText>
        </w:r>
        <w:r w:rsidR="004A716E">
          <w:rPr>
            <w:webHidden/>
          </w:rPr>
        </w:r>
        <w:r w:rsidR="004A716E">
          <w:rPr>
            <w:webHidden/>
          </w:rPr>
          <w:fldChar w:fldCharType="separate"/>
        </w:r>
        <w:r w:rsidR="00433BF3">
          <w:rPr>
            <w:webHidden/>
          </w:rPr>
          <w:t>13</w:t>
        </w:r>
        <w:r w:rsidR="004A716E">
          <w:rPr>
            <w:webHidden/>
          </w:rPr>
          <w:fldChar w:fldCharType="end"/>
        </w:r>
      </w:hyperlink>
    </w:p>
    <w:p w:rsidR="004A716E" w:rsidRDefault="00D85CE4">
      <w:pPr>
        <w:pStyle w:val="TOC1"/>
        <w:rPr>
          <w:rFonts w:eastAsiaTheme="minorEastAsia"/>
          <w:b w:val="0"/>
          <w:color w:val="auto"/>
          <w:sz w:val="22"/>
          <w:lang w:eastAsia="en-AU"/>
        </w:rPr>
      </w:pPr>
      <w:hyperlink w:anchor="_Toc2860941" w:history="1">
        <w:r w:rsidR="004A716E" w:rsidRPr="004839DC">
          <w:rPr>
            <w:rStyle w:val="Hyperlink"/>
          </w:rPr>
          <w:t>4</w:t>
        </w:r>
        <w:r w:rsidR="004A716E">
          <w:rPr>
            <w:rFonts w:eastAsiaTheme="minorEastAsia"/>
            <w:b w:val="0"/>
            <w:color w:val="auto"/>
            <w:sz w:val="22"/>
            <w:lang w:eastAsia="en-AU"/>
          </w:rPr>
          <w:tab/>
        </w:r>
        <w:r w:rsidR="004A716E" w:rsidRPr="004839DC">
          <w:rPr>
            <w:rStyle w:val="Hyperlink"/>
          </w:rPr>
          <w:t>Net Financial Worth as a broader measure of sustainability</w:t>
        </w:r>
        <w:r w:rsidR="004A716E">
          <w:rPr>
            <w:webHidden/>
          </w:rPr>
          <w:tab/>
        </w:r>
        <w:r w:rsidR="004A716E">
          <w:rPr>
            <w:webHidden/>
          </w:rPr>
          <w:fldChar w:fldCharType="begin"/>
        </w:r>
        <w:r w:rsidR="004A716E">
          <w:rPr>
            <w:webHidden/>
          </w:rPr>
          <w:instrText xml:space="preserve"> PAGEREF _Toc2860941 \h </w:instrText>
        </w:r>
        <w:r w:rsidR="004A716E">
          <w:rPr>
            <w:webHidden/>
          </w:rPr>
        </w:r>
        <w:r w:rsidR="004A716E">
          <w:rPr>
            <w:webHidden/>
          </w:rPr>
          <w:fldChar w:fldCharType="separate"/>
        </w:r>
        <w:r w:rsidR="00433BF3">
          <w:rPr>
            <w:webHidden/>
          </w:rPr>
          <w:t>15</w:t>
        </w:r>
        <w:r w:rsidR="004A716E">
          <w:rPr>
            <w:webHidden/>
          </w:rPr>
          <w:fldChar w:fldCharType="end"/>
        </w:r>
      </w:hyperlink>
    </w:p>
    <w:p w:rsidR="004A716E" w:rsidRDefault="00D85CE4">
      <w:pPr>
        <w:pStyle w:val="TOC1"/>
        <w:rPr>
          <w:rFonts w:eastAsiaTheme="minorEastAsia"/>
          <w:b w:val="0"/>
          <w:color w:val="auto"/>
          <w:sz w:val="22"/>
          <w:lang w:eastAsia="en-AU"/>
        </w:rPr>
      </w:pPr>
      <w:hyperlink w:anchor="_Toc2860942" w:history="1">
        <w:r w:rsidR="004A716E" w:rsidRPr="004839DC">
          <w:rPr>
            <w:rStyle w:val="Hyperlink"/>
          </w:rPr>
          <w:t>Appendix A</w:t>
        </w:r>
        <w:r w:rsidR="004A716E">
          <w:rPr>
            <w:webHidden/>
          </w:rPr>
          <w:tab/>
        </w:r>
        <w:r w:rsidR="004A716E">
          <w:rPr>
            <w:webHidden/>
          </w:rPr>
          <w:fldChar w:fldCharType="begin"/>
        </w:r>
        <w:r w:rsidR="004A716E">
          <w:rPr>
            <w:webHidden/>
          </w:rPr>
          <w:instrText xml:space="preserve"> PAGEREF _Toc2860942 \h </w:instrText>
        </w:r>
        <w:r w:rsidR="004A716E">
          <w:rPr>
            <w:webHidden/>
          </w:rPr>
        </w:r>
        <w:r w:rsidR="004A716E">
          <w:rPr>
            <w:webHidden/>
          </w:rPr>
          <w:fldChar w:fldCharType="separate"/>
        </w:r>
        <w:r w:rsidR="00433BF3">
          <w:rPr>
            <w:webHidden/>
          </w:rPr>
          <w:t>17</w:t>
        </w:r>
        <w:r w:rsidR="004A716E">
          <w:rPr>
            <w:webHidden/>
          </w:rPr>
          <w:fldChar w:fldCharType="end"/>
        </w:r>
      </w:hyperlink>
    </w:p>
    <w:p w:rsidR="004A716E" w:rsidRDefault="00D85CE4">
      <w:pPr>
        <w:pStyle w:val="TOC1"/>
        <w:rPr>
          <w:rFonts w:eastAsiaTheme="minorEastAsia"/>
          <w:b w:val="0"/>
          <w:color w:val="auto"/>
          <w:sz w:val="22"/>
          <w:lang w:eastAsia="en-AU"/>
        </w:rPr>
      </w:pPr>
      <w:hyperlink w:anchor="_Toc2860943" w:history="1">
        <w:r w:rsidR="004A716E" w:rsidRPr="004839DC">
          <w:rPr>
            <w:rStyle w:val="Hyperlink"/>
          </w:rPr>
          <w:t>References</w:t>
        </w:r>
        <w:r w:rsidR="004A716E">
          <w:rPr>
            <w:webHidden/>
          </w:rPr>
          <w:tab/>
        </w:r>
        <w:r w:rsidR="004A716E">
          <w:rPr>
            <w:webHidden/>
          </w:rPr>
          <w:fldChar w:fldCharType="begin"/>
        </w:r>
        <w:r w:rsidR="004A716E">
          <w:rPr>
            <w:webHidden/>
          </w:rPr>
          <w:instrText xml:space="preserve"> PAGEREF _Toc2860943 \h </w:instrText>
        </w:r>
        <w:r w:rsidR="004A716E">
          <w:rPr>
            <w:webHidden/>
          </w:rPr>
        </w:r>
        <w:r w:rsidR="004A716E">
          <w:rPr>
            <w:webHidden/>
          </w:rPr>
          <w:fldChar w:fldCharType="separate"/>
        </w:r>
        <w:r w:rsidR="00433BF3">
          <w:rPr>
            <w:webHidden/>
          </w:rPr>
          <w:t>18</w:t>
        </w:r>
        <w:r w:rsidR="004A716E">
          <w:rPr>
            <w:webHidden/>
          </w:rPr>
          <w:fldChar w:fldCharType="end"/>
        </w:r>
      </w:hyperlink>
    </w:p>
    <w:p w:rsidR="00CC37CA" w:rsidRDefault="00D559DF">
      <w:pPr>
        <w:rPr>
          <w:bCs/>
        </w:rPr>
        <w:sectPr w:rsidR="00CC37CA" w:rsidSect="00914F92">
          <w:headerReference w:type="even" r:id="rId24"/>
          <w:headerReference w:type="default" r:id="rId25"/>
          <w:footerReference w:type="even" r:id="rId26"/>
          <w:footerReference w:type="default" r:id="rId27"/>
          <w:headerReference w:type="first" r:id="rId28"/>
          <w:type w:val="oddPage"/>
          <w:pgSz w:w="11907" w:h="16840" w:code="9"/>
          <w:pgMar w:top="1191" w:right="1418" w:bottom="1021" w:left="1418" w:header="567" w:footer="709" w:gutter="0"/>
          <w:pgNumType w:fmt="lowerRoman"/>
          <w:cols w:space="708"/>
          <w:docGrid w:linePitch="360"/>
        </w:sectPr>
      </w:pPr>
      <w:r>
        <w:fldChar w:fldCharType="end"/>
      </w:r>
    </w:p>
    <w:p w:rsidR="00051002" w:rsidRDefault="00051002" w:rsidP="00051002">
      <w:pPr>
        <w:pStyle w:val="Heading1NoNumbering"/>
      </w:pPr>
      <w:bookmarkStart w:id="4" w:name="_Toc2860937"/>
      <w:r>
        <w:lastRenderedPageBreak/>
        <w:t>Overview</w:t>
      </w:r>
      <w:bookmarkEnd w:id="4"/>
    </w:p>
    <w:p w:rsidR="0065489A" w:rsidRDefault="004E3832" w:rsidP="00E82FCF">
      <w:pPr>
        <w:keepLines/>
        <w:spacing w:before="120"/>
      </w:pPr>
      <w:r>
        <w:t xml:space="preserve">When </w:t>
      </w:r>
      <w:r w:rsidR="00135B4B">
        <w:t>p</w:t>
      </w:r>
      <w:r>
        <w:t>arliamentarians, journalists, and other interested members of the community look to</w:t>
      </w:r>
      <w:r w:rsidR="008664E8">
        <w:br/>
      </w:r>
      <w:r>
        <w:t xml:space="preserve">the budget for a </w:t>
      </w:r>
      <w:proofErr w:type="gramStart"/>
      <w:r>
        <w:t>longer term</w:t>
      </w:r>
      <w:proofErr w:type="gramEnd"/>
      <w:r>
        <w:t xml:space="preserve"> indicator of the sustainability of the government’s financial position, they often look to net debt.</w:t>
      </w:r>
      <w:r w:rsidR="00082355">
        <w:t xml:space="preserve"> </w:t>
      </w:r>
      <w:r w:rsidR="00FB1ECA">
        <w:t xml:space="preserve">Indeed, this is </w:t>
      </w:r>
      <w:r w:rsidR="00387937">
        <w:t xml:space="preserve">a </w:t>
      </w:r>
      <w:r w:rsidR="00FB1ECA">
        <w:t>figure that successive Commonwealth governments</w:t>
      </w:r>
      <w:r w:rsidR="008664E8">
        <w:br/>
      </w:r>
      <w:r w:rsidR="00FB1ECA">
        <w:t xml:space="preserve">have referred to when discussing the </w:t>
      </w:r>
      <w:r w:rsidR="00321DD2">
        <w:t>fiscal position</w:t>
      </w:r>
      <w:r w:rsidR="00E82FCF">
        <w:t xml:space="preserve">. This paper examines the impact </w:t>
      </w:r>
      <w:r w:rsidR="00135B4B">
        <w:t xml:space="preserve">of </w:t>
      </w:r>
      <w:r w:rsidR="0065489A" w:rsidRPr="000C043F">
        <w:t>grow</w:t>
      </w:r>
      <w:r w:rsidR="0065489A">
        <w:t>th in government investment funds</w:t>
      </w:r>
      <w:r w:rsidR="00E82FCF">
        <w:t xml:space="preserve"> on </w:t>
      </w:r>
      <w:r w:rsidR="0065489A">
        <w:t>net debt.</w:t>
      </w:r>
      <w:r w:rsidR="0065489A" w:rsidRPr="000C043F">
        <w:t xml:space="preserve"> </w:t>
      </w:r>
    </w:p>
    <w:p w:rsidR="008A5DB2" w:rsidRDefault="00D466AC" w:rsidP="00705D1C">
      <w:pPr>
        <w:pStyle w:val="BodyText"/>
        <w:rPr>
          <w:b/>
          <w:i/>
          <w:color w:val="3D4D7D" w:themeColor="background2"/>
        </w:rPr>
      </w:pPr>
      <w:r>
        <w:rPr>
          <w:b/>
          <w:i/>
          <w:color w:val="3D4D7D" w:themeColor="background2"/>
        </w:rPr>
        <w:t>T</w:t>
      </w:r>
      <w:r w:rsidR="00705D1C" w:rsidRPr="00816B15">
        <w:rPr>
          <w:b/>
          <w:i/>
          <w:color w:val="3D4D7D" w:themeColor="background2"/>
        </w:rPr>
        <w:t>he</w:t>
      </w:r>
      <w:r w:rsidR="000405DC" w:rsidRPr="00816B15">
        <w:rPr>
          <w:b/>
          <w:i/>
          <w:color w:val="3D4D7D" w:themeColor="background2"/>
        </w:rPr>
        <w:t xml:space="preserve"> gap between </w:t>
      </w:r>
      <w:r w:rsidR="005D290C" w:rsidRPr="00816B15">
        <w:rPr>
          <w:b/>
          <w:i/>
          <w:color w:val="3D4D7D" w:themeColor="background2"/>
        </w:rPr>
        <w:t>gross debt and net</w:t>
      </w:r>
      <w:r w:rsidR="000405DC" w:rsidRPr="00816B15">
        <w:rPr>
          <w:b/>
          <w:i/>
          <w:color w:val="3D4D7D" w:themeColor="background2"/>
        </w:rPr>
        <w:t xml:space="preserve"> debt</w:t>
      </w:r>
      <w:r w:rsidR="00086531">
        <w:rPr>
          <w:b/>
          <w:i/>
          <w:color w:val="3D4D7D" w:themeColor="background2"/>
        </w:rPr>
        <w:t xml:space="preserve"> has widened considerably over the past decade,</w:t>
      </w:r>
      <w:r w:rsidR="003C47F2">
        <w:rPr>
          <w:b/>
          <w:i/>
          <w:color w:val="3D4D7D" w:themeColor="background2"/>
        </w:rPr>
        <w:br/>
      </w:r>
      <w:r w:rsidR="00086531">
        <w:rPr>
          <w:b/>
          <w:i/>
          <w:color w:val="3D4D7D" w:themeColor="background2"/>
        </w:rPr>
        <w:t>largely due to growth</w:t>
      </w:r>
      <w:r w:rsidR="00086531" w:rsidRPr="00816B15">
        <w:rPr>
          <w:b/>
          <w:i/>
          <w:color w:val="3D4D7D" w:themeColor="background2"/>
        </w:rPr>
        <w:t xml:space="preserve"> of government investment funds, especially the Future Fun</w:t>
      </w:r>
      <w:r w:rsidR="003A1A06">
        <w:rPr>
          <w:b/>
          <w:i/>
          <w:color w:val="3D4D7D" w:themeColor="background2"/>
        </w:rPr>
        <w:t>d.</w:t>
      </w:r>
      <w:r w:rsidR="00086531">
        <w:rPr>
          <w:b/>
          <w:i/>
          <w:color w:val="3D4D7D" w:themeColor="background2"/>
        </w:rPr>
        <w:t xml:space="preserve"> </w:t>
      </w:r>
    </w:p>
    <w:p w:rsidR="00576CE9" w:rsidRPr="00816B15" w:rsidRDefault="00086531" w:rsidP="00705D1C">
      <w:pPr>
        <w:pStyle w:val="BodyText"/>
        <w:rPr>
          <w:color w:val="3D4D7D" w:themeColor="background2"/>
        </w:rPr>
      </w:pPr>
      <w:r>
        <w:t xml:space="preserve">This </w:t>
      </w:r>
      <w:r w:rsidR="001B4D00">
        <w:t xml:space="preserve">widening gap </w:t>
      </w:r>
      <w:r>
        <w:t>illustrates how government investment funds ha</w:t>
      </w:r>
      <w:r w:rsidR="00F87C95">
        <w:t xml:space="preserve">ve </w:t>
      </w:r>
      <w:r>
        <w:t xml:space="preserve">strengthened the balance sheet. </w:t>
      </w:r>
      <w:r w:rsidR="00576CE9">
        <w:t>Almost all of th</w:t>
      </w:r>
      <w:r>
        <w:t>e</w:t>
      </w:r>
      <w:r w:rsidR="00576CE9">
        <w:t xml:space="preserve"> </w:t>
      </w:r>
      <w:r w:rsidR="00812729">
        <w:t>increase in the gap</w:t>
      </w:r>
      <w:r w:rsidR="00576CE9">
        <w:t xml:space="preserve"> </w:t>
      </w:r>
      <w:r>
        <w:t xml:space="preserve">between gross and net debt </w:t>
      </w:r>
      <w:r w:rsidR="00812729">
        <w:t>is</w:t>
      </w:r>
      <w:r w:rsidR="00576CE9">
        <w:t xml:space="preserve"> explained by increases in assets </w:t>
      </w:r>
      <w:r>
        <w:t>classified</w:t>
      </w:r>
      <w:r w:rsidR="00576CE9">
        <w:t xml:space="preserve"> as ‘i</w:t>
      </w:r>
      <w:r w:rsidR="00576CE9" w:rsidRPr="003F2360">
        <w:t xml:space="preserve">nvestments, loans and </w:t>
      </w:r>
      <w:proofErr w:type="gramStart"/>
      <w:r w:rsidR="00576CE9" w:rsidRPr="003F2360">
        <w:t>placements</w:t>
      </w:r>
      <w:r w:rsidR="00576CE9">
        <w:t>’</w:t>
      </w:r>
      <w:proofErr w:type="gramEnd"/>
      <w:r>
        <w:t xml:space="preserve">. These are </w:t>
      </w:r>
      <w:r w:rsidR="00576CE9">
        <w:t>primarily Future Fund investments made through</w:t>
      </w:r>
      <w:r w:rsidR="003A1A06">
        <w:t xml:space="preserve"> investment </w:t>
      </w:r>
      <w:r w:rsidR="00576CE9">
        <w:t>structures called ‘</w:t>
      </w:r>
      <w:r w:rsidR="00576CE9" w:rsidRPr="00434C97">
        <w:t xml:space="preserve">collective investment </w:t>
      </w:r>
      <w:proofErr w:type="gramStart"/>
      <w:r w:rsidR="00576CE9" w:rsidRPr="00434C97">
        <w:t>vehicles</w:t>
      </w:r>
      <w:r w:rsidR="00576CE9">
        <w:t>’</w:t>
      </w:r>
      <w:proofErr w:type="gramEnd"/>
      <w:r w:rsidR="00576CE9">
        <w:t>.</w:t>
      </w:r>
    </w:p>
    <w:p w:rsidR="00A01271" w:rsidRPr="00816B15" w:rsidRDefault="003A1A06" w:rsidP="00705D1C">
      <w:pPr>
        <w:pStyle w:val="BodyText"/>
        <w:rPr>
          <w:color w:val="3D4D7D" w:themeColor="background2"/>
        </w:rPr>
      </w:pPr>
      <w:r w:rsidRPr="00564779">
        <w:rPr>
          <w:b/>
          <w:i/>
          <w:color w:val="3D4D7D" w:themeColor="background2"/>
        </w:rPr>
        <w:t>E</w:t>
      </w:r>
      <w:r>
        <w:rPr>
          <w:b/>
          <w:i/>
          <w:color w:val="3D4D7D" w:themeColor="background2"/>
        </w:rPr>
        <w:t>stimates of net debt are increasingly sensitive to both the i</w:t>
      </w:r>
      <w:r w:rsidR="00E82FCF">
        <w:rPr>
          <w:b/>
          <w:i/>
          <w:color w:val="3D4D7D" w:themeColor="background2"/>
        </w:rPr>
        <w:t xml:space="preserve">nvestment strategies </w:t>
      </w:r>
      <w:r>
        <w:rPr>
          <w:b/>
          <w:i/>
          <w:color w:val="3D4D7D" w:themeColor="background2"/>
        </w:rPr>
        <w:t xml:space="preserve">and </w:t>
      </w:r>
      <w:r w:rsidR="00E82FCF">
        <w:rPr>
          <w:b/>
          <w:i/>
          <w:color w:val="3D4D7D" w:themeColor="background2"/>
        </w:rPr>
        <w:t xml:space="preserve">the </w:t>
      </w:r>
      <w:r>
        <w:rPr>
          <w:b/>
          <w:i/>
          <w:color w:val="3D4D7D" w:themeColor="background2"/>
        </w:rPr>
        <w:t>particular</w:t>
      </w:r>
      <w:r w:rsidR="000C3D66">
        <w:rPr>
          <w:b/>
          <w:i/>
          <w:color w:val="3D4D7D" w:themeColor="background2"/>
        </w:rPr>
        <w:t xml:space="preserve"> investment </w:t>
      </w:r>
      <w:r w:rsidR="00576CE9">
        <w:rPr>
          <w:b/>
          <w:i/>
          <w:color w:val="3D4D7D" w:themeColor="background2"/>
        </w:rPr>
        <w:t xml:space="preserve">structures </w:t>
      </w:r>
      <w:r w:rsidR="00E82FCF">
        <w:rPr>
          <w:b/>
          <w:i/>
          <w:color w:val="3D4D7D" w:themeColor="background2"/>
        </w:rPr>
        <w:t>adopted by</w:t>
      </w:r>
      <w:r>
        <w:rPr>
          <w:b/>
          <w:i/>
          <w:color w:val="3D4D7D" w:themeColor="background2"/>
        </w:rPr>
        <w:t xml:space="preserve"> these funds</w:t>
      </w:r>
      <w:r w:rsidR="000C3D66">
        <w:rPr>
          <w:b/>
          <w:i/>
          <w:color w:val="3D4D7D" w:themeColor="background2"/>
        </w:rPr>
        <w:t>.</w:t>
      </w:r>
    </w:p>
    <w:p w:rsidR="000C3D66" w:rsidRDefault="00E82FCF" w:rsidP="000C3D66">
      <w:pPr>
        <w:pStyle w:val="BodyText"/>
      </w:pPr>
      <w:r>
        <w:t>As the value of</w:t>
      </w:r>
      <w:r w:rsidR="00135B4B">
        <w:t xml:space="preserve"> investment</w:t>
      </w:r>
      <w:r>
        <w:t xml:space="preserve"> fund assets increase</w:t>
      </w:r>
      <w:r w:rsidR="00135B4B">
        <w:t>s</w:t>
      </w:r>
      <w:r>
        <w:t>, c</w:t>
      </w:r>
      <w:r w:rsidR="00082355">
        <w:t xml:space="preserve">hanges in the </w:t>
      </w:r>
      <w:r w:rsidR="00812729">
        <w:t>share</w:t>
      </w:r>
      <w:r w:rsidR="00082355">
        <w:t xml:space="preserve"> of assets held in debt securities </w:t>
      </w:r>
      <w:r w:rsidR="00812729">
        <w:t>rather than</w:t>
      </w:r>
      <w:r w:rsidR="00135B4B">
        <w:t xml:space="preserve"> listed equities </w:t>
      </w:r>
      <w:r>
        <w:t>have more significant impacts on</w:t>
      </w:r>
      <w:r w:rsidR="00082355">
        <w:t xml:space="preserve"> net debt. </w:t>
      </w:r>
      <w:r w:rsidR="0033257A">
        <w:t>Furthermore</w:t>
      </w:r>
      <w:r w:rsidR="00082355">
        <w:t xml:space="preserve">, </w:t>
      </w:r>
      <w:r w:rsidR="0033257A">
        <w:t>increasing use of</w:t>
      </w:r>
      <w:r w:rsidR="00510836">
        <w:t xml:space="preserve"> investment structures such as collective investment vehicles</w:t>
      </w:r>
      <w:r w:rsidR="0033257A">
        <w:t xml:space="preserve"> affect </w:t>
      </w:r>
      <w:r>
        <w:t>estimates of</w:t>
      </w:r>
      <w:r w:rsidR="003C47F2">
        <w:br/>
      </w:r>
      <w:r>
        <w:t>net debt</w:t>
      </w:r>
      <w:r w:rsidR="0033257A">
        <w:t>. This is because i</w:t>
      </w:r>
      <w:r w:rsidR="00576CE9">
        <w:t xml:space="preserve">nvestments made through </w:t>
      </w:r>
      <w:r w:rsidR="001B4D00">
        <w:t>such structure</w:t>
      </w:r>
      <w:r w:rsidR="00812729">
        <w:t>s</w:t>
      </w:r>
      <w:r w:rsidR="00C04D9B">
        <w:t xml:space="preserve"> are </w:t>
      </w:r>
      <w:r w:rsidR="000C3D66">
        <w:t xml:space="preserve">treated as </w:t>
      </w:r>
      <w:r w:rsidR="000C3D66" w:rsidRPr="00434C97">
        <w:t xml:space="preserve">debt-like </w:t>
      </w:r>
      <w:r w:rsidR="000C3D66">
        <w:t>assets</w:t>
      </w:r>
      <w:r w:rsidR="003C47F2">
        <w:br/>
      </w:r>
      <w:r w:rsidR="00C04D9B">
        <w:t>in the calculation of</w:t>
      </w:r>
      <w:r w:rsidR="000C3D66">
        <w:t xml:space="preserve"> net debt</w:t>
      </w:r>
      <w:r w:rsidR="00C04D9B">
        <w:t xml:space="preserve">. This is despite </w:t>
      </w:r>
      <w:r w:rsidR="00564779">
        <w:t>a significant</w:t>
      </w:r>
      <w:r w:rsidR="00C04D9B">
        <w:t xml:space="preserve"> </w:t>
      </w:r>
      <w:r w:rsidR="004D3176">
        <w:t>share</w:t>
      </w:r>
      <w:r w:rsidR="00510836">
        <w:t xml:space="preserve"> of the underlying assets in </w:t>
      </w:r>
      <w:r w:rsidR="00C04D9B">
        <w:t>collective invest</w:t>
      </w:r>
      <w:r w:rsidR="00510836">
        <w:t>ment vehicles</w:t>
      </w:r>
      <w:r w:rsidR="00C04D9B">
        <w:t xml:space="preserve"> appear</w:t>
      </w:r>
      <w:r w:rsidR="00564779">
        <w:t>ing</w:t>
      </w:r>
      <w:r w:rsidR="00C04D9B">
        <w:t xml:space="preserve"> to be equity-like in nature</w:t>
      </w:r>
      <w:r w:rsidR="00833794">
        <w:t>. If these equity-like assets were held directly</w:t>
      </w:r>
      <w:r>
        <w:t xml:space="preserve"> by the investment funds</w:t>
      </w:r>
      <w:r w:rsidR="00833794">
        <w:t xml:space="preserve">, measures of net debt would be higher. </w:t>
      </w:r>
      <w:r w:rsidR="00C04D9B">
        <w:t xml:space="preserve"> </w:t>
      </w:r>
    </w:p>
    <w:p w:rsidR="00F87C95" w:rsidRPr="00816B15" w:rsidRDefault="00F87C95" w:rsidP="00F87C95">
      <w:pPr>
        <w:keepLines/>
        <w:spacing w:before="120"/>
        <w:rPr>
          <w:b/>
          <w:i/>
          <w:color w:val="3D4D7D" w:themeColor="background2"/>
        </w:rPr>
      </w:pPr>
      <w:r>
        <w:rPr>
          <w:b/>
          <w:i/>
          <w:color w:val="3D4D7D" w:themeColor="background2"/>
        </w:rPr>
        <w:t>Conceptually, a</w:t>
      </w:r>
      <w:r w:rsidRPr="00816B15">
        <w:rPr>
          <w:b/>
          <w:i/>
          <w:color w:val="3D4D7D" w:themeColor="background2"/>
        </w:rPr>
        <w:t xml:space="preserve">n alternative approach would be to focus on the </w:t>
      </w:r>
      <w:r w:rsidRPr="00816B15">
        <w:rPr>
          <w:b/>
          <w:i/>
          <w:color w:val="3D4D7D" w:themeColor="background2"/>
          <w:u w:val="single"/>
        </w:rPr>
        <w:t>underlying</w:t>
      </w:r>
      <w:r w:rsidRPr="00816B15">
        <w:rPr>
          <w:b/>
          <w:i/>
          <w:color w:val="3D4D7D" w:themeColor="background2"/>
        </w:rPr>
        <w:t xml:space="preserve"> assets held in investment funds</w:t>
      </w:r>
      <w:r>
        <w:rPr>
          <w:b/>
          <w:i/>
          <w:color w:val="3D4D7D" w:themeColor="background2"/>
        </w:rPr>
        <w:t xml:space="preserve"> when defining net debt</w:t>
      </w:r>
      <w:r w:rsidRPr="00816B15">
        <w:rPr>
          <w:b/>
          <w:i/>
          <w:color w:val="3D4D7D" w:themeColor="background2"/>
        </w:rPr>
        <w:t>.</w:t>
      </w:r>
    </w:p>
    <w:p w:rsidR="00F87C95" w:rsidRPr="006927E7" w:rsidRDefault="00F87C95" w:rsidP="00F87C95">
      <w:pPr>
        <w:keepLines/>
        <w:spacing w:before="120"/>
      </w:pPr>
      <w:r>
        <w:t xml:space="preserve">This approach would </w:t>
      </w:r>
      <w:r w:rsidR="00812729">
        <w:t>‘look</w:t>
      </w:r>
      <w:r>
        <w:t xml:space="preserve"> through’ investment structures to the underlying assets and would mean measures of net debt would not be affected by whether assets are held directly</w:t>
      </w:r>
      <w:r w:rsidR="00564779">
        <w:t xml:space="preserve"> </w:t>
      </w:r>
      <w:r>
        <w:t>or through particular investment structures. Calculated in this way, net debt</w:t>
      </w:r>
      <w:r w:rsidRPr="006927E7">
        <w:t xml:space="preserve"> </w:t>
      </w:r>
      <w:r>
        <w:t>could be up to</w:t>
      </w:r>
      <w:r w:rsidRPr="006927E7">
        <w:t xml:space="preserve"> around $7</w:t>
      </w:r>
      <w:r>
        <w:t>0</w:t>
      </w:r>
      <w:r w:rsidRPr="006927E7">
        <w:t> billion (</w:t>
      </w:r>
      <w:r>
        <w:t>just under 4</w:t>
      </w:r>
      <w:r w:rsidRPr="006927E7">
        <w:t> per cent of GDP) higher</w:t>
      </w:r>
      <w:r>
        <w:t xml:space="preserve"> </w:t>
      </w:r>
      <w:r w:rsidRPr="006927E7">
        <w:t>in 2017</w:t>
      </w:r>
      <w:r>
        <w:t>–</w:t>
      </w:r>
      <w:r w:rsidRPr="006927E7">
        <w:t xml:space="preserve">18. </w:t>
      </w:r>
    </w:p>
    <w:p w:rsidR="00193D16" w:rsidRPr="00564779" w:rsidRDefault="00193D16" w:rsidP="00564779">
      <w:pPr>
        <w:pStyle w:val="BodyText"/>
        <w:rPr>
          <w:b/>
          <w:i/>
          <w:color w:val="3D4D7D" w:themeColor="background2"/>
        </w:rPr>
      </w:pPr>
      <w:r w:rsidRPr="00564779">
        <w:rPr>
          <w:b/>
          <w:i/>
          <w:color w:val="3D4D7D" w:themeColor="background2"/>
        </w:rPr>
        <w:t>This is a matter of budget reporting and transparency; not accounting treatment.</w:t>
      </w:r>
    </w:p>
    <w:p w:rsidR="00EE4584" w:rsidRDefault="00193D16" w:rsidP="00564779">
      <w:pPr>
        <w:keepLines/>
        <w:spacing w:before="120"/>
        <w:rPr>
          <w:b/>
          <w:i/>
          <w:color w:val="3D4D7D" w:themeColor="background2"/>
        </w:rPr>
      </w:pPr>
      <w:r>
        <w:t>The accounti</w:t>
      </w:r>
      <w:r w:rsidR="00D73EEE">
        <w:t xml:space="preserve">ng treatment of these assets in </w:t>
      </w:r>
      <w:r>
        <w:t>the Commonwealth Financial Statements has been reviewed by the Auditor-General and is not in question here</w:t>
      </w:r>
      <w:r w:rsidR="00833794">
        <w:t>. T</w:t>
      </w:r>
      <w:r w:rsidR="00D73EEE">
        <w:t xml:space="preserve">he focus in this report is </w:t>
      </w:r>
      <w:r w:rsidR="00812729">
        <w:t xml:space="preserve">conceptual—whether </w:t>
      </w:r>
      <w:r w:rsidR="00833794">
        <w:t xml:space="preserve">the </w:t>
      </w:r>
      <w:r w:rsidR="00F87C95">
        <w:t xml:space="preserve">long-standing </w:t>
      </w:r>
      <w:r w:rsidR="00833794">
        <w:t>frameworks that define net debt would benefit from review in light of the grow</w:t>
      </w:r>
      <w:r w:rsidR="00F87C95">
        <w:t>ing use of</w:t>
      </w:r>
      <w:r w:rsidR="00833794">
        <w:t xml:space="preserve"> investment funds. </w:t>
      </w:r>
      <w:r w:rsidR="005D290C">
        <w:t xml:space="preserve">Either way, additional transparency around the treatment of these </w:t>
      </w:r>
      <w:r w:rsidR="00A17E25">
        <w:t xml:space="preserve">investment fund </w:t>
      </w:r>
      <w:r w:rsidR="005D290C">
        <w:t>assets would</w:t>
      </w:r>
      <w:r w:rsidR="00F87C95">
        <w:t xml:space="preserve"> </w:t>
      </w:r>
      <w:r w:rsidR="005D290C">
        <w:t>a</w:t>
      </w:r>
      <w:r w:rsidR="0049025F">
        <w:t>id public understanding</w:t>
      </w:r>
      <w:r w:rsidR="00BD62AA">
        <w:t xml:space="preserve"> given</w:t>
      </w:r>
      <w:r w:rsidR="006E6F24">
        <w:t xml:space="preserve"> their size and growing impact. </w:t>
      </w:r>
      <w:r w:rsidR="00A17E25">
        <w:t xml:space="preserve">Currently </w:t>
      </w:r>
      <w:r w:rsidR="002F0533">
        <w:t>over</w:t>
      </w:r>
      <w:r w:rsidR="00A17E25">
        <w:t xml:space="preserve"> </w:t>
      </w:r>
      <w:r w:rsidR="002F0533">
        <w:t>5</w:t>
      </w:r>
      <w:r w:rsidR="00A17E25">
        <w:t xml:space="preserve">0 per cent of the assets that offset </w:t>
      </w:r>
      <w:r w:rsidR="002F0533">
        <w:t>the liabilities</w:t>
      </w:r>
      <w:r w:rsidR="00A17E25">
        <w:t xml:space="preserve"> in the net debt calculation are classified as ‘</w:t>
      </w:r>
      <w:r w:rsidR="00E151F3">
        <w:t>O</w:t>
      </w:r>
      <w:r w:rsidR="00A17E25">
        <w:t xml:space="preserve">ther’ in the </w:t>
      </w:r>
      <w:r w:rsidR="002F0533">
        <w:t>b</w:t>
      </w:r>
      <w:r w:rsidR="00A17E25">
        <w:t xml:space="preserve">udget papers. </w:t>
      </w:r>
    </w:p>
    <w:p w:rsidR="00EE4584" w:rsidRDefault="00836AA3" w:rsidP="00E413C3">
      <w:pPr>
        <w:keepLines/>
        <w:spacing w:before="120"/>
      </w:pPr>
      <w:r w:rsidRPr="00816B15">
        <w:rPr>
          <w:b/>
          <w:i/>
          <w:color w:val="3D4D7D" w:themeColor="background2"/>
        </w:rPr>
        <w:t>Net financial worth</w:t>
      </w:r>
      <w:r w:rsidR="009B78AB" w:rsidRPr="00816B15">
        <w:rPr>
          <w:b/>
          <w:i/>
          <w:color w:val="3D4D7D" w:themeColor="background2"/>
        </w:rPr>
        <w:t xml:space="preserve">, which is also published in the </w:t>
      </w:r>
      <w:r w:rsidR="00E151F3">
        <w:rPr>
          <w:b/>
          <w:i/>
          <w:color w:val="3D4D7D" w:themeColor="background2"/>
        </w:rPr>
        <w:t>b</w:t>
      </w:r>
      <w:r w:rsidR="009B78AB" w:rsidRPr="00816B15">
        <w:rPr>
          <w:b/>
          <w:i/>
          <w:color w:val="3D4D7D" w:themeColor="background2"/>
        </w:rPr>
        <w:t>udget,</w:t>
      </w:r>
      <w:r w:rsidRPr="00816B15">
        <w:rPr>
          <w:b/>
          <w:i/>
          <w:color w:val="3D4D7D" w:themeColor="background2"/>
        </w:rPr>
        <w:t xml:space="preserve"> is a broader measure of fiscal sustainability that includes all financial assets and liabilities</w:t>
      </w:r>
      <w:r w:rsidR="00A95FDD" w:rsidRPr="00816B15">
        <w:rPr>
          <w:b/>
          <w:i/>
          <w:color w:val="3D4D7D" w:themeColor="background2"/>
        </w:rPr>
        <w:t>.</w:t>
      </w:r>
    </w:p>
    <w:p w:rsidR="00EA30F4" w:rsidRPr="00D407B3" w:rsidRDefault="003B1D10" w:rsidP="00E413C3">
      <w:pPr>
        <w:keepLines/>
        <w:spacing w:before="120"/>
      </w:pPr>
      <w:r>
        <w:t>Over the period ahead</w:t>
      </w:r>
      <w:r w:rsidR="001B4D00">
        <w:t>,</w:t>
      </w:r>
      <w:r>
        <w:t xml:space="preserve"> </w:t>
      </w:r>
      <w:r w:rsidR="001B4D00">
        <w:t>b</w:t>
      </w:r>
      <w:r w:rsidR="00404918">
        <w:t>road</w:t>
      </w:r>
      <w:r w:rsidR="00BA6E23">
        <w:t>er measures of the fiscal position</w:t>
      </w:r>
      <w:r>
        <w:t>, such as measures of net financial worth</w:t>
      </w:r>
      <w:r w:rsidR="00135B4B">
        <w:t>,</w:t>
      </w:r>
      <w:r>
        <w:t xml:space="preserve"> </w:t>
      </w:r>
      <w:r w:rsidR="00BA6E23">
        <w:t>will</w:t>
      </w:r>
      <w:r w:rsidR="002F0533">
        <w:t xml:space="preserve"> arguably</w:t>
      </w:r>
      <w:r w:rsidR="00BA6E23">
        <w:t xml:space="preserve"> </w:t>
      </w:r>
      <w:r w:rsidR="00BD62AA">
        <w:t>provide</w:t>
      </w:r>
      <w:r w:rsidR="00836AA3">
        <w:t xml:space="preserve"> a </w:t>
      </w:r>
      <w:r w:rsidR="006B475E">
        <w:t>more comprehensive and consistent</w:t>
      </w:r>
      <w:r w:rsidR="00BA6E23">
        <w:t xml:space="preserve"> </w:t>
      </w:r>
      <w:r w:rsidR="005C4862">
        <w:t xml:space="preserve">indicator </w:t>
      </w:r>
      <w:r w:rsidR="006677F1">
        <w:t xml:space="preserve">of </w:t>
      </w:r>
      <w:r w:rsidR="00BA6E23">
        <w:t xml:space="preserve">the Commonwealth </w:t>
      </w:r>
      <w:r w:rsidR="005C4862">
        <w:t>balance sheet</w:t>
      </w:r>
      <w:r w:rsidR="0033257A">
        <w:t xml:space="preserve"> position</w:t>
      </w:r>
      <w:r w:rsidR="00135B4B" w:rsidRPr="00135B4B">
        <w:t xml:space="preserve"> </w:t>
      </w:r>
      <w:r w:rsidR="00135B4B">
        <w:t>because they include a wider range of assets and liabilities</w:t>
      </w:r>
      <w:r w:rsidR="0033257A">
        <w:t>.</w:t>
      </w:r>
      <w:r w:rsidR="00BA6E23" w:rsidDel="00BA6E23">
        <w:t xml:space="preserve"> </w:t>
      </w:r>
      <w:r w:rsidR="00EA30F4" w:rsidRPr="00D407B3">
        <w:br w:type="page"/>
      </w:r>
    </w:p>
    <w:p w:rsidR="004E3832" w:rsidRDefault="00246412" w:rsidP="00914F92">
      <w:pPr>
        <w:pStyle w:val="Heading1"/>
      </w:pPr>
      <w:bookmarkStart w:id="5" w:name="_Toc2860938"/>
      <w:r>
        <w:lastRenderedPageBreak/>
        <w:t>Understanding net debt</w:t>
      </w:r>
      <w:bookmarkEnd w:id="5"/>
    </w:p>
    <w:p w:rsidR="004E3832" w:rsidRDefault="004E3832" w:rsidP="004E3832">
      <w:pPr>
        <w:pStyle w:val="BodyText"/>
      </w:pPr>
      <w:r w:rsidRPr="00642D01">
        <w:t>Over recent years, governments have</w:t>
      </w:r>
      <w:r w:rsidR="00012650">
        <w:t xml:space="preserve"> increasingly</w:t>
      </w:r>
      <w:r w:rsidRPr="00642D01">
        <w:t xml:space="preserve"> focussed </w:t>
      </w:r>
      <w:r w:rsidR="00012650">
        <w:t>public d</w:t>
      </w:r>
      <w:r w:rsidR="00E33620">
        <w:t>ebate on balance sheet indicators</w:t>
      </w:r>
      <w:r w:rsidRPr="00642D01">
        <w:t xml:space="preserve">, with </w:t>
      </w:r>
      <w:r w:rsidR="00E33620">
        <w:t xml:space="preserve">reducing net debt and improving net financial worth </w:t>
      </w:r>
      <w:r w:rsidR="00FC6074">
        <w:t>currently</w:t>
      </w:r>
      <w:r w:rsidRPr="00642D01">
        <w:t xml:space="preserve"> part of the </w:t>
      </w:r>
      <w:r w:rsidR="00D52AE0">
        <w:br/>
      </w:r>
      <w:r w:rsidRPr="00642D01">
        <w:t>medium-term fiscal strategy.</w:t>
      </w:r>
      <w:r w:rsidRPr="0058408D">
        <w:rPr>
          <w:vertAlign w:val="superscript"/>
        </w:rPr>
        <w:footnoteReference w:id="2"/>
      </w:r>
      <w:r>
        <w:t xml:space="preserve"> In public debate, </w:t>
      </w:r>
      <w:r w:rsidR="00E33620">
        <w:t xml:space="preserve">net debt </w:t>
      </w:r>
      <w:r>
        <w:t xml:space="preserve">is </w:t>
      </w:r>
      <w:r w:rsidR="00012650">
        <w:t xml:space="preserve">widely </w:t>
      </w:r>
      <w:r>
        <w:t xml:space="preserve">regarded as </w:t>
      </w:r>
      <w:r w:rsidR="00E33620">
        <w:t xml:space="preserve">a </w:t>
      </w:r>
      <w:r>
        <w:t>key budget indicator by which fiscal sustainability can be assessed.</w:t>
      </w:r>
    </w:p>
    <w:p w:rsidR="00012650" w:rsidRDefault="00012650" w:rsidP="004E3832">
      <w:pPr>
        <w:pStyle w:val="BodyText"/>
      </w:pPr>
      <w:r>
        <w:t>W</w:t>
      </w:r>
      <w:r w:rsidR="004E3832">
        <w:t xml:space="preserve">hat is meant by net debt </w:t>
      </w:r>
      <w:r>
        <w:t xml:space="preserve">and how it is calculated, however, </w:t>
      </w:r>
      <w:r w:rsidR="004E3832">
        <w:t xml:space="preserve">is </w:t>
      </w:r>
      <w:r>
        <w:t xml:space="preserve">often </w:t>
      </w:r>
      <w:r w:rsidR="004E3832">
        <w:t xml:space="preserve">not well understood.  </w:t>
      </w:r>
    </w:p>
    <w:p w:rsidR="00012650" w:rsidRDefault="00012650" w:rsidP="006927E7">
      <w:pPr>
        <w:pStyle w:val="BodyText"/>
      </w:pPr>
      <w:r>
        <w:t xml:space="preserve">Most </w:t>
      </w:r>
      <w:r w:rsidR="004E3832">
        <w:t>households and companies</w:t>
      </w:r>
      <w:r>
        <w:t xml:space="preserve"> would measure their net debt as </w:t>
      </w:r>
      <w:r w:rsidR="004E3832">
        <w:t xml:space="preserve">the total amount of debt </w:t>
      </w:r>
      <w:r>
        <w:t>they</w:t>
      </w:r>
      <w:r w:rsidR="006B563B">
        <w:br/>
      </w:r>
      <w:r>
        <w:t xml:space="preserve">hold </w:t>
      </w:r>
      <w:r w:rsidR="00321DD2">
        <w:t>less</w:t>
      </w:r>
      <w:r w:rsidR="004E3832">
        <w:t xml:space="preserve"> </w:t>
      </w:r>
      <w:r>
        <w:t xml:space="preserve">their </w:t>
      </w:r>
      <w:r w:rsidR="004860C6">
        <w:t>interest-bearing</w:t>
      </w:r>
      <w:r w:rsidR="004E3832">
        <w:t xml:space="preserve"> assets </w:t>
      </w:r>
      <w:r w:rsidR="00321DD2">
        <w:t xml:space="preserve">(cash and </w:t>
      </w:r>
      <w:proofErr w:type="gramStart"/>
      <w:r w:rsidR="00321DD2">
        <w:t>interest bearing</w:t>
      </w:r>
      <w:proofErr w:type="gramEnd"/>
      <w:r w:rsidR="00321DD2">
        <w:t xml:space="preserve"> deposits) </w:t>
      </w:r>
      <w:r w:rsidR="004E3832">
        <w:t>that could be used to pay</w:t>
      </w:r>
      <w:r w:rsidR="00E81931">
        <w:t xml:space="preserve"> off</w:t>
      </w:r>
      <w:r w:rsidR="004E3832">
        <w:t xml:space="preserve"> the debt immediately if required. </w:t>
      </w:r>
      <w:r>
        <w:t>While</w:t>
      </w:r>
      <w:r w:rsidR="004E3832">
        <w:t xml:space="preserve"> the Commonwealth government’s net debt figures are produced using a</w:t>
      </w:r>
      <w:r>
        <w:t xml:space="preserve"> broadly</w:t>
      </w:r>
      <w:r w:rsidR="004E3832">
        <w:t xml:space="preserve"> </w:t>
      </w:r>
      <w:r>
        <w:t xml:space="preserve">comparable </w:t>
      </w:r>
      <w:r w:rsidR="004E3832">
        <w:t>framework</w:t>
      </w:r>
      <w:r>
        <w:t>, t</w:t>
      </w:r>
      <w:r w:rsidR="004E3832">
        <w:t xml:space="preserve">here are important nuances in the calculation </w:t>
      </w:r>
      <w:r>
        <w:t xml:space="preserve">of net debt </w:t>
      </w:r>
      <w:r w:rsidR="00DC4EE3">
        <w:t>which</w:t>
      </w:r>
      <w:r w:rsidR="004E3832">
        <w:t xml:space="preserve"> this report seeks to </w:t>
      </w:r>
      <w:r w:rsidR="001B4D00">
        <w:t>explain</w:t>
      </w:r>
      <w:r w:rsidR="004E3832">
        <w:t xml:space="preserve">. </w:t>
      </w:r>
    </w:p>
    <w:p w:rsidR="004E3832" w:rsidRDefault="00012650" w:rsidP="00AD5F9D">
      <w:pPr>
        <w:pStyle w:val="BodyText"/>
      </w:pPr>
      <w:r>
        <w:t xml:space="preserve">This </w:t>
      </w:r>
      <w:r w:rsidR="00DC4EE3">
        <w:t>report highlights</w:t>
      </w:r>
      <w:r w:rsidR="00650AA1">
        <w:t>, in particular,</w:t>
      </w:r>
      <w:r w:rsidR="00DC4EE3">
        <w:t xml:space="preserve"> </w:t>
      </w:r>
      <w:r w:rsidR="004E3832">
        <w:t xml:space="preserve">the </w:t>
      </w:r>
      <w:r w:rsidR="00650AA1">
        <w:t xml:space="preserve">impact </w:t>
      </w:r>
      <w:r w:rsidR="00387937">
        <w:t>of</w:t>
      </w:r>
      <w:r w:rsidR="00D71358">
        <w:t xml:space="preserve"> </w:t>
      </w:r>
      <w:r>
        <w:t xml:space="preserve">assets held in </w:t>
      </w:r>
      <w:r w:rsidR="004E3832">
        <w:t xml:space="preserve">investment funds </w:t>
      </w:r>
      <w:r w:rsidR="00650AA1">
        <w:t>on measures of</w:t>
      </w:r>
      <w:r w:rsidR="002848DD">
        <w:br/>
      </w:r>
      <w:r w:rsidR="00387937">
        <w:t>net debt and how th</w:t>
      </w:r>
      <w:r w:rsidR="00650AA1">
        <w:t xml:space="preserve">e treatment of these assets is reducing </w:t>
      </w:r>
      <w:r w:rsidR="001B4D00">
        <w:t xml:space="preserve">the </w:t>
      </w:r>
      <w:r w:rsidR="00650AA1">
        <w:t>measure</w:t>
      </w:r>
      <w:r w:rsidR="001B4D00">
        <w:t>d level</w:t>
      </w:r>
      <w:r w:rsidR="00650AA1">
        <w:t xml:space="preserve"> of </w:t>
      </w:r>
      <w:r w:rsidR="004E3832">
        <w:t>net debt.</w:t>
      </w:r>
    </w:p>
    <w:p w:rsidR="00E33620" w:rsidRDefault="00FC6074" w:rsidP="00AD5F9D">
      <w:pPr>
        <w:pStyle w:val="BodyText"/>
      </w:pPr>
      <w:r>
        <w:t xml:space="preserve">It is important to emphasise that the </w:t>
      </w:r>
      <w:r w:rsidR="00E33620">
        <w:t xml:space="preserve">focus of this report is on budget transparency and </w:t>
      </w:r>
      <w:r>
        <w:t xml:space="preserve">improving </w:t>
      </w:r>
      <w:r w:rsidR="00E33620">
        <w:t>public understanding</w:t>
      </w:r>
      <w:r w:rsidR="0033257A">
        <w:t xml:space="preserve"> of net debt concepts and trends</w:t>
      </w:r>
      <w:r w:rsidR="00E33620">
        <w:t xml:space="preserve">. </w:t>
      </w:r>
      <w:r>
        <w:t>T</w:t>
      </w:r>
      <w:r w:rsidR="00E33620">
        <w:t xml:space="preserve">he </w:t>
      </w:r>
      <w:r>
        <w:t xml:space="preserve">appropriate </w:t>
      </w:r>
      <w:r w:rsidR="00E33620">
        <w:t xml:space="preserve">accounting treatment of assets </w:t>
      </w:r>
      <w:r w:rsidR="00F9148E">
        <w:t>in the Commonwealth’s Consolidated Financial Statements</w:t>
      </w:r>
      <w:r w:rsidR="00E33620">
        <w:t xml:space="preserve"> is a matter for the Department</w:t>
      </w:r>
      <w:r w:rsidR="003C47F2">
        <w:br/>
      </w:r>
      <w:r w:rsidR="00E33620">
        <w:t xml:space="preserve">of </w:t>
      </w:r>
      <w:proofErr w:type="gramStart"/>
      <w:r w:rsidR="00E33620">
        <w:t>Finance, and</w:t>
      </w:r>
      <w:proofErr w:type="gramEnd"/>
      <w:r w:rsidR="00E33620">
        <w:t xml:space="preserve"> is reviewed annually by the Auditor-General. </w:t>
      </w:r>
    </w:p>
    <w:p w:rsidR="004E3832" w:rsidRDefault="004E3832" w:rsidP="006C038B">
      <w:pPr>
        <w:pStyle w:val="Heading2NoNumbering"/>
        <w:tabs>
          <w:tab w:val="left" w:pos="5266"/>
        </w:tabs>
      </w:pPr>
      <w:r>
        <w:t>Defining net debt</w:t>
      </w:r>
      <w:r w:rsidR="006C038B">
        <w:tab/>
      </w:r>
    </w:p>
    <w:p w:rsidR="00650AA1" w:rsidRDefault="004E3832" w:rsidP="004E3832">
      <w:pPr>
        <w:pStyle w:val="BodyText"/>
      </w:pPr>
      <w:r w:rsidRPr="00B77073">
        <w:t xml:space="preserve">Net debt is </w:t>
      </w:r>
      <w:r>
        <w:t xml:space="preserve">defined by the </w:t>
      </w:r>
      <w:r w:rsidR="00224AAC">
        <w:t>International Monetary Fund (</w:t>
      </w:r>
      <w:r>
        <w:t>IMF</w:t>
      </w:r>
      <w:r w:rsidR="00224AAC">
        <w:t>)</w:t>
      </w:r>
      <w:r>
        <w:t xml:space="preserve"> as </w:t>
      </w:r>
      <w:r w:rsidRPr="00B77073">
        <w:t>gross debt minus financial assets corresponding to debt instruments.</w:t>
      </w:r>
      <w:r w:rsidR="001F3BE1">
        <w:rPr>
          <w:rStyle w:val="FootnoteReference"/>
        </w:rPr>
        <w:footnoteReference w:id="3"/>
      </w:r>
      <w:r w:rsidR="009D38DE">
        <w:t xml:space="preserve"> </w:t>
      </w:r>
      <w:r w:rsidR="00232911">
        <w:t xml:space="preserve"> </w:t>
      </w:r>
    </w:p>
    <w:p w:rsidR="00B80339" w:rsidRDefault="009D38DE" w:rsidP="004E3832">
      <w:pPr>
        <w:pStyle w:val="BodyText"/>
      </w:pPr>
      <w:r>
        <w:t xml:space="preserve">The </w:t>
      </w:r>
      <w:r w:rsidR="00552B2D">
        <w:t>definition</w:t>
      </w:r>
      <w:r>
        <w:t xml:space="preserve"> adopted </w:t>
      </w:r>
      <w:r w:rsidR="00552B2D">
        <w:t>by</w:t>
      </w:r>
      <w:r>
        <w:t xml:space="preserve"> the Commonwealth government</w:t>
      </w:r>
      <w:r w:rsidR="00552B2D">
        <w:t xml:space="preserve"> is that n</w:t>
      </w:r>
      <w:r w:rsidR="00552B2D" w:rsidRPr="00552B2D">
        <w:t>et debt</w:t>
      </w:r>
      <w:r w:rsidR="001B4D00">
        <w:t xml:space="preserve"> </w:t>
      </w:r>
      <w:r w:rsidR="00552B2D" w:rsidRPr="00552B2D">
        <w:t>is the sum of government securities (at market value)</w:t>
      </w:r>
      <w:r w:rsidR="00B4382D">
        <w:t xml:space="preserve"> and other interest bearing liabilities</w:t>
      </w:r>
      <w:r w:rsidR="00552B2D" w:rsidRPr="00552B2D">
        <w:t>, minus</w:t>
      </w:r>
      <w:r w:rsidR="001B4D00">
        <w:t xml:space="preserve"> </w:t>
      </w:r>
      <w:r w:rsidR="00552B2D" w:rsidRPr="00552B2D">
        <w:t>the sum of cash and deposits, advances paid</w:t>
      </w:r>
      <w:r w:rsidR="00650AA1">
        <w:t xml:space="preserve"> (such as student loans)</w:t>
      </w:r>
      <w:r w:rsidR="00552B2D" w:rsidRPr="00552B2D">
        <w:t xml:space="preserve"> and investments, loans and placements</w:t>
      </w:r>
      <w:r w:rsidR="00650AA1">
        <w:t xml:space="preserve"> (</w:t>
      </w:r>
      <w:r w:rsidR="005202BC">
        <w:t>which includes some</w:t>
      </w:r>
      <w:r w:rsidR="00650AA1">
        <w:t xml:space="preserve"> of the assets managed by government investment funds such as the Future Fund)</w:t>
      </w:r>
      <w:r w:rsidR="00552B2D" w:rsidRPr="00552B2D">
        <w:t>.</w:t>
      </w:r>
      <w:r w:rsidR="00B4382D">
        <w:rPr>
          <w:rStyle w:val="FootnoteReference"/>
        </w:rPr>
        <w:footnoteReference w:id="4"/>
      </w:r>
      <w:r w:rsidR="00650AA1" w:rsidRPr="002E47FF">
        <w:rPr>
          <w:vertAlign w:val="superscript"/>
        </w:rPr>
        <w:t>,</w:t>
      </w:r>
      <w:r w:rsidR="001F3BE1" w:rsidRPr="001F3BE1">
        <w:rPr>
          <w:rStyle w:val="FootnoteReference"/>
        </w:rPr>
        <w:t xml:space="preserve"> </w:t>
      </w:r>
      <w:r w:rsidR="001F3BE1">
        <w:rPr>
          <w:rStyle w:val="FootnoteReference"/>
        </w:rPr>
        <w:footnoteReference w:id="5"/>
      </w:r>
      <w:r>
        <w:t xml:space="preserve"> </w:t>
      </w:r>
      <w:r w:rsidRPr="00B77073">
        <w:t xml:space="preserve">The </w:t>
      </w:r>
      <w:r>
        <w:t xml:space="preserve">specific components of net debt </w:t>
      </w:r>
      <w:r w:rsidR="00650AA1">
        <w:t xml:space="preserve">on </w:t>
      </w:r>
      <w:r>
        <w:t>the Commonwealth balance sheet</w:t>
      </w:r>
      <w:r w:rsidR="00416DAA">
        <w:t>, along with some examples of the types of liabilities and assets in each category</w:t>
      </w:r>
      <w:r w:rsidR="00564779">
        <w:t>,</w:t>
      </w:r>
      <w:r>
        <w:t xml:space="preserve"> are set out in Table </w:t>
      </w:r>
      <w:r w:rsidR="00224AAC">
        <w:t>1-1</w:t>
      </w:r>
      <w:r>
        <w:t>.</w:t>
      </w:r>
    </w:p>
    <w:p w:rsidR="003A605E" w:rsidRDefault="003A605E">
      <w:pPr>
        <w:rPr>
          <w:rFonts w:cs="Times New Roman"/>
        </w:rPr>
      </w:pPr>
      <w:r>
        <w:br w:type="page"/>
      </w:r>
    </w:p>
    <w:p w:rsidR="00224AAC" w:rsidRDefault="00224AAC" w:rsidP="00816B15">
      <w:pPr>
        <w:pStyle w:val="CaptionLeft"/>
        <w:jc w:val="center"/>
      </w:pPr>
      <w:r>
        <w:lastRenderedPageBreak/>
        <w:t xml:space="preserve">Table 1–1: Components of </w:t>
      </w:r>
      <w:r w:rsidR="00A95FDD">
        <w:t>n</w:t>
      </w:r>
      <w:r>
        <w:t xml:space="preserve">et </w:t>
      </w:r>
      <w:r w:rsidR="00A95FDD">
        <w:t>d</w:t>
      </w:r>
      <w:r>
        <w:t>ebt</w:t>
      </w:r>
    </w:p>
    <w:tbl>
      <w:tblPr>
        <w:tblW w:w="8940" w:type="dxa"/>
        <w:jc w:val="center"/>
        <w:tblLook w:val="04A0" w:firstRow="1" w:lastRow="0" w:firstColumn="1" w:lastColumn="0" w:noHBand="0" w:noVBand="1"/>
      </w:tblPr>
      <w:tblGrid>
        <w:gridCol w:w="498"/>
        <w:gridCol w:w="6525"/>
        <w:gridCol w:w="1917"/>
      </w:tblGrid>
      <w:tr w:rsidR="00224AAC" w:rsidRPr="00AB2848" w:rsidTr="002115F8">
        <w:trPr>
          <w:trHeight w:val="510"/>
          <w:jc w:val="center"/>
        </w:trPr>
        <w:tc>
          <w:tcPr>
            <w:tcW w:w="498" w:type="dxa"/>
            <w:tcBorders>
              <w:top w:val="nil"/>
              <w:left w:val="nil"/>
              <w:bottom w:val="nil"/>
              <w:right w:val="nil"/>
            </w:tcBorders>
            <w:shd w:val="clear" w:color="000000" w:fill="3D4D7D"/>
            <w:hideMark/>
          </w:tcPr>
          <w:p w:rsidR="00224AAC" w:rsidRPr="00AB2848" w:rsidRDefault="00224AAC" w:rsidP="002115F8">
            <w:pPr>
              <w:spacing w:line="240" w:lineRule="auto"/>
              <w:jc w:val="center"/>
              <w:rPr>
                <w:lang w:eastAsia="en-AU"/>
              </w:rPr>
            </w:pPr>
          </w:p>
        </w:tc>
        <w:tc>
          <w:tcPr>
            <w:tcW w:w="6525" w:type="dxa"/>
            <w:tcBorders>
              <w:top w:val="nil"/>
              <w:left w:val="nil"/>
              <w:right w:val="nil"/>
            </w:tcBorders>
            <w:shd w:val="clear" w:color="000000" w:fill="3D4D7D"/>
            <w:vAlign w:val="center"/>
            <w:hideMark/>
          </w:tcPr>
          <w:p w:rsidR="00224AAC" w:rsidRPr="00AB2848" w:rsidRDefault="00224AAC" w:rsidP="00224AAC">
            <w:pPr>
              <w:spacing w:line="240" w:lineRule="auto"/>
              <w:rPr>
                <w:rFonts w:ascii="Calibri" w:eastAsia="Times New Roman" w:hAnsi="Calibri" w:cs="Times New Roman"/>
                <w:b/>
                <w:bCs/>
                <w:color w:val="FFFFFF"/>
                <w:sz w:val="20"/>
                <w:szCs w:val="20"/>
                <w:lang w:eastAsia="en-AU"/>
              </w:rPr>
            </w:pPr>
            <w:r w:rsidRPr="00AB2848">
              <w:rPr>
                <w:rFonts w:ascii="Calibri" w:eastAsia="Times New Roman" w:hAnsi="Calibri" w:cs="Times New Roman"/>
                <w:b/>
                <w:bCs/>
                <w:color w:val="FFFFFF"/>
                <w:sz w:val="20"/>
                <w:szCs w:val="20"/>
                <w:lang w:eastAsia="en-AU"/>
              </w:rPr>
              <w:t> </w:t>
            </w:r>
          </w:p>
        </w:tc>
        <w:tc>
          <w:tcPr>
            <w:tcW w:w="1917" w:type="dxa"/>
            <w:tcBorders>
              <w:top w:val="nil"/>
              <w:left w:val="nil"/>
              <w:bottom w:val="nil"/>
              <w:right w:val="nil"/>
            </w:tcBorders>
            <w:shd w:val="clear" w:color="000000" w:fill="3D4D7D"/>
            <w:vAlign w:val="center"/>
            <w:hideMark/>
          </w:tcPr>
          <w:p w:rsidR="00224AAC" w:rsidRPr="00AB2848" w:rsidRDefault="00224AAC" w:rsidP="002115F8">
            <w:pPr>
              <w:spacing w:line="240" w:lineRule="auto"/>
              <w:jc w:val="center"/>
              <w:rPr>
                <w:rFonts w:ascii="Calibri" w:eastAsia="Times New Roman" w:hAnsi="Calibri" w:cs="Times New Roman"/>
                <w:b/>
                <w:bCs/>
                <w:color w:val="FFFFFF"/>
                <w:sz w:val="20"/>
                <w:szCs w:val="20"/>
                <w:lang w:eastAsia="en-AU"/>
              </w:rPr>
            </w:pPr>
            <w:r w:rsidRPr="00AB2848">
              <w:rPr>
                <w:rFonts w:ascii="Calibri" w:eastAsia="Times New Roman" w:hAnsi="Calibri" w:cs="Times New Roman"/>
                <w:b/>
                <w:bCs/>
                <w:color w:val="FFFFFF"/>
                <w:sz w:val="20"/>
                <w:szCs w:val="20"/>
                <w:lang w:eastAsia="en-AU"/>
              </w:rPr>
              <w:t>Net Debt</w:t>
            </w:r>
          </w:p>
        </w:tc>
      </w:tr>
      <w:tr w:rsidR="00224AAC" w:rsidRPr="00AB2848" w:rsidTr="002115F8">
        <w:trPr>
          <w:trHeight w:val="463"/>
          <w:jc w:val="center"/>
        </w:trPr>
        <w:tc>
          <w:tcPr>
            <w:tcW w:w="498" w:type="dxa"/>
            <w:vMerge w:val="restart"/>
            <w:tcBorders>
              <w:top w:val="nil"/>
              <w:left w:val="nil"/>
              <w:bottom w:val="nil"/>
              <w:right w:val="nil"/>
            </w:tcBorders>
            <w:shd w:val="clear" w:color="000000" w:fill="D3D8E9"/>
            <w:textDirection w:val="btLr"/>
            <w:hideMark/>
          </w:tcPr>
          <w:p w:rsidR="00224AAC" w:rsidRPr="00AB2848" w:rsidRDefault="00224AAC" w:rsidP="002115F8">
            <w:pPr>
              <w:spacing w:line="240" w:lineRule="auto"/>
              <w:jc w:val="center"/>
              <w:rPr>
                <w:color w:val="000000"/>
                <w:lang w:eastAsia="en-AU"/>
              </w:rPr>
            </w:pPr>
            <w:r w:rsidRPr="00AB2848">
              <w:rPr>
                <w:color w:val="000000"/>
                <w:lang w:eastAsia="en-AU"/>
              </w:rPr>
              <w:t>Liabilities</w:t>
            </w:r>
          </w:p>
        </w:tc>
        <w:tc>
          <w:tcPr>
            <w:tcW w:w="6525" w:type="dxa"/>
            <w:tcBorders>
              <w:top w:val="nil"/>
              <w:left w:val="nil"/>
              <w:bottom w:val="single" w:sz="4" w:space="0" w:color="3E4D7E"/>
              <w:right w:val="single" w:sz="4" w:space="0" w:color="auto"/>
            </w:tcBorders>
            <w:shd w:val="clear" w:color="auto" w:fill="auto"/>
            <w:vAlign w:val="center"/>
            <w:hideMark/>
          </w:tcPr>
          <w:p w:rsidR="00224AAC" w:rsidRPr="00AB2848" w:rsidRDefault="00224AAC" w:rsidP="00E151F3">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 xml:space="preserve">Commonwealth Government Securities on issue </w:t>
            </w:r>
            <w:r w:rsidR="002115F8">
              <w:rPr>
                <w:rFonts w:ascii="Calibri" w:eastAsia="Times New Roman" w:hAnsi="Calibri" w:cs="Times New Roman"/>
                <w:color w:val="000000"/>
                <w:sz w:val="20"/>
                <w:szCs w:val="20"/>
                <w:lang w:eastAsia="en-AU"/>
              </w:rPr>
              <w:t>–</w:t>
            </w:r>
            <w:r w:rsidR="002E47FF">
              <w:rPr>
                <w:rFonts w:ascii="Calibri" w:eastAsia="Times New Roman" w:hAnsi="Calibri" w:cs="Times New Roman"/>
                <w:color w:val="000000"/>
                <w:sz w:val="20"/>
                <w:szCs w:val="20"/>
                <w:lang w:eastAsia="en-AU"/>
              </w:rPr>
              <w:t xml:space="preserve"> </w:t>
            </w:r>
            <w:r w:rsidRPr="00AB2848">
              <w:rPr>
                <w:rFonts w:ascii="Calibri" w:eastAsia="Times New Roman" w:hAnsi="Calibri" w:cs="Times New Roman"/>
                <w:color w:val="000000"/>
                <w:sz w:val="20"/>
                <w:szCs w:val="20"/>
                <w:lang w:eastAsia="en-AU"/>
              </w:rPr>
              <w:t>Market Value</w:t>
            </w:r>
          </w:p>
        </w:tc>
        <w:tc>
          <w:tcPr>
            <w:tcW w:w="1917" w:type="dxa"/>
            <w:tcBorders>
              <w:top w:val="nil"/>
              <w:left w:val="single" w:sz="4" w:space="0" w:color="auto"/>
              <w:bottom w:val="single" w:sz="4" w:space="0" w:color="3E4D7E"/>
              <w:right w:val="nil"/>
            </w:tcBorders>
            <w:shd w:val="clear" w:color="auto" w:fill="auto"/>
            <w:vAlign w:val="center"/>
            <w:hideMark/>
          </w:tcPr>
          <w:p w:rsidR="00224AAC" w:rsidRPr="00AB2848" w:rsidRDefault="00224AAC" w:rsidP="002115F8">
            <w:pPr>
              <w:spacing w:line="240" w:lineRule="auto"/>
              <w:jc w:val="center"/>
              <w:rPr>
                <w:rFonts w:ascii="Calibri" w:eastAsia="Times New Roman" w:hAnsi="Calibri" w:cs="Times New Roman"/>
                <w:b/>
                <w:bCs/>
                <w:color w:val="000000"/>
                <w:sz w:val="20"/>
                <w:szCs w:val="20"/>
                <w:lang w:eastAsia="en-AU"/>
              </w:rPr>
            </w:pPr>
            <w:r w:rsidRPr="00E3119F">
              <w:rPr>
                <w:rFonts w:ascii="Wingdings 2" w:eastAsia="Times New Roman" w:hAnsi="Wingdings 2" w:cs="Times New Roman"/>
                <w:b/>
                <w:bCs/>
                <w:color w:val="3E4D7E"/>
                <w:sz w:val="28"/>
                <w:szCs w:val="28"/>
                <w:lang w:eastAsia="en-AU"/>
              </w:rPr>
              <w:t></w:t>
            </w:r>
          </w:p>
        </w:tc>
      </w:tr>
      <w:tr w:rsidR="00224AAC" w:rsidRPr="00AB2848" w:rsidTr="002115F8">
        <w:trPr>
          <w:trHeight w:val="454"/>
          <w:jc w:val="center"/>
        </w:trPr>
        <w:tc>
          <w:tcPr>
            <w:tcW w:w="498" w:type="dxa"/>
            <w:vMerge/>
            <w:tcBorders>
              <w:top w:val="nil"/>
              <w:left w:val="nil"/>
              <w:bottom w:val="nil"/>
              <w:right w:val="nil"/>
            </w:tcBorders>
            <w:hideMark/>
          </w:tcPr>
          <w:p w:rsidR="00224AAC" w:rsidRPr="00AB2848" w:rsidRDefault="00224AAC" w:rsidP="002115F8">
            <w:pPr>
              <w:spacing w:line="240" w:lineRule="auto"/>
              <w:jc w:val="center"/>
              <w:rPr>
                <w:color w:val="000000"/>
                <w:lang w:eastAsia="en-AU"/>
              </w:rPr>
            </w:pPr>
          </w:p>
        </w:tc>
        <w:tc>
          <w:tcPr>
            <w:tcW w:w="6525" w:type="dxa"/>
            <w:tcBorders>
              <w:top w:val="single" w:sz="4" w:space="0" w:color="3E4D7E"/>
              <w:left w:val="nil"/>
              <w:bottom w:val="single" w:sz="4" w:space="0" w:color="3E4D7E"/>
              <w:right w:val="single" w:sz="4" w:space="0" w:color="auto"/>
            </w:tcBorders>
            <w:shd w:val="clear" w:color="auto" w:fill="auto"/>
            <w:vAlign w:val="center"/>
            <w:hideMark/>
          </w:tcPr>
          <w:p w:rsidR="00224AAC" w:rsidRDefault="00224AAC" w:rsidP="00224AAC">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 xml:space="preserve">Other </w:t>
            </w:r>
            <w:proofErr w:type="gramStart"/>
            <w:r w:rsidRPr="00AB2848">
              <w:rPr>
                <w:rFonts w:ascii="Calibri" w:eastAsia="Times New Roman" w:hAnsi="Calibri" w:cs="Times New Roman"/>
                <w:color w:val="000000"/>
                <w:sz w:val="20"/>
                <w:szCs w:val="20"/>
                <w:lang w:eastAsia="en-AU"/>
              </w:rPr>
              <w:t>interest bearing</w:t>
            </w:r>
            <w:proofErr w:type="gramEnd"/>
            <w:r w:rsidRPr="00AB2848">
              <w:rPr>
                <w:rFonts w:ascii="Calibri" w:eastAsia="Times New Roman" w:hAnsi="Calibri" w:cs="Times New Roman"/>
                <w:color w:val="000000"/>
                <w:sz w:val="20"/>
                <w:szCs w:val="20"/>
                <w:lang w:eastAsia="en-AU"/>
              </w:rPr>
              <w:t xml:space="preserve"> liabilities</w:t>
            </w:r>
          </w:p>
          <w:p w:rsidR="009A6E23" w:rsidRPr="00AB2848" w:rsidRDefault="009A6E23" w:rsidP="00750997">
            <w:pPr>
              <w:spacing w:line="240" w:lineRule="auto"/>
              <w:rPr>
                <w:rFonts w:ascii="Calibri" w:eastAsia="Times New Roman" w:hAnsi="Calibri" w:cs="Times New Roman"/>
                <w:color w:val="000000"/>
                <w:sz w:val="2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sidR="0033257A">
              <w:rPr>
                <w:rFonts w:ascii="Calibri" w:eastAsia="Times New Roman" w:hAnsi="Calibri" w:cs="Times New Roman"/>
                <w:color w:val="808080" w:themeColor="background1" w:themeShade="80"/>
                <w:sz w:val="16"/>
                <w:szCs w:val="20"/>
                <w:lang w:eastAsia="en-AU"/>
              </w:rPr>
              <w:t>eg</w:t>
            </w:r>
            <w:r w:rsidR="00E151F3">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Deposits</w:t>
            </w:r>
            <w:r w:rsidR="00750997">
              <w:rPr>
                <w:rFonts w:ascii="Calibri" w:eastAsia="Times New Roman" w:hAnsi="Calibri" w:cs="Times New Roman"/>
                <w:color w:val="808080" w:themeColor="background1" w:themeShade="80"/>
                <w:sz w:val="16"/>
                <w:szCs w:val="20"/>
                <w:lang w:eastAsia="en-AU"/>
              </w:rPr>
              <w:t xml:space="preserve"> held</w:t>
            </w:r>
            <w:r w:rsidRPr="002115F8">
              <w:rPr>
                <w:rFonts w:ascii="Calibri" w:eastAsia="Times New Roman" w:hAnsi="Calibri" w:cs="Times New Roman"/>
                <w:color w:val="808080" w:themeColor="background1" w:themeShade="80"/>
                <w:sz w:val="16"/>
                <w:szCs w:val="20"/>
                <w:lang w:eastAsia="en-AU"/>
              </w:rPr>
              <w:t xml:space="preserve">, </w:t>
            </w:r>
            <w:r w:rsidR="00750997">
              <w:rPr>
                <w:rFonts w:ascii="Calibri" w:eastAsia="Times New Roman" w:hAnsi="Calibri" w:cs="Times New Roman"/>
                <w:color w:val="808080" w:themeColor="background1" w:themeShade="80"/>
                <w:sz w:val="16"/>
                <w:szCs w:val="20"/>
                <w:lang w:eastAsia="en-AU"/>
              </w:rPr>
              <w:t>l</w:t>
            </w:r>
            <w:r w:rsidRPr="002115F8">
              <w:rPr>
                <w:rFonts w:ascii="Calibri" w:eastAsia="Times New Roman" w:hAnsi="Calibri" w:cs="Times New Roman"/>
                <w:color w:val="808080" w:themeColor="background1" w:themeShade="80"/>
                <w:sz w:val="16"/>
                <w:szCs w:val="20"/>
                <w:lang w:eastAsia="en-AU"/>
              </w:rPr>
              <w:t>oans</w:t>
            </w:r>
            <w:r w:rsidR="0033257A">
              <w:rPr>
                <w:rFonts w:ascii="Calibri" w:eastAsia="Times New Roman" w:hAnsi="Calibri" w:cs="Times New Roman"/>
                <w:color w:val="808080" w:themeColor="background1" w:themeShade="80"/>
                <w:sz w:val="16"/>
                <w:szCs w:val="20"/>
                <w:lang w:eastAsia="en-AU"/>
              </w:rPr>
              <w:t>,</w:t>
            </w:r>
            <w:r w:rsidRPr="002115F8">
              <w:rPr>
                <w:rFonts w:ascii="Calibri" w:eastAsia="Times New Roman" w:hAnsi="Calibri" w:cs="Times New Roman"/>
                <w:color w:val="808080" w:themeColor="background1" w:themeShade="80"/>
                <w:sz w:val="16"/>
                <w:szCs w:val="20"/>
                <w:lang w:eastAsia="en-AU"/>
              </w:rPr>
              <w:t xml:space="preserve"> </w:t>
            </w:r>
            <w:r w:rsidR="00750997">
              <w:rPr>
                <w:rFonts w:ascii="Calibri" w:eastAsia="Times New Roman" w:hAnsi="Calibri" w:cs="Times New Roman"/>
                <w:color w:val="808080" w:themeColor="background1" w:themeShade="80"/>
                <w:sz w:val="16"/>
                <w:szCs w:val="20"/>
                <w:lang w:eastAsia="en-AU"/>
              </w:rPr>
              <w:t>o</w:t>
            </w:r>
            <w:r w:rsidRPr="002115F8">
              <w:rPr>
                <w:rFonts w:ascii="Calibri" w:eastAsia="Times New Roman" w:hAnsi="Calibri" w:cs="Times New Roman"/>
                <w:color w:val="808080" w:themeColor="background1" w:themeShade="80"/>
                <w:sz w:val="16"/>
                <w:szCs w:val="20"/>
                <w:lang w:eastAsia="en-AU"/>
              </w:rPr>
              <w:t xml:space="preserve">ther </w:t>
            </w:r>
            <w:r w:rsidR="00750997">
              <w:rPr>
                <w:rFonts w:ascii="Calibri" w:eastAsia="Times New Roman" w:hAnsi="Calibri" w:cs="Times New Roman"/>
                <w:color w:val="808080" w:themeColor="background1" w:themeShade="80"/>
                <w:sz w:val="16"/>
                <w:szCs w:val="20"/>
                <w:lang w:eastAsia="en-AU"/>
              </w:rPr>
              <w:t>b</w:t>
            </w:r>
            <w:r w:rsidRPr="002115F8">
              <w:rPr>
                <w:rFonts w:ascii="Calibri" w:eastAsia="Times New Roman" w:hAnsi="Calibri" w:cs="Times New Roman"/>
                <w:color w:val="808080" w:themeColor="background1" w:themeShade="80"/>
                <w:sz w:val="16"/>
                <w:szCs w:val="20"/>
                <w:lang w:eastAsia="en-AU"/>
              </w:rPr>
              <w:t>orrowing)</w:t>
            </w:r>
          </w:p>
        </w:tc>
        <w:tc>
          <w:tcPr>
            <w:tcW w:w="1917" w:type="dxa"/>
            <w:tcBorders>
              <w:top w:val="single" w:sz="4" w:space="0" w:color="3E4D7E"/>
              <w:left w:val="single" w:sz="4" w:space="0" w:color="auto"/>
              <w:bottom w:val="single" w:sz="4" w:space="0" w:color="3E4D7E"/>
              <w:right w:val="nil"/>
            </w:tcBorders>
            <w:shd w:val="clear" w:color="auto" w:fill="auto"/>
            <w:vAlign w:val="center"/>
            <w:hideMark/>
          </w:tcPr>
          <w:p w:rsidR="00224AAC" w:rsidRPr="00AB2848" w:rsidRDefault="00224AAC" w:rsidP="002115F8">
            <w:pPr>
              <w:spacing w:line="240" w:lineRule="auto"/>
              <w:jc w:val="center"/>
              <w:rPr>
                <w:rFonts w:ascii="Wingdings 2" w:eastAsia="Times New Roman" w:hAnsi="Wingdings 2" w:cs="Times New Roman"/>
                <w:b/>
                <w:bCs/>
                <w:color w:val="000000"/>
                <w:sz w:val="28"/>
                <w:szCs w:val="28"/>
                <w:lang w:eastAsia="en-AU"/>
              </w:rPr>
            </w:pPr>
            <w:r w:rsidRPr="00E3119F">
              <w:rPr>
                <w:rFonts w:ascii="Wingdings 2" w:eastAsia="Times New Roman" w:hAnsi="Wingdings 2" w:cs="Times New Roman"/>
                <w:b/>
                <w:bCs/>
                <w:color w:val="3E4D7E"/>
                <w:sz w:val="28"/>
                <w:szCs w:val="28"/>
                <w:lang w:eastAsia="en-AU"/>
              </w:rPr>
              <w:t></w:t>
            </w:r>
          </w:p>
        </w:tc>
      </w:tr>
      <w:tr w:rsidR="00224AAC" w:rsidRPr="00AB2848" w:rsidTr="002115F8">
        <w:trPr>
          <w:trHeight w:val="454"/>
          <w:jc w:val="center"/>
        </w:trPr>
        <w:tc>
          <w:tcPr>
            <w:tcW w:w="498" w:type="dxa"/>
            <w:vMerge/>
            <w:tcBorders>
              <w:top w:val="nil"/>
              <w:left w:val="nil"/>
              <w:bottom w:val="nil"/>
              <w:right w:val="nil"/>
            </w:tcBorders>
            <w:hideMark/>
          </w:tcPr>
          <w:p w:rsidR="00224AAC" w:rsidRPr="00AB2848" w:rsidRDefault="00224AAC" w:rsidP="002115F8">
            <w:pPr>
              <w:spacing w:line="240" w:lineRule="auto"/>
              <w:jc w:val="center"/>
              <w:rPr>
                <w:color w:val="000000"/>
                <w:lang w:eastAsia="en-AU"/>
              </w:rPr>
            </w:pPr>
          </w:p>
        </w:tc>
        <w:tc>
          <w:tcPr>
            <w:tcW w:w="6525" w:type="dxa"/>
            <w:tcBorders>
              <w:top w:val="single" w:sz="4" w:space="0" w:color="3E4D7E"/>
              <w:left w:val="nil"/>
              <w:bottom w:val="single" w:sz="4" w:space="0" w:color="3E4D7E"/>
              <w:right w:val="single" w:sz="4" w:space="0" w:color="auto"/>
            </w:tcBorders>
            <w:shd w:val="clear" w:color="auto" w:fill="auto"/>
            <w:vAlign w:val="center"/>
            <w:hideMark/>
          </w:tcPr>
          <w:p w:rsidR="00224AAC" w:rsidRPr="00AB2848" w:rsidRDefault="00224AAC" w:rsidP="00E151F3">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 xml:space="preserve">Superannuation </w:t>
            </w:r>
            <w:r w:rsidR="00E151F3">
              <w:rPr>
                <w:rFonts w:ascii="Calibri" w:eastAsia="Times New Roman" w:hAnsi="Calibri" w:cs="Times New Roman"/>
                <w:color w:val="000000"/>
                <w:sz w:val="20"/>
                <w:szCs w:val="20"/>
                <w:lang w:eastAsia="en-AU"/>
              </w:rPr>
              <w:t>l</w:t>
            </w:r>
            <w:r w:rsidRPr="00AB2848">
              <w:rPr>
                <w:rFonts w:ascii="Calibri" w:eastAsia="Times New Roman" w:hAnsi="Calibri" w:cs="Times New Roman"/>
                <w:color w:val="000000"/>
                <w:sz w:val="20"/>
                <w:szCs w:val="20"/>
                <w:lang w:eastAsia="en-AU"/>
              </w:rPr>
              <w:t>iabilit</w:t>
            </w:r>
            <w:r w:rsidR="00321DD2">
              <w:rPr>
                <w:rFonts w:ascii="Calibri" w:eastAsia="Times New Roman" w:hAnsi="Calibri" w:cs="Times New Roman"/>
                <w:color w:val="000000"/>
                <w:sz w:val="20"/>
                <w:szCs w:val="20"/>
                <w:lang w:eastAsia="en-AU"/>
              </w:rPr>
              <w:t>ies</w:t>
            </w:r>
          </w:p>
        </w:tc>
        <w:tc>
          <w:tcPr>
            <w:tcW w:w="1917" w:type="dxa"/>
            <w:tcBorders>
              <w:top w:val="single" w:sz="4" w:space="0" w:color="3E4D7E"/>
              <w:left w:val="single" w:sz="4" w:space="0" w:color="auto"/>
              <w:bottom w:val="single" w:sz="4" w:space="0" w:color="3E4D7E"/>
              <w:right w:val="nil"/>
            </w:tcBorders>
            <w:shd w:val="clear" w:color="auto" w:fill="auto"/>
            <w:hideMark/>
          </w:tcPr>
          <w:p w:rsidR="00224AAC" w:rsidRPr="00AB2848" w:rsidRDefault="00224AAC" w:rsidP="002115F8">
            <w:pPr>
              <w:spacing w:line="240" w:lineRule="auto"/>
              <w:jc w:val="center"/>
              <w:rPr>
                <w:rFonts w:ascii="Calibri" w:eastAsia="Times New Roman" w:hAnsi="Calibri" w:cs="Times New Roman"/>
                <w:color w:val="000000"/>
                <w:sz w:val="20"/>
                <w:szCs w:val="20"/>
                <w:lang w:eastAsia="en-AU"/>
              </w:rPr>
            </w:pPr>
          </w:p>
        </w:tc>
      </w:tr>
      <w:tr w:rsidR="00224AAC" w:rsidRPr="00AB2848" w:rsidTr="002115F8">
        <w:trPr>
          <w:trHeight w:val="454"/>
          <w:jc w:val="center"/>
        </w:trPr>
        <w:tc>
          <w:tcPr>
            <w:tcW w:w="498" w:type="dxa"/>
            <w:vMerge/>
            <w:tcBorders>
              <w:top w:val="nil"/>
              <w:left w:val="nil"/>
              <w:bottom w:val="single" w:sz="12" w:space="0" w:color="3E4D7E"/>
              <w:right w:val="nil"/>
            </w:tcBorders>
            <w:hideMark/>
          </w:tcPr>
          <w:p w:rsidR="00224AAC" w:rsidRPr="00AB2848" w:rsidRDefault="00224AAC" w:rsidP="002115F8">
            <w:pPr>
              <w:spacing w:line="240" w:lineRule="auto"/>
              <w:jc w:val="center"/>
              <w:rPr>
                <w:color w:val="000000"/>
                <w:lang w:eastAsia="en-AU"/>
              </w:rPr>
            </w:pPr>
          </w:p>
        </w:tc>
        <w:tc>
          <w:tcPr>
            <w:tcW w:w="6525" w:type="dxa"/>
            <w:tcBorders>
              <w:top w:val="single" w:sz="4" w:space="0" w:color="3E4D7E"/>
              <w:left w:val="nil"/>
              <w:bottom w:val="single" w:sz="12" w:space="0" w:color="3E4D7E"/>
              <w:right w:val="single" w:sz="4" w:space="0" w:color="auto"/>
            </w:tcBorders>
            <w:shd w:val="clear" w:color="auto" w:fill="auto"/>
            <w:vAlign w:val="center"/>
            <w:hideMark/>
          </w:tcPr>
          <w:p w:rsidR="00224AAC" w:rsidRPr="00AB2848" w:rsidRDefault="00224AAC" w:rsidP="00E151F3">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 xml:space="preserve">Other </w:t>
            </w:r>
            <w:r w:rsidR="00E151F3">
              <w:rPr>
                <w:rFonts w:ascii="Calibri" w:eastAsia="Times New Roman" w:hAnsi="Calibri" w:cs="Times New Roman"/>
                <w:color w:val="000000"/>
                <w:sz w:val="20"/>
                <w:szCs w:val="20"/>
                <w:lang w:eastAsia="en-AU"/>
              </w:rPr>
              <w:t>l</w:t>
            </w:r>
            <w:r w:rsidRPr="00AB2848">
              <w:rPr>
                <w:rFonts w:ascii="Calibri" w:eastAsia="Times New Roman" w:hAnsi="Calibri" w:cs="Times New Roman"/>
                <w:color w:val="000000"/>
                <w:sz w:val="20"/>
                <w:szCs w:val="20"/>
                <w:lang w:eastAsia="en-AU"/>
              </w:rPr>
              <w:t>iabilities</w:t>
            </w:r>
          </w:p>
        </w:tc>
        <w:tc>
          <w:tcPr>
            <w:tcW w:w="1917" w:type="dxa"/>
            <w:tcBorders>
              <w:top w:val="single" w:sz="4" w:space="0" w:color="3E4D7E"/>
              <w:left w:val="single" w:sz="4" w:space="0" w:color="auto"/>
              <w:bottom w:val="single" w:sz="12" w:space="0" w:color="3E4D7E"/>
              <w:right w:val="nil"/>
            </w:tcBorders>
            <w:shd w:val="clear" w:color="auto" w:fill="auto"/>
            <w:vAlign w:val="center"/>
            <w:hideMark/>
          </w:tcPr>
          <w:p w:rsidR="00224AAC" w:rsidRPr="00AB2848" w:rsidRDefault="00224AAC" w:rsidP="002115F8">
            <w:pPr>
              <w:spacing w:line="240" w:lineRule="auto"/>
              <w:jc w:val="center"/>
              <w:rPr>
                <w:rFonts w:ascii="Calibri" w:eastAsia="Times New Roman" w:hAnsi="Calibri" w:cs="Times New Roman"/>
                <w:b/>
                <w:bCs/>
                <w:color w:val="000000"/>
                <w:sz w:val="20"/>
                <w:szCs w:val="20"/>
                <w:lang w:eastAsia="en-AU"/>
              </w:rPr>
            </w:pPr>
          </w:p>
        </w:tc>
      </w:tr>
      <w:tr w:rsidR="00224AAC" w:rsidRPr="00AB2848" w:rsidTr="002115F8">
        <w:trPr>
          <w:trHeight w:val="454"/>
          <w:jc w:val="center"/>
        </w:trPr>
        <w:tc>
          <w:tcPr>
            <w:tcW w:w="498" w:type="dxa"/>
            <w:vMerge w:val="restart"/>
            <w:tcBorders>
              <w:top w:val="single" w:sz="12" w:space="0" w:color="3E4D7E"/>
              <w:left w:val="nil"/>
              <w:bottom w:val="nil"/>
              <w:right w:val="nil"/>
            </w:tcBorders>
            <w:shd w:val="clear" w:color="auto" w:fill="D2D8E9"/>
            <w:textDirection w:val="btLr"/>
            <w:hideMark/>
          </w:tcPr>
          <w:p w:rsidR="00224AAC" w:rsidRPr="00AB2848" w:rsidRDefault="00224AAC" w:rsidP="002115F8">
            <w:pPr>
              <w:spacing w:line="240" w:lineRule="auto"/>
              <w:jc w:val="center"/>
              <w:rPr>
                <w:color w:val="000000"/>
                <w:lang w:eastAsia="en-AU"/>
              </w:rPr>
            </w:pPr>
            <w:r w:rsidRPr="00AB2848">
              <w:rPr>
                <w:color w:val="000000"/>
                <w:lang w:eastAsia="en-AU"/>
              </w:rPr>
              <w:t>Financial Assets</w:t>
            </w:r>
          </w:p>
        </w:tc>
        <w:tc>
          <w:tcPr>
            <w:tcW w:w="6525" w:type="dxa"/>
            <w:tcBorders>
              <w:top w:val="single" w:sz="12" w:space="0" w:color="3E4D7E"/>
              <w:left w:val="nil"/>
              <w:bottom w:val="single" w:sz="4" w:space="0" w:color="3E4D7E"/>
              <w:right w:val="single" w:sz="4" w:space="0" w:color="auto"/>
            </w:tcBorders>
            <w:shd w:val="clear" w:color="auto" w:fill="auto"/>
            <w:vAlign w:val="center"/>
            <w:hideMark/>
          </w:tcPr>
          <w:p w:rsidR="00224AAC" w:rsidRPr="00AB2848" w:rsidRDefault="002B02CD">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 xml:space="preserve">Cash and deposits </w:t>
            </w:r>
          </w:p>
        </w:tc>
        <w:tc>
          <w:tcPr>
            <w:tcW w:w="1917" w:type="dxa"/>
            <w:tcBorders>
              <w:top w:val="single" w:sz="12" w:space="0" w:color="3E4D7E"/>
              <w:left w:val="single" w:sz="4" w:space="0" w:color="auto"/>
              <w:bottom w:val="single" w:sz="4" w:space="0" w:color="3E4D7E"/>
              <w:right w:val="nil"/>
            </w:tcBorders>
            <w:shd w:val="clear" w:color="auto" w:fill="auto"/>
            <w:vAlign w:val="center"/>
            <w:hideMark/>
          </w:tcPr>
          <w:p w:rsidR="00224AAC" w:rsidRPr="00E3119F" w:rsidRDefault="00224AAC" w:rsidP="002115F8">
            <w:pPr>
              <w:spacing w:line="240" w:lineRule="auto"/>
              <w:jc w:val="center"/>
              <w:rPr>
                <w:rFonts w:ascii="Wingdings 2" w:eastAsia="Times New Roman" w:hAnsi="Wingdings 2" w:cs="Times New Roman"/>
                <w:b/>
                <w:bCs/>
                <w:color w:val="3E4D7E"/>
                <w:sz w:val="28"/>
                <w:szCs w:val="28"/>
                <w:lang w:eastAsia="en-AU"/>
              </w:rPr>
            </w:pPr>
            <w:r w:rsidRPr="00E3119F">
              <w:rPr>
                <w:rFonts w:ascii="Wingdings 2" w:eastAsia="Times New Roman" w:hAnsi="Wingdings 2" w:cs="Times New Roman"/>
                <w:b/>
                <w:bCs/>
                <w:color w:val="3E4D7E"/>
                <w:sz w:val="28"/>
                <w:szCs w:val="28"/>
                <w:lang w:eastAsia="en-AU"/>
              </w:rPr>
              <w:t></w:t>
            </w:r>
          </w:p>
        </w:tc>
      </w:tr>
      <w:tr w:rsidR="00224AAC" w:rsidRPr="00AB2848" w:rsidTr="002115F8">
        <w:trPr>
          <w:trHeight w:val="454"/>
          <w:jc w:val="center"/>
        </w:trPr>
        <w:tc>
          <w:tcPr>
            <w:tcW w:w="498" w:type="dxa"/>
            <w:vMerge/>
            <w:tcBorders>
              <w:top w:val="nil"/>
              <w:left w:val="nil"/>
              <w:bottom w:val="nil"/>
              <w:right w:val="nil"/>
            </w:tcBorders>
            <w:shd w:val="clear" w:color="auto" w:fill="D2D8E9"/>
            <w:vAlign w:val="center"/>
            <w:hideMark/>
          </w:tcPr>
          <w:p w:rsidR="00224AAC" w:rsidRPr="00AB2848" w:rsidRDefault="00224AAC" w:rsidP="00224AAC">
            <w:pPr>
              <w:spacing w:line="240" w:lineRule="auto"/>
              <w:rPr>
                <w:rFonts w:ascii="Calibri" w:eastAsia="Times New Roman" w:hAnsi="Calibri" w:cs="Times New Roman"/>
                <w:color w:val="000000"/>
                <w:sz w:val="20"/>
                <w:szCs w:val="20"/>
                <w:lang w:eastAsia="en-AU"/>
              </w:rPr>
            </w:pPr>
          </w:p>
        </w:tc>
        <w:tc>
          <w:tcPr>
            <w:tcW w:w="6525" w:type="dxa"/>
            <w:tcBorders>
              <w:top w:val="single" w:sz="4" w:space="0" w:color="3E4D7E"/>
              <w:left w:val="nil"/>
              <w:bottom w:val="single" w:sz="4" w:space="0" w:color="3E4D7E"/>
              <w:right w:val="single" w:sz="4" w:space="0" w:color="auto"/>
            </w:tcBorders>
            <w:shd w:val="clear" w:color="auto" w:fill="auto"/>
            <w:vAlign w:val="center"/>
            <w:hideMark/>
          </w:tcPr>
          <w:p w:rsidR="002B02CD" w:rsidRDefault="002B02CD" w:rsidP="002B02CD">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Advances paid</w:t>
            </w:r>
          </w:p>
          <w:p w:rsidR="00AA51F1" w:rsidRPr="00AB2848" w:rsidRDefault="002B02CD" w:rsidP="002B02CD">
            <w:pPr>
              <w:spacing w:line="240" w:lineRule="auto"/>
              <w:rPr>
                <w:rFonts w:ascii="Calibri" w:eastAsia="Times New Roman" w:hAnsi="Calibri" w:cs="Times New Roman"/>
                <w:color w:val="000000"/>
                <w:sz w:val="2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Pr="002115F8">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Student </w:t>
            </w:r>
            <w:r>
              <w:rPr>
                <w:rFonts w:ascii="Calibri" w:eastAsia="Times New Roman" w:hAnsi="Calibri" w:cs="Times New Roman"/>
                <w:color w:val="808080" w:themeColor="background1" w:themeShade="80"/>
                <w:sz w:val="16"/>
                <w:szCs w:val="20"/>
                <w:lang w:eastAsia="en-AU"/>
              </w:rPr>
              <w:t>l</w:t>
            </w:r>
            <w:r w:rsidRPr="002115F8">
              <w:rPr>
                <w:rFonts w:ascii="Calibri" w:eastAsia="Times New Roman" w:hAnsi="Calibri" w:cs="Times New Roman"/>
                <w:color w:val="808080" w:themeColor="background1" w:themeShade="80"/>
                <w:sz w:val="16"/>
                <w:szCs w:val="20"/>
                <w:lang w:eastAsia="en-AU"/>
              </w:rPr>
              <w:t>oans</w:t>
            </w:r>
            <w:r>
              <w:rPr>
                <w:rFonts w:ascii="Calibri" w:eastAsia="Times New Roman" w:hAnsi="Calibri" w:cs="Times New Roman"/>
                <w:color w:val="808080" w:themeColor="background1" w:themeShade="80"/>
                <w:sz w:val="16"/>
                <w:szCs w:val="20"/>
                <w:lang w:eastAsia="en-AU"/>
              </w:rPr>
              <w:t>,</w:t>
            </w:r>
            <w:r w:rsidRPr="002115F8">
              <w:rPr>
                <w:rFonts w:ascii="Calibri" w:eastAsia="Times New Roman" w:hAnsi="Calibri" w:cs="Times New Roman"/>
                <w:color w:val="808080" w:themeColor="background1" w:themeShade="80"/>
                <w:sz w:val="16"/>
                <w:szCs w:val="20"/>
                <w:lang w:eastAsia="en-AU"/>
              </w:rPr>
              <w:t xml:space="preserve"> </w:t>
            </w:r>
            <w:r>
              <w:rPr>
                <w:rFonts w:ascii="Calibri" w:eastAsia="Times New Roman" w:hAnsi="Calibri" w:cs="Times New Roman"/>
                <w:color w:val="808080" w:themeColor="background1" w:themeShade="80"/>
                <w:sz w:val="16"/>
                <w:szCs w:val="20"/>
                <w:lang w:eastAsia="en-AU"/>
              </w:rPr>
              <w:t>l</w:t>
            </w:r>
            <w:r w:rsidRPr="002115F8">
              <w:rPr>
                <w:rFonts w:ascii="Calibri" w:eastAsia="Times New Roman" w:hAnsi="Calibri" w:cs="Times New Roman"/>
                <w:color w:val="808080" w:themeColor="background1" w:themeShade="80"/>
                <w:sz w:val="16"/>
                <w:szCs w:val="20"/>
                <w:lang w:eastAsia="en-AU"/>
              </w:rPr>
              <w:t xml:space="preserve">oans to </w:t>
            </w:r>
            <w:r>
              <w:rPr>
                <w:rFonts w:ascii="Calibri" w:eastAsia="Times New Roman" w:hAnsi="Calibri" w:cs="Times New Roman"/>
                <w:color w:val="808080" w:themeColor="background1" w:themeShade="80"/>
                <w:sz w:val="16"/>
                <w:szCs w:val="20"/>
                <w:lang w:eastAsia="en-AU"/>
              </w:rPr>
              <w:t>s</w:t>
            </w:r>
            <w:r w:rsidRPr="002115F8">
              <w:rPr>
                <w:rFonts w:ascii="Calibri" w:eastAsia="Times New Roman" w:hAnsi="Calibri" w:cs="Times New Roman"/>
                <w:color w:val="808080" w:themeColor="background1" w:themeShade="80"/>
                <w:sz w:val="16"/>
                <w:szCs w:val="20"/>
                <w:lang w:eastAsia="en-AU"/>
              </w:rPr>
              <w:t xml:space="preserve">tate &amp; </w:t>
            </w:r>
            <w:r>
              <w:rPr>
                <w:rFonts w:ascii="Calibri" w:eastAsia="Times New Roman" w:hAnsi="Calibri" w:cs="Times New Roman"/>
                <w:color w:val="808080" w:themeColor="background1" w:themeShade="80"/>
                <w:sz w:val="16"/>
                <w:szCs w:val="20"/>
                <w:lang w:eastAsia="en-AU"/>
              </w:rPr>
              <w:t>t</w:t>
            </w:r>
            <w:r w:rsidRPr="002115F8">
              <w:rPr>
                <w:rFonts w:ascii="Calibri" w:eastAsia="Times New Roman" w:hAnsi="Calibri" w:cs="Times New Roman"/>
                <w:color w:val="808080" w:themeColor="background1" w:themeShade="80"/>
                <w:sz w:val="16"/>
                <w:szCs w:val="20"/>
                <w:lang w:eastAsia="en-AU"/>
              </w:rPr>
              <w:t xml:space="preserve">erritory </w:t>
            </w:r>
            <w:r>
              <w:rPr>
                <w:rFonts w:ascii="Calibri" w:eastAsia="Times New Roman" w:hAnsi="Calibri" w:cs="Times New Roman"/>
                <w:color w:val="808080" w:themeColor="background1" w:themeShade="80"/>
                <w:sz w:val="16"/>
                <w:szCs w:val="20"/>
                <w:lang w:eastAsia="en-AU"/>
              </w:rPr>
              <w:t>g</w:t>
            </w:r>
            <w:r w:rsidRPr="002115F8">
              <w:rPr>
                <w:rFonts w:ascii="Calibri" w:eastAsia="Times New Roman" w:hAnsi="Calibri" w:cs="Times New Roman"/>
                <w:color w:val="808080" w:themeColor="background1" w:themeShade="80"/>
                <w:sz w:val="16"/>
                <w:szCs w:val="20"/>
                <w:lang w:eastAsia="en-AU"/>
              </w:rPr>
              <w:t>overnments)</w:t>
            </w:r>
          </w:p>
        </w:tc>
        <w:tc>
          <w:tcPr>
            <w:tcW w:w="1917" w:type="dxa"/>
            <w:tcBorders>
              <w:top w:val="single" w:sz="4" w:space="0" w:color="3E4D7E"/>
              <w:left w:val="single" w:sz="4" w:space="0" w:color="auto"/>
              <w:bottom w:val="single" w:sz="4" w:space="0" w:color="3E4D7E"/>
              <w:right w:val="nil"/>
            </w:tcBorders>
            <w:shd w:val="clear" w:color="auto" w:fill="auto"/>
            <w:vAlign w:val="center"/>
            <w:hideMark/>
          </w:tcPr>
          <w:p w:rsidR="00224AAC" w:rsidRPr="00E3119F" w:rsidRDefault="00224AAC" w:rsidP="002115F8">
            <w:pPr>
              <w:spacing w:line="240" w:lineRule="auto"/>
              <w:jc w:val="center"/>
              <w:rPr>
                <w:rFonts w:ascii="Wingdings 2" w:eastAsia="Times New Roman" w:hAnsi="Wingdings 2" w:cs="Times New Roman"/>
                <w:b/>
                <w:bCs/>
                <w:color w:val="3E4D7E"/>
                <w:sz w:val="28"/>
                <w:szCs w:val="28"/>
                <w:lang w:eastAsia="en-AU"/>
              </w:rPr>
            </w:pPr>
            <w:r w:rsidRPr="00E3119F">
              <w:rPr>
                <w:rFonts w:ascii="Wingdings 2" w:eastAsia="Times New Roman" w:hAnsi="Wingdings 2" w:cs="Times New Roman"/>
                <w:b/>
                <w:bCs/>
                <w:color w:val="3E4D7E"/>
                <w:sz w:val="28"/>
                <w:szCs w:val="28"/>
                <w:lang w:eastAsia="en-AU"/>
              </w:rPr>
              <w:t></w:t>
            </w:r>
          </w:p>
        </w:tc>
      </w:tr>
      <w:tr w:rsidR="00224AAC" w:rsidRPr="00AB2848" w:rsidTr="002115F8">
        <w:trPr>
          <w:trHeight w:val="454"/>
          <w:jc w:val="center"/>
        </w:trPr>
        <w:tc>
          <w:tcPr>
            <w:tcW w:w="498" w:type="dxa"/>
            <w:vMerge/>
            <w:tcBorders>
              <w:top w:val="nil"/>
              <w:left w:val="nil"/>
              <w:bottom w:val="nil"/>
              <w:right w:val="nil"/>
            </w:tcBorders>
            <w:shd w:val="clear" w:color="auto" w:fill="D2D8E9"/>
            <w:vAlign w:val="center"/>
            <w:hideMark/>
          </w:tcPr>
          <w:p w:rsidR="00224AAC" w:rsidRPr="00AB2848" w:rsidRDefault="00224AAC" w:rsidP="00224AAC">
            <w:pPr>
              <w:spacing w:line="240" w:lineRule="auto"/>
              <w:rPr>
                <w:rFonts w:ascii="Calibri" w:eastAsia="Times New Roman" w:hAnsi="Calibri" w:cs="Times New Roman"/>
                <w:color w:val="000000"/>
                <w:sz w:val="20"/>
                <w:szCs w:val="20"/>
                <w:lang w:eastAsia="en-AU"/>
              </w:rPr>
            </w:pPr>
          </w:p>
        </w:tc>
        <w:tc>
          <w:tcPr>
            <w:tcW w:w="6525" w:type="dxa"/>
            <w:tcBorders>
              <w:top w:val="single" w:sz="4" w:space="0" w:color="3E4D7E"/>
              <w:left w:val="nil"/>
              <w:bottom w:val="single" w:sz="4" w:space="0" w:color="3E4D7E"/>
              <w:right w:val="single" w:sz="4" w:space="0" w:color="auto"/>
            </w:tcBorders>
            <w:shd w:val="clear" w:color="auto" w:fill="auto"/>
            <w:vAlign w:val="center"/>
            <w:hideMark/>
          </w:tcPr>
          <w:p w:rsidR="002B02CD" w:rsidRDefault="002B02CD" w:rsidP="002B02CD">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Investments, loans and placements</w:t>
            </w:r>
          </w:p>
          <w:p w:rsidR="00224AAC" w:rsidRPr="00AB2848" w:rsidRDefault="002B02CD" w:rsidP="002B02CD">
            <w:pPr>
              <w:spacing w:line="240" w:lineRule="auto"/>
              <w:rPr>
                <w:rFonts w:ascii="Calibri" w:eastAsia="Times New Roman" w:hAnsi="Calibri" w:cs="Times New Roman"/>
                <w:color w:val="000000"/>
                <w:sz w:val="2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Pr="002115F8">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w:t>
            </w:r>
            <w:r w:rsidR="008C6ED0" w:rsidRPr="002115F8">
              <w:rPr>
                <w:rFonts w:ascii="Calibri" w:eastAsia="Times New Roman" w:hAnsi="Calibri" w:cs="Times New Roman"/>
                <w:color w:val="808080" w:themeColor="background1" w:themeShade="80"/>
                <w:sz w:val="16"/>
                <w:szCs w:val="20"/>
                <w:lang w:eastAsia="en-AU"/>
              </w:rPr>
              <w:t xml:space="preserve">IMF </w:t>
            </w:r>
            <w:r w:rsidR="008C6ED0">
              <w:rPr>
                <w:rFonts w:ascii="Calibri" w:eastAsia="Times New Roman" w:hAnsi="Calibri" w:cs="Times New Roman"/>
                <w:color w:val="808080" w:themeColor="background1" w:themeShade="80"/>
                <w:sz w:val="16"/>
                <w:szCs w:val="20"/>
                <w:lang w:eastAsia="en-AU"/>
              </w:rPr>
              <w:t>q</w:t>
            </w:r>
            <w:r w:rsidR="008C6ED0" w:rsidRPr="002115F8">
              <w:rPr>
                <w:rFonts w:ascii="Calibri" w:eastAsia="Times New Roman" w:hAnsi="Calibri" w:cs="Times New Roman"/>
                <w:color w:val="808080" w:themeColor="background1" w:themeShade="80"/>
                <w:sz w:val="16"/>
                <w:szCs w:val="20"/>
                <w:lang w:eastAsia="en-AU"/>
              </w:rPr>
              <w:t xml:space="preserve">uota, </w:t>
            </w:r>
            <w:r w:rsidR="008C6ED0">
              <w:rPr>
                <w:rFonts w:ascii="Calibri" w:eastAsia="Times New Roman" w:hAnsi="Calibri" w:cs="Times New Roman"/>
                <w:color w:val="808080" w:themeColor="background1" w:themeShade="80"/>
                <w:sz w:val="16"/>
                <w:szCs w:val="20"/>
                <w:lang w:eastAsia="en-AU"/>
              </w:rPr>
              <w:t>Future Fund collective investment vehicles and interest-bearing securities</w:t>
            </w:r>
            <w:r w:rsidR="008C6ED0" w:rsidRPr="002115F8">
              <w:rPr>
                <w:rFonts w:ascii="Calibri" w:eastAsia="Times New Roman" w:hAnsi="Calibri" w:cs="Times New Roman"/>
                <w:color w:val="808080" w:themeColor="background1" w:themeShade="80"/>
                <w:sz w:val="16"/>
                <w:szCs w:val="20"/>
                <w:lang w:eastAsia="en-AU"/>
              </w:rPr>
              <w:t>)</w:t>
            </w:r>
          </w:p>
        </w:tc>
        <w:tc>
          <w:tcPr>
            <w:tcW w:w="1917" w:type="dxa"/>
            <w:tcBorders>
              <w:top w:val="single" w:sz="4" w:space="0" w:color="3E4D7E"/>
              <w:left w:val="single" w:sz="4" w:space="0" w:color="auto"/>
              <w:bottom w:val="single" w:sz="4" w:space="0" w:color="3E4D7E"/>
              <w:right w:val="nil"/>
            </w:tcBorders>
            <w:shd w:val="clear" w:color="auto" w:fill="auto"/>
            <w:vAlign w:val="center"/>
            <w:hideMark/>
          </w:tcPr>
          <w:p w:rsidR="00224AAC" w:rsidRPr="00E3119F" w:rsidRDefault="00224AAC" w:rsidP="002115F8">
            <w:pPr>
              <w:spacing w:line="240" w:lineRule="auto"/>
              <w:jc w:val="center"/>
              <w:rPr>
                <w:rFonts w:ascii="Wingdings 2" w:eastAsia="Times New Roman" w:hAnsi="Wingdings 2" w:cs="Times New Roman"/>
                <w:b/>
                <w:bCs/>
                <w:color w:val="3E4D7E"/>
                <w:sz w:val="28"/>
                <w:szCs w:val="28"/>
                <w:lang w:eastAsia="en-AU"/>
              </w:rPr>
            </w:pPr>
            <w:r w:rsidRPr="00E3119F">
              <w:rPr>
                <w:rFonts w:ascii="Wingdings 2" w:eastAsia="Times New Roman" w:hAnsi="Wingdings 2" w:cs="Times New Roman"/>
                <w:b/>
                <w:bCs/>
                <w:color w:val="3E4D7E"/>
                <w:sz w:val="28"/>
                <w:szCs w:val="28"/>
                <w:lang w:eastAsia="en-AU"/>
              </w:rPr>
              <w:t></w:t>
            </w:r>
          </w:p>
        </w:tc>
      </w:tr>
      <w:tr w:rsidR="00224AAC" w:rsidRPr="00AB2848" w:rsidTr="002115F8">
        <w:trPr>
          <w:trHeight w:val="454"/>
          <w:jc w:val="center"/>
        </w:trPr>
        <w:tc>
          <w:tcPr>
            <w:tcW w:w="498" w:type="dxa"/>
            <w:vMerge/>
            <w:tcBorders>
              <w:top w:val="nil"/>
              <w:left w:val="nil"/>
              <w:bottom w:val="nil"/>
              <w:right w:val="nil"/>
            </w:tcBorders>
            <w:shd w:val="clear" w:color="auto" w:fill="D2D8E9"/>
            <w:vAlign w:val="center"/>
            <w:hideMark/>
          </w:tcPr>
          <w:p w:rsidR="00224AAC" w:rsidRPr="00AB2848" w:rsidRDefault="00224AAC" w:rsidP="00224AAC">
            <w:pPr>
              <w:spacing w:line="240" w:lineRule="auto"/>
              <w:rPr>
                <w:rFonts w:ascii="Calibri" w:eastAsia="Times New Roman" w:hAnsi="Calibri" w:cs="Times New Roman"/>
                <w:color w:val="000000"/>
                <w:sz w:val="20"/>
                <w:szCs w:val="20"/>
                <w:lang w:eastAsia="en-AU"/>
              </w:rPr>
            </w:pPr>
          </w:p>
        </w:tc>
        <w:tc>
          <w:tcPr>
            <w:tcW w:w="6525" w:type="dxa"/>
            <w:tcBorders>
              <w:top w:val="single" w:sz="4" w:space="0" w:color="3E4D7E"/>
              <w:left w:val="nil"/>
              <w:bottom w:val="single" w:sz="4" w:space="0" w:color="3E4D7E"/>
              <w:right w:val="single" w:sz="4" w:space="0" w:color="auto"/>
            </w:tcBorders>
            <w:shd w:val="clear" w:color="auto" w:fill="auto"/>
            <w:vAlign w:val="center"/>
            <w:hideMark/>
          </w:tcPr>
          <w:p w:rsidR="002B02CD" w:rsidRDefault="002B02CD" w:rsidP="002B02CD">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Other receivables</w:t>
            </w:r>
          </w:p>
          <w:p w:rsidR="0033257A" w:rsidRPr="00AB2848" w:rsidRDefault="002B02CD" w:rsidP="002B02CD">
            <w:pPr>
              <w:spacing w:line="240" w:lineRule="auto"/>
              <w:rPr>
                <w:rFonts w:ascii="Calibri" w:eastAsia="Times New Roman" w:hAnsi="Calibri" w:cs="Times New Roman"/>
                <w:color w:val="000000"/>
                <w:sz w:val="2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Pr="002115F8">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w:t>
            </w:r>
            <w:r w:rsidR="00D52AE0">
              <w:rPr>
                <w:rFonts w:ascii="Calibri" w:eastAsia="Times New Roman" w:hAnsi="Calibri" w:cs="Times New Roman"/>
                <w:color w:val="808080" w:themeColor="background1" w:themeShade="80"/>
                <w:sz w:val="16"/>
                <w:szCs w:val="20"/>
                <w:lang w:eastAsia="en-AU"/>
              </w:rPr>
              <w:t>T</w:t>
            </w:r>
            <w:r w:rsidRPr="002115F8">
              <w:rPr>
                <w:rFonts w:ascii="Calibri" w:eastAsia="Times New Roman" w:hAnsi="Calibri" w:cs="Times New Roman"/>
                <w:color w:val="808080" w:themeColor="background1" w:themeShade="80"/>
                <w:sz w:val="16"/>
                <w:szCs w:val="20"/>
                <w:lang w:eastAsia="en-AU"/>
              </w:rPr>
              <w:t>axes receivable, prepayments)</w:t>
            </w:r>
          </w:p>
        </w:tc>
        <w:tc>
          <w:tcPr>
            <w:tcW w:w="1917" w:type="dxa"/>
            <w:tcBorders>
              <w:top w:val="single" w:sz="4" w:space="0" w:color="3E4D7E"/>
              <w:left w:val="single" w:sz="4" w:space="0" w:color="auto"/>
              <w:bottom w:val="single" w:sz="4" w:space="0" w:color="3E4D7E"/>
              <w:right w:val="nil"/>
            </w:tcBorders>
            <w:shd w:val="clear" w:color="auto" w:fill="auto"/>
            <w:vAlign w:val="center"/>
            <w:hideMark/>
          </w:tcPr>
          <w:p w:rsidR="00224AAC" w:rsidRPr="00AB2848" w:rsidRDefault="00224AAC" w:rsidP="002115F8">
            <w:pPr>
              <w:spacing w:line="240" w:lineRule="auto"/>
              <w:jc w:val="center"/>
              <w:rPr>
                <w:rFonts w:ascii="Calibri" w:eastAsia="Times New Roman" w:hAnsi="Calibri" w:cs="Times New Roman"/>
                <w:b/>
                <w:bCs/>
                <w:color w:val="000000"/>
                <w:sz w:val="20"/>
                <w:szCs w:val="20"/>
                <w:lang w:eastAsia="en-AU"/>
              </w:rPr>
            </w:pPr>
          </w:p>
        </w:tc>
      </w:tr>
      <w:tr w:rsidR="00224AAC" w:rsidRPr="00AB2848" w:rsidTr="002115F8">
        <w:trPr>
          <w:trHeight w:val="454"/>
          <w:jc w:val="center"/>
        </w:trPr>
        <w:tc>
          <w:tcPr>
            <w:tcW w:w="498" w:type="dxa"/>
            <w:vMerge/>
            <w:tcBorders>
              <w:top w:val="nil"/>
              <w:left w:val="nil"/>
              <w:bottom w:val="single" w:sz="12" w:space="0" w:color="3E4D7E"/>
              <w:right w:val="nil"/>
            </w:tcBorders>
            <w:shd w:val="clear" w:color="auto" w:fill="D2D8E9"/>
            <w:vAlign w:val="center"/>
            <w:hideMark/>
          </w:tcPr>
          <w:p w:rsidR="00224AAC" w:rsidRPr="00AB2848" w:rsidRDefault="00224AAC" w:rsidP="00224AAC">
            <w:pPr>
              <w:spacing w:line="240" w:lineRule="auto"/>
              <w:rPr>
                <w:rFonts w:ascii="Calibri" w:eastAsia="Times New Roman" w:hAnsi="Calibri" w:cs="Times New Roman"/>
                <w:color w:val="000000"/>
                <w:sz w:val="20"/>
                <w:szCs w:val="20"/>
                <w:lang w:eastAsia="en-AU"/>
              </w:rPr>
            </w:pPr>
          </w:p>
        </w:tc>
        <w:tc>
          <w:tcPr>
            <w:tcW w:w="6525" w:type="dxa"/>
            <w:tcBorders>
              <w:top w:val="single" w:sz="4" w:space="0" w:color="3E4D7E"/>
              <w:left w:val="nil"/>
              <w:bottom w:val="single" w:sz="12" w:space="0" w:color="3E4D7E"/>
              <w:right w:val="single" w:sz="4" w:space="0" w:color="auto"/>
            </w:tcBorders>
            <w:shd w:val="clear" w:color="auto" w:fill="auto"/>
            <w:vAlign w:val="center"/>
            <w:hideMark/>
          </w:tcPr>
          <w:p w:rsidR="002B02CD" w:rsidRDefault="002B02CD" w:rsidP="002B02CD">
            <w:pPr>
              <w:spacing w:line="240" w:lineRule="auto"/>
              <w:rPr>
                <w:rFonts w:ascii="Calibri" w:eastAsia="Times New Roman" w:hAnsi="Calibri" w:cs="Times New Roman"/>
                <w:color w:val="000000"/>
                <w:sz w:val="20"/>
                <w:szCs w:val="20"/>
                <w:lang w:eastAsia="en-AU"/>
              </w:rPr>
            </w:pPr>
            <w:r w:rsidRPr="00AB2848">
              <w:rPr>
                <w:rFonts w:ascii="Calibri" w:eastAsia="Times New Roman" w:hAnsi="Calibri" w:cs="Times New Roman"/>
                <w:color w:val="000000"/>
                <w:sz w:val="20"/>
                <w:szCs w:val="20"/>
                <w:lang w:eastAsia="en-AU"/>
              </w:rPr>
              <w:t>Equity investments</w:t>
            </w:r>
          </w:p>
          <w:p w:rsidR="00AA51F1" w:rsidRPr="00AB2848" w:rsidRDefault="002B02CD" w:rsidP="002B02CD">
            <w:pPr>
              <w:spacing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00D52AE0">
              <w:rPr>
                <w:rFonts w:ascii="Calibri" w:eastAsia="Times New Roman" w:hAnsi="Calibri" w:cs="Times New Roman"/>
                <w:color w:val="808080" w:themeColor="background1" w:themeShade="80"/>
                <w:sz w:val="16"/>
                <w:szCs w:val="20"/>
                <w:lang w:eastAsia="en-AU"/>
              </w:rPr>
              <w:t>.</w:t>
            </w:r>
            <w:proofErr w:type="spellEnd"/>
            <w:r>
              <w:rPr>
                <w:rFonts w:ascii="Calibri" w:eastAsia="Times New Roman" w:hAnsi="Calibri" w:cs="Times New Roman"/>
                <w:color w:val="808080" w:themeColor="background1" w:themeShade="80"/>
                <w:sz w:val="16"/>
                <w:szCs w:val="20"/>
                <w:lang w:eastAsia="en-AU"/>
              </w:rPr>
              <w:t xml:space="preserve"> Future Fund investments in listed equities</w:t>
            </w:r>
            <w:r w:rsidRPr="002115F8">
              <w:rPr>
                <w:rFonts w:ascii="Calibri" w:eastAsia="Times New Roman" w:hAnsi="Calibri" w:cs="Times New Roman"/>
                <w:color w:val="808080" w:themeColor="background1" w:themeShade="80"/>
                <w:sz w:val="16"/>
                <w:szCs w:val="20"/>
                <w:lang w:eastAsia="en-AU"/>
              </w:rPr>
              <w:t>)</w:t>
            </w:r>
          </w:p>
        </w:tc>
        <w:tc>
          <w:tcPr>
            <w:tcW w:w="1917" w:type="dxa"/>
            <w:tcBorders>
              <w:top w:val="single" w:sz="4" w:space="0" w:color="3E4D7E"/>
              <w:left w:val="single" w:sz="4" w:space="0" w:color="auto"/>
              <w:bottom w:val="single" w:sz="12" w:space="0" w:color="3E4D7E"/>
              <w:right w:val="nil"/>
            </w:tcBorders>
            <w:shd w:val="clear" w:color="auto" w:fill="auto"/>
            <w:hideMark/>
          </w:tcPr>
          <w:p w:rsidR="00224AAC" w:rsidRPr="00AB2848" w:rsidRDefault="00224AAC" w:rsidP="002115F8">
            <w:pPr>
              <w:spacing w:line="240" w:lineRule="auto"/>
              <w:jc w:val="center"/>
              <w:rPr>
                <w:rFonts w:ascii="Calibri" w:eastAsia="Times New Roman" w:hAnsi="Calibri" w:cs="Times New Roman"/>
                <w:color w:val="000000"/>
                <w:sz w:val="20"/>
                <w:szCs w:val="20"/>
                <w:lang w:eastAsia="en-AU"/>
              </w:rPr>
            </w:pPr>
          </w:p>
        </w:tc>
      </w:tr>
    </w:tbl>
    <w:p w:rsidR="009D38DE" w:rsidRPr="00816B15" w:rsidRDefault="006362C3" w:rsidP="002115F8">
      <w:pPr>
        <w:pStyle w:val="BodyText"/>
        <w:ind w:right="567"/>
        <w:rPr>
          <w:color w:val="7F7F7F" w:themeColor="text1" w:themeTint="80"/>
          <w:sz w:val="18"/>
        </w:rPr>
      </w:pPr>
      <w:r>
        <w:rPr>
          <w:color w:val="7F7F7F" w:themeColor="text1" w:themeTint="80"/>
          <w:sz w:val="18"/>
        </w:rPr>
        <w:t>Source: 2018</w:t>
      </w:r>
      <w:r w:rsidR="006B563B">
        <w:rPr>
          <w:color w:val="7F7F7F" w:themeColor="text1" w:themeTint="80"/>
          <w:sz w:val="18"/>
        </w:rPr>
        <w:t>–</w:t>
      </w:r>
      <w:r>
        <w:rPr>
          <w:color w:val="7F7F7F" w:themeColor="text1" w:themeTint="80"/>
          <w:sz w:val="18"/>
        </w:rPr>
        <w:t xml:space="preserve">19 </w:t>
      </w:r>
      <w:r w:rsidRPr="00950437">
        <w:rPr>
          <w:color w:val="7F7F7F" w:themeColor="text1" w:themeTint="80"/>
          <w:sz w:val="18"/>
        </w:rPr>
        <w:t>Mid-Year Econo</w:t>
      </w:r>
      <w:r>
        <w:rPr>
          <w:color w:val="7F7F7F" w:themeColor="text1" w:themeTint="80"/>
          <w:sz w:val="18"/>
        </w:rPr>
        <w:t>mic and Fiscal Outlook</w:t>
      </w:r>
    </w:p>
    <w:p w:rsidR="006362C3" w:rsidRDefault="006362C3" w:rsidP="00224AAC">
      <w:pPr>
        <w:pStyle w:val="BodyText"/>
      </w:pPr>
    </w:p>
    <w:p w:rsidR="00D71358" w:rsidRDefault="009D38DE" w:rsidP="00224AAC">
      <w:pPr>
        <w:pStyle w:val="BodyText"/>
      </w:pPr>
      <w:r>
        <w:t xml:space="preserve">As net debt comprises certain financial assets and liabilities but not others, it </w:t>
      </w:r>
      <w:r w:rsidR="00321DD2">
        <w:t>i</w:t>
      </w:r>
      <w:r>
        <w:t xml:space="preserve">s a partial </w:t>
      </w:r>
      <w:r w:rsidR="00DE66B6">
        <w:t>indicator</w:t>
      </w:r>
      <w:r w:rsidR="00067644">
        <w:br/>
      </w:r>
      <w:r>
        <w:t xml:space="preserve">of the balance sheet. </w:t>
      </w:r>
    </w:p>
    <w:p w:rsidR="004E3832" w:rsidRDefault="00D71358" w:rsidP="00D71358">
      <w:pPr>
        <w:pStyle w:val="BodyText"/>
      </w:pPr>
      <w:r>
        <w:t>T</w:t>
      </w:r>
      <w:r w:rsidR="009D38DE">
        <w:t>he budget papers also publish information on gross debt and</w:t>
      </w:r>
      <w:r w:rsidR="0095372D">
        <w:t xml:space="preserve"> </w:t>
      </w:r>
      <w:r w:rsidR="009D38DE">
        <w:t>net financial worth, amongst other</w:t>
      </w:r>
      <w:r w:rsidR="00092D70">
        <w:t xml:space="preserve"> indicators</w:t>
      </w:r>
      <w:r w:rsidR="009D38DE">
        <w:t xml:space="preserve">, to allow for a more comprehensive </w:t>
      </w:r>
      <w:r w:rsidR="00E459C8">
        <w:t xml:space="preserve">analysis </w:t>
      </w:r>
      <w:r w:rsidR="009D38DE">
        <w:t>of fiscal sustainability</w:t>
      </w:r>
      <w:r w:rsidR="00416DAA">
        <w:t>.</w:t>
      </w:r>
      <w:r w:rsidR="00E459C8">
        <w:rPr>
          <w:rStyle w:val="FootnoteReference"/>
        </w:rPr>
        <w:footnoteReference w:id="6"/>
      </w:r>
      <w:r w:rsidR="009D38DE">
        <w:t xml:space="preserve"> </w:t>
      </w:r>
      <w:r w:rsidR="009B78AB" w:rsidRPr="00B80339">
        <w:t>Net financial worth</w:t>
      </w:r>
      <w:r w:rsidR="003C47F2">
        <w:br/>
      </w:r>
      <w:r w:rsidR="009B78AB" w:rsidRPr="00B80339">
        <w:t xml:space="preserve">is discussed </w:t>
      </w:r>
      <w:r w:rsidR="00E459C8">
        <w:t>further</w:t>
      </w:r>
      <w:r w:rsidR="009B78AB" w:rsidRPr="00B80339">
        <w:t xml:space="preserve"> in Section 4.</w:t>
      </w:r>
    </w:p>
    <w:p w:rsidR="00E33620" w:rsidRDefault="00E33620" w:rsidP="00D71358">
      <w:pPr>
        <w:pStyle w:val="BodyText"/>
      </w:pPr>
    </w:p>
    <w:tbl>
      <w:tblPr>
        <w:tblStyle w:val="PullOutBoxTabl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600" w:firstRow="0" w:lastRow="0" w:firstColumn="0" w:lastColumn="0" w:noHBand="1" w:noVBand="1"/>
      </w:tblPr>
      <w:tblGrid>
        <w:gridCol w:w="9073"/>
      </w:tblGrid>
      <w:tr w:rsidR="0069543F" w:rsidTr="009831CC">
        <w:trPr>
          <w:trHeight w:val="9923"/>
        </w:trPr>
        <w:tc>
          <w:tcPr>
            <w:tcW w:w="5000" w:type="pct"/>
            <w:shd w:val="clear" w:color="auto" w:fill="D9D9D9" w:themeFill="background1" w:themeFillShade="D9"/>
          </w:tcPr>
          <w:p w:rsidR="00416DAA" w:rsidRDefault="00135B4B" w:rsidP="00564779">
            <w:pPr>
              <w:pStyle w:val="PullOutBoxHeading"/>
              <w:spacing w:line="240" w:lineRule="auto"/>
              <w:ind w:left="0"/>
            </w:pPr>
            <w:r>
              <w:lastRenderedPageBreak/>
              <w:t xml:space="preserve">     </w:t>
            </w:r>
            <w:r w:rsidR="00416DAA">
              <w:t>How and where is net debt defined?</w:t>
            </w:r>
          </w:p>
          <w:p w:rsidR="00F9148E" w:rsidRDefault="000E17A0" w:rsidP="009831CC">
            <w:pPr>
              <w:pStyle w:val="PullOutBoxBodyText"/>
              <w:spacing w:before="60" w:after="60" w:line="240" w:lineRule="auto"/>
              <w:rPr>
                <w:b w:val="0"/>
                <w:i w:val="0"/>
              </w:rPr>
            </w:pPr>
            <w:r>
              <w:rPr>
                <w:b w:val="0"/>
                <w:i w:val="0"/>
              </w:rPr>
              <w:t>The content of the Commonwealth budget</w:t>
            </w:r>
            <w:r w:rsidR="00870D26">
              <w:rPr>
                <w:b w:val="0"/>
                <w:i w:val="0"/>
              </w:rPr>
              <w:t>,</w:t>
            </w:r>
            <w:r>
              <w:rPr>
                <w:b w:val="0"/>
                <w:i w:val="0"/>
              </w:rPr>
              <w:t xml:space="preserve"> and the financial statements </w:t>
            </w:r>
            <w:r w:rsidR="00870D26">
              <w:rPr>
                <w:b w:val="0"/>
                <w:i w:val="0"/>
              </w:rPr>
              <w:t>contained within it,</w:t>
            </w:r>
            <w:r w:rsidR="003C47F2">
              <w:rPr>
                <w:b w:val="0"/>
                <w:i w:val="0"/>
              </w:rPr>
              <w:br/>
            </w:r>
            <w:r w:rsidR="00870D26">
              <w:rPr>
                <w:b w:val="0"/>
                <w:i w:val="0"/>
              </w:rPr>
              <w:t>is</w:t>
            </w:r>
            <w:r>
              <w:rPr>
                <w:b w:val="0"/>
                <w:i w:val="0"/>
              </w:rPr>
              <w:t xml:space="preserve"> governed by a range of legislation</w:t>
            </w:r>
            <w:r w:rsidR="00887B4D">
              <w:rPr>
                <w:b w:val="0"/>
                <w:i w:val="0"/>
              </w:rPr>
              <w:t>, accounting standards</w:t>
            </w:r>
            <w:r w:rsidR="00870D26">
              <w:rPr>
                <w:b w:val="0"/>
                <w:i w:val="0"/>
              </w:rPr>
              <w:t xml:space="preserve"> and</w:t>
            </w:r>
            <w:r w:rsidR="00887B4D">
              <w:rPr>
                <w:b w:val="0"/>
                <w:i w:val="0"/>
              </w:rPr>
              <w:t xml:space="preserve"> frameworks</w:t>
            </w:r>
            <w:r>
              <w:rPr>
                <w:b w:val="0"/>
                <w:i w:val="0"/>
              </w:rPr>
              <w:t>.</w:t>
            </w:r>
            <w:r w:rsidR="00F9148E">
              <w:rPr>
                <w:b w:val="0"/>
                <w:i w:val="0"/>
              </w:rPr>
              <w:t xml:space="preserve"> </w:t>
            </w:r>
          </w:p>
          <w:p w:rsidR="000E17A0" w:rsidRDefault="001E4F61" w:rsidP="009831CC">
            <w:pPr>
              <w:pStyle w:val="PullOutBoxBodyText"/>
              <w:spacing w:before="60" w:after="60" w:line="240" w:lineRule="auto"/>
              <w:rPr>
                <w:b w:val="0"/>
                <w:i w:val="0"/>
              </w:rPr>
            </w:pPr>
            <w:r>
              <w:rPr>
                <w:b w:val="0"/>
                <w:i w:val="0"/>
              </w:rPr>
              <w:t>N</w:t>
            </w:r>
            <w:r w:rsidR="00F9148E">
              <w:rPr>
                <w:b w:val="0"/>
                <w:i w:val="0"/>
              </w:rPr>
              <w:t>et debt</w:t>
            </w:r>
            <w:r>
              <w:rPr>
                <w:b w:val="0"/>
                <w:i w:val="0"/>
              </w:rPr>
              <w:t xml:space="preserve"> is</w:t>
            </w:r>
            <w:r w:rsidR="00416DAA">
              <w:rPr>
                <w:b w:val="0"/>
                <w:i w:val="0"/>
              </w:rPr>
              <w:t xml:space="preserve"> </w:t>
            </w:r>
            <w:r>
              <w:rPr>
                <w:b w:val="0"/>
                <w:i w:val="0"/>
              </w:rPr>
              <w:t xml:space="preserve">a budget concept defined </w:t>
            </w:r>
            <w:r w:rsidR="00416DAA">
              <w:rPr>
                <w:b w:val="0"/>
                <w:i w:val="0"/>
              </w:rPr>
              <w:t xml:space="preserve">by </w:t>
            </w:r>
            <w:r w:rsidR="00E151F3">
              <w:rPr>
                <w:b w:val="0"/>
                <w:i w:val="0"/>
              </w:rPr>
              <w:t>g</w:t>
            </w:r>
            <w:r w:rsidR="00416DAA">
              <w:rPr>
                <w:b w:val="0"/>
                <w:i w:val="0"/>
              </w:rPr>
              <w:t>overnment</w:t>
            </w:r>
            <w:r w:rsidR="006843EF">
              <w:rPr>
                <w:b w:val="0"/>
                <w:i w:val="0"/>
              </w:rPr>
              <w:t>,</w:t>
            </w:r>
            <w:r>
              <w:rPr>
                <w:b w:val="0"/>
                <w:i w:val="0"/>
              </w:rPr>
              <w:t xml:space="preserve"> </w:t>
            </w:r>
            <w:r w:rsidR="00416DAA">
              <w:rPr>
                <w:b w:val="0"/>
                <w:i w:val="0"/>
              </w:rPr>
              <w:t>draw</w:t>
            </w:r>
            <w:r w:rsidR="006843EF">
              <w:rPr>
                <w:b w:val="0"/>
                <w:i w:val="0"/>
              </w:rPr>
              <w:t>ing</w:t>
            </w:r>
            <w:r>
              <w:rPr>
                <w:b w:val="0"/>
                <w:i w:val="0"/>
              </w:rPr>
              <w:t xml:space="preserve"> on the application of</w:t>
            </w:r>
            <w:r w:rsidR="003C47F2">
              <w:rPr>
                <w:b w:val="0"/>
                <w:i w:val="0"/>
              </w:rPr>
              <w:br/>
            </w:r>
            <w:r>
              <w:rPr>
                <w:b w:val="0"/>
                <w:i w:val="0"/>
              </w:rPr>
              <w:t>accounting standards</w:t>
            </w:r>
            <w:r w:rsidR="00F9148E">
              <w:rPr>
                <w:b w:val="0"/>
                <w:i w:val="0"/>
              </w:rPr>
              <w:t>.</w:t>
            </w:r>
          </w:p>
          <w:p w:rsidR="00F9148E" w:rsidRPr="00564779" w:rsidRDefault="00F9148E" w:rsidP="00564779">
            <w:pPr>
              <w:pStyle w:val="PullOutBoxBodyText"/>
              <w:spacing w:line="240" w:lineRule="auto"/>
              <w:rPr>
                <w:i w:val="0"/>
              </w:rPr>
            </w:pPr>
            <w:r>
              <w:rPr>
                <w:i w:val="0"/>
              </w:rPr>
              <w:t xml:space="preserve">Framework for </w:t>
            </w:r>
            <w:r w:rsidRPr="00564779">
              <w:rPr>
                <w:i w:val="0"/>
              </w:rPr>
              <w:t>Budget reporting</w:t>
            </w:r>
          </w:p>
          <w:p w:rsidR="00EB4C2D" w:rsidRDefault="00EB4C2D" w:rsidP="009831CC">
            <w:pPr>
              <w:pStyle w:val="PullOutBoxBodyText"/>
              <w:spacing w:before="60" w:after="60" w:line="240" w:lineRule="auto"/>
              <w:rPr>
                <w:b w:val="0"/>
                <w:i w:val="0"/>
              </w:rPr>
            </w:pPr>
            <w:r w:rsidRPr="00EB4C2D">
              <w:rPr>
                <w:b w:val="0"/>
                <w:i w:val="0"/>
              </w:rPr>
              <w:t xml:space="preserve">The </w:t>
            </w:r>
            <w:r w:rsidRPr="00564779">
              <w:rPr>
                <w:b w:val="0"/>
              </w:rPr>
              <w:t>Charter of Budget Honesty Act 1998</w:t>
            </w:r>
            <w:r w:rsidRPr="00EB4C2D">
              <w:rPr>
                <w:b w:val="0"/>
                <w:i w:val="0"/>
              </w:rPr>
              <w:t xml:space="preserve"> requires that </w:t>
            </w:r>
            <w:r w:rsidR="00C303EF">
              <w:rPr>
                <w:b w:val="0"/>
                <w:i w:val="0"/>
              </w:rPr>
              <w:t>b</w:t>
            </w:r>
            <w:r w:rsidRPr="00EB4C2D">
              <w:rPr>
                <w:b w:val="0"/>
                <w:i w:val="0"/>
              </w:rPr>
              <w:t xml:space="preserve">udget </w:t>
            </w:r>
            <w:r w:rsidR="000A1DBB">
              <w:rPr>
                <w:b w:val="0"/>
                <w:i w:val="0"/>
              </w:rPr>
              <w:t xml:space="preserve">estimates are </w:t>
            </w:r>
            <w:r w:rsidRPr="00EB4C2D">
              <w:rPr>
                <w:b w:val="0"/>
                <w:i w:val="0"/>
              </w:rPr>
              <w:t>based</w:t>
            </w:r>
            <w:r>
              <w:rPr>
                <w:b w:val="0"/>
                <w:i w:val="0"/>
              </w:rPr>
              <w:t xml:space="preserve"> </w:t>
            </w:r>
            <w:r w:rsidRPr="00EB4C2D">
              <w:rPr>
                <w:b w:val="0"/>
                <w:i w:val="0"/>
              </w:rPr>
              <w:t>on external reporting standards.</w:t>
            </w:r>
            <w:r w:rsidR="000A1DBB">
              <w:rPr>
                <w:b w:val="0"/>
                <w:i w:val="0"/>
              </w:rPr>
              <w:t xml:space="preserve"> These are:</w:t>
            </w:r>
          </w:p>
          <w:p w:rsidR="00416DAA" w:rsidRPr="00F47037" w:rsidRDefault="00416DAA" w:rsidP="009831CC">
            <w:pPr>
              <w:pStyle w:val="PullOutBoxBullet"/>
              <w:spacing w:line="240" w:lineRule="auto"/>
              <w:rPr>
                <w:b w:val="0"/>
                <w:i w:val="0"/>
              </w:rPr>
            </w:pPr>
            <w:r w:rsidRPr="00F47037">
              <w:rPr>
                <w:b w:val="0"/>
                <w:i w:val="0"/>
              </w:rPr>
              <w:t>the Austr</w:t>
            </w:r>
            <w:r w:rsidRPr="00D2294D">
              <w:rPr>
                <w:b w:val="0"/>
                <w:i w:val="0"/>
              </w:rPr>
              <w:t>alian Accounting Standards</w:t>
            </w:r>
            <w:r w:rsidR="00135B4B" w:rsidRPr="00564779">
              <w:rPr>
                <w:rStyle w:val="FootnoteReference"/>
                <w:b w:val="0"/>
                <w:i w:val="0"/>
                <w:color w:val="3D4D7D" w:themeColor="background2"/>
              </w:rPr>
              <w:footnoteReference w:id="7"/>
            </w:r>
            <w:r w:rsidRPr="00F47037">
              <w:rPr>
                <w:b w:val="0"/>
                <w:i w:val="0"/>
              </w:rPr>
              <w:t xml:space="preserve">, </w:t>
            </w:r>
            <w:r w:rsidR="00135B4B">
              <w:rPr>
                <w:b w:val="0"/>
                <w:i w:val="0"/>
              </w:rPr>
              <w:t>which include</w:t>
            </w:r>
            <w:r w:rsidRPr="00F47037">
              <w:rPr>
                <w:b w:val="0"/>
                <w:i w:val="0"/>
              </w:rPr>
              <w:t xml:space="preserve"> International Financial Reporting </w:t>
            </w:r>
            <w:r w:rsidRPr="00D2294D">
              <w:rPr>
                <w:b w:val="0"/>
                <w:i w:val="0"/>
              </w:rPr>
              <w:t>Standards</w:t>
            </w:r>
            <w:r w:rsidRPr="00F47037">
              <w:rPr>
                <w:b w:val="0"/>
                <w:i w:val="0"/>
              </w:rPr>
              <w:t xml:space="preserve"> as adopted in Australia and the public sector specific standard AASB 1049</w:t>
            </w:r>
            <w:r w:rsidR="003C47F2">
              <w:rPr>
                <w:b w:val="0"/>
                <w:i w:val="0"/>
              </w:rPr>
              <w:br/>
            </w:r>
            <w:r w:rsidRPr="00F47037">
              <w:rPr>
                <w:b w:val="0"/>
              </w:rPr>
              <w:t>Whole of Government and General Government Sector Financial Reporting</w:t>
            </w:r>
            <w:r>
              <w:rPr>
                <w:b w:val="0"/>
                <w:i w:val="0"/>
              </w:rPr>
              <w:t>; and</w:t>
            </w:r>
          </w:p>
          <w:p w:rsidR="00EB4C2D" w:rsidRPr="00564779" w:rsidRDefault="00EB4C2D" w:rsidP="009831CC">
            <w:pPr>
              <w:pStyle w:val="PullOutBoxBullet"/>
              <w:spacing w:line="240" w:lineRule="auto"/>
              <w:rPr>
                <w:b w:val="0"/>
                <w:i w:val="0"/>
              </w:rPr>
            </w:pPr>
            <w:r w:rsidRPr="00564779">
              <w:rPr>
                <w:b w:val="0"/>
                <w:i w:val="0"/>
              </w:rPr>
              <w:t>the Austral</w:t>
            </w:r>
            <w:r w:rsidR="0095571A" w:rsidRPr="00564779">
              <w:rPr>
                <w:b w:val="0"/>
                <w:i w:val="0"/>
              </w:rPr>
              <w:t xml:space="preserve">ian Bureau of Statistics’ </w:t>
            </w:r>
            <w:r w:rsidRPr="00564779">
              <w:rPr>
                <w:b w:val="0"/>
                <w:i w:val="0"/>
              </w:rPr>
              <w:t>accrual Government Finance Statistics publication</w:t>
            </w:r>
            <w:r w:rsidR="00416DAA">
              <w:rPr>
                <w:rStyle w:val="FootnoteReference"/>
                <w:b w:val="0"/>
                <w:i w:val="0"/>
              </w:rPr>
              <w:footnoteReference w:id="8"/>
            </w:r>
            <w:r w:rsidRPr="00564779">
              <w:rPr>
                <w:b w:val="0"/>
                <w:i w:val="0"/>
              </w:rPr>
              <w:t>,  which in turn is based on the I</w:t>
            </w:r>
            <w:r w:rsidR="0095571A" w:rsidRPr="00564779">
              <w:rPr>
                <w:b w:val="0"/>
                <w:i w:val="0"/>
              </w:rPr>
              <w:t>nternational Monetary Fund</w:t>
            </w:r>
            <w:r w:rsidRPr="00564779">
              <w:rPr>
                <w:b w:val="0"/>
                <w:i w:val="0"/>
              </w:rPr>
              <w:t xml:space="preserve"> </w:t>
            </w:r>
            <w:proofErr w:type="gramStart"/>
            <w:r w:rsidRPr="00564779">
              <w:rPr>
                <w:b w:val="0"/>
                <w:i w:val="0"/>
              </w:rPr>
              <w:t>accrual</w:t>
            </w:r>
            <w:proofErr w:type="gramEnd"/>
            <w:r w:rsidRPr="00564779">
              <w:rPr>
                <w:b w:val="0"/>
                <w:i w:val="0"/>
              </w:rPr>
              <w:t xml:space="preserve"> </w:t>
            </w:r>
            <w:r w:rsidR="0095571A" w:rsidRPr="00564779">
              <w:rPr>
                <w:b w:val="0"/>
                <w:i w:val="0"/>
              </w:rPr>
              <w:t xml:space="preserve">Government Finance Statistics </w:t>
            </w:r>
            <w:r w:rsidRPr="00564779">
              <w:rPr>
                <w:b w:val="0"/>
                <w:i w:val="0"/>
              </w:rPr>
              <w:t>framework</w:t>
            </w:r>
            <w:r w:rsidR="00416DAA">
              <w:rPr>
                <w:b w:val="0"/>
                <w:i w:val="0"/>
              </w:rPr>
              <w:t>.</w:t>
            </w:r>
          </w:p>
          <w:p w:rsidR="0056768D" w:rsidRDefault="0056768D" w:rsidP="009831CC">
            <w:pPr>
              <w:pStyle w:val="PullOutBoxBodyText"/>
              <w:spacing w:before="60" w:after="60" w:line="240" w:lineRule="auto"/>
              <w:rPr>
                <w:b w:val="0"/>
                <w:i w:val="0"/>
              </w:rPr>
            </w:pPr>
            <w:r>
              <w:rPr>
                <w:b w:val="0"/>
                <w:i w:val="0"/>
              </w:rPr>
              <w:t xml:space="preserve">The </w:t>
            </w:r>
            <w:r w:rsidRPr="0056768D">
              <w:rPr>
                <w:b w:val="0"/>
                <w:i w:val="0"/>
              </w:rPr>
              <w:t xml:space="preserve">Australian Accounting Standards </w:t>
            </w:r>
            <w:r w:rsidR="006843EF">
              <w:rPr>
                <w:b w:val="0"/>
                <w:i w:val="0"/>
              </w:rPr>
              <w:t xml:space="preserve">determine how assets are valued and classified in the budget. They </w:t>
            </w:r>
            <w:r>
              <w:rPr>
                <w:b w:val="0"/>
                <w:i w:val="0"/>
              </w:rPr>
              <w:t xml:space="preserve">do not </w:t>
            </w:r>
            <w:r w:rsidR="001E4F61">
              <w:rPr>
                <w:b w:val="0"/>
                <w:i w:val="0"/>
              </w:rPr>
              <w:t xml:space="preserve">define net debt, nor do they </w:t>
            </w:r>
            <w:r>
              <w:rPr>
                <w:b w:val="0"/>
                <w:i w:val="0"/>
              </w:rPr>
              <w:t xml:space="preserve">require the publication of net debt in the </w:t>
            </w:r>
            <w:r w:rsidR="00F84551">
              <w:rPr>
                <w:b w:val="0"/>
                <w:i w:val="0"/>
              </w:rPr>
              <w:t xml:space="preserve">consolidated </w:t>
            </w:r>
            <w:r>
              <w:rPr>
                <w:b w:val="0"/>
                <w:i w:val="0"/>
              </w:rPr>
              <w:t>financial statements</w:t>
            </w:r>
            <w:r w:rsidR="001E4F61">
              <w:rPr>
                <w:b w:val="0"/>
                <w:i w:val="0"/>
              </w:rPr>
              <w:t>.</w:t>
            </w:r>
            <w:r w:rsidR="00744D9D">
              <w:rPr>
                <w:b w:val="0"/>
                <w:i w:val="0"/>
              </w:rPr>
              <w:t xml:space="preserve"> </w:t>
            </w:r>
            <w:r w:rsidR="001E4F61">
              <w:rPr>
                <w:b w:val="0"/>
                <w:i w:val="0"/>
              </w:rPr>
              <w:t>T</w:t>
            </w:r>
            <w:r>
              <w:rPr>
                <w:b w:val="0"/>
                <w:i w:val="0"/>
              </w:rPr>
              <w:t xml:space="preserve">he </w:t>
            </w:r>
            <w:r w:rsidRPr="0056768D">
              <w:rPr>
                <w:b w:val="0"/>
                <w:i w:val="0"/>
              </w:rPr>
              <w:t>Australian Bureau of Statistics’ Government Finance Statistics publication</w:t>
            </w:r>
            <w:r>
              <w:rPr>
                <w:b w:val="0"/>
                <w:i w:val="0"/>
              </w:rPr>
              <w:t xml:space="preserve"> </w:t>
            </w:r>
            <w:r w:rsidR="001E4F61">
              <w:rPr>
                <w:b w:val="0"/>
                <w:i w:val="0"/>
              </w:rPr>
              <w:t>provides a number of alternative</w:t>
            </w:r>
            <w:r>
              <w:rPr>
                <w:b w:val="0"/>
                <w:i w:val="0"/>
              </w:rPr>
              <w:t xml:space="preserve"> </w:t>
            </w:r>
            <w:r w:rsidR="00E81823">
              <w:rPr>
                <w:b w:val="0"/>
                <w:i w:val="0"/>
              </w:rPr>
              <w:t xml:space="preserve">measures </w:t>
            </w:r>
            <w:r>
              <w:rPr>
                <w:b w:val="0"/>
                <w:i w:val="0"/>
              </w:rPr>
              <w:t>of net debt</w:t>
            </w:r>
            <w:r w:rsidR="00E81823">
              <w:rPr>
                <w:b w:val="0"/>
                <w:i w:val="0"/>
              </w:rPr>
              <w:t xml:space="preserve"> </w:t>
            </w:r>
            <w:r w:rsidR="00E81823" w:rsidRPr="00E81823">
              <w:rPr>
                <w:b w:val="0"/>
                <w:i w:val="0"/>
              </w:rPr>
              <w:t>to provide a broader picture of the government's fiscal position</w:t>
            </w:r>
            <w:r>
              <w:rPr>
                <w:b w:val="0"/>
                <w:i w:val="0"/>
              </w:rPr>
              <w:t xml:space="preserve">.    </w:t>
            </w:r>
          </w:p>
          <w:p w:rsidR="00F9148E" w:rsidRPr="00F325A4" w:rsidRDefault="00F9148E" w:rsidP="00564779">
            <w:pPr>
              <w:pStyle w:val="PullOutBoxBodyText"/>
              <w:spacing w:line="240" w:lineRule="auto"/>
              <w:rPr>
                <w:i w:val="0"/>
              </w:rPr>
            </w:pPr>
            <w:r w:rsidRPr="00F325A4">
              <w:rPr>
                <w:i w:val="0"/>
              </w:rPr>
              <w:t xml:space="preserve">Defining net debt </w:t>
            </w:r>
          </w:p>
          <w:p w:rsidR="004D3176" w:rsidRDefault="00F9148E" w:rsidP="009831CC">
            <w:pPr>
              <w:pStyle w:val="PullOutBoxBodyText"/>
              <w:spacing w:before="60" w:after="60" w:line="240" w:lineRule="auto"/>
              <w:rPr>
                <w:b w:val="0"/>
                <w:i w:val="0"/>
              </w:rPr>
            </w:pPr>
            <w:r>
              <w:rPr>
                <w:b w:val="0"/>
                <w:i w:val="0"/>
              </w:rPr>
              <w:t>The Commonwealth, state and t</w:t>
            </w:r>
            <w:r w:rsidRPr="00D679F7">
              <w:rPr>
                <w:b w:val="0"/>
                <w:i w:val="0"/>
              </w:rPr>
              <w:t>erritory governments</w:t>
            </w:r>
            <w:r w:rsidR="000040BC">
              <w:rPr>
                <w:b w:val="0"/>
                <w:i w:val="0"/>
              </w:rPr>
              <w:t xml:space="preserve"> </w:t>
            </w:r>
            <w:r w:rsidRPr="00D679F7">
              <w:rPr>
                <w:b w:val="0"/>
                <w:i w:val="0"/>
              </w:rPr>
              <w:t>have an agreed framework —</w:t>
            </w:r>
            <w:r w:rsidR="003C47F2">
              <w:rPr>
                <w:b w:val="0"/>
                <w:i w:val="0"/>
              </w:rPr>
              <w:br/>
            </w:r>
            <w:r w:rsidRPr="00D679F7">
              <w:rPr>
                <w:b w:val="0"/>
                <w:i w:val="0"/>
              </w:rPr>
              <w:t>the</w:t>
            </w:r>
            <w:r>
              <w:rPr>
                <w:b w:val="0"/>
                <w:i w:val="0"/>
              </w:rPr>
              <w:t xml:space="preserve"> </w:t>
            </w:r>
            <w:r w:rsidRPr="00D679F7">
              <w:rPr>
                <w:b w:val="0"/>
                <w:i w:val="0"/>
              </w:rPr>
              <w:t>Unif</w:t>
            </w:r>
            <w:r>
              <w:rPr>
                <w:b w:val="0"/>
                <w:i w:val="0"/>
              </w:rPr>
              <w:t xml:space="preserve">orm Presentation Framework </w:t>
            </w:r>
            <w:r w:rsidRPr="00D679F7">
              <w:rPr>
                <w:b w:val="0"/>
                <w:i w:val="0"/>
              </w:rPr>
              <w:t xml:space="preserve">— for </w:t>
            </w:r>
            <w:r>
              <w:rPr>
                <w:b w:val="0"/>
                <w:i w:val="0"/>
              </w:rPr>
              <w:t xml:space="preserve">how </w:t>
            </w:r>
            <w:r w:rsidRPr="00D679F7">
              <w:rPr>
                <w:b w:val="0"/>
                <w:i w:val="0"/>
              </w:rPr>
              <w:t>government</w:t>
            </w:r>
            <w:r>
              <w:rPr>
                <w:b w:val="0"/>
                <w:i w:val="0"/>
              </w:rPr>
              <w:t xml:space="preserve"> </w:t>
            </w:r>
            <w:r w:rsidRPr="00D679F7">
              <w:rPr>
                <w:b w:val="0"/>
                <w:i w:val="0"/>
              </w:rPr>
              <w:t>financial information</w:t>
            </w:r>
            <w:r>
              <w:rPr>
                <w:b w:val="0"/>
                <w:i w:val="0"/>
              </w:rPr>
              <w:t xml:space="preserve"> will be presented on a consistent basis across jurisdictions</w:t>
            </w:r>
            <w:r w:rsidRPr="00D679F7">
              <w:rPr>
                <w:b w:val="0"/>
                <w:i w:val="0"/>
              </w:rPr>
              <w:t xml:space="preserve">. </w:t>
            </w:r>
            <w:r>
              <w:rPr>
                <w:b w:val="0"/>
                <w:i w:val="0"/>
              </w:rPr>
              <w:t xml:space="preserve">The Uniform Presentation Framework </w:t>
            </w:r>
            <w:r w:rsidR="00416DAA">
              <w:rPr>
                <w:b w:val="0"/>
                <w:i w:val="0"/>
              </w:rPr>
              <w:t xml:space="preserve">specifies that </w:t>
            </w:r>
            <w:r>
              <w:rPr>
                <w:b w:val="0"/>
                <w:i w:val="0"/>
              </w:rPr>
              <w:t xml:space="preserve">net debt </w:t>
            </w:r>
            <w:r w:rsidR="00416DAA">
              <w:rPr>
                <w:b w:val="0"/>
                <w:i w:val="0"/>
              </w:rPr>
              <w:t xml:space="preserve">is to be measured using the framework </w:t>
            </w:r>
            <w:r w:rsidR="001E4F61">
              <w:rPr>
                <w:b w:val="0"/>
                <w:i w:val="0"/>
              </w:rPr>
              <w:t xml:space="preserve">set out in </w:t>
            </w:r>
            <w:r w:rsidR="001E4F61" w:rsidRPr="00CA6B4F">
              <w:rPr>
                <w:b w:val="0"/>
                <w:i w:val="0"/>
              </w:rPr>
              <w:t>Table 1-1</w:t>
            </w:r>
            <w:r>
              <w:rPr>
                <w:b w:val="0"/>
                <w:i w:val="0"/>
              </w:rPr>
              <w:t>.</w:t>
            </w:r>
            <w:r w:rsidR="001E4F61">
              <w:rPr>
                <w:b w:val="0"/>
                <w:i w:val="0"/>
              </w:rPr>
              <w:t xml:space="preserve"> </w:t>
            </w:r>
          </w:p>
          <w:p w:rsidR="00F9148E" w:rsidRDefault="001E4F61" w:rsidP="009831CC">
            <w:pPr>
              <w:pStyle w:val="PullOutBoxBodyText"/>
              <w:spacing w:before="60" w:after="60" w:line="240" w:lineRule="auto"/>
              <w:rPr>
                <w:b w:val="0"/>
                <w:i w:val="0"/>
              </w:rPr>
            </w:pPr>
            <w:r>
              <w:rPr>
                <w:b w:val="0"/>
                <w:i w:val="0"/>
              </w:rPr>
              <w:t xml:space="preserve">This definition </w:t>
            </w:r>
            <w:r w:rsidR="004D3176">
              <w:rPr>
                <w:b w:val="0"/>
                <w:i w:val="0"/>
              </w:rPr>
              <w:t xml:space="preserve">illustrates that the </w:t>
            </w:r>
            <w:r w:rsidR="006843EF">
              <w:rPr>
                <w:b w:val="0"/>
                <w:i w:val="0"/>
              </w:rPr>
              <w:t>classification of</w:t>
            </w:r>
            <w:r w:rsidR="004D3176">
              <w:rPr>
                <w:b w:val="0"/>
                <w:i w:val="0"/>
              </w:rPr>
              <w:t xml:space="preserve"> </w:t>
            </w:r>
            <w:r w:rsidR="00F84551">
              <w:rPr>
                <w:b w:val="0"/>
                <w:i w:val="0"/>
              </w:rPr>
              <w:t xml:space="preserve">assets </w:t>
            </w:r>
            <w:r w:rsidR="004D3176">
              <w:rPr>
                <w:b w:val="0"/>
                <w:i w:val="0"/>
              </w:rPr>
              <w:t xml:space="preserve">for accounting purposes directly affects their treatment in net debt calculations. </w:t>
            </w:r>
            <w:r w:rsidR="00416DAA">
              <w:rPr>
                <w:b w:val="0"/>
                <w:i w:val="0"/>
              </w:rPr>
              <w:t xml:space="preserve">This </w:t>
            </w:r>
            <w:r w:rsidR="004D3176">
              <w:rPr>
                <w:b w:val="0"/>
                <w:i w:val="0"/>
              </w:rPr>
              <w:t>approach to measuring</w:t>
            </w:r>
            <w:r w:rsidR="00416DAA">
              <w:rPr>
                <w:b w:val="0"/>
                <w:i w:val="0"/>
              </w:rPr>
              <w:t xml:space="preserve"> net debt is long standing</w:t>
            </w:r>
            <w:r w:rsidR="00672DD6">
              <w:rPr>
                <w:b w:val="0"/>
                <w:i w:val="0"/>
              </w:rPr>
              <w:t xml:space="preserve"> </w:t>
            </w:r>
            <w:r w:rsidR="00672DD6" w:rsidRPr="00672DD6">
              <w:rPr>
                <w:b w:val="0"/>
                <w:i w:val="0"/>
              </w:rPr>
              <w:t>and has been consistently applied by Governments since 1999</w:t>
            </w:r>
            <w:r>
              <w:rPr>
                <w:b w:val="0"/>
                <w:i w:val="0"/>
              </w:rPr>
              <w:t>.</w:t>
            </w:r>
          </w:p>
          <w:p w:rsidR="00F9148E" w:rsidRPr="00243EB1" w:rsidRDefault="00F9148E" w:rsidP="00564779">
            <w:pPr>
              <w:pStyle w:val="PullOutBoxBodyText"/>
              <w:spacing w:line="240" w:lineRule="auto"/>
              <w:rPr>
                <w:i w:val="0"/>
              </w:rPr>
            </w:pPr>
            <w:r w:rsidRPr="00243EB1">
              <w:rPr>
                <w:i w:val="0"/>
              </w:rPr>
              <w:t>Auditing of Commonwealth finances</w:t>
            </w:r>
          </w:p>
          <w:p w:rsidR="00F9148E" w:rsidRDefault="00F9148E" w:rsidP="009831CC">
            <w:pPr>
              <w:pStyle w:val="PullOutBoxBodyText"/>
              <w:spacing w:before="60" w:after="60" w:line="240" w:lineRule="auto"/>
              <w:rPr>
                <w:b w:val="0"/>
                <w:i w:val="0"/>
              </w:rPr>
            </w:pPr>
            <w:r>
              <w:rPr>
                <w:b w:val="0"/>
                <w:i w:val="0"/>
              </w:rPr>
              <w:t xml:space="preserve">At the end of each financial year, the government releases a set of financial statements which </w:t>
            </w:r>
            <w:r w:rsidRPr="007B55ED">
              <w:rPr>
                <w:b w:val="0"/>
                <w:i w:val="0"/>
              </w:rPr>
              <w:t>consolidates the audited accounts of entities across the public sector.</w:t>
            </w:r>
            <w:r w:rsidR="003C47F2">
              <w:rPr>
                <w:b w:val="0"/>
                <w:i w:val="0"/>
              </w:rPr>
              <w:br/>
            </w:r>
            <w:r w:rsidRPr="004A0502">
              <w:rPr>
                <w:b w:val="0"/>
                <w:i w:val="0"/>
              </w:rPr>
              <w:t>The</w:t>
            </w:r>
            <w:r w:rsidR="00F84551">
              <w:rPr>
                <w:b w:val="0"/>
                <w:i w:val="0"/>
              </w:rPr>
              <w:t>se</w:t>
            </w:r>
            <w:r w:rsidRPr="004A0502">
              <w:rPr>
                <w:b w:val="0"/>
                <w:i w:val="0"/>
              </w:rPr>
              <w:t xml:space="preserve"> </w:t>
            </w:r>
            <w:r>
              <w:rPr>
                <w:b w:val="0"/>
                <w:i w:val="0"/>
              </w:rPr>
              <w:t>are</w:t>
            </w:r>
            <w:r w:rsidRPr="004A0502">
              <w:rPr>
                <w:b w:val="0"/>
                <w:i w:val="0"/>
              </w:rPr>
              <w:t xml:space="preserve"> prepared in accordance with </w:t>
            </w:r>
            <w:r>
              <w:rPr>
                <w:b w:val="0"/>
                <w:i w:val="0"/>
              </w:rPr>
              <w:t>the relevant</w:t>
            </w:r>
            <w:r w:rsidRPr="004A0502">
              <w:rPr>
                <w:b w:val="0"/>
                <w:i w:val="0"/>
              </w:rPr>
              <w:t xml:space="preserve"> Australian Accounting Standards.</w:t>
            </w:r>
            <w:r w:rsidR="003C47F2">
              <w:rPr>
                <w:b w:val="0"/>
                <w:i w:val="0"/>
              </w:rPr>
              <w:br/>
            </w:r>
            <w:r>
              <w:rPr>
                <w:b w:val="0"/>
                <w:i w:val="0"/>
              </w:rPr>
              <w:t xml:space="preserve">The </w:t>
            </w:r>
            <w:r w:rsidR="00462C03" w:rsidRPr="00462C03">
              <w:rPr>
                <w:b w:val="0"/>
                <w:i w:val="0"/>
              </w:rPr>
              <w:t>Auditor-General</w:t>
            </w:r>
            <w:r>
              <w:rPr>
                <w:b w:val="0"/>
                <w:i w:val="0"/>
              </w:rPr>
              <w:t xml:space="preserve"> independently audits the consolidated financial statements.</w:t>
            </w:r>
          </w:p>
          <w:p w:rsidR="001F74FA" w:rsidRDefault="001E4F61" w:rsidP="009831CC">
            <w:pPr>
              <w:pStyle w:val="PullOutBoxBodyText"/>
              <w:spacing w:before="60" w:after="60" w:line="240" w:lineRule="auto"/>
              <w:rPr>
                <w:b w:val="0"/>
                <w:i w:val="0"/>
              </w:rPr>
            </w:pPr>
            <w:r>
              <w:rPr>
                <w:b w:val="0"/>
                <w:i w:val="0"/>
              </w:rPr>
              <w:t>The Commonwealth budget, the financial statements contained within it,</w:t>
            </w:r>
            <w:r w:rsidR="00F84551">
              <w:rPr>
                <w:b w:val="0"/>
                <w:i w:val="0"/>
              </w:rPr>
              <w:t xml:space="preserve"> and additional indicators such as net debt are </w:t>
            </w:r>
            <w:r>
              <w:rPr>
                <w:b w:val="0"/>
                <w:i w:val="0"/>
              </w:rPr>
              <w:t xml:space="preserve">not independently audited by </w:t>
            </w:r>
            <w:r w:rsidR="00991AD8">
              <w:rPr>
                <w:b w:val="0"/>
                <w:i w:val="0"/>
              </w:rPr>
              <w:t xml:space="preserve">the </w:t>
            </w:r>
            <w:r w:rsidR="00462C03" w:rsidRPr="00462C03">
              <w:rPr>
                <w:b w:val="0"/>
                <w:i w:val="0"/>
              </w:rPr>
              <w:t>Auditor-General</w:t>
            </w:r>
            <w:r>
              <w:rPr>
                <w:b w:val="0"/>
                <w:i w:val="0"/>
              </w:rPr>
              <w:t xml:space="preserve">. </w:t>
            </w:r>
          </w:p>
          <w:p w:rsidR="00887B4D" w:rsidRDefault="00887B4D" w:rsidP="00564779">
            <w:pPr>
              <w:pStyle w:val="PullOutBoxBodyText"/>
              <w:spacing w:line="240" w:lineRule="auto"/>
            </w:pPr>
            <w:r w:rsidRPr="00564779">
              <w:rPr>
                <w:b w:val="0"/>
                <w:i w:val="0"/>
                <w:color w:val="7F7F7F" w:themeColor="text1" w:themeTint="80"/>
                <w:sz w:val="18"/>
                <w:szCs w:val="18"/>
              </w:rPr>
              <w:t>Source: 2018</w:t>
            </w:r>
            <w:r w:rsidR="003C47F2">
              <w:rPr>
                <w:b w:val="0"/>
                <w:i w:val="0"/>
                <w:color w:val="7F7F7F" w:themeColor="text1" w:themeTint="80"/>
                <w:sz w:val="18"/>
                <w:szCs w:val="18"/>
              </w:rPr>
              <w:t>–</w:t>
            </w:r>
            <w:r w:rsidRPr="00564779">
              <w:rPr>
                <w:b w:val="0"/>
                <w:i w:val="0"/>
                <w:color w:val="7F7F7F" w:themeColor="text1" w:themeTint="80"/>
                <w:sz w:val="18"/>
                <w:szCs w:val="18"/>
              </w:rPr>
              <w:t>19 Budget Paper no.1</w:t>
            </w:r>
            <w:r w:rsidR="001F74FA" w:rsidRPr="00564779">
              <w:rPr>
                <w:b w:val="0"/>
                <w:i w:val="0"/>
                <w:color w:val="7F7F7F" w:themeColor="text1" w:themeTint="80"/>
                <w:sz w:val="18"/>
                <w:szCs w:val="18"/>
              </w:rPr>
              <w:t xml:space="preserve">; </w:t>
            </w:r>
            <w:r w:rsidR="00942048" w:rsidRPr="00564779">
              <w:rPr>
                <w:b w:val="0"/>
                <w:i w:val="0"/>
                <w:color w:val="7F7F7F" w:themeColor="text1" w:themeTint="80"/>
                <w:sz w:val="18"/>
                <w:szCs w:val="18"/>
              </w:rPr>
              <w:t xml:space="preserve">Commonwealth of Australia consolidated financial statements for the year ended 30 June 2018; </w:t>
            </w:r>
            <w:r w:rsidR="00B35A4F" w:rsidRPr="00564779">
              <w:rPr>
                <w:b w:val="0"/>
                <w:i w:val="0"/>
                <w:color w:val="7F7F7F" w:themeColor="text1" w:themeTint="80"/>
                <w:sz w:val="18"/>
                <w:szCs w:val="18"/>
              </w:rPr>
              <w:t>Uniform Presentation Framework, February 2019</w:t>
            </w:r>
          </w:p>
        </w:tc>
      </w:tr>
    </w:tbl>
    <w:p w:rsidR="00AB1A31" w:rsidRDefault="00AB1A31" w:rsidP="009D38DE">
      <w:pPr>
        <w:pStyle w:val="Heading2NoNumbering"/>
      </w:pPr>
    </w:p>
    <w:p w:rsidR="009D38DE" w:rsidRDefault="00AB1A31" w:rsidP="009D38DE">
      <w:pPr>
        <w:pStyle w:val="Heading2NoNumbering"/>
      </w:pPr>
      <w:r>
        <w:br w:type="column"/>
      </w:r>
      <w:r w:rsidR="00950F94">
        <w:lastRenderedPageBreak/>
        <w:t>Size of</w:t>
      </w:r>
      <w:r w:rsidR="009D38DE">
        <w:t xml:space="preserve"> Commonwealth </w:t>
      </w:r>
      <w:r w:rsidR="0097291D">
        <w:t>G</w:t>
      </w:r>
      <w:r w:rsidR="009D38DE">
        <w:t xml:space="preserve">overnment net debt </w:t>
      </w:r>
    </w:p>
    <w:p w:rsidR="009D38DE" w:rsidRDefault="009D38DE" w:rsidP="0058408D">
      <w:pPr>
        <w:pStyle w:val="BodyTextAfterListTable"/>
      </w:pPr>
      <w:r>
        <w:t xml:space="preserve">Although Australia’s debt levels remain relatively low by international standards, both gross and net debt have increased significantly </w:t>
      </w:r>
      <w:r w:rsidR="00E459C8">
        <w:t xml:space="preserve">since </w:t>
      </w:r>
      <w:r>
        <w:t>the Global Financial Crisis</w:t>
      </w:r>
      <w:r w:rsidR="00224AAC">
        <w:t>.</w:t>
      </w:r>
      <w:r w:rsidR="00232911">
        <w:t xml:space="preserve"> </w:t>
      </w:r>
      <w:r w:rsidR="00E459C8">
        <w:t>In the 2018</w:t>
      </w:r>
      <w:r w:rsidR="006B563B">
        <w:t>–</w:t>
      </w:r>
      <w:r w:rsidR="00E459C8">
        <w:t>19 Mid-Year Economic and Fiscal Outlook, n</w:t>
      </w:r>
      <w:r w:rsidR="00224AAC">
        <w:t xml:space="preserve">et </w:t>
      </w:r>
      <w:r w:rsidR="00224AAC" w:rsidRPr="00FF2D27">
        <w:t xml:space="preserve">debt </w:t>
      </w:r>
      <w:r w:rsidR="00321DD2" w:rsidRPr="009E4072">
        <w:t>as a proportion of GDP</w:t>
      </w:r>
      <w:r w:rsidR="00321DD2">
        <w:t xml:space="preserve"> </w:t>
      </w:r>
      <w:r w:rsidR="00E459C8">
        <w:t xml:space="preserve">is assessed as having </w:t>
      </w:r>
      <w:r w:rsidR="00224AAC" w:rsidRPr="00B80339">
        <w:t>peaked in 2017</w:t>
      </w:r>
      <w:r w:rsidR="006B563B">
        <w:t>–</w:t>
      </w:r>
      <w:r w:rsidR="00224AAC" w:rsidRPr="00B80339">
        <w:t xml:space="preserve">18 and </w:t>
      </w:r>
      <w:r w:rsidR="00E459C8">
        <w:t xml:space="preserve">is projected </w:t>
      </w:r>
      <w:r w:rsidR="00224AAC" w:rsidRPr="00B80339">
        <w:t>to</w:t>
      </w:r>
      <w:r w:rsidR="00224AAC">
        <w:t xml:space="preserve"> decline over the next decade reflecting the reduced financing task from the projected move to budget surpluses. </w:t>
      </w:r>
    </w:p>
    <w:p w:rsidR="00950F94" w:rsidRDefault="00E459C8" w:rsidP="00950F94">
      <w:pPr>
        <w:pStyle w:val="BodyText"/>
      </w:pPr>
      <w:r>
        <w:t>Figure 1-1 shows net debt and gross debt over the period 1999</w:t>
      </w:r>
      <w:r w:rsidR="006B563B">
        <w:t>–</w:t>
      </w:r>
      <w:r w:rsidR="00564779">
        <w:t>20</w:t>
      </w:r>
      <w:r>
        <w:t>00 to 2028</w:t>
      </w:r>
      <w:r w:rsidR="006B563B">
        <w:t>–</w:t>
      </w:r>
      <w:r>
        <w:t>29. It illustrates that t</w:t>
      </w:r>
      <w:r w:rsidR="00950F94">
        <w:t>he Government projects that net debt</w:t>
      </w:r>
      <w:r w:rsidR="00516F2C">
        <w:t xml:space="preserve"> </w:t>
      </w:r>
      <w:r w:rsidR="00950F94">
        <w:t xml:space="preserve">will fall from </w:t>
      </w:r>
      <w:r w:rsidR="00950F94" w:rsidRPr="002E47FF">
        <w:t>18.</w:t>
      </w:r>
      <w:r w:rsidR="00D71358" w:rsidRPr="002E47FF">
        <w:t>5</w:t>
      </w:r>
      <w:r w:rsidR="00950F94" w:rsidRPr="002E47FF">
        <w:t xml:space="preserve"> per cent of GDP ($34</w:t>
      </w:r>
      <w:r w:rsidR="00D71358" w:rsidRPr="002E47FF">
        <w:t>2</w:t>
      </w:r>
      <w:r w:rsidR="00950F94" w:rsidRPr="002E47FF">
        <w:t>.0 billion) in 2017</w:t>
      </w:r>
      <w:r w:rsidR="006B563B">
        <w:t>–</w:t>
      </w:r>
      <w:r w:rsidR="00950F94" w:rsidRPr="002E47FF">
        <w:t>18 to 14.</w:t>
      </w:r>
      <w:r w:rsidR="00D71358" w:rsidRPr="002E47FF">
        <w:t>3</w:t>
      </w:r>
      <w:r w:rsidR="00950F94" w:rsidRPr="002E47FF">
        <w:t xml:space="preserve"> per cent of GDP ($31</w:t>
      </w:r>
      <w:r w:rsidR="00D71358" w:rsidRPr="002E47FF">
        <w:t>2</w:t>
      </w:r>
      <w:r w:rsidR="00950F94" w:rsidRPr="002E47FF">
        <w:t>.</w:t>
      </w:r>
      <w:r w:rsidR="00D71358" w:rsidRPr="002E47FF">
        <w:t>6</w:t>
      </w:r>
      <w:r w:rsidR="00950F94" w:rsidRPr="002E47FF">
        <w:t xml:space="preserve"> billion) in 2021</w:t>
      </w:r>
      <w:r w:rsidR="006B563B">
        <w:t>–</w:t>
      </w:r>
      <w:r w:rsidR="00950F94" w:rsidRPr="002E47FF">
        <w:t>22.</w:t>
      </w:r>
      <w:r w:rsidR="00950F94">
        <w:t xml:space="preserve"> </w:t>
      </w:r>
      <w:r w:rsidR="00950F94" w:rsidRPr="00E809F6">
        <w:t>Beyond the forward estimates</w:t>
      </w:r>
      <w:r w:rsidR="00950F94">
        <w:t>,</w:t>
      </w:r>
      <w:r w:rsidR="00950F94" w:rsidRPr="00E809F6">
        <w:t xml:space="preserve"> </w:t>
      </w:r>
      <w:r w:rsidR="00950F94">
        <w:t xml:space="preserve">the </w:t>
      </w:r>
      <w:r w:rsidR="008B63F7">
        <w:t xml:space="preserve">Government </w:t>
      </w:r>
      <w:r w:rsidR="00950F94" w:rsidRPr="00E809F6">
        <w:t>project</w:t>
      </w:r>
      <w:r w:rsidR="00950F94">
        <w:t>s</w:t>
      </w:r>
      <w:r w:rsidR="00950F94" w:rsidRPr="00E809F6">
        <w:t xml:space="preserve"> that net debt will fall to </w:t>
      </w:r>
      <w:r w:rsidR="00224AAC">
        <w:t>1.5</w:t>
      </w:r>
      <w:r w:rsidR="00950F94">
        <w:t xml:space="preserve"> per cent of GDP</w:t>
      </w:r>
      <w:r w:rsidR="00950F94" w:rsidRPr="00E809F6">
        <w:t xml:space="preserve"> </w:t>
      </w:r>
      <w:r w:rsidR="00950F94">
        <w:t>(</w:t>
      </w:r>
      <w:r w:rsidR="00950F94" w:rsidRPr="00E809F6">
        <w:t>$</w:t>
      </w:r>
      <w:r w:rsidR="00224AAC">
        <w:t>4</w:t>
      </w:r>
      <w:r w:rsidR="00950F94" w:rsidRPr="00E809F6">
        <w:t>8.</w:t>
      </w:r>
      <w:r w:rsidR="00224AAC">
        <w:t>4</w:t>
      </w:r>
      <w:r w:rsidR="00224AAC" w:rsidRPr="00E809F6">
        <w:t xml:space="preserve"> </w:t>
      </w:r>
      <w:r w:rsidR="00950F94" w:rsidRPr="00E809F6">
        <w:t>billion</w:t>
      </w:r>
      <w:r w:rsidR="00516F2C">
        <w:t>) by 2028</w:t>
      </w:r>
      <w:r w:rsidR="006B563B">
        <w:t>–</w:t>
      </w:r>
      <w:r w:rsidR="00516F2C">
        <w:t>29</w:t>
      </w:r>
      <w:r w:rsidR="00187533">
        <w:t>.</w:t>
      </w:r>
      <w:r w:rsidR="00B370BD" w:rsidRPr="00B370BD">
        <w:t xml:space="preserve"> </w:t>
      </w:r>
    </w:p>
    <w:p w:rsidR="003A605E" w:rsidRDefault="003A605E">
      <w:pPr>
        <w:rPr>
          <w:rFonts w:cs="Times New Roman"/>
        </w:rPr>
      </w:pPr>
    </w:p>
    <w:p w:rsidR="009231C9" w:rsidRPr="009231C9" w:rsidRDefault="00224AAC" w:rsidP="00BE41DB">
      <w:pPr>
        <w:pStyle w:val="CaptionLeft"/>
        <w:jc w:val="center"/>
      </w:pPr>
      <w:r>
        <w:t xml:space="preserve">Figure 1-1: </w:t>
      </w:r>
      <w:r w:rsidR="00E81931">
        <w:t xml:space="preserve">Commonwealth </w:t>
      </w:r>
      <w:r w:rsidR="00A95FDD">
        <w:t>G</w:t>
      </w:r>
      <w:r w:rsidR="00E81931">
        <w:t xml:space="preserve">overnment </w:t>
      </w:r>
      <w:r w:rsidR="00A95FDD">
        <w:t>d</w:t>
      </w:r>
      <w:r w:rsidR="001F3BE1">
        <w:t>ebt</w:t>
      </w:r>
    </w:p>
    <w:p w:rsidR="00DA5810" w:rsidRPr="00DA5810" w:rsidRDefault="00D16C51" w:rsidP="002C0372">
      <w:pPr>
        <w:pStyle w:val="BodyText"/>
        <w:jc w:val="center"/>
        <w:rPr>
          <w:lang w:eastAsia="en-AU"/>
        </w:rPr>
      </w:pPr>
      <w:r>
        <w:rPr>
          <w:noProof/>
          <w:lang w:eastAsia="en-AU"/>
        </w:rPr>
        <w:drawing>
          <wp:inline distT="0" distB="0" distL="0" distR="0">
            <wp:extent cx="5724000" cy="3652355"/>
            <wp:effectExtent l="0" t="0" r="3810" b="5715"/>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1.1_Commonwealth Government debt_V6-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000" cy="3652355"/>
                    </a:xfrm>
                    <a:prstGeom prst="rect">
                      <a:avLst/>
                    </a:prstGeom>
                  </pic:spPr>
                </pic:pic>
              </a:graphicData>
            </a:graphic>
          </wp:inline>
        </w:drawing>
      </w:r>
    </w:p>
    <w:p w:rsidR="009D38DE" w:rsidRPr="00950437" w:rsidRDefault="00CE5C1B" w:rsidP="00CE5C1B">
      <w:pPr>
        <w:pStyle w:val="BodyText"/>
        <w:jc w:val="both"/>
        <w:rPr>
          <w:color w:val="7F7F7F" w:themeColor="text1" w:themeTint="80"/>
          <w:sz w:val="18"/>
        </w:rPr>
      </w:pPr>
      <w:r>
        <w:rPr>
          <w:color w:val="7F7F7F" w:themeColor="text1" w:themeTint="80"/>
          <w:sz w:val="18"/>
        </w:rPr>
        <w:t xml:space="preserve">           </w:t>
      </w:r>
      <w:r w:rsidR="009D38DE" w:rsidRPr="004A0784">
        <w:rPr>
          <w:color w:val="7F7F7F" w:themeColor="text1" w:themeTint="80"/>
          <w:sz w:val="18"/>
        </w:rPr>
        <w:t>Source: Mid-Year Economic and Fiscal Outlook, 2018</w:t>
      </w:r>
      <w:r w:rsidR="009231C9">
        <w:rPr>
          <w:color w:val="7F7F7F" w:themeColor="text1" w:themeTint="80"/>
          <w:sz w:val="18"/>
        </w:rPr>
        <w:t>–</w:t>
      </w:r>
      <w:r w:rsidR="009D38DE" w:rsidRPr="004A0784">
        <w:rPr>
          <w:color w:val="7F7F7F" w:themeColor="text1" w:themeTint="80"/>
          <w:sz w:val="18"/>
        </w:rPr>
        <w:t>19</w:t>
      </w:r>
    </w:p>
    <w:p w:rsidR="00BD3287" w:rsidRDefault="00BD3287" w:rsidP="00950F94">
      <w:pPr>
        <w:pStyle w:val="BodyText"/>
      </w:pPr>
    </w:p>
    <w:p w:rsidR="00950F94" w:rsidRDefault="00950F94" w:rsidP="00950F94">
      <w:pPr>
        <w:pStyle w:val="BodyText"/>
      </w:pPr>
      <w:r>
        <w:t>As outlined in the PBO’s 2018</w:t>
      </w:r>
      <w:r w:rsidR="006B563B">
        <w:t>–</w:t>
      </w:r>
      <w:r>
        <w:t>19 Budget Medium-term projections report, the projected improvement in the net debt position over the next decade is not without precedent.</w:t>
      </w:r>
      <w:r w:rsidR="007047C3">
        <w:rPr>
          <w:rStyle w:val="FootnoteReference"/>
        </w:rPr>
        <w:footnoteReference w:id="9"/>
      </w:r>
      <w:r>
        <w:t xml:space="preserve"> </w:t>
      </w:r>
      <w:r w:rsidR="006B563B">
        <w:br/>
      </w:r>
      <w:r>
        <w:t>Following expansionary fiscal policy in the wake of the early 1990s recession, net debt increased</w:t>
      </w:r>
      <w:r w:rsidR="006B563B">
        <w:br/>
      </w:r>
      <w:r>
        <w:t>to 18.</w:t>
      </w:r>
      <w:r w:rsidR="00303913">
        <w:t>2 per </w:t>
      </w:r>
      <w:r>
        <w:t>cent of GDP in 1995</w:t>
      </w:r>
      <w:r w:rsidR="006B563B">
        <w:t>–</w:t>
      </w:r>
      <w:r>
        <w:t xml:space="preserve">96. Net debt fell continuously over the next decade to reach </w:t>
      </w:r>
      <w:r w:rsidR="00303913">
        <w:br/>
      </w:r>
      <w:r>
        <w:t>-3.</w:t>
      </w:r>
      <w:r w:rsidR="00303913">
        <w:t>4 per </w:t>
      </w:r>
      <w:r>
        <w:t>cent of GDP in 2007</w:t>
      </w:r>
      <w:r w:rsidR="006B563B">
        <w:t>–</w:t>
      </w:r>
      <w:r>
        <w:t xml:space="preserve">08.  </w:t>
      </w:r>
    </w:p>
    <w:p w:rsidR="00AB1A31" w:rsidRDefault="00950F94" w:rsidP="00950F94">
      <w:pPr>
        <w:pStyle w:val="BodyText"/>
      </w:pPr>
      <w:r>
        <w:t xml:space="preserve">There were </w:t>
      </w:r>
      <w:r w:rsidR="00E81931">
        <w:t xml:space="preserve">specific </w:t>
      </w:r>
      <w:r>
        <w:t xml:space="preserve">factors </w:t>
      </w:r>
      <w:r w:rsidR="00E81931">
        <w:t xml:space="preserve">that drove </w:t>
      </w:r>
      <w:r>
        <w:t>the improvement in the budget balance and consequently</w:t>
      </w:r>
      <w:r w:rsidR="006B563B">
        <w:br/>
      </w:r>
      <w:r>
        <w:t>net debt over this period.</w:t>
      </w:r>
      <w:r w:rsidR="00187533">
        <w:t xml:space="preserve"> </w:t>
      </w:r>
      <w:r>
        <w:t>In particular, the Government undertook a program of selling government</w:t>
      </w:r>
      <w:r w:rsidR="00303913">
        <w:noBreakHyphen/>
      </w:r>
      <w:r>
        <w:t xml:space="preserve">owned businesses (public non-financial corporations), using the proceeds to pay off Government debt. </w:t>
      </w:r>
    </w:p>
    <w:p w:rsidR="00950F94" w:rsidRDefault="00950F94" w:rsidP="00950F94">
      <w:pPr>
        <w:pStyle w:val="BodyText"/>
      </w:pPr>
      <w:r>
        <w:lastRenderedPageBreak/>
        <w:t xml:space="preserve">The sales were large and staggered over the period and included the sale of the Commonwealth Bank, airports and, most significantly, Telstra. Further aiding the speed of fiscal consolidation was the largest sustained boost to the terms of trade in Australia’s history, which translated </w:t>
      </w:r>
      <w:r w:rsidR="00E151F3">
        <w:t>in</w:t>
      </w:r>
      <w:r>
        <w:t xml:space="preserve">to a considerable boost to national income and taxation revenue. </w:t>
      </w:r>
      <w:r w:rsidR="00E459C8">
        <w:t>O</w:t>
      </w:r>
      <w:r>
        <w:t>ver the next decade</w:t>
      </w:r>
      <w:r w:rsidR="00E459C8">
        <w:t xml:space="preserve">, the reduction in net debt, in contrast, is projected to be driven predominantly by ongoing fiscal discipline </w:t>
      </w:r>
      <w:r w:rsidR="00E81931">
        <w:t>leading to the maintenance of budget surpluses</w:t>
      </w:r>
      <w:r>
        <w:t>.</w:t>
      </w:r>
    </w:p>
    <w:p w:rsidR="009D38DE" w:rsidRDefault="00950F94" w:rsidP="00F65C07">
      <w:pPr>
        <w:pStyle w:val="Heading2NoNumbering"/>
      </w:pPr>
      <w:r>
        <w:t xml:space="preserve">Growing </w:t>
      </w:r>
      <w:r w:rsidR="00DC4EE3">
        <w:t>difference</w:t>
      </w:r>
      <w:r>
        <w:t xml:space="preserve"> between gross debt and net debt</w:t>
      </w:r>
    </w:p>
    <w:p w:rsidR="007949DC" w:rsidRDefault="007949DC" w:rsidP="00F13CCD">
      <w:pPr>
        <w:pStyle w:val="BodyText"/>
      </w:pPr>
      <w:r>
        <w:t>F</w:t>
      </w:r>
      <w:r w:rsidR="00B370BD">
        <w:t>igure 1-1</w:t>
      </w:r>
      <w:r>
        <w:t xml:space="preserve"> also illustrates that</w:t>
      </w:r>
      <w:r w:rsidR="00950F94">
        <w:t xml:space="preserve"> t</w:t>
      </w:r>
      <w:r w:rsidR="00950F94" w:rsidRPr="009D02D5">
        <w:t xml:space="preserve">he </w:t>
      </w:r>
      <w:r w:rsidR="00E81931">
        <w:t>gap</w:t>
      </w:r>
      <w:r w:rsidR="00E81931" w:rsidRPr="009D02D5">
        <w:t xml:space="preserve"> </w:t>
      </w:r>
      <w:r w:rsidR="00950F94" w:rsidRPr="009D02D5">
        <w:t xml:space="preserve">between </w:t>
      </w:r>
      <w:r w:rsidR="00950F94">
        <w:t>gross debt and net debt</w:t>
      </w:r>
      <w:r w:rsidR="00950F94" w:rsidRPr="009D02D5">
        <w:t xml:space="preserve"> has widened subst</w:t>
      </w:r>
      <w:r w:rsidR="00950F94">
        <w:t xml:space="preserve">antially </w:t>
      </w:r>
      <w:r w:rsidR="00DE66B6">
        <w:t>over the past two decades</w:t>
      </w:r>
      <w:r w:rsidR="00950F94">
        <w:t xml:space="preserve">, from 2.7 per cent of GDP </w:t>
      </w:r>
      <w:r w:rsidR="00DE66B6">
        <w:t>in 1999</w:t>
      </w:r>
      <w:r w:rsidR="006B563B">
        <w:t>–</w:t>
      </w:r>
      <w:r w:rsidR="00DE66B6">
        <w:t xml:space="preserve">2000 </w:t>
      </w:r>
      <w:r w:rsidR="00950F94" w:rsidRPr="009E2FFF">
        <w:t>to 10.4</w:t>
      </w:r>
      <w:r w:rsidR="00950F94">
        <w:t xml:space="preserve"> per cent of GDP</w:t>
      </w:r>
      <w:r w:rsidR="00950F94" w:rsidRPr="009E2FFF">
        <w:t xml:space="preserve"> in</w:t>
      </w:r>
      <w:r w:rsidR="006B563B">
        <w:br/>
      </w:r>
      <w:r w:rsidR="00950F94" w:rsidRPr="009E2FFF">
        <w:t>2017</w:t>
      </w:r>
      <w:r w:rsidR="006B563B">
        <w:t>–</w:t>
      </w:r>
      <w:r w:rsidR="00950F94" w:rsidRPr="009E2FFF">
        <w:t>18</w:t>
      </w:r>
      <w:r w:rsidR="00950F94">
        <w:t>.</w:t>
      </w:r>
      <w:r w:rsidR="00387937">
        <w:t xml:space="preserve"> </w:t>
      </w:r>
      <w:r w:rsidR="00950F94">
        <w:t xml:space="preserve">Figure </w:t>
      </w:r>
      <w:r w:rsidR="00B370BD">
        <w:t>1</w:t>
      </w:r>
      <w:r w:rsidR="00950F94">
        <w:t xml:space="preserve">-2 </w:t>
      </w:r>
      <w:r w:rsidR="00776131">
        <w:t>shows that almost all of th</w:t>
      </w:r>
      <w:r>
        <w:t xml:space="preserve">is difference </w:t>
      </w:r>
      <w:r w:rsidR="00776131">
        <w:t xml:space="preserve">can be explained by increases in </w:t>
      </w:r>
      <w:r>
        <w:t xml:space="preserve">assets </w:t>
      </w:r>
      <w:r w:rsidRPr="00A95FDD">
        <w:t>characterised</w:t>
      </w:r>
      <w:r>
        <w:t xml:space="preserve"> as </w:t>
      </w:r>
      <w:r w:rsidR="00187533">
        <w:t>‘i</w:t>
      </w:r>
      <w:r w:rsidR="00187533" w:rsidRPr="003F2360">
        <w:t xml:space="preserve">nvestments, loans and </w:t>
      </w:r>
      <w:proofErr w:type="gramStart"/>
      <w:r w:rsidR="00187533" w:rsidRPr="003F2360">
        <w:t>placements</w:t>
      </w:r>
      <w:r w:rsidR="00187533">
        <w:t>’</w:t>
      </w:r>
      <w:proofErr w:type="gramEnd"/>
      <w:r>
        <w:t xml:space="preserve">. While the impact of ‘net other’ </w:t>
      </w:r>
      <w:r w:rsidR="00F4202E">
        <w:t>changes</w:t>
      </w:r>
      <w:r>
        <w:t xml:space="preserve"> is significant in some individual years, it cannot explain the trend increase in the difference between gross and net debt. </w:t>
      </w:r>
    </w:p>
    <w:p w:rsidR="00DC4EE3" w:rsidRDefault="00DC4EE3" w:rsidP="00B80339"/>
    <w:p w:rsidR="00DC4EE3" w:rsidRDefault="00DC4EE3" w:rsidP="00816B15">
      <w:pPr>
        <w:pStyle w:val="CaptionLeft"/>
        <w:jc w:val="center"/>
      </w:pPr>
      <w:r>
        <w:t xml:space="preserve">Figure </w:t>
      </w:r>
      <w:r w:rsidR="00E63F00">
        <w:t>1</w:t>
      </w:r>
      <w:r>
        <w:t xml:space="preserve">-2: Drivers of the difference between </w:t>
      </w:r>
      <w:r w:rsidR="00135B4B">
        <w:t xml:space="preserve">gross </w:t>
      </w:r>
      <w:r w:rsidR="00A95FDD">
        <w:t>d</w:t>
      </w:r>
      <w:r>
        <w:t xml:space="preserve">ebt and </w:t>
      </w:r>
      <w:r w:rsidR="00135B4B">
        <w:t xml:space="preserve">net </w:t>
      </w:r>
      <w:r w:rsidR="00A95FDD">
        <w:t>d</w:t>
      </w:r>
      <w:r>
        <w:t>ebt</w:t>
      </w:r>
    </w:p>
    <w:p w:rsidR="00DC4EE3" w:rsidRDefault="002C0372" w:rsidP="002C0372">
      <w:pPr>
        <w:pStyle w:val="BodyText"/>
        <w:jc w:val="center"/>
      </w:pPr>
      <w:r>
        <w:rPr>
          <w:noProof/>
          <w:lang w:eastAsia="en-AU"/>
        </w:rPr>
        <w:drawing>
          <wp:inline distT="0" distB="0" distL="0" distR="0">
            <wp:extent cx="5760000" cy="3811849"/>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2_Drivers if the difference between gross debt and net debt_V2-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00" cy="3811849"/>
                    </a:xfrm>
                    <a:prstGeom prst="rect">
                      <a:avLst/>
                    </a:prstGeom>
                  </pic:spPr>
                </pic:pic>
              </a:graphicData>
            </a:graphic>
          </wp:inline>
        </w:drawing>
      </w:r>
    </w:p>
    <w:p w:rsidR="00E912A5" w:rsidRDefault="00E912A5" w:rsidP="00231DAF">
      <w:pPr>
        <w:pStyle w:val="BodyText"/>
      </w:pPr>
    </w:p>
    <w:p w:rsidR="00DC4EE3" w:rsidRDefault="00DC4EE3" w:rsidP="00CD2199">
      <w:pPr>
        <w:pStyle w:val="BodyText"/>
        <w:spacing w:before="0" w:line="240" w:lineRule="auto"/>
        <w:ind w:left="454" w:right="567"/>
        <w:rPr>
          <w:color w:val="7F7F7F" w:themeColor="text1" w:themeTint="80"/>
          <w:sz w:val="18"/>
        </w:rPr>
      </w:pPr>
      <w:r>
        <w:rPr>
          <w:color w:val="7F7F7F" w:themeColor="text1" w:themeTint="80"/>
          <w:sz w:val="18"/>
        </w:rPr>
        <w:t xml:space="preserve">Note: </w:t>
      </w:r>
      <w:r w:rsidR="007047C3">
        <w:rPr>
          <w:color w:val="7F7F7F" w:themeColor="text1" w:themeTint="80"/>
          <w:sz w:val="18"/>
        </w:rPr>
        <w:t>T</w:t>
      </w:r>
      <w:r w:rsidRPr="00DD702A">
        <w:rPr>
          <w:color w:val="7F7F7F" w:themeColor="text1" w:themeTint="80"/>
          <w:sz w:val="18"/>
        </w:rPr>
        <w:t xml:space="preserve">he balance sheet components that have been aggregated into </w:t>
      </w:r>
      <w:r w:rsidR="00A95FDD">
        <w:rPr>
          <w:color w:val="7F7F7F" w:themeColor="text1" w:themeTint="80"/>
          <w:sz w:val="18"/>
        </w:rPr>
        <w:t>‘</w:t>
      </w:r>
      <w:r w:rsidRPr="00DD702A">
        <w:rPr>
          <w:color w:val="7F7F7F" w:themeColor="text1" w:themeTint="80"/>
          <w:sz w:val="18"/>
        </w:rPr>
        <w:t>Net Other</w:t>
      </w:r>
      <w:r w:rsidR="00A95FDD">
        <w:rPr>
          <w:color w:val="7F7F7F" w:themeColor="text1" w:themeTint="80"/>
          <w:sz w:val="18"/>
        </w:rPr>
        <w:t>’</w:t>
      </w:r>
      <w:r w:rsidRPr="00DD702A">
        <w:rPr>
          <w:color w:val="7F7F7F" w:themeColor="text1" w:themeTint="80"/>
          <w:sz w:val="18"/>
        </w:rPr>
        <w:t xml:space="preserve"> are </w:t>
      </w:r>
      <w:r w:rsidR="00A95FDD">
        <w:rPr>
          <w:color w:val="7F7F7F" w:themeColor="text1" w:themeTint="80"/>
          <w:sz w:val="18"/>
        </w:rPr>
        <w:t>‘</w:t>
      </w:r>
      <w:r w:rsidRPr="00DD702A">
        <w:rPr>
          <w:color w:val="7F7F7F" w:themeColor="text1" w:themeTint="80"/>
          <w:sz w:val="18"/>
        </w:rPr>
        <w:t>Advances Paid</w:t>
      </w:r>
      <w:r w:rsidR="00A95FDD">
        <w:rPr>
          <w:color w:val="7F7F7F" w:themeColor="text1" w:themeTint="80"/>
          <w:sz w:val="18"/>
        </w:rPr>
        <w:t>’</w:t>
      </w:r>
      <w:r w:rsidRPr="00DD702A">
        <w:rPr>
          <w:color w:val="7F7F7F" w:themeColor="text1" w:themeTint="80"/>
          <w:sz w:val="18"/>
        </w:rPr>
        <w:t xml:space="preserve">, </w:t>
      </w:r>
      <w:r w:rsidR="00A95FDD">
        <w:rPr>
          <w:color w:val="7F7F7F" w:themeColor="text1" w:themeTint="80"/>
          <w:sz w:val="18"/>
        </w:rPr>
        <w:t>‘</w:t>
      </w:r>
      <w:r w:rsidRPr="00DD702A">
        <w:rPr>
          <w:color w:val="7F7F7F" w:themeColor="text1" w:themeTint="80"/>
          <w:sz w:val="18"/>
        </w:rPr>
        <w:t>Cash</w:t>
      </w:r>
      <w:r w:rsidR="00D4704D">
        <w:rPr>
          <w:color w:val="7F7F7F" w:themeColor="text1" w:themeTint="80"/>
          <w:sz w:val="18"/>
        </w:rPr>
        <w:t xml:space="preserve"> </w:t>
      </w:r>
      <w:r w:rsidRPr="00DD702A">
        <w:rPr>
          <w:color w:val="7F7F7F" w:themeColor="text1" w:themeTint="80"/>
          <w:sz w:val="18"/>
        </w:rPr>
        <w:t>and Deposits</w:t>
      </w:r>
      <w:r w:rsidR="00A95FDD">
        <w:rPr>
          <w:color w:val="7F7F7F" w:themeColor="text1" w:themeTint="80"/>
          <w:sz w:val="18"/>
        </w:rPr>
        <w:t>’</w:t>
      </w:r>
      <w:r w:rsidRPr="00DD702A">
        <w:rPr>
          <w:color w:val="7F7F7F" w:themeColor="text1" w:themeTint="80"/>
          <w:sz w:val="18"/>
        </w:rPr>
        <w:t xml:space="preserve">, </w:t>
      </w:r>
      <w:r w:rsidR="00A95FDD">
        <w:rPr>
          <w:color w:val="7F7F7F" w:themeColor="text1" w:themeTint="80"/>
          <w:sz w:val="18"/>
        </w:rPr>
        <w:t>‘</w:t>
      </w:r>
      <w:r w:rsidRPr="00DD702A">
        <w:rPr>
          <w:color w:val="7F7F7F" w:themeColor="text1" w:themeTint="80"/>
          <w:sz w:val="18"/>
        </w:rPr>
        <w:t>the difference between the face value and market value of CGS</w:t>
      </w:r>
      <w:r w:rsidR="00A95FDD">
        <w:rPr>
          <w:color w:val="7F7F7F" w:themeColor="text1" w:themeTint="80"/>
          <w:sz w:val="18"/>
        </w:rPr>
        <w:t>’</w:t>
      </w:r>
      <w:r w:rsidRPr="00DD702A">
        <w:rPr>
          <w:color w:val="7F7F7F" w:themeColor="text1" w:themeTint="80"/>
          <w:sz w:val="18"/>
        </w:rPr>
        <w:t xml:space="preserve"> and </w:t>
      </w:r>
      <w:r w:rsidR="00A95FDD">
        <w:rPr>
          <w:color w:val="7F7F7F" w:themeColor="text1" w:themeTint="80"/>
          <w:sz w:val="18"/>
        </w:rPr>
        <w:t>‘</w:t>
      </w:r>
      <w:r w:rsidRPr="00DD702A">
        <w:rPr>
          <w:color w:val="7F7F7F" w:themeColor="text1" w:themeTint="80"/>
          <w:sz w:val="18"/>
        </w:rPr>
        <w:t>Other Interest-Bearing Liabilities</w:t>
      </w:r>
      <w:r w:rsidR="00A95FDD">
        <w:rPr>
          <w:color w:val="7F7F7F" w:themeColor="text1" w:themeTint="80"/>
          <w:sz w:val="18"/>
        </w:rPr>
        <w:t>’</w:t>
      </w:r>
      <w:r w:rsidRPr="00DD702A">
        <w:rPr>
          <w:color w:val="7F7F7F" w:themeColor="text1" w:themeTint="80"/>
          <w:sz w:val="18"/>
        </w:rPr>
        <w:t>.</w:t>
      </w:r>
    </w:p>
    <w:p w:rsidR="00DC4EE3" w:rsidRPr="00950437" w:rsidRDefault="00DC4EE3" w:rsidP="00CD2199">
      <w:pPr>
        <w:pStyle w:val="BodyText"/>
        <w:spacing w:before="0" w:line="240" w:lineRule="auto"/>
        <w:ind w:left="454" w:right="567"/>
        <w:rPr>
          <w:color w:val="7F7F7F" w:themeColor="text1" w:themeTint="80"/>
          <w:sz w:val="18"/>
        </w:rPr>
      </w:pPr>
      <w:r w:rsidRPr="00950437">
        <w:rPr>
          <w:color w:val="7F7F7F" w:themeColor="text1" w:themeTint="80"/>
          <w:sz w:val="18"/>
        </w:rPr>
        <w:t>Source: ABS; AOFM data;</w:t>
      </w:r>
      <w:r w:rsidR="00A95FDD">
        <w:rPr>
          <w:color w:val="7F7F7F" w:themeColor="text1" w:themeTint="80"/>
          <w:sz w:val="18"/>
        </w:rPr>
        <w:t xml:space="preserve"> </w:t>
      </w:r>
      <w:r w:rsidR="00A95FDD" w:rsidRPr="00F4067B">
        <w:rPr>
          <w:color w:val="7F7F7F" w:themeColor="text1" w:themeTint="80"/>
          <w:sz w:val="18"/>
        </w:rPr>
        <w:t>FFMA Annual Reports</w:t>
      </w:r>
      <w:r w:rsidR="0063234D">
        <w:rPr>
          <w:color w:val="7F7F7F" w:themeColor="text1" w:themeTint="80"/>
          <w:sz w:val="18"/>
        </w:rPr>
        <w:t xml:space="preserve"> </w:t>
      </w:r>
      <w:r w:rsidR="0063234D" w:rsidRPr="0063234D">
        <w:rPr>
          <w:color w:val="7F7F7F" w:themeColor="text1" w:themeTint="80"/>
          <w:sz w:val="18"/>
        </w:rPr>
        <w:t>(investment performance section and notes to audited financial statements)</w:t>
      </w:r>
      <w:r w:rsidR="00A95FDD" w:rsidRPr="0063234D">
        <w:rPr>
          <w:color w:val="7F7F7F" w:themeColor="text1" w:themeTint="80"/>
          <w:sz w:val="18"/>
        </w:rPr>
        <w:t>;</w:t>
      </w:r>
      <w:r w:rsidRPr="00950437">
        <w:rPr>
          <w:color w:val="7F7F7F" w:themeColor="text1" w:themeTint="80"/>
          <w:sz w:val="18"/>
        </w:rPr>
        <w:t xml:space="preserve"> Budget Papers </w:t>
      </w:r>
      <w:r w:rsidR="00DA5757">
        <w:rPr>
          <w:color w:val="7F7F7F" w:themeColor="text1" w:themeTint="80"/>
          <w:sz w:val="18"/>
        </w:rPr>
        <w:t>h</w:t>
      </w:r>
      <w:r w:rsidRPr="00950437">
        <w:rPr>
          <w:color w:val="7F7F7F" w:themeColor="text1" w:themeTint="80"/>
          <w:sz w:val="18"/>
        </w:rPr>
        <w:t xml:space="preserve">istorical data and PBO </w:t>
      </w:r>
      <w:r w:rsidR="00DA5757">
        <w:rPr>
          <w:color w:val="7F7F7F" w:themeColor="text1" w:themeTint="80"/>
          <w:sz w:val="18"/>
        </w:rPr>
        <w:t>c</w:t>
      </w:r>
      <w:r w:rsidRPr="00950437">
        <w:rPr>
          <w:color w:val="7F7F7F" w:themeColor="text1" w:themeTint="80"/>
          <w:sz w:val="18"/>
        </w:rPr>
        <w:t>alculations</w:t>
      </w:r>
      <w:r w:rsidR="00087A42">
        <w:rPr>
          <w:color w:val="7F7F7F" w:themeColor="text1" w:themeTint="80"/>
          <w:sz w:val="18"/>
        </w:rPr>
        <w:t xml:space="preserve"> based</w:t>
      </w:r>
      <w:r w:rsidR="0063234D">
        <w:rPr>
          <w:color w:val="7F7F7F" w:themeColor="text1" w:themeTint="80"/>
          <w:sz w:val="18"/>
        </w:rPr>
        <w:t xml:space="preserve"> </w:t>
      </w:r>
      <w:r w:rsidR="00087A42">
        <w:rPr>
          <w:color w:val="7F7F7F" w:themeColor="text1" w:themeTint="80"/>
          <w:sz w:val="18"/>
        </w:rPr>
        <w:t>on publicly available information</w:t>
      </w:r>
      <w:r w:rsidR="00110B82" w:rsidRPr="00564779">
        <w:rPr>
          <w:color w:val="7F7F7F" w:themeColor="text1" w:themeTint="80"/>
          <w:sz w:val="18"/>
          <w:vertAlign w:val="superscript"/>
        </w:rPr>
        <w:footnoteReference w:id="10"/>
      </w:r>
    </w:p>
    <w:p w:rsidR="003A605E" w:rsidRPr="007A7DC3" w:rsidRDefault="003A605E">
      <w:pPr>
        <w:rPr>
          <w:rFonts w:cs="Times New Roman"/>
          <w:vertAlign w:val="subscript"/>
        </w:rPr>
      </w:pPr>
      <w:r>
        <w:br w:type="page"/>
      </w:r>
    </w:p>
    <w:p w:rsidR="008A7B63" w:rsidRDefault="000B4863" w:rsidP="00950F94">
      <w:pPr>
        <w:pStyle w:val="BodyText"/>
      </w:pPr>
      <w:r>
        <w:lastRenderedPageBreak/>
        <w:t>Within the budget papers,</w:t>
      </w:r>
      <w:r w:rsidR="001127DF">
        <w:t xml:space="preserve"> ‘investments, loans and placements’</w:t>
      </w:r>
      <w:r>
        <w:t xml:space="preserve">, </w:t>
      </w:r>
      <w:r w:rsidR="001127DF">
        <w:t>in turn</w:t>
      </w:r>
      <w:r>
        <w:t>,</w:t>
      </w:r>
      <w:r w:rsidR="001127DF">
        <w:t xml:space="preserve"> are broken down into</w:t>
      </w:r>
      <w:r w:rsidR="003C47F2">
        <w:br/>
      </w:r>
      <w:r w:rsidR="001127DF">
        <w:t>three categories</w:t>
      </w:r>
      <w:r w:rsidR="008A7B63">
        <w:t>—‘deposits’</w:t>
      </w:r>
      <w:r w:rsidR="001127DF">
        <w:t xml:space="preserve">, the </w:t>
      </w:r>
      <w:r w:rsidR="008A7B63">
        <w:t>‘</w:t>
      </w:r>
      <w:r w:rsidR="001127DF">
        <w:t>IMF quota</w:t>
      </w:r>
      <w:r w:rsidR="008A7B63">
        <w:t>’</w:t>
      </w:r>
      <w:r w:rsidR="001127DF">
        <w:t xml:space="preserve"> and ‘other’.</w:t>
      </w:r>
      <w:r w:rsidR="008A7B63">
        <w:rPr>
          <w:rStyle w:val="FootnoteReference"/>
        </w:rPr>
        <w:footnoteReference w:id="11"/>
      </w:r>
      <w:r w:rsidR="001127DF">
        <w:t xml:space="preserve"> </w:t>
      </w:r>
      <w:r w:rsidR="008A7B63">
        <w:t xml:space="preserve">The </w:t>
      </w:r>
      <w:r w:rsidR="001127DF">
        <w:t>‘</w:t>
      </w:r>
      <w:r w:rsidR="008A7B63">
        <w:t>o</w:t>
      </w:r>
      <w:r w:rsidR="001127DF">
        <w:t xml:space="preserve">ther’ </w:t>
      </w:r>
      <w:r w:rsidR="008A7B63">
        <w:t xml:space="preserve">category accounts for around </w:t>
      </w:r>
      <w:r w:rsidR="0049025F">
        <w:t>70 per </w:t>
      </w:r>
      <w:r w:rsidR="008A7B63">
        <w:t>cent of ‘investments, loans and placements’.</w:t>
      </w:r>
      <w:r w:rsidR="00F43274">
        <w:rPr>
          <w:rStyle w:val="FootnoteReference"/>
        </w:rPr>
        <w:footnoteReference w:id="12"/>
      </w:r>
      <w:r w:rsidR="008A7B63">
        <w:t xml:space="preserve"> This </w:t>
      </w:r>
      <w:r w:rsidR="001127DF">
        <w:t>is the category that</w:t>
      </w:r>
      <w:r w:rsidR="00950F94" w:rsidRPr="003F2360">
        <w:t xml:space="preserve"> </w:t>
      </w:r>
      <w:r w:rsidR="001127DF">
        <w:t xml:space="preserve">captures </w:t>
      </w:r>
      <w:r w:rsidR="00950F94" w:rsidRPr="003F2360">
        <w:t>investment fund</w:t>
      </w:r>
      <w:r w:rsidR="00950F94">
        <w:t xml:space="preserve"> assets</w:t>
      </w:r>
      <w:r w:rsidR="001127DF">
        <w:t xml:space="preserve">, including assets held by </w:t>
      </w:r>
      <w:r w:rsidR="00950F94">
        <w:t>the Future Fund</w:t>
      </w:r>
      <w:r w:rsidR="001127DF">
        <w:t>, that are offset against</w:t>
      </w:r>
      <w:r w:rsidR="008A7B63">
        <w:t xml:space="preserve"> liabilities when calculating net debt</w:t>
      </w:r>
      <w:r w:rsidR="00950F94">
        <w:t>.</w:t>
      </w:r>
      <w:r w:rsidR="00950F94" w:rsidRPr="009E0262">
        <w:t xml:space="preserve"> </w:t>
      </w:r>
      <w:r w:rsidR="008A7B63">
        <w:t xml:space="preserve"> </w:t>
      </w:r>
    </w:p>
    <w:p w:rsidR="00324A3A" w:rsidRDefault="001127DF" w:rsidP="00950F94">
      <w:pPr>
        <w:pStyle w:val="BodyText"/>
      </w:pPr>
      <w:r>
        <w:t xml:space="preserve">Not surprisingly, </w:t>
      </w:r>
      <w:r w:rsidR="008A7B63">
        <w:t xml:space="preserve">and as shown in Figure 1-2, </w:t>
      </w:r>
      <w:r>
        <w:t>within ‘investments, loans and placements’, the most significant development has been the establishment of, and growth in, the Future Fund</w:t>
      </w:r>
      <w:r w:rsidR="00AD5F9D">
        <w:t>,</w:t>
      </w:r>
      <w:r w:rsidR="008A7B63">
        <w:t xml:space="preserve"> </w:t>
      </w:r>
      <w:r>
        <w:t>although other assets captured by this budget line item have also roughly doubled as a share of GDP</w:t>
      </w:r>
      <w:r w:rsidR="00AD5F9D">
        <w:t xml:space="preserve"> over</w:t>
      </w:r>
      <w:r w:rsidR="00D4704D">
        <w:br/>
      </w:r>
      <w:r w:rsidR="00AD5F9D">
        <w:t>the past two decades</w:t>
      </w:r>
      <w:r>
        <w:t xml:space="preserve">. </w:t>
      </w:r>
    </w:p>
    <w:p w:rsidR="00AD5F9D" w:rsidRDefault="00F06BE3" w:rsidP="00950F94">
      <w:pPr>
        <w:pStyle w:val="BodyText"/>
      </w:pPr>
      <w:r>
        <w:t>Given the growing size and impact of ‘investments, loans and placements’ in the calculation of</w:t>
      </w:r>
      <w:r w:rsidR="006B563B">
        <w:br/>
      </w:r>
      <w:r>
        <w:t>net debt, additional detail on its components, particularly the ‘other’ component</w:t>
      </w:r>
      <w:r w:rsidR="00E81931">
        <w:t>,</w:t>
      </w:r>
      <w:r>
        <w:t xml:space="preserve"> would be a valuable addition to the budget papers and would aid the public understanding of, and confidence</w:t>
      </w:r>
      <w:r w:rsidR="006B563B">
        <w:br/>
      </w:r>
      <w:r>
        <w:t>in, measures of net debt. Currently over 50 per cent of the value of assets that are offset against interest-bearing liabilities in the calculation of net debt are characterised as ‘</w:t>
      </w:r>
      <w:r w:rsidR="00E151F3">
        <w:t>o</w:t>
      </w:r>
      <w:r w:rsidR="0049025F">
        <w:t xml:space="preserve">ther’ </w:t>
      </w:r>
      <w:r>
        <w:t>in the</w:t>
      </w:r>
      <w:r w:rsidR="006B563B">
        <w:br/>
      </w:r>
      <w:r>
        <w:t>budget papers.</w:t>
      </w:r>
    </w:p>
    <w:p w:rsidR="00560CAE" w:rsidRDefault="00AD5F9D" w:rsidP="00AD5F9D">
      <w:pPr>
        <w:pStyle w:val="BodyText"/>
      </w:pPr>
      <w:r>
        <w:t xml:space="preserve">The budget treatment of the assets held in investment funds </w:t>
      </w:r>
      <w:r w:rsidR="00E81931">
        <w:t>is</w:t>
      </w:r>
      <w:r>
        <w:t xml:space="preserve"> explored further in the next section</w:t>
      </w:r>
      <w:r w:rsidR="0073242B">
        <w:t>;</w:t>
      </w:r>
      <w:r>
        <w:t xml:space="preserve"> and a</w:t>
      </w:r>
      <w:r w:rsidR="00560CAE">
        <w:t xml:space="preserve"> complete reconciliation of gross debt and net debt in the </w:t>
      </w:r>
      <w:r w:rsidR="00E151F3">
        <w:t>b</w:t>
      </w:r>
      <w:r w:rsidR="00560CAE">
        <w:t xml:space="preserve">udget is provided at </w:t>
      </w:r>
      <w:r w:rsidR="00560CAE" w:rsidRPr="00C541AF">
        <w:rPr>
          <w:u w:val="single"/>
        </w:rPr>
        <w:t>Appendix A</w:t>
      </w:r>
      <w:r w:rsidR="00560CAE">
        <w:t>.</w:t>
      </w:r>
    </w:p>
    <w:p w:rsidR="004E3832" w:rsidRDefault="004E3832">
      <w:pPr>
        <w:rPr>
          <w:rFonts w:ascii="Calibri Light" w:hAnsi="Calibri Light"/>
          <w:bCs/>
          <w:color w:val="3D4D7D" w:themeColor="background2"/>
          <w:kern w:val="32"/>
          <w:sz w:val="52"/>
          <w:szCs w:val="32"/>
        </w:rPr>
      </w:pPr>
      <w:r>
        <w:br w:type="page"/>
      </w:r>
    </w:p>
    <w:p w:rsidR="009E1CD6" w:rsidRPr="00503921" w:rsidRDefault="009E1CD6" w:rsidP="009E1CD6">
      <w:pPr>
        <w:pStyle w:val="Heading1"/>
      </w:pPr>
      <w:bookmarkStart w:id="6" w:name="_Toc2860939"/>
      <w:r>
        <w:lastRenderedPageBreak/>
        <w:t xml:space="preserve">A </w:t>
      </w:r>
      <w:r w:rsidR="0097291D">
        <w:t>c</w:t>
      </w:r>
      <w:r w:rsidRPr="00503921">
        <w:t xml:space="preserve">loser </w:t>
      </w:r>
      <w:r w:rsidR="0097291D">
        <w:t>l</w:t>
      </w:r>
      <w:r w:rsidRPr="00503921">
        <w:t>ook at the Future Fund</w:t>
      </w:r>
      <w:r w:rsidR="007B59FE">
        <w:br/>
      </w:r>
      <w:r>
        <w:t xml:space="preserve">and </w:t>
      </w:r>
      <w:r w:rsidR="0097291D">
        <w:t>o</w:t>
      </w:r>
      <w:r>
        <w:t xml:space="preserve">ther </w:t>
      </w:r>
      <w:r w:rsidR="0097291D">
        <w:t>i</w:t>
      </w:r>
      <w:r>
        <w:t xml:space="preserve">nvestment </w:t>
      </w:r>
      <w:r w:rsidR="0097291D">
        <w:t>f</w:t>
      </w:r>
      <w:r>
        <w:t>unds</w:t>
      </w:r>
      <w:bookmarkEnd w:id="6"/>
    </w:p>
    <w:p w:rsidR="00387937" w:rsidRDefault="00F43274" w:rsidP="00387937">
      <w:pPr>
        <w:pStyle w:val="BodyText"/>
      </w:pPr>
      <w:r>
        <w:t>Successive</w:t>
      </w:r>
      <w:r w:rsidR="00387937" w:rsidRPr="000C043F">
        <w:t xml:space="preserve"> Commonwealth Government</w:t>
      </w:r>
      <w:r>
        <w:t>s</w:t>
      </w:r>
      <w:r w:rsidR="00387937" w:rsidRPr="000C043F">
        <w:t xml:space="preserve"> ha</w:t>
      </w:r>
      <w:r>
        <w:t>ve</w:t>
      </w:r>
      <w:r w:rsidR="00387937" w:rsidRPr="000C043F">
        <w:t xml:space="preserve"> created </w:t>
      </w:r>
      <w:r w:rsidR="00AD5F9D">
        <w:t xml:space="preserve">a number of </w:t>
      </w:r>
      <w:r w:rsidR="00387937">
        <w:t>investment funds since 2006, which have</w:t>
      </w:r>
      <w:r w:rsidR="00387937" w:rsidRPr="000C043F">
        <w:t xml:space="preserve"> grown to a combined total value of $175.5 billion (9.5 per cent of GDP) as at 30</w:t>
      </w:r>
      <w:r>
        <w:t> </w:t>
      </w:r>
      <w:r w:rsidR="00387937" w:rsidRPr="000C043F">
        <w:t>June</w:t>
      </w:r>
      <w:r>
        <w:t> </w:t>
      </w:r>
      <w:r w:rsidR="00387937" w:rsidRPr="000C043F">
        <w:t>2018</w:t>
      </w:r>
      <w:r w:rsidR="00387937">
        <w:t>.</w:t>
      </w:r>
      <w:r>
        <w:t xml:space="preserve"> </w:t>
      </w:r>
    </w:p>
    <w:p w:rsidR="00F43274" w:rsidRDefault="00F43274" w:rsidP="00387937">
      <w:pPr>
        <w:pStyle w:val="BodyText"/>
      </w:pPr>
      <w:r>
        <w:t>The Future Fund is a sovereign wealth fund designed to strengthen the Commonwealth’s long-term financial position</w:t>
      </w:r>
      <w:r w:rsidRPr="00530A7E">
        <w:t>, while other investment funds have been established for specific purposes with drawdowns hypothecated to specific programs or priorities.</w:t>
      </w:r>
    </w:p>
    <w:p w:rsidR="00387937" w:rsidRPr="000C043F" w:rsidRDefault="00387937" w:rsidP="00387937">
      <w:pPr>
        <w:pStyle w:val="BodyText"/>
      </w:pPr>
      <w:r>
        <w:t xml:space="preserve">The Future Fund was valued at $145.8 billion (7.9 per cent of GDP) as at 30 June 2018, </w:t>
      </w:r>
      <w:r w:rsidR="007047C3">
        <w:t xml:space="preserve">with </w:t>
      </w:r>
      <w:r>
        <w:t>the other i</w:t>
      </w:r>
      <w:r w:rsidRPr="000C043F">
        <w:t>nvestment fund</w:t>
      </w:r>
      <w:r>
        <w:t>s</w:t>
      </w:r>
      <w:r w:rsidRPr="000C043F">
        <w:t xml:space="preserve"> </w:t>
      </w:r>
      <w:r w:rsidR="007047C3">
        <w:t xml:space="preserve">collectively </w:t>
      </w:r>
      <w:r w:rsidRPr="000C043F">
        <w:t xml:space="preserve">valued at $29.8 billion (1.6 per </w:t>
      </w:r>
      <w:r>
        <w:t>cent of GDP). These</w:t>
      </w:r>
      <w:r w:rsidRPr="000C043F">
        <w:t xml:space="preserve"> </w:t>
      </w:r>
      <w:r w:rsidR="00AD5F9D">
        <w:t xml:space="preserve">other funds </w:t>
      </w:r>
      <w:r w:rsidRPr="000C043F">
        <w:t>include</w:t>
      </w:r>
      <w:r w:rsidR="0037247B">
        <w:t xml:space="preserve"> the </w:t>
      </w:r>
      <w:proofErr w:type="spellStart"/>
      <w:r w:rsidR="0037247B">
        <w:t>Disability</w:t>
      </w:r>
      <w:r w:rsidR="00516F2C">
        <w:t>Care</w:t>
      </w:r>
      <w:proofErr w:type="spellEnd"/>
      <w:r w:rsidR="00516F2C">
        <w:t xml:space="preserve"> Australia F</w:t>
      </w:r>
      <w:r w:rsidRPr="000C043F">
        <w:t>und ($14.8</w:t>
      </w:r>
      <w:r w:rsidR="00672886">
        <w:t xml:space="preserve"> billion</w:t>
      </w:r>
      <w:r w:rsidRPr="000C043F">
        <w:t>)</w:t>
      </w:r>
      <w:r w:rsidR="00AD5F9D">
        <w:t>,</w:t>
      </w:r>
      <w:r w:rsidRPr="000C043F">
        <w:t xml:space="preserve"> </w:t>
      </w:r>
      <w:r>
        <w:t>the</w:t>
      </w:r>
      <w:r w:rsidRPr="000C043F">
        <w:t xml:space="preserve"> Medical Research Future Fund ($7.2</w:t>
      </w:r>
      <w:r w:rsidR="00672886">
        <w:t> billion</w:t>
      </w:r>
      <w:r w:rsidRPr="000C043F">
        <w:t>)</w:t>
      </w:r>
      <w:r w:rsidR="00AD5F9D">
        <w:t>,</w:t>
      </w:r>
      <w:r w:rsidR="00D4704D">
        <w:br/>
      </w:r>
      <w:r>
        <w:t xml:space="preserve">the </w:t>
      </w:r>
      <w:r w:rsidRPr="000C043F">
        <w:t>Building Australia Fund ($3.9</w:t>
      </w:r>
      <w:r w:rsidR="00672886">
        <w:t xml:space="preserve"> billion</w:t>
      </w:r>
      <w:r w:rsidRPr="000C043F">
        <w:t>)</w:t>
      </w:r>
      <w:r w:rsidR="00AD5F9D">
        <w:t>,</w:t>
      </w:r>
      <w:r>
        <w:t xml:space="preserve"> and the</w:t>
      </w:r>
      <w:r w:rsidRPr="000C043F">
        <w:t xml:space="preserve"> Education Investment Fund ($3.9</w:t>
      </w:r>
      <w:r w:rsidR="00672886">
        <w:t> billion</w:t>
      </w:r>
      <w:r w:rsidRPr="000C043F">
        <w:t xml:space="preserve">). </w:t>
      </w:r>
    </w:p>
    <w:p w:rsidR="00D4704D" w:rsidRDefault="00387937" w:rsidP="00387937">
      <w:pPr>
        <w:pStyle w:val="BodyText"/>
      </w:pPr>
      <w:r w:rsidRPr="00BC5F11">
        <w:t>The combined value of these investment funds is more than one third of the total financial assets</w:t>
      </w:r>
      <w:r w:rsidR="00D4704D">
        <w:br/>
      </w:r>
      <w:r w:rsidRPr="00BC5F11">
        <w:t xml:space="preserve">on the Commonwealth balance </w:t>
      </w:r>
      <w:proofErr w:type="gramStart"/>
      <w:r w:rsidRPr="00BC5F11">
        <w:t>sheet</w:t>
      </w:r>
      <w:r w:rsidRPr="000C043F">
        <w:t>, and</w:t>
      </w:r>
      <w:proofErr w:type="gramEnd"/>
      <w:r w:rsidRPr="000C043F">
        <w:t xml:space="preserve"> </w:t>
      </w:r>
      <w:r>
        <w:t>is</w:t>
      </w:r>
      <w:r w:rsidRPr="000C043F">
        <w:t xml:space="preserve"> projected to continue to grow over the medium term.</w:t>
      </w:r>
      <w:r w:rsidRPr="000C043F">
        <w:rPr>
          <w:vertAlign w:val="superscript"/>
        </w:rPr>
        <w:footnoteReference w:id="13"/>
      </w:r>
      <w:r w:rsidRPr="00BC5F11">
        <w:t xml:space="preserve"> </w:t>
      </w:r>
    </w:p>
    <w:p w:rsidR="00387937" w:rsidRDefault="00387937" w:rsidP="00ED7808">
      <w:pPr>
        <w:pStyle w:val="Heading2NoNumbering"/>
      </w:pPr>
      <w:r>
        <w:t>Future Fund investment allocations</w:t>
      </w:r>
    </w:p>
    <w:p w:rsidR="005D543A" w:rsidRDefault="00847D6C" w:rsidP="008359A7">
      <w:pPr>
        <w:pStyle w:val="BodyTextAfterListTable"/>
      </w:pPr>
      <w:r>
        <w:t xml:space="preserve">As the largest of the </w:t>
      </w:r>
      <w:r w:rsidR="00D452A6">
        <w:t>i</w:t>
      </w:r>
      <w:r>
        <w:t xml:space="preserve">nvestment </w:t>
      </w:r>
      <w:r w:rsidR="00D452A6">
        <w:t>f</w:t>
      </w:r>
      <w:r>
        <w:t>unds, the Future Fund</w:t>
      </w:r>
      <w:r w:rsidR="00135B4B">
        <w:t>’s impact</w:t>
      </w:r>
      <w:r>
        <w:t xml:space="preserve"> </w:t>
      </w:r>
      <w:r w:rsidR="002F3D6F">
        <w:t>on the government’s balance</w:t>
      </w:r>
      <w:r w:rsidR="003C47F2">
        <w:br/>
      </w:r>
      <w:r w:rsidR="002F3D6F">
        <w:t xml:space="preserve">sheet </w:t>
      </w:r>
      <w:r w:rsidR="00AD5F9D">
        <w:t xml:space="preserve">has been </w:t>
      </w:r>
      <w:r>
        <w:t xml:space="preserve">particularly pronounced. </w:t>
      </w:r>
      <w:r w:rsidR="002F3D6F">
        <w:t>The Future Fund</w:t>
      </w:r>
      <w:r w:rsidR="002F3D6F" w:rsidRPr="000C043F">
        <w:t xml:space="preserve"> </w:t>
      </w:r>
      <w:r w:rsidR="009E1CD6" w:rsidRPr="000C043F">
        <w:t>was initially financed</w:t>
      </w:r>
      <w:r w:rsidR="00F4151D">
        <w:t xml:space="preserve"> </w:t>
      </w:r>
      <w:r w:rsidR="009E1CD6" w:rsidRPr="000C043F">
        <w:t>by contributions</w:t>
      </w:r>
      <w:r w:rsidR="003C47F2">
        <w:br/>
      </w:r>
      <w:r w:rsidR="009E1CD6" w:rsidRPr="000C043F">
        <w:t xml:space="preserve">from </w:t>
      </w:r>
      <w:r w:rsidR="00930CB0">
        <w:t xml:space="preserve">the </w:t>
      </w:r>
      <w:r w:rsidR="009E1CD6" w:rsidRPr="000C043F">
        <w:t>Commonwealth Government</w:t>
      </w:r>
      <w:r w:rsidR="00F13CCD">
        <w:t>,</w:t>
      </w:r>
      <w:r w:rsidR="009E1CD6" w:rsidRPr="000C043F">
        <w:t xml:space="preserve"> consisting of cash</w:t>
      </w:r>
      <w:r w:rsidR="00661933">
        <w:t xml:space="preserve"> from budget surpluses</w:t>
      </w:r>
      <w:r w:rsidR="009E1CD6" w:rsidRPr="000C043F">
        <w:t xml:space="preserve"> and Telstra shares.</w:t>
      </w:r>
      <w:r w:rsidR="003C47F2">
        <w:br/>
      </w:r>
      <w:r w:rsidR="009E1CD6" w:rsidRPr="000C043F">
        <w:t>The Telstra shares were gradually sold off as the Future Fund began progressively diversifying its portfolio</w:t>
      </w:r>
      <w:r w:rsidR="009E1CD6">
        <w:t xml:space="preserve">, which today includes investments in </w:t>
      </w:r>
      <w:r w:rsidR="00F13CCD">
        <w:t xml:space="preserve">a wide range of assets including cash, interest-bearing securities, listed equities, private equities, </w:t>
      </w:r>
      <w:r w:rsidR="009E1CD6">
        <w:t xml:space="preserve">tangibles (property, </w:t>
      </w:r>
      <w:r w:rsidR="009E1CD6" w:rsidRPr="00FA2E63">
        <w:t>infrast</w:t>
      </w:r>
      <w:r w:rsidR="009E1CD6">
        <w:t>ructure and timberland assets)</w:t>
      </w:r>
      <w:r w:rsidR="00F13CCD">
        <w:t xml:space="preserve"> and</w:t>
      </w:r>
      <w:r w:rsidR="009E1CD6">
        <w:t xml:space="preserve"> </w:t>
      </w:r>
      <w:r w:rsidR="00F13CCD">
        <w:t>alternative assets</w:t>
      </w:r>
      <w:r w:rsidR="00930CB0">
        <w:t>.</w:t>
      </w:r>
      <w:r w:rsidR="00110B82">
        <w:rPr>
          <w:rStyle w:val="FootnoteReference"/>
        </w:rPr>
        <w:footnoteReference w:id="14"/>
      </w:r>
      <w:r w:rsidR="00930CB0">
        <w:t xml:space="preserve">  </w:t>
      </w:r>
    </w:p>
    <w:p w:rsidR="00B370BD" w:rsidRDefault="009E1CD6" w:rsidP="008359A7">
      <w:pPr>
        <w:pStyle w:val="BodyTextAfterListTable"/>
      </w:pPr>
      <w:r>
        <w:t xml:space="preserve">In addition, the Future Fund increasingly invests through </w:t>
      </w:r>
      <w:r w:rsidR="00F13CCD">
        <w:t>‘</w:t>
      </w:r>
      <w:r>
        <w:t>collective investment vehicles</w:t>
      </w:r>
      <w:r w:rsidR="00F13CCD">
        <w:t>’</w:t>
      </w:r>
      <w:r>
        <w:t>, which</w:t>
      </w:r>
      <w:r w:rsidRPr="00DD519F">
        <w:t xml:space="preserve"> </w:t>
      </w:r>
      <w:r w:rsidRPr="009B36CF">
        <w:t>are entities that enable investors to pool their mo</w:t>
      </w:r>
      <w:r>
        <w:t>ney and invest the pooled funds,</w:t>
      </w:r>
      <w:r w:rsidRPr="009B36CF">
        <w:t xml:space="preserve"> rather th</w:t>
      </w:r>
      <w:r>
        <w:t xml:space="preserve">an buying </w:t>
      </w:r>
      <w:r w:rsidR="00F13CCD">
        <w:t xml:space="preserve">assets </w:t>
      </w:r>
      <w:r>
        <w:t>directly.</w:t>
      </w:r>
      <w:r w:rsidR="00F4151D">
        <w:rPr>
          <w:rStyle w:val="FootnoteReference"/>
        </w:rPr>
        <w:footnoteReference w:id="15"/>
      </w:r>
      <w:r w:rsidR="00135B4B">
        <w:t xml:space="preserve"> </w:t>
      </w:r>
      <w:r w:rsidR="00B370BD">
        <w:t xml:space="preserve">Future Fund assets </w:t>
      </w:r>
      <w:r w:rsidR="00135B4B">
        <w:t xml:space="preserve">in </w:t>
      </w:r>
      <w:r w:rsidR="00B370BD">
        <w:t>collective investment vehicles</w:t>
      </w:r>
      <w:r w:rsidR="00135B4B">
        <w:t xml:space="preserve"> </w:t>
      </w:r>
      <w:r w:rsidR="00B370BD">
        <w:t xml:space="preserve">accounted for </w:t>
      </w:r>
      <w:r w:rsidR="00B370BD" w:rsidRPr="004C52E9">
        <w:t>47 per cent of the total portfolio value</w:t>
      </w:r>
      <w:r w:rsidR="00135B4B">
        <w:t xml:space="preserve"> </w:t>
      </w:r>
      <w:r w:rsidR="00B370BD">
        <w:t>– or $</w:t>
      </w:r>
      <w:r w:rsidR="005E698F">
        <w:t>67.9</w:t>
      </w:r>
      <w:r w:rsidR="00B370BD">
        <w:t xml:space="preserve"> billion </w:t>
      </w:r>
      <w:r w:rsidR="00F13CCD">
        <w:t>–</w:t>
      </w:r>
      <w:r w:rsidR="00B370BD">
        <w:t xml:space="preserve"> </w:t>
      </w:r>
      <w:r w:rsidR="00B370BD" w:rsidRPr="004C52E9">
        <w:t>as at 30</w:t>
      </w:r>
      <w:r w:rsidR="00B370BD">
        <w:t> </w:t>
      </w:r>
      <w:r w:rsidR="00B370BD" w:rsidRPr="004C52E9">
        <w:t>June 2018</w:t>
      </w:r>
      <w:r w:rsidR="00B370BD">
        <w:t xml:space="preserve">.  </w:t>
      </w:r>
    </w:p>
    <w:p w:rsidR="005D543A" w:rsidRDefault="005D543A" w:rsidP="008359A7">
      <w:pPr>
        <w:pStyle w:val="BodyTextAfterListTable"/>
      </w:pPr>
      <w:r>
        <w:t>A significant proportion of Future Fund assets</w:t>
      </w:r>
      <w:r w:rsidR="00847D6C">
        <w:t>, including</w:t>
      </w:r>
      <w:r w:rsidR="00F13CCD">
        <w:t xml:space="preserve"> those held in</w:t>
      </w:r>
      <w:r w:rsidR="00847D6C">
        <w:t xml:space="preserve"> collective investment vehicles,</w:t>
      </w:r>
      <w:r>
        <w:t xml:space="preserve"> are invested via holding companies, which are </w:t>
      </w:r>
      <w:r w:rsidR="000945CB">
        <w:t>used</w:t>
      </w:r>
      <w:r>
        <w:t xml:space="preserve"> by the Future Fund</w:t>
      </w:r>
      <w:r w:rsidR="002B4ED4">
        <w:t xml:space="preserve"> </w:t>
      </w:r>
      <w:r w:rsidR="006C03B0">
        <w:t>for administrative and</w:t>
      </w:r>
      <w:r>
        <w:t xml:space="preserve"> tax </w:t>
      </w:r>
      <w:r w:rsidR="006C03B0">
        <w:t>purposes</w:t>
      </w:r>
      <w:r>
        <w:t>.</w:t>
      </w:r>
      <w:r w:rsidR="006F351D">
        <w:t xml:space="preserve"> </w:t>
      </w:r>
      <w:r>
        <w:t xml:space="preserve">Approximately </w:t>
      </w:r>
      <w:r w:rsidR="00B370BD">
        <w:t>$47.2</w:t>
      </w:r>
      <w:r w:rsidR="008442C6">
        <w:t> </w:t>
      </w:r>
      <w:r w:rsidR="00B370BD">
        <w:t>billion</w:t>
      </w:r>
      <w:r>
        <w:t xml:space="preserve"> of </w:t>
      </w:r>
      <w:r w:rsidR="00E81931">
        <w:t>the assets held in</w:t>
      </w:r>
      <w:r>
        <w:t xml:space="preserve"> collective investment vehicles are invested via these holding companies. </w:t>
      </w:r>
      <w:r w:rsidR="000945CB">
        <w:t xml:space="preserve"> These holding companies are</w:t>
      </w:r>
      <w:r w:rsidR="0082758E">
        <w:t xml:space="preserve"> </w:t>
      </w:r>
      <w:r w:rsidR="000945CB">
        <w:t>wholly owned by the</w:t>
      </w:r>
      <w:r w:rsidR="003C47F2">
        <w:br/>
      </w:r>
      <w:r w:rsidR="007047C3">
        <w:t>Future Fund</w:t>
      </w:r>
      <w:r w:rsidR="000945CB">
        <w:t>.</w:t>
      </w:r>
    </w:p>
    <w:p w:rsidR="00B370BD" w:rsidRDefault="00B370BD" w:rsidP="008359A7">
      <w:pPr>
        <w:pStyle w:val="BodyTextAfterListTable"/>
      </w:pPr>
      <w:r>
        <w:lastRenderedPageBreak/>
        <w:t xml:space="preserve">Given the complexity of these arrangements, this report </w:t>
      </w:r>
      <w:r w:rsidR="002113BD">
        <w:t xml:space="preserve">does not distinguish between </w:t>
      </w:r>
      <w:r>
        <w:t xml:space="preserve">collective investment vehicles </w:t>
      </w:r>
      <w:r w:rsidR="002113BD">
        <w:t>held</w:t>
      </w:r>
      <w:r>
        <w:t xml:space="preserve"> directly and indirectly </w:t>
      </w:r>
      <w:r w:rsidR="002113BD">
        <w:t>by the Future Fund</w:t>
      </w:r>
      <w:r>
        <w:t>. This is consistent with the</w:t>
      </w:r>
      <w:r w:rsidR="000945CB">
        <w:t>ir</w:t>
      </w:r>
      <w:r>
        <w:t xml:space="preserve"> treatment on the Commonwealth balance sheet</w:t>
      </w:r>
      <w:r w:rsidR="000945CB">
        <w:t xml:space="preserve"> where</w:t>
      </w:r>
      <w:r w:rsidR="005E698F">
        <w:t xml:space="preserve"> a</w:t>
      </w:r>
      <w:r>
        <w:t xml:space="preserve">ll Future Fund </w:t>
      </w:r>
      <w:r w:rsidR="007047C3">
        <w:t xml:space="preserve">assets held in </w:t>
      </w:r>
      <w:r>
        <w:t xml:space="preserve">collective investment vehicles are </w:t>
      </w:r>
      <w:r w:rsidR="000945CB">
        <w:t xml:space="preserve">treated </w:t>
      </w:r>
      <w:r w:rsidR="00041DDC">
        <w:t>in the same way</w:t>
      </w:r>
      <w:r>
        <w:t>.</w:t>
      </w:r>
      <w:r>
        <w:rPr>
          <w:rStyle w:val="FootnoteReference"/>
        </w:rPr>
        <w:footnoteReference w:id="16"/>
      </w:r>
    </w:p>
    <w:p w:rsidR="00217802" w:rsidRDefault="008359A7" w:rsidP="00217802">
      <w:pPr>
        <w:pStyle w:val="Heading2NoNumbering"/>
      </w:pPr>
      <w:r>
        <w:t>B</w:t>
      </w:r>
      <w:r w:rsidR="00D615B8">
        <w:t>udget t</w:t>
      </w:r>
      <w:r w:rsidR="00217802">
        <w:t>reatment of Future Fund assets</w:t>
      </w:r>
    </w:p>
    <w:p w:rsidR="00D91E4E" w:rsidRDefault="000945CB" w:rsidP="008442C6">
      <w:pPr>
        <w:pStyle w:val="BodyTextAfterListTable"/>
      </w:pPr>
      <w:r>
        <w:t xml:space="preserve">Figure 2.1 </w:t>
      </w:r>
      <w:r w:rsidR="00F13CCD">
        <w:t xml:space="preserve">shows </w:t>
      </w:r>
      <w:r>
        <w:t xml:space="preserve">the </w:t>
      </w:r>
      <w:r w:rsidR="00F13CCD">
        <w:t xml:space="preserve">Future Fund </w:t>
      </w:r>
      <w:r w:rsidR="00A95FDD">
        <w:t>a</w:t>
      </w:r>
      <w:r w:rsidR="00F13CCD">
        <w:t xml:space="preserve">sset </w:t>
      </w:r>
      <w:r w:rsidR="00A95FDD">
        <w:t>p</w:t>
      </w:r>
      <w:r w:rsidR="00F13CCD">
        <w:t>ortfolio on two different bases. Figure 2.1a shows</w:t>
      </w:r>
      <w:r w:rsidR="003C7F0D">
        <w:br/>
      </w:r>
      <w:r w:rsidR="00F13CCD">
        <w:t xml:space="preserve">the Future Fund assets as they are captured in the </w:t>
      </w:r>
      <w:r>
        <w:t>Commonwealth budget. It shows that as at 30 </w:t>
      </w:r>
      <w:r w:rsidR="00A95FDD">
        <w:t>June </w:t>
      </w:r>
      <w:r>
        <w:t xml:space="preserve">2018, </w:t>
      </w:r>
      <w:r w:rsidR="00F13CCD">
        <w:t xml:space="preserve">23 per cent of the </w:t>
      </w:r>
      <w:r w:rsidR="00C8488C">
        <w:t>Future Fund</w:t>
      </w:r>
      <w:r w:rsidR="00F13CCD">
        <w:t xml:space="preserve"> portfolio was invested in interest-bearing securities, </w:t>
      </w:r>
      <w:r w:rsidR="00A95FDD">
        <w:t>30 </w:t>
      </w:r>
      <w:r>
        <w:t xml:space="preserve">per cent was </w:t>
      </w:r>
      <w:r w:rsidR="00F13CCD">
        <w:t>directly invested in</w:t>
      </w:r>
      <w:r>
        <w:t xml:space="preserve"> </w:t>
      </w:r>
      <w:r w:rsidR="00F13CCD">
        <w:t>equities and 4</w:t>
      </w:r>
      <w:r w:rsidR="00C740EC">
        <w:t xml:space="preserve">7 </w:t>
      </w:r>
      <w:r>
        <w:t xml:space="preserve">per cent was </w:t>
      </w:r>
      <w:r w:rsidR="00F13CCD">
        <w:t>invested through</w:t>
      </w:r>
      <w:r w:rsidR="00F13CCD" w:rsidRPr="009E4072">
        <w:t xml:space="preserve"> collective investment vehicles</w:t>
      </w:r>
      <w:r w:rsidR="00F13CCD">
        <w:t xml:space="preserve">.  </w:t>
      </w:r>
    </w:p>
    <w:p w:rsidR="006524E6" w:rsidRDefault="00A70082" w:rsidP="00816B15">
      <w:pPr>
        <w:pStyle w:val="Caption"/>
      </w:pPr>
      <w:r>
        <w:t>Figure 2-1: Future Fund asset p</w:t>
      </w:r>
      <w:r w:rsidR="006524E6" w:rsidRPr="009E4072">
        <w:t>ortfolio</w:t>
      </w:r>
    </w:p>
    <w:tbl>
      <w:tblPr>
        <w:tblStyle w:val="FooterPlaceholder"/>
        <w:tblW w:w="0" w:type="auto"/>
        <w:tblLook w:val="04A0" w:firstRow="1" w:lastRow="0" w:firstColumn="1" w:lastColumn="0" w:noHBand="0" w:noVBand="1"/>
      </w:tblPr>
      <w:tblGrid>
        <w:gridCol w:w="3969"/>
        <w:gridCol w:w="5102"/>
      </w:tblGrid>
      <w:tr w:rsidR="006524E6" w:rsidTr="007A7DC3">
        <w:tc>
          <w:tcPr>
            <w:tcW w:w="3969" w:type="dxa"/>
          </w:tcPr>
          <w:p w:rsidR="006524E6" w:rsidRDefault="006524E6" w:rsidP="0065489A">
            <w:pPr>
              <w:pStyle w:val="Caption"/>
              <w:numPr>
                <w:ilvl w:val="0"/>
                <w:numId w:val="37"/>
              </w:numPr>
            </w:pPr>
            <w:r>
              <w:rPr>
                <w:sz w:val="20"/>
              </w:rPr>
              <w:t>Commonwealth budget t</w:t>
            </w:r>
            <w:r w:rsidRPr="00D774E4">
              <w:rPr>
                <w:sz w:val="20"/>
              </w:rPr>
              <w:t>reatment</w:t>
            </w:r>
          </w:p>
        </w:tc>
        <w:tc>
          <w:tcPr>
            <w:tcW w:w="5102" w:type="dxa"/>
          </w:tcPr>
          <w:p w:rsidR="006524E6" w:rsidRDefault="006524E6" w:rsidP="00624CCA">
            <w:pPr>
              <w:pStyle w:val="Caption"/>
              <w:numPr>
                <w:ilvl w:val="0"/>
                <w:numId w:val="37"/>
              </w:numPr>
            </w:pPr>
            <w:r>
              <w:rPr>
                <w:sz w:val="20"/>
              </w:rPr>
              <w:t>Look-through b</w:t>
            </w:r>
            <w:r w:rsidRPr="00D774E4">
              <w:rPr>
                <w:sz w:val="20"/>
              </w:rPr>
              <w:t>asis</w:t>
            </w:r>
          </w:p>
        </w:tc>
      </w:tr>
    </w:tbl>
    <w:p w:rsidR="007A7DC3" w:rsidRDefault="002C0372" w:rsidP="002C0372">
      <w:pPr>
        <w:pStyle w:val="BodyText"/>
        <w:spacing w:before="0" w:line="240" w:lineRule="auto"/>
        <w:ind w:right="567"/>
        <w:rPr>
          <w:color w:val="7F7F7F" w:themeColor="text1" w:themeTint="80"/>
          <w:sz w:val="18"/>
        </w:rPr>
      </w:pPr>
      <w:r>
        <w:rPr>
          <w:noProof/>
          <w:color w:val="7F7F7F" w:themeColor="text1" w:themeTint="80"/>
          <w:sz w:val="18"/>
          <w:lang w:eastAsia="en-AU"/>
        </w:rPr>
        <w:drawing>
          <wp:inline distT="0" distB="0" distL="0" distR="0">
            <wp:extent cx="5760000" cy="3646116"/>
            <wp:effectExtent l="0" t="0" r="0"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2-1_Future Fund Asset Portfolio_V2-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00" cy="3646116"/>
                    </a:xfrm>
                    <a:prstGeom prst="rect">
                      <a:avLst/>
                    </a:prstGeom>
                  </pic:spPr>
                </pic:pic>
              </a:graphicData>
            </a:graphic>
          </wp:inline>
        </w:drawing>
      </w:r>
    </w:p>
    <w:p w:rsidR="007A7DC3" w:rsidRDefault="007A7DC3" w:rsidP="007A7DC3">
      <w:pPr>
        <w:pStyle w:val="BodyText"/>
        <w:spacing w:before="0" w:line="240" w:lineRule="auto"/>
        <w:ind w:right="567"/>
        <w:rPr>
          <w:color w:val="7F7F7F" w:themeColor="text1" w:themeTint="80"/>
          <w:sz w:val="18"/>
        </w:rPr>
      </w:pPr>
    </w:p>
    <w:p w:rsidR="006524E6" w:rsidRPr="00950437" w:rsidRDefault="006524E6" w:rsidP="00CD2199">
      <w:pPr>
        <w:pStyle w:val="BodyText"/>
        <w:spacing w:before="0" w:line="240" w:lineRule="auto"/>
        <w:ind w:left="454" w:right="567"/>
        <w:rPr>
          <w:color w:val="7F7F7F" w:themeColor="text1" w:themeTint="80"/>
          <w:sz w:val="18"/>
        </w:rPr>
      </w:pPr>
      <w:r w:rsidRPr="00950437">
        <w:rPr>
          <w:color w:val="7F7F7F" w:themeColor="text1" w:themeTint="80"/>
          <w:sz w:val="18"/>
        </w:rPr>
        <w:t xml:space="preserve">Note: </w:t>
      </w:r>
      <w:r>
        <w:rPr>
          <w:color w:val="7F7F7F" w:themeColor="text1" w:themeTint="80"/>
          <w:sz w:val="18"/>
        </w:rPr>
        <w:t>S</w:t>
      </w:r>
      <w:r w:rsidRPr="00950437">
        <w:rPr>
          <w:color w:val="7F7F7F" w:themeColor="text1" w:themeTint="80"/>
          <w:sz w:val="18"/>
        </w:rPr>
        <w:t xml:space="preserve">ome categories in the </w:t>
      </w:r>
      <w:r w:rsidR="00FD598A">
        <w:rPr>
          <w:color w:val="7F7F7F" w:themeColor="text1" w:themeTint="80"/>
          <w:sz w:val="18"/>
        </w:rPr>
        <w:t xml:space="preserve">asset class </w:t>
      </w:r>
      <w:r w:rsidRPr="00950437">
        <w:rPr>
          <w:color w:val="7F7F7F" w:themeColor="text1" w:themeTint="80"/>
          <w:sz w:val="18"/>
        </w:rPr>
        <w:t>look-through basis (</w:t>
      </w:r>
      <w:r>
        <w:rPr>
          <w:color w:val="7F7F7F" w:themeColor="text1" w:themeTint="80"/>
          <w:sz w:val="18"/>
        </w:rPr>
        <w:t>R</w:t>
      </w:r>
      <w:r w:rsidRPr="00950437">
        <w:rPr>
          <w:color w:val="7F7F7F" w:themeColor="text1" w:themeTint="80"/>
          <w:sz w:val="18"/>
        </w:rPr>
        <w:t xml:space="preserve">HS) </w:t>
      </w:r>
      <w:r>
        <w:rPr>
          <w:color w:val="7F7F7F" w:themeColor="text1" w:themeTint="80"/>
          <w:sz w:val="18"/>
        </w:rPr>
        <w:t>approximately</w:t>
      </w:r>
      <w:r w:rsidRPr="00950437">
        <w:rPr>
          <w:color w:val="7F7F7F" w:themeColor="text1" w:themeTint="80"/>
          <w:sz w:val="18"/>
        </w:rPr>
        <w:t xml:space="preserve"> correspond to the Commonwealth Budget categories (</w:t>
      </w:r>
      <w:r>
        <w:rPr>
          <w:color w:val="7F7F7F" w:themeColor="text1" w:themeTint="80"/>
          <w:sz w:val="18"/>
        </w:rPr>
        <w:t>L</w:t>
      </w:r>
      <w:r w:rsidRPr="00950437">
        <w:rPr>
          <w:color w:val="7F7F7F" w:themeColor="text1" w:themeTint="80"/>
          <w:sz w:val="18"/>
        </w:rPr>
        <w:t xml:space="preserve">HS); </w:t>
      </w:r>
      <w:proofErr w:type="gramStart"/>
      <w:r w:rsidRPr="00950437">
        <w:rPr>
          <w:color w:val="7F7F7F" w:themeColor="text1" w:themeTint="80"/>
          <w:sz w:val="18"/>
        </w:rPr>
        <w:t>however</w:t>
      </w:r>
      <w:proofErr w:type="gramEnd"/>
      <w:r w:rsidRPr="00950437">
        <w:rPr>
          <w:color w:val="7F7F7F" w:themeColor="text1" w:themeTint="80"/>
          <w:sz w:val="18"/>
        </w:rPr>
        <w:t xml:space="preserve"> the categories are not strictly equivalent. For example, most listed equities (</w:t>
      </w:r>
      <w:r>
        <w:rPr>
          <w:color w:val="7F7F7F" w:themeColor="text1" w:themeTint="80"/>
          <w:sz w:val="18"/>
        </w:rPr>
        <w:t>R</w:t>
      </w:r>
      <w:r w:rsidRPr="00950437">
        <w:rPr>
          <w:color w:val="7F7F7F" w:themeColor="text1" w:themeTint="80"/>
          <w:sz w:val="18"/>
        </w:rPr>
        <w:t>HS) are directly held (</w:t>
      </w:r>
      <w:r>
        <w:rPr>
          <w:color w:val="7F7F7F" w:themeColor="text1" w:themeTint="80"/>
          <w:sz w:val="18"/>
        </w:rPr>
        <w:t>L</w:t>
      </w:r>
      <w:r w:rsidRPr="00950437">
        <w:rPr>
          <w:color w:val="7F7F7F" w:themeColor="text1" w:themeTint="80"/>
          <w:sz w:val="18"/>
        </w:rPr>
        <w:t xml:space="preserve">HS), however some listed equities are held in </w:t>
      </w:r>
      <w:r>
        <w:rPr>
          <w:color w:val="7F7F7F" w:themeColor="text1" w:themeTint="80"/>
          <w:sz w:val="18"/>
        </w:rPr>
        <w:t>collective investment vehicle</w:t>
      </w:r>
      <w:r w:rsidRPr="00950437">
        <w:rPr>
          <w:color w:val="7F7F7F" w:themeColor="text1" w:themeTint="80"/>
          <w:sz w:val="18"/>
        </w:rPr>
        <w:t>s. Similarly, most</w:t>
      </w:r>
      <w:r w:rsidR="008E55E6">
        <w:rPr>
          <w:color w:val="7F7F7F" w:themeColor="text1" w:themeTint="80"/>
          <w:sz w:val="18"/>
        </w:rPr>
        <w:t xml:space="preserve"> </w:t>
      </w:r>
      <w:r w:rsidRPr="00950437">
        <w:rPr>
          <w:color w:val="7F7F7F" w:themeColor="text1" w:themeTint="80"/>
          <w:sz w:val="18"/>
        </w:rPr>
        <w:t xml:space="preserve">(but not all) alternative assets, tangibles, and private equities are held through </w:t>
      </w:r>
      <w:r>
        <w:rPr>
          <w:color w:val="7F7F7F" w:themeColor="text1" w:themeTint="80"/>
          <w:sz w:val="18"/>
        </w:rPr>
        <w:t>collective investment vehicle</w:t>
      </w:r>
      <w:r w:rsidRPr="00950437">
        <w:rPr>
          <w:color w:val="7F7F7F" w:themeColor="text1" w:themeTint="80"/>
          <w:sz w:val="18"/>
        </w:rPr>
        <w:t>s.</w:t>
      </w:r>
      <w:r w:rsidR="008E55E6">
        <w:rPr>
          <w:color w:val="7F7F7F" w:themeColor="text1" w:themeTint="80"/>
          <w:sz w:val="18"/>
        </w:rPr>
        <w:t xml:space="preserve"> </w:t>
      </w:r>
      <w:r w:rsidR="00110B82">
        <w:rPr>
          <w:color w:val="7F7F7F" w:themeColor="text1" w:themeTint="80"/>
          <w:sz w:val="18"/>
        </w:rPr>
        <w:t>Cash and debt securities (RHS) differs slightly from interest-bearing securities (LHS) due to differences between reporting</w:t>
      </w:r>
      <w:r w:rsidR="00542443">
        <w:rPr>
          <w:color w:val="7F7F7F" w:themeColor="text1" w:themeTint="80"/>
          <w:sz w:val="18"/>
        </w:rPr>
        <w:t xml:space="preserve"> for budget purposes</w:t>
      </w:r>
      <w:r w:rsidR="00110B82">
        <w:rPr>
          <w:color w:val="7F7F7F" w:themeColor="text1" w:themeTint="80"/>
          <w:sz w:val="18"/>
        </w:rPr>
        <w:t xml:space="preserve"> and </w:t>
      </w:r>
      <w:r w:rsidR="0063234D" w:rsidRPr="0063234D">
        <w:rPr>
          <w:color w:val="7F7F7F" w:themeColor="text1" w:themeTint="80"/>
          <w:sz w:val="18"/>
        </w:rPr>
        <w:t>Future Fund Annual Reports (investment performance section and notes to audited</w:t>
      </w:r>
      <w:r w:rsidR="003C47F2">
        <w:rPr>
          <w:color w:val="7F7F7F" w:themeColor="text1" w:themeTint="80"/>
          <w:sz w:val="18"/>
        </w:rPr>
        <w:t xml:space="preserve"> </w:t>
      </w:r>
      <w:r w:rsidR="0063234D" w:rsidRPr="0063234D">
        <w:rPr>
          <w:color w:val="7F7F7F" w:themeColor="text1" w:themeTint="80"/>
          <w:sz w:val="18"/>
        </w:rPr>
        <w:t>financial statements)</w:t>
      </w:r>
      <w:r w:rsidR="00110B82">
        <w:rPr>
          <w:color w:val="7F7F7F" w:themeColor="text1" w:themeTint="80"/>
          <w:sz w:val="18"/>
        </w:rPr>
        <w:t>.</w:t>
      </w:r>
    </w:p>
    <w:p w:rsidR="006524E6" w:rsidRDefault="006524E6" w:rsidP="00CD2199">
      <w:pPr>
        <w:pStyle w:val="BodyText"/>
        <w:spacing w:before="0" w:line="240" w:lineRule="auto"/>
        <w:ind w:left="454" w:right="567"/>
        <w:rPr>
          <w:color w:val="7F7F7F" w:themeColor="text1" w:themeTint="80"/>
          <w:sz w:val="18"/>
        </w:rPr>
      </w:pPr>
      <w:r w:rsidRPr="00950437">
        <w:rPr>
          <w:color w:val="7F7F7F" w:themeColor="text1" w:themeTint="80"/>
          <w:sz w:val="18"/>
        </w:rPr>
        <w:t xml:space="preserve">Source: </w:t>
      </w:r>
      <w:r w:rsidRPr="00F4067B">
        <w:rPr>
          <w:color w:val="7F7F7F" w:themeColor="text1" w:themeTint="80"/>
          <w:sz w:val="18"/>
        </w:rPr>
        <w:t>Future Fund Annual Reports</w:t>
      </w:r>
      <w:r w:rsidR="0029559F" w:rsidRPr="00F4067B">
        <w:rPr>
          <w:color w:val="7F7F7F" w:themeColor="text1" w:themeTint="80"/>
          <w:sz w:val="18"/>
        </w:rPr>
        <w:t xml:space="preserve"> (investment performance section and notes to audited financial statements)</w:t>
      </w:r>
      <w:r w:rsidR="00BC6B71" w:rsidRPr="00F4067B">
        <w:rPr>
          <w:color w:val="7F7F7F" w:themeColor="text1" w:themeTint="80"/>
          <w:sz w:val="18"/>
        </w:rPr>
        <w:t xml:space="preserve"> and PBO calculations</w:t>
      </w:r>
    </w:p>
    <w:p w:rsidR="002C0372" w:rsidRDefault="002C0372">
      <w:pPr>
        <w:rPr>
          <w:rFonts w:cs="Times New Roman"/>
          <w:color w:val="7F7F7F" w:themeColor="text1" w:themeTint="80"/>
          <w:sz w:val="18"/>
        </w:rPr>
      </w:pPr>
      <w:r>
        <w:rPr>
          <w:color w:val="7F7F7F" w:themeColor="text1" w:themeTint="80"/>
          <w:sz w:val="18"/>
        </w:rPr>
        <w:br w:type="page"/>
      </w:r>
    </w:p>
    <w:p w:rsidR="00F4151D" w:rsidRDefault="00D91E4E" w:rsidP="00D91E4E">
      <w:pPr>
        <w:pStyle w:val="BodyTextAfterListTable"/>
      </w:pPr>
      <w:r>
        <w:lastRenderedPageBreak/>
        <w:t>In t</w:t>
      </w:r>
      <w:r w:rsidR="00F4151D">
        <w:t>he budget papers</w:t>
      </w:r>
      <w:r>
        <w:t>, both interest-bearing securities and collective investment vehicle holdings</w:t>
      </w:r>
      <w:r w:rsidR="006B563B">
        <w:br/>
      </w:r>
      <w:r>
        <w:t xml:space="preserve">are </w:t>
      </w:r>
      <w:r w:rsidR="004D3176">
        <w:t xml:space="preserve">classified </w:t>
      </w:r>
      <w:r>
        <w:t xml:space="preserve">as ‘investments, </w:t>
      </w:r>
      <w:r w:rsidRPr="009E4072">
        <w:t>loans and placements</w:t>
      </w:r>
      <w:r>
        <w:t xml:space="preserve">’ while directly-held listed equities are </w:t>
      </w:r>
      <w:r w:rsidR="00F4151D">
        <w:t xml:space="preserve">generally </w:t>
      </w:r>
      <w:r w:rsidR="004D3176">
        <w:t xml:space="preserve">classified </w:t>
      </w:r>
      <w:r>
        <w:t xml:space="preserve">as ‘equity </w:t>
      </w:r>
      <w:proofErr w:type="gramStart"/>
      <w:r>
        <w:t>investments’</w:t>
      </w:r>
      <w:proofErr w:type="gramEnd"/>
      <w:r w:rsidRPr="00C740EC">
        <w:t>.</w:t>
      </w:r>
      <w:r w:rsidRPr="00C740EC">
        <w:rPr>
          <w:rStyle w:val="FootnoteReference"/>
        </w:rPr>
        <w:footnoteReference w:id="17"/>
      </w:r>
      <w:r>
        <w:t xml:space="preserve"> </w:t>
      </w:r>
      <w:r w:rsidR="00C22ADF">
        <w:t>T</w:t>
      </w:r>
      <w:r w:rsidR="00F4151D">
        <w:t>he</w:t>
      </w:r>
      <w:r w:rsidR="004D3176">
        <w:t>se classifications are based on the</w:t>
      </w:r>
      <w:r w:rsidR="00F4151D">
        <w:t xml:space="preserve"> accounting standards</w:t>
      </w:r>
      <w:r w:rsidR="004D3176">
        <w:t xml:space="preserve">.  </w:t>
      </w:r>
    </w:p>
    <w:p w:rsidR="00D91E4E" w:rsidRDefault="00D91E4E" w:rsidP="00D91E4E">
      <w:pPr>
        <w:pStyle w:val="BodyTextAfterListTable"/>
      </w:pPr>
      <w:r>
        <w:t>Given that</w:t>
      </w:r>
      <w:r w:rsidR="00C22ADF">
        <w:t xml:space="preserve">, as outlined in </w:t>
      </w:r>
      <w:r w:rsidR="00530A7E">
        <w:t>Table 1-1</w:t>
      </w:r>
      <w:r w:rsidR="00C22ADF">
        <w:t xml:space="preserve">, </w:t>
      </w:r>
      <w:r>
        <w:t>net</w:t>
      </w:r>
      <w:r w:rsidRPr="00880014">
        <w:t xml:space="preserve"> </w:t>
      </w:r>
      <w:r w:rsidRPr="009E4072">
        <w:t>debt is</w:t>
      </w:r>
      <w:r>
        <w:t xml:space="preserve"> calculated as interest-bearing liabilities minus selected financial assets, and since these selected financial assets include </w:t>
      </w:r>
      <w:r w:rsidR="002F3D6F">
        <w:t xml:space="preserve">all </w:t>
      </w:r>
      <w:r>
        <w:t>assets characterised</w:t>
      </w:r>
      <w:r w:rsidR="003C47F2">
        <w:br/>
      </w:r>
      <w:r>
        <w:t xml:space="preserve">as ‘investments, loans and placements’, </w:t>
      </w:r>
      <w:r w:rsidRPr="00530A7E">
        <w:t>around 70 per cent of</w:t>
      </w:r>
      <w:r w:rsidR="00E86FCD" w:rsidRPr="00F4067B">
        <w:t xml:space="preserve"> </w:t>
      </w:r>
      <w:r w:rsidRPr="00F4067B">
        <w:t xml:space="preserve">the value of Future Fund assets </w:t>
      </w:r>
      <w:r w:rsidR="00E86FCD" w:rsidRPr="00F4067B">
        <w:t>contributed</w:t>
      </w:r>
      <w:r w:rsidRPr="00F4067B">
        <w:t xml:space="preserve"> towards reducing estimates of net debt</w:t>
      </w:r>
      <w:r w:rsidR="00E86FCD" w:rsidRPr="00F4067B">
        <w:t xml:space="preserve"> in 2017-18</w:t>
      </w:r>
      <w:r w:rsidRPr="00F4067B">
        <w:t>.</w:t>
      </w:r>
      <w:r w:rsidR="00C22ADF">
        <w:t xml:space="preserve"> </w:t>
      </w:r>
    </w:p>
    <w:p w:rsidR="00F777E9" w:rsidRDefault="00D91E4E" w:rsidP="00B370BD">
      <w:pPr>
        <w:pStyle w:val="BodyText"/>
      </w:pPr>
      <w:r>
        <w:t>F</w:t>
      </w:r>
      <w:r w:rsidR="00B370BD">
        <w:t xml:space="preserve">igure </w:t>
      </w:r>
      <w:r w:rsidR="00F777E9">
        <w:t>2</w:t>
      </w:r>
      <w:r w:rsidR="00B370BD">
        <w:t>-1b shows the underlying asset</w:t>
      </w:r>
      <w:r w:rsidR="006C03B0">
        <w:t xml:space="preserve"> classe</w:t>
      </w:r>
      <w:r w:rsidR="00B370BD">
        <w:t xml:space="preserve">s of </w:t>
      </w:r>
      <w:r w:rsidR="006C03B0">
        <w:t xml:space="preserve">the </w:t>
      </w:r>
      <w:r w:rsidR="00B370BD">
        <w:t xml:space="preserve">Future Fund portfolio on a look-through basis, as </w:t>
      </w:r>
      <w:r w:rsidR="00B370BD" w:rsidRPr="00B77073">
        <w:t>disclosed</w:t>
      </w:r>
      <w:r w:rsidR="00B370BD" w:rsidRPr="000B5746">
        <w:rPr>
          <w:color w:val="FF0000"/>
        </w:rPr>
        <w:t xml:space="preserve"> </w:t>
      </w:r>
      <w:r w:rsidR="00B370BD">
        <w:t>in the Future Fund annual reports and quarterly portfolio updates.</w:t>
      </w:r>
      <w:r w:rsidR="006C03B0">
        <w:rPr>
          <w:rStyle w:val="FootnoteReference"/>
        </w:rPr>
        <w:footnoteReference w:id="18"/>
      </w:r>
      <w:r w:rsidR="00B370BD">
        <w:t xml:space="preserve"> As at 30 June 2018, </w:t>
      </w:r>
      <w:r w:rsidR="00C8488C">
        <w:t xml:space="preserve">cash and debt securities accounted for 24 per cent of total assets, </w:t>
      </w:r>
      <w:r w:rsidR="00B370BD">
        <w:t xml:space="preserve">total equities (private and listed) accounted for 46 per cent of </w:t>
      </w:r>
      <w:r w:rsidR="00C8488C">
        <w:t>total assets and</w:t>
      </w:r>
      <w:r w:rsidR="00B370BD" w:rsidRPr="000A420F">
        <w:t xml:space="preserve"> </w:t>
      </w:r>
      <w:r w:rsidR="00B370BD">
        <w:t xml:space="preserve">tangibles </w:t>
      </w:r>
      <w:r w:rsidR="002F3D6F">
        <w:t xml:space="preserve">(largely infrastructure investments) </w:t>
      </w:r>
      <w:r w:rsidR="00B370BD">
        <w:t xml:space="preserve">and alternative assets accounted for </w:t>
      </w:r>
      <w:r w:rsidR="00E81931">
        <w:t xml:space="preserve">the remaining </w:t>
      </w:r>
      <w:r w:rsidR="00B370BD">
        <w:t xml:space="preserve">30 per cent. </w:t>
      </w:r>
    </w:p>
    <w:p w:rsidR="002F3D6F" w:rsidRDefault="00D91E4E" w:rsidP="00B370BD">
      <w:pPr>
        <w:pStyle w:val="BodyText"/>
      </w:pPr>
      <w:r>
        <w:t>A comparison of f</w:t>
      </w:r>
      <w:r w:rsidR="00F777E9">
        <w:t>igure</w:t>
      </w:r>
      <w:r w:rsidR="00AD6985">
        <w:t>s</w:t>
      </w:r>
      <w:r w:rsidR="00F777E9">
        <w:t xml:space="preserve"> 2-1</w:t>
      </w:r>
      <w:r w:rsidR="00AD6985">
        <w:t>a and 2-1b</w:t>
      </w:r>
      <w:r w:rsidR="00F777E9">
        <w:t xml:space="preserve"> illustrate</w:t>
      </w:r>
      <w:r w:rsidR="00F4202E">
        <w:t>s</w:t>
      </w:r>
      <w:r w:rsidR="00F777E9">
        <w:t xml:space="preserve"> that</w:t>
      </w:r>
      <w:r w:rsidR="00085E16">
        <w:t xml:space="preserve"> as the </w:t>
      </w:r>
      <w:r w:rsidR="00C8488C">
        <w:t xml:space="preserve">Future Fund </w:t>
      </w:r>
      <w:r w:rsidR="00085E16">
        <w:t>portfolio has grown</w:t>
      </w:r>
      <w:r w:rsidR="00085E16" w:rsidRPr="00085E16">
        <w:t xml:space="preserve"> over the past </w:t>
      </w:r>
      <w:r w:rsidR="00F4202E">
        <w:t>decade</w:t>
      </w:r>
      <w:r w:rsidR="00F777E9">
        <w:t xml:space="preserve"> </w:t>
      </w:r>
      <w:r>
        <w:t xml:space="preserve">and </w:t>
      </w:r>
      <w:r w:rsidR="00F777E9">
        <w:t>t</w:t>
      </w:r>
      <w:r w:rsidR="00E31EB2">
        <w:t>he</w:t>
      </w:r>
      <w:r w:rsidR="00C8488C">
        <w:t>re has been an</w:t>
      </w:r>
      <w:r w:rsidR="00E31EB2">
        <w:t xml:space="preserve"> increase </w:t>
      </w:r>
      <w:r w:rsidR="00F777E9">
        <w:t>in</w:t>
      </w:r>
      <w:r w:rsidR="00C8488C">
        <w:t xml:space="preserve"> the share of</w:t>
      </w:r>
      <w:r w:rsidR="00F777E9">
        <w:t xml:space="preserve"> </w:t>
      </w:r>
      <w:r w:rsidR="00880014">
        <w:t xml:space="preserve">assets </w:t>
      </w:r>
      <w:r w:rsidR="00F777E9">
        <w:t xml:space="preserve">held </w:t>
      </w:r>
      <w:r w:rsidR="00880014">
        <w:t xml:space="preserve">in </w:t>
      </w:r>
      <w:r w:rsidR="00F777E9">
        <w:t>collective investment vehicles</w:t>
      </w:r>
      <w:r>
        <w:t>, there has also been a commensurate</w:t>
      </w:r>
      <w:r w:rsidR="00F777E9">
        <w:t xml:space="preserve"> increase </w:t>
      </w:r>
      <w:r w:rsidR="00E31EB2">
        <w:t xml:space="preserve">in </w:t>
      </w:r>
      <w:r w:rsidR="00C8488C">
        <w:t>holding</w:t>
      </w:r>
      <w:r w:rsidR="003E412D">
        <w:t>s</w:t>
      </w:r>
      <w:r w:rsidR="00C8488C">
        <w:t xml:space="preserve"> of </w:t>
      </w:r>
      <w:r w:rsidR="00E31EB2">
        <w:t xml:space="preserve">private equities, tangibles and alternative </w:t>
      </w:r>
      <w:r w:rsidR="007717B1">
        <w:t>asset</w:t>
      </w:r>
      <w:r w:rsidR="000B4863">
        <w:t>s</w:t>
      </w:r>
      <w:r>
        <w:t xml:space="preserve">. </w:t>
      </w:r>
      <w:r w:rsidR="002F3D6F">
        <w:t xml:space="preserve">A significant proportion of these assets have characteristics that </w:t>
      </w:r>
      <w:r w:rsidR="00C22ADF">
        <w:t xml:space="preserve">appear to be </w:t>
      </w:r>
      <w:r w:rsidR="002F3D6F">
        <w:t>closer to equity-type assets than debt-type assets.</w:t>
      </w:r>
    </w:p>
    <w:p w:rsidR="00C22ADF" w:rsidRPr="00991AD8" w:rsidRDefault="00C22ADF" w:rsidP="005B4A3F">
      <w:pPr>
        <w:pStyle w:val="BodyText"/>
      </w:pPr>
      <w:r w:rsidRPr="00991AD8">
        <w:t>This examination of the Future Fund illustrates two points.</w:t>
      </w:r>
    </w:p>
    <w:p w:rsidR="00C22ADF" w:rsidRPr="00991AD8" w:rsidRDefault="00C22ADF" w:rsidP="005B4A3F">
      <w:pPr>
        <w:pStyle w:val="BodyText"/>
      </w:pPr>
      <w:r w:rsidRPr="00991AD8">
        <w:t xml:space="preserve">First, </w:t>
      </w:r>
      <w:r w:rsidR="00BE012C" w:rsidRPr="00991AD8">
        <w:t>net debt is now quite sensitive to the investment strategy adopted by the Future Fund</w:t>
      </w:r>
      <w:r w:rsidR="00AC0001" w:rsidRPr="00991AD8">
        <w:t xml:space="preserve"> given the significant value of assets under management</w:t>
      </w:r>
      <w:r w:rsidR="00BE012C" w:rsidRPr="00991AD8">
        <w:t xml:space="preserve">. </w:t>
      </w:r>
      <w:r w:rsidR="00AC0001" w:rsidRPr="00991AD8">
        <w:t>While t</w:t>
      </w:r>
      <w:r w:rsidR="00BE012C" w:rsidRPr="00991AD8">
        <w:t>he Future Fund is managed independently from Government under a l</w:t>
      </w:r>
      <w:r w:rsidR="00AC0001" w:rsidRPr="00991AD8">
        <w:t>egislated investment mandate, t</w:t>
      </w:r>
      <w:r w:rsidR="00BE012C" w:rsidRPr="00991AD8">
        <w:t xml:space="preserve">he choice of assets purchased by the Future Fund can have a material impact on net debt. By way of example, if the Future Fund </w:t>
      </w:r>
      <w:r w:rsidR="00672DD6" w:rsidRPr="00991AD8">
        <w:t>increased</w:t>
      </w:r>
      <w:r w:rsidR="00BE012C" w:rsidRPr="00991AD8">
        <w:t xml:space="preserve"> </w:t>
      </w:r>
      <w:r w:rsidR="00672DD6" w:rsidRPr="00991AD8">
        <w:t xml:space="preserve">the share of </w:t>
      </w:r>
      <w:r w:rsidR="00BE012C" w:rsidRPr="00991AD8">
        <w:t xml:space="preserve">directly-held listed equities </w:t>
      </w:r>
      <w:r w:rsidR="00672DD6" w:rsidRPr="00991AD8">
        <w:t>to 40 per cent of the portfolio</w:t>
      </w:r>
      <w:r w:rsidR="00BE012C" w:rsidRPr="00991AD8">
        <w:t xml:space="preserve">, net debt would have been </w:t>
      </w:r>
      <w:r w:rsidR="00530A7E" w:rsidRPr="00991AD8">
        <w:t xml:space="preserve">around </w:t>
      </w:r>
      <w:r w:rsidR="00BE012C" w:rsidRPr="00991AD8">
        <w:t>$</w:t>
      </w:r>
      <w:r w:rsidR="00672DD6" w:rsidRPr="00991AD8">
        <w:t xml:space="preserve">15 </w:t>
      </w:r>
      <w:r w:rsidR="00BE012C" w:rsidRPr="00991AD8">
        <w:t xml:space="preserve">billion or </w:t>
      </w:r>
      <w:r w:rsidR="00991AD8">
        <w:t>close to one</w:t>
      </w:r>
      <w:r w:rsidR="00672DD6" w:rsidRPr="00991AD8">
        <w:t> </w:t>
      </w:r>
      <w:r w:rsidR="005B295B" w:rsidRPr="00991AD8">
        <w:t>per</w:t>
      </w:r>
      <w:r w:rsidR="00672DD6" w:rsidRPr="00991AD8">
        <w:t> </w:t>
      </w:r>
      <w:r w:rsidR="005B295B" w:rsidRPr="00991AD8">
        <w:t>cent</w:t>
      </w:r>
      <w:r w:rsidR="00BE012C" w:rsidRPr="00991AD8">
        <w:t xml:space="preserve"> of GDP </w:t>
      </w:r>
      <w:r w:rsidR="00672DD6" w:rsidRPr="00991AD8">
        <w:t xml:space="preserve">higher </w:t>
      </w:r>
      <w:r w:rsidR="00BE012C" w:rsidRPr="00991AD8">
        <w:t>in 2017</w:t>
      </w:r>
      <w:r w:rsidR="00AB2588">
        <w:t>–</w:t>
      </w:r>
      <w:r w:rsidR="00BE012C" w:rsidRPr="00991AD8">
        <w:t>18.</w:t>
      </w:r>
      <w:r w:rsidR="00AC0001" w:rsidRPr="00991AD8">
        <w:t xml:space="preserve"> A broader indicator of the balance sheet, such as net financial worth, would </w:t>
      </w:r>
      <w:r w:rsidR="00F4067B" w:rsidRPr="00991AD8">
        <w:t xml:space="preserve">not </w:t>
      </w:r>
      <w:r w:rsidR="00AC0001" w:rsidRPr="00991AD8">
        <w:t xml:space="preserve">be affected. </w:t>
      </w:r>
      <w:r w:rsidR="00BE012C" w:rsidRPr="00991AD8">
        <w:t xml:space="preserve">  </w:t>
      </w:r>
    </w:p>
    <w:p w:rsidR="00530A7E" w:rsidRDefault="00BE012C" w:rsidP="005B4A3F">
      <w:pPr>
        <w:pStyle w:val="BodyText"/>
      </w:pPr>
      <w:r w:rsidRPr="00991AD8">
        <w:t xml:space="preserve">Second, net debt is sensitive to the investment structures </w:t>
      </w:r>
      <w:r w:rsidR="00135B4B" w:rsidRPr="00991AD8">
        <w:t>used</w:t>
      </w:r>
      <w:r w:rsidRPr="00991AD8">
        <w:t xml:space="preserve"> by the Future Fund. </w:t>
      </w:r>
      <w:r w:rsidR="00135B4B" w:rsidRPr="00991AD8">
        <w:t>Since the Future Fund’s inception, n</w:t>
      </w:r>
      <w:r w:rsidRPr="00991AD8">
        <w:t xml:space="preserve">et debt figures published in budget documents </w:t>
      </w:r>
      <w:r w:rsidR="00135B4B" w:rsidRPr="00991AD8">
        <w:t>by</w:t>
      </w:r>
      <w:r w:rsidRPr="00991AD8">
        <w:t xml:space="preserve"> successive governments have treated assets in collective investment vehicles as debt-like assets. </w:t>
      </w:r>
      <w:r w:rsidR="00F4202E" w:rsidRPr="00991AD8">
        <w:t>Th</w:t>
      </w:r>
      <w:r w:rsidRPr="00991AD8">
        <w:t xml:space="preserve">is treatment </w:t>
      </w:r>
      <w:r w:rsidR="00F4202E" w:rsidRPr="00991AD8">
        <w:t xml:space="preserve">was </w:t>
      </w:r>
      <w:r w:rsidR="00C22ADF" w:rsidRPr="00991AD8">
        <w:t xml:space="preserve">initially </w:t>
      </w:r>
      <w:r w:rsidR="00F4202E" w:rsidRPr="00991AD8">
        <w:t>determined when Future</w:t>
      </w:r>
      <w:r w:rsidR="002F3D6F" w:rsidRPr="00991AD8">
        <w:t xml:space="preserve"> </w:t>
      </w:r>
      <w:r w:rsidR="00F4202E" w:rsidRPr="00991AD8">
        <w:t xml:space="preserve">Fund assets consisted </w:t>
      </w:r>
      <w:r w:rsidR="00135B4B" w:rsidRPr="00991AD8">
        <w:t xml:space="preserve">mainly </w:t>
      </w:r>
      <w:r w:rsidR="00F4202E" w:rsidRPr="00991AD8">
        <w:t>of listed equities, cash and debt securities</w:t>
      </w:r>
      <w:r w:rsidR="00135B4B" w:rsidRPr="00991AD8">
        <w:t xml:space="preserve">, while </w:t>
      </w:r>
      <w:r w:rsidR="00F4202E" w:rsidRPr="00991AD8">
        <w:t>investments through collective investment vehicles were small in value.</w:t>
      </w:r>
      <w:r w:rsidR="00F4202E" w:rsidRPr="00991AD8">
        <w:rPr>
          <w:rStyle w:val="FootnoteReference"/>
        </w:rPr>
        <w:footnoteReference w:id="19"/>
      </w:r>
      <w:r w:rsidR="00C22ADF" w:rsidRPr="00991AD8">
        <w:t xml:space="preserve"> </w:t>
      </w:r>
      <w:r w:rsidR="00AC0001" w:rsidRPr="00991AD8">
        <w:t>The</w:t>
      </w:r>
      <w:r w:rsidR="00510836" w:rsidRPr="00991AD8">
        <w:t xml:space="preserve"> increasing use</w:t>
      </w:r>
      <w:r w:rsidR="00AB2588">
        <w:br/>
      </w:r>
      <w:r w:rsidR="00510836" w:rsidRPr="00991AD8">
        <w:t xml:space="preserve">of </w:t>
      </w:r>
      <w:r w:rsidRPr="00991AD8">
        <w:t>collective investment vehicles</w:t>
      </w:r>
      <w:r w:rsidR="002517D0" w:rsidRPr="00991AD8">
        <w:t xml:space="preserve"> to hold equity-type assets </w:t>
      </w:r>
      <w:r w:rsidR="00AC0001" w:rsidRPr="00991AD8">
        <w:t xml:space="preserve">has reduced estimates of net debt relative to the alternative of holding these assets directly. </w:t>
      </w:r>
      <w:r w:rsidR="00530A7E" w:rsidRPr="00991AD8">
        <w:t>If the Future Fund had decided to sell all</w:t>
      </w:r>
      <w:r w:rsidR="00AB2588">
        <w:br/>
      </w:r>
      <w:r w:rsidR="00530A7E" w:rsidRPr="00991AD8">
        <w:t>of its directly-held listed equities and repurchase those same equities through collective investment vehicles, net debt would have been around $44 billion or 2.4 per cent of GDP lower in 2017</w:t>
      </w:r>
      <w:r w:rsidR="00D13393">
        <w:t>–</w:t>
      </w:r>
      <w:r w:rsidR="00530A7E" w:rsidRPr="00991AD8">
        <w:t>18.</w:t>
      </w:r>
      <w:r w:rsidR="00530A7E" w:rsidRPr="00530A7E">
        <w:t xml:space="preserve">  </w:t>
      </w:r>
    </w:p>
    <w:p w:rsidR="009E1CD6" w:rsidRPr="000C043F" w:rsidRDefault="002F3D6F" w:rsidP="005B4A3F">
      <w:pPr>
        <w:pStyle w:val="BodyText"/>
      </w:pPr>
      <w:r w:rsidRPr="00F4067B">
        <w:t xml:space="preserve">This </w:t>
      </w:r>
      <w:r w:rsidR="00AC0001" w:rsidRPr="00F4067B">
        <w:t xml:space="preserve">second point </w:t>
      </w:r>
      <w:r w:rsidR="00F4202E" w:rsidRPr="00F4067B">
        <w:t>shows that under the current budget treatment, changes in investment structures may affect estimates of net debt even</w:t>
      </w:r>
      <w:r w:rsidR="00C22ADF" w:rsidRPr="00F4067B">
        <w:t xml:space="preserve"> </w:t>
      </w:r>
      <w:r w:rsidR="00135B4B" w:rsidRPr="00F4067B">
        <w:t>when</w:t>
      </w:r>
      <w:r w:rsidR="00F4202E" w:rsidRPr="00F4067B">
        <w:t xml:space="preserve"> there is no change in the underlying assets held by the fund.</w:t>
      </w:r>
      <w:r w:rsidR="00637248" w:rsidRPr="00F4067B">
        <w:t xml:space="preserve"> </w:t>
      </w:r>
      <w:r w:rsidR="00F4202E" w:rsidRPr="00F4067B">
        <w:t>Section 3 presents a</w:t>
      </w:r>
      <w:r w:rsidR="003E412D" w:rsidRPr="00F4067B">
        <w:t xml:space="preserve">n </w:t>
      </w:r>
      <w:r w:rsidR="00F4202E" w:rsidRPr="00F4067B">
        <w:t xml:space="preserve">alternative </w:t>
      </w:r>
      <w:r w:rsidR="003E412D" w:rsidRPr="00F4067B">
        <w:t xml:space="preserve">conceptual </w:t>
      </w:r>
      <w:r w:rsidR="00F4202E" w:rsidRPr="00F4067B">
        <w:t xml:space="preserve">approach to </w:t>
      </w:r>
      <w:r w:rsidR="00637248" w:rsidRPr="00F4067B">
        <w:t>the</w:t>
      </w:r>
      <w:r w:rsidR="002517D0" w:rsidRPr="00F4067B">
        <w:t xml:space="preserve"> treatment of the</w:t>
      </w:r>
      <w:r w:rsidR="00637248" w:rsidRPr="00F4067B">
        <w:t xml:space="preserve">se </w:t>
      </w:r>
      <w:r w:rsidR="00F4202E" w:rsidRPr="00F4067B">
        <w:t>assets</w:t>
      </w:r>
      <w:r w:rsidR="00637248" w:rsidRPr="00F4067B">
        <w:t xml:space="preserve"> in the </w:t>
      </w:r>
      <w:r w:rsidR="006843EF" w:rsidRPr="00F4067B">
        <w:t xml:space="preserve">calculation of </w:t>
      </w:r>
      <w:r w:rsidR="00637248" w:rsidRPr="00F4067B">
        <w:t>net debt</w:t>
      </w:r>
      <w:r w:rsidR="00F4202E" w:rsidRPr="00F4067B">
        <w:t>.</w:t>
      </w:r>
    </w:p>
    <w:p w:rsidR="00540445" w:rsidRDefault="00540445" w:rsidP="00540445">
      <w:pPr>
        <w:pStyle w:val="Heading2NoNumbering"/>
      </w:pPr>
      <w:r>
        <w:lastRenderedPageBreak/>
        <w:t>Budget treatment of other investment funds</w:t>
      </w:r>
    </w:p>
    <w:p w:rsidR="00F06BE3" w:rsidRDefault="00F4202E" w:rsidP="00324A3A">
      <w:pPr>
        <w:pStyle w:val="BodyText"/>
      </w:pPr>
      <w:r>
        <w:t xml:space="preserve">Before turning to </w:t>
      </w:r>
      <w:r w:rsidR="00572E30">
        <w:t xml:space="preserve">this </w:t>
      </w:r>
      <w:r>
        <w:t>alternative approach, it is worth briefly examining t</w:t>
      </w:r>
      <w:r w:rsidRPr="002B70CA">
        <w:t xml:space="preserve">he </w:t>
      </w:r>
      <w:r w:rsidR="009E1CD6" w:rsidRPr="002B70CA">
        <w:t xml:space="preserve">current budget treatment of </w:t>
      </w:r>
      <w:r>
        <w:t xml:space="preserve">assets held in </w:t>
      </w:r>
      <w:r w:rsidR="009E1CD6" w:rsidRPr="002B70CA">
        <w:t xml:space="preserve">the other </w:t>
      </w:r>
      <w:r>
        <w:t xml:space="preserve">government </w:t>
      </w:r>
      <w:r w:rsidR="00622E76">
        <w:t xml:space="preserve">investment </w:t>
      </w:r>
      <w:r w:rsidR="009E1CD6" w:rsidRPr="002B70CA">
        <w:t>funds</w:t>
      </w:r>
      <w:r>
        <w:t xml:space="preserve">.  </w:t>
      </w:r>
    </w:p>
    <w:p w:rsidR="00F06BE3" w:rsidRDefault="00087A42" w:rsidP="00324A3A">
      <w:pPr>
        <w:pStyle w:val="BodyText"/>
      </w:pPr>
      <w:r>
        <w:t xml:space="preserve">Under current budget conventions, all of the assets held in any government investment fund other than the </w:t>
      </w:r>
      <w:r w:rsidR="00271DEA">
        <w:t>F</w:t>
      </w:r>
      <w:r>
        <w:t xml:space="preserve">uture </w:t>
      </w:r>
      <w:r w:rsidR="00271DEA">
        <w:t>F</w:t>
      </w:r>
      <w:r>
        <w:t>und are captured in the ‘other’ category of ‘investments, loans and placements’.</w:t>
      </w:r>
      <w:r w:rsidR="006B563B">
        <w:br/>
      </w:r>
      <w:r>
        <w:t xml:space="preserve">As such, all the assets in these other funds are treated as </w:t>
      </w:r>
      <w:r w:rsidR="00F06BE3">
        <w:t xml:space="preserve">debt-like assets and reduce estimates of net debt. </w:t>
      </w:r>
      <w:r w:rsidR="002517D0">
        <w:t>The Department of Finance Annual Report shows that m</w:t>
      </w:r>
      <w:r w:rsidR="00637248">
        <w:t xml:space="preserve">ost of these funds </w:t>
      </w:r>
      <w:r w:rsidR="00EB319D">
        <w:t>are predominantly invested</w:t>
      </w:r>
      <w:r w:rsidR="00637248">
        <w:t xml:space="preserve"> </w:t>
      </w:r>
      <w:r w:rsidR="00EB319D">
        <w:t>in interest</w:t>
      </w:r>
      <w:r w:rsidR="00C54548">
        <w:noBreakHyphen/>
      </w:r>
      <w:r w:rsidR="00EB319D">
        <w:t>bearing securities.</w:t>
      </w:r>
      <w:r w:rsidR="00F4067B">
        <w:rPr>
          <w:rStyle w:val="FootnoteReference"/>
        </w:rPr>
        <w:footnoteReference w:id="20"/>
      </w:r>
      <w:r w:rsidR="00EB319D">
        <w:t xml:space="preserve"> </w:t>
      </w:r>
      <w:r w:rsidR="00232911">
        <w:t xml:space="preserve"> </w:t>
      </w:r>
    </w:p>
    <w:p w:rsidR="00EB5F96" w:rsidRDefault="00EB319D" w:rsidP="00324A3A">
      <w:pPr>
        <w:pStyle w:val="BodyText"/>
      </w:pPr>
      <w:r>
        <w:t xml:space="preserve">However, </w:t>
      </w:r>
      <w:r w:rsidR="00EB5F96">
        <w:t xml:space="preserve">this is not </w:t>
      </w:r>
      <w:r w:rsidR="00637248">
        <w:t xml:space="preserve">currently </w:t>
      </w:r>
      <w:r w:rsidR="00EB5F96">
        <w:t xml:space="preserve">the case </w:t>
      </w:r>
      <w:r w:rsidR="00E81931">
        <w:t>for</w:t>
      </w:r>
      <w:r w:rsidR="00EB5F96">
        <w:t xml:space="preserve"> the Medical Research </w:t>
      </w:r>
      <w:r w:rsidR="00BD63AE">
        <w:t xml:space="preserve">Future </w:t>
      </w:r>
      <w:r w:rsidR="00EB5F96">
        <w:t>Fund.</w:t>
      </w:r>
      <w:r w:rsidR="00F06BE3" w:rsidRPr="00F06BE3">
        <w:t xml:space="preserve"> </w:t>
      </w:r>
      <w:r w:rsidR="00EB5F96" w:rsidRPr="009E4072">
        <w:t>Figure 2.2</w:t>
      </w:r>
      <w:r w:rsidR="00234EE1">
        <w:t>a</w:t>
      </w:r>
      <w:r w:rsidR="00EB5F96" w:rsidRPr="009E4072">
        <w:t xml:space="preserve"> shows</w:t>
      </w:r>
      <w:r w:rsidR="00AB2588">
        <w:br/>
      </w:r>
      <w:r w:rsidR="00EB5F96" w:rsidRPr="009E4072">
        <w:t>that</w:t>
      </w:r>
      <w:r w:rsidR="00DD1A0D">
        <w:t xml:space="preserve"> </w:t>
      </w:r>
      <w:r w:rsidR="007A22C1" w:rsidRPr="009E4072">
        <w:t>the majority of the</w:t>
      </w:r>
      <w:r w:rsidR="009E4072">
        <w:t xml:space="preserve"> </w:t>
      </w:r>
      <w:r w:rsidR="007717B1" w:rsidRPr="007717B1">
        <w:t>Medical Research Future Fund</w:t>
      </w:r>
      <w:r w:rsidR="007717B1" w:rsidRPr="007717B1" w:rsidDel="007717B1">
        <w:t xml:space="preserve"> </w:t>
      </w:r>
      <w:r w:rsidR="00307233" w:rsidRPr="009E4072">
        <w:t xml:space="preserve">portfolio </w:t>
      </w:r>
      <w:r w:rsidR="00E81931">
        <w:t>is</w:t>
      </w:r>
      <w:r w:rsidR="007A22C1" w:rsidRPr="009E4072">
        <w:t xml:space="preserve"> held in interest</w:t>
      </w:r>
      <w:r w:rsidR="00E81931">
        <w:t>-</w:t>
      </w:r>
      <w:r w:rsidR="007A22C1" w:rsidRPr="009E4072">
        <w:t xml:space="preserve">bearing </w:t>
      </w:r>
      <w:r w:rsidR="00E81931">
        <w:t>securities</w:t>
      </w:r>
      <w:r w:rsidR="007A22C1" w:rsidRPr="009E4072">
        <w:t>,</w:t>
      </w:r>
      <w:r w:rsidR="00AB2588">
        <w:br/>
      </w:r>
      <w:r w:rsidR="007A22C1" w:rsidRPr="009E4072">
        <w:t>but</w:t>
      </w:r>
      <w:r w:rsidR="00271DEA">
        <w:t xml:space="preserve"> around 15 per cent of the assets are directly-held listed equities and around 30 per cent are held</w:t>
      </w:r>
      <w:r w:rsidR="000B1F76">
        <w:br/>
      </w:r>
      <w:r w:rsidR="00271DEA">
        <w:t xml:space="preserve">in </w:t>
      </w:r>
      <w:r w:rsidR="007A22C1" w:rsidRPr="009E4072">
        <w:t>collective investment vehicles</w:t>
      </w:r>
      <w:r w:rsidR="00271DEA">
        <w:t xml:space="preserve">. Unlike the Future Fund, however, all of the assets of the Medical Research Future Fund, including the directly-held listed equities, have been </w:t>
      </w:r>
      <w:r w:rsidR="002517D0">
        <w:t xml:space="preserve">classified </w:t>
      </w:r>
      <w:r w:rsidR="00271DEA">
        <w:t>as ‘investments, loans and placements’ in the budget papers.</w:t>
      </w:r>
    </w:p>
    <w:p w:rsidR="00F06BE3" w:rsidRPr="00F06BE3" w:rsidRDefault="00F06BE3" w:rsidP="00F06BE3">
      <w:pPr>
        <w:pStyle w:val="BodyText"/>
      </w:pPr>
    </w:p>
    <w:p w:rsidR="006524E6" w:rsidRDefault="006524E6" w:rsidP="00816B15">
      <w:pPr>
        <w:pStyle w:val="Caption"/>
      </w:pPr>
      <w:r>
        <w:t>Figure 2-2: Medical Research Future Fun</w:t>
      </w:r>
      <w:r w:rsidR="00A70082">
        <w:t>d asset p</w:t>
      </w:r>
      <w:r>
        <w:t>ortfolio</w:t>
      </w:r>
    </w:p>
    <w:tbl>
      <w:tblPr>
        <w:tblStyle w:val="FooterPlaceholder"/>
        <w:tblW w:w="0" w:type="auto"/>
        <w:tblLook w:val="04A0" w:firstRow="1" w:lastRow="0" w:firstColumn="1" w:lastColumn="0" w:noHBand="0" w:noVBand="1"/>
      </w:tblPr>
      <w:tblGrid>
        <w:gridCol w:w="4111"/>
        <w:gridCol w:w="4960"/>
      </w:tblGrid>
      <w:tr w:rsidR="006524E6" w:rsidTr="00F861DE">
        <w:tc>
          <w:tcPr>
            <w:tcW w:w="4111" w:type="dxa"/>
          </w:tcPr>
          <w:p w:rsidR="006524E6" w:rsidRDefault="006524E6" w:rsidP="0065489A">
            <w:pPr>
              <w:pStyle w:val="Caption"/>
              <w:numPr>
                <w:ilvl w:val="0"/>
                <w:numId w:val="50"/>
              </w:numPr>
            </w:pPr>
            <w:r>
              <w:rPr>
                <w:sz w:val="20"/>
              </w:rPr>
              <w:t>Commonwealth budget t</w:t>
            </w:r>
            <w:r w:rsidRPr="00D774E4">
              <w:rPr>
                <w:sz w:val="20"/>
              </w:rPr>
              <w:t>reatment</w:t>
            </w:r>
          </w:p>
        </w:tc>
        <w:tc>
          <w:tcPr>
            <w:tcW w:w="4960" w:type="dxa"/>
          </w:tcPr>
          <w:p w:rsidR="006524E6" w:rsidRDefault="006524E6" w:rsidP="0065489A">
            <w:pPr>
              <w:pStyle w:val="Caption"/>
              <w:numPr>
                <w:ilvl w:val="0"/>
                <w:numId w:val="50"/>
              </w:numPr>
            </w:pPr>
            <w:r>
              <w:rPr>
                <w:sz w:val="20"/>
              </w:rPr>
              <w:t>Look-through b</w:t>
            </w:r>
            <w:r w:rsidRPr="00D774E4">
              <w:rPr>
                <w:sz w:val="20"/>
              </w:rPr>
              <w:t>asis</w:t>
            </w:r>
          </w:p>
        </w:tc>
      </w:tr>
    </w:tbl>
    <w:p w:rsidR="006D1CD5" w:rsidRDefault="00555B7A" w:rsidP="006D1CD5">
      <w:pPr>
        <w:pStyle w:val="BodyText"/>
        <w:spacing w:before="0" w:line="240" w:lineRule="auto"/>
        <w:ind w:right="567"/>
        <w:rPr>
          <w:color w:val="7F7F7F" w:themeColor="text1" w:themeTint="80"/>
          <w:sz w:val="18"/>
        </w:rPr>
      </w:pPr>
      <w:r>
        <w:rPr>
          <w:noProof/>
          <w:color w:val="7F7F7F" w:themeColor="text1" w:themeTint="80"/>
          <w:sz w:val="18"/>
          <w:lang w:eastAsia="en-AU"/>
        </w:rPr>
        <w:drawing>
          <wp:inline distT="0" distB="0" distL="0" distR="0">
            <wp:extent cx="5760085" cy="3500755"/>
            <wp:effectExtent l="0" t="0" r="5715" b="4445"/>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2-2_Medical Research Future Fund Asset Portfolio_V2-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3500755"/>
                    </a:xfrm>
                    <a:prstGeom prst="rect">
                      <a:avLst/>
                    </a:prstGeom>
                  </pic:spPr>
                </pic:pic>
              </a:graphicData>
            </a:graphic>
          </wp:inline>
        </w:drawing>
      </w:r>
    </w:p>
    <w:p w:rsidR="006D1CD5" w:rsidRDefault="006D1CD5" w:rsidP="006D1CD5">
      <w:pPr>
        <w:pStyle w:val="BodyText"/>
        <w:spacing w:before="0" w:line="240" w:lineRule="auto"/>
        <w:ind w:right="567"/>
        <w:rPr>
          <w:color w:val="7F7F7F" w:themeColor="text1" w:themeTint="80"/>
          <w:sz w:val="18"/>
        </w:rPr>
      </w:pPr>
    </w:p>
    <w:p w:rsidR="006524E6" w:rsidRDefault="006524E6" w:rsidP="00CD2199">
      <w:pPr>
        <w:pStyle w:val="BodyText"/>
        <w:spacing w:before="0" w:line="240" w:lineRule="auto"/>
        <w:ind w:left="454" w:right="567"/>
        <w:rPr>
          <w:color w:val="7F7F7F" w:themeColor="text1" w:themeTint="80"/>
          <w:sz w:val="18"/>
        </w:rPr>
      </w:pPr>
      <w:r w:rsidRPr="00F01D36">
        <w:rPr>
          <w:color w:val="7F7F7F" w:themeColor="text1" w:themeTint="80"/>
          <w:sz w:val="18"/>
        </w:rPr>
        <w:t xml:space="preserve">Note: The portfolio values presented in figures 2-2a and 2-2b are as at 30 June, however </w:t>
      </w:r>
      <w:r>
        <w:rPr>
          <w:color w:val="7F7F7F" w:themeColor="text1" w:themeTint="80"/>
          <w:sz w:val="18"/>
        </w:rPr>
        <w:t>the total</w:t>
      </w:r>
      <w:r w:rsidR="006B563B">
        <w:rPr>
          <w:color w:val="7F7F7F" w:themeColor="text1" w:themeTint="80"/>
          <w:sz w:val="18"/>
        </w:rPr>
        <w:br/>
      </w:r>
      <w:r>
        <w:rPr>
          <w:color w:val="7F7F7F" w:themeColor="text1" w:themeTint="80"/>
          <w:sz w:val="18"/>
        </w:rPr>
        <w:t xml:space="preserve">portfolio values differ slightly between the </w:t>
      </w:r>
      <w:r w:rsidR="00530A7E">
        <w:rPr>
          <w:color w:val="7F7F7F" w:themeColor="text1" w:themeTint="80"/>
          <w:sz w:val="18"/>
        </w:rPr>
        <w:t xml:space="preserve">Future Fund </w:t>
      </w:r>
      <w:r>
        <w:rPr>
          <w:color w:val="7F7F7F" w:themeColor="text1" w:themeTint="80"/>
          <w:sz w:val="18"/>
        </w:rPr>
        <w:t>portfolio updates and the Department of Finance</w:t>
      </w:r>
      <w:r w:rsidR="006B563B">
        <w:rPr>
          <w:color w:val="7F7F7F" w:themeColor="text1" w:themeTint="80"/>
          <w:sz w:val="18"/>
        </w:rPr>
        <w:br/>
      </w:r>
      <w:r>
        <w:rPr>
          <w:color w:val="7F7F7F" w:themeColor="text1" w:themeTint="80"/>
          <w:sz w:val="18"/>
        </w:rPr>
        <w:t xml:space="preserve">Annual </w:t>
      </w:r>
      <w:r w:rsidRPr="00A65B2D">
        <w:rPr>
          <w:color w:val="7F7F7F" w:themeColor="text1" w:themeTint="80"/>
          <w:sz w:val="18"/>
        </w:rPr>
        <w:t>Consolidated</w:t>
      </w:r>
      <w:r>
        <w:rPr>
          <w:color w:val="7F7F7F" w:themeColor="text1" w:themeTint="80"/>
          <w:sz w:val="18"/>
        </w:rPr>
        <w:t xml:space="preserve"> Financial Statements</w:t>
      </w:r>
      <w:r w:rsidRPr="00F01D36">
        <w:rPr>
          <w:color w:val="7F7F7F" w:themeColor="text1" w:themeTint="80"/>
          <w:sz w:val="18"/>
        </w:rPr>
        <w:t xml:space="preserve">. Some Commonwealth Budget categories (LHS) approximately correspond to the categories in the look-through basis (RHS); </w:t>
      </w:r>
      <w:proofErr w:type="gramStart"/>
      <w:r w:rsidRPr="00F01D36">
        <w:rPr>
          <w:color w:val="7F7F7F" w:themeColor="text1" w:themeTint="80"/>
          <w:sz w:val="18"/>
        </w:rPr>
        <w:t>however</w:t>
      </w:r>
      <w:proofErr w:type="gramEnd"/>
      <w:r w:rsidRPr="00F01D36">
        <w:rPr>
          <w:color w:val="7F7F7F" w:themeColor="text1" w:themeTint="80"/>
          <w:sz w:val="18"/>
        </w:rPr>
        <w:t xml:space="preserve"> the categories are not strictly equivalent.</w:t>
      </w:r>
      <w:r w:rsidR="00542443">
        <w:rPr>
          <w:color w:val="7F7F7F" w:themeColor="text1" w:themeTint="80"/>
          <w:sz w:val="18"/>
        </w:rPr>
        <w:t xml:space="preserve"> Cash and debt securities (RHS) differs slightly from interest-bearing securities (LHS) due to differences between reporting for budget purposes and disclosure statements in quarterly portfolio</w:t>
      </w:r>
      <w:r w:rsidR="0063234D">
        <w:rPr>
          <w:color w:val="7F7F7F" w:themeColor="text1" w:themeTint="80"/>
          <w:sz w:val="18"/>
        </w:rPr>
        <w:t xml:space="preserve"> </w:t>
      </w:r>
      <w:r w:rsidR="00542443">
        <w:rPr>
          <w:color w:val="7F7F7F" w:themeColor="text1" w:themeTint="80"/>
          <w:sz w:val="18"/>
        </w:rPr>
        <w:t xml:space="preserve">updates from the </w:t>
      </w:r>
      <w:r w:rsidR="00530A7E">
        <w:rPr>
          <w:color w:val="7F7F7F" w:themeColor="text1" w:themeTint="80"/>
          <w:sz w:val="18"/>
        </w:rPr>
        <w:t>Future Fund</w:t>
      </w:r>
      <w:r w:rsidR="00542443">
        <w:rPr>
          <w:color w:val="7F7F7F" w:themeColor="text1" w:themeTint="80"/>
          <w:sz w:val="18"/>
        </w:rPr>
        <w:t>.</w:t>
      </w:r>
    </w:p>
    <w:p w:rsidR="006524E6" w:rsidRPr="009E4072" w:rsidRDefault="006524E6" w:rsidP="00CD2199">
      <w:pPr>
        <w:pStyle w:val="BodyText"/>
        <w:spacing w:before="0" w:line="240" w:lineRule="auto"/>
        <w:ind w:left="454" w:right="567"/>
        <w:rPr>
          <w:color w:val="7F7F7F" w:themeColor="text1" w:themeTint="80"/>
          <w:sz w:val="18"/>
        </w:rPr>
      </w:pPr>
      <w:r w:rsidRPr="009E4072">
        <w:rPr>
          <w:color w:val="7F7F7F" w:themeColor="text1" w:themeTint="80"/>
          <w:sz w:val="18"/>
        </w:rPr>
        <w:t>Source:</w:t>
      </w:r>
      <w:r>
        <w:rPr>
          <w:color w:val="7F7F7F" w:themeColor="text1" w:themeTint="80"/>
          <w:sz w:val="18"/>
        </w:rPr>
        <w:t xml:space="preserve"> </w:t>
      </w:r>
      <w:r w:rsidR="00DA5757" w:rsidRPr="00DA5757">
        <w:rPr>
          <w:color w:val="7F7F7F" w:themeColor="text1" w:themeTint="80"/>
          <w:sz w:val="18"/>
        </w:rPr>
        <w:t>Department of Finance Annual Report</w:t>
      </w:r>
      <w:r w:rsidR="00393626">
        <w:rPr>
          <w:color w:val="7F7F7F" w:themeColor="text1" w:themeTint="80"/>
          <w:sz w:val="18"/>
        </w:rPr>
        <w:t>s</w:t>
      </w:r>
      <w:r>
        <w:rPr>
          <w:color w:val="7F7F7F" w:themeColor="text1" w:themeTint="80"/>
          <w:sz w:val="18"/>
        </w:rPr>
        <w:t xml:space="preserve">, and </w:t>
      </w:r>
      <w:r w:rsidR="00530A7E">
        <w:rPr>
          <w:color w:val="7F7F7F" w:themeColor="text1" w:themeTint="80"/>
          <w:sz w:val="18"/>
        </w:rPr>
        <w:t>Future Fund</w:t>
      </w:r>
      <w:r w:rsidR="00DA5757">
        <w:rPr>
          <w:color w:val="7F7F7F" w:themeColor="text1" w:themeTint="80"/>
          <w:sz w:val="18"/>
        </w:rPr>
        <w:t xml:space="preserve"> </w:t>
      </w:r>
      <w:r>
        <w:rPr>
          <w:color w:val="7F7F7F" w:themeColor="text1" w:themeTint="80"/>
          <w:sz w:val="18"/>
        </w:rPr>
        <w:t>portfolio updates</w:t>
      </w:r>
    </w:p>
    <w:p w:rsidR="00555B7A" w:rsidRDefault="00555B7A">
      <w:pPr>
        <w:rPr>
          <w:rFonts w:cs="Times New Roman"/>
        </w:rPr>
      </w:pPr>
      <w:r>
        <w:br w:type="page"/>
      </w:r>
    </w:p>
    <w:p w:rsidR="00234EE1" w:rsidRDefault="00271DEA" w:rsidP="00234EE1">
      <w:pPr>
        <w:pStyle w:val="BodyText"/>
      </w:pPr>
      <w:r>
        <w:lastRenderedPageBreak/>
        <w:t>F</w:t>
      </w:r>
      <w:r w:rsidR="00234EE1">
        <w:t xml:space="preserve">igure 2.2b </w:t>
      </w:r>
      <w:r w:rsidR="00234EE1" w:rsidRPr="00234EE1">
        <w:t xml:space="preserve">shows the underlying asset classes of </w:t>
      </w:r>
      <w:r w:rsidR="00234EE1">
        <w:t xml:space="preserve">the </w:t>
      </w:r>
      <w:r w:rsidR="00C54548">
        <w:t xml:space="preserve">Medical Research </w:t>
      </w:r>
      <w:r w:rsidR="00234EE1">
        <w:t xml:space="preserve">Future Fund portfolio on a </w:t>
      </w:r>
      <w:r w:rsidR="00234EE1" w:rsidRPr="00234EE1">
        <w:t xml:space="preserve">look-through basis, as disclosed in the Future Fund quarterly portfolio updates. As at 30 June 2018, </w:t>
      </w:r>
      <w:r w:rsidR="00187D00">
        <w:t xml:space="preserve">around </w:t>
      </w:r>
      <w:r w:rsidR="00E44203">
        <w:t>45</w:t>
      </w:r>
      <w:r w:rsidR="00187D00">
        <w:t xml:space="preserve"> per cent of the underlying assets held by the </w:t>
      </w:r>
      <w:r w:rsidR="00187D00" w:rsidRPr="00187D00">
        <w:t>Medical Research Future Fund</w:t>
      </w:r>
      <w:r w:rsidR="00187D00">
        <w:t xml:space="preserve"> were </w:t>
      </w:r>
      <w:r w:rsidR="00E44203">
        <w:t xml:space="preserve">listed equities, </w:t>
      </w:r>
      <w:r w:rsidR="00187D00">
        <w:t>private equity, tangibles (such as property) and alternative assets.</w:t>
      </w:r>
      <w:r w:rsidR="00E44203">
        <w:t xml:space="preserve"> The remaining </w:t>
      </w:r>
      <w:r w:rsidR="00C54548">
        <w:t>55 per </w:t>
      </w:r>
      <w:r w:rsidR="00E44203">
        <w:t xml:space="preserve">cent </w:t>
      </w:r>
      <w:r w:rsidR="00F06BE3">
        <w:t xml:space="preserve">were </w:t>
      </w:r>
      <w:r w:rsidR="00E44203">
        <w:t>cash and debt securities.</w:t>
      </w:r>
      <w:r>
        <w:t xml:space="preserve"> </w:t>
      </w:r>
      <w:r w:rsidR="00637248">
        <w:t xml:space="preserve">Like the Future Fund, a significant proportion of the </w:t>
      </w:r>
      <w:r w:rsidR="00C26430">
        <w:t>Medical Research Future Fund’s assets appear to be equity-type in nature.</w:t>
      </w:r>
    </w:p>
    <w:p w:rsidR="00622E76" w:rsidRDefault="00C26430" w:rsidP="005020E2">
      <w:pPr>
        <w:pStyle w:val="BodyText"/>
      </w:pPr>
      <w:r>
        <w:t>As the Government’s balance sheet has expanded and it is being used more actively for fiscal policy purposes, transparency around these evolving structures and the impact on key fiscal indicators is important</w:t>
      </w:r>
      <w:r w:rsidR="002517D0">
        <w:t xml:space="preserve"> to understand </w:t>
      </w:r>
      <w:r w:rsidR="004860C6">
        <w:t>underlying</w:t>
      </w:r>
      <w:r w:rsidR="002517D0">
        <w:t xml:space="preserve"> trends</w:t>
      </w:r>
      <w:r>
        <w:t>.</w:t>
      </w:r>
      <w:r w:rsidR="00622E76">
        <w:br w:type="page"/>
      </w:r>
    </w:p>
    <w:p w:rsidR="009E1CD6" w:rsidRDefault="00540445" w:rsidP="00622E76">
      <w:pPr>
        <w:pStyle w:val="Heading1"/>
      </w:pPr>
      <w:bookmarkStart w:id="7" w:name="_Toc2860940"/>
      <w:r>
        <w:lastRenderedPageBreak/>
        <w:t xml:space="preserve">Alternative </w:t>
      </w:r>
      <w:r w:rsidR="00321DD2">
        <w:t>net debt calculation</w:t>
      </w:r>
      <w:bookmarkEnd w:id="7"/>
    </w:p>
    <w:p w:rsidR="00A46480" w:rsidRDefault="00051410" w:rsidP="009E1CD6">
      <w:pPr>
        <w:spacing w:before="120"/>
        <w:rPr>
          <w:rFonts w:cs="Times New Roman"/>
        </w:rPr>
      </w:pPr>
      <w:r>
        <w:rPr>
          <w:rFonts w:cs="Times New Roman"/>
        </w:rPr>
        <w:t>An alternative conceptual approach</w:t>
      </w:r>
      <w:r w:rsidR="00C26430">
        <w:rPr>
          <w:rFonts w:cs="Times New Roman"/>
        </w:rPr>
        <w:t xml:space="preserve"> </w:t>
      </w:r>
      <w:r w:rsidR="00A46480">
        <w:rPr>
          <w:rFonts w:cs="Times New Roman"/>
        </w:rPr>
        <w:t>would be to treat collectiv</w:t>
      </w:r>
      <w:r w:rsidR="00DA5757">
        <w:rPr>
          <w:rFonts w:cs="Times New Roman"/>
        </w:rPr>
        <w:t xml:space="preserve">e investment vehicles on a </w:t>
      </w:r>
      <w:r w:rsidR="00DA5757">
        <w:rPr>
          <w:rFonts w:cs="Times New Roman"/>
        </w:rPr>
        <w:br/>
        <w:t>look-</w:t>
      </w:r>
      <w:r w:rsidR="00A46480">
        <w:rPr>
          <w:rFonts w:cs="Times New Roman"/>
        </w:rPr>
        <w:t>through basis</w:t>
      </w:r>
      <w:r w:rsidR="00022BF2">
        <w:rPr>
          <w:rFonts w:cs="Times New Roman"/>
        </w:rPr>
        <w:t xml:space="preserve"> in the </w:t>
      </w:r>
      <w:r w:rsidR="00431822">
        <w:rPr>
          <w:rFonts w:cs="Times New Roman"/>
        </w:rPr>
        <w:t xml:space="preserve">calculation of </w:t>
      </w:r>
      <w:r w:rsidR="00022BF2">
        <w:rPr>
          <w:rFonts w:cs="Times New Roman"/>
        </w:rPr>
        <w:t>net debt</w:t>
      </w:r>
      <w:r w:rsidR="00A46480">
        <w:rPr>
          <w:rFonts w:cs="Times New Roman"/>
        </w:rPr>
        <w:t xml:space="preserve">; that is, </w:t>
      </w:r>
      <w:r w:rsidR="00431822">
        <w:rPr>
          <w:rFonts w:cs="Times New Roman"/>
        </w:rPr>
        <w:t xml:space="preserve">to </w:t>
      </w:r>
      <w:r w:rsidR="002517D0">
        <w:rPr>
          <w:rFonts w:cs="Times New Roman"/>
        </w:rPr>
        <w:t>assess net debt</w:t>
      </w:r>
      <w:r w:rsidR="00A46480">
        <w:rPr>
          <w:rFonts w:cs="Times New Roman"/>
        </w:rPr>
        <w:t xml:space="preserve"> on the basis of the underlying asset</w:t>
      </w:r>
      <w:r w:rsidR="002517D0">
        <w:rPr>
          <w:rFonts w:cs="Times New Roman"/>
        </w:rPr>
        <w:t>s</w:t>
      </w:r>
      <w:r w:rsidR="00A46480">
        <w:rPr>
          <w:rFonts w:cs="Times New Roman"/>
        </w:rPr>
        <w:t xml:space="preserve">. </w:t>
      </w:r>
      <w:r w:rsidR="00022BF2">
        <w:rPr>
          <w:rFonts w:cs="Times New Roman"/>
        </w:rPr>
        <w:t xml:space="preserve">This would remove the effect that different investment structures can have on the measure. </w:t>
      </w:r>
      <w:r w:rsidR="00A46480">
        <w:rPr>
          <w:rFonts w:cs="Times New Roman"/>
        </w:rPr>
        <w:t>On the evidence available, this would suggest</w:t>
      </w:r>
      <w:r w:rsidR="00022BF2">
        <w:rPr>
          <w:rFonts w:cs="Times New Roman"/>
        </w:rPr>
        <w:t xml:space="preserve"> a significant proportion</w:t>
      </w:r>
      <w:r w:rsidR="00A46480">
        <w:rPr>
          <w:rFonts w:cs="Times New Roman"/>
        </w:rPr>
        <w:t xml:space="preserve"> of the assets held in these vehicles would be treated as equity-type assets and </w:t>
      </w:r>
      <w:r w:rsidR="000B14EC">
        <w:rPr>
          <w:rFonts w:cs="Times New Roman"/>
        </w:rPr>
        <w:t>therefore not used to offset liabilities in the calculation of</w:t>
      </w:r>
      <w:r w:rsidR="00A46480">
        <w:rPr>
          <w:rFonts w:cs="Times New Roman"/>
        </w:rPr>
        <w:t xml:space="preserve"> net debt.</w:t>
      </w:r>
      <w:r w:rsidR="00022BF2">
        <w:rPr>
          <w:rStyle w:val="FootnoteReference"/>
          <w:rFonts w:cs="Times New Roman"/>
        </w:rPr>
        <w:footnoteReference w:id="21"/>
      </w:r>
    </w:p>
    <w:p w:rsidR="00051410" w:rsidRPr="00CA6B4F" w:rsidRDefault="00431822" w:rsidP="00051410">
      <w:pPr>
        <w:spacing w:before="120"/>
        <w:rPr>
          <w:rFonts w:cs="Times New Roman"/>
        </w:rPr>
      </w:pPr>
      <w:r w:rsidRPr="00E95E3F">
        <w:rPr>
          <w:rFonts w:cs="Times New Roman"/>
        </w:rPr>
        <w:t>T</w:t>
      </w:r>
      <w:r w:rsidR="00BD63AE" w:rsidRPr="00E95E3F">
        <w:rPr>
          <w:rFonts w:cs="Times New Roman"/>
        </w:rPr>
        <w:t xml:space="preserve">he degree of complexity involved for the Future Fund to report on the underlying assets for </w:t>
      </w:r>
      <w:r w:rsidR="00022BF2" w:rsidRPr="00E95E3F">
        <w:rPr>
          <w:rFonts w:cs="Times New Roman"/>
        </w:rPr>
        <w:t xml:space="preserve">the purposes of </w:t>
      </w:r>
      <w:r w:rsidR="00BD63AE" w:rsidRPr="00E95E3F">
        <w:rPr>
          <w:rFonts w:cs="Times New Roman"/>
        </w:rPr>
        <w:t>net debt calculatio</w:t>
      </w:r>
      <w:r w:rsidR="00022BF2" w:rsidRPr="00E95E3F">
        <w:rPr>
          <w:rFonts w:cs="Times New Roman"/>
        </w:rPr>
        <w:t>ns in the budget</w:t>
      </w:r>
      <w:r w:rsidRPr="00E95E3F">
        <w:rPr>
          <w:rFonts w:cs="Times New Roman"/>
        </w:rPr>
        <w:t xml:space="preserve"> is unclear</w:t>
      </w:r>
      <w:r w:rsidR="00BD63AE" w:rsidRPr="00E95E3F">
        <w:rPr>
          <w:rFonts w:cs="Times New Roman"/>
        </w:rPr>
        <w:t xml:space="preserve">, although </w:t>
      </w:r>
      <w:r w:rsidRPr="00E95E3F">
        <w:rPr>
          <w:rFonts w:cs="Times New Roman"/>
        </w:rPr>
        <w:t xml:space="preserve">information </w:t>
      </w:r>
      <w:r w:rsidR="00F72C8E" w:rsidRPr="00E95E3F">
        <w:rPr>
          <w:rFonts w:cs="Times New Roman"/>
        </w:rPr>
        <w:t xml:space="preserve">on the underlying asset classes </w:t>
      </w:r>
      <w:r w:rsidRPr="00E95E3F">
        <w:rPr>
          <w:rFonts w:cs="Times New Roman"/>
        </w:rPr>
        <w:t>is</w:t>
      </w:r>
      <w:r w:rsidR="00BD63AE" w:rsidRPr="00E95E3F">
        <w:rPr>
          <w:rFonts w:cs="Times New Roman"/>
        </w:rPr>
        <w:t xml:space="preserve"> currently </w:t>
      </w:r>
      <w:r w:rsidR="000B14EC" w:rsidRPr="00E95E3F">
        <w:rPr>
          <w:rFonts w:cs="Times New Roman"/>
        </w:rPr>
        <w:t xml:space="preserve">disclosed </w:t>
      </w:r>
      <w:r w:rsidR="00BD63AE" w:rsidRPr="00E95E3F">
        <w:rPr>
          <w:rFonts w:cs="Times New Roman"/>
        </w:rPr>
        <w:t xml:space="preserve">in </w:t>
      </w:r>
      <w:r w:rsidR="0029559F" w:rsidRPr="00E95E3F">
        <w:rPr>
          <w:rFonts w:cs="Times New Roman"/>
        </w:rPr>
        <w:t>notes</w:t>
      </w:r>
      <w:r w:rsidR="000B14EC" w:rsidRPr="00E95E3F">
        <w:rPr>
          <w:rFonts w:cs="Times New Roman"/>
        </w:rPr>
        <w:t xml:space="preserve"> </w:t>
      </w:r>
      <w:r w:rsidR="00BD63AE" w:rsidRPr="00E95E3F">
        <w:rPr>
          <w:rFonts w:cs="Times New Roman"/>
        </w:rPr>
        <w:t xml:space="preserve">to its </w:t>
      </w:r>
      <w:r w:rsidR="0029559F" w:rsidRPr="00E95E3F">
        <w:rPr>
          <w:rFonts w:cs="Times New Roman"/>
        </w:rPr>
        <w:t xml:space="preserve">audited financial statements </w:t>
      </w:r>
      <w:r w:rsidR="00A95FDD" w:rsidRPr="00E95E3F">
        <w:rPr>
          <w:rFonts w:cs="Times New Roman"/>
        </w:rPr>
        <w:t>and in the budget papers</w:t>
      </w:r>
      <w:r w:rsidR="00BD63AE" w:rsidRPr="00E95E3F">
        <w:rPr>
          <w:rFonts w:cs="Times New Roman"/>
        </w:rPr>
        <w:t>.</w:t>
      </w:r>
      <w:r w:rsidR="00A95FDD" w:rsidRPr="00E95E3F">
        <w:rPr>
          <w:rStyle w:val="FootnoteReference"/>
          <w:rFonts w:cs="Times New Roman"/>
        </w:rPr>
        <w:footnoteReference w:id="22"/>
      </w:r>
      <w:r w:rsidR="00051410" w:rsidRPr="00E95E3F">
        <w:rPr>
          <w:rFonts w:cs="Times New Roman"/>
        </w:rPr>
        <w:t xml:space="preserve"> </w:t>
      </w:r>
      <w:r w:rsidR="00DA5757">
        <w:rPr>
          <w:rFonts w:cs="Times New Roman"/>
        </w:rPr>
        <w:t>For forecasts and projections in the budget, o</w:t>
      </w:r>
      <w:r w:rsidR="00020457" w:rsidRPr="00991AD8">
        <w:rPr>
          <w:rFonts w:cs="Times New Roman"/>
        </w:rPr>
        <w:t xml:space="preserve">ne option could be </w:t>
      </w:r>
      <w:r w:rsidR="00991AD8">
        <w:rPr>
          <w:rFonts w:cs="Times New Roman"/>
        </w:rPr>
        <w:t>to use the latest portfolio asset class allocation</w:t>
      </w:r>
      <w:r w:rsidR="00F93204" w:rsidRPr="00991AD8">
        <w:rPr>
          <w:rFonts w:cs="Times New Roman"/>
        </w:rPr>
        <w:t>.</w:t>
      </w:r>
      <w:r w:rsidR="00991AD8">
        <w:rPr>
          <w:rFonts w:cs="Times New Roman"/>
        </w:rPr>
        <w:t xml:space="preserve"> Alternative approaches could also be considered.</w:t>
      </w:r>
    </w:p>
    <w:p w:rsidR="00F9271B" w:rsidRPr="00F4067B" w:rsidRDefault="00051410" w:rsidP="00051410">
      <w:pPr>
        <w:spacing w:before="120"/>
      </w:pPr>
      <w:r w:rsidRPr="00CA6B4F">
        <w:rPr>
          <w:rFonts w:cs="Times New Roman"/>
        </w:rPr>
        <w:t xml:space="preserve">For illustrative purposes, </w:t>
      </w:r>
      <w:r w:rsidR="009E1CD6" w:rsidRPr="00CA6B4F">
        <w:rPr>
          <w:rFonts w:cs="Times New Roman"/>
        </w:rPr>
        <w:t xml:space="preserve">Figure </w:t>
      </w:r>
      <w:r w:rsidR="0037247B" w:rsidRPr="00CA6B4F">
        <w:rPr>
          <w:rFonts w:cs="Times New Roman"/>
        </w:rPr>
        <w:t>3</w:t>
      </w:r>
      <w:r w:rsidR="009E1CD6" w:rsidRPr="00CA6B4F">
        <w:rPr>
          <w:rFonts w:cs="Times New Roman"/>
        </w:rPr>
        <w:t xml:space="preserve">-1 </w:t>
      </w:r>
      <w:r w:rsidRPr="00CA6B4F">
        <w:rPr>
          <w:rFonts w:cs="Times New Roman"/>
        </w:rPr>
        <w:t xml:space="preserve">shows </w:t>
      </w:r>
      <w:r w:rsidR="00963335" w:rsidRPr="00CA6B4F">
        <w:rPr>
          <w:rFonts w:cs="Times New Roman"/>
        </w:rPr>
        <w:t>the impact</w:t>
      </w:r>
      <w:r w:rsidR="00963335" w:rsidRPr="00F4067B">
        <w:rPr>
          <w:rFonts w:cs="Times New Roman"/>
        </w:rPr>
        <w:t xml:space="preserve"> </w:t>
      </w:r>
      <w:r w:rsidRPr="00F4067B">
        <w:rPr>
          <w:rFonts w:cs="Times New Roman"/>
        </w:rPr>
        <w:t xml:space="preserve">on net debt of assuming that all of the assets held in collective investment vehicles are equity-type in nature and treating </w:t>
      </w:r>
      <w:r w:rsidR="00431822" w:rsidRPr="00F4067B">
        <w:rPr>
          <w:rFonts w:cs="Times New Roman"/>
        </w:rPr>
        <w:t>them</w:t>
      </w:r>
      <w:r w:rsidRPr="00F4067B">
        <w:rPr>
          <w:rFonts w:cs="Times New Roman"/>
        </w:rPr>
        <w:t xml:space="preserve"> like ‘equities’ rather than ‘investment, loans and placements’ in the calculation of net debt.  </w:t>
      </w:r>
    </w:p>
    <w:p w:rsidR="00CC5D46" w:rsidRPr="009831CC" w:rsidRDefault="00CC5D46" w:rsidP="00D16C51">
      <w:pPr>
        <w:spacing w:line="180" w:lineRule="exact"/>
        <w:rPr>
          <w:rFonts w:cs="Times New Roman"/>
        </w:rPr>
      </w:pPr>
    </w:p>
    <w:p w:rsidR="009E1CD6" w:rsidRPr="00FC44FA" w:rsidRDefault="009E1CD6" w:rsidP="00816B15">
      <w:pPr>
        <w:keepNext/>
        <w:spacing w:before="40" w:after="40" w:line="240" w:lineRule="auto"/>
        <w:jc w:val="center"/>
        <w:rPr>
          <w:b/>
          <w:bCs/>
          <w:noProof/>
          <w:color w:val="3D4D7D" w:themeColor="background2"/>
          <w:lang w:eastAsia="en-AU"/>
        </w:rPr>
      </w:pPr>
      <w:r w:rsidRPr="00FC44FA">
        <w:rPr>
          <w:b/>
          <w:bCs/>
          <w:noProof/>
          <w:color w:val="3D4D7D" w:themeColor="background2"/>
          <w:lang w:eastAsia="en-AU"/>
        </w:rPr>
        <w:t>F</w:t>
      </w:r>
      <w:r w:rsidR="002429FA">
        <w:rPr>
          <w:b/>
          <w:bCs/>
          <w:noProof/>
          <w:color w:val="3D4D7D" w:themeColor="background2"/>
          <w:lang w:eastAsia="en-AU"/>
        </w:rPr>
        <w:t>igure 3-1</w:t>
      </w:r>
      <w:r w:rsidRPr="00FC44FA">
        <w:rPr>
          <w:b/>
          <w:bCs/>
          <w:noProof/>
          <w:color w:val="3D4D7D" w:themeColor="background2"/>
          <w:lang w:eastAsia="en-AU"/>
        </w:rPr>
        <w:t xml:space="preserve">: </w:t>
      </w:r>
      <w:r w:rsidR="002113BD">
        <w:rPr>
          <w:b/>
          <w:bCs/>
          <w:noProof/>
          <w:color w:val="3D4D7D" w:themeColor="background2"/>
          <w:lang w:eastAsia="en-AU"/>
        </w:rPr>
        <w:t>Commo</w:t>
      </w:r>
      <w:r w:rsidR="006524E6">
        <w:rPr>
          <w:b/>
          <w:bCs/>
          <w:noProof/>
          <w:color w:val="3D4D7D" w:themeColor="background2"/>
          <w:lang w:eastAsia="en-AU"/>
        </w:rPr>
        <w:t>nw</w:t>
      </w:r>
      <w:r w:rsidR="002113BD">
        <w:rPr>
          <w:b/>
          <w:bCs/>
          <w:noProof/>
          <w:color w:val="3D4D7D" w:themeColor="background2"/>
          <w:lang w:eastAsia="en-AU"/>
        </w:rPr>
        <w:t xml:space="preserve">ealth </w:t>
      </w:r>
      <w:r w:rsidR="006259BA">
        <w:rPr>
          <w:b/>
          <w:bCs/>
          <w:noProof/>
          <w:color w:val="3D4D7D" w:themeColor="background2"/>
          <w:lang w:eastAsia="en-AU"/>
        </w:rPr>
        <w:t>Government</w:t>
      </w:r>
      <w:r>
        <w:rPr>
          <w:b/>
          <w:bCs/>
          <w:noProof/>
          <w:color w:val="3D4D7D" w:themeColor="background2"/>
          <w:lang w:eastAsia="en-AU"/>
        </w:rPr>
        <w:t xml:space="preserve"> debt</w:t>
      </w:r>
    </w:p>
    <w:p w:rsidR="009E1CD6" w:rsidRPr="00FC44FA" w:rsidRDefault="00D16C51" w:rsidP="00D16C51">
      <w:pPr>
        <w:spacing w:after="120"/>
        <w:jc w:val="center"/>
        <w:rPr>
          <w:rFonts w:cs="Times New Roman"/>
          <w:lang w:eastAsia="en-AU"/>
        </w:rPr>
      </w:pPr>
      <w:r>
        <w:rPr>
          <w:rFonts w:cs="Times New Roman"/>
          <w:noProof/>
          <w:lang w:eastAsia="en-AU"/>
        </w:rPr>
        <w:drawing>
          <wp:inline distT="0" distB="0" distL="0" distR="0">
            <wp:extent cx="5688000" cy="3509617"/>
            <wp:effectExtent l="0" t="0" r="1905" b="0"/>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3-1_Commonwealth Government Debt_V6-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8000" cy="3509617"/>
                    </a:xfrm>
                    <a:prstGeom prst="rect">
                      <a:avLst/>
                    </a:prstGeom>
                  </pic:spPr>
                </pic:pic>
              </a:graphicData>
            </a:graphic>
          </wp:inline>
        </w:drawing>
      </w:r>
    </w:p>
    <w:p w:rsidR="009E1CD6" w:rsidRDefault="0023431B" w:rsidP="00CD2199">
      <w:pPr>
        <w:pStyle w:val="BodyText"/>
        <w:spacing w:before="0" w:line="240" w:lineRule="auto"/>
        <w:ind w:left="454" w:right="567"/>
        <w:rPr>
          <w:color w:val="7F7F7F" w:themeColor="text1" w:themeTint="80"/>
          <w:sz w:val="18"/>
        </w:rPr>
      </w:pPr>
      <w:r>
        <w:rPr>
          <w:color w:val="7F7F7F" w:themeColor="text1" w:themeTint="80"/>
          <w:sz w:val="18"/>
        </w:rPr>
        <w:t xml:space="preserve">Note: </w:t>
      </w:r>
      <w:r w:rsidRPr="0023431B">
        <w:rPr>
          <w:color w:val="7F7F7F" w:themeColor="text1" w:themeTint="80"/>
          <w:sz w:val="18"/>
        </w:rPr>
        <w:t xml:space="preserve">Under </w:t>
      </w:r>
      <w:r>
        <w:rPr>
          <w:color w:val="7F7F7F" w:themeColor="text1" w:themeTint="80"/>
          <w:sz w:val="18"/>
        </w:rPr>
        <w:t xml:space="preserve">the </w:t>
      </w:r>
      <w:r w:rsidR="00F72C8E">
        <w:rPr>
          <w:color w:val="7F7F7F" w:themeColor="text1" w:themeTint="80"/>
          <w:sz w:val="18"/>
        </w:rPr>
        <w:t xml:space="preserve">alternative estimate </w:t>
      </w:r>
      <w:r w:rsidR="009831CC">
        <w:rPr>
          <w:color w:val="7F7F7F" w:themeColor="text1" w:themeTint="80"/>
          <w:sz w:val="18"/>
        </w:rPr>
        <w:t>–</w:t>
      </w:r>
      <w:r w:rsidR="00F72C8E">
        <w:rPr>
          <w:color w:val="7F7F7F" w:themeColor="text1" w:themeTint="80"/>
          <w:sz w:val="18"/>
        </w:rPr>
        <w:t xml:space="preserve"> </w:t>
      </w:r>
      <w:r>
        <w:rPr>
          <w:color w:val="7F7F7F" w:themeColor="text1" w:themeTint="80"/>
          <w:sz w:val="18"/>
        </w:rPr>
        <w:t>net debt approach</w:t>
      </w:r>
      <w:r w:rsidRPr="0023431B">
        <w:rPr>
          <w:color w:val="7F7F7F" w:themeColor="text1" w:themeTint="80"/>
          <w:sz w:val="18"/>
        </w:rPr>
        <w:t>, the only Future Fund and Medical Research Future Fund assets that are used to offset liabilities in the net debt calculation are the directly held assets that are cash or debt-like in nature. Projections assume that the portfolio asset class shares as at 30 June 2018 are held constant over</w:t>
      </w:r>
      <w:r w:rsidR="00DA5757">
        <w:rPr>
          <w:color w:val="7F7F7F" w:themeColor="text1" w:themeTint="80"/>
          <w:sz w:val="18"/>
        </w:rPr>
        <w:t xml:space="preserve"> </w:t>
      </w:r>
      <w:r w:rsidRPr="0023431B">
        <w:rPr>
          <w:color w:val="7F7F7F" w:themeColor="text1" w:themeTint="80"/>
          <w:sz w:val="18"/>
        </w:rPr>
        <w:t>the medium-term.</w:t>
      </w:r>
      <w:r>
        <w:rPr>
          <w:color w:val="7F7F7F" w:themeColor="text1" w:themeTint="80"/>
          <w:sz w:val="18"/>
        </w:rPr>
        <w:br/>
      </w:r>
      <w:r w:rsidR="009E1CD6" w:rsidRPr="00950437">
        <w:rPr>
          <w:color w:val="7F7F7F" w:themeColor="text1" w:themeTint="80"/>
          <w:sz w:val="18"/>
        </w:rPr>
        <w:t xml:space="preserve">Source: </w:t>
      </w:r>
      <w:r w:rsidR="001D4533">
        <w:rPr>
          <w:color w:val="7F7F7F" w:themeColor="text1" w:themeTint="80"/>
          <w:sz w:val="18"/>
        </w:rPr>
        <w:t>2018</w:t>
      </w:r>
      <w:r w:rsidR="00DD1A0D">
        <w:rPr>
          <w:color w:val="7F7F7F" w:themeColor="text1" w:themeTint="80"/>
          <w:sz w:val="18"/>
        </w:rPr>
        <w:t>–</w:t>
      </w:r>
      <w:r w:rsidR="001D4533">
        <w:rPr>
          <w:color w:val="7F7F7F" w:themeColor="text1" w:themeTint="80"/>
          <w:sz w:val="18"/>
        </w:rPr>
        <w:t xml:space="preserve">19 </w:t>
      </w:r>
      <w:r w:rsidR="009E1CD6" w:rsidRPr="00950437">
        <w:rPr>
          <w:color w:val="7F7F7F" w:themeColor="text1" w:themeTint="80"/>
          <w:sz w:val="18"/>
        </w:rPr>
        <w:t>Mid-Year Econo</w:t>
      </w:r>
      <w:r w:rsidR="001D4533">
        <w:rPr>
          <w:color w:val="7F7F7F" w:themeColor="text1" w:themeTint="80"/>
          <w:sz w:val="18"/>
        </w:rPr>
        <w:t xml:space="preserve">mic and Fiscal Outlook, </w:t>
      </w:r>
      <w:r w:rsidR="0063234D" w:rsidRPr="0063234D">
        <w:rPr>
          <w:color w:val="7F7F7F" w:themeColor="text1" w:themeTint="80"/>
          <w:sz w:val="18"/>
        </w:rPr>
        <w:t xml:space="preserve">Department of Finance Annual </w:t>
      </w:r>
      <w:r w:rsidR="00DA5757">
        <w:rPr>
          <w:color w:val="7F7F7F" w:themeColor="text1" w:themeTint="80"/>
          <w:sz w:val="18"/>
        </w:rPr>
        <w:t>Report</w:t>
      </w:r>
      <w:r w:rsidR="0063234D" w:rsidRPr="0063234D">
        <w:rPr>
          <w:color w:val="7F7F7F" w:themeColor="text1" w:themeTint="80"/>
          <w:sz w:val="18"/>
        </w:rPr>
        <w:t>s, Future Fund Annual Reports (investment performance section and notes to audited financial statements)</w:t>
      </w:r>
      <w:r w:rsidR="0063234D">
        <w:rPr>
          <w:color w:val="7F7F7F" w:themeColor="text1" w:themeTint="80"/>
          <w:sz w:val="18"/>
        </w:rPr>
        <w:t xml:space="preserve"> </w:t>
      </w:r>
      <w:r w:rsidR="001D4533">
        <w:rPr>
          <w:color w:val="7F7F7F" w:themeColor="text1" w:themeTint="80"/>
          <w:sz w:val="18"/>
        </w:rPr>
        <w:t>and PBO c</w:t>
      </w:r>
      <w:r w:rsidR="009E1CD6" w:rsidRPr="00950437">
        <w:rPr>
          <w:color w:val="7F7F7F" w:themeColor="text1" w:themeTint="80"/>
          <w:sz w:val="18"/>
        </w:rPr>
        <w:t>alculations</w:t>
      </w:r>
    </w:p>
    <w:p w:rsidR="00F9271B" w:rsidRPr="00991AD8" w:rsidRDefault="00020457" w:rsidP="00F9271B">
      <w:pPr>
        <w:spacing w:before="120"/>
        <w:rPr>
          <w:rFonts w:cs="Times New Roman"/>
        </w:rPr>
      </w:pPr>
      <w:r w:rsidRPr="00991AD8">
        <w:lastRenderedPageBreak/>
        <w:t xml:space="preserve">Under this alternative </w:t>
      </w:r>
      <w:r w:rsidR="00F9271B" w:rsidRPr="00991AD8">
        <w:t>approach, the only Future Fund and Medical Research Future Fund assets used to offset liabilities in the net debt calculation are the directly held assets that are cash or debt-like in nature. The portfolio asset class shares as at 30 June 2018 are assumed to be held constant over the medium-term projection period.</w:t>
      </w:r>
    </w:p>
    <w:p w:rsidR="00F9271B" w:rsidRPr="00991AD8" w:rsidRDefault="00F9271B" w:rsidP="00F9271B">
      <w:pPr>
        <w:spacing w:before="120"/>
        <w:rPr>
          <w:rFonts w:cs="Times New Roman"/>
        </w:rPr>
      </w:pPr>
      <w:r w:rsidRPr="00991AD8">
        <w:rPr>
          <w:rFonts w:cs="Times New Roman"/>
        </w:rPr>
        <w:t>This alternative estimate of net debt is around $70 billion (just under 4 per cent of GDP) higher in 2017–18 than was reported in the budget papers and would be e</w:t>
      </w:r>
      <w:r w:rsidR="00DA5757">
        <w:rPr>
          <w:rFonts w:cs="Times New Roman"/>
        </w:rPr>
        <w:t>xpected to be just under 4.5 per </w:t>
      </w:r>
      <w:r w:rsidRPr="00991AD8">
        <w:rPr>
          <w:rFonts w:cs="Times New Roman"/>
        </w:rPr>
        <w:t xml:space="preserve">cent of GDP higher in 2028–29 as the value of these funds continues to grow. </w:t>
      </w:r>
    </w:p>
    <w:p w:rsidR="00F9271B" w:rsidRPr="00991AD8" w:rsidRDefault="00F9271B" w:rsidP="00F9271B">
      <w:pPr>
        <w:spacing w:before="120"/>
        <w:rPr>
          <w:rFonts w:cs="Times New Roman"/>
        </w:rPr>
      </w:pPr>
      <w:r w:rsidRPr="00991AD8">
        <w:rPr>
          <w:rFonts w:cs="Times New Roman"/>
        </w:rPr>
        <w:t>This example presents the upper bound of the impact of a look</w:t>
      </w:r>
      <w:r w:rsidR="00620BEF" w:rsidRPr="00991AD8">
        <w:rPr>
          <w:rFonts w:cs="Times New Roman"/>
        </w:rPr>
        <w:t>-</w:t>
      </w:r>
      <w:r w:rsidRPr="00991AD8">
        <w:rPr>
          <w:rFonts w:cs="Times New Roman"/>
        </w:rPr>
        <w:t>through calculation of net debt –</w:t>
      </w:r>
      <w:r w:rsidR="00AB2588">
        <w:rPr>
          <w:rFonts w:cs="Times New Roman"/>
        </w:rPr>
        <w:br/>
      </w:r>
      <w:r w:rsidRPr="00991AD8">
        <w:rPr>
          <w:rFonts w:cs="Times New Roman"/>
        </w:rPr>
        <w:t>that is, if all assets in collective investment vehicles were determined to be equity-like in nature.</w:t>
      </w:r>
      <w:r w:rsidR="00AB2588">
        <w:rPr>
          <w:rFonts w:cs="Times New Roman"/>
        </w:rPr>
        <w:br/>
      </w:r>
      <w:r w:rsidRPr="00991AD8">
        <w:rPr>
          <w:rFonts w:cs="Times New Roman"/>
        </w:rPr>
        <w:t>If some ‘alternative assets’ were determined to be closer to debt-like in nature, the gap between</w:t>
      </w:r>
      <w:r w:rsidR="00AB2588">
        <w:rPr>
          <w:rFonts w:cs="Times New Roman"/>
        </w:rPr>
        <w:br/>
      </w:r>
      <w:r w:rsidRPr="00991AD8">
        <w:rPr>
          <w:rFonts w:cs="Times New Roman"/>
        </w:rPr>
        <w:t>this alternative measure and current estimates of net debt would be smaller.</w:t>
      </w:r>
    </w:p>
    <w:p w:rsidR="00D32EAE" w:rsidRPr="00991AD8" w:rsidRDefault="00C107FB" w:rsidP="009E1CD6">
      <w:pPr>
        <w:keepLines/>
        <w:spacing w:before="120"/>
      </w:pPr>
      <w:r w:rsidRPr="00991AD8">
        <w:t>This alternative estimat</w:t>
      </w:r>
      <w:r w:rsidR="004860C6">
        <w:t>e</w:t>
      </w:r>
      <w:r w:rsidRPr="00991AD8">
        <w:t xml:space="preserve"> </w:t>
      </w:r>
      <w:r w:rsidR="009E1CD6" w:rsidRPr="00991AD8">
        <w:t xml:space="preserve">demonstrates the degree to which </w:t>
      </w:r>
      <w:r w:rsidR="00D32EAE" w:rsidRPr="00991AD8">
        <w:t>investment structures</w:t>
      </w:r>
      <w:r w:rsidR="00AB2588">
        <w:t xml:space="preserve"> </w:t>
      </w:r>
      <w:r w:rsidR="009E1CD6" w:rsidRPr="00991AD8">
        <w:t xml:space="preserve">can affect the measure of net debt. Changing the </w:t>
      </w:r>
      <w:r w:rsidRPr="00991AD8">
        <w:t xml:space="preserve">net debt treatment </w:t>
      </w:r>
      <w:r w:rsidR="009E1CD6" w:rsidRPr="00991AD8">
        <w:t>of</w:t>
      </w:r>
      <w:r w:rsidR="00D32EAE" w:rsidRPr="00991AD8">
        <w:t xml:space="preserve"> </w:t>
      </w:r>
      <w:r w:rsidR="009E1CD6" w:rsidRPr="00991AD8">
        <w:t>equity</w:t>
      </w:r>
      <w:r w:rsidRPr="00991AD8">
        <w:t>-type</w:t>
      </w:r>
      <w:r w:rsidR="009E1CD6" w:rsidRPr="00991AD8">
        <w:t xml:space="preserve"> </w:t>
      </w:r>
      <w:r w:rsidRPr="00991AD8">
        <w:t xml:space="preserve">assets </w:t>
      </w:r>
      <w:r w:rsidR="009E1CD6" w:rsidRPr="00991AD8">
        <w:t xml:space="preserve">held in collective investment vehicles </w:t>
      </w:r>
      <w:r w:rsidR="004E65D1" w:rsidRPr="00991AD8">
        <w:t>has</w:t>
      </w:r>
      <w:r w:rsidR="009E1CD6" w:rsidRPr="00991AD8">
        <w:t xml:space="preserve"> no impact</w:t>
      </w:r>
      <w:r w:rsidR="00D32EAE" w:rsidRPr="00991AD8">
        <w:t xml:space="preserve"> </w:t>
      </w:r>
      <w:r w:rsidR="009E1CD6" w:rsidRPr="00991AD8">
        <w:t xml:space="preserve">on the balance sheet or the sustainability of the budget position, because the total value of the </w:t>
      </w:r>
      <w:r w:rsidR="00963335" w:rsidRPr="00991AD8">
        <w:t>government’s</w:t>
      </w:r>
      <w:r w:rsidR="009E1CD6" w:rsidRPr="00991AD8">
        <w:t xml:space="preserve"> assets </w:t>
      </w:r>
      <w:proofErr w:type="gramStart"/>
      <w:r w:rsidR="004E65D1" w:rsidRPr="00991AD8">
        <w:t>are</w:t>
      </w:r>
      <w:proofErr w:type="gramEnd"/>
      <w:r w:rsidR="001D4533" w:rsidRPr="00991AD8">
        <w:t xml:space="preserve"> unchanged. However, </w:t>
      </w:r>
      <w:r w:rsidR="009E1CD6" w:rsidRPr="00991AD8">
        <w:t>it would have a material impact on the measure</w:t>
      </w:r>
      <w:r w:rsidR="00D32EAE" w:rsidRPr="00991AD8">
        <w:t xml:space="preserve"> </w:t>
      </w:r>
      <w:r w:rsidR="009E1CD6" w:rsidRPr="00991AD8">
        <w:t xml:space="preserve">of net debt. </w:t>
      </w:r>
    </w:p>
    <w:p w:rsidR="009E1CD6" w:rsidRPr="00431822" w:rsidRDefault="00431822" w:rsidP="00564779">
      <w:pPr>
        <w:spacing w:before="120"/>
        <w:rPr>
          <w:rFonts w:cs="Times New Roman"/>
        </w:rPr>
      </w:pPr>
      <w:r w:rsidRPr="00991AD8">
        <w:t>As the value of government investment funds continues to grow, there</w:t>
      </w:r>
      <w:r w:rsidRPr="00991AD8">
        <w:rPr>
          <w:rFonts w:cs="Times New Roman"/>
        </w:rPr>
        <w:t xml:space="preserve"> may be merit</w:t>
      </w:r>
      <w:r w:rsidRPr="00991AD8">
        <w:rPr>
          <w:rFonts w:cs="Times New Roman"/>
        </w:rPr>
        <w:br/>
        <w:t xml:space="preserve">in reviewing whether the current treatment of these funds in the net debt calculation remains appropriate given the changing nature of the underlying assets and their growing impact. </w:t>
      </w:r>
      <w:r w:rsidR="00C107FB" w:rsidRPr="00991AD8">
        <w:t xml:space="preserve">A review </w:t>
      </w:r>
      <w:r w:rsidR="00C107FB" w:rsidRPr="00991AD8">
        <w:rPr>
          <w:rFonts w:cs="Times New Roman"/>
        </w:rPr>
        <w:t xml:space="preserve">would </w:t>
      </w:r>
      <w:r w:rsidR="006843EF" w:rsidRPr="00991AD8">
        <w:rPr>
          <w:rFonts w:cs="Times New Roman"/>
        </w:rPr>
        <w:t>need to consider the conceptual purpose of a measure of net debt</w:t>
      </w:r>
      <w:r w:rsidR="00E11548" w:rsidRPr="00991AD8">
        <w:rPr>
          <w:rFonts w:cs="Times New Roman"/>
        </w:rPr>
        <w:t xml:space="preserve"> and the role of net debt</w:t>
      </w:r>
      <w:r w:rsidR="00AB2588">
        <w:rPr>
          <w:rFonts w:cs="Times New Roman"/>
        </w:rPr>
        <w:br/>
      </w:r>
      <w:r w:rsidR="00E11548" w:rsidRPr="00991AD8">
        <w:rPr>
          <w:rFonts w:cs="Times New Roman"/>
        </w:rPr>
        <w:t>in the government’s fiscal strategy</w:t>
      </w:r>
      <w:r w:rsidR="006843EF" w:rsidRPr="00991AD8">
        <w:rPr>
          <w:rFonts w:cs="Times New Roman"/>
        </w:rPr>
        <w:t xml:space="preserve">. It would also </w:t>
      </w:r>
      <w:r w:rsidR="00C107FB" w:rsidRPr="00991AD8">
        <w:rPr>
          <w:rFonts w:cs="Times New Roman"/>
        </w:rPr>
        <w:t xml:space="preserve">need to take into account the broader budget </w:t>
      </w:r>
      <w:r w:rsidR="00C107FB" w:rsidRPr="00991AD8">
        <w:t xml:space="preserve">frameworks and standards as well as the international standards </w:t>
      </w:r>
      <w:r w:rsidR="006843EF" w:rsidRPr="00991AD8">
        <w:t>which are drawn upon</w:t>
      </w:r>
      <w:r w:rsidR="00D32EAE" w:rsidRPr="00991AD8">
        <w:t>.</w:t>
      </w:r>
      <w:r w:rsidR="006843EF" w:rsidRPr="00991AD8">
        <w:t xml:space="preserve"> </w:t>
      </w:r>
      <w:r w:rsidR="00E11548" w:rsidRPr="00991AD8">
        <w:t>Such a review would be particu</w:t>
      </w:r>
      <w:r w:rsidRPr="00991AD8">
        <w:t>larly important if government</w:t>
      </w:r>
      <w:r w:rsidR="00E11548" w:rsidRPr="00991AD8">
        <w:t xml:space="preserve">s were to adopt more specific targets for net debt over specific time horizons, as under the current framework, the achievement of these targets could inadvertently depend </w:t>
      </w:r>
      <w:r w:rsidRPr="00991AD8">
        <w:t>on</w:t>
      </w:r>
      <w:r w:rsidR="00E11548" w:rsidRPr="00991AD8">
        <w:t xml:space="preserve"> the investment structures used </w:t>
      </w:r>
      <w:r w:rsidR="00AF47EC" w:rsidRPr="00991AD8">
        <w:t>in</w:t>
      </w:r>
      <w:r w:rsidR="00E11548" w:rsidRPr="00991AD8">
        <w:t xml:space="preserve"> government investment funds.</w:t>
      </w:r>
    </w:p>
    <w:p w:rsidR="005D543A" w:rsidRDefault="005D543A" w:rsidP="005D543A">
      <w:r>
        <w:br w:type="page"/>
      </w:r>
    </w:p>
    <w:p w:rsidR="005D543A" w:rsidRDefault="00321DD2" w:rsidP="00321DD2">
      <w:pPr>
        <w:pStyle w:val="Heading1"/>
      </w:pPr>
      <w:bookmarkStart w:id="8" w:name="_Toc2860941"/>
      <w:r w:rsidRPr="00321DD2">
        <w:lastRenderedPageBreak/>
        <w:t>Net Financial Worth as a broader measure of sustainability</w:t>
      </w:r>
      <w:bookmarkEnd w:id="8"/>
    </w:p>
    <w:p w:rsidR="006843EF" w:rsidRDefault="006843EF" w:rsidP="00CD110D">
      <w:pPr>
        <w:pStyle w:val="BodyText"/>
      </w:pPr>
      <w:r>
        <w:t xml:space="preserve">As discussed earlier in this paper, net </w:t>
      </w:r>
      <w:r w:rsidR="00AB65C9">
        <w:t xml:space="preserve">debt is one of a number of balance sheet indicators published in each budget update </w:t>
      </w:r>
      <w:r>
        <w:t>that is</w:t>
      </w:r>
      <w:r w:rsidR="00AB65C9">
        <w:t xml:space="preserve"> given </w:t>
      </w:r>
      <w:r>
        <w:t xml:space="preserve">particular </w:t>
      </w:r>
      <w:r w:rsidR="00AB65C9">
        <w:t>prominence as a key indicator of fiscal sustainability.</w:t>
      </w:r>
    </w:p>
    <w:p w:rsidR="00CD110D" w:rsidRPr="00CF5383" w:rsidRDefault="00CD110D" w:rsidP="00CD110D">
      <w:pPr>
        <w:pStyle w:val="BodyText"/>
        <w:rPr>
          <w:spacing w:val="-4"/>
        </w:rPr>
      </w:pPr>
      <w:r w:rsidRPr="00CF5383">
        <w:rPr>
          <w:spacing w:val="-4"/>
        </w:rPr>
        <w:t xml:space="preserve">Net financial worth is one of </w:t>
      </w:r>
      <w:r w:rsidR="00113561" w:rsidRPr="00CF5383">
        <w:rPr>
          <w:spacing w:val="-4"/>
        </w:rPr>
        <w:t>the</w:t>
      </w:r>
      <w:r w:rsidRPr="00CF5383">
        <w:rPr>
          <w:spacing w:val="-4"/>
        </w:rPr>
        <w:t xml:space="preserve"> </w:t>
      </w:r>
      <w:r w:rsidR="00B81F67" w:rsidRPr="00CF5383">
        <w:rPr>
          <w:spacing w:val="-4"/>
        </w:rPr>
        <w:t xml:space="preserve">broader </w:t>
      </w:r>
      <w:r w:rsidRPr="00CF5383">
        <w:rPr>
          <w:spacing w:val="-4"/>
        </w:rPr>
        <w:t xml:space="preserve">balance sheet indicators reported in the </w:t>
      </w:r>
      <w:r w:rsidR="0037247B" w:rsidRPr="00CF5383">
        <w:rPr>
          <w:spacing w:val="-4"/>
        </w:rPr>
        <w:t>b</w:t>
      </w:r>
      <w:r w:rsidRPr="00CF5383">
        <w:rPr>
          <w:spacing w:val="-4"/>
        </w:rPr>
        <w:t>udget.</w:t>
      </w:r>
      <w:r w:rsidR="00CF5383" w:rsidRPr="00CF5383">
        <w:rPr>
          <w:spacing w:val="-4"/>
        </w:rPr>
        <w:t xml:space="preserve"> </w:t>
      </w:r>
      <w:r w:rsidRPr="00CF5383">
        <w:rPr>
          <w:spacing w:val="-4"/>
        </w:rPr>
        <w:t>It measures</w:t>
      </w:r>
      <w:r w:rsidR="00CF5383">
        <w:rPr>
          <w:spacing w:val="-4"/>
        </w:rPr>
        <w:br/>
      </w:r>
      <w:r w:rsidRPr="00CF5383">
        <w:rPr>
          <w:spacing w:val="-4"/>
        </w:rPr>
        <w:t xml:space="preserve">the total </w:t>
      </w:r>
      <w:r w:rsidR="00E11548" w:rsidRPr="00CF5383">
        <w:rPr>
          <w:spacing w:val="-4"/>
        </w:rPr>
        <w:t xml:space="preserve">financial </w:t>
      </w:r>
      <w:r w:rsidRPr="00CF5383">
        <w:rPr>
          <w:spacing w:val="-4"/>
        </w:rPr>
        <w:t>liabilities</w:t>
      </w:r>
      <w:r w:rsidR="00E11548" w:rsidRPr="00CF5383">
        <w:rPr>
          <w:spacing w:val="-4"/>
        </w:rPr>
        <w:t xml:space="preserve"> </w:t>
      </w:r>
      <w:r w:rsidRPr="00CF5383">
        <w:rPr>
          <w:spacing w:val="-4"/>
        </w:rPr>
        <w:t xml:space="preserve">of the government offset by its financial assets. It excludes </w:t>
      </w:r>
      <w:r w:rsidR="00C92060" w:rsidRPr="00CF5383">
        <w:rPr>
          <w:spacing w:val="-4"/>
        </w:rPr>
        <w:t xml:space="preserve">only </w:t>
      </w:r>
      <w:r w:rsidRPr="00CF5383">
        <w:rPr>
          <w:spacing w:val="-4"/>
        </w:rPr>
        <w:t>non</w:t>
      </w:r>
      <w:r w:rsidR="0049025F" w:rsidRPr="00CF5383">
        <w:rPr>
          <w:spacing w:val="-4"/>
        </w:rPr>
        <w:noBreakHyphen/>
      </w:r>
      <w:r w:rsidRPr="00CF5383">
        <w:rPr>
          <w:spacing w:val="-4"/>
        </w:rPr>
        <w:t>financial assets such as land, buildings, equipment and infrastructure</w:t>
      </w:r>
      <w:r w:rsidR="0037247B" w:rsidRPr="00CF5383">
        <w:rPr>
          <w:spacing w:val="-4"/>
        </w:rPr>
        <w:t>.</w:t>
      </w:r>
      <w:r w:rsidRPr="00CF5383">
        <w:rPr>
          <w:spacing w:val="-4"/>
        </w:rPr>
        <w:t xml:space="preserve"> Importantly, it includes unfunded superannuation </w:t>
      </w:r>
      <w:r w:rsidR="00E11548" w:rsidRPr="00CF5383">
        <w:rPr>
          <w:spacing w:val="-4"/>
        </w:rPr>
        <w:t xml:space="preserve">liabilities </w:t>
      </w:r>
      <w:r w:rsidRPr="00CF5383">
        <w:rPr>
          <w:spacing w:val="-4"/>
        </w:rPr>
        <w:t>and holdings of equity which are significant components of</w:t>
      </w:r>
      <w:r w:rsidR="00E11548" w:rsidRPr="00CF5383">
        <w:rPr>
          <w:spacing w:val="-4"/>
        </w:rPr>
        <w:t xml:space="preserve"> </w:t>
      </w:r>
      <w:r w:rsidRPr="00CF5383">
        <w:rPr>
          <w:spacing w:val="-4"/>
        </w:rPr>
        <w:t xml:space="preserve">the balance sheet. </w:t>
      </w:r>
      <w:r w:rsidR="006843EF" w:rsidRPr="00CF5383">
        <w:rPr>
          <w:spacing w:val="-4"/>
        </w:rPr>
        <w:t xml:space="preserve"> </w:t>
      </w:r>
    </w:p>
    <w:p w:rsidR="00CD110D" w:rsidRDefault="00AB65C9" w:rsidP="00CD110D">
      <w:pPr>
        <w:pStyle w:val="BodyText"/>
      </w:pPr>
      <w:r>
        <w:t>Table 4</w:t>
      </w:r>
      <w:r w:rsidR="00CD110D">
        <w:t>-</w:t>
      </w:r>
      <w:r>
        <w:t>1</w:t>
      </w:r>
      <w:r w:rsidR="00CD110D">
        <w:t xml:space="preserve"> shows a comparison of the components of the Commonwealth balance sheet that are captured in net debt and net financial worth.</w:t>
      </w:r>
      <w:r w:rsidR="00B81F67">
        <w:t xml:space="preserve"> Figure 4-1 shows historic and projected levels of net debt and net financial worth.  </w:t>
      </w:r>
    </w:p>
    <w:p w:rsidR="00CD110D" w:rsidRDefault="00CD110D" w:rsidP="00CD110D"/>
    <w:p w:rsidR="00CD110D" w:rsidRDefault="00CD110D" w:rsidP="00816B15">
      <w:pPr>
        <w:pStyle w:val="CaptionLeft"/>
        <w:jc w:val="center"/>
      </w:pPr>
      <w:r>
        <w:t xml:space="preserve">Table </w:t>
      </w:r>
      <w:r w:rsidR="00AB65C9">
        <w:t>4</w:t>
      </w:r>
      <w:r>
        <w:t>–</w:t>
      </w:r>
      <w:r w:rsidR="00AB65C9">
        <w:t>1</w:t>
      </w:r>
      <w:r>
        <w:t>: Components of net debt and net financial worth</w:t>
      </w:r>
    </w:p>
    <w:tbl>
      <w:tblPr>
        <w:tblStyle w:val="TableGridDarkHeader"/>
        <w:tblW w:w="8930" w:type="dxa"/>
        <w:tblInd w:w="142" w:type="dxa"/>
        <w:tblLook w:val="04A0" w:firstRow="1" w:lastRow="0" w:firstColumn="1" w:lastColumn="0" w:noHBand="0" w:noVBand="1"/>
      </w:tblPr>
      <w:tblGrid>
        <w:gridCol w:w="425"/>
        <w:gridCol w:w="6039"/>
        <w:gridCol w:w="978"/>
        <w:gridCol w:w="1488"/>
      </w:tblGrid>
      <w:tr w:rsidR="00884B59" w:rsidRPr="00884B59" w:rsidTr="008C6ED0">
        <w:trPr>
          <w:cnfStyle w:val="100000000000" w:firstRow="1" w:lastRow="0" w:firstColumn="0" w:lastColumn="0" w:oddVBand="0" w:evenVBand="0" w:oddHBand="0" w:evenHBand="0" w:firstRowFirstColumn="0" w:firstRowLastColumn="0" w:lastRowFirstColumn="0" w:lastRowLastColumn="0"/>
          <w:trHeight w:val="445"/>
        </w:trPr>
        <w:tc>
          <w:tcPr>
            <w:tcW w:w="425" w:type="dxa"/>
            <w:tcMar>
              <w:left w:w="85" w:type="dxa"/>
            </w:tcMar>
            <w:hideMark/>
          </w:tcPr>
          <w:p w:rsidR="00884B59" w:rsidRPr="00884B59" w:rsidRDefault="00884B59" w:rsidP="00884B59">
            <w:pPr>
              <w:rPr>
                <w:rFonts w:ascii="Calibri" w:eastAsia="Times New Roman" w:hAnsi="Calibri" w:cs="Times New Roman"/>
                <w:bCs/>
                <w:color w:val="FFFFFF"/>
                <w:szCs w:val="20"/>
                <w:lang w:eastAsia="en-AU"/>
              </w:rPr>
            </w:pPr>
            <w:r w:rsidRPr="00884B59">
              <w:rPr>
                <w:rFonts w:ascii="Calibri" w:eastAsia="Times New Roman" w:hAnsi="Calibri" w:cs="Times New Roman"/>
                <w:bCs/>
                <w:color w:val="FFFFFF"/>
                <w:szCs w:val="20"/>
                <w:lang w:eastAsia="en-AU"/>
              </w:rPr>
              <w:t> </w:t>
            </w:r>
          </w:p>
        </w:tc>
        <w:tc>
          <w:tcPr>
            <w:tcW w:w="6039" w:type="dxa"/>
            <w:tcBorders>
              <w:right w:val="single" w:sz="4" w:space="0" w:color="FFFFFF" w:themeColor="background1"/>
            </w:tcBorders>
            <w:tcMar>
              <w:left w:w="85" w:type="dxa"/>
            </w:tcMar>
            <w:hideMark/>
          </w:tcPr>
          <w:p w:rsidR="00884B59" w:rsidRPr="00884B59" w:rsidRDefault="00884B59" w:rsidP="00884B59">
            <w:pPr>
              <w:rPr>
                <w:rFonts w:ascii="Calibri" w:eastAsia="Times New Roman" w:hAnsi="Calibri" w:cs="Times New Roman"/>
                <w:bCs/>
                <w:color w:val="FFFFFF"/>
                <w:szCs w:val="20"/>
                <w:lang w:eastAsia="en-AU"/>
              </w:rPr>
            </w:pPr>
            <w:r w:rsidRPr="00884B59">
              <w:rPr>
                <w:rFonts w:ascii="Calibri" w:eastAsia="Times New Roman" w:hAnsi="Calibri" w:cs="Times New Roman"/>
                <w:bCs/>
                <w:color w:val="FFFFFF"/>
                <w:szCs w:val="20"/>
                <w:lang w:eastAsia="en-AU"/>
              </w:rPr>
              <w:t> </w:t>
            </w:r>
          </w:p>
        </w:tc>
        <w:tc>
          <w:tcPr>
            <w:tcW w:w="978" w:type="dxa"/>
            <w:tcBorders>
              <w:left w:val="single" w:sz="4" w:space="0" w:color="FFFFFF" w:themeColor="background1"/>
              <w:right w:val="single" w:sz="4" w:space="0" w:color="FFFFFF" w:themeColor="background1"/>
            </w:tcBorders>
            <w:tcMar>
              <w:left w:w="85" w:type="dxa"/>
            </w:tcMar>
            <w:hideMark/>
          </w:tcPr>
          <w:p w:rsidR="00884B59" w:rsidRPr="00884B59" w:rsidRDefault="00884B59" w:rsidP="00652AA3">
            <w:pPr>
              <w:jc w:val="center"/>
              <w:rPr>
                <w:rFonts w:ascii="Calibri" w:eastAsia="Times New Roman" w:hAnsi="Calibri" w:cs="Times New Roman"/>
                <w:bCs/>
                <w:color w:val="FFFFFF"/>
                <w:szCs w:val="20"/>
                <w:lang w:eastAsia="en-AU"/>
              </w:rPr>
            </w:pPr>
            <w:r w:rsidRPr="00884B59">
              <w:rPr>
                <w:rFonts w:ascii="Calibri" w:eastAsia="Times New Roman" w:hAnsi="Calibri" w:cs="Times New Roman"/>
                <w:bCs/>
                <w:color w:val="FFFFFF"/>
                <w:szCs w:val="20"/>
                <w:lang w:eastAsia="en-AU"/>
              </w:rPr>
              <w:t>Net Debt</w:t>
            </w:r>
          </w:p>
        </w:tc>
        <w:tc>
          <w:tcPr>
            <w:tcW w:w="1488" w:type="dxa"/>
            <w:tcBorders>
              <w:left w:val="single" w:sz="4" w:space="0" w:color="FFFFFF" w:themeColor="background1"/>
            </w:tcBorders>
            <w:tcMar>
              <w:left w:w="85" w:type="dxa"/>
            </w:tcMar>
            <w:hideMark/>
          </w:tcPr>
          <w:p w:rsidR="00884B59" w:rsidRPr="00884B59" w:rsidRDefault="00884B59" w:rsidP="00652AA3">
            <w:pPr>
              <w:jc w:val="center"/>
              <w:rPr>
                <w:rFonts w:ascii="Calibri" w:eastAsia="Times New Roman" w:hAnsi="Calibri" w:cs="Times New Roman"/>
                <w:bCs/>
                <w:color w:val="FFFFFF"/>
                <w:szCs w:val="20"/>
                <w:lang w:eastAsia="en-AU"/>
              </w:rPr>
            </w:pPr>
            <w:r w:rsidRPr="00884B59">
              <w:rPr>
                <w:rFonts w:ascii="Calibri" w:eastAsia="Times New Roman" w:hAnsi="Calibri" w:cs="Times New Roman"/>
                <w:bCs/>
                <w:color w:val="FFFFFF"/>
                <w:szCs w:val="20"/>
                <w:lang w:eastAsia="en-AU"/>
              </w:rPr>
              <w:t>Net Financial Worth</w:t>
            </w:r>
          </w:p>
        </w:tc>
      </w:tr>
      <w:tr w:rsidR="002B02CD" w:rsidRPr="00884B59" w:rsidTr="008C6ED0">
        <w:trPr>
          <w:cnfStyle w:val="000000100000" w:firstRow="0" w:lastRow="0" w:firstColumn="0" w:lastColumn="0" w:oddVBand="0" w:evenVBand="0" w:oddHBand="1" w:evenHBand="0" w:firstRowFirstColumn="0" w:firstRowLastColumn="0" w:lastRowFirstColumn="0" w:lastRowLastColumn="0"/>
          <w:trHeight w:val="510"/>
        </w:trPr>
        <w:tc>
          <w:tcPr>
            <w:tcW w:w="425" w:type="dxa"/>
            <w:vMerge w:val="restart"/>
            <w:textDirection w:val="btLr"/>
            <w:vAlign w:val="center"/>
            <w:hideMark/>
          </w:tcPr>
          <w:p w:rsidR="002B02CD" w:rsidRPr="00884B59" w:rsidRDefault="002B02CD" w:rsidP="00652AA3">
            <w:pPr>
              <w:spacing w:before="0" w:after="0"/>
              <w:jc w:val="center"/>
              <w:rPr>
                <w:rFonts w:ascii="Calibri" w:eastAsia="Times New Roman" w:hAnsi="Calibri" w:cs="Times New Roman"/>
                <w:color w:val="000000"/>
                <w:szCs w:val="20"/>
                <w:lang w:eastAsia="en-AU"/>
              </w:rPr>
            </w:pPr>
            <w:r w:rsidRPr="00884B59">
              <w:rPr>
                <w:rFonts w:ascii="Calibri" w:eastAsia="Times New Roman" w:hAnsi="Calibri" w:cs="Times New Roman"/>
                <w:color w:val="000000"/>
                <w:szCs w:val="20"/>
                <w:lang w:eastAsia="en-AU"/>
              </w:rPr>
              <w:t>Liabilities</w:t>
            </w:r>
          </w:p>
        </w:tc>
        <w:tc>
          <w:tcPr>
            <w:tcW w:w="6039" w:type="dxa"/>
            <w:tcBorders>
              <w:bottom w:val="single" w:sz="4" w:space="0" w:color="3E4D7E"/>
              <w:right w:val="single" w:sz="4" w:space="0" w:color="3E4D7E"/>
            </w:tcBorders>
            <w:shd w:val="clear" w:color="auto" w:fill="auto"/>
            <w:tcMar>
              <w:left w:w="85" w:type="dxa"/>
            </w:tcMar>
            <w:vAlign w:val="center"/>
            <w:hideMark/>
          </w:tcPr>
          <w:p w:rsidR="002B02CD" w:rsidRPr="00AB2848" w:rsidRDefault="002B02CD" w:rsidP="00E151F3">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 xml:space="preserve">Commonwealth Government Securities on issue </w:t>
            </w:r>
            <w:r>
              <w:rPr>
                <w:rFonts w:ascii="Calibri" w:eastAsia="Times New Roman" w:hAnsi="Calibri" w:cs="Times New Roman"/>
                <w:color w:val="000000"/>
                <w:szCs w:val="20"/>
                <w:lang w:eastAsia="en-AU"/>
              </w:rPr>
              <w:t xml:space="preserve">– </w:t>
            </w:r>
            <w:r w:rsidRPr="00AB2848">
              <w:rPr>
                <w:rFonts w:ascii="Calibri" w:eastAsia="Times New Roman" w:hAnsi="Calibri" w:cs="Times New Roman"/>
                <w:color w:val="000000"/>
                <w:szCs w:val="20"/>
                <w:lang w:eastAsia="en-AU"/>
              </w:rPr>
              <w:t>Market Value</w:t>
            </w:r>
          </w:p>
        </w:tc>
        <w:tc>
          <w:tcPr>
            <w:tcW w:w="978" w:type="dxa"/>
            <w:tcBorders>
              <w:left w:val="single" w:sz="4" w:space="0" w:color="3E4D7E"/>
              <w:bottom w:val="single" w:sz="4" w:space="0" w:color="3E4D7E"/>
              <w:right w:val="single" w:sz="4" w:space="0" w:color="3E4D7E"/>
            </w:tcBorders>
            <w:shd w:val="clear" w:color="auto" w:fill="auto"/>
            <w:hideMark/>
          </w:tcPr>
          <w:p w:rsidR="002B02CD" w:rsidRPr="00884B59" w:rsidRDefault="002B02CD" w:rsidP="00884B59">
            <w:pPr>
              <w:jc w:val="center"/>
              <w:rPr>
                <w:rFonts w:ascii="Calibri" w:eastAsia="Times New Roman" w:hAnsi="Calibri" w:cs="Times New Roman"/>
                <w:b/>
                <w:bCs/>
                <w:color w:val="000000"/>
                <w:szCs w:val="20"/>
                <w:lang w:eastAsia="en-AU"/>
              </w:rPr>
            </w:pPr>
            <w:r w:rsidRPr="00652AA3">
              <w:rPr>
                <w:rFonts w:ascii="Calibri" w:eastAsia="Times New Roman" w:hAnsi="Calibri" w:cs="Times New Roman"/>
                <w:b/>
                <w:bCs/>
                <w:color w:val="3E4D7E"/>
                <w:szCs w:val="20"/>
                <w:lang w:eastAsia="en-AU"/>
              </w:rPr>
              <w:t> </w:t>
            </w:r>
            <w:r w:rsidRPr="00652AA3">
              <w:rPr>
                <w:rFonts w:ascii="Wingdings 2" w:eastAsia="Times New Roman" w:hAnsi="Wingdings 2" w:cs="Times New Roman"/>
                <w:b/>
                <w:bCs/>
                <w:color w:val="3E4D7E"/>
                <w:sz w:val="28"/>
                <w:szCs w:val="28"/>
                <w:lang w:eastAsia="en-AU"/>
              </w:rPr>
              <w:t></w:t>
            </w:r>
          </w:p>
        </w:tc>
        <w:tc>
          <w:tcPr>
            <w:tcW w:w="1488" w:type="dxa"/>
            <w:tcBorders>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trHeight w:val="360"/>
        </w:trPr>
        <w:tc>
          <w:tcPr>
            <w:tcW w:w="425" w:type="dxa"/>
            <w:vMerge/>
            <w:vAlign w:val="center"/>
            <w:hideMark/>
          </w:tcPr>
          <w:p w:rsidR="002B02CD" w:rsidRPr="00884B59" w:rsidRDefault="002B02CD" w:rsidP="00652AA3">
            <w:pPr>
              <w:spacing w:before="0" w:after="0"/>
              <w:jc w:val="center"/>
              <w:rPr>
                <w:rFonts w:ascii="Calibri" w:eastAsia="Times New Roman" w:hAnsi="Calibri" w:cs="Times New Roman"/>
                <w:color w:val="000000"/>
                <w:szCs w:val="20"/>
                <w:lang w:eastAsia="en-AU"/>
              </w:rPr>
            </w:pPr>
          </w:p>
        </w:tc>
        <w:tc>
          <w:tcPr>
            <w:tcW w:w="6039" w:type="dxa"/>
            <w:tcBorders>
              <w:top w:val="single" w:sz="4" w:space="0" w:color="3E4D7E"/>
              <w:bottom w:val="single" w:sz="4" w:space="0" w:color="3E4D7E"/>
              <w:right w:val="single" w:sz="4" w:space="0" w:color="3E4D7E"/>
            </w:tcBorders>
            <w:shd w:val="clear" w:color="auto" w:fill="auto"/>
            <w:tcMar>
              <w:left w:w="85" w:type="dxa"/>
            </w:tcMar>
            <w:vAlign w:val="center"/>
            <w:hideMark/>
          </w:tcPr>
          <w:p w:rsidR="002B02CD" w:rsidRDefault="002B02CD" w:rsidP="001D7C8D">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 xml:space="preserve">Other </w:t>
            </w:r>
            <w:proofErr w:type="gramStart"/>
            <w:r w:rsidRPr="00AB2848">
              <w:rPr>
                <w:rFonts w:ascii="Calibri" w:eastAsia="Times New Roman" w:hAnsi="Calibri" w:cs="Times New Roman"/>
                <w:color w:val="000000"/>
                <w:szCs w:val="20"/>
                <w:lang w:eastAsia="en-AU"/>
              </w:rPr>
              <w:t>interest bearing</w:t>
            </w:r>
            <w:proofErr w:type="gramEnd"/>
            <w:r w:rsidRPr="00AB2848">
              <w:rPr>
                <w:rFonts w:ascii="Calibri" w:eastAsia="Times New Roman" w:hAnsi="Calibri" w:cs="Times New Roman"/>
                <w:color w:val="000000"/>
                <w:szCs w:val="20"/>
                <w:lang w:eastAsia="en-AU"/>
              </w:rPr>
              <w:t xml:space="preserve"> liabilities</w:t>
            </w:r>
          </w:p>
          <w:p w:rsidR="002B02CD" w:rsidRPr="00AB2848" w:rsidRDefault="00750997" w:rsidP="001D7C8D">
            <w:pPr>
              <w:rPr>
                <w:rFonts w:ascii="Calibri" w:eastAsia="Times New Roman" w:hAnsi="Calibri" w:cs="Times New Roman"/>
                <w:color w:val="000000"/>
                <w:szCs w:val="20"/>
                <w:lang w:eastAsia="en-AU"/>
              </w:rPr>
            </w:pPr>
            <w:r w:rsidRPr="00750997">
              <w:rPr>
                <w:rFonts w:ascii="Calibri" w:eastAsia="Times New Roman" w:hAnsi="Calibri" w:cs="Times New Roman"/>
                <w:color w:val="808080" w:themeColor="background1" w:themeShade="80"/>
                <w:sz w:val="16"/>
                <w:szCs w:val="20"/>
                <w:lang w:eastAsia="en-AU"/>
              </w:rPr>
              <w:t>(</w:t>
            </w:r>
            <w:proofErr w:type="spellStart"/>
            <w:r w:rsidRPr="00750997">
              <w:rPr>
                <w:rFonts w:ascii="Calibri" w:eastAsia="Times New Roman" w:hAnsi="Calibri" w:cs="Times New Roman"/>
                <w:color w:val="808080" w:themeColor="background1" w:themeShade="80"/>
                <w:sz w:val="16"/>
                <w:szCs w:val="20"/>
                <w:lang w:eastAsia="en-AU"/>
              </w:rPr>
              <w:t>eg</w:t>
            </w:r>
            <w:r w:rsidR="00E151F3">
              <w:rPr>
                <w:rFonts w:ascii="Calibri" w:eastAsia="Times New Roman" w:hAnsi="Calibri" w:cs="Times New Roman"/>
                <w:color w:val="808080" w:themeColor="background1" w:themeShade="80"/>
                <w:sz w:val="16"/>
                <w:szCs w:val="20"/>
                <w:lang w:eastAsia="en-AU"/>
              </w:rPr>
              <w:t>.</w:t>
            </w:r>
            <w:proofErr w:type="spellEnd"/>
            <w:r w:rsidRPr="00750997">
              <w:rPr>
                <w:rFonts w:ascii="Calibri" w:eastAsia="Times New Roman" w:hAnsi="Calibri" w:cs="Times New Roman"/>
                <w:color w:val="808080" w:themeColor="background1" w:themeShade="80"/>
                <w:sz w:val="16"/>
                <w:szCs w:val="20"/>
                <w:lang w:eastAsia="en-AU"/>
              </w:rPr>
              <w:t xml:space="preserve"> Deposits held, loans, other borrowing)</w:t>
            </w:r>
          </w:p>
        </w:tc>
        <w:tc>
          <w:tcPr>
            <w:tcW w:w="978" w:type="dxa"/>
            <w:tcBorders>
              <w:top w:val="single" w:sz="4" w:space="0" w:color="3E4D7E"/>
              <w:left w:val="single" w:sz="4" w:space="0" w:color="3E4D7E"/>
              <w:bottom w:val="single" w:sz="4" w:space="0" w:color="3E4D7E"/>
              <w:right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r w:rsidRPr="00652AA3">
              <w:rPr>
                <w:rFonts w:ascii="Calibri" w:eastAsia="Times New Roman" w:hAnsi="Calibri" w:cs="Times New Roman"/>
                <w:b/>
                <w:bCs/>
                <w:color w:val="3E4D7E"/>
                <w:szCs w:val="20"/>
                <w:lang w:eastAsia="en-AU"/>
              </w:rPr>
              <w:t> </w:t>
            </w:r>
          </w:p>
        </w:tc>
        <w:tc>
          <w:tcPr>
            <w:tcW w:w="1488" w:type="dxa"/>
            <w:tcBorders>
              <w:top w:val="single" w:sz="4" w:space="0" w:color="3E4D7E"/>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cnfStyle w:val="000000100000" w:firstRow="0" w:lastRow="0" w:firstColumn="0" w:lastColumn="0" w:oddVBand="0" w:evenVBand="0" w:oddHBand="1" w:evenHBand="0" w:firstRowFirstColumn="0" w:firstRowLastColumn="0" w:lastRowFirstColumn="0" w:lastRowLastColumn="0"/>
          <w:trHeight w:val="360"/>
        </w:trPr>
        <w:tc>
          <w:tcPr>
            <w:tcW w:w="425" w:type="dxa"/>
            <w:vMerge/>
            <w:vAlign w:val="center"/>
            <w:hideMark/>
          </w:tcPr>
          <w:p w:rsidR="002B02CD" w:rsidRPr="00884B59" w:rsidRDefault="002B02CD" w:rsidP="00652AA3">
            <w:pPr>
              <w:spacing w:before="0" w:after="0"/>
              <w:jc w:val="center"/>
              <w:rPr>
                <w:rFonts w:ascii="Calibri" w:eastAsia="Times New Roman" w:hAnsi="Calibri" w:cs="Times New Roman"/>
                <w:color w:val="000000"/>
                <w:szCs w:val="20"/>
                <w:lang w:eastAsia="en-AU"/>
              </w:rPr>
            </w:pPr>
          </w:p>
        </w:tc>
        <w:tc>
          <w:tcPr>
            <w:tcW w:w="6039" w:type="dxa"/>
            <w:tcBorders>
              <w:top w:val="single" w:sz="4" w:space="0" w:color="3E4D7E"/>
              <w:bottom w:val="single" w:sz="4" w:space="0" w:color="3E4D7E"/>
              <w:right w:val="single" w:sz="4" w:space="0" w:color="3E4D7E"/>
            </w:tcBorders>
            <w:shd w:val="clear" w:color="auto" w:fill="auto"/>
            <w:tcMar>
              <w:left w:w="85" w:type="dxa"/>
            </w:tcMar>
            <w:vAlign w:val="center"/>
            <w:hideMark/>
          </w:tcPr>
          <w:p w:rsidR="002B02CD" w:rsidRPr="00AB2848" w:rsidRDefault="002B02CD" w:rsidP="00E151F3">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 xml:space="preserve">Superannuation </w:t>
            </w:r>
            <w:r w:rsidR="00E151F3">
              <w:rPr>
                <w:rFonts w:ascii="Calibri" w:eastAsia="Times New Roman" w:hAnsi="Calibri" w:cs="Times New Roman"/>
                <w:color w:val="000000"/>
                <w:szCs w:val="20"/>
                <w:lang w:eastAsia="en-AU"/>
              </w:rPr>
              <w:t>l</w:t>
            </w:r>
            <w:r w:rsidRPr="00AB2848">
              <w:rPr>
                <w:rFonts w:ascii="Calibri" w:eastAsia="Times New Roman" w:hAnsi="Calibri" w:cs="Times New Roman"/>
                <w:color w:val="000000"/>
                <w:szCs w:val="20"/>
                <w:lang w:eastAsia="en-AU"/>
              </w:rPr>
              <w:t>iabilit</w:t>
            </w:r>
            <w:r>
              <w:rPr>
                <w:rFonts w:ascii="Calibri" w:eastAsia="Times New Roman" w:hAnsi="Calibri" w:cs="Times New Roman"/>
                <w:color w:val="000000"/>
                <w:szCs w:val="20"/>
                <w:lang w:eastAsia="en-AU"/>
              </w:rPr>
              <w:t>ies</w:t>
            </w:r>
          </w:p>
        </w:tc>
        <w:tc>
          <w:tcPr>
            <w:tcW w:w="978" w:type="dxa"/>
            <w:tcBorders>
              <w:top w:val="single" w:sz="4" w:space="0" w:color="3E4D7E"/>
              <w:left w:val="single" w:sz="4" w:space="0" w:color="3E4D7E"/>
              <w:bottom w:val="single" w:sz="4" w:space="0" w:color="3E4D7E"/>
              <w:right w:val="single" w:sz="4" w:space="0" w:color="3E4D7E"/>
            </w:tcBorders>
            <w:shd w:val="clear" w:color="auto" w:fill="auto"/>
            <w:hideMark/>
          </w:tcPr>
          <w:p w:rsidR="002B02CD" w:rsidRPr="00652AA3" w:rsidRDefault="002B02CD" w:rsidP="00884B59">
            <w:pPr>
              <w:rPr>
                <w:rFonts w:ascii="Calibri" w:eastAsia="Times New Roman" w:hAnsi="Calibri" w:cs="Times New Roman"/>
                <w:color w:val="3E4D7E"/>
                <w:szCs w:val="20"/>
                <w:lang w:eastAsia="en-AU"/>
              </w:rPr>
            </w:pPr>
          </w:p>
        </w:tc>
        <w:tc>
          <w:tcPr>
            <w:tcW w:w="1488" w:type="dxa"/>
            <w:tcBorders>
              <w:top w:val="single" w:sz="4" w:space="0" w:color="3E4D7E"/>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r w:rsidRPr="00652AA3">
              <w:rPr>
                <w:rFonts w:ascii="Calibri" w:eastAsia="Times New Roman" w:hAnsi="Calibri" w:cs="Times New Roman"/>
                <w:b/>
                <w:bCs/>
                <w:color w:val="3E4D7E"/>
                <w:szCs w:val="20"/>
                <w:lang w:eastAsia="en-AU"/>
              </w:rPr>
              <w:t> </w:t>
            </w:r>
          </w:p>
        </w:tc>
      </w:tr>
      <w:tr w:rsidR="002B02CD" w:rsidRPr="00884B59" w:rsidTr="008C6ED0">
        <w:trPr>
          <w:trHeight w:val="360"/>
        </w:trPr>
        <w:tc>
          <w:tcPr>
            <w:tcW w:w="425" w:type="dxa"/>
            <w:vMerge/>
            <w:tcBorders>
              <w:bottom w:val="single" w:sz="12" w:space="0" w:color="3E4D7E"/>
            </w:tcBorders>
            <w:vAlign w:val="center"/>
            <w:hideMark/>
          </w:tcPr>
          <w:p w:rsidR="002B02CD" w:rsidRPr="00884B59" w:rsidRDefault="002B02CD" w:rsidP="00652AA3">
            <w:pPr>
              <w:spacing w:before="0" w:after="0"/>
              <w:jc w:val="center"/>
              <w:rPr>
                <w:rFonts w:ascii="Calibri" w:eastAsia="Times New Roman" w:hAnsi="Calibri" w:cs="Times New Roman"/>
                <w:color w:val="000000"/>
                <w:szCs w:val="20"/>
                <w:lang w:eastAsia="en-AU"/>
              </w:rPr>
            </w:pPr>
          </w:p>
        </w:tc>
        <w:tc>
          <w:tcPr>
            <w:tcW w:w="6039" w:type="dxa"/>
            <w:tcBorders>
              <w:top w:val="single" w:sz="4" w:space="0" w:color="3E4D7E"/>
              <w:bottom w:val="single" w:sz="12" w:space="0" w:color="3E4D7E"/>
              <w:right w:val="single" w:sz="4" w:space="0" w:color="3E4D7E"/>
            </w:tcBorders>
            <w:shd w:val="clear" w:color="auto" w:fill="auto"/>
            <w:tcMar>
              <w:left w:w="85" w:type="dxa"/>
            </w:tcMar>
            <w:vAlign w:val="center"/>
            <w:hideMark/>
          </w:tcPr>
          <w:p w:rsidR="002B02CD" w:rsidRPr="00AB2848" w:rsidRDefault="002B02CD" w:rsidP="00E151F3">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 xml:space="preserve">Other </w:t>
            </w:r>
            <w:r w:rsidR="00E151F3">
              <w:rPr>
                <w:rFonts w:ascii="Calibri" w:eastAsia="Times New Roman" w:hAnsi="Calibri" w:cs="Times New Roman"/>
                <w:color w:val="000000"/>
                <w:szCs w:val="20"/>
                <w:lang w:eastAsia="en-AU"/>
              </w:rPr>
              <w:t>l</w:t>
            </w:r>
            <w:r w:rsidRPr="00AB2848">
              <w:rPr>
                <w:rFonts w:ascii="Calibri" w:eastAsia="Times New Roman" w:hAnsi="Calibri" w:cs="Times New Roman"/>
                <w:color w:val="000000"/>
                <w:szCs w:val="20"/>
                <w:lang w:eastAsia="en-AU"/>
              </w:rPr>
              <w:t>iabilities</w:t>
            </w:r>
          </w:p>
        </w:tc>
        <w:tc>
          <w:tcPr>
            <w:tcW w:w="978" w:type="dxa"/>
            <w:tcBorders>
              <w:top w:val="single" w:sz="4" w:space="0" w:color="3E4D7E"/>
              <w:left w:val="single" w:sz="4" w:space="0" w:color="3E4D7E"/>
              <w:bottom w:val="single" w:sz="12" w:space="0" w:color="3E4D7E"/>
              <w:right w:val="single" w:sz="4" w:space="0" w:color="3E4D7E"/>
            </w:tcBorders>
            <w:shd w:val="clear" w:color="auto" w:fill="auto"/>
            <w:hideMark/>
          </w:tcPr>
          <w:p w:rsidR="002B02CD" w:rsidRPr="00652AA3" w:rsidRDefault="002B02CD" w:rsidP="00884B59">
            <w:pPr>
              <w:jc w:val="center"/>
              <w:rPr>
                <w:rFonts w:ascii="Calibri" w:eastAsia="Times New Roman" w:hAnsi="Calibri" w:cs="Times New Roman"/>
                <w:b/>
                <w:bCs/>
                <w:color w:val="3E4D7E"/>
                <w:szCs w:val="20"/>
                <w:lang w:eastAsia="en-AU"/>
              </w:rPr>
            </w:pPr>
            <w:r w:rsidRPr="00652AA3">
              <w:rPr>
                <w:rFonts w:ascii="Calibri" w:eastAsia="Times New Roman" w:hAnsi="Calibri" w:cs="Times New Roman"/>
                <w:b/>
                <w:bCs/>
                <w:color w:val="3E4D7E"/>
                <w:szCs w:val="20"/>
                <w:lang w:eastAsia="en-AU"/>
              </w:rPr>
              <w:t> </w:t>
            </w:r>
          </w:p>
        </w:tc>
        <w:tc>
          <w:tcPr>
            <w:tcW w:w="1488" w:type="dxa"/>
            <w:tcBorders>
              <w:top w:val="single" w:sz="4" w:space="0" w:color="3E4D7E"/>
              <w:left w:val="single" w:sz="4" w:space="0" w:color="3E4D7E"/>
              <w:bottom w:val="single" w:sz="12"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cnfStyle w:val="000000100000" w:firstRow="0" w:lastRow="0" w:firstColumn="0" w:lastColumn="0" w:oddVBand="0" w:evenVBand="0" w:oddHBand="1" w:evenHBand="0" w:firstRowFirstColumn="0" w:firstRowLastColumn="0" w:lastRowFirstColumn="0" w:lastRowLastColumn="0"/>
          <w:trHeight w:val="360"/>
        </w:trPr>
        <w:tc>
          <w:tcPr>
            <w:tcW w:w="425" w:type="dxa"/>
            <w:vMerge w:val="restart"/>
            <w:tcBorders>
              <w:top w:val="single" w:sz="12" w:space="0" w:color="3E4D7E"/>
            </w:tcBorders>
            <w:shd w:val="clear" w:color="auto" w:fill="D2D8E9"/>
            <w:textDirection w:val="btLr"/>
            <w:vAlign w:val="center"/>
            <w:hideMark/>
          </w:tcPr>
          <w:p w:rsidR="002B02CD" w:rsidRPr="00884B59" w:rsidRDefault="002B02CD" w:rsidP="00652AA3">
            <w:pPr>
              <w:spacing w:before="0" w:after="0"/>
              <w:jc w:val="center"/>
              <w:rPr>
                <w:rFonts w:ascii="Calibri" w:eastAsia="Times New Roman" w:hAnsi="Calibri" w:cs="Times New Roman"/>
                <w:color w:val="000000"/>
                <w:szCs w:val="20"/>
                <w:lang w:eastAsia="en-AU"/>
              </w:rPr>
            </w:pPr>
            <w:r w:rsidRPr="00884B59">
              <w:rPr>
                <w:rFonts w:ascii="Calibri" w:eastAsia="Times New Roman" w:hAnsi="Calibri" w:cs="Times New Roman"/>
                <w:color w:val="000000"/>
                <w:szCs w:val="20"/>
                <w:lang w:eastAsia="en-AU"/>
              </w:rPr>
              <w:t>Financial Assets</w:t>
            </w:r>
          </w:p>
        </w:tc>
        <w:tc>
          <w:tcPr>
            <w:tcW w:w="6039" w:type="dxa"/>
            <w:tcBorders>
              <w:top w:val="single" w:sz="12" w:space="0" w:color="3E4D7E"/>
              <w:bottom w:val="single" w:sz="4" w:space="0" w:color="3E4D7E"/>
              <w:right w:val="single" w:sz="4" w:space="0" w:color="3E4D7E"/>
            </w:tcBorders>
            <w:shd w:val="clear" w:color="auto" w:fill="auto"/>
            <w:tcMar>
              <w:left w:w="85" w:type="dxa"/>
            </w:tcMar>
            <w:vAlign w:val="center"/>
            <w:hideMark/>
          </w:tcPr>
          <w:p w:rsidR="002B02CD" w:rsidRPr="00AB2848" w:rsidRDefault="002B02CD" w:rsidP="001D7C8D">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 xml:space="preserve">Cash and deposits </w:t>
            </w:r>
          </w:p>
        </w:tc>
        <w:tc>
          <w:tcPr>
            <w:tcW w:w="978" w:type="dxa"/>
            <w:tcBorders>
              <w:top w:val="single" w:sz="12" w:space="0" w:color="3E4D7E"/>
              <w:left w:val="single" w:sz="4" w:space="0" w:color="3E4D7E"/>
              <w:bottom w:val="single" w:sz="4" w:space="0" w:color="3E4D7E"/>
              <w:right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c>
          <w:tcPr>
            <w:tcW w:w="1488" w:type="dxa"/>
            <w:tcBorders>
              <w:top w:val="single" w:sz="12" w:space="0" w:color="3E4D7E"/>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trHeight w:val="360"/>
        </w:trPr>
        <w:tc>
          <w:tcPr>
            <w:tcW w:w="425" w:type="dxa"/>
            <w:vMerge/>
            <w:shd w:val="clear" w:color="auto" w:fill="D2D8E9"/>
            <w:hideMark/>
          </w:tcPr>
          <w:p w:rsidR="002B02CD" w:rsidRPr="00884B59" w:rsidRDefault="002B02CD" w:rsidP="00884B59">
            <w:pPr>
              <w:rPr>
                <w:rFonts w:ascii="Calibri" w:eastAsia="Times New Roman" w:hAnsi="Calibri" w:cs="Times New Roman"/>
                <w:color w:val="000000"/>
                <w:szCs w:val="20"/>
                <w:lang w:eastAsia="en-AU"/>
              </w:rPr>
            </w:pPr>
          </w:p>
        </w:tc>
        <w:tc>
          <w:tcPr>
            <w:tcW w:w="6039" w:type="dxa"/>
            <w:tcBorders>
              <w:top w:val="single" w:sz="4" w:space="0" w:color="3E4D7E"/>
              <w:bottom w:val="single" w:sz="4" w:space="0" w:color="3E4D7E"/>
              <w:right w:val="single" w:sz="4" w:space="0" w:color="3E4D7E"/>
            </w:tcBorders>
            <w:shd w:val="clear" w:color="auto" w:fill="auto"/>
            <w:tcMar>
              <w:left w:w="85" w:type="dxa"/>
            </w:tcMar>
            <w:vAlign w:val="center"/>
            <w:hideMark/>
          </w:tcPr>
          <w:p w:rsidR="002B02CD" w:rsidRDefault="002B02CD" w:rsidP="001D7C8D">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Advances paid</w:t>
            </w:r>
          </w:p>
          <w:p w:rsidR="002B02CD" w:rsidRPr="00AB2848" w:rsidRDefault="002B02CD" w:rsidP="001D7C8D">
            <w:pPr>
              <w:rPr>
                <w:rFonts w:ascii="Calibri" w:eastAsia="Times New Roman" w:hAnsi="Calibri" w:cs="Times New Roman"/>
                <w:color w:val="00000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Pr="002115F8">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Student </w:t>
            </w:r>
            <w:r>
              <w:rPr>
                <w:rFonts w:ascii="Calibri" w:eastAsia="Times New Roman" w:hAnsi="Calibri" w:cs="Times New Roman"/>
                <w:color w:val="808080" w:themeColor="background1" w:themeShade="80"/>
                <w:sz w:val="16"/>
                <w:szCs w:val="20"/>
                <w:lang w:eastAsia="en-AU"/>
              </w:rPr>
              <w:t>l</w:t>
            </w:r>
            <w:r w:rsidRPr="002115F8">
              <w:rPr>
                <w:rFonts w:ascii="Calibri" w:eastAsia="Times New Roman" w:hAnsi="Calibri" w:cs="Times New Roman"/>
                <w:color w:val="808080" w:themeColor="background1" w:themeShade="80"/>
                <w:sz w:val="16"/>
                <w:szCs w:val="20"/>
                <w:lang w:eastAsia="en-AU"/>
              </w:rPr>
              <w:t>oans</w:t>
            </w:r>
            <w:r>
              <w:rPr>
                <w:rFonts w:ascii="Calibri" w:eastAsia="Times New Roman" w:hAnsi="Calibri" w:cs="Times New Roman"/>
                <w:color w:val="808080" w:themeColor="background1" w:themeShade="80"/>
                <w:sz w:val="16"/>
                <w:szCs w:val="20"/>
                <w:lang w:eastAsia="en-AU"/>
              </w:rPr>
              <w:t>,</w:t>
            </w:r>
            <w:r w:rsidRPr="002115F8">
              <w:rPr>
                <w:rFonts w:ascii="Calibri" w:eastAsia="Times New Roman" w:hAnsi="Calibri" w:cs="Times New Roman"/>
                <w:color w:val="808080" w:themeColor="background1" w:themeShade="80"/>
                <w:sz w:val="16"/>
                <w:szCs w:val="20"/>
                <w:lang w:eastAsia="en-AU"/>
              </w:rPr>
              <w:t xml:space="preserve"> </w:t>
            </w:r>
            <w:r>
              <w:rPr>
                <w:rFonts w:ascii="Calibri" w:eastAsia="Times New Roman" w:hAnsi="Calibri" w:cs="Times New Roman"/>
                <w:color w:val="808080" w:themeColor="background1" w:themeShade="80"/>
                <w:sz w:val="16"/>
                <w:szCs w:val="20"/>
                <w:lang w:eastAsia="en-AU"/>
              </w:rPr>
              <w:t>l</w:t>
            </w:r>
            <w:r w:rsidRPr="002115F8">
              <w:rPr>
                <w:rFonts w:ascii="Calibri" w:eastAsia="Times New Roman" w:hAnsi="Calibri" w:cs="Times New Roman"/>
                <w:color w:val="808080" w:themeColor="background1" w:themeShade="80"/>
                <w:sz w:val="16"/>
                <w:szCs w:val="20"/>
                <w:lang w:eastAsia="en-AU"/>
              </w:rPr>
              <w:t xml:space="preserve">oans to </w:t>
            </w:r>
            <w:r>
              <w:rPr>
                <w:rFonts w:ascii="Calibri" w:eastAsia="Times New Roman" w:hAnsi="Calibri" w:cs="Times New Roman"/>
                <w:color w:val="808080" w:themeColor="background1" w:themeShade="80"/>
                <w:sz w:val="16"/>
                <w:szCs w:val="20"/>
                <w:lang w:eastAsia="en-AU"/>
              </w:rPr>
              <w:t>s</w:t>
            </w:r>
            <w:r w:rsidRPr="002115F8">
              <w:rPr>
                <w:rFonts w:ascii="Calibri" w:eastAsia="Times New Roman" w:hAnsi="Calibri" w:cs="Times New Roman"/>
                <w:color w:val="808080" w:themeColor="background1" w:themeShade="80"/>
                <w:sz w:val="16"/>
                <w:szCs w:val="20"/>
                <w:lang w:eastAsia="en-AU"/>
              </w:rPr>
              <w:t xml:space="preserve">tate &amp; </w:t>
            </w:r>
            <w:r>
              <w:rPr>
                <w:rFonts w:ascii="Calibri" w:eastAsia="Times New Roman" w:hAnsi="Calibri" w:cs="Times New Roman"/>
                <w:color w:val="808080" w:themeColor="background1" w:themeShade="80"/>
                <w:sz w:val="16"/>
                <w:szCs w:val="20"/>
                <w:lang w:eastAsia="en-AU"/>
              </w:rPr>
              <w:t>t</w:t>
            </w:r>
            <w:r w:rsidRPr="002115F8">
              <w:rPr>
                <w:rFonts w:ascii="Calibri" w:eastAsia="Times New Roman" w:hAnsi="Calibri" w:cs="Times New Roman"/>
                <w:color w:val="808080" w:themeColor="background1" w:themeShade="80"/>
                <w:sz w:val="16"/>
                <w:szCs w:val="20"/>
                <w:lang w:eastAsia="en-AU"/>
              </w:rPr>
              <w:t xml:space="preserve">erritory </w:t>
            </w:r>
            <w:r>
              <w:rPr>
                <w:rFonts w:ascii="Calibri" w:eastAsia="Times New Roman" w:hAnsi="Calibri" w:cs="Times New Roman"/>
                <w:color w:val="808080" w:themeColor="background1" w:themeShade="80"/>
                <w:sz w:val="16"/>
                <w:szCs w:val="20"/>
                <w:lang w:eastAsia="en-AU"/>
              </w:rPr>
              <w:t>g</w:t>
            </w:r>
            <w:r w:rsidRPr="002115F8">
              <w:rPr>
                <w:rFonts w:ascii="Calibri" w:eastAsia="Times New Roman" w:hAnsi="Calibri" w:cs="Times New Roman"/>
                <w:color w:val="808080" w:themeColor="background1" w:themeShade="80"/>
                <w:sz w:val="16"/>
                <w:szCs w:val="20"/>
                <w:lang w:eastAsia="en-AU"/>
              </w:rPr>
              <w:t>overnments)</w:t>
            </w:r>
          </w:p>
        </w:tc>
        <w:tc>
          <w:tcPr>
            <w:tcW w:w="978" w:type="dxa"/>
            <w:tcBorders>
              <w:top w:val="single" w:sz="4" w:space="0" w:color="3E4D7E"/>
              <w:left w:val="single" w:sz="4" w:space="0" w:color="3E4D7E"/>
              <w:bottom w:val="single" w:sz="4" w:space="0" w:color="3E4D7E"/>
              <w:right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c>
          <w:tcPr>
            <w:tcW w:w="1488" w:type="dxa"/>
            <w:tcBorders>
              <w:top w:val="single" w:sz="4" w:space="0" w:color="3E4D7E"/>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cnfStyle w:val="000000100000" w:firstRow="0" w:lastRow="0" w:firstColumn="0" w:lastColumn="0" w:oddVBand="0" w:evenVBand="0" w:oddHBand="1" w:evenHBand="0" w:firstRowFirstColumn="0" w:firstRowLastColumn="0" w:lastRowFirstColumn="0" w:lastRowLastColumn="0"/>
          <w:trHeight w:val="360"/>
        </w:trPr>
        <w:tc>
          <w:tcPr>
            <w:tcW w:w="425" w:type="dxa"/>
            <w:vMerge/>
            <w:shd w:val="clear" w:color="auto" w:fill="D2D8E9"/>
            <w:hideMark/>
          </w:tcPr>
          <w:p w:rsidR="002B02CD" w:rsidRPr="00884B59" w:rsidRDefault="002B02CD" w:rsidP="00884B59">
            <w:pPr>
              <w:rPr>
                <w:rFonts w:ascii="Calibri" w:eastAsia="Times New Roman" w:hAnsi="Calibri" w:cs="Times New Roman"/>
                <w:color w:val="000000"/>
                <w:szCs w:val="20"/>
                <w:lang w:eastAsia="en-AU"/>
              </w:rPr>
            </w:pPr>
          </w:p>
        </w:tc>
        <w:tc>
          <w:tcPr>
            <w:tcW w:w="6039" w:type="dxa"/>
            <w:tcBorders>
              <w:top w:val="single" w:sz="4" w:space="0" w:color="3E4D7E"/>
              <w:bottom w:val="single" w:sz="4" w:space="0" w:color="3E4D7E"/>
              <w:right w:val="single" w:sz="4" w:space="0" w:color="3E4D7E"/>
            </w:tcBorders>
            <w:shd w:val="clear" w:color="auto" w:fill="auto"/>
            <w:tcMar>
              <w:left w:w="85" w:type="dxa"/>
            </w:tcMar>
            <w:vAlign w:val="center"/>
            <w:hideMark/>
          </w:tcPr>
          <w:p w:rsidR="002B02CD" w:rsidRDefault="002B02CD" w:rsidP="001D7C8D">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Investments, loans and placements</w:t>
            </w:r>
          </w:p>
          <w:p w:rsidR="002B02CD" w:rsidRPr="00AB2848" w:rsidRDefault="002B02CD" w:rsidP="008C6ED0">
            <w:pPr>
              <w:rPr>
                <w:rFonts w:ascii="Calibri" w:eastAsia="Times New Roman" w:hAnsi="Calibri" w:cs="Times New Roman"/>
                <w:color w:val="00000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Pr="002115F8">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IMF </w:t>
            </w:r>
            <w:r>
              <w:rPr>
                <w:rFonts w:ascii="Calibri" w:eastAsia="Times New Roman" w:hAnsi="Calibri" w:cs="Times New Roman"/>
                <w:color w:val="808080" w:themeColor="background1" w:themeShade="80"/>
                <w:sz w:val="16"/>
                <w:szCs w:val="20"/>
                <w:lang w:eastAsia="en-AU"/>
              </w:rPr>
              <w:t>q</w:t>
            </w:r>
            <w:r w:rsidRPr="002115F8">
              <w:rPr>
                <w:rFonts w:ascii="Calibri" w:eastAsia="Times New Roman" w:hAnsi="Calibri" w:cs="Times New Roman"/>
                <w:color w:val="808080" w:themeColor="background1" w:themeShade="80"/>
                <w:sz w:val="16"/>
                <w:szCs w:val="20"/>
                <w:lang w:eastAsia="en-AU"/>
              </w:rPr>
              <w:t xml:space="preserve">uota, </w:t>
            </w:r>
            <w:r>
              <w:rPr>
                <w:rFonts w:ascii="Calibri" w:eastAsia="Times New Roman" w:hAnsi="Calibri" w:cs="Times New Roman"/>
                <w:color w:val="808080" w:themeColor="background1" w:themeShade="80"/>
                <w:sz w:val="16"/>
                <w:szCs w:val="20"/>
                <w:lang w:eastAsia="en-AU"/>
              </w:rPr>
              <w:t xml:space="preserve">Future Fund </w:t>
            </w:r>
            <w:r w:rsidR="008C6ED0">
              <w:rPr>
                <w:rFonts w:ascii="Calibri" w:eastAsia="Times New Roman" w:hAnsi="Calibri" w:cs="Times New Roman"/>
                <w:color w:val="808080" w:themeColor="background1" w:themeShade="80"/>
                <w:sz w:val="16"/>
                <w:szCs w:val="20"/>
                <w:lang w:eastAsia="en-AU"/>
              </w:rPr>
              <w:t>collective investment vehicles and interest-bearing securities</w:t>
            </w:r>
            <w:r w:rsidRPr="002115F8">
              <w:rPr>
                <w:rFonts w:ascii="Calibri" w:eastAsia="Times New Roman" w:hAnsi="Calibri" w:cs="Times New Roman"/>
                <w:color w:val="808080" w:themeColor="background1" w:themeShade="80"/>
                <w:sz w:val="16"/>
                <w:szCs w:val="20"/>
                <w:lang w:eastAsia="en-AU"/>
              </w:rPr>
              <w:t>)</w:t>
            </w:r>
          </w:p>
        </w:tc>
        <w:tc>
          <w:tcPr>
            <w:tcW w:w="978" w:type="dxa"/>
            <w:tcBorders>
              <w:top w:val="single" w:sz="4" w:space="0" w:color="3E4D7E"/>
              <w:left w:val="single" w:sz="4" w:space="0" w:color="3E4D7E"/>
              <w:bottom w:val="single" w:sz="4" w:space="0" w:color="3E4D7E"/>
              <w:right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c>
          <w:tcPr>
            <w:tcW w:w="1488" w:type="dxa"/>
            <w:tcBorders>
              <w:top w:val="single" w:sz="4" w:space="0" w:color="3E4D7E"/>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trHeight w:val="360"/>
        </w:trPr>
        <w:tc>
          <w:tcPr>
            <w:tcW w:w="425" w:type="dxa"/>
            <w:vMerge/>
            <w:shd w:val="clear" w:color="auto" w:fill="D2D8E9"/>
            <w:hideMark/>
          </w:tcPr>
          <w:p w:rsidR="002B02CD" w:rsidRPr="00884B59" w:rsidRDefault="002B02CD" w:rsidP="00884B59">
            <w:pPr>
              <w:rPr>
                <w:rFonts w:ascii="Calibri" w:eastAsia="Times New Roman" w:hAnsi="Calibri" w:cs="Times New Roman"/>
                <w:color w:val="000000"/>
                <w:szCs w:val="20"/>
                <w:lang w:eastAsia="en-AU"/>
              </w:rPr>
            </w:pPr>
          </w:p>
        </w:tc>
        <w:tc>
          <w:tcPr>
            <w:tcW w:w="6039" w:type="dxa"/>
            <w:tcBorders>
              <w:top w:val="single" w:sz="4" w:space="0" w:color="3E4D7E"/>
              <w:bottom w:val="single" w:sz="4" w:space="0" w:color="3E4D7E"/>
              <w:right w:val="single" w:sz="4" w:space="0" w:color="3E4D7E"/>
            </w:tcBorders>
            <w:shd w:val="clear" w:color="auto" w:fill="auto"/>
            <w:tcMar>
              <w:left w:w="85" w:type="dxa"/>
            </w:tcMar>
            <w:vAlign w:val="center"/>
            <w:hideMark/>
          </w:tcPr>
          <w:p w:rsidR="002B02CD" w:rsidRDefault="002B02CD" w:rsidP="001D7C8D">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Other receivables</w:t>
            </w:r>
          </w:p>
          <w:p w:rsidR="002B02CD" w:rsidRPr="00AB2848" w:rsidRDefault="002B02CD" w:rsidP="001D7C8D">
            <w:pPr>
              <w:rPr>
                <w:rFonts w:ascii="Calibri" w:eastAsia="Times New Roman" w:hAnsi="Calibri" w:cs="Times New Roman"/>
                <w:color w:val="000000"/>
                <w:szCs w:val="20"/>
                <w:lang w:eastAsia="en-AU"/>
              </w:rPr>
            </w:pPr>
            <w:r w:rsidRPr="002115F8">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Pr="002115F8">
              <w:rPr>
                <w:rFonts w:ascii="Calibri" w:eastAsia="Times New Roman" w:hAnsi="Calibri" w:cs="Times New Roman"/>
                <w:color w:val="808080" w:themeColor="background1" w:themeShade="80"/>
                <w:sz w:val="16"/>
                <w:szCs w:val="20"/>
                <w:lang w:eastAsia="en-AU"/>
              </w:rPr>
              <w:t>.</w:t>
            </w:r>
            <w:proofErr w:type="spellEnd"/>
            <w:r w:rsidRPr="002115F8">
              <w:rPr>
                <w:rFonts w:ascii="Calibri" w:eastAsia="Times New Roman" w:hAnsi="Calibri" w:cs="Times New Roman"/>
                <w:color w:val="808080" w:themeColor="background1" w:themeShade="80"/>
                <w:sz w:val="16"/>
                <w:szCs w:val="20"/>
                <w:lang w:eastAsia="en-AU"/>
              </w:rPr>
              <w:t xml:space="preserve"> </w:t>
            </w:r>
            <w:r w:rsidR="00D52AE0">
              <w:rPr>
                <w:rFonts w:ascii="Calibri" w:eastAsia="Times New Roman" w:hAnsi="Calibri" w:cs="Times New Roman"/>
                <w:color w:val="808080" w:themeColor="background1" w:themeShade="80"/>
                <w:sz w:val="16"/>
                <w:szCs w:val="20"/>
                <w:lang w:eastAsia="en-AU"/>
              </w:rPr>
              <w:t>T</w:t>
            </w:r>
            <w:r w:rsidRPr="002115F8">
              <w:rPr>
                <w:rFonts w:ascii="Calibri" w:eastAsia="Times New Roman" w:hAnsi="Calibri" w:cs="Times New Roman"/>
                <w:color w:val="808080" w:themeColor="background1" w:themeShade="80"/>
                <w:sz w:val="16"/>
                <w:szCs w:val="20"/>
                <w:lang w:eastAsia="en-AU"/>
              </w:rPr>
              <w:t>axes receivable, prepayments)</w:t>
            </w:r>
          </w:p>
        </w:tc>
        <w:tc>
          <w:tcPr>
            <w:tcW w:w="978" w:type="dxa"/>
            <w:tcBorders>
              <w:top w:val="single" w:sz="4" w:space="0" w:color="3E4D7E"/>
              <w:left w:val="single" w:sz="4" w:space="0" w:color="3E4D7E"/>
              <w:bottom w:val="single" w:sz="4" w:space="0" w:color="3E4D7E"/>
              <w:right w:val="single" w:sz="4" w:space="0" w:color="3E4D7E"/>
            </w:tcBorders>
            <w:shd w:val="clear" w:color="auto" w:fill="auto"/>
            <w:hideMark/>
          </w:tcPr>
          <w:p w:rsidR="002B02CD" w:rsidRPr="00652AA3" w:rsidRDefault="002B02CD" w:rsidP="00884B59">
            <w:pPr>
              <w:jc w:val="center"/>
              <w:rPr>
                <w:rFonts w:ascii="Calibri" w:eastAsia="Times New Roman" w:hAnsi="Calibri" w:cs="Times New Roman"/>
                <w:b/>
                <w:bCs/>
                <w:color w:val="3E4D7E"/>
                <w:szCs w:val="20"/>
                <w:lang w:eastAsia="en-AU"/>
              </w:rPr>
            </w:pPr>
            <w:r w:rsidRPr="00652AA3">
              <w:rPr>
                <w:rFonts w:ascii="Calibri" w:eastAsia="Times New Roman" w:hAnsi="Calibri" w:cs="Times New Roman"/>
                <w:b/>
                <w:bCs/>
                <w:color w:val="3E4D7E"/>
                <w:szCs w:val="20"/>
                <w:lang w:eastAsia="en-AU"/>
              </w:rPr>
              <w:t> </w:t>
            </w:r>
          </w:p>
        </w:tc>
        <w:tc>
          <w:tcPr>
            <w:tcW w:w="1488" w:type="dxa"/>
            <w:tcBorders>
              <w:top w:val="single" w:sz="4" w:space="0" w:color="3E4D7E"/>
              <w:left w:val="single" w:sz="4" w:space="0" w:color="3E4D7E"/>
              <w:bottom w:val="single" w:sz="4"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r w:rsidR="002B02CD" w:rsidRPr="00884B59" w:rsidTr="008C6ED0">
        <w:trPr>
          <w:cnfStyle w:val="000000100000" w:firstRow="0" w:lastRow="0" w:firstColumn="0" w:lastColumn="0" w:oddVBand="0" w:evenVBand="0" w:oddHBand="1" w:evenHBand="0" w:firstRowFirstColumn="0" w:firstRowLastColumn="0" w:lastRowFirstColumn="0" w:lastRowLastColumn="0"/>
          <w:trHeight w:val="360"/>
        </w:trPr>
        <w:tc>
          <w:tcPr>
            <w:tcW w:w="425" w:type="dxa"/>
            <w:vMerge/>
            <w:tcBorders>
              <w:bottom w:val="single" w:sz="12" w:space="0" w:color="3E4D7E"/>
            </w:tcBorders>
            <w:shd w:val="clear" w:color="auto" w:fill="D2D8E9"/>
            <w:hideMark/>
          </w:tcPr>
          <w:p w:rsidR="002B02CD" w:rsidRPr="00884B59" w:rsidRDefault="002B02CD" w:rsidP="00884B59">
            <w:pPr>
              <w:rPr>
                <w:rFonts w:ascii="Calibri" w:eastAsia="Times New Roman" w:hAnsi="Calibri" w:cs="Times New Roman"/>
                <w:color w:val="000000"/>
                <w:szCs w:val="20"/>
                <w:lang w:eastAsia="en-AU"/>
              </w:rPr>
            </w:pPr>
          </w:p>
        </w:tc>
        <w:tc>
          <w:tcPr>
            <w:tcW w:w="6039" w:type="dxa"/>
            <w:tcBorders>
              <w:top w:val="single" w:sz="4" w:space="0" w:color="3E4D7E"/>
              <w:bottom w:val="single" w:sz="12" w:space="0" w:color="3E4D7E"/>
              <w:right w:val="single" w:sz="4" w:space="0" w:color="3E4D7E"/>
            </w:tcBorders>
            <w:shd w:val="clear" w:color="auto" w:fill="auto"/>
            <w:tcMar>
              <w:left w:w="85" w:type="dxa"/>
            </w:tcMar>
            <w:vAlign w:val="center"/>
            <w:hideMark/>
          </w:tcPr>
          <w:p w:rsidR="002B02CD" w:rsidRDefault="002B02CD" w:rsidP="001D7C8D">
            <w:pPr>
              <w:rPr>
                <w:rFonts w:ascii="Calibri" w:eastAsia="Times New Roman" w:hAnsi="Calibri" w:cs="Times New Roman"/>
                <w:color w:val="000000"/>
                <w:szCs w:val="20"/>
                <w:lang w:eastAsia="en-AU"/>
              </w:rPr>
            </w:pPr>
            <w:r w:rsidRPr="00AB2848">
              <w:rPr>
                <w:rFonts w:ascii="Calibri" w:eastAsia="Times New Roman" w:hAnsi="Calibri" w:cs="Times New Roman"/>
                <w:color w:val="000000"/>
                <w:szCs w:val="20"/>
                <w:lang w:eastAsia="en-AU"/>
              </w:rPr>
              <w:t>Equity investments</w:t>
            </w:r>
          </w:p>
          <w:p w:rsidR="002B02CD" w:rsidRPr="00AB2848" w:rsidRDefault="002B02CD" w:rsidP="001D7C8D">
            <w:pPr>
              <w:rPr>
                <w:rFonts w:ascii="Calibri" w:eastAsia="Times New Roman" w:hAnsi="Calibri" w:cs="Times New Roman"/>
                <w:color w:val="000000"/>
                <w:szCs w:val="20"/>
                <w:lang w:eastAsia="en-AU"/>
              </w:rPr>
            </w:pPr>
            <w:r>
              <w:rPr>
                <w:rFonts w:ascii="Calibri" w:eastAsia="Times New Roman" w:hAnsi="Calibri" w:cs="Times New Roman"/>
                <w:color w:val="808080" w:themeColor="background1" w:themeShade="80"/>
                <w:sz w:val="16"/>
                <w:szCs w:val="20"/>
                <w:lang w:eastAsia="en-AU"/>
              </w:rPr>
              <w:t>(</w:t>
            </w:r>
            <w:proofErr w:type="spellStart"/>
            <w:r>
              <w:rPr>
                <w:rFonts w:ascii="Calibri" w:eastAsia="Times New Roman" w:hAnsi="Calibri" w:cs="Times New Roman"/>
                <w:color w:val="808080" w:themeColor="background1" w:themeShade="80"/>
                <w:sz w:val="16"/>
                <w:szCs w:val="20"/>
                <w:lang w:eastAsia="en-AU"/>
              </w:rPr>
              <w:t>eg</w:t>
            </w:r>
            <w:r w:rsidR="00D52AE0">
              <w:rPr>
                <w:rFonts w:ascii="Calibri" w:eastAsia="Times New Roman" w:hAnsi="Calibri" w:cs="Times New Roman"/>
                <w:color w:val="808080" w:themeColor="background1" w:themeShade="80"/>
                <w:sz w:val="16"/>
                <w:szCs w:val="20"/>
                <w:lang w:eastAsia="en-AU"/>
              </w:rPr>
              <w:t>.</w:t>
            </w:r>
            <w:proofErr w:type="spellEnd"/>
            <w:r>
              <w:rPr>
                <w:rFonts w:ascii="Calibri" w:eastAsia="Times New Roman" w:hAnsi="Calibri" w:cs="Times New Roman"/>
                <w:color w:val="808080" w:themeColor="background1" w:themeShade="80"/>
                <w:sz w:val="16"/>
                <w:szCs w:val="20"/>
                <w:lang w:eastAsia="en-AU"/>
              </w:rPr>
              <w:t xml:space="preserve"> Future Fund investments in listed equities</w:t>
            </w:r>
            <w:r w:rsidRPr="002115F8">
              <w:rPr>
                <w:rFonts w:ascii="Calibri" w:eastAsia="Times New Roman" w:hAnsi="Calibri" w:cs="Times New Roman"/>
                <w:color w:val="808080" w:themeColor="background1" w:themeShade="80"/>
                <w:sz w:val="16"/>
                <w:szCs w:val="20"/>
                <w:lang w:eastAsia="en-AU"/>
              </w:rPr>
              <w:t>)</w:t>
            </w:r>
          </w:p>
        </w:tc>
        <w:tc>
          <w:tcPr>
            <w:tcW w:w="978" w:type="dxa"/>
            <w:tcBorders>
              <w:top w:val="single" w:sz="4" w:space="0" w:color="3E4D7E"/>
              <w:left w:val="single" w:sz="4" w:space="0" w:color="3E4D7E"/>
              <w:bottom w:val="single" w:sz="12" w:space="0" w:color="3E4D7E"/>
              <w:right w:val="single" w:sz="4" w:space="0" w:color="3E4D7E"/>
            </w:tcBorders>
            <w:shd w:val="clear" w:color="auto" w:fill="auto"/>
            <w:hideMark/>
          </w:tcPr>
          <w:p w:rsidR="002B02CD" w:rsidRPr="00884B59" w:rsidRDefault="002B02CD" w:rsidP="00884B59">
            <w:pPr>
              <w:rPr>
                <w:rFonts w:ascii="Calibri" w:eastAsia="Times New Roman" w:hAnsi="Calibri" w:cs="Times New Roman"/>
                <w:color w:val="000000"/>
                <w:szCs w:val="20"/>
                <w:lang w:eastAsia="en-AU"/>
              </w:rPr>
            </w:pPr>
          </w:p>
        </w:tc>
        <w:tc>
          <w:tcPr>
            <w:tcW w:w="1488" w:type="dxa"/>
            <w:tcBorders>
              <w:top w:val="single" w:sz="4" w:space="0" w:color="3E4D7E"/>
              <w:left w:val="single" w:sz="4" w:space="0" w:color="3E4D7E"/>
              <w:bottom w:val="single" w:sz="12" w:space="0" w:color="3E4D7E"/>
            </w:tcBorders>
            <w:shd w:val="clear" w:color="auto" w:fill="auto"/>
            <w:hideMark/>
          </w:tcPr>
          <w:p w:rsidR="002B02CD" w:rsidRPr="00652AA3" w:rsidRDefault="002B02CD" w:rsidP="00884B59">
            <w:pPr>
              <w:jc w:val="center"/>
              <w:rPr>
                <w:rFonts w:ascii="Wingdings 2" w:eastAsia="Times New Roman" w:hAnsi="Wingdings 2" w:cs="Times New Roman"/>
                <w:b/>
                <w:bCs/>
                <w:color w:val="3E4D7E"/>
                <w:sz w:val="28"/>
                <w:szCs w:val="28"/>
                <w:lang w:eastAsia="en-AU"/>
              </w:rPr>
            </w:pPr>
            <w:r w:rsidRPr="00652AA3">
              <w:rPr>
                <w:rFonts w:ascii="Wingdings 2" w:eastAsia="Times New Roman" w:hAnsi="Wingdings 2" w:cs="Times New Roman"/>
                <w:b/>
                <w:bCs/>
                <w:color w:val="3E4D7E"/>
                <w:sz w:val="28"/>
                <w:szCs w:val="28"/>
                <w:lang w:eastAsia="en-AU"/>
              </w:rPr>
              <w:t></w:t>
            </w:r>
          </w:p>
        </w:tc>
      </w:tr>
    </w:tbl>
    <w:p w:rsidR="00884B59" w:rsidRPr="006362C3" w:rsidRDefault="006362C3" w:rsidP="00652AA3">
      <w:pPr>
        <w:pStyle w:val="BodyText"/>
        <w:ind w:right="567"/>
        <w:rPr>
          <w:color w:val="7F7F7F" w:themeColor="text1" w:themeTint="80"/>
          <w:sz w:val="18"/>
        </w:rPr>
      </w:pPr>
      <w:r w:rsidRPr="006362C3">
        <w:rPr>
          <w:color w:val="7F7F7F" w:themeColor="text1" w:themeTint="80"/>
          <w:sz w:val="18"/>
        </w:rPr>
        <w:t>Source:</w:t>
      </w:r>
      <w:r>
        <w:rPr>
          <w:color w:val="7F7F7F" w:themeColor="text1" w:themeTint="80"/>
          <w:sz w:val="18"/>
        </w:rPr>
        <w:t xml:space="preserve"> 2018</w:t>
      </w:r>
      <w:r w:rsidR="006B563B">
        <w:rPr>
          <w:color w:val="7F7F7F" w:themeColor="text1" w:themeTint="80"/>
          <w:sz w:val="18"/>
        </w:rPr>
        <w:t>–</w:t>
      </w:r>
      <w:r>
        <w:rPr>
          <w:color w:val="7F7F7F" w:themeColor="text1" w:themeTint="80"/>
          <w:sz w:val="18"/>
        </w:rPr>
        <w:t xml:space="preserve">19 </w:t>
      </w:r>
      <w:r w:rsidRPr="00950437">
        <w:rPr>
          <w:color w:val="7F7F7F" w:themeColor="text1" w:themeTint="80"/>
          <w:sz w:val="18"/>
        </w:rPr>
        <w:t>Mid-Year Econo</w:t>
      </w:r>
      <w:r>
        <w:rPr>
          <w:color w:val="7F7F7F" w:themeColor="text1" w:themeTint="80"/>
          <w:sz w:val="18"/>
        </w:rPr>
        <w:t>mic and Fiscal Outlook</w:t>
      </w:r>
    </w:p>
    <w:p w:rsidR="000D2D53" w:rsidRDefault="000D2D53">
      <w:pPr>
        <w:rPr>
          <w:rFonts w:cs="Times New Roman"/>
        </w:rPr>
      </w:pPr>
      <w:r>
        <w:br w:type="page"/>
      </w:r>
    </w:p>
    <w:p w:rsidR="0075165C" w:rsidRPr="0075165C" w:rsidRDefault="0075165C" w:rsidP="00816B15">
      <w:pPr>
        <w:keepNext/>
        <w:spacing w:before="40" w:after="40" w:line="240" w:lineRule="auto"/>
        <w:jc w:val="center"/>
        <w:rPr>
          <w:b/>
          <w:bCs/>
          <w:noProof/>
          <w:color w:val="3D4D7D" w:themeColor="background2"/>
          <w:lang w:eastAsia="en-AU"/>
        </w:rPr>
      </w:pPr>
      <w:r w:rsidRPr="00FC44FA">
        <w:rPr>
          <w:b/>
          <w:bCs/>
          <w:noProof/>
          <w:color w:val="3D4D7D" w:themeColor="background2"/>
          <w:lang w:eastAsia="en-AU"/>
        </w:rPr>
        <w:lastRenderedPageBreak/>
        <w:t>F</w:t>
      </w:r>
      <w:r>
        <w:rPr>
          <w:b/>
          <w:bCs/>
          <w:noProof/>
          <w:color w:val="3D4D7D" w:themeColor="background2"/>
          <w:lang w:eastAsia="en-AU"/>
        </w:rPr>
        <w:t>igure 4-1</w:t>
      </w:r>
      <w:r w:rsidRPr="00FC44FA">
        <w:rPr>
          <w:b/>
          <w:bCs/>
          <w:noProof/>
          <w:color w:val="3D4D7D" w:themeColor="background2"/>
          <w:lang w:eastAsia="en-AU"/>
        </w:rPr>
        <w:t xml:space="preserve">: </w:t>
      </w:r>
      <w:r>
        <w:rPr>
          <w:b/>
          <w:bCs/>
          <w:noProof/>
          <w:color w:val="3D4D7D" w:themeColor="background2"/>
          <w:lang w:eastAsia="en-AU"/>
        </w:rPr>
        <w:t>Commo</w:t>
      </w:r>
      <w:r w:rsidR="006524E6">
        <w:rPr>
          <w:b/>
          <w:bCs/>
          <w:noProof/>
          <w:color w:val="3D4D7D" w:themeColor="background2"/>
          <w:lang w:eastAsia="en-AU"/>
        </w:rPr>
        <w:t>nw</w:t>
      </w:r>
      <w:r>
        <w:rPr>
          <w:b/>
          <w:bCs/>
          <w:noProof/>
          <w:color w:val="3D4D7D" w:themeColor="background2"/>
          <w:lang w:eastAsia="en-AU"/>
        </w:rPr>
        <w:t>ealth net debt and net financial worth</w:t>
      </w:r>
    </w:p>
    <w:p w:rsidR="008C62BE" w:rsidRDefault="00020A51" w:rsidP="00596B14">
      <w:pPr>
        <w:pStyle w:val="BodyText"/>
        <w:jc w:val="center"/>
        <w:rPr>
          <w:color w:val="7F7F7F" w:themeColor="text1" w:themeTint="80"/>
          <w:sz w:val="18"/>
        </w:rPr>
      </w:pPr>
      <w:r>
        <w:rPr>
          <w:noProof/>
          <w:color w:val="7F7F7F" w:themeColor="text1" w:themeTint="80"/>
          <w:sz w:val="18"/>
        </w:rPr>
        <w:drawing>
          <wp:inline distT="0" distB="0" distL="0" distR="0">
            <wp:extent cx="5760085" cy="3758565"/>
            <wp:effectExtent l="0" t="0" r="5715" b="635"/>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1_Commonwealth Net Debt and Net Financial_V6-01.jpg"/>
                    <pic:cNvPicPr/>
                  </pic:nvPicPr>
                  <pic:blipFill>
                    <a:blip r:embed="rId34">
                      <a:extLst>
                        <a:ext uri="{28A0092B-C50C-407E-A947-70E740481C1C}">
                          <a14:useLocalDpi xmlns:a14="http://schemas.microsoft.com/office/drawing/2010/main" val="0"/>
                        </a:ext>
                      </a:extLst>
                    </a:blip>
                    <a:stretch>
                      <a:fillRect/>
                    </a:stretch>
                  </pic:blipFill>
                  <pic:spPr>
                    <a:xfrm>
                      <a:off x="0" y="0"/>
                      <a:ext cx="5760085" cy="3758565"/>
                    </a:xfrm>
                    <a:prstGeom prst="rect">
                      <a:avLst/>
                    </a:prstGeom>
                  </pic:spPr>
                </pic:pic>
              </a:graphicData>
            </a:graphic>
          </wp:inline>
        </w:drawing>
      </w:r>
    </w:p>
    <w:p w:rsidR="00A65B2D" w:rsidRDefault="0023431B" w:rsidP="00CD2199">
      <w:pPr>
        <w:pStyle w:val="BodyText"/>
        <w:spacing w:line="240" w:lineRule="auto"/>
        <w:ind w:left="454" w:right="567"/>
        <w:rPr>
          <w:color w:val="7F7F7F" w:themeColor="text1" w:themeTint="80"/>
          <w:sz w:val="18"/>
        </w:rPr>
      </w:pPr>
      <w:r>
        <w:rPr>
          <w:color w:val="7F7F7F" w:themeColor="text1" w:themeTint="80"/>
          <w:sz w:val="18"/>
        </w:rPr>
        <w:t>Note: Under the</w:t>
      </w:r>
      <w:r w:rsidRPr="0023431B">
        <w:rPr>
          <w:color w:val="7F7F7F" w:themeColor="text1" w:themeTint="80"/>
          <w:sz w:val="18"/>
        </w:rPr>
        <w:t xml:space="preserve"> </w:t>
      </w:r>
      <w:r w:rsidR="00DA5757">
        <w:rPr>
          <w:color w:val="7F7F7F" w:themeColor="text1" w:themeTint="80"/>
          <w:sz w:val="18"/>
        </w:rPr>
        <w:t>‘</w:t>
      </w:r>
      <w:r w:rsidR="0063234D" w:rsidRPr="0063234D">
        <w:rPr>
          <w:color w:val="7F7F7F" w:themeColor="text1" w:themeTint="80"/>
          <w:sz w:val="18"/>
        </w:rPr>
        <w:t>alternative estimate - net debt</w:t>
      </w:r>
      <w:r w:rsidR="00DA5757">
        <w:rPr>
          <w:color w:val="7F7F7F" w:themeColor="text1" w:themeTint="80"/>
          <w:sz w:val="18"/>
        </w:rPr>
        <w:t>’</w:t>
      </w:r>
      <w:r w:rsidR="0063234D" w:rsidRPr="0063234D">
        <w:rPr>
          <w:color w:val="7F7F7F" w:themeColor="text1" w:themeTint="80"/>
          <w:sz w:val="18"/>
        </w:rPr>
        <w:t xml:space="preserve"> approach</w:t>
      </w:r>
      <w:r w:rsidRPr="0023431B">
        <w:rPr>
          <w:color w:val="7F7F7F" w:themeColor="text1" w:themeTint="80"/>
          <w:sz w:val="18"/>
        </w:rPr>
        <w:t>, the only Future Fund and Medical Research Future Fund assets that are used to offset liabilities in the net debt calculation are the directly held assets that are cash or debt-like in nature. Projections assume that the portfolio asset class shares as at 30 June 2018 are held constant over the medium-term.</w:t>
      </w:r>
      <w:r>
        <w:rPr>
          <w:color w:val="7F7F7F" w:themeColor="text1" w:themeTint="80"/>
          <w:sz w:val="18"/>
        </w:rPr>
        <w:br/>
      </w:r>
      <w:r w:rsidR="00A65B2D" w:rsidRPr="00950437">
        <w:rPr>
          <w:color w:val="7F7F7F" w:themeColor="text1" w:themeTint="80"/>
          <w:sz w:val="18"/>
        </w:rPr>
        <w:t xml:space="preserve">Source: </w:t>
      </w:r>
      <w:r w:rsidR="0063234D" w:rsidRPr="0063234D">
        <w:rPr>
          <w:color w:val="7F7F7F" w:themeColor="text1" w:themeTint="80"/>
          <w:sz w:val="18"/>
        </w:rPr>
        <w:t xml:space="preserve">2018–19 Mid-Year Economic and Fiscal Outlook, Department of Finance Annual </w:t>
      </w:r>
      <w:r w:rsidR="00DA5757">
        <w:rPr>
          <w:color w:val="7F7F7F" w:themeColor="text1" w:themeTint="80"/>
          <w:sz w:val="18"/>
        </w:rPr>
        <w:t>Report</w:t>
      </w:r>
      <w:r w:rsidR="0063234D" w:rsidRPr="0063234D">
        <w:rPr>
          <w:color w:val="7F7F7F" w:themeColor="text1" w:themeTint="80"/>
          <w:sz w:val="18"/>
        </w:rPr>
        <w:t>s, Future Fund Annual Reports (investment performance section and notes to audited financial statements) and PBO calculations</w:t>
      </w:r>
    </w:p>
    <w:p w:rsidR="000D2D53" w:rsidRPr="00950437" w:rsidRDefault="000D2D53" w:rsidP="000D2D53">
      <w:pPr>
        <w:pStyle w:val="BodyText"/>
        <w:ind w:right="567"/>
        <w:rPr>
          <w:color w:val="7F7F7F" w:themeColor="text1" w:themeTint="80"/>
          <w:sz w:val="18"/>
        </w:rPr>
      </w:pPr>
    </w:p>
    <w:p w:rsidR="00C92060" w:rsidRDefault="00C92060" w:rsidP="00C92060">
      <w:pPr>
        <w:pStyle w:val="BodyText"/>
      </w:pPr>
      <w:r>
        <w:t xml:space="preserve">The main drawback of net financial worth is that it is more affected by revaluations of assets and liabilities, particularly in relation to unfunded superannuation liabilities and the Commonwealth’s equity-type investments. This can result in net financial worth being more volatile than net debt.  </w:t>
      </w:r>
    </w:p>
    <w:p w:rsidR="00B81F67" w:rsidRDefault="00B81F67" w:rsidP="00B81F67">
      <w:pPr>
        <w:pStyle w:val="BodyText"/>
      </w:pPr>
      <w:r w:rsidRPr="00D332DC">
        <w:t xml:space="preserve">Unlike net debt, </w:t>
      </w:r>
      <w:r w:rsidR="00C92060">
        <w:t xml:space="preserve">however, </w:t>
      </w:r>
      <w:r w:rsidRPr="00D332DC">
        <w:t xml:space="preserve">net financial worth is not affected </w:t>
      </w:r>
      <w:r w:rsidR="00E11548" w:rsidRPr="00D332DC">
        <w:t>by</w:t>
      </w:r>
      <w:r w:rsidR="00E11548">
        <w:t xml:space="preserve"> asset allocation decisions within investment funds as all financial assets are included in its calculation. </w:t>
      </w:r>
      <w:proofErr w:type="gramStart"/>
      <w:r w:rsidR="00E11548">
        <w:t>Similarly</w:t>
      </w:r>
      <w:proofErr w:type="gramEnd"/>
      <w:r w:rsidR="00E11548">
        <w:t xml:space="preserve"> net financial worth does not depend on </w:t>
      </w:r>
      <w:r w:rsidRPr="00D332DC">
        <w:t xml:space="preserve">whether financial assets are </w:t>
      </w:r>
      <w:r w:rsidR="00F87777">
        <w:t xml:space="preserve">classified as </w:t>
      </w:r>
      <w:r w:rsidRPr="00D332DC">
        <w:t>debt</w:t>
      </w:r>
      <w:r>
        <w:t>-</w:t>
      </w:r>
      <w:r w:rsidRPr="00D332DC">
        <w:t xml:space="preserve"> or equity</w:t>
      </w:r>
      <w:r>
        <w:t>-</w:t>
      </w:r>
      <w:r w:rsidRPr="00D332DC">
        <w:t>like investments</w:t>
      </w:r>
      <w:r w:rsidR="00E415DC">
        <w:t>,</w:t>
      </w:r>
      <w:r w:rsidRPr="00D332DC">
        <w:t xml:space="preserve"> </w:t>
      </w:r>
      <w:r w:rsidR="00E11548">
        <w:t>or</w:t>
      </w:r>
      <w:r w:rsidRPr="00D332DC">
        <w:t xml:space="preserve"> by investment funds changing the structure of their investment portfolio through the </w:t>
      </w:r>
      <w:r>
        <w:t>u</w:t>
      </w:r>
      <w:r w:rsidRPr="00D332DC">
        <w:t xml:space="preserve">se of </w:t>
      </w:r>
      <w:r>
        <w:t xml:space="preserve">structures such as </w:t>
      </w:r>
      <w:r w:rsidRPr="00D332DC">
        <w:t xml:space="preserve">collective investment vehicles. </w:t>
      </w:r>
      <w:r>
        <w:t>And</w:t>
      </w:r>
      <w:r w:rsidR="00E415DC">
        <w:t xml:space="preserve">, as highlighted above, </w:t>
      </w:r>
      <w:r>
        <w:t>it captures the full balance sheet impact of the government’s investment funds which are increasing over time.</w:t>
      </w:r>
    </w:p>
    <w:p w:rsidR="00B81F67" w:rsidRDefault="00B81F67" w:rsidP="00B81F67">
      <w:pPr>
        <w:pStyle w:val="BodyText"/>
      </w:pPr>
      <w:r>
        <w:t xml:space="preserve">Furthermore, because net financial worth includes superannuation liabilities as well as assets which have been </w:t>
      </w:r>
      <w:r w:rsidR="00E415DC">
        <w:t>accumulated</w:t>
      </w:r>
      <w:r>
        <w:t xml:space="preserve"> to help manage these liabilities, it will be less affected than net debt by the impact of drawing down on the Future Fund assets in the future</w:t>
      </w:r>
      <w:r w:rsidR="0049025F">
        <w:t>. This is because</w:t>
      </w:r>
      <w:r>
        <w:t xml:space="preserve"> these drawdowns will correspond with a period in which the corresponding liabilities are also falling.  </w:t>
      </w:r>
    </w:p>
    <w:p w:rsidR="004A0784" w:rsidRDefault="00487CCB" w:rsidP="00D332DC">
      <w:pPr>
        <w:pStyle w:val="BodyText"/>
        <w:rPr>
          <w:rFonts w:ascii="Calibri Light" w:hAnsi="Calibri Light"/>
          <w:bCs/>
          <w:color w:val="3D4D7D" w:themeColor="background2"/>
          <w:kern w:val="32"/>
          <w:sz w:val="52"/>
          <w:szCs w:val="32"/>
        </w:rPr>
      </w:pPr>
      <w:r>
        <w:t>O</w:t>
      </w:r>
      <w:r w:rsidR="00B81F67">
        <w:t xml:space="preserve">verall, </w:t>
      </w:r>
      <w:r w:rsidR="00B81F67" w:rsidRPr="00D332DC">
        <w:t>net financial worth</w:t>
      </w:r>
      <w:r w:rsidR="00B81F67">
        <w:t xml:space="preserve"> is</w:t>
      </w:r>
      <w:r w:rsidR="00B81F67" w:rsidRPr="00D332DC">
        <w:t xml:space="preserve"> </w:t>
      </w:r>
      <w:r w:rsidR="00C92060">
        <w:t>a broader</w:t>
      </w:r>
      <w:r w:rsidR="00B81F67" w:rsidRPr="00D332DC">
        <w:t xml:space="preserve"> </w:t>
      </w:r>
      <w:r w:rsidR="00C92060">
        <w:t>indicator</w:t>
      </w:r>
      <w:r w:rsidR="00B81F67" w:rsidRPr="00D332DC">
        <w:t xml:space="preserve"> of the sustainability of the fiscal position</w:t>
      </w:r>
      <w:r w:rsidR="00B81F67">
        <w:t>. T</w:t>
      </w:r>
      <w:r>
        <w:t>he fact that net financial worth includes a</w:t>
      </w:r>
      <w:r w:rsidRPr="00487CCB">
        <w:t xml:space="preserve"> </w:t>
      </w:r>
      <w:r>
        <w:t xml:space="preserve">broader range of assets and liabilities means that it </w:t>
      </w:r>
      <w:r w:rsidR="00C92060">
        <w:t xml:space="preserve">arguably </w:t>
      </w:r>
      <w:r>
        <w:t xml:space="preserve">provides a more </w:t>
      </w:r>
      <w:r w:rsidR="00B81F67">
        <w:t xml:space="preserve">comprehensive and consistent </w:t>
      </w:r>
      <w:r>
        <w:t xml:space="preserve">picture of the </w:t>
      </w:r>
      <w:r w:rsidR="00C92060">
        <w:t>balance sheet over time</w:t>
      </w:r>
      <w:r w:rsidR="00D332DC" w:rsidRPr="00D332DC">
        <w:t>.</w:t>
      </w:r>
      <w:r w:rsidR="004A0784">
        <w:br w:type="page"/>
      </w:r>
    </w:p>
    <w:p w:rsidR="00ED0F12" w:rsidRDefault="00ED0F12" w:rsidP="00ED0F12">
      <w:pPr>
        <w:pStyle w:val="Heading1NoNumbering"/>
      </w:pPr>
      <w:bookmarkStart w:id="9" w:name="_Toc2860942"/>
      <w:r>
        <w:lastRenderedPageBreak/>
        <w:t>Appendix</w:t>
      </w:r>
      <w:r w:rsidR="00BC1226">
        <w:t xml:space="preserve"> A</w:t>
      </w:r>
      <w:bookmarkEnd w:id="9"/>
    </w:p>
    <w:p w:rsidR="00ED0F12" w:rsidRPr="009021B3" w:rsidRDefault="00106794" w:rsidP="00816B15">
      <w:pPr>
        <w:pStyle w:val="CaptionLeft"/>
        <w:jc w:val="center"/>
      </w:pPr>
      <w:r>
        <w:t>Table A–1:</w:t>
      </w:r>
      <w:r w:rsidR="00ED0F12">
        <w:t xml:space="preserve"> </w:t>
      </w:r>
      <w:r w:rsidR="00ED0F12" w:rsidRPr="0034579D">
        <w:t>Reconciliation</w:t>
      </w:r>
      <w:r w:rsidR="00AC31C0">
        <w:t xml:space="preserve"> of</w:t>
      </w:r>
      <w:r w:rsidR="00F90106">
        <w:t xml:space="preserve"> </w:t>
      </w:r>
      <w:r w:rsidR="00816B15">
        <w:t>gross debt and net d</w:t>
      </w:r>
      <w:r w:rsidR="00CD4113">
        <w:t xml:space="preserve">ebt in the </w:t>
      </w:r>
      <w:r w:rsidR="00A95CC9">
        <w:t>b</w:t>
      </w:r>
      <w:r w:rsidR="00CD4113">
        <w:t>udget</w:t>
      </w:r>
      <w:r w:rsidR="00A95CC9">
        <w:t xml:space="preserve"> as at 30 June 2018</w:t>
      </w:r>
    </w:p>
    <w:tbl>
      <w:tblPr>
        <w:tblW w:w="9072" w:type="dxa"/>
        <w:tblInd w:w="108" w:type="dxa"/>
        <w:tblLook w:val="04A0" w:firstRow="1" w:lastRow="0" w:firstColumn="1" w:lastColumn="0" w:noHBand="0" w:noVBand="1"/>
      </w:tblPr>
      <w:tblGrid>
        <w:gridCol w:w="6663"/>
        <w:gridCol w:w="2409"/>
      </w:tblGrid>
      <w:tr w:rsidR="00A155FC" w:rsidRPr="003F1F62" w:rsidTr="00A155FC">
        <w:trPr>
          <w:trHeight w:val="542"/>
        </w:trPr>
        <w:tc>
          <w:tcPr>
            <w:tcW w:w="6663" w:type="dxa"/>
            <w:tcBorders>
              <w:top w:val="nil"/>
              <w:left w:val="nil"/>
              <w:bottom w:val="nil"/>
              <w:right w:val="nil"/>
            </w:tcBorders>
            <w:shd w:val="clear" w:color="000000" w:fill="3D4D7D"/>
            <w:noWrap/>
            <w:hideMark/>
          </w:tcPr>
          <w:p w:rsidR="00A155FC" w:rsidRPr="003F1F62" w:rsidRDefault="00A155FC" w:rsidP="003F1F62">
            <w:pPr>
              <w:spacing w:line="240" w:lineRule="auto"/>
              <w:rPr>
                <w:rFonts w:ascii="Calibri" w:eastAsia="Times New Roman" w:hAnsi="Calibri" w:cs="Times New Roman"/>
                <w:color w:val="000000"/>
                <w:sz w:val="20"/>
                <w:szCs w:val="20"/>
                <w:lang w:eastAsia="en-AU"/>
              </w:rPr>
            </w:pPr>
            <w:r w:rsidRPr="003F1F62">
              <w:rPr>
                <w:rFonts w:ascii="Calibri" w:eastAsia="Times New Roman" w:hAnsi="Calibri" w:cs="Times New Roman"/>
                <w:color w:val="000000"/>
                <w:sz w:val="20"/>
                <w:szCs w:val="20"/>
                <w:lang w:eastAsia="en-AU"/>
              </w:rPr>
              <w:t> </w:t>
            </w:r>
          </w:p>
        </w:tc>
        <w:tc>
          <w:tcPr>
            <w:tcW w:w="2409" w:type="dxa"/>
            <w:tcBorders>
              <w:top w:val="nil"/>
              <w:left w:val="nil"/>
              <w:bottom w:val="nil"/>
              <w:right w:val="nil"/>
            </w:tcBorders>
            <w:shd w:val="clear" w:color="000000" w:fill="3D4D7D"/>
            <w:vAlign w:val="center"/>
            <w:hideMark/>
          </w:tcPr>
          <w:p w:rsidR="00A155FC" w:rsidRPr="003F1F62" w:rsidRDefault="00AC334C" w:rsidP="00A95CC9">
            <w:pPr>
              <w:spacing w:line="240" w:lineRule="auto"/>
              <w:jc w:val="right"/>
              <w:rPr>
                <w:rFonts w:ascii="Calibri" w:eastAsia="Times New Roman" w:hAnsi="Calibri" w:cs="Times New Roman"/>
                <w:color w:val="FFFFFF"/>
                <w:sz w:val="20"/>
                <w:szCs w:val="20"/>
                <w:lang w:eastAsia="en-AU"/>
              </w:rPr>
            </w:pPr>
            <w:r>
              <w:rPr>
                <w:rFonts w:ascii="Calibri" w:eastAsia="Times New Roman" w:hAnsi="Calibri" w:cs="Times New Roman"/>
                <w:color w:val="FFFFFF"/>
                <w:sz w:val="20"/>
                <w:szCs w:val="20"/>
                <w:lang w:eastAsia="en-AU"/>
              </w:rPr>
              <w:t>$</w:t>
            </w:r>
            <w:r w:rsidR="00A95CC9">
              <w:rPr>
                <w:rFonts w:ascii="Calibri" w:eastAsia="Times New Roman" w:hAnsi="Calibri" w:cs="Times New Roman"/>
                <w:color w:val="FFFFFF"/>
                <w:sz w:val="20"/>
                <w:szCs w:val="20"/>
                <w:lang w:eastAsia="en-AU"/>
              </w:rPr>
              <w:t>b</w:t>
            </w:r>
          </w:p>
        </w:tc>
      </w:tr>
      <w:tr w:rsidR="00A155FC" w:rsidRPr="003F1F62" w:rsidTr="00A155FC">
        <w:trPr>
          <w:trHeight w:val="454"/>
        </w:trPr>
        <w:tc>
          <w:tcPr>
            <w:tcW w:w="6663" w:type="dxa"/>
            <w:tcBorders>
              <w:top w:val="nil"/>
              <w:left w:val="nil"/>
              <w:bottom w:val="nil"/>
              <w:right w:val="nil"/>
            </w:tcBorders>
            <w:shd w:val="clear" w:color="000000" w:fill="D3D8E9"/>
            <w:noWrap/>
            <w:vAlign w:val="center"/>
            <w:hideMark/>
          </w:tcPr>
          <w:p w:rsidR="00A155FC" w:rsidRPr="00934B62" w:rsidRDefault="00A155FC" w:rsidP="003F1F62">
            <w:pPr>
              <w:spacing w:line="240" w:lineRule="auto"/>
              <w:rPr>
                <w:rFonts w:ascii="Calibri" w:eastAsia="Times New Roman" w:hAnsi="Calibri" w:cs="Times New Roman"/>
                <w:b/>
                <w:bCs/>
                <w:color w:val="000000"/>
                <w:sz w:val="20"/>
                <w:szCs w:val="20"/>
                <w:lang w:eastAsia="en-AU"/>
              </w:rPr>
            </w:pPr>
            <w:r w:rsidRPr="00934B62">
              <w:rPr>
                <w:rFonts w:ascii="Calibri" w:eastAsia="Times New Roman" w:hAnsi="Calibri" w:cs="Times New Roman"/>
                <w:b/>
                <w:bCs/>
                <w:color w:val="000000"/>
                <w:sz w:val="20"/>
                <w:szCs w:val="20"/>
                <w:lang w:eastAsia="en-AU"/>
              </w:rPr>
              <w:t>Gross Debt (Commonwealth Government Securities at Face Value)</w:t>
            </w:r>
          </w:p>
        </w:tc>
        <w:tc>
          <w:tcPr>
            <w:tcW w:w="2409" w:type="dxa"/>
            <w:tcBorders>
              <w:top w:val="nil"/>
              <w:left w:val="nil"/>
              <w:bottom w:val="nil"/>
              <w:right w:val="nil"/>
            </w:tcBorders>
            <w:shd w:val="clear" w:color="000000" w:fill="D3D8E9"/>
            <w:noWrap/>
            <w:vAlign w:val="center"/>
            <w:hideMark/>
          </w:tcPr>
          <w:p w:rsidR="00A155FC" w:rsidRPr="00934B62" w:rsidRDefault="00A155FC" w:rsidP="003F1F62">
            <w:pPr>
              <w:spacing w:line="240" w:lineRule="auto"/>
              <w:jc w:val="right"/>
              <w:rPr>
                <w:rFonts w:ascii="Calibri" w:eastAsia="Times New Roman" w:hAnsi="Calibri" w:cs="Times New Roman"/>
                <w:b/>
                <w:bCs/>
                <w:color w:val="000000"/>
                <w:sz w:val="20"/>
                <w:szCs w:val="20"/>
                <w:lang w:eastAsia="en-AU"/>
              </w:rPr>
            </w:pPr>
            <w:r w:rsidRPr="00934B62">
              <w:rPr>
                <w:rFonts w:ascii="Calibri" w:eastAsia="Times New Roman" w:hAnsi="Calibri" w:cs="Times New Roman"/>
                <w:b/>
                <w:bCs/>
                <w:color w:val="000000"/>
                <w:sz w:val="20"/>
                <w:szCs w:val="20"/>
                <w:lang w:eastAsia="en-AU"/>
              </w:rPr>
              <w:t>531.9</w:t>
            </w:r>
          </w:p>
        </w:tc>
      </w:tr>
      <w:tr w:rsidR="00A155FC" w:rsidRPr="003F1F62" w:rsidTr="00207A13">
        <w:trPr>
          <w:trHeight w:val="454"/>
        </w:trPr>
        <w:tc>
          <w:tcPr>
            <w:tcW w:w="6663" w:type="dxa"/>
            <w:tcBorders>
              <w:top w:val="nil"/>
              <w:left w:val="nil"/>
              <w:bottom w:val="single" w:sz="12" w:space="0" w:color="3E4D7E"/>
              <w:right w:val="nil"/>
            </w:tcBorders>
            <w:shd w:val="clear" w:color="auto" w:fill="auto"/>
            <w:noWrap/>
            <w:vAlign w:val="center"/>
            <w:hideMark/>
          </w:tcPr>
          <w:p w:rsidR="00A155FC" w:rsidRPr="00934B62" w:rsidRDefault="00A155FC" w:rsidP="003F1F62">
            <w:pPr>
              <w:spacing w:line="240" w:lineRule="auto"/>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Difference Between Face – Market Value</w:t>
            </w:r>
          </w:p>
        </w:tc>
        <w:tc>
          <w:tcPr>
            <w:tcW w:w="2409" w:type="dxa"/>
            <w:tcBorders>
              <w:top w:val="nil"/>
              <w:left w:val="nil"/>
              <w:bottom w:val="single" w:sz="12"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43.5</w:t>
            </w:r>
          </w:p>
        </w:tc>
      </w:tr>
      <w:tr w:rsidR="00A155FC" w:rsidRPr="003F1F62" w:rsidTr="00207A13">
        <w:trPr>
          <w:trHeight w:val="454"/>
        </w:trPr>
        <w:tc>
          <w:tcPr>
            <w:tcW w:w="6663" w:type="dxa"/>
            <w:tcBorders>
              <w:top w:val="single" w:sz="12" w:space="0" w:color="3E4D7E"/>
              <w:left w:val="nil"/>
              <w:bottom w:val="nil"/>
              <w:right w:val="nil"/>
            </w:tcBorders>
            <w:shd w:val="clear" w:color="000000" w:fill="D3D8E9"/>
            <w:noWrap/>
            <w:vAlign w:val="center"/>
            <w:hideMark/>
          </w:tcPr>
          <w:p w:rsidR="00A155FC" w:rsidRPr="00934B62" w:rsidRDefault="00A155FC" w:rsidP="003F1F62">
            <w:pPr>
              <w:spacing w:line="240" w:lineRule="auto"/>
              <w:rPr>
                <w:rFonts w:ascii="Calibri" w:eastAsia="Times New Roman" w:hAnsi="Calibri" w:cs="Times New Roman"/>
                <w:b/>
                <w:bCs/>
                <w:color w:val="000000"/>
                <w:sz w:val="20"/>
                <w:szCs w:val="20"/>
                <w:lang w:eastAsia="en-AU"/>
              </w:rPr>
            </w:pPr>
            <w:r w:rsidRPr="00934B62">
              <w:rPr>
                <w:rFonts w:ascii="Calibri" w:eastAsia="Times New Roman" w:hAnsi="Calibri" w:cs="Times New Roman"/>
                <w:b/>
                <w:bCs/>
                <w:color w:val="000000"/>
                <w:sz w:val="20"/>
                <w:szCs w:val="20"/>
                <w:lang w:eastAsia="en-AU"/>
              </w:rPr>
              <w:t>Commonwealth Government Securities (Market Value)</w:t>
            </w:r>
          </w:p>
        </w:tc>
        <w:tc>
          <w:tcPr>
            <w:tcW w:w="2409" w:type="dxa"/>
            <w:tcBorders>
              <w:top w:val="single" w:sz="12" w:space="0" w:color="3E4D7E"/>
              <w:left w:val="nil"/>
              <w:bottom w:val="nil"/>
              <w:right w:val="nil"/>
            </w:tcBorders>
            <w:shd w:val="clear" w:color="000000" w:fill="D3D8E9"/>
            <w:noWrap/>
            <w:vAlign w:val="center"/>
            <w:hideMark/>
          </w:tcPr>
          <w:p w:rsidR="00A155FC" w:rsidRPr="00934B62" w:rsidRDefault="00A155FC" w:rsidP="003F1F62">
            <w:pPr>
              <w:spacing w:line="240" w:lineRule="auto"/>
              <w:jc w:val="right"/>
              <w:rPr>
                <w:rFonts w:ascii="Calibri" w:eastAsia="Times New Roman" w:hAnsi="Calibri" w:cs="Times New Roman"/>
                <w:b/>
                <w:bCs/>
                <w:color w:val="000000"/>
                <w:sz w:val="20"/>
                <w:szCs w:val="20"/>
                <w:lang w:eastAsia="en-AU"/>
              </w:rPr>
            </w:pPr>
            <w:r w:rsidRPr="00934B62">
              <w:rPr>
                <w:rFonts w:ascii="Calibri" w:eastAsia="Times New Roman" w:hAnsi="Calibri" w:cs="Times New Roman"/>
                <w:b/>
                <w:bCs/>
                <w:color w:val="000000"/>
                <w:sz w:val="20"/>
                <w:szCs w:val="20"/>
                <w:lang w:eastAsia="en-AU"/>
              </w:rPr>
              <w:t>575.4</w:t>
            </w:r>
          </w:p>
        </w:tc>
      </w:tr>
      <w:tr w:rsidR="00A155FC" w:rsidRPr="003F1F62" w:rsidTr="00207A13">
        <w:trPr>
          <w:trHeight w:val="454"/>
        </w:trPr>
        <w:tc>
          <w:tcPr>
            <w:tcW w:w="6663" w:type="dxa"/>
            <w:tcBorders>
              <w:top w:val="nil"/>
              <w:left w:val="nil"/>
              <w:bottom w:val="single" w:sz="4" w:space="0" w:color="3E4D7E"/>
              <w:right w:val="nil"/>
            </w:tcBorders>
            <w:shd w:val="clear" w:color="auto" w:fill="auto"/>
            <w:noWrap/>
            <w:vAlign w:val="center"/>
            <w:hideMark/>
          </w:tcPr>
          <w:p w:rsidR="00A155FC" w:rsidRPr="00934B62" w:rsidRDefault="00A155FC" w:rsidP="003F1F62">
            <w:pPr>
              <w:spacing w:line="240" w:lineRule="auto"/>
              <w:rPr>
                <w:rFonts w:ascii="Calibri" w:eastAsia="Times New Roman" w:hAnsi="Calibri" w:cs="Times New Roman"/>
                <w:color w:val="548235"/>
                <w:sz w:val="20"/>
                <w:szCs w:val="20"/>
                <w:lang w:eastAsia="en-AU"/>
              </w:rPr>
            </w:pPr>
            <w:r w:rsidRPr="00934B62">
              <w:rPr>
                <w:rFonts w:ascii="Calibri" w:eastAsia="Times New Roman" w:hAnsi="Calibri" w:cs="Times New Roman"/>
                <w:color w:val="548235"/>
                <w:sz w:val="20"/>
                <w:szCs w:val="20"/>
                <w:lang w:eastAsia="en-AU"/>
              </w:rPr>
              <w:t xml:space="preserve">  [+] Deposits held</w:t>
            </w:r>
          </w:p>
        </w:tc>
        <w:tc>
          <w:tcPr>
            <w:tcW w:w="2409" w:type="dxa"/>
            <w:tcBorders>
              <w:top w:val="nil"/>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0.4</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rPr>
                <w:rFonts w:ascii="Calibri" w:eastAsia="Times New Roman" w:hAnsi="Calibri" w:cs="Times New Roman"/>
                <w:color w:val="548235"/>
                <w:sz w:val="20"/>
                <w:szCs w:val="20"/>
                <w:lang w:eastAsia="en-AU"/>
              </w:rPr>
            </w:pPr>
            <w:r w:rsidRPr="00934B62">
              <w:rPr>
                <w:rFonts w:ascii="Calibri" w:eastAsia="Times New Roman" w:hAnsi="Calibri" w:cs="Times New Roman"/>
                <w:color w:val="548235"/>
                <w:sz w:val="20"/>
                <w:szCs w:val="20"/>
                <w:lang w:eastAsia="en-AU"/>
              </w:rPr>
              <w:t xml:space="preserve">  [+] Loans</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18</w:t>
            </w:r>
          </w:p>
        </w:tc>
      </w:tr>
      <w:tr w:rsidR="00A155FC" w:rsidRPr="003F1F62" w:rsidTr="00207A13">
        <w:trPr>
          <w:trHeight w:val="454"/>
        </w:trPr>
        <w:tc>
          <w:tcPr>
            <w:tcW w:w="6663" w:type="dxa"/>
            <w:tcBorders>
              <w:top w:val="single" w:sz="4" w:space="0" w:color="3E4D7E"/>
              <w:left w:val="nil"/>
              <w:bottom w:val="single" w:sz="12" w:space="0" w:color="3E4D7E"/>
              <w:right w:val="nil"/>
            </w:tcBorders>
            <w:shd w:val="clear" w:color="auto" w:fill="auto"/>
            <w:noWrap/>
            <w:vAlign w:val="center"/>
            <w:hideMark/>
          </w:tcPr>
          <w:p w:rsidR="00A155FC" w:rsidRPr="00934B62" w:rsidRDefault="00A155FC" w:rsidP="003F1F62">
            <w:pPr>
              <w:spacing w:line="240" w:lineRule="auto"/>
              <w:rPr>
                <w:rFonts w:ascii="Calibri" w:eastAsia="Times New Roman" w:hAnsi="Calibri" w:cs="Times New Roman"/>
                <w:color w:val="548235"/>
                <w:sz w:val="20"/>
                <w:szCs w:val="20"/>
                <w:lang w:eastAsia="en-AU"/>
              </w:rPr>
            </w:pPr>
            <w:r w:rsidRPr="00934B62">
              <w:rPr>
                <w:rFonts w:ascii="Calibri" w:eastAsia="Times New Roman" w:hAnsi="Calibri" w:cs="Times New Roman"/>
                <w:color w:val="548235"/>
                <w:sz w:val="20"/>
                <w:szCs w:val="20"/>
                <w:lang w:eastAsia="en-AU"/>
              </w:rPr>
              <w:t xml:space="preserve">  [+] Other Borrowing</w:t>
            </w:r>
          </w:p>
        </w:tc>
        <w:tc>
          <w:tcPr>
            <w:tcW w:w="2409" w:type="dxa"/>
            <w:tcBorders>
              <w:top w:val="single" w:sz="4" w:space="0" w:color="3E4D7E"/>
              <w:left w:val="nil"/>
              <w:bottom w:val="single" w:sz="12"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1.5</w:t>
            </w:r>
          </w:p>
        </w:tc>
      </w:tr>
      <w:tr w:rsidR="00A155FC" w:rsidRPr="003F1F62" w:rsidTr="00207A13">
        <w:trPr>
          <w:trHeight w:val="454"/>
        </w:trPr>
        <w:tc>
          <w:tcPr>
            <w:tcW w:w="6663" w:type="dxa"/>
            <w:tcBorders>
              <w:top w:val="single" w:sz="12" w:space="0" w:color="3E4D7E"/>
              <w:left w:val="nil"/>
              <w:bottom w:val="nil"/>
              <w:right w:val="nil"/>
            </w:tcBorders>
            <w:shd w:val="clear" w:color="000000" w:fill="D3D8E9"/>
            <w:noWrap/>
            <w:vAlign w:val="center"/>
            <w:hideMark/>
          </w:tcPr>
          <w:p w:rsidR="00A155FC" w:rsidRPr="00934B62" w:rsidRDefault="00A155FC" w:rsidP="003F1F62">
            <w:pPr>
              <w:spacing w:line="240" w:lineRule="auto"/>
              <w:rPr>
                <w:rFonts w:ascii="Calibri" w:eastAsia="Times New Roman" w:hAnsi="Calibri" w:cs="Times New Roman"/>
                <w:b/>
                <w:bCs/>
                <w:color w:val="000000"/>
                <w:sz w:val="20"/>
                <w:szCs w:val="20"/>
                <w:lang w:eastAsia="en-AU"/>
              </w:rPr>
            </w:pPr>
            <w:r w:rsidRPr="00934B62">
              <w:rPr>
                <w:rFonts w:ascii="Calibri" w:eastAsia="Times New Roman" w:hAnsi="Calibri" w:cs="Times New Roman"/>
                <w:b/>
                <w:bCs/>
                <w:color w:val="000000"/>
                <w:sz w:val="20"/>
                <w:szCs w:val="20"/>
                <w:lang w:eastAsia="en-AU"/>
              </w:rPr>
              <w:t>Interest Bearing Liabilities</w:t>
            </w:r>
          </w:p>
        </w:tc>
        <w:tc>
          <w:tcPr>
            <w:tcW w:w="2409" w:type="dxa"/>
            <w:tcBorders>
              <w:top w:val="single" w:sz="12" w:space="0" w:color="3E4D7E"/>
              <w:left w:val="nil"/>
              <w:bottom w:val="nil"/>
              <w:right w:val="nil"/>
            </w:tcBorders>
            <w:shd w:val="clear" w:color="000000" w:fill="D3D8E9"/>
            <w:noWrap/>
            <w:vAlign w:val="center"/>
            <w:hideMark/>
          </w:tcPr>
          <w:p w:rsidR="00A155FC" w:rsidRPr="00934B62" w:rsidRDefault="00A155FC" w:rsidP="003F1F62">
            <w:pPr>
              <w:spacing w:line="240" w:lineRule="auto"/>
              <w:jc w:val="right"/>
              <w:rPr>
                <w:rFonts w:ascii="Calibri" w:eastAsia="Times New Roman" w:hAnsi="Calibri" w:cs="Times New Roman"/>
                <w:b/>
                <w:bCs/>
                <w:color w:val="000000"/>
                <w:sz w:val="20"/>
                <w:szCs w:val="20"/>
                <w:lang w:eastAsia="en-AU"/>
              </w:rPr>
            </w:pPr>
            <w:r w:rsidRPr="00934B62">
              <w:rPr>
                <w:rFonts w:ascii="Calibri" w:eastAsia="Times New Roman" w:hAnsi="Calibri" w:cs="Times New Roman"/>
                <w:b/>
                <w:bCs/>
                <w:color w:val="000000"/>
                <w:sz w:val="20"/>
                <w:szCs w:val="20"/>
                <w:lang w:eastAsia="en-AU"/>
              </w:rPr>
              <w:t>595.4</w:t>
            </w:r>
          </w:p>
        </w:tc>
      </w:tr>
      <w:tr w:rsidR="00A155FC" w:rsidRPr="003F1F62" w:rsidTr="00207A13">
        <w:trPr>
          <w:trHeight w:val="454"/>
        </w:trPr>
        <w:tc>
          <w:tcPr>
            <w:tcW w:w="6663" w:type="dxa"/>
            <w:tcBorders>
              <w:top w:val="nil"/>
              <w:left w:val="nil"/>
              <w:bottom w:val="single" w:sz="4" w:space="0" w:color="3E4D7E"/>
              <w:right w:val="nil"/>
            </w:tcBorders>
            <w:shd w:val="clear" w:color="auto" w:fill="auto"/>
            <w:noWrap/>
            <w:vAlign w:val="center"/>
            <w:hideMark/>
          </w:tcPr>
          <w:p w:rsidR="00A155FC" w:rsidRPr="00934B62" w:rsidRDefault="00A155FC" w:rsidP="003F1F62">
            <w:pPr>
              <w:spacing w:line="240" w:lineRule="auto"/>
              <w:rPr>
                <w:rFonts w:ascii="Calibri" w:eastAsia="Times New Roman" w:hAnsi="Calibri" w:cs="Times New Roman"/>
                <w:color w:val="C00000"/>
                <w:sz w:val="20"/>
                <w:szCs w:val="20"/>
                <w:lang w:eastAsia="en-AU"/>
              </w:rPr>
            </w:pPr>
            <w:r w:rsidRPr="00934B62">
              <w:rPr>
                <w:rFonts w:ascii="Calibri" w:eastAsia="Times New Roman" w:hAnsi="Calibri" w:cs="Times New Roman"/>
                <w:color w:val="C00000"/>
                <w:sz w:val="20"/>
                <w:szCs w:val="20"/>
                <w:lang w:eastAsia="en-AU"/>
              </w:rPr>
              <w:t xml:space="preserve">  [-] Cash and deposits</w:t>
            </w:r>
          </w:p>
        </w:tc>
        <w:tc>
          <w:tcPr>
            <w:tcW w:w="2409" w:type="dxa"/>
            <w:tcBorders>
              <w:top w:val="nil"/>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6.8</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rPr>
                <w:rFonts w:ascii="Calibri" w:eastAsia="Times New Roman" w:hAnsi="Calibri" w:cs="Times New Roman"/>
                <w:color w:val="C00000"/>
                <w:sz w:val="20"/>
                <w:szCs w:val="20"/>
                <w:lang w:eastAsia="en-AU"/>
              </w:rPr>
            </w:pPr>
            <w:r w:rsidRPr="00934B62">
              <w:rPr>
                <w:rFonts w:ascii="Calibri" w:eastAsia="Times New Roman" w:hAnsi="Calibri" w:cs="Times New Roman"/>
                <w:color w:val="C00000"/>
                <w:sz w:val="20"/>
                <w:szCs w:val="20"/>
                <w:lang w:eastAsia="en-AU"/>
              </w:rPr>
              <w:t xml:space="preserve">  [-] Advances paid</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56.1</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ind w:firstLineChars="200" w:firstLine="400"/>
              <w:rPr>
                <w:rFonts w:ascii="Calibri" w:eastAsia="Times New Roman" w:hAnsi="Calibri" w:cs="Times New Roman"/>
                <w:i/>
                <w:iCs/>
                <w:color w:val="C00000"/>
                <w:sz w:val="20"/>
                <w:szCs w:val="20"/>
                <w:lang w:eastAsia="en-AU"/>
              </w:rPr>
            </w:pPr>
            <w:r w:rsidRPr="00934B62">
              <w:rPr>
                <w:rFonts w:ascii="Calibri" w:eastAsia="Times New Roman" w:hAnsi="Calibri" w:cs="Times New Roman"/>
                <w:i/>
                <w:iCs/>
                <w:color w:val="C00000"/>
                <w:sz w:val="20"/>
                <w:szCs w:val="20"/>
                <w:lang w:eastAsia="en-AU"/>
              </w:rPr>
              <w:t>Loans to State and Territory Governments</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i/>
                <w:iCs/>
                <w:color w:val="000000"/>
                <w:sz w:val="20"/>
                <w:szCs w:val="20"/>
                <w:lang w:eastAsia="en-AU"/>
              </w:rPr>
            </w:pPr>
            <w:r w:rsidRPr="00934B62">
              <w:rPr>
                <w:rFonts w:ascii="Calibri" w:eastAsia="Times New Roman" w:hAnsi="Calibri" w:cs="Times New Roman"/>
                <w:i/>
                <w:iCs/>
                <w:color w:val="000000"/>
                <w:sz w:val="20"/>
                <w:szCs w:val="20"/>
                <w:lang w:eastAsia="en-AU"/>
              </w:rPr>
              <w:t>3.9</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ind w:firstLineChars="200" w:firstLine="400"/>
              <w:rPr>
                <w:rFonts w:ascii="Calibri" w:eastAsia="Times New Roman" w:hAnsi="Calibri" w:cs="Times New Roman"/>
                <w:i/>
                <w:iCs/>
                <w:color w:val="C00000"/>
                <w:sz w:val="20"/>
                <w:szCs w:val="20"/>
                <w:lang w:eastAsia="en-AU"/>
              </w:rPr>
            </w:pPr>
            <w:r w:rsidRPr="00934B62">
              <w:rPr>
                <w:rFonts w:ascii="Calibri" w:eastAsia="Times New Roman" w:hAnsi="Calibri" w:cs="Times New Roman"/>
                <w:i/>
                <w:iCs/>
                <w:color w:val="C00000"/>
                <w:sz w:val="20"/>
                <w:szCs w:val="20"/>
                <w:lang w:eastAsia="en-AU"/>
              </w:rPr>
              <w:t>Student Loans</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i/>
                <w:iCs/>
                <w:color w:val="000000"/>
                <w:sz w:val="20"/>
                <w:szCs w:val="20"/>
                <w:lang w:eastAsia="en-AU"/>
              </w:rPr>
            </w:pPr>
            <w:r w:rsidRPr="00934B62">
              <w:rPr>
                <w:rFonts w:ascii="Calibri" w:eastAsia="Times New Roman" w:hAnsi="Calibri" w:cs="Times New Roman"/>
                <w:i/>
                <w:iCs/>
                <w:color w:val="000000"/>
                <w:sz w:val="20"/>
                <w:szCs w:val="20"/>
                <w:lang w:eastAsia="en-AU"/>
              </w:rPr>
              <w:t>40.9</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ind w:firstLineChars="200" w:firstLine="400"/>
              <w:rPr>
                <w:rFonts w:ascii="Calibri" w:eastAsia="Times New Roman" w:hAnsi="Calibri" w:cs="Times New Roman"/>
                <w:i/>
                <w:iCs/>
                <w:color w:val="C00000"/>
                <w:sz w:val="20"/>
                <w:szCs w:val="20"/>
                <w:lang w:eastAsia="en-AU"/>
              </w:rPr>
            </w:pPr>
            <w:r w:rsidRPr="00934B62">
              <w:rPr>
                <w:rFonts w:ascii="Calibri" w:eastAsia="Times New Roman" w:hAnsi="Calibri" w:cs="Times New Roman"/>
                <w:i/>
                <w:iCs/>
                <w:color w:val="C00000"/>
                <w:sz w:val="20"/>
                <w:szCs w:val="20"/>
                <w:lang w:eastAsia="en-AU"/>
              </w:rPr>
              <w:t>Other</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i/>
                <w:iCs/>
                <w:color w:val="000000"/>
                <w:sz w:val="20"/>
                <w:szCs w:val="20"/>
                <w:lang w:eastAsia="en-AU"/>
              </w:rPr>
            </w:pPr>
            <w:r w:rsidRPr="00934B62">
              <w:rPr>
                <w:rFonts w:ascii="Calibri" w:eastAsia="Times New Roman" w:hAnsi="Calibri" w:cs="Times New Roman"/>
                <w:i/>
                <w:iCs/>
                <w:color w:val="000000"/>
                <w:sz w:val="20"/>
                <w:szCs w:val="20"/>
                <w:lang w:eastAsia="en-AU"/>
              </w:rPr>
              <w:t>11.5</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ind w:firstLineChars="200" w:firstLine="400"/>
              <w:rPr>
                <w:rFonts w:ascii="Calibri" w:eastAsia="Times New Roman" w:hAnsi="Calibri" w:cs="Times New Roman"/>
                <w:i/>
                <w:iCs/>
                <w:color w:val="C00000"/>
                <w:sz w:val="20"/>
                <w:szCs w:val="20"/>
                <w:lang w:eastAsia="en-AU"/>
              </w:rPr>
            </w:pPr>
            <w:r w:rsidRPr="00934B62">
              <w:rPr>
                <w:rFonts w:ascii="Calibri" w:eastAsia="Times New Roman" w:hAnsi="Calibri" w:cs="Times New Roman"/>
                <w:i/>
                <w:iCs/>
                <w:color w:val="C00000"/>
                <w:sz w:val="20"/>
                <w:szCs w:val="20"/>
                <w:lang w:eastAsia="en-AU"/>
              </w:rPr>
              <w:t>Less Provisions for doubtful debts</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i/>
                <w:iCs/>
                <w:color w:val="000000"/>
                <w:sz w:val="20"/>
                <w:szCs w:val="20"/>
                <w:lang w:eastAsia="en-AU"/>
              </w:rPr>
            </w:pPr>
            <w:r w:rsidRPr="00934B62">
              <w:rPr>
                <w:rFonts w:ascii="Calibri" w:eastAsia="Times New Roman" w:hAnsi="Calibri" w:cs="Times New Roman"/>
                <w:i/>
                <w:iCs/>
                <w:color w:val="000000"/>
                <w:sz w:val="20"/>
                <w:szCs w:val="20"/>
                <w:lang w:eastAsia="en-AU"/>
              </w:rPr>
              <w:t>-0.4</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7E7ACF">
            <w:pPr>
              <w:spacing w:line="240" w:lineRule="auto"/>
              <w:rPr>
                <w:rFonts w:ascii="Calibri" w:eastAsia="Times New Roman" w:hAnsi="Calibri" w:cs="Times New Roman"/>
                <w:color w:val="C00000"/>
                <w:sz w:val="20"/>
                <w:szCs w:val="20"/>
                <w:lang w:eastAsia="en-AU"/>
              </w:rPr>
            </w:pPr>
            <w:r w:rsidRPr="00934B62">
              <w:rPr>
                <w:rFonts w:ascii="Calibri" w:eastAsia="Times New Roman" w:hAnsi="Calibri" w:cs="Times New Roman"/>
                <w:color w:val="C00000"/>
                <w:sz w:val="20"/>
                <w:szCs w:val="20"/>
                <w:lang w:eastAsia="en-AU"/>
              </w:rPr>
              <w:t xml:space="preserve">  [-] Investments, loans and placements</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color w:val="000000"/>
                <w:sz w:val="20"/>
                <w:szCs w:val="20"/>
                <w:lang w:eastAsia="en-AU"/>
              </w:rPr>
            </w:pPr>
            <w:r w:rsidRPr="00934B62">
              <w:rPr>
                <w:rFonts w:ascii="Calibri" w:eastAsia="Times New Roman" w:hAnsi="Calibri" w:cs="Times New Roman"/>
                <w:color w:val="000000"/>
                <w:sz w:val="20"/>
                <w:szCs w:val="20"/>
                <w:lang w:eastAsia="en-AU"/>
              </w:rPr>
              <w:t>190.6</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ind w:firstLineChars="200" w:firstLine="400"/>
              <w:rPr>
                <w:rFonts w:ascii="Calibri" w:eastAsia="Times New Roman" w:hAnsi="Calibri" w:cs="Times New Roman"/>
                <w:i/>
                <w:iCs/>
                <w:color w:val="C00000"/>
                <w:sz w:val="20"/>
                <w:szCs w:val="20"/>
                <w:lang w:eastAsia="en-AU"/>
              </w:rPr>
            </w:pPr>
            <w:r w:rsidRPr="00934B62">
              <w:rPr>
                <w:rFonts w:ascii="Calibri" w:eastAsia="Times New Roman" w:hAnsi="Calibri" w:cs="Times New Roman"/>
                <w:i/>
                <w:iCs/>
                <w:color w:val="C00000"/>
                <w:sz w:val="20"/>
                <w:szCs w:val="20"/>
                <w:lang w:eastAsia="en-AU"/>
              </w:rPr>
              <w:t>IMF Quota</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3F1F62">
            <w:pPr>
              <w:spacing w:line="240" w:lineRule="auto"/>
              <w:jc w:val="right"/>
              <w:rPr>
                <w:rFonts w:ascii="Calibri" w:eastAsia="Times New Roman" w:hAnsi="Calibri" w:cs="Times New Roman"/>
                <w:i/>
                <w:iCs/>
                <w:color w:val="000000"/>
                <w:sz w:val="20"/>
                <w:szCs w:val="20"/>
                <w:lang w:eastAsia="en-AU"/>
              </w:rPr>
            </w:pPr>
            <w:r w:rsidRPr="00934B62">
              <w:rPr>
                <w:rFonts w:ascii="Calibri" w:eastAsia="Times New Roman" w:hAnsi="Calibri" w:cs="Times New Roman"/>
                <w:i/>
                <w:iCs/>
                <w:color w:val="000000"/>
                <w:sz w:val="20"/>
                <w:szCs w:val="20"/>
                <w:lang w:eastAsia="en-AU"/>
              </w:rPr>
              <w:t>12.5</w:t>
            </w:r>
          </w:p>
        </w:tc>
      </w:tr>
      <w:tr w:rsidR="00A155FC" w:rsidRPr="003F1F62" w:rsidTr="00207A13">
        <w:trPr>
          <w:trHeight w:val="454"/>
        </w:trPr>
        <w:tc>
          <w:tcPr>
            <w:tcW w:w="6663"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175154">
            <w:pPr>
              <w:spacing w:line="240" w:lineRule="auto"/>
              <w:ind w:firstLineChars="200" w:firstLine="400"/>
              <w:rPr>
                <w:rFonts w:ascii="Calibri" w:eastAsia="Times New Roman" w:hAnsi="Calibri" w:cs="Times New Roman"/>
                <w:i/>
                <w:iCs/>
                <w:color w:val="C00000"/>
                <w:sz w:val="20"/>
                <w:szCs w:val="20"/>
                <w:lang w:eastAsia="en-AU"/>
              </w:rPr>
            </w:pPr>
            <w:r>
              <w:rPr>
                <w:rFonts w:ascii="Calibri" w:eastAsia="Times New Roman" w:hAnsi="Calibri" w:cs="Times New Roman"/>
                <w:i/>
                <w:iCs/>
                <w:color w:val="C00000"/>
                <w:sz w:val="20"/>
                <w:szCs w:val="20"/>
                <w:lang w:eastAsia="en-AU"/>
              </w:rPr>
              <w:t xml:space="preserve">Investments </w:t>
            </w:r>
            <w:r w:rsidR="009634C3">
              <w:rPr>
                <w:rFonts w:ascii="Calibri" w:eastAsia="Times New Roman" w:hAnsi="Calibri" w:cs="Times New Roman"/>
                <w:i/>
                <w:iCs/>
                <w:color w:val="C00000"/>
                <w:sz w:val="20"/>
                <w:szCs w:val="20"/>
                <w:lang w:eastAsia="en-AU"/>
              </w:rPr>
              <w:t>–</w:t>
            </w:r>
            <w:r w:rsidRPr="00934B62">
              <w:rPr>
                <w:rFonts w:ascii="Calibri" w:eastAsia="Times New Roman" w:hAnsi="Calibri" w:cs="Times New Roman"/>
                <w:i/>
                <w:iCs/>
                <w:color w:val="C00000"/>
                <w:sz w:val="20"/>
                <w:szCs w:val="20"/>
                <w:lang w:eastAsia="en-AU"/>
              </w:rPr>
              <w:t xml:space="preserve"> Deposit</w:t>
            </w:r>
            <w:r>
              <w:rPr>
                <w:rFonts w:ascii="Calibri" w:eastAsia="Times New Roman" w:hAnsi="Calibri" w:cs="Times New Roman"/>
                <w:i/>
                <w:iCs/>
                <w:color w:val="C00000"/>
                <w:sz w:val="20"/>
                <w:szCs w:val="20"/>
                <w:lang w:eastAsia="en-AU"/>
              </w:rPr>
              <w:t>s</w:t>
            </w:r>
          </w:p>
        </w:tc>
        <w:tc>
          <w:tcPr>
            <w:tcW w:w="2409" w:type="dxa"/>
            <w:tcBorders>
              <w:top w:val="single" w:sz="4" w:space="0" w:color="3E4D7E"/>
              <w:left w:val="nil"/>
              <w:bottom w:val="single" w:sz="4" w:space="0" w:color="3E4D7E"/>
              <w:right w:val="nil"/>
            </w:tcBorders>
            <w:shd w:val="clear" w:color="auto" w:fill="auto"/>
            <w:noWrap/>
            <w:vAlign w:val="center"/>
            <w:hideMark/>
          </w:tcPr>
          <w:p w:rsidR="00A155FC" w:rsidRPr="00934B62" w:rsidRDefault="00A155FC" w:rsidP="00175154">
            <w:pPr>
              <w:spacing w:line="240" w:lineRule="auto"/>
              <w:jc w:val="right"/>
              <w:rPr>
                <w:rFonts w:ascii="Calibri" w:eastAsia="Times New Roman" w:hAnsi="Calibri" w:cs="Times New Roman"/>
                <w:i/>
                <w:iCs/>
                <w:color w:val="000000"/>
                <w:sz w:val="20"/>
                <w:szCs w:val="20"/>
                <w:lang w:eastAsia="en-AU"/>
              </w:rPr>
            </w:pPr>
            <w:r w:rsidRPr="00934B62">
              <w:rPr>
                <w:rFonts w:ascii="Calibri" w:eastAsia="Times New Roman" w:hAnsi="Calibri" w:cs="Times New Roman"/>
                <w:i/>
                <w:iCs/>
                <w:color w:val="000000"/>
                <w:sz w:val="20"/>
                <w:szCs w:val="20"/>
                <w:lang w:eastAsia="en-AU"/>
              </w:rPr>
              <w:t>4</w:t>
            </w:r>
            <w:r>
              <w:rPr>
                <w:rFonts w:ascii="Calibri" w:eastAsia="Times New Roman" w:hAnsi="Calibri" w:cs="Times New Roman"/>
                <w:i/>
                <w:iCs/>
                <w:color w:val="000000"/>
                <w:sz w:val="20"/>
                <w:szCs w:val="20"/>
                <w:lang w:eastAsia="en-AU"/>
              </w:rPr>
              <w:t>9.6</w:t>
            </w:r>
          </w:p>
        </w:tc>
      </w:tr>
      <w:tr w:rsidR="00A155FC" w:rsidRPr="003F1F62" w:rsidTr="00207A13">
        <w:trPr>
          <w:trHeight w:val="454"/>
        </w:trPr>
        <w:tc>
          <w:tcPr>
            <w:tcW w:w="6663" w:type="dxa"/>
            <w:tcBorders>
              <w:top w:val="single" w:sz="4" w:space="0" w:color="3E4D7E"/>
              <w:left w:val="nil"/>
              <w:bottom w:val="single" w:sz="12" w:space="0" w:color="3E4D7E"/>
              <w:right w:val="nil"/>
            </w:tcBorders>
            <w:shd w:val="clear" w:color="auto" w:fill="auto"/>
            <w:noWrap/>
            <w:vAlign w:val="center"/>
            <w:hideMark/>
          </w:tcPr>
          <w:p w:rsidR="00A155FC" w:rsidRPr="003F1F62" w:rsidRDefault="00A155FC" w:rsidP="003F1F62">
            <w:pPr>
              <w:spacing w:line="240" w:lineRule="auto"/>
              <w:ind w:firstLineChars="200" w:firstLine="400"/>
              <w:rPr>
                <w:rFonts w:ascii="Calibri" w:eastAsia="Times New Roman" w:hAnsi="Calibri" w:cs="Times New Roman"/>
                <w:i/>
                <w:iCs/>
                <w:color w:val="C00000"/>
                <w:sz w:val="20"/>
                <w:szCs w:val="20"/>
                <w:lang w:eastAsia="en-AU"/>
              </w:rPr>
            </w:pPr>
            <w:r w:rsidRPr="003F1F62">
              <w:rPr>
                <w:rFonts w:ascii="Calibri" w:eastAsia="Times New Roman" w:hAnsi="Calibri" w:cs="Times New Roman"/>
                <w:i/>
                <w:iCs/>
                <w:color w:val="C00000"/>
                <w:sz w:val="20"/>
                <w:szCs w:val="20"/>
                <w:lang w:eastAsia="en-AU"/>
              </w:rPr>
              <w:t>Other</w:t>
            </w:r>
            <w:r w:rsidRPr="0071690A">
              <w:rPr>
                <w:rStyle w:val="FootnoteReference"/>
                <w:rFonts w:eastAsia="Times New Roman" w:cs="Times New Roman"/>
                <w:color w:val="C00000"/>
                <w:sz w:val="20"/>
                <w:szCs w:val="20"/>
                <w:lang w:eastAsia="en-AU"/>
              </w:rPr>
              <w:footnoteReference w:id="23"/>
            </w:r>
          </w:p>
        </w:tc>
        <w:tc>
          <w:tcPr>
            <w:tcW w:w="2409" w:type="dxa"/>
            <w:tcBorders>
              <w:top w:val="single" w:sz="4" w:space="0" w:color="3E4D7E"/>
              <w:left w:val="nil"/>
              <w:bottom w:val="single" w:sz="12" w:space="0" w:color="3E4D7E"/>
              <w:right w:val="nil"/>
            </w:tcBorders>
            <w:shd w:val="clear" w:color="auto" w:fill="auto"/>
            <w:noWrap/>
            <w:vAlign w:val="center"/>
            <w:hideMark/>
          </w:tcPr>
          <w:p w:rsidR="00A155FC" w:rsidRPr="003F1F62" w:rsidRDefault="00A155FC" w:rsidP="003F1F62">
            <w:pPr>
              <w:spacing w:line="240" w:lineRule="auto"/>
              <w:jc w:val="right"/>
              <w:rPr>
                <w:rFonts w:ascii="Calibri" w:eastAsia="Times New Roman" w:hAnsi="Calibri" w:cs="Times New Roman"/>
                <w:i/>
                <w:iCs/>
                <w:color w:val="000000"/>
                <w:sz w:val="20"/>
                <w:szCs w:val="20"/>
                <w:lang w:eastAsia="en-AU"/>
              </w:rPr>
            </w:pPr>
            <w:r>
              <w:rPr>
                <w:rFonts w:ascii="Calibri" w:eastAsia="Times New Roman" w:hAnsi="Calibri" w:cs="Times New Roman"/>
                <w:i/>
                <w:iCs/>
                <w:color w:val="000000"/>
                <w:sz w:val="20"/>
                <w:szCs w:val="20"/>
                <w:lang w:eastAsia="en-AU"/>
              </w:rPr>
              <w:t>128.6</w:t>
            </w:r>
          </w:p>
        </w:tc>
      </w:tr>
      <w:tr w:rsidR="00A155FC" w:rsidRPr="003F1F62" w:rsidTr="00207A13">
        <w:trPr>
          <w:trHeight w:val="454"/>
        </w:trPr>
        <w:tc>
          <w:tcPr>
            <w:tcW w:w="6663" w:type="dxa"/>
            <w:tcBorders>
              <w:top w:val="single" w:sz="12" w:space="0" w:color="3E4D7E"/>
              <w:left w:val="nil"/>
              <w:bottom w:val="single" w:sz="12" w:space="0" w:color="3E4D7E"/>
              <w:right w:val="nil"/>
            </w:tcBorders>
            <w:shd w:val="clear" w:color="auto" w:fill="auto"/>
            <w:noWrap/>
            <w:vAlign w:val="center"/>
            <w:hideMark/>
          </w:tcPr>
          <w:p w:rsidR="00A155FC" w:rsidRPr="003F1F62" w:rsidRDefault="00A155FC" w:rsidP="003F1F62">
            <w:pPr>
              <w:spacing w:line="240" w:lineRule="auto"/>
              <w:rPr>
                <w:rFonts w:ascii="Calibri" w:eastAsia="Times New Roman" w:hAnsi="Calibri" w:cs="Times New Roman"/>
                <w:b/>
                <w:bCs/>
                <w:color w:val="000000"/>
                <w:sz w:val="20"/>
                <w:szCs w:val="20"/>
                <w:lang w:eastAsia="en-AU"/>
              </w:rPr>
            </w:pPr>
            <w:r w:rsidRPr="003F1F62">
              <w:rPr>
                <w:rFonts w:ascii="Calibri" w:eastAsia="Times New Roman" w:hAnsi="Calibri" w:cs="Times New Roman"/>
                <w:b/>
                <w:bCs/>
                <w:color w:val="000000"/>
                <w:sz w:val="20"/>
                <w:szCs w:val="20"/>
                <w:lang w:eastAsia="en-AU"/>
              </w:rPr>
              <w:t>Net Debt</w:t>
            </w:r>
          </w:p>
        </w:tc>
        <w:tc>
          <w:tcPr>
            <w:tcW w:w="2409" w:type="dxa"/>
            <w:tcBorders>
              <w:top w:val="single" w:sz="12" w:space="0" w:color="3E4D7E"/>
              <w:left w:val="nil"/>
              <w:bottom w:val="single" w:sz="12" w:space="0" w:color="3E4D7E"/>
              <w:right w:val="nil"/>
            </w:tcBorders>
            <w:shd w:val="clear" w:color="auto" w:fill="auto"/>
            <w:noWrap/>
            <w:vAlign w:val="center"/>
            <w:hideMark/>
          </w:tcPr>
          <w:p w:rsidR="00A155FC" w:rsidRPr="003F1F62" w:rsidRDefault="00A155FC" w:rsidP="003F1F62">
            <w:pPr>
              <w:spacing w:line="240" w:lineRule="auto"/>
              <w:jc w:val="right"/>
              <w:rPr>
                <w:rFonts w:ascii="Calibri" w:eastAsia="Times New Roman" w:hAnsi="Calibri" w:cs="Times New Roman"/>
                <w:b/>
                <w:bCs/>
                <w:color w:val="000000"/>
                <w:sz w:val="20"/>
                <w:szCs w:val="20"/>
                <w:lang w:eastAsia="en-AU"/>
              </w:rPr>
            </w:pPr>
            <w:r w:rsidRPr="003F1F62">
              <w:rPr>
                <w:rFonts w:ascii="Calibri" w:eastAsia="Times New Roman" w:hAnsi="Calibri" w:cs="Times New Roman"/>
                <w:b/>
                <w:bCs/>
                <w:color w:val="000000"/>
                <w:sz w:val="20"/>
                <w:szCs w:val="20"/>
                <w:lang w:eastAsia="en-AU"/>
              </w:rPr>
              <w:t>342</w:t>
            </w:r>
            <w:r w:rsidR="00A95CC9">
              <w:rPr>
                <w:rFonts w:ascii="Calibri" w:eastAsia="Times New Roman" w:hAnsi="Calibri" w:cs="Times New Roman"/>
                <w:b/>
                <w:bCs/>
                <w:color w:val="000000"/>
                <w:sz w:val="20"/>
                <w:szCs w:val="20"/>
                <w:lang w:eastAsia="en-AU"/>
              </w:rPr>
              <w:t>.0</w:t>
            </w:r>
          </w:p>
        </w:tc>
      </w:tr>
    </w:tbl>
    <w:p w:rsidR="00750997" w:rsidRPr="006362C3" w:rsidRDefault="00750997" w:rsidP="00750997">
      <w:pPr>
        <w:pStyle w:val="BodyText"/>
        <w:ind w:right="567"/>
        <w:rPr>
          <w:color w:val="7F7F7F" w:themeColor="text1" w:themeTint="80"/>
          <w:sz w:val="18"/>
        </w:rPr>
      </w:pPr>
      <w:r w:rsidRPr="006362C3">
        <w:rPr>
          <w:color w:val="7F7F7F" w:themeColor="text1" w:themeTint="80"/>
          <w:sz w:val="18"/>
        </w:rPr>
        <w:t>Source:</w:t>
      </w:r>
      <w:r>
        <w:rPr>
          <w:color w:val="7F7F7F" w:themeColor="text1" w:themeTint="80"/>
          <w:sz w:val="18"/>
        </w:rPr>
        <w:t xml:space="preserve"> 2017–18 Final Budget Outcome</w:t>
      </w:r>
    </w:p>
    <w:p w:rsidR="00954249" w:rsidRDefault="00954249"/>
    <w:p w:rsidR="00B77073" w:rsidRDefault="00B77073"/>
    <w:p w:rsidR="00B77073" w:rsidRDefault="00B77073"/>
    <w:p w:rsidR="00CB2AB3" w:rsidRDefault="00CB2AB3">
      <w:r>
        <w:br w:type="page"/>
      </w:r>
    </w:p>
    <w:p w:rsidR="000E7A46" w:rsidRDefault="000E7A46" w:rsidP="000E7A46">
      <w:pPr>
        <w:pStyle w:val="Heading1NoNumbering"/>
      </w:pPr>
      <w:bookmarkStart w:id="10" w:name="_Toc2860943"/>
      <w:r>
        <w:lastRenderedPageBreak/>
        <w:t>References</w:t>
      </w:r>
      <w:bookmarkEnd w:id="10"/>
    </w:p>
    <w:p w:rsidR="00DF7A01" w:rsidRDefault="00DF7A01" w:rsidP="007676B8">
      <w:pPr>
        <w:pStyle w:val="BodyText"/>
        <w:ind w:left="284" w:hanging="284"/>
      </w:pPr>
      <w:r>
        <w:t xml:space="preserve">Australian Bureau of Statistics (2018) </w:t>
      </w:r>
      <w:r w:rsidRPr="00DF7A01">
        <w:rPr>
          <w:i/>
        </w:rPr>
        <w:t>Government Finance Statistics</w:t>
      </w:r>
      <w:r w:rsidRPr="00DF7A01">
        <w:t xml:space="preserve">, </w:t>
      </w:r>
      <w:r>
        <w:t xml:space="preserve">55120DO002, </w:t>
      </w:r>
      <w:r w:rsidRPr="00DF7A01">
        <w:t>Australia, 2016-17</w:t>
      </w:r>
    </w:p>
    <w:p w:rsidR="00106794" w:rsidRDefault="000E7A46" w:rsidP="007676B8">
      <w:pPr>
        <w:pStyle w:val="BodyText"/>
        <w:ind w:left="284" w:hanging="284"/>
      </w:pPr>
      <w:r>
        <w:t xml:space="preserve">Australian Bureau of Statistics (2015) </w:t>
      </w:r>
      <w:r w:rsidRPr="00D70177">
        <w:rPr>
          <w:i/>
        </w:rPr>
        <w:t>Australian System of Government Finance Statistics: Concepts, Sources and Methods</w:t>
      </w:r>
      <w:r>
        <w:t xml:space="preserve">, </w:t>
      </w:r>
      <w:r w:rsidRPr="00D70177">
        <w:t>ABS Catalogue No. 5514.0</w:t>
      </w:r>
      <w:r>
        <w:t>.</w:t>
      </w:r>
    </w:p>
    <w:p w:rsidR="00C37D47" w:rsidRDefault="00C37D47" w:rsidP="007676B8">
      <w:pPr>
        <w:pStyle w:val="BodyText"/>
        <w:ind w:left="284" w:hanging="284"/>
      </w:pPr>
      <w:r>
        <w:t xml:space="preserve">Australian Office of Financial Management, (2018) </w:t>
      </w:r>
      <w:hyperlink r:id="rId35" w:history="1">
        <w:r w:rsidR="00633C4C" w:rsidRPr="00DF5BD5">
          <w:rPr>
            <w:rStyle w:val="Hyperlink"/>
          </w:rPr>
          <w:t>https://aofm.gov.au/statistics/overview-of-portfolio/</w:t>
        </w:r>
      </w:hyperlink>
    </w:p>
    <w:p w:rsidR="007676B8" w:rsidRDefault="007676B8" w:rsidP="007676B8">
      <w:pPr>
        <w:pStyle w:val="BodyText"/>
        <w:ind w:left="284" w:hanging="284"/>
      </w:pPr>
      <w:r>
        <w:t xml:space="preserve">Commonwealth of Australia (2018) </w:t>
      </w:r>
      <w:r w:rsidR="002C3DBC" w:rsidRPr="002C3DBC">
        <w:rPr>
          <w:i/>
        </w:rPr>
        <w:t>the</w:t>
      </w:r>
      <w:r w:rsidRPr="002C3DBC">
        <w:rPr>
          <w:i/>
        </w:rPr>
        <w:t xml:space="preserve"> Mid-Year Economic and Fiscal Outlook 201</w:t>
      </w:r>
      <w:r w:rsidR="00E151F3">
        <w:rPr>
          <w:i/>
        </w:rPr>
        <w:t>8</w:t>
      </w:r>
      <w:r w:rsidRPr="002C3DBC">
        <w:rPr>
          <w:i/>
        </w:rPr>
        <w:t>-1</w:t>
      </w:r>
      <w:r w:rsidR="00E151F3">
        <w:rPr>
          <w:i/>
        </w:rPr>
        <w:t>9</w:t>
      </w:r>
      <w:r>
        <w:t>, December</w:t>
      </w:r>
      <w:r w:rsidR="00E151F3">
        <w:t> </w:t>
      </w:r>
      <w:r>
        <w:t>2018</w:t>
      </w:r>
    </w:p>
    <w:p w:rsidR="001477DA" w:rsidRDefault="001477DA" w:rsidP="001477DA">
      <w:pPr>
        <w:pStyle w:val="BodyText"/>
        <w:ind w:left="284" w:hanging="284"/>
      </w:pPr>
      <w:r>
        <w:t xml:space="preserve">Commonwealth of Australia (2018) </w:t>
      </w:r>
      <w:r>
        <w:rPr>
          <w:i/>
        </w:rPr>
        <w:t>Budget</w:t>
      </w:r>
      <w:r w:rsidRPr="002C3DBC">
        <w:rPr>
          <w:i/>
        </w:rPr>
        <w:t xml:space="preserve"> 201</w:t>
      </w:r>
      <w:r w:rsidR="00AC334C">
        <w:rPr>
          <w:i/>
        </w:rPr>
        <w:t>8</w:t>
      </w:r>
      <w:r w:rsidRPr="002C3DBC">
        <w:rPr>
          <w:i/>
        </w:rPr>
        <w:t>-1</w:t>
      </w:r>
      <w:r w:rsidR="00AC334C">
        <w:rPr>
          <w:i/>
        </w:rPr>
        <w:t>9</w:t>
      </w:r>
      <w:r>
        <w:t>, May 2018</w:t>
      </w:r>
    </w:p>
    <w:p w:rsidR="00750997" w:rsidRDefault="00750997" w:rsidP="001477DA">
      <w:pPr>
        <w:pStyle w:val="BodyText"/>
        <w:ind w:left="284" w:hanging="284"/>
      </w:pPr>
      <w:r w:rsidRPr="00750997">
        <w:t xml:space="preserve">Commonwealth of Australia (2018) </w:t>
      </w:r>
      <w:r w:rsidRPr="00750997">
        <w:rPr>
          <w:i/>
        </w:rPr>
        <w:t>Final Budget Outcome 2017-18</w:t>
      </w:r>
      <w:r w:rsidRPr="00750997">
        <w:t xml:space="preserve">, </w:t>
      </w:r>
      <w:r>
        <w:t xml:space="preserve">September </w:t>
      </w:r>
      <w:r w:rsidRPr="00750997">
        <w:t>2018</w:t>
      </w:r>
    </w:p>
    <w:p w:rsidR="009A71B5" w:rsidRPr="009A71B5" w:rsidRDefault="009A71B5" w:rsidP="001477DA">
      <w:pPr>
        <w:pStyle w:val="BodyText"/>
        <w:ind w:left="284" w:hanging="284"/>
      </w:pPr>
      <w:r>
        <w:t>Commonwealth of Australia (20</w:t>
      </w:r>
      <w:r w:rsidR="00702E0B">
        <w:t>19</w:t>
      </w:r>
      <w:r>
        <w:t xml:space="preserve">) </w:t>
      </w:r>
      <w:r>
        <w:rPr>
          <w:i/>
        </w:rPr>
        <w:t>Uniform Presentation Framework</w:t>
      </w:r>
      <w:r>
        <w:t xml:space="preserve">, </w:t>
      </w:r>
      <w:r w:rsidR="00E151F3">
        <w:t>February</w:t>
      </w:r>
      <w:r>
        <w:t xml:space="preserve"> 20</w:t>
      </w:r>
      <w:r w:rsidR="00E151F3">
        <w:t>19</w:t>
      </w:r>
    </w:p>
    <w:p w:rsidR="00E151F3" w:rsidRDefault="00E151F3" w:rsidP="007676B8">
      <w:pPr>
        <w:pStyle w:val="BodyText"/>
        <w:ind w:left="284" w:hanging="284"/>
      </w:pPr>
      <w:r>
        <w:t xml:space="preserve">Department of Finance (2018-2015) </w:t>
      </w:r>
      <w:r w:rsidRPr="00E151F3">
        <w:rPr>
          <w:i/>
        </w:rPr>
        <w:t>Annual Reports 2017-18 to 2014-15</w:t>
      </w:r>
    </w:p>
    <w:p w:rsidR="007676B8" w:rsidRDefault="007676B8" w:rsidP="007676B8">
      <w:pPr>
        <w:pStyle w:val="BodyText"/>
        <w:ind w:left="284" w:hanging="284"/>
      </w:pPr>
      <w:r w:rsidRPr="007676B8">
        <w:t>Future Fund</w:t>
      </w:r>
      <w:r>
        <w:t xml:space="preserve"> (2018</w:t>
      </w:r>
      <w:r w:rsidR="00AB2909">
        <w:t>-2006</w:t>
      </w:r>
      <w:r>
        <w:t>)</w:t>
      </w:r>
      <w:r w:rsidRPr="007676B8">
        <w:t xml:space="preserve"> </w:t>
      </w:r>
      <w:r w:rsidRPr="001C67D8">
        <w:rPr>
          <w:i/>
        </w:rPr>
        <w:t>Annual Report</w:t>
      </w:r>
      <w:r w:rsidR="00AB2909" w:rsidRPr="001C67D8">
        <w:rPr>
          <w:i/>
        </w:rPr>
        <w:t>s</w:t>
      </w:r>
      <w:r w:rsidRPr="001C67D8">
        <w:rPr>
          <w:i/>
        </w:rPr>
        <w:t xml:space="preserve"> 2017-18</w:t>
      </w:r>
      <w:r w:rsidR="00AB2909" w:rsidRPr="001C67D8">
        <w:rPr>
          <w:i/>
        </w:rPr>
        <w:t xml:space="preserve"> to 2005-06</w:t>
      </w:r>
      <w:r w:rsidR="001C67D8">
        <w:t xml:space="preserve">, </w:t>
      </w:r>
      <w:r w:rsidR="001C67D8" w:rsidRPr="001C67D8">
        <w:t>Future Fund Board of Guardians</w:t>
      </w:r>
      <w:r w:rsidRPr="007676B8">
        <w:t>.</w:t>
      </w:r>
    </w:p>
    <w:p w:rsidR="00E563F6" w:rsidRDefault="00E563F6" w:rsidP="007676B8">
      <w:pPr>
        <w:pStyle w:val="BodyText"/>
        <w:ind w:left="284" w:hanging="284"/>
      </w:pPr>
      <w:r w:rsidRPr="00E563F6">
        <w:t>Future Fund (2018-20</w:t>
      </w:r>
      <w:r>
        <w:t>16</w:t>
      </w:r>
      <w:r w:rsidRPr="00E563F6">
        <w:t xml:space="preserve">) </w:t>
      </w:r>
      <w:r w:rsidRPr="00E563F6">
        <w:rPr>
          <w:i/>
        </w:rPr>
        <w:t>Quarterly Portfolio Updates 2017-18 to 2015-16</w:t>
      </w:r>
      <w:r w:rsidRPr="00E563F6">
        <w:t>, Future Fund Board of Guardians.</w:t>
      </w:r>
    </w:p>
    <w:p w:rsidR="00483B6B" w:rsidRDefault="00483B6B" w:rsidP="007676B8">
      <w:pPr>
        <w:pStyle w:val="BodyText"/>
        <w:ind w:left="284" w:hanging="284"/>
      </w:pPr>
      <w:r>
        <w:t xml:space="preserve">IMF (2014) </w:t>
      </w:r>
      <w:r w:rsidRPr="00483B6B">
        <w:rPr>
          <w:i/>
        </w:rPr>
        <w:t>Government Finance Statistics Manual 2014</w:t>
      </w:r>
      <w:r w:rsidR="009A71B5">
        <w:t>, Washington, D.C</w:t>
      </w:r>
    </w:p>
    <w:p w:rsidR="00BC2541" w:rsidRDefault="00BC2541" w:rsidP="007676B8">
      <w:pPr>
        <w:pStyle w:val="BodyText"/>
        <w:ind w:left="284" w:hanging="284"/>
      </w:pPr>
      <w:r>
        <w:t xml:space="preserve">PBO (2018) </w:t>
      </w:r>
      <w:r w:rsidRPr="00BC2541">
        <w:rPr>
          <w:i/>
        </w:rPr>
        <w:t>National fiscal outlook</w:t>
      </w:r>
      <w:r>
        <w:t>, Parliamentary Budget Office, Report no 04/2018, Parliament of Australia</w:t>
      </w:r>
      <w:r w:rsidR="0056150C">
        <w:t>.</w:t>
      </w:r>
      <w:r>
        <w:t xml:space="preserve"> </w:t>
      </w:r>
    </w:p>
    <w:p w:rsidR="00FF2D27" w:rsidRDefault="00FF2D27" w:rsidP="00FF2D27">
      <w:pPr>
        <w:pStyle w:val="BodyText"/>
        <w:ind w:left="284" w:hanging="284"/>
      </w:pPr>
      <w:r>
        <w:t xml:space="preserve">PBO (2018) </w:t>
      </w:r>
      <w:r w:rsidR="00E151F3" w:rsidRPr="00E151F3">
        <w:rPr>
          <w:i/>
        </w:rPr>
        <w:t xml:space="preserve">2018-19 </w:t>
      </w:r>
      <w:r>
        <w:rPr>
          <w:i/>
        </w:rPr>
        <w:t>Budget: Medium-Term Projections</w:t>
      </w:r>
      <w:r>
        <w:t xml:space="preserve">, Parliamentary Budget Office, Report no 03/2018, Parliament of Australia. </w:t>
      </w:r>
    </w:p>
    <w:p w:rsidR="0056150C" w:rsidRPr="00090633" w:rsidRDefault="0056150C" w:rsidP="00090633">
      <w:pPr>
        <w:rPr>
          <w:rFonts w:cs="Times New Roman"/>
        </w:rPr>
      </w:pPr>
    </w:p>
    <w:sectPr w:rsidR="0056150C" w:rsidRPr="00090633" w:rsidSect="00A16EB0">
      <w:headerReference w:type="even" r:id="rId36"/>
      <w:headerReference w:type="default" r:id="rId37"/>
      <w:footerReference w:type="even" r:id="rId38"/>
      <w:footerReference w:type="default" r:id="rId39"/>
      <w:headerReference w:type="first" r:id="rId40"/>
      <w:footerReference w:type="first" r:id="rId41"/>
      <w:pgSz w:w="11907" w:h="16840" w:code="9"/>
      <w:pgMar w:top="1191"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CE4" w:rsidRDefault="00D85CE4" w:rsidP="00A20802">
      <w:pPr>
        <w:spacing w:line="240" w:lineRule="auto"/>
      </w:pPr>
      <w:r>
        <w:separator/>
      </w:r>
    </w:p>
    <w:p w:rsidR="00D85CE4" w:rsidRDefault="00D85CE4"/>
    <w:p w:rsidR="00D85CE4" w:rsidRDefault="00D85CE4"/>
  </w:endnote>
  <w:endnote w:type="continuationSeparator" w:id="0">
    <w:p w:rsidR="00D85CE4" w:rsidRDefault="00D85CE4" w:rsidP="00A20802">
      <w:pPr>
        <w:spacing w:line="240" w:lineRule="auto"/>
      </w:pPr>
      <w:r>
        <w:continuationSeparator/>
      </w:r>
    </w:p>
    <w:p w:rsidR="00D85CE4" w:rsidRDefault="00D85CE4"/>
    <w:p w:rsidR="00D85CE4" w:rsidRDefault="00D85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ada Grotesk">
    <w:panose1 w:val="020B0604020202020204"/>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55D0" w:rsidRDefault="006E55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DA5757" w:rsidRPr="00BA1E8D" w:rsidTr="001525D6">
      <w:trPr>
        <w:trHeight w:val="879"/>
      </w:trPr>
      <w:tc>
        <w:tcPr>
          <w:tcW w:w="8504" w:type="dxa"/>
        </w:tcPr>
        <w:p w:rsidR="00DA5757" w:rsidRPr="00BA1E8D" w:rsidRDefault="00DA5757" w:rsidP="001525D6">
          <w:pPr>
            <w:pStyle w:val="FooterRight"/>
          </w:pPr>
          <w:r>
            <w:fldChar w:fldCharType="begin"/>
          </w:r>
          <w:r>
            <w:instrText xml:space="preserve"> if </w:instrText>
          </w:r>
          <w:r>
            <w:fldChar w:fldCharType="begin"/>
          </w:r>
          <w:r>
            <w:instrText xml:space="preserve"> STYLEREF  Title </w:instrText>
          </w:r>
          <w:r>
            <w:fldChar w:fldCharType="separate"/>
          </w:r>
          <w:r w:rsidR="006E55D0">
            <w:instrText>Net Debt and Investment Funds</w:instrText>
          </w:r>
          <w:r>
            <w:fldChar w:fldCharType="end"/>
          </w:r>
          <w:r>
            <w:instrText xml:space="preserve">&lt;&gt; "Error*" </w:instrText>
          </w:r>
          <w:r>
            <w:fldChar w:fldCharType="begin"/>
          </w:r>
          <w:r>
            <w:instrText xml:space="preserve"> STYLEREF  Title </w:instrText>
          </w:r>
          <w:r>
            <w:fldChar w:fldCharType="separate"/>
          </w:r>
          <w:r w:rsidR="006E55D0">
            <w:instrText>Net Debt and Investment Funds</w:instrText>
          </w:r>
          <w:r>
            <w:fldChar w:fldCharType="end"/>
          </w:r>
          <w:r>
            <w:instrText xml:space="preserve"> </w:instrText>
          </w:r>
          <w:r>
            <w:fldChar w:fldCharType="separate"/>
          </w:r>
          <w:r w:rsidR="006E55D0">
            <w:t>Net Debt and Investment Funds</w:t>
          </w:r>
          <w:r>
            <w:fldChar w:fldCharType="end"/>
          </w:r>
        </w:p>
      </w:tc>
      <w:tc>
        <w:tcPr>
          <w:tcW w:w="1417" w:type="dxa"/>
        </w:tcPr>
        <w:p w:rsidR="00DA5757" w:rsidRPr="00BA1E8D" w:rsidRDefault="00DA5757" w:rsidP="001525D6">
          <w:pPr>
            <w:pStyle w:val="FooterRightPageNumber"/>
          </w:pPr>
          <w:r w:rsidRPr="00BA1E8D">
            <w:fldChar w:fldCharType="begin"/>
          </w:r>
          <w:r w:rsidRPr="00BA1E8D">
            <w:instrText xml:space="preserve"> PAGE   \* MERGEFORMAT </w:instrText>
          </w:r>
          <w:r w:rsidRPr="00BA1E8D">
            <w:fldChar w:fldCharType="separate"/>
          </w:r>
          <w:r w:rsidR="004860C6">
            <w:t>13</w:t>
          </w:r>
          <w:r w:rsidRPr="00BA1E8D">
            <w:fldChar w:fldCharType="end"/>
          </w:r>
        </w:p>
      </w:tc>
    </w:tr>
  </w:tbl>
  <w:p w:rsidR="00DA5757" w:rsidRPr="004816D7" w:rsidRDefault="00DA5757" w:rsidP="00BA1E8D">
    <w:pPr>
      <w:pStyle w:val="Footer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55D0" w:rsidRDefault="006E5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55D0" w:rsidRDefault="006E55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DA5757" w:rsidRPr="00BA1E8D" w:rsidTr="00DB43E0">
      <w:trPr>
        <w:trHeight w:val="879"/>
      </w:trPr>
      <w:tc>
        <w:tcPr>
          <w:tcW w:w="1417" w:type="dxa"/>
        </w:tcPr>
        <w:p w:rsidR="00DA5757" w:rsidRPr="00023A6F" w:rsidRDefault="00DA5757"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xviii</w:t>
          </w:r>
          <w:r w:rsidRPr="00BA1E8D">
            <w:rPr>
              <w:noProof/>
            </w:rPr>
            <w:fldChar w:fldCharType="end"/>
          </w:r>
        </w:p>
      </w:tc>
      <w:tc>
        <w:tcPr>
          <w:tcW w:w="8504" w:type="dxa"/>
        </w:tcPr>
        <w:p w:rsidR="00DA5757" w:rsidRPr="00BA1E8D" w:rsidRDefault="00DA5757" w:rsidP="008E2623">
          <w:pPr>
            <w:pStyle w:val="FooterLeft"/>
          </w:pPr>
          <w:r>
            <w:fldChar w:fldCharType="begin"/>
          </w:r>
          <w:r>
            <w:instrText xml:space="preserve"> if </w:instrText>
          </w:r>
          <w:fldSimple w:instr=" STYLEREF  Title ">
            <w:r w:rsidR="006C038B">
              <w:rPr>
                <w:noProof/>
              </w:rPr>
              <w:instrText>Net Debt and Investment Funds</w:instrText>
            </w:r>
          </w:fldSimple>
          <w:r>
            <w:instrText xml:space="preserve">&lt;&gt; "Error*" </w:instrText>
          </w:r>
          <w:fldSimple w:instr=" STYLEREF  Title ">
            <w:r w:rsidR="006C038B">
              <w:rPr>
                <w:noProof/>
              </w:rPr>
              <w:instrText>Net Debt and Investment Funds</w:instrText>
            </w:r>
          </w:fldSimple>
          <w:r>
            <w:instrText xml:space="preserve"> </w:instrText>
          </w:r>
          <w:r>
            <w:fldChar w:fldCharType="separate"/>
          </w:r>
          <w:r w:rsidR="006C038B">
            <w:rPr>
              <w:noProof/>
            </w:rPr>
            <w:t>Net Debt and Investment Funds</w:t>
          </w:r>
          <w:r>
            <w:fldChar w:fldCharType="end"/>
          </w:r>
        </w:p>
      </w:tc>
    </w:tr>
  </w:tbl>
  <w:p w:rsidR="00DA5757" w:rsidRPr="008E2623" w:rsidRDefault="00DA5757" w:rsidP="008E26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DA5757" w:rsidRPr="00BA1E8D" w:rsidTr="00DB43E0">
      <w:trPr>
        <w:trHeight w:val="879"/>
      </w:trPr>
      <w:tc>
        <w:tcPr>
          <w:tcW w:w="8504" w:type="dxa"/>
        </w:tcPr>
        <w:p w:rsidR="00DA5757" w:rsidRPr="00BA1E8D" w:rsidRDefault="00DA5757" w:rsidP="00C800F2">
          <w:pPr>
            <w:pStyle w:val="FooterRight"/>
          </w:pPr>
          <w:r>
            <w:fldChar w:fldCharType="begin"/>
          </w:r>
          <w:r>
            <w:instrText xml:space="preserve"> if </w:instrText>
          </w:r>
          <w:r>
            <w:fldChar w:fldCharType="begin"/>
          </w:r>
          <w:r>
            <w:instrText xml:space="preserve"> STYLEREF  Title </w:instrText>
          </w:r>
          <w:r>
            <w:fldChar w:fldCharType="separate"/>
          </w:r>
          <w:r w:rsidR="006E55D0">
            <w:instrText>Net Debt and Investment Funds</w:instrText>
          </w:r>
          <w:r>
            <w:fldChar w:fldCharType="end"/>
          </w:r>
          <w:r>
            <w:instrText xml:space="preserve">&lt;&gt; "Error*" </w:instrText>
          </w:r>
          <w:r>
            <w:fldChar w:fldCharType="begin"/>
          </w:r>
          <w:r>
            <w:instrText xml:space="preserve"> STYLEREF  Title </w:instrText>
          </w:r>
          <w:r>
            <w:fldChar w:fldCharType="separate"/>
          </w:r>
          <w:r w:rsidR="006E55D0">
            <w:instrText>Net Debt and Investment Funds</w:instrText>
          </w:r>
          <w:r>
            <w:fldChar w:fldCharType="end"/>
          </w:r>
          <w:r>
            <w:instrText xml:space="preserve"> </w:instrText>
          </w:r>
          <w:r>
            <w:fldChar w:fldCharType="separate"/>
          </w:r>
          <w:r w:rsidR="006E55D0">
            <w:t>Net Debt and Investment Funds</w:t>
          </w:r>
          <w:r>
            <w:fldChar w:fldCharType="end"/>
          </w:r>
        </w:p>
      </w:tc>
      <w:tc>
        <w:tcPr>
          <w:tcW w:w="1417" w:type="dxa"/>
        </w:tcPr>
        <w:p w:rsidR="00DA5757" w:rsidRPr="00BA1E8D" w:rsidRDefault="00DA5757" w:rsidP="00023A6F">
          <w:pPr>
            <w:pStyle w:val="FooterRightPageNumber"/>
          </w:pPr>
          <w:r w:rsidRPr="00BA1E8D">
            <w:fldChar w:fldCharType="begin"/>
          </w:r>
          <w:r w:rsidRPr="00BA1E8D">
            <w:instrText xml:space="preserve"> PAGE   \* MERGEFORMAT </w:instrText>
          </w:r>
          <w:r w:rsidRPr="00BA1E8D">
            <w:fldChar w:fldCharType="separate"/>
          </w:r>
          <w:r w:rsidR="004860C6">
            <w:t>iii</w:t>
          </w:r>
          <w:r w:rsidRPr="00BA1E8D">
            <w:fldChar w:fldCharType="end"/>
          </w:r>
        </w:p>
      </w:tc>
    </w:tr>
  </w:tbl>
  <w:p w:rsidR="00DA5757" w:rsidRPr="004816D7" w:rsidRDefault="00DA5757" w:rsidP="00BA1E8D">
    <w:pPr>
      <w:pStyle w:val="Footer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DA5757" w:rsidRPr="00BA1E8D" w:rsidTr="00EE3EB6">
      <w:trPr>
        <w:trHeight w:val="879"/>
      </w:trPr>
      <w:tc>
        <w:tcPr>
          <w:tcW w:w="1417" w:type="dxa"/>
        </w:tcPr>
        <w:p w:rsidR="00DA5757" w:rsidRPr="00023A6F" w:rsidRDefault="00DA5757"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4860C6">
            <w:rPr>
              <w:noProof/>
            </w:rPr>
            <w:t>14</w:t>
          </w:r>
          <w:r w:rsidRPr="00BA1E8D">
            <w:rPr>
              <w:noProof/>
            </w:rPr>
            <w:fldChar w:fldCharType="end"/>
          </w:r>
        </w:p>
      </w:tc>
      <w:tc>
        <w:tcPr>
          <w:tcW w:w="8504" w:type="dxa"/>
        </w:tcPr>
        <w:p w:rsidR="00DA5757" w:rsidRPr="00BA1E8D" w:rsidRDefault="00DA5757" w:rsidP="008E2623">
          <w:pPr>
            <w:pStyle w:val="FooterLeft"/>
          </w:pPr>
          <w:r>
            <w:fldChar w:fldCharType="begin"/>
          </w:r>
          <w:r>
            <w:instrText xml:space="preserve"> if </w:instrText>
          </w:r>
          <w:fldSimple w:instr=" STYLEREF  Title ">
            <w:r w:rsidR="006E55D0">
              <w:rPr>
                <w:noProof/>
              </w:rPr>
              <w:instrText>Net Debt and Investment Funds</w:instrText>
            </w:r>
          </w:fldSimple>
          <w:r>
            <w:instrText xml:space="preserve">&lt;&gt; "Error*" </w:instrText>
          </w:r>
          <w:fldSimple w:instr=" STYLEREF  Title ">
            <w:r w:rsidR="006E55D0">
              <w:rPr>
                <w:noProof/>
              </w:rPr>
              <w:instrText>Net Debt and Investment Funds</w:instrText>
            </w:r>
          </w:fldSimple>
          <w:r>
            <w:instrText xml:space="preserve"> </w:instrText>
          </w:r>
          <w:r>
            <w:fldChar w:fldCharType="separate"/>
          </w:r>
          <w:r w:rsidR="006E55D0">
            <w:rPr>
              <w:noProof/>
            </w:rPr>
            <w:t>Net Debt and Investment Funds</w:t>
          </w:r>
          <w:r>
            <w:fldChar w:fldCharType="end"/>
          </w:r>
        </w:p>
      </w:tc>
    </w:tr>
  </w:tbl>
  <w:p w:rsidR="00DA5757" w:rsidRPr="008E2623" w:rsidRDefault="00DA5757" w:rsidP="008E2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CE4" w:rsidRPr="000557A7" w:rsidRDefault="00D85CE4" w:rsidP="008D5A11">
      <w:pPr>
        <w:pBdr>
          <w:top w:val="single" w:sz="4" w:space="1" w:color="auto"/>
        </w:pBdr>
        <w:spacing w:before="240" w:line="60" w:lineRule="exact"/>
        <w:rPr>
          <w:sz w:val="16"/>
          <w:szCs w:val="16"/>
        </w:rPr>
      </w:pPr>
    </w:p>
    <w:p w:rsidR="00D85CE4" w:rsidRDefault="00D85CE4"/>
  </w:footnote>
  <w:footnote w:type="continuationSeparator" w:id="0">
    <w:p w:rsidR="00D85CE4" w:rsidRDefault="00D85CE4" w:rsidP="00A20802">
      <w:pPr>
        <w:spacing w:line="240" w:lineRule="auto"/>
      </w:pPr>
      <w:r>
        <w:continuationSeparator/>
      </w:r>
    </w:p>
    <w:p w:rsidR="00D85CE4" w:rsidRDefault="00D85CE4"/>
    <w:p w:rsidR="00D85CE4" w:rsidRDefault="00D85CE4"/>
  </w:footnote>
  <w:footnote w:id="1">
    <w:p w:rsidR="00DA5757" w:rsidRPr="005C4862" w:rsidRDefault="00DA5757">
      <w:pPr>
        <w:pStyle w:val="FootnoteText"/>
      </w:pPr>
      <w:r w:rsidRPr="006677F1">
        <w:footnoteRef/>
      </w:r>
      <w:r>
        <w:tab/>
        <w:t xml:space="preserve">This report was prepared by </w:t>
      </w:r>
      <w:proofErr w:type="spellStart"/>
      <w:r>
        <w:t>Senan</w:t>
      </w:r>
      <w:proofErr w:type="spellEnd"/>
      <w:r>
        <w:t xml:space="preserve"> Gibson and Lok </w:t>
      </w:r>
      <w:proofErr w:type="spellStart"/>
      <w:r>
        <w:t>Potticary</w:t>
      </w:r>
      <w:proofErr w:type="spellEnd"/>
      <w:r>
        <w:t xml:space="preserve">, with the benefit of comments from Linda Ward and other PBO staff. The authors benefited from discussions with </w:t>
      </w:r>
      <w:r w:rsidRPr="00CA6B4F">
        <w:t>the Department of Finance, the Treasury, and</w:t>
      </w:r>
      <w:r>
        <w:t xml:space="preserve"> Tim </w:t>
      </w:r>
      <w:proofErr w:type="spellStart"/>
      <w:r>
        <w:t>Pyne</w:t>
      </w:r>
      <w:proofErr w:type="spellEnd"/>
      <w:r>
        <w:t xml:space="preserve"> in the preparation of the report. The contents of the report are the sole responsibility of the Parliamentary Budget Office.</w:t>
      </w:r>
    </w:p>
  </w:footnote>
  <w:footnote w:id="2">
    <w:p w:rsidR="00DA5757" w:rsidRPr="00EA2784" w:rsidRDefault="00DA5757" w:rsidP="004E3832">
      <w:pPr>
        <w:pStyle w:val="FootnoteText"/>
      </w:pPr>
      <w:r w:rsidRPr="00EA2784">
        <w:footnoteRef/>
      </w:r>
      <w:r>
        <w:tab/>
      </w:r>
      <w:r w:rsidRPr="001F3BE1">
        <w:t>Mid-Year Economic and Fiscal Outlook, 2018</w:t>
      </w:r>
      <w:r>
        <w:t>–</w:t>
      </w:r>
      <w:r w:rsidRPr="001F3BE1">
        <w:t>19</w:t>
      </w:r>
      <w:r>
        <w:t>, page 38.</w:t>
      </w:r>
    </w:p>
  </w:footnote>
  <w:footnote w:id="3">
    <w:p w:rsidR="00DA5757" w:rsidRPr="009D38DE" w:rsidRDefault="00DA5757" w:rsidP="001F3BE1">
      <w:pPr>
        <w:pStyle w:val="FootnoteText"/>
      </w:pPr>
      <w:r w:rsidRPr="009D38DE">
        <w:footnoteRef/>
      </w:r>
      <w:r>
        <w:tab/>
      </w:r>
      <w:r w:rsidRPr="009E4072">
        <w:t xml:space="preserve">The IMF (2014: </w:t>
      </w:r>
      <w:r>
        <w:t>p</w:t>
      </w:r>
      <w:r w:rsidRPr="009E4072">
        <w:t>207) defines gross debt as consisting of all liabilities that are debt instruments. In the Commonwealth budget papers, gross debt is defined as the face value of Commonwealth Government Securities on issue and is not equal to the amount of liabilities included in the net debt calculation.</w:t>
      </w:r>
    </w:p>
  </w:footnote>
  <w:footnote w:id="4">
    <w:p w:rsidR="00DA5757" w:rsidRPr="00B4382D" w:rsidRDefault="00DA5757">
      <w:pPr>
        <w:pStyle w:val="FootnoteText"/>
      </w:pPr>
      <w:r w:rsidRPr="00434C97">
        <w:footnoteRef/>
      </w:r>
      <w:r>
        <w:tab/>
        <w:t>The Australian Government Budget Financial Statements includes a breakdown of advances paid into loans to state and territory governments, student loans and ‘other’, less provisions for doubtful debts.  Investments, loans and placements is broken down into investments – deposits, IMF quota and ‘other’.</w:t>
      </w:r>
    </w:p>
  </w:footnote>
  <w:footnote w:id="5">
    <w:p w:rsidR="00DA5757" w:rsidRPr="00370E69" w:rsidRDefault="00DA5757" w:rsidP="001F3BE1">
      <w:pPr>
        <w:pStyle w:val="FootnoteText"/>
      </w:pPr>
      <w:r w:rsidRPr="009E4072">
        <w:footnoteRef/>
      </w:r>
      <w:r>
        <w:tab/>
      </w:r>
      <w:r w:rsidRPr="00370E69">
        <w:t xml:space="preserve">The Uniform Presentation Framework </w:t>
      </w:r>
      <w:r>
        <w:t xml:space="preserve">(2019) </w:t>
      </w:r>
      <w:r w:rsidRPr="00370E69">
        <w:t>details the definitions of the balance sheet indicators that have been agreed between the Commonwealth, states and territories.</w:t>
      </w:r>
    </w:p>
  </w:footnote>
  <w:footnote w:id="6">
    <w:p w:rsidR="00DA5757" w:rsidRPr="00E459C8" w:rsidRDefault="00DA5757">
      <w:pPr>
        <w:pStyle w:val="FootnoteText"/>
      </w:pPr>
      <w:r w:rsidRPr="006677F1">
        <w:footnoteRef/>
      </w:r>
      <w:r>
        <w:tab/>
        <w:t>The budget papers publish the value of Commonwealth government securities on issue at both the face and market value. References to gross debt in the budget papers are on a face value basis, and for consistency the same approach has been adopted in this paper.</w:t>
      </w:r>
    </w:p>
  </w:footnote>
  <w:footnote w:id="7">
    <w:p w:rsidR="00DA5757" w:rsidRPr="00135B4B" w:rsidRDefault="00DA5757">
      <w:pPr>
        <w:pStyle w:val="FootnoteText"/>
      </w:pPr>
      <w:r w:rsidRPr="00564779">
        <w:footnoteRef/>
      </w:r>
      <w:r>
        <w:tab/>
        <w:t xml:space="preserve">These standards are </w:t>
      </w:r>
      <w:r w:rsidRPr="00F47037">
        <w:t xml:space="preserve">issued by the Australian Accounting </w:t>
      </w:r>
      <w:r w:rsidRPr="00D2294D">
        <w:t>Standards Board</w:t>
      </w:r>
    </w:p>
  </w:footnote>
  <w:footnote w:id="8">
    <w:p w:rsidR="00DA5757" w:rsidRPr="00416DAA" w:rsidRDefault="00DA5757">
      <w:pPr>
        <w:pStyle w:val="FootnoteText"/>
      </w:pPr>
      <w:r w:rsidRPr="00564779">
        <w:footnoteRef/>
      </w:r>
      <w:r>
        <w:tab/>
      </w:r>
      <w:r w:rsidRPr="006035B6">
        <w:t>Australian System of Government Finance Statistics: Concepts, Sources and Methods, 2015 (cat. no. 5514.0)</w:t>
      </w:r>
    </w:p>
  </w:footnote>
  <w:footnote w:id="9">
    <w:p w:rsidR="00DA5757" w:rsidRPr="00FF2D27" w:rsidRDefault="00DA5757" w:rsidP="007047C3">
      <w:pPr>
        <w:pStyle w:val="FootnoteText"/>
      </w:pPr>
      <w:r w:rsidRPr="009E4072">
        <w:footnoteRef/>
      </w:r>
      <w:r>
        <w:tab/>
        <w:t>Parliamentary Budget Office (2018)</w:t>
      </w:r>
    </w:p>
  </w:footnote>
  <w:footnote w:id="10">
    <w:p w:rsidR="00DA5757" w:rsidRPr="00110B82" w:rsidRDefault="00DA5757">
      <w:pPr>
        <w:pStyle w:val="FootnoteText"/>
      </w:pPr>
      <w:r w:rsidRPr="005020E2">
        <w:footnoteRef/>
      </w:r>
      <w:r>
        <w:tab/>
      </w:r>
      <w:r w:rsidRPr="00110B82">
        <w:t>The Future Fund component</w:t>
      </w:r>
      <w:r>
        <w:t xml:space="preserve"> of Investments, Loans and Placements</w:t>
      </w:r>
      <w:r w:rsidRPr="00110B82">
        <w:t xml:space="preserve"> is </w:t>
      </w:r>
      <w:r>
        <w:t>calculated as</w:t>
      </w:r>
      <w:r w:rsidRPr="00110B82">
        <w:t xml:space="preserve"> the</w:t>
      </w:r>
      <w:r>
        <w:t xml:space="preserve"> total</w:t>
      </w:r>
      <w:r w:rsidRPr="00110B82">
        <w:t xml:space="preserve"> value of the portfolio minus </w:t>
      </w:r>
      <w:r>
        <w:t xml:space="preserve">directly held </w:t>
      </w:r>
      <w:r w:rsidRPr="00110B82">
        <w:t>listed equities</w:t>
      </w:r>
      <w:r w:rsidRPr="0063234D">
        <w:t xml:space="preserve">, </w:t>
      </w:r>
      <w:r w:rsidRPr="00F4067B">
        <w:t xml:space="preserve">as per </w:t>
      </w:r>
      <w:r w:rsidRPr="0063234D">
        <w:t xml:space="preserve">Future Fund Annual Reports (investment performance section and notes to audited financial statements) </w:t>
      </w:r>
      <w:r w:rsidRPr="00F4067B">
        <w:t>as at 30 June.</w:t>
      </w:r>
    </w:p>
  </w:footnote>
  <w:footnote w:id="11">
    <w:p w:rsidR="00DA5757" w:rsidRPr="006A4B9A" w:rsidRDefault="00DA5757" w:rsidP="008A7B63">
      <w:pPr>
        <w:pStyle w:val="FootnoteText"/>
      </w:pPr>
      <w:r w:rsidRPr="006A4B9A">
        <w:footnoteRef/>
      </w:r>
      <w:r>
        <w:tab/>
        <w:t>See n</w:t>
      </w:r>
      <w:r w:rsidRPr="006A4B9A">
        <w:t>ote 14 (</w:t>
      </w:r>
      <w:r>
        <w:t>page 274</w:t>
      </w:r>
      <w:r w:rsidRPr="006A4B9A">
        <w:t>) of the financial statements in 2018</w:t>
      </w:r>
      <w:r>
        <w:t>–</w:t>
      </w:r>
      <w:r w:rsidRPr="006A4B9A">
        <w:t xml:space="preserve">19 </w:t>
      </w:r>
      <w:r>
        <w:t>MYEFO.</w:t>
      </w:r>
      <w:r w:rsidRPr="006A4B9A">
        <w:t xml:space="preserve">  </w:t>
      </w:r>
    </w:p>
  </w:footnote>
  <w:footnote w:id="12">
    <w:p w:rsidR="00DA5757" w:rsidRPr="00F43274" w:rsidRDefault="00DA5757">
      <w:pPr>
        <w:pStyle w:val="FootnoteText"/>
      </w:pPr>
      <w:r w:rsidRPr="00564779">
        <w:footnoteRef/>
      </w:r>
      <w:r>
        <w:tab/>
        <w:t>The Australian Government’s audited Consolidated Financial Statements contain some additional historic detail on</w:t>
      </w:r>
      <w:r>
        <w:br/>
        <w:t xml:space="preserve">the composition of ‘investments, loans and </w:t>
      </w:r>
      <w:proofErr w:type="gramStart"/>
      <w:r>
        <w:t>placements’</w:t>
      </w:r>
      <w:proofErr w:type="gramEnd"/>
      <w:r>
        <w:t>.</w:t>
      </w:r>
    </w:p>
  </w:footnote>
  <w:footnote w:id="13">
    <w:p w:rsidR="00DA5757" w:rsidRPr="00AD7F1D" w:rsidRDefault="00DA5757" w:rsidP="00387937">
      <w:pPr>
        <w:pStyle w:val="FootnoteText"/>
      </w:pPr>
      <w:r w:rsidRPr="00AD7F1D">
        <w:footnoteRef/>
      </w:r>
      <w:r>
        <w:tab/>
      </w:r>
      <w:r w:rsidRPr="00950437">
        <w:t xml:space="preserve">The Medical Research Future Fund (MRFF), for example, is projected to grow </w:t>
      </w:r>
      <w:r>
        <w:t>in</w:t>
      </w:r>
      <w:r w:rsidRPr="00950437">
        <w:t xml:space="preserve"> value </w:t>
      </w:r>
      <w:r>
        <w:t>to $20 billion by 2020</w:t>
      </w:r>
      <w:r w:rsidRPr="00950437">
        <w:t xml:space="preserve">. </w:t>
      </w:r>
      <w:r>
        <w:t xml:space="preserve">The Future Fund </w:t>
      </w:r>
      <w:r w:rsidRPr="0070625B">
        <w:t>portfolio is projected to grow as a proportion of GDP until 2026</w:t>
      </w:r>
      <w:r>
        <w:t>–</w:t>
      </w:r>
      <w:r w:rsidRPr="0070625B">
        <w:t>27, at which point the government has signalled that it plans to commence drawing down on the fund.</w:t>
      </w:r>
    </w:p>
  </w:footnote>
  <w:footnote w:id="14">
    <w:p w:rsidR="00DA5757" w:rsidRPr="00110B82" w:rsidRDefault="00DA5757" w:rsidP="004D10FB">
      <w:pPr>
        <w:pStyle w:val="FootnoteText"/>
      </w:pPr>
      <w:r w:rsidRPr="005020E2">
        <w:footnoteRef/>
      </w:r>
      <w:r>
        <w:tab/>
      </w:r>
      <w:r w:rsidRPr="005020E2">
        <w:t xml:space="preserve">Alternative asset investments are comprised of a combination of active management </w:t>
      </w:r>
      <w:proofErr w:type="gramStart"/>
      <w:r w:rsidRPr="005020E2">
        <w:t>skill based</w:t>
      </w:r>
      <w:proofErr w:type="gramEnd"/>
      <w:r w:rsidRPr="005020E2">
        <w:t xml:space="preserve"> strategies and exposure to other diversifying risk premia via hedge funds and derivative financial instruments.</w:t>
      </w:r>
    </w:p>
  </w:footnote>
  <w:footnote w:id="15">
    <w:p w:rsidR="00DA5757" w:rsidRPr="00F4151D" w:rsidRDefault="00DA5757">
      <w:pPr>
        <w:pStyle w:val="FootnoteText"/>
      </w:pPr>
      <w:r w:rsidRPr="00564779">
        <w:footnoteRef/>
      </w:r>
      <w:r>
        <w:tab/>
        <w:t>The Future Fund invests through both wholly- and partly-owned collective investment vehicles.</w:t>
      </w:r>
    </w:p>
  </w:footnote>
  <w:footnote w:id="16">
    <w:p w:rsidR="00DA5757" w:rsidRPr="00661933" w:rsidRDefault="00DA5757" w:rsidP="00B370BD">
      <w:pPr>
        <w:pStyle w:val="FootnoteText"/>
      </w:pPr>
      <w:r w:rsidRPr="0071690A">
        <w:footnoteRef/>
      </w:r>
      <w:r>
        <w:tab/>
        <w:t xml:space="preserve">2018–19 </w:t>
      </w:r>
      <w:r w:rsidRPr="00661933">
        <w:t>Mid-Year Economic and Fiscal Outlook</w:t>
      </w:r>
      <w:r>
        <w:t xml:space="preserve"> p. 282</w:t>
      </w:r>
    </w:p>
  </w:footnote>
  <w:footnote w:id="17">
    <w:p w:rsidR="00DA5757" w:rsidRPr="00B84123" w:rsidRDefault="00DA5757" w:rsidP="00D91E4E">
      <w:pPr>
        <w:pStyle w:val="FootnoteText"/>
      </w:pPr>
      <w:r w:rsidRPr="00B84123">
        <w:footnoteRef/>
      </w:r>
      <w:r>
        <w:tab/>
        <w:t>The Future Fund portfolio values in Future Fund annual reports differ to those reported in budget documents.</w:t>
      </w:r>
      <w:r>
        <w:br/>
        <w:t>This report uses the publicly available figures published by the Future Fund.</w:t>
      </w:r>
    </w:p>
  </w:footnote>
  <w:footnote w:id="18">
    <w:p w:rsidR="00DA5757" w:rsidRPr="00E9545A" w:rsidRDefault="00DA5757" w:rsidP="006C03B0">
      <w:pPr>
        <w:pStyle w:val="FootnoteText"/>
      </w:pPr>
      <w:r w:rsidRPr="00E9545A">
        <w:footnoteRef/>
      </w:r>
      <w:r>
        <w:tab/>
        <w:t>This looks through to the underlying asset class, regardless of whether assets are held directly by the fund,</w:t>
      </w:r>
      <w:r>
        <w:br/>
        <w:t>or through a collective investment vehicle.</w:t>
      </w:r>
    </w:p>
  </w:footnote>
  <w:footnote w:id="19">
    <w:p w:rsidR="00DA5757" w:rsidRPr="00BA5935" w:rsidRDefault="00DA5757" w:rsidP="00F4202E">
      <w:pPr>
        <w:pStyle w:val="FootnoteText"/>
      </w:pPr>
      <w:r w:rsidRPr="0071690A">
        <w:footnoteRef/>
      </w:r>
      <w:r>
        <w:tab/>
      </w:r>
      <w:r w:rsidRPr="008442C6">
        <w:t>The PBO has been advised that the budget treatment of collective investment vehicles was reviewed by the Departments of Treasury and Finance in 2012.</w:t>
      </w:r>
      <w:r>
        <w:t xml:space="preserve">  </w:t>
      </w:r>
    </w:p>
  </w:footnote>
  <w:footnote w:id="20">
    <w:p w:rsidR="00DA5757" w:rsidRPr="00F4067B" w:rsidRDefault="00DA5757">
      <w:pPr>
        <w:pStyle w:val="FootnoteText"/>
      </w:pPr>
      <w:r w:rsidRPr="00CA6B4F">
        <w:footnoteRef/>
      </w:r>
      <w:r>
        <w:tab/>
      </w:r>
      <w:r w:rsidRPr="00F4067B">
        <w:t xml:space="preserve">Department of Finance Annual </w:t>
      </w:r>
      <w:r>
        <w:t>Report</w:t>
      </w:r>
      <w:r w:rsidRPr="00F4067B">
        <w:t xml:space="preserve"> (2017-18 C2.2 Investment funds financial position)</w:t>
      </w:r>
    </w:p>
  </w:footnote>
  <w:footnote w:id="21">
    <w:p w:rsidR="00DA5757" w:rsidRPr="00022BF2" w:rsidRDefault="00DA5757" w:rsidP="009831CC">
      <w:pPr>
        <w:pStyle w:val="FootnoteText"/>
        <w:spacing w:before="0" w:line="240" w:lineRule="auto"/>
      </w:pPr>
      <w:r w:rsidRPr="00564779">
        <w:footnoteRef/>
      </w:r>
      <w:r>
        <w:tab/>
        <w:t>On the information available, investments in tangibles and private equity would appear to be equity-like in nature.  Insufficient information is available to make an assessment with respect to alternative assets.</w:t>
      </w:r>
    </w:p>
  </w:footnote>
  <w:footnote w:id="22">
    <w:p w:rsidR="00DA5757" w:rsidRPr="00A95FDD" w:rsidRDefault="00DA5757" w:rsidP="009831CC">
      <w:pPr>
        <w:pStyle w:val="FootnoteText"/>
        <w:spacing w:before="0" w:line="240" w:lineRule="auto"/>
      </w:pPr>
      <w:r w:rsidRPr="00C541AF">
        <w:footnoteRef/>
      </w:r>
      <w:r>
        <w:tab/>
      </w:r>
      <w:r w:rsidRPr="00A95FDD">
        <w:t>2018</w:t>
      </w:r>
      <w:r>
        <w:t>–</w:t>
      </w:r>
      <w:r w:rsidRPr="00A95FDD">
        <w:t xml:space="preserve">19 </w:t>
      </w:r>
      <w:r>
        <w:t>Budget Paper no. 1</w:t>
      </w:r>
      <w:r w:rsidRPr="00A95FDD">
        <w:t xml:space="preserve"> p. </w:t>
      </w:r>
      <w:r>
        <w:t>7–17</w:t>
      </w:r>
    </w:p>
  </w:footnote>
  <w:footnote w:id="23">
    <w:p w:rsidR="00DA5757" w:rsidRPr="00724BF9" w:rsidRDefault="00DA5757" w:rsidP="007E7ACF">
      <w:pPr>
        <w:pStyle w:val="FootnoteText"/>
      </w:pPr>
      <w:r w:rsidRPr="00CD4113">
        <w:footnoteRef/>
      </w:r>
      <w:r w:rsidRPr="00CD4113">
        <w:tab/>
      </w:r>
      <w:r w:rsidRPr="0071690A">
        <w:t xml:space="preserve">The notes to the Budget financial statements do not disclose what the ‘other’ category is comprised of. This category was valued at </w:t>
      </w:r>
      <w:r>
        <w:t xml:space="preserve">7 per </w:t>
      </w:r>
      <w:r w:rsidRPr="004350B1">
        <w:t xml:space="preserve">cent of GDP as at </w:t>
      </w:r>
      <w:proofErr w:type="gramStart"/>
      <w:r w:rsidRPr="004350B1">
        <w:t>30 June 2018, and</w:t>
      </w:r>
      <w:proofErr w:type="gramEnd"/>
      <w:r w:rsidRPr="004350B1">
        <w:t xml:space="preserve"> is largely comprised of investment fund assets</w:t>
      </w:r>
      <w:r>
        <w:t xml:space="preserve">. The Australian Government’s audited Consolidated Financial Statements contain some additional detail on the composition of the </w:t>
      </w:r>
      <w:r w:rsidR="00DE3773">
        <w:t>‘</w:t>
      </w:r>
      <w:r>
        <w:t>other</w:t>
      </w:r>
      <w:r w:rsidR="00DE3773">
        <w:t>’</w:t>
      </w:r>
      <w:r>
        <w:t xml:space="preserve"> category of investments, loans and placements.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55D0" w:rsidRDefault="006E55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r>
      <w:rPr>
        <w:noProof/>
        <w:lang w:eastAsia="en-AU"/>
      </w:rPr>
      <mc:AlternateContent>
        <mc:Choice Requires="wps">
          <w:drawing>
            <wp:anchor distT="0" distB="0" distL="114300" distR="114300" simplePos="0" relativeHeight="251688960" behindDoc="1" locked="1" layoutInCell="1" allowOverlap="1" wp14:anchorId="6D53027C" wp14:editId="24934536">
              <wp:simplePos x="0" y="0"/>
              <wp:positionH relativeFrom="page">
                <wp:align>center</wp:align>
              </wp:positionH>
              <wp:positionV relativeFrom="page">
                <wp:align>center</wp:align>
              </wp:positionV>
              <wp:extent cx="7560000" cy="1796400"/>
              <wp:effectExtent l="0" t="0" r="0" b="0"/>
              <wp:wrapNone/>
              <wp:docPr id="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757" w:rsidRPr="0001226A" w:rsidRDefault="00DA5757"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3027C" id="_x0000_t202" coordsize="21600,21600" o:spt="202" path="m,l,21600r21600,l21600,xe">
              <v:stroke joinstyle="miter"/>
              <v:path gradientshapeok="t" o:connecttype="rect"/>
            </v:shapetype>
            <v:shape id="_x0000_s1030" type="#_x0000_t202" style="position:absolute;margin-left:0;margin-top:0;width:595.3pt;height:141.45pt;z-index:-2516275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" filled="f" stroked="f">
              <v:textbox>
                <w:txbxContent>
                  <w:p w:rsidR="00DA5757" w:rsidRPr="0001226A" w:rsidRDefault="00DA5757"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szCs w:val="120"/>
                      </w:rPr>
                      <w:t>DRAFT</w:t>
                    </w:r>
                    <w:r w:rsidRPr="0001226A">
                      <w:rPr>
                        <w:szCs w:val="1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r>
      <w:rPr>
        <w:noProof/>
        <w:lang w:eastAsia="en-AU"/>
      </w:rPr>
      <mc:AlternateContent>
        <mc:Choice Requires="wps">
          <w:drawing>
            <wp:anchor distT="0" distB="0" distL="114300" distR="114300" simplePos="0" relativeHeight="251653120" behindDoc="1" locked="1" layoutInCell="1" allowOverlap="1" wp14:anchorId="76B18F42" wp14:editId="14D1C679">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757" w:rsidRPr="0001226A" w:rsidRDefault="00DA5757"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8F42" id="_x0000_t202" coordsize="21600,21600" o:spt="202" path="m,l,21600r21600,l21600,xe">
              <v:stroke joinstyle="miter"/>
              <v:path gradientshapeok="t" o:connecttype="rect"/>
            </v:shapetype>
            <v:shape id="Text Box 217" o:spid="_x0000_s1026"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" filled="f" stroked="f">
              <v:textbox>
                <w:txbxContent>
                  <w:p w:rsidR="00DA5757" w:rsidRPr="0001226A" w:rsidRDefault="00DA5757"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szCs w:val="120"/>
                      </w:rPr>
                      <w:t>DRAFT</w:t>
                    </w:r>
                    <w:r w:rsidRPr="0001226A">
                      <w:rPr>
                        <w:szCs w:val="120"/>
                      </w:rP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r>
      <w:rPr>
        <w:noProof/>
        <w:lang w:eastAsia="en-AU"/>
      </w:rPr>
      <w:drawing>
        <wp:anchor distT="0" distB="0" distL="114300" distR="114300" simplePos="0" relativeHeight="251683840" behindDoc="0" locked="1" layoutInCell="1" allowOverlap="1" wp14:anchorId="4EB7CE39" wp14:editId="7C6F385F">
          <wp:simplePos x="0" y="0"/>
          <wp:positionH relativeFrom="page">
            <wp:posOffset>939800</wp:posOffset>
          </wp:positionH>
          <wp:positionV relativeFrom="page">
            <wp:posOffset>1260475</wp:posOffset>
          </wp:positionV>
          <wp:extent cx="1918800" cy="586800"/>
          <wp:effectExtent l="0" t="0" r="5715" b="3810"/>
          <wp:wrapNone/>
          <wp:docPr id="89" name="Picture 89"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1" locked="1" layoutInCell="1" allowOverlap="1" wp14:anchorId="51D28248" wp14:editId="13DCE20B">
          <wp:simplePos x="896815" y="509954"/>
          <wp:positionH relativeFrom="page">
            <wp:align>left</wp:align>
          </wp:positionH>
          <wp:positionV relativeFrom="page">
            <wp:align>top</wp:align>
          </wp:positionV>
          <wp:extent cx="7559675" cy="10692765"/>
          <wp:effectExtent l="0" t="0" r="3175" b="0"/>
          <wp:wrapNone/>
          <wp:docPr id="90" name="Picture 90"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p>
  <w:p w:rsidR="00DA5757" w:rsidRDefault="00DA57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bookmarkStart w:id="2" w:name="_GoBack"/>
    <w:bookmarkEnd w:id="2"/>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r>
      <w:rPr>
        <w:noProof/>
        <w:lang w:eastAsia="en-AU"/>
      </w:rPr>
      <mc:AlternateContent>
        <mc:Choice Requires="wps">
          <w:drawing>
            <wp:anchor distT="0" distB="0" distL="114300" distR="114300" simplePos="0" relativeHeight="251667456" behindDoc="1" locked="1" layoutInCell="1" allowOverlap="1" wp14:anchorId="5BC0DB06" wp14:editId="109F6E7E">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757" w:rsidRPr="0001226A" w:rsidRDefault="00DA5757"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0DB06" id="_x0000_t202" coordsize="21600,21600" o:spt="202" path="m,l,21600r21600,l21600,xe">
              <v:stroke joinstyle="miter"/>
              <v:path gradientshapeok="t" o:connecttype="rect"/>
            </v:shapetype>
            <v:shape id="_x0000_s1028"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" filled="f" stroked="f">
              <v:textbox>
                <w:txbxContent>
                  <w:p w:rsidR="00DA5757" w:rsidRPr="0001226A" w:rsidRDefault="00DA5757"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Pr>
                        <w:szCs w:val="120"/>
                      </w:rPr>
                      <w:t>DRAFT</w:t>
                    </w:r>
                    <w:r w:rsidRPr="0001226A">
                      <w:rPr>
                        <w:szCs w:val="120"/>
                      </w:rPr>
                      <w:fldChar w:fldCharType="end"/>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r>
      <w:rPr>
        <w:noProof/>
        <w:lang w:eastAsia="en-AU"/>
      </w:rPr>
      <mc:AlternateContent>
        <mc:Choice Requires="wps">
          <w:drawing>
            <wp:anchor distT="0" distB="0" distL="114300" distR="114300" simplePos="0" relativeHeight="251661312" behindDoc="1" locked="1" layoutInCell="1" allowOverlap="1" wp14:anchorId="4F5E8E2C" wp14:editId="798102E0">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757" w:rsidRPr="00750997" w:rsidRDefault="00DA5757" w:rsidP="006C038B">
                          <w:pPr>
                            <w:pStyle w:val="xStatus"/>
                            <w:jc w:val="left"/>
                            <w:rPr>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E8E2C" id="_x0000_t202" coordsize="21600,21600" o:spt="202" path="m,l,21600r21600,l21600,xe">
              <v:stroke joinstyle="miter"/>
              <v:path gradientshapeok="t" o:connecttype="rect"/>
            </v:shapetype>
            <v:shape id="_x0000_s1029" type="#_x0000_t202"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" filled="f" stroked="f">
              <v:textbox>
                <w:txbxContent>
                  <w:p w:rsidR="00DA5757" w:rsidRPr="00750997" w:rsidRDefault="00DA5757" w:rsidP="006C038B">
                    <w:pPr>
                      <w:pStyle w:val="xStatus"/>
                      <w:jc w:val="left"/>
                      <w:rPr>
                        <w:sz w:val="96"/>
                        <w:szCs w:val="96"/>
                      </w:rP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757" w:rsidRDefault="00DA5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95520C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8A5CE7"/>
    <w:multiLevelType w:val="hybridMultilevel"/>
    <w:tmpl w:val="9A5E88C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5" w15:restartNumberingAfterBreak="0">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6"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7" w15:restartNumberingAfterBreak="0">
    <w:nsid w:val="16B43776"/>
    <w:multiLevelType w:val="hybridMultilevel"/>
    <w:tmpl w:val="E346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9"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0"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1" w15:restartNumberingAfterBreak="0">
    <w:nsid w:val="2AFD551D"/>
    <w:multiLevelType w:val="hybridMultilevel"/>
    <w:tmpl w:val="76ACFF8E"/>
    <w:lvl w:ilvl="0" w:tplc="0C090019">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4330DD"/>
    <w:multiLevelType w:val="hybridMultilevel"/>
    <w:tmpl w:val="F91AE4FC"/>
    <w:lvl w:ilvl="0" w:tplc="C62647E8">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8D03D78"/>
    <w:multiLevelType w:val="hybridMultilevel"/>
    <w:tmpl w:val="582014C4"/>
    <w:lvl w:ilvl="0" w:tplc="A82E6CA4">
      <w:start w:val="4"/>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7" w15:restartNumberingAfterBreak="0">
    <w:nsid w:val="3FC36E0E"/>
    <w:multiLevelType w:val="hybridMultilevel"/>
    <w:tmpl w:val="BC12A966"/>
    <w:lvl w:ilvl="0" w:tplc="0C090003">
      <w:start w:val="1"/>
      <w:numFmt w:val="bullet"/>
      <w:lvlText w:val="o"/>
      <w:lvlJc w:val="left"/>
      <w:pPr>
        <w:ind w:left="1055" w:hanging="360"/>
      </w:pPr>
      <w:rPr>
        <w:rFonts w:ascii="Courier New" w:hAnsi="Courier New" w:cs="Courier New" w:hint="default"/>
      </w:rPr>
    </w:lvl>
    <w:lvl w:ilvl="1" w:tplc="0C090003" w:tentative="1">
      <w:start w:val="1"/>
      <w:numFmt w:val="bullet"/>
      <w:lvlText w:val="o"/>
      <w:lvlJc w:val="left"/>
      <w:pPr>
        <w:ind w:left="1775" w:hanging="360"/>
      </w:pPr>
      <w:rPr>
        <w:rFonts w:ascii="Courier New" w:hAnsi="Courier New" w:cs="Courier New"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18" w15:restartNumberingAfterBreak="0">
    <w:nsid w:val="3FED2503"/>
    <w:multiLevelType w:val="hybridMultilevel"/>
    <w:tmpl w:val="CB088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1C159DA"/>
    <w:multiLevelType w:val="hybridMultilevel"/>
    <w:tmpl w:val="9138B054"/>
    <w:lvl w:ilvl="0" w:tplc="0C090001">
      <w:start w:val="1"/>
      <w:numFmt w:val="bullet"/>
      <w:lvlText w:val=""/>
      <w:lvlJc w:val="left"/>
      <w:pPr>
        <w:ind w:left="975" w:hanging="360"/>
      </w:pPr>
      <w:rPr>
        <w:rFonts w:ascii="Symbol" w:hAnsi="Symbo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20" w15:restartNumberingAfterBreak="0">
    <w:nsid w:val="45AA45DE"/>
    <w:multiLevelType w:val="hybridMultilevel"/>
    <w:tmpl w:val="3B023CE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47670849"/>
    <w:multiLevelType w:val="hybridMultilevel"/>
    <w:tmpl w:val="FF9EEF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750991"/>
    <w:multiLevelType w:val="multilevel"/>
    <w:tmpl w:val="3A0AFD7E"/>
    <w:name w:val="NumberedList2"/>
    <w:lvl w:ilvl="0">
      <w:start w:val="1"/>
      <w:numFmt w:val="decimal"/>
      <w:pStyle w:val="ListNumber"/>
      <w:lvlText w:val="%1"/>
      <w:lvlJc w:val="left"/>
      <w:pPr>
        <w:tabs>
          <w:tab w:val="num" w:pos="568"/>
        </w:tabs>
        <w:ind w:left="568" w:hanging="284"/>
      </w:pPr>
      <w:rPr>
        <w:rFonts w:hint="default"/>
      </w:rPr>
    </w:lvl>
    <w:lvl w:ilvl="1">
      <w:start w:val="1"/>
      <w:numFmt w:val="lowerLetter"/>
      <w:pStyle w:val="ListNumber2"/>
      <w:lvlText w:val="%2"/>
      <w:lvlJc w:val="left"/>
      <w:pPr>
        <w:tabs>
          <w:tab w:val="num" w:pos="851"/>
        </w:tabs>
        <w:ind w:left="852" w:hanging="284"/>
      </w:pPr>
      <w:rPr>
        <w:rFonts w:hint="default"/>
      </w:rPr>
    </w:lvl>
    <w:lvl w:ilvl="2">
      <w:start w:val="1"/>
      <w:numFmt w:val="lowerRoman"/>
      <w:pStyle w:val="ListNumber3"/>
      <w:lvlText w:val="%3"/>
      <w:lvlJc w:val="left"/>
      <w:pPr>
        <w:tabs>
          <w:tab w:val="num" w:pos="1135"/>
        </w:tabs>
        <w:ind w:left="1136" w:hanging="284"/>
      </w:pPr>
      <w:rPr>
        <w:rFonts w:hint="default"/>
      </w:rPr>
    </w:lvl>
    <w:lvl w:ilvl="3">
      <w:start w:val="1"/>
      <w:numFmt w:val="upperLetter"/>
      <w:pStyle w:val="ListNumber4"/>
      <w:lvlText w:val="%4"/>
      <w:lvlJc w:val="left"/>
      <w:pPr>
        <w:tabs>
          <w:tab w:val="num" w:pos="1418"/>
        </w:tabs>
        <w:ind w:left="1420" w:hanging="284"/>
      </w:pPr>
      <w:rPr>
        <w:rFonts w:hint="default"/>
      </w:rPr>
    </w:lvl>
    <w:lvl w:ilvl="4">
      <w:start w:val="1"/>
      <w:numFmt w:val="upperRoman"/>
      <w:pStyle w:val="ListNumber5"/>
      <w:lvlText w:val="%5"/>
      <w:lvlJc w:val="left"/>
      <w:pPr>
        <w:tabs>
          <w:tab w:val="num" w:pos="1702"/>
        </w:tabs>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23" w15:restartNumberingAfterBreak="0">
    <w:nsid w:val="5B161CB0"/>
    <w:multiLevelType w:val="hybridMultilevel"/>
    <w:tmpl w:val="75106C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6" w15:restartNumberingAfterBreak="0">
    <w:nsid w:val="5D52552E"/>
    <w:multiLevelType w:val="hybridMultilevel"/>
    <w:tmpl w:val="A426C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7646C5"/>
    <w:multiLevelType w:val="hybridMultilevel"/>
    <w:tmpl w:val="38D0F778"/>
    <w:lvl w:ilvl="0" w:tplc="6D84F3A8">
      <w:start w:val="3"/>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608D471E"/>
    <w:multiLevelType w:val="hybridMultilevel"/>
    <w:tmpl w:val="6EE25498"/>
    <w:lvl w:ilvl="0" w:tplc="7B1C553C">
      <w:start w:val="3"/>
      <w:numFmt w:val="bullet"/>
      <w:lvlText w:val="-"/>
      <w:lvlJc w:val="left"/>
      <w:pPr>
        <w:ind w:left="2565" w:hanging="360"/>
      </w:pPr>
      <w:rPr>
        <w:rFonts w:ascii="Calibri" w:eastAsiaTheme="minorHAnsi" w:hAnsi="Calibri" w:cstheme="minorBidi" w:hint="default"/>
      </w:rPr>
    </w:lvl>
    <w:lvl w:ilvl="1" w:tplc="0C090003" w:tentative="1">
      <w:start w:val="1"/>
      <w:numFmt w:val="bullet"/>
      <w:lvlText w:val="o"/>
      <w:lvlJc w:val="left"/>
      <w:pPr>
        <w:ind w:left="3285" w:hanging="360"/>
      </w:pPr>
      <w:rPr>
        <w:rFonts w:ascii="Courier New" w:hAnsi="Courier New" w:cs="Courier New" w:hint="default"/>
      </w:rPr>
    </w:lvl>
    <w:lvl w:ilvl="2" w:tplc="0C090005" w:tentative="1">
      <w:start w:val="1"/>
      <w:numFmt w:val="bullet"/>
      <w:lvlText w:val=""/>
      <w:lvlJc w:val="left"/>
      <w:pPr>
        <w:ind w:left="4005" w:hanging="360"/>
      </w:pPr>
      <w:rPr>
        <w:rFonts w:ascii="Wingdings" w:hAnsi="Wingdings" w:hint="default"/>
      </w:rPr>
    </w:lvl>
    <w:lvl w:ilvl="3" w:tplc="0C090001" w:tentative="1">
      <w:start w:val="1"/>
      <w:numFmt w:val="bullet"/>
      <w:lvlText w:val=""/>
      <w:lvlJc w:val="left"/>
      <w:pPr>
        <w:ind w:left="4725" w:hanging="360"/>
      </w:pPr>
      <w:rPr>
        <w:rFonts w:ascii="Symbol" w:hAnsi="Symbol" w:hint="default"/>
      </w:rPr>
    </w:lvl>
    <w:lvl w:ilvl="4" w:tplc="0C090003" w:tentative="1">
      <w:start w:val="1"/>
      <w:numFmt w:val="bullet"/>
      <w:lvlText w:val="o"/>
      <w:lvlJc w:val="left"/>
      <w:pPr>
        <w:ind w:left="5445" w:hanging="360"/>
      </w:pPr>
      <w:rPr>
        <w:rFonts w:ascii="Courier New" w:hAnsi="Courier New" w:cs="Courier New" w:hint="default"/>
      </w:rPr>
    </w:lvl>
    <w:lvl w:ilvl="5" w:tplc="0C090005" w:tentative="1">
      <w:start w:val="1"/>
      <w:numFmt w:val="bullet"/>
      <w:lvlText w:val=""/>
      <w:lvlJc w:val="left"/>
      <w:pPr>
        <w:ind w:left="6165" w:hanging="360"/>
      </w:pPr>
      <w:rPr>
        <w:rFonts w:ascii="Wingdings" w:hAnsi="Wingdings" w:hint="default"/>
      </w:rPr>
    </w:lvl>
    <w:lvl w:ilvl="6" w:tplc="0C090001" w:tentative="1">
      <w:start w:val="1"/>
      <w:numFmt w:val="bullet"/>
      <w:lvlText w:val=""/>
      <w:lvlJc w:val="left"/>
      <w:pPr>
        <w:ind w:left="6885" w:hanging="360"/>
      </w:pPr>
      <w:rPr>
        <w:rFonts w:ascii="Symbol" w:hAnsi="Symbol" w:hint="default"/>
      </w:rPr>
    </w:lvl>
    <w:lvl w:ilvl="7" w:tplc="0C090003" w:tentative="1">
      <w:start w:val="1"/>
      <w:numFmt w:val="bullet"/>
      <w:lvlText w:val="o"/>
      <w:lvlJc w:val="left"/>
      <w:pPr>
        <w:ind w:left="7605" w:hanging="360"/>
      </w:pPr>
      <w:rPr>
        <w:rFonts w:ascii="Courier New" w:hAnsi="Courier New" w:cs="Courier New" w:hint="default"/>
      </w:rPr>
    </w:lvl>
    <w:lvl w:ilvl="8" w:tplc="0C090005" w:tentative="1">
      <w:start w:val="1"/>
      <w:numFmt w:val="bullet"/>
      <w:lvlText w:val=""/>
      <w:lvlJc w:val="left"/>
      <w:pPr>
        <w:ind w:left="8325" w:hanging="360"/>
      </w:pPr>
      <w:rPr>
        <w:rFonts w:ascii="Wingdings" w:hAnsi="Wingdings" w:hint="default"/>
      </w:rPr>
    </w:lvl>
  </w:abstractNum>
  <w:abstractNum w:abstractNumId="29"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0"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32"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34" w15:restartNumberingAfterBreak="0">
    <w:nsid w:val="707D2A00"/>
    <w:multiLevelType w:val="hybridMultilevel"/>
    <w:tmpl w:val="76ACFF8E"/>
    <w:lvl w:ilvl="0" w:tplc="0C090019">
      <w:start w:val="1"/>
      <w:numFmt w:val="lowerLetter"/>
      <w:lvlText w:val="%1."/>
      <w:lvlJc w:val="left"/>
      <w:pPr>
        <w:ind w:left="720" w:hanging="360"/>
      </w:pPr>
      <w:rPr>
        <w:rFonts w:hint="default"/>
        <w:sz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FA7184"/>
    <w:multiLevelType w:val="hybridMultilevel"/>
    <w:tmpl w:val="748E0CF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CE7CF0"/>
    <w:multiLevelType w:val="hybridMultilevel"/>
    <w:tmpl w:val="49AEE5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7C47556"/>
    <w:multiLevelType w:val="hybridMultilevel"/>
    <w:tmpl w:val="F93E433A"/>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39"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40" w15:restartNumberingAfterBreak="0">
    <w:nsid w:val="7DB85644"/>
    <w:multiLevelType w:val="hybridMultilevel"/>
    <w:tmpl w:val="5BEE0C98"/>
    <w:lvl w:ilvl="0" w:tplc="C3C84422">
      <w:start w:val="3"/>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39"/>
  </w:num>
  <w:num w:numId="4">
    <w:abstractNumId w:val="33"/>
  </w:num>
  <w:num w:numId="5">
    <w:abstractNumId w:val="6"/>
  </w:num>
  <w:num w:numId="6">
    <w:abstractNumId w:val="8"/>
  </w:num>
  <w:num w:numId="7">
    <w:abstractNumId w:val="31"/>
  </w:num>
  <w:num w:numId="8">
    <w:abstractNumId w:val="5"/>
  </w:num>
  <w:num w:numId="9">
    <w:abstractNumId w:val="16"/>
  </w:num>
  <w:num w:numId="10">
    <w:abstractNumId w:val="9"/>
  </w:num>
  <w:num w:numId="11">
    <w:abstractNumId w:val="10"/>
  </w:num>
  <w:num w:numId="12">
    <w:abstractNumId w:val="29"/>
  </w:num>
  <w:num w:numId="13">
    <w:abstractNumId w:val="37"/>
  </w:num>
  <w:num w:numId="14">
    <w:abstractNumId w:val="3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22"/>
  </w:num>
  <w:num w:numId="24">
    <w:abstractNumId w:val="35"/>
  </w:num>
  <w:num w:numId="25">
    <w:abstractNumId w:val="17"/>
  </w:num>
  <w:num w:numId="26">
    <w:abstractNumId w:val="5"/>
  </w:num>
  <w:num w:numId="27">
    <w:abstractNumId w:val="7"/>
  </w:num>
  <w:num w:numId="28">
    <w:abstractNumId w:val="2"/>
  </w:num>
  <w:num w:numId="29">
    <w:abstractNumId w:val="23"/>
  </w:num>
  <w:num w:numId="30">
    <w:abstractNumId w:val="21"/>
  </w:num>
  <w:num w:numId="31">
    <w:abstractNumId w:val="13"/>
  </w:num>
  <w:num w:numId="32">
    <w:abstractNumId w:val="40"/>
  </w:num>
  <w:num w:numId="33">
    <w:abstractNumId w:val="36"/>
  </w:num>
  <w:num w:numId="34">
    <w:abstractNumId w:val="24"/>
  </w:num>
  <w:num w:numId="35">
    <w:abstractNumId w:val="18"/>
  </w:num>
  <w:num w:numId="36">
    <w:abstractNumId w:val="3"/>
  </w:num>
  <w:num w:numId="37">
    <w:abstractNumId w:val="34"/>
  </w:num>
  <w:num w:numId="38">
    <w:abstractNumId w:val="20"/>
  </w:num>
  <w:num w:numId="39">
    <w:abstractNumId w:val="24"/>
  </w:num>
  <w:num w:numId="40">
    <w:abstractNumId w:val="24"/>
  </w:num>
  <w:num w:numId="41">
    <w:abstractNumId w:val="24"/>
  </w:num>
  <w:num w:numId="42">
    <w:abstractNumId w:val="24"/>
  </w:num>
  <w:num w:numId="43">
    <w:abstractNumId w:val="26"/>
  </w:num>
  <w:num w:numId="44">
    <w:abstractNumId w:val="19"/>
  </w:num>
  <w:num w:numId="45">
    <w:abstractNumId w:val="38"/>
  </w:num>
  <w:num w:numId="46">
    <w:abstractNumId w:val="15"/>
  </w:num>
  <w:num w:numId="47">
    <w:abstractNumId w:val="5"/>
  </w:num>
  <w:num w:numId="48">
    <w:abstractNumId w:val="28"/>
  </w:num>
  <w:num w:numId="49">
    <w:abstractNumId w:val="27"/>
  </w:num>
  <w:num w:numId="50">
    <w:abstractNumId w:val="11"/>
  </w:num>
  <w:num w:numId="51">
    <w:abstractNumId w:val="16"/>
  </w:num>
  <w:num w:numId="52">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Fals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914F92"/>
    <w:rsid w:val="0000322C"/>
    <w:rsid w:val="00003CDD"/>
    <w:rsid w:val="000040BC"/>
    <w:rsid w:val="00004C1B"/>
    <w:rsid w:val="00005E51"/>
    <w:rsid w:val="000074C9"/>
    <w:rsid w:val="000075F3"/>
    <w:rsid w:val="00011C62"/>
    <w:rsid w:val="00012650"/>
    <w:rsid w:val="00012996"/>
    <w:rsid w:val="0001369C"/>
    <w:rsid w:val="00013785"/>
    <w:rsid w:val="000139EA"/>
    <w:rsid w:val="00014F68"/>
    <w:rsid w:val="000165A7"/>
    <w:rsid w:val="000168A7"/>
    <w:rsid w:val="00020457"/>
    <w:rsid w:val="00020A51"/>
    <w:rsid w:val="00021704"/>
    <w:rsid w:val="000222A8"/>
    <w:rsid w:val="000226C8"/>
    <w:rsid w:val="00022BF2"/>
    <w:rsid w:val="00022F2B"/>
    <w:rsid w:val="00023571"/>
    <w:rsid w:val="00023A6F"/>
    <w:rsid w:val="00023AEF"/>
    <w:rsid w:val="0002519A"/>
    <w:rsid w:val="000278D0"/>
    <w:rsid w:val="00027E62"/>
    <w:rsid w:val="0003070A"/>
    <w:rsid w:val="000307C8"/>
    <w:rsid w:val="00030C29"/>
    <w:rsid w:val="00030F73"/>
    <w:rsid w:val="00032A65"/>
    <w:rsid w:val="0003314E"/>
    <w:rsid w:val="00034A4F"/>
    <w:rsid w:val="00035ADE"/>
    <w:rsid w:val="000405DC"/>
    <w:rsid w:val="00041DDC"/>
    <w:rsid w:val="0004224B"/>
    <w:rsid w:val="00043353"/>
    <w:rsid w:val="000439AD"/>
    <w:rsid w:val="00044C3A"/>
    <w:rsid w:val="00046226"/>
    <w:rsid w:val="0005014C"/>
    <w:rsid w:val="000505D8"/>
    <w:rsid w:val="00051002"/>
    <w:rsid w:val="00051410"/>
    <w:rsid w:val="0005184E"/>
    <w:rsid w:val="00051F5E"/>
    <w:rsid w:val="000525AE"/>
    <w:rsid w:val="00052FF2"/>
    <w:rsid w:val="0005330D"/>
    <w:rsid w:val="00053557"/>
    <w:rsid w:val="0005397B"/>
    <w:rsid w:val="00053ECE"/>
    <w:rsid w:val="00054174"/>
    <w:rsid w:val="0005508A"/>
    <w:rsid w:val="000557A7"/>
    <w:rsid w:val="00055805"/>
    <w:rsid w:val="00056CB3"/>
    <w:rsid w:val="00056E7B"/>
    <w:rsid w:val="00056F13"/>
    <w:rsid w:val="0005727F"/>
    <w:rsid w:val="00060AD3"/>
    <w:rsid w:val="00063800"/>
    <w:rsid w:val="00063F04"/>
    <w:rsid w:val="0006502B"/>
    <w:rsid w:val="00067644"/>
    <w:rsid w:val="00067A28"/>
    <w:rsid w:val="00070939"/>
    <w:rsid w:val="0007260F"/>
    <w:rsid w:val="00072B60"/>
    <w:rsid w:val="0007368E"/>
    <w:rsid w:val="000760A9"/>
    <w:rsid w:val="000805D5"/>
    <w:rsid w:val="0008103B"/>
    <w:rsid w:val="00082355"/>
    <w:rsid w:val="00082B31"/>
    <w:rsid w:val="00084C21"/>
    <w:rsid w:val="00085E16"/>
    <w:rsid w:val="00085F97"/>
    <w:rsid w:val="00086531"/>
    <w:rsid w:val="00086ADA"/>
    <w:rsid w:val="00086DEC"/>
    <w:rsid w:val="00086FD2"/>
    <w:rsid w:val="000878ED"/>
    <w:rsid w:val="00087A42"/>
    <w:rsid w:val="00087DF0"/>
    <w:rsid w:val="000900C3"/>
    <w:rsid w:val="00090633"/>
    <w:rsid w:val="00091609"/>
    <w:rsid w:val="00091755"/>
    <w:rsid w:val="00091BE7"/>
    <w:rsid w:val="00091D53"/>
    <w:rsid w:val="00092749"/>
    <w:rsid w:val="00092A33"/>
    <w:rsid w:val="00092B6C"/>
    <w:rsid w:val="00092BE3"/>
    <w:rsid w:val="00092D70"/>
    <w:rsid w:val="00093EB9"/>
    <w:rsid w:val="00094417"/>
    <w:rsid w:val="000945CB"/>
    <w:rsid w:val="00095298"/>
    <w:rsid w:val="00095676"/>
    <w:rsid w:val="00095929"/>
    <w:rsid w:val="00097A64"/>
    <w:rsid w:val="000A1DBB"/>
    <w:rsid w:val="000A2FEC"/>
    <w:rsid w:val="000A3077"/>
    <w:rsid w:val="000A348F"/>
    <w:rsid w:val="000A36B8"/>
    <w:rsid w:val="000A36F3"/>
    <w:rsid w:val="000A3B53"/>
    <w:rsid w:val="000A3F17"/>
    <w:rsid w:val="000A420F"/>
    <w:rsid w:val="000A596A"/>
    <w:rsid w:val="000A70F7"/>
    <w:rsid w:val="000B0220"/>
    <w:rsid w:val="000B03A3"/>
    <w:rsid w:val="000B14EC"/>
    <w:rsid w:val="000B193B"/>
    <w:rsid w:val="000B1F76"/>
    <w:rsid w:val="000B2022"/>
    <w:rsid w:val="000B305F"/>
    <w:rsid w:val="000B3F9F"/>
    <w:rsid w:val="000B412A"/>
    <w:rsid w:val="000B4863"/>
    <w:rsid w:val="000B5746"/>
    <w:rsid w:val="000B58CC"/>
    <w:rsid w:val="000B5D81"/>
    <w:rsid w:val="000B662B"/>
    <w:rsid w:val="000B6942"/>
    <w:rsid w:val="000B6B97"/>
    <w:rsid w:val="000B7429"/>
    <w:rsid w:val="000C043F"/>
    <w:rsid w:val="000C0487"/>
    <w:rsid w:val="000C09FA"/>
    <w:rsid w:val="000C245A"/>
    <w:rsid w:val="000C37A9"/>
    <w:rsid w:val="000C3D66"/>
    <w:rsid w:val="000C455B"/>
    <w:rsid w:val="000C6728"/>
    <w:rsid w:val="000C6811"/>
    <w:rsid w:val="000C702E"/>
    <w:rsid w:val="000C76FC"/>
    <w:rsid w:val="000D02FA"/>
    <w:rsid w:val="000D0D4A"/>
    <w:rsid w:val="000D122E"/>
    <w:rsid w:val="000D15E9"/>
    <w:rsid w:val="000D1EA5"/>
    <w:rsid w:val="000D21DE"/>
    <w:rsid w:val="000D2788"/>
    <w:rsid w:val="000D2996"/>
    <w:rsid w:val="000D2D53"/>
    <w:rsid w:val="000D3182"/>
    <w:rsid w:val="000D45C4"/>
    <w:rsid w:val="000E17A0"/>
    <w:rsid w:val="000E18F3"/>
    <w:rsid w:val="000E19FC"/>
    <w:rsid w:val="000E266E"/>
    <w:rsid w:val="000E37EC"/>
    <w:rsid w:val="000E3927"/>
    <w:rsid w:val="000E44E2"/>
    <w:rsid w:val="000E57C3"/>
    <w:rsid w:val="000E78A5"/>
    <w:rsid w:val="000E7A46"/>
    <w:rsid w:val="000F1515"/>
    <w:rsid w:val="000F16B5"/>
    <w:rsid w:val="000F26A1"/>
    <w:rsid w:val="000F616E"/>
    <w:rsid w:val="000F669C"/>
    <w:rsid w:val="000F7481"/>
    <w:rsid w:val="00103427"/>
    <w:rsid w:val="00104F78"/>
    <w:rsid w:val="00106794"/>
    <w:rsid w:val="001069B0"/>
    <w:rsid w:val="00106BA8"/>
    <w:rsid w:val="00110B82"/>
    <w:rsid w:val="00110D43"/>
    <w:rsid w:val="001115D7"/>
    <w:rsid w:val="00111BBC"/>
    <w:rsid w:val="00112010"/>
    <w:rsid w:val="001127DF"/>
    <w:rsid w:val="00113561"/>
    <w:rsid w:val="0011439E"/>
    <w:rsid w:val="001145C9"/>
    <w:rsid w:val="001157B4"/>
    <w:rsid w:val="001159EA"/>
    <w:rsid w:val="001166CB"/>
    <w:rsid w:val="00123337"/>
    <w:rsid w:val="00123889"/>
    <w:rsid w:val="00125410"/>
    <w:rsid w:val="00126406"/>
    <w:rsid w:val="00126971"/>
    <w:rsid w:val="00126E5A"/>
    <w:rsid w:val="00130858"/>
    <w:rsid w:val="00131B2A"/>
    <w:rsid w:val="00133F4F"/>
    <w:rsid w:val="00135B4B"/>
    <w:rsid w:val="00136C26"/>
    <w:rsid w:val="0014059F"/>
    <w:rsid w:val="00141551"/>
    <w:rsid w:val="001417CE"/>
    <w:rsid w:val="00142520"/>
    <w:rsid w:val="00144383"/>
    <w:rsid w:val="0014479F"/>
    <w:rsid w:val="00146675"/>
    <w:rsid w:val="00146F63"/>
    <w:rsid w:val="001477DA"/>
    <w:rsid w:val="00147D01"/>
    <w:rsid w:val="001507F8"/>
    <w:rsid w:val="00150A48"/>
    <w:rsid w:val="00150C72"/>
    <w:rsid w:val="001525D6"/>
    <w:rsid w:val="00154828"/>
    <w:rsid w:val="00154868"/>
    <w:rsid w:val="00154918"/>
    <w:rsid w:val="00154DC5"/>
    <w:rsid w:val="00156270"/>
    <w:rsid w:val="00156B26"/>
    <w:rsid w:val="001570F5"/>
    <w:rsid w:val="001600A8"/>
    <w:rsid w:val="00160129"/>
    <w:rsid w:val="00160C8D"/>
    <w:rsid w:val="00160D18"/>
    <w:rsid w:val="00161E45"/>
    <w:rsid w:val="001627BE"/>
    <w:rsid w:val="001629C0"/>
    <w:rsid w:val="001649ED"/>
    <w:rsid w:val="00165122"/>
    <w:rsid w:val="00165854"/>
    <w:rsid w:val="001673B1"/>
    <w:rsid w:val="00167B91"/>
    <w:rsid w:val="001738E3"/>
    <w:rsid w:val="00173DFD"/>
    <w:rsid w:val="001741A5"/>
    <w:rsid w:val="00175154"/>
    <w:rsid w:val="00175596"/>
    <w:rsid w:val="00175D2B"/>
    <w:rsid w:val="00176E97"/>
    <w:rsid w:val="00180E38"/>
    <w:rsid w:val="00180FF9"/>
    <w:rsid w:val="00182032"/>
    <w:rsid w:val="001820AB"/>
    <w:rsid w:val="001830F3"/>
    <w:rsid w:val="0018392D"/>
    <w:rsid w:val="001855E4"/>
    <w:rsid w:val="001860F6"/>
    <w:rsid w:val="00187533"/>
    <w:rsid w:val="00187A50"/>
    <w:rsid w:val="00187D00"/>
    <w:rsid w:val="001901A1"/>
    <w:rsid w:val="0019137A"/>
    <w:rsid w:val="00193386"/>
    <w:rsid w:val="001938AF"/>
    <w:rsid w:val="00193927"/>
    <w:rsid w:val="00193D16"/>
    <w:rsid w:val="00195228"/>
    <w:rsid w:val="00195696"/>
    <w:rsid w:val="00196532"/>
    <w:rsid w:val="001969C5"/>
    <w:rsid w:val="001A02E5"/>
    <w:rsid w:val="001A1EFC"/>
    <w:rsid w:val="001A25BA"/>
    <w:rsid w:val="001A3E4D"/>
    <w:rsid w:val="001A48EF"/>
    <w:rsid w:val="001A49CC"/>
    <w:rsid w:val="001A4A11"/>
    <w:rsid w:val="001A5553"/>
    <w:rsid w:val="001A603B"/>
    <w:rsid w:val="001A716E"/>
    <w:rsid w:val="001B0565"/>
    <w:rsid w:val="001B0A4D"/>
    <w:rsid w:val="001B21A5"/>
    <w:rsid w:val="001B23FB"/>
    <w:rsid w:val="001B2C65"/>
    <w:rsid w:val="001B302F"/>
    <w:rsid w:val="001B4D00"/>
    <w:rsid w:val="001B6FB5"/>
    <w:rsid w:val="001B7058"/>
    <w:rsid w:val="001C295E"/>
    <w:rsid w:val="001C3A4F"/>
    <w:rsid w:val="001C4121"/>
    <w:rsid w:val="001C48DE"/>
    <w:rsid w:val="001C5EE0"/>
    <w:rsid w:val="001C64AB"/>
    <w:rsid w:val="001C65CE"/>
    <w:rsid w:val="001C67D8"/>
    <w:rsid w:val="001C69EC"/>
    <w:rsid w:val="001C6EB4"/>
    <w:rsid w:val="001D0623"/>
    <w:rsid w:val="001D1435"/>
    <w:rsid w:val="001D2BC3"/>
    <w:rsid w:val="001D2BE2"/>
    <w:rsid w:val="001D3B52"/>
    <w:rsid w:val="001D4533"/>
    <w:rsid w:val="001D4894"/>
    <w:rsid w:val="001D52E3"/>
    <w:rsid w:val="001D576F"/>
    <w:rsid w:val="001D6C52"/>
    <w:rsid w:val="001D7322"/>
    <w:rsid w:val="001D7C29"/>
    <w:rsid w:val="001D7C8D"/>
    <w:rsid w:val="001E0475"/>
    <w:rsid w:val="001E1391"/>
    <w:rsid w:val="001E19EA"/>
    <w:rsid w:val="001E1C06"/>
    <w:rsid w:val="001E20D2"/>
    <w:rsid w:val="001E2BB0"/>
    <w:rsid w:val="001E4949"/>
    <w:rsid w:val="001E49E8"/>
    <w:rsid w:val="001E4F61"/>
    <w:rsid w:val="001E60D0"/>
    <w:rsid w:val="001E7501"/>
    <w:rsid w:val="001E7C0C"/>
    <w:rsid w:val="001F0CD8"/>
    <w:rsid w:val="001F2ABA"/>
    <w:rsid w:val="001F3BE1"/>
    <w:rsid w:val="001F5C90"/>
    <w:rsid w:val="001F5CEA"/>
    <w:rsid w:val="001F6F40"/>
    <w:rsid w:val="001F74FA"/>
    <w:rsid w:val="001F767C"/>
    <w:rsid w:val="00200D7A"/>
    <w:rsid w:val="0020316F"/>
    <w:rsid w:val="00203FA8"/>
    <w:rsid w:val="00205A05"/>
    <w:rsid w:val="0020606E"/>
    <w:rsid w:val="00206C5A"/>
    <w:rsid w:val="002070C2"/>
    <w:rsid w:val="00207A13"/>
    <w:rsid w:val="00207FBC"/>
    <w:rsid w:val="00210BD0"/>
    <w:rsid w:val="00210FCF"/>
    <w:rsid w:val="002113BD"/>
    <w:rsid w:val="002115F8"/>
    <w:rsid w:val="002137AD"/>
    <w:rsid w:val="0021645D"/>
    <w:rsid w:val="00217400"/>
    <w:rsid w:val="00217802"/>
    <w:rsid w:val="00217EF3"/>
    <w:rsid w:val="002210BE"/>
    <w:rsid w:val="00221530"/>
    <w:rsid w:val="00222EFF"/>
    <w:rsid w:val="0022309B"/>
    <w:rsid w:val="0022389D"/>
    <w:rsid w:val="002240D5"/>
    <w:rsid w:val="00224341"/>
    <w:rsid w:val="002246CB"/>
    <w:rsid w:val="0022495F"/>
    <w:rsid w:val="00224AAC"/>
    <w:rsid w:val="00225302"/>
    <w:rsid w:val="00225429"/>
    <w:rsid w:val="002261A7"/>
    <w:rsid w:val="00226AEC"/>
    <w:rsid w:val="0023033A"/>
    <w:rsid w:val="0023176C"/>
    <w:rsid w:val="00231887"/>
    <w:rsid w:val="00231DAF"/>
    <w:rsid w:val="00232911"/>
    <w:rsid w:val="00233BE7"/>
    <w:rsid w:val="0023431B"/>
    <w:rsid w:val="00234A59"/>
    <w:rsid w:val="00234DEE"/>
    <w:rsid w:val="00234EE1"/>
    <w:rsid w:val="0023566F"/>
    <w:rsid w:val="002367B6"/>
    <w:rsid w:val="00236ADB"/>
    <w:rsid w:val="002378E7"/>
    <w:rsid w:val="002414E5"/>
    <w:rsid w:val="00241B3F"/>
    <w:rsid w:val="0024283B"/>
    <w:rsid w:val="002429FA"/>
    <w:rsid w:val="00244690"/>
    <w:rsid w:val="00244B19"/>
    <w:rsid w:val="00245A95"/>
    <w:rsid w:val="00245C18"/>
    <w:rsid w:val="00245F8C"/>
    <w:rsid w:val="0024603A"/>
    <w:rsid w:val="00246412"/>
    <w:rsid w:val="00246442"/>
    <w:rsid w:val="002478BB"/>
    <w:rsid w:val="00250A99"/>
    <w:rsid w:val="002517D0"/>
    <w:rsid w:val="002530B9"/>
    <w:rsid w:val="00253500"/>
    <w:rsid w:val="0025378F"/>
    <w:rsid w:val="002545F3"/>
    <w:rsid w:val="0025560A"/>
    <w:rsid w:val="002579F6"/>
    <w:rsid w:val="00260666"/>
    <w:rsid w:val="00260B91"/>
    <w:rsid w:val="00260DB0"/>
    <w:rsid w:val="00261D8D"/>
    <w:rsid w:val="00262E21"/>
    <w:rsid w:val="0026344F"/>
    <w:rsid w:val="002637B1"/>
    <w:rsid w:val="00263964"/>
    <w:rsid w:val="00264963"/>
    <w:rsid w:val="00265C78"/>
    <w:rsid w:val="00265EDD"/>
    <w:rsid w:val="00266A17"/>
    <w:rsid w:val="00267FD8"/>
    <w:rsid w:val="00270372"/>
    <w:rsid w:val="00271DEA"/>
    <w:rsid w:val="00273BC3"/>
    <w:rsid w:val="0027400D"/>
    <w:rsid w:val="00275534"/>
    <w:rsid w:val="00275EBE"/>
    <w:rsid w:val="0027678B"/>
    <w:rsid w:val="00277075"/>
    <w:rsid w:val="002775D2"/>
    <w:rsid w:val="00277C9C"/>
    <w:rsid w:val="002803D1"/>
    <w:rsid w:val="00281ADD"/>
    <w:rsid w:val="00282EA8"/>
    <w:rsid w:val="00282F8B"/>
    <w:rsid w:val="002848DD"/>
    <w:rsid w:val="00285E36"/>
    <w:rsid w:val="00286B7E"/>
    <w:rsid w:val="002920A7"/>
    <w:rsid w:val="00293E0D"/>
    <w:rsid w:val="00293E80"/>
    <w:rsid w:val="0029559F"/>
    <w:rsid w:val="00296BFB"/>
    <w:rsid w:val="002973B0"/>
    <w:rsid w:val="00297971"/>
    <w:rsid w:val="00297C14"/>
    <w:rsid w:val="00297DC0"/>
    <w:rsid w:val="002A0759"/>
    <w:rsid w:val="002A0B2F"/>
    <w:rsid w:val="002A220F"/>
    <w:rsid w:val="002A24F1"/>
    <w:rsid w:val="002A29ED"/>
    <w:rsid w:val="002A5778"/>
    <w:rsid w:val="002A7B88"/>
    <w:rsid w:val="002B02CD"/>
    <w:rsid w:val="002B18AD"/>
    <w:rsid w:val="002B1E84"/>
    <w:rsid w:val="002B2085"/>
    <w:rsid w:val="002B300B"/>
    <w:rsid w:val="002B3EC4"/>
    <w:rsid w:val="002B4A26"/>
    <w:rsid w:val="002B4ED4"/>
    <w:rsid w:val="002B70CA"/>
    <w:rsid w:val="002B7477"/>
    <w:rsid w:val="002C0372"/>
    <w:rsid w:val="002C111C"/>
    <w:rsid w:val="002C37D5"/>
    <w:rsid w:val="002C3DBC"/>
    <w:rsid w:val="002C4EE7"/>
    <w:rsid w:val="002C5475"/>
    <w:rsid w:val="002C6E6C"/>
    <w:rsid w:val="002D01B7"/>
    <w:rsid w:val="002D14CD"/>
    <w:rsid w:val="002D34DB"/>
    <w:rsid w:val="002D4B11"/>
    <w:rsid w:val="002D6496"/>
    <w:rsid w:val="002E05A3"/>
    <w:rsid w:val="002E1677"/>
    <w:rsid w:val="002E47FF"/>
    <w:rsid w:val="002E5633"/>
    <w:rsid w:val="002E5C9E"/>
    <w:rsid w:val="002E62A2"/>
    <w:rsid w:val="002E7463"/>
    <w:rsid w:val="002F0533"/>
    <w:rsid w:val="002F0909"/>
    <w:rsid w:val="002F0965"/>
    <w:rsid w:val="002F1963"/>
    <w:rsid w:val="002F373F"/>
    <w:rsid w:val="002F3D6F"/>
    <w:rsid w:val="002F452D"/>
    <w:rsid w:val="002F5B6E"/>
    <w:rsid w:val="002F5F40"/>
    <w:rsid w:val="002F61B5"/>
    <w:rsid w:val="002F6909"/>
    <w:rsid w:val="002F7D9E"/>
    <w:rsid w:val="002F7DCD"/>
    <w:rsid w:val="003013CF"/>
    <w:rsid w:val="0030209B"/>
    <w:rsid w:val="00302630"/>
    <w:rsid w:val="003028A6"/>
    <w:rsid w:val="00303913"/>
    <w:rsid w:val="0030449E"/>
    <w:rsid w:val="00304959"/>
    <w:rsid w:val="00307233"/>
    <w:rsid w:val="003106DF"/>
    <w:rsid w:val="003127E4"/>
    <w:rsid w:val="00312A8D"/>
    <w:rsid w:val="00313196"/>
    <w:rsid w:val="00313215"/>
    <w:rsid w:val="00313E0D"/>
    <w:rsid w:val="00315B39"/>
    <w:rsid w:val="00315D23"/>
    <w:rsid w:val="00316F26"/>
    <w:rsid w:val="003174C3"/>
    <w:rsid w:val="00320556"/>
    <w:rsid w:val="00321C83"/>
    <w:rsid w:val="00321DD2"/>
    <w:rsid w:val="0032239F"/>
    <w:rsid w:val="00322CB9"/>
    <w:rsid w:val="00323CE7"/>
    <w:rsid w:val="00324A3A"/>
    <w:rsid w:val="0032557A"/>
    <w:rsid w:val="00325FFE"/>
    <w:rsid w:val="00331065"/>
    <w:rsid w:val="00331FF3"/>
    <w:rsid w:val="0033257A"/>
    <w:rsid w:val="0033564A"/>
    <w:rsid w:val="00340778"/>
    <w:rsid w:val="00341AF4"/>
    <w:rsid w:val="00342535"/>
    <w:rsid w:val="00342917"/>
    <w:rsid w:val="00344629"/>
    <w:rsid w:val="00344ACF"/>
    <w:rsid w:val="00344D2C"/>
    <w:rsid w:val="0034579D"/>
    <w:rsid w:val="003458CE"/>
    <w:rsid w:val="00345A57"/>
    <w:rsid w:val="00345D37"/>
    <w:rsid w:val="00346D90"/>
    <w:rsid w:val="0034757A"/>
    <w:rsid w:val="00350B2B"/>
    <w:rsid w:val="00350F04"/>
    <w:rsid w:val="00351CB4"/>
    <w:rsid w:val="00351F62"/>
    <w:rsid w:val="0035529C"/>
    <w:rsid w:val="003601F4"/>
    <w:rsid w:val="00361E15"/>
    <w:rsid w:val="00363405"/>
    <w:rsid w:val="0036345F"/>
    <w:rsid w:val="00365D9B"/>
    <w:rsid w:val="00366DE2"/>
    <w:rsid w:val="00366E68"/>
    <w:rsid w:val="003671E2"/>
    <w:rsid w:val="00367493"/>
    <w:rsid w:val="0036775A"/>
    <w:rsid w:val="00370E69"/>
    <w:rsid w:val="0037247B"/>
    <w:rsid w:val="00372AE6"/>
    <w:rsid w:val="00373378"/>
    <w:rsid w:val="00374A27"/>
    <w:rsid w:val="00374B02"/>
    <w:rsid w:val="00375B41"/>
    <w:rsid w:val="003765EB"/>
    <w:rsid w:val="003771C1"/>
    <w:rsid w:val="00381C0F"/>
    <w:rsid w:val="003831DC"/>
    <w:rsid w:val="00383440"/>
    <w:rsid w:val="003837E1"/>
    <w:rsid w:val="0038584D"/>
    <w:rsid w:val="00385FB6"/>
    <w:rsid w:val="00386844"/>
    <w:rsid w:val="0038731F"/>
    <w:rsid w:val="00387937"/>
    <w:rsid w:val="0039257F"/>
    <w:rsid w:val="003931DE"/>
    <w:rsid w:val="00393626"/>
    <w:rsid w:val="003938DC"/>
    <w:rsid w:val="00393D73"/>
    <w:rsid w:val="00393DE4"/>
    <w:rsid w:val="0039427C"/>
    <w:rsid w:val="003953DC"/>
    <w:rsid w:val="00395ABA"/>
    <w:rsid w:val="0039672A"/>
    <w:rsid w:val="00397D1A"/>
    <w:rsid w:val="003A05CA"/>
    <w:rsid w:val="003A163C"/>
    <w:rsid w:val="003A1A06"/>
    <w:rsid w:val="003A1F2A"/>
    <w:rsid w:val="003A2B4E"/>
    <w:rsid w:val="003A2FBB"/>
    <w:rsid w:val="003A3799"/>
    <w:rsid w:val="003A403B"/>
    <w:rsid w:val="003A41BF"/>
    <w:rsid w:val="003A43A0"/>
    <w:rsid w:val="003A4913"/>
    <w:rsid w:val="003A5351"/>
    <w:rsid w:val="003A54A9"/>
    <w:rsid w:val="003A605E"/>
    <w:rsid w:val="003A7083"/>
    <w:rsid w:val="003A74FC"/>
    <w:rsid w:val="003A7AEC"/>
    <w:rsid w:val="003B178E"/>
    <w:rsid w:val="003B1D10"/>
    <w:rsid w:val="003B1F0E"/>
    <w:rsid w:val="003B376A"/>
    <w:rsid w:val="003B38B3"/>
    <w:rsid w:val="003B3A97"/>
    <w:rsid w:val="003B3D44"/>
    <w:rsid w:val="003B52E7"/>
    <w:rsid w:val="003B6097"/>
    <w:rsid w:val="003C0884"/>
    <w:rsid w:val="003C186D"/>
    <w:rsid w:val="003C1FC5"/>
    <w:rsid w:val="003C2C4F"/>
    <w:rsid w:val="003C38C7"/>
    <w:rsid w:val="003C4105"/>
    <w:rsid w:val="003C4154"/>
    <w:rsid w:val="003C47F2"/>
    <w:rsid w:val="003C5BF3"/>
    <w:rsid w:val="003C795A"/>
    <w:rsid w:val="003C7AF8"/>
    <w:rsid w:val="003C7CC2"/>
    <w:rsid w:val="003C7F0D"/>
    <w:rsid w:val="003D0113"/>
    <w:rsid w:val="003D1494"/>
    <w:rsid w:val="003D1C99"/>
    <w:rsid w:val="003D22AE"/>
    <w:rsid w:val="003D50B6"/>
    <w:rsid w:val="003D5A97"/>
    <w:rsid w:val="003E05DF"/>
    <w:rsid w:val="003E15A5"/>
    <w:rsid w:val="003E2621"/>
    <w:rsid w:val="003E2D3C"/>
    <w:rsid w:val="003E30D8"/>
    <w:rsid w:val="003E412D"/>
    <w:rsid w:val="003E4221"/>
    <w:rsid w:val="003E4674"/>
    <w:rsid w:val="003E5D5E"/>
    <w:rsid w:val="003E6085"/>
    <w:rsid w:val="003E69FA"/>
    <w:rsid w:val="003E6B64"/>
    <w:rsid w:val="003E6CA3"/>
    <w:rsid w:val="003F16C0"/>
    <w:rsid w:val="003F18D1"/>
    <w:rsid w:val="003F1F62"/>
    <w:rsid w:val="003F2360"/>
    <w:rsid w:val="003F243B"/>
    <w:rsid w:val="003F2AE4"/>
    <w:rsid w:val="003F4C96"/>
    <w:rsid w:val="003F55D2"/>
    <w:rsid w:val="003F61DD"/>
    <w:rsid w:val="003F6A1E"/>
    <w:rsid w:val="003F74AC"/>
    <w:rsid w:val="00401D72"/>
    <w:rsid w:val="00403A8E"/>
    <w:rsid w:val="00404918"/>
    <w:rsid w:val="00406002"/>
    <w:rsid w:val="0040680E"/>
    <w:rsid w:val="00406AD3"/>
    <w:rsid w:val="00411C65"/>
    <w:rsid w:val="00412E42"/>
    <w:rsid w:val="00413CE6"/>
    <w:rsid w:val="00416DAA"/>
    <w:rsid w:val="0042037A"/>
    <w:rsid w:val="00420CA6"/>
    <w:rsid w:val="00421ABD"/>
    <w:rsid w:val="00422AD9"/>
    <w:rsid w:val="00422F7B"/>
    <w:rsid w:val="00424334"/>
    <w:rsid w:val="00424846"/>
    <w:rsid w:val="00425D72"/>
    <w:rsid w:val="00425FEC"/>
    <w:rsid w:val="00426356"/>
    <w:rsid w:val="0042683D"/>
    <w:rsid w:val="00426929"/>
    <w:rsid w:val="00430996"/>
    <w:rsid w:val="00431822"/>
    <w:rsid w:val="00432A1D"/>
    <w:rsid w:val="00433615"/>
    <w:rsid w:val="004339B6"/>
    <w:rsid w:val="00433BF3"/>
    <w:rsid w:val="00434C97"/>
    <w:rsid w:val="004350B1"/>
    <w:rsid w:val="00436E22"/>
    <w:rsid w:val="0043783C"/>
    <w:rsid w:val="004425B5"/>
    <w:rsid w:val="00442798"/>
    <w:rsid w:val="00442C16"/>
    <w:rsid w:val="00442F58"/>
    <w:rsid w:val="00443625"/>
    <w:rsid w:val="004440E4"/>
    <w:rsid w:val="00446439"/>
    <w:rsid w:val="00450BDA"/>
    <w:rsid w:val="00450C9B"/>
    <w:rsid w:val="0045175F"/>
    <w:rsid w:val="00451CC7"/>
    <w:rsid w:val="00452395"/>
    <w:rsid w:val="004537D4"/>
    <w:rsid w:val="00453992"/>
    <w:rsid w:val="00453A3E"/>
    <w:rsid w:val="0045452F"/>
    <w:rsid w:val="00454559"/>
    <w:rsid w:val="00456036"/>
    <w:rsid w:val="00456877"/>
    <w:rsid w:val="00456DEB"/>
    <w:rsid w:val="0045766B"/>
    <w:rsid w:val="0045776C"/>
    <w:rsid w:val="00457983"/>
    <w:rsid w:val="00460ABE"/>
    <w:rsid w:val="004610A9"/>
    <w:rsid w:val="00461990"/>
    <w:rsid w:val="00461B08"/>
    <w:rsid w:val="00461BC4"/>
    <w:rsid w:val="00461DCE"/>
    <w:rsid w:val="00462C03"/>
    <w:rsid w:val="0046426A"/>
    <w:rsid w:val="004642B1"/>
    <w:rsid w:val="004652CA"/>
    <w:rsid w:val="00466F3F"/>
    <w:rsid w:val="00470ADB"/>
    <w:rsid w:val="004720CA"/>
    <w:rsid w:val="00472DD7"/>
    <w:rsid w:val="00473124"/>
    <w:rsid w:val="00474BB7"/>
    <w:rsid w:val="004764E9"/>
    <w:rsid w:val="004776C3"/>
    <w:rsid w:val="00480E1B"/>
    <w:rsid w:val="004816D7"/>
    <w:rsid w:val="00481EC1"/>
    <w:rsid w:val="0048342E"/>
    <w:rsid w:val="00483B6B"/>
    <w:rsid w:val="00485C0F"/>
    <w:rsid w:val="004860C6"/>
    <w:rsid w:val="00487478"/>
    <w:rsid w:val="0048782D"/>
    <w:rsid w:val="00487CCB"/>
    <w:rsid w:val="0049025F"/>
    <w:rsid w:val="004917C8"/>
    <w:rsid w:val="00491CCE"/>
    <w:rsid w:val="004949D3"/>
    <w:rsid w:val="00494A69"/>
    <w:rsid w:val="00494DC1"/>
    <w:rsid w:val="00496933"/>
    <w:rsid w:val="004A011E"/>
    <w:rsid w:val="004A0502"/>
    <w:rsid w:val="004A0784"/>
    <w:rsid w:val="004A19BB"/>
    <w:rsid w:val="004A2B4C"/>
    <w:rsid w:val="004A3F56"/>
    <w:rsid w:val="004A445C"/>
    <w:rsid w:val="004A5E21"/>
    <w:rsid w:val="004A666A"/>
    <w:rsid w:val="004A716E"/>
    <w:rsid w:val="004A7282"/>
    <w:rsid w:val="004B143F"/>
    <w:rsid w:val="004B2F61"/>
    <w:rsid w:val="004B38FE"/>
    <w:rsid w:val="004B3E13"/>
    <w:rsid w:val="004B4125"/>
    <w:rsid w:val="004B4676"/>
    <w:rsid w:val="004B49A0"/>
    <w:rsid w:val="004B744D"/>
    <w:rsid w:val="004B7A95"/>
    <w:rsid w:val="004C1C59"/>
    <w:rsid w:val="004C2A9D"/>
    <w:rsid w:val="004C38B2"/>
    <w:rsid w:val="004C457A"/>
    <w:rsid w:val="004C4AA5"/>
    <w:rsid w:val="004C52E9"/>
    <w:rsid w:val="004C5577"/>
    <w:rsid w:val="004C5B55"/>
    <w:rsid w:val="004C60B7"/>
    <w:rsid w:val="004C6306"/>
    <w:rsid w:val="004C67A1"/>
    <w:rsid w:val="004C6F5E"/>
    <w:rsid w:val="004C7E74"/>
    <w:rsid w:val="004C7E94"/>
    <w:rsid w:val="004D00F8"/>
    <w:rsid w:val="004D01D7"/>
    <w:rsid w:val="004D042D"/>
    <w:rsid w:val="004D04DA"/>
    <w:rsid w:val="004D10FB"/>
    <w:rsid w:val="004D218C"/>
    <w:rsid w:val="004D3176"/>
    <w:rsid w:val="004D455C"/>
    <w:rsid w:val="004D58BA"/>
    <w:rsid w:val="004D5C17"/>
    <w:rsid w:val="004D6D08"/>
    <w:rsid w:val="004D7CF8"/>
    <w:rsid w:val="004D7EDA"/>
    <w:rsid w:val="004E0E49"/>
    <w:rsid w:val="004E197A"/>
    <w:rsid w:val="004E1E14"/>
    <w:rsid w:val="004E2BE9"/>
    <w:rsid w:val="004E3832"/>
    <w:rsid w:val="004E3A61"/>
    <w:rsid w:val="004E5059"/>
    <w:rsid w:val="004E5D52"/>
    <w:rsid w:val="004E5FAE"/>
    <w:rsid w:val="004E65CB"/>
    <w:rsid w:val="004E65D1"/>
    <w:rsid w:val="004E6BA0"/>
    <w:rsid w:val="004E7F56"/>
    <w:rsid w:val="004F0556"/>
    <w:rsid w:val="004F05BA"/>
    <w:rsid w:val="004F07D7"/>
    <w:rsid w:val="004F1297"/>
    <w:rsid w:val="004F16DB"/>
    <w:rsid w:val="004F2275"/>
    <w:rsid w:val="004F4CF7"/>
    <w:rsid w:val="004F4D7E"/>
    <w:rsid w:val="004F4E99"/>
    <w:rsid w:val="004F5220"/>
    <w:rsid w:val="004F5B16"/>
    <w:rsid w:val="004F5D9D"/>
    <w:rsid w:val="004F68E5"/>
    <w:rsid w:val="004F741B"/>
    <w:rsid w:val="00500942"/>
    <w:rsid w:val="005020E2"/>
    <w:rsid w:val="00502179"/>
    <w:rsid w:val="00503253"/>
    <w:rsid w:val="005035AC"/>
    <w:rsid w:val="00503703"/>
    <w:rsid w:val="00503921"/>
    <w:rsid w:val="00503B7F"/>
    <w:rsid w:val="00503BB0"/>
    <w:rsid w:val="00503E03"/>
    <w:rsid w:val="00504C2E"/>
    <w:rsid w:val="005050DA"/>
    <w:rsid w:val="0050514F"/>
    <w:rsid w:val="00510836"/>
    <w:rsid w:val="00512226"/>
    <w:rsid w:val="005147C6"/>
    <w:rsid w:val="005159B1"/>
    <w:rsid w:val="00516616"/>
    <w:rsid w:val="00516F2C"/>
    <w:rsid w:val="00517181"/>
    <w:rsid w:val="00517C14"/>
    <w:rsid w:val="00517F82"/>
    <w:rsid w:val="005202BC"/>
    <w:rsid w:val="00522502"/>
    <w:rsid w:val="00524338"/>
    <w:rsid w:val="005255A1"/>
    <w:rsid w:val="00525D95"/>
    <w:rsid w:val="0052641C"/>
    <w:rsid w:val="0052717F"/>
    <w:rsid w:val="0052738E"/>
    <w:rsid w:val="00527C64"/>
    <w:rsid w:val="00527E59"/>
    <w:rsid w:val="00530A7E"/>
    <w:rsid w:val="005319BC"/>
    <w:rsid w:val="00533E1F"/>
    <w:rsid w:val="00535AB1"/>
    <w:rsid w:val="005371D5"/>
    <w:rsid w:val="00537706"/>
    <w:rsid w:val="0053795D"/>
    <w:rsid w:val="00540445"/>
    <w:rsid w:val="00540DBD"/>
    <w:rsid w:val="00542443"/>
    <w:rsid w:val="005424BD"/>
    <w:rsid w:val="00543007"/>
    <w:rsid w:val="00544522"/>
    <w:rsid w:val="005446CB"/>
    <w:rsid w:val="005468AB"/>
    <w:rsid w:val="005501A0"/>
    <w:rsid w:val="00550831"/>
    <w:rsid w:val="00550BF0"/>
    <w:rsid w:val="00552B2D"/>
    <w:rsid w:val="00554273"/>
    <w:rsid w:val="00555B7A"/>
    <w:rsid w:val="00556EC0"/>
    <w:rsid w:val="00557C67"/>
    <w:rsid w:val="00560CAE"/>
    <w:rsid w:val="0056150C"/>
    <w:rsid w:val="00562604"/>
    <w:rsid w:val="00562C77"/>
    <w:rsid w:val="00563884"/>
    <w:rsid w:val="005641A2"/>
    <w:rsid w:val="005642B6"/>
    <w:rsid w:val="005645DC"/>
    <w:rsid w:val="00564779"/>
    <w:rsid w:val="0056518F"/>
    <w:rsid w:val="0056582C"/>
    <w:rsid w:val="005664BF"/>
    <w:rsid w:val="0056768D"/>
    <w:rsid w:val="005679CC"/>
    <w:rsid w:val="005718A6"/>
    <w:rsid w:val="00571D5E"/>
    <w:rsid w:val="00572E30"/>
    <w:rsid w:val="00576CE9"/>
    <w:rsid w:val="005808A8"/>
    <w:rsid w:val="005823D0"/>
    <w:rsid w:val="00583664"/>
    <w:rsid w:val="0058408D"/>
    <w:rsid w:val="0058674C"/>
    <w:rsid w:val="00587DB5"/>
    <w:rsid w:val="00591934"/>
    <w:rsid w:val="0059543D"/>
    <w:rsid w:val="00595C1D"/>
    <w:rsid w:val="005964AB"/>
    <w:rsid w:val="00596B14"/>
    <w:rsid w:val="00596BA3"/>
    <w:rsid w:val="005A003F"/>
    <w:rsid w:val="005A2748"/>
    <w:rsid w:val="005A373A"/>
    <w:rsid w:val="005A443F"/>
    <w:rsid w:val="005A4E75"/>
    <w:rsid w:val="005A522B"/>
    <w:rsid w:val="005B1CFE"/>
    <w:rsid w:val="005B295B"/>
    <w:rsid w:val="005B403C"/>
    <w:rsid w:val="005B4A3F"/>
    <w:rsid w:val="005B58D4"/>
    <w:rsid w:val="005B5E40"/>
    <w:rsid w:val="005B7552"/>
    <w:rsid w:val="005C07B3"/>
    <w:rsid w:val="005C20EF"/>
    <w:rsid w:val="005C27F0"/>
    <w:rsid w:val="005C284E"/>
    <w:rsid w:val="005C3BB0"/>
    <w:rsid w:val="005C47D4"/>
    <w:rsid w:val="005C4862"/>
    <w:rsid w:val="005C4D28"/>
    <w:rsid w:val="005C5141"/>
    <w:rsid w:val="005C522C"/>
    <w:rsid w:val="005C6453"/>
    <w:rsid w:val="005D014A"/>
    <w:rsid w:val="005D0EF7"/>
    <w:rsid w:val="005D11C2"/>
    <w:rsid w:val="005D290C"/>
    <w:rsid w:val="005D4B61"/>
    <w:rsid w:val="005D51D0"/>
    <w:rsid w:val="005D543A"/>
    <w:rsid w:val="005D54D8"/>
    <w:rsid w:val="005D555B"/>
    <w:rsid w:val="005D5784"/>
    <w:rsid w:val="005D5D71"/>
    <w:rsid w:val="005D6F83"/>
    <w:rsid w:val="005D7877"/>
    <w:rsid w:val="005D7941"/>
    <w:rsid w:val="005D7CCF"/>
    <w:rsid w:val="005E442E"/>
    <w:rsid w:val="005E58C4"/>
    <w:rsid w:val="005E5D8F"/>
    <w:rsid w:val="005E698F"/>
    <w:rsid w:val="005E6A93"/>
    <w:rsid w:val="005E7D9A"/>
    <w:rsid w:val="005F2B6F"/>
    <w:rsid w:val="005F3334"/>
    <w:rsid w:val="005F4555"/>
    <w:rsid w:val="005F4EBF"/>
    <w:rsid w:val="005F5A5C"/>
    <w:rsid w:val="005F5CD9"/>
    <w:rsid w:val="005F5FB2"/>
    <w:rsid w:val="005F6813"/>
    <w:rsid w:val="005F6DB3"/>
    <w:rsid w:val="005F7DF0"/>
    <w:rsid w:val="006003EE"/>
    <w:rsid w:val="00600FCA"/>
    <w:rsid w:val="00602707"/>
    <w:rsid w:val="00602FBA"/>
    <w:rsid w:val="006031E7"/>
    <w:rsid w:val="00603214"/>
    <w:rsid w:val="00603400"/>
    <w:rsid w:val="006078D8"/>
    <w:rsid w:val="006101C2"/>
    <w:rsid w:val="0061135C"/>
    <w:rsid w:val="006136DD"/>
    <w:rsid w:val="006149F0"/>
    <w:rsid w:val="006154B2"/>
    <w:rsid w:val="00615833"/>
    <w:rsid w:val="006161A1"/>
    <w:rsid w:val="00617026"/>
    <w:rsid w:val="00620BEF"/>
    <w:rsid w:val="00620F6A"/>
    <w:rsid w:val="006220A5"/>
    <w:rsid w:val="00622C13"/>
    <w:rsid w:val="00622E76"/>
    <w:rsid w:val="0062406A"/>
    <w:rsid w:val="006240B9"/>
    <w:rsid w:val="006242BA"/>
    <w:rsid w:val="0062439F"/>
    <w:rsid w:val="00624AC8"/>
    <w:rsid w:val="00624CCA"/>
    <w:rsid w:val="006259BA"/>
    <w:rsid w:val="006279A9"/>
    <w:rsid w:val="00630FF2"/>
    <w:rsid w:val="0063234D"/>
    <w:rsid w:val="00632A83"/>
    <w:rsid w:val="006335EE"/>
    <w:rsid w:val="00633673"/>
    <w:rsid w:val="00633C4C"/>
    <w:rsid w:val="00633C60"/>
    <w:rsid w:val="006349F1"/>
    <w:rsid w:val="006362C3"/>
    <w:rsid w:val="00637248"/>
    <w:rsid w:val="00637A15"/>
    <w:rsid w:val="00637E10"/>
    <w:rsid w:val="006410E8"/>
    <w:rsid w:val="0064126D"/>
    <w:rsid w:val="0064195D"/>
    <w:rsid w:val="00642D01"/>
    <w:rsid w:val="006451B8"/>
    <w:rsid w:val="00645722"/>
    <w:rsid w:val="00646012"/>
    <w:rsid w:val="00646857"/>
    <w:rsid w:val="006471E7"/>
    <w:rsid w:val="00650AA1"/>
    <w:rsid w:val="00652208"/>
    <w:rsid w:val="00652432"/>
    <w:rsid w:val="006524E6"/>
    <w:rsid w:val="006526E1"/>
    <w:rsid w:val="00652AA3"/>
    <w:rsid w:val="0065489A"/>
    <w:rsid w:val="00655C4F"/>
    <w:rsid w:val="006567A0"/>
    <w:rsid w:val="00657840"/>
    <w:rsid w:val="00657BA9"/>
    <w:rsid w:val="00657E49"/>
    <w:rsid w:val="0066003C"/>
    <w:rsid w:val="0066041E"/>
    <w:rsid w:val="00661126"/>
    <w:rsid w:val="00661933"/>
    <w:rsid w:val="00662E36"/>
    <w:rsid w:val="0066386B"/>
    <w:rsid w:val="00663FD5"/>
    <w:rsid w:val="0066422B"/>
    <w:rsid w:val="006659F7"/>
    <w:rsid w:val="00666D80"/>
    <w:rsid w:val="006677F1"/>
    <w:rsid w:val="00667D4F"/>
    <w:rsid w:val="00670614"/>
    <w:rsid w:val="0067113D"/>
    <w:rsid w:val="00672886"/>
    <w:rsid w:val="00672DD6"/>
    <w:rsid w:val="00673CCC"/>
    <w:rsid w:val="00674437"/>
    <w:rsid w:val="00675C98"/>
    <w:rsid w:val="0067797F"/>
    <w:rsid w:val="00677C6A"/>
    <w:rsid w:val="00677E74"/>
    <w:rsid w:val="0068075E"/>
    <w:rsid w:val="0068136B"/>
    <w:rsid w:val="00681E1E"/>
    <w:rsid w:val="006828C1"/>
    <w:rsid w:val="00683C74"/>
    <w:rsid w:val="00683C92"/>
    <w:rsid w:val="0068426E"/>
    <w:rsid w:val="006843EF"/>
    <w:rsid w:val="00685519"/>
    <w:rsid w:val="0069026B"/>
    <w:rsid w:val="0069113E"/>
    <w:rsid w:val="0069195A"/>
    <w:rsid w:val="006927E7"/>
    <w:rsid w:val="006931B7"/>
    <w:rsid w:val="006933F6"/>
    <w:rsid w:val="00693B83"/>
    <w:rsid w:val="00693CC5"/>
    <w:rsid w:val="0069543F"/>
    <w:rsid w:val="006956EA"/>
    <w:rsid w:val="00696782"/>
    <w:rsid w:val="00696A26"/>
    <w:rsid w:val="00697E50"/>
    <w:rsid w:val="006A3CFF"/>
    <w:rsid w:val="006A422E"/>
    <w:rsid w:val="006A490C"/>
    <w:rsid w:val="006A4B9A"/>
    <w:rsid w:val="006A4C4F"/>
    <w:rsid w:val="006A7A83"/>
    <w:rsid w:val="006B0662"/>
    <w:rsid w:val="006B06F8"/>
    <w:rsid w:val="006B0E78"/>
    <w:rsid w:val="006B3163"/>
    <w:rsid w:val="006B475E"/>
    <w:rsid w:val="006B4F7D"/>
    <w:rsid w:val="006B563B"/>
    <w:rsid w:val="006B5C62"/>
    <w:rsid w:val="006B62CE"/>
    <w:rsid w:val="006C014A"/>
    <w:rsid w:val="006C02D9"/>
    <w:rsid w:val="006C038B"/>
    <w:rsid w:val="006C03B0"/>
    <w:rsid w:val="006C0638"/>
    <w:rsid w:val="006C114C"/>
    <w:rsid w:val="006C172D"/>
    <w:rsid w:val="006C1888"/>
    <w:rsid w:val="006C1DB7"/>
    <w:rsid w:val="006C3864"/>
    <w:rsid w:val="006C4C29"/>
    <w:rsid w:val="006C5381"/>
    <w:rsid w:val="006C5383"/>
    <w:rsid w:val="006C5E72"/>
    <w:rsid w:val="006C67BC"/>
    <w:rsid w:val="006C6985"/>
    <w:rsid w:val="006C7447"/>
    <w:rsid w:val="006D1C8A"/>
    <w:rsid w:val="006D1CD5"/>
    <w:rsid w:val="006D2847"/>
    <w:rsid w:val="006D2AEC"/>
    <w:rsid w:val="006D2FA2"/>
    <w:rsid w:val="006D3809"/>
    <w:rsid w:val="006D4C8E"/>
    <w:rsid w:val="006D51A1"/>
    <w:rsid w:val="006D5FB2"/>
    <w:rsid w:val="006D6087"/>
    <w:rsid w:val="006D6740"/>
    <w:rsid w:val="006D68FE"/>
    <w:rsid w:val="006E079F"/>
    <w:rsid w:val="006E19D1"/>
    <w:rsid w:val="006E1CBB"/>
    <w:rsid w:val="006E26A6"/>
    <w:rsid w:val="006E3222"/>
    <w:rsid w:val="006E4057"/>
    <w:rsid w:val="006E42F3"/>
    <w:rsid w:val="006E496A"/>
    <w:rsid w:val="006E55D0"/>
    <w:rsid w:val="006E5A14"/>
    <w:rsid w:val="006E5AD0"/>
    <w:rsid w:val="006E6F24"/>
    <w:rsid w:val="006E725E"/>
    <w:rsid w:val="006F100B"/>
    <w:rsid w:val="006F239A"/>
    <w:rsid w:val="006F2C9D"/>
    <w:rsid w:val="006F2CB6"/>
    <w:rsid w:val="006F351D"/>
    <w:rsid w:val="006F538D"/>
    <w:rsid w:val="006F6262"/>
    <w:rsid w:val="006F63BC"/>
    <w:rsid w:val="006F7AD1"/>
    <w:rsid w:val="006F7AD4"/>
    <w:rsid w:val="00702E0B"/>
    <w:rsid w:val="00703216"/>
    <w:rsid w:val="007047C3"/>
    <w:rsid w:val="00705D1C"/>
    <w:rsid w:val="0070637D"/>
    <w:rsid w:val="007068DF"/>
    <w:rsid w:val="00706AEB"/>
    <w:rsid w:val="00706FFB"/>
    <w:rsid w:val="007071DD"/>
    <w:rsid w:val="0070771F"/>
    <w:rsid w:val="007120AA"/>
    <w:rsid w:val="00712A14"/>
    <w:rsid w:val="007144C1"/>
    <w:rsid w:val="00714E17"/>
    <w:rsid w:val="0071690A"/>
    <w:rsid w:val="00716C04"/>
    <w:rsid w:val="00717180"/>
    <w:rsid w:val="0071770E"/>
    <w:rsid w:val="007179D2"/>
    <w:rsid w:val="0072032A"/>
    <w:rsid w:val="00720750"/>
    <w:rsid w:val="00724BF9"/>
    <w:rsid w:val="0072535A"/>
    <w:rsid w:val="0072549C"/>
    <w:rsid w:val="00725A80"/>
    <w:rsid w:val="00727B85"/>
    <w:rsid w:val="007302DC"/>
    <w:rsid w:val="007311FC"/>
    <w:rsid w:val="007323A5"/>
    <w:rsid w:val="0073242B"/>
    <w:rsid w:val="00733970"/>
    <w:rsid w:val="00734448"/>
    <w:rsid w:val="00735A32"/>
    <w:rsid w:val="00735D6D"/>
    <w:rsid w:val="00737709"/>
    <w:rsid w:val="007377C3"/>
    <w:rsid w:val="007412D8"/>
    <w:rsid w:val="007413A8"/>
    <w:rsid w:val="0074275C"/>
    <w:rsid w:val="00744D9D"/>
    <w:rsid w:val="0074697E"/>
    <w:rsid w:val="00746983"/>
    <w:rsid w:val="0074772B"/>
    <w:rsid w:val="00750997"/>
    <w:rsid w:val="0075165C"/>
    <w:rsid w:val="00753812"/>
    <w:rsid w:val="00754AC8"/>
    <w:rsid w:val="00754C58"/>
    <w:rsid w:val="0075789E"/>
    <w:rsid w:val="00761969"/>
    <w:rsid w:val="007627AA"/>
    <w:rsid w:val="00765833"/>
    <w:rsid w:val="00765CBA"/>
    <w:rsid w:val="007676B8"/>
    <w:rsid w:val="007717B1"/>
    <w:rsid w:val="007725D6"/>
    <w:rsid w:val="007726E9"/>
    <w:rsid w:val="00773546"/>
    <w:rsid w:val="00774074"/>
    <w:rsid w:val="00774245"/>
    <w:rsid w:val="007747DB"/>
    <w:rsid w:val="007747FD"/>
    <w:rsid w:val="00775D62"/>
    <w:rsid w:val="00776131"/>
    <w:rsid w:val="00776E78"/>
    <w:rsid w:val="00777AB2"/>
    <w:rsid w:val="00780D1D"/>
    <w:rsid w:val="0078138A"/>
    <w:rsid w:val="00783014"/>
    <w:rsid w:val="007834DC"/>
    <w:rsid w:val="00784ADB"/>
    <w:rsid w:val="007850F9"/>
    <w:rsid w:val="00785B35"/>
    <w:rsid w:val="00786D2C"/>
    <w:rsid w:val="00787C05"/>
    <w:rsid w:val="00793640"/>
    <w:rsid w:val="007949DC"/>
    <w:rsid w:val="00795235"/>
    <w:rsid w:val="007953DF"/>
    <w:rsid w:val="007959D8"/>
    <w:rsid w:val="0079630F"/>
    <w:rsid w:val="007A04C2"/>
    <w:rsid w:val="007A22C1"/>
    <w:rsid w:val="007A3FC9"/>
    <w:rsid w:val="007A47FA"/>
    <w:rsid w:val="007A47FB"/>
    <w:rsid w:val="007A4E03"/>
    <w:rsid w:val="007A58EB"/>
    <w:rsid w:val="007A59F9"/>
    <w:rsid w:val="007A67F7"/>
    <w:rsid w:val="007A7281"/>
    <w:rsid w:val="007A7DC3"/>
    <w:rsid w:val="007B0410"/>
    <w:rsid w:val="007B09D9"/>
    <w:rsid w:val="007B0A2A"/>
    <w:rsid w:val="007B0D52"/>
    <w:rsid w:val="007B146A"/>
    <w:rsid w:val="007B2249"/>
    <w:rsid w:val="007B225F"/>
    <w:rsid w:val="007B49D2"/>
    <w:rsid w:val="007B5546"/>
    <w:rsid w:val="007B5590"/>
    <w:rsid w:val="007B55ED"/>
    <w:rsid w:val="007B59FE"/>
    <w:rsid w:val="007B5C8E"/>
    <w:rsid w:val="007B7B26"/>
    <w:rsid w:val="007C0767"/>
    <w:rsid w:val="007C0A21"/>
    <w:rsid w:val="007C0E7C"/>
    <w:rsid w:val="007C0EAA"/>
    <w:rsid w:val="007C278D"/>
    <w:rsid w:val="007C3054"/>
    <w:rsid w:val="007C44B2"/>
    <w:rsid w:val="007C5C88"/>
    <w:rsid w:val="007C6496"/>
    <w:rsid w:val="007C745E"/>
    <w:rsid w:val="007D0E40"/>
    <w:rsid w:val="007D3292"/>
    <w:rsid w:val="007D4258"/>
    <w:rsid w:val="007D42FC"/>
    <w:rsid w:val="007D777C"/>
    <w:rsid w:val="007E0810"/>
    <w:rsid w:val="007E09EA"/>
    <w:rsid w:val="007E0BEC"/>
    <w:rsid w:val="007E1328"/>
    <w:rsid w:val="007E1A35"/>
    <w:rsid w:val="007E2146"/>
    <w:rsid w:val="007E2588"/>
    <w:rsid w:val="007E3F8C"/>
    <w:rsid w:val="007E442C"/>
    <w:rsid w:val="007E5416"/>
    <w:rsid w:val="007E721C"/>
    <w:rsid w:val="007E7ACF"/>
    <w:rsid w:val="007F048B"/>
    <w:rsid w:val="007F2058"/>
    <w:rsid w:val="007F48F3"/>
    <w:rsid w:val="007F5CD7"/>
    <w:rsid w:val="007F5FAD"/>
    <w:rsid w:val="007F6EB9"/>
    <w:rsid w:val="007F7685"/>
    <w:rsid w:val="0080011D"/>
    <w:rsid w:val="008002F9"/>
    <w:rsid w:val="00800E7E"/>
    <w:rsid w:val="00800EA5"/>
    <w:rsid w:val="00801624"/>
    <w:rsid w:val="00801C01"/>
    <w:rsid w:val="008021F8"/>
    <w:rsid w:val="00804021"/>
    <w:rsid w:val="00804D8C"/>
    <w:rsid w:val="008061E8"/>
    <w:rsid w:val="0081085D"/>
    <w:rsid w:val="00812729"/>
    <w:rsid w:val="008130BB"/>
    <w:rsid w:val="008134FE"/>
    <w:rsid w:val="00813557"/>
    <w:rsid w:val="008135CA"/>
    <w:rsid w:val="0081676C"/>
    <w:rsid w:val="00816B15"/>
    <w:rsid w:val="008211D2"/>
    <w:rsid w:val="00821E81"/>
    <w:rsid w:val="00822EC1"/>
    <w:rsid w:val="008234FD"/>
    <w:rsid w:val="0082368D"/>
    <w:rsid w:val="008237FA"/>
    <w:rsid w:val="00824EE2"/>
    <w:rsid w:val="00825AC7"/>
    <w:rsid w:val="00825D37"/>
    <w:rsid w:val="00826D88"/>
    <w:rsid w:val="0082702C"/>
    <w:rsid w:val="0082758E"/>
    <w:rsid w:val="008301D8"/>
    <w:rsid w:val="00832E3D"/>
    <w:rsid w:val="00833794"/>
    <w:rsid w:val="00834C9A"/>
    <w:rsid w:val="008359A7"/>
    <w:rsid w:val="008369B0"/>
    <w:rsid w:val="00836AA3"/>
    <w:rsid w:val="0083745D"/>
    <w:rsid w:val="00842468"/>
    <w:rsid w:val="0084403B"/>
    <w:rsid w:val="008442B4"/>
    <w:rsid w:val="008442C6"/>
    <w:rsid w:val="00847D6C"/>
    <w:rsid w:val="0085345F"/>
    <w:rsid w:val="00855602"/>
    <w:rsid w:val="0085646F"/>
    <w:rsid w:val="0085732C"/>
    <w:rsid w:val="0086076E"/>
    <w:rsid w:val="00860B45"/>
    <w:rsid w:val="0086155C"/>
    <w:rsid w:val="0086189A"/>
    <w:rsid w:val="008621A9"/>
    <w:rsid w:val="00863860"/>
    <w:rsid w:val="008638B5"/>
    <w:rsid w:val="00865400"/>
    <w:rsid w:val="00865692"/>
    <w:rsid w:val="008664E8"/>
    <w:rsid w:val="008670C2"/>
    <w:rsid w:val="00870D26"/>
    <w:rsid w:val="00872B53"/>
    <w:rsid w:val="008734DB"/>
    <w:rsid w:val="0087390B"/>
    <w:rsid w:val="00873B4C"/>
    <w:rsid w:val="00873E19"/>
    <w:rsid w:val="008745A1"/>
    <w:rsid w:val="008768E9"/>
    <w:rsid w:val="0087751B"/>
    <w:rsid w:val="00880014"/>
    <w:rsid w:val="008800AA"/>
    <w:rsid w:val="00880485"/>
    <w:rsid w:val="00880B44"/>
    <w:rsid w:val="00884B59"/>
    <w:rsid w:val="008850C3"/>
    <w:rsid w:val="008855A9"/>
    <w:rsid w:val="00886753"/>
    <w:rsid w:val="00887546"/>
    <w:rsid w:val="00887951"/>
    <w:rsid w:val="00887B4D"/>
    <w:rsid w:val="00890995"/>
    <w:rsid w:val="008914FB"/>
    <w:rsid w:val="00891685"/>
    <w:rsid w:val="00892180"/>
    <w:rsid w:val="00895C99"/>
    <w:rsid w:val="0089645A"/>
    <w:rsid w:val="008964BC"/>
    <w:rsid w:val="008976F5"/>
    <w:rsid w:val="00897E99"/>
    <w:rsid w:val="008A037E"/>
    <w:rsid w:val="008A0A35"/>
    <w:rsid w:val="008A22DC"/>
    <w:rsid w:val="008A2FCB"/>
    <w:rsid w:val="008A4829"/>
    <w:rsid w:val="008A5DB2"/>
    <w:rsid w:val="008A7B63"/>
    <w:rsid w:val="008B031F"/>
    <w:rsid w:val="008B092D"/>
    <w:rsid w:val="008B2384"/>
    <w:rsid w:val="008B38C5"/>
    <w:rsid w:val="008B38D6"/>
    <w:rsid w:val="008B3AE3"/>
    <w:rsid w:val="008B4802"/>
    <w:rsid w:val="008B5CCB"/>
    <w:rsid w:val="008B63F7"/>
    <w:rsid w:val="008B69E3"/>
    <w:rsid w:val="008B717C"/>
    <w:rsid w:val="008B7C17"/>
    <w:rsid w:val="008B7D02"/>
    <w:rsid w:val="008C0B7F"/>
    <w:rsid w:val="008C199C"/>
    <w:rsid w:val="008C1FD1"/>
    <w:rsid w:val="008C24A8"/>
    <w:rsid w:val="008C2A6A"/>
    <w:rsid w:val="008C2E37"/>
    <w:rsid w:val="008C2F03"/>
    <w:rsid w:val="008C35EF"/>
    <w:rsid w:val="008C5996"/>
    <w:rsid w:val="008C62BE"/>
    <w:rsid w:val="008C6E5A"/>
    <w:rsid w:val="008C6E6E"/>
    <w:rsid w:val="008C6ED0"/>
    <w:rsid w:val="008D1079"/>
    <w:rsid w:val="008D190E"/>
    <w:rsid w:val="008D320D"/>
    <w:rsid w:val="008D359D"/>
    <w:rsid w:val="008D36A7"/>
    <w:rsid w:val="008D409B"/>
    <w:rsid w:val="008D47B9"/>
    <w:rsid w:val="008D4A3F"/>
    <w:rsid w:val="008D5A11"/>
    <w:rsid w:val="008D5E23"/>
    <w:rsid w:val="008D6056"/>
    <w:rsid w:val="008E033C"/>
    <w:rsid w:val="008E2623"/>
    <w:rsid w:val="008E3BC8"/>
    <w:rsid w:val="008E55E6"/>
    <w:rsid w:val="008E5A9B"/>
    <w:rsid w:val="008E6D59"/>
    <w:rsid w:val="008E7902"/>
    <w:rsid w:val="008F18DE"/>
    <w:rsid w:val="008F2329"/>
    <w:rsid w:val="008F2338"/>
    <w:rsid w:val="008F2C36"/>
    <w:rsid w:val="008F330B"/>
    <w:rsid w:val="008F5D66"/>
    <w:rsid w:val="008F6E06"/>
    <w:rsid w:val="00900FD3"/>
    <w:rsid w:val="00901142"/>
    <w:rsid w:val="00901F82"/>
    <w:rsid w:val="009021B3"/>
    <w:rsid w:val="009028AA"/>
    <w:rsid w:val="00902A14"/>
    <w:rsid w:val="00902AD6"/>
    <w:rsid w:val="00903628"/>
    <w:rsid w:val="00903E3F"/>
    <w:rsid w:val="009049C3"/>
    <w:rsid w:val="00904D3B"/>
    <w:rsid w:val="009057D9"/>
    <w:rsid w:val="0090601C"/>
    <w:rsid w:val="0090661B"/>
    <w:rsid w:val="0090774A"/>
    <w:rsid w:val="009109FA"/>
    <w:rsid w:val="00910D07"/>
    <w:rsid w:val="0091466F"/>
    <w:rsid w:val="00914B19"/>
    <w:rsid w:val="00914B2F"/>
    <w:rsid w:val="00914F92"/>
    <w:rsid w:val="009150E6"/>
    <w:rsid w:val="009151B6"/>
    <w:rsid w:val="00916593"/>
    <w:rsid w:val="00916E53"/>
    <w:rsid w:val="00917F89"/>
    <w:rsid w:val="00921137"/>
    <w:rsid w:val="009219BE"/>
    <w:rsid w:val="00921FDF"/>
    <w:rsid w:val="00921FE2"/>
    <w:rsid w:val="00922F85"/>
    <w:rsid w:val="009231C9"/>
    <w:rsid w:val="00924801"/>
    <w:rsid w:val="009255EE"/>
    <w:rsid w:val="00925603"/>
    <w:rsid w:val="00925F76"/>
    <w:rsid w:val="00930C00"/>
    <w:rsid w:val="00930CB0"/>
    <w:rsid w:val="00932E89"/>
    <w:rsid w:val="009334E5"/>
    <w:rsid w:val="0093359D"/>
    <w:rsid w:val="00933F2B"/>
    <w:rsid w:val="00934428"/>
    <w:rsid w:val="00934B62"/>
    <w:rsid w:val="00934C13"/>
    <w:rsid w:val="009400A1"/>
    <w:rsid w:val="00940E85"/>
    <w:rsid w:val="00940F20"/>
    <w:rsid w:val="00942048"/>
    <w:rsid w:val="00942EEB"/>
    <w:rsid w:val="00943402"/>
    <w:rsid w:val="0094468E"/>
    <w:rsid w:val="00945261"/>
    <w:rsid w:val="009464E2"/>
    <w:rsid w:val="0095033F"/>
    <w:rsid w:val="00950437"/>
    <w:rsid w:val="009506A5"/>
    <w:rsid w:val="00950802"/>
    <w:rsid w:val="00950F94"/>
    <w:rsid w:val="009521BA"/>
    <w:rsid w:val="00953142"/>
    <w:rsid w:val="009532DA"/>
    <w:rsid w:val="009534E9"/>
    <w:rsid w:val="0095372D"/>
    <w:rsid w:val="009541CC"/>
    <w:rsid w:val="00954249"/>
    <w:rsid w:val="0095571A"/>
    <w:rsid w:val="0095585E"/>
    <w:rsid w:val="00956564"/>
    <w:rsid w:val="00956D5A"/>
    <w:rsid w:val="0096162C"/>
    <w:rsid w:val="00961B2C"/>
    <w:rsid w:val="00961DBB"/>
    <w:rsid w:val="00962AD3"/>
    <w:rsid w:val="00962F50"/>
    <w:rsid w:val="00963335"/>
    <w:rsid w:val="009633C0"/>
    <w:rsid w:val="009634C3"/>
    <w:rsid w:val="00965EBA"/>
    <w:rsid w:val="0096618E"/>
    <w:rsid w:val="00966BA1"/>
    <w:rsid w:val="0097066F"/>
    <w:rsid w:val="009708C7"/>
    <w:rsid w:val="00970FA6"/>
    <w:rsid w:val="0097139D"/>
    <w:rsid w:val="0097239A"/>
    <w:rsid w:val="0097291D"/>
    <w:rsid w:val="00975449"/>
    <w:rsid w:val="00977009"/>
    <w:rsid w:val="00980288"/>
    <w:rsid w:val="009810C4"/>
    <w:rsid w:val="009810ED"/>
    <w:rsid w:val="00981433"/>
    <w:rsid w:val="0098269D"/>
    <w:rsid w:val="00983140"/>
    <w:rsid w:val="00983160"/>
    <w:rsid w:val="009831CC"/>
    <w:rsid w:val="00983FEA"/>
    <w:rsid w:val="00984DF1"/>
    <w:rsid w:val="009851B6"/>
    <w:rsid w:val="0098565A"/>
    <w:rsid w:val="00985C07"/>
    <w:rsid w:val="0098623A"/>
    <w:rsid w:val="00990039"/>
    <w:rsid w:val="00991AD8"/>
    <w:rsid w:val="00991BDB"/>
    <w:rsid w:val="00992288"/>
    <w:rsid w:val="009922B2"/>
    <w:rsid w:val="0099278E"/>
    <w:rsid w:val="00992DE7"/>
    <w:rsid w:val="009930D0"/>
    <w:rsid w:val="00993C6A"/>
    <w:rsid w:val="00995828"/>
    <w:rsid w:val="00995B4F"/>
    <w:rsid w:val="0099629D"/>
    <w:rsid w:val="009964C3"/>
    <w:rsid w:val="00997582"/>
    <w:rsid w:val="00997E3D"/>
    <w:rsid w:val="009A1760"/>
    <w:rsid w:val="009A1FB9"/>
    <w:rsid w:val="009A20CE"/>
    <w:rsid w:val="009A2C21"/>
    <w:rsid w:val="009A3118"/>
    <w:rsid w:val="009A3E58"/>
    <w:rsid w:val="009A5F02"/>
    <w:rsid w:val="009A6E23"/>
    <w:rsid w:val="009A71B5"/>
    <w:rsid w:val="009A7AB1"/>
    <w:rsid w:val="009B01C4"/>
    <w:rsid w:val="009B0CC4"/>
    <w:rsid w:val="009B18F4"/>
    <w:rsid w:val="009B1E4D"/>
    <w:rsid w:val="009B2150"/>
    <w:rsid w:val="009B2E80"/>
    <w:rsid w:val="009B2EEF"/>
    <w:rsid w:val="009B301F"/>
    <w:rsid w:val="009B36CF"/>
    <w:rsid w:val="009B3A6C"/>
    <w:rsid w:val="009B3F8D"/>
    <w:rsid w:val="009B481C"/>
    <w:rsid w:val="009B4B0E"/>
    <w:rsid w:val="009B6A69"/>
    <w:rsid w:val="009B78AB"/>
    <w:rsid w:val="009C17D6"/>
    <w:rsid w:val="009C1BCF"/>
    <w:rsid w:val="009C1C8B"/>
    <w:rsid w:val="009C2EBF"/>
    <w:rsid w:val="009C2F20"/>
    <w:rsid w:val="009C4991"/>
    <w:rsid w:val="009C5366"/>
    <w:rsid w:val="009C6173"/>
    <w:rsid w:val="009C6508"/>
    <w:rsid w:val="009C6CB7"/>
    <w:rsid w:val="009C6DAA"/>
    <w:rsid w:val="009C7962"/>
    <w:rsid w:val="009C7AEA"/>
    <w:rsid w:val="009D0E74"/>
    <w:rsid w:val="009D0F59"/>
    <w:rsid w:val="009D1A12"/>
    <w:rsid w:val="009D1A96"/>
    <w:rsid w:val="009D28A2"/>
    <w:rsid w:val="009D370B"/>
    <w:rsid w:val="009D38DE"/>
    <w:rsid w:val="009D3B9C"/>
    <w:rsid w:val="009D4031"/>
    <w:rsid w:val="009D7535"/>
    <w:rsid w:val="009E0262"/>
    <w:rsid w:val="009E081C"/>
    <w:rsid w:val="009E1CD6"/>
    <w:rsid w:val="009E2087"/>
    <w:rsid w:val="009E252B"/>
    <w:rsid w:val="009E2585"/>
    <w:rsid w:val="009E2E1C"/>
    <w:rsid w:val="009E2FFF"/>
    <w:rsid w:val="009E3265"/>
    <w:rsid w:val="009E3353"/>
    <w:rsid w:val="009E3EF4"/>
    <w:rsid w:val="009E4072"/>
    <w:rsid w:val="009E446D"/>
    <w:rsid w:val="009E63D8"/>
    <w:rsid w:val="009E7C09"/>
    <w:rsid w:val="009E7DF6"/>
    <w:rsid w:val="009F0400"/>
    <w:rsid w:val="009F146D"/>
    <w:rsid w:val="009F1D45"/>
    <w:rsid w:val="009F279D"/>
    <w:rsid w:val="009F4F1E"/>
    <w:rsid w:val="00A00589"/>
    <w:rsid w:val="00A00611"/>
    <w:rsid w:val="00A01271"/>
    <w:rsid w:val="00A015E4"/>
    <w:rsid w:val="00A023C9"/>
    <w:rsid w:val="00A025EC"/>
    <w:rsid w:val="00A0477A"/>
    <w:rsid w:val="00A05C2D"/>
    <w:rsid w:val="00A05F53"/>
    <w:rsid w:val="00A071E8"/>
    <w:rsid w:val="00A07279"/>
    <w:rsid w:val="00A075BC"/>
    <w:rsid w:val="00A11222"/>
    <w:rsid w:val="00A11AAE"/>
    <w:rsid w:val="00A11B4C"/>
    <w:rsid w:val="00A124CB"/>
    <w:rsid w:val="00A12C39"/>
    <w:rsid w:val="00A12C8C"/>
    <w:rsid w:val="00A134FB"/>
    <w:rsid w:val="00A13E17"/>
    <w:rsid w:val="00A148B5"/>
    <w:rsid w:val="00A155FC"/>
    <w:rsid w:val="00A15EA5"/>
    <w:rsid w:val="00A16EB0"/>
    <w:rsid w:val="00A17E25"/>
    <w:rsid w:val="00A20516"/>
    <w:rsid w:val="00A20802"/>
    <w:rsid w:val="00A2302E"/>
    <w:rsid w:val="00A25092"/>
    <w:rsid w:val="00A253C7"/>
    <w:rsid w:val="00A25B4F"/>
    <w:rsid w:val="00A2686F"/>
    <w:rsid w:val="00A272F8"/>
    <w:rsid w:val="00A31756"/>
    <w:rsid w:val="00A31BC6"/>
    <w:rsid w:val="00A326AE"/>
    <w:rsid w:val="00A34ABA"/>
    <w:rsid w:val="00A35656"/>
    <w:rsid w:val="00A36E0B"/>
    <w:rsid w:val="00A37737"/>
    <w:rsid w:val="00A40630"/>
    <w:rsid w:val="00A442BF"/>
    <w:rsid w:val="00A45A04"/>
    <w:rsid w:val="00A46480"/>
    <w:rsid w:val="00A4664E"/>
    <w:rsid w:val="00A47482"/>
    <w:rsid w:val="00A5031C"/>
    <w:rsid w:val="00A50C81"/>
    <w:rsid w:val="00A51D71"/>
    <w:rsid w:val="00A5238D"/>
    <w:rsid w:val="00A52994"/>
    <w:rsid w:val="00A52999"/>
    <w:rsid w:val="00A52F61"/>
    <w:rsid w:val="00A53716"/>
    <w:rsid w:val="00A54971"/>
    <w:rsid w:val="00A5548C"/>
    <w:rsid w:val="00A55F84"/>
    <w:rsid w:val="00A5629E"/>
    <w:rsid w:val="00A56763"/>
    <w:rsid w:val="00A578C5"/>
    <w:rsid w:val="00A600BE"/>
    <w:rsid w:val="00A605AC"/>
    <w:rsid w:val="00A6134C"/>
    <w:rsid w:val="00A63A5C"/>
    <w:rsid w:val="00A64832"/>
    <w:rsid w:val="00A64CDC"/>
    <w:rsid w:val="00A65B2D"/>
    <w:rsid w:val="00A6650C"/>
    <w:rsid w:val="00A70082"/>
    <w:rsid w:val="00A71CFB"/>
    <w:rsid w:val="00A729CD"/>
    <w:rsid w:val="00A732DB"/>
    <w:rsid w:val="00A7508E"/>
    <w:rsid w:val="00A758CD"/>
    <w:rsid w:val="00A766C5"/>
    <w:rsid w:val="00A768C5"/>
    <w:rsid w:val="00A77F60"/>
    <w:rsid w:val="00A804A0"/>
    <w:rsid w:val="00A80C82"/>
    <w:rsid w:val="00A80DB9"/>
    <w:rsid w:val="00A8182A"/>
    <w:rsid w:val="00A8333D"/>
    <w:rsid w:val="00A83A76"/>
    <w:rsid w:val="00A841B4"/>
    <w:rsid w:val="00A8487A"/>
    <w:rsid w:val="00A85C0C"/>
    <w:rsid w:val="00A86F04"/>
    <w:rsid w:val="00A870B8"/>
    <w:rsid w:val="00A87685"/>
    <w:rsid w:val="00A901E2"/>
    <w:rsid w:val="00A90E17"/>
    <w:rsid w:val="00A91665"/>
    <w:rsid w:val="00A92C13"/>
    <w:rsid w:val="00A93410"/>
    <w:rsid w:val="00A946C4"/>
    <w:rsid w:val="00A95CC9"/>
    <w:rsid w:val="00A95FDD"/>
    <w:rsid w:val="00A97B85"/>
    <w:rsid w:val="00A97E36"/>
    <w:rsid w:val="00AA0A34"/>
    <w:rsid w:val="00AA10D6"/>
    <w:rsid w:val="00AA2945"/>
    <w:rsid w:val="00AA38E9"/>
    <w:rsid w:val="00AA4102"/>
    <w:rsid w:val="00AA51F1"/>
    <w:rsid w:val="00AB11EA"/>
    <w:rsid w:val="00AB1A31"/>
    <w:rsid w:val="00AB2588"/>
    <w:rsid w:val="00AB2909"/>
    <w:rsid w:val="00AB2C04"/>
    <w:rsid w:val="00AB2C0B"/>
    <w:rsid w:val="00AB3E9C"/>
    <w:rsid w:val="00AB5015"/>
    <w:rsid w:val="00AB512C"/>
    <w:rsid w:val="00AB582C"/>
    <w:rsid w:val="00AB5C09"/>
    <w:rsid w:val="00AB5C44"/>
    <w:rsid w:val="00AB65C9"/>
    <w:rsid w:val="00AB6819"/>
    <w:rsid w:val="00AC0001"/>
    <w:rsid w:val="00AC01F8"/>
    <w:rsid w:val="00AC0299"/>
    <w:rsid w:val="00AC049D"/>
    <w:rsid w:val="00AC059A"/>
    <w:rsid w:val="00AC2AF4"/>
    <w:rsid w:val="00AC31C0"/>
    <w:rsid w:val="00AC334C"/>
    <w:rsid w:val="00AC374D"/>
    <w:rsid w:val="00AC3784"/>
    <w:rsid w:val="00AC4F90"/>
    <w:rsid w:val="00AC5132"/>
    <w:rsid w:val="00AD0308"/>
    <w:rsid w:val="00AD1DE2"/>
    <w:rsid w:val="00AD2869"/>
    <w:rsid w:val="00AD377A"/>
    <w:rsid w:val="00AD3FC5"/>
    <w:rsid w:val="00AD5468"/>
    <w:rsid w:val="00AD5F9D"/>
    <w:rsid w:val="00AD67BB"/>
    <w:rsid w:val="00AD6985"/>
    <w:rsid w:val="00AD6B82"/>
    <w:rsid w:val="00AD6FEC"/>
    <w:rsid w:val="00AD7CE9"/>
    <w:rsid w:val="00AD7F1D"/>
    <w:rsid w:val="00AE07F0"/>
    <w:rsid w:val="00AE1105"/>
    <w:rsid w:val="00AE1A3F"/>
    <w:rsid w:val="00AE1CC1"/>
    <w:rsid w:val="00AE1DE7"/>
    <w:rsid w:val="00AE3556"/>
    <w:rsid w:val="00AE3EA4"/>
    <w:rsid w:val="00AE5B95"/>
    <w:rsid w:val="00AE6362"/>
    <w:rsid w:val="00AE67DF"/>
    <w:rsid w:val="00AE6C72"/>
    <w:rsid w:val="00AF01C3"/>
    <w:rsid w:val="00AF1B02"/>
    <w:rsid w:val="00AF3443"/>
    <w:rsid w:val="00AF41E4"/>
    <w:rsid w:val="00AF47EC"/>
    <w:rsid w:val="00AF4AD5"/>
    <w:rsid w:val="00AF55B5"/>
    <w:rsid w:val="00AF5AA6"/>
    <w:rsid w:val="00AF6161"/>
    <w:rsid w:val="00AF6797"/>
    <w:rsid w:val="00AF6EAF"/>
    <w:rsid w:val="00AF6F12"/>
    <w:rsid w:val="00B01924"/>
    <w:rsid w:val="00B01AE3"/>
    <w:rsid w:val="00B02E93"/>
    <w:rsid w:val="00B02F8C"/>
    <w:rsid w:val="00B03369"/>
    <w:rsid w:val="00B05E6A"/>
    <w:rsid w:val="00B062C0"/>
    <w:rsid w:val="00B06A75"/>
    <w:rsid w:val="00B06BC3"/>
    <w:rsid w:val="00B10300"/>
    <w:rsid w:val="00B12133"/>
    <w:rsid w:val="00B124DC"/>
    <w:rsid w:val="00B12976"/>
    <w:rsid w:val="00B12A0F"/>
    <w:rsid w:val="00B12E73"/>
    <w:rsid w:val="00B12F38"/>
    <w:rsid w:val="00B14030"/>
    <w:rsid w:val="00B14A31"/>
    <w:rsid w:val="00B14AA6"/>
    <w:rsid w:val="00B15A0F"/>
    <w:rsid w:val="00B16AC8"/>
    <w:rsid w:val="00B20236"/>
    <w:rsid w:val="00B20937"/>
    <w:rsid w:val="00B21ACC"/>
    <w:rsid w:val="00B21B1B"/>
    <w:rsid w:val="00B220A0"/>
    <w:rsid w:val="00B22124"/>
    <w:rsid w:val="00B2295B"/>
    <w:rsid w:val="00B22B64"/>
    <w:rsid w:val="00B22FEA"/>
    <w:rsid w:val="00B240ED"/>
    <w:rsid w:val="00B24321"/>
    <w:rsid w:val="00B24461"/>
    <w:rsid w:val="00B245AF"/>
    <w:rsid w:val="00B263A9"/>
    <w:rsid w:val="00B27146"/>
    <w:rsid w:val="00B30FEB"/>
    <w:rsid w:val="00B3307E"/>
    <w:rsid w:val="00B33637"/>
    <w:rsid w:val="00B33A8F"/>
    <w:rsid w:val="00B34E91"/>
    <w:rsid w:val="00B35A4F"/>
    <w:rsid w:val="00B35D2D"/>
    <w:rsid w:val="00B36167"/>
    <w:rsid w:val="00B366ED"/>
    <w:rsid w:val="00B370BD"/>
    <w:rsid w:val="00B379F1"/>
    <w:rsid w:val="00B37C5E"/>
    <w:rsid w:val="00B40AA3"/>
    <w:rsid w:val="00B4370A"/>
    <w:rsid w:val="00B4382D"/>
    <w:rsid w:val="00B44478"/>
    <w:rsid w:val="00B45A5D"/>
    <w:rsid w:val="00B4711A"/>
    <w:rsid w:val="00B5073E"/>
    <w:rsid w:val="00B50E1C"/>
    <w:rsid w:val="00B51696"/>
    <w:rsid w:val="00B535A7"/>
    <w:rsid w:val="00B53F5F"/>
    <w:rsid w:val="00B57AB5"/>
    <w:rsid w:val="00B57BB1"/>
    <w:rsid w:val="00B6002C"/>
    <w:rsid w:val="00B60CD2"/>
    <w:rsid w:val="00B61D3D"/>
    <w:rsid w:val="00B61F04"/>
    <w:rsid w:val="00B620EE"/>
    <w:rsid w:val="00B62E34"/>
    <w:rsid w:val="00B63185"/>
    <w:rsid w:val="00B637AA"/>
    <w:rsid w:val="00B640FD"/>
    <w:rsid w:val="00B67429"/>
    <w:rsid w:val="00B67E4E"/>
    <w:rsid w:val="00B706B6"/>
    <w:rsid w:val="00B70964"/>
    <w:rsid w:val="00B735AB"/>
    <w:rsid w:val="00B7516E"/>
    <w:rsid w:val="00B76DEC"/>
    <w:rsid w:val="00B76F3E"/>
    <w:rsid w:val="00B77073"/>
    <w:rsid w:val="00B772ED"/>
    <w:rsid w:val="00B80163"/>
    <w:rsid w:val="00B80339"/>
    <w:rsid w:val="00B80C18"/>
    <w:rsid w:val="00B81F67"/>
    <w:rsid w:val="00B828CF"/>
    <w:rsid w:val="00B842AF"/>
    <w:rsid w:val="00B85366"/>
    <w:rsid w:val="00B87608"/>
    <w:rsid w:val="00B87789"/>
    <w:rsid w:val="00B87A86"/>
    <w:rsid w:val="00B87F60"/>
    <w:rsid w:val="00B9086C"/>
    <w:rsid w:val="00B93D3D"/>
    <w:rsid w:val="00B946A0"/>
    <w:rsid w:val="00B962CD"/>
    <w:rsid w:val="00B96EDF"/>
    <w:rsid w:val="00BA0753"/>
    <w:rsid w:val="00BA1E8D"/>
    <w:rsid w:val="00BA471F"/>
    <w:rsid w:val="00BA5935"/>
    <w:rsid w:val="00BA6734"/>
    <w:rsid w:val="00BA6AF0"/>
    <w:rsid w:val="00BA6E23"/>
    <w:rsid w:val="00BB09A9"/>
    <w:rsid w:val="00BB0A82"/>
    <w:rsid w:val="00BB1153"/>
    <w:rsid w:val="00BB1C85"/>
    <w:rsid w:val="00BB2EC7"/>
    <w:rsid w:val="00BB30F2"/>
    <w:rsid w:val="00BB3BFE"/>
    <w:rsid w:val="00BB3C52"/>
    <w:rsid w:val="00BB4437"/>
    <w:rsid w:val="00BB5013"/>
    <w:rsid w:val="00BB528E"/>
    <w:rsid w:val="00BB5714"/>
    <w:rsid w:val="00BB5C6E"/>
    <w:rsid w:val="00BB6F5D"/>
    <w:rsid w:val="00BB75B9"/>
    <w:rsid w:val="00BC0200"/>
    <w:rsid w:val="00BC08EB"/>
    <w:rsid w:val="00BC1226"/>
    <w:rsid w:val="00BC2541"/>
    <w:rsid w:val="00BC2600"/>
    <w:rsid w:val="00BC2DE3"/>
    <w:rsid w:val="00BC2E83"/>
    <w:rsid w:val="00BC3143"/>
    <w:rsid w:val="00BC36F0"/>
    <w:rsid w:val="00BC4FA7"/>
    <w:rsid w:val="00BC5E30"/>
    <w:rsid w:val="00BC5F11"/>
    <w:rsid w:val="00BC615A"/>
    <w:rsid w:val="00BC6299"/>
    <w:rsid w:val="00BC6B71"/>
    <w:rsid w:val="00BC75E0"/>
    <w:rsid w:val="00BC7C4C"/>
    <w:rsid w:val="00BD02C5"/>
    <w:rsid w:val="00BD068D"/>
    <w:rsid w:val="00BD3287"/>
    <w:rsid w:val="00BD6166"/>
    <w:rsid w:val="00BD62AA"/>
    <w:rsid w:val="00BD63AE"/>
    <w:rsid w:val="00BD745B"/>
    <w:rsid w:val="00BE012C"/>
    <w:rsid w:val="00BE0D9A"/>
    <w:rsid w:val="00BE1A50"/>
    <w:rsid w:val="00BE1B27"/>
    <w:rsid w:val="00BE2C8E"/>
    <w:rsid w:val="00BE2F0D"/>
    <w:rsid w:val="00BE3337"/>
    <w:rsid w:val="00BE41DB"/>
    <w:rsid w:val="00BE42AD"/>
    <w:rsid w:val="00BE45B2"/>
    <w:rsid w:val="00BE58D6"/>
    <w:rsid w:val="00BF0BD5"/>
    <w:rsid w:val="00BF34D4"/>
    <w:rsid w:val="00BF55F8"/>
    <w:rsid w:val="00BF5DC3"/>
    <w:rsid w:val="00BF6927"/>
    <w:rsid w:val="00BF6930"/>
    <w:rsid w:val="00C00E0E"/>
    <w:rsid w:val="00C039F3"/>
    <w:rsid w:val="00C04519"/>
    <w:rsid w:val="00C04D9B"/>
    <w:rsid w:val="00C051FD"/>
    <w:rsid w:val="00C107FB"/>
    <w:rsid w:val="00C14C8C"/>
    <w:rsid w:val="00C153C6"/>
    <w:rsid w:val="00C16598"/>
    <w:rsid w:val="00C16D82"/>
    <w:rsid w:val="00C173C7"/>
    <w:rsid w:val="00C179D1"/>
    <w:rsid w:val="00C17A27"/>
    <w:rsid w:val="00C2027C"/>
    <w:rsid w:val="00C20C7D"/>
    <w:rsid w:val="00C20DEF"/>
    <w:rsid w:val="00C22ADF"/>
    <w:rsid w:val="00C22E6F"/>
    <w:rsid w:val="00C24B25"/>
    <w:rsid w:val="00C25D04"/>
    <w:rsid w:val="00C26430"/>
    <w:rsid w:val="00C27708"/>
    <w:rsid w:val="00C27D56"/>
    <w:rsid w:val="00C27F0A"/>
    <w:rsid w:val="00C27F5F"/>
    <w:rsid w:val="00C303EF"/>
    <w:rsid w:val="00C30893"/>
    <w:rsid w:val="00C30F31"/>
    <w:rsid w:val="00C32C2F"/>
    <w:rsid w:val="00C346C0"/>
    <w:rsid w:val="00C3738A"/>
    <w:rsid w:val="00C37D47"/>
    <w:rsid w:val="00C4028F"/>
    <w:rsid w:val="00C4100C"/>
    <w:rsid w:val="00C41999"/>
    <w:rsid w:val="00C422C2"/>
    <w:rsid w:val="00C4315A"/>
    <w:rsid w:val="00C43F5E"/>
    <w:rsid w:val="00C44074"/>
    <w:rsid w:val="00C44E4F"/>
    <w:rsid w:val="00C4651F"/>
    <w:rsid w:val="00C47931"/>
    <w:rsid w:val="00C50B9A"/>
    <w:rsid w:val="00C50DF0"/>
    <w:rsid w:val="00C51A5C"/>
    <w:rsid w:val="00C51C67"/>
    <w:rsid w:val="00C51D0B"/>
    <w:rsid w:val="00C52A50"/>
    <w:rsid w:val="00C52C6E"/>
    <w:rsid w:val="00C541AF"/>
    <w:rsid w:val="00C54548"/>
    <w:rsid w:val="00C56EE5"/>
    <w:rsid w:val="00C56FB9"/>
    <w:rsid w:val="00C609F8"/>
    <w:rsid w:val="00C60E6C"/>
    <w:rsid w:val="00C6123B"/>
    <w:rsid w:val="00C62B2B"/>
    <w:rsid w:val="00C630BA"/>
    <w:rsid w:val="00C63C8A"/>
    <w:rsid w:val="00C642D4"/>
    <w:rsid w:val="00C64642"/>
    <w:rsid w:val="00C64890"/>
    <w:rsid w:val="00C64C31"/>
    <w:rsid w:val="00C65E0A"/>
    <w:rsid w:val="00C703DC"/>
    <w:rsid w:val="00C71155"/>
    <w:rsid w:val="00C7125B"/>
    <w:rsid w:val="00C71978"/>
    <w:rsid w:val="00C730F4"/>
    <w:rsid w:val="00C7318D"/>
    <w:rsid w:val="00C740EC"/>
    <w:rsid w:val="00C76278"/>
    <w:rsid w:val="00C76456"/>
    <w:rsid w:val="00C800F2"/>
    <w:rsid w:val="00C80200"/>
    <w:rsid w:val="00C8270B"/>
    <w:rsid w:val="00C831EC"/>
    <w:rsid w:val="00C841A9"/>
    <w:rsid w:val="00C8488C"/>
    <w:rsid w:val="00C85E66"/>
    <w:rsid w:val="00C8728F"/>
    <w:rsid w:val="00C92060"/>
    <w:rsid w:val="00C94A6A"/>
    <w:rsid w:val="00C96EFE"/>
    <w:rsid w:val="00C97A7F"/>
    <w:rsid w:val="00C97FBC"/>
    <w:rsid w:val="00CA08AE"/>
    <w:rsid w:val="00CA0B7E"/>
    <w:rsid w:val="00CA2C0B"/>
    <w:rsid w:val="00CA3491"/>
    <w:rsid w:val="00CA5598"/>
    <w:rsid w:val="00CA5875"/>
    <w:rsid w:val="00CA5BFC"/>
    <w:rsid w:val="00CA5C20"/>
    <w:rsid w:val="00CA5D9A"/>
    <w:rsid w:val="00CA5EF8"/>
    <w:rsid w:val="00CA6B4F"/>
    <w:rsid w:val="00CA7CAB"/>
    <w:rsid w:val="00CB038E"/>
    <w:rsid w:val="00CB266F"/>
    <w:rsid w:val="00CB28A3"/>
    <w:rsid w:val="00CB2AB3"/>
    <w:rsid w:val="00CB44FE"/>
    <w:rsid w:val="00CB4D5B"/>
    <w:rsid w:val="00CB58C3"/>
    <w:rsid w:val="00CB6E7A"/>
    <w:rsid w:val="00CC00A0"/>
    <w:rsid w:val="00CC185F"/>
    <w:rsid w:val="00CC2A98"/>
    <w:rsid w:val="00CC304D"/>
    <w:rsid w:val="00CC36C6"/>
    <w:rsid w:val="00CC37CA"/>
    <w:rsid w:val="00CC427C"/>
    <w:rsid w:val="00CC4FC5"/>
    <w:rsid w:val="00CC5455"/>
    <w:rsid w:val="00CC5D46"/>
    <w:rsid w:val="00CC6C06"/>
    <w:rsid w:val="00CD110D"/>
    <w:rsid w:val="00CD2199"/>
    <w:rsid w:val="00CD23AF"/>
    <w:rsid w:val="00CD2497"/>
    <w:rsid w:val="00CD2DE9"/>
    <w:rsid w:val="00CD3C09"/>
    <w:rsid w:val="00CD4113"/>
    <w:rsid w:val="00CD5269"/>
    <w:rsid w:val="00CD5509"/>
    <w:rsid w:val="00CD6113"/>
    <w:rsid w:val="00CD6357"/>
    <w:rsid w:val="00CD672F"/>
    <w:rsid w:val="00CD7A87"/>
    <w:rsid w:val="00CE0A2C"/>
    <w:rsid w:val="00CE1EB0"/>
    <w:rsid w:val="00CE20FC"/>
    <w:rsid w:val="00CE3772"/>
    <w:rsid w:val="00CE389B"/>
    <w:rsid w:val="00CE3DF2"/>
    <w:rsid w:val="00CE5C1B"/>
    <w:rsid w:val="00CE6725"/>
    <w:rsid w:val="00CE6879"/>
    <w:rsid w:val="00CE6BD8"/>
    <w:rsid w:val="00CE79E9"/>
    <w:rsid w:val="00CF0C0F"/>
    <w:rsid w:val="00CF1393"/>
    <w:rsid w:val="00CF1690"/>
    <w:rsid w:val="00CF1F2A"/>
    <w:rsid w:val="00CF2DEC"/>
    <w:rsid w:val="00CF5383"/>
    <w:rsid w:val="00CF5CE3"/>
    <w:rsid w:val="00CF6118"/>
    <w:rsid w:val="00CF7056"/>
    <w:rsid w:val="00CF7412"/>
    <w:rsid w:val="00D0005D"/>
    <w:rsid w:val="00D01973"/>
    <w:rsid w:val="00D01E30"/>
    <w:rsid w:val="00D026DD"/>
    <w:rsid w:val="00D030F8"/>
    <w:rsid w:val="00D077B7"/>
    <w:rsid w:val="00D10485"/>
    <w:rsid w:val="00D107AA"/>
    <w:rsid w:val="00D13393"/>
    <w:rsid w:val="00D14869"/>
    <w:rsid w:val="00D1528A"/>
    <w:rsid w:val="00D15A30"/>
    <w:rsid w:val="00D16262"/>
    <w:rsid w:val="00D16C51"/>
    <w:rsid w:val="00D20297"/>
    <w:rsid w:val="00D21E6B"/>
    <w:rsid w:val="00D2294D"/>
    <w:rsid w:val="00D229C3"/>
    <w:rsid w:val="00D22B71"/>
    <w:rsid w:val="00D23634"/>
    <w:rsid w:val="00D23B7D"/>
    <w:rsid w:val="00D247FF"/>
    <w:rsid w:val="00D2531F"/>
    <w:rsid w:val="00D264C9"/>
    <w:rsid w:val="00D27280"/>
    <w:rsid w:val="00D314E9"/>
    <w:rsid w:val="00D31C04"/>
    <w:rsid w:val="00D32EAE"/>
    <w:rsid w:val="00D332DC"/>
    <w:rsid w:val="00D3359B"/>
    <w:rsid w:val="00D33C8B"/>
    <w:rsid w:val="00D34331"/>
    <w:rsid w:val="00D34551"/>
    <w:rsid w:val="00D36118"/>
    <w:rsid w:val="00D370AE"/>
    <w:rsid w:val="00D407B3"/>
    <w:rsid w:val="00D409B8"/>
    <w:rsid w:val="00D412BD"/>
    <w:rsid w:val="00D41675"/>
    <w:rsid w:val="00D417DB"/>
    <w:rsid w:val="00D41833"/>
    <w:rsid w:val="00D42E9E"/>
    <w:rsid w:val="00D44B1A"/>
    <w:rsid w:val="00D452A6"/>
    <w:rsid w:val="00D45769"/>
    <w:rsid w:val="00D457D6"/>
    <w:rsid w:val="00D458AA"/>
    <w:rsid w:val="00D466AC"/>
    <w:rsid w:val="00D4704D"/>
    <w:rsid w:val="00D47232"/>
    <w:rsid w:val="00D52AE0"/>
    <w:rsid w:val="00D53425"/>
    <w:rsid w:val="00D53942"/>
    <w:rsid w:val="00D53E46"/>
    <w:rsid w:val="00D54A05"/>
    <w:rsid w:val="00D559DF"/>
    <w:rsid w:val="00D572F8"/>
    <w:rsid w:val="00D615B8"/>
    <w:rsid w:val="00D61B20"/>
    <w:rsid w:val="00D63094"/>
    <w:rsid w:val="00D64938"/>
    <w:rsid w:val="00D64CE2"/>
    <w:rsid w:val="00D66886"/>
    <w:rsid w:val="00D67319"/>
    <w:rsid w:val="00D67452"/>
    <w:rsid w:val="00D679F7"/>
    <w:rsid w:val="00D70177"/>
    <w:rsid w:val="00D702A3"/>
    <w:rsid w:val="00D71358"/>
    <w:rsid w:val="00D71AB2"/>
    <w:rsid w:val="00D71B35"/>
    <w:rsid w:val="00D721F2"/>
    <w:rsid w:val="00D73EEE"/>
    <w:rsid w:val="00D74D83"/>
    <w:rsid w:val="00D74D8E"/>
    <w:rsid w:val="00D76489"/>
    <w:rsid w:val="00D764AF"/>
    <w:rsid w:val="00D774E4"/>
    <w:rsid w:val="00D7751B"/>
    <w:rsid w:val="00D77840"/>
    <w:rsid w:val="00D77F52"/>
    <w:rsid w:val="00D8145D"/>
    <w:rsid w:val="00D815DC"/>
    <w:rsid w:val="00D821D5"/>
    <w:rsid w:val="00D822B5"/>
    <w:rsid w:val="00D83D3C"/>
    <w:rsid w:val="00D85CE4"/>
    <w:rsid w:val="00D867AE"/>
    <w:rsid w:val="00D86DC1"/>
    <w:rsid w:val="00D87BBB"/>
    <w:rsid w:val="00D87C87"/>
    <w:rsid w:val="00D87CCD"/>
    <w:rsid w:val="00D90083"/>
    <w:rsid w:val="00D91929"/>
    <w:rsid w:val="00D91E4E"/>
    <w:rsid w:val="00D921C4"/>
    <w:rsid w:val="00D9285D"/>
    <w:rsid w:val="00D9296A"/>
    <w:rsid w:val="00D93C23"/>
    <w:rsid w:val="00D94EFD"/>
    <w:rsid w:val="00D94FCF"/>
    <w:rsid w:val="00D95638"/>
    <w:rsid w:val="00D9584C"/>
    <w:rsid w:val="00D9641B"/>
    <w:rsid w:val="00D9658C"/>
    <w:rsid w:val="00D97CF9"/>
    <w:rsid w:val="00DA14D9"/>
    <w:rsid w:val="00DA2A6E"/>
    <w:rsid w:val="00DA43EF"/>
    <w:rsid w:val="00DA5757"/>
    <w:rsid w:val="00DA5810"/>
    <w:rsid w:val="00DA6016"/>
    <w:rsid w:val="00DB1026"/>
    <w:rsid w:val="00DB11AD"/>
    <w:rsid w:val="00DB13AD"/>
    <w:rsid w:val="00DB23F9"/>
    <w:rsid w:val="00DB2602"/>
    <w:rsid w:val="00DB43E0"/>
    <w:rsid w:val="00DB577B"/>
    <w:rsid w:val="00DB58BE"/>
    <w:rsid w:val="00DB6176"/>
    <w:rsid w:val="00DB651B"/>
    <w:rsid w:val="00DB6A72"/>
    <w:rsid w:val="00DB6AA0"/>
    <w:rsid w:val="00DB7C3A"/>
    <w:rsid w:val="00DC01CD"/>
    <w:rsid w:val="00DC0289"/>
    <w:rsid w:val="00DC0956"/>
    <w:rsid w:val="00DC1D0F"/>
    <w:rsid w:val="00DC2988"/>
    <w:rsid w:val="00DC39BF"/>
    <w:rsid w:val="00DC3BE8"/>
    <w:rsid w:val="00DC3BEA"/>
    <w:rsid w:val="00DC437E"/>
    <w:rsid w:val="00DC45BF"/>
    <w:rsid w:val="00DC4EE3"/>
    <w:rsid w:val="00DC64AE"/>
    <w:rsid w:val="00DC7573"/>
    <w:rsid w:val="00DC7945"/>
    <w:rsid w:val="00DD13C4"/>
    <w:rsid w:val="00DD1A0D"/>
    <w:rsid w:val="00DD1A72"/>
    <w:rsid w:val="00DD2FC7"/>
    <w:rsid w:val="00DD32AB"/>
    <w:rsid w:val="00DD348B"/>
    <w:rsid w:val="00DD4114"/>
    <w:rsid w:val="00DD519F"/>
    <w:rsid w:val="00DD5339"/>
    <w:rsid w:val="00DD5BF6"/>
    <w:rsid w:val="00DD702A"/>
    <w:rsid w:val="00DD7069"/>
    <w:rsid w:val="00DD7374"/>
    <w:rsid w:val="00DE16F3"/>
    <w:rsid w:val="00DE1865"/>
    <w:rsid w:val="00DE30DC"/>
    <w:rsid w:val="00DE3773"/>
    <w:rsid w:val="00DE5783"/>
    <w:rsid w:val="00DE6517"/>
    <w:rsid w:val="00DE66B6"/>
    <w:rsid w:val="00DE6CEF"/>
    <w:rsid w:val="00DE77A1"/>
    <w:rsid w:val="00DF0D08"/>
    <w:rsid w:val="00DF11C2"/>
    <w:rsid w:val="00DF2046"/>
    <w:rsid w:val="00DF4593"/>
    <w:rsid w:val="00DF47DD"/>
    <w:rsid w:val="00DF4B23"/>
    <w:rsid w:val="00DF62B2"/>
    <w:rsid w:val="00DF65A7"/>
    <w:rsid w:val="00DF7A01"/>
    <w:rsid w:val="00E00776"/>
    <w:rsid w:val="00E03925"/>
    <w:rsid w:val="00E04440"/>
    <w:rsid w:val="00E06698"/>
    <w:rsid w:val="00E06ACE"/>
    <w:rsid w:val="00E1026D"/>
    <w:rsid w:val="00E10D05"/>
    <w:rsid w:val="00E10DCA"/>
    <w:rsid w:val="00E11548"/>
    <w:rsid w:val="00E11BC3"/>
    <w:rsid w:val="00E11CBA"/>
    <w:rsid w:val="00E12A6C"/>
    <w:rsid w:val="00E151F3"/>
    <w:rsid w:val="00E167B4"/>
    <w:rsid w:val="00E17254"/>
    <w:rsid w:val="00E20370"/>
    <w:rsid w:val="00E2042C"/>
    <w:rsid w:val="00E205C3"/>
    <w:rsid w:val="00E21200"/>
    <w:rsid w:val="00E217AF"/>
    <w:rsid w:val="00E22184"/>
    <w:rsid w:val="00E2223E"/>
    <w:rsid w:val="00E22618"/>
    <w:rsid w:val="00E22C3A"/>
    <w:rsid w:val="00E22D98"/>
    <w:rsid w:val="00E22E97"/>
    <w:rsid w:val="00E2331C"/>
    <w:rsid w:val="00E23C47"/>
    <w:rsid w:val="00E24623"/>
    <w:rsid w:val="00E252E3"/>
    <w:rsid w:val="00E25A9E"/>
    <w:rsid w:val="00E26666"/>
    <w:rsid w:val="00E3119F"/>
    <w:rsid w:val="00E3195D"/>
    <w:rsid w:val="00E31EB2"/>
    <w:rsid w:val="00E33004"/>
    <w:rsid w:val="00E33620"/>
    <w:rsid w:val="00E33CA5"/>
    <w:rsid w:val="00E36C0E"/>
    <w:rsid w:val="00E40505"/>
    <w:rsid w:val="00E40D52"/>
    <w:rsid w:val="00E412CE"/>
    <w:rsid w:val="00E413C3"/>
    <w:rsid w:val="00E414EC"/>
    <w:rsid w:val="00E415DC"/>
    <w:rsid w:val="00E41DB9"/>
    <w:rsid w:val="00E42A41"/>
    <w:rsid w:val="00E42C06"/>
    <w:rsid w:val="00E44203"/>
    <w:rsid w:val="00E44294"/>
    <w:rsid w:val="00E44AAD"/>
    <w:rsid w:val="00E45310"/>
    <w:rsid w:val="00E45766"/>
    <w:rsid w:val="00E459AE"/>
    <w:rsid w:val="00E459C8"/>
    <w:rsid w:val="00E461A2"/>
    <w:rsid w:val="00E47727"/>
    <w:rsid w:val="00E524AE"/>
    <w:rsid w:val="00E534B3"/>
    <w:rsid w:val="00E54919"/>
    <w:rsid w:val="00E563F6"/>
    <w:rsid w:val="00E567E5"/>
    <w:rsid w:val="00E60F4D"/>
    <w:rsid w:val="00E62D3F"/>
    <w:rsid w:val="00E63F00"/>
    <w:rsid w:val="00E657DB"/>
    <w:rsid w:val="00E660D4"/>
    <w:rsid w:val="00E66635"/>
    <w:rsid w:val="00E66CC8"/>
    <w:rsid w:val="00E6708B"/>
    <w:rsid w:val="00E6729F"/>
    <w:rsid w:val="00E67BBF"/>
    <w:rsid w:val="00E73A8C"/>
    <w:rsid w:val="00E74BD7"/>
    <w:rsid w:val="00E75050"/>
    <w:rsid w:val="00E759FD"/>
    <w:rsid w:val="00E76613"/>
    <w:rsid w:val="00E766C7"/>
    <w:rsid w:val="00E76D8A"/>
    <w:rsid w:val="00E76F42"/>
    <w:rsid w:val="00E77378"/>
    <w:rsid w:val="00E80827"/>
    <w:rsid w:val="00E81823"/>
    <w:rsid w:val="00E81931"/>
    <w:rsid w:val="00E82FCF"/>
    <w:rsid w:val="00E8317B"/>
    <w:rsid w:val="00E838D1"/>
    <w:rsid w:val="00E85451"/>
    <w:rsid w:val="00E8574F"/>
    <w:rsid w:val="00E85AB6"/>
    <w:rsid w:val="00E863D0"/>
    <w:rsid w:val="00E86FCD"/>
    <w:rsid w:val="00E90AB3"/>
    <w:rsid w:val="00E912A5"/>
    <w:rsid w:val="00E914A0"/>
    <w:rsid w:val="00E915D7"/>
    <w:rsid w:val="00E915E6"/>
    <w:rsid w:val="00E917C6"/>
    <w:rsid w:val="00E91C83"/>
    <w:rsid w:val="00E92420"/>
    <w:rsid w:val="00E929D4"/>
    <w:rsid w:val="00E9545A"/>
    <w:rsid w:val="00E95E3F"/>
    <w:rsid w:val="00E96963"/>
    <w:rsid w:val="00E975D4"/>
    <w:rsid w:val="00E97635"/>
    <w:rsid w:val="00E97A19"/>
    <w:rsid w:val="00EA0F99"/>
    <w:rsid w:val="00EA1426"/>
    <w:rsid w:val="00EA2038"/>
    <w:rsid w:val="00EA2784"/>
    <w:rsid w:val="00EA30F4"/>
    <w:rsid w:val="00EA3E11"/>
    <w:rsid w:val="00EA6EB3"/>
    <w:rsid w:val="00EA7180"/>
    <w:rsid w:val="00EB319D"/>
    <w:rsid w:val="00EB4A8E"/>
    <w:rsid w:val="00EB4C2D"/>
    <w:rsid w:val="00EB4FFC"/>
    <w:rsid w:val="00EB5EF3"/>
    <w:rsid w:val="00EB5F96"/>
    <w:rsid w:val="00EB695D"/>
    <w:rsid w:val="00EB6DFE"/>
    <w:rsid w:val="00EB75DA"/>
    <w:rsid w:val="00EC0135"/>
    <w:rsid w:val="00EC1CD0"/>
    <w:rsid w:val="00EC26E3"/>
    <w:rsid w:val="00EC2948"/>
    <w:rsid w:val="00EC4FFB"/>
    <w:rsid w:val="00EC5060"/>
    <w:rsid w:val="00EC5581"/>
    <w:rsid w:val="00ED0535"/>
    <w:rsid w:val="00ED06C9"/>
    <w:rsid w:val="00ED0E28"/>
    <w:rsid w:val="00ED0F12"/>
    <w:rsid w:val="00ED121F"/>
    <w:rsid w:val="00ED3845"/>
    <w:rsid w:val="00ED39CE"/>
    <w:rsid w:val="00ED3A93"/>
    <w:rsid w:val="00ED4134"/>
    <w:rsid w:val="00ED73AD"/>
    <w:rsid w:val="00ED7808"/>
    <w:rsid w:val="00EE04FD"/>
    <w:rsid w:val="00EE05F1"/>
    <w:rsid w:val="00EE2853"/>
    <w:rsid w:val="00EE3EB6"/>
    <w:rsid w:val="00EE4584"/>
    <w:rsid w:val="00EE471A"/>
    <w:rsid w:val="00EE5492"/>
    <w:rsid w:val="00EE6171"/>
    <w:rsid w:val="00EE62FE"/>
    <w:rsid w:val="00EE67D4"/>
    <w:rsid w:val="00EF0406"/>
    <w:rsid w:val="00EF0993"/>
    <w:rsid w:val="00EF15CB"/>
    <w:rsid w:val="00EF40F2"/>
    <w:rsid w:val="00EF4B2C"/>
    <w:rsid w:val="00EF56E3"/>
    <w:rsid w:val="00EF5757"/>
    <w:rsid w:val="00EF673E"/>
    <w:rsid w:val="00EF69BC"/>
    <w:rsid w:val="00EF7601"/>
    <w:rsid w:val="00F01D07"/>
    <w:rsid w:val="00F01D36"/>
    <w:rsid w:val="00F022CB"/>
    <w:rsid w:val="00F02766"/>
    <w:rsid w:val="00F038F2"/>
    <w:rsid w:val="00F03B78"/>
    <w:rsid w:val="00F050D4"/>
    <w:rsid w:val="00F06BE3"/>
    <w:rsid w:val="00F079DF"/>
    <w:rsid w:val="00F07BD5"/>
    <w:rsid w:val="00F122D6"/>
    <w:rsid w:val="00F131B4"/>
    <w:rsid w:val="00F13CCD"/>
    <w:rsid w:val="00F15BF4"/>
    <w:rsid w:val="00F16398"/>
    <w:rsid w:val="00F176BC"/>
    <w:rsid w:val="00F176BD"/>
    <w:rsid w:val="00F176DD"/>
    <w:rsid w:val="00F17940"/>
    <w:rsid w:val="00F20113"/>
    <w:rsid w:val="00F2046C"/>
    <w:rsid w:val="00F20647"/>
    <w:rsid w:val="00F238C9"/>
    <w:rsid w:val="00F23BAF"/>
    <w:rsid w:val="00F24BF6"/>
    <w:rsid w:val="00F31392"/>
    <w:rsid w:val="00F348B5"/>
    <w:rsid w:val="00F34A9B"/>
    <w:rsid w:val="00F35323"/>
    <w:rsid w:val="00F3652B"/>
    <w:rsid w:val="00F367FB"/>
    <w:rsid w:val="00F36FEB"/>
    <w:rsid w:val="00F37043"/>
    <w:rsid w:val="00F377B9"/>
    <w:rsid w:val="00F4067B"/>
    <w:rsid w:val="00F4151D"/>
    <w:rsid w:val="00F4189A"/>
    <w:rsid w:val="00F4202E"/>
    <w:rsid w:val="00F4284B"/>
    <w:rsid w:val="00F43274"/>
    <w:rsid w:val="00F44405"/>
    <w:rsid w:val="00F45442"/>
    <w:rsid w:val="00F45880"/>
    <w:rsid w:val="00F468C4"/>
    <w:rsid w:val="00F47012"/>
    <w:rsid w:val="00F50F5C"/>
    <w:rsid w:val="00F5145E"/>
    <w:rsid w:val="00F558EA"/>
    <w:rsid w:val="00F5666B"/>
    <w:rsid w:val="00F570C0"/>
    <w:rsid w:val="00F611D4"/>
    <w:rsid w:val="00F613CB"/>
    <w:rsid w:val="00F61873"/>
    <w:rsid w:val="00F61EE0"/>
    <w:rsid w:val="00F61F79"/>
    <w:rsid w:val="00F62401"/>
    <w:rsid w:val="00F62621"/>
    <w:rsid w:val="00F64998"/>
    <w:rsid w:val="00F656A4"/>
    <w:rsid w:val="00F65C07"/>
    <w:rsid w:val="00F6665E"/>
    <w:rsid w:val="00F7075F"/>
    <w:rsid w:val="00F7087C"/>
    <w:rsid w:val="00F71D76"/>
    <w:rsid w:val="00F72149"/>
    <w:rsid w:val="00F726BB"/>
    <w:rsid w:val="00F72708"/>
    <w:rsid w:val="00F72C8E"/>
    <w:rsid w:val="00F72D7F"/>
    <w:rsid w:val="00F7523D"/>
    <w:rsid w:val="00F777E9"/>
    <w:rsid w:val="00F81E3B"/>
    <w:rsid w:val="00F8349F"/>
    <w:rsid w:val="00F83FB7"/>
    <w:rsid w:val="00F843ED"/>
    <w:rsid w:val="00F84551"/>
    <w:rsid w:val="00F85935"/>
    <w:rsid w:val="00F85D29"/>
    <w:rsid w:val="00F85D85"/>
    <w:rsid w:val="00F861DE"/>
    <w:rsid w:val="00F86493"/>
    <w:rsid w:val="00F86794"/>
    <w:rsid w:val="00F87777"/>
    <w:rsid w:val="00F87C95"/>
    <w:rsid w:val="00F90106"/>
    <w:rsid w:val="00F9148E"/>
    <w:rsid w:val="00F91984"/>
    <w:rsid w:val="00F91D63"/>
    <w:rsid w:val="00F9271B"/>
    <w:rsid w:val="00F92C03"/>
    <w:rsid w:val="00F93204"/>
    <w:rsid w:val="00F948B7"/>
    <w:rsid w:val="00F95B47"/>
    <w:rsid w:val="00F966B7"/>
    <w:rsid w:val="00F969D3"/>
    <w:rsid w:val="00F96B42"/>
    <w:rsid w:val="00F96D63"/>
    <w:rsid w:val="00F97153"/>
    <w:rsid w:val="00F972A4"/>
    <w:rsid w:val="00F9743F"/>
    <w:rsid w:val="00FA1155"/>
    <w:rsid w:val="00FA190E"/>
    <w:rsid w:val="00FA2E63"/>
    <w:rsid w:val="00FA40CB"/>
    <w:rsid w:val="00FA54D8"/>
    <w:rsid w:val="00FA6CC9"/>
    <w:rsid w:val="00FA7001"/>
    <w:rsid w:val="00FA79EC"/>
    <w:rsid w:val="00FB1ECA"/>
    <w:rsid w:val="00FB33D3"/>
    <w:rsid w:val="00FB64F6"/>
    <w:rsid w:val="00FB665E"/>
    <w:rsid w:val="00FB6F7B"/>
    <w:rsid w:val="00FC01A1"/>
    <w:rsid w:val="00FC1552"/>
    <w:rsid w:val="00FC4FB7"/>
    <w:rsid w:val="00FC6074"/>
    <w:rsid w:val="00FD132A"/>
    <w:rsid w:val="00FD196F"/>
    <w:rsid w:val="00FD357B"/>
    <w:rsid w:val="00FD3658"/>
    <w:rsid w:val="00FD38FC"/>
    <w:rsid w:val="00FD5427"/>
    <w:rsid w:val="00FD598A"/>
    <w:rsid w:val="00FD5CD1"/>
    <w:rsid w:val="00FD6119"/>
    <w:rsid w:val="00FD688E"/>
    <w:rsid w:val="00FD6A9B"/>
    <w:rsid w:val="00FD6B19"/>
    <w:rsid w:val="00FD79D5"/>
    <w:rsid w:val="00FD7AD7"/>
    <w:rsid w:val="00FD7C0C"/>
    <w:rsid w:val="00FE045C"/>
    <w:rsid w:val="00FE0C52"/>
    <w:rsid w:val="00FE0CF6"/>
    <w:rsid w:val="00FE1692"/>
    <w:rsid w:val="00FE31D9"/>
    <w:rsid w:val="00FE7744"/>
    <w:rsid w:val="00FE7B61"/>
    <w:rsid w:val="00FE7D9A"/>
    <w:rsid w:val="00FF0454"/>
    <w:rsid w:val="00FF0566"/>
    <w:rsid w:val="00FF0BBA"/>
    <w:rsid w:val="00FF0EDA"/>
    <w:rsid w:val="00FF1368"/>
    <w:rsid w:val="00FF2995"/>
    <w:rsid w:val="00FF2D27"/>
    <w:rsid w:val="00FF4E02"/>
    <w:rsid w:val="00FF60B3"/>
    <w:rsid w:val="00FF6218"/>
    <w:rsid w:val="00FF6985"/>
    <w:rsid w:val="00FF6FA1"/>
    <w:rsid w:val="00FF7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D1DB2C-A783-F448-A548-9CB8BD35A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99"/>
    <w:rsid w:val="00F7087C"/>
    <w:rPr>
      <w:kern w:val="16"/>
      <w:sz w:val="18"/>
    </w:rPr>
  </w:style>
  <w:style w:type="character" w:styleId="FootnoteReference">
    <w:name w:val="footnote reference"/>
    <w:basedOn w:val="DefaultParagraphFont"/>
    <w:uiPriority w:val="9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10"/>
    <w:qFormat/>
    <w:rsid w:val="00DC64AE"/>
    <w:pPr>
      <w:spacing w:before="5700" w:after="280" w:line="235" w:lineRule="auto"/>
      <w:ind w:left="227" w:right="3119"/>
      <w:contextualSpacing/>
    </w:pPr>
    <w:rPr>
      <w:rFonts w:ascii="Calibri Light" w:eastAsiaTheme="majorEastAsia" w:hAnsi="Calibri Light" w:cstheme="majorBidi"/>
      <w:caps/>
      <w:color w:val="FFFFFF" w:themeColor="background1"/>
      <w:spacing w:val="14"/>
      <w:sz w:val="56"/>
      <w:szCs w:val="50"/>
      <w:lang w:eastAsia="en-AU"/>
    </w:rPr>
  </w:style>
  <w:style w:type="character" w:customStyle="1" w:styleId="TitleChar">
    <w:name w:val="Title Char"/>
    <w:basedOn w:val="DefaultParagraphFont"/>
    <w:link w:val="Title"/>
    <w:uiPriority w:val="10"/>
    <w:rsid w:val="00DC64AE"/>
    <w:rPr>
      <w:rFonts w:ascii="Calibri Light" w:eastAsiaTheme="majorEastAsia" w:hAnsi="Calibri Light" w:cstheme="majorBidi"/>
      <w:caps/>
      <w:color w:val="FFFFFF" w:themeColor="background1"/>
      <w:spacing w:val="14"/>
      <w:sz w:val="56"/>
      <w:szCs w:val="50"/>
      <w:lang w:eastAsia="en-AU"/>
    </w:rPr>
  </w:style>
  <w:style w:type="paragraph" w:customStyle="1" w:styleId="Title2">
    <w:name w:val="Title 2"/>
    <w:basedOn w:val="Normal"/>
    <w:link w:val="Title2Char"/>
    <w:uiPriority w:val="3"/>
    <w:rsid w:val="00DC64AE"/>
    <w:pPr>
      <w:spacing w:line="380" w:lineRule="atLeast"/>
      <w:ind w:left="227" w:right="3119"/>
    </w:pPr>
    <w:rPr>
      <w:rFonts w:asciiTheme="majorHAnsi" w:hAnsiTheme="majorHAnsi"/>
      <w:b/>
      <w:color w:val="FFFFFF" w:themeColor="background1"/>
      <w:spacing w:val="-1"/>
      <w:sz w:val="30"/>
    </w:rPr>
  </w:style>
  <w:style w:type="character" w:customStyle="1" w:styleId="Title2Char">
    <w:name w:val="Title 2 Char"/>
    <w:basedOn w:val="DefaultParagraphFont"/>
    <w:link w:val="Title2"/>
    <w:uiPriority w:val="3"/>
    <w:rsid w:val="00DC64AE"/>
    <w:rPr>
      <w:rFonts w:asciiTheme="majorHAnsi" w:hAnsiTheme="majorHAnsi"/>
      <w:b/>
      <w:color w:val="FFFFFF" w:themeColor="background1"/>
      <w:spacing w:val="-1"/>
      <w:sz w:val="30"/>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2000" w:lineRule="exact"/>
      <w:jc w:val="center"/>
    </w:pPr>
    <w:rPr>
      <w:caps/>
      <w:color w:val="EAEAEA"/>
      <w:spacing w:val="40"/>
      <w:sz w:val="20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pPr>
  </w:style>
  <w:style w:type="paragraph" w:styleId="ListNumber5">
    <w:name w:val="List Number 5"/>
    <w:basedOn w:val="Normal"/>
    <w:rsid w:val="00D264C9"/>
    <w:pPr>
      <w:numPr>
        <w:ilvl w:val="4"/>
        <w:numId w:val="23"/>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styleId="ListParagraph">
    <w:name w:val="List Paragraph"/>
    <w:basedOn w:val="Normal"/>
    <w:uiPriority w:val="34"/>
    <w:qFormat/>
    <w:rsid w:val="00F238C9"/>
    <w:pPr>
      <w:spacing w:after="200" w:line="276" w:lineRule="auto"/>
      <w:ind w:left="720"/>
      <w:contextualSpacing/>
    </w:pPr>
  </w:style>
  <w:style w:type="paragraph" w:styleId="NormalWeb">
    <w:name w:val="Normal (Web)"/>
    <w:basedOn w:val="Normal"/>
    <w:uiPriority w:val="99"/>
    <w:semiHidden/>
    <w:unhideWhenUsed/>
    <w:rsid w:val="00363405"/>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CaptionChar">
    <w:name w:val="Caption Char"/>
    <w:basedOn w:val="DefaultParagraphFont"/>
    <w:link w:val="Caption"/>
    <w:rsid w:val="00950F94"/>
    <w:rPr>
      <w:b/>
      <w:bCs/>
      <w:color w:val="3D4D7D" w:themeColor="background2"/>
    </w:rPr>
  </w:style>
  <w:style w:type="paragraph" w:styleId="Revision">
    <w:name w:val="Revision"/>
    <w:hidden/>
    <w:uiPriority w:val="99"/>
    <w:semiHidden/>
    <w:rsid w:val="002113B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2246">
      <w:bodyDiv w:val="1"/>
      <w:marLeft w:val="0"/>
      <w:marRight w:val="0"/>
      <w:marTop w:val="0"/>
      <w:marBottom w:val="0"/>
      <w:divBdr>
        <w:top w:val="none" w:sz="0" w:space="0" w:color="auto"/>
        <w:left w:val="none" w:sz="0" w:space="0" w:color="auto"/>
        <w:bottom w:val="none" w:sz="0" w:space="0" w:color="auto"/>
        <w:right w:val="none" w:sz="0" w:space="0" w:color="auto"/>
      </w:divBdr>
    </w:div>
    <w:div w:id="118228823">
      <w:bodyDiv w:val="1"/>
      <w:marLeft w:val="0"/>
      <w:marRight w:val="0"/>
      <w:marTop w:val="0"/>
      <w:marBottom w:val="0"/>
      <w:divBdr>
        <w:top w:val="none" w:sz="0" w:space="0" w:color="auto"/>
        <w:left w:val="none" w:sz="0" w:space="0" w:color="auto"/>
        <w:bottom w:val="none" w:sz="0" w:space="0" w:color="auto"/>
        <w:right w:val="none" w:sz="0" w:space="0" w:color="auto"/>
      </w:divBdr>
    </w:div>
    <w:div w:id="138040866">
      <w:bodyDiv w:val="1"/>
      <w:marLeft w:val="0"/>
      <w:marRight w:val="0"/>
      <w:marTop w:val="0"/>
      <w:marBottom w:val="0"/>
      <w:divBdr>
        <w:top w:val="none" w:sz="0" w:space="0" w:color="auto"/>
        <w:left w:val="none" w:sz="0" w:space="0" w:color="auto"/>
        <w:bottom w:val="none" w:sz="0" w:space="0" w:color="auto"/>
        <w:right w:val="none" w:sz="0" w:space="0" w:color="auto"/>
      </w:divBdr>
    </w:div>
    <w:div w:id="171993900">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00499517">
      <w:bodyDiv w:val="1"/>
      <w:marLeft w:val="0"/>
      <w:marRight w:val="0"/>
      <w:marTop w:val="0"/>
      <w:marBottom w:val="0"/>
      <w:divBdr>
        <w:top w:val="none" w:sz="0" w:space="0" w:color="auto"/>
        <w:left w:val="none" w:sz="0" w:space="0" w:color="auto"/>
        <w:bottom w:val="none" w:sz="0" w:space="0" w:color="auto"/>
        <w:right w:val="none" w:sz="0" w:space="0" w:color="auto"/>
      </w:divBdr>
    </w:div>
    <w:div w:id="354768201">
      <w:bodyDiv w:val="1"/>
      <w:marLeft w:val="0"/>
      <w:marRight w:val="0"/>
      <w:marTop w:val="0"/>
      <w:marBottom w:val="0"/>
      <w:divBdr>
        <w:top w:val="none" w:sz="0" w:space="0" w:color="auto"/>
        <w:left w:val="none" w:sz="0" w:space="0" w:color="auto"/>
        <w:bottom w:val="none" w:sz="0" w:space="0" w:color="auto"/>
        <w:right w:val="none" w:sz="0" w:space="0" w:color="auto"/>
      </w:divBdr>
    </w:div>
    <w:div w:id="445656715">
      <w:bodyDiv w:val="1"/>
      <w:marLeft w:val="0"/>
      <w:marRight w:val="0"/>
      <w:marTop w:val="0"/>
      <w:marBottom w:val="0"/>
      <w:divBdr>
        <w:top w:val="none" w:sz="0" w:space="0" w:color="auto"/>
        <w:left w:val="none" w:sz="0" w:space="0" w:color="auto"/>
        <w:bottom w:val="none" w:sz="0" w:space="0" w:color="auto"/>
        <w:right w:val="none" w:sz="0" w:space="0" w:color="auto"/>
      </w:divBdr>
    </w:div>
    <w:div w:id="563027439">
      <w:bodyDiv w:val="1"/>
      <w:marLeft w:val="0"/>
      <w:marRight w:val="0"/>
      <w:marTop w:val="0"/>
      <w:marBottom w:val="0"/>
      <w:divBdr>
        <w:top w:val="none" w:sz="0" w:space="0" w:color="auto"/>
        <w:left w:val="none" w:sz="0" w:space="0" w:color="auto"/>
        <w:bottom w:val="none" w:sz="0" w:space="0" w:color="auto"/>
        <w:right w:val="none" w:sz="0" w:space="0" w:color="auto"/>
      </w:divBdr>
    </w:div>
    <w:div w:id="817956966">
      <w:bodyDiv w:val="1"/>
      <w:marLeft w:val="0"/>
      <w:marRight w:val="0"/>
      <w:marTop w:val="0"/>
      <w:marBottom w:val="0"/>
      <w:divBdr>
        <w:top w:val="none" w:sz="0" w:space="0" w:color="auto"/>
        <w:left w:val="none" w:sz="0" w:space="0" w:color="auto"/>
        <w:bottom w:val="none" w:sz="0" w:space="0" w:color="auto"/>
        <w:right w:val="none" w:sz="0" w:space="0" w:color="auto"/>
      </w:divBdr>
    </w:div>
    <w:div w:id="871259374">
      <w:bodyDiv w:val="1"/>
      <w:marLeft w:val="0"/>
      <w:marRight w:val="0"/>
      <w:marTop w:val="0"/>
      <w:marBottom w:val="0"/>
      <w:divBdr>
        <w:top w:val="none" w:sz="0" w:space="0" w:color="auto"/>
        <w:left w:val="none" w:sz="0" w:space="0" w:color="auto"/>
        <w:bottom w:val="none" w:sz="0" w:space="0" w:color="auto"/>
        <w:right w:val="none" w:sz="0" w:space="0" w:color="auto"/>
      </w:divBdr>
    </w:div>
    <w:div w:id="872696235">
      <w:bodyDiv w:val="1"/>
      <w:marLeft w:val="0"/>
      <w:marRight w:val="0"/>
      <w:marTop w:val="0"/>
      <w:marBottom w:val="0"/>
      <w:divBdr>
        <w:top w:val="none" w:sz="0" w:space="0" w:color="auto"/>
        <w:left w:val="none" w:sz="0" w:space="0" w:color="auto"/>
        <w:bottom w:val="none" w:sz="0" w:space="0" w:color="auto"/>
        <w:right w:val="none" w:sz="0" w:space="0" w:color="auto"/>
      </w:divBdr>
    </w:div>
    <w:div w:id="893546062">
      <w:bodyDiv w:val="1"/>
      <w:marLeft w:val="0"/>
      <w:marRight w:val="0"/>
      <w:marTop w:val="0"/>
      <w:marBottom w:val="0"/>
      <w:divBdr>
        <w:top w:val="none" w:sz="0" w:space="0" w:color="auto"/>
        <w:left w:val="none" w:sz="0" w:space="0" w:color="auto"/>
        <w:bottom w:val="none" w:sz="0" w:space="0" w:color="auto"/>
        <w:right w:val="none" w:sz="0" w:space="0" w:color="auto"/>
      </w:divBdr>
    </w:div>
    <w:div w:id="905839227">
      <w:bodyDiv w:val="1"/>
      <w:marLeft w:val="0"/>
      <w:marRight w:val="0"/>
      <w:marTop w:val="0"/>
      <w:marBottom w:val="0"/>
      <w:divBdr>
        <w:top w:val="none" w:sz="0" w:space="0" w:color="auto"/>
        <w:left w:val="none" w:sz="0" w:space="0" w:color="auto"/>
        <w:bottom w:val="none" w:sz="0" w:space="0" w:color="auto"/>
        <w:right w:val="none" w:sz="0" w:space="0" w:color="auto"/>
      </w:divBdr>
    </w:div>
    <w:div w:id="976835969">
      <w:bodyDiv w:val="1"/>
      <w:marLeft w:val="0"/>
      <w:marRight w:val="0"/>
      <w:marTop w:val="0"/>
      <w:marBottom w:val="0"/>
      <w:divBdr>
        <w:top w:val="none" w:sz="0" w:space="0" w:color="auto"/>
        <w:left w:val="none" w:sz="0" w:space="0" w:color="auto"/>
        <w:bottom w:val="none" w:sz="0" w:space="0" w:color="auto"/>
        <w:right w:val="none" w:sz="0" w:space="0" w:color="auto"/>
      </w:divBdr>
    </w:div>
    <w:div w:id="1053575133">
      <w:bodyDiv w:val="1"/>
      <w:marLeft w:val="0"/>
      <w:marRight w:val="0"/>
      <w:marTop w:val="0"/>
      <w:marBottom w:val="0"/>
      <w:divBdr>
        <w:top w:val="none" w:sz="0" w:space="0" w:color="auto"/>
        <w:left w:val="none" w:sz="0" w:space="0" w:color="auto"/>
        <w:bottom w:val="none" w:sz="0" w:space="0" w:color="auto"/>
        <w:right w:val="none" w:sz="0" w:space="0" w:color="auto"/>
      </w:divBdr>
    </w:div>
    <w:div w:id="1072241813">
      <w:bodyDiv w:val="1"/>
      <w:marLeft w:val="0"/>
      <w:marRight w:val="0"/>
      <w:marTop w:val="0"/>
      <w:marBottom w:val="0"/>
      <w:divBdr>
        <w:top w:val="none" w:sz="0" w:space="0" w:color="auto"/>
        <w:left w:val="none" w:sz="0" w:space="0" w:color="auto"/>
        <w:bottom w:val="none" w:sz="0" w:space="0" w:color="auto"/>
        <w:right w:val="none" w:sz="0" w:space="0" w:color="auto"/>
      </w:divBdr>
    </w:div>
    <w:div w:id="1179081094">
      <w:bodyDiv w:val="1"/>
      <w:marLeft w:val="0"/>
      <w:marRight w:val="0"/>
      <w:marTop w:val="0"/>
      <w:marBottom w:val="0"/>
      <w:divBdr>
        <w:top w:val="none" w:sz="0" w:space="0" w:color="auto"/>
        <w:left w:val="none" w:sz="0" w:space="0" w:color="auto"/>
        <w:bottom w:val="none" w:sz="0" w:space="0" w:color="auto"/>
        <w:right w:val="none" w:sz="0" w:space="0" w:color="auto"/>
      </w:divBdr>
    </w:div>
    <w:div w:id="1234393752">
      <w:bodyDiv w:val="1"/>
      <w:marLeft w:val="0"/>
      <w:marRight w:val="0"/>
      <w:marTop w:val="0"/>
      <w:marBottom w:val="0"/>
      <w:divBdr>
        <w:top w:val="none" w:sz="0" w:space="0" w:color="auto"/>
        <w:left w:val="none" w:sz="0" w:space="0" w:color="auto"/>
        <w:bottom w:val="none" w:sz="0" w:space="0" w:color="auto"/>
        <w:right w:val="none" w:sz="0" w:space="0" w:color="auto"/>
      </w:divBdr>
    </w:div>
    <w:div w:id="1249656372">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399014181">
      <w:bodyDiv w:val="1"/>
      <w:marLeft w:val="0"/>
      <w:marRight w:val="0"/>
      <w:marTop w:val="0"/>
      <w:marBottom w:val="0"/>
      <w:divBdr>
        <w:top w:val="none" w:sz="0" w:space="0" w:color="auto"/>
        <w:left w:val="none" w:sz="0" w:space="0" w:color="auto"/>
        <w:bottom w:val="none" w:sz="0" w:space="0" w:color="auto"/>
        <w:right w:val="none" w:sz="0" w:space="0" w:color="auto"/>
      </w:divBdr>
    </w:div>
    <w:div w:id="1483304493">
      <w:bodyDiv w:val="1"/>
      <w:marLeft w:val="0"/>
      <w:marRight w:val="0"/>
      <w:marTop w:val="0"/>
      <w:marBottom w:val="0"/>
      <w:divBdr>
        <w:top w:val="none" w:sz="0" w:space="0" w:color="auto"/>
        <w:left w:val="none" w:sz="0" w:space="0" w:color="auto"/>
        <w:bottom w:val="none" w:sz="0" w:space="0" w:color="auto"/>
        <w:right w:val="none" w:sz="0" w:space="0" w:color="auto"/>
      </w:divBdr>
    </w:div>
    <w:div w:id="1597133232">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729105531">
      <w:bodyDiv w:val="1"/>
      <w:marLeft w:val="0"/>
      <w:marRight w:val="0"/>
      <w:marTop w:val="0"/>
      <w:marBottom w:val="0"/>
      <w:divBdr>
        <w:top w:val="none" w:sz="0" w:space="0" w:color="auto"/>
        <w:left w:val="none" w:sz="0" w:space="0" w:color="auto"/>
        <w:bottom w:val="none" w:sz="0" w:space="0" w:color="auto"/>
        <w:right w:val="none" w:sz="0" w:space="0" w:color="auto"/>
      </w:divBdr>
    </w:div>
    <w:div w:id="1731343882">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39274579">
      <w:bodyDiv w:val="1"/>
      <w:marLeft w:val="0"/>
      <w:marRight w:val="0"/>
      <w:marTop w:val="0"/>
      <w:marBottom w:val="0"/>
      <w:divBdr>
        <w:top w:val="none" w:sz="0" w:space="0" w:color="auto"/>
        <w:left w:val="none" w:sz="0" w:space="0" w:color="auto"/>
        <w:bottom w:val="none" w:sz="0" w:space="0" w:color="auto"/>
        <w:right w:val="none" w:sz="0" w:space="0" w:color="auto"/>
      </w:divBdr>
    </w:div>
    <w:div w:id="1958637568">
      <w:bodyDiv w:val="1"/>
      <w:marLeft w:val="0"/>
      <w:marRight w:val="0"/>
      <w:marTop w:val="0"/>
      <w:marBottom w:val="0"/>
      <w:divBdr>
        <w:top w:val="none" w:sz="0" w:space="0" w:color="auto"/>
        <w:left w:val="none" w:sz="0" w:space="0" w:color="auto"/>
        <w:bottom w:val="none" w:sz="0" w:space="0" w:color="auto"/>
        <w:right w:val="none" w:sz="0" w:space="0" w:color="auto"/>
      </w:divBdr>
    </w:div>
    <w:div w:id="2009408914">
      <w:bodyDiv w:val="1"/>
      <w:marLeft w:val="0"/>
      <w:marRight w:val="0"/>
      <w:marTop w:val="0"/>
      <w:marBottom w:val="0"/>
      <w:divBdr>
        <w:top w:val="none" w:sz="0" w:space="0" w:color="auto"/>
        <w:left w:val="none" w:sz="0" w:space="0" w:color="auto"/>
        <w:bottom w:val="none" w:sz="0" w:space="0" w:color="auto"/>
        <w:right w:val="none" w:sz="0" w:space="0" w:color="auto"/>
      </w:divBdr>
    </w:div>
    <w:div w:id="209512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9.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sanhonour.gov.au/coat-arms" TargetMode="External"/><Relationship Id="rId20" Type="http://schemas.openxmlformats.org/officeDocument/2006/relationships/footer" Target="footer4.xml"/><Relationship Id="rId29" Type="http://schemas.openxmlformats.org/officeDocument/2006/relationships/image" Target="media/image4.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7.jpeg"/><Relationship Id="rId37" Type="http://schemas.openxmlformats.org/officeDocument/2006/relationships/header" Target="header11.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nc-nd/3.0/au/" TargetMode="Externa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hyperlink" Target="https://aofm.gov.au/statistics/overview-of-portfolio/"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feedback@pbo.gov.au" TargetMode="External"/><Relationship Id="rId25" Type="http://schemas.openxmlformats.org/officeDocument/2006/relationships/header" Target="header8.xml"/><Relationship Id="rId33" Type="http://schemas.openxmlformats.org/officeDocument/2006/relationships/image" Target="media/image8.jpeg"/><Relationship Id="rId38" Type="http://schemas.openxmlformats.org/officeDocument/2006/relationships/footer" Target="footer9.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2.dotm" TargetMode="External"/></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83CBC-5CB8-4A4A-9D06-0FE4F7E1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G:\Core\Templates\2. Publications\PBO Research Report v2.dotm</Template>
  <TotalTime>3</TotalTime>
  <Pages>22</Pages>
  <Words>5428</Words>
  <Characters>30944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Investment Funds and Net Debt:</vt:lpstr>
    </vt:vector>
  </TitlesOfParts>
  <Company>Parliament of Australia</Company>
  <LinksUpToDate>false</LinksUpToDate>
  <CharactersWithSpaces>36300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Funds and Net Debt:</dc:title>
  <dc:subject>Trends and Balance Sheet Implications</dc:subject>
  <dc:creator>Gibson, Senan (PBO)</dc:creator>
  <cp:lastModifiedBy>Suzy Kuo</cp:lastModifiedBy>
  <cp:revision>3</cp:revision>
  <cp:lastPrinted>2019-03-13T05:01:00Z</cp:lastPrinted>
  <dcterms:created xsi:type="dcterms:W3CDTF">2019-03-14T00:58:00Z</dcterms:created>
  <dcterms:modified xsi:type="dcterms:W3CDTF">2019-03-14T01:04:00Z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DRAFT</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ies>
</file>