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bookmarkStart w:id="0" w:name="_GoBack"/>
      <w:bookmarkEnd w:id="0"/>
    </w:p>
    <w:tbl>
      <w:tblPr>
        <w:tblStyle w:val="TableAsPlaceholder"/>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961DBB" w:rsidTr="00C8728F">
        <w:trPr>
          <w:trHeight w:val="907"/>
        </w:trPr>
        <w:tc>
          <w:tcPr>
            <w:tcW w:w="8277" w:type="dxa"/>
          </w:tcPr>
          <w:p w:rsidR="00961DBB" w:rsidRDefault="005E4D59" w:rsidP="005E4D59">
            <w:pPr>
              <w:pStyle w:val="Title"/>
            </w:pPr>
            <w:r>
              <w:t>2017–18</w:t>
            </w:r>
            <w:r w:rsidR="00710169" w:rsidRPr="00710169">
              <w:t xml:space="preserve"> </w:t>
            </w:r>
            <w:r>
              <w:t>Budget</w:t>
            </w:r>
            <w:r w:rsidR="00710169" w:rsidRPr="00710169">
              <w:t xml:space="preserve"> — charts</w:t>
            </w:r>
          </w:p>
        </w:tc>
      </w:tr>
      <w:tr w:rsidR="00F20647" w:rsidTr="00C8728F">
        <w:trPr>
          <w:trHeight w:val="680"/>
        </w:trPr>
        <w:tc>
          <w:tcPr>
            <w:tcW w:w="8277" w:type="dxa"/>
          </w:tcPr>
          <w:p w:rsidR="00F20647" w:rsidRPr="006A7978" w:rsidRDefault="005E4D59" w:rsidP="00C02080">
            <w:pPr>
              <w:pStyle w:val="Title2"/>
            </w:pPr>
            <w:r>
              <w:t xml:space="preserve">A graphical summary of the </w:t>
            </w:r>
            <w:r w:rsidR="00C02080">
              <w:t>2017–18 Budget relative to the 2016–17 MYEFO, showing the impact of key policy decisions and other factors</w:t>
            </w:r>
            <w:r>
              <w:t xml:space="preserve"> </w:t>
            </w:r>
          </w:p>
        </w:tc>
      </w:tr>
      <w:tr w:rsidR="00195228" w:rsidTr="00C8728F">
        <w:trPr>
          <w:trHeight w:val="765"/>
        </w:trPr>
        <w:tc>
          <w:tcPr>
            <w:tcW w:w="8277" w:type="dxa"/>
          </w:tcPr>
          <w:p w:rsidR="00195228" w:rsidRPr="009541CC" w:rsidRDefault="000C0053" w:rsidP="005E4D59">
            <w:pPr>
              <w:pStyle w:val="Title3"/>
              <w:framePr w:wrap="auto" w:vAnchor="margin" w:hAnchor="text" w:yAlign="inline"/>
            </w:pPr>
            <w:r>
              <w:t xml:space="preserve">Date issued: </w:t>
            </w:r>
            <w:r w:rsidR="00AB2C69">
              <w:t>31</w:t>
            </w:r>
            <w:r w:rsidR="00F2122F" w:rsidRPr="00F2122F">
              <w:t xml:space="preserve"> </w:t>
            </w:r>
            <w:r w:rsidR="005E4D59">
              <w:t>May</w:t>
            </w:r>
            <w:r w:rsidR="00F2122F" w:rsidRPr="00F2122F">
              <w:t xml:space="preserve"> 201</w:t>
            </w:r>
            <w:r w:rsidR="00F2122F">
              <w:t>7</w:t>
            </w:r>
            <w:r w:rsidR="00F2122F" w:rsidRPr="00F2122F">
              <w:t xml:space="preserve"> </w:t>
            </w:r>
          </w:p>
        </w:tc>
      </w:tr>
    </w:tbl>
    <w:p w:rsidR="00961DBB" w:rsidRDefault="00961DBB" w:rsidP="00961DBB"/>
    <w:p w:rsidR="00961DBB" w:rsidRDefault="00961DBB">
      <w:pPr>
        <w:sectPr w:rsidR="00961DBB"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961DBB" w:rsidRDefault="00961DBB" w:rsidP="00961DBB"/>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Default="00961DBB" w:rsidP="00BB5013">
            <w:pPr>
              <w:pStyle w:val="xDisclaimerText2"/>
              <w:framePr w:hSpace="0" w:wrap="auto" w:hAnchor="text" w:yAlign="inline"/>
              <w:suppressOverlap w:val="0"/>
            </w:pPr>
            <w:bookmarkStart w:id="1" w:name="_DisclaimerMarker"/>
            <w:bookmarkEnd w:id="1"/>
            <w:r w:rsidRPr="00C77B5C">
              <w:t xml:space="preserve">© </w:t>
            </w:r>
            <w:r w:rsidRPr="0087390B">
              <w:t>Commonwealth</w:t>
            </w:r>
            <w:r w:rsidRPr="00C77B5C">
              <w:t xml:space="preserve"> of Australia</w:t>
            </w:r>
            <w:r w:rsidR="00F20647">
              <w:t xml:space="preserve"> </w:t>
            </w:r>
            <w:r w:rsidR="000C0053">
              <w:t>2017</w:t>
            </w:r>
          </w:p>
          <w:p w:rsidR="00FA5E66" w:rsidRPr="00BB5013" w:rsidRDefault="00FA5E66" w:rsidP="00FA5E66">
            <w:pPr>
              <w:pStyle w:val="xDisclaimerText2"/>
              <w:framePr w:hSpace="0" w:wrap="auto" w:hAnchor="text" w:yAlign="inline"/>
              <w:suppressOverlap w:val="0"/>
            </w:pPr>
            <w:r w:rsidRPr="008E314A">
              <w:t xml:space="preserve">ISSN </w:t>
            </w:r>
            <w:r w:rsidR="006A6418">
              <w:t>978-0-9953836-1-6</w:t>
            </w:r>
            <w:r w:rsidRPr="008E314A">
              <w:t xml:space="preserve"> (</w:t>
            </w:r>
            <w:r w:rsidRPr="00870C85">
              <w:t>Online</w:t>
            </w:r>
            <w:r w:rsidRPr="00C77B5C">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w:t>
            </w:r>
            <w:proofErr w:type="spellStart"/>
            <w:r w:rsidRPr="008E314A">
              <w:t>NonCommercial</w:t>
            </w:r>
            <w:proofErr w:type="spellEnd"/>
            <w:r w:rsidRPr="008E314A">
              <w:t>-</w:t>
            </w:r>
            <w:proofErr w:type="spellStart"/>
            <w:r w:rsidRPr="008E314A">
              <w:t>NoDerivs</w:t>
            </w:r>
            <w:proofErr w:type="spellEnd"/>
            <w:r w:rsidRPr="008E314A">
              <w:t xml:space="preserve">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6B9F167E" wp14:editId="512EDF4D">
                  <wp:extent cx="1079086" cy="37798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961DBB" w:rsidRDefault="00961DBB" w:rsidP="00BB5013">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3" w:history="1">
              <w:r w:rsidR="00BB5013" w:rsidRPr="00BB5013">
                <w:t>http://creativecommons.org/licenses/by-nc-nd/3.0/au/</w:t>
              </w:r>
            </w:hyperlink>
            <w:r w:rsidR="00BB5013">
              <w:t xml:space="preserve"> </w:t>
            </w:r>
          </w:p>
          <w:p w:rsidR="00961DBB" w:rsidRPr="00BB5013" w:rsidRDefault="00961DBB" w:rsidP="00BB5013">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961DBB" w:rsidRDefault="00961DBB" w:rsidP="00BB5013">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hyperlink r:id="rId14" w:history="1">
              <w:r w:rsidR="00BB5013" w:rsidRPr="00BB5013">
                <w:t>www.itsanhonour.gov.au/coat-arms</w:t>
              </w:r>
            </w:hyperlink>
            <w:r w:rsidR="00BB5013">
              <w:t xml:space="preserve"> </w:t>
            </w:r>
          </w:p>
          <w:p w:rsidR="00FA5E66" w:rsidRDefault="00FA5E66" w:rsidP="00FA5E66">
            <w:pPr>
              <w:pStyle w:val="xDisclaimerText"/>
            </w:pPr>
            <w:r w:rsidRPr="00D429BD">
              <w:rPr>
                <w:rStyle w:val="xDisclaimerHeadingwithxDisclaimerTextChar"/>
              </w:rPr>
              <w:t>Produced by:</w:t>
            </w:r>
            <w:r>
              <w:t xml:space="preserve"> </w:t>
            </w:r>
            <w:r w:rsidRPr="00BB5013">
              <w:t>Parliamentary</w:t>
            </w:r>
            <w:r>
              <w:t xml:space="preserve"> Budget Office</w:t>
            </w:r>
          </w:p>
          <w:p w:rsidR="00FA5E66" w:rsidRPr="00BB5013" w:rsidRDefault="00FA5E66" w:rsidP="00FA5E66">
            <w:pPr>
              <w:pStyle w:val="xDisclaimerText"/>
            </w:pPr>
            <w:r w:rsidRPr="00D429BD">
              <w:rPr>
                <w:rStyle w:val="xDisclaimerHeadingwithxDisclaimerTextChar"/>
              </w:rPr>
              <w:t>Designed by:</w:t>
            </w:r>
            <w:r>
              <w:t xml:space="preserve"> </w:t>
            </w:r>
            <w:r w:rsidRPr="00BB5013">
              <w:fldChar w:fldCharType="begin"/>
            </w:r>
            <w:r w:rsidRPr="00BB5013">
              <w:instrText xml:space="preserve"> Macrobutton NoMacro Wilton Hanford Hanover</w:instrText>
            </w:r>
            <w:r w:rsidRPr="00BB5013">
              <w:fldChar w:fldCharType="end"/>
            </w:r>
          </w:p>
          <w:p w:rsidR="00961DBB" w:rsidRPr="008E03E8" w:rsidRDefault="001F4899" w:rsidP="008E03E8">
            <w:pPr>
              <w:pStyle w:val="xDisclaimerText"/>
              <w:spacing w:before="360"/>
              <w:rPr>
                <w:b/>
              </w:rPr>
            </w:pPr>
            <w:r w:rsidRPr="008E03E8">
              <w:rPr>
                <w:b/>
              </w:rPr>
              <w:t xml:space="preserve">First </w:t>
            </w:r>
            <w:r w:rsidR="006941B6" w:rsidRPr="008E03E8">
              <w:rPr>
                <w:b/>
              </w:rPr>
              <w:t>Assistant Parliamentary Budget Officer</w:t>
            </w:r>
          </w:p>
          <w:p w:rsidR="00961DBB" w:rsidRPr="008E314A" w:rsidRDefault="006941B6" w:rsidP="0087390B">
            <w:pPr>
              <w:pStyle w:val="xDisclaimerText"/>
            </w:pPr>
            <w:r>
              <w:t xml:space="preserve">Fiscal Policy Analysis </w:t>
            </w:r>
            <w:r w:rsidR="008E03E8">
              <w:t>Division</w:t>
            </w:r>
          </w:p>
          <w:p w:rsidR="00961DBB" w:rsidRDefault="00961DBB" w:rsidP="0087390B">
            <w:pPr>
              <w:pStyle w:val="xDisclaimerText2"/>
              <w:framePr w:hSpace="0" w:wrap="auto" w:hAnchor="text" w:yAlign="inline"/>
              <w:suppressOverlap w:val="0"/>
            </w:pPr>
            <w:r w:rsidRPr="008E314A">
              <w:t>Parliamentary Budget</w:t>
            </w:r>
            <w:r>
              <w:t xml:space="preserve"> Office</w:t>
            </w:r>
          </w:p>
          <w:p w:rsidR="00961DBB" w:rsidRPr="008E314A" w:rsidRDefault="00961DBB" w:rsidP="0087390B">
            <w:pPr>
              <w:pStyle w:val="xDisclaimerText"/>
            </w:pPr>
            <w:r w:rsidRPr="008E314A">
              <w:t>Parliament House</w:t>
            </w:r>
          </w:p>
          <w:p w:rsidR="00961DBB" w:rsidRPr="008E314A" w:rsidRDefault="00961DBB" w:rsidP="0087390B">
            <w:pPr>
              <w:pStyle w:val="xDisclaimerText"/>
            </w:pPr>
            <w:r w:rsidRPr="008E314A">
              <w:t>PO Box 6010</w:t>
            </w:r>
          </w:p>
          <w:p w:rsidR="00961DBB" w:rsidRDefault="00961DBB" w:rsidP="0087390B">
            <w:pPr>
              <w:pStyle w:val="xDisclaimerText2"/>
              <w:framePr w:hSpace="0" w:wrap="auto" w:hAnchor="text" w:yAlign="inline"/>
              <w:suppressOverlap w:val="0"/>
            </w:pPr>
            <w:r w:rsidRPr="008E314A">
              <w:t>CANBERRA ACT</w:t>
            </w:r>
            <w:r>
              <w:t xml:space="preserve"> 2600</w:t>
            </w:r>
          </w:p>
          <w:p w:rsidR="00961DBB" w:rsidRPr="008E314A" w:rsidRDefault="00961DBB" w:rsidP="0087390B">
            <w:pPr>
              <w:pStyle w:val="xDisclaimerText"/>
            </w:pPr>
            <w:r>
              <w:t xml:space="preserve">Phone: (02) </w:t>
            </w:r>
            <w:r w:rsidRPr="008E314A">
              <w:t>6277 9500</w:t>
            </w:r>
          </w:p>
          <w:p w:rsidR="00961DBB" w:rsidRDefault="00961DBB" w:rsidP="0087390B">
            <w:pPr>
              <w:pStyle w:val="xDisclaimerText"/>
            </w:pPr>
            <w:r w:rsidRPr="008E314A">
              <w:t>Email: pbo@pbo.gov</w:t>
            </w:r>
            <w:r>
              <w:t>.au</w:t>
            </w:r>
          </w:p>
        </w:tc>
      </w:tr>
    </w:tbl>
    <w:p w:rsidR="00961DBB" w:rsidRDefault="00961DBB" w:rsidP="00961DBB"/>
    <w:p w:rsidR="00961DBB" w:rsidRDefault="00961DBB">
      <w:pPr>
        <w:sectPr w:rsidR="00961DBB" w:rsidSect="00710169">
          <w:headerReference w:type="even" r:id="rId15"/>
          <w:headerReference w:type="default" r:id="rId16"/>
          <w:footerReference w:type="default" r:id="rId17"/>
          <w:pgSz w:w="11906" w:h="16838" w:code="9"/>
          <w:pgMar w:top="1361" w:right="1797" w:bottom="1474" w:left="1797" w:header="284" w:footer="454" w:gutter="0"/>
          <w:pgNumType w:fmt="lowerRoman"/>
          <w:cols w:space="708"/>
          <w:docGrid w:linePitch="360"/>
        </w:sectPr>
      </w:pPr>
    </w:p>
    <w:p w:rsidR="00961DBB" w:rsidRPr="00733970" w:rsidRDefault="00903E3F" w:rsidP="00733970">
      <w:pPr>
        <w:pStyle w:val="TOCHeading"/>
      </w:pPr>
      <w:r w:rsidRPr="00903E3F">
        <w:lastRenderedPageBreak/>
        <w:t>Contents</w:t>
      </w:r>
      <w:bookmarkStart w:id="2" w:name="_TOCMarker"/>
      <w:bookmarkEnd w:id="2"/>
    </w:p>
    <w:p w:rsidR="00EF26C5" w:rsidRDefault="00903E3F">
      <w:pPr>
        <w:pStyle w:val="TOC1"/>
        <w:rPr>
          <w:rFonts w:eastAsiaTheme="minorEastAsia"/>
          <w:b w:val="0"/>
          <w:color w:val="auto"/>
          <w:lang w:eastAsia="en-AU"/>
        </w:rPr>
      </w:pPr>
      <w:r>
        <w:fldChar w:fldCharType="begin"/>
      </w:r>
      <w:r>
        <w:instrText xml:space="preserve"> TOC  \h \z \t "</w:instrText>
      </w:r>
      <w:r w:rsidR="00085F97">
        <w:instrText>Heading 1,1,Heading 1 No Numbering,1,Heading 2,2, Heading 3,3,</w:instrText>
      </w:r>
      <w:r>
        <w:instrText xml:space="preserve">Section Heading,5" </w:instrText>
      </w:r>
      <w:r>
        <w:fldChar w:fldCharType="separate"/>
      </w:r>
      <w:hyperlink w:anchor="_Toc483816455" w:history="1">
        <w:r w:rsidR="00EF26C5" w:rsidRPr="003B279A">
          <w:rPr>
            <w:rStyle w:val="Hyperlink"/>
          </w:rPr>
          <w:t>Notes</w:t>
        </w:r>
        <w:r w:rsidR="00EF26C5">
          <w:rPr>
            <w:webHidden/>
          </w:rPr>
          <w:tab/>
        </w:r>
        <w:r w:rsidR="00EF26C5">
          <w:rPr>
            <w:webHidden/>
          </w:rPr>
          <w:fldChar w:fldCharType="begin"/>
        </w:r>
        <w:r w:rsidR="00EF26C5">
          <w:rPr>
            <w:webHidden/>
          </w:rPr>
          <w:instrText xml:space="preserve"> PAGEREF _Toc483816455 \h </w:instrText>
        </w:r>
        <w:r w:rsidR="00EF26C5">
          <w:rPr>
            <w:webHidden/>
          </w:rPr>
        </w:r>
        <w:r w:rsidR="00EF26C5">
          <w:rPr>
            <w:webHidden/>
          </w:rPr>
          <w:fldChar w:fldCharType="separate"/>
        </w:r>
        <w:r w:rsidR="005570EB">
          <w:rPr>
            <w:webHidden/>
          </w:rPr>
          <w:t>1</w:t>
        </w:r>
        <w:r w:rsidR="00EF26C5">
          <w:rPr>
            <w:webHidden/>
          </w:rPr>
          <w:fldChar w:fldCharType="end"/>
        </w:r>
      </w:hyperlink>
    </w:p>
    <w:p w:rsidR="00EF26C5" w:rsidRDefault="00944580">
      <w:pPr>
        <w:pStyle w:val="TOC1"/>
        <w:rPr>
          <w:rFonts w:eastAsiaTheme="minorEastAsia"/>
          <w:b w:val="0"/>
          <w:color w:val="auto"/>
          <w:lang w:eastAsia="en-AU"/>
        </w:rPr>
      </w:pPr>
      <w:hyperlink w:anchor="_Toc483816456" w:history="1">
        <w:r w:rsidR="00EF26C5" w:rsidRPr="003B279A">
          <w:rPr>
            <w:rStyle w:val="Hyperlink"/>
          </w:rPr>
          <w:t>Underlying cash balance</w:t>
        </w:r>
        <w:r w:rsidR="00EF26C5">
          <w:rPr>
            <w:webHidden/>
          </w:rPr>
          <w:tab/>
        </w:r>
        <w:r w:rsidR="00EF26C5">
          <w:rPr>
            <w:webHidden/>
          </w:rPr>
          <w:fldChar w:fldCharType="begin"/>
        </w:r>
        <w:r w:rsidR="00EF26C5">
          <w:rPr>
            <w:webHidden/>
          </w:rPr>
          <w:instrText xml:space="preserve"> PAGEREF _Toc483816456 \h </w:instrText>
        </w:r>
        <w:r w:rsidR="00EF26C5">
          <w:rPr>
            <w:webHidden/>
          </w:rPr>
        </w:r>
        <w:r w:rsidR="00EF26C5">
          <w:rPr>
            <w:webHidden/>
          </w:rPr>
          <w:fldChar w:fldCharType="separate"/>
        </w:r>
        <w:r w:rsidR="005570EB">
          <w:rPr>
            <w:webHidden/>
          </w:rPr>
          <w:t>3</w:t>
        </w:r>
        <w:r w:rsidR="00EF26C5">
          <w:rPr>
            <w:webHidden/>
          </w:rPr>
          <w:fldChar w:fldCharType="end"/>
        </w:r>
      </w:hyperlink>
    </w:p>
    <w:p w:rsidR="00EF26C5" w:rsidRDefault="00944580">
      <w:pPr>
        <w:pStyle w:val="TOC1"/>
        <w:rPr>
          <w:rFonts w:eastAsiaTheme="minorEastAsia"/>
          <w:b w:val="0"/>
          <w:color w:val="auto"/>
          <w:lang w:eastAsia="en-AU"/>
        </w:rPr>
      </w:pPr>
      <w:hyperlink w:anchor="_Toc483816457" w:history="1">
        <w:r w:rsidR="00EF26C5" w:rsidRPr="003B279A">
          <w:rPr>
            <w:rStyle w:val="Hyperlink"/>
          </w:rPr>
          <w:t>Total receipts</w:t>
        </w:r>
        <w:r w:rsidR="00EF26C5">
          <w:rPr>
            <w:webHidden/>
          </w:rPr>
          <w:tab/>
        </w:r>
        <w:r w:rsidR="00EF26C5">
          <w:rPr>
            <w:webHidden/>
          </w:rPr>
          <w:fldChar w:fldCharType="begin"/>
        </w:r>
        <w:r w:rsidR="00EF26C5">
          <w:rPr>
            <w:webHidden/>
          </w:rPr>
          <w:instrText xml:space="preserve"> PAGEREF _Toc483816457 \h </w:instrText>
        </w:r>
        <w:r w:rsidR="00EF26C5">
          <w:rPr>
            <w:webHidden/>
          </w:rPr>
        </w:r>
        <w:r w:rsidR="00EF26C5">
          <w:rPr>
            <w:webHidden/>
          </w:rPr>
          <w:fldChar w:fldCharType="separate"/>
        </w:r>
        <w:r w:rsidR="005570EB">
          <w:rPr>
            <w:webHidden/>
          </w:rPr>
          <w:t>4</w:t>
        </w:r>
        <w:r w:rsidR="00EF26C5">
          <w:rPr>
            <w:webHidden/>
          </w:rPr>
          <w:fldChar w:fldCharType="end"/>
        </w:r>
      </w:hyperlink>
    </w:p>
    <w:p w:rsidR="00EF26C5" w:rsidRDefault="00944580">
      <w:pPr>
        <w:pStyle w:val="TOC1"/>
        <w:rPr>
          <w:rFonts w:eastAsiaTheme="minorEastAsia"/>
          <w:b w:val="0"/>
          <w:color w:val="auto"/>
          <w:lang w:eastAsia="en-AU"/>
        </w:rPr>
      </w:pPr>
      <w:hyperlink w:anchor="_Toc483816458" w:history="1">
        <w:r w:rsidR="00EF26C5" w:rsidRPr="003B279A">
          <w:rPr>
            <w:rStyle w:val="Hyperlink"/>
          </w:rPr>
          <w:t>Total payments</w:t>
        </w:r>
        <w:r w:rsidR="00EF26C5">
          <w:rPr>
            <w:webHidden/>
          </w:rPr>
          <w:tab/>
        </w:r>
        <w:r w:rsidR="00EF26C5">
          <w:rPr>
            <w:webHidden/>
          </w:rPr>
          <w:fldChar w:fldCharType="begin"/>
        </w:r>
        <w:r w:rsidR="00EF26C5">
          <w:rPr>
            <w:webHidden/>
          </w:rPr>
          <w:instrText xml:space="preserve"> PAGEREF _Toc483816458 \h </w:instrText>
        </w:r>
        <w:r w:rsidR="00EF26C5">
          <w:rPr>
            <w:webHidden/>
          </w:rPr>
        </w:r>
        <w:r w:rsidR="00EF26C5">
          <w:rPr>
            <w:webHidden/>
          </w:rPr>
          <w:fldChar w:fldCharType="separate"/>
        </w:r>
        <w:r w:rsidR="005570EB">
          <w:rPr>
            <w:webHidden/>
          </w:rPr>
          <w:t>5</w:t>
        </w:r>
        <w:r w:rsidR="00EF26C5">
          <w:rPr>
            <w:webHidden/>
          </w:rPr>
          <w:fldChar w:fldCharType="end"/>
        </w:r>
      </w:hyperlink>
    </w:p>
    <w:p w:rsidR="00EF26C5" w:rsidRDefault="00944580">
      <w:pPr>
        <w:pStyle w:val="TOC1"/>
        <w:rPr>
          <w:rFonts w:eastAsiaTheme="minorEastAsia"/>
          <w:b w:val="0"/>
          <w:color w:val="auto"/>
          <w:lang w:eastAsia="en-AU"/>
        </w:rPr>
      </w:pPr>
      <w:hyperlink w:anchor="_Toc483816459" w:history="1">
        <w:r w:rsidR="00EF26C5" w:rsidRPr="003B279A">
          <w:rPr>
            <w:rStyle w:val="Hyperlink"/>
          </w:rPr>
          <w:t>Revenue – individuals and other withholding taxes</w:t>
        </w:r>
        <w:r w:rsidR="00EF26C5">
          <w:rPr>
            <w:webHidden/>
          </w:rPr>
          <w:tab/>
        </w:r>
        <w:r w:rsidR="00EF26C5">
          <w:rPr>
            <w:webHidden/>
          </w:rPr>
          <w:fldChar w:fldCharType="begin"/>
        </w:r>
        <w:r w:rsidR="00EF26C5">
          <w:rPr>
            <w:webHidden/>
          </w:rPr>
          <w:instrText xml:space="preserve"> PAGEREF _Toc483816459 \h </w:instrText>
        </w:r>
        <w:r w:rsidR="00EF26C5">
          <w:rPr>
            <w:webHidden/>
          </w:rPr>
        </w:r>
        <w:r w:rsidR="00EF26C5">
          <w:rPr>
            <w:webHidden/>
          </w:rPr>
          <w:fldChar w:fldCharType="separate"/>
        </w:r>
        <w:r w:rsidR="005570EB">
          <w:rPr>
            <w:webHidden/>
          </w:rPr>
          <w:t>6</w:t>
        </w:r>
        <w:r w:rsidR="00EF26C5">
          <w:rPr>
            <w:webHidden/>
          </w:rPr>
          <w:fldChar w:fldCharType="end"/>
        </w:r>
      </w:hyperlink>
    </w:p>
    <w:p w:rsidR="00EF26C5" w:rsidRDefault="00944580">
      <w:pPr>
        <w:pStyle w:val="TOC1"/>
        <w:rPr>
          <w:rFonts w:eastAsiaTheme="minorEastAsia"/>
          <w:b w:val="0"/>
          <w:color w:val="auto"/>
          <w:lang w:eastAsia="en-AU"/>
        </w:rPr>
      </w:pPr>
      <w:hyperlink w:anchor="_Toc483816460" w:history="1">
        <w:r w:rsidR="00EF26C5" w:rsidRPr="003B279A">
          <w:rPr>
            <w:rStyle w:val="Hyperlink"/>
          </w:rPr>
          <w:t>Revenue – company tax</w:t>
        </w:r>
        <w:r w:rsidR="00EF26C5">
          <w:rPr>
            <w:webHidden/>
          </w:rPr>
          <w:tab/>
        </w:r>
        <w:r w:rsidR="00EF26C5">
          <w:rPr>
            <w:webHidden/>
          </w:rPr>
          <w:fldChar w:fldCharType="begin"/>
        </w:r>
        <w:r w:rsidR="00EF26C5">
          <w:rPr>
            <w:webHidden/>
          </w:rPr>
          <w:instrText xml:space="preserve"> PAGEREF _Toc483816460 \h </w:instrText>
        </w:r>
        <w:r w:rsidR="00EF26C5">
          <w:rPr>
            <w:webHidden/>
          </w:rPr>
        </w:r>
        <w:r w:rsidR="00EF26C5">
          <w:rPr>
            <w:webHidden/>
          </w:rPr>
          <w:fldChar w:fldCharType="separate"/>
        </w:r>
        <w:r w:rsidR="005570EB">
          <w:rPr>
            <w:webHidden/>
          </w:rPr>
          <w:t>7</w:t>
        </w:r>
        <w:r w:rsidR="00EF26C5">
          <w:rPr>
            <w:webHidden/>
          </w:rPr>
          <w:fldChar w:fldCharType="end"/>
        </w:r>
      </w:hyperlink>
    </w:p>
    <w:p w:rsidR="00EF26C5" w:rsidRDefault="00944580">
      <w:pPr>
        <w:pStyle w:val="TOC1"/>
        <w:rPr>
          <w:rFonts w:eastAsiaTheme="minorEastAsia"/>
          <w:b w:val="0"/>
          <w:color w:val="auto"/>
          <w:lang w:eastAsia="en-AU"/>
        </w:rPr>
      </w:pPr>
      <w:hyperlink w:anchor="_Toc483816461" w:history="1">
        <w:r w:rsidR="00EF26C5" w:rsidRPr="003B279A">
          <w:rPr>
            <w:rStyle w:val="Hyperlink"/>
          </w:rPr>
          <w:t>Revenue – goods and services tax</w:t>
        </w:r>
        <w:r w:rsidR="00EF26C5">
          <w:rPr>
            <w:webHidden/>
          </w:rPr>
          <w:tab/>
        </w:r>
        <w:r w:rsidR="00EF26C5">
          <w:rPr>
            <w:webHidden/>
          </w:rPr>
          <w:fldChar w:fldCharType="begin"/>
        </w:r>
        <w:r w:rsidR="00EF26C5">
          <w:rPr>
            <w:webHidden/>
          </w:rPr>
          <w:instrText xml:space="preserve"> PAGEREF _Toc483816461 \h </w:instrText>
        </w:r>
        <w:r w:rsidR="00EF26C5">
          <w:rPr>
            <w:webHidden/>
          </w:rPr>
        </w:r>
        <w:r w:rsidR="00EF26C5">
          <w:rPr>
            <w:webHidden/>
          </w:rPr>
          <w:fldChar w:fldCharType="separate"/>
        </w:r>
        <w:r w:rsidR="005570EB">
          <w:rPr>
            <w:webHidden/>
          </w:rPr>
          <w:t>8</w:t>
        </w:r>
        <w:r w:rsidR="00EF26C5">
          <w:rPr>
            <w:webHidden/>
          </w:rPr>
          <w:fldChar w:fldCharType="end"/>
        </w:r>
      </w:hyperlink>
    </w:p>
    <w:p w:rsidR="00EF26C5" w:rsidRDefault="00944580">
      <w:pPr>
        <w:pStyle w:val="TOC1"/>
        <w:rPr>
          <w:rFonts w:eastAsiaTheme="minorEastAsia"/>
          <w:b w:val="0"/>
          <w:color w:val="auto"/>
          <w:lang w:eastAsia="en-AU"/>
        </w:rPr>
      </w:pPr>
      <w:hyperlink w:anchor="_Toc483816462" w:history="1">
        <w:r w:rsidR="00EF26C5" w:rsidRPr="003B279A">
          <w:rPr>
            <w:rStyle w:val="Hyperlink"/>
          </w:rPr>
          <w:t>Revenue – major bank levy</w:t>
        </w:r>
        <w:r w:rsidR="00EF26C5">
          <w:rPr>
            <w:webHidden/>
          </w:rPr>
          <w:tab/>
        </w:r>
        <w:r w:rsidR="00EF26C5">
          <w:rPr>
            <w:webHidden/>
          </w:rPr>
          <w:fldChar w:fldCharType="begin"/>
        </w:r>
        <w:r w:rsidR="00EF26C5">
          <w:rPr>
            <w:webHidden/>
          </w:rPr>
          <w:instrText xml:space="preserve"> PAGEREF _Toc483816462 \h </w:instrText>
        </w:r>
        <w:r w:rsidR="00EF26C5">
          <w:rPr>
            <w:webHidden/>
          </w:rPr>
        </w:r>
        <w:r w:rsidR="00EF26C5">
          <w:rPr>
            <w:webHidden/>
          </w:rPr>
          <w:fldChar w:fldCharType="separate"/>
        </w:r>
        <w:r w:rsidR="005570EB">
          <w:rPr>
            <w:webHidden/>
          </w:rPr>
          <w:t>9</w:t>
        </w:r>
        <w:r w:rsidR="00EF26C5">
          <w:rPr>
            <w:webHidden/>
          </w:rPr>
          <w:fldChar w:fldCharType="end"/>
        </w:r>
      </w:hyperlink>
    </w:p>
    <w:p w:rsidR="00EF26C5" w:rsidRDefault="00944580">
      <w:pPr>
        <w:pStyle w:val="TOC1"/>
        <w:rPr>
          <w:rFonts w:eastAsiaTheme="minorEastAsia"/>
          <w:b w:val="0"/>
          <w:color w:val="auto"/>
          <w:lang w:eastAsia="en-AU"/>
        </w:rPr>
      </w:pPr>
      <w:hyperlink w:anchor="_Toc483816463" w:history="1">
        <w:r w:rsidR="00EF26C5" w:rsidRPr="003B279A">
          <w:rPr>
            <w:rStyle w:val="Hyperlink"/>
          </w:rPr>
          <w:t>Revenue – non-tax revenue</w:t>
        </w:r>
        <w:r w:rsidR="00EF26C5">
          <w:rPr>
            <w:webHidden/>
          </w:rPr>
          <w:tab/>
        </w:r>
        <w:r w:rsidR="00EF26C5">
          <w:rPr>
            <w:webHidden/>
          </w:rPr>
          <w:fldChar w:fldCharType="begin"/>
        </w:r>
        <w:r w:rsidR="00EF26C5">
          <w:rPr>
            <w:webHidden/>
          </w:rPr>
          <w:instrText xml:space="preserve"> PAGEREF _Toc483816463 \h </w:instrText>
        </w:r>
        <w:r w:rsidR="00EF26C5">
          <w:rPr>
            <w:webHidden/>
          </w:rPr>
        </w:r>
        <w:r w:rsidR="00EF26C5">
          <w:rPr>
            <w:webHidden/>
          </w:rPr>
          <w:fldChar w:fldCharType="separate"/>
        </w:r>
        <w:r w:rsidR="005570EB">
          <w:rPr>
            <w:webHidden/>
          </w:rPr>
          <w:t>10</w:t>
        </w:r>
        <w:r w:rsidR="00EF26C5">
          <w:rPr>
            <w:webHidden/>
          </w:rPr>
          <w:fldChar w:fldCharType="end"/>
        </w:r>
      </w:hyperlink>
    </w:p>
    <w:p w:rsidR="00EF26C5" w:rsidRDefault="00944580">
      <w:pPr>
        <w:pStyle w:val="TOC1"/>
        <w:rPr>
          <w:rFonts w:eastAsiaTheme="minorEastAsia"/>
          <w:b w:val="0"/>
          <w:color w:val="auto"/>
          <w:lang w:eastAsia="en-AU"/>
        </w:rPr>
      </w:pPr>
      <w:hyperlink w:anchor="_Toc483816464" w:history="1">
        <w:r w:rsidR="00EF26C5" w:rsidRPr="003B279A">
          <w:rPr>
            <w:rStyle w:val="Hyperlink"/>
          </w:rPr>
          <w:t>Expenses – Family Tax Benefit</w:t>
        </w:r>
        <w:r w:rsidR="00EF26C5">
          <w:rPr>
            <w:webHidden/>
          </w:rPr>
          <w:tab/>
        </w:r>
        <w:r w:rsidR="00EF26C5">
          <w:rPr>
            <w:webHidden/>
          </w:rPr>
          <w:fldChar w:fldCharType="begin"/>
        </w:r>
        <w:r w:rsidR="00EF26C5">
          <w:rPr>
            <w:webHidden/>
          </w:rPr>
          <w:instrText xml:space="preserve"> PAGEREF _Toc483816464 \h </w:instrText>
        </w:r>
        <w:r w:rsidR="00EF26C5">
          <w:rPr>
            <w:webHidden/>
          </w:rPr>
        </w:r>
        <w:r w:rsidR="00EF26C5">
          <w:rPr>
            <w:webHidden/>
          </w:rPr>
          <w:fldChar w:fldCharType="separate"/>
        </w:r>
        <w:r w:rsidR="005570EB">
          <w:rPr>
            <w:webHidden/>
          </w:rPr>
          <w:t>11</w:t>
        </w:r>
        <w:r w:rsidR="00EF26C5">
          <w:rPr>
            <w:webHidden/>
          </w:rPr>
          <w:fldChar w:fldCharType="end"/>
        </w:r>
      </w:hyperlink>
    </w:p>
    <w:p w:rsidR="00EF26C5" w:rsidRDefault="00944580">
      <w:pPr>
        <w:pStyle w:val="TOC1"/>
        <w:rPr>
          <w:rFonts w:eastAsiaTheme="minorEastAsia"/>
          <w:b w:val="0"/>
          <w:color w:val="auto"/>
          <w:lang w:eastAsia="en-AU"/>
        </w:rPr>
      </w:pPr>
      <w:hyperlink w:anchor="_Toc483816465" w:history="1">
        <w:r w:rsidR="00EF26C5" w:rsidRPr="003B279A">
          <w:rPr>
            <w:rStyle w:val="Hyperlink"/>
          </w:rPr>
          <w:t>Expenses – Disability Support Pension</w:t>
        </w:r>
        <w:r w:rsidR="00EF26C5">
          <w:rPr>
            <w:webHidden/>
          </w:rPr>
          <w:tab/>
        </w:r>
        <w:r w:rsidR="00EF26C5">
          <w:rPr>
            <w:webHidden/>
          </w:rPr>
          <w:fldChar w:fldCharType="begin"/>
        </w:r>
        <w:r w:rsidR="00EF26C5">
          <w:rPr>
            <w:webHidden/>
          </w:rPr>
          <w:instrText xml:space="preserve"> PAGEREF _Toc483816465 \h </w:instrText>
        </w:r>
        <w:r w:rsidR="00EF26C5">
          <w:rPr>
            <w:webHidden/>
          </w:rPr>
        </w:r>
        <w:r w:rsidR="00EF26C5">
          <w:rPr>
            <w:webHidden/>
          </w:rPr>
          <w:fldChar w:fldCharType="separate"/>
        </w:r>
        <w:r w:rsidR="005570EB">
          <w:rPr>
            <w:webHidden/>
          </w:rPr>
          <w:t>12</w:t>
        </w:r>
        <w:r w:rsidR="00EF26C5">
          <w:rPr>
            <w:webHidden/>
          </w:rPr>
          <w:fldChar w:fldCharType="end"/>
        </w:r>
      </w:hyperlink>
    </w:p>
    <w:p w:rsidR="00EF26C5" w:rsidRDefault="00944580">
      <w:pPr>
        <w:pStyle w:val="TOC1"/>
        <w:rPr>
          <w:rFonts w:eastAsiaTheme="minorEastAsia"/>
          <w:b w:val="0"/>
          <w:color w:val="auto"/>
          <w:lang w:eastAsia="en-AU"/>
        </w:rPr>
      </w:pPr>
      <w:hyperlink w:anchor="_Toc483816466" w:history="1">
        <w:r w:rsidR="00EF26C5" w:rsidRPr="003B279A">
          <w:rPr>
            <w:rStyle w:val="Hyperlink"/>
          </w:rPr>
          <w:t>Expenses – job seeker income support</w:t>
        </w:r>
        <w:r w:rsidR="00EF26C5">
          <w:rPr>
            <w:webHidden/>
          </w:rPr>
          <w:tab/>
        </w:r>
        <w:r w:rsidR="00EF26C5">
          <w:rPr>
            <w:webHidden/>
          </w:rPr>
          <w:fldChar w:fldCharType="begin"/>
        </w:r>
        <w:r w:rsidR="00EF26C5">
          <w:rPr>
            <w:webHidden/>
          </w:rPr>
          <w:instrText xml:space="preserve"> PAGEREF _Toc483816466 \h </w:instrText>
        </w:r>
        <w:r w:rsidR="00EF26C5">
          <w:rPr>
            <w:webHidden/>
          </w:rPr>
        </w:r>
        <w:r w:rsidR="00EF26C5">
          <w:rPr>
            <w:webHidden/>
          </w:rPr>
          <w:fldChar w:fldCharType="separate"/>
        </w:r>
        <w:r w:rsidR="005570EB">
          <w:rPr>
            <w:webHidden/>
          </w:rPr>
          <w:t>13</w:t>
        </w:r>
        <w:r w:rsidR="00EF26C5">
          <w:rPr>
            <w:webHidden/>
          </w:rPr>
          <w:fldChar w:fldCharType="end"/>
        </w:r>
      </w:hyperlink>
    </w:p>
    <w:p w:rsidR="00EF26C5" w:rsidRDefault="00944580">
      <w:pPr>
        <w:pStyle w:val="TOC1"/>
        <w:rPr>
          <w:rFonts w:eastAsiaTheme="minorEastAsia"/>
          <w:b w:val="0"/>
          <w:color w:val="auto"/>
          <w:lang w:eastAsia="en-AU"/>
        </w:rPr>
      </w:pPr>
      <w:hyperlink w:anchor="_Toc483816467" w:history="1">
        <w:r w:rsidR="00EF26C5" w:rsidRPr="003B279A">
          <w:rPr>
            <w:rStyle w:val="Hyperlink"/>
          </w:rPr>
          <w:t>Expenses – National Disability Insurance Scheme</w:t>
        </w:r>
        <w:r w:rsidR="00EF26C5">
          <w:rPr>
            <w:webHidden/>
          </w:rPr>
          <w:tab/>
        </w:r>
        <w:r w:rsidR="00EF26C5">
          <w:rPr>
            <w:webHidden/>
          </w:rPr>
          <w:fldChar w:fldCharType="begin"/>
        </w:r>
        <w:r w:rsidR="00EF26C5">
          <w:rPr>
            <w:webHidden/>
          </w:rPr>
          <w:instrText xml:space="preserve"> PAGEREF _Toc483816467 \h </w:instrText>
        </w:r>
        <w:r w:rsidR="00EF26C5">
          <w:rPr>
            <w:webHidden/>
          </w:rPr>
        </w:r>
        <w:r w:rsidR="00EF26C5">
          <w:rPr>
            <w:webHidden/>
          </w:rPr>
          <w:fldChar w:fldCharType="separate"/>
        </w:r>
        <w:r w:rsidR="005570EB">
          <w:rPr>
            <w:webHidden/>
          </w:rPr>
          <w:t>14</w:t>
        </w:r>
        <w:r w:rsidR="00EF26C5">
          <w:rPr>
            <w:webHidden/>
          </w:rPr>
          <w:fldChar w:fldCharType="end"/>
        </w:r>
      </w:hyperlink>
    </w:p>
    <w:p w:rsidR="00EF26C5" w:rsidRDefault="00944580">
      <w:pPr>
        <w:pStyle w:val="TOC1"/>
        <w:rPr>
          <w:rFonts w:eastAsiaTheme="minorEastAsia"/>
          <w:b w:val="0"/>
          <w:color w:val="auto"/>
          <w:lang w:eastAsia="en-AU"/>
        </w:rPr>
      </w:pPr>
      <w:hyperlink w:anchor="_Toc483816468" w:history="1">
        <w:r w:rsidR="00EF26C5" w:rsidRPr="003B279A">
          <w:rPr>
            <w:rStyle w:val="Hyperlink"/>
          </w:rPr>
          <w:t>Expenses – paid parental leave</w:t>
        </w:r>
        <w:r w:rsidR="00EF26C5">
          <w:rPr>
            <w:webHidden/>
          </w:rPr>
          <w:tab/>
        </w:r>
        <w:r w:rsidR="00EF26C5">
          <w:rPr>
            <w:webHidden/>
          </w:rPr>
          <w:fldChar w:fldCharType="begin"/>
        </w:r>
        <w:r w:rsidR="00EF26C5">
          <w:rPr>
            <w:webHidden/>
          </w:rPr>
          <w:instrText xml:space="preserve"> PAGEREF _Toc483816468 \h </w:instrText>
        </w:r>
        <w:r w:rsidR="00EF26C5">
          <w:rPr>
            <w:webHidden/>
          </w:rPr>
        </w:r>
        <w:r w:rsidR="00EF26C5">
          <w:rPr>
            <w:webHidden/>
          </w:rPr>
          <w:fldChar w:fldCharType="separate"/>
        </w:r>
        <w:r w:rsidR="005570EB">
          <w:rPr>
            <w:webHidden/>
          </w:rPr>
          <w:t>15</w:t>
        </w:r>
        <w:r w:rsidR="00EF26C5">
          <w:rPr>
            <w:webHidden/>
          </w:rPr>
          <w:fldChar w:fldCharType="end"/>
        </w:r>
      </w:hyperlink>
    </w:p>
    <w:p w:rsidR="00EF26C5" w:rsidRDefault="00944580">
      <w:pPr>
        <w:pStyle w:val="TOC1"/>
        <w:rPr>
          <w:rFonts w:eastAsiaTheme="minorEastAsia"/>
          <w:b w:val="0"/>
          <w:color w:val="auto"/>
          <w:lang w:eastAsia="en-AU"/>
        </w:rPr>
      </w:pPr>
      <w:hyperlink w:anchor="_Toc483816469" w:history="1">
        <w:r w:rsidR="00EF26C5" w:rsidRPr="003B279A">
          <w:rPr>
            <w:rStyle w:val="Hyperlink"/>
          </w:rPr>
          <w:t>Expenses – Medicare Benefits Schedule</w:t>
        </w:r>
        <w:r w:rsidR="00EF26C5">
          <w:rPr>
            <w:webHidden/>
          </w:rPr>
          <w:tab/>
        </w:r>
        <w:r w:rsidR="00EF26C5">
          <w:rPr>
            <w:webHidden/>
          </w:rPr>
          <w:fldChar w:fldCharType="begin"/>
        </w:r>
        <w:r w:rsidR="00EF26C5">
          <w:rPr>
            <w:webHidden/>
          </w:rPr>
          <w:instrText xml:space="preserve"> PAGEREF _Toc483816469 \h </w:instrText>
        </w:r>
        <w:r w:rsidR="00EF26C5">
          <w:rPr>
            <w:webHidden/>
          </w:rPr>
        </w:r>
        <w:r w:rsidR="00EF26C5">
          <w:rPr>
            <w:webHidden/>
          </w:rPr>
          <w:fldChar w:fldCharType="separate"/>
        </w:r>
        <w:r w:rsidR="005570EB">
          <w:rPr>
            <w:webHidden/>
          </w:rPr>
          <w:t>16</w:t>
        </w:r>
        <w:r w:rsidR="00EF26C5">
          <w:rPr>
            <w:webHidden/>
          </w:rPr>
          <w:fldChar w:fldCharType="end"/>
        </w:r>
      </w:hyperlink>
    </w:p>
    <w:p w:rsidR="00EF26C5" w:rsidRDefault="00944580">
      <w:pPr>
        <w:pStyle w:val="TOC1"/>
        <w:rPr>
          <w:rFonts w:eastAsiaTheme="minorEastAsia"/>
          <w:b w:val="0"/>
          <w:color w:val="auto"/>
          <w:lang w:eastAsia="en-AU"/>
        </w:rPr>
      </w:pPr>
      <w:hyperlink w:anchor="_Toc483816470" w:history="1">
        <w:r w:rsidR="00EF26C5" w:rsidRPr="003B279A">
          <w:rPr>
            <w:rStyle w:val="Hyperlink"/>
          </w:rPr>
          <w:t>Expenses – pharmaceutical benefits</w:t>
        </w:r>
        <w:r w:rsidR="00EF26C5">
          <w:rPr>
            <w:webHidden/>
          </w:rPr>
          <w:tab/>
        </w:r>
        <w:r w:rsidR="00EF26C5">
          <w:rPr>
            <w:webHidden/>
          </w:rPr>
          <w:fldChar w:fldCharType="begin"/>
        </w:r>
        <w:r w:rsidR="00EF26C5">
          <w:rPr>
            <w:webHidden/>
          </w:rPr>
          <w:instrText xml:space="preserve"> PAGEREF _Toc483816470 \h </w:instrText>
        </w:r>
        <w:r w:rsidR="00EF26C5">
          <w:rPr>
            <w:webHidden/>
          </w:rPr>
        </w:r>
        <w:r w:rsidR="00EF26C5">
          <w:rPr>
            <w:webHidden/>
          </w:rPr>
          <w:fldChar w:fldCharType="separate"/>
        </w:r>
        <w:r w:rsidR="005570EB">
          <w:rPr>
            <w:webHidden/>
          </w:rPr>
          <w:t>17</w:t>
        </w:r>
        <w:r w:rsidR="00EF26C5">
          <w:rPr>
            <w:webHidden/>
          </w:rPr>
          <w:fldChar w:fldCharType="end"/>
        </w:r>
      </w:hyperlink>
    </w:p>
    <w:p w:rsidR="00EF26C5" w:rsidRDefault="00944580">
      <w:pPr>
        <w:pStyle w:val="TOC1"/>
        <w:rPr>
          <w:rFonts w:eastAsiaTheme="minorEastAsia"/>
          <w:b w:val="0"/>
          <w:color w:val="auto"/>
          <w:lang w:eastAsia="en-AU"/>
        </w:rPr>
      </w:pPr>
      <w:hyperlink w:anchor="_Toc483816471" w:history="1">
        <w:r w:rsidR="00EF26C5" w:rsidRPr="003B279A">
          <w:rPr>
            <w:rStyle w:val="Hyperlink"/>
          </w:rPr>
          <w:t>Expenses – assistance to the states and territories for public hospitals</w:t>
        </w:r>
        <w:r w:rsidR="00EF26C5">
          <w:rPr>
            <w:webHidden/>
          </w:rPr>
          <w:tab/>
        </w:r>
        <w:r w:rsidR="00EF26C5">
          <w:rPr>
            <w:webHidden/>
          </w:rPr>
          <w:fldChar w:fldCharType="begin"/>
        </w:r>
        <w:r w:rsidR="00EF26C5">
          <w:rPr>
            <w:webHidden/>
          </w:rPr>
          <w:instrText xml:space="preserve"> PAGEREF _Toc483816471 \h </w:instrText>
        </w:r>
        <w:r w:rsidR="00EF26C5">
          <w:rPr>
            <w:webHidden/>
          </w:rPr>
        </w:r>
        <w:r w:rsidR="00EF26C5">
          <w:rPr>
            <w:webHidden/>
          </w:rPr>
          <w:fldChar w:fldCharType="separate"/>
        </w:r>
        <w:r w:rsidR="005570EB">
          <w:rPr>
            <w:webHidden/>
          </w:rPr>
          <w:t>17</w:t>
        </w:r>
        <w:r w:rsidR="00EF26C5">
          <w:rPr>
            <w:webHidden/>
          </w:rPr>
          <w:fldChar w:fldCharType="end"/>
        </w:r>
      </w:hyperlink>
    </w:p>
    <w:p w:rsidR="00EF26C5" w:rsidRDefault="00944580">
      <w:pPr>
        <w:pStyle w:val="TOC1"/>
        <w:rPr>
          <w:rFonts w:eastAsiaTheme="minorEastAsia"/>
          <w:b w:val="0"/>
          <w:color w:val="auto"/>
          <w:lang w:eastAsia="en-AU"/>
        </w:rPr>
      </w:pPr>
      <w:hyperlink w:anchor="_Toc483816472" w:history="1">
        <w:r w:rsidR="00EF26C5" w:rsidRPr="003B279A">
          <w:rPr>
            <w:rStyle w:val="Hyperlink"/>
          </w:rPr>
          <w:t>Expenses – private health insurance rebate</w:t>
        </w:r>
        <w:r w:rsidR="00EF26C5">
          <w:rPr>
            <w:webHidden/>
          </w:rPr>
          <w:tab/>
        </w:r>
        <w:r w:rsidR="00EF26C5">
          <w:rPr>
            <w:webHidden/>
          </w:rPr>
          <w:fldChar w:fldCharType="begin"/>
        </w:r>
        <w:r w:rsidR="00EF26C5">
          <w:rPr>
            <w:webHidden/>
          </w:rPr>
          <w:instrText xml:space="preserve"> PAGEREF _Toc483816472 \h </w:instrText>
        </w:r>
        <w:r w:rsidR="00EF26C5">
          <w:rPr>
            <w:webHidden/>
          </w:rPr>
        </w:r>
        <w:r w:rsidR="00EF26C5">
          <w:rPr>
            <w:webHidden/>
          </w:rPr>
          <w:fldChar w:fldCharType="separate"/>
        </w:r>
        <w:r w:rsidR="005570EB">
          <w:rPr>
            <w:webHidden/>
          </w:rPr>
          <w:t>19</w:t>
        </w:r>
        <w:r w:rsidR="00EF26C5">
          <w:rPr>
            <w:webHidden/>
          </w:rPr>
          <w:fldChar w:fldCharType="end"/>
        </w:r>
      </w:hyperlink>
    </w:p>
    <w:p w:rsidR="00EF26C5" w:rsidRDefault="00944580">
      <w:pPr>
        <w:pStyle w:val="TOC1"/>
        <w:rPr>
          <w:rFonts w:eastAsiaTheme="minorEastAsia"/>
          <w:b w:val="0"/>
          <w:color w:val="auto"/>
          <w:lang w:eastAsia="en-AU"/>
        </w:rPr>
      </w:pPr>
      <w:hyperlink w:anchor="_Toc483816473" w:history="1">
        <w:r w:rsidR="00EF26C5" w:rsidRPr="003B279A">
          <w:rPr>
            <w:rStyle w:val="Hyperlink"/>
          </w:rPr>
          <w:t>Expenses – assistance to the states and territories for schools</w:t>
        </w:r>
        <w:r w:rsidR="00EF26C5">
          <w:rPr>
            <w:webHidden/>
          </w:rPr>
          <w:tab/>
        </w:r>
        <w:r w:rsidR="00EF26C5">
          <w:rPr>
            <w:webHidden/>
          </w:rPr>
          <w:fldChar w:fldCharType="begin"/>
        </w:r>
        <w:r w:rsidR="00EF26C5">
          <w:rPr>
            <w:webHidden/>
          </w:rPr>
          <w:instrText xml:space="preserve"> PAGEREF _Toc483816473 \h </w:instrText>
        </w:r>
        <w:r w:rsidR="00EF26C5">
          <w:rPr>
            <w:webHidden/>
          </w:rPr>
        </w:r>
        <w:r w:rsidR="00EF26C5">
          <w:rPr>
            <w:webHidden/>
          </w:rPr>
          <w:fldChar w:fldCharType="separate"/>
        </w:r>
        <w:r w:rsidR="005570EB">
          <w:rPr>
            <w:webHidden/>
          </w:rPr>
          <w:t>20</w:t>
        </w:r>
        <w:r w:rsidR="00EF26C5">
          <w:rPr>
            <w:webHidden/>
          </w:rPr>
          <w:fldChar w:fldCharType="end"/>
        </w:r>
      </w:hyperlink>
    </w:p>
    <w:p w:rsidR="00EF26C5" w:rsidRDefault="00944580">
      <w:pPr>
        <w:pStyle w:val="TOC1"/>
        <w:rPr>
          <w:rFonts w:eastAsiaTheme="minorEastAsia"/>
          <w:b w:val="0"/>
          <w:color w:val="auto"/>
          <w:lang w:eastAsia="en-AU"/>
        </w:rPr>
      </w:pPr>
      <w:hyperlink w:anchor="_Toc483816474" w:history="1">
        <w:r w:rsidR="00EF26C5" w:rsidRPr="003B279A">
          <w:rPr>
            <w:rStyle w:val="Hyperlink"/>
          </w:rPr>
          <w:t>Expenses – higher education grants</w:t>
        </w:r>
        <w:r w:rsidR="00EF26C5">
          <w:rPr>
            <w:webHidden/>
          </w:rPr>
          <w:tab/>
        </w:r>
        <w:r w:rsidR="00EF26C5">
          <w:rPr>
            <w:webHidden/>
          </w:rPr>
          <w:fldChar w:fldCharType="begin"/>
        </w:r>
        <w:r w:rsidR="00EF26C5">
          <w:rPr>
            <w:webHidden/>
          </w:rPr>
          <w:instrText xml:space="preserve"> PAGEREF _Toc483816474 \h </w:instrText>
        </w:r>
        <w:r w:rsidR="00EF26C5">
          <w:rPr>
            <w:webHidden/>
          </w:rPr>
        </w:r>
        <w:r w:rsidR="00EF26C5">
          <w:rPr>
            <w:webHidden/>
          </w:rPr>
          <w:fldChar w:fldCharType="separate"/>
        </w:r>
        <w:r w:rsidR="005570EB">
          <w:rPr>
            <w:webHidden/>
          </w:rPr>
          <w:t>21</w:t>
        </w:r>
        <w:r w:rsidR="00EF26C5">
          <w:rPr>
            <w:webHidden/>
          </w:rPr>
          <w:fldChar w:fldCharType="end"/>
        </w:r>
      </w:hyperlink>
    </w:p>
    <w:p w:rsidR="00EF26C5" w:rsidRDefault="00944580">
      <w:pPr>
        <w:pStyle w:val="TOC1"/>
        <w:rPr>
          <w:rFonts w:eastAsiaTheme="minorEastAsia"/>
          <w:b w:val="0"/>
          <w:color w:val="auto"/>
          <w:lang w:eastAsia="en-AU"/>
        </w:rPr>
      </w:pPr>
      <w:hyperlink w:anchor="_Toc483816475" w:history="1">
        <w:r w:rsidR="00EF26C5" w:rsidRPr="003B279A">
          <w:rPr>
            <w:rStyle w:val="Hyperlink"/>
          </w:rPr>
          <w:t>Expenses – road and rail infrastructure</w:t>
        </w:r>
        <w:r w:rsidR="00EF26C5">
          <w:rPr>
            <w:webHidden/>
          </w:rPr>
          <w:tab/>
        </w:r>
        <w:r w:rsidR="00EF26C5">
          <w:rPr>
            <w:webHidden/>
          </w:rPr>
          <w:fldChar w:fldCharType="begin"/>
        </w:r>
        <w:r w:rsidR="00EF26C5">
          <w:rPr>
            <w:webHidden/>
          </w:rPr>
          <w:instrText xml:space="preserve"> PAGEREF _Toc483816475 \h </w:instrText>
        </w:r>
        <w:r w:rsidR="00EF26C5">
          <w:rPr>
            <w:webHidden/>
          </w:rPr>
        </w:r>
        <w:r w:rsidR="00EF26C5">
          <w:rPr>
            <w:webHidden/>
          </w:rPr>
          <w:fldChar w:fldCharType="separate"/>
        </w:r>
        <w:r w:rsidR="005570EB">
          <w:rPr>
            <w:webHidden/>
          </w:rPr>
          <w:t>22</w:t>
        </w:r>
        <w:r w:rsidR="00EF26C5">
          <w:rPr>
            <w:webHidden/>
          </w:rPr>
          <w:fldChar w:fldCharType="end"/>
        </w:r>
      </w:hyperlink>
    </w:p>
    <w:p w:rsidR="00EF26C5" w:rsidRDefault="00944580">
      <w:pPr>
        <w:pStyle w:val="TOC1"/>
        <w:rPr>
          <w:rFonts w:eastAsiaTheme="minorEastAsia"/>
          <w:b w:val="0"/>
          <w:color w:val="auto"/>
          <w:lang w:eastAsia="en-AU"/>
        </w:rPr>
      </w:pPr>
      <w:hyperlink w:anchor="_Toc483816476" w:history="1">
        <w:r w:rsidR="00EF26C5" w:rsidRPr="003B279A">
          <w:rPr>
            <w:rStyle w:val="Hyperlink"/>
          </w:rPr>
          <w:t>Expenses – General revenue assistance to the states and territories</w:t>
        </w:r>
        <w:r w:rsidR="00EF26C5">
          <w:rPr>
            <w:webHidden/>
          </w:rPr>
          <w:tab/>
        </w:r>
        <w:r w:rsidR="00EF26C5">
          <w:rPr>
            <w:webHidden/>
          </w:rPr>
          <w:fldChar w:fldCharType="begin"/>
        </w:r>
        <w:r w:rsidR="00EF26C5">
          <w:rPr>
            <w:webHidden/>
          </w:rPr>
          <w:instrText xml:space="preserve"> PAGEREF _Toc483816476 \h </w:instrText>
        </w:r>
        <w:r w:rsidR="00EF26C5">
          <w:rPr>
            <w:webHidden/>
          </w:rPr>
        </w:r>
        <w:r w:rsidR="00EF26C5">
          <w:rPr>
            <w:webHidden/>
          </w:rPr>
          <w:fldChar w:fldCharType="separate"/>
        </w:r>
        <w:r w:rsidR="005570EB">
          <w:rPr>
            <w:webHidden/>
          </w:rPr>
          <w:t>23</w:t>
        </w:r>
        <w:r w:rsidR="00EF26C5">
          <w:rPr>
            <w:webHidden/>
          </w:rPr>
          <w:fldChar w:fldCharType="end"/>
        </w:r>
      </w:hyperlink>
    </w:p>
    <w:p w:rsidR="008E03E8" w:rsidRDefault="00903E3F" w:rsidP="00903E3F">
      <w:pPr>
        <w:sectPr w:rsidR="008E03E8" w:rsidSect="005468AB">
          <w:headerReference w:type="even" r:id="rId18"/>
          <w:headerReference w:type="default" r:id="rId19"/>
          <w:footerReference w:type="even" r:id="rId20"/>
          <w:footerReference w:type="default" r:id="rId21"/>
          <w:type w:val="oddPage"/>
          <w:pgSz w:w="11906" w:h="16838" w:code="9"/>
          <w:pgMar w:top="1361" w:right="1797" w:bottom="1474" w:left="1797" w:header="284" w:footer="454" w:gutter="0"/>
          <w:pgNumType w:fmt="lowerRoman"/>
          <w:cols w:space="708"/>
          <w:docGrid w:linePitch="360"/>
        </w:sectPr>
      </w:pPr>
      <w:r>
        <w:fldChar w:fldCharType="end"/>
      </w:r>
    </w:p>
    <w:p w:rsidR="004F1297" w:rsidRDefault="00F2122F" w:rsidP="00A12C39">
      <w:pPr>
        <w:pStyle w:val="Heading1NoNumbering"/>
      </w:pPr>
      <w:bookmarkStart w:id="3" w:name="_ForewordMarker"/>
      <w:bookmarkStart w:id="4" w:name="_Toc483816455"/>
      <w:bookmarkEnd w:id="3"/>
      <w:r>
        <w:lastRenderedPageBreak/>
        <w:t>Notes</w:t>
      </w:r>
      <w:bookmarkEnd w:id="4"/>
    </w:p>
    <w:p w:rsidR="00E63DB8" w:rsidRDefault="00E63DB8" w:rsidP="00012A0D">
      <w:pPr>
        <w:pStyle w:val="OverviewBodyText"/>
      </w:pPr>
      <w:r>
        <w:t xml:space="preserve">These charts provide a visual summary of the key drivers of the change between </w:t>
      </w:r>
      <w:proofErr w:type="gramStart"/>
      <w:r>
        <w:t>the</w:t>
      </w:r>
      <w:r w:rsidR="00BD3E86">
        <w:t xml:space="preserve"> </w:t>
      </w:r>
      <w:r w:rsidR="00BD3E86">
        <w:br/>
      </w:r>
      <w:r>
        <w:t>2016</w:t>
      </w:r>
      <w:r w:rsidRPr="00012A0D">
        <w:t>–17 Mid-Year Economic</w:t>
      </w:r>
      <w:proofErr w:type="gramEnd"/>
      <w:r w:rsidRPr="00012A0D">
        <w:t xml:space="preserve"> and Fiscal Outlook (MYEFO)</w:t>
      </w:r>
      <w:r>
        <w:t xml:space="preserve"> and the 2017</w:t>
      </w:r>
      <w:r w:rsidRPr="003455F3">
        <w:t>–</w:t>
      </w:r>
      <w:r>
        <w:t>18 Budget.</w:t>
      </w:r>
      <w:r w:rsidR="0065437C">
        <w:t xml:space="preserve">  The estimates in this chart pack are the Government’s not the PBO’s</w:t>
      </w:r>
      <w:r w:rsidR="000A025A">
        <w:t xml:space="preserve"> and cover</w:t>
      </w:r>
      <w:r w:rsidR="00A7476A">
        <w:t xml:space="preserve"> the period </w:t>
      </w:r>
      <w:r w:rsidR="0004233D">
        <w:br/>
      </w:r>
      <w:r w:rsidR="00A7476A">
        <w:t>2016</w:t>
      </w:r>
      <w:r w:rsidR="0004233D" w:rsidRPr="00012A0D">
        <w:t>–</w:t>
      </w:r>
      <w:r w:rsidR="00A7476A">
        <w:t>17 to</w:t>
      </w:r>
      <w:r w:rsidR="0004233D">
        <w:t xml:space="preserve"> 2020</w:t>
      </w:r>
      <w:r w:rsidR="0004233D" w:rsidRPr="00012A0D">
        <w:t>–</w:t>
      </w:r>
      <w:r w:rsidR="0004233D">
        <w:t>21.</w:t>
      </w:r>
    </w:p>
    <w:p w:rsidR="00E7391B" w:rsidRDefault="00E63DB8" w:rsidP="00012A0D">
      <w:pPr>
        <w:pStyle w:val="OverviewBodyText"/>
      </w:pPr>
      <w:r w:rsidRPr="0035568B">
        <w:t>This series of</w:t>
      </w:r>
      <w:r w:rsidR="00E7391B" w:rsidRPr="0035568B">
        <w:t xml:space="preserve"> chart</w:t>
      </w:r>
      <w:r w:rsidRPr="0035568B">
        <w:t>s</w:t>
      </w:r>
      <w:r w:rsidR="00E7391B" w:rsidRPr="0035568B">
        <w:t xml:space="preserve"> differs from previous versions published by the PBO. </w:t>
      </w:r>
      <w:r w:rsidR="0035568B" w:rsidRPr="0035568B">
        <w:t xml:space="preserve"> </w:t>
      </w:r>
      <w:r w:rsidR="00E7391B" w:rsidRPr="0035568B">
        <w:t>Rather than examining</w:t>
      </w:r>
      <w:r w:rsidR="00454FC8" w:rsidRPr="0035568B">
        <w:t xml:space="preserve"> all</w:t>
      </w:r>
      <w:r w:rsidR="00E7391B" w:rsidRPr="0035568B">
        <w:t xml:space="preserve"> major heads of revenue and payment programs</w:t>
      </w:r>
      <w:r w:rsidR="00454FC8" w:rsidRPr="0035568B">
        <w:t xml:space="preserve"> as done previously</w:t>
      </w:r>
      <w:r w:rsidR="00E7391B" w:rsidRPr="0035568B">
        <w:t>, this version focusses on</w:t>
      </w:r>
      <w:r w:rsidR="00454FC8" w:rsidRPr="0035568B">
        <w:t xml:space="preserve">ly on </w:t>
      </w:r>
      <w:r w:rsidR="006E6A96" w:rsidRPr="0035568B">
        <w:t>the</w:t>
      </w:r>
      <w:r w:rsidR="00454FC8" w:rsidRPr="0035568B">
        <w:t xml:space="preserve"> </w:t>
      </w:r>
      <w:r w:rsidR="00E7391B" w:rsidRPr="0035568B">
        <w:t xml:space="preserve">areas </w:t>
      </w:r>
      <w:r w:rsidR="00454FC8" w:rsidRPr="0035568B">
        <w:t>which are driving the change</w:t>
      </w:r>
      <w:r w:rsidRPr="0035568B">
        <w:t xml:space="preserve"> between MYEFO and Budget</w:t>
      </w:r>
      <w:r w:rsidR="00454FC8" w:rsidRPr="0035568B">
        <w:t>.</w:t>
      </w:r>
      <w:r w:rsidR="009D63A7" w:rsidRPr="0035568B">
        <w:t xml:space="preserve"> </w:t>
      </w:r>
      <w:r w:rsidR="0035568B" w:rsidRPr="0035568B">
        <w:t xml:space="preserve"> </w:t>
      </w:r>
      <w:r w:rsidR="009D63A7" w:rsidRPr="0035568B">
        <w:t>The PBO</w:t>
      </w:r>
      <w:r w:rsidRPr="0035568B">
        <w:t xml:space="preserve"> will be seeking feedback </w:t>
      </w:r>
      <w:r w:rsidR="0035568B" w:rsidRPr="0035568B">
        <w:t xml:space="preserve">from stakeholders </w:t>
      </w:r>
      <w:r w:rsidRPr="0035568B">
        <w:t xml:space="preserve">on </w:t>
      </w:r>
      <w:r w:rsidR="009D63A7" w:rsidRPr="0035568B">
        <w:t>the new approach</w:t>
      </w:r>
      <w:r w:rsidRPr="0035568B">
        <w:t xml:space="preserve"> later in the year</w:t>
      </w:r>
      <w:r w:rsidR="009D63A7" w:rsidRPr="0035568B">
        <w:t>.</w:t>
      </w:r>
      <w:r w:rsidR="009D63A7">
        <w:t xml:space="preserve"> </w:t>
      </w:r>
    </w:p>
    <w:p w:rsidR="00B43AD5" w:rsidRDefault="00B43AD5" w:rsidP="00012A0D">
      <w:pPr>
        <w:pStyle w:val="OverviewBodyText"/>
      </w:pPr>
      <w:r w:rsidRPr="001A1234">
        <w:t xml:space="preserve">Each page contains two charts. The top chart shows the historical trend and the </w:t>
      </w:r>
      <w:r w:rsidR="001A1234" w:rsidRPr="001A1234">
        <w:t xml:space="preserve">estimates for the 2017–18 Budget and the previous MYEFO. </w:t>
      </w:r>
      <w:r w:rsidRPr="001A1234">
        <w:t xml:space="preserve">The bottom chart decomposes the </w:t>
      </w:r>
      <w:r w:rsidR="001A1234" w:rsidRPr="001A1234">
        <w:t>change between MYEFO and the 2017-18 Budget</w:t>
      </w:r>
      <w:r w:rsidRPr="001A1234">
        <w:t xml:space="preserve"> into policy changes</w:t>
      </w:r>
      <w:r w:rsidR="00F663DA">
        <w:t>,</w:t>
      </w:r>
      <w:r w:rsidRPr="001A1234">
        <w:t xml:space="preserve"> and parameter and other variations.</w:t>
      </w:r>
      <w:r>
        <w:t xml:space="preserve"> </w:t>
      </w:r>
    </w:p>
    <w:p w:rsidR="00F2122F" w:rsidRPr="00012A0D" w:rsidRDefault="00F2122F" w:rsidP="00012A0D">
      <w:pPr>
        <w:pStyle w:val="OverviewBodyText"/>
      </w:pPr>
      <w:r w:rsidRPr="00012A0D">
        <w:t xml:space="preserve">Data contained in these charts are primarily based </w:t>
      </w:r>
      <w:r w:rsidR="0022415E">
        <w:t>on information published in the</w:t>
      </w:r>
      <w:r w:rsidR="005E4D59">
        <w:br/>
        <w:t>2017–18 Budget</w:t>
      </w:r>
      <w:r w:rsidRPr="00012A0D">
        <w:t xml:space="preserve">, as well as the 2016–17 </w:t>
      </w:r>
      <w:r w:rsidR="005E4D59">
        <w:t>MYEFO</w:t>
      </w:r>
      <w:r w:rsidRPr="00012A0D">
        <w:t xml:space="preserve"> and government agency annual reports.  Where applicable, additional information provided by agencies has supplemented the publicly available information.</w:t>
      </w:r>
    </w:p>
    <w:p w:rsidR="00012A0D" w:rsidRPr="00012A0D" w:rsidRDefault="00012A0D" w:rsidP="00012A0D">
      <w:pPr>
        <w:pStyle w:val="OverviewBodyText"/>
      </w:pPr>
      <w:r>
        <w:t xml:space="preserve">At the aggregate level </w:t>
      </w:r>
      <w:r w:rsidRPr="00012A0D">
        <w:t xml:space="preserve">the </w:t>
      </w:r>
      <w:r w:rsidRPr="00012A0D">
        <w:rPr>
          <w:i/>
        </w:rPr>
        <w:t>underlying cash balance</w:t>
      </w:r>
      <w:r w:rsidRPr="00012A0D">
        <w:t xml:space="preserve">, </w:t>
      </w:r>
      <w:r w:rsidRPr="00012A0D">
        <w:rPr>
          <w:i/>
        </w:rPr>
        <w:t>total receipts</w:t>
      </w:r>
      <w:r w:rsidRPr="00012A0D">
        <w:t xml:space="preserve">, and </w:t>
      </w:r>
      <w:r w:rsidRPr="00012A0D">
        <w:rPr>
          <w:i/>
        </w:rPr>
        <w:t>total payments</w:t>
      </w:r>
      <w:r>
        <w:t xml:space="preserve"> </w:t>
      </w:r>
      <w:r w:rsidRPr="00012A0D">
        <w:t>charts have been prepared on a cash basis.  Charts on individual revenue heads and expenditure programs have been prepared on an accruals basis, consistent with the presentation of decisions in the Budget papers.</w:t>
      </w:r>
    </w:p>
    <w:p w:rsidR="00F2122F" w:rsidRPr="00012A0D" w:rsidRDefault="005E4D59" w:rsidP="00012A0D">
      <w:pPr>
        <w:pStyle w:val="OverviewBodyText"/>
      </w:pPr>
      <w:r>
        <w:t>Consistent with the Budget</w:t>
      </w:r>
      <w:r w:rsidR="00F2122F" w:rsidRPr="00012A0D">
        <w:t>, the charts show the financial impact of policy de</w:t>
      </w:r>
      <w:r>
        <w:t>cisions up to and including 2020</w:t>
      </w:r>
      <w:r w:rsidRPr="00012A0D">
        <w:t>–</w:t>
      </w:r>
      <w:r>
        <w:t>21</w:t>
      </w:r>
      <w:r w:rsidR="00F2122F" w:rsidRPr="00012A0D">
        <w:t>.  The charts show movements due to parameter and other variations since the 201</w:t>
      </w:r>
      <w:r w:rsidR="00012A0D" w:rsidRPr="00012A0D">
        <w:t>6–17</w:t>
      </w:r>
      <w:r w:rsidR="004763CB">
        <w:t xml:space="preserve"> </w:t>
      </w:r>
      <w:r>
        <w:t>MYEFO</w:t>
      </w:r>
      <w:r w:rsidR="00F2122F" w:rsidRPr="00012A0D">
        <w:t xml:space="preserve">, </w:t>
      </w:r>
      <w:r w:rsidR="00012A0D" w:rsidRPr="00012A0D">
        <w:t xml:space="preserve">which are </w:t>
      </w:r>
      <w:r w:rsidR="00D8376A">
        <w:t xml:space="preserve">only </w:t>
      </w:r>
      <w:r w:rsidR="00012A0D" w:rsidRPr="00012A0D">
        <w:t>available for the 2016–17 to 2019–20</w:t>
      </w:r>
      <w:r w:rsidR="00F2122F" w:rsidRPr="00012A0D">
        <w:t xml:space="preserve"> years.  </w:t>
      </w:r>
      <w:r w:rsidR="00D8376A">
        <w:t>This is because the last year of the forward estimates at MYEFO was 2019</w:t>
      </w:r>
      <w:r w:rsidR="00D8376A" w:rsidRPr="00012A0D">
        <w:t>–</w:t>
      </w:r>
      <w:r w:rsidR="00D8376A">
        <w:t>20, with the 2020</w:t>
      </w:r>
      <w:r w:rsidR="006A6418" w:rsidRPr="00012A0D">
        <w:t>–</w:t>
      </w:r>
      <w:r w:rsidR="00D8376A">
        <w:t xml:space="preserve">21 projection only being published at Budget. </w:t>
      </w:r>
    </w:p>
    <w:p w:rsidR="008E03E8" w:rsidRDefault="00F2122F" w:rsidP="005B6AC5">
      <w:pPr>
        <w:pStyle w:val="OverviewBodyText"/>
        <w:sectPr w:rsidR="008E03E8" w:rsidSect="008E03E8">
          <w:footerReference w:type="default" r:id="rId22"/>
          <w:type w:val="oddPage"/>
          <w:pgSz w:w="11906" w:h="16838" w:code="9"/>
          <w:pgMar w:top="1361" w:right="1797" w:bottom="1474" w:left="1797" w:header="284" w:footer="454" w:gutter="0"/>
          <w:pgNumType w:start="1"/>
          <w:cols w:space="708"/>
          <w:docGrid w:linePitch="360"/>
        </w:sectPr>
      </w:pPr>
      <w:r w:rsidRPr="00012A0D">
        <w:t>The PBO does not have access to the details of provisions for individual items in the Contingency Reserve.  Accordingly, the charts in this report are subject to the qualification that they are prepared in the absence of information on the possible impact of any provisions in the Contingency Reserve.</w:t>
      </w:r>
    </w:p>
    <w:p w:rsidR="00903E3F" w:rsidRPr="002568FC" w:rsidRDefault="005B6AC5" w:rsidP="004629F2">
      <w:pPr>
        <w:pStyle w:val="Heading1"/>
        <w:numPr>
          <w:ilvl w:val="0"/>
          <w:numId w:val="0"/>
        </w:numPr>
        <w:spacing w:before="240"/>
        <w:rPr>
          <w:noProof/>
        </w:rPr>
      </w:pPr>
      <w:bookmarkStart w:id="5" w:name="_Toc483816456"/>
      <w:r w:rsidRPr="004629F2">
        <w:rPr>
          <w:noProof/>
        </w:rPr>
        <w:lastRenderedPageBreak/>
        <w:t>Underlying cash balance</w:t>
      </w:r>
      <w:bookmarkEnd w:id="5"/>
    </w:p>
    <w:p w:rsidR="005B6AC5" w:rsidRDefault="00DF4406" w:rsidP="00DF4406">
      <w:pPr>
        <w:pStyle w:val="Caption"/>
      </w:pPr>
      <w:r w:rsidRPr="00DF4406">
        <w:t xml:space="preserve">Figure </w:t>
      </w:r>
      <w:fldSimple w:instr=" SEQ Figure \* ARABIC \s 1 ">
        <w:r w:rsidR="005570EB">
          <w:rPr>
            <w:noProof/>
          </w:rPr>
          <w:t>1</w:t>
        </w:r>
      </w:fldSimple>
      <w:r w:rsidRPr="00DF4406">
        <w:t>: Underlying</w:t>
      </w:r>
      <w:r w:rsidR="00280D27">
        <w:t xml:space="preserve"> cash balance – change from 2016–17</w:t>
      </w:r>
      <w:r w:rsidRPr="00DF4406">
        <w:t xml:space="preserve"> </w:t>
      </w:r>
      <w:r w:rsidR="00FA5E66">
        <w:t>MYEFO to 2017–18</w:t>
      </w:r>
      <w:r w:rsidR="00280D27">
        <w:t xml:space="preserve"> </w:t>
      </w:r>
      <w:r w:rsidR="00FA5E66">
        <w:t>Budget estimates</w:t>
      </w:r>
    </w:p>
    <w:p w:rsidR="00280D27" w:rsidRDefault="00F33F96" w:rsidP="00280D27">
      <w:pPr>
        <w:pStyle w:val="BodyText"/>
      </w:pPr>
      <w:r>
        <w:rPr>
          <w:noProof/>
          <w:lang w:eastAsia="en-AU"/>
        </w:rPr>
        <w:drawing>
          <wp:inline distT="0" distB="0" distL="0" distR="0" wp14:anchorId="7383D2F5">
            <wp:extent cx="5080883" cy="3139624"/>
            <wp:effectExtent l="0" t="0" r="571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2362" cy="3140538"/>
                    </a:xfrm>
                    <a:prstGeom prst="rect">
                      <a:avLst/>
                    </a:prstGeom>
                    <a:noFill/>
                  </pic:spPr>
                </pic:pic>
              </a:graphicData>
            </a:graphic>
          </wp:inline>
        </w:drawing>
      </w:r>
    </w:p>
    <w:p w:rsidR="00280D27" w:rsidRDefault="00280D27" w:rsidP="00280D27">
      <w:pPr>
        <w:pStyle w:val="Caption"/>
      </w:pPr>
      <w:bookmarkStart w:id="6" w:name="ReturnHere"/>
      <w:bookmarkEnd w:id="6"/>
      <w:r w:rsidRPr="00280D27">
        <w:t xml:space="preserve">Figure </w:t>
      </w:r>
      <w:fldSimple w:instr=" SEQ Figure \* ARABIC \s 1 ">
        <w:r w:rsidR="005570EB">
          <w:rPr>
            <w:noProof/>
          </w:rPr>
          <w:t>2</w:t>
        </w:r>
      </w:fldSimple>
      <w:r w:rsidRPr="00280D27">
        <w:t>: Underlying</w:t>
      </w:r>
      <w:r>
        <w:t xml:space="preserve"> cash balance – change from 2016–17</w:t>
      </w:r>
      <w:r w:rsidRPr="00280D27">
        <w:t xml:space="preserve"> </w:t>
      </w:r>
      <w:r w:rsidR="000649BF">
        <w:t>MYEFO to 2017–18</w:t>
      </w:r>
      <w:r>
        <w:t xml:space="preserve"> </w:t>
      </w:r>
      <w:r w:rsidR="000649BF">
        <w:t>Budget estimates</w:t>
      </w:r>
      <w:r>
        <w:t xml:space="preserve"> </w:t>
      </w:r>
      <w:r w:rsidRPr="00280D27">
        <w:t>by measures and other variations</w:t>
      </w:r>
    </w:p>
    <w:p w:rsidR="00DE3B5E" w:rsidRPr="00DE3B5E" w:rsidRDefault="008C12AB" w:rsidP="00DE3B5E">
      <w:pPr>
        <w:pStyle w:val="BodyText"/>
      </w:pPr>
      <w:r>
        <w:rPr>
          <w:noProof/>
          <w:lang w:eastAsia="en-AU"/>
        </w:rPr>
        <w:drawing>
          <wp:inline distT="0" distB="0" distL="0" distR="0" wp14:anchorId="180AEE68">
            <wp:extent cx="5009688" cy="2915729"/>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9224" cy="2921279"/>
                    </a:xfrm>
                    <a:prstGeom prst="rect">
                      <a:avLst/>
                    </a:prstGeom>
                    <a:noFill/>
                  </pic:spPr>
                </pic:pic>
              </a:graphicData>
            </a:graphic>
          </wp:inline>
        </w:drawing>
      </w:r>
    </w:p>
    <w:p w:rsidR="00740F5C" w:rsidRPr="003455F3" w:rsidRDefault="00740F5C" w:rsidP="00740F5C">
      <w:pPr>
        <w:pStyle w:val="ListBullet"/>
      </w:pPr>
      <w:r w:rsidRPr="003455F3">
        <w:t xml:space="preserve">Relative to the 2016–17 </w:t>
      </w:r>
      <w:r w:rsidR="00330DB6" w:rsidRPr="003455F3">
        <w:t>MYEFO</w:t>
      </w:r>
      <w:r w:rsidRPr="003455F3">
        <w:t xml:space="preserve">, policy decisions are expected to </w:t>
      </w:r>
      <w:r w:rsidR="00597D69" w:rsidRPr="003455F3">
        <w:t>increase</w:t>
      </w:r>
      <w:r w:rsidRPr="003455F3">
        <w:t xml:space="preserve"> the underlying cash balance by </w:t>
      </w:r>
      <w:r w:rsidR="0078278A" w:rsidRPr="003455F3">
        <w:t>$</w:t>
      </w:r>
      <w:r w:rsidR="008C12AB" w:rsidRPr="003455F3">
        <w:t>4.8</w:t>
      </w:r>
      <w:r w:rsidR="00330DB6" w:rsidRPr="003455F3">
        <w:t xml:space="preserve"> </w:t>
      </w:r>
      <w:r w:rsidRPr="003455F3">
        <w:t>billion</w:t>
      </w:r>
      <w:r w:rsidRPr="003455F3">
        <w:rPr>
          <w:i/>
        </w:rPr>
        <w:t xml:space="preserve"> </w:t>
      </w:r>
      <w:r w:rsidRPr="003455F3">
        <w:t xml:space="preserve">over the </w:t>
      </w:r>
      <w:r w:rsidR="00330DB6" w:rsidRPr="003455F3">
        <w:t>five years to 2020–21</w:t>
      </w:r>
      <w:r w:rsidRPr="003455F3">
        <w:t>.</w:t>
      </w:r>
    </w:p>
    <w:p w:rsidR="00740F5C" w:rsidRPr="003455F3" w:rsidRDefault="00BE4566" w:rsidP="00740F5C">
      <w:pPr>
        <w:pStyle w:val="ListBullet"/>
        <w:rPr>
          <w:rFonts w:cs="Times New Roman"/>
        </w:rPr>
      </w:pPr>
      <w:r w:rsidRPr="003455F3">
        <w:t>P</w:t>
      </w:r>
      <w:r w:rsidR="00740F5C" w:rsidRPr="003455F3">
        <w:t xml:space="preserve">arameter and other variations are expected to </w:t>
      </w:r>
      <w:r w:rsidR="008C12AB" w:rsidRPr="003455F3">
        <w:t>increase</w:t>
      </w:r>
      <w:r w:rsidR="00740F5C" w:rsidRPr="003455F3">
        <w:t xml:space="preserve"> the underlying cash balance by </w:t>
      </w:r>
      <w:r w:rsidR="0078278A" w:rsidRPr="003455F3">
        <w:t>$</w:t>
      </w:r>
      <w:r w:rsidR="008C12AB" w:rsidRPr="003455F3">
        <w:t>5.9</w:t>
      </w:r>
      <w:r w:rsidR="00740F5C" w:rsidRPr="003455F3">
        <w:t> billion over the four years to 2019</w:t>
      </w:r>
      <w:r w:rsidR="001412B9" w:rsidRPr="003455F3">
        <w:t>–</w:t>
      </w:r>
      <w:r w:rsidR="00740F5C" w:rsidRPr="003455F3">
        <w:t>20</w:t>
      </w:r>
      <w:r w:rsidR="00330DB6" w:rsidRPr="003455F3">
        <w:t>, relative to the 2016–17 MYEFO</w:t>
      </w:r>
      <w:r w:rsidRPr="003455F3">
        <w:t>.</w:t>
      </w:r>
    </w:p>
    <w:p w:rsidR="00F37BE4" w:rsidRDefault="00F37BE4" w:rsidP="00F37BE4">
      <w:pPr>
        <w:pStyle w:val="Heading1"/>
        <w:numPr>
          <w:ilvl w:val="0"/>
          <w:numId w:val="0"/>
        </w:numPr>
        <w:spacing w:before="240"/>
      </w:pPr>
      <w:bookmarkStart w:id="7" w:name="_Toc452477820"/>
      <w:bookmarkStart w:id="8" w:name="_Toc483816457"/>
      <w:bookmarkStart w:id="9" w:name="_Toc406071164"/>
      <w:bookmarkStart w:id="10" w:name="_Toc452477821"/>
      <w:r>
        <w:lastRenderedPageBreak/>
        <w:t>Total receipts</w:t>
      </w:r>
      <w:bookmarkEnd w:id="7"/>
      <w:bookmarkEnd w:id="8"/>
    </w:p>
    <w:p w:rsidR="00F37BE4" w:rsidRDefault="00F37BE4" w:rsidP="00F37BE4">
      <w:pPr>
        <w:pStyle w:val="Caption"/>
      </w:pPr>
      <w:r w:rsidRPr="0053136B">
        <w:t xml:space="preserve">Figure </w:t>
      </w:r>
      <w:fldSimple w:instr=" SEQ Figure \* ARABIC \s ">
        <w:r w:rsidR="005570EB">
          <w:rPr>
            <w:noProof/>
          </w:rPr>
          <w:t>3</w:t>
        </w:r>
      </w:fldSimple>
      <w:r w:rsidRPr="0053136B">
        <w:t xml:space="preserve">: </w:t>
      </w:r>
      <w:r w:rsidRPr="00076608">
        <w:t xml:space="preserve">Total receipts – </w:t>
      </w:r>
      <w:r>
        <w:t>change from 2016–17</w:t>
      </w:r>
      <w:r w:rsidRPr="00DF4406">
        <w:t xml:space="preserve"> </w:t>
      </w:r>
      <w:r>
        <w:t>MYEFO to 2017–18 Budget estimates</w:t>
      </w:r>
    </w:p>
    <w:p w:rsidR="00F37BE4" w:rsidRDefault="00F37BE4" w:rsidP="00F37BE4">
      <w:pPr>
        <w:pStyle w:val="BodyText"/>
        <w:spacing w:before="0"/>
      </w:pPr>
      <w:r>
        <w:rPr>
          <w:noProof/>
          <w:lang w:eastAsia="en-AU"/>
        </w:rPr>
        <w:drawing>
          <wp:inline distT="0" distB="0" distL="0" distR="0" wp14:anchorId="42C67C6D" wp14:editId="53A04088">
            <wp:extent cx="5110339" cy="3172571"/>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14178" cy="3174954"/>
                    </a:xfrm>
                    <a:prstGeom prst="rect">
                      <a:avLst/>
                    </a:prstGeom>
                    <a:noFill/>
                  </pic:spPr>
                </pic:pic>
              </a:graphicData>
            </a:graphic>
          </wp:inline>
        </w:drawing>
      </w:r>
    </w:p>
    <w:p w:rsidR="00F37BE4" w:rsidRDefault="00F37BE4" w:rsidP="00F37BE4">
      <w:pPr>
        <w:pStyle w:val="Caption"/>
      </w:pPr>
      <w:r w:rsidRPr="00B974C6">
        <w:t xml:space="preserve">Figure </w:t>
      </w:r>
      <w:fldSimple w:instr=" SEQ Figure \* ARABIC \s 1 ">
        <w:r w:rsidR="005570EB">
          <w:rPr>
            <w:noProof/>
          </w:rPr>
          <w:t>4</w:t>
        </w:r>
      </w:fldSimple>
      <w:r w:rsidRPr="00B974C6">
        <w:t xml:space="preserve">: </w:t>
      </w:r>
      <w:r w:rsidRPr="00F64BB4">
        <w:t xml:space="preserve">Total receipts – </w:t>
      </w:r>
      <w:r>
        <w:t>change from 2016–17</w:t>
      </w:r>
      <w:r w:rsidRPr="00280D27">
        <w:t xml:space="preserve"> </w:t>
      </w:r>
      <w:r>
        <w:t xml:space="preserve">MYEFO to 2017–18 Budget estimates </w:t>
      </w:r>
      <w:r w:rsidRPr="00280D27">
        <w:t>by measures and other variations</w:t>
      </w:r>
    </w:p>
    <w:p w:rsidR="00F37BE4" w:rsidRPr="0002284C" w:rsidRDefault="00F37BE4" w:rsidP="00F37BE4">
      <w:pPr>
        <w:pStyle w:val="BodyText"/>
      </w:pPr>
      <w:r>
        <w:rPr>
          <w:noProof/>
          <w:lang w:eastAsia="en-AU"/>
        </w:rPr>
        <w:drawing>
          <wp:inline distT="0" distB="0" distL="0" distR="0" wp14:anchorId="45D88091" wp14:editId="1DC90861">
            <wp:extent cx="5112689" cy="28066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14474" cy="2807673"/>
                    </a:xfrm>
                    <a:prstGeom prst="rect">
                      <a:avLst/>
                    </a:prstGeom>
                    <a:noFill/>
                  </pic:spPr>
                </pic:pic>
              </a:graphicData>
            </a:graphic>
          </wp:inline>
        </w:drawing>
      </w:r>
    </w:p>
    <w:p w:rsidR="00FC7143" w:rsidRDefault="00F37BE4" w:rsidP="00F37BE4">
      <w:pPr>
        <w:pStyle w:val="ListBullet"/>
        <w:tabs>
          <w:tab w:val="clear" w:pos="454"/>
        </w:tabs>
        <w:spacing w:after="60"/>
        <w:ind w:left="567"/>
      </w:pPr>
      <w:r w:rsidRPr="00915822">
        <w:t xml:space="preserve">Relative to the 2016–17 </w:t>
      </w:r>
      <w:r>
        <w:t>MYEFO</w:t>
      </w:r>
      <w:r w:rsidRPr="00915822">
        <w:t>, policy decisions are expected to increase total receipts by $</w:t>
      </w:r>
      <w:r w:rsidR="003455F3">
        <w:t>20.8</w:t>
      </w:r>
      <w:r w:rsidRPr="00915822">
        <w:t xml:space="preserve"> billion</w:t>
      </w:r>
      <w:r>
        <w:t xml:space="preserve"> over the five years to 2020–21</w:t>
      </w:r>
      <w:r w:rsidRPr="00915822">
        <w:t>.</w:t>
      </w:r>
      <w:r>
        <w:t xml:space="preserve"> </w:t>
      </w:r>
    </w:p>
    <w:p w:rsidR="00F37BE4" w:rsidRPr="00915822" w:rsidRDefault="00F37BE4" w:rsidP="00F37BE4">
      <w:pPr>
        <w:pStyle w:val="ListBullet"/>
        <w:tabs>
          <w:tab w:val="clear" w:pos="454"/>
        </w:tabs>
        <w:spacing w:after="60"/>
        <w:ind w:left="567"/>
      </w:pPr>
      <w:r w:rsidRPr="00915822">
        <w:t>Parameter and other variations are expected to decrease total receipts by $</w:t>
      </w:r>
      <w:r w:rsidR="003455F3">
        <w:t>3.0</w:t>
      </w:r>
      <w:r w:rsidRPr="00915822">
        <w:t> billion over the four years to 2019–20</w:t>
      </w:r>
      <w:r>
        <w:t>, relative to the 2016–17 MYEFO</w:t>
      </w:r>
      <w:r w:rsidRPr="00915822">
        <w:t>.</w:t>
      </w:r>
    </w:p>
    <w:p w:rsidR="00280D27" w:rsidRPr="00A23212" w:rsidRDefault="00280D27" w:rsidP="00280D27">
      <w:pPr>
        <w:pStyle w:val="Heading1"/>
        <w:numPr>
          <w:ilvl w:val="0"/>
          <w:numId w:val="0"/>
        </w:numPr>
        <w:spacing w:before="240"/>
        <w:rPr>
          <w:noProof/>
        </w:rPr>
      </w:pPr>
      <w:bookmarkStart w:id="11" w:name="_Toc483816458"/>
      <w:r w:rsidRPr="00A23212">
        <w:rPr>
          <w:noProof/>
        </w:rPr>
        <w:lastRenderedPageBreak/>
        <w:t>Total payments</w:t>
      </w:r>
      <w:bookmarkEnd w:id="9"/>
      <w:bookmarkEnd w:id="10"/>
      <w:bookmarkEnd w:id="11"/>
    </w:p>
    <w:p w:rsidR="00280D27" w:rsidRPr="00C51E7C" w:rsidRDefault="00280D27" w:rsidP="00280D27">
      <w:pPr>
        <w:pStyle w:val="Caption"/>
      </w:pPr>
      <w:bookmarkStart w:id="12" w:name="_Toc406509342"/>
      <w:r w:rsidRPr="00B974C6">
        <w:t xml:space="preserve">Figure </w:t>
      </w:r>
      <w:fldSimple w:instr=" SEQ Figure \* ARABIC \s ">
        <w:r w:rsidR="005570EB">
          <w:rPr>
            <w:noProof/>
          </w:rPr>
          <w:t>5</w:t>
        </w:r>
      </w:fldSimple>
      <w:r w:rsidRPr="00B974C6">
        <w:t xml:space="preserve">: </w:t>
      </w:r>
      <w:r w:rsidRPr="00C51E7C">
        <w:t xml:space="preserve">Total payments – </w:t>
      </w:r>
      <w:bookmarkEnd w:id="12"/>
      <w:r w:rsidR="000649BF">
        <w:t>change from 2016–17</w:t>
      </w:r>
      <w:r w:rsidR="000649BF" w:rsidRPr="00DF4406">
        <w:t xml:space="preserve"> </w:t>
      </w:r>
      <w:r w:rsidR="000649BF">
        <w:t>MYEFO to 2017–18 Budget estimates</w:t>
      </w:r>
    </w:p>
    <w:p w:rsidR="00280D27" w:rsidRDefault="00AD1A3D" w:rsidP="00280D27">
      <w:pPr>
        <w:pStyle w:val="BodyText"/>
        <w:spacing w:before="0"/>
        <w:rPr>
          <w:highlight w:val="yellow"/>
        </w:rPr>
      </w:pPr>
      <w:r>
        <w:rPr>
          <w:noProof/>
          <w:lang w:eastAsia="en-AU"/>
        </w:rPr>
        <w:drawing>
          <wp:inline distT="0" distB="0" distL="0" distR="0" wp14:anchorId="2CA2FAE0" wp14:editId="037F386C">
            <wp:extent cx="5260641" cy="319642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2174" cy="3197356"/>
                    </a:xfrm>
                    <a:prstGeom prst="rect">
                      <a:avLst/>
                    </a:prstGeom>
                    <a:noFill/>
                  </pic:spPr>
                </pic:pic>
              </a:graphicData>
            </a:graphic>
          </wp:inline>
        </w:drawing>
      </w:r>
    </w:p>
    <w:p w:rsidR="00280D27" w:rsidRPr="00456061" w:rsidRDefault="00280D27" w:rsidP="00280D27">
      <w:pPr>
        <w:pStyle w:val="Caption"/>
        <w:rPr>
          <w:noProof/>
          <w:lang w:eastAsia="en-AU"/>
        </w:rPr>
      </w:pPr>
      <w:r w:rsidRPr="00B974C6">
        <w:t xml:space="preserve">Figure </w:t>
      </w:r>
      <w:fldSimple w:instr=" SEQ Figure \* ARABIC \s 1 ">
        <w:r w:rsidR="005570EB">
          <w:rPr>
            <w:noProof/>
          </w:rPr>
          <w:t>6</w:t>
        </w:r>
      </w:fldSimple>
      <w:r w:rsidRPr="00B974C6">
        <w:t xml:space="preserve">: </w:t>
      </w:r>
      <w:bookmarkStart w:id="13" w:name="_Toc406509343"/>
      <w:r w:rsidRPr="00B974C6">
        <w:t xml:space="preserve">Total payments – </w:t>
      </w:r>
      <w:bookmarkEnd w:id="13"/>
      <w:r w:rsidR="000649BF">
        <w:t>change from 2016–17</w:t>
      </w:r>
      <w:r w:rsidR="000649BF" w:rsidRPr="00280D27">
        <w:t xml:space="preserve"> </w:t>
      </w:r>
      <w:r w:rsidR="000649BF">
        <w:t xml:space="preserve">MYEFO to 2017–18 Budget estimates </w:t>
      </w:r>
      <w:r w:rsidR="000649BF" w:rsidRPr="00280D27">
        <w:t>by measures and other variations</w:t>
      </w:r>
    </w:p>
    <w:p w:rsidR="00280D27" w:rsidRDefault="00981755" w:rsidP="00280D27">
      <w:pPr>
        <w:pStyle w:val="BodyText"/>
        <w:spacing w:before="0"/>
        <w:rPr>
          <w:noProof/>
          <w:lang w:eastAsia="en-AU"/>
        </w:rPr>
      </w:pPr>
      <w:r>
        <w:rPr>
          <w:noProof/>
          <w:lang w:eastAsia="en-AU"/>
        </w:rPr>
        <w:drawing>
          <wp:inline distT="0" distB="0" distL="0" distR="0" wp14:anchorId="4241C21B">
            <wp:extent cx="5298944" cy="273457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06834" cy="2738645"/>
                    </a:xfrm>
                    <a:prstGeom prst="rect">
                      <a:avLst/>
                    </a:prstGeom>
                    <a:noFill/>
                  </pic:spPr>
                </pic:pic>
              </a:graphicData>
            </a:graphic>
          </wp:inline>
        </w:drawing>
      </w:r>
    </w:p>
    <w:p w:rsidR="00280D27" w:rsidRPr="00915822" w:rsidRDefault="00330DB6" w:rsidP="00280D27">
      <w:pPr>
        <w:pStyle w:val="ListBullet"/>
        <w:tabs>
          <w:tab w:val="clear" w:pos="454"/>
        </w:tabs>
        <w:spacing w:after="60"/>
        <w:ind w:left="567"/>
      </w:pPr>
      <w:r>
        <w:t>Relative to the 2016–17 MYEFO</w:t>
      </w:r>
      <w:r w:rsidR="00280D27" w:rsidRPr="00915822">
        <w:t xml:space="preserve">, policy decisions are expected to </w:t>
      </w:r>
      <w:r w:rsidR="003455F3">
        <w:t>increase</w:t>
      </w:r>
      <w:r w:rsidR="00280D27" w:rsidRPr="00915822">
        <w:t xml:space="preserve"> total payments by </w:t>
      </w:r>
      <w:r w:rsidR="0078278A" w:rsidRPr="00915822">
        <w:t>$</w:t>
      </w:r>
      <w:r w:rsidR="003455F3">
        <w:t>16.0</w:t>
      </w:r>
      <w:r w:rsidR="0092726D" w:rsidRPr="00915822">
        <w:t xml:space="preserve"> billion</w:t>
      </w:r>
      <w:r w:rsidR="001412B9" w:rsidRPr="00915822">
        <w:t xml:space="preserve"> </w:t>
      </w:r>
      <w:r>
        <w:t>over the five years to 2020–21</w:t>
      </w:r>
      <w:r w:rsidR="0022415E">
        <w:t>.</w:t>
      </w:r>
      <w:r w:rsidR="00E64608" w:rsidRPr="00E64608">
        <w:rPr>
          <w:highlight w:val="yellow"/>
        </w:rPr>
        <w:t xml:space="preserve"> </w:t>
      </w:r>
    </w:p>
    <w:p w:rsidR="00280D27" w:rsidRPr="00915822" w:rsidRDefault="00BE4566" w:rsidP="00280D27">
      <w:pPr>
        <w:pStyle w:val="ListBullet"/>
        <w:tabs>
          <w:tab w:val="clear" w:pos="454"/>
        </w:tabs>
        <w:spacing w:after="60"/>
        <w:ind w:left="567"/>
      </w:pPr>
      <w:r w:rsidRPr="00915822">
        <w:t>P</w:t>
      </w:r>
      <w:r w:rsidR="00280D27" w:rsidRPr="00915822">
        <w:t xml:space="preserve">arameter and other variations are expected to </w:t>
      </w:r>
      <w:r w:rsidR="0033572F" w:rsidRPr="00915822">
        <w:t>decrease</w:t>
      </w:r>
      <w:r w:rsidR="00280D27" w:rsidRPr="00915822">
        <w:t xml:space="preserve"> total payments by </w:t>
      </w:r>
      <w:r w:rsidR="003455F3">
        <w:t>$8.5</w:t>
      </w:r>
      <w:r w:rsidR="00280D27" w:rsidRPr="00915822">
        <w:t> bil</w:t>
      </w:r>
      <w:r w:rsidR="001412B9" w:rsidRPr="00915822">
        <w:t>lion over the four years to 2019–20</w:t>
      </w:r>
      <w:r w:rsidR="00330DB6">
        <w:t>, relative to the 2016–17 MYEFO</w:t>
      </w:r>
      <w:r w:rsidR="00280D27" w:rsidRPr="00915822">
        <w:t>.</w:t>
      </w:r>
      <w:r w:rsidR="00E64608" w:rsidRPr="00E64608">
        <w:rPr>
          <w:highlight w:val="yellow"/>
        </w:rPr>
        <w:t xml:space="preserve"> </w:t>
      </w:r>
    </w:p>
    <w:p w:rsidR="00280D27" w:rsidRDefault="00280D27" w:rsidP="00280D27">
      <w:pPr>
        <w:pStyle w:val="Heading1"/>
        <w:numPr>
          <w:ilvl w:val="0"/>
          <w:numId w:val="0"/>
        </w:numPr>
        <w:spacing w:before="240"/>
        <w:rPr>
          <w:noProof/>
        </w:rPr>
      </w:pPr>
      <w:bookmarkStart w:id="14" w:name="_Toc406071165"/>
      <w:bookmarkStart w:id="15" w:name="_Toc452477822"/>
      <w:bookmarkStart w:id="16" w:name="_Toc483816459"/>
      <w:r>
        <w:rPr>
          <w:noProof/>
        </w:rPr>
        <w:lastRenderedPageBreak/>
        <w:t>Revenue – individuals and other withholding taxes</w:t>
      </w:r>
      <w:bookmarkEnd w:id="14"/>
      <w:bookmarkEnd w:id="15"/>
      <w:bookmarkEnd w:id="16"/>
    </w:p>
    <w:p w:rsidR="00280D27" w:rsidRDefault="00280D27" w:rsidP="00D50BC9">
      <w:pPr>
        <w:pStyle w:val="Caption"/>
        <w:rPr>
          <w:noProof/>
          <w:lang w:eastAsia="en-AU"/>
        </w:rPr>
      </w:pPr>
      <w:r w:rsidRPr="00B974C6">
        <w:t xml:space="preserve">Figure </w:t>
      </w:r>
      <w:fldSimple w:instr=" SEQ Figure \* ARABIC \s  ">
        <w:r w:rsidR="005570EB">
          <w:rPr>
            <w:noProof/>
          </w:rPr>
          <w:t>7</w:t>
        </w:r>
      </w:fldSimple>
      <w:r w:rsidRPr="00B974C6">
        <w:t xml:space="preserve">: </w:t>
      </w:r>
      <w:bookmarkStart w:id="17" w:name="_Toc406509344"/>
      <w:r>
        <w:t xml:space="preserve">Revenue – individuals and other withholding taxes – </w:t>
      </w:r>
      <w:bookmarkEnd w:id="17"/>
      <w:r w:rsidR="000649BF">
        <w:t>change from 2016–17</w:t>
      </w:r>
      <w:r w:rsidR="000649BF" w:rsidRPr="00DF4406">
        <w:t xml:space="preserve"> </w:t>
      </w:r>
      <w:r w:rsidR="000649BF">
        <w:t>MYEFO to 2017–18 Budget estimates</w:t>
      </w:r>
    </w:p>
    <w:p w:rsidR="00376978" w:rsidRDefault="00870D36" w:rsidP="00376978">
      <w:pPr>
        <w:pStyle w:val="BodyText"/>
        <w:rPr>
          <w:noProof/>
          <w:lang w:eastAsia="en-AU"/>
        </w:rPr>
      </w:pPr>
      <w:r>
        <w:rPr>
          <w:noProof/>
          <w:lang w:eastAsia="en-AU"/>
        </w:rPr>
        <w:drawing>
          <wp:inline distT="0" distB="0" distL="0" distR="0" wp14:anchorId="6792EC3C">
            <wp:extent cx="5104737" cy="2918128"/>
            <wp:effectExtent l="0" t="0" r="127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10067" cy="2921175"/>
                    </a:xfrm>
                    <a:prstGeom prst="rect">
                      <a:avLst/>
                    </a:prstGeom>
                    <a:noFill/>
                  </pic:spPr>
                </pic:pic>
              </a:graphicData>
            </a:graphic>
          </wp:inline>
        </w:drawing>
      </w:r>
    </w:p>
    <w:p w:rsidR="00280D27" w:rsidRDefault="00280D27" w:rsidP="00280D27">
      <w:pPr>
        <w:pStyle w:val="Caption"/>
      </w:pPr>
      <w:r w:rsidRPr="00B974C6">
        <w:t xml:space="preserve">Figure </w:t>
      </w:r>
      <w:fldSimple w:instr=" SEQ Figure \* ARABIC \s 1 ">
        <w:r w:rsidR="005570EB">
          <w:rPr>
            <w:noProof/>
          </w:rPr>
          <w:t>8</w:t>
        </w:r>
      </w:fldSimple>
      <w:r w:rsidRPr="00B974C6">
        <w:t xml:space="preserve">: </w:t>
      </w:r>
      <w:bookmarkStart w:id="18" w:name="_Toc406509345"/>
      <w:r>
        <w:t xml:space="preserve">Revenue – individuals and other withholding taxes – </w:t>
      </w:r>
      <w:bookmarkEnd w:id="18"/>
      <w:r w:rsidR="000649BF">
        <w:t>change from 2016–17</w:t>
      </w:r>
      <w:r w:rsidR="000649BF" w:rsidRPr="00280D27">
        <w:t xml:space="preserve"> </w:t>
      </w:r>
      <w:r w:rsidR="000649BF">
        <w:t xml:space="preserve">MYEFO to 2017–18 Budget estimates </w:t>
      </w:r>
      <w:r w:rsidR="000649BF" w:rsidRPr="00280D27">
        <w:t>by measures and other variations</w:t>
      </w:r>
    </w:p>
    <w:p w:rsidR="00280D27" w:rsidRDefault="00870D36" w:rsidP="00280D27">
      <w:pPr>
        <w:pStyle w:val="BodyText"/>
        <w:spacing w:before="0"/>
        <w:rPr>
          <w:noProof/>
          <w:lang w:eastAsia="en-AU"/>
        </w:rPr>
      </w:pPr>
      <w:r>
        <w:rPr>
          <w:noProof/>
          <w:lang w:eastAsia="en-AU"/>
        </w:rPr>
        <w:drawing>
          <wp:inline distT="0" distB="0" distL="0" distR="0" wp14:anchorId="516C2DCC">
            <wp:extent cx="5020573" cy="2796522"/>
            <wp:effectExtent l="0" t="0" r="0" b="444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26311" cy="2799718"/>
                    </a:xfrm>
                    <a:prstGeom prst="rect">
                      <a:avLst/>
                    </a:prstGeom>
                    <a:noFill/>
                  </pic:spPr>
                </pic:pic>
              </a:graphicData>
            </a:graphic>
          </wp:inline>
        </w:drawing>
      </w:r>
    </w:p>
    <w:p w:rsidR="00280D27" w:rsidRPr="00A674B5" w:rsidRDefault="00330DB6" w:rsidP="00280D27">
      <w:pPr>
        <w:pStyle w:val="ListBullet"/>
        <w:tabs>
          <w:tab w:val="clear" w:pos="454"/>
        </w:tabs>
        <w:spacing w:after="60"/>
        <w:ind w:left="567"/>
      </w:pPr>
      <w:bookmarkStart w:id="19" w:name="_Toc406071166"/>
      <w:r w:rsidRPr="00A674B5">
        <w:t>Relative to the 2016–17 MYEFO</w:t>
      </w:r>
      <w:r w:rsidR="00280D27" w:rsidRPr="00A674B5">
        <w:t xml:space="preserve">, policy decisions are expected to </w:t>
      </w:r>
      <w:r w:rsidR="00597D69" w:rsidRPr="00A674B5">
        <w:t>increas</w:t>
      </w:r>
      <w:r w:rsidR="00376978" w:rsidRPr="00A674B5">
        <w:t>e</w:t>
      </w:r>
      <w:r w:rsidR="00870D36" w:rsidRPr="00A674B5">
        <w:t xml:space="preserve"> </w:t>
      </w:r>
      <w:r w:rsidR="00280D27" w:rsidRPr="00A674B5">
        <w:t xml:space="preserve">individuals and other withholding tax revenue by </w:t>
      </w:r>
      <w:r w:rsidR="00EA56EC" w:rsidRPr="00A674B5">
        <w:t>$9.3</w:t>
      </w:r>
      <w:r w:rsidR="0092726D" w:rsidRPr="00A674B5">
        <w:t xml:space="preserve"> billion</w:t>
      </w:r>
      <w:r w:rsidR="001412B9" w:rsidRPr="00A674B5">
        <w:t xml:space="preserve"> </w:t>
      </w:r>
      <w:r w:rsidRPr="00A674B5">
        <w:t>over the five years to 2020–21</w:t>
      </w:r>
      <w:r w:rsidR="006A2108" w:rsidRPr="00A674B5">
        <w:t xml:space="preserve">, </w:t>
      </w:r>
      <w:r w:rsidR="005D365B">
        <w:t xml:space="preserve">largely </w:t>
      </w:r>
      <w:r w:rsidR="00CA548F">
        <w:t>due to</w:t>
      </w:r>
      <w:r w:rsidR="006A2108" w:rsidRPr="00A674B5">
        <w:t xml:space="preserve"> the </w:t>
      </w:r>
      <w:r w:rsidR="00CA548F">
        <w:t xml:space="preserve">increase in the </w:t>
      </w:r>
      <w:r w:rsidR="006A2108" w:rsidRPr="00A674B5">
        <w:t xml:space="preserve">Medicare levy </w:t>
      </w:r>
      <w:r w:rsidR="005D365B">
        <w:t xml:space="preserve">from 2 </w:t>
      </w:r>
      <w:r w:rsidR="00CA548F">
        <w:t xml:space="preserve">to 2.5 per cent </w:t>
      </w:r>
      <w:r w:rsidR="001A2F80">
        <w:t>from 2019</w:t>
      </w:r>
      <w:r w:rsidR="00C07124">
        <w:t>–</w:t>
      </w:r>
      <w:r w:rsidR="001A2F80">
        <w:t>20</w:t>
      </w:r>
      <w:r w:rsidR="006A2108" w:rsidRPr="00A674B5">
        <w:t>.</w:t>
      </w:r>
    </w:p>
    <w:p w:rsidR="00280D27" w:rsidRPr="00A674B5" w:rsidRDefault="00BE4566" w:rsidP="00280D27">
      <w:pPr>
        <w:pStyle w:val="ListBullet"/>
        <w:tabs>
          <w:tab w:val="clear" w:pos="454"/>
        </w:tabs>
        <w:spacing w:after="60"/>
        <w:ind w:left="567"/>
      </w:pPr>
      <w:r w:rsidRPr="00A674B5">
        <w:t>P</w:t>
      </w:r>
      <w:r w:rsidR="00280D27" w:rsidRPr="00A674B5">
        <w:t xml:space="preserve">arameter and other variations are expected to </w:t>
      </w:r>
      <w:r w:rsidR="00597D69" w:rsidRPr="00A674B5">
        <w:t>decrease</w:t>
      </w:r>
      <w:r w:rsidR="00280D27" w:rsidRPr="00A674B5">
        <w:t xml:space="preserve"> individuals and othe</w:t>
      </w:r>
      <w:r w:rsidR="001412B9" w:rsidRPr="00A674B5">
        <w:t xml:space="preserve">r withholding tax revenue by </w:t>
      </w:r>
      <w:r w:rsidR="00376978" w:rsidRPr="00A674B5">
        <w:t>$</w:t>
      </w:r>
      <w:r w:rsidR="00870D36" w:rsidRPr="00A674B5">
        <w:t>3.4</w:t>
      </w:r>
      <w:r w:rsidR="0092726D" w:rsidRPr="00A674B5">
        <w:t xml:space="preserve"> billion</w:t>
      </w:r>
      <w:r w:rsidR="001412B9" w:rsidRPr="00A674B5">
        <w:t xml:space="preserve"> over the four years to 2019–20</w:t>
      </w:r>
      <w:r w:rsidR="00280D27" w:rsidRPr="00A674B5">
        <w:t xml:space="preserve">, </w:t>
      </w:r>
      <w:r w:rsidR="00330DB6" w:rsidRPr="00A674B5">
        <w:t>relative to the 2016–17 MYEFO</w:t>
      </w:r>
      <w:r w:rsidRPr="00A674B5">
        <w:t xml:space="preserve">, </w:t>
      </w:r>
      <w:r w:rsidR="006A2108" w:rsidRPr="00A674B5">
        <w:t>due to lower forecast wages growth.</w:t>
      </w:r>
    </w:p>
    <w:p w:rsidR="00280D27" w:rsidRDefault="00280D27" w:rsidP="00280D27">
      <w:pPr>
        <w:pStyle w:val="Heading1"/>
        <w:numPr>
          <w:ilvl w:val="0"/>
          <w:numId w:val="0"/>
        </w:numPr>
        <w:spacing w:before="240"/>
        <w:rPr>
          <w:noProof/>
        </w:rPr>
      </w:pPr>
      <w:bookmarkStart w:id="20" w:name="_Toc452477823"/>
      <w:bookmarkStart w:id="21" w:name="_Toc483816460"/>
      <w:r>
        <w:rPr>
          <w:noProof/>
        </w:rPr>
        <w:lastRenderedPageBreak/>
        <w:t>Revenue – company tax</w:t>
      </w:r>
      <w:bookmarkEnd w:id="19"/>
      <w:bookmarkEnd w:id="20"/>
      <w:bookmarkEnd w:id="21"/>
    </w:p>
    <w:p w:rsidR="00280D27" w:rsidRDefault="00280D27" w:rsidP="00280D27">
      <w:pPr>
        <w:pStyle w:val="Caption"/>
      </w:pPr>
      <w:r w:rsidRPr="00B974C6">
        <w:t xml:space="preserve">Figure </w:t>
      </w:r>
      <w:fldSimple w:instr=" SEQ Figure \* ARABIC \s ">
        <w:r w:rsidR="005570EB">
          <w:rPr>
            <w:noProof/>
          </w:rPr>
          <w:t>9</w:t>
        </w:r>
      </w:fldSimple>
      <w:r w:rsidRPr="00B974C6">
        <w:t xml:space="preserve">: </w:t>
      </w:r>
      <w:bookmarkStart w:id="22" w:name="_Toc406509346"/>
      <w:r>
        <w:t xml:space="preserve">Revenue – company tax – </w:t>
      </w:r>
      <w:bookmarkEnd w:id="22"/>
      <w:r w:rsidR="000649BF">
        <w:t>change from 2016–17</w:t>
      </w:r>
      <w:r w:rsidR="000649BF" w:rsidRPr="00DF4406">
        <w:t xml:space="preserve"> </w:t>
      </w:r>
      <w:r w:rsidR="000649BF">
        <w:t>MYEFO to 2017–18 Budget estimates</w:t>
      </w:r>
    </w:p>
    <w:p w:rsidR="00280D27" w:rsidRDefault="00E67641" w:rsidP="00280D27">
      <w:pPr>
        <w:pStyle w:val="BodyText"/>
        <w:spacing w:before="0"/>
        <w:rPr>
          <w:noProof/>
          <w:lang w:eastAsia="en-AU"/>
        </w:rPr>
      </w:pPr>
      <w:r>
        <w:rPr>
          <w:noProof/>
          <w:lang w:eastAsia="en-AU"/>
        </w:rPr>
        <w:drawing>
          <wp:inline distT="0" distB="0" distL="0" distR="0" wp14:anchorId="031C438B">
            <wp:extent cx="5175849" cy="2924089"/>
            <wp:effectExtent l="0" t="0" r="635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83119" cy="2928196"/>
                    </a:xfrm>
                    <a:prstGeom prst="rect">
                      <a:avLst/>
                    </a:prstGeom>
                    <a:noFill/>
                  </pic:spPr>
                </pic:pic>
              </a:graphicData>
            </a:graphic>
          </wp:inline>
        </w:drawing>
      </w:r>
    </w:p>
    <w:p w:rsidR="00280D27" w:rsidRDefault="00280D27" w:rsidP="00280D27">
      <w:pPr>
        <w:pStyle w:val="Caption"/>
      </w:pPr>
      <w:r w:rsidRPr="00B974C6">
        <w:t xml:space="preserve">Figure </w:t>
      </w:r>
      <w:fldSimple w:instr=" SEQ Figure \* ARABIC \s 1 ">
        <w:r w:rsidR="005570EB">
          <w:rPr>
            <w:noProof/>
          </w:rPr>
          <w:t>10</w:t>
        </w:r>
      </w:fldSimple>
      <w:r w:rsidRPr="00B974C6">
        <w:t xml:space="preserve">: </w:t>
      </w:r>
      <w:bookmarkStart w:id="23" w:name="_Toc406509347"/>
      <w:r w:rsidRPr="00ED6542">
        <w:t xml:space="preserve">Revenue – company tax – </w:t>
      </w:r>
      <w:bookmarkEnd w:id="23"/>
      <w:r w:rsidR="000649BF">
        <w:t>change from 2016–17</w:t>
      </w:r>
      <w:r w:rsidR="000649BF" w:rsidRPr="00280D27">
        <w:t xml:space="preserve"> </w:t>
      </w:r>
      <w:r w:rsidR="000649BF">
        <w:t xml:space="preserve">MYEFO to 2017–18 Budget estimates </w:t>
      </w:r>
      <w:r w:rsidR="000649BF" w:rsidRPr="00280D27">
        <w:t>by measures and other variations</w:t>
      </w:r>
    </w:p>
    <w:p w:rsidR="00280D27" w:rsidRDefault="00E67641" w:rsidP="00280D27">
      <w:pPr>
        <w:pStyle w:val="BodyText"/>
        <w:spacing w:before="0"/>
        <w:rPr>
          <w:noProof/>
          <w:lang w:eastAsia="en-AU"/>
        </w:rPr>
      </w:pPr>
      <w:r>
        <w:rPr>
          <w:noProof/>
          <w:lang w:eastAsia="en-AU"/>
        </w:rPr>
        <w:drawing>
          <wp:inline distT="0" distB="0" distL="0" distR="0" wp14:anchorId="2E3C904E">
            <wp:extent cx="5017273" cy="295788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19884" cy="2959424"/>
                    </a:xfrm>
                    <a:prstGeom prst="rect">
                      <a:avLst/>
                    </a:prstGeom>
                    <a:noFill/>
                  </pic:spPr>
                </pic:pic>
              </a:graphicData>
            </a:graphic>
          </wp:inline>
        </w:drawing>
      </w:r>
    </w:p>
    <w:p w:rsidR="00330DB6" w:rsidRPr="00A674B5" w:rsidRDefault="00330DB6" w:rsidP="00280D27">
      <w:pPr>
        <w:pStyle w:val="ListBullet"/>
        <w:tabs>
          <w:tab w:val="clear" w:pos="454"/>
        </w:tabs>
        <w:spacing w:after="60"/>
        <w:ind w:left="567"/>
      </w:pPr>
      <w:bookmarkStart w:id="24" w:name="_Toc406071168"/>
      <w:r w:rsidRPr="00A674B5">
        <w:t>Relative to the 2016–17 MYEFO</w:t>
      </w:r>
      <w:r w:rsidR="00280D27" w:rsidRPr="00A674B5">
        <w:t xml:space="preserve">, policy decisions are expected to </w:t>
      </w:r>
      <w:r w:rsidR="00597D69" w:rsidRPr="00A674B5">
        <w:t xml:space="preserve">decrease </w:t>
      </w:r>
      <w:r w:rsidR="00280D27" w:rsidRPr="00A674B5">
        <w:t xml:space="preserve">company tax revenue by </w:t>
      </w:r>
      <w:r w:rsidR="00605216" w:rsidRPr="00A674B5">
        <w:t>$</w:t>
      </w:r>
      <w:r w:rsidR="00C75415" w:rsidRPr="00A674B5">
        <w:t>0.2</w:t>
      </w:r>
      <w:r w:rsidR="0092726D" w:rsidRPr="00A674B5">
        <w:t xml:space="preserve"> billion</w:t>
      </w:r>
      <w:r w:rsidR="00280D27" w:rsidRPr="00A674B5">
        <w:t xml:space="preserve"> </w:t>
      </w:r>
      <w:r w:rsidRPr="00A674B5">
        <w:t>over the f</w:t>
      </w:r>
      <w:r w:rsidR="00174CEE">
        <w:t>our</w:t>
      </w:r>
      <w:r w:rsidRPr="00A674B5">
        <w:t xml:space="preserve"> years to 2020–21.</w:t>
      </w:r>
      <w:r w:rsidR="00E126B8">
        <w:t xml:space="preserve"> </w:t>
      </w:r>
    </w:p>
    <w:p w:rsidR="00280D27" w:rsidRPr="00A674B5" w:rsidRDefault="00BE4566" w:rsidP="00280D27">
      <w:pPr>
        <w:pStyle w:val="ListBullet"/>
        <w:tabs>
          <w:tab w:val="clear" w:pos="454"/>
        </w:tabs>
        <w:spacing w:after="60"/>
        <w:ind w:left="567"/>
      </w:pPr>
      <w:r w:rsidRPr="00A674B5">
        <w:t>P</w:t>
      </w:r>
      <w:r w:rsidR="00280D27" w:rsidRPr="00A674B5">
        <w:t xml:space="preserve">arameter and other variations are expected to </w:t>
      </w:r>
      <w:r w:rsidR="00E126B8">
        <w:t>increase</w:t>
      </w:r>
      <w:r w:rsidR="00597D69" w:rsidRPr="00A674B5">
        <w:t xml:space="preserve"> </w:t>
      </w:r>
      <w:r w:rsidR="001412B9" w:rsidRPr="00A674B5">
        <w:t>company tax</w:t>
      </w:r>
      <w:r w:rsidR="00605216" w:rsidRPr="00A674B5">
        <w:t xml:space="preserve"> revenue by $</w:t>
      </w:r>
      <w:r w:rsidR="00E67641" w:rsidRPr="00A674B5">
        <w:t>8.2</w:t>
      </w:r>
      <w:r w:rsidR="00E126B8">
        <w:t> </w:t>
      </w:r>
      <w:r w:rsidR="00280D27" w:rsidRPr="00A674B5">
        <w:t xml:space="preserve">billion </w:t>
      </w:r>
      <w:r w:rsidR="001412B9" w:rsidRPr="00A674B5">
        <w:t>over the four years to 2019–20</w:t>
      </w:r>
      <w:r w:rsidR="00280D27" w:rsidRPr="00A674B5">
        <w:t xml:space="preserve">, </w:t>
      </w:r>
      <w:r w:rsidRPr="00A674B5">
        <w:t xml:space="preserve">relative to the 2016–17 </w:t>
      </w:r>
      <w:r w:rsidR="006D024C" w:rsidRPr="00A674B5">
        <w:t>MYEFO</w:t>
      </w:r>
      <w:r w:rsidRPr="00A674B5">
        <w:t>,</w:t>
      </w:r>
      <w:r w:rsidR="00EA56EC" w:rsidRPr="00A674B5">
        <w:t xml:space="preserve"> from higher expected corporate profitability.</w:t>
      </w:r>
      <w:r w:rsidRPr="00A674B5">
        <w:t xml:space="preserve"> </w:t>
      </w:r>
    </w:p>
    <w:p w:rsidR="00280D27" w:rsidRDefault="00280D27" w:rsidP="00280D27">
      <w:pPr>
        <w:pStyle w:val="Heading1"/>
        <w:numPr>
          <w:ilvl w:val="0"/>
          <w:numId w:val="0"/>
        </w:numPr>
        <w:spacing w:before="240"/>
        <w:rPr>
          <w:noProof/>
        </w:rPr>
      </w:pPr>
      <w:bookmarkStart w:id="25" w:name="_Toc452477824"/>
      <w:bookmarkStart w:id="26" w:name="_Toc483816461"/>
      <w:r>
        <w:rPr>
          <w:noProof/>
        </w:rPr>
        <w:lastRenderedPageBreak/>
        <w:t>Revenue – goods and services tax</w:t>
      </w:r>
      <w:bookmarkEnd w:id="25"/>
      <w:bookmarkEnd w:id="26"/>
    </w:p>
    <w:p w:rsidR="00280D27" w:rsidRDefault="00280D27" w:rsidP="00280D27">
      <w:pPr>
        <w:pStyle w:val="Caption"/>
      </w:pPr>
      <w:r w:rsidRPr="00FF1B86">
        <w:t xml:space="preserve">Figure </w:t>
      </w:r>
      <w:fldSimple w:instr=" SEQ Figure \* ARABIC \s ">
        <w:r w:rsidR="005570EB">
          <w:rPr>
            <w:noProof/>
          </w:rPr>
          <w:t>11</w:t>
        </w:r>
      </w:fldSimple>
      <w:r w:rsidRPr="00FF1B86">
        <w:t xml:space="preserve">: </w:t>
      </w:r>
      <w:r>
        <w:t xml:space="preserve">Revenue – goods and services tax – </w:t>
      </w:r>
      <w:r w:rsidR="000649BF">
        <w:t>change from 2016–17</w:t>
      </w:r>
      <w:r w:rsidR="000649BF" w:rsidRPr="00DF4406">
        <w:t xml:space="preserve"> </w:t>
      </w:r>
      <w:r w:rsidR="000649BF">
        <w:t>MYEFO to 2017–18 Budget estimates</w:t>
      </w:r>
    </w:p>
    <w:p w:rsidR="00280D27" w:rsidRDefault="000E16B4" w:rsidP="00280D27">
      <w:pPr>
        <w:pStyle w:val="BodyText"/>
        <w:spacing w:before="0"/>
        <w:rPr>
          <w:noProof/>
          <w:lang w:eastAsia="en-AU"/>
        </w:rPr>
      </w:pPr>
      <w:r>
        <w:rPr>
          <w:noProof/>
          <w:lang w:eastAsia="en-AU"/>
        </w:rPr>
        <w:drawing>
          <wp:inline distT="0" distB="0" distL="0" distR="0" wp14:anchorId="602BB530" wp14:editId="07D2EF46">
            <wp:extent cx="5135386" cy="3029447"/>
            <wp:effectExtent l="0" t="0" r="825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38038" cy="3031011"/>
                    </a:xfrm>
                    <a:prstGeom prst="rect">
                      <a:avLst/>
                    </a:prstGeom>
                    <a:noFill/>
                  </pic:spPr>
                </pic:pic>
              </a:graphicData>
            </a:graphic>
          </wp:inline>
        </w:drawing>
      </w:r>
    </w:p>
    <w:p w:rsidR="00280D27" w:rsidRDefault="00280D27" w:rsidP="00280D27">
      <w:pPr>
        <w:pStyle w:val="Caption"/>
      </w:pPr>
      <w:r w:rsidRPr="00FF1B86">
        <w:t xml:space="preserve">Figure </w:t>
      </w:r>
      <w:fldSimple w:instr=" SEQ Figure \* ARABIC \s 1 ">
        <w:r w:rsidR="005570EB">
          <w:rPr>
            <w:noProof/>
          </w:rPr>
          <w:t>12</w:t>
        </w:r>
      </w:fldSimple>
      <w:r w:rsidRPr="00FF1B86">
        <w:t xml:space="preserve">: </w:t>
      </w:r>
      <w:r>
        <w:t xml:space="preserve">Revenue – goods and services tax – </w:t>
      </w:r>
      <w:r w:rsidR="000649BF">
        <w:t>change from 2016–17</w:t>
      </w:r>
      <w:r w:rsidR="000649BF" w:rsidRPr="00280D27">
        <w:t xml:space="preserve"> </w:t>
      </w:r>
      <w:r w:rsidR="000649BF">
        <w:t xml:space="preserve">MYEFO to 2017–18 Budget estimates </w:t>
      </w:r>
      <w:r w:rsidR="000649BF" w:rsidRPr="00280D27">
        <w:t>by measures and other variations</w:t>
      </w:r>
    </w:p>
    <w:p w:rsidR="00F62139" w:rsidRDefault="002E7AA1" w:rsidP="00F62139">
      <w:pPr>
        <w:pStyle w:val="BodyText"/>
        <w:spacing w:before="0"/>
        <w:rPr>
          <w:noProof/>
          <w:lang w:eastAsia="en-AU"/>
        </w:rPr>
      </w:pPr>
      <w:r>
        <w:rPr>
          <w:noProof/>
          <w:lang w:eastAsia="en-AU"/>
        </w:rPr>
        <w:drawing>
          <wp:inline distT="0" distB="0" distL="0" distR="0" wp14:anchorId="4231F512" wp14:editId="11938690">
            <wp:extent cx="5089585" cy="2915728"/>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01233" cy="2922401"/>
                    </a:xfrm>
                    <a:prstGeom prst="rect">
                      <a:avLst/>
                    </a:prstGeom>
                    <a:noFill/>
                  </pic:spPr>
                </pic:pic>
              </a:graphicData>
            </a:graphic>
          </wp:inline>
        </w:drawing>
      </w:r>
    </w:p>
    <w:p w:rsidR="006D024C" w:rsidRPr="00A674B5" w:rsidRDefault="006D024C" w:rsidP="006D024C">
      <w:pPr>
        <w:pStyle w:val="ListBullet"/>
        <w:tabs>
          <w:tab w:val="clear" w:pos="454"/>
        </w:tabs>
        <w:spacing w:after="60"/>
        <w:ind w:left="567"/>
      </w:pPr>
      <w:r w:rsidRPr="00A674B5">
        <w:t>Relative to the 2016–17 MYEFO, policy decisions are expected to increase goods and services tax revenue by $</w:t>
      </w:r>
      <w:r w:rsidR="00EA56EC" w:rsidRPr="00A674B5">
        <w:t>0.9</w:t>
      </w:r>
      <w:r w:rsidRPr="00A674B5">
        <w:t xml:space="preserve"> billion over the f</w:t>
      </w:r>
      <w:r w:rsidR="00174CEE">
        <w:t>our</w:t>
      </w:r>
      <w:r w:rsidRPr="00A674B5">
        <w:t xml:space="preserve"> years to 2020–21</w:t>
      </w:r>
      <w:r w:rsidR="00EA56EC" w:rsidRPr="00A674B5">
        <w:t>, reflecting the measure to</w:t>
      </w:r>
      <w:r w:rsidR="006F095E" w:rsidRPr="00A674B5">
        <w:t xml:space="preserve"> strengthen compliance with </w:t>
      </w:r>
      <w:r w:rsidR="00EA56EC" w:rsidRPr="00A674B5">
        <w:t>GST law on property transactions</w:t>
      </w:r>
      <w:r w:rsidRPr="00A674B5">
        <w:t>.</w:t>
      </w:r>
    </w:p>
    <w:p w:rsidR="00280D27" w:rsidRDefault="00280D27" w:rsidP="00280D27">
      <w:pPr>
        <w:pStyle w:val="ListBullet"/>
        <w:tabs>
          <w:tab w:val="clear" w:pos="454"/>
        </w:tabs>
        <w:spacing w:after="60"/>
        <w:ind w:left="567"/>
      </w:pPr>
      <w:r w:rsidRPr="00A674B5">
        <w:t xml:space="preserve">Parameter and other variations are expected to </w:t>
      </w:r>
      <w:r w:rsidR="00597D69" w:rsidRPr="00A674B5">
        <w:t xml:space="preserve">decrease </w:t>
      </w:r>
      <w:r w:rsidRPr="00A674B5">
        <w:t xml:space="preserve">goods and service tax revenue by </w:t>
      </w:r>
      <w:r w:rsidR="002B17FF" w:rsidRPr="00A674B5">
        <w:t>$2.6</w:t>
      </w:r>
      <w:r w:rsidR="0092726D" w:rsidRPr="00A674B5">
        <w:t xml:space="preserve"> billion</w:t>
      </w:r>
      <w:r w:rsidR="00BE4566" w:rsidRPr="00A674B5">
        <w:t xml:space="preserve"> over the four years to 2019–20</w:t>
      </w:r>
      <w:r w:rsidR="00074348" w:rsidRPr="00A674B5">
        <w:t>, relative to the 2016–17 MYEFO</w:t>
      </w:r>
      <w:r w:rsidR="00BE4566" w:rsidRPr="00A674B5">
        <w:t>,</w:t>
      </w:r>
      <w:r w:rsidR="006D024C">
        <w:t xml:space="preserve"> </w:t>
      </w:r>
      <w:r w:rsidR="006D024C" w:rsidRPr="005D365B">
        <w:t>re</w:t>
      </w:r>
      <w:r w:rsidR="000D2511" w:rsidRPr="005D365B">
        <w:t xml:space="preserve">flecting lower forecast household consumption and private dwelling </w:t>
      </w:r>
      <w:r w:rsidR="0072113F">
        <w:t>investment</w:t>
      </w:r>
      <w:r w:rsidR="000D2511" w:rsidRPr="005D365B">
        <w:t>.</w:t>
      </w:r>
      <w:r w:rsidR="000D2511">
        <w:t xml:space="preserve">  </w:t>
      </w:r>
    </w:p>
    <w:p w:rsidR="00616F55" w:rsidRDefault="00616F55" w:rsidP="00616F55">
      <w:pPr>
        <w:pStyle w:val="Heading1"/>
        <w:numPr>
          <w:ilvl w:val="0"/>
          <w:numId w:val="0"/>
        </w:numPr>
        <w:spacing w:before="240"/>
        <w:rPr>
          <w:noProof/>
        </w:rPr>
      </w:pPr>
      <w:bookmarkStart w:id="27" w:name="_Toc483816462"/>
      <w:r w:rsidRPr="000E16B4">
        <w:rPr>
          <w:noProof/>
        </w:rPr>
        <w:lastRenderedPageBreak/>
        <w:t>Revenue – major bank levy</w:t>
      </w:r>
      <w:bookmarkEnd w:id="27"/>
    </w:p>
    <w:p w:rsidR="00616F55" w:rsidRDefault="00616F55" w:rsidP="00616F55">
      <w:pPr>
        <w:pStyle w:val="Caption"/>
      </w:pPr>
      <w:r w:rsidRPr="00FF1B86">
        <w:t xml:space="preserve">Figure </w:t>
      </w:r>
      <w:fldSimple w:instr=" SEQ Figure \* ARABIC \s ">
        <w:r w:rsidR="005570EB">
          <w:rPr>
            <w:noProof/>
          </w:rPr>
          <w:t>13</w:t>
        </w:r>
      </w:fldSimple>
      <w:r w:rsidRPr="00FF1B86">
        <w:t xml:space="preserve">: </w:t>
      </w:r>
      <w:r>
        <w:t>Revenue – major bank levy – change from 2016–17</w:t>
      </w:r>
      <w:r w:rsidRPr="00DF4406">
        <w:t xml:space="preserve"> </w:t>
      </w:r>
      <w:r>
        <w:t>MYEFO to 2017–18 Budget estimates</w:t>
      </w:r>
    </w:p>
    <w:p w:rsidR="00616F55" w:rsidRDefault="00641B69" w:rsidP="00616F55">
      <w:pPr>
        <w:pStyle w:val="BodyText"/>
        <w:spacing w:before="0"/>
        <w:rPr>
          <w:noProof/>
          <w:lang w:eastAsia="en-AU"/>
        </w:rPr>
      </w:pPr>
      <w:r>
        <w:rPr>
          <w:noProof/>
          <w:lang w:eastAsia="en-AU"/>
        </w:rPr>
        <w:drawing>
          <wp:inline distT="0" distB="0" distL="0" distR="0" wp14:anchorId="639DFFAD" wp14:editId="3F6686FC">
            <wp:extent cx="5117246" cy="2918128"/>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31531" cy="2926274"/>
                    </a:xfrm>
                    <a:prstGeom prst="rect">
                      <a:avLst/>
                    </a:prstGeom>
                    <a:noFill/>
                  </pic:spPr>
                </pic:pic>
              </a:graphicData>
            </a:graphic>
          </wp:inline>
        </w:drawing>
      </w:r>
    </w:p>
    <w:p w:rsidR="00616F55" w:rsidRDefault="00616F55" w:rsidP="00616F55">
      <w:pPr>
        <w:pStyle w:val="Caption"/>
      </w:pPr>
      <w:r w:rsidRPr="00FF1B86">
        <w:t xml:space="preserve">Figure </w:t>
      </w:r>
      <w:fldSimple w:instr=" SEQ Figure \* ARABIC \s 1 ">
        <w:r w:rsidR="005570EB">
          <w:rPr>
            <w:noProof/>
          </w:rPr>
          <w:t>14</w:t>
        </w:r>
      </w:fldSimple>
      <w:r w:rsidRPr="00FF1B86">
        <w:t xml:space="preserve">: </w:t>
      </w:r>
      <w:r>
        <w:t xml:space="preserve">Revenue – major bank </w:t>
      </w:r>
      <w:proofErr w:type="gramStart"/>
      <w:r>
        <w:t>levy  –</w:t>
      </w:r>
      <w:proofErr w:type="gramEnd"/>
      <w:r>
        <w:t xml:space="preserve"> change from 2016–17</w:t>
      </w:r>
      <w:r w:rsidRPr="00280D27">
        <w:t xml:space="preserve"> </w:t>
      </w:r>
      <w:r>
        <w:t xml:space="preserve">MYEFO to 2017–18 Budget estimates </w:t>
      </w:r>
      <w:r w:rsidRPr="00280D27">
        <w:t>by measures and other variations</w:t>
      </w:r>
    </w:p>
    <w:p w:rsidR="00616F55" w:rsidRDefault="00AE4C9B" w:rsidP="00616F55">
      <w:pPr>
        <w:pStyle w:val="BodyText"/>
        <w:spacing w:before="0"/>
        <w:rPr>
          <w:noProof/>
          <w:lang w:eastAsia="en-AU"/>
        </w:rPr>
      </w:pPr>
      <w:r>
        <w:rPr>
          <w:noProof/>
          <w:lang w:eastAsia="en-AU"/>
        </w:rPr>
        <w:drawing>
          <wp:inline distT="0" distB="0" distL="0" distR="0" wp14:anchorId="5B55440B" wp14:editId="7120334F">
            <wp:extent cx="5173318" cy="2647784"/>
            <wp:effectExtent l="0" t="0" r="8890" b="63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89820" cy="2656230"/>
                    </a:xfrm>
                    <a:prstGeom prst="rect">
                      <a:avLst/>
                    </a:prstGeom>
                    <a:noFill/>
                  </pic:spPr>
                </pic:pic>
              </a:graphicData>
            </a:graphic>
          </wp:inline>
        </w:drawing>
      </w:r>
    </w:p>
    <w:p w:rsidR="00BD3E86" w:rsidRPr="00A674B5" w:rsidRDefault="00616F55" w:rsidP="002C04AC">
      <w:pPr>
        <w:pStyle w:val="ListBullet"/>
        <w:tabs>
          <w:tab w:val="clear" w:pos="454"/>
        </w:tabs>
        <w:spacing w:after="60"/>
        <w:ind w:left="567"/>
      </w:pPr>
      <w:r>
        <w:t>The introduction of the major bank levy is expected to increase tax revenue</w:t>
      </w:r>
      <w:r w:rsidRPr="00A674B5">
        <w:t xml:space="preserve"> by $</w:t>
      </w:r>
      <w:r w:rsidR="007127B9">
        <w:t>6.2</w:t>
      </w:r>
      <w:r>
        <w:t> </w:t>
      </w:r>
      <w:r w:rsidRPr="00A674B5">
        <w:t>billion over the f</w:t>
      </w:r>
      <w:r w:rsidR="007127B9">
        <w:t>our</w:t>
      </w:r>
      <w:r w:rsidRPr="00A674B5">
        <w:t xml:space="preserve"> years to 2020–21.</w:t>
      </w:r>
      <w:r w:rsidR="007127B9">
        <w:t xml:space="preserve">  This </w:t>
      </w:r>
      <w:r w:rsidR="00B371B0">
        <w:t xml:space="preserve">is </w:t>
      </w:r>
      <w:r w:rsidR="007127B9">
        <w:t xml:space="preserve">made </w:t>
      </w:r>
      <w:r w:rsidR="00BD3E86">
        <w:t xml:space="preserve">up </w:t>
      </w:r>
      <w:r w:rsidR="007127B9">
        <w:t>of major bank levy revenue of $7</w:t>
      </w:r>
      <w:r w:rsidR="00BD3E86">
        <w:t>.0</w:t>
      </w:r>
      <w:r w:rsidR="007127B9">
        <w:t xml:space="preserve"> billion, with </w:t>
      </w:r>
      <w:r w:rsidR="008044BD">
        <w:t>related</w:t>
      </w:r>
      <w:r w:rsidR="007127B9">
        <w:t xml:space="preserve"> decreases in company tax and individuals and other withholding taxes </w:t>
      </w:r>
      <w:r w:rsidR="001D05CD">
        <w:t>totalling</w:t>
      </w:r>
      <w:r w:rsidR="00BD3E86">
        <w:t xml:space="preserve"> $0.8 billion. </w:t>
      </w:r>
    </w:p>
    <w:p w:rsidR="00280D27" w:rsidRDefault="00280D27" w:rsidP="00280D27">
      <w:pPr>
        <w:pStyle w:val="Heading1"/>
        <w:numPr>
          <w:ilvl w:val="0"/>
          <w:numId w:val="0"/>
        </w:numPr>
        <w:spacing w:before="240"/>
        <w:rPr>
          <w:noProof/>
        </w:rPr>
      </w:pPr>
      <w:bookmarkStart w:id="28" w:name="_Toc452477826"/>
      <w:bookmarkStart w:id="29" w:name="_Toc483816463"/>
      <w:bookmarkEnd w:id="24"/>
      <w:r w:rsidRPr="00C426B0">
        <w:rPr>
          <w:noProof/>
        </w:rPr>
        <w:lastRenderedPageBreak/>
        <w:t>Revenue – non-tax revenue</w:t>
      </w:r>
      <w:bookmarkEnd w:id="28"/>
      <w:bookmarkEnd w:id="29"/>
    </w:p>
    <w:p w:rsidR="00280D27" w:rsidRDefault="00280D27" w:rsidP="00280D27">
      <w:pPr>
        <w:pStyle w:val="Caption"/>
      </w:pPr>
      <w:r w:rsidRPr="00282AE7">
        <w:t xml:space="preserve">Figure </w:t>
      </w:r>
      <w:fldSimple w:instr=" SEQ Figure \* ARABIC \s ">
        <w:r w:rsidR="005570EB">
          <w:rPr>
            <w:noProof/>
          </w:rPr>
          <w:t>15</w:t>
        </w:r>
      </w:fldSimple>
      <w:r w:rsidRPr="00282AE7">
        <w:t xml:space="preserve">: </w:t>
      </w:r>
      <w:bookmarkStart w:id="30" w:name="_Toc406509352"/>
      <w:r>
        <w:t xml:space="preserve">Revenue – non-tax revenue – </w:t>
      </w:r>
      <w:bookmarkEnd w:id="30"/>
      <w:r w:rsidR="000649BF">
        <w:t>change from 2016–17</w:t>
      </w:r>
      <w:r w:rsidR="000649BF" w:rsidRPr="00DF4406">
        <w:t xml:space="preserve"> </w:t>
      </w:r>
      <w:r w:rsidR="000649BF">
        <w:t>MYEFO to 2017–18 Budget estimates</w:t>
      </w:r>
    </w:p>
    <w:p w:rsidR="00A05427" w:rsidRDefault="000E16B4" w:rsidP="00280D27">
      <w:pPr>
        <w:pStyle w:val="BodyText"/>
        <w:spacing w:before="0"/>
        <w:rPr>
          <w:noProof/>
          <w:lang w:eastAsia="en-AU"/>
        </w:rPr>
      </w:pPr>
      <w:r>
        <w:rPr>
          <w:noProof/>
          <w:lang w:eastAsia="en-AU"/>
        </w:rPr>
        <w:drawing>
          <wp:inline distT="0" distB="0" distL="0" distR="0" wp14:anchorId="06353D96">
            <wp:extent cx="4954137" cy="2558955"/>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58224" cy="2561066"/>
                    </a:xfrm>
                    <a:prstGeom prst="rect">
                      <a:avLst/>
                    </a:prstGeom>
                    <a:noFill/>
                  </pic:spPr>
                </pic:pic>
              </a:graphicData>
            </a:graphic>
          </wp:inline>
        </w:drawing>
      </w:r>
    </w:p>
    <w:p w:rsidR="00280D27" w:rsidRDefault="00280D27" w:rsidP="00280D27">
      <w:pPr>
        <w:pStyle w:val="Caption"/>
        <w:rPr>
          <w:noProof/>
          <w:lang w:eastAsia="en-AU"/>
        </w:rPr>
      </w:pPr>
      <w:r w:rsidRPr="00282AE7">
        <w:t xml:space="preserve">Figure </w:t>
      </w:r>
      <w:fldSimple w:instr=" SEQ Figure \* ARABIC \s 1 ">
        <w:r w:rsidR="005570EB">
          <w:rPr>
            <w:noProof/>
          </w:rPr>
          <w:t>16</w:t>
        </w:r>
      </w:fldSimple>
      <w:r w:rsidRPr="00282AE7">
        <w:t xml:space="preserve">: </w:t>
      </w:r>
      <w:bookmarkStart w:id="31" w:name="_Toc406509353"/>
      <w:r>
        <w:t xml:space="preserve">Revenue – non-tax revenue – </w:t>
      </w:r>
      <w:bookmarkEnd w:id="31"/>
      <w:r w:rsidR="000649BF">
        <w:t>change from 2016–17</w:t>
      </w:r>
      <w:r w:rsidR="000649BF" w:rsidRPr="00280D27">
        <w:t xml:space="preserve"> </w:t>
      </w:r>
      <w:r w:rsidR="000649BF">
        <w:t xml:space="preserve">MYEFO to 2017–18 Budget estimates </w:t>
      </w:r>
      <w:r w:rsidR="000649BF" w:rsidRPr="00280D27">
        <w:t>by measures and other variations</w:t>
      </w:r>
    </w:p>
    <w:p w:rsidR="00A05427" w:rsidRDefault="00E126B8" w:rsidP="00280D27">
      <w:pPr>
        <w:pStyle w:val="BodyText"/>
        <w:spacing w:before="0"/>
        <w:rPr>
          <w:noProof/>
          <w:lang w:eastAsia="en-AU"/>
        </w:rPr>
      </w:pPr>
      <w:r>
        <w:rPr>
          <w:noProof/>
          <w:lang w:eastAsia="en-AU"/>
        </w:rPr>
        <w:drawing>
          <wp:inline distT="0" distB="0" distL="0" distR="0" wp14:anchorId="54F4510B" wp14:editId="3BD60736">
            <wp:extent cx="4917056" cy="2277373"/>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50535" cy="2292879"/>
                    </a:xfrm>
                    <a:prstGeom prst="rect">
                      <a:avLst/>
                    </a:prstGeom>
                    <a:noFill/>
                  </pic:spPr>
                </pic:pic>
              </a:graphicData>
            </a:graphic>
          </wp:inline>
        </w:drawing>
      </w:r>
    </w:p>
    <w:p w:rsidR="00280D27" w:rsidRPr="00915822" w:rsidRDefault="00280D27" w:rsidP="00280D27">
      <w:pPr>
        <w:pStyle w:val="ListBullet"/>
        <w:tabs>
          <w:tab w:val="clear" w:pos="454"/>
        </w:tabs>
        <w:spacing w:after="60"/>
        <w:ind w:left="567"/>
      </w:pPr>
      <w:bookmarkStart w:id="32" w:name="_Toc406071171"/>
      <w:r w:rsidRPr="00915822">
        <w:t xml:space="preserve">Relative to the </w:t>
      </w:r>
      <w:r w:rsidR="00074348">
        <w:t>2016–17 MYEFO</w:t>
      </w:r>
      <w:r w:rsidRPr="00915822">
        <w:t xml:space="preserve">, policy decisions are expected to </w:t>
      </w:r>
      <w:r w:rsidR="00925F95" w:rsidRPr="00915822">
        <w:t>increase</w:t>
      </w:r>
      <w:r w:rsidR="00597D69" w:rsidRPr="00915822">
        <w:t xml:space="preserve"> </w:t>
      </w:r>
      <w:r w:rsidRPr="00915822">
        <w:t>non</w:t>
      </w:r>
      <w:r w:rsidRPr="00915822">
        <w:noBreakHyphen/>
        <w:t xml:space="preserve">tax revenue by </w:t>
      </w:r>
      <w:r w:rsidR="00EC683E">
        <w:t>$2.6</w:t>
      </w:r>
      <w:r w:rsidR="0092726D" w:rsidRPr="00915822">
        <w:t xml:space="preserve"> billion</w:t>
      </w:r>
      <w:r w:rsidRPr="00915822">
        <w:t xml:space="preserve"> over the </w:t>
      </w:r>
      <w:r w:rsidR="00074348">
        <w:t>five years to 2020–21</w:t>
      </w:r>
      <w:r w:rsidR="00EC683E">
        <w:t xml:space="preserve">, reflecting </w:t>
      </w:r>
      <w:r w:rsidR="00A55168">
        <w:t>the decision not to</w:t>
      </w:r>
      <w:r w:rsidR="006C38EA">
        <w:t xml:space="preserve"> proceed with the</w:t>
      </w:r>
      <w:r w:rsidR="00A55168">
        <w:t xml:space="preserve"> removal of the loan fee for </w:t>
      </w:r>
      <w:r w:rsidR="006C38EA">
        <w:t>FEE-HELP as announced in the 2014</w:t>
      </w:r>
      <w:r w:rsidR="00C07124">
        <w:t>–</w:t>
      </w:r>
      <w:r w:rsidR="006C38EA">
        <w:t xml:space="preserve">15 Budget, and allowing permanent residents and New Zealand citizens to access concessional loans through HELP rather than through the Commonwealth Grants Scheme. This is offset by decreased </w:t>
      </w:r>
      <w:r w:rsidR="005C793D">
        <w:t xml:space="preserve">non-tax revenue for </w:t>
      </w:r>
      <w:r w:rsidR="006C38EA">
        <w:t>the National Disability Insurance Scheme (NDIS), as</w:t>
      </w:r>
      <w:r w:rsidR="005C793D">
        <w:t xml:space="preserve"> Western Australia</w:t>
      </w:r>
      <w:r w:rsidR="006C38EA">
        <w:t xml:space="preserve"> </w:t>
      </w:r>
      <w:r w:rsidR="006C38EA" w:rsidRPr="00E0596D">
        <w:t>move</w:t>
      </w:r>
      <w:r w:rsidR="005C793D" w:rsidRPr="00E0596D">
        <w:t>s</w:t>
      </w:r>
      <w:r w:rsidR="006C38EA" w:rsidRPr="00E0596D">
        <w:t xml:space="preserve"> to deliver the NDIS under a locally administered model.</w:t>
      </w:r>
    </w:p>
    <w:p w:rsidR="00280D27" w:rsidRPr="00915822" w:rsidRDefault="00280D27" w:rsidP="00280D27">
      <w:pPr>
        <w:pStyle w:val="ListBullet"/>
        <w:tabs>
          <w:tab w:val="clear" w:pos="454"/>
        </w:tabs>
        <w:spacing w:after="60"/>
        <w:ind w:left="567"/>
      </w:pPr>
      <w:r w:rsidRPr="00915822">
        <w:t xml:space="preserve">Parameter and other variations are expected to </w:t>
      </w:r>
      <w:r w:rsidR="00074348">
        <w:t>increase</w:t>
      </w:r>
      <w:r w:rsidR="00597D69" w:rsidRPr="00915822">
        <w:t xml:space="preserve"> </w:t>
      </w:r>
      <w:r w:rsidR="00B81E91">
        <w:t>non</w:t>
      </w:r>
      <w:r w:rsidR="00B81E91">
        <w:noBreakHyphen/>
        <w:t>tax revenue by $1.8</w:t>
      </w:r>
      <w:r w:rsidRPr="00915822">
        <w:t xml:space="preserve"> billion over the four years to </w:t>
      </w:r>
      <w:r w:rsidR="00BE4566" w:rsidRPr="00915822">
        <w:t>2019–20</w:t>
      </w:r>
      <w:r w:rsidRPr="00915822">
        <w:t xml:space="preserve">, </w:t>
      </w:r>
      <w:r w:rsidR="00074348">
        <w:t>relative to the 2016–17 MYEFO</w:t>
      </w:r>
      <w:r w:rsidR="0033572F" w:rsidRPr="00915822">
        <w:t xml:space="preserve">, </w:t>
      </w:r>
      <w:r w:rsidR="00DC24FC">
        <w:t>which largely reflect</w:t>
      </w:r>
      <w:r w:rsidR="00F37BE4">
        <w:t>s</w:t>
      </w:r>
      <w:r w:rsidR="00DC24FC">
        <w:t xml:space="preserve"> an upward revision in </w:t>
      </w:r>
      <w:r w:rsidR="000A4F08">
        <w:t>projected dividend revenue from the Reserve Bank of Australia.</w:t>
      </w:r>
    </w:p>
    <w:p w:rsidR="00280D27" w:rsidRDefault="00280D27" w:rsidP="00280D27">
      <w:pPr>
        <w:pStyle w:val="Heading1"/>
        <w:numPr>
          <w:ilvl w:val="0"/>
          <w:numId w:val="0"/>
        </w:numPr>
        <w:spacing w:before="240"/>
        <w:rPr>
          <w:noProof/>
        </w:rPr>
      </w:pPr>
      <w:bookmarkStart w:id="33" w:name="_Toc452477828"/>
      <w:bookmarkStart w:id="34" w:name="_Toc483816464"/>
      <w:bookmarkStart w:id="35" w:name="_Toc406071172"/>
      <w:bookmarkEnd w:id="32"/>
      <w:r w:rsidRPr="00C85CE7">
        <w:rPr>
          <w:noProof/>
        </w:rPr>
        <w:lastRenderedPageBreak/>
        <w:t>Expenses – Family Tax Benefit</w:t>
      </w:r>
      <w:bookmarkEnd w:id="33"/>
      <w:bookmarkEnd w:id="34"/>
    </w:p>
    <w:p w:rsidR="00280D27" w:rsidRPr="00C85CE7" w:rsidRDefault="00280D27" w:rsidP="00280D27">
      <w:pPr>
        <w:pStyle w:val="Caption"/>
      </w:pPr>
      <w:r w:rsidRPr="00B366DE">
        <w:t xml:space="preserve">Figure </w:t>
      </w:r>
      <w:fldSimple w:instr=" SEQ Figure \* ARABIC \s ">
        <w:r w:rsidR="005570EB">
          <w:rPr>
            <w:noProof/>
          </w:rPr>
          <w:t>17</w:t>
        </w:r>
      </w:fldSimple>
      <w:r w:rsidRPr="00B366DE">
        <w:t xml:space="preserve">: </w:t>
      </w:r>
      <w:r w:rsidRPr="00C85CE7">
        <w:t xml:space="preserve">Expenses – Family Tax Benefit – </w:t>
      </w:r>
      <w:r w:rsidR="000649BF">
        <w:t>change from 2016–17</w:t>
      </w:r>
      <w:r w:rsidR="000649BF" w:rsidRPr="00DF4406">
        <w:t xml:space="preserve"> </w:t>
      </w:r>
      <w:r w:rsidR="000649BF">
        <w:t>MYEFO to 2017–18 Budget estimates</w:t>
      </w:r>
    </w:p>
    <w:p w:rsidR="00280D27" w:rsidRDefault="000E16B4" w:rsidP="00280D27">
      <w:pPr>
        <w:pStyle w:val="BodyText"/>
        <w:spacing w:before="0"/>
        <w:rPr>
          <w:noProof/>
          <w:lang w:eastAsia="en-AU"/>
        </w:rPr>
      </w:pPr>
      <w:r>
        <w:rPr>
          <w:noProof/>
          <w:lang w:eastAsia="en-AU"/>
        </w:rPr>
        <w:drawing>
          <wp:inline distT="0" distB="0" distL="0" distR="0" wp14:anchorId="533F0722">
            <wp:extent cx="4973375" cy="2790967"/>
            <wp:effectExtent l="0" t="0" r="0"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77060" cy="2793035"/>
                    </a:xfrm>
                    <a:prstGeom prst="rect">
                      <a:avLst/>
                    </a:prstGeom>
                    <a:noFill/>
                  </pic:spPr>
                </pic:pic>
              </a:graphicData>
            </a:graphic>
          </wp:inline>
        </w:drawing>
      </w:r>
    </w:p>
    <w:p w:rsidR="00280D27" w:rsidRDefault="00280D27" w:rsidP="00280D27">
      <w:pPr>
        <w:pStyle w:val="Caption"/>
      </w:pPr>
      <w:r w:rsidRPr="00B366DE">
        <w:t xml:space="preserve">Figure </w:t>
      </w:r>
      <w:fldSimple w:instr=" SEQ Figure \* ARABIC \s 1 ">
        <w:r w:rsidR="005570EB">
          <w:rPr>
            <w:noProof/>
          </w:rPr>
          <w:t>18</w:t>
        </w:r>
      </w:fldSimple>
      <w:r w:rsidRPr="00B366DE">
        <w:t xml:space="preserve">: </w:t>
      </w:r>
      <w:r w:rsidRPr="00C85CE7">
        <w:t xml:space="preserve">Expenses – Family Tax Benefit – </w:t>
      </w:r>
      <w:r w:rsidR="000649BF">
        <w:t>change from 2016–17</w:t>
      </w:r>
      <w:r w:rsidR="000649BF" w:rsidRPr="00280D27">
        <w:t xml:space="preserve"> </w:t>
      </w:r>
      <w:r w:rsidR="000649BF">
        <w:t xml:space="preserve">MYEFO to 2017–18 Budget estimates </w:t>
      </w:r>
      <w:r w:rsidR="000649BF" w:rsidRPr="00280D27">
        <w:t>by measures and other variations</w:t>
      </w:r>
    </w:p>
    <w:p w:rsidR="00280D27" w:rsidRDefault="00CA03C1" w:rsidP="00280D27">
      <w:pPr>
        <w:pStyle w:val="BodyText"/>
        <w:spacing w:before="0"/>
        <w:rPr>
          <w:noProof/>
          <w:lang w:eastAsia="en-AU"/>
        </w:rPr>
      </w:pPr>
      <w:r>
        <w:rPr>
          <w:noProof/>
          <w:lang w:eastAsia="en-AU"/>
        </w:rPr>
        <w:drawing>
          <wp:inline distT="0" distB="0" distL="0" distR="0" wp14:anchorId="4FD6D998">
            <wp:extent cx="4873924" cy="2527540"/>
            <wp:effectExtent l="0" t="0" r="3175" b="635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76311" cy="2528778"/>
                    </a:xfrm>
                    <a:prstGeom prst="rect">
                      <a:avLst/>
                    </a:prstGeom>
                    <a:noFill/>
                  </pic:spPr>
                </pic:pic>
              </a:graphicData>
            </a:graphic>
          </wp:inline>
        </w:drawing>
      </w:r>
    </w:p>
    <w:p w:rsidR="00280D27" w:rsidRPr="00915822" w:rsidRDefault="00280D27" w:rsidP="00280D27">
      <w:pPr>
        <w:pStyle w:val="ListBullet"/>
        <w:tabs>
          <w:tab w:val="clear" w:pos="454"/>
        </w:tabs>
        <w:spacing w:after="60"/>
        <w:ind w:left="567"/>
      </w:pPr>
      <w:r w:rsidRPr="00915822">
        <w:t xml:space="preserve">Relative to the </w:t>
      </w:r>
      <w:r w:rsidR="00BE4566" w:rsidRPr="00915822">
        <w:t xml:space="preserve">2016–17 </w:t>
      </w:r>
      <w:r w:rsidR="00F01DB6">
        <w:t>MYEFO</w:t>
      </w:r>
      <w:r w:rsidRPr="00915822">
        <w:t xml:space="preserve">, policy decisions are expected to </w:t>
      </w:r>
      <w:r w:rsidR="00193590">
        <w:t>increase</w:t>
      </w:r>
      <w:r w:rsidRPr="00915822">
        <w:t xml:space="preserve"> expenses on Family Tax Benefit </w:t>
      </w:r>
      <w:r w:rsidR="00E94FDF" w:rsidRPr="00915822">
        <w:t xml:space="preserve">(FTB) </w:t>
      </w:r>
      <w:r w:rsidRPr="00915822">
        <w:t xml:space="preserve">by </w:t>
      </w:r>
      <w:r w:rsidR="00E94FDF" w:rsidRPr="00915822">
        <w:t>$</w:t>
      </w:r>
      <w:r w:rsidR="007E0C8C">
        <w:t>3.3</w:t>
      </w:r>
      <w:r w:rsidR="0092726D" w:rsidRPr="00915822">
        <w:t xml:space="preserve"> billion</w:t>
      </w:r>
      <w:r w:rsidRPr="00915822">
        <w:t xml:space="preserve"> over the </w:t>
      </w:r>
      <w:r w:rsidR="00BE4566" w:rsidRPr="00915822">
        <w:t>f</w:t>
      </w:r>
      <w:r w:rsidR="00F01DB6">
        <w:t>ive years to 2020–21</w:t>
      </w:r>
      <w:r w:rsidR="00B210C3">
        <w:t xml:space="preserve">, largely due to not </w:t>
      </w:r>
      <w:r w:rsidR="00394063">
        <w:t xml:space="preserve">ceasing </w:t>
      </w:r>
      <w:r w:rsidR="00B210C3">
        <w:t xml:space="preserve">the </w:t>
      </w:r>
      <w:r w:rsidR="0005482A">
        <w:t xml:space="preserve">remaining </w:t>
      </w:r>
      <w:r w:rsidR="00B210C3">
        <w:t>FTB end-of-year supplement</w:t>
      </w:r>
      <w:r w:rsidR="0005482A">
        <w:t>s</w:t>
      </w:r>
      <w:r w:rsidR="00B210C3">
        <w:t xml:space="preserve">. This is partially offset by the measure to </w:t>
      </w:r>
      <w:r w:rsidR="00DB720C">
        <w:t>maintain FTB payment rates at their current levels for two years from 2017</w:t>
      </w:r>
      <w:r w:rsidR="00C07124">
        <w:t>–</w:t>
      </w:r>
      <w:r w:rsidR="00DB720C">
        <w:t>18</w:t>
      </w:r>
      <w:r w:rsidR="00CF518C">
        <w:t xml:space="preserve"> and </w:t>
      </w:r>
      <w:r w:rsidR="00DB720C">
        <w:t>not proceeding with increasing the maximum rate of FTB A</w:t>
      </w:r>
      <w:r w:rsidR="00394063">
        <w:t xml:space="preserve"> as announced in the 2015</w:t>
      </w:r>
      <w:r w:rsidR="00C07124">
        <w:t>–</w:t>
      </w:r>
      <w:r w:rsidR="00394063">
        <w:t>16 MYEFO</w:t>
      </w:r>
      <w:r w:rsidR="00DB720C">
        <w:t xml:space="preserve">. </w:t>
      </w:r>
    </w:p>
    <w:p w:rsidR="00280D27" w:rsidRPr="00915822" w:rsidRDefault="00280D27" w:rsidP="00280D27">
      <w:pPr>
        <w:pStyle w:val="ListBullet"/>
        <w:tabs>
          <w:tab w:val="clear" w:pos="454"/>
        </w:tabs>
        <w:spacing w:after="60"/>
        <w:ind w:left="567"/>
      </w:pPr>
      <w:r w:rsidRPr="00915822">
        <w:t xml:space="preserve">Parameter and other variations are expected to </w:t>
      </w:r>
      <w:r w:rsidR="00636196">
        <w:t xml:space="preserve">have a broadly neutral impact on </w:t>
      </w:r>
      <w:r w:rsidR="0033572F" w:rsidRPr="00915822">
        <w:t xml:space="preserve">Family Tax Benefit </w:t>
      </w:r>
      <w:r w:rsidR="00636196">
        <w:t xml:space="preserve">expenses </w:t>
      </w:r>
      <w:r w:rsidRPr="00915822">
        <w:t xml:space="preserve">over the four years to </w:t>
      </w:r>
      <w:r w:rsidR="00BE4566" w:rsidRPr="00915822">
        <w:t>2019–20</w:t>
      </w:r>
      <w:r w:rsidR="00F01DB6">
        <w:t>, relative to the 2016–17 MYEFO</w:t>
      </w:r>
      <w:r w:rsidR="00636196">
        <w:t>.</w:t>
      </w:r>
      <w:r w:rsidR="00193590">
        <w:t xml:space="preserve"> </w:t>
      </w:r>
    </w:p>
    <w:p w:rsidR="00280D27" w:rsidRDefault="00280D27" w:rsidP="00280D27">
      <w:pPr>
        <w:pStyle w:val="Heading1"/>
        <w:numPr>
          <w:ilvl w:val="0"/>
          <w:numId w:val="0"/>
        </w:numPr>
        <w:spacing w:before="240"/>
        <w:rPr>
          <w:noProof/>
        </w:rPr>
      </w:pPr>
      <w:bookmarkStart w:id="36" w:name="_Toc452477829"/>
      <w:bookmarkStart w:id="37" w:name="_Toc483816465"/>
      <w:r>
        <w:rPr>
          <w:noProof/>
        </w:rPr>
        <w:lastRenderedPageBreak/>
        <w:t>Expenses – Disability Support Pension</w:t>
      </w:r>
      <w:bookmarkEnd w:id="36"/>
      <w:bookmarkEnd w:id="37"/>
    </w:p>
    <w:p w:rsidR="00280D27" w:rsidRDefault="00280D27" w:rsidP="000649BF">
      <w:pPr>
        <w:pStyle w:val="Caption"/>
        <w:rPr>
          <w:noProof/>
          <w:lang w:eastAsia="en-AU"/>
        </w:rPr>
      </w:pPr>
      <w:r w:rsidRPr="00460B5C">
        <w:t xml:space="preserve">Figure </w:t>
      </w:r>
      <w:fldSimple w:instr=" SEQ Figure \* ARABIC \s ">
        <w:r w:rsidR="005570EB">
          <w:rPr>
            <w:noProof/>
          </w:rPr>
          <w:t>19</w:t>
        </w:r>
      </w:fldSimple>
      <w:r w:rsidRPr="00460B5C">
        <w:t xml:space="preserve">: </w:t>
      </w:r>
      <w:r>
        <w:t xml:space="preserve">Expenses – Disability Support Pension – </w:t>
      </w:r>
      <w:r w:rsidR="000649BF">
        <w:t>change from 2016–17</w:t>
      </w:r>
      <w:r w:rsidR="000649BF" w:rsidRPr="00DF4406">
        <w:t xml:space="preserve"> </w:t>
      </w:r>
      <w:r w:rsidR="000649BF">
        <w:t>MYEFO to 2017–18 Budget estimates</w:t>
      </w:r>
      <w:r w:rsidR="000649BF">
        <w:rPr>
          <w:noProof/>
          <w:lang w:eastAsia="en-AU"/>
        </w:rPr>
        <w:t xml:space="preserve"> </w:t>
      </w:r>
    </w:p>
    <w:p w:rsidR="00A05427" w:rsidRDefault="00AE1F1E" w:rsidP="00A05427">
      <w:pPr>
        <w:pStyle w:val="BodyText"/>
        <w:rPr>
          <w:lang w:eastAsia="en-AU"/>
        </w:rPr>
      </w:pPr>
      <w:r>
        <w:rPr>
          <w:noProof/>
          <w:lang w:eastAsia="en-AU"/>
        </w:rPr>
        <w:drawing>
          <wp:inline distT="0" distB="0" distL="0" distR="0" wp14:anchorId="56274230" wp14:editId="3B2316A9">
            <wp:extent cx="5339751" cy="307607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41619" cy="3077154"/>
                    </a:xfrm>
                    <a:prstGeom prst="rect">
                      <a:avLst/>
                    </a:prstGeom>
                    <a:noFill/>
                  </pic:spPr>
                </pic:pic>
              </a:graphicData>
            </a:graphic>
          </wp:inline>
        </w:drawing>
      </w:r>
    </w:p>
    <w:p w:rsidR="00280D27" w:rsidRDefault="00280D27" w:rsidP="00280D27">
      <w:pPr>
        <w:pStyle w:val="Caption"/>
        <w:rPr>
          <w:noProof/>
          <w:lang w:eastAsia="en-AU"/>
        </w:rPr>
      </w:pPr>
      <w:r w:rsidRPr="00460B5C">
        <w:t xml:space="preserve">Figure </w:t>
      </w:r>
      <w:fldSimple w:instr=" SEQ Figure \* ARABIC \s 1 ">
        <w:r w:rsidR="005570EB">
          <w:rPr>
            <w:noProof/>
          </w:rPr>
          <w:t>20</w:t>
        </w:r>
      </w:fldSimple>
      <w:r w:rsidRPr="00460B5C">
        <w:t xml:space="preserve">: </w:t>
      </w:r>
      <w:r w:rsidRPr="00B24299">
        <w:t xml:space="preserve">Expenses – Disability Support Pension – </w:t>
      </w:r>
      <w:r w:rsidR="000649BF">
        <w:t>change from 2016–17</w:t>
      </w:r>
      <w:r w:rsidR="000649BF" w:rsidRPr="00280D27">
        <w:t xml:space="preserve"> </w:t>
      </w:r>
      <w:r w:rsidR="000649BF">
        <w:t xml:space="preserve">MYEFO to 2017–18 Budget estimates </w:t>
      </w:r>
      <w:r w:rsidR="000649BF" w:rsidRPr="00280D27">
        <w:t>by measures and other variations</w:t>
      </w:r>
    </w:p>
    <w:p w:rsidR="00280D27" w:rsidRDefault="006709E2" w:rsidP="00280D27">
      <w:pPr>
        <w:pStyle w:val="BodyText"/>
        <w:spacing w:before="0"/>
        <w:rPr>
          <w:noProof/>
          <w:lang w:eastAsia="en-AU"/>
        </w:rPr>
      </w:pPr>
      <w:r>
        <w:rPr>
          <w:noProof/>
          <w:lang w:eastAsia="en-AU"/>
        </w:rPr>
        <w:drawing>
          <wp:inline distT="0" distB="0" distL="0" distR="0" wp14:anchorId="5BC85448">
            <wp:extent cx="5295569" cy="2838616"/>
            <wp:effectExtent l="0" t="0" r="63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01363" cy="2841722"/>
                    </a:xfrm>
                    <a:prstGeom prst="rect">
                      <a:avLst/>
                    </a:prstGeom>
                    <a:noFill/>
                  </pic:spPr>
                </pic:pic>
              </a:graphicData>
            </a:graphic>
          </wp:inline>
        </w:drawing>
      </w:r>
    </w:p>
    <w:p w:rsidR="00CF518C" w:rsidRPr="00F266F8" w:rsidRDefault="00280D27" w:rsidP="00280D27">
      <w:pPr>
        <w:pStyle w:val="ListBullet"/>
        <w:tabs>
          <w:tab w:val="clear" w:pos="454"/>
        </w:tabs>
        <w:spacing w:after="60"/>
        <w:ind w:left="567"/>
        <w:rPr>
          <w:sz w:val="18"/>
        </w:rPr>
      </w:pPr>
      <w:r w:rsidRPr="00915822">
        <w:t xml:space="preserve">Relative to the </w:t>
      </w:r>
      <w:r w:rsidR="00F01DB6">
        <w:t>2016–17 MYEFO</w:t>
      </w:r>
      <w:r w:rsidRPr="00915822">
        <w:t xml:space="preserve">, policy decisions are expected to </w:t>
      </w:r>
      <w:r w:rsidR="00005EAB">
        <w:t>d</w:t>
      </w:r>
      <w:r w:rsidR="00597D69" w:rsidRPr="00915822">
        <w:t>ecrease</w:t>
      </w:r>
      <w:r w:rsidRPr="00915822">
        <w:t xml:space="preserve"> expenses on the Disability Support Pension by </w:t>
      </w:r>
      <w:r w:rsidR="002A3553" w:rsidRPr="00915822">
        <w:t>$</w:t>
      </w:r>
      <w:r w:rsidR="00CF518C">
        <w:t>0.1</w:t>
      </w:r>
      <w:r w:rsidR="0092726D" w:rsidRPr="00915822">
        <w:t xml:space="preserve"> billion</w:t>
      </w:r>
      <w:r w:rsidRPr="00915822">
        <w:t xml:space="preserve"> over the </w:t>
      </w:r>
      <w:r w:rsidR="00F01DB6">
        <w:t>five years to 2020–21</w:t>
      </w:r>
      <w:r w:rsidR="00CF518C">
        <w:t>.</w:t>
      </w:r>
    </w:p>
    <w:p w:rsidR="00280D27" w:rsidRPr="00915822" w:rsidRDefault="00280D27" w:rsidP="00280D27">
      <w:pPr>
        <w:pStyle w:val="ListBullet"/>
        <w:tabs>
          <w:tab w:val="clear" w:pos="454"/>
        </w:tabs>
        <w:spacing w:after="60"/>
        <w:ind w:left="567"/>
      </w:pPr>
      <w:r w:rsidRPr="00915822">
        <w:t xml:space="preserve">Parameter and other variations are expected to </w:t>
      </w:r>
      <w:r w:rsidR="00597D69" w:rsidRPr="00915822">
        <w:t>decrease</w:t>
      </w:r>
      <w:r w:rsidRPr="00915822">
        <w:t xml:space="preserve"> expenses on the Disability Support Pension by </w:t>
      </w:r>
      <w:r w:rsidR="00F01DB6">
        <w:t>$</w:t>
      </w:r>
      <w:r w:rsidR="00CF518C">
        <w:t>1.3</w:t>
      </w:r>
      <w:r w:rsidR="0092726D" w:rsidRPr="00915822">
        <w:t xml:space="preserve"> billion</w:t>
      </w:r>
      <w:r w:rsidRPr="00915822">
        <w:t xml:space="preserve"> over the four years to </w:t>
      </w:r>
      <w:r w:rsidR="00BE4566" w:rsidRPr="00915822">
        <w:t>2019–20</w:t>
      </w:r>
      <w:r w:rsidRPr="00915822">
        <w:t xml:space="preserve">, relative to the </w:t>
      </w:r>
      <w:r w:rsidRPr="00915822">
        <w:br/>
      </w:r>
      <w:r w:rsidR="00CF518C">
        <w:t xml:space="preserve">2016–17 MYEFO, </w:t>
      </w:r>
      <w:r w:rsidR="00590C13">
        <w:t xml:space="preserve">largely reflecting lower growth in expected recipient numbers and payment rates. </w:t>
      </w:r>
    </w:p>
    <w:p w:rsidR="00280D27" w:rsidRDefault="00280D27" w:rsidP="00280D27">
      <w:pPr>
        <w:pStyle w:val="Heading1"/>
        <w:numPr>
          <w:ilvl w:val="0"/>
          <w:numId w:val="0"/>
        </w:numPr>
        <w:spacing w:before="240"/>
        <w:rPr>
          <w:noProof/>
        </w:rPr>
      </w:pPr>
      <w:bookmarkStart w:id="38" w:name="_Toc452477831"/>
      <w:bookmarkStart w:id="39" w:name="_Toc483816466"/>
      <w:bookmarkStart w:id="40" w:name="_Toc406071173"/>
      <w:bookmarkEnd w:id="35"/>
      <w:r>
        <w:rPr>
          <w:noProof/>
        </w:rPr>
        <w:lastRenderedPageBreak/>
        <w:t>Expenses – job seeker income support</w:t>
      </w:r>
      <w:bookmarkEnd w:id="38"/>
      <w:bookmarkEnd w:id="39"/>
    </w:p>
    <w:p w:rsidR="00280D27" w:rsidRDefault="00280D27" w:rsidP="00D50BC9">
      <w:pPr>
        <w:pStyle w:val="Caption"/>
        <w:rPr>
          <w:noProof/>
          <w:lang w:eastAsia="en-AU"/>
        </w:rPr>
      </w:pPr>
      <w:r w:rsidRPr="00460B5C">
        <w:t xml:space="preserve">Figure </w:t>
      </w:r>
      <w:fldSimple w:instr=" SEQ Figure \* ARABIC \s ">
        <w:r w:rsidR="005570EB">
          <w:rPr>
            <w:noProof/>
          </w:rPr>
          <w:t>21</w:t>
        </w:r>
      </w:fldSimple>
      <w:r w:rsidRPr="00460B5C">
        <w:t xml:space="preserve">: </w:t>
      </w:r>
      <w:bookmarkStart w:id="41" w:name="_Toc406509360"/>
      <w:r>
        <w:t xml:space="preserve">Expenses – job seeker income support – </w:t>
      </w:r>
      <w:bookmarkEnd w:id="41"/>
      <w:r w:rsidR="000649BF">
        <w:t>change from 2016–17</w:t>
      </w:r>
      <w:r w:rsidR="000649BF" w:rsidRPr="00DF4406">
        <w:t xml:space="preserve"> </w:t>
      </w:r>
      <w:r w:rsidR="000649BF">
        <w:t>MYEFO to 2017–18 Budget estimates</w:t>
      </w:r>
      <w:r w:rsidR="000649BF">
        <w:rPr>
          <w:noProof/>
          <w:lang w:eastAsia="en-AU"/>
        </w:rPr>
        <w:t xml:space="preserve"> </w:t>
      </w:r>
    </w:p>
    <w:p w:rsidR="00A05427" w:rsidRDefault="0026095A" w:rsidP="00A05427">
      <w:pPr>
        <w:pStyle w:val="BodyText"/>
        <w:rPr>
          <w:lang w:eastAsia="en-AU"/>
        </w:rPr>
      </w:pPr>
      <w:r>
        <w:rPr>
          <w:noProof/>
          <w:lang w:eastAsia="en-AU"/>
        </w:rPr>
        <w:drawing>
          <wp:inline distT="0" distB="0" distL="0" distR="0" wp14:anchorId="232A4629" wp14:editId="27D2623F">
            <wp:extent cx="5009322" cy="2981739"/>
            <wp:effectExtent l="0" t="0" r="1270"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07909" cy="2980898"/>
                    </a:xfrm>
                    <a:prstGeom prst="rect">
                      <a:avLst/>
                    </a:prstGeom>
                    <a:noFill/>
                  </pic:spPr>
                </pic:pic>
              </a:graphicData>
            </a:graphic>
          </wp:inline>
        </w:drawing>
      </w:r>
    </w:p>
    <w:p w:rsidR="00280D27" w:rsidRDefault="00280D27" w:rsidP="00280D27">
      <w:pPr>
        <w:pStyle w:val="Caption"/>
        <w:rPr>
          <w:noProof/>
          <w:lang w:eastAsia="en-AU"/>
        </w:rPr>
      </w:pPr>
      <w:r w:rsidRPr="00460B5C">
        <w:t xml:space="preserve">Figure </w:t>
      </w:r>
      <w:fldSimple w:instr=" SEQ Figure \* ARABIC \s 1 ">
        <w:r w:rsidR="005570EB">
          <w:rPr>
            <w:noProof/>
          </w:rPr>
          <w:t>22</w:t>
        </w:r>
      </w:fldSimple>
      <w:r w:rsidRPr="00460B5C">
        <w:t xml:space="preserve">: </w:t>
      </w:r>
      <w:bookmarkStart w:id="42" w:name="_Toc406509361"/>
      <w:r>
        <w:t xml:space="preserve">Expenses – job seeker income support – </w:t>
      </w:r>
      <w:bookmarkEnd w:id="42"/>
      <w:r w:rsidR="000649BF">
        <w:t>change from 2016–17</w:t>
      </w:r>
      <w:r w:rsidR="000649BF" w:rsidRPr="00280D27">
        <w:t xml:space="preserve"> </w:t>
      </w:r>
      <w:r w:rsidR="000649BF">
        <w:t xml:space="preserve">MYEFO to 2017–18 Budget estimates </w:t>
      </w:r>
      <w:r w:rsidR="000649BF" w:rsidRPr="00280D27">
        <w:t>by measures and other variations</w:t>
      </w:r>
    </w:p>
    <w:p w:rsidR="00280D27" w:rsidRDefault="00CA03C1" w:rsidP="00280D27">
      <w:pPr>
        <w:pStyle w:val="BodyText"/>
        <w:spacing w:before="0"/>
        <w:rPr>
          <w:noProof/>
          <w:lang w:eastAsia="en-AU"/>
        </w:rPr>
      </w:pPr>
      <w:r>
        <w:rPr>
          <w:noProof/>
          <w:lang w:eastAsia="en-AU"/>
        </w:rPr>
        <w:drawing>
          <wp:inline distT="0" distB="0" distL="0" distR="0" wp14:anchorId="4D0FCC13" wp14:editId="7214CFCA">
            <wp:extent cx="4973146" cy="2687541"/>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79444" cy="2690944"/>
                    </a:xfrm>
                    <a:prstGeom prst="rect">
                      <a:avLst/>
                    </a:prstGeom>
                    <a:noFill/>
                  </pic:spPr>
                </pic:pic>
              </a:graphicData>
            </a:graphic>
          </wp:inline>
        </w:drawing>
      </w:r>
    </w:p>
    <w:p w:rsidR="00280D27" w:rsidRPr="00915822" w:rsidRDefault="00280D27" w:rsidP="00280D27">
      <w:pPr>
        <w:pStyle w:val="ListBullet"/>
        <w:tabs>
          <w:tab w:val="clear" w:pos="454"/>
        </w:tabs>
        <w:spacing w:after="60"/>
        <w:ind w:left="567"/>
      </w:pPr>
      <w:r w:rsidRPr="00915822">
        <w:t xml:space="preserve">Relative to the </w:t>
      </w:r>
      <w:r w:rsidR="00195910">
        <w:t>2016–17 MYEFO</w:t>
      </w:r>
      <w:r w:rsidRPr="00915822">
        <w:t xml:space="preserve">, policy decisions are expected to </w:t>
      </w:r>
      <w:r w:rsidR="00195910">
        <w:t>increase</w:t>
      </w:r>
      <w:r w:rsidRPr="00915822">
        <w:t xml:space="preserve"> expenses on job seeker income support by </w:t>
      </w:r>
      <w:r w:rsidR="00B06887" w:rsidRPr="00915822">
        <w:t>$</w:t>
      </w:r>
      <w:r w:rsidR="00344D8C">
        <w:t>0.6</w:t>
      </w:r>
      <w:r w:rsidR="0092726D" w:rsidRPr="00915822">
        <w:t xml:space="preserve"> billion</w:t>
      </w:r>
      <w:r w:rsidRPr="00915822">
        <w:t xml:space="preserve"> over the </w:t>
      </w:r>
      <w:r w:rsidR="00195910">
        <w:t>five years to 2020–21</w:t>
      </w:r>
      <w:r w:rsidR="009E1387">
        <w:t xml:space="preserve">, primarily due to not proceeding with the measure to increase the age eligibility for </w:t>
      </w:r>
      <w:proofErr w:type="spellStart"/>
      <w:r w:rsidR="009E1387">
        <w:t>Newstart</w:t>
      </w:r>
      <w:proofErr w:type="spellEnd"/>
      <w:r w:rsidR="009E1387">
        <w:t xml:space="preserve"> Allowance which was announced in the 2014</w:t>
      </w:r>
      <w:r w:rsidR="00C07124">
        <w:t>–</w:t>
      </w:r>
      <w:r w:rsidR="009E1387">
        <w:t xml:space="preserve">15 Budget. </w:t>
      </w:r>
    </w:p>
    <w:p w:rsidR="00280D27" w:rsidRPr="00C63760" w:rsidRDefault="00280D27" w:rsidP="00280D27">
      <w:pPr>
        <w:pStyle w:val="ListBullet"/>
        <w:tabs>
          <w:tab w:val="clear" w:pos="454"/>
        </w:tabs>
        <w:spacing w:after="60"/>
        <w:ind w:left="567"/>
      </w:pPr>
      <w:r w:rsidRPr="00915822">
        <w:t xml:space="preserve">Parameter and other variations are expected to </w:t>
      </w:r>
      <w:r w:rsidR="00214759">
        <w:t>increase</w:t>
      </w:r>
      <w:r w:rsidRPr="00915822">
        <w:t xml:space="preserve"> expenses on job seeker income support by </w:t>
      </w:r>
      <w:r w:rsidR="00B06887" w:rsidRPr="00915822">
        <w:t>$</w:t>
      </w:r>
      <w:r w:rsidR="00214759">
        <w:t>2.0</w:t>
      </w:r>
      <w:r w:rsidR="0092726D" w:rsidRPr="00915822">
        <w:t xml:space="preserve"> billion</w:t>
      </w:r>
      <w:r w:rsidRPr="00915822">
        <w:t xml:space="preserve"> over the four years to </w:t>
      </w:r>
      <w:r w:rsidR="00BE4566" w:rsidRPr="00915822">
        <w:t>2019–20</w:t>
      </w:r>
      <w:r w:rsidRPr="00915822">
        <w:t>, relative to the</w:t>
      </w:r>
      <w:r w:rsidRPr="00C63760">
        <w:t xml:space="preserve"> </w:t>
      </w:r>
      <w:r>
        <w:br/>
      </w:r>
      <w:r w:rsidR="00195910">
        <w:t>2016–17 MYEFO</w:t>
      </w:r>
      <w:r w:rsidRPr="00C63760">
        <w:t xml:space="preserve">, </w:t>
      </w:r>
      <w:r w:rsidR="00214759">
        <w:t xml:space="preserve">largely </w:t>
      </w:r>
      <w:r w:rsidR="00B06887">
        <w:t>reflecting</w:t>
      </w:r>
      <w:r w:rsidR="00214759">
        <w:t xml:space="preserve"> a higher forecast unemployment rate.</w:t>
      </w:r>
      <w:r w:rsidR="00B06887">
        <w:t xml:space="preserve"> </w:t>
      </w:r>
    </w:p>
    <w:p w:rsidR="00801FDF" w:rsidRPr="00255972" w:rsidRDefault="00801FDF" w:rsidP="00801FDF">
      <w:pPr>
        <w:pStyle w:val="Heading1"/>
        <w:numPr>
          <w:ilvl w:val="0"/>
          <w:numId w:val="0"/>
        </w:numPr>
        <w:spacing w:before="240"/>
        <w:rPr>
          <w:noProof/>
        </w:rPr>
      </w:pPr>
      <w:bookmarkStart w:id="43" w:name="_Toc483816467"/>
      <w:bookmarkStart w:id="44" w:name="_Toc452477835"/>
      <w:r w:rsidRPr="0036135F">
        <w:rPr>
          <w:noProof/>
          <w:sz w:val="38"/>
        </w:rPr>
        <w:lastRenderedPageBreak/>
        <w:t>Expenses – National Disability Insurance Scheme</w:t>
      </w:r>
      <w:r w:rsidRPr="003E4FA8">
        <w:rPr>
          <w:rStyle w:val="FootnoteReference"/>
          <w:color w:val="2B3B5F" w:themeColor="accent1"/>
        </w:rPr>
        <w:footnoteReference w:id="1"/>
      </w:r>
      <w:bookmarkEnd w:id="43"/>
    </w:p>
    <w:p w:rsidR="00801FDF" w:rsidRDefault="00801FDF" w:rsidP="00801FDF">
      <w:pPr>
        <w:pStyle w:val="Caption"/>
      </w:pPr>
      <w:r w:rsidRPr="00671C39">
        <w:t xml:space="preserve">Figure </w:t>
      </w:r>
      <w:fldSimple w:instr=" SEQ Figure \* ARABIC \s ">
        <w:r w:rsidR="005570EB">
          <w:rPr>
            <w:noProof/>
          </w:rPr>
          <w:t>23</w:t>
        </w:r>
      </w:fldSimple>
      <w:r w:rsidRPr="00671C39">
        <w:t xml:space="preserve">: </w:t>
      </w:r>
      <w:bookmarkStart w:id="45" w:name="_Toc406509370"/>
      <w:r w:rsidRPr="0066463B">
        <w:t>Expenses</w:t>
      </w:r>
      <w:r>
        <w:t xml:space="preserve"> – National Disability Insurance Scheme – </w:t>
      </w:r>
      <w:bookmarkEnd w:id="45"/>
      <w:r>
        <w:t>change from 2016–17</w:t>
      </w:r>
      <w:r w:rsidRPr="00DF4406">
        <w:t xml:space="preserve"> </w:t>
      </w:r>
      <w:r>
        <w:t>MYEFO to 2017–18 Budget estimates</w:t>
      </w:r>
    </w:p>
    <w:p w:rsidR="00894E93" w:rsidRPr="00894E93" w:rsidRDefault="005A459E" w:rsidP="00894E93">
      <w:pPr>
        <w:pStyle w:val="BodyText"/>
      </w:pPr>
      <w:r>
        <w:rPr>
          <w:noProof/>
          <w:lang w:eastAsia="en-AU"/>
        </w:rPr>
        <w:drawing>
          <wp:inline distT="0" distB="0" distL="0" distR="0" wp14:anchorId="292CAA24">
            <wp:extent cx="5104263" cy="2217761"/>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11060" cy="2220714"/>
                    </a:xfrm>
                    <a:prstGeom prst="rect">
                      <a:avLst/>
                    </a:prstGeom>
                    <a:noFill/>
                  </pic:spPr>
                </pic:pic>
              </a:graphicData>
            </a:graphic>
          </wp:inline>
        </w:drawing>
      </w:r>
    </w:p>
    <w:p w:rsidR="00801FDF" w:rsidRDefault="00EF26C5" w:rsidP="00801FDF">
      <w:pPr>
        <w:pStyle w:val="Caption"/>
        <w:rPr>
          <w:noProof/>
          <w:lang w:eastAsia="en-AU"/>
        </w:rPr>
      </w:pPr>
      <w:r w:rsidRPr="00671C39">
        <w:t xml:space="preserve">Figure </w:t>
      </w:r>
      <w:fldSimple w:instr=" SEQ Figure \* ARABIC \s ">
        <w:r w:rsidR="005570EB">
          <w:rPr>
            <w:noProof/>
          </w:rPr>
          <w:t>24</w:t>
        </w:r>
      </w:fldSimple>
      <w:r w:rsidR="00801FDF" w:rsidRPr="0066463B">
        <w:t xml:space="preserve">: </w:t>
      </w:r>
      <w:bookmarkStart w:id="46" w:name="_Toc406509371"/>
      <w:r w:rsidR="00801FDF" w:rsidRPr="0066463B">
        <w:t xml:space="preserve">Expenses – National Disability Insurance Scheme – </w:t>
      </w:r>
      <w:bookmarkEnd w:id="46"/>
      <w:r w:rsidR="00801FDF">
        <w:t>change from 2016–17</w:t>
      </w:r>
      <w:r w:rsidR="00801FDF" w:rsidRPr="00280D27">
        <w:t xml:space="preserve"> </w:t>
      </w:r>
      <w:r w:rsidR="00801FDF">
        <w:t xml:space="preserve">MYEFO to 2017–18 Budget estimates </w:t>
      </w:r>
      <w:r w:rsidR="00801FDF" w:rsidRPr="00280D27">
        <w:t>by measures and other variations</w:t>
      </w:r>
    </w:p>
    <w:p w:rsidR="00801FDF" w:rsidRDefault="00801FDF" w:rsidP="00801FDF">
      <w:pPr>
        <w:pStyle w:val="BodyText"/>
        <w:rPr>
          <w:noProof/>
          <w:lang w:eastAsia="en-AU"/>
        </w:rPr>
      </w:pPr>
      <w:r>
        <w:rPr>
          <w:noProof/>
          <w:lang w:eastAsia="en-AU"/>
        </w:rPr>
        <w:drawing>
          <wp:inline distT="0" distB="0" distL="0" distR="0" wp14:anchorId="4EE01826" wp14:editId="060B50FC">
            <wp:extent cx="5017272" cy="2043485"/>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7945" cy="2043759"/>
                    </a:xfrm>
                    <a:prstGeom prst="rect">
                      <a:avLst/>
                    </a:prstGeom>
                    <a:noFill/>
                  </pic:spPr>
                </pic:pic>
              </a:graphicData>
            </a:graphic>
          </wp:inline>
        </w:drawing>
      </w:r>
    </w:p>
    <w:p w:rsidR="00801FDF" w:rsidRPr="00D359B0" w:rsidRDefault="00801FDF" w:rsidP="00801FDF">
      <w:pPr>
        <w:pStyle w:val="ListBullet"/>
        <w:tabs>
          <w:tab w:val="clear" w:pos="454"/>
        </w:tabs>
        <w:spacing w:after="60"/>
        <w:ind w:left="567"/>
      </w:pPr>
      <w:r w:rsidRPr="00D359B0">
        <w:t>Relative to the 2016–17 MYEFO, policy decisions are expected to decrease expenses on the National Disability Insurance Scheme by $3.5 billion over the f</w:t>
      </w:r>
      <w:r w:rsidR="004E4E3E">
        <w:t>our</w:t>
      </w:r>
      <w:r w:rsidRPr="00D359B0">
        <w:t xml:space="preserve"> years to 2020–21, largely reflecting a reduction in Commonwealth expenses due the agreement between the Commonwealth and the Western Australian governments that the NDIS will be delivered under a locally administered model in Western Australia.</w:t>
      </w:r>
    </w:p>
    <w:p w:rsidR="00801FDF" w:rsidRPr="00D359B0" w:rsidRDefault="00801FDF" w:rsidP="00801FDF">
      <w:pPr>
        <w:pStyle w:val="ListBullet"/>
        <w:tabs>
          <w:tab w:val="clear" w:pos="454"/>
        </w:tabs>
        <w:spacing w:after="60"/>
        <w:ind w:left="567"/>
      </w:pPr>
      <w:r w:rsidRPr="00D359B0">
        <w:t>Parameter and other variations are expected to decrease expenses on the National Disability Insurance Scheme by $2.</w:t>
      </w:r>
      <w:r>
        <w:t>7</w:t>
      </w:r>
      <w:r w:rsidRPr="00D359B0">
        <w:t> billion over the four years to 2019–20, largely reflecting a reduction in expenses financed from state contributions (with a corresponding reduction in non-tax revenue), due the agreement between the Commonwealth and the Western Australian governments that the NDIS will be delivered under a locally administered model in Western Australia.</w:t>
      </w:r>
    </w:p>
    <w:p w:rsidR="00B90BA4" w:rsidRPr="00D617EF" w:rsidRDefault="00B90BA4" w:rsidP="00B90BA4">
      <w:pPr>
        <w:pStyle w:val="Heading1"/>
        <w:numPr>
          <w:ilvl w:val="0"/>
          <w:numId w:val="0"/>
        </w:numPr>
        <w:spacing w:before="240"/>
        <w:rPr>
          <w:noProof/>
        </w:rPr>
      </w:pPr>
      <w:bookmarkStart w:id="47" w:name="_Toc483816468"/>
      <w:bookmarkEnd w:id="44"/>
      <w:r w:rsidRPr="000E16B4">
        <w:rPr>
          <w:noProof/>
        </w:rPr>
        <w:lastRenderedPageBreak/>
        <w:t>Expenses – paid parental leave</w:t>
      </w:r>
      <w:bookmarkEnd w:id="47"/>
    </w:p>
    <w:p w:rsidR="00B90BA4" w:rsidRDefault="00EF26C5" w:rsidP="00B90BA4">
      <w:pPr>
        <w:pStyle w:val="Caption"/>
      </w:pPr>
      <w:r w:rsidRPr="00671C39">
        <w:t xml:space="preserve">Figure </w:t>
      </w:r>
      <w:fldSimple w:instr=" SEQ Figure \* ARABIC \s ">
        <w:r w:rsidR="005570EB">
          <w:rPr>
            <w:noProof/>
          </w:rPr>
          <w:t>25</w:t>
        </w:r>
      </w:fldSimple>
      <w:r w:rsidR="00B90BA4" w:rsidRPr="00671C39">
        <w:t xml:space="preserve">: </w:t>
      </w:r>
      <w:r w:rsidR="00B90BA4">
        <w:t>Expenses – paid parental leave – change from 2016–17</w:t>
      </w:r>
      <w:r w:rsidR="00B90BA4" w:rsidRPr="00DF4406">
        <w:t xml:space="preserve"> </w:t>
      </w:r>
      <w:r w:rsidR="00B90BA4">
        <w:t>MYEFO to 2017–18 Budget estimates</w:t>
      </w:r>
    </w:p>
    <w:p w:rsidR="00B90BA4" w:rsidRDefault="005E5747" w:rsidP="00B90BA4">
      <w:pPr>
        <w:pStyle w:val="BodyText"/>
        <w:spacing w:before="0"/>
        <w:rPr>
          <w:noProof/>
          <w:lang w:eastAsia="en-AU"/>
        </w:rPr>
      </w:pPr>
      <w:r>
        <w:rPr>
          <w:noProof/>
          <w:lang w:eastAsia="en-AU"/>
        </w:rPr>
        <w:drawing>
          <wp:inline distT="0" distB="0" distL="0" distR="0" wp14:anchorId="29BF03D6">
            <wp:extent cx="5104263" cy="2941093"/>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04236" cy="2941077"/>
                    </a:xfrm>
                    <a:prstGeom prst="rect">
                      <a:avLst/>
                    </a:prstGeom>
                    <a:noFill/>
                  </pic:spPr>
                </pic:pic>
              </a:graphicData>
            </a:graphic>
          </wp:inline>
        </w:drawing>
      </w:r>
    </w:p>
    <w:p w:rsidR="00B90BA4" w:rsidRDefault="00EF26C5" w:rsidP="00B90BA4">
      <w:pPr>
        <w:pStyle w:val="Caption"/>
        <w:rPr>
          <w:noProof/>
          <w:lang w:eastAsia="en-AU"/>
        </w:rPr>
      </w:pPr>
      <w:r w:rsidRPr="00671C39">
        <w:t xml:space="preserve">Figure </w:t>
      </w:r>
      <w:fldSimple w:instr=" SEQ Figure \* ARABIC \s ">
        <w:r w:rsidR="005570EB">
          <w:rPr>
            <w:noProof/>
          </w:rPr>
          <w:t>26</w:t>
        </w:r>
      </w:fldSimple>
      <w:r w:rsidR="00B90BA4" w:rsidRPr="00671C39">
        <w:t xml:space="preserve">: </w:t>
      </w:r>
      <w:r w:rsidR="00B90BA4">
        <w:t>Expenses – paid parental leave – change from 2016–17</w:t>
      </w:r>
      <w:r w:rsidR="00B90BA4" w:rsidRPr="00280D27">
        <w:t xml:space="preserve"> </w:t>
      </w:r>
      <w:r w:rsidR="00B90BA4">
        <w:t xml:space="preserve">MYEFO to 2017–18 Budget estimates </w:t>
      </w:r>
      <w:r w:rsidR="00B90BA4" w:rsidRPr="00280D27">
        <w:t>by measures and other variations</w:t>
      </w:r>
      <w:r w:rsidR="00B90BA4">
        <w:rPr>
          <w:noProof/>
          <w:lang w:eastAsia="en-AU"/>
        </w:rPr>
        <w:t xml:space="preserve"> </w:t>
      </w:r>
    </w:p>
    <w:p w:rsidR="00B90BA4" w:rsidRDefault="00B90BA4" w:rsidP="00B90BA4">
      <w:pPr>
        <w:pStyle w:val="BodyText"/>
        <w:rPr>
          <w:lang w:eastAsia="en-AU"/>
        </w:rPr>
      </w:pPr>
      <w:r>
        <w:rPr>
          <w:noProof/>
          <w:lang w:eastAsia="en-AU"/>
        </w:rPr>
        <w:drawing>
          <wp:inline distT="0" distB="0" distL="0" distR="0" wp14:anchorId="094D39FE" wp14:editId="72B68AF4">
            <wp:extent cx="5192202" cy="2671639"/>
            <wp:effectExtent l="0" t="0" r="889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98178" cy="2674714"/>
                    </a:xfrm>
                    <a:prstGeom prst="rect">
                      <a:avLst/>
                    </a:prstGeom>
                    <a:noFill/>
                  </pic:spPr>
                </pic:pic>
              </a:graphicData>
            </a:graphic>
          </wp:inline>
        </w:drawing>
      </w:r>
    </w:p>
    <w:p w:rsidR="00B90BA4" w:rsidRDefault="00B90BA4" w:rsidP="00B90BA4">
      <w:pPr>
        <w:pStyle w:val="ListBullet"/>
        <w:tabs>
          <w:tab w:val="clear" w:pos="454"/>
        </w:tabs>
        <w:spacing w:after="60"/>
        <w:ind w:left="567"/>
      </w:pPr>
      <w:r w:rsidRPr="00915822">
        <w:t xml:space="preserve">Relative to the 2016–17 </w:t>
      </w:r>
      <w:r>
        <w:t>MYEFO</w:t>
      </w:r>
      <w:r w:rsidRPr="00915822">
        <w:t xml:space="preserve">, policy decisions are expected to increase expenses on </w:t>
      </w:r>
      <w:r>
        <w:t>paid parental leave</w:t>
      </w:r>
      <w:r w:rsidRPr="00487C8D">
        <w:t xml:space="preserve"> </w:t>
      </w:r>
      <w:r w:rsidRPr="00915822">
        <w:t>by $</w:t>
      </w:r>
      <w:r>
        <w:t xml:space="preserve">2.4 </w:t>
      </w:r>
      <w:r w:rsidRPr="00915822">
        <w:t xml:space="preserve">billion over the </w:t>
      </w:r>
      <w:r>
        <w:t>five</w:t>
      </w:r>
      <w:r w:rsidRPr="00915822">
        <w:t xml:space="preserve"> years to 20</w:t>
      </w:r>
      <w:r>
        <w:t>20–21, largely due to not proceeding with the measure announced in the 2015</w:t>
      </w:r>
      <w:r w:rsidRPr="00915822">
        <w:t>–</w:t>
      </w:r>
      <w:r>
        <w:t xml:space="preserve">16 Budget to restrict individuals accessing government-provided paid parental leave in addition to any </w:t>
      </w:r>
      <w:r>
        <w:br/>
        <w:t>employer-provided parental leave entitlements</w:t>
      </w:r>
      <w:r w:rsidR="001D05CD">
        <w:t>.</w:t>
      </w:r>
      <w:r>
        <w:t xml:space="preserve"> </w:t>
      </w:r>
    </w:p>
    <w:p w:rsidR="00B90BA4" w:rsidRDefault="00B90BA4" w:rsidP="00B90BA4">
      <w:pPr>
        <w:pStyle w:val="ListBullet"/>
        <w:tabs>
          <w:tab w:val="clear" w:pos="454"/>
        </w:tabs>
        <w:spacing w:after="60"/>
        <w:ind w:left="567"/>
      </w:pPr>
      <w:r w:rsidRPr="00915822">
        <w:t xml:space="preserve">Parameter and other variations are expected to </w:t>
      </w:r>
      <w:r>
        <w:t>increase</w:t>
      </w:r>
      <w:r w:rsidRPr="00915822">
        <w:t xml:space="preserve"> expenses on </w:t>
      </w:r>
      <w:r>
        <w:t xml:space="preserve">paid parental leave </w:t>
      </w:r>
      <w:r w:rsidRPr="00915822">
        <w:t>by $</w:t>
      </w:r>
      <w:r>
        <w:t>0.1 </w:t>
      </w:r>
      <w:r w:rsidRPr="00915822">
        <w:t xml:space="preserve">billion over the four years to 2019–20, relative to the </w:t>
      </w:r>
      <w:r>
        <w:t>2016–17 MYEFO</w:t>
      </w:r>
      <w:r w:rsidRPr="00915822">
        <w:t>.</w:t>
      </w:r>
    </w:p>
    <w:p w:rsidR="00B90BA4" w:rsidRDefault="00B90BA4" w:rsidP="00B90BA4">
      <w:pPr>
        <w:pStyle w:val="Heading1"/>
        <w:numPr>
          <w:ilvl w:val="0"/>
          <w:numId w:val="0"/>
        </w:numPr>
        <w:spacing w:before="240"/>
        <w:rPr>
          <w:noProof/>
        </w:rPr>
      </w:pPr>
      <w:bookmarkStart w:id="48" w:name="_Toc483816469"/>
      <w:r>
        <w:rPr>
          <w:noProof/>
        </w:rPr>
        <w:lastRenderedPageBreak/>
        <w:t>Expenses – Medicare Benefits Schedule</w:t>
      </w:r>
      <w:bookmarkEnd w:id="48"/>
    </w:p>
    <w:p w:rsidR="00280D27" w:rsidRDefault="00EF26C5" w:rsidP="00D50BC9">
      <w:pPr>
        <w:pStyle w:val="Caption"/>
        <w:rPr>
          <w:noProof/>
          <w:lang w:eastAsia="en-AU"/>
        </w:rPr>
      </w:pPr>
      <w:r w:rsidRPr="00671C39">
        <w:t xml:space="preserve">Figure </w:t>
      </w:r>
      <w:fldSimple w:instr=" SEQ Figure \* ARABIC \s ">
        <w:r w:rsidR="005570EB">
          <w:rPr>
            <w:noProof/>
          </w:rPr>
          <w:t>27</w:t>
        </w:r>
      </w:fldSimple>
      <w:r w:rsidR="00280D27" w:rsidRPr="00671C39">
        <w:t xml:space="preserve">: </w:t>
      </w:r>
      <w:bookmarkStart w:id="49" w:name="_Toc406509372"/>
      <w:r w:rsidR="00280D27">
        <w:t>Expenses – Medicare Benefit</w:t>
      </w:r>
      <w:r w:rsidR="008F5FD8">
        <w:t>s</w:t>
      </w:r>
      <w:r w:rsidR="00280D27">
        <w:t xml:space="preserve"> Schedule – </w:t>
      </w:r>
      <w:bookmarkEnd w:id="49"/>
      <w:r w:rsidR="000649BF">
        <w:t>change from 2016–17</w:t>
      </w:r>
      <w:r w:rsidR="000649BF" w:rsidRPr="00DF4406">
        <w:t xml:space="preserve"> </w:t>
      </w:r>
      <w:r w:rsidR="000649BF">
        <w:t>MYEFO to 2017–18 Budget estimates</w:t>
      </w:r>
      <w:r w:rsidR="000649BF">
        <w:rPr>
          <w:noProof/>
          <w:lang w:eastAsia="en-AU"/>
        </w:rPr>
        <w:t xml:space="preserve"> </w:t>
      </w:r>
    </w:p>
    <w:p w:rsidR="00A05427" w:rsidRDefault="00331A89" w:rsidP="00A05427">
      <w:pPr>
        <w:pStyle w:val="BodyText"/>
        <w:rPr>
          <w:lang w:eastAsia="en-AU"/>
        </w:rPr>
      </w:pPr>
      <w:r>
        <w:rPr>
          <w:noProof/>
          <w:lang w:eastAsia="en-AU"/>
        </w:rPr>
        <w:drawing>
          <wp:inline distT="0" distB="0" distL="0" distR="0" wp14:anchorId="5FFDAFFE" wp14:editId="22559F22">
            <wp:extent cx="5218981" cy="3001992"/>
            <wp:effectExtent l="0" t="0" r="127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30412" cy="3008567"/>
                    </a:xfrm>
                    <a:prstGeom prst="rect">
                      <a:avLst/>
                    </a:prstGeom>
                    <a:noFill/>
                  </pic:spPr>
                </pic:pic>
              </a:graphicData>
            </a:graphic>
          </wp:inline>
        </w:drawing>
      </w:r>
    </w:p>
    <w:p w:rsidR="00280D27" w:rsidRDefault="00EF26C5" w:rsidP="00280D27">
      <w:pPr>
        <w:pStyle w:val="Caption"/>
      </w:pPr>
      <w:r w:rsidRPr="00671C39">
        <w:t xml:space="preserve">Figure </w:t>
      </w:r>
      <w:fldSimple w:instr=" SEQ Figure \* ARABIC \s ">
        <w:r w:rsidR="005570EB">
          <w:rPr>
            <w:noProof/>
          </w:rPr>
          <w:t>28</w:t>
        </w:r>
      </w:fldSimple>
      <w:r w:rsidR="00280D27" w:rsidRPr="00671C39">
        <w:t xml:space="preserve">: </w:t>
      </w:r>
      <w:bookmarkStart w:id="50" w:name="_Toc406509373"/>
      <w:r w:rsidR="00280D27">
        <w:t>Expenses – Medicare Benefit</w:t>
      </w:r>
      <w:r w:rsidR="008F5FD8">
        <w:t>s</w:t>
      </w:r>
      <w:r w:rsidR="00280D27">
        <w:t xml:space="preserve"> Schedule – </w:t>
      </w:r>
      <w:bookmarkEnd w:id="50"/>
      <w:r w:rsidR="000649BF">
        <w:t>change from 2016–17</w:t>
      </w:r>
      <w:r w:rsidR="000649BF" w:rsidRPr="00280D27">
        <w:t xml:space="preserve"> </w:t>
      </w:r>
      <w:r w:rsidR="000649BF">
        <w:t xml:space="preserve">MYEFO to 2017–18 Budget estimates </w:t>
      </w:r>
      <w:r w:rsidR="000649BF" w:rsidRPr="00280D27">
        <w:t>by measures and other variations</w:t>
      </w:r>
    </w:p>
    <w:p w:rsidR="00280D27" w:rsidRDefault="00CA03C1" w:rsidP="00280D27">
      <w:pPr>
        <w:pStyle w:val="BodyText"/>
        <w:spacing w:before="0"/>
        <w:rPr>
          <w:noProof/>
          <w:lang w:eastAsia="en-AU"/>
        </w:rPr>
      </w:pPr>
      <w:r>
        <w:rPr>
          <w:noProof/>
          <w:lang w:eastAsia="en-AU"/>
        </w:rPr>
        <w:drawing>
          <wp:inline distT="0" distB="0" distL="0" distR="0" wp14:anchorId="49C6987E" wp14:editId="62D4FC01">
            <wp:extent cx="5175849" cy="2708694"/>
            <wp:effectExtent l="0" t="0" r="635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78400" cy="2710029"/>
                    </a:xfrm>
                    <a:prstGeom prst="rect">
                      <a:avLst/>
                    </a:prstGeom>
                    <a:noFill/>
                  </pic:spPr>
                </pic:pic>
              </a:graphicData>
            </a:graphic>
          </wp:inline>
        </w:drawing>
      </w:r>
    </w:p>
    <w:p w:rsidR="00280D27" w:rsidRPr="00915822" w:rsidRDefault="00280D27" w:rsidP="00280D27">
      <w:pPr>
        <w:pStyle w:val="ListBullet"/>
        <w:tabs>
          <w:tab w:val="clear" w:pos="454"/>
        </w:tabs>
        <w:spacing w:after="60"/>
        <w:ind w:left="567"/>
      </w:pPr>
      <w:r w:rsidRPr="00915822">
        <w:t xml:space="preserve">Relative to the </w:t>
      </w:r>
      <w:r w:rsidR="00BE4566" w:rsidRPr="00915822">
        <w:t xml:space="preserve">2016–17 </w:t>
      </w:r>
      <w:r w:rsidR="00487C8D">
        <w:t>MYEFO</w:t>
      </w:r>
      <w:r w:rsidRPr="00915822">
        <w:t xml:space="preserve">, policy decisions are expected to </w:t>
      </w:r>
      <w:r w:rsidR="00597D69" w:rsidRPr="00915822">
        <w:t>increas</w:t>
      </w:r>
      <w:r w:rsidR="007E7FEE" w:rsidRPr="00915822">
        <w:t xml:space="preserve">e </w:t>
      </w:r>
      <w:r w:rsidRPr="00915822">
        <w:t xml:space="preserve">expenses on Medicare by </w:t>
      </w:r>
      <w:r w:rsidR="007E7FEE" w:rsidRPr="00915822">
        <w:t>$</w:t>
      </w:r>
      <w:r w:rsidR="00214759">
        <w:t>2.1</w:t>
      </w:r>
      <w:r w:rsidR="0092726D" w:rsidRPr="00915822">
        <w:t xml:space="preserve"> billion</w:t>
      </w:r>
      <w:r w:rsidRPr="00915822">
        <w:t xml:space="preserve"> over the </w:t>
      </w:r>
      <w:r w:rsidR="00487C8D">
        <w:t>five</w:t>
      </w:r>
      <w:r w:rsidR="007E7FEE" w:rsidRPr="00915822">
        <w:t xml:space="preserve"> years to 20</w:t>
      </w:r>
      <w:r w:rsidR="00487C8D">
        <w:t>20–21</w:t>
      </w:r>
      <w:r w:rsidR="00214759">
        <w:t xml:space="preserve">, largely due to the progressive reintroduction of indexation of certain items on the Medicare Benefits Schedule, </w:t>
      </w:r>
      <w:r w:rsidR="0012260C">
        <w:t xml:space="preserve">and not proceeding with the </w:t>
      </w:r>
      <w:r w:rsidR="00C75415">
        <w:t>reductions</w:t>
      </w:r>
      <w:r w:rsidR="0012260C">
        <w:t xml:space="preserve"> to bulk-billing incentives for diagnostic imaging and pathology services announced in the 2015</w:t>
      </w:r>
      <w:r w:rsidR="00C07124">
        <w:t>–</w:t>
      </w:r>
      <w:r w:rsidR="0012260C">
        <w:t>16 MYEFO.</w:t>
      </w:r>
    </w:p>
    <w:p w:rsidR="00280D27" w:rsidRDefault="00280D27" w:rsidP="00280D27">
      <w:pPr>
        <w:pStyle w:val="ListBullet"/>
        <w:tabs>
          <w:tab w:val="clear" w:pos="454"/>
        </w:tabs>
        <w:spacing w:after="60"/>
        <w:ind w:left="567"/>
      </w:pPr>
      <w:r w:rsidRPr="00F62139">
        <w:t xml:space="preserve">Parameter and other variations are expected to </w:t>
      </w:r>
      <w:r w:rsidR="00C75415" w:rsidRPr="00F62139">
        <w:t xml:space="preserve">have a broadly neutral impact on </w:t>
      </w:r>
      <w:r w:rsidRPr="00F62139">
        <w:t xml:space="preserve">Medicare </w:t>
      </w:r>
      <w:r w:rsidR="00C75415" w:rsidRPr="00F62139">
        <w:t xml:space="preserve">expenses </w:t>
      </w:r>
      <w:r w:rsidRPr="00F62139">
        <w:t xml:space="preserve">over the four years to </w:t>
      </w:r>
      <w:r w:rsidR="00BE4566" w:rsidRPr="00F62139">
        <w:t>2019–20</w:t>
      </w:r>
      <w:r w:rsidRPr="00F62139">
        <w:t xml:space="preserve">, relative to the </w:t>
      </w:r>
      <w:r w:rsidR="00487C8D" w:rsidRPr="00F62139">
        <w:t>2016–17 MYEFO</w:t>
      </w:r>
      <w:r w:rsidRPr="00F62139">
        <w:t>.</w:t>
      </w:r>
    </w:p>
    <w:p w:rsidR="0001538F" w:rsidRDefault="0001538F" w:rsidP="0001538F">
      <w:pPr>
        <w:pStyle w:val="Heading1"/>
        <w:numPr>
          <w:ilvl w:val="0"/>
          <w:numId w:val="0"/>
        </w:numPr>
        <w:spacing w:before="240"/>
        <w:rPr>
          <w:noProof/>
        </w:rPr>
      </w:pPr>
      <w:bookmarkStart w:id="51" w:name="_Toc452477837"/>
      <w:bookmarkStart w:id="52" w:name="_Toc471978314"/>
      <w:bookmarkStart w:id="53" w:name="_Toc483816470"/>
      <w:r w:rsidRPr="00C426B0">
        <w:rPr>
          <w:noProof/>
        </w:rPr>
        <w:lastRenderedPageBreak/>
        <w:t>Expenses – pharmaceutical benefits</w:t>
      </w:r>
      <w:bookmarkEnd w:id="51"/>
      <w:bookmarkEnd w:id="52"/>
      <w:bookmarkEnd w:id="53"/>
    </w:p>
    <w:p w:rsidR="0001538F" w:rsidRDefault="00EF26C5" w:rsidP="0001538F">
      <w:pPr>
        <w:pStyle w:val="Caption"/>
        <w:rPr>
          <w:noProof/>
          <w:lang w:eastAsia="en-AU"/>
        </w:rPr>
      </w:pPr>
      <w:r w:rsidRPr="00671C39">
        <w:t xml:space="preserve">Figure </w:t>
      </w:r>
      <w:fldSimple w:instr=" SEQ Figure \* ARABIC \s ">
        <w:r w:rsidR="005570EB">
          <w:rPr>
            <w:noProof/>
          </w:rPr>
          <w:t>29</w:t>
        </w:r>
      </w:fldSimple>
      <w:r w:rsidR="0001538F" w:rsidRPr="00915822">
        <w:t xml:space="preserve">: Expenses – pharmaceutical benefits – </w:t>
      </w:r>
      <w:r w:rsidR="0001538F">
        <w:t>change from 2016–17</w:t>
      </w:r>
      <w:r w:rsidR="0001538F" w:rsidRPr="00DF4406">
        <w:t xml:space="preserve"> </w:t>
      </w:r>
      <w:r w:rsidR="0001538F">
        <w:t>MYEFO to 2017–18 Budget estimates</w:t>
      </w:r>
    </w:p>
    <w:p w:rsidR="0001538F" w:rsidRDefault="00411CA2" w:rsidP="0001538F">
      <w:pPr>
        <w:pStyle w:val="BodyText"/>
        <w:rPr>
          <w:noProof/>
          <w:lang w:eastAsia="en-AU"/>
        </w:rPr>
      </w:pPr>
      <w:r>
        <w:rPr>
          <w:noProof/>
          <w:lang w:eastAsia="en-AU"/>
        </w:rPr>
        <w:drawing>
          <wp:inline distT="0" distB="0" distL="0" distR="0" wp14:anchorId="257595F8">
            <wp:extent cx="5177319" cy="2831911"/>
            <wp:effectExtent l="0" t="0" r="444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83835" cy="2835475"/>
                    </a:xfrm>
                    <a:prstGeom prst="rect">
                      <a:avLst/>
                    </a:prstGeom>
                    <a:noFill/>
                  </pic:spPr>
                </pic:pic>
              </a:graphicData>
            </a:graphic>
          </wp:inline>
        </w:drawing>
      </w:r>
    </w:p>
    <w:p w:rsidR="0001538F" w:rsidRDefault="00EF26C5" w:rsidP="0001538F">
      <w:pPr>
        <w:pStyle w:val="Caption"/>
      </w:pPr>
      <w:r w:rsidRPr="00671C39">
        <w:t xml:space="preserve">Figure </w:t>
      </w:r>
      <w:fldSimple w:instr=" SEQ Figure \* ARABIC \s ">
        <w:r w:rsidR="005570EB">
          <w:rPr>
            <w:noProof/>
          </w:rPr>
          <w:t>30</w:t>
        </w:r>
      </w:fldSimple>
      <w:r w:rsidR="0001538F" w:rsidRPr="00915822">
        <w:t xml:space="preserve">: Expenses – pharmaceutical benefits – </w:t>
      </w:r>
      <w:r w:rsidR="0001538F">
        <w:t>change from 2016–17</w:t>
      </w:r>
      <w:r w:rsidR="0001538F" w:rsidRPr="00280D27">
        <w:t xml:space="preserve"> </w:t>
      </w:r>
      <w:r w:rsidR="0001538F">
        <w:t xml:space="preserve">MYEFO to 2017–18 Budget estimates </w:t>
      </w:r>
      <w:r w:rsidR="0001538F" w:rsidRPr="00280D27">
        <w:t>by measures and other variations</w:t>
      </w:r>
    </w:p>
    <w:p w:rsidR="0001538F" w:rsidRDefault="00411CA2" w:rsidP="0001538F">
      <w:pPr>
        <w:pStyle w:val="BodyText"/>
        <w:rPr>
          <w:noProof/>
          <w:lang w:eastAsia="en-AU"/>
        </w:rPr>
      </w:pPr>
      <w:r>
        <w:rPr>
          <w:noProof/>
          <w:lang w:eastAsia="en-AU"/>
        </w:rPr>
        <w:drawing>
          <wp:inline distT="0" distB="0" distL="0" distR="0" wp14:anchorId="6B8F9DFF">
            <wp:extent cx="5104263" cy="2634106"/>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07183" cy="2635613"/>
                    </a:xfrm>
                    <a:prstGeom prst="rect">
                      <a:avLst/>
                    </a:prstGeom>
                    <a:noFill/>
                  </pic:spPr>
                </pic:pic>
              </a:graphicData>
            </a:graphic>
          </wp:inline>
        </w:drawing>
      </w:r>
    </w:p>
    <w:p w:rsidR="0001538F" w:rsidRPr="00915822" w:rsidRDefault="0001538F" w:rsidP="0001538F">
      <w:pPr>
        <w:pStyle w:val="ListBullet"/>
        <w:tabs>
          <w:tab w:val="clear" w:pos="454"/>
        </w:tabs>
        <w:spacing w:after="60"/>
        <w:ind w:left="567"/>
      </w:pPr>
      <w:r w:rsidRPr="00915822">
        <w:t xml:space="preserve">Relative to the 2016–17 </w:t>
      </w:r>
      <w:r>
        <w:t>MYEFO</w:t>
      </w:r>
      <w:r w:rsidRPr="00915822">
        <w:t>, policy decisions are expected to increase</w:t>
      </w:r>
      <w:r>
        <w:t xml:space="preserve"> </w:t>
      </w:r>
      <w:r w:rsidRPr="00915822">
        <w:t xml:space="preserve">expenses on </w:t>
      </w:r>
      <w:r>
        <w:t xml:space="preserve">the Pharmaceutical Benefits Scheme </w:t>
      </w:r>
      <w:r w:rsidRPr="00915822">
        <w:t xml:space="preserve">by </w:t>
      </w:r>
      <w:r w:rsidR="00411CA2" w:rsidRPr="00411CA2">
        <w:t>$0.7</w:t>
      </w:r>
      <w:r w:rsidRPr="00411CA2">
        <w:t xml:space="preserve"> billion</w:t>
      </w:r>
      <w:r w:rsidRPr="00915822">
        <w:t xml:space="preserve"> over the </w:t>
      </w:r>
      <w:r>
        <w:t>five</w:t>
      </w:r>
      <w:r w:rsidRPr="00915822">
        <w:t xml:space="preserve"> years to 20</w:t>
      </w:r>
      <w:r>
        <w:t>20–21, due to new listings of drugs and not proceeding with the increase in PBS co-payments and safety net thresholds originally announced in the 2014</w:t>
      </w:r>
      <w:r w:rsidRPr="00915822">
        <w:t>–</w:t>
      </w:r>
      <w:r>
        <w:t xml:space="preserve">15 Budget. This is partially offset by extending statutory price reductions for certain listed medicines.  </w:t>
      </w:r>
    </w:p>
    <w:p w:rsidR="00411CA2" w:rsidRPr="00915822" w:rsidRDefault="00411CA2" w:rsidP="00411CA2">
      <w:pPr>
        <w:pStyle w:val="ListBullet"/>
        <w:tabs>
          <w:tab w:val="clear" w:pos="454"/>
        </w:tabs>
        <w:spacing w:after="60"/>
        <w:ind w:left="567"/>
      </w:pPr>
      <w:bookmarkStart w:id="54" w:name="_Toc452477836"/>
      <w:bookmarkStart w:id="55" w:name="_Toc483816471"/>
      <w:r w:rsidRPr="00915822">
        <w:t xml:space="preserve">Parameter and other variations are expected to </w:t>
      </w:r>
      <w:r>
        <w:t xml:space="preserve">have a broadly neutral impact on Pharmaceutical Benefits Scheme expenses </w:t>
      </w:r>
      <w:r w:rsidRPr="00915822">
        <w:t>over the four years to 2019–20</w:t>
      </w:r>
      <w:r>
        <w:t xml:space="preserve">, relative to the 2016–17 MYEFO. </w:t>
      </w:r>
    </w:p>
    <w:p w:rsidR="00280D27" w:rsidRDefault="00280D27" w:rsidP="00280D27">
      <w:pPr>
        <w:pStyle w:val="Heading1"/>
        <w:numPr>
          <w:ilvl w:val="0"/>
          <w:numId w:val="0"/>
        </w:numPr>
        <w:spacing w:before="240"/>
        <w:rPr>
          <w:noProof/>
        </w:rPr>
      </w:pPr>
      <w:r>
        <w:rPr>
          <w:noProof/>
        </w:rPr>
        <w:lastRenderedPageBreak/>
        <w:t>Expenses – assistance to the states and territories for public hospitals</w:t>
      </w:r>
      <w:bookmarkEnd w:id="54"/>
      <w:bookmarkEnd w:id="55"/>
    </w:p>
    <w:p w:rsidR="00280D27" w:rsidRDefault="00EF26C5" w:rsidP="00D50BC9">
      <w:pPr>
        <w:pStyle w:val="Caption"/>
        <w:rPr>
          <w:noProof/>
          <w:lang w:eastAsia="en-AU"/>
        </w:rPr>
      </w:pPr>
      <w:r w:rsidRPr="00671C39">
        <w:t xml:space="preserve">Figure </w:t>
      </w:r>
      <w:fldSimple w:instr=" SEQ Figure \* ARABIC \s ">
        <w:r w:rsidR="005570EB">
          <w:rPr>
            <w:noProof/>
          </w:rPr>
          <w:t>31</w:t>
        </w:r>
      </w:fldSimple>
      <w:r w:rsidR="00280D27" w:rsidRPr="00671C39">
        <w:t xml:space="preserve">: </w:t>
      </w:r>
      <w:bookmarkStart w:id="56" w:name="_Toc406509374"/>
      <w:r w:rsidR="00280D27">
        <w:t xml:space="preserve">Expenses – assistance to the states and territories for public hospitals – </w:t>
      </w:r>
      <w:bookmarkEnd w:id="56"/>
      <w:r w:rsidR="000649BF">
        <w:t>change from 2016–17</w:t>
      </w:r>
      <w:r w:rsidR="000649BF" w:rsidRPr="00DF4406">
        <w:t xml:space="preserve"> </w:t>
      </w:r>
      <w:r w:rsidR="000649BF">
        <w:t>MYEFO to 2017–18 Budget estimates</w:t>
      </w:r>
      <w:r w:rsidR="000649BF">
        <w:rPr>
          <w:noProof/>
          <w:lang w:eastAsia="en-AU"/>
        </w:rPr>
        <w:t xml:space="preserve"> </w:t>
      </w:r>
    </w:p>
    <w:p w:rsidR="00A05427" w:rsidRDefault="006733E5" w:rsidP="00A05427">
      <w:pPr>
        <w:pStyle w:val="BodyText"/>
        <w:rPr>
          <w:lang w:eastAsia="en-AU"/>
        </w:rPr>
      </w:pPr>
      <w:r>
        <w:rPr>
          <w:noProof/>
          <w:lang w:eastAsia="en-AU"/>
        </w:rPr>
        <w:drawing>
          <wp:inline distT="0" distB="0" distL="0" distR="0" wp14:anchorId="5DDC0EDF" wp14:editId="5E3373E0">
            <wp:extent cx="5172964" cy="3029447"/>
            <wp:effectExtent l="0" t="0" r="889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85760" cy="3036941"/>
                    </a:xfrm>
                    <a:prstGeom prst="rect">
                      <a:avLst/>
                    </a:prstGeom>
                    <a:noFill/>
                  </pic:spPr>
                </pic:pic>
              </a:graphicData>
            </a:graphic>
          </wp:inline>
        </w:drawing>
      </w:r>
    </w:p>
    <w:p w:rsidR="00280D27" w:rsidRDefault="00EF26C5" w:rsidP="00D50BC9">
      <w:pPr>
        <w:pStyle w:val="Caption"/>
        <w:rPr>
          <w:rFonts w:cs="Times New Roman"/>
          <w:noProof/>
          <w:spacing w:val="-1"/>
          <w:lang w:eastAsia="en-AU"/>
        </w:rPr>
      </w:pPr>
      <w:r w:rsidRPr="00671C39">
        <w:t xml:space="preserve">Figure </w:t>
      </w:r>
      <w:fldSimple w:instr=" SEQ Figure \* ARABIC \s ">
        <w:r w:rsidR="005570EB">
          <w:rPr>
            <w:noProof/>
          </w:rPr>
          <w:t>32</w:t>
        </w:r>
      </w:fldSimple>
      <w:r w:rsidR="00280D27" w:rsidRPr="00671C39">
        <w:t xml:space="preserve">: </w:t>
      </w:r>
      <w:bookmarkStart w:id="57" w:name="_Toc406509375"/>
      <w:r w:rsidR="00280D27">
        <w:t xml:space="preserve">Expenses – assistance to the states and territories for public hospitals – </w:t>
      </w:r>
      <w:bookmarkEnd w:id="57"/>
      <w:r w:rsidR="000649BF">
        <w:t>change from 2016–17</w:t>
      </w:r>
      <w:r w:rsidR="000649BF" w:rsidRPr="00280D27">
        <w:t xml:space="preserve"> </w:t>
      </w:r>
      <w:r w:rsidR="000649BF">
        <w:t xml:space="preserve">MYEFO to 2017–18 Budget estimates </w:t>
      </w:r>
      <w:r w:rsidR="000649BF" w:rsidRPr="00280D27">
        <w:t>by measures and other variations</w:t>
      </w:r>
      <w:r w:rsidR="000649BF">
        <w:rPr>
          <w:rFonts w:cs="Times New Roman"/>
          <w:noProof/>
          <w:spacing w:val="-1"/>
          <w:lang w:eastAsia="en-AU"/>
        </w:rPr>
        <w:t xml:space="preserve"> </w:t>
      </w:r>
    </w:p>
    <w:p w:rsidR="00A05427" w:rsidRDefault="00585F59" w:rsidP="00A05427">
      <w:pPr>
        <w:pStyle w:val="BodyText"/>
        <w:rPr>
          <w:lang w:eastAsia="en-AU"/>
        </w:rPr>
      </w:pPr>
      <w:r>
        <w:rPr>
          <w:noProof/>
          <w:lang w:eastAsia="en-AU"/>
        </w:rPr>
        <w:drawing>
          <wp:inline distT="0" distB="0" distL="0" distR="0" wp14:anchorId="76F143AB" wp14:editId="20BDFB86">
            <wp:extent cx="5089585" cy="2559755"/>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92270" cy="2561106"/>
                    </a:xfrm>
                    <a:prstGeom prst="rect">
                      <a:avLst/>
                    </a:prstGeom>
                    <a:noFill/>
                  </pic:spPr>
                </pic:pic>
              </a:graphicData>
            </a:graphic>
          </wp:inline>
        </w:drawing>
      </w:r>
    </w:p>
    <w:p w:rsidR="00487C8D" w:rsidRPr="00F62139" w:rsidRDefault="00487C8D" w:rsidP="00487C8D">
      <w:pPr>
        <w:pStyle w:val="ListBullet"/>
        <w:tabs>
          <w:tab w:val="clear" w:pos="454"/>
        </w:tabs>
        <w:spacing w:after="60"/>
        <w:ind w:left="567"/>
      </w:pPr>
      <w:r w:rsidRPr="00F62139">
        <w:t xml:space="preserve">Relative to the 2016–17 MYEFO, policy decisions are expected to </w:t>
      </w:r>
      <w:r w:rsidR="007C7B65" w:rsidRPr="00F62139">
        <w:t xml:space="preserve">have a </w:t>
      </w:r>
      <w:r w:rsidR="001D05CD">
        <w:t>minimal</w:t>
      </w:r>
      <w:r w:rsidR="007C7B65" w:rsidRPr="00F62139">
        <w:t xml:space="preserve"> impact on </w:t>
      </w:r>
      <w:r w:rsidRPr="00F62139">
        <w:t xml:space="preserve">assistance to the states and territories for public hospitals </w:t>
      </w:r>
      <w:r w:rsidR="007C7B65" w:rsidRPr="00F62139">
        <w:t xml:space="preserve">expenses </w:t>
      </w:r>
      <w:r w:rsidRPr="00F62139">
        <w:t>over the five years to 2020–21.</w:t>
      </w:r>
    </w:p>
    <w:p w:rsidR="00280D27" w:rsidRPr="00915822" w:rsidRDefault="00280D27" w:rsidP="00280D27">
      <w:pPr>
        <w:pStyle w:val="ListBullet"/>
        <w:tabs>
          <w:tab w:val="clear" w:pos="454"/>
        </w:tabs>
        <w:spacing w:after="60"/>
        <w:ind w:left="567"/>
      </w:pPr>
      <w:r w:rsidRPr="00915822">
        <w:t xml:space="preserve">Parameter and other variations are expected to </w:t>
      </w:r>
      <w:r w:rsidR="00A80529" w:rsidRPr="00915822">
        <w:t xml:space="preserve">increase </w:t>
      </w:r>
      <w:r w:rsidRPr="00915822">
        <w:t xml:space="preserve">assistance to the states and territories for public hospitals expenses by </w:t>
      </w:r>
      <w:r w:rsidR="0092726D" w:rsidRPr="00915822">
        <w:t>$</w:t>
      </w:r>
      <w:r w:rsidR="007C7B65">
        <w:t>2.2</w:t>
      </w:r>
      <w:r w:rsidR="0092726D" w:rsidRPr="00915822">
        <w:t xml:space="preserve"> billion</w:t>
      </w:r>
      <w:r w:rsidRPr="00915822">
        <w:t xml:space="preserve"> over the four years to </w:t>
      </w:r>
      <w:r w:rsidR="00BE4566" w:rsidRPr="00915822">
        <w:t>2019–20</w:t>
      </w:r>
      <w:r w:rsidRPr="00915822">
        <w:t xml:space="preserve">, </w:t>
      </w:r>
      <w:r w:rsidR="0033572F" w:rsidRPr="00915822">
        <w:t xml:space="preserve">relative to the </w:t>
      </w:r>
      <w:r w:rsidR="00487C8D">
        <w:t>2016–17 MYEFO</w:t>
      </w:r>
      <w:r w:rsidR="007C7B65">
        <w:t>, largely reflecting increased hospital activity</w:t>
      </w:r>
      <w:r w:rsidR="00753789">
        <w:t xml:space="preserve"> estimates</w:t>
      </w:r>
      <w:r w:rsidRPr="00915822">
        <w:t>.</w:t>
      </w:r>
    </w:p>
    <w:p w:rsidR="00280D27" w:rsidRDefault="00280D27" w:rsidP="00280D27">
      <w:pPr>
        <w:pStyle w:val="Heading1"/>
        <w:numPr>
          <w:ilvl w:val="0"/>
          <w:numId w:val="0"/>
        </w:numPr>
        <w:spacing w:before="240"/>
        <w:rPr>
          <w:noProof/>
        </w:rPr>
      </w:pPr>
      <w:bookmarkStart w:id="58" w:name="_Toc452477838"/>
      <w:bookmarkStart w:id="59" w:name="_Toc483816472"/>
      <w:r>
        <w:rPr>
          <w:noProof/>
        </w:rPr>
        <w:lastRenderedPageBreak/>
        <w:t>Expenses – private health insurance rebate</w:t>
      </w:r>
      <w:bookmarkEnd w:id="58"/>
      <w:bookmarkEnd w:id="59"/>
    </w:p>
    <w:p w:rsidR="00A05427" w:rsidRDefault="00EF26C5" w:rsidP="00D50BC9">
      <w:pPr>
        <w:pStyle w:val="Caption"/>
        <w:rPr>
          <w:rFonts w:cs="Times New Roman"/>
          <w:noProof/>
          <w:spacing w:val="-1"/>
          <w:lang w:eastAsia="en-AU"/>
        </w:rPr>
      </w:pPr>
      <w:r w:rsidRPr="00671C39">
        <w:t xml:space="preserve">Figure </w:t>
      </w:r>
      <w:fldSimple w:instr=" SEQ Figure \* ARABIC \s ">
        <w:r w:rsidR="005570EB">
          <w:rPr>
            <w:noProof/>
          </w:rPr>
          <w:t>33</w:t>
        </w:r>
      </w:fldSimple>
      <w:r w:rsidR="00280D27" w:rsidRPr="00671C39">
        <w:t xml:space="preserve">: </w:t>
      </w:r>
      <w:bookmarkStart w:id="60" w:name="_Toc406509378"/>
      <w:r w:rsidR="00280D27">
        <w:t xml:space="preserve">Expenses – private health insurance rebate – </w:t>
      </w:r>
      <w:bookmarkEnd w:id="60"/>
      <w:r w:rsidR="000649BF">
        <w:t>change from 2016–17</w:t>
      </w:r>
      <w:r w:rsidR="000649BF" w:rsidRPr="00DF4406">
        <w:t xml:space="preserve"> </w:t>
      </w:r>
      <w:r w:rsidR="000649BF">
        <w:t xml:space="preserve">MYEFO to </w:t>
      </w:r>
      <w:r w:rsidR="00A3123D">
        <w:br/>
      </w:r>
      <w:r w:rsidR="000649BF">
        <w:t>2017–18 Budget estimates</w:t>
      </w:r>
      <w:r w:rsidR="000649BF">
        <w:rPr>
          <w:rFonts w:cs="Times New Roman"/>
          <w:noProof/>
          <w:spacing w:val="-1"/>
          <w:lang w:eastAsia="en-AU"/>
        </w:rPr>
        <w:t xml:space="preserve"> </w:t>
      </w:r>
    </w:p>
    <w:p w:rsidR="00280D27" w:rsidRDefault="00E2791E" w:rsidP="00D50BC9">
      <w:pPr>
        <w:pStyle w:val="Caption"/>
        <w:rPr>
          <w:rFonts w:cs="Times New Roman"/>
          <w:noProof/>
          <w:spacing w:val="-1"/>
          <w:lang w:eastAsia="en-AU"/>
        </w:rPr>
      </w:pPr>
      <w:r>
        <w:rPr>
          <w:rFonts w:cs="Times New Roman"/>
          <w:noProof/>
          <w:spacing w:val="-1"/>
          <w:lang w:eastAsia="en-AU"/>
        </w:rPr>
        <w:drawing>
          <wp:inline distT="0" distB="0" distL="0" distR="0" wp14:anchorId="3366F5A8" wp14:editId="0FEB0DCB">
            <wp:extent cx="5057029" cy="3085106"/>
            <wp:effectExtent l="0" t="0" r="0" b="127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62403" cy="3088384"/>
                    </a:xfrm>
                    <a:prstGeom prst="rect">
                      <a:avLst/>
                    </a:prstGeom>
                    <a:noFill/>
                  </pic:spPr>
                </pic:pic>
              </a:graphicData>
            </a:graphic>
          </wp:inline>
        </w:drawing>
      </w:r>
    </w:p>
    <w:p w:rsidR="00280D27" w:rsidRDefault="00EF26C5" w:rsidP="00280D27">
      <w:pPr>
        <w:pStyle w:val="Caption"/>
      </w:pPr>
      <w:r w:rsidRPr="00671C39">
        <w:t xml:space="preserve">Figure </w:t>
      </w:r>
      <w:fldSimple w:instr=" SEQ Figure \* ARABIC \s ">
        <w:r w:rsidR="005570EB">
          <w:rPr>
            <w:noProof/>
          </w:rPr>
          <w:t>34</w:t>
        </w:r>
      </w:fldSimple>
      <w:r w:rsidR="00280D27" w:rsidRPr="00671C39">
        <w:t xml:space="preserve">: </w:t>
      </w:r>
      <w:bookmarkStart w:id="61" w:name="_Toc406509379"/>
      <w:r w:rsidR="00280D27">
        <w:t xml:space="preserve">Expenses – private health insurance rebate – </w:t>
      </w:r>
      <w:bookmarkEnd w:id="61"/>
      <w:r w:rsidR="000649BF">
        <w:t>change from 2016–17</w:t>
      </w:r>
      <w:r w:rsidR="000649BF" w:rsidRPr="00280D27">
        <w:t xml:space="preserve"> </w:t>
      </w:r>
      <w:r w:rsidR="000649BF">
        <w:t xml:space="preserve">MYEFO to </w:t>
      </w:r>
      <w:r w:rsidR="00A3123D">
        <w:br/>
      </w:r>
      <w:r w:rsidR="000649BF">
        <w:t xml:space="preserve">2017–18 Budget estimates </w:t>
      </w:r>
      <w:r w:rsidR="000649BF" w:rsidRPr="00280D27">
        <w:t>by measures and other variations</w:t>
      </w:r>
    </w:p>
    <w:p w:rsidR="00280D27" w:rsidRDefault="00337513" w:rsidP="00280D27">
      <w:pPr>
        <w:pStyle w:val="BodyText"/>
        <w:spacing w:before="0"/>
        <w:rPr>
          <w:noProof/>
          <w:lang w:eastAsia="en-AU"/>
        </w:rPr>
      </w:pPr>
      <w:r>
        <w:rPr>
          <w:noProof/>
          <w:lang w:eastAsia="en-AU"/>
        </w:rPr>
        <w:drawing>
          <wp:inline distT="0" distB="0" distL="0" distR="0" wp14:anchorId="477CDD77" wp14:editId="1C490B54">
            <wp:extent cx="5057029" cy="2727298"/>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60678" cy="2729266"/>
                    </a:xfrm>
                    <a:prstGeom prst="rect">
                      <a:avLst/>
                    </a:prstGeom>
                    <a:noFill/>
                  </pic:spPr>
                </pic:pic>
              </a:graphicData>
            </a:graphic>
          </wp:inline>
        </w:drawing>
      </w:r>
    </w:p>
    <w:p w:rsidR="00487C8D" w:rsidRPr="00915822" w:rsidRDefault="00487C8D" w:rsidP="00487C8D">
      <w:pPr>
        <w:pStyle w:val="ListBullet"/>
        <w:tabs>
          <w:tab w:val="clear" w:pos="454"/>
        </w:tabs>
        <w:spacing w:after="60"/>
        <w:ind w:left="567"/>
      </w:pPr>
      <w:bookmarkStart w:id="62" w:name="_Toc452477839"/>
      <w:r w:rsidRPr="00915822">
        <w:t xml:space="preserve">Parameter and other variations are expected to decrease expenses on </w:t>
      </w:r>
      <w:r>
        <w:t>the private health insurance rebate</w:t>
      </w:r>
      <w:r w:rsidRPr="00915822">
        <w:t xml:space="preserve"> by $</w:t>
      </w:r>
      <w:r w:rsidR="00321F44">
        <w:t>1.1</w:t>
      </w:r>
      <w:r w:rsidRPr="00915822">
        <w:t xml:space="preserve"> billion over the four years to 2019–20, relative to the </w:t>
      </w:r>
      <w:r>
        <w:t>2016–17 MYEFO</w:t>
      </w:r>
      <w:r w:rsidR="00AF2340">
        <w:t xml:space="preserve"> largely reflecting a reduction in the growth in private health insurance participation</w:t>
      </w:r>
      <w:r w:rsidRPr="00915822">
        <w:t>.</w:t>
      </w:r>
    </w:p>
    <w:p w:rsidR="00280D27" w:rsidRDefault="00280D27" w:rsidP="00280D27">
      <w:pPr>
        <w:pStyle w:val="Heading1"/>
        <w:numPr>
          <w:ilvl w:val="0"/>
          <w:numId w:val="0"/>
        </w:numPr>
        <w:spacing w:before="240"/>
        <w:rPr>
          <w:noProof/>
        </w:rPr>
      </w:pPr>
      <w:bookmarkStart w:id="63" w:name="_Toc452477840"/>
      <w:bookmarkStart w:id="64" w:name="_Toc483816473"/>
      <w:bookmarkEnd w:id="62"/>
      <w:r>
        <w:rPr>
          <w:noProof/>
        </w:rPr>
        <w:lastRenderedPageBreak/>
        <w:t xml:space="preserve">Expenses – </w:t>
      </w:r>
      <w:r w:rsidR="008F5FD8">
        <w:rPr>
          <w:noProof/>
        </w:rPr>
        <w:t xml:space="preserve">assistance to the states and territories for </w:t>
      </w:r>
      <w:bookmarkEnd w:id="63"/>
      <w:r w:rsidR="008F5FD8">
        <w:rPr>
          <w:noProof/>
        </w:rPr>
        <w:t>schools</w:t>
      </w:r>
      <w:bookmarkEnd w:id="64"/>
    </w:p>
    <w:p w:rsidR="00280D27" w:rsidRDefault="00EF26C5" w:rsidP="00280D27">
      <w:pPr>
        <w:pStyle w:val="Caption"/>
      </w:pPr>
      <w:r w:rsidRPr="00671C39">
        <w:t xml:space="preserve">Figure </w:t>
      </w:r>
      <w:fldSimple w:instr=" SEQ Figure \* ARABIC \s ">
        <w:r w:rsidR="005570EB">
          <w:rPr>
            <w:noProof/>
          </w:rPr>
          <w:t>35</w:t>
        </w:r>
      </w:fldSimple>
      <w:r w:rsidR="00280D27" w:rsidRPr="00671C39">
        <w:t xml:space="preserve">: </w:t>
      </w:r>
      <w:bookmarkStart w:id="65" w:name="_Toc406509380"/>
      <w:r w:rsidR="00280D27">
        <w:t xml:space="preserve">Expenses – schools – </w:t>
      </w:r>
      <w:bookmarkEnd w:id="65"/>
      <w:r w:rsidR="000649BF">
        <w:t>change from 2016–17</w:t>
      </w:r>
      <w:r w:rsidR="000649BF" w:rsidRPr="00DF4406">
        <w:t xml:space="preserve"> </w:t>
      </w:r>
      <w:r w:rsidR="000649BF">
        <w:t>MYEFO to 2017–18 Budget estimates</w:t>
      </w:r>
    </w:p>
    <w:p w:rsidR="00280D27" w:rsidRDefault="00ED21B6" w:rsidP="00280D27">
      <w:pPr>
        <w:pStyle w:val="BodyText"/>
        <w:spacing w:before="0"/>
        <w:rPr>
          <w:noProof/>
          <w:lang w:eastAsia="en-AU"/>
        </w:rPr>
      </w:pPr>
      <w:r>
        <w:rPr>
          <w:noProof/>
          <w:lang w:eastAsia="en-AU"/>
        </w:rPr>
        <w:drawing>
          <wp:inline distT="0" distB="0" distL="0" distR="0" wp14:anchorId="39445AFA" wp14:editId="0E62EAE9">
            <wp:extent cx="5231958" cy="2965837"/>
            <wp:effectExtent l="0" t="0" r="6985" b="635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33482" cy="2966701"/>
                    </a:xfrm>
                    <a:prstGeom prst="rect">
                      <a:avLst/>
                    </a:prstGeom>
                    <a:noFill/>
                  </pic:spPr>
                </pic:pic>
              </a:graphicData>
            </a:graphic>
          </wp:inline>
        </w:drawing>
      </w:r>
    </w:p>
    <w:p w:rsidR="00280D27" w:rsidRDefault="00EF26C5" w:rsidP="00D50BC9">
      <w:pPr>
        <w:pStyle w:val="Caption"/>
        <w:rPr>
          <w:noProof/>
          <w:lang w:eastAsia="en-AU"/>
        </w:rPr>
      </w:pPr>
      <w:r w:rsidRPr="00671C39">
        <w:t xml:space="preserve">Figure </w:t>
      </w:r>
      <w:fldSimple w:instr=" SEQ Figure \* ARABIC \s ">
        <w:r w:rsidR="005570EB">
          <w:rPr>
            <w:noProof/>
          </w:rPr>
          <w:t>36</w:t>
        </w:r>
      </w:fldSimple>
      <w:r w:rsidR="00280D27" w:rsidRPr="00671C39">
        <w:t xml:space="preserve">: </w:t>
      </w:r>
      <w:bookmarkStart w:id="66" w:name="_Toc406509381"/>
      <w:r w:rsidR="00280D27">
        <w:t xml:space="preserve">Expenses – schools – </w:t>
      </w:r>
      <w:bookmarkEnd w:id="66"/>
      <w:r w:rsidR="000649BF">
        <w:t>change from 2016–17</w:t>
      </w:r>
      <w:r w:rsidR="000649BF" w:rsidRPr="00280D27">
        <w:t xml:space="preserve"> </w:t>
      </w:r>
      <w:r w:rsidR="000649BF">
        <w:t xml:space="preserve">MYEFO to 2017–18 Budget estimates </w:t>
      </w:r>
      <w:r w:rsidR="000649BF" w:rsidRPr="00280D27">
        <w:t>by measures and other variations</w:t>
      </w:r>
      <w:r w:rsidR="000649BF">
        <w:rPr>
          <w:noProof/>
          <w:lang w:eastAsia="en-AU"/>
        </w:rPr>
        <w:t xml:space="preserve"> </w:t>
      </w:r>
    </w:p>
    <w:p w:rsidR="00A05427" w:rsidRDefault="006709E2" w:rsidP="00A05427">
      <w:pPr>
        <w:pStyle w:val="BodyText"/>
        <w:rPr>
          <w:lang w:eastAsia="en-AU"/>
        </w:rPr>
      </w:pPr>
      <w:r>
        <w:rPr>
          <w:noProof/>
          <w:lang w:eastAsia="en-AU"/>
        </w:rPr>
        <w:drawing>
          <wp:inline distT="0" distB="0" distL="0" distR="0" wp14:anchorId="14F1F449">
            <wp:extent cx="5223210" cy="26954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34312" cy="2701222"/>
                    </a:xfrm>
                    <a:prstGeom prst="rect">
                      <a:avLst/>
                    </a:prstGeom>
                    <a:noFill/>
                  </pic:spPr>
                </pic:pic>
              </a:graphicData>
            </a:graphic>
          </wp:inline>
        </w:drawing>
      </w:r>
    </w:p>
    <w:p w:rsidR="00487C8D" w:rsidRPr="00915822" w:rsidRDefault="00487C8D" w:rsidP="00487C8D">
      <w:pPr>
        <w:pStyle w:val="ListBullet"/>
        <w:tabs>
          <w:tab w:val="clear" w:pos="454"/>
        </w:tabs>
        <w:spacing w:after="60"/>
        <w:ind w:left="567"/>
      </w:pPr>
      <w:bookmarkStart w:id="67" w:name="_Toc452477841"/>
      <w:r w:rsidRPr="00915822">
        <w:t xml:space="preserve">Relative to the 2016–17 </w:t>
      </w:r>
      <w:r>
        <w:t>MYEFO</w:t>
      </w:r>
      <w:r w:rsidRPr="00915822">
        <w:t xml:space="preserve">, policy decisions are expected to increase expenses on </w:t>
      </w:r>
      <w:r w:rsidR="00852364">
        <w:t>schools</w:t>
      </w:r>
      <w:r w:rsidRPr="00487C8D">
        <w:t xml:space="preserve"> </w:t>
      </w:r>
      <w:r w:rsidRPr="00915822">
        <w:t>by $</w:t>
      </w:r>
      <w:r w:rsidR="00DF468F">
        <w:t xml:space="preserve">1.7 </w:t>
      </w:r>
      <w:r w:rsidRPr="00915822">
        <w:t xml:space="preserve">billion over the </w:t>
      </w:r>
      <w:r>
        <w:t>f</w:t>
      </w:r>
      <w:r w:rsidR="00174CEE">
        <w:t>our</w:t>
      </w:r>
      <w:r w:rsidRPr="00915822">
        <w:t xml:space="preserve"> years to 20</w:t>
      </w:r>
      <w:r>
        <w:t>20–21</w:t>
      </w:r>
      <w:r w:rsidR="00DF468F">
        <w:t xml:space="preserve">, due to </w:t>
      </w:r>
      <w:r w:rsidR="006F57FF">
        <w:t>transitioning to</w:t>
      </w:r>
      <w:r w:rsidR="00DF468F">
        <w:t xml:space="preserve"> a new schools funding model for government and non-government schools.</w:t>
      </w:r>
    </w:p>
    <w:p w:rsidR="00487C8D" w:rsidRPr="00915822" w:rsidRDefault="00487C8D" w:rsidP="00487C8D">
      <w:pPr>
        <w:pStyle w:val="ListBullet"/>
        <w:tabs>
          <w:tab w:val="clear" w:pos="454"/>
        </w:tabs>
        <w:spacing w:after="60"/>
        <w:ind w:left="567"/>
      </w:pPr>
      <w:r w:rsidRPr="00915822">
        <w:t xml:space="preserve">Parameter and other variations are expected to </w:t>
      </w:r>
      <w:r w:rsidR="00DF468F">
        <w:t>increase</w:t>
      </w:r>
      <w:r w:rsidRPr="00915822">
        <w:t xml:space="preserve"> expenses on </w:t>
      </w:r>
      <w:r w:rsidR="00852364">
        <w:t>schools</w:t>
      </w:r>
      <w:r>
        <w:t xml:space="preserve"> </w:t>
      </w:r>
      <w:r w:rsidRPr="00915822">
        <w:t>by $</w:t>
      </w:r>
      <w:r w:rsidR="00DF468F">
        <w:t>0.3</w:t>
      </w:r>
      <w:r w:rsidR="00BD0942">
        <w:t> </w:t>
      </w:r>
      <w:r w:rsidRPr="00915822">
        <w:t xml:space="preserve">billion over the four years to 2019–20, relative to the </w:t>
      </w:r>
      <w:r>
        <w:t>2016–17 MYEFO</w:t>
      </w:r>
      <w:r w:rsidR="00F62139">
        <w:t>, reflecting updated school enrolment projections</w:t>
      </w:r>
      <w:r w:rsidRPr="00915822">
        <w:t>.</w:t>
      </w:r>
    </w:p>
    <w:p w:rsidR="00280D27" w:rsidRDefault="00280D27" w:rsidP="00D50BC9">
      <w:pPr>
        <w:pStyle w:val="Heading1"/>
        <w:numPr>
          <w:ilvl w:val="0"/>
          <w:numId w:val="0"/>
        </w:numPr>
        <w:spacing w:before="240"/>
        <w:rPr>
          <w:noProof/>
        </w:rPr>
      </w:pPr>
      <w:bookmarkStart w:id="68" w:name="_Toc483816474"/>
      <w:r>
        <w:rPr>
          <w:noProof/>
        </w:rPr>
        <w:lastRenderedPageBreak/>
        <w:t>Expenses – higher education grants</w:t>
      </w:r>
      <w:bookmarkEnd w:id="67"/>
      <w:bookmarkEnd w:id="68"/>
    </w:p>
    <w:p w:rsidR="00280D27" w:rsidRDefault="00EF26C5" w:rsidP="00D50BC9">
      <w:pPr>
        <w:pStyle w:val="Caption"/>
        <w:rPr>
          <w:noProof/>
          <w:lang w:eastAsia="en-AU"/>
        </w:rPr>
      </w:pPr>
      <w:r w:rsidRPr="00671C39">
        <w:t xml:space="preserve">Figure </w:t>
      </w:r>
      <w:fldSimple w:instr=" SEQ Figure \* ARABIC \s ">
        <w:r w:rsidR="005570EB">
          <w:rPr>
            <w:noProof/>
          </w:rPr>
          <w:t>37</w:t>
        </w:r>
      </w:fldSimple>
      <w:r w:rsidR="00280D27" w:rsidRPr="00671C39">
        <w:t xml:space="preserve">: </w:t>
      </w:r>
      <w:bookmarkStart w:id="69" w:name="_Toc406509382"/>
      <w:r w:rsidR="00280D27">
        <w:t xml:space="preserve">Expenses – higher education grants – </w:t>
      </w:r>
      <w:bookmarkEnd w:id="69"/>
      <w:r w:rsidR="000649BF">
        <w:t>change from 2016–17</w:t>
      </w:r>
      <w:r w:rsidR="000649BF" w:rsidRPr="00DF4406">
        <w:t xml:space="preserve"> </w:t>
      </w:r>
      <w:r w:rsidR="000649BF">
        <w:t>MYEFO to 2017–18 Budget estimates</w:t>
      </w:r>
      <w:r w:rsidR="000649BF">
        <w:rPr>
          <w:noProof/>
          <w:lang w:eastAsia="en-AU"/>
        </w:rPr>
        <w:t xml:space="preserve"> </w:t>
      </w:r>
    </w:p>
    <w:p w:rsidR="00280D27" w:rsidRDefault="00D668E0" w:rsidP="00280D27">
      <w:pPr>
        <w:pStyle w:val="Caption"/>
        <w:rPr>
          <w:rStyle w:val="BodyTextChar"/>
          <w:noProof/>
          <w:lang w:eastAsia="en-AU"/>
        </w:rPr>
      </w:pPr>
      <w:r>
        <w:rPr>
          <w:noProof/>
          <w:lang w:eastAsia="en-AU"/>
        </w:rPr>
        <w:drawing>
          <wp:inline distT="0" distB="0" distL="0" distR="0" wp14:anchorId="7FFC009F" wp14:editId="01B0C9C7">
            <wp:extent cx="5218981" cy="2656829"/>
            <wp:effectExtent l="0" t="0" r="127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18354" cy="2656510"/>
                    </a:xfrm>
                    <a:prstGeom prst="rect">
                      <a:avLst/>
                    </a:prstGeom>
                    <a:noFill/>
                  </pic:spPr>
                </pic:pic>
              </a:graphicData>
            </a:graphic>
          </wp:inline>
        </w:drawing>
      </w:r>
      <w:r w:rsidR="00EF26C5" w:rsidRPr="00EF26C5">
        <w:t xml:space="preserve"> </w:t>
      </w:r>
      <w:r w:rsidR="00EF26C5" w:rsidRPr="00671C39">
        <w:t xml:space="preserve">Figure </w:t>
      </w:r>
      <w:fldSimple w:instr=" SEQ Figure \* ARABIC \s ">
        <w:r w:rsidR="005570EB">
          <w:rPr>
            <w:noProof/>
          </w:rPr>
          <w:t>38</w:t>
        </w:r>
      </w:fldSimple>
      <w:r w:rsidR="00280D27" w:rsidRPr="00671C39">
        <w:t xml:space="preserve">: </w:t>
      </w:r>
      <w:bookmarkStart w:id="70" w:name="_Toc406509383"/>
      <w:r w:rsidR="00280D27">
        <w:t xml:space="preserve">Expenses – higher education grants – </w:t>
      </w:r>
      <w:bookmarkEnd w:id="70"/>
      <w:r w:rsidR="000649BF">
        <w:t>change from 2016–17</w:t>
      </w:r>
      <w:r w:rsidR="000649BF" w:rsidRPr="00280D27">
        <w:t xml:space="preserve"> </w:t>
      </w:r>
      <w:r w:rsidR="000649BF">
        <w:t xml:space="preserve">MYEFO to 2017–18 Budget estimates </w:t>
      </w:r>
      <w:r w:rsidR="000649BF" w:rsidRPr="00280D27">
        <w:t>by measures and other variations</w:t>
      </w:r>
    </w:p>
    <w:p w:rsidR="00280D27" w:rsidRDefault="00DC5AF2" w:rsidP="00280D27">
      <w:pPr>
        <w:pStyle w:val="BodyText"/>
        <w:rPr>
          <w:noProof/>
          <w:lang w:eastAsia="en-AU"/>
        </w:rPr>
      </w:pPr>
      <w:r>
        <w:rPr>
          <w:noProof/>
          <w:lang w:eastAsia="en-AU"/>
        </w:rPr>
        <w:drawing>
          <wp:inline distT="0" distB="0" distL="0" distR="0" wp14:anchorId="76398E10" wp14:editId="190BF38E">
            <wp:extent cx="5175849" cy="2579298"/>
            <wp:effectExtent l="0" t="0" r="635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87225" cy="2584967"/>
                    </a:xfrm>
                    <a:prstGeom prst="rect">
                      <a:avLst/>
                    </a:prstGeom>
                    <a:noFill/>
                  </pic:spPr>
                </pic:pic>
              </a:graphicData>
            </a:graphic>
          </wp:inline>
        </w:drawing>
      </w:r>
    </w:p>
    <w:p w:rsidR="00852364" w:rsidRPr="00915822" w:rsidRDefault="00852364" w:rsidP="00852364">
      <w:pPr>
        <w:pStyle w:val="ListBullet"/>
        <w:tabs>
          <w:tab w:val="clear" w:pos="454"/>
        </w:tabs>
        <w:spacing w:after="60"/>
        <w:ind w:left="567"/>
      </w:pPr>
      <w:bookmarkStart w:id="71" w:name="_Toc452477842"/>
      <w:r w:rsidRPr="00915822">
        <w:t xml:space="preserve">Relative to the 2016–17 </w:t>
      </w:r>
      <w:r>
        <w:t>MYEFO</w:t>
      </w:r>
      <w:r w:rsidRPr="00915822">
        <w:t xml:space="preserve">, policy decisions are expected to increase expenses on </w:t>
      </w:r>
      <w:r>
        <w:t>higher education grants</w:t>
      </w:r>
      <w:r w:rsidRPr="00487C8D">
        <w:t xml:space="preserve"> </w:t>
      </w:r>
      <w:r w:rsidRPr="00915822">
        <w:t>by $</w:t>
      </w:r>
      <w:r w:rsidR="00E44CFC">
        <w:t>1.0</w:t>
      </w:r>
      <w:r w:rsidRPr="00915822">
        <w:t xml:space="preserve"> billion over the </w:t>
      </w:r>
      <w:r>
        <w:t>f</w:t>
      </w:r>
      <w:r w:rsidR="00174CEE">
        <w:t>our</w:t>
      </w:r>
      <w:r w:rsidRPr="00915822">
        <w:t xml:space="preserve"> years to 20</w:t>
      </w:r>
      <w:r>
        <w:t>20–21</w:t>
      </w:r>
      <w:r w:rsidR="00E44CFC">
        <w:t xml:space="preserve">. This reflects the government’s decision </w:t>
      </w:r>
      <w:r w:rsidR="00F67BDB">
        <w:t>to not proceed with the reduction in Commonwealth Grants Scheme funding as announced in the 2014</w:t>
      </w:r>
      <w:r w:rsidR="00C07124">
        <w:t>–</w:t>
      </w:r>
      <w:r w:rsidR="00F67BDB">
        <w:t>15 Budget, partially offset by measures in the revised higher education package. The revised package applies a 2.5 per cent efficiency dividend in 2018 and 2019 on the Commonwealth Grants Scheme and increase</w:t>
      </w:r>
      <w:r w:rsidR="0045003A">
        <w:t>s</w:t>
      </w:r>
      <w:r w:rsidR="00F67BDB">
        <w:t xml:space="preserve"> student contribution</w:t>
      </w:r>
      <w:r w:rsidR="0045003A">
        <w:t>s</w:t>
      </w:r>
      <w:r w:rsidR="00F67BDB">
        <w:t xml:space="preserve"> for Commonwealth supported students.</w:t>
      </w:r>
    </w:p>
    <w:p w:rsidR="00852364" w:rsidRPr="00F62139" w:rsidRDefault="00852364" w:rsidP="00852364">
      <w:pPr>
        <w:pStyle w:val="ListBullet"/>
        <w:tabs>
          <w:tab w:val="clear" w:pos="454"/>
        </w:tabs>
        <w:spacing w:after="60"/>
        <w:ind w:left="567"/>
      </w:pPr>
      <w:r w:rsidRPr="00F62139">
        <w:t>Parameter and other variations are expected to decrease expenses on higher education grants by $</w:t>
      </w:r>
      <w:r w:rsidR="0045003A" w:rsidRPr="00F62139">
        <w:t>0.1</w:t>
      </w:r>
      <w:r w:rsidRPr="00F62139">
        <w:t> billion over the four years to 2019–20, relative to the 2016–17 MYEFO.</w:t>
      </w:r>
    </w:p>
    <w:p w:rsidR="00280D27" w:rsidRDefault="00280D27" w:rsidP="00247941">
      <w:pPr>
        <w:pStyle w:val="Heading1"/>
        <w:numPr>
          <w:ilvl w:val="0"/>
          <w:numId w:val="0"/>
        </w:numPr>
        <w:spacing w:before="240" w:after="0"/>
        <w:rPr>
          <w:noProof/>
        </w:rPr>
      </w:pPr>
      <w:bookmarkStart w:id="72" w:name="_Toc452477846"/>
      <w:bookmarkStart w:id="73" w:name="_Toc483816475"/>
      <w:bookmarkStart w:id="74" w:name="_Toc406071174"/>
      <w:bookmarkEnd w:id="71"/>
      <w:r>
        <w:rPr>
          <w:noProof/>
        </w:rPr>
        <w:lastRenderedPageBreak/>
        <w:t>Expenses – road and rail infrastructure</w:t>
      </w:r>
      <w:bookmarkEnd w:id="72"/>
      <w:r w:rsidR="0084765E">
        <w:rPr>
          <w:noProof/>
        </w:rPr>
        <w:t xml:space="preserve"> </w:t>
      </w:r>
      <w:r w:rsidR="00C76C22" w:rsidRPr="003F45F5">
        <w:rPr>
          <w:noProof/>
        </w:rPr>
        <w:t xml:space="preserve">(excluding </w:t>
      </w:r>
      <w:r w:rsidR="008044BD" w:rsidRPr="003F45F5">
        <w:rPr>
          <w:noProof/>
        </w:rPr>
        <w:t xml:space="preserve">equity and </w:t>
      </w:r>
      <w:r w:rsidR="00247941" w:rsidRPr="003F45F5">
        <w:rPr>
          <w:noProof/>
        </w:rPr>
        <w:t xml:space="preserve">loan </w:t>
      </w:r>
      <w:r w:rsidR="00C76C22" w:rsidRPr="003F45F5">
        <w:rPr>
          <w:noProof/>
        </w:rPr>
        <w:t>financing)</w:t>
      </w:r>
      <w:bookmarkEnd w:id="73"/>
    </w:p>
    <w:p w:rsidR="00280D27" w:rsidRDefault="00EF26C5" w:rsidP="00247941">
      <w:pPr>
        <w:pStyle w:val="Caption"/>
        <w:spacing w:before="120"/>
        <w:rPr>
          <w:noProof/>
          <w:lang w:eastAsia="en-AU"/>
        </w:rPr>
      </w:pPr>
      <w:r w:rsidRPr="00671C39">
        <w:t xml:space="preserve">Figure </w:t>
      </w:r>
      <w:fldSimple w:instr=" SEQ Figure \* ARABIC \s ">
        <w:r w:rsidR="005570EB">
          <w:rPr>
            <w:noProof/>
          </w:rPr>
          <w:t>39</w:t>
        </w:r>
      </w:fldSimple>
      <w:r w:rsidR="00280D27" w:rsidRPr="00671C39">
        <w:t xml:space="preserve">: </w:t>
      </w:r>
      <w:r w:rsidR="00280D27">
        <w:t xml:space="preserve">Expenses – road and rail infrastructure – </w:t>
      </w:r>
      <w:r w:rsidR="000649BF">
        <w:t>change from 2016–17</w:t>
      </w:r>
      <w:r w:rsidR="000649BF" w:rsidRPr="00DF4406">
        <w:t xml:space="preserve"> </w:t>
      </w:r>
      <w:r w:rsidR="000649BF">
        <w:t>MYEFO to 2017–18 Budget estimates</w:t>
      </w:r>
      <w:r w:rsidR="000649BF">
        <w:rPr>
          <w:noProof/>
          <w:lang w:eastAsia="en-AU"/>
        </w:rPr>
        <w:t xml:space="preserve"> </w:t>
      </w:r>
    </w:p>
    <w:p w:rsidR="00A05427" w:rsidRDefault="008F3324" w:rsidP="00A05427">
      <w:pPr>
        <w:pStyle w:val="BodyText"/>
        <w:rPr>
          <w:lang w:eastAsia="en-AU"/>
        </w:rPr>
      </w:pPr>
      <w:r>
        <w:rPr>
          <w:noProof/>
          <w:lang w:eastAsia="en-AU"/>
        </w:rPr>
        <w:drawing>
          <wp:inline distT="0" distB="0" distL="0" distR="0" wp14:anchorId="7A8B3CAA" wp14:editId="4AA33ACC">
            <wp:extent cx="5095540" cy="219456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97026" cy="2195200"/>
                    </a:xfrm>
                    <a:prstGeom prst="rect">
                      <a:avLst/>
                    </a:prstGeom>
                    <a:noFill/>
                  </pic:spPr>
                </pic:pic>
              </a:graphicData>
            </a:graphic>
          </wp:inline>
        </w:drawing>
      </w:r>
    </w:p>
    <w:p w:rsidR="00280D27" w:rsidRDefault="00EF26C5" w:rsidP="00280D27">
      <w:pPr>
        <w:pStyle w:val="Caption"/>
      </w:pPr>
      <w:r w:rsidRPr="00671C39">
        <w:t xml:space="preserve">Figure </w:t>
      </w:r>
      <w:fldSimple w:instr=" SEQ Figure \* ARABIC \s ">
        <w:r w:rsidR="005570EB">
          <w:rPr>
            <w:noProof/>
          </w:rPr>
          <w:t>40</w:t>
        </w:r>
      </w:fldSimple>
      <w:r w:rsidR="00280D27" w:rsidRPr="00671C39">
        <w:t xml:space="preserve">: </w:t>
      </w:r>
      <w:r w:rsidR="00280D27">
        <w:t xml:space="preserve">Expenses – road and rail infrastructure – </w:t>
      </w:r>
      <w:r w:rsidR="000649BF">
        <w:t>change from 2016–17</w:t>
      </w:r>
      <w:r w:rsidR="000649BF" w:rsidRPr="00280D27">
        <w:t xml:space="preserve"> </w:t>
      </w:r>
      <w:r w:rsidR="000649BF">
        <w:t xml:space="preserve">MYEFO to 2017–18 Budget estimates </w:t>
      </w:r>
      <w:r w:rsidR="000649BF" w:rsidRPr="00280D27">
        <w:t>by measures and other variations</w:t>
      </w:r>
    </w:p>
    <w:p w:rsidR="00280D27" w:rsidRDefault="005733DD" w:rsidP="00280D27">
      <w:pPr>
        <w:pStyle w:val="BodyText"/>
        <w:spacing w:before="0"/>
        <w:rPr>
          <w:noProof/>
          <w:lang w:eastAsia="en-AU"/>
        </w:rPr>
      </w:pPr>
      <w:r>
        <w:rPr>
          <w:noProof/>
          <w:lang w:eastAsia="en-AU"/>
        </w:rPr>
        <w:drawing>
          <wp:inline distT="0" distB="0" distL="0" distR="0" wp14:anchorId="7313734E" wp14:editId="4C3B7750">
            <wp:extent cx="5152445" cy="2067339"/>
            <wp:effectExtent l="0" t="0" r="0"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58041" cy="2069584"/>
                    </a:xfrm>
                    <a:prstGeom prst="rect">
                      <a:avLst/>
                    </a:prstGeom>
                    <a:noFill/>
                  </pic:spPr>
                </pic:pic>
              </a:graphicData>
            </a:graphic>
          </wp:inline>
        </w:drawing>
      </w:r>
    </w:p>
    <w:p w:rsidR="002E5023" w:rsidRPr="003F45F5" w:rsidRDefault="00A375E8" w:rsidP="00280D27">
      <w:pPr>
        <w:pStyle w:val="ListBullet"/>
        <w:tabs>
          <w:tab w:val="clear" w:pos="454"/>
        </w:tabs>
        <w:spacing w:after="60"/>
        <w:ind w:left="567"/>
      </w:pPr>
      <w:bookmarkStart w:id="75" w:name="_Toc406071190"/>
      <w:bookmarkEnd w:id="74"/>
      <w:r>
        <w:t>Relative to the 2016–17 MYEFO</w:t>
      </w:r>
      <w:r w:rsidR="0033572F" w:rsidRPr="00915822">
        <w:t>, p</w:t>
      </w:r>
      <w:r w:rsidR="00280D27" w:rsidRPr="00915822">
        <w:t xml:space="preserve">olicy decisions are expected to </w:t>
      </w:r>
      <w:r w:rsidR="00D17A09" w:rsidRPr="00915822">
        <w:t>decrease road and rail infrastructure expenses by $</w:t>
      </w:r>
      <w:r w:rsidR="00DF468F">
        <w:t xml:space="preserve">0.2 </w:t>
      </w:r>
      <w:r w:rsidR="00D17A09" w:rsidRPr="00915822">
        <w:t xml:space="preserve">billion </w:t>
      </w:r>
      <w:r w:rsidR="00280D27" w:rsidRPr="00915822">
        <w:t xml:space="preserve">over the </w:t>
      </w:r>
      <w:r>
        <w:t>five</w:t>
      </w:r>
      <w:r w:rsidR="00C60A37">
        <w:t xml:space="preserve"> years to 2020</w:t>
      </w:r>
      <w:r w:rsidR="00280D27" w:rsidRPr="00915822">
        <w:t>–</w:t>
      </w:r>
      <w:r w:rsidR="00C60A37">
        <w:t>21</w:t>
      </w:r>
      <w:r w:rsidR="00DF468F">
        <w:t xml:space="preserve">. </w:t>
      </w:r>
      <w:r w:rsidR="002E5023">
        <w:t xml:space="preserve"> This reflects the </w:t>
      </w:r>
      <w:r w:rsidR="00F62139">
        <w:t xml:space="preserve">Government decision to </w:t>
      </w:r>
      <w:r w:rsidR="007E10E9">
        <w:t xml:space="preserve">redirect </w:t>
      </w:r>
      <w:r w:rsidR="0084765E">
        <w:t xml:space="preserve">a portion of </w:t>
      </w:r>
      <w:r w:rsidR="00F62139">
        <w:t xml:space="preserve">funds </w:t>
      </w:r>
      <w:r w:rsidR="002E5023">
        <w:t xml:space="preserve">from the </w:t>
      </w:r>
      <w:r w:rsidR="002E5023" w:rsidRPr="004E3EB0">
        <w:rPr>
          <w:i/>
        </w:rPr>
        <w:t>Infrastructure Investment Programme</w:t>
      </w:r>
      <w:r w:rsidR="002E5023">
        <w:t xml:space="preserve"> </w:t>
      </w:r>
      <w:r w:rsidR="007E10E9">
        <w:t xml:space="preserve">to </w:t>
      </w:r>
      <w:r w:rsidR="0084765E">
        <w:t xml:space="preserve">non-rail and road </w:t>
      </w:r>
      <w:r w:rsidR="007360B8">
        <w:t xml:space="preserve">projects in </w:t>
      </w:r>
      <w:r w:rsidR="007E10E9">
        <w:t xml:space="preserve">the Infrastructure and Regional Development Portfolio.  </w:t>
      </w:r>
      <w:r w:rsidR="0084765E" w:rsidRPr="0084765E">
        <w:t xml:space="preserve"> </w:t>
      </w:r>
      <w:r w:rsidR="00C76C22">
        <w:t>These charts onl</w:t>
      </w:r>
      <w:r w:rsidR="0084765E">
        <w:t xml:space="preserve">y include the direct expenses relating to road and rail infrastructure.  </w:t>
      </w:r>
      <w:r w:rsidR="00C76C22">
        <w:t>They do not</w:t>
      </w:r>
      <w:r w:rsidR="0084765E">
        <w:t xml:space="preserve"> capture </w:t>
      </w:r>
      <w:r w:rsidR="0084765E" w:rsidRPr="004E3EB0">
        <w:t xml:space="preserve">capital investment funded through equity </w:t>
      </w:r>
      <w:r w:rsidR="0084765E" w:rsidRPr="003F45F5">
        <w:t xml:space="preserve">injections into public non-financial corporations such as the Australian Rail Track Corporation </w:t>
      </w:r>
      <w:r w:rsidR="00C76C22" w:rsidRPr="003F45F5">
        <w:t xml:space="preserve">and </w:t>
      </w:r>
      <w:r w:rsidR="0084765E" w:rsidRPr="003F45F5">
        <w:t>Western Sydney Airport Corporation</w:t>
      </w:r>
      <w:r w:rsidR="00247941" w:rsidRPr="003F45F5">
        <w:t xml:space="preserve">, or concessional loans such as the loan to the New South Wales Government for the </w:t>
      </w:r>
      <w:proofErr w:type="spellStart"/>
      <w:r w:rsidR="00247941" w:rsidRPr="003F45F5">
        <w:t>WestConnex</w:t>
      </w:r>
      <w:proofErr w:type="spellEnd"/>
      <w:r w:rsidR="00247941" w:rsidRPr="003F45F5">
        <w:t xml:space="preserve"> project</w:t>
      </w:r>
      <w:r w:rsidR="0084765E" w:rsidRPr="003F45F5">
        <w:t xml:space="preserve">.  </w:t>
      </w:r>
    </w:p>
    <w:p w:rsidR="002E5023" w:rsidRDefault="00280D27" w:rsidP="002E5023">
      <w:pPr>
        <w:pStyle w:val="ListBullet"/>
        <w:tabs>
          <w:tab w:val="clear" w:pos="454"/>
        </w:tabs>
        <w:spacing w:after="60"/>
        <w:ind w:left="567"/>
      </w:pPr>
      <w:r w:rsidRPr="00915822">
        <w:t xml:space="preserve">Parameter and other variations are expected to </w:t>
      </w:r>
      <w:r w:rsidR="00C60A37">
        <w:t>decrease</w:t>
      </w:r>
      <w:r w:rsidR="00A80529" w:rsidRPr="00915822">
        <w:t xml:space="preserve"> </w:t>
      </w:r>
      <w:r w:rsidRPr="00915822">
        <w:t xml:space="preserve">infrastructure expenses by </w:t>
      </w:r>
      <w:r w:rsidR="00D56660">
        <w:t xml:space="preserve">$0.6 </w:t>
      </w:r>
      <w:r w:rsidR="00946043" w:rsidRPr="00915822">
        <w:t xml:space="preserve">billion </w:t>
      </w:r>
      <w:r w:rsidRPr="00915822">
        <w:t xml:space="preserve">over the four years to </w:t>
      </w:r>
      <w:r w:rsidR="00BE4566" w:rsidRPr="00915822">
        <w:t>2019–20</w:t>
      </w:r>
      <w:r w:rsidRPr="00915822">
        <w:t xml:space="preserve">, </w:t>
      </w:r>
      <w:r w:rsidR="0033572F" w:rsidRPr="00915822">
        <w:t xml:space="preserve">relative to the </w:t>
      </w:r>
      <w:r w:rsidR="003F2D71" w:rsidRPr="00915822">
        <w:t>20</w:t>
      </w:r>
      <w:r w:rsidR="00C60A37">
        <w:t>16–17 MYEFO</w:t>
      </w:r>
      <w:r w:rsidR="003F2D71" w:rsidRPr="00915822">
        <w:t>.</w:t>
      </w:r>
      <w:r w:rsidR="002E5023" w:rsidRPr="002E5023">
        <w:t xml:space="preserve"> </w:t>
      </w:r>
      <w:r w:rsidR="002E5023">
        <w:t xml:space="preserve"> The profile over the forward estimates </w:t>
      </w:r>
      <w:r w:rsidR="00173C90">
        <w:t xml:space="preserve">largely </w:t>
      </w:r>
      <w:r w:rsidR="002E5023">
        <w:t xml:space="preserve">reflects the </w:t>
      </w:r>
      <w:r w:rsidR="00FF322A">
        <w:t>movement</w:t>
      </w:r>
      <w:r w:rsidR="002E5023">
        <w:t xml:space="preserve"> of funding </w:t>
      </w:r>
      <w:r w:rsidR="00FF322A">
        <w:t xml:space="preserve">from earlier to later years </w:t>
      </w:r>
      <w:r w:rsidR="002E5023">
        <w:t xml:space="preserve">to align with the delivery of </w:t>
      </w:r>
      <w:r w:rsidR="00FF322A">
        <w:t xml:space="preserve">road and rail </w:t>
      </w:r>
      <w:r w:rsidR="002E5023">
        <w:t>pro</w:t>
      </w:r>
      <w:r w:rsidR="00C84665">
        <w:t>jects</w:t>
      </w:r>
      <w:r w:rsidR="00484BBE">
        <w:t xml:space="preserve"> in the </w:t>
      </w:r>
      <w:r w:rsidR="00484BBE" w:rsidRPr="004E3EB0">
        <w:rPr>
          <w:i/>
        </w:rPr>
        <w:t>Infrastructure Investment Programme</w:t>
      </w:r>
      <w:r w:rsidR="002E5023">
        <w:t xml:space="preserve">. </w:t>
      </w:r>
    </w:p>
    <w:p w:rsidR="00D46A12" w:rsidRDefault="00D46A12" w:rsidP="00D46A12">
      <w:pPr>
        <w:pStyle w:val="Heading1"/>
        <w:numPr>
          <w:ilvl w:val="0"/>
          <w:numId w:val="0"/>
        </w:numPr>
        <w:spacing w:before="240"/>
        <w:rPr>
          <w:noProof/>
        </w:rPr>
      </w:pPr>
      <w:bookmarkStart w:id="76" w:name="_Toc483816476"/>
      <w:r w:rsidRPr="000E16B4">
        <w:rPr>
          <w:noProof/>
        </w:rPr>
        <w:lastRenderedPageBreak/>
        <w:t>Expenses – General revenue assistance to the states and territories</w:t>
      </w:r>
      <w:bookmarkEnd w:id="76"/>
    </w:p>
    <w:p w:rsidR="00D46A12" w:rsidRDefault="00EF26C5" w:rsidP="00D46A12">
      <w:pPr>
        <w:pStyle w:val="Caption"/>
        <w:rPr>
          <w:noProof/>
          <w:lang w:eastAsia="en-AU"/>
        </w:rPr>
      </w:pPr>
      <w:r w:rsidRPr="00671C39">
        <w:t xml:space="preserve">Figure </w:t>
      </w:r>
      <w:fldSimple w:instr=" SEQ Figure \* ARABIC \s ">
        <w:r w:rsidR="005570EB">
          <w:rPr>
            <w:noProof/>
          </w:rPr>
          <w:t>41</w:t>
        </w:r>
      </w:fldSimple>
      <w:r w:rsidR="00D46A12" w:rsidRPr="00671C39">
        <w:t xml:space="preserve">: </w:t>
      </w:r>
      <w:r w:rsidR="00D46A12">
        <w:t>Expenses – general revenue assistance to the states and territories – change from 2016–17</w:t>
      </w:r>
      <w:r w:rsidR="00D46A12" w:rsidRPr="00DF4406">
        <w:t xml:space="preserve"> </w:t>
      </w:r>
      <w:r w:rsidR="00D46A12">
        <w:t>MYEFO to 2017–18 Budget estimates</w:t>
      </w:r>
      <w:r w:rsidR="00D46A12">
        <w:rPr>
          <w:noProof/>
          <w:lang w:eastAsia="en-AU"/>
        </w:rPr>
        <w:t xml:space="preserve"> </w:t>
      </w:r>
    </w:p>
    <w:p w:rsidR="00D46A12" w:rsidRPr="002024F4" w:rsidRDefault="00D46A12" w:rsidP="00D46A12">
      <w:pPr>
        <w:pStyle w:val="BodyText"/>
      </w:pPr>
      <w:r>
        <w:rPr>
          <w:noProof/>
          <w:lang w:eastAsia="en-AU"/>
        </w:rPr>
        <w:drawing>
          <wp:inline distT="0" distB="0" distL="0" distR="0" wp14:anchorId="205D1B32" wp14:editId="2EE90C8E">
            <wp:extent cx="5201728" cy="2493034"/>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14477" cy="2499144"/>
                    </a:xfrm>
                    <a:prstGeom prst="rect">
                      <a:avLst/>
                    </a:prstGeom>
                    <a:noFill/>
                  </pic:spPr>
                </pic:pic>
              </a:graphicData>
            </a:graphic>
          </wp:inline>
        </w:drawing>
      </w:r>
    </w:p>
    <w:p w:rsidR="00D46A12" w:rsidRDefault="00EF26C5" w:rsidP="00D46A12">
      <w:pPr>
        <w:pStyle w:val="Caption"/>
        <w:rPr>
          <w:noProof/>
          <w:lang w:eastAsia="en-AU"/>
        </w:rPr>
      </w:pPr>
      <w:r w:rsidRPr="00671C39">
        <w:t xml:space="preserve">Figure </w:t>
      </w:r>
      <w:fldSimple w:instr=" SEQ Figure \* ARABIC \s ">
        <w:r w:rsidR="005570EB">
          <w:rPr>
            <w:noProof/>
          </w:rPr>
          <w:t>42</w:t>
        </w:r>
      </w:fldSimple>
      <w:r w:rsidR="00D46A12" w:rsidRPr="00460B5C">
        <w:t xml:space="preserve">: </w:t>
      </w:r>
      <w:r w:rsidR="00D46A12">
        <w:t>Expenses – general revenue assistance to the states and territories – change from 2016–17</w:t>
      </w:r>
      <w:r w:rsidR="00D46A12" w:rsidRPr="00280D27">
        <w:t xml:space="preserve"> </w:t>
      </w:r>
      <w:r w:rsidR="00D46A12">
        <w:t xml:space="preserve">MYEFO to 2017–18 Budget estimates </w:t>
      </w:r>
      <w:r w:rsidR="00D46A12" w:rsidRPr="00280D27">
        <w:t>by measures and other variations</w:t>
      </w:r>
    </w:p>
    <w:p w:rsidR="00D46A12" w:rsidRDefault="00B7708B" w:rsidP="00D46A12">
      <w:pPr>
        <w:pStyle w:val="ListBullet"/>
        <w:numPr>
          <w:ilvl w:val="0"/>
          <w:numId w:val="0"/>
        </w:numPr>
        <w:spacing w:before="240" w:after="60"/>
        <w:rPr>
          <w:noProof/>
        </w:rPr>
      </w:pPr>
      <w:r>
        <w:rPr>
          <w:noProof/>
          <w:lang w:eastAsia="en-AU"/>
        </w:rPr>
        <w:drawing>
          <wp:inline distT="0" distB="0" distL="0" distR="0" wp14:anchorId="69988331">
            <wp:extent cx="5199797" cy="2683409"/>
            <wp:effectExtent l="0" t="0" r="127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02772" cy="2684944"/>
                    </a:xfrm>
                    <a:prstGeom prst="rect">
                      <a:avLst/>
                    </a:prstGeom>
                    <a:noFill/>
                  </pic:spPr>
                </pic:pic>
              </a:graphicData>
            </a:graphic>
          </wp:inline>
        </w:drawing>
      </w:r>
    </w:p>
    <w:p w:rsidR="00D46A12" w:rsidRDefault="00D46A12" w:rsidP="00D46A12">
      <w:pPr>
        <w:pStyle w:val="ListBullet"/>
        <w:tabs>
          <w:tab w:val="clear" w:pos="454"/>
        </w:tabs>
        <w:spacing w:after="60"/>
        <w:ind w:left="567"/>
      </w:pPr>
      <w:r w:rsidRPr="00915822">
        <w:t xml:space="preserve">Relative to the </w:t>
      </w:r>
      <w:r>
        <w:t>2016–17 MYEFO</w:t>
      </w:r>
      <w:r w:rsidRPr="00915822">
        <w:t xml:space="preserve">, policy decisions are expected to </w:t>
      </w:r>
      <w:r>
        <w:t xml:space="preserve">increase expenses on general revenue assistance </w:t>
      </w:r>
      <w:r w:rsidRPr="00915822">
        <w:t>by $</w:t>
      </w:r>
      <w:r>
        <w:t>1.8</w:t>
      </w:r>
      <w:r w:rsidRPr="00915822">
        <w:t xml:space="preserve"> billion over the </w:t>
      </w:r>
      <w:r>
        <w:t xml:space="preserve">five years to 2020–21, largely reflecting </w:t>
      </w:r>
      <w:r w:rsidRPr="00A674B5">
        <w:t xml:space="preserve">the </w:t>
      </w:r>
      <w:r>
        <w:t xml:space="preserve">increased revenue </w:t>
      </w:r>
      <w:r w:rsidR="000E16B4">
        <w:t xml:space="preserve">being paid to the states </w:t>
      </w:r>
      <w:r>
        <w:t xml:space="preserve">from the </w:t>
      </w:r>
      <w:r w:rsidRPr="00A674B5">
        <w:t>measure to strengthen compliance with GST law on property transactions</w:t>
      </w:r>
      <w:r>
        <w:t>.</w:t>
      </w:r>
    </w:p>
    <w:p w:rsidR="00D46A12" w:rsidRPr="00915822" w:rsidRDefault="00D46A12" w:rsidP="00D46A12">
      <w:pPr>
        <w:pStyle w:val="ListBullet"/>
        <w:tabs>
          <w:tab w:val="clear" w:pos="454"/>
        </w:tabs>
        <w:spacing w:after="60"/>
        <w:ind w:left="567"/>
      </w:pPr>
      <w:r w:rsidRPr="00915822">
        <w:t xml:space="preserve">Parameter and other variations are expected to decrease expenses on </w:t>
      </w:r>
      <w:r>
        <w:t>general revenue assistance</w:t>
      </w:r>
      <w:r w:rsidRPr="00915822">
        <w:t xml:space="preserve"> by </w:t>
      </w:r>
      <w:r w:rsidR="005A459E">
        <w:t>$3.5</w:t>
      </w:r>
      <w:r w:rsidRPr="00915822">
        <w:t xml:space="preserve"> billion over the four years to 2019–20, relative to the </w:t>
      </w:r>
      <w:r w:rsidRPr="00915822">
        <w:br/>
      </w:r>
      <w:r>
        <w:t xml:space="preserve">2016–17 MYEFO, consistent with the lower forecast growth in GST revenue. </w:t>
      </w:r>
    </w:p>
    <w:bookmarkEnd w:id="40"/>
    <w:bookmarkEnd w:id="75"/>
    <w:p w:rsidR="00280D27" w:rsidRPr="000C751A" w:rsidRDefault="00280D27" w:rsidP="00280D27">
      <w:pPr>
        <w:pStyle w:val="BodyText"/>
        <w:rPr>
          <w:highlight w:val="yellow"/>
        </w:rPr>
      </w:pPr>
      <w:r w:rsidRPr="00A27DCE">
        <w:rPr>
          <w:noProof/>
          <w:color w:val="FFFFFF" w:themeColor="background1"/>
          <w:sz w:val="72"/>
          <w:szCs w:val="72"/>
          <w:highlight w:val="yellow"/>
          <w:lang w:eastAsia="en-AU"/>
        </w:rPr>
        <w:lastRenderedPageBreak/>
        <mc:AlternateContent>
          <mc:Choice Requires="wpc">
            <w:drawing>
              <wp:anchor distT="0" distB="0" distL="114300" distR="114300" simplePos="0" relativeHeight="251660288" behindDoc="1" locked="0" layoutInCell="1" allowOverlap="1" wp14:anchorId="7DF7412D" wp14:editId="118C4D64">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258" name="Canvas 258"/>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256" name="Picture 256"/>
                          <pic:cNvPicPr preferRelativeResize="0">
                            <a:picLocks/>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563600" cy="10687050"/>
                          </a:xfrm>
                          <a:prstGeom prst="rect">
                            <a:avLst/>
                          </a:prstGeom>
                        </pic:spPr>
                      </pic:pic>
                      <wps:wsp>
                        <wps:cNvPr id="257"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4F74A9" w:rsidRPr="0061135C" w:rsidRDefault="00944580" w:rsidP="00280D27">
                              <w:pPr>
                                <w:pStyle w:val="xBackPageWebAddress"/>
                                <w:jc w:val="center"/>
                              </w:pPr>
                              <w:hyperlink r:id="rId66" w:history="1">
                                <w:r w:rsidR="004F74A9"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258" o:spid="_x0000_s1026" editas="canvas" style="position:absolute;margin-left:0;margin-top:0;width:600.95pt;height:841.9pt;z-index:-251656192;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14;height:106914;visibility:visible;mso-wrap-style:square" filled="t" fillcolor="white [3212]">
                  <v:fill o:detectmouseclick="t"/>
                  <v:path o:connecttype="none"/>
                </v:shape>
                <v:shape id="Picture 256" o:spid="_x0000_s1028" type="#_x0000_t75" style="position:absolute;width:75636;height:10687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89djFAAAA3AAAAA8AAABkcnMvZG93bnJldi54bWxEj0GLwjAUhO8L/ofwhL0smiooUo2iguCC&#10;IHZF8PZonm2xealNbOu/NwsLexxm5htmsepMKRqqXWFZwWgYgSBOrS44U3D+2Q1mIJxH1lhaJgUv&#10;crBa9j4WGGvb8omaxGciQNjFqCD3voqldGlOBt3QVsTBu9naoA+yzqSusQ1wU8pxFE2lwYLDQo4V&#10;bXNK78nTKEjaC96T7HWU283X9XS7yMPju1Hqs9+t5yA8df4//NfeawXjyRR+z4QjIJd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fPXYxQAAANwAAAAPAAAAAAAAAAAAAAAA&#10;AJ8CAABkcnMvZG93bnJldi54bWxQSwUGAAAAAAQABAD3AAAAkQMAAAAA&#10;">
                  <v:imagedata r:id="rId67" o:title=""/>
                  <v:path arrowok="t"/>
                  <o:lock v:ext="edit" aspectratio="f"/>
                </v:shape>
                <v:shapetype id="_x0000_t202" coordsize="21600,21600" o:spt="202" path="m,l,21600r21600,l21600,xe">
                  <v:stroke joinstyle="miter"/>
                  <v:path gradientshapeok="t" o:connecttype="rect"/>
                </v:shapetype>
                <v:shape id="Text Box 2" o:spid="_x0000_s1029"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5P8YA&#10;AADcAAAADwAAAGRycy9kb3ducmV2LnhtbESP0WrCQBRE34X+w3ILvukmoq1EN1Ksgi/S1voBN9lr&#10;kjZ7N2RXk/x9tyD4OMzMGWa96U0tbtS6yrKCeBqBIM6trrhQcP7eT5YgnEfWWFsmBQM52KRPozUm&#10;2nb8RbeTL0SAsEtQQel9k0jp8pIMuqltiIN3sa1BH2RbSN1iF+CmlrMoepEGKw4LJTa0LSn/PV2N&#10;gt1nNmTz+Gc/f4+GTH90x21+PSo1fu7fViA89f4RvrcPWsFs8Qr/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c5P8YAAADcAAAADwAAAAAAAAAAAAAAAACYAgAAZHJz&#10;L2Rvd25yZXYueG1sUEsFBgAAAAAEAAQA9QAAAIsDAAAAAA==&#10;" filled="f" stroked="f">
                  <v:textbox>
                    <w:txbxContent>
                      <w:p w:rsidR="004F74A9" w:rsidRPr="0061135C" w:rsidRDefault="004F74A9" w:rsidP="00280D27">
                        <w:pPr>
                          <w:pStyle w:val="xBackPageWebAddress"/>
                          <w:jc w:val="center"/>
                        </w:pPr>
                        <w:hyperlink r:id="rId68" w:history="1">
                          <w:r w:rsidRPr="0061135C">
                            <w:t>www.pbo.gov.au</w:t>
                          </w:r>
                        </w:hyperlink>
                      </w:p>
                    </w:txbxContent>
                  </v:textbox>
                </v:shape>
                <w10:wrap type="tight" anchorx="page" anchory="page"/>
              </v:group>
            </w:pict>
          </mc:Fallback>
        </mc:AlternateContent>
      </w:r>
      <w:r w:rsidRPr="003603B8">
        <w:rPr>
          <w:noProof/>
          <w:color w:val="FFFFFF" w:themeColor="background1"/>
          <w:sz w:val="72"/>
          <w:szCs w:val="72"/>
          <w:highlight w:val="yellow"/>
          <w:lang w:eastAsia="en-AU"/>
        </w:rPr>
        <mc:AlternateContent>
          <mc:Choice Requires="wpc">
            <w:drawing>
              <wp:anchor distT="0" distB="0" distL="114300" distR="114300" simplePos="0" relativeHeight="251659264" behindDoc="1" locked="0" layoutInCell="1" allowOverlap="1" wp14:anchorId="4E81BA56" wp14:editId="61D65A3E">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225" name="Canvas 225"/>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24" name="Picture 24"/>
                          <pic:cNvPicPr preferRelativeResize="0">
                            <a:picLocks/>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563600" cy="10687050"/>
                          </a:xfrm>
                          <a:prstGeom prst="rect">
                            <a:avLst/>
                          </a:prstGeom>
                        </pic:spPr>
                      </pic:pic>
                      <wps:wsp>
                        <wps:cNvPr id="27"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4F74A9" w:rsidRPr="0061135C" w:rsidRDefault="00944580" w:rsidP="00280D27">
                              <w:pPr>
                                <w:pStyle w:val="xBackPageWebAddress"/>
                                <w:jc w:val="center"/>
                              </w:pPr>
                              <w:hyperlink r:id="rId69" w:history="1">
                                <w:r w:rsidR="004F74A9"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225" o:spid="_x0000_s1030" editas="canvas" style="position:absolute;margin-left:0;margin-top:0;width:600.95pt;height:841.9pt;z-index:-251657216;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">
                <v:shape id="_x0000_s1031" type="#_x0000_t75" style="position:absolute;width:76314;height:106914;visibility:visible;mso-wrap-style:square" filled="t" fillcolor="white [3212]">
                  <v:fill o:detectmouseclick="t"/>
                  <v:path o:connecttype="none"/>
                </v:shape>
                <v:shape id="Picture 24" o:spid="_x0000_s1032" type="#_x0000_t75" style="position:absolute;width:75636;height:10687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DK7jFAAAA2wAAAA8AAABkcnMvZG93bnJldi54bWxEj0FrwkAUhO9C/8PyCl6k2VRESnQNbaBg&#10;oVBMS8DbI/tMgtm3aXabxH/vFgSPw8x8w2zTybRioN41lhU8RzEI4tLqhisFP9/vTy8gnEfW2Fom&#10;BRdykO4eZltMtB35QEPuKxEg7BJUUHvfJVK6siaDLrIdcfBOtjfog+wrqXscA9y0chnHa2mw4bBQ&#10;Y0dZTeU5/zMK8rHAc15dvmT2tjgeToX8/P0YlJo/Tq8bEJ4mfw/f2nutYLmC/y/hB8jd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wyu4xQAAANsAAAAPAAAAAAAAAAAAAAAA&#10;AJ8CAABkcnMvZG93bnJldi54bWxQSwUGAAAAAAQABAD3AAAAkQMAAAAA&#10;">
                  <v:imagedata r:id="rId67" o:title=""/>
                  <v:path arrowok="t"/>
                  <o:lock v:ext="edit" aspectratio="f"/>
                </v:shape>
                <v:shape id="Text Box 2" o:spid="_x0000_s1033"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desUA&#10;AADbAAAADwAAAGRycy9kb3ducmV2LnhtbESP0WrCQBRE3wv9h+UW+mY2StCSukqxFfoi1rQfcJO9&#10;JrHZuyG7Mcnfu0Khj8PMnGHW29E04kqdqy0rmEcxCOLC6ppLBT/f+9kLCOeRNTaWScFEDrabx4c1&#10;ptoOfKJr5ksRIOxSVFB536ZSuqIigy6yLXHwzrYz6IPsSqk7HALcNHIRx0tpsOawUGFLu4qK36w3&#10;Cj6+8ilP5pd98h5PuT4Oh13RH5R6fhrfXkF4Gv1/+K/9qRUsVn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J16xQAAANsAAAAPAAAAAAAAAAAAAAAAAJgCAABkcnMv&#10;ZG93bnJldi54bWxQSwUGAAAAAAQABAD1AAAAigMAAAAA&#10;" filled="f" stroked="f">
                  <v:textbox>
                    <w:txbxContent>
                      <w:p w:rsidR="004F74A9" w:rsidRPr="0061135C" w:rsidRDefault="004F74A9" w:rsidP="00280D27">
                        <w:pPr>
                          <w:pStyle w:val="xBackPageWebAddress"/>
                          <w:jc w:val="center"/>
                        </w:pPr>
                        <w:hyperlink r:id="rId70" w:history="1">
                          <w:r w:rsidRPr="0061135C">
                            <w:t>www.pbo.gov.au</w:t>
                          </w:r>
                        </w:hyperlink>
                      </w:p>
                    </w:txbxContent>
                  </v:textbox>
                </v:shape>
                <w10:wrap type="tight" anchorx="page" anchory="page"/>
              </v:group>
            </w:pict>
          </mc:Fallback>
        </mc:AlternateContent>
      </w:r>
    </w:p>
    <w:sectPr w:rsidR="00280D27" w:rsidRPr="000C751A" w:rsidSect="00280D27">
      <w:headerReference w:type="even" r:id="rId71"/>
      <w:headerReference w:type="default" r:id="rId72"/>
      <w:footerReference w:type="even" r:id="rId73"/>
      <w:footerReference w:type="default" r:id="rId74"/>
      <w:type w:val="oddPage"/>
      <w:pgSz w:w="11906" w:h="16838" w:code="9"/>
      <w:pgMar w:top="1361" w:right="1797" w:bottom="1474" w:left="1797"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4A9" w:rsidRDefault="004F74A9" w:rsidP="00A20802">
      <w:pPr>
        <w:spacing w:line="240" w:lineRule="auto"/>
      </w:pPr>
      <w:r>
        <w:separator/>
      </w:r>
    </w:p>
    <w:p w:rsidR="004F74A9" w:rsidRDefault="004F74A9"/>
  </w:endnote>
  <w:endnote w:type="continuationSeparator" w:id="0">
    <w:p w:rsidR="004F74A9" w:rsidRDefault="004F74A9" w:rsidP="00A20802">
      <w:pPr>
        <w:spacing w:line="240" w:lineRule="auto"/>
      </w:pPr>
      <w:r>
        <w:continuationSeparator/>
      </w:r>
    </w:p>
    <w:p w:rsidR="004F74A9" w:rsidRDefault="004F7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4F74A9" w:rsidRPr="00EB388E" w:rsidTr="00C80200">
      <w:trPr>
        <w:trHeight w:val="340"/>
      </w:trPr>
      <w:tc>
        <w:tcPr>
          <w:tcW w:w="567" w:type="dxa"/>
          <w:tcBorders>
            <w:right w:val="single" w:sz="4" w:space="0" w:color="788184" w:themeColor="background2"/>
          </w:tcBorders>
          <w:vAlign w:val="center"/>
        </w:tcPr>
        <w:p w:rsidR="004F74A9" w:rsidRPr="00CB70DF" w:rsidRDefault="004F74A9"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Pr>
              <w:noProof/>
            </w:rPr>
            <w:t>x</w:t>
          </w:r>
          <w:r w:rsidRPr="00EB388E">
            <w:fldChar w:fldCharType="end"/>
          </w:r>
        </w:p>
      </w:tc>
      <w:tc>
        <w:tcPr>
          <w:tcW w:w="8164" w:type="dxa"/>
          <w:tcBorders>
            <w:left w:val="single" w:sz="4" w:space="0" w:color="788184" w:themeColor="background2"/>
          </w:tcBorders>
          <w:vAlign w:val="center"/>
        </w:tcPr>
        <w:p w:rsidR="004F74A9" w:rsidRPr="00CB70DF" w:rsidRDefault="004F74A9" w:rsidP="00C80200">
          <w:pPr>
            <w:pStyle w:val="FooterLeft"/>
            <w:framePr w:wrap="auto" w:vAnchor="margin" w:hAnchor="text" w:yAlign="inline"/>
          </w:pPr>
        </w:p>
      </w:tc>
    </w:tr>
    <w:tr w:rsidR="004F74A9" w:rsidRPr="00EB388E" w:rsidTr="00C80200">
      <w:trPr>
        <w:trHeight w:hRule="exact" w:val="403"/>
      </w:trPr>
      <w:tc>
        <w:tcPr>
          <w:tcW w:w="567" w:type="dxa"/>
          <w:tcMar>
            <w:bottom w:w="284" w:type="dxa"/>
          </w:tcMar>
        </w:tcPr>
        <w:p w:rsidR="004F74A9" w:rsidRPr="00EB388E" w:rsidRDefault="004F74A9" w:rsidP="00C80200">
          <w:pPr>
            <w:pStyle w:val="FooterRightPageNumber"/>
          </w:pPr>
        </w:p>
      </w:tc>
      <w:tc>
        <w:tcPr>
          <w:tcW w:w="8164" w:type="dxa"/>
          <w:tcMar>
            <w:bottom w:w="284" w:type="dxa"/>
          </w:tcMar>
        </w:tcPr>
        <w:p w:rsidR="004F74A9" w:rsidRPr="00090E70" w:rsidRDefault="004F74A9" w:rsidP="00C80200"/>
      </w:tc>
    </w:tr>
  </w:tbl>
  <w:p w:rsidR="004F74A9" w:rsidRDefault="004F74A9">
    <w:pPr>
      <w:pStyle w:val="Footer"/>
    </w:pPr>
  </w:p>
  <w:p w:rsidR="004F74A9" w:rsidRPr="004816D7" w:rsidRDefault="004F74A9" w:rsidP="0048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F74A9" w:rsidRPr="00EB388E" w:rsidTr="0087390B">
      <w:trPr>
        <w:trHeight w:val="340"/>
      </w:trPr>
      <w:tc>
        <w:tcPr>
          <w:tcW w:w="8164" w:type="dxa"/>
          <w:tcBorders>
            <w:right w:val="single" w:sz="4" w:space="0" w:color="788184" w:themeColor="background2"/>
          </w:tcBorders>
          <w:vAlign w:val="center"/>
        </w:tcPr>
        <w:p w:rsidR="004F74A9" w:rsidRPr="00CB70DF" w:rsidRDefault="004F74A9" w:rsidP="001C48DE">
          <w:pPr>
            <w:pStyle w:val="FooterRight"/>
            <w:framePr w:wrap="auto" w:vAnchor="margin" w:hAnchor="text" w:xAlign="left" w:yAlign="inline"/>
          </w:pPr>
        </w:p>
      </w:tc>
      <w:tc>
        <w:tcPr>
          <w:tcW w:w="567" w:type="dxa"/>
          <w:tcBorders>
            <w:left w:val="single" w:sz="4" w:space="0" w:color="788184" w:themeColor="background2"/>
          </w:tcBorders>
          <w:vAlign w:val="center"/>
        </w:tcPr>
        <w:p w:rsidR="004F74A9" w:rsidRPr="00CB70DF" w:rsidRDefault="004F74A9" w:rsidP="00E915E6">
          <w:pPr>
            <w:pStyle w:val="FooterRightPageNumber"/>
          </w:pPr>
          <w:r w:rsidRPr="00EB388E">
            <w:fldChar w:fldCharType="begin"/>
          </w:r>
          <w:r w:rsidRPr="00EB388E">
            <w:instrText xml:space="preserve"> PAGE   \* MERGEFORMAT </w:instrText>
          </w:r>
          <w:r w:rsidRPr="00EB388E">
            <w:fldChar w:fldCharType="separate"/>
          </w:r>
          <w:r w:rsidR="00944580">
            <w:t>iii</w:t>
          </w:r>
          <w:r w:rsidRPr="00EB388E">
            <w:fldChar w:fldCharType="end"/>
          </w:r>
        </w:p>
      </w:tc>
    </w:tr>
    <w:tr w:rsidR="004F74A9" w:rsidRPr="00EB388E" w:rsidTr="004F1297">
      <w:trPr>
        <w:trHeight w:hRule="exact" w:val="403"/>
      </w:trPr>
      <w:tc>
        <w:tcPr>
          <w:tcW w:w="8164" w:type="dxa"/>
        </w:tcPr>
        <w:p w:rsidR="004F74A9" w:rsidRPr="00090E70" w:rsidRDefault="004F74A9" w:rsidP="0087390B"/>
      </w:tc>
      <w:tc>
        <w:tcPr>
          <w:tcW w:w="567" w:type="dxa"/>
          <w:tcMar>
            <w:bottom w:w="284" w:type="dxa"/>
          </w:tcMar>
        </w:tcPr>
        <w:p w:rsidR="004F74A9" w:rsidRPr="00090E70" w:rsidRDefault="004F74A9" w:rsidP="0087390B"/>
      </w:tc>
    </w:tr>
  </w:tbl>
  <w:p w:rsidR="004F74A9" w:rsidRDefault="004F74A9">
    <w:pPr>
      <w:pStyle w:val="Footer"/>
    </w:pPr>
  </w:p>
  <w:p w:rsidR="004F74A9" w:rsidRPr="004816D7" w:rsidRDefault="004F74A9"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F74A9" w:rsidRPr="00EB388E" w:rsidTr="0087390B">
      <w:trPr>
        <w:trHeight w:val="340"/>
      </w:trPr>
      <w:tc>
        <w:tcPr>
          <w:tcW w:w="8164" w:type="dxa"/>
          <w:tcBorders>
            <w:right w:val="single" w:sz="4" w:space="0" w:color="788184" w:themeColor="background2"/>
          </w:tcBorders>
          <w:vAlign w:val="center"/>
        </w:tcPr>
        <w:p w:rsidR="004F74A9" w:rsidRPr="00CB70DF" w:rsidRDefault="00AD611E" w:rsidP="001C48DE">
          <w:pPr>
            <w:pStyle w:val="FooterRight"/>
            <w:framePr w:wrap="auto" w:vAnchor="margin" w:hAnchor="text" w:xAlign="left" w:yAlign="inline"/>
          </w:pPr>
          <w:fldSimple w:instr=" STYLEREF  Title  \* MERGEFORMAT ">
            <w:r w:rsidR="00944580">
              <w:rPr>
                <w:noProof/>
              </w:rPr>
              <w:t>2017–18 Budget — charts</w:t>
            </w:r>
          </w:fldSimple>
        </w:p>
      </w:tc>
      <w:tc>
        <w:tcPr>
          <w:tcW w:w="567" w:type="dxa"/>
          <w:tcBorders>
            <w:left w:val="single" w:sz="4" w:space="0" w:color="788184" w:themeColor="background2"/>
          </w:tcBorders>
          <w:vAlign w:val="center"/>
        </w:tcPr>
        <w:p w:rsidR="004F74A9" w:rsidRPr="00CB70DF" w:rsidRDefault="004F74A9" w:rsidP="00E915E6">
          <w:pPr>
            <w:pStyle w:val="FooterRightPageNumber"/>
          </w:pPr>
          <w:r>
            <w:fldChar w:fldCharType="begin"/>
          </w:r>
          <w:r>
            <w:instrText xml:space="preserve"> PAGE  \* Arabic  \* MERGEFORMAT </w:instrText>
          </w:r>
          <w:r>
            <w:fldChar w:fldCharType="separate"/>
          </w:r>
          <w:r w:rsidR="00944580">
            <w:t>1</w:t>
          </w:r>
          <w:r>
            <w:fldChar w:fldCharType="end"/>
          </w:r>
        </w:p>
      </w:tc>
    </w:tr>
    <w:tr w:rsidR="004F74A9" w:rsidRPr="00EB388E" w:rsidTr="004F1297">
      <w:trPr>
        <w:trHeight w:hRule="exact" w:val="403"/>
      </w:trPr>
      <w:tc>
        <w:tcPr>
          <w:tcW w:w="8164" w:type="dxa"/>
        </w:tcPr>
        <w:p w:rsidR="004F74A9" w:rsidRPr="00090E70" w:rsidRDefault="004F74A9" w:rsidP="0087390B"/>
      </w:tc>
      <w:tc>
        <w:tcPr>
          <w:tcW w:w="567" w:type="dxa"/>
          <w:tcMar>
            <w:bottom w:w="284" w:type="dxa"/>
          </w:tcMar>
        </w:tcPr>
        <w:p w:rsidR="004F74A9" w:rsidRPr="00090E70" w:rsidRDefault="004F74A9" w:rsidP="0087390B"/>
      </w:tc>
    </w:tr>
  </w:tbl>
  <w:p w:rsidR="004F74A9" w:rsidRDefault="004F74A9">
    <w:pPr>
      <w:pStyle w:val="Footer"/>
    </w:pPr>
  </w:p>
  <w:p w:rsidR="004F74A9" w:rsidRPr="004816D7" w:rsidRDefault="004F74A9" w:rsidP="004816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4F74A9" w:rsidRPr="00EB388E" w:rsidTr="00D50BC9">
      <w:trPr>
        <w:trHeight w:val="340"/>
      </w:trPr>
      <w:tc>
        <w:tcPr>
          <w:tcW w:w="567" w:type="dxa"/>
          <w:tcBorders>
            <w:right w:val="single" w:sz="4" w:space="0" w:color="788184" w:themeColor="background2"/>
          </w:tcBorders>
          <w:vAlign w:val="center"/>
        </w:tcPr>
        <w:p w:rsidR="004F74A9" w:rsidRPr="00CB70DF" w:rsidRDefault="004F74A9" w:rsidP="00D50BC9">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944580">
            <w:rPr>
              <w:noProof/>
            </w:rPr>
            <w:t>24</w:t>
          </w:r>
          <w:r w:rsidRPr="00EB388E">
            <w:fldChar w:fldCharType="end"/>
          </w:r>
        </w:p>
      </w:tc>
      <w:tc>
        <w:tcPr>
          <w:tcW w:w="8164" w:type="dxa"/>
          <w:tcBorders>
            <w:left w:val="single" w:sz="4" w:space="0" w:color="788184" w:themeColor="background2"/>
          </w:tcBorders>
          <w:vAlign w:val="center"/>
        </w:tcPr>
        <w:p w:rsidR="004F74A9" w:rsidRPr="00CB70DF" w:rsidRDefault="00AD611E" w:rsidP="00D50BC9">
          <w:pPr>
            <w:pStyle w:val="FooterLeft"/>
            <w:framePr w:wrap="auto" w:vAnchor="margin" w:hAnchor="text" w:yAlign="inline"/>
          </w:pPr>
          <w:fldSimple w:instr=" STYLEREF  Title  \* MERGEFORMAT ">
            <w:r w:rsidR="00944580">
              <w:rPr>
                <w:noProof/>
              </w:rPr>
              <w:t>2017–18 Budget — charts</w:t>
            </w:r>
          </w:fldSimple>
        </w:p>
      </w:tc>
    </w:tr>
    <w:tr w:rsidR="004F74A9" w:rsidRPr="00EB388E" w:rsidTr="00D50BC9">
      <w:trPr>
        <w:trHeight w:hRule="exact" w:val="403"/>
      </w:trPr>
      <w:tc>
        <w:tcPr>
          <w:tcW w:w="567" w:type="dxa"/>
          <w:tcMar>
            <w:bottom w:w="284" w:type="dxa"/>
          </w:tcMar>
        </w:tcPr>
        <w:p w:rsidR="004F74A9" w:rsidRPr="00EB388E" w:rsidRDefault="004F74A9" w:rsidP="00D50BC9">
          <w:pPr>
            <w:pStyle w:val="FooterRightPageNumber"/>
          </w:pPr>
        </w:p>
      </w:tc>
      <w:tc>
        <w:tcPr>
          <w:tcW w:w="8164" w:type="dxa"/>
          <w:tcMar>
            <w:bottom w:w="284" w:type="dxa"/>
          </w:tcMar>
        </w:tcPr>
        <w:p w:rsidR="004F74A9" w:rsidRPr="00090E70" w:rsidRDefault="004F74A9" w:rsidP="00D50BC9"/>
      </w:tc>
    </w:tr>
  </w:tbl>
  <w:p w:rsidR="004F74A9" w:rsidRDefault="004F74A9">
    <w:pPr>
      <w:pStyle w:val="Footer"/>
    </w:pPr>
  </w:p>
  <w:p w:rsidR="004F74A9" w:rsidRPr="004816D7" w:rsidRDefault="004F74A9" w:rsidP="004816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F74A9" w:rsidRPr="00EB388E" w:rsidTr="00D50BC9">
      <w:trPr>
        <w:trHeight w:val="340"/>
      </w:trPr>
      <w:tc>
        <w:tcPr>
          <w:tcW w:w="8164" w:type="dxa"/>
          <w:tcBorders>
            <w:right w:val="single" w:sz="4" w:space="0" w:color="788184" w:themeColor="background2"/>
          </w:tcBorders>
          <w:vAlign w:val="center"/>
        </w:tcPr>
        <w:p w:rsidR="004F74A9" w:rsidRPr="00CB70DF" w:rsidRDefault="00AD611E" w:rsidP="00D50BC9">
          <w:pPr>
            <w:pStyle w:val="FooterRight"/>
            <w:framePr w:wrap="auto" w:vAnchor="margin" w:hAnchor="text" w:xAlign="left" w:yAlign="inline"/>
          </w:pPr>
          <w:fldSimple w:instr=" STYLEREF  Title  \* MERGEFORMAT ">
            <w:r w:rsidR="00944580">
              <w:rPr>
                <w:noProof/>
              </w:rPr>
              <w:t>2017–18 Budget — charts</w:t>
            </w:r>
          </w:fldSimple>
        </w:p>
      </w:tc>
      <w:tc>
        <w:tcPr>
          <w:tcW w:w="567" w:type="dxa"/>
          <w:tcBorders>
            <w:left w:val="single" w:sz="4" w:space="0" w:color="788184" w:themeColor="background2"/>
          </w:tcBorders>
          <w:vAlign w:val="center"/>
        </w:tcPr>
        <w:p w:rsidR="004F74A9" w:rsidRPr="00CB70DF" w:rsidRDefault="004F74A9" w:rsidP="00D50BC9">
          <w:pPr>
            <w:pStyle w:val="FooterRightPageNumber"/>
          </w:pPr>
          <w:r w:rsidRPr="00EB388E">
            <w:fldChar w:fldCharType="begin"/>
          </w:r>
          <w:r w:rsidRPr="00EB388E">
            <w:instrText xml:space="preserve"> PAGE   \* MERGEFORMAT </w:instrText>
          </w:r>
          <w:r w:rsidRPr="00EB388E">
            <w:fldChar w:fldCharType="separate"/>
          </w:r>
          <w:r w:rsidR="00944580">
            <w:t>23</w:t>
          </w:r>
          <w:r w:rsidRPr="00EB388E">
            <w:fldChar w:fldCharType="end"/>
          </w:r>
        </w:p>
      </w:tc>
    </w:tr>
    <w:tr w:rsidR="004F74A9" w:rsidRPr="00EB388E" w:rsidTr="00D50BC9">
      <w:trPr>
        <w:trHeight w:hRule="exact" w:val="403"/>
      </w:trPr>
      <w:tc>
        <w:tcPr>
          <w:tcW w:w="8164" w:type="dxa"/>
        </w:tcPr>
        <w:p w:rsidR="004F74A9" w:rsidRPr="00090E70" w:rsidRDefault="004F74A9" w:rsidP="00D50BC9"/>
      </w:tc>
      <w:tc>
        <w:tcPr>
          <w:tcW w:w="567" w:type="dxa"/>
          <w:tcMar>
            <w:bottom w:w="284" w:type="dxa"/>
          </w:tcMar>
        </w:tcPr>
        <w:p w:rsidR="004F74A9" w:rsidRPr="00090E70" w:rsidRDefault="004F74A9" w:rsidP="00D50BC9"/>
      </w:tc>
    </w:tr>
  </w:tbl>
  <w:p w:rsidR="004F74A9" w:rsidRDefault="004F74A9">
    <w:pPr>
      <w:pStyle w:val="Footer"/>
    </w:pPr>
  </w:p>
  <w:p w:rsidR="004F74A9" w:rsidRPr="004816D7" w:rsidRDefault="004F74A9" w:rsidP="00D50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4A9" w:rsidRPr="000557A7" w:rsidRDefault="004F74A9" w:rsidP="008D5A11">
      <w:pPr>
        <w:pBdr>
          <w:top w:val="single" w:sz="4" w:space="1" w:color="auto"/>
        </w:pBdr>
        <w:spacing w:before="240" w:line="60" w:lineRule="exact"/>
        <w:rPr>
          <w:sz w:val="16"/>
          <w:szCs w:val="16"/>
        </w:rPr>
      </w:pPr>
    </w:p>
  </w:footnote>
  <w:footnote w:type="continuationSeparator" w:id="0">
    <w:p w:rsidR="004F74A9" w:rsidRDefault="004F74A9" w:rsidP="00A20802">
      <w:pPr>
        <w:spacing w:line="240" w:lineRule="auto"/>
      </w:pPr>
      <w:r>
        <w:continuationSeparator/>
      </w:r>
    </w:p>
    <w:p w:rsidR="004F74A9" w:rsidRDefault="004F74A9"/>
  </w:footnote>
  <w:footnote w:id="1">
    <w:p w:rsidR="004F74A9" w:rsidRPr="00255972" w:rsidRDefault="004F74A9" w:rsidP="00801FDF">
      <w:pPr>
        <w:pStyle w:val="FootnoteText"/>
        <w:spacing w:before="0"/>
      </w:pPr>
      <w:r w:rsidRPr="00255972">
        <w:footnoteRef/>
      </w:r>
      <w:r w:rsidRPr="00255972">
        <w:tab/>
        <w:t>This relates to the expenses of the National Disability Insurance Agency.  This differs from Commonwealth payments to the states and territories relating to the NDIS and disability services which are covered in separate agreements between the Commonwealth and the states and territories.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pPr>
      <w:pStyle w:val="Header"/>
    </w:pPr>
    <w:r>
      <w:rPr>
        <w:noProof/>
        <w:lang w:eastAsia="en-AU"/>
      </w:rPr>
      <mc:AlternateContent>
        <mc:Choice Requires="wps">
          <w:drawing>
            <wp:anchor distT="0" distB="0" distL="114300" distR="114300" simplePos="0" relativeHeight="251663360" behindDoc="1" locked="1" layoutInCell="1" allowOverlap="1" wp14:anchorId="199C911E" wp14:editId="2677EC1D">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A9" w:rsidRPr="0001226A" w:rsidRDefault="004F74A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4"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4F74A9" w:rsidRPr="0001226A" w:rsidRDefault="004F74A9" w:rsidP="00F45442">
                    <w:pPr>
                      <w:pStyle w:val="xStatus"/>
                      <w:rPr>
                        <w:szCs w:val="120"/>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pPr>
      <w:pStyle w:val="Header"/>
    </w:pPr>
    <w:r>
      <w:rPr>
        <w:noProof/>
        <w:lang w:eastAsia="en-AU"/>
      </w:rPr>
      <mc:AlternateContent>
        <mc:Choice Requires="wps">
          <w:drawing>
            <wp:anchor distT="0" distB="0" distL="114300" distR="114300" simplePos="0" relativeHeight="251665408" behindDoc="1" locked="1" layoutInCell="1" allowOverlap="1" wp14:anchorId="61A9E18F" wp14:editId="4D3F20A9">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A9" w:rsidRPr="0001226A" w:rsidRDefault="004F74A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4F74A9" w:rsidRPr="0001226A" w:rsidRDefault="004F74A9" w:rsidP="00F45442">
                    <w:pPr>
                      <w:pStyle w:val="xStatus"/>
                      <w:rPr>
                        <w:szCs w:val="120"/>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pPr>
      <w:pStyle w:val="Header"/>
    </w:pPr>
    <w:r>
      <w:rPr>
        <w:noProof/>
        <w:lang w:eastAsia="en-AU"/>
      </w:rPr>
      <w:drawing>
        <wp:anchor distT="0" distB="0" distL="114300" distR="114300" simplePos="0" relativeHeight="251674624" behindDoc="1" locked="0" layoutInCell="1" allowOverlap="1" wp14:anchorId="09D4DAF3" wp14:editId="45E050CD">
          <wp:simplePos x="0" y="0"/>
          <wp:positionH relativeFrom="page">
            <wp:posOffset>0</wp:posOffset>
          </wp:positionH>
          <wp:positionV relativeFrom="page">
            <wp:posOffset>0</wp:posOffset>
          </wp:positionV>
          <wp:extent cx="7563600" cy="10695600"/>
          <wp:effectExtent l="0" t="0" r="0" b="0"/>
          <wp:wrapNone/>
          <wp:docPr id="10" name="Picture 1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4988AEF9" wp14:editId="1BAD72E1">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A9" w:rsidRPr="0001226A" w:rsidRDefault="004F74A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4F74A9" w:rsidRPr="0001226A" w:rsidRDefault="004F74A9" w:rsidP="00F45442">
                    <w:pPr>
                      <w:pStyle w:val="xStatus"/>
                      <w:rPr>
                        <w:szCs w:val="120"/>
                      </w:rPr>
                    </w:pP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pPr>
      <w:pStyle w:val="Header"/>
    </w:pPr>
    <w:r>
      <w:rPr>
        <w:noProof/>
        <w:lang w:eastAsia="en-AU"/>
      </w:rPr>
      <mc:AlternateContent>
        <mc:Choice Requires="wps">
          <w:drawing>
            <wp:anchor distT="0" distB="0" distL="114300" distR="114300" simplePos="0" relativeHeight="251667456" behindDoc="1" locked="1" layoutInCell="1" allowOverlap="1" wp14:anchorId="01789B2C" wp14:editId="0AE58F60">
              <wp:simplePos x="0" y="0"/>
              <wp:positionH relativeFrom="page">
                <wp:align>center</wp:align>
              </wp:positionH>
              <wp:positionV relativeFrom="page">
                <wp:align>center</wp:align>
              </wp:positionV>
              <wp:extent cx="7560000" cy="1796400"/>
              <wp:effectExtent l="0" t="0" r="0" b="0"/>
              <wp:wrapNone/>
              <wp:docPr id="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A9" w:rsidRPr="0001226A" w:rsidRDefault="004F74A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595.3pt;height:141.45pt;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CbXotK6AgAA&#10;wwUAAA4AAAAAAAAAAAAAAAAALgIAAGRycy9lMm9Eb2MueG1sUEsBAi0AFAAGAAgAAAAhADTFRM7b&#10;AAAABgEAAA8AAAAAAAAAAAAAAAAAFAUAAGRycy9kb3ducmV2LnhtbFBLBQYAAAAABAAEAPMAAAAc&#10;BgAAAAA=&#10;" filled="f" stroked="f">
              <v:textbox>
                <w:txbxContent>
                  <w:p w:rsidR="004F74A9" w:rsidRPr="0001226A" w:rsidRDefault="004F74A9" w:rsidP="00F45442">
                    <w:pPr>
                      <w:pStyle w:val="xStatus"/>
                      <w:rPr>
                        <w:szCs w:val="120"/>
                      </w:rPr>
                    </w:pPr>
                  </w:p>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pPr>
      <w:pStyle w:val="Header"/>
    </w:pPr>
    <w:r>
      <w:rPr>
        <w:noProof/>
        <w:lang w:eastAsia="en-AU"/>
      </w:rPr>
      <mc:AlternateContent>
        <mc:Choice Requires="wps">
          <w:drawing>
            <wp:anchor distT="0" distB="0" distL="114300" distR="114300" simplePos="0" relativeHeight="251669504" behindDoc="1" locked="1" layoutInCell="1" allowOverlap="1" wp14:anchorId="23BA05AF" wp14:editId="3278C535">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A9" w:rsidRPr="0001226A" w:rsidRDefault="004F74A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mC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nI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PCCYK6AgAA&#10;wwUAAA4AAAAAAAAAAAAAAAAALgIAAGRycy9lMm9Eb2MueG1sUEsBAi0AFAAGAAgAAAAhADTFRM7b&#10;AAAABgEAAA8AAAAAAAAAAAAAAAAAFAUAAGRycy9kb3ducmV2LnhtbFBLBQYAAAAABAAEAPMAAAAc&#10;BgAAAAA=&#10;" filled="f" stroked="f">
              <v:textbox>
                <w:txbxContent>
                  <w:p w:rsidR="004F74A9" w:rsidRPr="0001226A" w:rsidRDefault="004F74A9" w:rsidP="00F45442">
                    <w:pPr>
                      <w:pStyle w:val="xStatus"/>
                      <w:rPr>
                        <w:szCs w:val="120"/>
                      </w:rPr>
                    </w:pP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pPr>
      <w:pStyle w:val="Header"/>
    </w:pPr>
    <w:r>
      <w:rPr>
        <w:noProof/>
        <w:lang w:eastAsia="en-AU"/>
      </w:rPr>
      <mc:AlternateContent>
        <mc:Choice Requires="wps">
          <w:drawing>
            <wp:anchor distT="0" distB="0" distL="114300" distR="114300" simplePos="0" relativeHeight="251673600" behindDoc="1" locked="1" layoutInCell="1" allowOverlap="1" wp14:anchorId="7AA4862E" wp14:editId="14BC9158">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A9" w:rsidRPr="0001226A" w:rsidRDefault="004F74A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0;margin-top:0;width:595.3pt;height:141.45pt;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kOloi6AgAA&#10;wwUAAA4AAAAAAAAAAAAAAAAALgIAAGRycy9lMm9Eb2MueG1sUEsBAi0AFAAGAAgAAAAhADTFRM7b&#10;AAAABgEAAA8AAAAAAAAAAAAAAAAAFAUAAGRycy9kb3ducmV2LnhtbFBLBQYAAAAABAAEAPMAAAAc&#10;BgAAAAA=&#10;" filled="f" stroked="f">
              <v:textbox>
                <w:txbxContent>
                  <w:p w:rsidR="004F74A9" w:rsidRPr="0001226A" w:rsidRDefault="004F74A9" w:rsidP="00F45442">
                    <w:pPr>
                      <w:pStyle w:val="xStatus"/>
                      <w:rPr>
                        <w:szCs w:val="120"/>
                      </w:rPr>
                    </w:pP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pPr>
      <w:pStyle w:val="Header"/>
    </w:pPr>
    <w:r>
      <w:rPr>
        <w:noProof/>
        <w:lang w:eastAsia="en-AU"/>
      </w:rPr>
      <mc:AlternateContent>
        <mc:Choice Requires="wps">
          <w:drawing>
            <wp:anchor distT="0" distB="0" distL="114300" distR="114300" simplePos="0" relativeHeight="251671552" behindDoc="1" locked="1" layoutInCell="1" allowOverlap="1" wp14:anchorId="21208F66" wp14:editId="7929F8E5">
              <wp:simplePos x="0" y="0"/>
              <wp:positionH relativeFrom="page">
                <wp:align>center</wp:align>
              </wp:positionH>
              <wp:positionV relativeFrom="page">
                <wp:align>center</wp:align>
              </wp:positionV>
              <wp:extent cx="7560000" cy="1796400"/>
              <wp:effectExtent l="0" t="0" r="0" b="0"/>
              <wp:wrapNone/>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A9" w:rsidRPr="0001226A" w:rsidRDefault="004F74A9"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0;margin-top:0;width:595.3pt;height:141.45pt;z-index:-2516449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s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yBiy6AgAA&#10;wwUAAA4AAAAAAAAAAAAAAAAALgIAAGRycy9lMm9Eb2MueG1sUEsBAi0AFAAGAAgAAAAhADTFRM7b&#10;AAAABgEAAA8AAAAAAAAAAAAAAAAAFAUAAGRycy9kb3ducmV2LnhtbFBLBQYAAAAABAAEAPMAAAAc&#10;BgAAAAA=&#10;" filled="f" stroked="f">
              <v:textbox>
                <w:txbxContent>
                  <w:p w:rsidR="004F74A9" w:rsidRPr="0001226A" w:rsidRDefault="004F74A9" w:rsidP="00F45442">
                    <w:pPr>
                      <w:pStyle w:val="xStatus"/>
                      <w:rPr>
                        <w:szCs w:val="120"/>
                      </w:rPr>
                    </w:pPr>
                  </w:p>
                </w:txbxContent>
              </v:textbox>
              <w10:wrap anchorx="page"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rsidP="00D50BC9">
    <w:pPr>
      <w:pStyle w:val="Header"/>
    </w:pPr>
    <w:r>
      <w:rPr>
        <w:noProof/>
        <w:lang w:eastAsia="en-AU"/>
      </w:rPr>
      <mc:AlternateContent>
        <mc:Choice Requires="wps">
          <w:drawing>
            <wp:anchor distT="0" distB="0" distL="114300" distR="114300" simplePos="0" relativeHeight="251684864" behindDoc="1" locked="1" layoutInCell="1" allowOverlap="1" wp14:anchorId="3B20AF64" wp14:editId="6FF551C9">
              <wp:simplePos x="0" y="0"/>
              <wp:positionH relativeFrom="page">
                <wp:align>center</wp:align>
              </wp:positionH>
              <wp:positionV relativeFrom="page">
                <wp:align>center</wp:align>
              </wp:positionV>
              <wp:extent cx="7560000" cy="1796400"/>
              <wp:effectExtent l="0" t="0" r="0" b="0"/>
              <wp:wrapNone/>
              <wp:docPr id="3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A9" w:rsidRPr="0001226A" w:rsidRDefault="004F74A9" w:rsidP="00D50BC9">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0;margin-top:0;width:595.3pt;height:141.45pt;z-index:-2516316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ZTLfK6AgAA&#10;xAUAAA4AAAAAAAAAAAAAAAAALgIAAGRycy9lMm9Eb2MueG1sUEsBAi0AFAAGAAgAAAAhADTFRM7b&#10;AAAABgEAAA8AAAAAAAAAAAAAAAAAFAUAAGRycy9kb3ducmV2LnhtbFBLBQYAAAAABAAEAPMAAAAc&#10;BgAAAAA=&#10;" filled="f" stroked="f">
              <v:textbox>
                <w:txbxContent>
                  <w:p w:rsidR="0012210F" w:rsidRPr="0001226A" w:rsidRDefault="0012210F" w:rsidP="00D50BC9">
                    <w:pPr>
                      <w:pStyle w:val="xStatus"/>
                      <w:rPr>
                        <w:szCs w:val="120"/>
                      </w:rPr>
                    </w:pPr>
                  </w:p>
                </w:txbxContent>
              </v:textbox>
              <w10:wrap anchorx="page" anchory="page"/>
              <w10:anchorlock/>
            </v:shape>
          </w:pict>
        </mc:Fallback>
      </mc:AlternateContent>
    </w:r>
  </w:p>
  <w:p w:rsidR="004F74A9" w:rsidRPr="003603B8" w:rsidRDefault="004F74A9" w:rsidP="00D50BC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A9" w:rsidRDefault="004F74A9" w:rsidP="00D50BC9">
    <w:pPr>
      <w:pStyle w:val="Header"/>
    </w:pPr>
    <w:r>
      <w:rPr>
        <w:noProof/>
        <w:lang w:eastAsia="en-AU"/>
      </w:rPr>
      <mc:AlternateContent>
        <mc:Choice Requires="wps">
          <w:drawing>
            <wp:anchor distT="0" distB="0" distL="114300" distR="114300" simplePos="0" relativeHeight="251683840" behindDoc="1" locked="1" layoutInCell="1" allowOverlap="1" wp14:anchorId="314F90A5" wp14:editId="546CD0BF">
              <wp:simplePos x="0" y="0"/>
              <wp:positionH relativeFrom="page">
                <wp:align>center</wp:align>
              </wp:positionH>
              <wp:positionV relativeFrom="page">
                <wp:align>center</wp:align>
              </wp:positionV>
              <wp:extent cx="7560000" cy="1796400"/>
              <wp:effectExtent l="0" t="0" r="0" b="0"/>
              <wp:wrapNone/>
              <wp:docPr id="1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A9" w:rsidRPr="0001226A" w:rsidRDefault="004F74A9" w:rsidP="00D50BC9">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0;margin-top:0;width:595.3pt;height:141.45pt;z-index:-2516326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ugIAAMQ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D6FP6m6AgAA&#10;xAUAAA4AAAAAAAAAAAAAAAAALgIAAGRycy9lMm9Eb2MueG1sUEsBAi0AFAAGAAgAAAAhADTFRM7b&#10;AAAABgEAAA8AAAAAAAAAAAAAAAAAFAUAAGRycy9kb3ducmV2LnhtbFBLBQYAAAAABAAEAPMAAAAc&#10;BgAAAAA=&#10;" filled="f" stroked="f">
              <v:textbox>
                <w:txbxContent>
                  <w:p w:rsidR="0012210F" w:rsidRPr="0001226A" w:rsidRDefault="0012210F" w:rsidP="00D50BC9">
                    <w:pPr>
                      <w:pStyle w:val="xStatus"/>
                      <w:rPr>
                        <w:szCs w:val="120"/>
                      </w:rPr>
                    </w:pPr>
                  </w:p>
                </w:txbxContent>
              </v:textbox>
              <w10:wrap anchorx="page" anchory="page"/>
              <w10:anchorlock/>
            </v:shape>
          </w:pict>
        </mc:Fallback>
      </mc:AlternateContent>
    </w:r>
  </w:p>
  <w:p w:rsidR="004F74A9" w:rsidRPr="003603B8" w:rsidRDefault="004F74A9" w:rsidP="00D50B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8303A82"/>
    <w:lvl w:ilvl="0">
      <w:start w:val="1"/>
      <w:numFmt w:val="decimal"/>
      <w:lvlText w:val="%1."/>
      <w:lvlJc w:val="left"/>
      <w:pPr>
        <w:tabs>
          <w:tab w:val="num" w:pos="926"/>
        </w:tabs>
        <w:ind w:left="926" w:hanging="360"/>
      </w:pPr>
    </w:lvl>
  </w:abstractNum>
  <w:abstractNum w:abstractNumId="1">
    <w:nsid w:val="FFFFFF7F"/>
    <w:multiLevelType w:val="singleLevel"/>
    <w:tmpl w:val="4EB87814"/>
    <w:lvl w:ilvl="0">
      <w:start w:val="1"/>
      <w:numFmt w:val="decimal"/>
      <w:lvlText w:val="%1."/>
      <w:lvlJc w:val="left"/>
      <w:pPr>
        <w:tabs>
          <w:tab w:val="num" w:pos="643"/>
        </w:tabs>
        <w:ind w:left="643" w:hanging="360"/>
      </w:pPr>
    </w:lvl>
  </w:abstractNum>
  <w:abstractNum w:abstractNumId="2">
    <w:nsid w:val="FFFFFF82"/>
    <w:multiLevelType w:val="singleLevel"/>
    <w:tmpl w:val="37844A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E30B58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FB6BBE4"/>
    <w:lvl w:ilvl="0">
      <w:start w:val="1"/>
      <w:numFmt w:val="decimal"/>
      <w:lvlText w:val="%1."/>
      <w:lvlJc w:val="left"/>
      <w:pPr>
        <w:tabs>
          <w:tab w:val="num" w:pos="360"/>
        </w:tabs>
        <w:ind w:left="360" w:hanging="360"/>
      </w:pPr>
    </w:lvl>
  </w:abstractNum>
  <w:abstractNum w:abstractNumId="5">
    <w:nsid w:val="FFFFFF89"/>
    <w:multiLevelType w:val="singleLevel"/>
    <w:tmpl w:val="01905BD0"/>
    <w:lvl w:ilvl="0">
      <w:start w:val="1"/>
      <w:numFmt w:val="bullet"/>
      <w:lvlText w:val=""/>
      <w:lvlJc w:val="left"/>
      <w:pPr>
        <w:tabs>
          <w:tab w:val="num" w:pos="360"/>
        </w:tabs>
        <w:ind w:left="360" w:hanging="360"/>
      </w:pPr>
      <w:rPr>
        <w:rFonts w:ascii="Symbol" w:hAnsi="Symbol" w:hint="default"/>
      </w:rPr>
    </w:lvl>
  </w:abstractNum>
  <w:abstractNum w:abstractNumId="6">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nsid w:val="0D745448"/>
    <w:multiLevelType w:val="multilevel"/>
    <w:tmpl w:val="CABC0242"/>
    <w:name w:val="PBOHeadings"/>
    <w:lvl w:ilvl="0">
      <w:start w:val="1"/>
      <w:numFmt w:val="decimal"/>
      <w:pStyle w:val="Heading1"/>
      <w:lvlText w:val="%1"/>
      <w:lvlJc w:val="left"/>
      <w:pPr>
        <w:ind w:left="765" w:hanging="765"/>
      </w:pPr>
      <w:rPr>
        <w:rFonts w:hint="default"/>
      </w:rPr>
    </w:lvl>
    <w:lvl w:ilvl="1">
      <w:start w:val="1"/>
      <w:numFmt w:val="decimal"/>
      <w:pStyle w:val="Heading2"/>
      <w:lvlText w:val="%1.%2"/>
      <w:lvlJc w:val="left"/>
      <w:pPr>
        <w:ind w:left="765" w:hanging="765"/>
      </w:pPr>
      <w:rPr>
        <w:rFonts w:hint="default"/>
      </w:rPr>
    </w:lvl>
    <w:lvl w:ilvl="2">
      <w:start w:val="1"/>
      <w:numFmt w:val="decimal"/>
      <w:pStyle w:val="Heading3"/>
      <w:lvlText w:val="%1.%2.%3"/>
      <w:lvlJc w:val="left"/>
      <w:pPr>
        <w:ind w:left="765" w:hanging="765"/>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8">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9">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nsid w:val="22D045EF"/>
    <w:multiLevelType w:val="multilevel"/>
    <w:tmpl w:val="D34CA962"/>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851"/>
        </w:tabs>
        <w:ind w:left="851" w:hanging="426"/>
      </w:pPr>
      <w:rPr>
        <w:rFonts w:ascii="Webdings" w:hAnsi="Webdings" w:hint="default"/>
        <w:b w:val="0"/>
        <w:i w:val="0"/>
        <w:color w:val="auto"/>
        <w:position w:val="2"/>
        <w:sz w:val="18"/>
      </w:rPr>
    </w:lvl>
    <w:lvl w:ilvl="2">
      <w:start w:val="1"/>
      <w:numFmt w:val="bullet"/>
      <w:lvlText w:val="–"/>
      <w:lvlJc w:val="left"/>
      <w:pPr>
        <w:tabs>
          <w:tab w:val="num" w:pos="1276"/>
        </w:tabs>
        <w:ind w:left="1276" w:hanging="425"/>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D0540A9"/>
    <w:multiLevelType w:val="multilevel"/>
    <w:tmpl w:val="0588A4BC"/>
    <w:name w:val="AppendicesNumbering"/>
    <w:lvl w:ilvl="0">
      <w:start w:val="1"/>
      <w:numFmt w:val="upperLetter"/>
      <w:pStyle w:val="Heading8"/>
      <w:suff w:val="nothing"/>
      <w:lvlText w:val="Appendix %1"/>
      <w:lvlJc w:val="left"/>
      <w:pPr>
        <w:ind w:left="0"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4">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6">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13"/>
  </w:num>
  <w:num w:numId="3">
    <w:abstractNumId w:val="13"/>
  </w:num>
  <w:num w:numId="4">
    <w:abstractNumId w:val="13"/>
  </w:num>
  <w:num w:numId="5">
    <w:abstractNumId w:val="5"/>
  </w:num>
  <w:num w:numId="6">
    <w:abstractNumId w:val="6"/>
  </w:num>
  <w:num w:numId="7">
    <w:abstractNumId w:val="3"/>
  </w:num>
  <w:num w:numId="8">
    <w:abstractNumId w:val="6"/>
  </w:num>
  <w:num w:numId="9">
    <w:abstractNumId w:val="2"/>
  </w:num>
  <w:num w:numId="10">
    <w:abstractNumId w:val="6"/>
  </w:num>
  <w:num w:numId="11">
    <w:abstractNumId w:val="4"/>
  </w:num>
  <w:num w:numId="12">
    <w:abstractNumId w:val="16"/>
  </w:num>
  <w:num w:numId="13">
    <w:abstractNumId w:val="1"/>
  </w:num>
  <w:num w:numId="14">
    <w:abstractNumId w:val="16"/>
  </w:num>
  <w:num w:numId="15">
    <w:abstractNumId w:val="0"/>
  </w:num>
  <w:num w:numId="16">
    <w:abstractNumId w:val="16"/>
  </w:num>
  <w:num w:numId="17">
    <w:abstractNumId w:val="12"/>
  </w:num>
  <w:num w:numId="18">
    <w:abstractNumId w:val="12"/>
  </w:num>
  <w:num w:numId="19">
    <w:abstractNumId w:val="12"/>
  </w:num>
  <w:num w:numId="20">
    <w:abstractNumId w:val="11"/>
  </w:num>
  <w:num w:numId="21">
    <w:abstractNumId w:val="11"/>
  </w:num>
  <w:num w:numId="22">
    <w:abstractNumId w:val="11"/>
  </w:num>
  <w:num w:numId="23">
    <w:abstractNumId w:val="15"/>
  </w:num>
  <w:num w:numId="24">
    <w:abstractNumId w:val="15"/>
  </w:num>
  <w:num w:numId="25">
    <w:abstractNumId w:val="8"/>
  </w:num>
  <w:num w:numId="26">
    <w:abstractNumId w:val="9"/>
  </w:num>
  <w:num w:numId="27">
    <w:abstractNumId w:val="9"/>
  </w:num>
  <w:num w:numId="28">
    <w:abstractNumId w:val="9"/>
  </w:num>
  <w:num w:numId="29">
    <w:abstractNumId w:val="14"/>
  </w:num>
  <w:num w:numId="30">
    <w:abstractNumId w:val="14"/>
  </w:num>
  <w:num w:numId="31">
    <w:abstractNumId w:val="14"/>
  </w:num>
  <w:num w:numId="32">
    <w:abstractNumId w:val="10"/>
  </w:num>
  <w:num w:numId="33">
    <w:abstractNumId w:val="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False"/>
    <w:docVar w:name="AppendixName" w:val="Appendix"/>
    <w:docVar w:name="Disclaimer" w:val="True"/>
    <w:docVar w:name="Foreword" w:val="True"/>
    <w:docVar w:name="Heading1Numbered" w:val="True"/>
    <w:docVar w:name="Heading2Numbered" w:val="True"/>
    <w:docVar w:name="Heading3Numbered" w:val="True"/>
    <w:docVar w:name="IsWordingOverview" w:val="True"/>
    <w:docVar w:name="NumberedBodyText" w:val="False"/>
    <w:docVar w:name="optHeading1OddPage" w:val="True"/>
    <w:docVar w:name="Overview" w:val="False"/>
    <w:docVar w:name="PageSetup" w:val="Double"/>
    <w:docVar w:name="RibbonLabel" w:val="Appendix"/>
    <w:docVar w:name="TOC" w:val="True"/>
    <w:docVar w:name="TOCNew" w:val="True"/>
    <w:docVar w:name="Version" w:val="Version 1"/>
  </w:docVars>
  <w:rsids>
    <w:rsidRoot w:val="00710169"/>
    <w:rsid w:val="000016D2"/>
    <w:rsid w:val="0000322C"/>
    <w:rsid w:val="000038FB"/>
    <w:rsid w:val="00003CDD"/>
    <w:rsid w:val="00005EAB"/>
    <w:rsid w:val="00012A0D"/>
    <w:rsid w:val="0001538F"/>
    <w:rsid w:val="000168A7"/>
    <w:rsid w:val="00021949"/>
    <w:rsid w:val="0002284C"/>
    <w:rsid w:val="000278D0"/>
    <w:rsid w:val="00027E62"/>
    <w:rsid w:val="000307C8"/>
    <w:rsid w:val="00030F73"/>
    <w:rsid w:val="00035ADE"/>
    <w:rsid w:val="0004224B"/>
    <w:rsid w:val="0004233D"/>
    <w:rsid w:val="0004336E"/>
    <w:rsid w:val="000450E2"/>
    <w:rsid w:val="00046226"/>
    <w:rsid w:val="0005330D"/>
    <w:rsid w:val="0005482A"/>
    <w:rsid w:val="000557A7"/>
    <w:rsid w:val="00055805"/>
    <w:rsid w:val="0005695F"/>
    <w:rsid w:val="00056CB3"/>
    <w:rsid w:val="000642C0"/>
    <w:rsid w:val="000649BF"/>
    <w:rsid w:val="00064A8D"/>
    <w:rsid w:val="00067A28"/>
    <w:rsid w:val="0007260F"/>
    <w:rsid w:val="00074348"/>
    <w:rsid w:val="000805D5"/>
    <w:rsid w:val="0008103B"/>
    <w:rsid w:val="0008491B"/>
    <w:rsid w:val="00085F97"/>
    <w:rsid w:val="00092A33"/>
    <w:rsid w:val="000A025A"/>
    <w:rsid w:val="000A2FEC"/>
    <w:rsid w:val="000A348F"/>
    <w:rsid w:val="000A4F08"/>
    <w:rsid w:val="000B6942"/>
    <w:rsid w:val="000C0053"/>
    <w:rsid w:val="000C09FA"/>
    <w:rsid w:val="000C37A9"/>
    <w:rsid w:val="000C6728"/>
    <w:rsid w:val="000C6AD9"/>
    <w:rsid w:val="000C702E"/>
    <w:rsid w:val="000D12D9"/>
    <w:rsid w:val="000D15E9"/>
    <w:rsid w:val="000D225F"/>
    <w:rsid w:val="000D2511"/>
    <w:rsid w:val="000D3182"/>
    <w:rsid w:val="000D45C4"/>
    <w:rsid w:val="000D5C18"/>
    <w:rsid w:val="000E16B4"/>
    <w:rsid w:val="000E18F3"/>
    <w:rsid w:val="000E266E"/>
    <w:rsid w:val="000E3AF3"/>
    <w:rsid w:val="000F1515"/>
    <w:rsid w:val="000F16B5"/>
    <w:rsid w:val="000F52A6"/>
    <w:rsid w:val="000F616E"/>
    <w:rsid w:val="000F7D8D"/>
    <w:rsid w:val="00104412"/>
    <w:rsid w:val="00110D43"/>
    <w:rsid w:val="00113E46"/>
    <w:rsid w:val="001159EA"/>
    <w:rsid w:val="00115CD9"/>
    <w:rsid w:val="00117800"/>
    <w:rsid w:val="001202DC"/>
    <w:rsid w:val="001212E5"/>
    <w:rsid w:val="0012210F"/>
    <w:rsid w:val="0012260C"/>
    <w:rsid w:val="00125410"/>
    <w:rsid w:val="00130858"/>
    <w:rsid w:val="00132216"/>
    <w:rsid w:val="00136C26"/>
    <w:rsid w:val="0014059F"/>
    <w:rsid w:val="001412B9"/>
    <w:rsid w:val="00141551"/>
    <w:rsid w:val="001417CE"/>
    <w:rsid w:val="0014479F"/>
    <w:rsid w:val="00154DC5"/>
    <w:rsid w:val="00160C8D"/>
    <w:rsid w:val="001629C0"/>
    <w:rsid w:val="00165122"/>
    <w:rsid w:val="00165854"/>
    <w:rsid w:val="00173C90"/>
    <w:rsid w:val="00173DFD"/>
    <w:rsid w:val="00174CEE"/>
    <w:rsid w:val="00180FF9"/>
    <w:rsid w:val="00193590"/>
    <w:rsid w:val="00195228"/>
    <w:rsid w:val="00195696"/>
    <w:rsid w:val="00195910"/>
    <w:rsid w:val="00196532"/>
    <w:rsid w:val="001A1234"/>
    <w:rsid w:val="001A1EFC"/>
    <w:rsid w:val="001A2F80"/>
    <w:rsid w:val="001A48EF"/>
    <w:rsid w:val="001A49CC"/>
    <w:rsid w:val="001A5553"/>
    <w:rsid w:val="001A716E"/>
    <w:rsid w:val="001A7D30"/>
    <w:rsid w:val="001B2C65"/>
    <w:rsid w:val="001B7058"/>
    <w:rsid w:val="001C3A4F"/>
    <w:rsid w:val="001C410A"/>
    <w:rsid w:val="001C4121"/>
    <w:rsid w:val="001C48DE"/>
    <w:rsid w:val="001D05CD"/>
    <w:rsid w:val="001D152F"/>
    <w:rsid w:val="001D1E5E"/>
    <w:rsid w:val="001D52E3"/>
    <w:rsid w:val="001D576F"/>
    <w:rsid w:val="001D7C29"/>
    <w:rsid w:val="001E0475"/>
    <w:rsid w:val="001E59C5"/>
    <w:rsid w:val="001F1DC6"/>
    <w:rsid w:val="001F4899"/>
    <w:rsid w:val="001F594D"/>
    <w:rsid w:val="001F5C90"/>
    <w:rsid w:val="001F70AE"/>
    <w:rsid w:val="001F767C"/>
    <w:rsid w:val="002024F4"/>
    <w:rsid w:val="00210FCF"/>
    <w:rsid w:val="00214759"/>
    <w:rsid w:val="0021675C"/>
    <w:rsid w:val="00220324"/>
    <w:rsid w:val="002222AF"/>
    <w:rsid w:val="00222EFF"/>
    <w:rsid w:val="002240D5"/>
    <w:rsid w:val="0022415E"/>
    <w:rsid w:val="002261A7"/>
    <w:rsid w:val="00226AEC"/>
    <w:rsid w:val="00233CC1"/>
    <w:rsid w:val="00243F99"/>
    <w:rsid w:val="00247941"/>
    <w:rsid w:val="002529EC"/>
    <w:rsid w:val="002545F3"/>
    <w:rsid w:val="00256BC7"/>
    <w:rsid w:val="0026095A"/>
    <w:rsid w:val="0026344F"/>
    <w:rsid w:val="00266A17"/>
    <w:rsid w:val="00270372"/>
    <w:rsid w:val="002711C3"/>
    <w:rsid w:val="00273C62"/>
    <w:rsid w:val="00275534"/>
    <w:rsid w:val="00277075"/>
    <w:rsid w:val="002775D2"/>
    <w:rsid w:val="00280D27"/>
    <w:rsid w:val="00281ADD"/>
    <w:rsid w:val="00285830"/>
    <w:rsid w:val="00293E0D"/>
    <w:rsid w:val="00293E80"/>
    <w:rsid w:val="002973B0"/>
    <w:rsid w:val="00297C14"/>
    <w:rsid w:val="002A220F"/>
    <w:rsid w:val="002A24F1"/>
    <w:rsid w:val="002A3553"/>
    <w:rsid w:val="002A44F9"/>
    <w:rsid w:val="002A5778"/>
    <w:rsid w:val="002B068E"/>
    <w:rsid w:val="002B17FF"/>
    <w:rsid w:val="002B1E84"/>
    <w:rsid w:val="002B2085"/>
    <w:rsid w:val="002B3EC4"/>
    <w:rsid w:val="002C04AC"/>
    <w:rsid w:val="002C37D5"/>
    <w:rsid w:val="002D1FE8"/>
    <w:rsid w:val="002D34DB"/>
    <w:rsid w:val="002D4B11"/>
    <w:rsid w:val="002E5023"/>
    <w:rsid w:val="002E5633"/>
    <w:rsid w:val="002E7AA1"/>
    <w:rsid w:val="002F1963"/>
    <w:rsid w:val="002F5B6E"/>
    <w:rsid w:val="002F61B5"/>
    <w:rsid w:val="00300207"/>
    <w:rsid w:val="0030209B"/>
    <w:rsid w:val="003069C5"/>
    <w:rsid w:val="003127E4"/>
    <w:rsid w:val="00313215"/>
    <w:rsid w:val="00314E3E"/>
    <w:rsid w:val="003174C3"/>
    <w:rsid w:val="00320B64"/>
    <w:rsid w:val="00321F44"/>
    <w:rsid w:val="00323427"/>
    <w:rsid w:val="0032557A"/>
    <w:rsid w:val="00330DB6"/>
    <w:rsid w:val="00331A89"/>
    <w:rsid w:val="0033572F"/>
    <w:rsid w:val="00337513"/>
    <w:rsid w:val="00340778"/>
    <w:rsid w:val="0034084B"/>
    <w:rsid w:val="00344D2C"/>
    <w:rsid w:val="00344D8C"/>
    <w:rsid w:val="003455F3"/>
    <w:rsid w:val="003458CE"/>
    <w:rsid w:val="00345A57"/>
    <w:rsid w:val="00346D90"/>
    <w:rsid w:val="00351F62"/>
    <w:rsid w:val="0035568B"/>
    <w:rsid w:val="0035783D"/>
    <w:rsid w:val="003601F4"/>
    <w:rsid w:val="0036135F"/>
    <w:rsid w:val="003671E2"/>
    <w:rsid w:val="00367CCF"/>
    <w:rsid w:val="00372AE6"/>
    <w:rsid w:val="00373795"/>
    <w:rsid w:val="00375743"/>
    <w:rsid w:val="00376978"/>
    <w:rsid w:val="003837E1"/>
    <w:rsid w:val="0038584D"/>
    <w:rsid w:val="0039257F"/>
    <w:rsid w:val="003931DE"/>
    <w:rsid w:val="00394063"/>
    <w:rsid w:val="00395AD4"/>
    <w:rsid w:val="00397D1A"/>
    <w:rsid w:val="003A163C"/>
    <w:rsid w:val="003A2B4E"/>
    <w:rsid w:val="003A2FBB"/>
    <w:rsid w:val="003A3799"/>
    <w:rsid w:val="003A4913"/>
    <w:rsid w:val="003A54A9"/>
    <w:rsid w:val="003A7083"/>
    <w:rsid w:val="003B019C"/>
    <w:rsid w:val="003B38B3"/>
    <w:rsid w:val="003B3A97"/>
    <w:rsid w:val="003B3D44"/>
    <w:rsid w:val="003B4946"/>
    <w:rsid w:val="003B5B64"/>
    <w:rsid w:val="003C4D1D"/>
    <w:rsid w:val="003C7CC2"/>
    <w:rsid w:val="003D50B6"/>
    <w:rsid w:val="003E05DF"/>
    <w:rsid w:val="003E4FA8"/>
    <w:rsid w:val="003E5837"/>
    <w:rsid w:val="003E590A"/>
    <w:rsid w:val="003E6085"/>
    <w:rsid w:val="003E6CA3"/>
    <w:rsid w:val="003F2569"/>
    <w:rsid w:val="003F2D71"/>
    <w:rsid w:val="003F45F5"/>
    <w:rsid w:val="003F4C96"/>
    <w:rsid w:val="00406002"/>
    <w:rsid w:val="00406AD3"/>
    <w:rsid w:val="00411CA2"/>
    <w:rsid w:val="00412E42"/>
    <w:rsid w:val="004136B7"/>
    <w:rsid w:val="00420BC2"/>
    <w:rsid w:val="00426356"/>
    <w:rsid w:val="00426929"/>
    <w:rsid w:val="0044152A"/>
    <w:rsid w:val="00442C16"/>
    <w:rsid w:val="00445DF9"/>
    <w:rsid w:val="00446439"/>
    <w:rsid w:val="0045003A"/>
    <w:rsid w:val="00450BDA"/>
    <w:rsid w:val="00453A3E"/>
    <w:rsid w:val="0045452F"/>
    <w:rsid w:val="00454FC8"/>
    <w:rsid w:val="00456AF1"/>
    <w:rsid w:val="0045766B"/>
    <w:rsid w:val="004629F2"/>
    <w:rsid w:val="00472CD5"/>
    <w:rsid w:val="00474BB7"/>
    <w:rsid w:val="004763CB"/>
    <w:rsid w:val="00480CE0"/>
    <w:rsid w:val="004816D7"/>
    <w:rsid w:val="0048342E"/>
    <w:rsid w:val="00484BBE"/>
    <w:rsid w:val="00487478"/>
    <w:rsid w:val="0048782D"/>
    <w:rsid w:val="00487C8D"/>
    <w:rsid w:val="00491EA6"/>
    <w:rsid w:val="004938E0"/>
    <w:rsid w:val="00494DC1"/>
    <w:rsid w:val="004A3F56"/>
    <w:rsid w:val="004A5E21"/>
    <w:rsid w:val="004A666A"/>
    <w:rsid w:val="004A672D"/>
    <w:rsid w:val="004A7600"/>
    <w:rsid w:val="004B143F"/>
    <w:rsid w:val="004B273E"/>
    <w:rsid w:val="004B49A0"/>
    <w:rsid w:val="004B6A3C"/>
    <w:rsid w:val="004C28EC"/>
    <w:rsid w:val="004C6197"/>
    <w:rsid w:val="004C6306"/>
    <w:rsid w:val="004C6F5E"/>
    <w:rsid w:val="004C7E94"/>
    <w:rsid w:val="004D66E2"/>
    <w:rsid w:val="004D7CF8"/>
    <w:rsid w:val="004D7EDA"/>
    <w:rsid w:val="004E0E49"/>
    <w:rsid w:val="004E197A"/>
    <w:rsid w:val="004E3EB0"/>
    <w:rsid w:val="004E4E3E"/>
    <w:rsid w:val="004E5D52"/>
    <w:rsid w:val="004F07D7"/>
    <w:rsid w:val="004F1297"/>
    <w:rsid w:val="004F16DB"/>
    <w:rsid w:val="004F4D7E"/>
    <w:rsid w:val="004F5789"/>
    <w:rsid w:val="004F5B16"/>
    <w:rsid w:val="004F5D9D"/>
    <w:rsid w:val="004F68E5"/>
    <w:rsid w:val="004F72DE"/>
    <w:rsid w:val="004F741B"/>
    <w:rsid w:val="004F74A9"/>
    <w:rsid w:val="005027E7"/>
    <w:rsid w:val="00503253"/>
    <w:rsid w:val="00503BB0"/>
    <w:rsid w:val="00503E03"/>
    <w:rsid w:val="00505965"/>
    <w:rsid w:val="00512226"/>
    <w:rsid w:val="005147C6"/>
    <w:rsid w:val="005159B1"/>
    <w:rsid w:val="00522502"/>
    <w:rsid w:val="005255A1"/>
    <w:rsid w:val="0052641C"/>
    <w:rsid w:val="00534190"/>
    <w:rsid w:val="0053795D"/>
    <w:rsid w:val="00544522"/>
    <w:rsid w:val="005468AB"/>
    <w:rsid w:val="005501A0"/>
    <w:rsid w:val="00550831"/>
    <w:rsid w:val="00554273"/>
    <w:rsid w:val="00555F15"/>
    <w:rsid w:val="005570EB"/>
    <w:rsid w:val="005642B6"/>
    <w:rsid w:val="00570CDC"/>
    <w:rsid w:val="00571D5E"/>
    <w:rsid w:val="005733DD"/>
    <w:rsid w:val="005823D0"/>
    <w:rsid w:val="0058482F"/>
    <w:rsid w:val="00585F59"/>
    <w:rsid w:val="00590C13"/>
    <w:rsid w:val="00597D69"/>
    <w:rsid w:val="005A2748"/>
    <w:rsid w:val="005A443F"/>
    <w:rsid w:val="005A459E"/>
    <w:rsid w:val="005B2A4E"/>
    <w:rsid w:val="005B58D4"/>
    <w:rsid w:val="005B6AC5"/>
    <w:rsid w:val="005B7C5B"/>
    <w:rsid w:val="005C07B3"/>
    <w:rsid w:val="005C284E"/>
    <w:rsid w:val="005C3DFB"/>
    <w:rsid w:val="005C47D4"/>
    <w:rsid w:val="005C793D"/>
    <w:rsid w:val="005D365B"/>
    <w:rsid w:val="005D51D0"/>
    <w:rsid w:val="005D6F83"/>
    <w:rsid w:val="005D7877"/>
    <w:rsid w:val="005D7CCF"/>
    <w:rsid w:val="005E3358"/>
    <w:rsid w:val="005E4D59"/>
    <w:rsid w:val="005E5747"/>
    <w:rsid w:val="005E58C4"/>
    <w:rsid w:val="005E5D8F"/>
    <w:rsid w:val="005F5A5C"/>
    <w:rsid w:val="005F5CD9"/>
    <w:rsid w:val="00605216"/>
    <w:rsid w:val="0061135C"/>
    <w:rsid w:val="006136DD"/>
    <w:rsid w:val="006149F0"/>
    <w:rsid w:val="00616F55"/>
    <w:rsid w:val="006220A5"/>
    <w:rsid w:val="00622F9C"/>
    <w:rsid w:val="00624AC8"/>
    <w:rsid w:val="00633C60"/>
    <w:rsid w:val="00636196"/>
    <w:rsid w:val="0064126D"/>
    <w:rsid w:val="00641B69"/>
    <w:rsid w:val="006451B8"/>
    <w:rsid w:val="00645722"/>
    <w:rsid w:val="006501C6"/>
    <w:rsid w:val="00652432"/>
    <w:rsid w:val="00653AB6"/>
    <w:rsid w:val="0065437C"/>
    <w:rsid w:val="00657840"/>
    <w:rsid w:val="0066003C"/>
    <w:rsid w:val="0066041E"/>
    <w:rsid w:val="00666CA4"/>
    <w:rsid w:val="00667996"/>
    <w:rsid w:val="006709E2"/>
    <w:rsid w:val="006733E5"/>
    <w:rsid w:val="00673CCC"/>
    <w:rsid w:val="00674A42"/>
    <w:rsid w:val="00675C98"/>
    <w:rsid w:val="00676806"/>
    <w:rsid w:val="0069026B"/>
    <w:rsid w:val="006941B6"/>
    <w:rsid w:val="00694464"/>
    <w:rsid w:val="006956EA"/>
    <w:rsid w:val="006A2108"/>
    <w:rsid w:val="006A490C"/>
    <w:rsid w:val="006A6418"/>
    <w:rsid w:val="006B4F7D"/>
    <w:rsid w:val="006B55B8"/>
    <w:rsid w:val="006B7154"/>
    <w:rsid w:val="006C114C"/>
    <w:rsid w:val="006C3864"/>
    <w:rsid w:val="006C38EA"/>
    <w:rsid w:val="006C3FF3"/>
    <w:rsid w:val="006C5383"/>
    <w:rsid w:val="006C5E72"/>
    <w:rsid w:val="006D024C"/>
    <w:rsid w:val="006D2AEC"/>
    <w:rsid w:val="006D4C8E"/>
    <w:rsid w:val="006D7E6E"/>
    <w:rsid w:val="006E094F"/>
    <w:rsid w:val="006E19D1"/>
    <w:rsid w:val="006E1CBB"/>
    <w:rsid w:val="006E6A96"/>
    <w:rsid w:val="006F095E"/>
    <w:rsid w:val="006F100B"/>
    <w:rsid w:val="006F239A"/>
    <w:rsid w:val="006F2C9D"/>
    <w:rsid w:val="006F3DA3"/>
    <w:rsid w:val="006F57FF"/>
    <w:rsid w:val="00705BAB"/>
    <w:rsid w:val="0070637D"/>
    <w:rsid w:val="007071DD"/>
    <w:rsid w:val="0070771F"/>
    <w:rsid w:val="00710169"/>
    <w:rsid w:val="007127B9"/>
    <w:rsid w:val="00712A14"/>
    <w:rsid w:val="00716C04"/>
    <w:rsid w:val="00717180"/>
    <w:rsid w:val="007179D2"/>
    <w:rsid w:val="00720750"/>
    <w:rsid w:val="00720AA3"/>
    <w:rsid w:val="0072113F"/>
    <w:rsid w:val="00723732"/>
    <w:rsid w:val="0072549C"/>
    <w:rsid w:val="00725A80"/>
    <w:rsid w:val="007270D7"/>
    <w:rsid w:val="00733970"/>
    <w:rsid w:val="007360B8"/>
    <w:rsid w:val="0073704A"/>
    <w:rsid w:val="00740F5C"/>
    <w:rsid w:val="00753789"/>
    <w:rsid w:val="00754C58"/>
    <w:rsid w:val="007739FB"/>
    <w:rsid w:val="00776E2F"/>
    <w:rsid w:val="00776E78"/>
    <w:rsid w:val="0078017D"/>
    <w:rsid w:val="0078138A"/>
    <w:rsid w:val="0078278A"/>
    <w:rsid w:val="00783014"/>
    <w:rsid w:val="007833C3"/>
    <w:rsid w:val="007834DC"/>
    <w:rsid w:val="0079162C"/>
    <w:rsid w:val="007959D8"/>
    <w:rsid w:val="0079630F"/>
    <w:rsid w:val="007A04C2"/>
    <w:rsid w:val="007A12E8"/>
    <w:rsid w:val="007A1AE0"/>
    <w:rsid w:val="007A4BE4"/>
    <w:rsid w:val="007B146A"/>
    <w:rsid w:val="007C0E7C"/>
    <w:rsid w:val="007C0EAA"/>
    <w:rsid w:val="007C44B2"/>
    <w:rsid w:val="007C6496"/>
    <w:rsid w:val="007C745E"/>
    <w:rsid w:val="007C7B65"/>
    <w:rsid w:val="007D2C98"/>
    <w:rsid w:val="007D3F59"/>
    <w:rsid w:val="007D42A3"/>
    <w:rsid w:val="007E0C8C"/>
    <w:rsid w:val="007E10E9"/>
    <w:rsid w:val="007E3F8C"/>
    <w:rsid w:val="007E7FEE"/>
    <w:rsid w:val="007F2058"/>
    <w:rsid w:val="007F7685"/>
    <w:rsid w:val="0080011D"/>
    <w:rsid w:val="00800EA5"/>
    <w:rsid w:val="00801C01"/>
    <w:rsid w:val="00801FDF"/>
    <w:rsid w:val="008044BD"/>
    <w:rsid w:val="008130BB"/>
    <w:rsid w:val="00816D04"/>
    <w:rsid w:val="008237FA"/>
    <w:rsid w:val="008238BC"/>
    <w:rsid w:val="008252E8"/>
    <w:rsid w:val="00825D37"/>
    <w:rsid w:val="008369B0"/>
    <w:rsid w:val="0084765E"/>
    <w:rsid w:val="00851084"/>
    <w:rsid w:val="00852364"/>
    <w:rsid w:val="00856F7B"/>
    <w:rsid w:val="0085732C"/>
    <w:rsid w:val="00860B45"/>
    <w:rsid w:val="00863860"/>
    <w:rsid w:val="008638B5"/>
    <w:rsid w:val="00865F4A"/>
    <w:rsid w:val="00870D36"/>
    <w:rsid w:val="00872C01"/>
    <w:rsid w:val="008734DB"/>
    <w:rsid w:val="0087390B"/>
    <w:rsid w:val="008745A1"/>
    <w:rsid w:val="008768E9"/>
    <w:rsid w:val="0087751B"/>
    <w:rsid w:val="00890995"/>
    <w:rsid w:val="008914FB"/>
    <w:rsid w:val="00894E93"/>
    <w:rsid w:val="00897E99"/>
    <w:rsid w:val="008A4829"/>
    <w:rsid w:val="008A7362"/>
    <w:rsid w:val="008B22E6"/>
    <w:rsid w:val="008B2384"/>
    <w:rsid w:val="008B38D6"/>
    <w:rsid w:val="008B4802"/>
    <w:rsid w:val="008B69E3"/>
    <w:rsid w:val="008C12AB"/>
    <w:rsid w:val="008C1FD1"/>
    <w:rsid w:val="008C24A8"/>
    <w:rsid w:val="008C35EF"/>
    <w:rsid w:val="008C36AD"/>
    <w:rsid w:val="008C5996"/>
    <w:rsid w:val="008C67C3"/>
    <w:rsid w:val="008C7D6B"/>
    <w:rsid w:val="008C7F6B"/>
    <w:rsid w:val="008D5A11"/>
    <w:rsid w:val="008D5E23"/>
    <w:rsid w:val="008E03E8"/>
    <w:rsid w:val="008E6D59"/>
    <w:rsid w:val="008F3324"/>
    <w:rsid w:val="008F5D66"/>
    <w:rsid w:val="008F5FD8"/>
    <w:rsid w:val="009028AA"/>
    <w:rsid w:val="00903E3F"/>
    <w:rsid w:val="009049C3"/>
    <w:rsid w:val="009057D9"/>
    <w:rsid w:val="00906292"/>
    <w:rsid w:val="0090774A"/>
    <w:rsid w:val="00910D07"/>
    <w:rsid w:val="00912B65"/>
    <w:rsid w:val="00914B2F"/>
    <w:rsid w:val="009150E6"/>
    <w:rsid w:val="00915822"/>
    <w:rsid w:val="009166B5"/>
    <w:rsid w:val="00917F89"/>
    <w:rsid w:val="009255EE"/>
    <w:rsid w:val="00925603"/>
    <w:rsid w:val="00925F44"/>
    <w:rsid w:val="00925F76"/>
    <w:rsid w:val="00925F95"/>
    <w:rsid w:val="0092726D"/>
    <w:rsid w:val="00932E89"/>
    <w:rsid w:val="0093359D"/>
    <w:rsid w:val="00933F2B"/>
    <w:rsid w:val="00942BA1"/>
    <w:rsid w:val="00942EEB"/>
    <w:rsid w:val="00944580"/>
    <w:rsid w:val="0094468E"/>
    <w:rsid w:val="00945261"/>
    <w:rsid w:val="00946043"/>
    <w:rsid w:val="0094653A"/>
    <w:rsid w:val="009506A5"/>
    <w:rsid w:val="009524AF"/>
    <w:rsid w:val="009541CC"/>
    <w:rsid w:val="009552C9"/>
    <w:rsid w:val="00956564"/>
    <w:rsid w:val="00956D5A"/>
    <w:rsid w:val="00957AC7"/>
    <w:rsid w:val="00961B2C"/>
    <w:rsid w:val="00961DBB"/>
    <w:rsid w:val="0096618E"/>
    <w:rsid w:val="00973FF1"/>
    <w:rsid w:val="00981433"/>
    <w:rsid w:val="00981755"/>
    <w:rsid w:val="00985C07"/>
    <w:rsid w:val="00995B4F"/>
    <w:rsid w:val="00997582"/>
    <w:rsid w:val="009A2C21"/>
    <w:rsid w:val="009A3E58"/>
    <w:rsid w:val="009A5F02"/>
    <w:rsid w:val="009A7AB1"/>
    <w:rsid w:val="009C4662"/>
    <w:rsid w:val="009C6167"/>
    <w:rsid w:val="009C6DAA"/>
    <w:rsid w:val="009D0E74"/>
    <w:rsid w:val="009D17D3"/>
    <w:rsid w:val="009D1A96"/>
    <w:rsid w:val="009D370B"/>
    <w:rsid w:val="009D63A7"/>
    <w:rsid w:val="009E1387"/>
    <w:rsid w:val="009E2087"/>
    <w:rsid w:val="009E252B"/>
    <w:rsid w:val="009E3265"/>
    <w:rsid w:val="009E3353"/>
    <w:rsid w:val="009E446D"/>
    <w:rsid w:val="009E5FF5"/>
    <w:rsid w:val="009E6066"/>
    <w:rsid w:val="009E7AA1"/>
    <w:rsid w:val="009E7C09"/>
    <w:rsid w:val="009F146D"/>
    <w:rsid w:val="009F3591"/>
    <w:rsid w:val="009F4F1E"/>
    <w:rsid w:val="00A015E4"/>
    <w:rsid w:val="00A03F87"/>
    <w:rsid w:val="00A05427"/>
    <w:rsid w:val="00A05C83"/>
    <w:rsid w:val="00A075BC"/>
    <w:rsid w:val="00A11222"/>
    <w:rsid w:val="00A12C39"/>
    <w:rsid w:val="00A12F9C"/>
    <w:rsid w:val="00A134FB"/>
    <w:rsid w:val="00A15570"/>
    <w:rsid w:val="00A15E41"/>
    <w:rsid w:val="00A20802"/>
    <w:rsid w:val="00A25B4F"/>
    <w:rsid w:val="00A3123D"/>
    <w:rsid w:val="00A36467"/>
    <w:rsid w:val="00A375E8"/>
    <w:rsid w:val="00A442BF"/>
    <w:rsid w:val="00A453BD"/>
    <w:rsid w:val="00A51D5A"/>
    <w:rsid w:val="00A53716"/>
    <w:rsid w:val="00A55168"/>
    <w:rsid w:val="00A5629E"/>
    <w:rsid w:val="00A57B5F"/>
    <w:rsid w:val="00A61703"/>
    <w:rsid w:val="00A64832"/>
    <w:rsid w:val="00A66813"/>
    <w:rsid w:val="00A674B5"/>
    <w:rsid w:val="00A732DB"/>
    <w:rsid w:val="00A7476A"/>
    <w:rsid w:val="00A80529"/>
    <w:rsid w:val="00A81027"/>
    <w:rsid w:val="00A86F04"/>
    <w:rsid w:val="00A946C4"/>
    <w:rsid w:val="00A94F4E"/>
    <w:rsid w:val="00A95235"/>
    <w:rsid w:val="00A96C72"/>
    <w:rsid w:val="00AB0044"/>
    <w:rsid w:val="00AB2C69"/>
    <w:rsid w:val="00AC01F8"/>
    <w:rsid w:val="00AC059A"/>
    <w:rsid w:val="00AD0308"/>
    <w:rsid w:val="00AD1A3D"/>
    <w:rsid w:val="00AD354B"/>
    <w:rsid w:val="00AD377A"/>
    <w:rsid w:val="00AD611E"/>
    <w:rsid w:val="00AD64CF"/>
    <w:rsid w:val="00AD67BB"/>
    <w:rsid w:val="00AE1CC1"/>
    <w:rsid w:val="00AE1F1E"/>
    <w:rsid w:val="00AE3EA4"/>
    <w:rsid w:val="00AE4C9B"/>
    <w:rsid w:val="00AE5487"/>
    <w:rsid w:val="00AF1B02"/>
    <w:rsid w:val="00AF2340"/>
    <w:rsid w:val="00AF41E4"/>
    <w:rsid w:val="00B063B1"/>
    <w:rsid w:val="00B06887"/>
    <w:rsid w:val="00B06A75"/>
    <w:rsid w:val="00B06BC3"/>
    <w:rsid w:val="00B07329"/>
    <w:rsid w:val="00B15A0F"/>
    <w:rsid w:val="00B20236"/>
    <w:rsid w:val="00B20937"/>
    <w:rsid w:val="00B210C3"/>
    <w:rsid w:val="00B220A0"/>
    <w:rsid w:val="00B22B64"/>
    <w:rsid w:val="00B22FEA"/>
    <w:rsid w:val="00B24321"/>
    <w:rsid w:val="00B24923"/>
    <w:rsid w:val="00B30FEB"/>
    <w:rsid w:val="00B371B0"/>
    <w:rsid w:val="00B40AA3"/>
    <w:rsid w:val="00B43AD5"/>
    <w:rsid w:val="00B442B6"/>
    <w:rsid w:val="00B44478"/>
    <w:rsid w:val="00B6002C"/>
    <w:rsid w:val="00B620EE"/>
    <w:rsid w:val="00B768DA"/>
    <w:rsid w:val="00B7708B"/>
    <w:rsid w:val="00B814C5"/>
    <w:rsid w:val="00B81E91"/>
    <w:rsid w:val="00B85366"/>
    <w:rsid w:val="00B87F60"/>
    <w:rsid w:val="00B90BA4"/>
    <w:rsid w:val="00B90D3C"/>
    <w:rsid w:val="00B933A1"/>
    <w:rsid w:val="00B93D3D"/>
    <w:rsid w:val="00BA471F"/>
    <w:rsid w:val="00BA5C0D"/>
    <w:rsid w:val="00BB004E"/>
    <w:rsid w:val="00BB2231"/>
    <w:rsid w:val="00BB5013"/>
    <w:rsid w:val="00BB528E"/>
    <w:rsid w:val="00BC2600"/>
    <w:rsid w:val="00BC36F0"/>
    <w:rsid w:val="00BC4FA7"/>
    <w:rsid w:val="00BC5E30"/>
    <w:rsid w:val="00BC6B75"/>
    <w:rsid w:val="00BD02C5"/>
    <w:rsid w:val="00BD068D"/>
    <w:rsid w:val="00BD0942"/>
    <w:rsid w:val="00BD3E86"/>
    <w:rsid w:val="00BE0D9A"/>
    <w:rsid w:val="00BE1A50"/>
    <w:rsid w:val="00BE2F0D"/>
    <w:rsid w:val="00BE4566"/>
    <w:rsid w:val="00BE5BDB"/>
    <w:rsid w:val="00BF0BD5"/>
    <w:rsid w:val="00BF54A0"/>
    <w:rsid w:val="00BF55F8"/>
    <w:rsid w:val="00C02080"/>
    <w:rsid w:val="00C051FD"/>
    <w:rsid w:val="00C07124"/>
    <w:rsid w:val="00C15637"/>
    <w:rsid w:val="00C1791B"/>
    <w:rsid w:val="00C20C7D"/>
    <w:rsid w:val="00C20DEF"/>
    <w:rsid w:val="00C23491"/>
    <w:rsid w:val="00C24716"/>
    <w:rsid w:val="00C24B25"/>
    <w:rsid w:val="00C32C2F"/>
    <w:rsid w:val="00C3738A"/>
    <w:rsid w:val="00C4315A"/>
    <w:rsid w:val="00C43F5E"/>
    <w:rsid w:val="00C44074"/>
    <w:rsid w:val="00C4651F"/>
    <w:rsid w:val="00C51D0B"/>
    <w:rsid w:val="00C52A50"/>
    <w:rsid w:val="00C60A37"/>
    <w:rsid w:val="00C64100"/>
    <w:rsid w:val="00C642D4"/>
    <w:rsid w:val="00C71CE1"/>
    <w:rsid w:val="00C730F4"/>
    <w:rsid w:val="00C75415"/>
    <w:rsid w:val="00C76C22"/>
    <w:rsid w:val="00C80200"/>
    <w:rsid w:val="00C8270B"/>
    <w:rsid w:val="00C841A9"/>
    <w:rsid w:val="00C84665"/>
    <w:rsid w:val="00C86CB3"/>
    <w:rsid w:val="00C8728F"/>
    <w:rsid w:val="00C9775B"/>
    <w:rsid w:val="00C97FBC"/>
    <w:rsid w:val="00CA03C1"/>
    <w:rsid w:val="00CA0B7E"/>
    <w:rsid w:val="00CA548F"/>
    <w:rsid w:val="00CA5598"/>
    <w:rsid w:val="00CA5EF8"/>
    <w:rsid w:val="00CB28A3"/>
    <w:rsid w:val="00CB6AD2"/>
    <w:rsid w:val="00CC00A0"/>
    <w:rsid w:val="00CC5455"/>
    <w:rsid w:val="00CC6535"/>
    <w:rsid w:val="00CC6C06"/>
    <w:rsid w:val="00CD5509"/>
    <w:rsid w:val="00CE1EB0"/>
    <w:rsid w:val="00CE3DF2"/>
    <w:rsid w:val="00CF091A"/>
    <w:rsid w:val="00CF0C0F"/>
    <w:rsid w:val="00CF1690"/>
    <w:rsid w:val="00CF1F2A"/>
    <w:rsid w:val="00CF518C"/>
    <w:rsid w:val="00CF5CE3"/>
    <w:rsid w:val="00CF7412"/>
    <w:rsid w:val="00D030F8"/>
    <w:rsid w:val="00D077B7"/>
    <w:rsid w:val="00D17A09"/>
    <w:rsid w:val="00D20297"/>
    <w:rsid w:val="00D21E6B"/>
    <w:rsid w:val="00D23634"/>
    <w:rsid w:val="00D34551"/>
    <w:rsid w:val="00D359B0"/>
    <w:rsid w:val="00D457D6"/>
    <w:rsid w:val="00D46A12"/>
    <w:rsid w:val="00D50BC9"/>
    <w:rsid w:val="00D56660"/>
    <w:rsid w:val="00D617EF"/>
    <w:rsid w:val="00D64CE2"/>
    <w:rsid w:val="00D668E0"/>
    <w:rsid w:val="00D7751B"/>
    <w:rsid w:val="00D80CD7"/>
    <w:rsid w:val="00D815DC"/>
    <w:rsid w:val="00D822B5"/>
    <w:rsid w:val="00D8366F"/>
    <w:rsid w:val="00D8376A"/>
    <w:rsid w:val="00D83D3C"/>
    <w:rsid w:val="00D867AE"/>
    <w:rsid w:val="00D87BBB"/>
    <w:rsid w:val="00D87C87"/>
    <w:rsid w:val="00D91F5A"/>
    <w:rsid w:val="00D921C4"/>
    <w:rsid w:val="00D9296A"/>
    <w:rsid w:val="00D93C23"/>
    <w:rsid w:val="00D95638"/>
    <w:rsid w:val="00D9584C"/>
    <w:rsid w:val="00DA14D9"/>
    <w:rsid w:val="00DA2EFC"/>
    <w:rsid w:val="00DA468F"/>
    <w:rsid w:val="00DA489F"/>
    <w:rsid w:val="00DB13AD"/>
    <w:rsid w:val="00DB23F9"/>
    <w:rsid w:val="00DB58BE"/>
    <w:rsid w:val="00DB6176"/>
    <w:rsid w:val="00DB6AA0"/>
    <w:rsid w:val="00DB720C"/>
    <w:rsid w:val="00DB7C3A"/>
    <w:rsid w:val="00DC24FC"/>
    <w:rsid w:val="00DC4823"/>
    <w:rsid w:val="00DC5AF2"/>
    <w:rsid w:val="00DC7EFC"/>
    <w:rsid w:val="00DD3223"/>
    <w:rsid w:val="00DD32AB"/>
    <w:rsid w:val="00DD5BF6"/>
    <w:rsid w:val="00DE1865"/>
    <w:rsid w:val="00DE3B5E"/>
    <w:rsid w:val="00DE6CEF"/>
    <w:rsid w:val="00DF11C2"/>
    <w:rsid w:val="00DF4406"/>
    <w:rsid w:val="00DF4593"/>
    <w:rsid w:val="00DF468F"/>
    <w:rsid w:val="00E0596D"/>
    <w:rsid w:val="00E10806"/>
    <w:rsid w:val="00E10D05"/>
    <w:rsid w:val="00E126B8"/>
    <w:rsid w:val="00E20B3A"/>
    <w:rsid w:val="00E2223E"/>
    <w:rsid w:val="00E22D98"/>
    <w:rsid w:val="00E24623"/>
    <w:rsid w:val="00E252E3"/>
    <w:rsid w:val="00E277C2"/>
    <w:rsid w:val="00E2791E"/>
    <w:rsid w:val="00E40505"/>
    <w:rsid w:val="00E42A41"/>
    <w:rsid w:val="00E44CFC"/>
    <w:rsid w:val="00E45766"/>
    <w:rsid w:val="00E464FA"/>
    <w:rsid w:val="00E47E76"/>
    <w:rsid w:val="00E567E5"/>
    <w:rsid w:val="00E56C21"/>
    <w:rsid w:val="00E618C0"/>
    <w:rsid w:val="00E62812"/>
    <w:rsid w:val="00E63DB8"/>
    <w:rsid w:val="00E64608"/>
    <w:rsid w:val="00E669D4"/>
    <w:rsid w:val="00E6708B"/>
    <w:rsid w:val="00E67641"/>
    <w:rsid w:val="00E67662"/>
    <w:rsid w:val="00E7391B"/>
    <w:rsid w:val="00E73A8C"/>
    <w:rsid w:val="00E75050"/>
    <w:rsid w:val="00E76F42"/>
    <w:rsid w:val="00E84914"/>
    <w:rsid w:val="00E84C01"/>
    <w:rsid w:val="00E91012"/>
    <w:rsid w:val="00E915E6"/>
    <w:rsid w:val="00E94FDF"/>
    <w:rsid w:val="00EA3E11"/>
    <w:rsid w:val="00EA423F"/>
    <w:rsid w:val="00EA56EC"/>
    <w:rsid w:val="00EA6EB3"/>
    <w:rsid w:val="00EB37BA"/>
    <w:rsid w:val="00EB4A8E"/>
    <w:rsid w:val="00EB5EF3"/>
    <w:rsid w:val="00EB695D"/>
    <w:rsid w:val="00EC47AE"/>
    <w:rsid w:val="00EC5B5D"/>
    <w:rsid w:val="00EC683E"/>
    <w:rsid w:val="00ED00B4"/>
    <w:rsid w:val="00ED21B6"/>
    <w:rsid w:val="00ED39CE"/>
    <w:rsid w:val="00ED4134"/>
    <w:rsid w:val="00ED6115"/>
    <w:rsid w:val="00EE05F1"/>
    <w:rsid w:val="00EE471A"/>
    <w:rsid w:val="00EE5492"/>
    <w:rsid w:val="00EF26C5"/>
    <w:rsid w:val="00F01DB6"/>
    <w:rsid w:val="00F07BD5"/>
    <w:rsid w:val="00F11D2C"/>
    <w:rsid w:val="00F122D6"/>
    <w:rsid w:val="00F15BF4"/>
    <w:rsid w:val="00F17940"/>
    <w:rsid w:val="00F2046C"/>
    <w:rsid w:val="00F20647"/>
    <w:rsid w:val="00F2122F"/>
    <w:rsid w:val="00F24432"/>
    <w:rsid w:val="00F266F8"/>
    <w:rsid w:val="00F31392"/>
    <w:rsid w:val="00F33F96"/>
    <w:rsid w:val="00F348B5"/>
    <w:rsid w:val="00F3652B"/>
    <w:rsid w:val="00F377B9"/>
    <w:rsid w:val="00F37BE4"/>
    <w:rsid w:val="00F400D3"/>
    <w:rsid w:val="00F43977"/>
    <w:rsid w:val="00F44C83"/>
    <w:rsid w:val="00F45442"/>
    <w:rsid w:val="00F46243"/>
    <w:rsid w:val="00F46D5C"/>
    <w:rsid w:val="00F5145E"/>
    <w:rsid w:val="00F558EA"/>
    <w:rsid w:val="00F613CB"/>
    <w:rsid w:val="00F61F79"/>
    <w:rsid w:val="00F62139"/>
    <w:rsid w:val="00F656A4"/>
    <w:rsid w:val="00F663DA"/>
    <w:rsid w:val="00F6665E"/>
    <w:rsid w:val="00F67BDB"/>
    <w:rsid w:val="00F7075F"/>
    <w:rsid w:val="00F71D76"/>
    <w:rsid w:val="00F74E1A"/>
    <w:rsid w:val="00F802FB"/>
    <w:rsid w:val="00F8091E"/>
    <w:rsid w:val="00F8349F"/>
    <w:rsid w:val="00F83FB7"/>
    <w:rsid w:val="00F85935"/>
    <w:rsid w:val="00F85D29"/>
    <w:rsid w:val="00F911F7"/>
    <w:rsid w:val="00F93182"/>
    <w:rsid w:val="00F969D3"/>
    <w:rsid w:val="00FA190E"/>
    <w:rsid w:val="00FA29D7"/>
    <w:rsid w:val="00FA54D8"/>
    <w:rsid w:val="00FA5E66"/>
    <w:rsid w:val="00FB1648"/>
    <w:rsid w:val="00FC4D9F"/>
    <w:rsid w:val="00FC4FB7"/>
    <w:rsid w:val="00FC7143"/>
    <w:rsid w:val="00FD357B"/>
    <w:rsid w:val="00FD38FC"/>
    <w:rsid w:val="00FD6119"/>
    <w:rsid w:val="00FD66E0"/>
    <w:rsid w:val="00FD688E"/>
    <w:rsid w:val="00FD7C0C"/>
    <w:rsid w:val="00FE045C"/>
    <w:rsid w:val="00FE0C52"/>
    <w:rsid w:val="00FE1692"/>
    <w:rsid w:val="00FE3154"/>
    <w:rsid w:val="00FE3E7D"/>
    <w:rsid w:val="00FF0566"/>
    <w:rsid w:val="00FF0C62"/>
    <w:rsid w:val="00FF322A"/>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33"/>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4"/>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4"/>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4"/>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4"/>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qForma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styleId="CommentReference">
    <w:name w:val="annotation reference"/>
    <w:basedOn w:val="DefaultParagraphFont"/>
    <w:semiHidden/>
    <w:unhideWhenUsed/>
    <w:rsid w:val="004B273E"/>
    <w:rPr>
      <w:sz w:val="16"/>
      <w:szCs w:val="16"/>
    </w:rPr>
  </w:style>
  <w:style w:type="paragraph" w:styleId="CommentText">
    <w:name w:val="annotation text"/>
    <w:basedOn w:val="Normal"/>
    <w:link w:val="CommentTextChar"/>
    <w:semiHidden/>
    <w:unhideWhenUsed/>
    <w:rsid w:val="004B273E"/>
    <w:pPr>
      <w:spacing w:line="240" w:lineRule="auto"/>
    </w:pPr>
    <w:rPr>
      <w:sz w:val="20"/>
      <w:szCs w:val="20"/>
    </w:rPr>
  </w:style>
  <w:style w:type="character" w:customStyle="1" w:styleId="CommentTextChar">
    <w:name w:val="Comment Text Char"/>
    <w:basedOn w:val="DefaultParagraphFont"/>
    <w:link w:val="CommentText"/>
    <w:semiHidden/>
    <w:rsid w:val="004B273E"/>
    <w:rPr>
      <w:sz w:val="20"/>
      <w:szCs w:val="20"/>
    </w:rPr>
  </w:style>
  <w:style w:type="paragraph" w:styleId="CommentSubject">
    <w:name w:val="annotation subject"/>
    <w:basedOn w:val="CommentText"/>
    <w:next w:val="CommentText"/>
    <w:link w:val="CommentSubjectChar"/>
    <w:semiHidden/>
    <w:unhideWhenUsed/>
    <w:rsid w:val="004B273E"/>
    <w:rPr>
      <w:b/>
      <w:bCs/>
    </w:rPr>
  </w:style>
  <w:style w:type="character" w:customStyle="1" w:styleId="CommentSubjectChar">
    <w:name w:val="Comment Subject Char"/>
    <w:basedOn w:val="CommentTextChar"/>
    <w:link w:val="CommentSubject"/>
    <w:semiHidden/>
    <w:rsid w:val="004B273E"/>
    <w:rPr>
      <w:b/>
      <w:bCs/>
      <w:sz w:val="20"/>
      <w:szCs w:val="20"/>
    </w:rPr>
  </w:style>
  <w:style w:type="paragraph" w:styleId="Revision">
    <w:name w:val="Revision"/>
    <w:hidden/>
    <w:uiPriority w:val="99"/>
    <w:semiHidden/>
    <w:rsid w:val="004B273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33"/>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4"/>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4"/>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4"/>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4"/>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qForma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styleId="CommentReference">
    <w:name w:val="annotation reference"/>
    <w:basedOn w:val="DefaultParagraphFont"/>
    <w:semiHidden/>
    <w:unhideWhenUsed/>
    <w:rsid w:val="004B273E"/>
    <w:rPr>
      <w:sz w:val="16"/>
      <w:szCs w:val="16"/>
    </w:rPr>
  </w:style>
  <w:style w:type="paragraph" w:styleId="CommentText">
    <w:name w:val="annotation text"/>
    <w:basedOn w:val="Normal"/>
    <w:link w:val="CommentTextChar"/>
    <w:semiHidden/>
    <w:unhideWhenUsed/>
    <w:rsid w:val="004B273E"/>
    <w:pPr>
      <w:spacing w:line="240" w:lineRule="auto"/>
    </w:pPr>
    <w:rPr>
      <w:sz w:val="20"/>
      <w:szCs w:val="20"/>
    </w:rPr>
  </w:style>
  <w:style w:type="character" w:customStyle="1" w:styleId="CommentTextChar">
    <w:name w:val="Comment Text Char"/>
    <w:basedOn w:val="DefaultParagraphFont"/>
    <w:link w:val="CommentText"/>
    <w:semiHidden/>
    <w:rsid w:val="004B273E"/>
    <w:rPr>
      <w:sz w:val="20"/>
      <w:szCs w:val="20"/>
    </w:rPr>
  </w:style>
  <w:style w:type="paragraph" w:styleId="CommentSubject">
    <w:name w:val="annotation subject"/>
    <w:basedOn w:val="CommentText"/>
    <w:next w:val="CommentText"/>
    <w:link w:val="CommentSubjectChar"/>
    <w:semiHidden/>
    <w:unhideWhenUsed/>
    <w:rsid w:val="004B273E"/>
    <w:rPr>
      <w:b/>
      <w:bCs/>
    </w:rPr>
  </w:style>
  <w:style w:type="character" w:customStyle="1" w:styleId="CommentSubjectChar">
    <w:name w:val="Comment Subject Char"/>
    <w:basedOn w:val="CommentTextChar"/>
    <w:link w:val="CommentSubject"/>
    <w:semiHidden/>
    <w:rsid w:val="004B273E"/>
    <w:rPr>
      <w:b/>
      <w:bCs/>
      <w:sz w:val="20"/>
      <w:szCs w:val="20"/>
    </w:rPr>
  </w:style>
  <w:style w:type="paragraph" w:styleId="Revision">
    <w:name w:val="Revision"/>
    <w:hidden/>
    <w:uiPriority w:val="99"/>
    <w:semiHidden/>
    <w:rsid w:val="004B273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252399819">
      <w:bodyDiv w:val="1"/>
      <w:marLeft w:val="0"/>
      <w:marRight w:val="0"/>
      <w:marTop w:val="0"/>
      <w:marBottom w:val="0"/>
      <w:divBdr>
        <w:top w:val="none" w:sz="0" w:space="0" w:color="auto"/>
        <w:left w:val="none" w:sz="0" w:space="0" w:color="auto"/>
        <w:bottom w:val="none" w:sz="0" w:space="0" w:color="auto"/>
        <w:right w:val="none" w:sz="0" w:space="0" w:color="auto"/>
      </w:divBdr>
    </w:div>
    <w:div w:id="1497845504">
      <w:bodyDiv w:val="1"/>
      <w:marLeft w:val="0"/>
      <w:marRight w:val="0"/>
      <w:marTop w:val="0"/>
      <w:marBottom w:val="0"/>
      <w:divBdr>
        <w:top w:val="none" w:sz="0" w:space="0" w:color="auto"/>
        <w:left w:val="none" w:sz="0" w:space="0" w:color="auto"/>
        <w:bottom w:val="none" w:sz="0" w:space="0" w:color="auto"/>
        <w:right w:val="none" w:sz="0" w:space="0" w:color="auto"/>
      </w:divBdr>
    </w:div>
    <w:div w:id="1643341140">
      <w:bodyDiv w:val="1"/>
      <w:marLeft w:val="0"/>
      <w:marRight w:val="0"/>
      <w:marTop w:val="0"/>
      <w:marBottom w:val="0"/>
      <w:divBdr>
        <w:top w:val="none" w:sz="0" w:space="0" w:color="auto"/>
        <w:left w:val="none" w:sz="0" w:space="0" w:color="auto"/>
        <w:bottom w:val="none" w:sz="0" w:space="0" w:color="auto"/>
        <w:right w:val="none" w:sz="0" w:space="0" w:color="auto"/>
      </w:divBdr>
    </w:div>
    <w:div w:id="1849130556">
      <w:bodyDiv w:val="1"/>
      <w:marLeft w:val="0"/>
      <w:marRight w:val="0"/>
      <w:marTop w:val="0"/>
      <w:marBottom w:val="0"/>
      <w:divBdr>
        <w:top w:val="none" w:sz="0" w:space="0" w:color="auto"/>
        <w:left w:val="none" w:sz="0" w:space="0" w:color="auto"/>
        <w:bottom w:val="none" w:sz="0" w:space="0" w:color="auto"/>
        <w:right w:val="none" w:sz="0" w:space="0" w:color="auto"/>
      </w:divBdr>
    </w:div>
    <w:div w:id="19781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nd/3.0/au/" TargetMode="External"/><Relationship Id="rId18" Type="http://schemas.openxmlformats.org/officeDocument/2006/relationships/header" Target="header6.xml"/><Relationship Id="rId26" Type="http://schemas.openxmlformats.org/officeDocument/2006/relationships/image" Target="media/image6.png"/><Relationship Id="rId39" Type="http://schemas.openxmlformats.org/officeDocument/2006/relationships/image" Target="media/image19.png"/><Relationship Id="rId21" Type="http://schemas.openxmlformats.org/officeDocument/2006/relationships/footer" Target="footer3.xm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image" Target="media/image43.png"/><Relationship Id="rId68" Type="http://schemas.openxmlformats.org/officeDocument/2006/relationships/hyperlink" Target="http://www.pbo.gov.au/"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9.png"/><Relationship Id="rId11" Type="http://schemas.openxmlformats.org/officeDocument/2006/relationships/header" Target="header3.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hyperlink" Target="http://www.pbo.gov.au/" TargetMode="External"/><Relationship Id="rId7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png"/><Relationship Id="rId61" Type="http://schemas.openxmlformats.org/officeDocument/2006/relationships/image" Target="media/image41.png"/><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footer" Target="footer4.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hyperlink" Target="http://www.pbo.gov.au/" TargetMode="External"/><Relationship Id="rId8" Type="http://schemas.openxmlformats.org/officeDocument/2006/relationships/endnotes" Target="endnotes.xml"/><Relationship Id="rId51" Type="http://schemas.openxmlformats.org/officeDocument/2006/relationships/image" Target="media/image31.png"/><Relationship Id="rId72" Type="http://schemas.openxmlformats.org/officeDocument/2006/relationships/header" Target="header9.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image" Target="media/image46.png"/><Relationship Id="rId20" Type="http://schemas.openxmlformats.org/officeDocument/2006/relationships/footer" Target="footer2.xml"/><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hyperlink" Target="http://www.pbo.gov.a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A9F7-F281-4D3E-BC2D-1827CE42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28</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2017–18 Budget — charts</vt:lpstr>
    </vt:vector>
  </TitlesOfParts>
  <Company>Parliament of Australia</Company>
  <LinksUpToDate>false</LinksUpToDate>
  <CharactersWithSpaces>23715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Budget — charts</dc:title>
  <dc:subject>chart pack</dc:subject>
  <dc:creator>PBO@pbo.gov.au</dc:creator>
  <cp:lastModifiedBy>Pratley, Lauren (PBO)</cp:lastModifiedBy>
  <cp:revision>103</cp:revision>
  <cp:lastPrinted>2017-05-29T23:51:00Z</cp:lastPrinted>
  <dcterms:created xsi:type="dcterms:W3CDTF">2017-05-22T02:31:00Z</dcterms:created>
  <dcterms:modified xsi:type="dcterms:W3CDTF">2017-05-30T06:55:00Z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