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4B350B" w:rsidP="00C8728F">
            <w:pPr>
              <w:pStyle w:val="Title"/>
            </w:pPr>
            <w:r>
              <w:t>National fiscal outlook</w:t>
            </w:r>
          </w:p>
        </w:tc>
      </w:tr>
      <w:tr w:rsidR="00F20647" w:rsidTr="00C8728F">
        <w:trPr>
          <w:trHeight w:val="680"/>
        </w:trPr>
        <w:tc>
          <w:tcPr>
            <w:tcW w:w="8277" w:type="dxa"/>
          </w:tcPr>
          <w:p w:rsidR="00F20647" w:rsidRPr="006A7978" w:rsidRDefault="004B350B" w:rsidP="00C8728F">
            <w:pPr>
              <w:pStyle w:val="Title2"/>
            </w:pPr>
            <w:r>
              <w:t>As at 2017</w:t>
            </w:r>
            <w:r w:rsidR="0065563F">
              <w:t>–</w:t>
            </w:r>
            <w:r>
              <w:t>18 budgets</w:t>
            </w:r>
          </w:p>
        </w:tc>
      </w:tr>
      <w:tr w:rsidR="00195228" w:rsidTr="00C8728F">
        <w:trPr>
          <w:trHeight w:val="765"/>
        </w:trPr>
        <w:tc>
          <w:tcPr>
            <w:tcW w:w="8277" w:type="dxa"/>
          </w:tcPr>
          <w:p w:rsidR="00195228" w:rsidRPr="009541CC" w:rsidRDefault="00236305" w:rsidP="00F32BBA">
            <w:pPr>
              <w:pStyle w:val="Title3"/>
              <w:framePr w:wrap="auto" w:vAnchor="margin" w:hAnchor="text" w:yAlign="inline"/>
            </w:pPr>
            <w:r>
              <w:t xml:space="preserve">Report no. </w:t>
            </w:r>
            <w:r w:rsidR="00F32BBA">
              <w:t>04</w:t>
            </w:r>
            <w:r w:rsidR="004B350B">
              <w:t>/2017</w:t>
            </w:r>
          </w:p>
        </w:tc>
      </w:tr>
    </w:tbl>
    <w:p w:rsidR="00961DBB" w:rsidRDefault="00961DBB" w:rsidP="00961DBB"/>
    <w:p w:rsidR="00961DBB" w:rsidRDefault="00961DBB">
      <w:pPr>
        <w:sectPr w:rsidR="00961DBB" w:rsidSect="009057D9">
          <w:headerReference w:type="even" r:id="rId9"/>
          <w:headerReference w:type="default" r:id="rId10"/>
          <w:footerReference w:type="even" r:id="rId11"/>
          <w:footerReference w:type="default" r:id="rId12"/>
          <w:headerReference w:type="first" r:id="rId13"/>
          <w:footerReference w:type="first" r:id="rId14"/>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0" w:name="_DisclaimerMarker"/>
            <w:bookmarkEnd w:id="0"/>
            <w:r w:rsidRPr="00C77B5C">
              <w:t xml:space="preserve">© </w:t>
            </w:r>
            <w:r w:rsidRPr="0087390B">
              <w:t>Commonwealth</w:t>
            </w:r>
            <w:r w:rsidRPr="00C77B5C">
              <w:t xml:space="preserve"> of Australia</w:t>
            </w:r>
            <w:r w:rsidR="00F20647">
              <w:t xml:space="preserve"> </w:t>
            </w:r>
            <w:r w:rsidR="004B350B">
              <w:t>2017</w:t>
            </w:r>
          </w:p>
          <w:p w:rsidR="00961DBB" w:rsidRPr="0087390B" w:rsidRDefault="00961DBB" w:rsidP="00BB5013">
            <w:pPr>
              <w:pStyle w:val="xDisclaimerText"/>
            </w:pPr>
            <w:r w:rsidRPr="00C77B5C">
              <w:t>IS</w:t>
            </w:r>
            <w:r w:rsidR="00376570">
              <w:t>B</w:t>
            </w:r>
            <w:r w:rsidRPr="00C77B5C">
              <w:t xml:space="preserve">N </w:t>
            </w:r>
            <w:r w:rsidR="00376570" w:rsidRPr="00376570">
              <w:t>978-0-9953836-6-1</w:t>
            </w:r>
            <w:r w:rsidR="00376570">
              <w:t xml:space="preserve"> </w:t>
            </w:r>
            <w:r w:rsidRPr="008E314A">
              <w:t>(</w:t>
            </w:r>
            <w:r w:rsidR="00376570">
              <w:t>Online</w:t>
            </w:r>
            <w:r w:rsidRPr="008E314A">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34CDE247" wp14:editId="596E8E6A">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6" w:history="1">
              <w:r w:rsidR="00BB5013" w:rsidRPr="00BB5013">
                <w:t>http://creativecommons.org/licenses/by-nc-nd/3.0/au/</w:t>
              </w:r>
            </w:hyperlink>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7" w:history="1">
              <w:r w:rsidR="00BB5013" w:rsidRPr="00BB5013">
                <w:t>www.itsanhonour.gov.au/coat-arms</w:t>
              </w:r>
            </w:hyperlink>
            <w:r w:rsidR="00BB5013">
              <w:t xml:space="preserve"> </w:t>
            </w:r>
          </w:p>
          <w:p w:rsidR="00961DBB" w:rsidRDefault="00961DBB" w:rsidP="00BB5013">
            <w:pPr>
              <w:pStyle w:val="xDisclaimerText"/>
            </w:pPr>
            <w:r w:rsidRPr="00D429BD">
              <w:rPr>
                <w:rStyle w:val="xDisclaimerHeadingwithxDisclaimerTextChar"/>
              </w:rPr>
              <w:t>Produced by:</w:t>
            </w:r>
            <w:r>
              <w:t xml:space="preserve"> </w:t>
            </w:r>
            <w:r w:rsidRPr="00BB5013">
              <w:t>Parliamentary</w:t>
            </w:r>
            <w:r>
              <w:t xml:space="preserve"> Budget Office</w:t>
            </w:r>
          </w:p>
          <w:p w:rsidR="00961DBB" w:rsidRPr="00BB5013" w:rsidRDefault="00961DBB" w:rsidP="00BB5013">
            <w:pPr>
              <w:pStyle w:val="xDisclaimerText"/>
            </w:pPr>
            <w:r w:rsidRPr="00D429BD">
              <w:rPr>
                <w:rStyle w:val="xDisclaimerHeadingwithxDisclaimerTextChar"/>
              </w:rPr>
              <w:t>Designed by:</w:t>
            </w:r>
            <w:r>
              <w:t xml:space="preserve"> </w:t>
            </w:r>
            <w:r w:rsidR="00376570">
              <w:t>Studio Tweed</w:t>
            </w:r>
          </w:p>
          <w:p w:rsidR="00961DBB" w:rsidRDefault="004B350B" w:rsidP="0087390B">
            <w:pPr>
              <w:pStyle w:val="xDisclaimerHeading"/>
              <w:framePr w:hSpace="0" w:wrap="auto" w:hAnchor="text" w:yAlign="inline"/>
              <w:suppressOverlap w:val="0"/>
            </w:pPr>
            <w:r>
              <w:t>First Assistant Parliamentary Budget Officer</w:t>
            </w:r>
          </w:p>
          <w:p w:rsidR="00961DBB" w:rsidRPr="008E314A" w:rsidRDefault="004B350B" w:rsidP="0087390B">
            <w:pPr>
              <w:pStyle w:val="xDisclaimerText"/>
            </w:pPr>
            <w:r>
              <w:t>Fiscal Policy Analysis Division</w:t>
            </w:r>
          </w:p>
          <w:p w:rsidR="00961DBB" w:rsidRDefault="00961DBB" w:rsidP="0087390B">
            <w:pPr>
              <w:pStyle w:val="xDisclaimerText2"/>
              <w:framePr w:hSpace="0" w:wrap="auto" w:hAnchor="text" w:yAlign="inline"/>
              <w:suppressOverlap w:val="0"/>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4B350B">
          <w:headerReference w:type="even" r:id="rId18"/>
          <w:headerReference w:type="default" r:id="rId19"/>
          <w:footerReference w:type="default" r:id="rId20"/>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1" w:name="_TOCMarker"/>
      <w:bookmarkEnd w:id="1"/>
    </w:p>
    <w:p w:rsidR="006A38CF" w:rsidRDefault="00F37F37">
      <w:pPr>
        <w:pStyle w:val="TOC1"/>
        <w:rPr>
          <w:rFonts w:eastAsiaTheme="minorEastAsia"/>
          <w:b w:val="0"/>
          <w:color w:val="auto"/>
          <w:lang w:eastAsia="en-AU"/>
        </w:rPr>
      </w:pPr>
      <w:r>
        <w:rPr>
          <w:b w:val="0"/>
        </w:rPr>
        <w:fldChar w:fldCharType="begin"/>
      </w:r>
      <w:r>
        <w:rPr>
          <w:b w:val="0"/>
        </w:rPr>
        <w:instrText xml:space="preserve"> TOC \o "2-2" \h \z \t "Heading 1,1,Heading 1 No Numbering,1,Section Heading,5" </w:instrText>
      </w:r>
      <w:r>
        <w:rPr>
          <w:b w:val="0"/>
        </w:rPr>
        <w:fldChar w:fldCharType="separate"/>
      </w:r>
      <w:hyperlink w:anchor="_Toc496168767" w:history="1">
        <w:r w:rsidR="006A38CF" w:rsidRPr="00856FBB">
          <w:rPr>
            <w:rStyle w:val="Hyperlink"/>
          </w:rPr>
          <w:t>Foreword</w:t>
        </w:r>
        <w:r w:rsidR="006A38CF">
          <w:rPr>
            <w:webHidden/>
          </w:rPr>
          <w:tab/>
        </w:r>
        <w:r w:rsidR="006A38CF">
          <w:rPr>
            <w:webHidden/>
          </w:rPr>
          <w:fldChar w:fldCharType="begin"/>
        </w:r>
        <w:r w:rsidR="006A38CF">
          <w:rPr>
            <w:webHidden/>
          </w:rPr>
          <w:instrText xml:space="preserve"> PAGEREF _Toc496168767 \h </w:instrText>
        </w:r>
        <w:r w:rsidR="006A38CF">
          <w:rPr>
            <w:webHidden/>
          </w:rPr>
        </w:r>
        <w:r w:rsidR="006A38CF">
          <w:rPr>
            <w:webHidden/>
          </w:rPr>
          <w:fldChar w:fldCharType="separate"/>
        </w:r>
        <w:r w:rsidR="00BF7361">
          <w:rPr>
            <w:webHidden/>
          </w:rPr>
          <w:t>v</w:t>
        </w:r>
        <w:r w:rsidR="006A38CF">
          <w:rPr>
            <w:webHidden/>
          </w:rPr>
          <w:fldChar w:fldCharType="end"/>
        </w:r>
      </w:hyperlink>
    </w:p>
    <w:p w:rsidR="006A38CF" w:rsidRDefault="00F361B5">
      <w:pPr>
        <w:pStyle w:val="TOC1"/>
        <w:rPr>
          <w:rFonts w:eastAsiaTheme="minorEastAsia"/>
          <w:b w:val="0"/>
          <w:color w:val="auto"/>
          <w:lang w:eastAsia="en-AU"/>
        </w:rPr>
      </w:pPr>
      <w:hyperlink w:anchor="_Toc496168768" w:history="1">
        <w:r w:rsidR="006A38CF" w:rsidRPr="00856FBB">
          <w:rPr>
            <w:rStyle w:val="Hyperlink"/>
          </w:rPr>
          <w:t>Overview</w:t>
        </w:r>
        <w:r w:rsidR="006A38CF">
          <w:rPr>
            <w:webHidden/>
          </w:rPr>
          <w:tab/>
        </w:r>
        <w:r w:rsidR="006A38CF">
          <w:rPr>
            <w:webHidden/>
          </w:rPr>
          <w:fldChar w:fldCharType="begin"/>
        </w:r>
        <w:r w:rsidR="006A38CF">
          <w:rPr>
            <w:webHidden/>
          </w:rPr>
          <w:instrText xml:space="preserve"> PAGEREF _Toc496168768 \h </w:instrText>
        </w:r>
        <w:r w:rsidR="006A38CF">
          <w:rPr>
            <w:webHidden/>
          </w:rPr>
        </w:r>
        <w:r w:rsidR="006A38CF">
          <w:rPr>
            <w:webHidden/>
          </w:rPr>
          <w:fldChar w:fldCharType="separate"/>
        </w:r>
        <w:r w:rsidR="00BF7361">
          <w:rPr>
            <w:webHidden/>
          </w:rPr>
          <w:t>7</w:t>
        </w:r>
        <w:r w:rsidR="006A38CF">
          <w:rPr>
            <w:webHidden/>
          </w:rPr>
          <w:fldChar w:fldCharType="end"/>
        </w:r>
      </w:hyperlink>
    </w:p>
    <w:p w:rsidR="006A38CF" w:rsidRDefault="00F361B5">
      <w:pPr>
        <w:pStyle w:val="TOC1"/>
        <w:rPr>
          <w:rFonts w:eastAsiaTheme="minorEastAsia"/>
          <w:b w:val="0"/>
          <w:color w:val="auto"/>
          <w:lang w:eastAsia="en-AU"/>
        </w:rPr>
      </w:pPr>
      <w:hyperlink w:anchor="_Toc496168769" w:history="1">
        <w:r w:rsidR="006A38CF" w:rsidRPr="00856FBB">
          <w:rPr>
            <w:rStyle w:val="Hyperlink"/>
          </w:rPr>
          <w:t>1</w:t>
        </w:r>
        <w:r w:rsidR="006A38CF">
          <w:rPr>
            <w:rFonts w:eastAsiaTheme="minorEastAsia"/>
            <w:b w:val="0"/>
            <w:color w:val="auto"/>
            <w:lang w:eastAsia="en-AU"/>
          </w:rPr>
          <w:tab/>
        </w:r>
        <w:r w:rsidR="006A38CF" w:rsidRPr="00856FBB">
          <w:rPr>
            <w:rStyle w:val="Hyperlink"/>
          </w:rPr>
          <w:t>National fiscal outlook</w:t>
        </w:r>
        <w:r w:rsidR="006A38CF">
          <w:rPr>
            <w:webHidden/>
          </w:rPr>
          <w:tab/>
        </w:r>
        <w:r w:rsidR="006A38CF">
          <w:rPr>
            <w:webHidden/>
          </w:rPr>
          <w:fldChar w:fldCharType="begin"/>
        </w:r>
        <w:r w:rsidR="006A38CF">
          <w:rPr>
            <w:webHidden/>
          </w:rPr>
          <w:instrText xml:space="preserve"> PAGEREF _Toc496168769 \h </w:instrText>
        </w:r>
        <w:r w:rsidR="006A38CF">
          <w:rPr>
            <w:webHidden/>
          </w:rPr>
        </w:r>
        <w:r w:rsidR="006A38CF">
          <w:rPr>
            <w:webHidden/>
          </w:rPr>
          <w:fldChar w:fldCharType="separate"/>
        </w:r>
        <w:r w:rsidR="00BF7361">
          <w:rPr>
            <w:webHidden/>
          </w:rPr>
          <w:t>8</w:t>
        </w:r>
        <w:r w:rsidR="006A38CF">
          <w:rPr>
            <w:webHidden/>
          </w:rPr>
          <w:fldChar w:fldCharType="end"/>
        </w:r>
      </w:hyperlink>
    </w:p>
    <w:p w:rsidR="006A38CF" w:rsidRDefault="00F361B5">
      <w:pPr>
        <w:pStyle w:val="TOC2"/>
        <w:rPr>
          <w:rFonts w:eastAsiaTheme="minorEastAsia"/>
          <w:szCs w:val="22"/>
          <w:lang w:eastAsia="en-AU"/>
        </w:rPr>
      </w:pPr>
      <w:hyperlink w:anchor="_Toc496168770" w:history="1">
        <w:r w:rsidR="006A38CF" w:rsidRPr="00856FBB">
          <w:rPr>
            <w:rStyle w:val="Hyperlink"/>
          </w:rPr>
          <w:t>1.1</w:t>
        </w:r>
        <w:r w:rsidR="006A38CF">
          <w:rPr>
            <w:rFonts w:eastAsiaTheme="minorEastAsia"/>
            <w:szCs w:val="22"/>
            <w:lang w:eastAsia="en-AU"/>
          </w:rPr>
          <w:tab/>
        </w:r>
        <w:r w:rsidR="006A38CF" w:rsidRPr="00856FBB">
          <w:rPr>
            <w:rStyle w:val="Hyperlink"/>
          </w:rPr>
          <w:t>Net operating balance</w:t>
        </w:r>
        <w:r w:rsidR="006A38CF">
          <w:rPr>
            <w:webHidden/>
          </w:rPr>
          <w:tab/>
        </w:r>
        <w:r w:rsidR="006A38CF">
          <w:rPr>
            <w:webHidden/>
          </w:rPr>
          <w:fldChar w:fldCharType="begin"/>
        </w:r>
        <w:r w:rsidR="006A38CF">
          <w:rPr>
            <w:webHidden/>
          </w:rPr>
          <w:instrText xml:space="preserve"> PAGEREF _Toc496168770 \h </w:instrText>
        </w:r>
        <w:r w:rsidR="006A38CF">
          <w:rPr>
            <w:webHidden/>
          </w:rPr>
        </w:r>
        <w:r w:rsidR="006A38CF">
          <w:rPr>
            <w:webHidden/>
          </w:rPr>
          <w:fldChar w:fldCharType="separate"/>
        </w:r>
        <w:r w:rsidR="00BF7361">
          <w:rPr>
            <w:webHidden/>
          </w:rPr>
          <w:t>8</w:t>
        </w:r>
        <w:r w:rsidR="006A38CF">
          <w:rPr>
            <w:webHidden/>
          </w:rPr>
          <w:fldChar w:fldCharType="end"/>
        </w:r>
      </w:hyperlink>
    </w:p>
    <w:p w:rsidR="006A38CF" w:rsidRDefault="00F361B5">
      <w:pPr>
        <w:pStyle w:val="TOC2"/>
        <w:rPr>
          <w:rFonts w:eastAsiaTheme="minorEastAsia"/>
          <w:szCs w:val="22"/>
          <w:lang w:eastAsia="en-AU"/>
        </w:rPr>
      </w:pPr>
      <w:hyperlink w:anchor="_Toc496168771" w:history="1">
        <w:r w:rsidR="006A38CF" w:rsidRPr="00856FBB">
          <w:rPr>
            <w:rStyle w:val="Hyperlink"/>
          </w:rPr>
          <w:t>1.2</w:t>
        </w:r>
        <w:r w:rsidR="006A38CF">
          <w:rPr>
            <w:rFonts w:eastAsiaTheme="minorEastAsia"/>
            <w:szCs w:val="22"/>
            <w:lang w:eastAsia="en-AU"/>
          </w:rPr>
          <w:tab/>
        </w:r>
        <w:r w:rsidR="006A38CF" w:rsidRPr="00856FBB">
          <w:rPr>
            <w:rStyle w:val="Hyperlink"/>
          </w:rPr>
          <w:t>Net capital investment</w:t>
        </w:r>
        <w:r w:rsidR="006A38CF">
          <w:rPr>
            <w:webHidden/>
          </w:rPr>
          <w:tab/>
        </w:r>
        <w:r w:rsidR="006A38CF">
          <w:rPr>
            <w:webHidden/>
          </w:rPr>
          <w:fldChar w:fldCharType="begin"/>
        </w:r>
        <w:r w:rsidR="006A38CF">
          <w:rPr>
            <w:webHidden/>
          </w:rPr>
          <w:instrText xml:space="preserve"> PAGEREF _Toc496168771 \h </w:instrText>
        </w:r>
        <w:r w:rsidR="006A38CF">
          <w:rPr>
            <w:webHidden/>
          </w:rPr>
        </w:r>
        <w:r w:rsidR="006A38CF">
          <w:rPr>
            <w:webHidden/>
          </w:rPr>
          <w:fldChar w:fldCharType="separate"/>
        </w:r>
        <w:r w:rsidR="00BF7361">
          <w:rPr>
            <w:webHidden/>
          </w:rPr>
          <w:t>10</w:t>
        </w:r>
        <w:r w:rsidR="006A38CF">
          <w:rPr>
            <w:webHidden/>
          </w:rPr>
          <w:fldChar w:fldCharType="end"/>
        </w:r>
      </w:hyperlink>
    </w:p>
    <w:p w:rsidR="006A38CF" w:rsidRDefault="00F361B5">
      <w:pPr>
        <w:pStyle w:val="TOC2"/>
        <w:rPr>
          <w:rFonts w:eastAsiaTheme="minorEastAsia"/>
          <w:szCs w:val="22"/>
          <w:lang w:eastAsia="en-AU"/>
        </w:rPr>
      </w:pPr>
      <w:hyperlink w:anchor="_Toc496168772" w:history="1">
        <w:r w:rsidR="006A38CF" w:rsidRPr="00856FBB">
          <w:rPr>
            <w:rStyle w:val="Hyperlink"/>
          </w:rPr>
          <w:t>1.3</w:t>
        </w:r>
        <w:r w:rsidR="006A38CF">
          <w:rPr>
            <w:rFonts w:eastAsiaTheme="minorEastAsia"/>
            <w:szCs w:val="22"/>
            <w:lang w:eastAsia="en-AU"/>
          </w:rPr>
          <w:tab/>
        </w:r>
        <w:r w:rsidR="006A38CF" w:rsidRPr="00856FBB">
          <w:rPr>
            <w:rStyle w:val="Hyperlink"/>
          </w:rPr>
          <w:t>Net debt</w:t>
        </w:r>
        <w:r w:rsidR="006A38CF">
          <w:rPr>
            <w:webHidden/>
          </w:rPr>
          <w:tab/>
        </w:r>
        <w:r w:rsidR="006A38CF">
          <w:rPr>
            <w:webHidden/>
          </w:rPr>
          <w:fldChar w:fldCharType="begin"/>
        </w:r>
        <w:r w:rsidR="006A38CF">
          <w:rPr>
            <w:webHidden/>
          </w:rPr>
          <w:instrText xml:space="preserve"> PAGEREF _Toc496168772 \h </w:instrText>
        </w:r>
        <w:r w:rsidR="006A38CF">
          <w:rPr>
            <w:webHidden/>
          </w:rPr>
        </w:r>
        <w:r w:rsidR="006A38CF">
          <w:rPr>
            <w:webHidden/>
          </w:rPr>
          <w:fldChar w:fldCharType="separate"/>
        </w:r>
        <w:r w:rsidR="00BF7361">
          <w:rPr>
            <w:webHidden/>
          </w:rPr>
          <w:t>11</w:t>
        </w:r>
        <w:r w:rsidR="006A38CF">
          <w:rPr>
            <w:webHidden/>
          </w:rPr>
          <w:fldChar w:fldCharType="end"/>
        </w:r>
      </w:hyperlink>
    </w:p>
    <w:p w:rsidR="006A38CF" w:rsidRDefault="00F361B5">
      <w:pPr>
        <w:pStyle w:val="TOC1"/>
        <w:rPr>
          <w:rFonts w:eastAsiaTheme="minorEastAsia"/>
          <w:b w:val="0"/>
          <w:color w:val="auto"/>
          <w:lang w:eastAsia="en-AU"/>
        </w:rPr>
      </w:pPr>
      <w:hyperlink w:anchor="_Toc496168773" w:history="1">
        <w:r w:rsidR="006A38CF" w:rsidRPr="00856FBB">
          <w:rPr>
            <w:rStyle w:val="Hyperlink"/>
          </w:rPr>
          <w:t>2</w:t>
        </w:r>
        <w:r w:rsidR="006A38CF">
          <w:rPr>
            <w:rFonts w:eastAsiaTheme="minorEastAsia"/>
            <w:b w:val="0"/>
            <w:color w:val="auto"/>
            <w:lang w:eastAsia="en-AU"/>
          </w:rPr>
          <w:tab/>
        </w:r>
        <w:r w:rsidR="006A38CF" w:rsidRPr="00856FBB">
          <w:rPr>
            <w:rStyle w:val="Hyperlink"/>
          </w:rPr>
          <w:t>Trends in Commonwealth and state revenue and spending</w:t>
        </w:r>
        <w:r w:rsidR="006A38CF">
          <w:rPr>
            <w:webHidden/>
          </w:rPr>
          <w:tab/>
        </w:r>
        <w:r w:rsidR="006A38CF">
          <w:rPr>
            <w:webHidden/>
          </w:rPr>
          <w:fldChar w:fldCharType="begin"/>
        </w:r>
        <w:r w:rsidR="006A38CF">
          <w:rPr>
            <w:webHidden/>
          </w:rPr>
          <w:instrText xml:space="preserve"> PAGEREF _Toc496168773 \h </w:instrText>
        </w:r>
        <w:r w:rsidR="006A38CF">
          <w:rPr>
            <w:webHidden/>
          </w:rPr>
        </w:r>
        <w:r w:rsidR="006A38CF">
          <w:rPr>
            <w:webHidden/>
          </w:rPr>
          <w:fldChar w:fldCharType="separate"/>
        </w:r>
        <w:r w:rsidR="00BF7361">
          <w:rPr>
            <w:webHidden/>
          </w:rPr>
          <w:t>14</w:t>
        </w:r>
        <w:r w:rsidR="006A38CF">
          <w:rPr>
            <w:webHidden/>
          </w:rPr>
          <w:fldChar w:fldCharType="end"/>
        </w:r>
      </w:hyperlink>
    </w:p>
    <w:p w:rsidR="006A38CF" w:rsidRDefault="00F361B5">
      <w:pPr>
        <w:pStyle w:val="TOC2"/>
        <w:rPr>
          <w:rFonts w:eastAsiaTheme="minorEastAsia"/>
          <w:szCs w:val="22"/>
          <w:lang w:eastAsia="en-AU"/>
        </w:rPr>
      </w:pPr>
      <w:hyperlink w:anchor="_Toc496168774" w:history="1">
        <w:r w:rsidR="006A38CF" w:rsidRPr="00856FBB">
          <w:rPr>
            <w:rStyle w:val="Hyperlink"/>
          </w:rPr>
          <w:t>2.1</w:t>
        </w:r>
        <w:r w:rsidR="006A38CF">
          <w:rPr>
            <w:rFonts w:eastAsiaTheme="minorEastAsia"/>
            <w:szCs w:val="22"/>
            <w:lang w:eastAsia="en-AU"/>
          </w:rPr>
          <w:tab/>
        </w:r>
        <w:r w:rsidR="006A38CF" w:rsidRPr="00856FBB">
          <w:rPr>
            <w:rStyle w:val="Hyperlink"/>
          </w:rPr>
          <w:t>Commonwealth trends</w:t>
        </w:r>
        <w:r w:rsidR="006A38CF">
          <w:rPr>
            <w:webHidden/>
          </w:rPr>
          <w:tab/>
        </w:r>
        <w:r w:rsidR="006A38CF">
          <w:rPr>
            <w:webHidden/>
          </w:rPr>
          <w:fldChar w:fldCharType="begin"/>
        </w:r>
        <w:r w:rsidR="006A38CF">
          <w:rPr>
            <w:webHidden/>
          </w:rPr>
          <w:instrText xml:space="preserve"> PAGEREF _Toc496168774 \h </w:instrText>
        </w:r>
        <w:r w:rsidR="006A38CF">
          <w:rPr>
            <w:webHidden/>
          </w:rPr>
        </w:r>
        <w:r w:rsidR="006A38CF">
          <w:rPr>
            <w:webHidden/>
          </w:rPr>
          <w:fldChar w:fldCharType="separate"/>
        </w:r>
        <w:r w:rsidR="00BF7361">
          <w:rPr>
            <w:webHidden/>
          </w:rPr>
          <w:t>14</w:t>
        </w:r>
        <w:r w:rsidR="006A38CF">
          <w:rPr>
            <w:webHidden/>
          </w:rPr>
          <w:fldChar w:fldCharType="end"/>
        </w:r>
      </w:hyperlink>
    </w:p>
    <w:p w:rsidR="006A38CF" w:rsidRDefault="00F361B5">
      <w:pPr>
        <w:pStyle w:val="TOC2"/>
        <w:rPr>
          <w:rFonts w:eastAsiaTheme="minorEastAsia"/>
          <w:szCs w:val="22"/>
          <w:lang w:eastAsia="en-AU"/>
        </w:rPr>
      </w:pPr>
      <w:hyperlink w:anchor="_Toc496168775" w:history="1">
        <w:r w:rsidR="006A38CF" w:rsidRPr="00856FBB">
          <w:rPr>
            <w:rStyle w:val="Hyperlink"/>
          </w:rPr>
          <w:t>2.2</w:t>
        </w:r>
        <w:r w:rsidR="006A38CF">
          <w:rPr>
            <w:rFonts w:eastAsiaTheme="minorEastAsia"/>
            <w:szCs w:val="22"/>
            <w:lang w:eastAsia="en-AU"/>
          </w:rPr>
          <w:tab/>
        </w:r>
        <w:r w:rsidR="006A38CF" w:rsidRPr="00856FBB">
          <w:rPr>
            <w:rStyle w:val="Hyperlink"/>
          </w:rPr>
          <w:t>Total state trends</w:t>
        </w:r>
        <w:r w:rsidR="006A38CF">
          <w:rPr>
            <w:webHidden/>
          </w:rPr>
          <w:tab/>
        </w:r>
        <w:r w:rsidR="006A38CF">
          <w:rPr>
            <w:webHidden/>
          </w:rPr>
          <w:fldChar w:fldCharType="begin"/>
        </w:r>
        <w:r w:rsidR="006A38CF">
          <w:rPr>
            <w:webHidden/>
          </w:rPr>
          <w:instrText xml:space="preserve"> PAGEREF _Toc496168775 \h </w:instrText>
        </w:r>
        <w:r w:rsidR="006A38CF">
          <w:rPr>
            <w:webHidden/>
          </w:rPr>
        </w:r>
        <w:r w:rsidR="006A38CF">
          <w:rPr>
            <w:webHidden/>
          </w:rPr>
          <w:fldChar w:fldCharType="separate"/>
        </w:r>
        <w:r w:rsidR="00BF7361">
          <w:rPr>
            <w:webHidden/>
          </w:rPr>
          <w:t>20</w:t>
        </w:r>
        <w:r w:rsidR="006A38CF">
          <w:rPr>
            <w:webHidden/>
          </w:rPr>
          <w:fldChar w:fldCharType="end"/>
        </w:r>
      </w:hyperlink>
    </w:p>
    <w:p w:rsidR="006A38CF" w:rsidRDefault="00F361B5">
      <w:pPr>
        <w:pStyle w:val="TOC1"/>
        <w:rPr>
          <w:rFonts w:eastAsiaTheme="minorEastAsia"/>
          <w:b w:val="0"/>
          <w:color w:val="auto"/>
          <w:lang w:eastAsia="en-AU"/>
        </w:rPr>
      </w:pPr>
      <w:hyperlink w:anchor="_Toc496168776" w:history="1">
        <w:r w:rsidR="006A38CF" w:rsidRPr="00856FBB">
          <w:rPr>
            <w:rStyle w:val="Hyperlink"/>
          </w:rPr>
          <w:t>Appendix A — State net operating balances</w:t>
        </w:r>
        <w:r w:rsidR="006A38CF">
          <w:rPr>
            <w:webHidden/>
          </w:rPr>
          <w:tab/>
        </w:r>
        <w:r w:rsidR="006A38CF">
          <w:rPr>
            <w:webHidden/>
          </w:rPr>
          <w:fldChar w:fldCharType="begin"/>
        </w:r>
        <w:r w:rsidR="006A38CF">
          <w:rPr>
            <w:webHidden/>
          </w:rPr>
          <w:instrText xml:space="preserve"> PAGEREF _Toc496168776 \h </w:instrText>
        </w:r>
        <w:r w:rsidR="006A38CF">
          <w:rPr>
            <w:webHidden/>
          </w:rPr>
        </w:r>
        <w:r w:rsidR="006A38CF">
          <w:rPr>
            <w:webHidden/>
          </w:rPr>
          <w:fldChar w:fldCharType="separate"/>
        </w:r>
        <w:r w:rsidR="00BF7361">
          <w:rPr>
            <w:webHidden/>
          </w:rPr>
          <w:t>31</w:t>
        </w:r>
        <w:r w:rsidR="006A38CF">
          <w:rPr>
            <w:webHidden/>
          </w:rPr>
          <w:fldChar w:fldCharType="end"/>
        </w:r>
      </w:hyperlink>
    </w:p>
    <w:p w:rsidR="006A38CF" w:rsidRDefault="00F361B5">
      <w:pPr>
        <w:pStyle w:val="TOC1"/>
        <w:rPr>
          <w:rFonts w:eastAsiaTheme="minorEastAsia"/>
          <w:b w:val="0"/>
          <w:color w:val="auto"/>
          <w:lang w:eastAsia="en-AU"/>
        </w:rPr>
      </w:pPr>
      <w:hyperlink w:anchor="_Toc496168777" w:history="1">
        <w:r w:rsidR="006A38CF" w:rsidRPr="00856FBB">
          <w:rPr>
            <w:rStyle w:val="Hyperlink"/>
          </w:rPr>
          <w:t>Appendix B — Glossary and notes</w:t>
        </w:r>
        <w:r w:rsidR="006A38CF">
          <w:rPr>
            <w:webHidden/>
          </w:rPr>
          <w:tab/>
        </w:r>
        <w:r w:rsidR="006A38CF">
          <w:rPr>
            <w:webHidden/>
          </w:rPr>
          <w:fldChar w:fldCharType="begin"/>
        </w:r>
        <w:r w:rsidR="006A38CF">
          <w:rPr>
            <w:webHidden/>
          </w:rPr>
          <w:instrText xml:space="preserve"> PAGEREF _Toc496168777 \h </w:instrText>
        </w:r>
        <w:r w:rsidR="006A38CF">
          <w:rPr>
            <w:webHidden/>
          </w:rPr>
        </w:r>
        <w:r w:rsidR="006A38CF">
          <w:rPr>
            <w:webHidden/>
          </w:rPr>
          <w:fldChar w:fldCharType="separate"/>
        </w:r>
        <w:r w:rsidR="00BF7361">
          <w:rPr>
            <w:webHidden/>
          </w:rPr>
          <w:t>33</w:t>
        </w:r>
        <w:r w:rsidR="006A38CF">
          <w:rPr>
            <w:webHidden/>
          </w:rPr>
          <w:fldChar w:fldCharType="end"/>
        </w:r>
      </w:hyperlink>
    </w:p>
    <w:p w:rsidR="006A38CF" w:rsidRDefault="00F361B5">
      <w:pPr>
        <w:pStyle w:val="TOC2"/>
        <w:rPr>
          <w:rFonts w:eastAsiaTheme="minorEastAsia"/>
          <w:szCs w:val="22"/>
          <w:lang w:eastAsia="en-AU"/>
        </w:rPr>
      </w:pPr>
      <w:hyperlink w:anchor="_Toc496168778" w:history="1">
        <w:r w:rsidR="006A38CF" w:rsidRPr="00856FBB">
          <w:rPr>
            <w:rStyle w:val="Hyperlink"/>
          </w:rPr>
          <w:t>Data and Methodology</w:t>
        </w:r>
        <w:r w:rsidR="006A38CF">
          <w:rPr>
            <w:webHidden/>
          </w:rPr>
          <w:tab/>
        </w:r>
        <w:r w:rsidR="006A38CF">
          <w:rPr>
            <w:webHidden/>
          </w:rPr>
          <w:fldChar w:fldCharType="begin"/>
        </w:r>
        <w:r w:rsidR="006A38CF">
          <w:rPr>
            <w:webHidden/>
          </w:rPr>
          <w:instrText xml:space="preserve"> PAGEREF _Toc496168778 \h </w:instrText>
        </w:r>
        <w:r w:rsidR="006A38CF">
          <w:rPr>
            <w:webHidden/>
          </w:rPr>
        </w:r>
        <w:r w:rsidR="006A38CF">
          <w:rPr>
            <w:webHidden/>
          </w:rPr>
          <w:fldChar w:fldCharType="separate"/>
        </w:r>
        <w:r w:rsidR="00BF7361">
          <w:rPr>
            <w:webHidden/>
          </w:rPr>
          <w:t>33</w:t>
        </w:r>
        <w:r w:rsidR="006A38CF">
          <w:rPr>
            <w:webHidden/>
          </w:rPr>
          <w:fldChar w:fldCharType="end"/>
        </w:r>
      </w:hyperlink>
    </w:p>
    <w:p w:rsidR="00903E3F" w:rsidRDefault="00F37F37" w:rsidP="00903E3F">
      <w:pPr>
        <w:rPr>
          <w:b/>
          <w:noProof/>
          <w:color w:val="2B3B5F" w:themeColor="text2"/>
        </w:rPr>
      </w:pPr>
      <w:r>
        <w:rPr>
          <w:b/>
          <w:noProof/>
          <w:color w:val="2B3B5F" w:themeColor="text2"/>
        </w:rPr>
        <w:fldChar w:fldCharType="end"/>
      </w:r>
    </w:p>
    <w:p w:rsidR="00021C46" w:rsidRDefault="00021C46">
      <w:pPr>
        <w:rPr>
          <w:color w:val="2B3B5F" w:themeColor="text2"/>
          <w:sz w:val="28"/>
          <w:szCs w:val="32"/>
        </w:rPr>
      </w:pPr>
      <w:bookmarkStart w:id="2" w:name="_LOF"/>
      <w:r>
        <w:br w:type="page"/>
      </w:r>
    </w:p>
    <w:bookmarkEnd w:id="2"/>
    <w:p w:rsidR="00F37F37" w:rsidRPr="00F37F37" w:rsidRDefault="00F37F37" w:rsidP="00F37F37">
      <w:pPr>
        <w:pStyle w:val="TableofFigures"/>
      </w:pPr>
    </w:p>
    <w:p w:rsidR="00E915E6" w:rsidRDefault="00E915E6">
      <w:pPr>
        <w:sectPr w:rsidR="00E915E6" w:rsidSect="005468AB">
          <w:headerReference w:type="even" r:id="rId21"/>
          <w:headerReference w:type="default" r:id="rId22"/>
          <w:footerReference w:type="even" r:id="rId23"/>
          <w:footerReference w:type="default" r:id="rId24"/>
          <w:type w:val="oddPage"/>
          <w:pgSz w:w="11906" w:h="16838" w:code="9"/>
          <w:pgMar w:top="1361" w:right="1797" w:bottom="1474" w:left="1797" w:header="284" w:footer="454" w:gutter="0"/>
          <w:pgNumType w:fmt="lowerRoman"/>
          <w:cols w:space="708"/>
          <w:docGrid w:linePitch="360"/>
        </w:sectPr>
      </w:pPr>
    </w:p>
    <w:p w:rsidR="004F1297" w:rsidRDefault="00E915E6" w:rsidP="00A12C39">
      <w:pPr>
        <w:pStyle w:val="Heading1NoNumbering"/>
      </w:pPr>
      <w:bookmarkStart w:id="3" w:name="_Toc495678463"/>
      <w:bookmarkStart w:id="4" w:name="_Toc496168767"/>
      <w:r>
        <w:lastRenderedPageBreak/>
        <w:t>Foreword</w:t>
      </w:r>
      <w:bookmarkStart w:id="5" w:name="_ForewordMarker"/>
      <w:bookmarkEnd w:id="3"/>
      <w:bookmarkEnd w:id="5"/>
      <w:bookmarkEnd w:id="4"/>
    </w:p>
    <w:p w:rsidR="00436FF7" w:rsidRDefault="00436FF7" w:rsidP="00436FF7">
      <w:pPr>
        <w:pStyle w:val="OverviewBodyText"/>
      </w:pPr>
      <w:r>
        <w:t xml:space="preserve">This report provides a </w:t>
      </w:r>
      <w:r w:rsidR="00F35008">
        <w:t>national perspective on the fiscal outlook, examining</w:t>
      </w:r>
      <w:r>
        <w:t xml:space="preserve"> </w:t>
      </w:r>
      <w:r w:rsidR="00F35008">
        <w:t xml:space="preserve">outcomes </w:t>
      </w:r>
      <w:r>
        <w:t>across all levels of Australian government</w:t>
      </w:r>
      <w:r w:rsidR="00F35008">
        <w:t xml:space="preserve"> on a consistent basis</w:t>
      </w:r>
      <w:r>
        <w:t xml:space="preserve">.  </w:t>
      </w:r>
    </w:p>
    <w:p w:rsidR="00436FF7" w:rsidRDefault="00436FF7" w:rsidP="00550B44">
      <w:pPr>
        <w:pStyle w:val="OverviewBodyText"/>
      </w:pPr>
      <w:r>
        <w:t xml:space="preserve">The first part of the report highlights how the national fiscal outlook has changed since jurisdictions released their 2016–17 </w:t>
      </w:r>
      <w:r w:rsidR="00856E29">
        <w:t>Budgets</w:t>
      </w:r>
      <w:r w:rsidR="00694F88">
        <w:t>. T</w:t>
      </w:r>
      <w:r>
        <w:t xml:space="preserve">he second part of the report focusses on trends in Commonwealth and state and territories revenue, expenditure, net capital investment and net debt over the forward estimates period.  </w:t>
      </w:r>
    </w:p>
    <w:p w:rsidR="00436FF7" w:rsidRDefault="00436FF7" w:rsidP="00436FF7">
      <w:pPr>
        <w:pStyle w:val="ListBullet"/>
        <w:numPr>
          <w:ilvl w:val="0"/>
          <w:numId w:val="0"/>
        </w:numPr>
      </w:pPr>
      <w:r>
        <w:t xml:space="preserve">The report focusses on the net operating balance, that is, the difference between recurrent revenue and expenses, and on net capital investment.  The net operating balance is the key </w:t>
      </w:r>
      <w:r w:rsidR="00694F88">
        <w:t xml:space="preserve">budget </w:t>
      </w:r>
      <w:r>
        <w:t>measure reported by the states and was adopted by the Commonwealth as their primary accrual measure in the 2017–18 Budget.</w:t>
      </w:r>
      <w:r w:rsidRPr="00320C37">
        <w:rPr>
          <w:rStyle w:val="FootnoteReference"/>
        </w:rPr>
        <w:footnoteReference w:id="1"/>
      </w:r>
      <w:r>
        <w:t xml:space="preserve">  </w:t>
      </w:r>
      <w:r w:rsidRPr="004F49BD">
        <w:t xml:space="preserve">Net capital investment is not included in the net operating balance but is a key component of Commonwealth and state budgets </w:t>
      </w:r>
      <w:r>
        <w:t xml:space="preserve">as it </w:t>
      </w:r>
      <w:r w:rsidRPr="004F49BD">
        <w:t xml:space="preserve">still needs to be financed, whether from recurrent revenue, </w:t>
      </w:r>
      <w:r w:rsidR="00F3784B">
        <w:t>selling</w:t>
      </w:r>
      <w:r w:rsidRPr="004F49BD">
        <w:t xml:space="preserve"> assets or borrowing</w:t>
      </w:r>
      <w:r>
        <w:t>.</w:t>
      </w:r>
    </w:p>
    <w:p w:rsidR="00436FF7" w:rsidRDefault="00436FF7" w:rsidP="00436FF7">
      <w:pPr>
        <w:pStyle w:val="OverviewBodyText"/>
      </w:pPr>
      <w:r w:rsidRPr="006C6423">
        <w:t>To allow for the most consistent comparison across jurisdictions</w:t>
      </w:r>
      <w:r>
        <w:t xml:space="preserve"> historical</w:t>
      </w:r>
      <w:r w:rsidRPr="006C6423">
        <w:t xml:space="preserve"> data are sourced from the ABS from 2006–07 to 2015–16.  From 2016–17 to 2020–21 data </w:t>
      </w:r>
      <w:r>
        <w:t xml:space="preserve">are based on </w:t>
      </w:r>
      <w:r w:rsidRPr="006C6423">
        <w:t>Commonwealth, state and territory budgets</w:t>
      </w:r>
      <w:r>
        <w:t>.</w:t>
      </w:r>
    </w:p>
    <w:p w:rsidR="00436FF7" w:rsidRDefault="00436FF7" w:rsidP="00436FF7">
      <w:pPr>
        <w:pStyle w:val="OverviewBodyText"/>
      </w:pPr>
      <w:r w:rsidRPr="00663F4A">
        <w:t xml:space="preserve">The report was prepared by </w:t>
      </w:r>
      <w:r>
        <w:t>Sam Pelly and Anupam Sharma</w:t>
      </w:r>
      <w:r w:rsidRPr="00663F4A">
        <w:t xml:space="preserve"> with the benefit of comments by Paul Gardiner and Tim Pyne. </w:t>
      </w:r>
      <w:r>
        <w:t xml:space="preserve"> The report was prepared for publication by Lauren Pratley.</w:t>
      </w:r>
    </w:p>
    <w:p w:rsidR="00351F62" w:rsidRDefault="004B350B" w:rsidP="00925603">
      <w:pPr>
        <w:spacing w:before="960"/>
      </w:pPr>
      <w:r>
        <w:t>Jenny Wilkinson</w:t>
      </w:r>
    </w:p>
    <w:p w:rsidR="00EA6EB3" w:rsidRDefault="004B350B" w:rsidP="0009142F">
      <w:pPr>
        <w:spacing w:after="114"/>
      </w:pPr>
      <w:r>
        <w:t>Parliamentary Budget Office</w:t>
      </w:r>
    </w:p>
    <w:p w:rsidR="0009142F" w:rsidRDefault="00917A9C">
      <w:pPr>
        <w:sectPr w:rsidR="0009142F" w:rsidSect="005468AB">
          <w:footerReference w:type="default" r:id="rId25"/>
          <w:type w:val="oddPage"/>
          <w:pgSz w:w="11906" w:h="16838" w:code="9"/>
          <w:pgMar w:top="1361" w:right="1797" w:bottom="1474" w:left="1797" w:header="284" w:footer="454" w:gutter="0"/>
          <w:pgNumType w:fmt="lowerRoman"/>
          <w:cols w:space="708"/>
          <w:docGrid w:linePitch="360"/>
        </w:sectPr>
      </w:pPr>
      <w:r w:rsidRPr="00917A9C">
        <w:t>19</w:t>
      </w:r>
      <w:r w:rsidR="0009142F" w:rsidRPr="0009142F">
        <w:t xml:space="preserve"> October 2017</w:t>
      </w:r>
    </w:p>
    <w:p w:rsidR="00903E3F" w:rsidRDefault="000A348F" w:rsidP="00EA6EB3">
      <w:pPr>
        <w:pStyle w:val="Heading1NoNumbering"/>
      </w:pPr>
      <w:bookmarkStart w:id="6" w:name="_Toc495678464"/>
      <w:bookmarkStart w:id="7" w:name="_Toc496168768"/>
      <w:r w:rsidRPr="00C51D0B">
        <w:lastRenderedPageBreak/>
        <w:t>Overview</w:t>
      </w:r>
      <w:bookmarkStart w:id="8" w:name="_OverviewMarker"/>
      <w:bookmarkEnd w:id="6"/>
      <w:bookmarkEnd w:id="8"/>
      <w:bookmarkEnd w:id="7"/>
    </w:p>
    <w:p w:rsidR="00436FF7" w:rsidRDefault="00436FF7" w:rsidP="00436FF7">
      <w:pPr>
        <w:pStyle w:val="ListBullet"/>
        <w:numPr>
          <w:ilvl w:val="0"/>
          <w:numId w:val="0"/>
        </w:numPr>
      </w:pPr>
      <w:r>
        <w:t xml:space="preserve">The 2017–18 national fiscal </w:t>
      </w:r>
      <w:proofErr w:type="gramStart"/>
      <w:r>
        <w:t>outlook</w:t>
      </w:r>
      <w:proofErr w:type="gramEnd"/>
      <w:r>
        <w:t xml:space="preserve"> remains broadly in line with the 2016–17 outlook, with the net operating balance deteriorating by only $13.4 billion </w:t>
      </w:r>
      <w:r w:rsidR="001A131A">
        <w:t xml:space="preserve">for </w:t>
      </w:r>
      <w:r>
        <w:t xml:space="preserve">the period 2016–17 to </w:t>
      </w:r>
      <w:r w:rsidR="00AC34CF">
        <w:br/>
      </w:r>
      <w:r>
        <w:t>2019–20 (0.2</w:t>
      </w:r>
      <w:r w:rsidRPr="00CF1DF7">
        <w:t xml:space="preserve"> per cent of GDP</w:t>
      </w:r>
      <w:r>
        <w:t>).</w:t>
      </w:r>
      <w:r w:rsidRPr="00543764">
        <w:t xml:space="preserve"> </w:t>
      </w:r>
      <w:r>
        <w:t xml:space="preserve"> N</w:t>
      </w:r>
      <w:r w:rsidRPr="00F9055B">
        <w:t>ational net debt is projected to be</w:t>
      </w:r>
      <w:r>
        <w:t xml:space="preserve"> </w:t>
      </w:r>
      <w:r w:rsidRPr="00F9055B">
        <w:t>$22.9</w:t>
      </w:r>
      <w:r>
        <w:t> </w:t>
      </w:r>
      <w:r w:rsidRPr="00F9055B">
        <w:t>billion</w:t>
      </w:r>
      <w:r>
        <w:t xml:space="preserve"> (1.3 per cent of GDP) </w:t>
      </w:r>
      <w:r w:rsidRPr="00F9055B">
        <w:t>higher in 2019–20</w:t>
      </w:r>
      <w:r>
        <w:t xml:space="preserve"> </w:t>
      </w:r>
      <w:r w:rsidR="001A131A">
        <w:t>than was</w:t>
      </w:r>
      <w:r w:rsidR="00694F88">
        <w:t xml:space="preserve"> projected in the </w:t>
      </w:r>
      <w:r>
        <w:t>2016</w:t>
      </w:r>
      <w:r w:rsidRPr="00F9055B">
        <w:t>–</w:t>
      </w:r>
      <w:r>
        <w:t>17 outlook.</w:t>
      </w:r>
    </w:p>
    <w:p w:rsidR="001B5F37" w:rsidRDefault="001B5F37" w:rsidP="00436FF7">
      <w:pPr>
        <w:pStyle w:val="ListBullet"/>
        <w:numPr>
          <w:ilvl w:val="0"/>
          <w:numId w:val="0"/>
        </w:numPr>
      </w:pPr>
      <w:r w:rsidRPr="001B5F37">
        <w:t xml:space="preserve">Australia’s fiscal position compares favourably with other countries, with levels of spending and revenue around the OECD average </w:t>
      </w:r>
      <w:r w:rsidR="001A131A">
        <w:t>but with</w:t>
      </w:r>
      <w:r w:rsidR="001A131A" w:rsidRPr="001B5F37">
        <w:t xml:space="preserve"> </w:t>
      </w:r>
      <w:r w:rsidRPr="001B5F37">
        <w:t xml:space="preserve">relatively low net debt.  </w:t>
      </w:r>
      <w:r w:rsidR="00CB16DF">
        <w:t>Ongoing r</w:t>
      </w:r>
      <w:r w:rsidRPr="001B5F37">
        <w:t>isks to revenue and expense projections at both Commonwealth and state levels</w:t>
      </w:r>
      <w:r w:rsidR="00694F88">
        <w:t>, however,</w:t>
      </w:r>
      <w:r w:rsidRPr="001B5F37">
        <w:t xml:space="preserve"> suggest a </w:t>
      </w:r>
      <w:r w:rsidR="00694F88">
        <w:t xml:space="preserve">need for </w:t>
      </w:r>
      <w:r w:rsidRPr="001B5F37">
        <w:t>continued vigilance.</w:t>
      </w:r>
    </w:p>
    <w:p w:rsidR="00436FF7" w:rsidRDefault="00436FF7" w:rsidP="00436FF7">
      <w:pPr>
        <w:pStyle w:val="ListBullet"/>
        <w:numPr>
          <w:ilvl w:val="0"/>
          <w:numId w:val="0"/>
        </w:numPr>
      </w:pPr>
      <w:r>
        <w:t xml:space="preserve">Over the 2017–18 forward estimates the national </w:t>
      </w:r>
      <w:r w:rsidR="001A131A">
        <w:t>net operating balance</w:t>
      </w:r>
      <w:r>
        <w:t xml:space="preserve"> is projected to move from a deficit of 1.</w:t>
      </w:r>
      <w:r w:rsidR="00E04CC6">
        <w:t>4</w:t>
      </w:r>
      <w:r>
        <w:t xml:space="preserve"> per cent of GDP to a surplus of 1.6 per cent of GDP.  </w:t>
      </w:r>
      <w:r w:rsidR="00694F88">
        <w:t xml:space="preserve">As the </w:t>
      </w:r>
      <w:r w:rsidR="00694F88" w:rsidRPr="007776E9">
        <w:t>PBO’s</w:t>
      </w:r>
      <w:r w:rsidR="00694F88">
        <w:t xml:space="preserve"> </w:t>
      </w:r>
      <w:r w:rsidR="00AC34CF">
        <w:br/>
      </w:r>
      <w:r w:rsidR="00694F88">
        <w:rPr>
          <w:i/>
        </w:rPr>
        <w:t>2017–18 </w:t>
      </w:r>
      <w:r w:rsidR="00694F88" w:rsidRPr="00617E66">
        <w:rPr>
          <w:i/>
        </w:rPr>
        <w:t>Budget medium-term projections</w:t>
      </w:r>
      <w:r w:rsidR="00694F88">
        <w:t xml:space="preserve"> report noted, t</w:t>
      </w:r>
      <w:r>
        <w:t>his improvement relies on a pick-up in Commonwealth personal income tax revenue</w:t>
      </w:r>
      <w:r w:rsidR="00CB16DF">
        <w:t xml:space="preserve"> </w:t>
      </w:r>
      <w:r w:rsidR="00C95293">
        <w:t xml:space="preserve">largely </w:t>
      </w:r>
      <w:r w:rsidR="00CB16DF">
        <w:t>driv</w:t>
      </w:r>
      <w:r w:rsidR="00F3784B">
        <w:t>en</w:t>
      </w:r>
      <w:r w:rsidR="00CB16DF">
        <w:t xml:space="preserve"> by higher wages growth</w:t>
      </w:r>
      <w:r>
        <w:t xml:space="preserve">.   </w:t>
      </w:r>
    </w:p>
    <w:p w:rsidR="00436FF7" w:rsidRDefault="00436FF7" w:rsidP="00436FF7">
      <w:pPr>
        <w:pStyle w:val="ListBullet"/>
        <w:numPr>
          <w:ilvl w:val="0"/>
          <w:numId w:val="0"/>
        </w:numPr>
      </w:pPr>
      <w:r>
        <w:t>The projected return to surplus over the 2017–18 forward estimates is also based on subdued expenses growth for both the Commonwealth and, in particular, the states.  State expenses are projected to grow by 1.2 per ce</w:t>
      </w:r>
      <w:r w:rsidR="00212BE1">
        <w:t xml:space="preserve">nt annually </w:t>
      </w:r>
      <w:r w:rsidR="00AC34CF">
        <w:t xml:space="preserve">in real terms </w:t>
      </w:r>
      <w:r w:rsidR="00377E1D">
        <w:t>over the five years to 2020–21</w:t>
      </w:r>
      <w:r>
        <w:t xml:space="preserve">, which is low by historical standards.  </w:t>
      </w:r>
      <w:r w:rsidR="00656950">
        <w:t>This</w:t>
      </w:r>
      <w:r w:rsidR="00001E04">
        <w:t xml:space="preserve"> partly </w:t>
      </w:r>
      <w:r w:rsidR="00656950">
        <w:t>reflects spikes in expenses early in the period which are not projected to continue over the entirety of the forward estimates period</w:t>
      </w:r>
      <w:r w:rsidRPr="008B213B">
        <w:t>.</w:t>
      </w:r>
      <w:r>
        <w:t xml:space="preserve">  </w:t>
      </w:r>
    </w:p>
    <w:p w:rsidR="00436FF7" w:rsidRDefault="00436FF7" w:rsidP="00436FF7">
      <w:pPr>
        <w:pStyle w:val="BodyText"/>
      </w:pPr>
      <w:r>
        <w:t xml:space="preserve">While net capital investment is not included in the net operating balance, it </w:t>
      </w:r>
      <w:r w:rsidRPr="004F49BD">
        <w:t xml:space="preserve">is </w:t>
      </w:r>
      <w:r>
        <w:t xml:space="preserve">still </w:t>
      </w:r>
      <w:r w:rsidRPr="004F49BD">
        <w:t>a key component of Commonwealth and state budgets</w:t>
      </w:r>
      <w:r>
        <w:t xml:space="preserve">. </w:t>
      </w:r>
      <w:r w:rsidRPr="004F49BD">
        <w:t xml:space="preserve"> </w:t>
      </w:r>
      <w:r>
        <w:t xml:space="preserve">National net capital investment is projected to grow strongly during the forward estimates driven by state infrastructure spending.  </w:t>
      </w:r>
    </w:p>
    <w:p w:rsidR="00436FF7" w:rsidRPr="007B6A7F" w:rsidRDefault="00436FF7" w:rsidP="00436FF7">
      <w:pPr>
        <w:pStyle w:val="BodyText"/>
        <w:rPr>
          <w:i/>
        </w:rPr>
      </w:pPr>
      <w:r>
        <w:t>Aggregate state net capital investment is projected to increase rapidly</w:t>
      </w:r>
      <w:r w:rsidR="00CA5672">
        <w:t xml:space="preserve"> over the period ahead</w:t>
      </w:r>
      <w:r>
        <w:t>, peaking at 0.9</w:t>
      </w:r>
      <w:r w:rsidR="00EF7EE7">
        <w:t> </w:t>
      </w:r>
      <w:r>
        <w:t>per</w:t>
      </w:r>
      <w:r w:rsidR="00EF7EE7">
        <w:t> </w:t>
      </w:r>
      <w:r>
        <w:t xml:space="preserve">cent of GDP in 2018–19, before declining to 0.3 per cent of GDP by </w:t>
      </w:r>
      <w:r w:rsidR="00AC34CF">
        <w:br/>
      </w:r>
      <w:r>
        <w:t xml:space="preserve">2020–21.  Much of this growth is driven by New South Wales, which makes up around </w:t>
      </w:r>
      <w:r w:rsidR="00AC34CF">
        <w:t>60 per </w:t>
      </w:r>
      <w:r>
        <w:t xml:space="preserve">cent of state net capital investment in 2018–19. </w:t>
      </w:r>
    </w:p>
    <w:p w:rsidR="00436FF7" w:rsidRDefault="00436FF7" w:rsidP="00436FF7">
      <w:pPr>
        <w:pStyle w:val="BodyText"/>
      </w:pPr>
      <w:r w:rsidRPr="003C734C">
        <w:t>Commonwealth net debt</w:t>
      </w:r>
      <w:r w:rsidR="00B51D95">
        <w:t>, which</w:t>
      </w:r>
      <w:r w:rsidRPr="003C734C">
        <w:t xml:space="preserve"> </w:t>
      </w:r>
      <w:r w:rsidR="00614741">
        <w:t xml:space="preserve">makes up around 90 per cent of national net debt in </w:t>
      </w:r>
      <w:r w:rsidR="00EF7EE7">
        <w:br/>
      </w:r>
      <w:r w:rsidR="00614741">
        <w:t>2016–17</w:t>
      </w:r>
      <w:r w:rsidR="00B51D95">
        <w:t xml:space="preserve">, is </w:t>
      </w:r>
      <w:r w:rsidRPr="003C734C">
        <w:t xml:space="preserve">projected to </w:t>
      </w:r>
      <w:r>
        <w:t>decline over the latte</w:t>
      </w:r>
      <w:r w:rsidR="003F2468">
        <w:t xml:space="preserve">r part of the forward estimates.  </w:t>
      </w:r>
      <w:r w:rsidR="00614741">
        <w:t>In contrast</w:t>
      </w:r>
      <w:r w:rsidR="00CB16DF">
        <w:t>,</w:t>
      </w:r>
      <w:r w:rsidR="00614741">
        <w:t xml:space="preserve"> </w:t>
      </w:r>
      <w:r w:rsidR="003F2468">
        <w:t>state net debt</w:t>
      </w:r>
      <w:r w:rsidR="001A131A">
        <w:t xml:space="preserve"> as a share of GDP</w:t>
      </w:r>
      <w:r w:rsidR="003F2468">
        <w:t xml:space="preserve"> </w:t>
      </w:r>
      <w:r w:rsidR="00614741">
        <w:t xml:space="preserve">is </w:t>
      </w:r>
      <w:r>
        <w:t>projected to more than double over the forward estimates period, increasing from 2.0 per cent of GDP in 2016–17 to 4.7 per cent of GDP in 2020–21.  This largely reflec</w:t>
      </w:r>
      <w:r w:rsidR="00614741">
        <w:t>ts</w:t>
      </w:r>
      <w:r>
        <w:t xml:space="preserve"> </w:t>
      </w:r>
      <w:r w:rsidR="00B51D95">
        <w:t xml:space="preserve">the </w:t>
      </w:r>
      <w:r w:rsidR="00614741">
        <w:t xml:space="preserve">net </w:t>
      </w:r>
      <w:r>
        <w:t>borrowing</w:t>
      </w:r>
      <w:r w:rsidR="00614741">
        <w:t xml:space="preserve"> of the states</w:t>
      </w:r>
      <w:r>
        <w:t xml:space="preserve"> to finance the</w:t>
      </w:r>
      <w:r w:rsidR="00614741">
        <w:t>ir</w:t>
      </w:r>
      <w:r>
        <w:t xml:space="preserve"> strong levels of net capital investment over the forward estimates period.</w:t>
      </w:r>
    </w:p>
    <w:p w:rsidR="00436FF7" w:rsidRDefault="00436FF7" w:rsidP="00543764">
      <w:pPr>
        <w:pStyle w:val="ListBullet"/>
        <w:numPr>
          <w:ilvl w:val="0"/>
          <w:numId w:val="0"/>
        </w:numPr>
      </w:pPr>
    </w:p>
    <w:p w:rsidR="00436FF7" w:rsidRDefault="00436FF7" w:rsidP="00543764">
      <w:pPr>
        <w:pStyle w:val="ListBullet"/>
        <w:numPr>
          <w:ilvl w:val="0"/>
          <w:numId w:val="0"/>
        </w:numPr>
      </w:pPr>
    </w:p>
    <w:p w:rsidR="00436FF7" w:rsidRDefault="00436FF7" w:rsidP="00543764">
      <w:pPr>
        <w:pStyle w:val="ListBullet"/>
        <w:numPr>
          <w:ilvl w:val="0"/>
          <w:numId w:val="0"/>
        </w:numPr>
      </w:pPr>
    </w:p>
    <w:p w:rsidR="00543764" w:rsidRDefault="00543764"/>
    <w:p w:rsidR="00903E3F" w:rsidRDefault="007B673E" w:rsidP="00CF5CE3">
      <w:pPr>
        <w:pStyle w:val="Heading1"/>
      </w:pPr>
      <w:bookmarkStart w:id="9" w:name="_Toc495678465"/>
      <w:bookmarkStart w:id="10" w:name="_Toc495929638"/>
      <w:bookmarkStart w:id="11" w:name="_Toc495678466"/>
      <w:bookmarkStart w:id="12" w:name="_Toc496168769"/>
      <w:bookmarkEnd w:id="9"/>
      <w:bookmarkEnd w:id="10"/>
      <w:r>
        <w:lastRenderedPageBreak/>
        <w:t>National fiscal outlook</w:t>
      </w:r>
      <w:r w:rsidR="001B3545" w:rsidRPr="00320C37">
        <w:rPr>
          <w:rStyle w:val="FootnoteReference"/>
        </w:rPr>
        <w:footnoteReference w:id="2"/>
      </w:r>
      <w:bookmarkEnd w:id="11"/>
      <w:bookmarkEnd w:id="12"/>
    </w:p>
    <w:p w:rsidR="00274F41" w:rsidRPr="00FC60A5" w:rsidRDefault="00274F41" w:rsidP="00274F41">
      <w:pPr>
        <w:pStyle w:val="ListBullet"/>
        <w:numPr>
          <w:ilvl w:val="0"/>
          <w:numId w:val="0"/>
        </w:numPr>
      </w:pPr>
      <w:r>
        <w:t xml:space="preserve">This </w:t>
      </w:r>
      <w:r w:rsidR="001F2E68">
        <w:t>section</w:t>
      </w:r>
      <w:r>
        <w:t xml:space="preserve"> examines how the </w:t>
      </w:r>
      <w:r w:rsidR="00145116">
        <w:t xml:space="preserve">national </w:t>
      </w:r>
      <w:r>
        <w:t xml:space="preserve">fiscal outlook </w:t>
      </w:r>
      <w:r w:rsidR="00145116">
        <w:t xml:space="preserve">has changed since jurisdictions released their </w:t>
      </w:r>
      <w:r>
        <w:t>2016</w:t>
      </w:r>
      <w:r w:rsidR="0065563F">
        <w:t>–</w:t>
      </w:r>
      <w:r>
        <w:t xml:space="preserve">17 Budgets.  Data and figures in this </w:t>
      </w:r>
      <w:r w:rsidR="001F2E68">
        <w:t>section</w:t>
      </w:r>
      <w:r>
        <w:t xml:space="preserve"> have been adjusted to eliminate transfers between levels of government.  </w:t>
      </w:r>
    </w:p>
    <w:p w:rsidR="00504214" w:rsidRPr="00274F41" w:rsidRDefault="00504214" w:rsidP="003C1059">
      <w:pPr>
        <w:pStyle w:val="Heading2"/>
      </w:pPr>
      <w:bookmarkStart w:id="13" w:name="_Toc495678467"/>
      <w:bookmarkStart w:id="14" w:name="_Toc496168770"/>
      <w:r>
        <w:t>Net operating balance</w:t>
      </w:r>
      <w:bookmarkEnd w:id="13"/>
      <w:bookmarkEnd w:id="14"/>
    </w:p>
    <w:p w:rsidR="001B3545" w:rsidRDefault="001B3545" w:rsidP="001B3545">
      <w:pPr>
        <w:pStyle w:val="ListBullet"/>
        <w:numPr>
          <w:ilvl w:val="0"/>
          <w:numId w:val="0"/>
        </w:numPr>
      </w:pPr>
      <w:r>
        <w:t>The 2017</w:t>
      </w:r>
      <w:r w:rsidR="0065563F">
        <w:t>–</w:t>
      </w:r>
      <w:r>
        <w:t xml:space="preserve">18 national fiscal outlook remains broadly in line with the </w:t>
      </w:r>
      <w:r w:rsidR="0016647E">
        <w:t>2016</w:t>
      </w:r>
      <w:r w:rsidR="0065563F">
        <w:t>–</w:t>
      </w:r>
      <w:r w:rsidR="0016647E">
        <w:t>17 outlook,</w:t>
      </w:r>
      <w:r w:rsidR="00160262">
        <w:t xml:space="preserve"> </w:t>
      </w:r>
      <w:r w:rsidR="00CB16DF">
        <w:t xml:space="preserve">with the net operating balance </w:t>
      </w:r>
      <w:r w:rsidR="00160262">
        <w:t xml:space="preserve">deteriorating by </w:t>
      </w:r>
      <w:r w:rsidR="008E0672">
        <w:t xml:space="preserve">only </w:t>
      </w:r>
      <w:r w:rsidR="00160262">
        <w:t>$</w:t>
      </w:r>
      <w:r w:rsidR="00293728">
        <w:t>13.</w:t>
      </w:r>
      <w:r w:rsidR="00173483">
        <w:t>4</w:t>
      </w:r>
      <w:r>
        <w:t xml:space="preserve"> billion </w:t>
      </w:r>
      <w:r w:rsidR="00856E29">
        <w:t xml:space="preserve">for </w:t>
      </w:r>
      <w:r>
        <w:t>the period 2016</w:t>
      </w:r>
      <w:r w:rsidR="0065563F">
        <w:t>–</w:t>
      </w:r>
      <w:r>
        <w:t xml:space="preserve">17 to </w:t>
      </w:r>
      <w:r w:rsidR="00C95293">
        <w:br/>
      </w:r>
      <w:r>
        <w:t>2019</w:t>
      </w:r>
      <w:r w:rsidR="0065563F">
        <w:t>–</w:t>
      </w:r>
      <w:r>
        <w:t>20</w:t>
      </w:r>
      <w:r w:rsidR="00E06953">
        <w:t xml:space="preserve"> </w:t>
      </w:r>
      <w:r w:rsidR="001E1D55">
        <w:t>(0.2</w:t>
      </w:r>
      <w:r w:rsidR="001E1D55" w:rsidRPr="00CF1DF7">
        <w:t xml:space="preserve"> per cent of GDP)</w:t>
      </w:r>
      <w:r w:rsidR="001E1D55">
        <w:t xml:space="preserve"> </w:t>
      </w:r>
      <w:r w:rsidR="00E06953">
        <w:t>(</w:t>
      </w:r>
      <w:r w:rsidR="00E06953">
        <w:fldChar w:fldCharType="begin"/>
      </w:r>
      <w:r w:rsidR="00E06953">
        <w:instrText xml:space="preserve"> REF _Ref492904286 \h </w:instrText>
      </w:r>
      <w:r w:rsidR="00E06953">
        <w:fldChar w:fldCharType="separate"/>
      </w:r>
      <w:r w:rsidR="00BF7361" w:rsidRPr="002721E2">
        <w:t xml:space="preserve">Figure </w:t>
      </w:r>
      <w:r w:rsidR="00BF7361">
        <w:rPr>
          <w:noProof/>
        </w:rPr>
        <w:t>1</w:t>
      </w:r>
      <w:r w:rsidR="00BF7361" w:rsidRPr="002721E2">
        <w:t>–</w:t>
      </w:r>
      <w:r w:rsidR="00BF7361">
        <w:rPr>
          <w:noProof/>
        </w:rPr>
        <w:t>1</w:t>
      </w:r>
      <w:r w:rsidR="00E06953">
        <w:fldChar w:fldCharType="end"/>
      </w:r>
      <w:r w:rsidR="00E06953">
        <w:t>)</w:t>
      </w:r>
      <w:r>
        <w:t>.</w:t>
      </w:r>
    </w:p>
    <w:tbl>
      <w:tblPr>
        <w:tblStyle w:val="TableGrid"/>
        <w:tblW w:w="8505" w:type="dxa"/>
        <w:tblLayout w:type="fixed"/>
        <w:tblLook w:val="04A0" w:firstRow="1" w:lastRow="0" w:firstColumn="1" w:lastColumn="0" w:noHBand="0" w:noVBand="1"/>
      </w:tblPr>
      <w:tblGrid>
        <w:gridCol w:w="4111"/>
        <w:gridCol w:w="4394"/>
      </w:tblGrid>
      <w:tr w:rsidR="00B77248" w:rsidTr="00236305">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4111" w:type="dxa"/>
            <w:shd w:val="clear" w:color="auto" w:fill="auto"/>
          </w:tcPr>
          <w:p w:rsidR="002721E2" w:rsidRPr="002721E2" w:rsidRDefault="002721E2" w:rsidP="0071143F">
            <w:pPr>
              <w:pStyle w:val="Caption"/>
              <w:spacing w:before="0" w:after="0"/>
            </w:pPr>
            <w:bookmarkStart w:id="15" w:name="_Ref492904286"/>
            <w:bookmarkStart w:id="16" w:name="_Toc495929684"/>
            <w:r w:rsidRPr="002721E2">
              <w:t xml:space="preserve">Figure </w:t>
            </w:r>
            <w:fldSimple w:instr=" STYLEREF 1 \s ">
              <w:r w:rsidR="00BF7361">
                <w:rPr>
                  <w:noProof/>
                </w:rPr>
                <w:t>1</w:t>
              </w:r>
            </w:fldSimple>
            <w:r w:rsidRPr="002721E2">
              <w:t>–</w:t>
            </w:r>
            <w:fldSimple w:instr=" SEQ Figure \* ARABIC \s 1 ">
              <w:r w:rsidR="00BF7361">
                <w:rPr>
                  <w:noProof/>
                </w:rPr>
                <w:t>1</w:t>
              </w:r>
            </w:fldSimple>
            <w:bookmarkEnd w:id="15"/>
            <w:r w:rsidRPr="002721E2">
              <w:t xml:space="preserve">: </w:t>
            </w:r>
            <w:r>
              <w:t xml:space="preserve"> </w:t>
            </w:r>
            <w:r w:rsidR="00040ACF" w:rsidRPr="002721E2">
              <w:t xml:space="preserve">National </w:t>
            </w:r>
            <w:r w:rsidR="001D6500">
              <w:t>net operating</w:t>
            </w:r>
            <w:r w:rsidR="00040ACF" w:rsidRPr="002721E2">
              <w:t xml:space="preserve"> balance</w:t>
            </w:r>
            <w:bookmarkEnd w:id="16"/>
          </w:p>
        </w:tc>
        <w:tc>
          <w:tcPr>
            <w:tcW w:w="4394" w:type="dxa"/>
            <w:shd w:val="clear" w:color="auto" w:fill="auto"/>
          </w:tcPr>
          <w:p w:rsidR="002721E2" w:rsidRPr="002721E2" w:rsidRDefault="002721E2" w:rsidP="00CB16DF">
            <w:pPr>
              <w:pStyle w:val="Caption"/>
              <w:spacing w:before="0" w:after="0"/>
              <w:jc w:val="left"/>
              <w:cnfStyle w:val="100000000000" w:firstRow="1" w:lastRow="0" w:firstColumn="0" w:lastColumn="0" w:oddVBand="0" w:evenVBand="0" w:oddHBand="0" w:evenHBand="0" w:firstRowFirstColumn="0" w:firstRowLastColumn="0" w:lastRowFirstColumn="0" w:lastRowLastColumn="0"/>
            </w:pPr>
            <w:bookmarkStart w:id="17" w:name="_Ref492904256"/>
            <w:bookmarkStart w:id="18" w:name="_Toc495929685"/>
            <w:r w:rsidRPr="002721E2">
              <w:t xml:space="preserve">Figure </w:t>
            </w:r>
            <w:fldSimple w:instr=" STYLEREF 1 \s ">
              <w:r w:rsidR="00BF7361">
                <w:rPr>
                  <w:noProof/>
                </w:rPr>
                <w:t>1</w:t>
              </w:r>
            </w:fldSimple>
            <w:r w:rsidRPr="002721E2">
              <w:t>–</w:t>
            </w:r>
            <w:fldSimple w:instr=" SEQ Figure \* ARABIC \s 1 ">
              <w:r w:rsidR="00BF7361">
                <w:rPr>
                  <w:noProof/>
                </w:rPr>
                <w:t>2</w:t>
              </w:r>
            </w:fldSimple>
            <w:bookmarkEnd w:id="17"/>
            <w:r w:rsidRPr="002721E2">
              <w:t xml:space="preserve">: </w:t>
            </w:r>
            <w:r w:rsidR="00040ACF" w:rsidRPr="002721E2">
              <w:t>Change</w:t>
            </w:r>
            <w:r w:rsidR="008E0672">
              <w:t xml:space="preserve"> in net operating balanc</w:t>
            </w:r>
            <w:r w:rsidR="00CB16DF">
              <w:t>e since 2016</w:t>
            </w:r>
            <w:r w:rsidR="00142836" w:rsidRPr="002721E2">
              <w:t>–</w:t>
            </w:r>
            <w:r w:rsidR="00CB16DF">
              <w:t>17 national fiscal outlook</w:t>
            </w:r>
            <w:bookmarkEnd w:id="18"/>
          </w:p>
        </w:tc>
      </w:tr>
      <w:tr w:rsidR="00B77248" w:rsidTr="00236305">
        <w:trPr>
          <w:cnfStyle w:val="000000100000" w:firstRow="0" w:lastRow="0" w:firstColumn="0" w:lastColumn="0" w:oddVBand="0" w:evenVBand="0" w:oddHBand="1" w:evenHBand="0" w:firstRowFirstColumn="0" w:firstRowLastColumn="0" w:lastRowFirstColumn="0" w:lastRowLastColumn="0"/>
          <w:trHeight w:val="3550"/>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vAlign w:val="top"/>
          </w:tcPr>
          <w:p w:rsidR="00667611" w:rsidRDefault="00443C5B" w:rsidP="00667611">
            <w:pPr>
              <w:pStyle w:val="Source"/>
              <w:jc w:val="center"/>
              <w:rPr>
                <w:sz w:val="18"/>
                <w:szCs w:val="18"/>
              </w:rPr>
            </w:pPr>
            <w:r>
              <w:rPr>
                <w:noProof/>
                <w:sz w:val="18"/>
                <w:szCs w:val="18"/>
              </w:rPr>
              <w:drawing>
                <wp:inline distT="0" distB="0" distL="0" distR="0" wp14:anchorId="3D3EA9B8">
                  <wp:extent cx="2353963" cy="2895801"/>
                  <wp:effectExtent l="0" t="0" r="825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59502" cy="2902615"/>
                          </a:xfrm>
                          <a:prstGeom prst="rect">
                            <a:avLst/>
                          </a:prstGeom>
                          <a:noFill/>
                        </pic:spPr>
                      </pic:pic>
                    </a:graphicData>
                  </a:graphic>
                </wp:inline>
              </w:drawing>
            </w:r>
          </w:p>
          <w:p w:rsidR="00B77248" w:rsidRPr="00550B44" w:rsidRDefault="004C7E93" w:rsidP="00953A81">
            <w:pPr>
              <w:pStyle w:val="Source"/>
              <w:rPr>
                <w:sz w:val="18"/>
                <w:szCs w:val="18"/>
              </w:rPr>
            </w:pPr>
            <w:r w:rsidRPr="00550B44">
              <w:rPr>
                <w:sz w:val="18"/>
                <w:szCs w:val="18"/>
              </w:rPr>
              <w:t xml:space="preserve">Source: </w:t>
            </w:r>
            <w:r w:rsidR="00953A81" w:rsidRPr="00953A81">
              <w:rPr>
                <w:sz w:val="18"/>
                <w:szCs w:val="18"/>
              </w:rPr>
              <w:t>Australian Bureau of Statistics</w:t>
            </w:r>
            <w:r w:rsidR="00953A81">
              <w:rPr>
                <w:sz w:val="18"/>
                <w:szCs w:val="18"/>
              </w:rPr>
              <w:t xml:space="preserve"> (</w:t>
            </w:r>
            <w:r w:rsidRPr="00550B44">
              <w:rPr>
                <w:sz w:val="18"/>
                <w:szCs w:val="18"/>
              </w:rPr>
              <w:t>ABS</w:t>
            </w:r>
            <w:r w:rsidR="00953A81">
              <w:rPr>
                <w:sz w:val="18"/>
                <w:szCs w:val="18"/>
              </w:rPr>
              <w:t>)</w:t>
            </w:r>
            <w:r w:rsidRPr="00550B44">
              <w:rPr>
                <w:sz w:val="18"/>
                <w:szCs w:val="18"/>
              </w:rPr>
              <w:t xml:space="preserve">, Commonwealth and state budget papers, </w:t>
            </w:r>
            <w:r w:rsidR="00953A81">
              <w:rPr>
                <w:sz w:val="18"/>
                <w:szCs w:val="18"/>
              </w:rPr>
              <w:t>Parliamentary Budget Office (</w:t>
            </w:r>
            <w:r w:rsidRPr="00550B44">
              <w:rPr>
                <w:sz w:val="18"/>
                <w:szCs w:val="18"/>
              </w:rPr>
              <w:t>PBO</w:t>
            </w:r>
            <w:r w:rsidR="00953A81">
              <w:rPr>
                <w:sz w:val="18"/>
                <w:szCs w:val="18"/>
              </w:rPr>
              <w:t>)</w:t>
            </w:r>
            <w:r w:rsidRPr="00550B44">
              <w:rPr>
                <w:sz w:val="18"/>
                <w:szCs w:val="18"/>
              </w:rPr>
              <w:t xml:space="preserve"> analysis.</w:t>
            </w:r>
          </w:p>
        </w:tc>
        <w:tc>
          <w:tcPr>
            <w:tcW w:w="4394" w:type="dxa"/>
            <w:shd w:val="clear" w:color="auto" w:fill="auto"/>
            <w:vAlign w:val="top"/>
          </w:tcPr>
          <w:p w:rsidR="00B77248" w:rsidRDefault="00052537" w:rsidP="00B77248">
            <w:pPr>
              <w:pStyle w:val="Body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2BD837F1">
                  <wp:extent cx="2458994" cy="2940907"/>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59046" cy="2940970"/>
                          </a:xfrm>
                          <a:prstGeom prst="rect">
                            <a:avLst/>
                          </a:prstGeom>
                          <a:noFill/>
                        </pic:spPr>
                      </pic:pic>
                    </a:graphicData>
                  </a:graphic>
                </wp:inline>
              </w:drawing>
            </w:r>
          </w:p>
          <w:p w:rsidR="004C7E93" w:rsidRPr="00550B44" w:rsidRDefault="004C7E93" w:rsidP="004C7E93">
            <w:pPr>
              <w:pStyle w:val="Source"/>
              <w:cnfStyle w:val="000000100000" w:firstRow="0" w:lastRow="0" w:firstColumn="0" w:lastColumn="0" w:oddVBand="0" w:evenVBand="0" w:oddHBand="1" w:evenHBand="0" w:firstRowFirstColumn="0" w:firstRowLastColumn="0" w:lastRowFirstColumn="0" w:lastRowLastColumn="0"/>
              <w:rPr>
                <w:sz w:val="18"/>
                <w:szCs w:val="18"/>
              </w:rPr>
            </w:pPr>
            <w:r w:rsidRPr="00550B44">
              <w:rPr>
                <w:sz w:val="18"/>
                <w:szCs w:val="18"/>
              </w:rPr>
              <w:t xml:space="preserve">Source: ABS, Commonwealth and state budget papers, PBO analysis. </w:t>
            </w:r>
          </w:p>
        </w:tc>
      </w:tr>
    </w:tbl>
    <w:p w:rsidR="00397468" w:rsidRDefault="00397468" w:rsidP="003C1059">
      <w:pPr>
        <w:pStyle w:val="ListBullet"/>
        <w:numPr>
          <w:ilvl w:val="0"/>
          <w:numId w:val="0"/>
        </w:numPr>
      </w:pPr>
    </w:p>
    <w:p w:rsidR="007C1D17" w:rsidRDefault="008E0672" w:rsidP="003C1059">
      <w:pPr>
        <w:pStyle w:val="ListBullet"/>
        <w:numPr>
          <w:ilvl w:val="0"/>
          <w:numId w:val="0"/>
        </w:numPr>
      </w:pPr>
      <w:r>
        <w:t>Most</w:t>
      </w:r>
      <w:r w:rsidR="008E1568">
        <w:t xml:space="preserve"> </w:t>
      </w:r>
      <w:r w:rsidR="001B3545">
        <w:t xml:space="preserve">of the deterioration in the national </w:t>
      </w:r>
      <w:r w:rsidR="00675A7C">
        <w:t xml:space="preserve">net operating balance </w:t>
      </w:r>
      <w:r w:rsidR="00F3784B">
        <w:t xml:space="preserve">since the 2016-17 outlook </w:t>
      </w:r>
      <w:r w:rsidR="001B3545">
        <w:t>is due to a downward revision in the Commonw</w:t>
      </w:r>
      <w:r w:rsidR="00E06953">
        <w:t xml:space="preserve">ealth </w:t>
      </w:r>
      <w:r w:rsidR="00675A7C">
        <w:t>net operating</w:t>
      </w:r>
      <w:r w:rsidR="00E06953">
        <w:t xml:space="preserve"> balance (</w:t>
      </w:r>
      <w:r w:rsidR="00E06953">
        <w:fldChar w:fldCharType="begin"/>
      </w:r>
      <w:r w:rsidR="00E06953">
        <w:instrText xml:space="preserve"> REF _Ref492904256 \h </w:instrText>
      </w:r>
      <w:r w:rsidR="00E06953">
        <w:fldChar w:fldCharType="separate"/>
      </w:r>
      <w:r w:rsidR="00BF7361" w:rsidRPr="002721E2">
        <w:t xml:space="preserve">Figure </w:t>
      </w:r>
      <w:r w:rsidR="00BF7361">
        <w:rPr>
          <w:noProof/>
        </w:rPr>
        <w:t>1</w:t>
      </w:r>
      <w:r w:rsidR="00BF7361" w:rsidRPr="002721E2">
        <w:t>–</w:t>
      </w:r>
      <w:r w:rsidR="00BF7361">
        <w:rPr>
          <w:noProof/>
        </w:rPr>
        <w:t>2</w:t>
      </w:r>
      <w:r w:rsidR="00E06953">
        <w:fldChar w:fldCharType="end"/>
      </w:r>
      <w:r w:rsidR="001B3545">
        <w:t xml:space="preserve">). </w:t>
      </w:r>
      <w:r w:rsidR="001F031B">
        <w:t xml:space="preserve"> </w:t>
      </w:r>
      <w:r w:rsidR="001B3545">
        <w:t>This reflects a downward revision in projected Commonwealth revenue of $22.</w:t>
      </w:r>
      <w:r w:rsidR="00160262">
        <w:t>4</w:t>
      </w:r>
      <w:r w:rsidR="001B3545">
        <w:t xml:space="preserve"> billion</w:t>
      </w:r>
      <w:r w:rsidR="00B50A79">
        <w:t xml:space="preserve"> </w:t>
      </w:r>
      <w:r w:rsidR="00856E29">
        <w:t xml:space="preserve">for </w:t>
      </w:r>
      <w:r w:rsidR="00B50A79">
        <w:t>the period 2016</w:t>
      </w:r>
      <w:r w:rsidR="0065563F">
        <w:t>–</w:t>
      </w:r>
      <w:r w:rsidR="00B50A79">
        <w:t>17 to 2019</w:t>
      </w:r>
      <w:r w:rsidR="0065563F">
        <w:t>–</w:t>
      </w:r>
      <w:r w:rsidR="00B50A79">
        <w:t>20</w:t>
      </w:r>
      <w:r w:rsidR="001B3545">
        <w:t xml:space="preserve">, largely driven by lower personal income tax revenue from lower forecast wages growth. </w:t>
      </w:r>
      <w:r w:rsidR="00CE5BF4">
        <w:t xml:space="preserve"> </w:t>
      </w:r>
      <w:r w:rsidR="007C1D17">
        <w:t>From 2019</w:t>
      </w:r>
      <w:r w:rsidR="0065563F">
        <w:t>–</w:t>
      </w:r>
      <w:r w:rsidR="007C1D17">
        <w:t>20 the downward</w:t>
      </w:r>
      <w:r w:rsidR="00CE5BF4">
        <w:t>s</w:t>
      </w:r>
      <w:r w:rsidR="007C1D17">
        <w:t xml:space="preserve"> revision is offset by revenue in</w:t>
      </w:r>
      <w:r w:rsidR="00CE5BF4">
        <w:t>creases from the increase</w:t>
      </w:r>
      <w:r w:rsidR="007C1D17">
        <w:t xml:space="preserve"> in the Medicare levy and the introduction of the major bank levy.</w:t>
      </w:r>
    </w:p>
    <w:p w:rsidR="001B3545" w:rsidRDefault="001B3545" w:rsidP="001B3545">
      <w:pPr>
        <w:pStyle w:val="ListBullet2"/>
        <w:numPr>
          <w:ilvl w:val="0"/>
          <w:numId w:val="0"/>
        </w:numPr>
      </w:pPr>
      <w:r>
        <w:lastRenderedPageBreak/>
        <w:t>In addition</w:t>
      </w:r>
      <w:r w:rsidR="0016647E">
        <w:t>,</w:t>
      </w:r>
      <w:r>
        <w:t xml:space="preserve"> </w:t>
      </w:r>
      <w:r w:rsidR="00893F63">
        <w:t>compared to</w:t>
      </w:r>
      <w:r>
        <w:t xml:space="preserve"> </w:t>
      </w:r>
      <w:r w:rsidR="0016647E">
        <w:t xml:space="preserve">the </w:t>
      </w:r>
      <w:r>
        <w:t>2016</w:t>
      </w:r>
      <w:r w:rsidR="0065563F">
        <w:t>–</w:t>
      </w:r>
      <w:r>
        <w:t xml:space="preserve">17 </w:t>
      </w:r>
      <w:proofErr w:type="gramStart"/>
      <w:r w:rsidR="00893F63">
        <w:t>Budget</w:t>
      </w:r>
      <w:proofErr w:type="gramEnd"/>
      <w:r w:rsidR="00B51EC0">
        <w:t>,</w:t>
      </w:r>
      <w:r>
        <w:t xml:space="preserve"> GST </w:t>
      </w:r>
      <w:r w:rsidR="001E1D55">
        <w:t>revenue has been revised down by $7.0</w:t>
      </w:r>
      <w:r>
        <w:t xml:space="preserve"> billion </w:t>
      </w:r>
      <w:r w:rsidR="00856E29">
        <w:t xml:space="preserve">for </w:t>
      </w:r>
      <w:r>
        <w:t>the</w:t>
      </w:r>
      <w:r w:rsidR="00DF52E3">
        <w:t xml:space="preserve"> period 2016</w:t>
      </w:r>
      <w:r w:rsidR="0065563F">
        <w:t>–</w:t>
      </w:r>
      <w:r w:rsidR="00DF52E3">
        <w:t>17 to 2019</w:t>
      </w:r>
      <w:r w:rsidR="0065563F">
        <w:t>–</w:t>
      </w:r>
      <w:r w:rsidR="00DF52E3">
        <w:t>20</w:t>
      </w:r>
      <w:r>
        <w:t xml:space="preserve">, </w:t>
      </w:r>
      <w:r w:rsidR="00A619B7" w:rsidRPr="00A619B7">
        <w:t>reflecting lower forecast household consumption and private dwelling investment</w:t>
      </w:r>
      <w:r w:rsidR="00A619B7">
        <w:t>.</w:t>
      </w:r>
      <w:r w:rsidR="00AA2D5A">
        <w:t xml:space="preserve"> </w:t>
      </w:r>
      <w:r w:rsidR="00A619B7">
        <w:t xml:space="preserve"> This </w:t>
      </w:r>
      <w:r>
        <w:t xml:space="preserve">has </w:t>
      </w:r>
      <w:r w:rsidR="003366B4">
        <w:t>decreased the pool of fu</w:t>
      </w:r>
      <w:r w:rsidR="009F07D5">
        <w:t>nding available for distribution</w:t>
      </w:r>
      <w:r w:rsidR="003366B4">
        <w:t xml:space="preserve"> to the states (see </w:t>
      </w:r>
      <w:r w:rsidR="008E0672">
        <w:t xml:space="preserve">Section </w:t>
      </w:r>
      <w:r w:rsidR="003366B4">
        <w:t>2)</w:t>
      </w:r>
      <w:r>
        <w:t>.</w:t>
      </w:r>
    </w:p>
    <w:p w:rsidR="001B3545" w:rsidRDefault="001B3545" w:rsidP="001B3545">
      <w:pPr>
        <w:pStyle w:val="ListBullet"/>
        <w:numPr>
          <w:ilvl w:val="0"/>
          <w:numId w:val="0"/>
        </w:numPr>
      </w:pPr>
      <w:r>
        <w:t xml:space="preserve">The </w:t>
      </w:r>
      <w:r w:rsidR="00CA5672">
        <w:t>downward revision to</w:t>
      </w:r>
      <w:r>
        <w:t xml:space="preserve"> Commonwealth revenue is</w:t>
      </w:r>
      <w:r w:rsidR="0016647E">
        <w:t xml:space="preserve"> </w:t>
      </w:r>
      <w:r w:rsidR="008E0672">
        <w:t xml:space="preserve">partially </w:t>
      </w:r>
      <w:r>
        <w:t xml:space="preserve">offset by </w:t>
      </w:r>
      <w:r w:rsidR="007841CA">
        <w:t xml:space="preserve">a downward revision </w:t>
      </w:r>
      <w:proofErr w:type="gramStart"/>
      <w:r w:rsidR="007841CA">
        <w:t xml:space="preserve">to </w:t>
      </w:r>
      <w:r>
        <w:t xml:space="preserve"> </w:t>
      </w:r>
      <w:r w:rsidR="00856E29">
        <w:t>Commonwealth</w:t>
      </w:r>
      <w:proofErr w:type="gramEnd"/>
      <w:r w:rsidR="00856E29">
        <w:t xml:space="preserve"> </w:t>
      </w:r>
      <w:r>
        <w:t>expenses of $11.</w:t>
      </w:r>
      <w:r w:rsidR="0016647E">
        <w:t>2 </w:t>
      </w:r>
      <w:r>
        <w:t>billion</w:t>
      </w:r>
      <w:r w:rsidR="00DF52E3">
        <w:t xml:space="preserve"> </w:t>
      </w:r>
      <w:r w:rsidR="00856E29">
        <w:t xml:space="preserve">for </w:t>
      </w:r>
      <w:r w:rsidR="00DF52E3">
        <w:t>the period 2016</w:t>
      </w:r>
      <w:r w:rsidR="0065563F">
        <w:t>–</w:t>
      </w:r>
      <w:r w:rsidR="00DF52E3">
        <w:t>17 to 2019</w:t>
      </w:r>
      <w:r w:rsidR="0065563F">
        <w:t>–</w:t>
      </w:r>
      <w:r w:rsidR="00DF52E3">
        <w:t>20</w:t>
      </w:r>
      <w:r w:rsidR="00AA2D5A">
        <w:t xml:space="preserve">.  </w:t>
      </w:r>
      <w:r>
        <w:t xml:space="preserve">This is driven by lower </w:t>
      </w:r>
      <w:r w:rsidR="00CA5672">
        <w:t xml:space="preserve">forecast </w:t>
      </w:r>
      <w:r>
        <w:t xml:space="preserve">growth in expected recipient numbers and payment rates across a range of </w:t>
      </w:r>
      <w:r w:rsidR="003366B4">
        <w:t xml:space="preserve">Commonwealth </w:t>
      </w:r>
      <w:r>
        <w:t xml:space="preserve">payment programs. </w:t>
      </w:r>
    </w:p>
    <w:p w:rsidR="008F60A6" w:rsidRDefault="001B3545" w:rsidP="003F14B1">
      <w:pPr>
        <w:pStyle w:val="ListBullet"/>
        <w:numPr>
          <w:ilvl w:val="0"/>
          <w:numId w:val="0"/>
        </w:numPr>
      </w:pPr>
      <w:r>
        <w:t xml:space="preserve">The </w:t>
      </w:r>
      <w:r w:rsidR="00C902CF">
        <w:t xml:space="preserve">rest </w:t>
      </w:r>
      <w:r>
        <w:t xml:space="preserve">of the deterioration in the </w:t>
      </w:r>
      <w:r w:rsidR="003366B4">
        <w:t xml:space="preserve">national </w:t>
      </w:r>
      <w:r w:rsidR="00470ED3">
        <w:t>net operating</w:t>
      </w:r>
      <w:r>
        <w:t xml:space="preserve"> balance </w:t>
      </w:r>
      <w:r w:rsidR="00142836">
        <w:t xml:space="preserve">since the 2016–17 outlook </w:t>
      </w:r>
      <w:r>
        <w:t xml:space="preserve">is due to </w:t>
      </w:r>
      <w:r w:rsidR="00B51EC0">
        <w:t xml:space="preserve">a small </w:t>
      </w:r>
      <w:r>
        <w:t>downward revision in the aggreg</w:t>
      </w:r>
      <w:r w:rsidR="00DF52E3">
        <w:t xml:space="preserve">ate </w:t>
      </w:r>
      <w:r w:rsidR="00470ED3">
        <w:t>net operating</w:t>
      </w:r>
      <w:r w:rsidR="00DF52E3">
        <w:t xml:space="preserve"> balance of state</w:t>
      </w:r>
      <w:r w:rsidR="00C236AB">
        <w:t xml:space="preserve">, territory and </w:t>
      </w:r>
      <w:r w:rsidR="00DF52E3">
        <w:t>local governments</w:t>
      </w:r>
      <w:r w:rsidR="00D259A3">
        <w:t xml:space="preserve"> (hereafter referred to as ‘states’)</w:t>
      </w:r>
      <w:r>
        <w:t xml:space="preserve">. </w:t>
      </w:r>
    </w:p>
    <w:p w:rsidR="001B3545" w:rsidRDefault="001B3545" w:rsidP="003F14B1">
      <w:pPr>
        <w:pStyle w:val="ListBullet"/>
        <w:numPr>
          <w:ilvl w:val="0"/>
          <w:numId w:val="0"/>
        </w:numPr>
      </w:pPr>
      <w:r>
        <w:t xml:space="preserve">There has been an upward revision in state </w:t>
      </w:r>
      <w:r w:rsidR="00160262">
        <w:t>revenue of $</w:t>
      </w:r>
      <w:r w:rsidR="0026391E">
        <w:t>26.5</w:t>
      </w:r>
      <w:r>
        <w:t xml:space="preserve"> billion </w:t>
      </w:r>
      <w:r w:rsidR="00856E29">
        <w:t xml:space="preserve">for </w:t>
      </w:r>
      <w:r>
        <w:t>the period 2016</w:t>
      </w:r>
      <w:r w:rsidR="0065563F">
        <w:t>–</w:t>
      </w:r>
      <w:r>
        <w:t>17 to 2019</w:t>
      </w:r>
      <w:r w:rsidR="0065563F">
        <w:t>–</w:t>
      </w:r>
      <w:r>
        <w:t>20</w:t>
      </w:r>
      <w:r w:rsidR="00C902CF">
        <w:t xml:space="preserve"> </w:t>
      </w:r>
      <w:r w:rsidR="00856E29">
        <w:t xml:space="preserve">compared with the </w:t>
      </w:r>
      <w:r w:rsidR="00C902CF">
        <w:t>2016</w:t>
      </w:r>
      <w:r w:rsidR="0065563F">
        <w:t>–</w:t>
      </w:r>
      <w:r w:rsidR="00C902CF">
        <w:t xml:space="preserve">17 </w:t>
      </w:r>
      <w:proofErr w:type="gramStart"/>
      <w:r w:rsidR="00856E29">
        <w:t>outlook</w:t>
      </w:r>
      <w:proofErr w:type="gramEnd"/>
      <w:r>
        <w:t xml:space="preserve">, largely driven by </w:t>
      </w:r>
      <w:r w:rsidR="007841CA">
        <w:t xml:space="preserve">higher forecast </w:t>
      </w:r>
      <w:r>
        <w:t xml:space="preserve">revenue </w:t>
      </w:r>
      <w:r w:rsidR="00C902CF">
        <w:t>in</w:t>
      </w:r>
      <w:r>
        <w:t xml:space="preserve"> New South Wales, Queensland and </w:t>
      </w:r>
      <w:r w:rsidRPr="0065563F">
        <w:t>Victoria</w:t>
      </w:r>
      <w:r>
        <w:t>.</w:t>
      </w:r>
    </w:p>
    <w:p w:rsidR="001B3545" w:rsidRDefault="00FD4EAF" w:rsidP="003F14B1">
      <w:pPr>
        <w:pStyle w:val="ListBullet"/>
        <w:numPr>
          <w:ilvl w:val="0"/>
          <w:numId w:val="0"/>
        </w:numPr>
      </w:pPr>
      <w:r>
        <w:t xml:space="preserve">The </w:t>
      </w:r>
      <w:r w:rsidR="007841CA">
        <w:t>upward revision</w:t>
      </w:r>
      <w:r>
        <w:t xml:space="preserve"> in New South Wales revenue </w:t>
      </w:r>
      <w:r w:rsidR="00575BB4">
        <w:t>reflects higher</w:t>
      </w:r>
      <w:r w:rsidR="001B3545">
        <w:t xml:space="preserve"> </w:t>
      </w:r>
      <w:r w:rsidR="00D40607">
        <w:t xml:space="preserve">forecast </w:t>
      </w:r>
      <w:r w:rsidR="001B3545">
        <w:t>transfer duty</w:t>
      </w:r>
      <w:r w:rsidR="003F14B1">
        <w:t xml:space="preserve"> from </w:t>
      </w:r>
      <w:r w:rsidR="001B3545">
        <w:t xml:space="preserve">property price growth and </w:t>
      </w:r>
      <w:r w:rsidR="009F07D5">
        <w:t xml:space="preserve">stamp duty proceeds from </w:t>
      </w:r>
      <w:r w:rsidR="001B3545">
        <w:t xml:space="preserve">the partial lease of </w:t>
      </w:r>
      <w:r w:rsidR="007054F1">
        <w:t xml:space="preserve">electricity distributors </w:t>
      </w:r>
      <w:proofErr w:type="spellStart"/>
      <w:r w:rsidR="001B3545">
        <w:t>Ausgrid</w:t>
      </w:r>
      <w:proofErr w:type="spellEnd"/>
      <w:r w:rsidR="001B3545">
        <w:t xml:space="preserve"> </w:t>
      </w:r>
      <w:r w:rsidR="003F14B1">
        <w:t>and Endeavour Energy in 2016</w:t>
      </w:r>
      <w:r w:rsidR="0065563F">
        <w:t>–</w:t>
      </w:r>
      <w:r w:rsidR="003F14B1">
        <w:t>17</w:t>
      </w:r>
      <w:r w:rsidR="001B3545">
        <w:t xml:space="preserve">. </w:t>
      </w:r>
      <w:r w:rsidR="00DF52E3">
        <w:t xml:space="preserve"> R</w:t>
      </w:r>
      <w:r w:rsidR="001B3545">
        <w:t xml:space="preserve">evenue </w:t>
      </w:r>
      <w:r w:rsidR="00CC2DCF">
        <w:t xml:space="preserve">from </w:t>
      </w:r>
      <w:r w:rsidR="00DF52E3">
        <w:t>government-</w:t>
      </w:r>
      <w:r w:rsidR="003F14B1">
        <w:t>owned corporations</w:t>
      </w:r>
      <w:r w:rsidR="009B24CF" w:rsidRPr="00320C37">
        <w:rPr>
          <w:rStyle w:val="FootnoteReference"/>
        </w:rPr>
        <w:footnoteReference w:id="3"/>
      </w:r>
      <w:r w:rsidR="00CC2DCF">
        <w:t xml:space="preserve"> ha</w:t>
      </w:r>
      <w:r w:rsidR="00575BB4">
        <w:t>s</w:t>
      </w:r>
      <w:r w:rsidR="00DF52E3">
        <w:t xml:space="preserve"> also </w:t>
      </w:r>
      <w:r w:rsidR="00CC2DCF">
        <w:t xml:space="preserve">increased </w:t>
      </w:r>
      <w:r w:rsidR="002D1D1C">
        <w:t>since the 2016</w:t>
      </w:r>
      <w:r w:rsidR="0065563F">
        <w:t>–</w:t>
      </w:r>
      <w:r w:rsidR="002D1D1C" w:rsidRPr="0065563F">
        <w:t xml:space="preserve">17 </w:t>
      </w:r>
      <w:r w:rsidR="00457A1D">
        <w:t xml:space="preserve">outlook </w:t>
      </w:r>
      <w:r w:rsidR="00CC2DCF" w:rsidRPr="0065563F">
        <w:t xml:space="preserve">reflecting </w:t>
      </w:r>
      <w:r w:rsidR="001B3545" w:rsidRPr="0065563F">
        <w:t xml:space="preserve">a </w:t>
      </w:r>
      <w:r w:rsidR="003F14B1" w:rsidRPr="00655ADC">
        <w:t xml:space="preserve">new </w:t>
      </w:r>
      <w:r w:rsidR="00CC2DCF" w:rsidRPr="00655ADC">
        <w:t xml:space="preserve">framework </w:t>
      </w:r>
      <w:r w:rsidR="003F14B1" w:rsidRPr="00655ADC">
        <w:t xml:space="preserve">requiring </w:t>
      </w:r>
      <w:r w:rsidR="009F07D5" w:rsidRPr="00655ADC">
        <w:t>government</w:t>
      </w:r>
      <w:r w:rsidR="001B3545" w:rsidRPr="00655ADC">
        <w:t xml:space="preserve"> owned businesses </w:t>
      </w:r>
      <w:r w:rsidR="003F14B1" w:rsidRPr="00655ADC">
        <w:t xml:space="preserve">to </w:t>
      </w:r>
      <w:r w:rsidR="00C1544B">
        <w:t xml:space="preserve">increase dividend payments or </w:t>
      </w:r>
      <w:r w:rsidR="003F14B1" w:rsidRPr="00655ADC">
        <w:t>retain less capital</w:t>
      </w:r>
      <w:r w:rsidR="00DF52E3" w:rsidRPr="00655ADC">
        <w:t xml:space="preserve"> with the ‘excess’ to be returned to the government</w:t>
      </w:r>
      <w:r w:rsidR="003F14B1" w:rsidRPr="00655ADC">
        <w:t>.</w:t>
      </w:r>
      <w:r w:rsidR="003F14B1">
        <w:t xml:space="preserve"> </w:t>
      </w:r>
    </w:p>
    <w:p w:rsidR="00DF52E3" w:rsidRDefault="001B3545" w:rsidP="003F14B1">
      <w:pPr>
        <w:pStyle w:val="ListBullet"/>
        <w:numPr>
          <w:ilvl w:val="0"/>
          <w:numId w:val="0"/>
        </w:numPr>
      </w:pPr>
      <w:r>
        <w:t xml:space="preserve">Queensland’s </w:t>
      </w:r>
      <w:r w:rsidR="007841CA">
        <w:t xml:space="preserve">higher forecast </w:t>
      </w:r>
      <w:r w:rsidR="00DF52E3">
        <w:t xml:space="preserve">revenue </w:t>
      </w:r>
      <w:r>
        <w:t>primarily reflects higher royalties fr</w:t>
      </w:r>
      <w:r w:rsidR="00CC2DCF">
        <w:t xml:space="preserve">om higher </w:t>
      </w:r>
      <w:r w:rsidR="009F07D5">
        <w:t>metallurgical</w:t>
      </w:r>
      <w:r w:rsidR="003F14B1">
        <w:t xml:space="preserve"> coal</w:t>
      </w:r>
      <w:r w:rsidR="00CC2DCF">
        <w:t xml:space="preserve"> prices</w:t>
      </w:r>
      <w:r w:rsidR="009F07D5">
        <w:t>, part</w:t>
      </w:r>
      <w:r w:rsidR="00815B82">
        <w:t>icularly in 2016</w:t>
      </w:r>
      <w:r w:rsidR="0065563F">
        <w:t>–</w:t>
      </w:r>
      <w:r w:rsidR="00815B82">
        <w:t xml:space="preserve">17, and is a key driver </w:t>
      </w:r>
      <w:r w:rsidR="009F07D5">
        <w:t>of the strong improvement in the aggregate state position in that year.</w:t>
      </w:r>
      <w:r w:rsidR="003F14B1">
        <w:t xml:space="preserve"> </w:t>
      </w:r>
    </w:p>
    <w:p w:rsidR="001B3545" w:rsidRDefault="000C1931" w:rsidP="003F14B1">
      <w:pPr>
        <w:pStyle w:val="ListBullet"/>
        <w:numPr>
          <w:ilvl w:val="0"/>
          <w:numId w:val="0"/>
        </w:numPr>
      </w:pPr>
      <w:r>
        <w:t xml:space="preserve">Victoria’s </w:t>
      </w:r>
      <w:r w:rsidR="007841CA">
        <w:t xml:space="preserve">higher forecast </w:t>
      </w:r>
      <w:r>
        <w:t xml:space="preserve">revenue is mainly due to stronger </w:t>
      </w:r>
      <w:r w:rsidR="00173483">
        <w:t xml:space="preserve">taxation revenue and </w:t>
      </w:r>
      <w:r>
        <w:t xml:space="preserve">Commonwealth transfers, in part reflecting strong population growth relative to other states. </w:t>
      </w:r>
    </w:p>
    <w:p w:rsidR="007E7F2C" w:rsidRDefault="001B3545" w:rsidP="007054F1">
      <w:pPr>
        <w:pStyle w:val="ListBullet"/>
        <w:numPr>
          <w:ilvl w:val="0"/>
          <w:numId w:val="0"/>
        </w:numPr>
      </w:pPr>
      <w:r>
        <w:t xml:space="preserve">The </w:t>
      </w:r>
      <w:r w:rsidR="007841CA">
        <w:t>upward revision</w:t>
      </w:r>
      <w:r>
        <w:t xml:space="preserve"> in </w:t>
      </w:r>
      <w:r w:rsidR="00CC2DCF">
        <w:t xml:space="preserve">state </w:t>
      </w:r>
      <w:r>
        <w:t xml:space="preserve">revenue is </w:t>
      </w:r>
      <w:r w:rsidR="00470ED3">
        <w:t>more than</w:t>
      </w:r>
      <w:r>
        <w:t xml:space="preserve"> offset by an upward revision </w:t>
      </w:r>
      <w:r w:rsidR="00CA5672">
        <w:t xml:space="preserve">to </w:t>
      </w:r>
      <w:r w:rsidR="00C902CF">
        <w:t xml:space="preserve">projected </w:t>
      </w:r>
      <w:r>
        <w:t>state</w:t>
      </w:r>
      <w:r w:rsidR="00160262">
        <w:t xml:space="preserve"> expenses of $2</w:t>
      </w:r>
      <w:r w:rsidR="00470ED3">
        <w:t>8</w:t>
      </w:r>
      <w:r w:rsidR="0026391E">
        <w:t>.7</w:t>
      </w:r>
      <w:r>
        <w:t xml:space="preserve"> billion </w:t>
      </w:r>
      <w:r w:rsidR="00C60A7B">
        <w:t xml:space="preserve">for </w:t>
      </w:r>
      <w:r>
        <w:t>the period 2016</w:t>
      </w:r>
      <w:r w:rsidR="0065563F">
        <w:t>–</w:t>
      </w:r>
      <w:r>
        <w:t>17 to 2019</w:t>
      </w:r>
      <w:r w:rsidR="0065563F">
        <w:t>–</w:t>
      </w:r>
      <w:r>
        <w:t xml:space="preserve">20. </w:t>
      </w:r>
      <w:r w:rsidR="004C46B2">
        <w:t xml:space="preserve"> </w:t>
      </w:r>
      <w:r>
        <w:t xml:space="preserve">This is driven by </w:t>
      </w:r>
      <w:r w:rsidR="007841CA">
        <w:t xml:space="preserve">higher forecast </w:t>
      </w:r>
      <w:r w:rsidR="00CC2DCF">
        <w:t xml:space="preserve">expenditure </w:t>
      </w:r>
      <w:r>
        <w:t>across all states</w:t>
      </w:r>
      <w:r w:rsidR="00AF084D">
        <w:t xml:space="preserve"> since the 2016</w:t>
      </w:r>
      <w:r w:rsidR="0065563F">
        <w:t>–</w:t>
      </w:r>
      <w:r w:rsidR="00AF084D">
        <w:t xml:space="preserve">17 </w:t>
      </w:r>
      <w:r w:rsidR="007841CA">
        <w:t>outlook</w:t>
      </w:r>
      <w:r>
        <w:t>, but in particular Victo</w:t>
      </w:r>
      <w:r w:rsidR="0064444C">
        <w:t xml:space="preserve">ria which has </w:t>
      </w:r>
      <w:r w:rsidR="007841CA">
        <w:t xml:space="preserve">revised </w:t>
      </w:r>
      <w:r w:rsidR="0064444C">
        <w:t>expenditure</w:t>
      </w:r>
      <w:r>
        <w:t xml:space="preserve"> </w:t>
      </w:r>
      <w:r w:rsidR="007841CA">
        <w:t xml:space="preserve">up </w:t>
      </w:r>
      <w:r>
        <w:t>by $12.3 bil</w:t>
      </w:r>
      <w:r w:rsidR="00815B82">
        <w:t xml:space="preserve">lion </w:t>
      </w:r>
      <w:r w:rsidR="00C60A7B">
        <w:t xml:space="preserve">for </w:t>
      </w:r>
      <w:r w:rsidR="00AF084D">
        <w:t>the period 2016</w:t>
      </w:r>
      <w:r w:rsidR="0065563F">
        <w:t>–</w:t>
      </w:r>
      <w:r w:rsidR="00AF084D">
        <w:t xml:space="preserve">17 to </w:t>
      </w:r>
      <w:r w:rsidR="00530B39">
        <w:br/>
      </w:r>
      <w:r w:rsidR="00AF084D">
        <w:t>2019</w:t>
      </w:r>
      <w:r w:rsidR="0065563F">
        <w:t>–</w:t>
      </w:r>
      <w:r w:rsidR="00AF084D">
        <w:t>20</w:t>
      </w:r>
      <w:r>
        <w:t>.</w:t>
      </w:r>
      <w:r w:rsidR="00CC2DCF">
        <w:t xml:space="preserve"> </w:t>
      </w:r>
      <w:r w:rsidR="00173483">
        <w:t xml:space="preserve"> </w:t>
      </w:r>
      <w:r w:rsidR="00CC2DCF">
        <w:t xml:space="preserve">This largely reflects </w:t>
      </w:r>
      <w:r>
        <w:t xml:space="preserve">significant spending on </w:t>
      </w:r>
      <w:r w:rsidR="000B348D">
        <w:t xml:space="preserve">health services, </w:t>
      </w:r>
      <w:r>
        <w:t>family violence initiatives and policing.</w:t>
      </w:r>
      <w:r w:rsidR="007054F1">
        <w:t xml:space="preserve"> </w:t>
      </w:r>
    </w:p>
    <w:p w:rsidR="004F4824" w:rsidRDefault="007054F1" w:rsidP="007054F1">
      <w:pPr>
        <w:pStyle w:val="ListBullet"/>
        <w:numPr>
          <w:ilvl w:val="0"/>
          <w:numId w:val="0"/>
        </w:numPr>
      </w:pPr>
      <w:r>
        <w:t xml:space="preserve">New South Wales has </w:t>
      </w:r>
      <w:r w:rsidR="007841CA">
        <w:t xml:space="preserve">revised </w:t>
      </w:r>
      <w:r>
        <w:t xml:space="preserve">expenditure </w:t>
      </w:r>
      <w:r w:rsidR="007841CA">
        <w:t xml:space="preserve">up </w:t>
      </w:r>
      <w:r>
        <w:t>by</w:t>
      </w:r>
      <w:r w:rsidR="0026391E">
        <w:t xml:space="preserve"> $5.0</w:t>
      </w:r>
      <w:r w:rsidR="001B3545">
        <w:t xml:space="preserve"> billion </w:t>
      </w:r>
      <w:r w:rsidR="00C60A7B">
        <w:t xml:space="preserve">for </w:t>
      </w:r>
      <w:r w:rsidR="001B3545">
        <w:t>the period 2016</w:t>
      </w:r>
      <w:r w:rsidR="0065563F">
        <w:t>–</w:t>
      </w:r>
      <w:r w:rsidR="001B3545">
        <w:t xml:space="preserve">17 to </w:t>
      </w:r>
      <w:r w:rsidR="00530B39">
        <w:br/>
      </w:r>
      <w:r w:rsidR="001B3545">
        <w:t>2019</w:t>
      </w:r>
      <w:r w:rsidR="0065563F">
        <w:t>–</w:t>
      </w:r>
      <w:r w:rsidR="001B3545">
        <w:t xml:space="preserve">20, driven by </w:t>
      </w:r>
      <w:r w:rsidR="00871558">
        <w:t xml:space="preserve">additional </w:t>
      </w:r>
      <w:r w:rsidR="001B3545">
        <w:t>spending on schools, new housing</w:t>
      </w:r>
      <w:r w:rsidR="00815B82">
        <w:t xml:space="preserve"> and </w:t>
      </w:r>
      <w:r w:rsidR="00C1544B">
        <w:t>transport</w:t>
      </w:r>
      <w:r w:rsidR="001B3545">
        <w:t>.</w:t>
      </w:r>
      <w:r w:rsidR="00E21D69">
        <w:t xml:space="preserve">  The $5.1</w:t>
      </w:r>
      <w:r w:rsidR="00C1544B">
        <w:t> </w:t>
      </w:r>
      <w:r>
        <w:t xml:space="preserve">billion </w:t>
      </w:r>
      <w:r w:rsidR="007841CA">
        <w:t xml:space="preserve">upward revision </w:t>
      </w:r>
      <w:r>
        <w:t xml:space="preserve">in Queensland </w:t>
      </w:r>
      <w:r w:rsidR="00E21D69">
        <w:t xml:space="preserve">expenses </w:t>
      </w:r>
      <w:r w:rsidR="00871558">
        <w:t>for</w:t>
      </w:r>
      <w:r w:rsidR="00E21D69">
        <w:t xml:space="preserve"> the same period</w:t>
      </w:r>
      <w:r w:rsidR="00815B82">
        <w:t xml:space="preserve"> is largely associated with recovery efforts for </w:t>
      </w:r>
      <w:r w:rsidR="00CD6727">
        <w:t xml:space="preserve">Tropical </w:t>
      </w:r>
      <w:r>
        <w:t xml:space="preserve">Cyclone Debbie and a </w:t>
      </w:r>
      <w:r w:rsidR="00F56164">
        <w:t xml:space="preserve">government </w:t>
      </w:r>
      <w:r>
        <w:t>package to assist with the cost of living.</w:t>
      </w:r>
    </w:p>
    <w:p w:rsidR="001B3545" w:rsidRDefault="004F4824" w:rsidP="003C1059">
      <w:pPr>
        <w:pStyle w:val="Heading2"/>
      </w:pPr>
      <w:bookmarkStart w:id="19" w:name="_Toc495678468"/>
      <w:bookmarkStart w:id="20" w:name="_Toc496168771"/>
      <w:r>
        <w:lastRenderedPageBreak/>
        <w:t>Net capital investment</w:t>
      </w:r>
      <w:bookmarkEnd w:id="19"/>
      <w:bookmarkEnd w:id="20"/>
      <w:r w:rsidR="007054F1">
        <w:t xml:space="preserve"> </w:t>
      </w:r>
    </w:p>
    <w:p w:rsidR="00D45AFB" w:rsidRPr="00D45AFB" w:rsidRDefault="00CB16DF" w:rsidP="00D45AFB">
      <w:pPr>
        <w:pStyle w:val="BodyText"/>
      </w:pPr>
      <w:r>
        <w:t>N</w:t>
      </w:r>
      <w:r w:rsidR="00D45AFB">
        <w:t xml:space="preserve">ational net capital investment </w:t>
      </w:r>
      <w:r w:rsidR="003A5B37">
        <w:t xml:space="preserve">is projected to </w:t>
      </w:r>
      <w:r>
        <w:t>be</w:t>
      </w:r>
      <w:r w:rsidR="003A5B37">
        <w:t xml:space="preserve"> $2.9 billion</w:t>
      </w:r>
      <w:r>
        <w:t xml:space="preserve"> higher</w:t>
      </w:r>
      <w:r w:rsidR="003A5B37">
        <w:t xml:space="preserve"> </w:t>
      </w:r>
      <w:r w:rsidR="00871558">
        <w:t>for</w:t>
      </w:r>
      <w:r w:rsidR="003A5B37">
        <w:t xml:space="preserve"> the </w:t>
      </w:r>
      <w:r w:rsidR="003A5B37" w:rsidRPr="003C1059">
        <w:t>period 2016</w:t>
      </w:r>
      <w:r w:rsidR="003A5B37">
        <w:t>–</w:t>
      </w:r>
      <w:r w:rsidR="003A5B37" w:rsidRPr="003C1059">
        <w:t>17 to 2019</w:t>
      </w:r>
      <w:r w:rsidR="003A5B37">
        <w:t>–</w:t>
      </w:r>
      <w:r w:rsidR="003A5B37" w:rsidRPr="003C1059">
        <w:t>20</w:t>
      </w:r>
      <w:r>
        <w:t xml:space="preserve"> than was projected in the 2016-17 </w:t>
      </w:r>
      <w:proofErr w:type="gramStart"/>
      <w:r>
        <w:t>outlook</w:t>
      </w:r>
      <w:proofErr w:type="gramEnd"/>
      <w:r w:rsidR="00173B81">
        <w:t xml:space="preserve"> (</w:t>
      </w:r>
      <w:r w:rsidR="00173B81">
        <w:fldChar w:fldCharType="begin"/>
      </w:r>
      <w:r w:rsidR="00173B81">
        <w:instrText xml:space="preserve"> REF _Ref496099534 \h </w:instrText>
      </w:r>
      <w:r w:rsidR="00173B81">
        <w:fldChar w:fldCharType="separate"/>
      </w:r>
      <w:r w:rsidR="00BF7361" w:rsidRPr="002721E2">
        <w:t xml:space="preserve">Figure </w:t>
      </w:r>
      <w:r w:rsidR="00BF7361">
        <w:rPr>
          <w:bCs/>
          <w:noProof/>
        </w:rPr>
        <w:t>1</w:t>
      </w:r>
      <w:r w:rsidR="00BF7361" w:rsidRPr="001F2E68">
        <w:t>–</w:t>
      </w:r>
      <w:r w:rsidR="00BF7361">
        <w:rPr>
          <w:bCs/>
          <w:noProof/>
        </w:rPr>
        <w:t>3</w:t>
      </w:r>
      <w:r w:rsidR="00173B81">
        <w:fldChar w:fldCharType="end"/>
      </w:r>
      <w:r w:rsidR="00173B81">
        <w:t>)</w:t>
      </w:r>
      <w:r w:rsidR="003A5B37">
        <w:t xml:space="preserve">. </w:t>
      </w:r>
    </w:p>
    <w:p w:rsidR="004F4824" w:rsidRPr="003C1059" w:rsidRDefault="008E0672" w:rsidP="007E7F2C">
      <w:pPr>
        <w:pStyle w:val="ListBullet"/>
        <w:numPr>
          <w:ilvl w:val="0"/>
          <w:numId w:val="0"/>
        </w:numPr>
      </w:pPr>
      <w:r>
        <w:t xml:space="preserve">The net capital investment the Commonwealth undertakes directly is relatively small and is </w:t>
      </w:r>
      <w:r w:rsidRPr="00492017">
        <w:t xml:space="preserve">largely </w:t>
      </w:r>
      <w:r>
        <w:t xml:space="preserve">in the area of </w:t>
      </w:r>
      <w:r w:rsidRPr="00492017">
        <w:t>defence</w:t>
      </w:r>
      <w:r>
        <w:t xml:space="preserve"> (see section 2.1.3)</w:t>
      </w:r>
      <w:r w:rsidRPr="00492017">
        <w:t xml:space="preserve">.  </w:t>
      </w:r>
      <w:r w:rsidR="004F4824" w:rsidRPr="003C1059">
        <w:t xml:space="preserve">Commonwealth net capital investment </w:t>
      </w:r>
      <w:r w:rsidR="00C60A7B">
        <w:t>has been revised downwards</w:t>
      </w:r>
      <w:r w:rsidR="00E5095F">
        <w:t xml:space="preserve"> </w:t>
      </w:r>
      <w:r w:rsidR="004F4824" w:rsidRPr="003C1059">
        <w:t xml:space="preserve">by $5.0 billion </w:t>
      </w:r>
      <w:r w:rsidR="00C60A7B">
        <w:t>for</w:t>
      </w:r>
      <w:r w:rsidR="00C60A7B" w:rsidRPr="003C1059">
        <w:t xml:space="preserve"> </w:t>
      </w:r>
      <w:r w:rsidR="004F4824" w:rsidRPr="003C1059">
        <w:t>the period 2016</w:t>
      </w:r>
      <w:r w:rsidR="0065563F">
        <w:t>–</w:t>
      </w:r>
      <w:r w:rsidR="004F4824" w:rsidRPr="003C1059">
        <w:t>17 to 2019</w:t>
      </w:r>
      <w:r w:rsidR="0065563F">
        <w:t>–</w:t>
      </w:r>
      <w:r w:rsidR="004F4824" w:rsidRPr="003C1059">
        <w:t xml:space="preserve">20, largely reflecting the </w:t>
      </w:r>
      <w:r w:rsidR="001A131A">
        <w:t xml:space="preserve">expected proceeds from the </w:t>
      </w:r>
      <w:r w:rsidR="004F4824" w:rsidRPr="003C1059">
        <w:t>auction of spectrum licences in 2017</w:t>
      </w:r>
      <w:r w:rsidR="0065563F">
        <w:t>–</w:t>
      </w:r>
      <w:r w:rsidR="004F4824" w:rsidRPr="003C1059">
        <w:t>18</w:t>
      </w:r>
      <w:r w:rsidR="00173B81">
        <w:t xml:space="preserve"> (</w:t>
      </w:r>
      <w:r w:rsidR="00173B81">
        <w:fldChar w:fldCharType="begin"/>
      </w:r>
      <w:r w:rsidR="00173B81">
        <w:instrText xml:space="preserve"> REF _Ref496099564 \h </w:instrText>
      </w:r>
      <w:r w:rsidR="00173B81">
        <w:fldChar w:fldCharType="separate"/>
      </w:r>
      <w:r w:rsidR="00BF7361" w:rsidRPr="002721E2">
        <w:t xml:space="preserve">Figure </w:t>
      </w:r>
      <w:r w:rsidR="00BF7361">
        <w:rPr>
          <w:noProof/>
        </w:rPr>
        <w:t>1</w:t>
      </w:r>
      <w:r w:rsidR="00BF7361" w:rsidRPr="002721E2">
        <w:t>–</w:t>
      </w:r>
      <w:r w:rsidR="00BF7361">
        <w:rPr>
          <w:noProof/>
        </w:rPr>
        <w:t>4</w:t>
      </w:r>
      <w:r w:rsidR="00173B81">
        <w:fldChar w:fldCharType="end"/>
      </w:r>
      <w:r w:rsidR="00173B81">
        <w:t>)</w:t>
      </w:r>
      <w:r w:rsidR="004F4824" w:rsidRPr="003C1059">
        <w:t>.</w:t>
      </w:r>
    </w:p>
    <w:p w:rsidR="001B3545" w:rsidRDefault="00C60A7B" w:rsidP="007E7F2C">
      <w:pPr>
        <w:pStyle w:val="ListBullet"/>
        <w:numPr>
          <w:ilvl w:val="0"/>
          <w:numId w:val="0"/>
        </w:numPr>
      </w:pPr>
      <w:r>
        <w:t>In contrast, s</w:t>
      </w:r>
      <w:r w:rsidR="001B3545" w:rsidRPr="00EC2B69">
        <w:t xml:space="preserve">tate </w:t>
      </w:r>
      <w:r w:rsidR="007E7F2C" w:rsidRPr="00EC2B69">
        <w:t xml:space="preserve">net capital investment </w:t>
      </w:r>
      <w:r>
        <w:t>has been revised upwards by</w:t>
      </w:r>
      <w:r w:rsidR="00160262" w:rsidRPr="00EC2B69">
        <w:t xml:space="preserve"> $7.9</w:t>
      </w:r>
      <w:r w:rsidR="001B3545" w:rsidRPr="00EC2B69">
        <w:t xml:space="preserve"> billion </w:t>
      </w:r>
      <w:r>
        <w:t>for</w:t>
      </w:r>
      <w:r w:rsidRPr="00EC2B69">
        <w:t xml:space="preserve"> </w:t>
      </w:r>
      <w:r w:rsidR="001B3545" w:rsidRPr="00EC2B69">
        <w:t>the period 2016</w:t>
      </w:r>
      <w:r w:rsidR="0065563F">
        <w:t>–</w:t>
      </w:r>
      <w:r w:rsidR="001B3545" w:rsidRPr="00EC2B69">
        <w:t>17 to 2019</w:t>
      </w:r>
      <w:r w:rsidR="0065563F">
        <w:t>–</w:t>
      </w:r>
      <w:r w:rsidR="001B3545" w:rsidRPr="00EC2B69">
        <w:t>20.</w:t>
      </w:r>
      <w:r w:rsidR="002D1D1C" w:rsidRPr="00EC2B69">
        <w:t xml:space="preserve"> </w:t>
      </w:r>
      <w:r w:rsidR="001B3545" w:rsidRPr="00EC2B69">
        <w:t xml:space="preserve"> This</w:t>
      </w:r>
      <w:r w:rsidR="00E15923" w:rsidRPr="00EC2B69">
        <w:t xml:space="preserve"> increase </w:t>
      </w:r>
      <w:r w:rsidR="00871558">
        <w:t xml:space="preserve">since the 2016–17 </w:t>
      </w:r>
      <w:proofErr w:type="gramStart"/>
      <w:r w:rsidR="00871558">
        <w:t>outlook</w:t>
      </w:r>
      <w:proofErr w:type="gramEnd"/>
      <w:r w:rsidR="00871558">
        <w:t xml:space="preserve"> </w:t>
      </w:r>
      <w:r w:rsidR="001B3545" w:rsidRPr="00EC2B69">
        <w:t xml:space="preserve">is largely driven by New South Wales, </w:t>
      </w:r>
      <w:r w:rsidR="00687483" w:rsidRPr="00EC2B69">
        <w:t xml:space="preserve">which </w:t>
      </w:r>
      <w:r w:rsidR="00E15923" w:rsidRPr="00EC2B69">
        <w:t>is forecast</w:t>
      </w:r>
      <w:r>
        <w:t>ing</w:t>
      </w:r>
      <w:r w:rsidR="00E15923" w:rsidRPr="00EC2B69">
        <w:t xml:space="preserve"> </w:t>
      </w:r>
      <w:r>
        <w:t>additional</w:t>
      </w:r>
      <w:r w:rsidR="00687483" w:rsidRPr="00EC2B69">
        <w:t xml:space="preserve"> net capital investment </w:t>
      </w:r>
      <w:r>
        <w:t>of</w:t>
      </w:r>
      <w:r w:rsidRPr="00EC2B69">
        <w:t xml:space="preserve"> </w:t>
      </w:r>
      <w:r w:rsidR="00F92EC9" w:rsidRPr="00EC2B69">
        <w:t xml:space="preserve">$4.3 billion </w:t>
      </w:r>
      <w:r w:rsidR="00917A9C">
        <w:t>fo</w:t>
      </w:r>
      <w:r w:rsidR="00F56164" w:rsidRPr="00EC2B69">
        <w:t>r the period</w:t>
      </w:r>
      <w:r w:rsidR="00687483" w:rsidRPr="00EC2B69">
        <w:t xml:space="preserve">, </w:t>
      </w:r>
      <w:r w:rsidR="00E15923" w:rsidRPr="00EC2B69">
        <w:t>reflecting</w:t>
      </w:r>
      <w:r w:rsidR="001B3545" w:rsidRPr="00EC2B69">
        <w:t xml:space="preserve"> new investment in education, health and housing infrastructure.</w:t>
      </w:r>
      <w:r w:rsidR="001B3545">
        <w:t xml:space="preserve"> </w:t>
      </w:r>
    </w:p>
    <w:tbl>
      <w:tblPr>
        <w:tblStyle w:val="TableGrid"/>
        <w:tblW w:w="8505" w:type="dxa"/>
        <w:tblLayout w:type="fixed"/>
        <w:tblLook w:val="04A0" w:firstRow="1" w:lastRow="0" w:firstColumn="1" w:lastColumn="0" w:noHBand="0" w:noVBand="1"/>
      </w:tblPr>
      <w:tblGrid>
        <w:gridCol w:w="4111"/>
        <w:gridCol w:w="4394"/>
      </w:tblGrid>
      <w:tr w:rsidR="00A8224F" w:rsidTr="00AC6912">
        <w:trPr>
          <w:cnfStyle w:val="100000000000" w:firstRow="1" w:lastRow="0" w:firstColumn="0" w:lastColumn="0" w:oddVBand="0" w:evenVBand="0" w:oddHBand="0" w:evenHBand="0" w:firstRowFirstColumn="0" w:firstRowLastColumn="0" w:lastRowFirstColumn="0" w:lastRowLastColumn="0"/>
          <w:trHeight w:val="466"/>
        </w:trPr>
        <w:tc>
          <w:tcPr>
            <w:cnfStyle w:val="001000000100" w:firstRow="0" w:lastRow="0" w:firstColumn="1" w:lastColumn="0" w:oddVBand="0" w:evenVBand="0" w:oddHBand="0" w:evenHBand="0" w:firstRowFirstColumn="1" w:firstRowLastColumn="0" w:lastRowFirstColumn="0" w:lastRowLastColumn="0"/>
            <w:tcW w:w="4111" w:type="dxa"/>
            <w:shd w:val="clear" w:color="auto" w:fill="auto"/>
          </w:tcPr>
          <w:p w:rsidR="00A8224F" w:rsidRPr="002721E2" w:rsidRDefault="00A8224F" w:rsidP="00EF13FE">
            <w:pPr>
              <w:pStyle w:val="Caption"/>
              <w:spacing w:before="0" w:after="0"/>
            </w:pPr>
            <w:bookmarkStart w:id="21" w:name="_Ref496099534"/>
            <w:bookmarkStart w:id="22" w:name="_Toc495929686"/>
            <w:r w:rsidRPr="002721E2">
              <w:t xml:space="preserve">Figure </w:t>
            </w:r>
            <w:r w:rsidR="00C2081B" w:rsidRPr="001F2E68">
              <w:fldChar w:fldCharType="begin"/>
            </w:r>
            <w:r w:rsidR="00C2081B" w:rsidRPr="001F2E68">
              <w:rPr>
                <w:bCs w:val="0"/>
              </w:rPr>
              <w:instrText xml:space="preserve"> STYLEREF 1 \s </w:instrText>
            </w:r>
            <w:r w:rsidR="00C2081B" w:rsidRPr="001F2E68">
              <w:fldChar w:fldCharType="separate"/>
            </w:r>
            <w:r w:rsidR="00BF7361">
              <w:rPr>
                <w:bCs w:val="0"/>
                <w:noProof/>
              </w:rPr>
              <w:t>1</w:t>
            </w:r>
            <w:r w:rsidR="00C2081B" w:rsidRPr="001F2E68">
              <w:rPr>
                <w:noProof/>
              </w:rPr>
              <w:fldChar w:fldCharType="end"/>
            </w:r>
            <w:r w:rsidRPr="001F2E68">
              <w:t>–</w:t>
            </w:r>
            <w:r w:rsidR="00C2081B" w:rsidRPr="001F2E68">
              <w:fldChar w:fldCharType="begin"/>
            </w:r>
            <w:r w:rsidR="00C2081B" w:rsidRPr="001F2E68">
              <w:rPr>
                <w:bCs w:val="0"/>
              </w:rPr>
              <w:instrText xml:space="preserve"> SEQ Figure \* ARABIC \s 1 </w:instrText>
            </w:r>
            <w:r w:rsidR="00C2081B" w:rsidRPr="001F2E68">
              <w:fldChar w:fldCharType="separate"/>
            </w:r>
            <w:r w:rsidR="00BF7361">
              <w:rPr>
                <w:bCs w:val="0"/>
                <w:noProof/>
              </w:rPr>
              <w:t>3</w:t>
            </w:r>
            <w:r w:rsidR="00C2081B" w:rsidRPr="001F2E68">
              <w:rPr>
                <w:noProof/>
              </w:rPr>
              <w:fldChar w:fldCharType="end"/>
            </w:r>
            <w:bookmarkEnd w:id="21"/>
            <w:r w:rsidRPr="002721E2">
              <w:t xml:space="preserve">: National </w:t>
            </w:r>
            <w:r>
              <w:t>net capital investment</w:t>
            </w:r>
            <w:bookmarkEnd w:id="22"/>
          </w:p>
        </w:tc>
        <w:tc>
          <w:tcPr>
            <w:tcW w:w="4394" w:type="dxa"/>
            <w:shd w:val="clear" w:color="auto" w:fill="auto"/>
          </w:tcPr>
          <w:p w:rsidR="00A8224F" w:rsidRPr="002721E2" w:rsidRDefault="00A8224F" w:rsidP="00C60A7B">
            <w:pPr>
              <w:pStyle w:val="Caption"/>
              <w:spacing w:before="0" w:after="0"/>
              <w:jc w:val="left"/>
              <w:cnfStyle w:val="100000000000" w:firstRow="1" w:lastRow="0" w:firstColumn="0" w:lastColumn="0" w:oddVBand="0" w:evenVBand="0" w:oddHBand="0" w:evenHBand="0" w:firstRowFirstColumn="0" w:firstRowLastColumn="0" w:lastRowFirstColumn="0" w:lastRowLastColumn="0"/>
            </w:pPr>
            <w:bookmarkStart w:id="23" w:name="_Ref496099564"/>
            <w:bookmarkStart w:id="24" w:name="_Toc495929687"/>
            <w:r w:rsidRPr="002721E2">
              <w:t xml:space="preserve">Figure </w:t>
            </w:r>
            <w:fldSimple w:instr=" STYLEREF 1 \s ">
              <w:r w:rsidR="00BF7361">
                <w:rPr>
                  <w:noProof/>
                </w:rPr>
                <w:t>1</w:t>
              </w:r>
            </w:fldSimple>
            <w:r w:rsidRPr="002721E2">
              <w:t>–</w:t>
            </w:r>
            <w:fldSimple w:instr=" SEQ Figure \* ARABIC \s 1 ">
              <w:r w:rsidR="00BF7361">
                <w:rPr>
                  <w:noProof/>
                </w:rPr>
                <w:t>4</w:t>
              </w:r>
            </w:fldSimple>
            <w:bookmarkEnd w:id="23"/>
            <w:r w:rsidRPr="002721E2">
              <w:t xml:space="preserve">: Change </w:t>
            </w:r>
            <w:r w:rsidR="005F35B9">
              <w:t>in net capital investment</w:t>
            </w:r>
            <w:r w:rsidR="00C60A7B">
              <w:t xml:space="preserve"> since 2016</w:t>
            </w:r>
            <w:r w:rsidR="00142836" w:rsidRPr="002721E2">
              <w:t>–</w:t>
            </w:r>
            <w:r w:rsidR="00C60A7B">
              <w:t>17 national fiscal outlook</w:t>
            </w:r>
            <w:r w:rsidR="005F35B9">
              <w:t xml:space="preserve"> </w:t>
            </w:r>
            <w:bookmarkEnd w:id="24"/>
          </w:p>
        </w:tc>
      </w:tr>
      <w:tr w:rsidR="00A8224F" w:rsidTr="00AC6912">
        <w:trPr>
          <w:cnfStyle w:val="000000100000" w:firstRow="0" w:lastRow="0" w:firstColumn="0" w:lastColumn="0" w:oddVBand="0" w:evenVBand="0" w:oddHBand="1" w:evenHBand="0" w:firstRowFirstColumn="0" w:firstRowLastColumn="0" w:lastRowFirstColumn="0" w:lastRowLastColumn="0"/>
          <w:trHeight w:val="5360"/>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vAlign w:val="top"/>
          </w:tcPr>
          <w:p w:rsidR="00A8224F" w:rsidRDefault="000A245A" w:rsidP="00A8224F">
            <w:pPr>
              <w:pStyle w:val="BodyText"/>
              <w:jc w:val="center"/>
            </w:pPr>
            <w:r>
              <w:rPr>
                <w:noProof/>
              </w:rPr>
              <w:drawing>
                <wp:inline distT="0" distB="0" distL="0" distR="0" wp14:anchorId="6068D7BB">
                  <wp:extent cx="2337728" cy="3027406"/>
                  <wp:effectExtent l="0" t="0" r="5715" b="190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42909" cy="3034116"/>
                          </a:xfrm>
                          <a:prstGeom prst="rect">
                            <a:avLst/>
                          </a:prstGeom>
                          <a:noFill/>
                        </pic:spPr>
                      </pic:pic>
                    </a:graphicData>
                  </a:graphic>
                </wp:inline>
              </w:drawing>
            </w:r>
          </w:p>
          <w:p w:rsidR="00A8224F" w:rsidRPr="00436FF7" w:rsidRDefault="00A8224F" w:rsidP="00A8224F">
            <w:pPr>
              <w:pStyle w:val="Source"/>
              <w:rPr>
                <w:sz w:val="18"/>
                <w:szCs w:val="18"/>
              </w:rPr>
            </w:pPr>
            <w:r w:rsidRPr="00436FF7">
              <w:rPr>
                <w:sz w:val="18"/>
                <w:szCs w:val="18"/>
              </w:rPr>
              <w:t xml:space="preserve">Source: ABS, Commonwealth and state budget papers, PBO analysis. </w:t>
            </w:r>
          </w:p>
        </w:tc>
        <w:tc>
          <w:tcPr>
            <w:tcW w:w="4394" w:type="dxa"/>
            <w:shd w:val="clear" w:color="auto" w:fill="auto"/>
            <w:vAlign w:val="top"/>
          </w:tcPr>
          <w:p w:rsidR="00A8224F" w:rsidRDefault="000A245A" w:rsidP="00A8224F">
            <w:pPr>
              <w:pStyle w:val="BodyText"/>
              <w:jc w:val="center"/>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5D7F732A">
                  <wp:extent cx="2426682" cy="3120082"/>
                  <wp:effectExtent l="0" t="0" r="0" b="444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27438" cy="3121053"/>
                          </a:xfrm>
                          <a:prstGeom prst="rect">
                            <a:avLst/>
                          </a:prstGeom>
                          <a:noFill/>
                        </pic:spPr>
                      </pic:pic>
                    </a:graphicData>
                  </a:graphic>
                </wp:inline>
              </w:drawing>
            </w:r>
          </w:p>
          <w:p w:rsidR="00A8224F" w:rsidRPr="00436FF7" w:rsidRDefault="00A8224F" w:rsidP="00A8224F">
            <w:pPr>
              <w:pStyle w:val="Source"/>
              <w:cnfStyle w:val="000000100000" w:firstRow="0" w:lastRow="0" w:firstColumn="0" w:lastColumn="0" w:oddVBand="0" w:evenVBand="0" w:oddHBand="1" w:evenHBand="0" w:firstRowFirstColumn="0" w:firstRowLastColumn="0" w:lastRowFirstColumn="0" w:lastRowLastColumn="0"/>
              <w:rPr>
                <w:sz w:val="18"/>
                <w:szCs w:val="18"/>
              </w:rPr>
            </w:pPr>
            <w:r w:rsidRPr="00436FF7">
              <w:rPr>
                <w:sz w:val="18"/>
                <w:szCs w:val="18"/>
              </w:rPr>
              <w:t xml:space="preserve">Source: ABS, Commonwealth and state budget papers, PBO analysis. </w:t>
            </w:r>
          </w:p>
        </w:tc>
      </w:tr>
    </w:tbl>
    <w:p w:rsidR="00A8224F" w:rsidRDefault="00A8224F" w:rsidP="007E7F2C">
      <w:pPr>
        <w:pStyle w:val="ListBullet"/>
        <w:numPr>
          <w:ilvl w:val="0"/>
          <w:numId w:val="0"/>
        </w:numPr>
      </w:pPr>
    </w:p>
    <w:p w:rsidR="00155BDC" w:rsidRDefault="00155BDC">
      <w:pPr>
        <w:rPr>
          <w:rFonts w:asciiTheme="majorHAnsi" w:hAnsiTheme="majorHAnsi"/>
          <w:bCs/>
          <w:iCs/>
          <w:color w:val="2B3B5F" w:themeColor="text2"/>
          <w:kern w:val="20"/>
          <w:sz w:val="32"/>
          <w:szCs w:val="28"/>
        </w:rPr>
      </w:pPr>
      <w:r>
        <w:br w:type="page"/>
      </w:r>
    </w:p>
    <w:p w:rsidR="00AC2E38" w:rsidRDefault="00AC2E38" w:rsidP="003C1059">
      <w:pPr>
        <w:pStyle w:val="Heading2"/>
      </w:pPr>
      <w:bookmarkStart w:id="25" w:name="_Toc495678469"/>
      <w:bookmarkStart w:id="26" w:name="_Toc496168772"/>
      <w:r>
        <w:lastRenderedPageBreak/>
        <w:t>Net debt</w:t>
      </w:r>
      <w:bookmarkEnd w:id="25"/>
      <w:bookmarkEnd w:id="26"/>
    </w:p>
    <w:p w:rsidR="00AC2E38" w:rsidRPr="00AC2E38" w:rsidRDefault="007053B2" w:rsidP="00550B44">
      <w:pPr>
        <w:pStyle w:val="ListBullet"/>
        <w:numPr>
          <w:ilvl w:val="0"/>
          <w:numId w:val="0"/>
        </w:numPr>
        <w:spacing w:after="340"/>
      </w:pPr>
      <w:r>
        <w:t>National n</w:t>
      </w:r>
      <w:r w:rsidR="004E7D75" w:rsidRPr="00C94A50">
        <w:t>et debt is projected to peak</w:t>
      </w:r>
      <w:r w:rsidR="00173483">
        <w:t xml:space="preserve"> as </w:t>
      </w:r>
      <w:r w:rsidR="001A131A">
        <w:t xml:space="preserve">a share </w:t>
      </w:r>
      <w:r w:rsidR="00173483">
        <w:t>of GDP</w:t>
      </w:r>
      <w:r w:rsidR="004E7D75" w:rsidRPr="00C94A50">
        <w:t xml:space="preserve"> in</w:t>
      </w:r>
      <w:r w:rsidR="00173483">
        <w:t xml:space="preserve"> 2018</w:t>
      </w:r>
      <w:r w:rsidR="00173483" w:rsidRPr="00CF1DF7">
        <w:t>–</w:t>
      </w:r>
      <w:r w:rsidR="00173483">
        <w:t>19</w:t>
      </w:r>
      <w:r w:rsidR="004E7D75" w:rsidRPr="00C94A50">
        <w:t xml:space="preserve"> at </w:t>
      </w:r>
      <w:r w:rsidR="00173483">
        <w:t>23.2</w:t>
      </w:r>
      <w:r w:rsidR="008D633B">
        <w:t xml:space="preserve"> </w:t>
      </w:r>
      <w:r w:rsidR="004E7D75" w:rsidRPr="00C94A50">
        <w:t xml:space="preserve">per cent </w:t>
      </w:r>
      <w:r w:rsidR="0063560E">
        <w:br/>
      </w:r>
      <w:r w:rsidR="008D633B">
        <w:t>($438.7 billion)</w:t>
      </w:r>
      <w:r w:rsidR="004E7D75" w:rsidRPr="00C94A50">
        <w:t xml:space="preserve">, </w:t>
      </w:r>
      <w:r w:rsidR="008D633B">
        <w:t>0.6 percentage points ($10.2 billion) above the previous</w:t>
      </w:r>
      <w:r w:rsidR="00C95293">
        <w:t xml:space="preserve"> projected</w:t>
      </w:r>
      <w:r w:rsidR="008D633B">
        <w:t xml:space="preserve"> peak.</w:t>
      </w:r>
      <w:r w:rsidR="004E7D75" w:rsidRPr="00C94A50">
        <w:t xml:space="preserve"> </w:t>
      </w:r>
      <w:r w:rsidR="00953A81">
        <w:t xml:space="preserve"> </w:t>
      </w:r>
      <w:r w:rsidR="00AC2E38" w:rsidRPr="001642D9">
        <w:t xml:space="preserve">Compared to </w:t>
      </w:r>
      <w:r w:rsidR="00871558">
        <w:t xml:space="preserve">the </w:t>
      </w:r>
      <w:r w:rsidR="00AC2E38" w:rsidRPr="001642D9">
        <w:t>2016</w:t>
      </w:r>
      <w:r w:rsidR="0065563F" w:rsidRPr="00CF1DF7">
        <w:t>–</w:t>
      </w:r>
      <w:r w:rsidR="00AC2E38" w:rsidRPr="00F9055B">
        <w:t xml:space="preserve">17 </w:t>
      </w:r>
      <w:proofErr w:type="gramStart"/>
      <w:r w:rsidR="00871558">
        <w:t>outlook</w:t>
      </w:r>
      <w:proofErr w:type="gramEnd"/>
      <w:r w:rsidR="00AC2E38" w:rsidRPr="00F9055B">
        <w:t>, national net debt is projected to be</w:t>
      </w:r>
      <w:r w:rsidR="008D633B">
        <w:t xml:space="preserve"> 1.3 per cent of GDP</w:t>
      </w:r>
      <w:r w:rsidR="00AC2E38" w:rsidRPr="00F9055B">
        <w:t xml:space="preserve"> </w:t>
      </w:r>
      <w:r w:rsidR="008D633B">
        <w:t>(</w:t>
      </w:r>
      <w:r w:rsidR="00AC2E38" w:rsidRPr="00F9055B">
        <w:t>$22.9 billion</w:t>
      </w:r>
      <w:r w:rsidR="008D633B">
        <w:t>)</w:t>
      </w:r>
      <w:r w:rsidR="00AC2E38" w:rsidRPr="00F9055B">
        <w:t xml:space="preserve"> higher in 2019</w:t>
      </w:r>
      <w:r w:rsidR="0065563F" w:rsidRPr="00F9055B">
        <w:t>–</w:t>
      </w:r>
      <w:r w:rsidR="00AC2E38" w:rsidRPr="00F9055B">
        <w:t>20 (</w:t>
      </w:r>
      <w:r w:rsidR="00AC2E38" w:rsidRPr="00F9055B">
        <w:fldChar w:fldCharType="begin"/>
      </w:r>
      <w:r w:rsidR="00AC2E38" w:rsidRPr="00C94A50">
        <w:instrText xml:space="preserve"> REF _Ref492904352 \h </w:instrText>
      </w:r>
      <w:r w:rsidR="005F35B9" w:rsidRPr="00C94A50">
        <w:instrText xml:space="preserve"> \* MERGEFORMAT </w:instrText>
      </w:r>
      <w:r w:rsidR="00AC2E38" w:rsidRPr="00F9055B">
        <w:fldChar w:fldCharType="separate"/>
      </w:r>
      <w:r w:rsidR="00BF7361" w:rsidRPr="002721E2">
        <w:t xml:space="preserve">Figure </w:t>
      </w:r>
      <w:r w:rsidR="00BF7361">
        <w:rPr>
          <w:noProof/>
        </w:rPr>
        <w:t>1</w:t>
      </w:r>
      <w:r w:rsidR="00BF7361" w:rsidRPr="002721E2">
        <w:t>–</w:t>
      </w:r>
      <w:r w:rsidR="00BF7361">
        <w:rPr>
          <w:noProof/>
        </w:rPr>
        <w:t>5</w:t>
      </w:r>
      <w:r w:rsidR="00AC2E38" w:rsidRPr="00F9055B">
        <w:fldChar w:fldCharType="end"/>
      </w:r>
      <w:r w:rsidR="00AC2E38" w:rsidRPr="00F9055B">
        <w:t>).  There are large underlying variations in Commonwealth and state net debt over the period 2016</w:t>
      </w:r>
      <w:r w:rsidR="0065563F" w:rsidRPr="00F9055B">
        <w:t>–</w:t>
      </w:r>
      <w:r w:rsidR="00AC2E38" w:rsidRPr="00F9055B">
        <w:t>17 to 2019</w:t>
      </w:r>
      <w:r w:rsidR="0065563F" w:rsidRPr="00F9055B">
        <w:t>–</w:t>
      </w:r>
      <w:r w:rsidR="00AC2E38" w:rsidRPr="00F9055B">
        <w:t>20 (</w:t>
      </w:r>
      <w:r w:rsidR="00AC2E38" w:rsidRPr="00F9055B">
        <w:fldChar w:fldCharType="begin"/>
      </w:r>
      <w:r w:rsidR="00AC2E38" w:rsidRPr="00C94A50">
        <w:instrText xml:space="preserve"> REF _Ref492904377 \h </w:instrText>
      </w:r>
      <w:r w:rsidR="005F35B9" w:rsidRPr="00C94A50">
        <w:instrText xml:space="preserve"> \* MERGEFORMAT </w:instrText>
      </w:r>
      <w:r w:rsidR="00AC2E38" w:rsidRPr="00F9055B">
        <w:fldChar w:fldCharType="separate"/>
      </w:r>
      <w:r w:rsidR="00BF7361" w:rsidRPr="002721E2">
        <w:t xml:space="preserve">Figure </w:t>
      </w:r>
      <w:r w:rsidR="00BF7361">
        <w:rPr>
          <w:noProof/>
        </w:rPr>
        <w:t>1</w:t>
      </w:r>
      <w:r w:rsidR="00BF7361" w:rsidRPr="002721E2">
        <w:t>–</w:t>
      </w:r>
      <w:r w:rsidR="00BF7361">
        <w:rPr>
          <w:noProof/>
        </w:rPr>
        <w:t>6</w:t>
      </w:r>
      <w:r w:rsidR="00AC2E38" w:rsidRPr="00F9055B">
        <w:fldChar w:fldCharType="end"/>
      </w:r>
      <w:r w:rsidR="00AC2E38" w:rsidRPr="00F9055B">
        <w:t>).</w:t>
      </w:r>
      <w:r w:rsidR="00AC2E38">
        <w:t xml:space="preserve"> </w:t>
      </w:r>
    </w:p>
    <w:tbl>
      <w:tblPr>
        <w:tblStyle w:val="TableGrid"/>
        <w:tblW w:w="8505" w:type="dxa"/>
        <w:tblLayout w:type="fixed"/>
        <w:tblLook w:val="04A0" w:firstRow="1" w:lastRow="0" w:firstColumn="1" w:lastColumn="0" w:noHBand="0" w:noVBand="1"/>
      </w:tblPr>
      <w:tblGrid>
        <w:gridCol w:w="4253"/>
        <w:gridCol w:w="4252"/>
      </w:tblGrid>
      <w:tr w:rsidR="007345D3" w:rsidTr="00667611">
        <w:trPr>
          <w:cnfStyle w:val="100000000000" w:firstRow="1" w:lastRow="0" w:firstColumn="0" w:lastColumn="0" w:oddVBand="0" w:evenVBand="0" w:oddHBand="0" w:evenHBand="0" w:firstRowFirstColumn="0" w:firstRowLastColumn="0" w:lastRowFirstColumn="0" w:lastRowLastColumn="0"/>
          <w:trHeight w:val="466"/>
        </w:trPr>
        <w:tc>
          <w:tcPr>
            <w:cnfStyle w:val="001000000100" w:firstRow="0" w:lastRow="0" w:firstColumn="1" w:lastColumn="0" w:oddVBand="0" w:evenVBand="0" w:oddHBand="0" w:evenHBand="0" w:firstRowFirstColumn="1" w:firstRowLastColumn="0" w:lastRowFirstColumn="0" w:lastRowLastColumn="0"/>
            <w:tcW w:w="4253" w:type="dxa"/>
            <w:shd w:val="clear" w:color="auto" w:fill="auto"/>
          </w:tcPr>
          <w:p w:rsidR="006F0FA1" w:rsidRDefault="002721E2" w:rsidP="004737D0">
            <w:pPr>
              <w:pStyle w:val="Caption"/>
              <w:spacing w:before="0" w:after="0" w:line="240" w:lineRule="auto"/>
            </w:pPr>
            <w:bookmarkStart w:id="27" w:name="_Ref492904352"/>
            <w:bookmarkStart w:id="28" w:name="_Toc495929688"/>
            <w:r w:rsidRPr="002721E2">
              <w:t xml:space="preserve">Figure </w:t>
            </w:r>
            <w:fldSimple w:instr=" STYLEREF 1 \s ">
              <w:r w:rsidR="00BF7361">
                <w:rPr>
                  <w:noProof/>
                </w:rPr>
                <w:t>1</w:t>
              </w:r>
            </w:fldSimple>
            <w:r w:rsidRPr="002721E2">
              <w:t>–</w:t>
            </w:r>
            <w:fldSimple w:instr=" SEQ Figure \* ARABIC \s 1 ">
              <w:r w:rsidR="00BF7361">
                <w:rPr>
                  <w:noProof/>
                </w:rPr>
                <w:t>5</w:t>
              </w:r>
            </w:fldSimple>
            <w:bookmarkEnd w:id="27"/>
            <w:r w:rsidRPr="002721E2">
              <w:t xml:space="preserve">: </w:t>
            </w:r>
            <w:r w:rsidR="007345D3" w:rsidRPr="002721E2">
              <w:t>National net debt</w:t>
            </w:r>
            <w:bookmarkEnd w:id="28"/>
            <w:r w:rsidR="00373590">
              <w:t xml:space="preserve"> </w:t>
            </w:r>
            <w:r w:rsidR="006F0FA1">
              <w:t xml:space="preserve"> </w:t>
            </w:r>
          </w:p>
          <w:p w:rsidR="002721E2" w:rsidRPr="006F0FA1" w:rsidRDefault="006F0FA1" w:rsidP="004737D0">
            <w:pPr>
              <w:pStyle w:val="Caption"/>
              <w:spacing w:before="0" w:after="0" w:line="240" w:lineRule="auto"/>
              <w:ind w:left="993"/>
              <w:rPr>
                <w:sz w:val="18"/>
                <w:szCs w:val="18"/>
              </w:rPr>
            </w:pPr>
            <w:r w:rsidRPr="006F0FA1">
              <w:rPr>
                <w:b w:val="0"/>
                <w:sz w:val="18"/>
                <w:szCs w:val="18"/>
              </w:rPr>
              <w:t xml:space="preserve"> </w:t>
            </w:r>
            <w:r w:rsidR="00A069B1">
              <w:rPr>
                <w:b w:val="0"/>
                <w:sz w:val="18"/>
                <w:szCs w:val="18"/>
              </w:rPr>
              <w:t>(S</w:t>
            </w:r>
            <w:r w:rsidR="00373590" w:rsidRPr="006F0FA1">
              <w:rPr>
                <w:b w:val="0"/>
                <w:sz w:val="18"/>
                <w:szCs w:val="18"/>
              </w:rPr>
              <w:t>hare of GDP)</w:t>
            </w:r>
          </w:p>
        </w:tc>
        <w:tc>
          <w:tcPr>
            <w:tcW w:w="4252" w:type="dxa"/>
            <w:shd w:val="clear" w:color="auto" w:fill="auto"/>
          </w:tcPr>
          <w:p w:rsidR="002721E2" w:rsidRPr="002721E2" w:rsidRDefault="002721E2" w:rsidP="001F2E68">
            <w:pPr>
              <w:pStyle w:val="Caption"/>
              <w:spacing w:before="0" w:after="0"/>
              <w:jc w:val="left"/>
              <w:cnfStyle w:val="100000000000" w:firstRow="1" w:lastRow="0" w:firstColumn="0" w:lastColumn="0" w:oddVBand="0" w:evenVBand="0" w:oddHBand="0" w:evenHBand="0" w:firstRowFirstColumn="0" w:firstRowLastColumn="0" w:lastRowFirstColumn="0" w:lastRowLastColumn="0"/>
            </w:pPr>
            <w:bookmarkStart w:id="29" w:name="_Ref492904377"/>
            <w:bookmarkStart w:id="30" w:name="_Toc495929689"/>
            <w:r w:rsidRPr="002721E2">
              <w:t xml:space="preserve">Figure </w:t>
            </w:r>
            <w:fldSimple w:instr=" STYLEREF 1 \s ">
              <w:r w:rsidR="00BF7361">
                <w:rPr>
                  <w:noProof/>
                </w:rPr>
                <w:t>1</w:t>
              </w:r>
            </w:fldSimple>
            <w:r w:rsidRPr="002721E2">
              <w:t>–</w:t>
            </w:r>
            <w:fldSimple w:instr=" SEQ Figure \* ARABIC \s 1 ">
              <w:r w:rsidR="00BF7361">
                <w:rPr>
                  <w:noProof/>
                </w:rPr>
                <w:t>6</w:t>
              </w:r>
            </w:fldSimple>
            <w:bookmarkEnd w:id="29"/>
            <w:r w:rsidRPr="002721E2">
              <w:t xml:space="preserve">: </w:t>
            </w:r>
            <w:r w:rsidR="007345D3" w:rsidRPr="002721E2">
              <w:t xml:space="preserve">Change </w:t>
            </w:r>
            <w:r w:rsidR="001F2E68">
              <w:t>in net debt</w:t>
            </w:r>
            <w:r w:rsidR="00CA5672">
              <w:t xml:space="preserve"> since 2016</w:t>
            </w:r>
            <w:r w:rsidR="00142836" w:rsidRPr="002721E2">
              <w:t>–</w:t>
            </w:r>
            <w:r w:rsidR="00CA5672">
              <w:t>17 national fiscal outlook</w:t>
            </w:r>
            <w:bookmarkEnd w:id="30"/>
          </w:p>
        </w:tc>
      </w:tr>
      <w:tr w:rsidR="007345D3" w:rsidTr="00667611">
        <w:trPr>
          <w:cnfStyle w:val="000000100000" w:firstRow="0" w:lastRow="0" w:firstColumn="0" w:lastColumn="0" w:oddVBand="0" w:evenVBand="0" w:oddHBand="1" w:evenHBand="0" w:firstRowFirstColumn="0" w:firstRowLastColumn="0" w:lastRowFirstColumn="0" w:lastRowLastColumn="0"/>
          <w:trHeight w:val="536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vAlign w:val="top"/>
          </w:tcPr>
          <w:p w:rsidR="007345D3" w:rsidRDefault="001F6D0D" w:rsidP="002F740D">
            <w:pPr>
              <w:pStyle w:val="BodyText"/>
              <w:jc w:val="center"/>
            </w:pPr>
            <w:r>
              <w:rPr>
                <w:noProof/>
              </w:rPr>
              <w:drawing>
                <wp:inline distT="0" distB="0" distL="0" distR="0" wp14:anchorId="23B7F166">
                  <wp:extent cx="2453708" cy="2947087"/>
                  <wp:effectExtent l="0" t="0" r="3810" b="571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55648" cy="2949417"/>
                          </a:xfrm>
                          <a:prstGeom prst="rect">
                            <a:avLst/>
                          </a:prstGeom>
                          <a:noFill/>
                        </pic:spPr>
                      </pic:pic>
                    </a:graphicData>
                  </a:graphic>
                </wp:inline>
              </w:drawing>
            </w:r>
          </w:p>
          <w:p w:rsidR="004C7E93" w:rsidRDefault="004C7E93" w:rsidP="00886E99">
            <w:pPr>
              <w:pStyle w:val="Source"/>
            </w:pPr>
            <w:r w:rsidRPr="00550B44">
              <w:rPr>
                <w:sz w:val="18"/>
                <w:szCs w:val="18"/>
              </w:rPr>
              <w:t>Source: ABS, Commonwealth and state budget papers, PBO analysis</w:t>
            </w:r>
            <w:r>
              <w:t xml:space="preserve">. </w:t>
            </w:r>
          </w:p>
        </w:tc>
        <w:tc>
          <w:tcPr>
            <w:tcW w:w="4252" w:type="dxa"/>
            <w:shd w:val="clear" w:color="auto" w:fill="auto"/>
            <w:vAlign w:val="top"/>
          </w:tcPr>
          <w:p w:rsidR="007345D3" w:rsidRDefault="00F040BB" w:rsidP="002F740D">
            <w:pPr>
              <w:pStyle w:val="BodyText"/>
              <w:jc w:val="center"/>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4BCBEE26">
                  <wp:extent cx="2457864" cy="2984157"/>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420" cy="2984832"/>
                          </a:xfrm>
                          <a:prstGeom prst="rect">
                            <a:avLst/>
                          </a:prstGeom>
                          <a:noFill/>
                        </pic:spPr>
                      </pic:pic>
                    </a:graphicData>
                  </a:graphic>
                </wp:inline>
              </w:drawing>
            </w:r>
          </w:p>
          <w:p w:rsidR="004C7E93" w:rsidRPr="00550B44" w:rsidRDefault="004C7E93" w:rsidP="00217FEE">
            <w:pPr>
              <w:pStyle w:val="Source"/>
              <w:cnfStyle w:val="000000100000" w:firstRow="0" w:lastRow="0" w:firstColumn="0" w:lastColumn="0" w:oddVBand="0" w:evenVBand="0" w:oddHBand="1" w:evenHBand="0" w:firstRowFirstColumn="0" w:firstRowLastColumn="0" w:lastRowFirstColumn="0" w:lastRowLastColumn="0"/>
              <w:rPr>
                <w:sz w:val="18"/>
                <w:szCs w:val="18"/>
              </w:rPr>
            </w:pPr>
            <w:r w:rsidRPr="00550B44">
              <w:rPr>
                <w:sz w:val="18"/>
                <w:szCs w:val="18"/>
              </w:rPr>
              <w:t xml:space="preserve">Source: ABS, Commonwealth and state budget papers, PBO analysis. </w:t>
            </w:r>
          </w:p>
        </w:tc>
      </w:tr>
    </w:tbl>
    <w:p w:rsidR="004B5C90" w:rsidRDefault="007E7F2C" w:rsidP="00550B44">
      <w:pPr>
        <w:pStyle w:val="BodyText17ptAbove"/>
      </w:pPr>
      <w:r w:rsidRPr="00550B44">
        <w:t>Commonwealth net debt is projected to</w:t>
      </w:r>
      <w:r w:rsidR="007B2581" w:rsidRPr="00550B44">
        <w:t xml:space="preserve"> be $</w:t>
      </w:r>
      <w:r w:rsidR="008C3065" w:rsidRPr="00550B44">
        <w:t>374.</w:t>
      </w:r>
      <w:r w:rsidR="00436FF7">
        <w:t xml:space="preserve">7 </w:t>
      </w:r>
      <w:r w:rsidR="007B2581" w:rsidRPr="00550B44">
        <w:t>billion in 2019–20</w:t>
      </w:r>
      <w:r w:rsidR="008C3065" w:rsidRPr="00550B44">
        <w:t>, $19.6 billion higher than projected in</w:t>
      </w:r>
      <w:r w:rsidR="0017266C" w:rsidRPr="00550B44">
        <w:t xml:space="preserve"> the 2016</w:t>
      </w:r>
      <w:r w:rsidR="005E243D" w:rsidRPr="00550B44">
        <w:t>–</w:t>
      </w:r>
      <w:r w:rsidR="0017266C" w:rsidRPr="00550B44">
        <w:t xml:space="preserve">17 </w:t>
      </w:r>
      <w:proofErr w:type="gramStart"/>
      <w:r w:rsidR="00D40607">
        <w:t>outlook</w:t>
      </w:r>
      <w:proofErr w:type="gramEnd"/>
      <w:r w:rsidR="004B5C90" w:rsidRPr="00550B44">
        <w:t>.  This is</w:t>
      </w:r>
      <w:r w:rsidRPr="00550B44">
        <w:t xml:space="preserve"> </w:t>
      </w:r>
      <w:r w:rsidR="00584B1B" w:rsidRPr="00550B44">
        <w:t xml:space="preserve">primarily </w:t>
      </w:r>
      <w:r w:rsidRPr="00550B44">
        <w:t xml:space="preserve">driven </w:t>
      </w:r>
      <w:r w:rsidR="004B5C90" w:rsidRPr="00550B44">
        <w:t>by an increase in the financing requirement d</w:t>
      </w:r>
      <w:r w:rsidR="006F4FA7" w:rsidRPr="00550B44">
        <w:t xml:space="preserve">ue to larger </w:t>
      </w:r>
      <w:r w:rsidR="00C95293">
        <w:t xml:space="preserve">projected </w:t>
      </w:r>
      <w:r w:rsidR="004B5C90" w:rsidRPr="00550B44">
        <w:t>budget deficits since the 2016–17 Budget.</w:t>
      </w:r>
    </w:p>
    <w:p w:rsidR="00155BDC" w:rsidRDefault="0017266C">
      <w:pPr>
        <w:pStyle w:val="ListBullet"/>
        <w:numPr>
          <w:ilvl w:val="0"/>
          <w:numId w:val="0"/>
        </w:numPr>
      </w:pPr>
      <w:r>
        <w:t>State net debt is projected to be $</w:t>
      </w:r>
      <w:r w:rsidR="00436FF7">
        <w:t>76.9</w:t>
      </w:r>
      <w:r>
        <w:t xml:space="preserve"> billion in 2019–20</w:t>
      </w:r>
      <w:r w:rsidR="008C3065">
        <w:t>, $3.3 billion higher than projected in the</w:t>
      </w:r>
      <w:r>
        <w:t xml:space="preserve"> 2016–17 </w:t>
      </w:r>
      <w:proofErr w:type="gramStart"/>
      <w:r w:rsidR="00871558">
        <w:t>outlook</w:t>
      </w:r>
      <w:proofErr w:type="gramEnd"/>
      <w:r>
        <w:t xml:space="preserve">.  The change in the </w:t>
      </w:r>
      <w:r w:rsidR="007E7F2C">
        <w:t xml:space="preserve">state net debt </w:t>
      </w:r>
      <w:r>
        <w:t>profile reflects a significant</w:t>
      </w:r>
      <w:r w:rsidR="007E7F2C">
        <w:t xml:space="preserve"> improvement in N</w:t>
      </w:r>
      <w:r w:rsidR="00947EE3">
        <w:t xml:space="preserve">ew South </w:t>
      </w:r>
      <w:r w:rsidR="007E7F2C">
        <w:t>W</w:t>
      </w:r>
      <w:r w:rsidR="00947EE3">
        <w:t>ales</w:t>
      </w:r>
      <w:r w:rsidR="007E7F2C">
        <w:t>’ net debt position.  T</w:t>
      </w:r>
      <w:r w:rsidR="00722DF3">
        <w:t xml:space="preserve">he </w:t>
      </w:r>
      <w:r w:rsidR="007E7F2C">
        <w:t xml:space="preserve">partial long-term lease of Endeavour Energy and </w:t>
      </w:r>
      <w:proofErr w:type="spellStart"/>
      <w:r w:rsidR="007E7F2C">
        <w:t>Ausgrid</w:t>
      </w:r>
      <w:proofErr w:type="spellEnd"/>
      <w:r w:rsidR="007E7F2C">
        <w:t xml:space="preserve"> in 2016</w:t>
      </w:r>
      <w:r w:rsidR="0065563F">
        <w:t>–</w:t>
      </w:r>
      <w:r w:rsidR="007E7F2C">
        <w:t>17 increase</w:t>
      </w:r>
      <w:r w:rsidR="00722DF3">
        <w:t>s</w:t>
      </w:r>
      <w:r w:rsidR="007E7F2C">
        <w:t xml:space="preserve"> cash holdings </w:t>
      </w:r>
      <w:r w:rsidR="00B7784F">
        <w:t xml:space="preserve">thereby </w:t>
      </w:r>
      <w:r w:rsidR="00947EE3">
        <w:t>reducing net debt</w:t>
      </w:r>
      <w:r w:rsidR="000A24AF">
        <w:t xml:space="preserve"> and</w:t>
      </w:r>
      <w:r w:rsidR="004E05FF">
        <w:t xml:space="preserve"> </w:t>
      </w:r>
      <w:r w:rsidR="000A24AF">
        <w:t xml:space="preserve">is </w:t>
      </w:r>
      <w:r w:rsidR="004E05FF">
        <w:t>the key contributor to the decline in national debt in 2016</w:t>
      </w:r>
      <w:r w:rsidR="00CF1DF7">
        <w:t>–</w:t>
      </w:r>
      <w:r w:rsidR="004E05FF">
        <w:t>17</w:t>
      </w:r>
      <w:r w:rsidR="00947EE3">
        <w:t>.  A</w:t>
      </w:r>
      <w:r w:rsidR="007E7F2C">
        <w:t xml:space="preserve">s the proceeds from these assets sales are then reinvested </w:t>
      </w:r>
      <w:r w:rsidR="00722DF3">
        <w:t xml:space="preserve">in other infrastructure projects </w:t>
      </w:r>
      <w:r w:rsidR="00167911">
        <w:t>net debt improves by a smaller amount</w:t>
      </w:r>
      <w:r w:rsidR="00B7784F">
        <w:t xml:space="preserve"> each subsequent year</w:t>
      </w:r>
      <w:r w:rsidR="00EA7466">
        <w:t xml:space="preserve"> before deteriorating in 2019–20</w:t>
      </w:r>
      <w:r w:rsidR="003744EC">
        <w:t>.</w:t>
      </w:r>
    </w:p>
    <w:p w:rsidR="00155BDC" w:rsidRDefault="00155BDC">
      <w:pPr>
        <w:pStyle w:val="ListBullet"/>
        <w:numPr>
          <w:ilvl w:val="0"/>
          <w:numId w:val="0"/>
        </w:numPr>
      </w:pPr>
    </w:p>
    <w:p w:rsidR="00155BDC" w:rsidRDefault="00155BDC">
      <w:pPr>
        <w:rPr>
          <w:spacing w:val="-1"/>
        </w:rPr>
      </w:pPr>
      <w:r>
        <w:br w:type="page"/>
      </w:r>
    </w:p>
    <w:p w:rsidR="00155BDC" w:rsidRDefault="00155BDC" w:rsidP="00550B44">
      <w:pPr>
        <w:pStyle w:val="Caption1"/>
      </w:pPr>
      <w:r w:rsidRPr="00857551">
        <w:lastRenderedPageBreak/>
        <w:t>Box 1: International comparison of spending and revenue</w:t>
      </w:r>
      <w:r w:rsidRPr="00961B3E">
        <w:rPr>
          <w:vertAlign w:val="superscript"/>
        </w:rPr>
        <w:footnoteReference w:id="4"/>
      </w:r>
    </w:p>
    <w:tbl>
      <w:tblPr>
        <w:tblStyle w:val="PullOutBoxTable"/>
        <w:tblW w:w="5000" w:type="pct"/>
        <w:tblLook w:val="0600" w:firstRow="0" w:lastRow="0" w:firstColumn="0" w:lastColumn="0" w:noHBand="1" w:noVBand="1"/>
      </w:tblPr>
      <w:tblGrid>
        <w:gridCol w:w="8322"/>
      </w:tblGrid>
      <w:tr w:rsidR="009B3325" w:rsidTr="003059B6">
        <w:tc>
          <w:tcPr>
            <w:tcW w:w="5000" w:type="pct"/>
          </w:tcPr>
          <w:p w:rsidR="001457DE" w:rsidRDefault="001457DE" w:rsidP="00550B44">
            <w:pPr>
              <w:pStyle w:val="PullOutBoxBodyText"/>
            </w:pPr>
            <w:r>
              <w:t>One of the benefits of examining the</w:t>
            </w:r>
            <w:r w:rsidR="002374C5">
              <w:t xml:space="preserve"> Australian</w:t>
            </w:r>
            <w:r w:rsidR="000E1653">
              <w:t xml:space="preserve"> national</w:t>
            </w:r>
            <w:r>
              <w:t xml:space="preserve"> fiscal position</w:t>
            </w:r>
            <w:r w:rsidR="00DD7132">
              <w:t>, that is the fiscal position across all levels of government,</w:t>
            </w:r>
            <w:r>
              <w:t xml:space="preserve"> is that </w:t>
            </w:r>
            <w:r w:rsidR="004A2361">
              <w:t>more meaningful</w:t>
            </w:r>
            <w:r>
              <w:t xml:space="preserve"> </w:t>
            </w:r>
            <w:r w:rsidR="002374C5">
              <w:t xml:space="preserve">international </w:t>
            </w:r>
            <w:r>
              <w:t>comparison</w:t>
            </w:r>
            <w:r w:rsidR="002374C5">
              <w:t>s</w:t>
            </w:r>
            <w:r>
              <w:t xml:space="preserve"> </w:t>
            </w:r>
            <w:r w:rsidR="006E51F0">
              <w:t xml:space="preserve">of </w:t>
            </w:r>
            <w:r>
              <w:t>the size of the Australian government sector</w:t>
            </w:r>
            <w:r w:rsidR="002374C5">
              <w:t xml:space="preserve"> can </w:t>
            </w:r>
            <w:r w:rsidR="001A131A">
              <w:t>be made</w:t>
            </w:r>
            <w:r>
              <w:t xml:space="preserve">. </w:t>
            </w:r>
            <w:r w:rsidR="00FD1696">
              <w:t xml:space="preserve"> </w:t>
            </w:r>
          </w:p>
          <w:p w:rsidR="001457DE" w:rsidRDefault="009969FE" w:rsidP="00550B44">
            <w:pPr>
              <w:pStyle w:val="PullOutBoxBodyText"/>
            </w:pPr>
            <w:r>
              <w:t>C</w:t>
            </w:r>
            <w:r w:rsidR="001457DE">
              <w:t xml:space="preserve">ountries </w:t>
            </w:r>
            <w:r w:rsidR="004A2361">
              <w:t>may</w:t>
            </w:r>
            <w:r w:rsidR="000E1653">
              <w:t xml:space="preserve"> have different systems </w:t>
            </w:r>
            <w:r>
              <w:t xml:space="preserve">of </w:t>
            </w:r>
            <w:r w:rsidR="001457DE">
              <w:t>government</w:t>
            </w:r>
            <w:r>
              <w:t xml:space="preserve"> (e.g.</w:t>
            </w:r>
            <w:r w:rsidR="001457DE">
              <w:t xml:space="preserve"> federal </w:t>
            </w:r>
            <w:r w:rsidR="0096253B">
              <w:t>or</w:t>
            </w:r>
            <w:r w:rsidR="000E1653">
              <w:t xml:space="preserve"> unitary</w:t>
            </w:r>
            <w:r>
              <w:t xml:space="preserve">), </w:t>
            </w:r>
            <w:r w:rsidR="000E1653">
              <w:t>or even where the system of government is the same, each level of government may undertake different functions.  F</w:t>
            </w:r>
            <w:r w:rsidR="001457DE">
              <w:t xml:space="preserve">ocussing on only one </w:t>
            </w:r>
            <w:r w:rsidR="004A2361">
              <w:t>level</w:t>
            </w:r>
            <w:r w:rsidR="001457DE">
              <w:t xml:space="preserve"> </w:t>
            </w:r>
            <w:r w:rsidR="000E1653">
              <w:t xml:space="preserve">of government </w:t>
            </w:r>
            <w:r w:rsidR="004A2361">
              <w:t>may overlook</w:t>
            </w:r>
            <w:r w:rsidR="001457DE">
              <w:t xml:space="preserve"> </w:t>
            </w:r>
            <w:r w:rsidR="004A2361">
              <w:t xml:space="preserve">potential differences in </w:t>
            </w:r>
            <w:r w:rsidR="001457DE">
              <w:t>expenditure</w:t>
            </w:r>
            <w:r>
              <w:t xml:space="preserve"> and </w:t>
            </w:r>
            <w:r w:rsidR="001457DE">
              <w:t>taxation responsibilit</w:t>
            </w:r>
            <w:r>
              <w:t xml:space="preserve">ies </w:t>
            </w:r>
            <w:r w:rsidR="001457DE">
              <w:t>between levels of government internationally.</w:t>
            </w:r>
            <w:r w:rsidR="00C96C35">
              <w:t xml:space="preserve">  Th</w:t>
            </w:r>
            <w:r w:rsidR="002008CD">
              <w:t>is is</w:t>
            </w:r>
            <w:r w:rsidR="00F70F7B">
              <w:t xml:space="preserve"> overcome by looking at the </w:t>
            </w:r>
            <w:r w:rsidR="00F70F7B" w:rsidRPr="0096253B">
              <w:t xml:space="preserve">national </w:t>
            </w:r>
            <w:r w:rsidR="00F70F7B">
              <w:t xml:space="preserve">fiscal position. </w:t>
            </w:r>
          </w:p>
          <w:p w:rsidR="001457DE" w:rsidRPr="00770798" w:rsidRDefault="008C28C2" w:rsidP="00550B44">
            <w:pPr>
              <w:pStyle w:val="PullOutBoxBodyText"/>
            </w:pPr>
            <w:r w:rsidRPr="008C28C2">
              <w:fldChar w:fldCharType="begin"/>
            </w:r>
            <w:r w:rsidRPr="008C28C2">
              <w:instrText xml:space="preserve"> REF _Ref492904443 \h </w:instrText>
            </w:r>
            <w:r>
              <w:instrText xml:space="preserve"> \* MERGEFORMAT </w:instrText>
            </w:r>
            <w:r w:rsidRPr="008C28C2">
              <w:fldChar w:fldCharType="separate"/>
            </w:r>
            <w:r w:rsidR="00BF7361" w:rsidRPr="00D25CE5">
              <w:t xml:space="preserve">Figure </w:t>
            </w:r>
            <w:r w:rsidR="00BF7361">
              <w:rPr>
                <w:noProof/>
              </w:rPr>
              <w:t>1</w:t>
            </w:r>
            <w:r w:rsidR="00BF7361" w:rsidRPr="00D25CE5">
              <w:t>–</w:t>
            </w:r>
            <w:r w:rsidR="00BF7361">
              <w:rPr>
                <w:noProof/>
              </w:rPr>
              <w:t>7</w:t>
            </w:r>
            <w:r w:rsidRPr="008C28C2">
              <w:fldChar w:fldCharType="end"/>
            </w:r>
            <w:r w:rsidRPr="008C28C2">
              <w:t xml:space="preserve"> </w:t>
            </w:r>
            <w:r w:rsidR="001457DE" w:rsidRPr="008C28C2">
              <w:t>s</w:t>
            </w:r>
            <w:r w:rsidR="001457DE">
              <w:t>how</w:t>
            </w:r>
            <w:r w:rsidR="005F35B9">
              <w:t>s</w:t>
            </w:r>
            <w:r w:rsidR="001457DE">
              <w:t xml:space="preserve"> total </w:t>
            </w:r>
            <w:r w:rsidR="004A2361">
              <w:t>spending (expenses plus net capital investment)</w:t>
            </w:r>
            <w:r w:rsidR="001457DE">
              <w:t xml:space="preserve"> and revenue </w:t>
            </w:r>
            <w:r w:rsidR="000E1653">
              <w:t xml:space="preserve">across all levels of government </w:t>
            </w:r>
            <w:r w:rsidR="001457DE">
              <w:t xml:space="preserve">for </w:t>
            </w:r>
            <w:r w:rsidR="00A13D0D">
              <w:t>G20</w:t>
            </w:r>
            <w:r w:rsidR="001457DE">
              <w:t xml:space="preserve"> countries. </w:t>
            </w:r>
            <w:r w:rsidR="004A2361">
              <w:t xml:space="preserve"> In terms of both spen</w:t>
            </w:r>
            <w:r w:rsidR="000E1653">
              <w:t xml:space="preserve">ding and revenue Australia is </w:t>
            </w:r>
            <w:r w:rsidR="004A2361">
              <w:t>clustered in a gro</w:t>
            </w:r>
            <w:r w:rsidR="000E1653">
              <w:t>up of countries in the middle range</w:t>
            </w:r>
            <w:r w:rsidR="00A13D0D">
              <w:t>, and around the OECD average</w:t>
            </w:r>
            <w:r w:rsidR="000E1653">
              <w:t>.</w:t>
            </w:r>
            <w:r w:rsidR="004A2361">
              <w:t xml:space="preserve"> </w:t>
            </w:r>
          </w:p>
          <w:p w:rsidR="006F0FA1" w:rsidRPr="00D25CE5" w:rsidRDefault="009B3325" w:rsidP="00D25CE5">
            <w:pPr>
              <w:pStyle w:val="Caption1"/>
              <w:spacing w:after="0" w:line="240" w:lineRule="auto"/>
              <w:ind w:left="113"/>
            </w:pPr>
            <w:bookmarkStart w:id="31" w:name="_Ref492904443"/>
            <w:bookmarkStart w:id="32" w:name="_Toc495929690"/>
            <w:r w:rsidRPr="00D25CE5">
              <w:t xml:space="preserve">Figure </w:t>
            </w:r>
            <w:fldSimple w:instr=" STYLEREF 1 \s ">
              <w:r w:rsidR="00BF7361">
                <w:rPr>
                  <w:noProof/>
                </w:rPr>
                <w:t>1</w:t>
              </w:r>
            </w:fldSimple>
            <w:r w:rsidRPr="00D25CE5">
              <w:t>–</w:t>
            </w:r>
            <w:fldSimple w:instr=" SEQ Figure \* ARABIC \s 1 ">
              <w:r w:rsidR="00BF7361">
                <w:rPr>
                  <w:noProof/>
                </w:rPr>
                <w:t>7</w:t>
              </w:r>
            </w:fldSimple>
            <w:bookmarkEnd w:id="31"/>
            <w:r w:rsidR="008C28C2" w:rsidRPr="00D25CE5">
              <w:t xml:space="preserve">: Spending </w:t>
            </w:r>
            <w:r w:rsidR="00961B3E" w:rsidRPr="00D25CE5">
              <w:t xml:space="preserve">and revenue </w:t>
            </w:r>
            <w:r w:rsidR="008C28C2" w:rsidRPr="00D25CE5">
              <w:t>in</w:t>
            </w:r>
            <w:r w:rsidRPr="00D25CE5">
              <w:t xml:space="preserve"> </w:t>
            </w:r>
            <w:r w:rsidR="008C28C2" w:rsidRPr="00D25CE5">
              <w:t xml:space="preserve">G20 </w:t>
            </w:r>
            <w:r w:rsidRPr="00D25CE5">
              <w:t>countries in 2015</w:t>
            </w:r>
            <w:bookmarkEnd w:id="32"/>
            <w:r w:rsidR="0025042D" w:rsidRPr="00D25CE5">
              <w:t xml:space="preserve"> </w:t>
            </w:r>
          </w:p>
          <w:p w:rsidR="009B3325" w:rsidRPr="00D25CE5" w:rsidRDefault="00A069B1" w:rsidP="00D25CE5">
            <w:pPr>
              <w:pStyle w:val="Caption1"/>
              <w:spacing w:before="0" w:line="240" w:lineRule="auto"/>
              <w:ind w:left="1140"/>
              <w:rPr>
                <w:sz w:val="18"/>
              </w:rPr>
            </w:pPr>
            <w:r>
              <w:rPr>
                <w:b w:val="0"/>
                <w:sz w:val="18"/>
              </w:rPr>
              <w:t>(S</w:t>
            </w:r>
            <w:r w:rsidR="0025042D" w:rsidRPr="00D25CE5">
              <w:rPr>
                <w:b w:val="0"/>
                <w:sz w:val="18"/>
              </w:rPr>
              <w:t>hare of GDP)</w:t>
            </w:r>
          </w:p>
          <w:p w:rsidR="009B3325" w:rsidRDefault="00D33FDF" w:rsidP="00550B44">
            <w:pPr>
              <w:pStyle w:val="PullOutBoxBodyText"/>
            </w:pPr>
            <w:r>
              <w:rPr>
                <w:noProof/>
              </w:rPr>
              <w:drawing>
                <wp:inline distT="0" distB="0" distL="0" distR="0" wp14:anchorId="7A643ACD">
                  <wp:extent cx="5023022" cy="2508421"/>
                  <wp:effectExtent l="0" t="0" r="6350" b="635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28717" cy="2511265"/>
                          </a:xfrm>
                          <a:prstGeom prst="rect">
                            <a:avLst/>
                          </a:prstGeom>
                          <a:noFill/>
                        </pic:spPr>
                      </pic:pic>
                    </a:graphicData>
                  </a:graphic>
                </wp:inline>
              </w:drawing>
            </w:r>
          </w:p>
          <w:p w:rsidR="009B3325" w:rsidRPr="00550B44" w:rsidRDefault="009B3325" w:rsidP="00550B44">
            <w:pPr>
              <w:pStyle w:val="Source"/>
              <w:spacing w:before="0"/>
              <w:ind w:left="113"/>
              <w:rPr>
                <w:sz w:val="18"/>
                <w:szCs w:val="18"/>
              </w:rPr>
            </w:pPr>
            <w:r w:rsidRPr="00550B44">
              <w:rPr>
                <w:sz w:val="18"/>
                <w:szCs w:val="18"/>
              </w:rPr>
              <w:t>Source:</w:t>
            </w:r>
            <w:r w:rsidR="0063560E">
              <w:rPr>
                <w:sz w:val="18"/>
                <w:szCs w:val="18"/>
              </w:rPr>
              <w:t xml:space="preserve"> </w:t>
            </w:r>
            <w:r w:rsidRPr="00550B44">
              <w:rPr>
                <w:sz w:val="18"/>
                <w:szCs w:val="18"/>
              </w:rPr>
              <w:t xml:space="preserve"> </w:t>
            </w:r>
            <w:r w:rsidR="0063560E" w:rsidRPr="0063560E">
              <w:rPr>
                <w:sz w:val="18"/>
                <w:szCs w:val="18"/>
              </w:rPr>
              <w:t>International Monetary Fund</w:t>
            </w:r>
            <w:r w:rsidR="0063560E">
              <w:rPr>
                <w:sz w:val="18"/>
                <w:szCs w:val="18"/>
              </w:rPr>
              <w:t xml:space="preserve"> (</w:t>
            </w:r>
            <w:r w:rsidRPr="00550B44">
              <w:rPr>
                <w:sz w:val="18"/>
                <w:szCs w:val="18"/>
              </w:rPr>
              <w:t>IMF</w:t>
            </w:r>
            <w:r w:rsidR="0063560E">
              <w:rPr>
                <w:sz w:val="18"/>
                <w:szCs w:val="18"/>
              </w:rPr>
              <w:t>)</w:t>
            </w:r>
            <w:r w:rsidRPr="00550B44">
              <w:rPr>
                <w:sz w:val="18"/>
                <w:szCs w:val="18"/>
              </w:rPr>
              <w:t>.</w:t>
            </w:r>
          </w:p>
          <w:p w:rsidR="009B10B5" w:rsidRPr="00663F4A" w:rsidRDefault="009B10B5" w:rsidP="00550B44">
            <w:pPr>
              <w:pStyle w:val="PullOutBoxBodyText"/>
            </w:pPr>
            <w:r w:rsidRPr="00663F4A">
              <w:t>The diversity of taxation and spending regimes across G20 countries means that some caution should be exercised when making specific cross-country comparisons.  For example, Australia</w:t>
            </w:r>
            <w:r w:rsidR="005F35B9">
              <w:t xml:space="preserve"> </w:t>
            </w:r>
            <w:r w:rsidR="00E94415">
              <w:t>relies</w:t>
            </w:r>
            <w:r w:rsidRPr="00663F4A">
              <w:t xml:space="preserve"> in part on </w:t>
            </w:r>
            <w:r w:rsidR="00E94415">
              <w:t xml:space="preserve">the </w:t>
            </w:r>
            <w:r w:rsidRPr="00663F4A">
              <w:t>mandated saving</w:t>
            </w:r>
            <w:r w:rsidR="00E94415">
              <w:t xml:space="preserve">s of superannuation </w:t>
            </w:r>
            <w:r w:rsidRPr="00663F4A">
              <w:t xml:space="preserve">to support </w:t>
            </w:r>
            <w:r w:rsidR="005F35B9">
              <w:t>retirement incomes</w:t>
            </w:r>
            <w:r w:rsidRPr="00663F4A">
              <w:t xml:space="preserve">, which </w:t>
            </w:r>
            <w:r w:rsidR="004E7AA5" w:rsidRPr="00663F4A">
              <w:t>is not classified as</w:t>
            </w:r>
            <w:r w:rsidRPr="00663F4A">
              <w:t xml:space="preserve"> revenue</w:t>
            </w:r>
            <w:r w:rsidR="00C95293">
              <w:t xml:space="preserve"> (nor is the drawdown of superannuation balances in retirement classified as spending)</w:t>
            </w:r>
            <w:r w:rsidRPr="00663F4A">
              <w:t xml:space="preserve">.  Other countries, particularly in Europe, rely more heavily on public provision of pensions and therefore have higher revenue </w:t>
            </w:r>
            <w:r w:rsidR="0071460F" w:rsidRPr="00663F4A">
              <w:t xml:space="preserve">to fund the higher </w:t>
            </w:r>
            <w:r w:rsidR="002F28C8" w:rsidRPr="00663F4A">
              <w:t xml:space="preserve">public </w:t>
            </w:r>
            <w:r w:rsidRPr="00663F4A">
              <w:t>expenditure.</w:t>
            </w:r>
          </w:p>
          <w:p w:rsidR="00441D8F" w:rsidRPr="00663F4A" w:rsidRDefault="00320C37" w:rsidP="00550B44">
            <w:pPr>
              <w:pStyle w:val="PullOutBoxBodyText"/>
            </w:pPr>
            <w:r w:rsidRPr="00663F4A">
              <w:t xml:space="preserve">While the above analysis provides </w:t>
            </w:r>
            <w:r w:rsidR="00503A68" w:rsidRPr="00663F4A">
              <w:t xml:space="preserve">a </w:t>
            </w:r>
            <w:r w:rsidRPr="00663F4A">
              <w:t>snapshot of the level of spending and revenue in 2015, it does not give an indication about how differences between spending and revenue have accumulated over time.  This requires looking at a stoc</w:t>
            </w:r>
            <w:r w:rsidR="00503A68" w:rsidRPr="00663F4A">
              <w:t>k measure of</w:t>
            </w:r>
            <w:r w:rsidRPr="00663F4A">
              <w:t xml:space="preserve"> government finances, such as net debt.  </w:t>
            </w:r>
          </w:p>
          <w:p w:rsidR="00320C37" w:rsidRPr="00663F4A" w:rsidRDefault="00320C37" w:rsidP="00550B44">
            <w:pPr>
              <w:pStyle w:val="PullOutBoxBodyText"/>
            </w:pPr>
            <w:r w:rsidRPr="00663F4A">
              <w:lastRenderedPageBreak/>
              <w:fldChar w:fldCharType="begin"/>
            </w:r>
            <w:r w:rsidRPr="00663F4A">
              <w:instrText xml:space="preserve"> REF _Ref493758044 \h </w:instrText>
            </w:r>
            <w:r w:rsidR="00257F6E" w:rsidRPr="00663F4A">
              <w:instrText xml:space="preserve"> \* MERGEFORMAT </w:instrText>
            </w:r>
            <w:r w:rsidRPr="00663F4A">
              <w:fldChar w:fldCharType="separate"/>
            </w:r>
            <w:r w:rsidR="00BF7361" w:rsidRPr="00D25CE5">
              <w:t xml:space="preserve">Figure </w:t>
            </w:r>
            <w:r w:rsidR="00BF7361">
              <w:t>1</w:t>
            </w:r>
            <w:r w:rsidR="00BF7361" w:rsidRPr="00D25CE5">
              <w:t>–</w:t>
            </w:r>
            <w:r w:rsidR="00BF7361">
              <w:t>8</w:t>
            </w:r>
            <w:r w:rsidRPr="00663F4A">
              <w:fldChar w:fldCharType="end"/>
            </w:r>
            <w:r w:rsidRPr="00663F4A">
              <w:t xml:space="preserve"> shows the net debt position of G20 countries for which data </w:t>
            </w:r>
            <w:r w:rsidR="001A131A">
              <w:t>are</w:t>
            </w:r>
            <w:r w:rsidR="001A131A" w:rsidRPr="00663F4A">
              <w:t xml:space="preserve"> </w:t>
            </w:r>
            <w:r w:rsidRPr="00663F4A">
              <w:t>available</w:t>
            </w:r>
            <w:r w:rsidR="00441D8F" w:rsidRPr="00663F4A">
              <w:t xml:space="preserve">.  While Australia’s </w:t>
            </w:r>
            <w:r w:rsidR="005F35B9">
              <w:t xml:space="preserve">net debt has increased significantly in recent years and </w:t>
            </w:r>
            <w:r w:rsidR="001A131A">
              <w:t>is now</w:t>
            </w:r>
            <w:r w:rsidR="00441D8F" w:rsidRPr="00663F4A">
              <w:t xml:space="preserve"> high by historical standards, Australia has a relatively low level of net debt by international standards. </w:t>
            </w:r>
            <w:r w:rsidR="00656950">
              <w:t xml:space="preserve"> </w:t>
            </w:r>
            <w:r w:rsidR="00457A1D">
              <w:t>Ongoing r</w:t>
            </w:r>
            <w:r w:rsidR="00457A1D" w:rsidRPr="001B5F37">
              <w:t>isks to revenue and expense projections at both Commonwealth and state levels</w:t>
            </w:r>
            <w:r w:rsidR="00457A1D">
              <w:t>, however,</w:t>
            </w:r>
            <w:r w:rsidR="00457A1D" w:rsidRPr="001B5F37">
              <w:t xml:space="preserve"> suggest a </w:t>
            </w:r>
            <w:r w:rsidR="00457A1D">
              <w:t xml:space="preserve">need for </w:t>
            </w:r>
            <w:r w:rsidR="00457A1D" w:rsidRPr="001B5F37">
              <w:t>continued vigilance.</w:t>
            </w:r>
          </w:p>
          <w:p w:rsidR="006F0FA1" w:rsidRPr="00D25CE5" w:rsidRDefault="00320C37" w:rsidP="00D25CE5">
            <w:pPr>
              <w:pStyle w:val="Caption1"/>
              <w:spacing w:after="0" w:line="240" w:lineRule="auto"/>
              <w:ind w:left="147"/>
            </w:pPr>
            <w:bookmarkStart w:id="33" w:name="_Ref493758044"/>
            <w:bookmarkStart w:id="34" w:name="_Toc495929691"/>
            <w:r w:rsidRPr="00D25CE5">
              <w:t xml:space="preserve">Figure </w:t>
            </w:r>
            <w:fldSimple w:instr=" STYLEREF 1 \s ">
              <w:r w:rsidR="00BF7361">
                <w:rPr>
                  <w:noProof/>
                </w:rPr>
                <w:t>1</w:t>
              </w:r>
            </w:fldSimple>
            <w:r w:rsidRPr="00D25CE5">
              <w:t>–</w:t>
            </w:r>
            <w:fldSimple w:instr=" SEQ Figure \* ARABIC \s 1 ">
              <w:r w:rsidR="00BF7361">
                <w:rPr>
                  <w:noProof/>
                </w:rPr>
                <w:t>8</w:t>
              </w:r>
            </w:fldSimple>
            <w:bookmarkEnd w:id="33"/>
            <w:r w:rsidRPr="00D25CE5">
              <w:t>: Net debt in G20 countries in 2015</w:t>
            </w:r>
            <w:bookmarkEnd w:id="34"/>
            <w:r w:rsidR="008F28D4" w:rsidRPr="00D25CE5">
              <w:t xml:space="preserve"> </w:t>
            </w:r>
          </w:p>
          <w:p w:rsidR="00320C37" w:rsidRDefault="00D25CE5" w:rsidP="00D25CE5">
            <w:pPr>
              <w:pStyle w:val="Caption1"/>
              <w:spacing w:before="0" w:line="240" w:lineRule="auto"/>
              <w:ind w:left="1139"/>
            </w:pPr>
            <w:r w:rsidRPr="00D25CE5">
              <w:rPr>
                <w:b w:val="0"/>
              </w:rPr>
              <w:t xml:space="preserve"> </w:t>
            </w:r>
            <w:r w:rsidR="00A069B1">
              <w:rPr>
                <w:b w:val="0"/>
                <w:sz w:val="18"/>
              </w:rPr>
              <w:t>(S</w:t>
            </w:r>
            <w:r w:rsidR="008F28D4" w:rsidRPr="00D25CE5">
              <w:rPr>
                <w:b w:val="0"/>
                <w:sz w:val="18"/>
              </w:rPr>
              <w:t>hare of GDP)</w:t>
            </w:r>
          </w:p>
          <w:p w:rsidR="00320C37" w:rsidRPr="00320C37" w:rsidRDefault="00D33FDF" w:rsidP="00320C37">
            <w:pPr>
              <w:pStyle w:val="Caption"/>
              <w:ind w:left="147"/>
            </w:pPr>
            <w:r>
              <w:rPr>
                <w:noProof/>
              </w:rPr>
              <w:drawing>
                <wp:inline distT="0" distB="0" distL="0" distR="0" wp14:anchorId="25870B96">
                  <wp:extent cx="5149162" cy="2792627"/>
                  <wp:effectExtent l="0" t="0" r="0" b="825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62376" cy="2799794"/>
                          </a:xfrm>
                          <a:prstGeom prst="rect">
                            <a:avLst/>
                          </a:prstGeom>
                          <a:noFill/>
                        </pic:spPr>
                      </pic:pic>
                    </a:graphicData>
                  </a:graphic>
                </wp:inline>
              </w:drawing>
            </w:r>
          </w:p>
          <w:p w:rsidR="001555BF" w:rsidRPr="001555BF" w:rsidRDefault="00441D8F" w:rsidP="00550B44">
            <w:pPr>
              <w:pStyle w:val="Source"/>
              <w:ind w:left="113"/>
            </w:pPr>
            <w:r w:rsidRPr="00550B44">
              <w:rPr>
                <w:sz w:val="18"/>
                <w:szCs w:val="18"/>
              </w:rPr>
              <w:t>Source: IMF.</w:t>
            </w:r>
          </w:p>
        </w:tc>
      </w:tr>
    </w:tbl>
    <w:p w:rsidR="00457A1D" w:rsidRDefault="00457A1D">
      <w:pPr>
        <w:rPr>
          <w:rFonts w:asciiTheme="majorHAnsi" w:hAnsiTheme="majorHAnsi"/>
          <w:bCs/>
          <w:color w:val="2B3B5F" w:themeColor="text2"/>
          <w:spacing w:val="-6"/>
          <w:kern w:val="32"/>
          <w:sz w:val="40"/>
          <w:szCs w:val="32"/>
        </w:rPr>
      </w:pPr>
      <w:bookmarkStart w:id="35" w:name="ReturnHere"/>
      <w:bookmarkEnd w:id="35"/>
      <w:r>
        <w:lastRenderedPageBreak/>
        <w:br w:type="page"/>
      </w:r>
    </w:p>
    <w:p w:rsidR="007B673E" w:rsidRDefault="007B673E" w:rsidP="007B673E">
      <w:pPr>
        <w:pStyle w:val="Heading1"/>
      </w:pPr>
      <w:bookmarkStart w:id="36" w:name="_Toc495678470"/>
      <w:bookmarkStart w:id="37" w:name="_Toc496168773"/>
      <w:r w:rsidRPr="007B673E">
        <w:lastRenderedPageBreak/>
        <w:t>Trends in Commonwealth and state revenue and spending</w:t>
      </w:r>
      <w:r w:rsidR="000A340D" w:rsidRPr="00EF13FE">
        <w:rPr>
          <w:rStyle w:val="FootnoteReference"/>
          <w:color w:val="2B3B5F" w:themeColor="text2"/>
        </w:rPr>
        <w:footnoteReference w:id="5"/>
      </w:r>
      <w:bookmarkEnd w:id="36"/>
      <w:bookmarkEnd w:id="37"/>
    </w:p>
    <w:p w:rsidR="00FC60A5" w:rsidRPr="00FC60A5" w:rsidRDefault="000A340D" w:rsidP="000A340D">
      <w:pPr>
        <w:pStyle w:val="ListBullet"/>
        <w:numPr>
          <w:ilvl w:val="0"/>
          <w:numId w:val="0"/>
        </w:numPr>
      </w:pPr>
      <w:r>
        <w:t xml:space="preserve">This </w:t>
      </w:r>
      <w:r w:rsidR="005F35B9">
        <w:t xml:space="preserve">section </w:t>
      </w:r>
      <w:r>
        <w:t xml:space="preserve">breaks down the national fiscal outlook between the Commonwealth and the states.  It analyses trends in revenue, expenses, net capital investment and net debt over the forward estimates </w:t>
      </w:r>
      <w:r w:rsidR="00F071FE">
        <w:t xml:space="preserve">period </w:t>
      </w:r>
      <w:r>
        <w:t>by level of government.</w:t>
      </w:r>
      <w:r w:rsidR="00D41524">
        <w:t xml:space="preserve"> </w:t>
      </w:r>
      <w:r w:rsidR="00DE29B1">
        <w:t xml:space="preserve"> </w:t>
      </w:r>
      <w:r w:rsidR="00DE29B1" w:rsidRPr="00DE29B1">
        <w:t xml:space="preserve">This </w:t>
      </w:r>
      <w:r w:rsidR="005F35B9">
        <w:t>section</w:t>
      </w:r>
      <w:r w:rsidR="00DE29B1" w:rsidRPr="00DE29B1">
        <w:t xml:space="preserve"> uses figures </w:t>
      </w:r>
      <w:r w:rsidR="00893F63">
        <w:t>from</w:t>
      </w:r>
      <w:r w:rsidR="00DE29B1" w:rsidRPr="00DE29B1">
        <w:t xml:space="preserve"> the ABS and state</w:t>
      </w:r>
      <w:r w:rsidR="00C95293">
        <w:t xml:space="preserve"> </w:t>
      </w:r>
      <w:r w:rsidR="00DE29B1" w:rsidRPr="00DE29B1">
        <w:t>budget papers which have not been adjusted for transfers between levels of government.</w:t>
      </w:r>
    </w:p>
    <w:p w:rsidR="00FB6F05" w:rsidRDefault="00732C10" w:rsidP="00A90F7C">
      <w:pPr>
        <w:pStyle w:val="Heading2"/>
      </w:pPr>
      <w:bookmarkStart w:id="38" w:name="_Toc495678471"/>
      <w:bookmarkStart w:id="39" w:name="_Toc496168774"/>
      <w:r>
        <w:t>Commonwealth trends</w:t>
      </w:r>
      <w:bookmarkEnd w:id="38"/>
      <w:bookmarkEnd w:id="39"/>
    </w:p>
    <w:p w:rsidR="005E7652" w:rsidRDefault="005E7652" w:rsidP="00826177">
      <w:pPr>
        <w:pStyle w:val="ListBullet"/>
        <w:numPr>
          <w:ilvl w:val="0"/>
          <w:numId w:val="0"/>
        </w:numPr>
      </w:pPr>
      <w:r>
        <w:t xml:space="preserve">Prior to the global financial crisis </w:t>
      </w:r>
      <w:r w:rsidRPr="004C7FB3">
        <w:t xml:space="preserve">Commonwealth revenue </w:t>
      </w:r>
      <w:r w:rsidR="007554B0">
        <w:t>exceeded expenses</w:t>
      </w:r>
      <w:r>
        <w:t>.</w:t>
      </w:r>
      <w:r w:rsidRPr="004C7FB3">
        <w:t xml:space="preserve">  A strong economy</w:t>
      </w:r>
      <w:r w:rsidR="00CA5672">
        <w:t>,</w:t>
      </w:r>
      <w:r w:rsidRPr="004C7FB3">
        <w:t xml:space="preserve"> as well as the terms of trade boom, boosted revenue and resulted in the Commonwealth government being able to sustain high rates of spending growth and provide tax cuts</w:t>
      </w:r>
      <w:r w:rsidR="007554B0">
        <w:t>, and still achiev</w:t>
      </w:r>
      <w:r w:rsidR="0046595E">
        <w:t>e</w:t>
      </w:r>
      <w:r w:rsidR="00CA5672">
        <w:t xml:space="preserve"> budget</w:t>
      </w:r>
      <w:r w:rsidR="0046595E">
        <w:t xml:space="preserve"> </w:t>
      </w:r>
      <w:r w:rsidR="007554B0">
        <w:t>surpluses.</w:t>
      </w:r>
    </w:p>
    <w:p w:rsidR="00D41524" w:rsidRDefault="005E7652" w:rsidP="00826177">
      <w:pPr>
        <w:pStyle w:val="ListBullet"/>
        <w:numPr>
          <w:ilvl w:val="0"/>
          <w:numId w:val="0"/>
        </w:numPr>
      </w:pPr>
      <w:r w:rsidRPr="007927AC">
        <w:t xml:space="preserve">With the onset of the global financial crisis there were sharp </w:t>
      </w:r>
      <w:r w:rsidR="00FD3537" w:rsidRPr="007927AC">
        <w:t>decli</w:t>
      </w:r>
      <w:r w:rsidRPr="007927AC">
        <w:t>nes in Commonwealth government revenue,</w:t>
      </w:r>
      <w:r w:rsidR="001C15AF" w:rsidRPr="007927AC">
        <w:t xml:space="preserve"> and sharp increases in expenses</w:t>
      </w:r>
      <w:r w:rsidR="009D3288" w:rsidRPr="003C1059">
        <w:t xml:space="preserve"> as the government provided fiscal stimulus. </w:t>
      </w:r>
      <w:r w:rsidR="007927AC" w:rsidRPr="003C1059">
        <w:t xml:space="preserve"> Personal income tax cuts also contributed to declining revenue from 2008</w:t>
      </w:r>
      <w:r w:rsidR="0065563F">
        <w:t>–</w:t>
      </w:r>
      <w:r w:rsidR="007927AC" w:rsidRPr="003C1059">
        <w:t>09</w:t>
      </w:r>
      <w:r w:rsidRPr="007927AC">
        <w:t xml:space="preserve">.  </w:t>
      </w:r>
      <w:r w:rsidR="001C15AF" w:rsidRPr="007927AC">
        <w:t xml:space="preserve">Expenditure </w:t>
      </w:r>
      <w:r w:rsidRPr="007927AC">
        <w:t>moderated and revenue began to recover from 2010–11</w:t>
      </w:r>
      <w:r w:rsidR="001C15AF">
        <w:t xml:space="preserve"> </w:t>
      </w:r>
      <w:r w:rsidR="001A131A">
        <w:t>(</w:t>
      </w:r>
      <w:r w:rsidR="003812D1">
        <w:fldChar w:fldCharType="begin"/>
      </w:r>
      <w:r w:rsidR="003812D1">
        <w:instrText xml:space="preserve"> REF _Ref492906085 \h </w:instrText>
      </w:r>
      <w:r w:rsidR="003812D1">
        <w:fldChar w:fldCharType="separate"/>
      </w:r>
      <w:r w:rsidR="00BF7361" w:rsidRPr="004A6413">
        <w:t xml:space="preserve">Figure </w:t>
      </w:r>
      <w:r w:rsidR="00BF7361">
        <w:rPr>
          <w:noProof/>
        </w:rPr>
        <w:t>2</w:t>
      </w:r>
      <w:r w:rsidR="00BF7361" w:rsidRPr="004A6413">
        <w:t>–</w:t>
      </w:r>
      <w:r w:rsidR="00BF7361">
        <w:rPr>
          <w:noProof/>
        </w:rPr>
        <w:t>1</w:t>
      </w:r>
      <w:r w:rsidR="003812D1">
        <w:fldChar w:fldCharType="end"/>
      </w:r>
      <w:r w:rsidR="003812D1">
        <w:t xml:space="preserve"> and </w:t>
      </w:r>
      <w:r w:rsidR="006F0FA1">
        <w:br/>
      </w:r>
      <w:r w:rsidR="003812D1">
        <w:fldChar w:fldCharType="begin"/>
      </w:r>
      <w:r w:rsidR="003812D1">
        <w:instrText xml:space="preserve"> REF _Ref492906103 \h </w:instrText>
      </w:r>
      <w:r w:rsidR="003812D1">
        <w:fldChar w:fldCharType="separate"/>
      </w:r>
      <w:r w:rsidR="00BF7361" w:rsidRPr="00EF13FE">
        <w:t xml:space="preserve">Figure </w:t>
      </w:r>
      <w:r w:rsidR="00BF7361">
        <w:rPr>
          <w:noProof/>
        </w:rPr>
        <w:t>2</w:t>
      </w:r>
      <w:r w:rsidR="00BF7361" w:rsidRPr="00EF13FE">
        <w:t>–</w:t>
      </w:r>
      <w:r w:rsidR="00BF7361">
        <w:rPr>
          <w:noProof/>
        </w:rPr>
        <w:t>2</w:t>
      </w:r>
      <w:r w:rsidR="003812D1">
        <w:fldChar w:fldCharType="end"/>
      </w:r>
      <w:r w:rsidR="001A131A">
        <w:t>)</w:t>
      </w:r>
      <w:r w:rsidR="0013187C">
        <w:t>.</w:t>
      </w:r>
    </w:p>
    <w:p w:rsidR="005E7652" w:rsidRDefault="00B650FF" w:rsidP="00826177">
      <w:pPr>
        <w:pStyle w:val="ListBullet"/>
        <w:numPr>
          <w:ilvl w:val="0"/>
          <w:numId w:val="0"/>
        </w:numPr>
      </w:pPr>
      <w:r>
        <w:t xml:space="preserve">Commonwealth budget papers </w:t>
      </w:r>
      <w:r w:rsidR="00F071FE">
        <w:t xml:space="preserve">project </w:t>
      </w:r>
      <w:r w:rsidR="001C15AF">
        <w:t xml:space="preserve">revenue to </w:t>
      </w:r>
      <w:r w:rsidR="00860A12">
        <w:t>grow significantly a</w:t>
      </w:r>
      <w:r w:rsidR="001C15AF">
        <w:t>nd expenditure to decline as a proportion of GDP</w:t>
      </w:r>
      <w:r w:rsidR="00F071FE" w:rsidRPr="00F071FE">
        <w:t xml:space="preserve"> </w:t>
      </w:r>
      <w:r w:rsidR="00F071FE">
        <w:t>over the forward estimates</w:t>
      </w:r>
      <w:r w:rsidR="00EB6DB9">
        <w:t>.</w:t>
      </w:r>
      <w:r w:rsidR="005E7652" w:rsidRPr="008445DB">
        <w:t xml:space="preserve"> </w:t>
      </w:r>
    </w:p>
    <w:tbl>
      <w:tblPr>
        <w:tblStyle w:val="TableGrid"/>
        <w:tblW w:w="8364" w:type="dxa"/>
        <w:tblLayout w:type="fixed"/>
        <w:tblLook w:val="04A0" w:firstRow="1" w:lastRow="0" w:firstColumn="1" w:lastColumn="0" w:noHBand="0" w:noVBand="1"/>
      </w:tblPr>
      <w:tblGrid>
        <w:gridCol w:w="4111"/>
        <w:gridCol w:w="4253"/>
      </w:tblGrid>
      <w:tr w:rsidR="000A18F7" w:rsidTr="00EF13FE">
        <w:trPr>
          <w:cnfStyle w:val="100000000000" w:firstRow="1" w:lastRow="0" w:firstColumn="0" w:lastColumn="0" w:oddVBand="0" w:evenVBand="0" w:oddHBand="0" w:evenHBand="0" w:firstRowFirstColumn="0" w:firstRowLastColumn="0" w:lastRowFirstColumn="0" w:lastRowLastColumn="0"/>
          <w:trHeight w:val="566"/>
        </w:trPr>
        <w:tc>
          <w:tcPr>
            <w:cnfStyle w:val="001000000100" w:firstRow="0" w:lastRow="0" w:firstColumn="1" w:lastColumn="0" w:oddVBand="0" w:evenVBand="0" w:oddHBand="0" w:evenHBand="0" w:firstRowFirstColumn="1" w:firstRowLastColumn="0" w:lastRowFirstColumn="0" w:lastRowLastColumn="0"/>
            <w:tcW w:w="4111" w:type="dxa"/>
            <w:shd w:val="clear" w:color="auto" w:fill="auto"/>
          </w:tcPr>
          <w:p w:rsidR="00D124C4" w:rsidRPr="004A6413" w:rsidRDefault="00D124C4" w:rsidP="004A6413">
            <w:pPr>
              <w:pStyle w:val="Caption1"/>
            </w:pPr>
            <w:bookmarkStart w:id="40" w:name="_Ref492906085"/>
            <w:bookmarkStart w:id="41" w:name="_Toc495929692"/>
            <w:r w:rsidRPr="004A6413">
              <w:lastRenderedPageBreak/>
              <w:t xml:space="preserve">Figure </w:t>
            </w:r>
            <w:fldSimple w:instr=" STYLEREF 1 \s ">
              <w:r w:rsidR="00BF7361">
                <w:rPr>
                  <w:noProof/>
                </w:rPr>
                <w:t>2</w:t>
              </w:r>
            </w:fldSimple>
            <w:r w:rsidRPr="004A6413">
              <w:t>–</w:t>
            </w:r>
            <w:fldSimple w:instr=" SEQ Figure \* ARABIC \s 1 ">
              <w:r w:rsidR="00BF7361">
                <w:rPr>
                  <w:noProof/>
                </w:rPr>
                <w:t>1</w:t>
              </w:r>
            </w:fldSimple>
            <w:bookmarkEnd w:id="40"/>
            <w:r w:rsidRPr="004A6413">
              <w:t xml:space="preserve">: Commonwealth </w:t>
            </w:r>
            <w:r w:rsidR="002721E2" w:rsidRPr="004A6413">
              <w:t>revenue</w:t>
            </w:r>
            <w:r w:rsidR="004A6413" w:rsidRPr="004A6413">
              <w:br/>
            </w:r>
            <w:r w:rsidR="002721E2" w:rsidRPr="004A6413">
              <w:t>and expenses</w:t>
            </w:r>
            <w:bookmarkEnd w:id="41"/>
            <w:r w:rsidR="008F28D4">
              <w:t xml:space="preserve"> </w:t>
            </w:r>
            <w:r w:rsidR="00A069B1">
              <w:rPr>
                <w:b w:val="0"/>
                <w:sz w:val="18"/>
              </w:rPr>
              <w:t>(S</w:t>
            </w:r>
            <w:r w:rsidR="008F28D4" w:rsidRPr="006F0FA1">
              <w:rPr>
                <w:b w:val="0"/>
                <w:sz w:val="18"/>
              </w:rPr>
              <w:t>hare of GDP)</w:t>
            </w:r>
          </w:p>
        </w:tc>
        <w:tc>
          <w:tcPr>
            <w:tcW w:w="4253" w:type="dxa"/>
            <w:shd w:val="clear" w:color="auto" w:fill="auto"/>
          </w:tcPr>
          <w:p w:rsidR="00D124C4" w:rsidRPr="004A6413" w:rsidRDefault="00D124C4" w:rsidP="006F0FA1">
            <w:pPr>
              <w:pStyle w:val="Caption1"/>
              <w:jc w:val="left"/>
              <w:cnfStyle w:val="100000000000" w:firstRow="1" w:lastRow="0" w:firstColumn="0" w:lastColumn="0" w:oddVBand="0" w:evenVBand="0" w:oddHBand="0" w:evenHBand="0" w:firstRowFirstColumn="0" w:firstRowLastColumn="0" w:lastRowFirstColumn="0" w:lastRowLastColumn="0"/>
            </w:pPr>
            <w:bookmarkStart w:id="42" w:name="_Ref492906103"/>
            <w:bookmarkStart w:id="43" w:name="_Toc495929693"/>
            <w:r w:rsidRPr="00EF13FE">
              <w:t xml:space="preserve">Figure </w:t>
            </w:r>
            <w:fldSimple w:instr=" STYLEREF 1 \s ">
              <w:r w:rsidR="00BF7361">
                <w:rPr>
                  <w:noProof/>
                </w:rPr>
                <w:t>2</w:t>
              </w:r>
            </w:fldSimple>
            <w:r w:rsidRPr="00EF13FE">
              <w:t>–</w:t>
            </w:r>
            <w:fldSimple w:instr=" SEQ Figure \* ARABIC \s 1 ">
              <w:r w:rsidR="00BF7361">
                <w:rPr>
                  <w:noProof/>
                </w:rPr>
                <w:t>2</w:t>
              </w:r>
            </w:fldSimple>
            <w:bookmarkEnd w:id="42"/>
            <w:r w:rsidR="004A6413">
              <w:t xml:space="preserve">: Commonwealth revenue and </w:t>
            </w:r>
            <w:r w:rsidR="008F28D4">
              <w:t xml:space="preserve">expenses </w:t>
            </w:r>
            <w:r w:rsidR="008F28D4" w:rsidRPr="006F0FA1">
              <w:rPr>
                <w:b w:val="0"/>
                <w:sz w:val="18"/>
              </w:rPr>
              <w:t>(</w:t>
            </w:r>
            <w:r w:rsidR="00A069B1">
              <w:rPr>
                <w:b w:val="0"/>
                <w:sz w:val="18"/>
              </w:rPr>
              <w:t>A</w:t>
            </w:r>
            <w:r w:rsidRPr="006F0FA1">
              <w:rPr>
                <w:b w:val="0"/>
                <w:sz w:val="18"/>
              </w:rPr>
              <w:t>nnual real growth</w:t>
            </w:r>
            <w:bookmarkEnd w:id="43"/>
            <w:r w:rsidR="008F28D4" w:rsidRPr="006F0FA1">
              <w:rPr>
                <w:b w:val="0"/>
                <w:sz w:val="18"/>
              </w:rPr>
              <w:t>)</w:t>
            </w:r>
          </w:p>
        </w:tc>
      </w:tr>
      <w:tr w:rsidR="000A18F7" w:rsidTr="00550B44">
        <w:trPr>
          <w:cnfStyle w:val="000000100000" w:firstRow="0" w:lastRow="0" w:firstColumn="0" w:lastColumn="0" w:oddVBand="0" w:evenVBand="0" w:oddHBand="1" w:evenHBand="0" w:firstRowFirstColumn="0" w:firstRowLastColumn="0" w:lastRowFirstColumn="0" w:lastRowLastColumn="0"/>
          <w:trHeight w:val="3550"/>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vAlign w:val="top"/>
          </w:tcPr>
          <w:p w:rsidR="000A18F7" w:rsidRDefault="00CD0D02" w:rsidP="00550B44">
            <w:pPr>
              <w:pStyle w:val="BodyText"/>
              <w:ind w:left="0"/>
              <w:jc w:val="center"/>
            </w:pPr>
            <w:r>
              <w:rPr>
                <w:noProof/>
              </w:rPr>
              <w:drawing>
                <wp:inline distT="0" distB="0" distL="0" distR="0" wp14:anchorId="353E1565">
                  <wp:extent cx="2541923" cy="315097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44023" cy="3153576"/>
                          </a:xfrm>
                          <a:prstGeom prst="rect">
                            <a:avLst/>
                          </a:prstGeom>
                          <a:noFill/>
                        </pic:spPr>
                      </pic:pic>
                    </a:graphicData>
                  </a:graphic>
                </wp:inline>
              </w:drawing>
            </w:r>
          </w:p>
          <w:p w:rsidR="004C7E93" w:rsidRPr="00550B44" w:rsidRDefault="004C7E93" w:rsidP="00754D7C">
            <w:pPr>
              <w:pStyle w:val="Source"/>
              <w:ind w:left="0"/>
              <w:rPr>
                <w:sz w:val="18"/>
                <w:szCs w:val="18"/>
              </w:rPr>
            </w:pPr>
            <w:r w:rsidRPr="00550B44">
              <w:rPr>
                <w:sz w:val="18"/>
                <w:szCs w:val="18"/>
              </w:rPr>
              <w:t>Source: ABS, Commonwealth budget papers</w:t>
            </w:r>
            <w:r w:rsidR="0010163B" w:rsidRPr="00550B44">
              <w:rPr>
                <w:sz w:val="18"/>
                <w:szCs w:val="18"/>
              </w:rPr>
              <w:t xml:space="preserve">, </w:t>
            </w:r>
            <w:r w:rsidRPr="00550B44">
              <w:rPr>
                <w:sz w:val="18"/>
                <w:szCs w:val="18"/>
              </w:rPr>
              <w:t>PBO analysis.</w:t>
            </w:r>
          </w:p>
        </w:tc>
        <w:tc>
          <w:tcPr>
            <w:tcW w:w="4253" w:type="dxa"/>
            <w:shd w:val="clear" w:color="auto" w:fill="auto"/>
            <w:vAlign w:val="top"/>
          </w:tcPr>
          <w:p w:rsidR="000A18F7" w:rsidRDefault="00611CD7" w:rsidP="00550B44">
            <w:pPr>
              <w:pStyle w:val="BodyText"/>
              <w:ind w:left="0"/>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4C71F6AF">
                  <wp:extent cx="2693773" cy="3113903"/>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94123" cy="3114308"/>
                          </a:xfrm>
                          <a:prstGeom prst="rect">
                            <a:avLst/>
                          </a:prstGeom>
                          <a:noFill/>
                        </pic:spPr>
                      </pic:pic>
                    </a:graphicData>
                  </a:graphic>
                </wp:inline>
              </w:drawing>
            </w:r>
          </w:p>
          <w:p w:rsidR="004C7E93" w:rsidRPr="00550B44" w:rsidRDefault="004C7E93" w:rsidP="00EF13FE">
            <w:pPr>
              <w:pStyle w:val="Source"/>
              <w:cnfStyle w:val="000000100000" w:firstRow="0" w:lastRow="0" w:firstColumn="0" w:lastColumn="0" w:oddVBand="0" w:evenVBand="0" w:oddHBand="1" w:evenHBand="0" w:firstRowFirstColumn="0" w:firstRowLastColumn="0" w:lastRowFirstColumn="0" w:lastRowLastColumn="0"/>
              <w:rPr>
                <w:sz w:val="18"/>
                <w:szCs w:val="18"/>
              </w:rPr>
            </w:pPr>
            <w:r w:rsidRPr="00550B44">
              <w:rPr>
                <w:sz w:val="18"/>
                <w:szCs w:val="18"/>
              </w:rPr>
              <w:t>Source: ABS, Commonwealth budget papers</w:t>
            </w:r>
            <w:r w:rsidR="0010163B" w:rsidRPr="00550B44">
              <w:rPr>
                <w:sz w:val="18"/>
                <w:szCs w:val="18"/>
              </w:rPr>
              <w:t>,</w:t>
            </w:r>
            <w:r w:rsidRPr="00550B44">
              <w:rPr>
                <w:sz w:val="18"/>
                <w:szCs w:val="18"/>
              </w:rPr>
              <w:t xml:space="preserve">    and PBO analysis.</w:t>
            </w:r>
          </w:p>
        </w:tc>
      </w:tr>
    </w:tbl>
    <w:p w:rsidR="00FB6F05" w:rsidRDefault="00732C10" w:rsidP="00A90F7C">
      <w:pPr>
        <w:pStyle w:val="Heading3"/>
      </w:pPr>
      <w:bookmarkStart w:id="44" w:name="_Toc495678472"/>
      <w:r>
        <w:t>R</w:t>
      </w:r>
      <w:r w:rsidR="007B673E" w:rsidRPr="00732C10">
        <w:t>evenue</w:t>
      </w:r>
      <w:bookmarkEnd w:id="44"/>
    </w:p>
    <w:p w:rsidR="00A34A1A" w:rsidRDefault="00A34A1A" w:rsidP="00A34A1A">
      <w:pPr>
        <w:pStyle w:val="ListBullet"/>
        <w:numPr>
          <w:ilvl w:val="0"/>
          <w:numId w:val="0"/>
        </w:numPr>
      </w:pPr>
      <w:r>
        <w:t>According to the 2017</w:t>
      </w:r>
      <w:r w:rsidR="0065563F">
        <w:t>–</w:t>
      </w:r>
      <w:r>
        <w:t>18 Commonwealth budget, revenue</w:t>
      </w:r>
      <w:r w:rsidR="00160262">
        <w:t xml:space="preserve"> is projected to increase from </w:t>
      </w:r>
      <w:r w:rsidR="001F2E68">
        <w:br/>
      </w:r>
      <w:r w:rsidR="00160262">
        <w:t>23.5</w:t>
      </w:r>
      <w:r>
        <w:t xml:space="preserve"> per cent of GDP in</w:t>
      </w:r>
      <w:r w:rsidR="00160262">
        <w:t xml:space="preserve"> 2016</w:t>
      </w:r>
      <w:r w:rsidR="0065563F">
        <w:t>–</w:t>
      </w:r>
      <w:r w:rsidR="00160262">
        <w:t>17 to 26.0</w:t>
      </w:r>
      <w:r>
        <w:t xml:space="preserve"> per cent of GDP in 2020</w:t>
      </w:r>
      <w:r w:rsidR="0065563F">
        <w:t>–</w:t>
      </w:r>
      <w:r>
        <w:t>2</w:t>
      </w:r>
      <w:r w:rsidR="00D43997">
        <w:t xml:space="preserve">1, growing sharply from </w:t>
      </w:r>
      <w:r w:rsidR="00530B39">
        <w:br/>
      </w:r>
      <w:r w:rsidR="00D43997">
        <w:t>2017</w:t>
      </w:r>
      <w:r w:rsidR="0065563F">
        <w:t>–</w:t>
      </w:r>
      <w:r w:rsidR="00D43997">
        <w:t>18</w:t>
      </w:r>
      <w:r w:rsidR="00FF408B">
        <w:t xml:space="preserve">. </w:t>
      </w:r>
      <w:r w:rsidR="00A84D43">
        <w:t xml:space="preserve"> </w:t>
      </w:r>
      <w:r w:rsidR="00FF408B">
        <w:t xml:space="preserve">This </w:t>
      </w:r>
      <w:r w:rsidR="00A84D43">
        <w:t>w</w:t>
      </w:r>
      <w:r w:rsidR="00FF408B">
        <w:t xml:space="preserve">ould see Commonwealth </w:t>
      </w:r>
      <w:r>
        <w:t xml:space="preserve">revenue as a proportion of GDP </w:t>
      </w:r>
      <w:r w:rsidR="00AE1D4D">
        <w:t>returning to</w:t>
      </w:r>
      <w:r>
        <w:t xml:space="preserve"> </w:t>
      </w:r>
      <w:r w:rsidR="00932D5C">
        <w:br/>
      </w:r>
      <w:r w:rsidR="00573368">
        <w:t>pre-</w:t>
      </w:r>
      <w:r>
        <w:t>global financial crisis</w:t>
      </w:r>
      <w:r w:rsidR="00573368">
        <w:t xml:space="preserve"> levels</w:t>
      </w:r>
      <w:r>
        <w:t xml:space="preserve">.  </w:t>
      </w:r>
    </w:p>
    <w:p w:rsidR="00FF408B" w:rsidRDefault="00FF408B" w:rsidP="00FF408B">
      <w:pPr>
        <w:pStyle w:val="ListBullet"/>
        <w:numPr>
          <w:ilvl w:val="0"/>
          <w:numId w:val="0"/>
        </w:numPr>
      </w:pPr>
      <w:r>
        <w:t xml:space="preserve">The increase in revenue growth over the forward estimates is predominately due to a projected rise in personal income tax, the largest component of total Commonwealth revenue.  </w:t>
      </w:r>
      <w:r w:rsidR="00D510CE">
        <w:t>Personal income tax makes up around half of total revenue in 2016</w:t>
      </w:r>
      <w:r w:rsidR="0065563F">
        <w:t>–</w:t>
      </w:r>
      <w:r w:rsidR="00D510CE">
        <w:t>17,</w:t>
      </w:r>
      <w:r w:rsidR="00CD6EAE">
        <w:t xml:space="preserve"> and is projected to rise from 11.3 per cent of GDP in 2016</w:t>
      </w:r>
      <w:r w:rsidR="0065563F">
        <w:t>–</w:t>
      </w:r>
      <w:r w:rsidR="00CD6EAE">
        <w:t>17 to 12.5</w:t>
      </w:r>
      <w:r w:rsidR="00D510CE">
        <w:t xml:space="preserve"> per cent of GDP in 2020</w:t>
      </w:r>
      <w:r w:rsidR="0065563F">
        <w:t>–</w:t>
      </w:r>
      <w:r w:rsidR="00D510CE">
        <w:t xml:space="preserve">21. </w:t>
      </w:r>
      <w:r>
        <w:t xml:space="preserve">This is </w:t>
      </w:r>
      <w:r w:rsidR="00457A1D">
        <w:t xml:space="preserve">driven by </w:t>
      </w:r>
      <w:r w:rsidR="001A131A">
        <w:t xml:space="preserve">a pick-up in </w:t>
      </w:r>
      <w:r w:rsidR="00457A1D">
        <w:t>wages growth and</w:t>
      </w:r>
      <w:r>
        <w:t xml:space="preserve"> </w:t>
      </w:r>
      <w:r w:rsidR="005C4128">
        <w:t xml:space="preserve">an </w:t>
      </w:r>
      <w:r>
        <w:t xml:space="preserve">increase in the Medicare levy from </w:t>
      </w:r>
      <w:r w:rsidR="00E1001E">
        <w:br/>
      </w:r>
      <w:r>
        <w:t>2019</w:t>
      </w:r>
      <w:r w:rsidR="0065563F">
        <w:t>–</w:t>
      </w:r>
      <w:r>
        <w:t xml:space="preserve">20. </w:t>
      </w:r>
    </w:p>
    <w:p w:rsidR="00D02F7D" w:rsidRDefault="00D02F7D" w:rsidP="00FF408B">
      <w:pPr>
        <w:pStyle w:val="ListBullet"/>
        <w:numPr>
          <w:ilvl w:val="0"/>
          <w:numId w:val="0"/>
        </w:numPr>
      </w:pPr>
      <w:r>
        <w:t xml:space="preserve">Company tax, </w:t>
      </w:r>
      <w:r w:rsidR="003B0BC4">
        <w:t xml:space="preserve">the second largest revenue head </w:t>
      </w:r>
      <w:r>
        <w:t>mak</w:t>
      </w:r>
      <w:r w:rsidR="003B0BC4">
        <w:t xml:space="preserve">ing </w:t>
      </w:r>
      <w:r w:rsidR="00CD6EAE">
        <w:t xml:space="preserve">up </w:t>
      </w:r>
      <w:r w:rsidR="00BB436C">
        <w:t xml:space="preserve">17 </w:t>
      </w:r>
      <w:r>
        <w:t>per cent of total Commonwealth revenue in 2016</w:t>
      </w:r>
      <w:r w:rsidR="0065563F">
        <w:t>–</w:t>
      </w:r>
      <w:r>
        <w:t>17,</w:t>
      </w:r>
      <w:r w:rsidR="00BB436C">
        <w:t xml:space="preserve"> is projected to increase from </w:t>
      </w:r>
      <w:r w:rsidR="00EB2E19">
        <w:t>3.9</w:t>
      </w:r>
      <w:r w:rsidR="00BB436C">
        <w:t xml:space="preserve"> per cent of GDP in 2016</w:t>
      </w:r>
      <w:r w:rsidR="0065563F">
        <w:t>–</w:t>
      </w:r>
      <w:r w:rsidR="00BB436C">
        <w:t xml:space="preserve">17 to </w:t>
      </w:r>
      <w:r w:rsidR="00EB2E19">
        <w:t>4.6</w:t>
      </w:r>
      <w:r>
        <w:t xml:space="preserve"> per cent of GDP in </w:t>
      </w:r>
      <w:r w:rsidR="006728FF">
        <w:t>2020</w:t>
      </w:r>
      <w:r w:rsidR="0065563F">
        <w:t>–</w:t>
      </w:r>
      <w:r w:rsidR="006728FF">
        <w:t>21.</w:t>
      </w:r>
      <w:r w:rsidR="00AA2D5A">
        <w:t xml:space="preserve"> </w:t>
      </w:r>
      <w:r w:rsidR="006728FF">
        <w:t xml:space="preserve"> This is driven by </w:t>
      </w:r>
      <w:r w:rsidR="005C4128">
        <w:t xml:space="preserve">projected </w:t>
      </w:r>
      <w:r w:rsidR="006728FF">
        <w:t xml:space="preserve">increasing corporate profitability across the economy as the economy transitions toward </w:t>
      </w:r>
      <w:r w:rsidR="00A84D43">
        <w:t>broad</w:t>
      </w:r>
      <w:r w:rsidR="005C4128">
        <w:t>-</w:t>
      </w:r>
      <w:r w:rsidR="00B50A79">
        <w:t>based activity</w:t>
      </w:r>
      <w:r w:rsidR="005C4128">
        <w:t xml:space="preserve"> following the mining investment boom</w:t>
      </w:r>
      <w:r w:rsidR="006728FF">
        <w:t>.</w:t>
      </w:r>
    </w:p>
    <w:p w:rsidR="006728FF" w:rsidRPr="009C5D0B" w:rsidRDefault="006728FF" w:rsidP="00FF408B">
      <w:pPr>
        <w:pStyle w:val="ListBullet"/>
        <w:numPr>
          <w:ilvl w:val="0"/>
          <w:numId w:val="0"/>
        </w:numPr>
      </w:pPr>
      <w:r w:rsidRPr="009C5D0B">
        <w:lastRenderedPageBreak/>
        <w:t>Goods an</w:t>
      </w:r>
      <w:r w:rsidR="00204865" w:rsidRPr="009C5D0B">
        <w:t>d services tax, which makes up 15</w:t>
      </w:r>
      <w:r w:rsidRPr="009C5D0B">
        <w:t xml:space="preserve"> per cent of total Commonwealth revenue in 2016</w:t>
      </w:r>
      <w:r w:rsidR="0065563F">
        <w:t>–</w:t>
      </w:r>
      <w:r w:rsidRPr="009C5D0B">
        <w:t xml:space="preserve">17, </w:t>
      </w:r>
      <w:r w:rsidR="003B0BC4" w:rsidRPr="009C5D0B">
        <w:t xml:space="preserve">is projected to </w:t>
      </w:r>
      <w:r w:rsidR="00204865" w:rsidRPr="009C5D0B">
        <w:t xml:space="preserve">remain at 3.6 per cent </w:t>
      </w:r>
      <w:r w:rsidR="00D43997">
        <w:t xml:space="preserve">of GDP </w:t>
      </w:r>
      <w:r w:rsidR="000A3B80" w:rsidRPr="009C5D0B">
        <w:t xml:space="preserve">across the forward estimates. </w:t>
      </w:r>
      <w:r w:rsidR="00744612">
        <w:t xml:space="preserve"> </w:t>
      </w:r>
      <w:r w:rsidR="009C5D0B">
        <w:t>The transfer of GST revenue to</w:t>
      </w:r>
      <w:r w:rsidR="007A6AFB">
        <w:t xml:space="preserve"> the</w:t>
      </w:r>
      <w:r w:rsidR="009C5D0B">
        <w:t xml:space="preserve"> s</w:t>
      </w:r>
      <w:r w:rsidR="000A3B80" w:rsidRPr="009C5D0B">
        <w:t>tates is treated as an expense</w:t>
      </w:r>
      <w:r w:rsidR="00A619B7" w:rsidRPr="009C5D0B">
        <w:t xml:space="preserve"> for the Commonwealth</w:t>
      </w:r>
      <w:r w:rsidR="000A3B80" w:rsidRPr="009C5D0B">
        <w:t xml:space="preserve">.  As the payment to the </w:t>
      </w:r>
      <w:r w:rsidR="009C5D0B">
        <w:t>s</w:t>
      </w:r>
      <w:r w:rsidR="000A3B80" w:rsidRPr="009C5D0B">
        <w:t>tates is equivalent to the GST revenue collected, there is no net impact on the Commonwealth budget.</w:t>
      </w:r>
      <w:r w:rsidR="009C5D0B" w:rsidRPr="009C5D0B">
        <w:t xml:space="preserve"> </w:t>
      </w:r>
      <w:r w:rsidR="00744612">
        <w:t xml:space="preserve"> </w:t>
      </w:r>
      <w:r w:rsidR="009C5D0B" w:rsidRPr="009C5D0B">
        <w:t>However</w:t>
      </w:r>
      <w:r w:rsidR="005C4128">
        <w:t>,</w:t>
      </w:r>
      <w:r w:rsidR="009C5D0B" w:rsidRPr="009C5D0B">
        <w:t xml:space="preserve"> any reductions in GST revenue will have an impact on state revenue</w:t>
      </w:r>
      <w:r w:rsidR="009C5D0B">
        <w:t xml:space="preserve"> (see </w:t>
      </w:r>
      <w:r w:rsidR="001F2E68">
        <w:t>section</w:t>
      </w:r>
      <w:r w:rsidR="0065563F">
        <w:t xml:space="preserve"> </w:t>
      </w:r>
      <w:r w:rsidR="009C5D0B">
        <w:t>2)</w:t>
      </w:r>
      <w:r w:rsidR="009C5D0B" w:rsidRPr="009C5D0B">
        <w:t>.</w:t>
      </w:r>
    </w:p>
    <w:p w:rsidR="009F6666" w:rsidRDefault="009F6666" w:rsidP="009F6666">
      <w:pPr>
        <w:pStyle w:val="Heading3"/>
      </w:pPr>
      <w:bookmarkStart w:id="45" w:name="_Toc495678473"/>
      <w:r>
        <w:t>Expenses</w:t>
      </w:r>
      <w:bookmarkEnd w:id="45"/>
    </w:p>
    <w:p w:rsidR="009F6666" w:rsidRDefault="009F6666" w:rsidP="009F6666">
      <w:pPr>
        <w:pStyle w:val="ListBullet"/>
        <w:numPr>
          <w:ilvl w:val="0"/>
          <w:numId w:val="0"/>
        </w:numPr>
      </w:pPr>
      <w:r>
        <w:t xml:space="preserve">The Commonwealth budget projects expenses to </w:t>
      </w:r>
      <w:r w:rsidR="00D37832">
        <w:t>decline from 25.7</w:t>
      </w:r>
      <w:r w:rsidR="00EB2E50">
        <w:t xml:space="preserve"> </w:t>
      </w:r>
      <w:r w:rsidR="00D37832">
        <w:t xml:space="preserve">per cent of GDP in </w:t>
      </w:r>
      <w:r w:rsidR="00530B39">
        <w:br/>
      </w:r>
      <w:r w:rsidR="00D37832">
        <w:t>2016</w:t>
      </w:r>
      <w:r w:rsidR="0065563F">
        <w:t>–</w:t>
      </w:r>
      <w:r w:rsidR="00D37832">
        <w:t>17 to 25.2</w:t>
      </w:r>
      <w:r>
        <w:t xml:space="preserve"> per cent of GDP in 2020</w:t>
      </w:r>
      <w:r w:rsidR="0065563F">
        <w:t>–</w:t>
      </w:r>
      <w:r>
        <w:t>21 (</w:t>
      </w:r>
      <w:r w:rsidR="00744612">
        <w:fldChar w:fldCharType="begin"/>
      </w:r>
      <w:r w:rsidR="00744612">
        <w:instrText xml:space="preserve"> REF _Ref492906085 \h </w:instrText>
      </w:r>
      <w:r w:rsidR="00744612">
        <w:fldChar w:fldCharType="separate"/>
      </w:r>
      <w:r w:rsidR="00BF7361" w:rsidRPr="004A6413">
        <w:t xml:space="preserve">Figure </w:t>
      </w:r>
      <w:r w:rsidR="00BF7361">
        <w:rPr>
          <w:noProof/>
        </w:rPr>
        <w:t>2</w:t>
      </w:r>
      <w:r w:rsidR="00BF7361" w:rsidRPr="004A6413">
        <w:t>–</w:t>
      </w:r>
      <w:r w:rsidR="00BF7361">
        <w:rPr>
          <w:noProof/>
        </w:rPr>
        <w:t>1</w:t>
      </w:r>
      <w:r w:rsidR="00744612">
        <w:fldChar w:fldCharType="end"/>
      </w:r>
      <w:r>
        <w:t>).</w:t>
      </w:r>
      <w:r w:rsidR="00BA39A6">
        <w:t xml:space="preserve"> </w:t>
      </w:r>
      <w:r>
        <w:t xml:space="preserve"> </w:t>
      </w:r>
      <w:r w:rsidR="004B565E">
        <w:t xml:space="preserve">In part, this is </w:t>
      </w:r>
      <w:r w:rsidR="00627CD5">
        <w:t xml:space="preserve">due to the use of different discount rates to value </w:t>
      </w:r>
      <w:r w:rsidR="005A77A8">
        <w:t xml:space="preserve">government superannuation benefits in the current year </w:t>
      </w:r>
      <w:r w:rsidR="00627CD5">
        <w:t xml:space="preserve">and </w:t>
      </w:r>
      <w:r w:rsidR="005A77A8">
        <w:t>the forward estimates</w:t>
      </w:r>
      <w:r w:rsidR="00B628FE">
        <w:t>.</w:t>
      </w:r>
      <w:r w:rsidR="005A77A8" w:rsidRPr="00320C37">
        <w:rPr>
          <w:rStyle w:val="FootnoteReference"/>
        </w:rPr>
        <w:footnoteReference w:id="6"/>
      </w:r>
    </w:p>
    <w:p w:rsidR="00EB2E50" w:rsidRDefault="00EB2E50" w:rsidP="00B24FC6">
      <w:pPr>
        <w:pStyle w:val="ListBullet"/>
        <w:numPr>
          <w:ilvl w:val="0"/>
          <w:numId w:val="0"/>
        </w:numPr>
      </w:pPr>
      <w:r>
        <w:t xml:space="preserve">The treatment of government superannuation benefits aside, Commonwealth expenses </w:t>
      </w:r>
      <w:r w:rsidR="00042E2C">
        <w:t xml:space="preserve">as a per cent of GDP </w:t>
      </w:r>
      <w:r>
        <w:t>are projected to be broadly flat over the forward estimates.</w:t>
      </w:r>
      <w:r w:rsidR="00AA2D5A">
        <w:t xml:space="preserve"> </w:t>
      </w:r>
      <w:r>
        <w:t xml:space="preserve"> Underlying this flatness a</w:t>
      </w:r>
      <w:r w:rsidR="002B459B">
        <w:t>re countervailing pressures</w:t>
      </w:r>
      <w:r>
        <w:t xml:space="preserve"> on expenditure</w:t>
      </w:r>
      <w:r w:rsidR="002B459B">
        <w:t>.</w:t>
      </w:r>
    </w:p>
    <w:p w:rsidR="000963AA" w:rsidRDefault="000963AA" w:rsidP="00B24FC6">
      <w:pPr>
        <w:pStyle w:val="ListBullet"/>
        <w:numPr>
          <w:ilvl w:val="0"/>
          <w:numId w:val="0"/>
        </w:numPr>
      </w:pPr>
      <w:r>
        <w:t xml:space="preserve">The largest contributor to </w:t>
      </w:r>
      <w:r w:rsidR="00335E3F">
        <w:t>expenditure</w:t>
      </w:r>
      <w:r>
        <w:t xml:space="preserve"> growth over the forward estimates period, the N</w:t>
      </w:r>
      <w:r w:rsidR="0028546B">
        <w:t>ational Disability Insurance Scheme (NDIS)</w:t>
      </w:r>
      <w:r w:rsidR="0028546B" w:rsidRPr="00320C37">
        <w:rPr>
          <w:rStyle w:val="FootnoteReference"/>
        </w:rPr>
        <w:footnoteReference w:id="7"/>
      </w:r>
      <w:r w:rsidR="0063560E">
        <w:t>,</w:t>
      </w:r>
      <w:r>
        <w:t xml:space="preserve"> is projected to </w:t>
      </w:r>
      <w:r w:rsidR="00335E3F">
        <w:t xml:space="preserve">increase by </w:t>
      </w:r>
      <w:r w:rsidR="0028546B">
        <w:t>0.8</w:t>
      </w:r>
      <w:r>
        <w:t xml:space="preserve"> per cent </w:t>
      </w:r>
      <w:r w:rsidR="00335E3F">
        <w:t>of GDP over the forward estimates period</w:t>
      </w:r>
      <w:r w:rsidR="00D07839">
        <w:t xml:space="preserve"> to reach 1.0 per cent of GDP in 2020</w:t>
      </w:r>
      <w:r w:rsidR="0065563F">
        <w:t>–</w:t>
      </w:r>
      <w:r w:rsidR="00D07839">
        <w:t>21</w:t>
      </w:r>
      <w:r>
        <w:t>, reflecting the full rollout of the Scheme by 2019</w:t>
      </w:r>
      <w:r w:rsidR="0065563F">
        <w:t>–</w:t>
      </w:r>
      <w:r>
        <w:t xml:space="preserve">20. </w:t>
      </w:r>
      <w:r w:rsidR="003E41D9">
        <w:t xml:space="preserve"> </w:t>
      </w:r>
      <w:r w:rsidR="0072557E">
        <w:t>Child care is projected to increase</w:t>
      </w:r>
      <w:r>
        <w:t xml:space="preserve"> by</w:t>
      </w:r>
      <w:r w:rsidR="0072557E">
        <w:t xml:space="preserve"> 0.1</w:t>
      </w:r>
      <w:r>
        <w:t xml:space="preserve"> per cent </w:t>
      </w:r>
      <w:r w:rsidR="0072557E">
        <w:t>of GDP over the forward estimates period</w:t>
      </w:r>
      <w:r w:rsidR="00D07839">
        <w:t xml:space="preserve"> to reach 0.5 per cent of GDP in 2020</w:t>
      </w:r>
      <w:r w:rsidR="0065563F">
        <w:t>–</w:t>
      </w:r>
      <w:r w:rsidR="00D07839">
        <w:t>21</w:t>
      </w:r>
      <w:r>
        <w:t xml:space="preserve">, </w:t>
      </w:r>
      <w:r w:rsidR="00C1544B">
        <w:t xml:space="preserve">mainly </w:t>
      </w:r>
      <w:r>
        <w:t>reflecting the rollout of the new Child Care Subsidy</w:t>
      </w:r>
      <w:r w:rsidR="009A21A3">
        <w:t xml:space="preserve"> in </w:t>
      </w:r>
      <w:r w:rsidR="00D33B1A">
        <w:t>2018</w:t>
      </w:r>
      <w:r w:rsidR="0065563F">
        <w:t>–</w:t>
      </w:r>
      <w:r w:rsidR="00D33B1A">
        <w:t>19</w:t>
      </w:r>
      <w:r>
        <w:t>.</w:t>
      </w:r>
      <w:r w:rsidR="0072557E">
        <w:t xml:space="preserve">  Aged care is also projected to increase by 0.1 per cent of GDP</w:t>
      </w:r>
      <w:r w:rsidR="00D07839">
        <w:t xml:space="preserve"> over the forward estimates to 1.1 per cent of GDP in 2020</w:t>
      </w:r>
      <w:r w:rsidR="0065563F">
        <w:t>–</w:t>
      </w:r>
      <w:r w:rsidR="00D07839">
        <w:t>21</w:t>
      </w:r>
      <w:r w:rsidR="0072557E">
        <w:t xml:space="preserve">, </w:t>
      </w:r>
      <w:r w:rsidR="002D6540">
        <w:t>reflecting the impact of the ageing population on the demand for aged care services.</w:t>
      </w:r>
    </w:p>
    <w:p w:rsidR="00AA2716" w:rsidRDefault="00D33B1A" w:rsidP="00335E3F">
      <w:pPr>
        <w:pStyle w:val="BodyText"/>
      </w:pPr>
      <w:r>
        <w:t>T</w:t>
      </w:r>
      <w:r w:rsidR="00AE365C">
        <w:t xml:space="preserve">hese spending pressures are broadly offset by </w:t>
      </w:r>
      <w:r w:rsidR="00335E3F">
        <w:t>declines as a p</w:t>
      </w:r>
      <w:r w:rsidR="0059154C">
        <w:t>er cent</w:t>
      </w:r>
      <w:r w:rsidR="00335E3F">
        <w:t xml:space="preserve"> of GDP in a number of other </w:t>
      </w:r>
      <w:proofErr w:type="gramStart"/>
      <w:r w:rsidR="00335E3F">
        <w:t>programs</w:t>
      </w:r>
      <w:r w:rsidR="00EA1E6F">
        <w:t>,</w:t>
      </w:r>
      <w:proofErr w:type="gramEnd"/>
      <w:r w:rsidR="00EA1E6F">
        <w:t xml:space="preserve"> in particular the cost of government administration and a range of smaller grant </w:t>
      </w:r>
      <w:r w:rsidR="00335E3F">
        <w:t>subsidy</w:t>
      </w:r>
      <w:r w:rsidR="00EA1E6F">
        <w:t xml:space="preserve"> and personal benefit pro</w:t>
      </w:r>
      <w:r w:rsidR="00C85BCF">
        <w:t>grams.</w:t>
      </w:r>
      <w:r w:rsidR="00AA2D5A">
        <w:t xml:space="preserve"> </w:t>
      </w:r>
      <w:r w:rsidR="00C85BCF">
        <w:t xml:space="preserve"> In addition, Family Tax B</w:t>
      </w:r>
      <w:r w:rsidR="002D6540">
        <w:t>enefit</w:t>
      </w:r>
      <w:r w:rsidR="00C85BCF">
        <w:t xml:space="preserve"> (FTB)</w:t>
      </w:r>
      <w:r w:rsidR="002D6540">
        <w:t xml:space="preserve"> is projected </w:t>
      </w:r>
      <w:r w:rsidR="00812CAF">
        <w:t xml:space="preserve">to </w:t>
      </w:r>
      <w:r w:rsidR="002D6540">
        <w:t>decline by 0.2</w:t>
      </w:r>
      <w:r w:rsidR="00EA1E6F">
        <w:t xml:space="preserve"> per cent </w:t>
      </w:r>
      <w:r w:rsidR="00335E3F">
        <w:t xml:space="preserve">of GDP </w:t>
      </w:r>
      <w:r w:rsidR="002D6540">
        <w:t xml:space="preserve">over the forward estimates </w:t>
      </w:r>
      <w:r w:rsidR="00177321">
        <w:t>to 0.9 per cent of GDP in 2020</w:t>
      </w:r>
      <w:r w:rsidR="0065563F">
        <w:t>–</w:t>
      </w:r>
      <w:r w:rsidR="00177321">
        <w:t xml:space="preserve">21 </w:t>
      </w:r>
      <w:r w:rsidR="00335E3F">
        <w:t>due to the impact of budget initiatives to freeze FTB higher income free thresholds until 2020–21, and pause indexation of FTB payment rates for two years from 2017–18.</w:t>
      </w:r>
      <w:r w:rsidR="00455080">
        <w:t xml:space="preserve"> </w:t>
      </w:r>
      <w:r w:rsidR="003E41D9">
        <w:t xml:space="preserve"> </w:t>
      </w:r>
    </w:p>
    <w:p w:rsidR="00017D9C" w:rsidRDefault="006841EC" w:rsidP="00335E3F">
      <w:pPr>
        <w:pStyle w:val="BodyText"/>
      </w:pPr>
      <w:r>
        <w:lastRenderedPageBreak/>
        <w:t>Commonwealth r</w:t>
      </w:r>
      <w:r w:rsidR="00335E3F">
        <w:t xml:space="preserve">oad and rail infrastructure </w:t>
      </w:r>
      <w:r>
        <w:t xml:space="preserve">expenditure </w:t>
      </w:r>
      <w:r w:rsidR="00335E3F">
        <w:t xml:space="preserve">is </w:t>
      </w:r>
      <w:r w:rsidR="002D6540">
        <w:t xml:space="preserve">also </w:t>
      </w:r>
      <w:r w:rsidR="00335E3F">
        <w:t>projected to fall by 0.2 per cent of GDP over the forward estimates period</w:t>
      </w:r>
      <w:r w:rsidR="00177321">
        <w:t xml:space="preserve"> to 0.2 per cent of GDP in 2020</w:t>
      </w:r>
      <w:r w:rsidR="0065563F">
        <w:t>–</w:t>
      </w:r>
      <w:r w:rsidR="00177321">
        <w:t>21</w:t>
      </w:r>
      <w:r w:rsidR="00335E3F">
        <w:t xml:space="preserve">, reflecting the funding profile for road and rail infrastructure </w:t>
      </w:r>
      <w:r w:rsidR="00455080">
        <w:t xml:space="preserve">projects </w:t>
      </w:r>
      <w:r w:rsidR="00335E3F">
        <w:t>included in the 2017–18 Budget.</w:t>
      </w:r>
      <w:r w:rsidR="00017D9C">
        <w:t xml:space="preserve">  </w:t>
      </w:r>
    </w:p>
    <w:p w:rsidR="008A7B18" w:rsidRDefault="00017D9C" w:rsidP="00335E3F">
      <w:pPr>
        <w:pStyle w:val="BodyText"/>
      </w:pPr>
      <w:r w:rsidRPr="00C30457">
        <w:t xml:space="preserve">It is important to note that the decline in </w:t>
      </w:r>
      <w:r w:rsidR="008A7B18" w:rsidRPr="00C30457">
        <w:t xml:space="preserve">direct </w:t>
      </w:r>
      <w:r w:rsidRPr="00C30457">
        <w:t xml:space="preserve">Commonwealth expenditure on road and rail infrastructure does not capture </w:t>
      </w:r>
      <w:r w:rsidR="00DD1862" w:rsidRPr="00C30457">
        <w:t xml:space="preserve">infrastructure investment funded through </w:t>
      </w:r>
      <w:r w:rsidRPr="00C30457">
        <w:t>other financing arrangements such as concessional loans and equity injections into government-owned corporations, which are recognised as the acquisition of assets rather than expenses.</w:t>
      </w:r>
      <w:r w:rsidR="00DD1862" w:rsidRPr="00C30457">
        <w:t xml:space="preserve"> </w:t>
      </w:r>
      <w:r w:rsidR="0014136A" w:rsidRPr="00C30457">
        <w:t xml:space="preserve"> The</w:t>
      </w:r>
      <w:r w:rsidR="00E1001E" w:rsidRPr="00C30457">
        <w:t xml:space="preserve"> </w:t>
      </w:r>
      <w:r w:rsidR="00DD1862" w:rsidRPr="00C30457">
        <w:t xml:space="preserve">concessional loan to the New South </w:t>
      </w:r>
      <w:r w:rsidR="008A7B18" w:rsidRPr="00C30457">
        <w:t>Wales</w:t>
      </w:r>
      <w:r w:rsidR="00DD1862" w:rsidRPr="00C30457">
        <w:t xml:space="preserve"> government for the </w:t>
      </w:r>
      <w:proofErr w:type="spellStart"/>
      <w:r w:rsidR="00DD1862" w:rsidRPr="00C30457">
        <w:t>WestConnex</w:t>
      </w:r>
      <w:proofErr w:type="spellEnd"/>
      <w:r w:rsidR="00DD1862" w:rsidRPr="00C30457">
        <w:t xml:space="preserve"> project, and equity injections </w:t>
      </w:r>
      <w:r w:rsidR="008A7B18" w:rsidRPr="00C30457">
        <w:t>to finance the Melbourne to Brisbane Inland Rail project and the Western Sydney Airport</w:t>
      </w:r>
      <w:r w:rsidR="0014136A" w:rsidRPr="00C30457">
        <w:t xml:space="preserve"> are all examples of other financing arrangements the Commonwealth is using to support infrastructure funding</w:t>
      </w:r>
      <w:r w:rsidR="008A7B18" w:rsidRPr="00C30457">
        <w:t>.</w:t>
      </w:r>
    </w:p>
    <w:p w:rsidR="00A96341" w:rsidRDefault="00A96341">
      <w:pPr>
        <w:rPr>
          <w:rFonts w:eastAsia="Times New Roman" w:cs="Arial"/>
          <w:b/>
          <w:color w:val="2B3B5F" w:themeColor="text2"/>
          <w:spacing w:val="-1"/>
          <w:lang w:eastAsia="en-AU"/>
        </w:rPr>
      </w:pPr>
      <w:r>
        <w:br w:type="page"/>
      </w:r>
    </w:p>
    <w:p w:rsidR="00A96341" w:rsidRDefault="00A96341" w:rsidP="004A6413">
      <w:pPr>
        <w:pStyle w:val="Caption1"/>
      </w:pPr>
      <w:r>
        <w:lastRenderedPageBreak/>
        <w:t xml:space="preserve">Box 2: State and Commonwealth revenue and spending growth </w:t>
      </w:r>
    </w:p>
    <w:tbl>
      <w:tblPr>
        <w:tblStyle w:val="PullOutBoxTable"/>
        <w:tblW w:w="5000" w:type="pct"/>
        <w:tblLook w:val="0600" w:firstRow="0" w:lastRow="0" w:firstColumn="0" w:lastColumn="0" w:noHBand="1" w:noVBand="1"/>
      </w:tblPr>
      <w:tblGrid>
        <w:gridCol w:w="8322"/>
      </w:tblGrid>
      <w:tr w:rsidR="00F058A1" w:rsidTr="00F058A1">
        <w:tc>
          <w:tcPr>
            <w:tcW w:w="5000" w:type="pct"/>
          </w:tcPr>
          <w:p w:rsidR="00477998" w:rsidRDefault="00AF3736" w:rsidP="00550B44">
            <w:pPr>
              <w:pStyle w:val="PullOutBoxBodyText"/>
            </w:pPr>
            <w:r>
              <w:fldChar w:fldCharType="begin"/>
            </w:r>
            <w:r>
              <w:instrText xml:space="preserve"> REF _Ref492910646 \h </w:instrText>
            </w:r>
            <w:r w:rsidR="00663F4A">
              <w:instrText xml:space="preserve"> \* MERGEFORMAT </w:instrText>
            </w:r>
            <w:r>
              <w:fldChar w:fldCharType="separate"/>
            </w:r>
            <w:r w:rsidR="00BF7361" w:rsidRPr="000B679E">
              <w:t xml:space="preserve">Figure </w:t>
            </w:r>
            <w:r w:rsidR="00BF7361">
              <w:t>2</w:t>
            </w:r>
            <w:r w:rsidR="00BF7361" w:rsidRPr="000B679E">
              <w:t>–</w:t>
            </w:r>
            <w:r w:rsidR="00BF7361">
              <w:t>3</w:t>
            </w:r>
            <w:r>
              <w:fldChar w:fldCharType="end"/>
            </w:r>
            <w:r>
              <w:t xml:space="preserve"> </w:t>
            </w:r>
            <w:r w:rsidR="00477998">
              <w:t>p</w:t>
            </w:r>
            <w:r w:rsidR="00A24314">
              <w:t xml:space="preserve">rovides some historical context for the </w:t>
            </w:r>
            <w:r w:rsidR="00477998">
              <w:t>projected growth in Commonwealth and state revenue and expenses.  The period 200</w:t>
            </w:r>
            <w:r w:rsidR="001C184A">
              <w:t>1</w:t>
            </w:r>
            <w:r w:rsidR="0065563F">
              <w:t>–</w:t>
            </w:r>
            <w:r w:rsidR="00477998">
              <w:t>0</w:t>
            </w:r>
            <w:r w:rsidR="001C184A">
              <w:t>2</w:t>
            </w:r>
            <w:r w:rsidR="00477998">
              <w:t xml:space="preserve"> to 2015</w:t>
            </w:r>
            <w:r w:rsidR="0065563F">
              <w:t>–</w:t>
            </w:r>
            <w:r w:rsidR="00477998">
              <w:t xml:space="preserve">16 has been broken into </w:t>
            </w:r>
            <w:r>
              <w:t>t</w:t>
            </w:r>
            <w:r w:rsidR="00477998">
              <w:t xml:space="preserve">hree </w:t>
            </w:r>
            <w:r>
              <w:t xml:space="preserve">equal </w:t>
            </w:r>
            <w:r w:rsidR="00477998">
              <w:t xml:space="preserve">5-year periods and compared to the </w:t>
            </w:r>
            <w:r w:rsidR="0065563F">
              <w:t xml:space="preserve">period </w:t>
            </w:r>
            <w:r w:rsidR="001C184A">
              <w:t>2016</w:t>
            </w:r>
            <w:r w:rsidR="0065563F">
              <w:t>–1</w:t>
            </w:r>
            <w:r w:rsidR="001C184A">
              <w:t>7</w:t>
            </w:r>
            <w:r w:rsidR="0065563F">
              <w:t xml:space="preserve"> to 2020–21</w:t>
            </w:r>
            <w:r w:rsidR="00477998">
              <w:t xml:space="preserve"> which encompasses the forward estimates.</w:t>
            </w:r>
          </w:p>
          <w:p w:rsidR="00B84651" w:rsidRDefault="00182DCF" w:rsidP="001C478F">
            <w:pPr>
              <w:pStyle w:val="Caption1"/>
              <w:ind w:left="147"/>
            </w:pPr>
            <w:bookmarkStart w:id="46" w:name="_Ref492910646"/>
            <w:bookmarkStart w:id="47" w:name="_Toc495929694"/>
            <w:r w:rsidRPr="000B679E">
              <w:t xml:space="preserve">Figure </w:t>
            </w:r>
            <w:fldSimple w:instr=" STYLEREF 1 \s ">
              <w:r w:rsidR="00BF7361">
                <w:rPr>
                  <w:noProof/>
                </w:rPr>
                <w:t>2</w:t>
              </w:r>
            </w:fldSimple>
            <w:r w:rsidRPr="000B679E">
              <w:t>–</w:t>
            </w:r>
            <w:fldSimple w:instr=" SEQ Figure \* ARABIC \s 1 ">
              <w:r w:rsidR="00BF7361">
                <w:rPr>
                  <w:noProof/>
                </w:rPr>
                <w:t>3</w:t>
              </w:r>
            </w:fldSimple>
            <w:bookmarkEnd w:id="46"/>
            <w:r w:rsidRPr="000B679E">
              <w:t>: Average annual real growth in revenue and expenses</w:t>
            </w:r>
            <w:bookmarkEnd w:id="47"/>
            <w:r w:rsidR="001C478F">
              <w:t xml:space="preserve"> </w:t>
            </w:r>
          </w:p>
          <w:p w:rsidR="00182DCF" w:rsidRPr="00182DCF" w:rsidRDefault="004D409B" w:rsidP="00EF13FE">
            <w:pPr>
              <w:pStyle w:val="BodyText"/>
              <w:jc w:val="center"/>
            </w:pPr>
            <w:r>
              <w:rPr>
                <w:noProof/>
              </w:rPr>
              <w:drawing>
                <wp:inline distT="0" distB="0" distL="0" distR="0" wp14:anchorId="158F55AF">
                  <wp:extent cx="5038995" cy="3175687"/>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39364" cy="3175920"/>
                          </a:xfrm>
                          <a:prstGeom prst="rect">
                            <a:avLst/>
                          </a:prstGeom>
                          <a:noFill/>
                        </pic:spPr>
                      </pic:pic>
                    </a:graphicData>
                  </a:graphic>
                </wp:inline>
              </w:drawing>
            </w:r>
          </w:p>
          <w:p w:rsidR="00FE10C0" w:rsidRPr="00550B44" w:rsidRDefault="00FE10C0" w:rsidP="00550B44">
            <w:pPr>
              <w:pStyle w:val="Source"/>
              <w:ind w:left="113"/>
              <w:rPr>
                <w:sz w:val="18"/>
                <w:szCs w:val="18"/>
              </w:rPr>
            </w:pPr>
            <w:r w:rsidRPr="00550B44">
              <w:rPr>
                <w:sz w:val="18"/>
                <w:szCs w:val="18"/>
              </w:rPr>
              <w:t>Source: ABS, Commonwealth and state budget papers, PBO analysis.</w:t>
            </w:r>
          </w:p>
          <w:p w:rsidR="00884172" w:rsidRDefault="00AD2185" w:rsidP="00550B44">
            <w:pPr>
              <w:pStyle w:val="PullOutBoxBodyText"/>
            </w:pPr>
            <w:r>
              <w:t>For the Commonwealth, g</w:t>
            </w:r>
            <w:r w:rsidR="00884172">
              <w:t xml:space="preserve">rowth in revenue is projected to increase strongly over the </w:t>
            </w:r>
            <w:r w:rsidR="00961B3E">
              <w:t>five years to 2020</w:t>
            </w:r>
            <w:r w:rsidR="00961B3E">
              <w:softHyphen/>
              <w:t>–21</w:t>
            </w:r>
            <w:r w:rsidR="00884172">
              <w:t xml:space="preserve"> compared to the previous five years</w:t>
            </w:r>
            <w:r>
              <w:t>, from 2.9</w:t>
            </w:r>
            <w:r w:rsidR="00A24314">
              <w:t xml:space="preserve"> per cent annual average real growth</w:t>
            </w:r>
            <w:r>
              <w:t xml:space="preserve"> to 4.</w:t>
            </w:r>
            <w:r w:rsidR="00A74D57">
              <w:t>3</w:t>
            </w:r>
            <w:r>
              <w:t xml:space="preserve"> per cent.</w:t>
            </w:r>
            <w:r w:rsidR="00884172">
              <w:t xml:space="preserve"> </w:t>
            </w:r>
            <w:r w:rsidR="00A24314">
              <w:t xml:space="preserve"> </w:t>
            </w:r>
            <w:r>
              <w:t>G</w:t>
            </w:r>
            <w:r w:rsidR="00884172">
              <w:t xml:space="preserve">rowth in expenditure over the </w:t>
            </w:r>
            <w:r w:rsidR="00961B3E">
              <w:t>five years to 2020</w:t>
            </w:r>
            <w:r w:rsidR="00961B3E">
              <w:softHyphen/>
              <w:t>–</w:t>
            </w:r>
            <w:proofErr w:type="gramStart"/>
            <w:r w:rsidR="00961B3E">
              <w:t xml:space="preserve">21 </w:t>
            </w:r>
            <w:r w:rsidR="00884172">
              <w:t xml:space="preserve"> is</w:t>
            </w:r>
            <w:proofErr w:type="gramEnd"/>
            <w:r w:rsidR="00884172">
              <w:t xml:space="preserve"> projected to remain </w:t>
            </w:r>
            <w:r w:rsidR="006841EC">
              <w:t xml:space="preserve">roughly unchanged </w:t>
            </w:r>
            <w:r w:rsidR="003725C0">
              <w:t xml:space="preserve">averaging </w:t>
            </w:r>
            <w:r w:rsidR="003D2092">
              <w:t>1.9</w:t>
            </w:r>
            <w:r w:rsidR="00462B44">
              <w:t xml:space="preserve"> per cent </w:t>
            </w:r>
            <w:r w:rsidR="003725C0">
              <w:t>annually in real terms</w:t>
            </w:r>
            <w:r w:rsidR="00884172">
              <w:t xml:space="preserve">. </w:t>
            </w:r>
            <w:r w:rsidR="008242D0">
              <w:t xml:space="preserve"> </w:t>
            </w:r>
            <w:r w:rsidR="00884172">
              <w:t>The significant</w:t>
            </w:r>
            <w:r w:rsidR="00A24314">
              <w:t xml:space="preserve"> </w:t>
            </w:r>
            <w:r w:rsidR="00884172">
              <w:t>pickup</w:t>
            </w:r>
            <w:r w:rsidR="00A24314">
              <w:t xml:space="preserve"> </w:t>
            </w:r>
            <w:r w:rsidR="00884172">
              <w:t>in</w:t>
            </w:r>
            <w:r w:rsidR="00462B44">
              <w:t xml:space="preserve"> </w:t>
            </w:r>
            <w:r w:rsidR="008242D0">
              <w:t xml:space="preserve">revenue growth </w:t>
            </w:r>
            <w:r w:rsidR="00A24314">
              <w:t xml:space="preserve">combined with </w:t>
            </w:r>
            <w:r w:rsidR="008242D0">
              <w:t xml:space="preserve">subdued </w:t>
            </w:r>
            <w:r w:rsidR="00884172">
              <w:t>expenditure</w:t>
            </w:r>
            <w:r w:rsidR="008242D0">
              <w:t xml:space="preserve"> growth </w:t>
            </w:r>
            <w:r w:rsidR="00C1544B">
              <w:t xml:space="preserve">is </w:t>
            </w:r>
            <w:r w:rsidR="008242D0">
              <w:t xml:space="preserve">driving the projected improvement in </w:t>
            </w:r>
            <w:r w:rsidR="00884172">
              <w:t>the Commonwealth net operating balance</w:t>
            </w:r>
            <w:r w:rsidR="008242D0">
              <w:t xml:space="preserve"> over </w:t>
            </w:r>
            <w:r w:rsidR="00A24314">
              <w:t>t</w:t>
            </w:r>
            <w:r w:rsidR="008242D0">
              <w:t xml:space="preserve">he forward </w:t>
            </w:r>
            <w:r w:rsidR="00A24314">
              <w:t>estimates</w:t>
            </w:r>
            <w:r w:rsidR="00884172">
              <w:t>.</w:t>
            </w:r>
          </w:p>
          <w:p w:rsidR="00857551" w:rsidRDefault="003725C0" w:rsidP="00550B44">
            <w:pPr>
              <w:pStyle w:val="PullOutBoxBodyText"/>
            </w:pPr>
            <w:r w:rsidRPr="007A1A18">
              <w:t xml:space="preserve">In contrast, </w:t>
            </w:r>
            <w:r w:rsidR="00462B44" w:rsidRPr="007A1A18">
              <w:t>real</w:t>
            </w:r>
            <w:r w:rsidR="000A22B9" w:rsidRPr="00F9055B">
              <w:t xml:space="preserve"> </w:t>
            </w:r>
            <w:r w:rsidR="00884172" w:rsidRPr="00F9055B">
              <w:t>growth in state</w:t>
            </w:r>
            <w:r w:rsidR="00AD2185" w:rsidRPr="00F9055B">
              <w:t>s’ revenue and expenses</w:t>
            </w:r>
            <w:r w:rsidR="00884172" w:rsidRPr="00F9055B">
              <w:t xml:space="preserve"> </w:t>
            </w:r>
            <w:r w:rsidR="00462B44" w:rsidRPr="00F9055B">
              <w:t>are</w:t>
            </w:r>
            <w:r w:rsidR="00884172" w:rsidRPr="00F9055B">
              <w:t xml:space="preserve"> projected to </w:t>
            </w:r>
            <w:r w:rsidR="00295C42" w:rsidRPr="00F9055B">
              <w:t xml:space="preserve">decrease over the </w:t>
            </w:r>
            <w:r w:rsidR="00961B3E">
              <w:t>five years to 2020</w:t>
            </w:r>
            <w:r w:rsidR="00961B3E">
              <w:softHyphen/>
              <w:t>–21</w:t>
            </w:r>
            <w:r w:rsidR="000A22B9" w:rsidRPr="00F9055B">
              <w:t>,</w:t>
            </w:r>
            <w:r w:rsidR="00AD2185" w:rsidRPr="00F9055B">
              <w:t xml:space="preserve"> both </w:t>
            </w:r>
            <w:r w:rsidR="00295C42" w:rsidRPr="00F9055B">
              <w:t>growing</w:t>
            </w:r>
            <w:r w:rsidR="00AD2185" w:rsidRPr="00F9055B">
              <w:t xml:space="preserve"> </w:t>
            </w:r>
            <w:r w:rsidR="00295C42" w:rsidRPr="00F9055B">
              <w:t>at</w:t>
            </w:r>
            <w:r w:rsidR="003D2092">
              <w:t xml:space="preserve"> around</w:t>
            </w:r>
            <w:r w:rsidR="00295C42" w:rsidRPr="00F9055B">
              <w:t xml:space="preserve"> 1 per cent</w:t>
            </w:r>
            <w:r w:rsidR="00295C42">
              <w:t xml:space="preserve"> annually in real terms</w:t>
            </w:r>
            <w:r w:rsidR="008E5E3F">
              <w:t xml:space="preserve">. This reflects </w:t>
            </w:r>
            <w:r w:rsidR="00CF1DF7">
              <w:t xml:space="preserve">spikes in both revenue and expenses early in the </w:t>
            </w:r>
            <w:proofErr w:type="gramStart"/>
            <w:r w:rsidR="00CF1DF7">
              <w:t>period which are</w:t>
            </w:r>
            <w:proofErr w:type="gramEnd"/>
            <w:r w:rsidR="00CF1DF7">
              <w:t xml:space="preserve"> not projected to continue over the entirety of the </w:t>
            </w:r>
            <w:r w:rsidR="00961B3E">
              <w:t>upcoming five-year</w:t>
            </w:r>
            <w:r w:rsidR="00A179A0">
              <w:t xml:space="preserve"> </w:t>
            </w:r>
            <w:r w:rsidR="00CF1DF7">
              <w:t xml:space="preserve">period </w:t>
            </w:r>
            <w:r w:rsidR="00A179A0">
              <w:t>(see section 2.2.1 and 2.2.2)</w:t>
            </w:r>
            <w:r w:rsidR="00AD2185">
              <w:t>.</w:t>
            </w:r>
            <w:r w:rsidR="00FA3102">
              <w:t xml:space="preserve">  </w:t>
            </w:r>
          </w:p>
          <w:p w:rsidR="00D06842" w:rsidRDefault="006841EC" w:rsidP="006841EC">
            <w:pPr>
              <w:pStyle w:val="PullOutBoxBodyText"/>
            </w:pPr>
            <w:r>
              <w:t>Annual real g</w:t>
            </w:r>
            <w:r w:rsidR="00AD2185">
              <w:t xml:space="preserve">rowth </w:t>
            </w:r>
            <w:r w:rsidR="00062487">
              <w:t xml:space="preserve">in state </w:t>
            </w:r>
            <w:r w:rsidR="00AD2185">
              <w:t xml:space="preserve">revenue is projected to be </w:t>
            </w:r>
            <w:r w:rsidR="003725C0">
              <w:t xml:space="preserve">around </w:t>
            </w:r>
            <w:r w:rsidR="00AD2185">
              <w:t>half that of the previous five years,</w:t>
            </w:r>
            <w:r w:rsidR="00A24314">
              <w:t xml:space="preserve"> falling</w:t>
            </w:r>
            <w:r w:rsidR="003D2092">
              <w:t xml:space="preserve"> from 1.9 to 1.1</w:t>
            </w:r>
            <w:r w:rsidR="00AD2185">
              <w:t xml:space="preserve"> per cent. </w:t>
            </w:r>
            <w:r w:rsidR="002375B7">
              <w:t xml:space="preserve"> </w:t>
            </w:r>
            <w:r>
              <w:t>Annual real growth in e</w:t>
            </w:r>
            <w:r w:rsidR="00AD2185">
              <w:t xml:space="preserve">xpenses </w:t>
            </w:r>
            <w:r w:rsidR="00857551">
              <w:t xml:space="preserve">is </w:t>
            </w:r>
            <w:r w:rsidR="00AD2185">
              <w:t xml:space="preserve">projected </w:t>
            </w:r>
            <w:r w:rsidR="00C1544B">
              <w:t xml:space="preserve">to decline </w:t>
            </w:r>
            <w:r>
              <w:t>to</w:t>
            </w:r>
            <w:r w:rsidR="002375B7">
              <w:t xml:space="preserve"> </w:t>
            </w:r>
            <w:r w:rsidR="003D2092">
              <w:t>1.2</w:t>
            </w:r>
            <w:r w:rsidR="00AD2185">
              <w:t xml:space="preserve"> per cent</w:t>
            </w:r>
            <w:r w:rsidR="002C15AD">
              <w:t>, which is low by historical standards</w:t>
            </w:r>
            <w:r w:rsidR="00884172">
              <w:t>.</w:t>
            </w:r>
            <w:r w:rsidR="00051E48">
              <w:t xml:space="preserve">  The combination of subdued projected revenue and expense growth results in small net operating surpluses for the states in aggregate over the forward estimates.</w:t>
            </w:r>
          </w:p>
        </w:tc>
      </w:tr>
    </w:tbl>
    <w:p w:rsidR="007B673E" w:rsidRDefault="00732C10" w:rsidP="00732C10">
      <w:pPr>
        <w:pStyle w:val="Heading3"/>
      </w:pPr>
      <w:bookmarkStart w:id="48" w:name="_Toc495678474"/>
      <w:r>
        <w:lastRenderedPageBreak/>
        <w:t>N</w:t>
      </w:r>
      <w:r w:rsidR="007B673E">
        <w:t>et capital investment</w:t>
      </w:r>
      <w:bookmarkEnd w:id="48"/>
    </w:p>
    <w:p w:rsidR="00455080" w:rsidRPr="00455080" w:rsidRDefault="00455080" w:rsidP="00455080">
      <w:pPr>
        <w:pStyle w:val="BodyText"/>
      </w:pPr>
      <w:r>
        <w:t>Commonwealt</w:t>
      </w:r>
      <w:r w:rsidR="00492017">
        <w:t xml:space="preserve">h net capital investment </w:t>
      </w:r>
      <w:r w:rsidR="00F70CEC">
        <w:t xml:space="preserve">is projected to increase from </w:t>
      </w:r>
      <w:r w:rsidR="002C731D">
        <w:t>0.1 per cent of GDP in 2016</w:t>
      </w:r>
      <w:r w:rsidR="0065563F">
        <w:t>–</w:t>
      </w:r>
      <w:r w:rsidR="002C731D">
        <w:t>17 to 0.3</w:t>
      </w:r>
      <w:r w:rsidR="00492017">
        <w:t xml:space="preserve"> per cent of GDP in 2020</w:t>
      </w:r>
      <w:r w:rsidR="0065563F">
        <w:t>–</w:t>
      </w:r>
      <w:r w:rsidR="00492017">
        <w:t>21</w:t>
      </w:r>
      <w:r w:rsidR="00D33B1A">
        <w:t xml:space="preserve"> (</w:t>
      </w:r>
      <w:r w:rsidR="00D33B1A">
        <w:fldChar w:fldCharType="begin"/>
      </w:r>
      <w:r w:rsidR="00D33B1A">
        <w:instrText xml:space="preserve"> REF _Ref492906779 \h </w:instrText>
      </w:r>
      <w:r w:rsidR="00D33B1A">
        <w:fldChar w:fldCharType="separate"/>
      </w:r>
      <w:r w:rsidR="00BF7361" w:rsidRPr="00EA7C77">
        <w:t xml:space="preserve">Figure </w:t>
      </w:r>
      <w:r w:rsidR="00BF7361">
        <w:rPr>
          <w:noProof/>
        </w:rPr>
        <w:t>2</w:t>
      </w:r>
      <w:r w:rsidR="00BF7361" w:rsidRPr="00EA7C77">
        <w:t>–</w:t>
      </w:r>
      <w:r w:rsidR="00BF7361">
        <w:rPr>
          <w:noProof/>
        </w:rPr>
        <w:t>4</w:t>
      </w:r>
      <w:r w:rsidR="00D33B1A">
        <w:fldChar w:fldCharType="end"/>
      </w:r>
      <w:r w:rsidR="002C731D">
        <w:t>)</w:t>
      </w:r>
      <w:r w:rsidR="00492017">
        <w:t xml:space="preserve">. </w:t>
      </w:r>
    </w:p>
    <w:p w:rsidR="00113800" w:rsidRDefault="00C414D7" w:rsidP="00D25CE5">
      <w:pPr>
        <w:pStyle w:val="Caption1"/>
        <w:spacing w:after="0" w:line="240" w:lineRule="auto"/>
      </w:pPr>
      <w:bookmarkStart w:id="49" w:name="_Ref492906779"/>
      <w:bookmarkStart w:id="50" w:name="_Toc495929695"/>
      <w:r w:rsidRPr="00EA7C77">
        <w:t xml:space="preserve">Figure </w:t>
      </w:r>
      <w:fldSimple w:instr=" STYLEREF 1 \s ">
        <w:r w:rsidR="00BF7361">
          <w:rPr>
            <w:noProof/>
          </w:rPr>
          <w:t>2</w:t>
        </w:r>
      </w:fldSimple>
      <w:r w:rsidRPr="00EA7C77">
        <w:t>–</w:t>
      </w:r>
      <w:fldSimple w:instr=" SEQ Figure \* ARABIC \s 1 ">
        <w:r w:rsidR="00BF7361">
          <w:rPr>
            <w:noProof/>
          </w:rPr>
          <w:t>4</w:t>
        </w:r>
      </w:fldSimple>
      <w:bookmarkEnd w:id="49"/>
      <w:r w:rsidRPr="00EA7C77">
        <w:t xml:space="preserve">: </w:t>
      </w:r>
      <w:r>
        <w:t>Commonwealth net capital investment</w:t>
      </w:r>
      <w:bookmarkEnd w:id="50"/>
      <w:r w:rsidR="001C478F">
        <w:t xml:space="preserve"> </w:t>
      </w:r>
    </w:p>
    <w:p w:rsidR="00C414D7" w:rsidRPr="00113800" w:rsidRDefault="00113800" w:rsidP="00D25CE5">
      <w:pPr>
        <w:pStyle w:val="Caption1"/>
        <w:spacing w:before="0" w:line="240" w:lineRule="auto"/>
        <w:ind w:left="993"/>
        <w:rPr>
          <w:sz w:val="18"/>
          <w:szCs w:val="18"/>
        </w:rPr>
      </w:pPr>
      <w:r w:rsidRPr="00113800">
        <w:rPr>
          <w:b w:val="0"/>
          <w:sz w:val="18"/>
          <w:szCs w:val="18"/>
        </w:rPr>
        <w:t xml:space="preserve"> </w:t>
      </w:r>
      <w:r w:rsidR="00A069B1">
        <w:rPr>
          <w:b w:val="0"/>
          <w:sz w:val="18"/>
          <w:szCs w:val="18"/>
        </w:rPr>
        <w:t>(S</w:t>
      </w:r>
      <w:r w:rsidR="001C478F" w:rsidRPr="00113800">
        <w:rPr>
          <w:b w:val="0"/>
          <w:sz w:val="18"/>
          <w:szCs w:val="18"/>
        </w:rPr>
        <w:t>hare of GDP)</w:t>
      </w:r>
    </w:p>
    <w:p w:rsidR="00C414D7" w:rsidRPr="00C414D7" w:rsidRDefault="004D409B" w:rsidP="00754D7C">
      <w:pPr>
        <w:pStyle w:val="BodyText"/>
        <w:jc w:val="center"/>
      </w:pPr>
      <w:r>
        <w:rPr>
          <w:noProof/>
          <w:lang w:eastAsia="en-AU"/>
        </w:rPr>
        <w:drawing>
          <wp:inline distT="0" distB="0" distL="0" distR="0" wp14:anchorId="4574DDDF">
            <wp:extent cx="5005070" cy="3096895"/>
            <wp:effectExtent l="0" t="0" r="5080" b="825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05070" cy="3096895"/>
                    </a:xfrm>
                    <a:prstGeom prst="rect">
                      <a:avLst/>
                    </a:prstGeom>
                    <a:noFill/>
                  </pic:spPr>
                </pic:pic>
              </a:graphicData>
            </a:graphic>
          </wp:inline>
        </w:drawing>
      </w:r>
    </w:p>
    <w:p w:rsidR="00D33B1A" w:rsidRPr="00550B44" w:rsidRDefault="00D33B1A" w:rsidP="00550B44">
      <w:pPr>
        <w:pStyle w:val="Source"/>
        <w:spacing w:before="113" w:after="113"/>
        <w:rPr>
          <w:sz w:val="18"/>
          <w:szCs w:val="18"/>
        </w:rPr>
      </w:pPr>
      <w:r w:rsidRPr="00550B44">
        <w:rPr>
          <w:sz w:val="18"/>
          <w:szCs w:val="18"/>
        </w:rPr>
        <w:t>Source: ABS, Commonwealth budget papers, PBO analysis.</w:t>
      </w:r>
    </w:p>
    <w:p w:rsidR="00455080" w:rsidRDefault="00455080" w:rsidP="00550B44">
      <w:pPr>
        <w:pStyle w:val="BodyText17ptAbove"/>
      </w:pPr>
      <w:r>
        <w:t xml:space="preserve">The net capital investment the Commonwealth undertakes directly is relatively small and </w:t>
      </w:r>
      <w:r w:rsidR="00FC73C8">
        <w:t xml:space="preserve">is </w:t>
      </w:r>
      <w:r w:rsidRPr="00492017">
        <w:t xml:space="preserve">largely </w:t>
      </w:r>
      <w:r w:rsidR="00FC73C8">
        <w:t xml:space="preserve">in the area of </w:t>
      </w:r>
      <w:r w:rsidRPr="00492017">
        <w:t>defence.  The profile is affected by the scheduling of major</w:t>
      </w:r>
      <w:r>
        <w:t xml:space="preserve"> defence weapons purchases</w:t>
      </w:r>
      <w:r w:rsidR="00B5513D">
        <w:t xml:space="preserve"> and </w:t>
      </w:r>
      <w:r w:rsidR="00204D37">
        <w:t>sales of non-financial assets</w:t>
      </w:r>
      <w:r>
        <w:t xml:space="preserve">. </w:t>
      </w:r>
      <w:r w:rsidR="00B5513D">
        <w:t xml:space="preserve"> The </w:t>
      </w:r>
      <w:r w:rsidR="00492017">
        <w:t>sharp decrease in net capital investment in 2017</w:t>
      </w:r>
      <w:r w:rsidR="0065563F">
        <w:t>–</w:t>
      </w:r>
      <w:r w:rsidR="00492017">
        <w:t xml:space="preserve">18 is due to </w:t>
      </w:r>
      <w:r>
        <w:t>the auctioning of spectrum licences.</w:t>
      </w:r>
    </w:p>
    <w:p w:rsidR="00812CAF" w:rsidRDefault="002C15AD" w:rsidP="00812CAF">
      <w:pPr>
        <w:pStyle w:val="BodyText"/>
      </w:pPr>
      <w:r>
        <w:t xml:space="preserve">Although it does not form part of general government net capital investment, </w:t>
      </w:r>
      <w:r w:rsidR="00812CAF">
        <w:t>Commonwealth-owned corporations have been increasing their levels of investment, driven largely by the rollout of the National Broadband Network (see Box 3).</w:t>
      </w:r>
    </w:p>
    <w:p w:rsidR="00455080" w:rsidRDefault="00940DE2" w:rsidP="000617F0">
      <w:pPr>
        <w:pStyle w:val="BodyText"/>
      </w:pPr>
      <w:r>
        <w:t>Apart from direct investment</w:t>
      </w:r>
      <w:r w:rsidR="00812CAF">
        <w:t xml:space="preserve"> and the activities of Commonwealth-owned corporations</w:t>
      </w:r>
      <w:r>
        <w:t>, t</w:t>
      </w:r>
      <w:r w:rsidR="00455080">
        <w:t>he Commonwealth</w:t>
      </w:r>
      <w:r w:rsidR="003A7FA1">
        <w:t xml:space="preserve"> </w:t>
      </w:r>
      <w:r w:rsidR="007F17B1">
        <w:t xml:space="preserve">has </w:t>
      </w:r>
      <w:r w:rsidR="000617F0">
        <w:t xml:space="preserve">a </w:t>
      </w:r>
      <w:r w:rsidR="003A7FA1">
        <w:t xml:space="preserve">key </w:t>
      </w:r>
      <w:r w:rsidR="000617F0">
        <w:t>role in</w:t>
      </w:r>
      <w:r w:rsidR="00455080">
        <w:t xml:space="preserve"> providing funding and financing to the states for </w:t>
      </w:r>
      <w:r w:rsidR="000617F0">
        <w:t xml:space="preserve">infrastructure </w:t>
      </w:r>
      <w:r w:rsidR="00455080">
        <w:t xml:space="preserve">projects. </w:t>
      </w:r>
      <w:r w:rsidR="007A0443">
        <w:t xml:space="preserve"> </w:t>
      </w:r>
      <w:r w:rsidR="00455080">
        <w:t>It does this through grants and increasingly through equity and debt financing for projects, which are not captured in direct Commonwealth government investment</w:t>
      </w:r>
      <w:r w:rsidR="003C6EF6">
        <w:t>.</w:t>
      </w:r>
      <w:r w:rsidR="0096020F" w:rsidRPr="00320C37">
        <w:rPr>
          <w:rStyle w:val="FootnoteReference"/>
        </w:rPr>
        <w:footnoteReference w:id="8"/>
      </w:r>
    </w:p>
    <w:p w:rsidR="007F7820" w:rsidRDefault="007F7820" w:rsidP="007F7820">
      <w:pPr>
        <w:pStyle w:val="Heading3"/>
      </w:pPr>
      <w:bookmarkStart w:id="51" w:name="_Toc495678475"/>
      <w:r>
        <w:lastRenderedPageBreak/>
        <w:t>Net debt</w:t>
      </w:r>
      <w:bookmarkEnd w:id="51"/>
    </w:p>
    <w:p w:rsidR="00216B3E" w:rsidRDefault="00940DE2" w:rsidP="004A6413">
      <w:pPr>
        <w:pStyle w:val="BodyText"/>
      </w:pPr>
      <w:r>
        <w:t xml:space="preserve">Commonwealth budget papers indicate that </w:t>
      </w:r>
      <w:r w:rsidR="00216B3E">
        <w:t xml:space="preserve">net debt is projected to increase from </w:t>
      </w:r>
      <w:r w:rsidR="00530B39">
        <w:br/>
      </w:r>
      <w:r w:rsidR="00216B3E">
        <w:t xml:space="preserve">18.6 per cent of </w:t>
      </w:r>
      <w:r w:rsidR="00216B3E" w:rsidRPr="00F03963">
        <w:t>GDP</w:t>
      </w:r>
      <w:r w:rsidR="00EC7129">
        <w:t xml:space="preserve"> ($325</w:t>
      </w:r>
      <w:r w:rsidR="00857551">
        <w:t>.1</w:t>
      </w:r>
      <w:r w:rsidR="00EC7129">
        <w:t xml:space="preserve"> billion)</w:t>
      </w:r>
      <w:r w:rsidR="00216B3E">
        <w:t xml:space="preserve"> in 2016–17</w:t>
      </w:r>
      <w:r w:rsidR="00216B3E" w:rsidRPr="00F03963">
        <w:t xml:space="preserve">, to peak as a </w:t>
      </w:r>
      <w:r w:rsidR="00216B3E">
        <w:t xml:space="preserve">per cent </w:t>
      </w:r>
      <w:r w:rsidR="00216B3E" w:rsidRPr="00F03963">
        <w:t xml:space="preserve">of GDP at </w:t>
      </w:r>
      <w:r w:rsidR="00216B3E">
        <w:t xml:space="preserve">19.8 per </w:t>
      </w:r>
      <w:r w:rsidR="007A0443">
        <w:t>cent</w:t>
      </w:r>
      <w:r w:rsidR="00EC7129">
        <w:t xml:space="preserve"> ($375</w:t>
      </w:r>
      <w:r w:rsidR="00857551">
        <w:t>.1</w:t>
      </w:r>
      <w:r w:rsidR="00EC7129">
        <w:t xml:space="preserve"> billion)</w:t>
      </w:r>
      <w:r w:rsidR="007A0443">
        <w:t xml:space="preserve"> </w:t>
      </w:r>
      <w:r w:rsidR="00216B3E">
        <w:t>in 2018–19</w:t>
      </w:r>
      <w:r w:rsidR="00216B3E" w:rsidRPr="00F03963">
        <w:t xml:space="preserve">, before declining to </w:t>
      </w:r>
      <w:r w:rsidR="00D33B1A">
        <w:t>17.6</w:t>
      </w:r>
      <w:r w:rsidR="00216B3E">
        <w:t xml:space="preserve"> per </w:t>
      </w:r>
      <w:r w:rsidR="001A7EFF">
        <w:t>cent of GDP</w:t>
      </w:r>
      <w:r w:rsidR="00EC7129">
        <w:t xml:space="preserve"> ($366</w:t>
      </w:r>
      <w:r w:rsidR="00857551">
        <w:t>.2</w:t>
      </w:r>
      <w:r w:rsidR="00EC7129">
        <w:t xml:space="preserve"> billion)</w:t>
      </w:r>
      <w:r w:rsidR="001A7EFF">
        <w:t xml:space="preserve"> by </w:t>
      </w:r>
      <w:r w:rsidR="006325D0">
        <w:br/>
      </w:r>
      <w:r w:rsidR="001A7EFF">
        <w:t>2020</w:t>
      </w:r>
      <w:r w:rsidR="0065563F">
        <w:t>–</w:t>
      </w:r>
      <w:r w:rsidR="001A7EFF">
        <w:t>21 (</w:t>
      </w:r>
      <w:r w:rsidR="001A7EFF">
        <w:fldChar w:fldCharType="begin"/>
      </w:r>
      <w:r w:rsidR="001A7EFF">
        <w:instrText xml:space="preserve"> REF _Ref492906879 \h </w:instrText>
      </w:r>
      <w:r w:rsidR="004A6413">
        <w:instrText xml:space="preserve"> \* MERGEFORMAT </w:instrText>
      </w:r>
      <w:r w:rsidR="001A7EFF">
        <w:fldChar w:fldCharType="separate"/>
      </w:r>
      <w:r w:rsidR="00BF7361" w:rsidRPr="0054177C">
        <w:t xml:space="preserve">Figure </w:t>
      </w:r>
      <w:r w:rsidR="00BF7361">
        <w:rPr>
          <w:noProof/>
        </w:rPr>
        <w:t>2</w:t>
      </w:r>
      <w:r w:rsidR="00BF7361" w:rsidRPr="0054177C">
        <w:t>–</w:t>
      </w:r>
      <w:r w:rsidR="00BF7361">
        <w:rPr>
          <w:noProof/>
        </w:rPr>
        <w:t>5</w:t>
      </w:r>
      <w:r w:rsidR="001A7EFF">
        <w:fldChar w:fldCharType="end"/>
      </w:r>
      <w:r w:rsidR="00216B3E">
        <w:t xml:space="preserve">). </w:t>
      </w:r>
    </w:p>
    <w:p w:rsidR="006F0FA1" w:rsidRDefault="0054177C" w:rsidP="00D25CE5">
      <w:pPr>
        <w:pStyle w:val="Caption1"/>
        <w:spacing w:after="0" w:line="240" w:lineRule="auto"/>
      </w:pPr>
      <w:bookmarkStart w:id="52" w:name="_Ref492906879"/>
      <w:bookmarkStart w:id="53" w:name="_Toc495929696"/>
      <w:r w:rsidRPr="0054177C">
        <w:t xml:space="preserve">Figure </w:t>
      </w:r>
      <w:fldSimple w:instr=" STYLEREF 1 \s ">
        <w:r w:rsidR="00BF7361">
          <w:rPr>
            <w:noProof/>
          </w:rPr>
          <w:t>2</w:t>
        </w:r>
      </w:fldSimple>
      <w:r w:rsidRPr="0054177C">
        <w:t>–</w:t>
      </w:r>
      <w:fldSimple w:instr=" SEQ Figure \* ARABIC \s 1 ">
        <w:r w:rsidR="00BF7361">
          <w:rPr>
            <w:noProof/>
          </w:rPr>
          <w:t>5</w:t>
        </w:r>
      </w:fldSimple>
      <w:bookmarkEnd w:id="52"/>
      <w:r w:rsidRPr="0054177C">
        <w:t xml:space="preserve">: </w:t>
      </w:r>
      <w:r>
        <w:t>Commonwealth net debt</w:t>
      </w:r>
      <w:bookmarkEnd w:id="53"/>
      <w:r w:rsidR="001C478F">
        <w:t xml:space="preserve"> </w:t>
      </w:r>
    </w:p>
    <w:p w:rsidR="0054177C" w:rsidRPr="006F0FA1" w:rsidRDefault="006F0FA1" w:rsidP="00D25CE5">
      <w:pPr>
        <w:pStyle w:val="Caption1"/>
        <w:spacing w:before="0" w:line="240" w:lineRule="auto"/>
        <w:ind w:left="992"/>
        <w:rPr>
          <w:sz w:val="18"/>
        </w:rPr>
      </w:pPr>
      <w:r>
        <w:rPr>
          <w:b w:val="0"/>
          <w:sz w:val="18"/>
        </w:rPr>
        <w:t xml:space="preserve">  </w:t>
      </w:r>
      <w:r w:rsidR="00A069B1">
        <w:rPr>
          <w:b w:val="0"/>
          <w:sz w:val="18"/>
        </w:rPr>
        <w:t>(S</w:t>
      </w:r>
      <w:r w:rsidR="001C478F" w:rsidRPr="006F0FA1">
        <w:rPr>
          <w:b w:val="0"/>
          <w:sz w:val="18"/>
        </w:rPr>
        <w:t>hare of GDP)</w:t>
      </w:r>
    </w:p>
    <w:p w:rsidR="001B536F" w:rsidRDefault="0028672D" w:rsidP="001C478F">
      <w:pPr>
        <w:pStyle w:val="BodyText"/>
        <w:jc w:val="center"/>
      </w:pPr>
      <w:r>
        <w:rPr>
          <w:noProof/>
          <w:lang w:eastAsia="en-AU"/>
        </w:rPr>
        <w:drawing>
          <wp:inline distT="0" distB="0" distL="0" distR="0" wp14:anchorId="3DCD874A">
            <wp:extent cx="5539619" cy="3284288"/>
            <wp:effectExtent l="0" t="0" r="444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47147" cy="3288751"/>
                    </a:xfrm>
                    <a:prstGeom prst="rect">
                      <a:avLst/>
                    </a:prstGeom>
                    <a:noFill/>
                  </pic:spPr>
                </pic:pic>
              </a:graphicData>
            </a:graphic>
          </wp:inline>
        </w:drawing>
      </w:r>
    </w:p>
    <w:p w:rsidR="0054177C" w:rsidRPr="00550B44" w:rsidRDefault="0054177C" w:rsidP="00550B44">
      <w:pPr>
        <w:pStyle w:val="Source"/>
        <w:spacing w:before="113" w:after="113"/>
        <w:rPr>
          <w:sz w:val="18"/>
          <w:szCs w:val="18"/>
        </w:rPr>
      </w:pPr>
      <w:r w:rsidRPr="00550B44">
        <w:rPr>
          <w:sz w:val="18"/>
          <w:szCs w:val="18"/>
        </w:rPr>
        <w:t>Source: ABS, Commonwealth budget papers, PBO analysis.</w:t>
      </w:r>
    </w:p>
    <w:p w:rsidR="00216B3E" w:rsidRPr="00940DE2" w:rsidRDefault="00216B3E" w:rsidP="00550B44">
      <w:pPr>
        <w:pStyle w:val="BodyText17ptAbove"/>
      </w:pPr>
      <w:r w:rsidRPr="00BE6305">
        <w:t xml:space="preserve">The </w:t>
      </w:r>
      <w:r w:rsidR="00D23338" w:rsidRPr="00BE6305">
        <w:t xml:space="preserve">improvement in </w:t>
      </w:r>
      <w:r w:rsidRPr="00BE6305">
        <w:t xml:space="preserve">net debt over the forward estimates reflects the </w:t>
      </w:r>
      <w:r w:rsidR="00D23338" w:rsidRPr="00BE6305">
        <w:t xml:space="preserve">reduced financing task as the budget moves </w:t>
      </w:r>
      <w:r w:rsidR="006841EC">
        <w:t>into</w:t>
      </w:r>
      <w:r w:rsidR="00D23338" w:rsidRPr="00BE6305">
        <w:t xml:space="preserve"> </w:t>
      </w:r>
      <w:r w:rsidRPr="00BE6305">
        <w:t>surplus</w:t>
      </w:r>
      <w:r w:rsidR="00D23338" w:rsidRPr="00BE6305">
        <w:t xml:space="preserve"> over the latter half of the forward estimates</w:t>
      </w:r>
      <w:r w:rsidR="002B7558" w:rsidRPr="00BE6305">
        <w:t xml:space="preserve"> period</w:t>
      </w:r>
      <w:r w:rsidR="00870BD7" w:rsidRPr="00BE6305">
        <w:t xml:space="preserve">. </w:t>
      </w:r>
    </w:p>
    <w:p w:rsidR="007B673E" w:rsidRDefault="00732C10" w:rsidP="007B673E">
      <w:pPr>
        <w:pStyle w:val="Heading2"/>
      </w:pPr>
      <w:bookmarkStart w:id="54" w:name="_Toc495678476"/>
      <w:bookmarkStart w:id="55" w:name="_Toc496168775"/>
      <w:r>
        <w:t>Total s</w:t>
      </w:r>
      <w:r w:rsidR="007B673E">
        <w:t xml:space="preserve">tate </w:t>
      </w:r>
      <w:r>
        <w:t>trends</w:t>
      </w:r>
      <w:bookmarkEnd w:id="54"/>
      <w:bookmarkEnd w:id="55"/>
    </w:p>
    <w:p w:rsidR="00E25D47" w:rsidRDefault="00E25D47" w:rsidP="00E25D47">
      <w:pPr>
        <w:pStyle w:val="BodyText"/>
      </w:pPr>
      <w:r>
        <w:t xml:space="preserve">State revenue and expenditure, including transfers from the Commonwealth, </w:t>
      </w:r>
      <w:r w:rsidR="00E81966">
        <w:t xml:space="preserve">are on average </w:t>
      </w:r>
      <w:r>
        <w:t xml:space="preserve">around </w:t>
      </w:r>
      <w:r w:rsidR="00E81966">
        <w:t>60</w:t>
      </w:r>
      <w:r>
        <w:t xml:space="preserve"> per cent of the </w:t>
      </w:r>
      <w:r w:rsidR="00321B14">
        <w:t xml:space="preserve">comparable </w:t>
      </w:r>
      <w:r>
        <w:t xml:space="preserve">Commonwealth </w:t>
      </w:r>
      <w:r w:rsidR="00321B14">
        <w:t>totals</w:t>
      </w:r>
      <w:r w:rsidR="00E81966">
        <w:t xml:space="preserve"> </w:t>
      </w:r>
      <w:r w:rsidR="00833569">
        <w:t>in 2016</w:t>
      </w:r>
      <w:r w:rsidR="0065563F">
        <w:t>–</w:t>
      </w:r>
      <w:r w:rsidR="00833569">
        <w:t>17</w:t>
      </w:r>
      <w:r>
        <w:t xml:space="preserve">. </w:t>
      </w:r>
      <w:r w:rsidR="008D4710">
        <w:t xml:space="preserve"> </w:t>
      </w:r>
      <w:r w:rsidR="00833569">
        <w:t>In contrast</w:t>
      </w:r>
      <w:r w:rsidR="00581616">
        <w:t>, state net c</w:t>
      </w:r>
      <w:r w:rsidR="00E81966">
        <w:t>apital investment</w:t>
      </w:r>
      <w:r w:rsidR="00E31416">
        <w:t xml:space="preserve"> in 2016</w:t>
      </w:r>
      <w:r w:rsidR="0065563F">
        <w:t>–</w:t>
      </w:r>
      <w:r w:rsidR="00E31416">
        <w:t xml:space="preserve">17 </w:t>
      </w:r>
      <w:r w:rsidR="00E81966">
        <w:t xml:space="preserve">is around </w:t>
      </w:r>
      <w:r w:rsidR="00042E2C">
        <w:t>five</w:t>
      </w:r>
      <w:r w:rsidR="00581616">
        <w:t xml:space="preserve"> times greater than </w:t>
      </w:r>
      <w:r w:rsidR="008D4710">
        <w:t xml:space="preserve">that undertaken by </w:t>
      </w:r>
      <w:r w:rsidR="00581616">
        <w:t>the Commonwealth.</w:t>
      </w:r>
    </w:p>
    <w:p w:rsidR="00665958" w:rsidRDefault="00C96C35" w:rsidP="00E25D47">
      <w:pPr>
        <w:pStyle w:val="BodyText"/>
      </w:pPr>
      <w:r>
        <w:t xml:space="preserve">Compared to </w:t>
      </w:r>
      <w:r w:rsidR="00E25D47">
        <w:t xml:space="preserve">the Commonwealth, state revenue and expenses in aggregate have historically </w:t>
      </w:r>
      <w:r w:rsidR="008D4710">
        <w:t>moved in line with each other</w:t>
      </w:r>
      <w:r w:rsidR="00317950">
        <w:t xml:space="preserve">, with variations among </w:t>
      </w:r>
      <w:r w:rsidR="003B474E">
        <w:t xml:space="preserve">individual states </w:t>
      </w:r>
      <w:r w:rsidR="003B474E" w:rsidRPr="00B22A14">
        <w:t>(</w:t>
      </w:r>
      <w:r w:rsidR="00B22A14" w:rsidRPr="003C1059">
        <w:t>see Appendix A</w:t>
      </w:r>
      <w:r w:rsidR="00931D95">
        <w:t xml:space="preserve"> for state net operating balances</w:t>
      </w:r>
      <w:r w:rsidR="003B474E" w:rsidRPr="00B22A14">
        <w:t>)</w:t>
      </w:r>
      <w:r w:rsidR="008D4710" w:rsidRPr="00B22A14">
        <w:t>.</w:t>
      </w:r>
      <w:r w:rsidR="008D4710">
        <w:t xml:space="preserve"> </w:t>
      </w:r>
      <w:r w:rsidR="00E25D47">
        <w:t xml:space="preserve"> This reflects </w:t>
      </w:r>
      <w:r w:rsidR="003318C4">
        <w:t xml:space="preserve">the less volatile </w:t>
      </w:r>
      <w:r w:rsidR="00E25D47">
        <w:t>revenue base for</w:t>
      </w:r>
      <w:r>
        <w:t xml:space="preserve"> the</w:t>
      </w:r>
      <w:r w:rsidR="00E25D47">
        <w:t xml:space="preserve"> states, with </w:t>
      </w:r>
      <w:r w:rsidR="00676BC6">
        <w:t>fluctuations</w:t>
      </w:r>
      <w:r w:rsidR="00E25D47">
        <w:t xml:space="preserve"> largely caused by changes in the Commonwealth </w:t>
      </w:r>
      <w:r w:rsidR="00B27DE4">
        <w:t>payments to the states for specific purposes</w:t>
      </w:r>
      <w:r w:rsidR="00E25D47">
        <w:t xml:space="preserve">. </w:t>
      </w:r>
      <w:r w:rsidR="00AF72E8">
        <w:t xml:space="preserve"> </w:t>
      </w:r>
    </w:p>
    <w:p w:rsidR="00E25D47" w:rsidRDefault="00AF72E8" w:rsidP="00E25D47">
      <w:pPr>
        <w:pStyle w:val="BodyText"/>
      </w:pPr>
      <w:r w:rsidRPr="000D6F57">
        <w:t>State net capital investment grew str</w:t>
      </w:r>
      <w:r w:rsidR="004A3CBA">
        <w:t>ongly over the latter part of the past decade,</w:t>
      </w:r>
      <w:r w:rsidRPr="000D6F57">
        <w:t xml:space="preserve"> driven in part by Commonwealth transfers</w:t>
      </w:r>
      <w:r w:rsidR="004A3CBA">
        <w:t xml:space="preserve">. </w:t>
      </w:r>
      <w:r w:rsidRPr="000D6F57">
        <w:t xml:space="preserve"> </w:t>
      </w:r>
      <w:r>
        <w:t xml:space="preserve"> </w:t>
      </w:r>
    </w:p>
    <w:p w:rsidR="000B679E" w:rsidRDefault="00E25D47" w:rsidP="004A6413">
      <w:pPr>
        <w:pStyle w:val="BodyText"/>
        <w:spacing w:after="340"/>
      </w:pPr>
      <w:r>
        <w:lastRenderedPageBreak/>
        <w:t>Over the forward estimates</w:t>
      </w:r>
      <w:r w:rsidR="00CF416F">
        <w:t xml:space="preserve"> period, state budget papers indicate that</w:t>
      </w:r>
      <w:r>
        <w:t xml:space="preserve"> revenue and expenditure are projected to decline as a per</w:t>
      </w:r>
      <w:r w:rsidR="00833569">
        <w:t xml:space="preserve"> </w:t>
      </w:r>
      <w:r>
        <w:t>cent of GDP</w:t>
      </w:r>
      <w:r w:rsidR="00701FA5">
        <w:t xml:space="preserve"> (</w:t>
      </w:r>
      <w:r w:rsidR="00701FA5">
        <w:fldChar w:fldCharType="begin"/>
      </w:r>
      <w:r w:rsidR="00701FA5">
        <w:instrText xml:space="preserve"> REF _Ref492906950 \h </w:instrText>
      </w:r>
      <w:r w:rsidR="00701FA5">
        <w:fldChar w:fldCharType="separate"/>
      </w:r>
      <w:r w:rsidR="00BF7361" w:rsidRPr="00D124C4">
        <w:t xml:space="preserve">Figure </w:t>
      </w:r>
      <w:r w:rsidR="00BF7361">
        <w:rPr>
          <w:noProof/>
        </w:rPr>
        <w:t>2</w:t>
      </w:r>
      <w:r w:rsidR="00BF7361" w:rsidRPr="00D124C4">
        <w:t>–</w:t>
      </w:r>
      <w:r w:rsidR="00BF7361">
        <w:rPr>
          <w:noProof/>
        </w:rPr>
        <w:t>6</w:t>
      </w:r>
      <w:r w:rsidR="00701FA5">
        <w:fldChar w:fldCharType="end"/>
      </w:r>
      <w:r w:rsidR="00701FA5">
        <w:t xml:space="preserve"> and </w:t>
      </w:r>
      <w:r w:rsidR="00701FA5">
        <w:fldChar w:fldCharType="begin"/>
      </w:r>
      <w:r w:rsidR="00701FA5">
        <w:instrText xml:space="preserve"> REF _Ref492906968 \h </w:instrText>
      </w:r>
      <w:r w:rsidR="00701FA5">
        <w:fldChar w:fldCharType="separate"/>
      </w:r>
      <w:r w:rsidR="00BF7361" w:rsidRPr="00D124C4">
        <w:t xml:space="preserve">Figure </w:t>
      </w:r>
      <w:r w:rsidR="00BF7361">
        <w:rPr>
          <w:noProof/>
        </w:rPr>
        <w:t>2</w:t>
      </w:r>
      <w:r w:rsidR="00BF7361" w:rsidRPr="00D124C4">
        <w:t>–</w:t>
      </w:r>
      <w:r w:rsidR="00BF7361">
        <w:rPr>
          <w:noProof/>
        </w:rPr>
        <w:t>7</w:t>
      </w:r>
      <w:r w:rsidR="00701FA5">
        <w:fldChar w:fldCharType="end"/>
      </w:r>
      <w:r w:rsidR="00701FA5">
        <w:t>)</w:t>
      </w:r>
      <w:r w:rsidR="00A53351">
        <w:t>, with net capital investment projected to gr</w:t>
      </w:r>
      <w:r w:rsidR="00CF416F">
        <w:t>ow strongly over the</w:t>
      </w:r>
      <w:r w:rsidR="00676BC6">
        <w:t xml:space="preserve"> first half of the</w:t>
      </w:r>
      <w:r w:rsidR="00CF416F">
        <w:t xml:space="preserve"> forward estimates</w:t>
      </w:r>
      <w:r w:rsidR="00FF48FB">
        <w:t>, before declining as a per</w:t>
      </w:r>
      <w:r w:rsidR="00833569">
        <w:t xml:space="preserve"> </w:t>
      </w:r>
      <w:r w:rsidR="00FF48FB">
        <w:t>cent of GDP by 2020</w:t>
      </w:r>
      <w:r w:rsidR="0065563F">
        <w:t>–</w:t>
      </w:r>
      <w:r w:rsidR="00FF48FB">
        <w:t>21</w:t>
      </w:r>
      <w:r w:rsidR="004A6413">
        <w:t>.</w:t>
      </w:r>
    </w:p>
    <w:tbl>
      <w:tblPr>
        <w:tblStyle w:val="TableGrid"/>
        <w:tblW w:w="8863" w:type="dxa"/>
        <w:tblLook w:val="04A0" w:firstRow="1" w:lastRow="0" w:firstColumn="1" w:lastColumn="0" w:noHBand="0" w:noVBand="1"/>
      </w:tblPr>
      <w:tblGrid>
        <w:gridCol w:w="4497"/>
        <w:gridCol w:w="4366"/>
      </w:tblGrid>
      <w:tr w:rsidR="004F3B0C" w:rsidTr="0054177C">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4497" w:type="dxa"/>
            <w:shd w:val="clear" w:color="auto" w:fill="auto"/>
          </w:tcPr>
          <w:p w:rsidR="006F0FA1" w:rsidRDefault="00D124C4" w:rsidP="00D25CE5">
            <w:pPr>
              <w:pStyle w:val="Caption"/>
              <w:spacing w:before="0" w:after="0" w:line="240" w:lineRule="auto"/>
            </w:pPr>
            <w:bookmarkStart w:id="56" w:name="_Ref492906950"/>
            <w:bookmarkStart w:id="57" w:name="_Toc495929697"/>
            <w:r w:rsidRPr="00D124C4">
              <w:t xml:space="preserve">Figure </w:t>
            </w:r>
            <w:fldSimple w:instr=" STYLEREF 1 \s ">
              <w:r w:rsidR="00BF7361">
                <w:rPr>
                  <w:noProof/>
                </w:rPr>
                <w:t>2</w:t>
              </w:r>
            </w:fldSimple>
            <w:r w:rsidRPr="00D124C4">
              <w:t>–</w:t>
            </w:r>
            <w:fldSimple w:instr=" SEQ Figure \* ARABIC \s 1 ">
              <w:r w:rsidR="00BF7361">
                <w:rPr>
                  <w:noProof/>
                </w:rPr>
                <w:t>6</w:t>
              </w:r>
            </w:fldSimple>
            <w:bookmarkEnd w:id="56"/>
            <w:r w:rsidRPr="00D124C4">
              <w:t xml:space="preserve">: </w:t>
            </w:r>
            <w:r>
              <w:t xml:space="preserve"> </w:t>
            </w:r>
            <w:r w:rsidR="004F3B0C" w:rsidRPr="00D124C4">
              <w:t xml:space="preserve">State </w:t>
            </w:r>
            <w:r w:rsidR="002721E2">
              <w:t>revenue and expenses</w:t>
            </w:r>
            <w:bookmarkEnd w:id="57"/>
            <w:r w:rsidR="007053B2">
              <w:t xml:space="preserve"> </w:t>
            </w:r>
          </w:p>
          <w:p w:rsidR="00D124C4" w:rsidRPr="00D124C4" w:rsidRDefault="006F0FA1" w:rsidP="00A069B1">
            <w:pPr>
              <w:pStyle w:val="Caption"/>
              <w:spacing w:before="0" w:after="0" w:line="240" w:lineRule="auto"/>
              <w:ind w:left="993"/>
            </w:pPr>
            <w:r w:rsidRPr="006F0FA1">
              <w:rPr>
                <w:sz w:val="18"/>
              </w:rPr>
              <w:t xml:space="preserve">  </w:t>
            </w:r>
            <w:r w:rsidR="007053B2" w:rsidRPr="006F0FA1">
              <w:rPr>
                <w:b w:val="0"/>
                <w:sz w:val="18"/>
              </w:rPr>
              <w:t>(</w:t>
            </w:r>
            <w:r w:rsidR="00A069B1">
              <w:rPr>
                <w:b w:val="0"/>
                <w:sz w:val="18"/>
              </w:rPr>
              <w:t>S</w:t>
            </w:r>
            <w:r w:rsidR="007053B2" w:rsidRPr="006F0FA1">
              <w:rPr>
                <w:b w:val="0"/>
                <w:sz w:val="18"/>
              </w:rPr>
              <w:t>hare of GDP)</w:t>
            </w:r>
          </w:p>
        </w:tc>
        <w:tc>
          <w:tcPr>
            <w:tcW w:w="4366" w:type="dxa"/>
            <w:shd w:val="clear" w:color="auto" w:fill="auto"/>
          </w:tcPr>
          <w:p w:rsidR="00787EC1" w:rsidRDefault="00D124C4" w:rsidP="00D25CE5">
            <w:pPr>
              <w:pStyle w:val="Caption"/>
              <w:spacing w:before="0" w:after="0" w:line="240" w:lineRule="auto"/>
              <w:jc w:val="left"/>
              <w:cnfStyle w:val="100000000000" w:firstRow="1" w:lastRow="0" w:firstColumn="0" w:lastColumn="0" w:oddVBand="0" w:evenVBand="0" w:oddHBand="0" w:evenHBand="0" w:firstRowFirstColumn="0" w:firstRowLastColumn="0" w:lastRowFirstColumn="0" w:lastRowLastColumn="0"/>
            </w:pPr>
            <w:bookmarkStart w:id="58" w:name="_Ref492906968"/>
            <w:bookmarkStart w:id="59" w:name="_Toc495929698"/>
            <w:r w:rsidRPr="00D124C4">
              <w:t xml:space="preserve">Figure </w:t>
            </w:r>
            <w:fldSimple w:instr=" STYLEREF 1 \s ">
              <w:r w:rsidR="00BF7361">
                <w:rPr>
                  <w:noProof/>
                </w:rPr>
                <w:t>2</w:t>
              </w:r>
            </w:fldSimple>
            <w:r w:rsidRPr="00D124C4">
              <w:t>–</w:t>
            </w:r>
            <w:fldSimple w:instr=" SEQ Figure \* ARABIC \s 1 ">
              <w:r w:rsidR="00BF7361">
                <w:rPr>
                  <w:noProof/>
                </w:rPr>
                <w:t>7</w:t>
              </w:r>
            </w:fldSimple>
            <w:bookmarkEnd w:id="58"/>
            <w:r w:rsidRPr="00D124C4">
              <w:t xml:space="preserve">: </w:t>
            </w:r>
            <w:r>
              <w:t xml:space="preserve"> </w:t>
            </w:r>
            <w:r w:rsidR="00284FC4">
              <w:t xml:space="preserve">State revenue and expenses </w:t>
            </w:r>
          </w:p>
          <w:p w:rsidR="00D124C4" w:rsidRPr="00D124C4" w:rsidRDefault="00787EC1" w:rsidP="00D25CE5">
            <w:pPr>
              <w:pStyle w:val="Caption"/>
              <w:spacing w:before="0" w:after="0" w:line="240" w:lineRule="auto"/>
              <w:ind w:left="1032"/>
              <w:jc w:val="left"/>
              <w:cnfStyle w:val="100000000000" w:firstRow="1" w:lastRow="0" w:firstColumn="0" w:lastColumn="0" w:oddVBand="0" w:evenVBand="0" w:oddHBand="0" w:evenHBand="0" w:firstRowFirstColumn="0" w:firstRowLastColumn="0" w:lastRowFirstColumn="0" w:lastRowLastColumn="0"/>
            </w:pPr>
            <w:r w:rsidRPr="00787EC1">
              <w:rPr>
                <w:sz w:val="18"/>
              </w:rPr>
              <w:t xml:space="preserve"> </w:t>
            </w:r>
            <w:r w:rsidR="00284FC4" w:rsidRPr="00787EC1">
              <w:rPr>
                <w:b w:val="0"/>
                <w:sz w:val="18"/>
              </w:rPr>
              <w:t>(</w:t>
            </w:r>
            <w:r w:rsidR="00A069B1">
              <w:rPr>
                <w:b w:val="0"/>
                <w:sz w:val="18"/>
              </w:rPr>
              <w:t>A</w:t>
            </w:r>
            <w:r w:rsidR="004F3B0C" w:rsidRPr="00787EC1">
              <w:rPr>
                <w:b w:val="0"/>
                <w:sz w:val="18"/>
              </w:rPr>
              <w:t>nnual real growth</w:t>
            </w:r>
            <w:bookmarkEnd w:id="59"/>
            <w:r w:rsidR="00284FC4" w:rsidRPr="00787EC1">
              <w:rPr>
                <w:b w:val="0"/>
                <w:sz w:val="18"/>
              </w:rPr>
              <w:t>)</w:t>
            </w:r>
            <w:r w:rsidR="00D124C4" w:rsidRPr="00787EC1">
              <w:rPr>
                <w:sz w:val="18"/>
              </w:rPr>
              <w:t xml:space="preserve"> </w:t>
            </w:r>
          </w:p>
        </w:tc>
      </w:tr>
      <w:tr w:rsidR="004F3B0C" w:rsidTr="0054177C">
        <w:trPr>
          <w:cnfStyle w:val="000000100000" w:firstRow="0" w:lastRow="0" w:firstColumn="0" w:lastColumn="0" w:oddVBand="0" w:evenVBand="0" w:oddHBand="1" w:evenHBand="0" w:firstRowFirstColumn="0" w:firstRowLastColumn="0" w:lastRowFirstColumn="0" w:lastRowLastColumn="0"/>
          <w:trHeight w:val="3550"/>
        </w:trPr>
        <w:tc>
          <w:tcPr>
            <w:cnfStyle w:val="001000000000" w:firstRow="0" w:lastRow="0" w:firstColumn="1" w:lastColumn="0" w:oddVBand="0" w:evenVBand="0" w:oddHBand="0" w:evenHBand="0" w:firstRowFirstColumn="0" w:firstRowLastColumn="0" w:lastRowFirstColumn="0" w:lastRowLastColumn="0"/>
            <w:tcW w:w="4497" w:type="dxa"/>
            <w:shd w:val="clear" w:color="auto" w:fill="auto"/>
            <w:vAlign w:val="top"/>
          </w:tcPr>
          <w:p w:rsidR="00A247E4" w:rsidRDefault="00A247E4" w:rsidP="00284FC4">
            <w:pPr>
              <w:pStyle w:val="Source"/>
              <w:spacing w:before="113" w:after="113"/>
              <w:rPr>
                <w:noProof/>
              </w:rPr>
            </w:pPr>
            <w:r>
              <w:rPr>
                <w:noProof/>
              </w:rPr>
              <w:drawing>
                <wp:inline distT="0" distB="0" distL="0" distR="0" wp14:anchorId="44D053C7">
                  <wp:extent cx="2562856" cy="3212757"/>
                  <wp:effectExtent l="0" t="0" r="9525" b="698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65559" cy="3216145"/>
                          </a:xfrm>
                          <a:prstGeom prst="rect">
                            <a:avLst/>
                          </a:prstGeom>
                          <a:noFill/>
                        </pic:spPr>
                      </pic:pic>
                    </a:graphicData>
                  </a:graphic>
                </wp:inline>
              </w:drawing>
            </w:r>
          </w:p>
          <w:p w:rsidR="004F3B0C" w:rsidRPr="00284FC4" w:rsidRDefault="00284FC4" w:rsidP="00284FC4">
            <w:pPr>
              <w:pStyle w:val="Source"/>
              <w:spacing w:before="113" w:after="113"/>
              <w:rPr>
                <w:sz w:val="18"/>
                <w:szCs w:val="18"/>
              </w:rPr>
            </w:pPr>
            <w:r w:rsidRPr="00550B44">
              <w:rPr>
                <w:sz w:val="18"/>
                <w:szCs w:val="18"/>
              </w:rPr>
              <w:t xml:space="preserve"> Source: ABS, state budget papers, </w:t>
            </w:r>
            <w:r>
              <w:rPr>
                <w:sz w:val="18"/>
                <w:szCs w:val="18"/>
              </w:rPr>
              <w:t>PBO analysis</w:t>
            </w:r>
          </w:p>
        </w:tc>
        <w:tc>
          <w:tcPr>
            <w:tcW w:w="4366" w:type="dxa"/>
            <w:shd w:val="clear" w:color="auto" w:fill="auto"/>
            <w:vAlign w:val="top"/>
          </w:tcPr>
          <w:p w:rsidR="004F3B0C" w:rsidRDefault="004D409B" w:rsidP="002F740D">
            <w:pPr>
              <w:pStyle w:val="BodyText"/>
              <w:jc w:val="center"/>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2051D8EE">
                  <wp:extent cx="2554367" cy="3175687"/>
                  <wp:effectExtent l="0" t="0" r="0" b="571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58733" cy="3181115"/>
                          </a:xfrm>
                          <a:prstGeom prst="rect">
                            <a:avLst/>
                          </a:prstGeom>
                          <a:noFill/>
                        </pic:spPr>
                      </pic:pic>
                    </a:graphicData>
                  </a:graphic>
                </wp:inline>
              </w:drawing>
            </w:r>
          </w:p>
          <w:p w:rsidR="00284FC4" w:rsidRDefault="00284FC4" w:rsidP="00284FC4">
            <w:pPr>
              <w:pStyle w:val="Source"/>
              <w:spacing w:before="113" w:after="113"/>
              <w:cnfStyle w:val="000000100000" w:firstRow="0" w:lastRow="0" w:firstColumn="0" w:lastColumn="0" w:oddVBand="0" w:evenVBand="0" w:oddHBand="1" w:evenHBand="0" w:firstRowFirstColumn="0" w:firstRowLastColumn="0" w:lastRowFirstColumn="0" w:lastRowLastColumn="0"/>
            </w:pPr>
            <w:r w:rsidRPr="00550B44">
              <w:rPr>
                <w:sz w:val="18"/>
                <w:szCs w:val="18"/>
              </w:rPr>
              <w:t>Source: ABS, state budget papers, PBO analysis.</w:t>
            </w:r>
          </w:p>
        </w:tc>
      </w:tr>
    </w:tbl>
    <w:p w:rsidR="00732C10" w:rsidRDefault="00732C10" w:rsidP="00732C10">
      <w:pPr>
        <w:pStyle w:val="Heading3"/>
      </w:pPr>
      <w:bookmarkStart w:id="60" w:name="_Toc495678477"/>
      <w:r>
        <w:t>Revenue</w:t>
      </w:r>
      <w:bookmarkEnd w:id="60"/>
    </w:p>
    <w:p w:rsidR="001A7EFF" w:rsidRDefault="001A7EFF" w:rsidP="001A7EFF">
      <w:pPr>
        <w:pStyle w:val="ListBullet"/>
        <w:numPr>
          <w:ilvl w:val="0"/>
          <w:numId w:val="0"/>
        </w:numPr>
      </w:pPr>
      <w:r>
        <w:t>According to state budgets, revenue is projected to decline from 14.</w:t>
      </w:r>
      <w:r w:rsidR="00611188">
        <w:t>8</w:t>
      </w:r>
      <w:r>
        <w:t xml:space="preserve"> per cent of GDP in 2016</w:t>
      </w:r>
      <w:r w:rsidR="0065563F">
        <w:t>–</w:t>
      </w:r>
      <w:r w:rsidR="00D06842">
        <w:t>17 to 13.8</w:t>
      </w:r>
      <w:r>
        <w:t xml:space="preserve"> per cent of GDP in 2020</w:t>
      </w:r>
      <w:r w:rsidR="0065563F">
        <w:t>–</w:t>
      </w:r>
      <w:r>
        <w:t>21</w:t>
      </w:r>
      <w:r w:rsidR="00F74F8E">
        <w:t>,</w:t>
      </w:r>
      <w:r>
        <w:t xml:space="preserve"> </w:t>
      </w:r>
      <w:r w:rsidR="00F74F8E">
        <w:t xml:space="preserve">with </w:t>
      </w:r>
      <w:r w:rsidR="00D64EB9">
        <w:t xml:space="preserve">zero or </w:t>
      </w:r>
      <w:r w:rsidR="00F74F8E">
        <w:t xml:space="preserve">negative real growth from </w:t>
      </w:r>
      <w:r w:rsidR="00530B39">
        <w:br/>
      </w:r>
      <w:r w:rsidR="00F74F8E">
        <w:t>2017</w:t>
      </w:r>
      <w:r w:rsidR="0065563F">
        <w:t>–</w:t>
      </w:r>
      <w:r w:rsidR="00F74F8E">
        <w:t>18 onwards</w:t>
      </w:r>
      <w:r>
        <w:t xml:space="preserve">.  </w:t>
      </w:r>
    </w:p>
    <w:p w:rsidR="00187CDE" w:rsidRDefault="00187CDE" w:rsidP="00187CDE">
      <w:pPr>
        <w:pStyle w:val="BodyText"/>
      </w:pPr>
      <w:r w:rsidRPr="00275D1A">
        <w:t xml:space="preserve">State government revenue is made up of </w:t>
      </w:r>
      <w:r w:rsidR="00A17AA0" w:rsidRPr="00275D1A">
        <w:t>transfers from the Commonwealth government</w:t>
      </w:r>
      <w:r w:rsidR="00A17AA0">
        <w:t xml:space="preserve"> and </w:t>
      </w:r>
      <w:r w:rsidRPr="00275D1A">
        <w:t>own</w:t>
      </w:r>
      <w:r>
        <w:noBreakHyphen/>
      </w:r>
      <w:r w:rsidRPr="00275D1A">
        <w:t>source reven</w:t>
      </w:r>
      <w:r w:rsidR="00C96C35">
        <w:t xml:space="preserve">ue </w:t>
      </w:r>
      <w:r w:rsidR="001A7EFF">
        <w:t>(</w:t>
      </w:r>
      <w:r w:rsidR="001A7EFF">
        <w:fldChar w:fldCharType="begin"/>
      </w:r>
      <w:r w:rsidR="001A7EFF">
        <w:instrText xml:space="preserve"> REF _Ref492907338 \h </w:instrText>
      </w:r>
      <w:r w:rsidR="001A7EFF">
        <w:fldChar w:fldCharType="separate"/>
      </w:r>
      <w:r w:rsidR="00BF7361" w:rsidRPr="00945748">
        <w:t xml:space="preserve">Figure </w:t>
      </w:r>
      <w:r w:rsidR="00BF7361">
        <w:rPr>
          <w:noProof/>
        </w:rPr>
        <w:t>2</w:t>
      </w:r>
      <w:r w:rsidR="00BF7361" w:rsidRPr="00945748">
        <w:t>–</w:t>
      </w:r>
      <w:r w:rsidR="00BF7361">
        <w:rPr>
          <w:noProof/>
        </w:rPr>
        <w:t>8</w:t>
      </w:r>
      <w:r w:rsidR="001A7EFF">
        <w:fldChar w:fldCharType="end"/>
      </w:r>
      <w:r>
        <w:t>)</w:t>
      </w:r>
      <w:r w:rsidRPr="00275D1A">
        <w:t xml:space="preserve">. </w:t>
      </w:r>
      <w:r>
        <w:t xml:space="preserve"> </w:t>
      </w:r>
    </w:p>
    <w:p w:rsidR="00841D1E" w:rsidRDefault="005A7F5E" w:rsidP="00D25CE5">
      <w:pPr>
        <w:pStyle w:val="Caption1"/>
        <w:spacing w:after="0" w:line="240" w:lineRule="auto"/>
      </w:pPr>
      <w:bookmarkStart w:id="61" w:name="_Ref492907338"/>
      <w:bookmarkStart w:id="62" w:name="_Toc495929699"/>
      <w:r w:rsidRPr="00945748">
        <w:lastRenderedPageBreak/>
        <w:t xml:space="preserve">Figure </w:t>
      </w:r>
      <w:fldSimple w:instr=" STYLEREF 1 \s ">
        <w:r w:rsidR="00BF7361">
          <w:rPr>
            <w:noProof/>
          </w:rPr>
          <w:t>2</w:t>
        </w:r>
      </w:fldSimple>
      <w:r w:rsidRPr="00945748">
        <w:t>–</w:t>
      </w:r>
      <w:fldSimple w:instr=" SEQ Figure \* ARABIC \s 1 ">
        <w:r w:rsidR="00BF7361">
          <w:rPr>
            <w:noProof/>
          </w:rPr>
          <w:t>8</w:t>
        </w:r>
      </w:fldSimple>
      <w:bookmarkEnd w:id="61"/>
      <w:r w:rsidRPr="00945748">
        <w:t xml:space="preserve">: </w:t>
      </w:r>
      <w:r>
        <w:t>State revenue</w:t>
      </w:r>
      <w:bookmarkEnd w:id="62"/>
      <w:r w:rsidR="00291C6F">
        <w:t xml:space="preserve"> </w:t>
      </w:r>
    </w:p>
    <w:p w:rsidR="005A7F5E" w:rsidRPr="00841D1E" w:rsidRDefault="00841D1E" w:rsidP="00D25CE5">
      <w:pPr>
        <w:pStyle w:val="Caption1"/>
        <w:spacing w:before="0" w:line="240" w:lineRule="auto"/>
        <w:ind w:left="993"/>
        <w:rPr>
          <w:sz w:val="18"/>
        </w:rPr>
      </w:pPr>
      <w:r>
        <w:rPr>
          <w:b w:val="0"/>
          <w:sz w:val="18"/>
        </w:rPr>
        <w:t xml:space="preserve"> </w:t>
      </w:r>
      <w:r w:rsidR="00A069B1">
        <w:rPr>
          <w:b w:val="0"/>
          <w:sz w:val="18"/>
        </w:rPr>
        <w:t>(S</w:t>
      </w:r>
      <w:r w:rsidR="00291C6F" w:rsidRPr="00841D1E">
        <w:rPr>
          <w:b w:val="0"/>
          <w:sz w:val="18"/>
        </w:rPr>
        <w:t>hare of GDP)</w:t>
      </w:r>
    </w:p>
    <w:p w:rsidR="005A7F5E" w:rsidRPr="00187CDE" w:rsidRDefault="00113800" w:rsidP="00FB633C">
      <w:pPr>
        <w:pStyle w:val="BodyText"/>
        <w:jc w:val="center"/>
      </w:pPr>
      <w:r>
        <w:rPr>
          <w:noProof/>
          <w:lang w:eastAsia="en-AU"/>
        </w:rPr>
        <w:drawing>
          <wp:inline distT="0" distB="0" distL="0" distR="0" wp14:anchorId="1069CA46">
            <wp:extent cx="5382717" cy="2743200"/>
            <wp:effectExtent l="0" t="0" r="889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91738" cy="2747798"/>
                    </a:xfrm>
                    <a:prstGeom prst="rect">
                      <a:avLst/>
                    </a:prstGeom>
                    <a:noFill/>
                  </pic:spPr>
                </pic:pic>
              </a:graphicData>
            </a:graphic>
          </wp:inline>
        </w:drawing>
      </w:r>
    </w:p>
    <w:p w:rsidR="005A7F5E" w:rsidRPr="00550B44" w:rsidRDefault="005A7F5E" w:rsidP="005A7F5E">
      <w:pPr>
        <w:pStyle w:val="Source"/>
        <w:rPr>
          <w:sz w:val="18"/>
          <w:szCs w:val="18"/>
        </w:rPr>
      </w:pPr>
      <w:r w:rsidRPr="00550B44">
        <w:rPr>
          <w:sz w:val="18"/>
          <w:szCs w:val="18"/>
        </w:rPr>
        <w:t>Source: ABS, Commonwealth and state budget papers, PBO analysis.</w:t>
      </w:r>
    </w:p>
    <w:p w:rsidR="00A17AA0" w:rsidRDefault="00A17AA0" w:rsidP="00550B44">
      <w:pPr>
        <w:pStyle w:val="Heading4"/>
        <w:spacing w:before="340"/>
      </w:pPr>
      <w:r>
        <w:t xml:space="preserve">Transfers </w:t>
      </w:r>
      <w:r w:rsidR="00784E90">
        <w:t xml:space="preserve">from the Commonwealth </w:t>
      </w:r>
      <w:r>
        <w:t>to the states</w:t>
      </w:r>
    </w:p>
    <w:p w:rsidR="00FA22FC" w:rsidRDefault="009A21A3" w:rsidP="00FA22FC">
      <w:pPr>
        <w:pStyle w:val="BodyText"/>
      </w:pPr>
      <w:r>
        <w:t>Around 45</w:t>
      </w:r>
      <w:r w:rsidR="00FA22FC">
        <w:t xml:space="preserve"> per cent of total state revenue </w:t>
      </w:r>
      <w:r>
        <w:t>in 2016</w:t>
      </w:r>
      <w:r w:rsidR="0065563F">
        <w:t>–</w:t>
      </w:r>
      <w:r>
        <w:t xml:space="preserve">17 </w:t>
      </w:r>
      <w:r w:rsidR="00FA22FC">
        <w:t xml:space="preserve">is from Commonwealth transfers. </w:t>
      </w:r>
      <w:r w:rsidR="00C96C35">
        <w:t xml:space="preserve"> </w:t>
      </w:r>
      <w:r w:rsidR="00292D7E">
        <w:t>Transfers</w:t>
      </w:r>
      <w:r w:rsidR="00FA22FC">
        <w:t xml:space="preserve"> received by state governments </w:t>
      </w:r>
      <w:r w:rsidR="00062487">
        <w:t xml:space="preserve">are </w:t>
      </w:r>
      <w:r w:rsidR="00FA22FC">
        <w:t xml:space="preserve">made up of </w:t>
      </w:r>
      <w:r w:rsidR="00FA22FC" w:rsidRPr="009A2E08">
        <w:t xml:space="preserve">general revenue assistance for use at the discretion of </w:t>
      </w:r>
      <w:r w:rsidR="00FA22FC">
        <w:t xml:space="preserve">the </w:t>
      </w:r>
      <w:r w:rsidR="00FA22FC" w:rsidRPr="009A2E08">
        <w:t xml:space="preserve">recipient </w:t>
      </w:r>
      <w:r w:rsidR="00FA22FC">
        <w:t>government</w:t>
      </w:r>
      <w:r w:rsidR="00FA22FC" w:rsidRPr="009A2E08">
        <w:t xml:space="preserve"> and</w:t>
      </w:r>
      <w:r w:rsidR="00FA22FC">
        <w:t xml:space="preserve"> specific purpose payments which are</w:t>
      </w:r>
      <w:r w:rsidR="00FA22FC" w:rsidRPr="009A2E08">
        <w:t xml:space="preserve"> to be used in specific sectors or to deliver programs agreed in partnership </w:t>
      </w:r>
      <w:r w:rsidR="00FA22FC">
        <w:t>with</w:t>
      </w:r>
      <w:r w:rsidR="00FA22FC" w:rsidRPr="009A2E08">
        <w:t xml:space="preserve"> the </w:t>
      </w:r>
      <w:r w:rsidR="00FA22FC">
        <w:t>Commonwealth government.  General revenue assistance mainly comprises the transfer of GST revenue to the states.</w:t>
      </w:r>
      <w:r w:rsidR="00FA22FC" w:rsidRPr="00FA22FC">
        <w:t xml:space="preserve"> </w:t>
      </w:r>
    </w:p>
    <w:p w:rsidR="00FA22FC" w:rsidRDefault="00C96C35" w:rsidP="00FA22FC">
      <w:pPr>
        <w:pStyle w:val="BodyText"/>
      </w:pPr>
      <w:r>
        <w:t>As a per</w:t>
      </w:r>
      <w:r w:rsidR="00784E90">
        <w:t xml:space="preserve"> </w:t>
      </w:r>
      <w:r>
        <w:t>cen</w:t>
      </w:r>
      <w:r w:rsidR="00784E90">
        <w:t>t</w:t>
      </w:r>
      <w:r w:rsidR="00FA22FC">
        <w:t xml:space="preserve"> of GDP, Commonwealth transfers to the sta</w:t>
      </w:r>
      <w:r w:rsidR="009A21A3">
        <w:t>tes are projected to fall from 6.6</w:t>
      </w:r>
      <w:r w:rsidR="0023753E">
        <w:t> </w:t>
      </w:r>
      <w:r w:rsidR="009A21A3">
        <w:t>per</w:t>
      </w:r>
      <w:r w:rsidR="0023753E">
        <w:t> </w:t>
      </w:r>
      <w:r w:rsidR="009A21A3">
        <w:t xml:space="preserve">cent of GDP </w:t>
      </w:r>
      <w:r w:rsidR="00701FA5">
        <w:t xml:space="preserve">in 2016-17 </w:t>
      </w:r>
      <w:r w:rsidR="009A21A3">
        <w:t>to 6.2</w:t>
      </w:r>
      <w:r w:rsidR="00FA22FC">
        <w:t xml:space="preserve"> per cent of GDP </w:t>
      </w:r>
      <w:r w:rsidR="00701FA5">
        <w:t xml:space="preserve">in 2020-21 </w:t>
      </w:r>
      <w:r w:rsidR="00FA22FC">
        <w:t xml:space="preserve">according to Commonwealth budget papers. </w:t>
      </w:r>
      <w:r w:rsidR="00813934">
        <w:t xml:space="preserve"> </w:t>
      </w:r>
      <w:r w:rsidR="00FA22FC">
        <w:t xml:space="preserve">This is largely driven by a fall in specific </w:t>
      </w:r>
      <w:r w:rsidR="003425A0">
        <w:t xml:space="preserve">purpose </w:t>
      </w:r>
      <w:r w:rsidR="00FA22FC">
        <w:t xml:space="preserve">payments to the states, </w:t>
      </w:r>
      <w:r w:rsidR="00292D7E">
        <w:t xml:space="preserve">partly </w:t>
      </w:r>
      <w:r w:rsidR="001573CD">
        <w:t xml:space="preserve">reflecting the </w:t>
      </w:r>
      <w:r w:rsidR="00784E90">
        <w:t xml:space="preserve">new </w:t>
      </w:r>
      <w:r w:rsidR="001573CD">
        <w:t>funding arrangements as jurisdictions transition to the</w:t>
      </w:r>
      <w:r w:rsidR="00FA22FC">
        <w:t xml:space="preserve"> N</w:t>
      </w:r>
      <w:r w:rsidR="009A21A3">
        <w:t>DIS</w:t>
      </w:r>
      <w:r w:rsidR="00784E90">
        <w:t>.  Rather than providing funding to the states for disability services, the Commonwealth</w:t>
      </w:r>
      <w:r w:rsidR="003318C4">
        <w:t>,</w:t>
      </w:r>
      <w:r w:rsidR="00784E90">
        <w:t xml:space="preserve"> </w:t>
      </w:r>
      <w:r w:rsidR="00205D9F">
        <w:t>through the National Disability Insurance Agency</w:t>
      </w:r>
      <w:r w:rsidR="003318C4">
        <w:t>,</w:t>
      </w:r>
      <w:r w:rsidR="00205D9F">
        <w:t xml:space="preserve"> </w:t>
      </w:r>
      <w:r w:rsidR="00784E90">
        <w:t xml:space="preserve">will provide </w:t>
      </w:r>
      <w:r w:rsidR="00205D9F">
        <w:t>funding</w:t>
      </w:r>
      <w:r w:rsidR="00784E90">
        <w:t xml:space="preserve"> to indi</w:t>
      </w:r>
      <w:r w:rsidR="00066CD6">
        <w:t>viduals</w:t>
      </w:r>
      <w:r w:rsidR="00205D9F">
        <w:t xml:space="preserve"> directly for </w:t>
      </w:r>
      <w:r w:rsidR="00784E90">
        <w:t xml:space="preserve">disability </w:t>
      </w:r>
      <w:r w:rsidR="00205D9F">
        <w:t xml:space="preserve">support </w:t>
      </w:r>
      <w:r w:rsidR="00066CD6">
        <w:t>service</w:t>
      </w:r>
      <w:r w:rsidR="00205D9F">
        <w:t>s</w:t>
      </w:r>
      <w:r w:rsidR="003318C4">
        <w:t>.</w:t>
      </w:r>
      <w:r w:rsidR="00205D9F">
        <w:t xml:space="preserve"> </w:t>
      </w:r>
      <w:r w:rsidR="003318C4">
        <w:t>S</w:t>
      </w:r>
      <w:r w:rsidR="00205D9F">
        <w:t>tates will also contribute to the cost of the scheme</w:t>
      </w:r>
      <w:r w:rsidR="00066CD6">
        <w:t xml:space="preserve">. </w:t>
      </w:r>
      <w:r w:rsidR="00205D9F">
        <w:t xml:space="preserve"> </w:t>
      </w:r>
      <w:r w:rsidR="00784E90">
        <w:t>Further</w:t>
      </w:r>
      <w:r w:rsidR="00066CD6">
        <w:t xml:space="preserve"> </w:t>
      </w:r>
      <w:r w:rsidR="00F80483">
        <w:t>contributing</w:t>
      </w:r>
      <w:r w:rsidR="00066CD6">
        <w:t xml:space="preserve"> to the decline in specific purpose payments are </w:t>
      </w:r>
      <w:r w:rsidR="00784E90">
        <w:t>i</w:t>
      </w:r>
      <w:r w:rsidR="00FA22FC">
        <w:t>nfrastructure</w:t>
      </w:r>
      <w:r w:rsidR="001573CD">
        <w:t xml:space="preserve"> payments to the states</w:t>
      </w:r>
      <w:r w:rsidR="00066CD6">
        <w:t xml:space="preserve">, which </w:t>
      </w:r>
      <w:r w:rsidR="00784E90">
        <w:t xml:space="preserve">decline </w:t>
      </w:r>
      <w:r w:rsidR="001573CD">
        <w:t>as projects are completed</w:t>
      </w:r>
      <w:r w:rsidR="00FA22FC">
        <w:t xml:space="preserve">. </w:t>
      </w:r>
    </w:p>
    <w:p w:rsidR="00291C6F" w:rsidRDefault="00F40BAA" w:rsidP="00291C6F">
      <w:pPr>
        <w:pStyle w:val="BodyText"/>
      </w:pPr>
      <w:r w:rsidRPr="00227E3D">
        <w:t>S</w:t>
      </w:r>
      <w:r w:rsidR="004A631C" w:rsidRPr="00227E3D">
        <w:t>tate</w:t>
      </w:r>
      <w:r w:rsidR="0059559D" w:rsidRPr="00227E3D">
        <w:t>s</w:t>
      </w:r>
      <w:r w:rsidR="004A631C" w:rsidRPr="00227E3D">
        <w:t xml:space="preserve"> depend on </w:t>
      </w:r>
      <w:r w:rsidR="0059559D" w:rsidRPr="00227E3D">
        <w:t xml:space="preserve">transfers </w:t>
      </w:r>
      <w:r w:rsidR="00DF791D" w:rsidRPr="00227E3D">
        <w:t>to</w:t>
      </w:r>
      <w:r w:rsidRPr="00227E3D">
        <w:t xml:space="preserve"> differing</w:t>
      </w:r>
      <w:r w:rsidR="00DF791D" w:rsidRPr="00227E3D">
        <w:t xml:space="preserve"> extents</w:t>
      </w:r>
      <w:r w:rsidR="0059559D" w:rsidRPr="00227E3D">
        <w:t xml:space="preserve">. For example, </w:t>
      </w:r>
      <w:r w:rsidR="003318C4" w:rsidRPr="00227E3D">
        <w:t>on average over the five years</w:t>
      </w:r>
      <w:r w:rsidR="006841EC">
        <w:t xml:space="preserve"> to 2015</w:t>
      </w:r>
      <w:r w:rsidR="001503C5">
        <w:t>–</w:t>
      </w:r>
      <w:r w:rsidR="006841EC">
        <w:t>16</w:t>
      </w:r>
      <w:r w:rsidR="003318C4" w:rsidRPr="00227E3D">
        <w:t xml:space="preserve"> </w:t>
      </w:r>
      <w:r w:rsidR="0059559D" w:rsidRPr="00227E3D">
        <w:t xml:space="preserve">transfers from the Commonwealth made up </w:t>
      </w:r>
      <w:r w:rsidR="00117524" w:rsidRPr="00227E3D">
        <w:t>around 70</w:t>
      </w:r>
      <w:r w:rsidR="0059559D" w:rsidRPr="00227E3D">
        <w:t xml:space="preserve"> per cent of the Northern Territory’s </w:t>
      </w:r>
      <w:r w:rsidRPr="00227E3D">
        <w:t>total</w:t>
      </w:r>
      <w:r w:rsidR="00115931" w:rsidRPr="00227E3D">
        <w:t xml:space="preserve"> revenue</w:t>
      </w:r>
      <w:r w:rsidR="0059559D" w:rsidRPr="00227E3D">
        <w:t xml:space="preserve"> compared with </w:t>
      </w:r>
      <w:r w:rsidR="00117524" w:rsidRPr="00227E3D">
        <w:t xml:space="preserve">around 30 </w:t>
      </w:r>
      <w:r w:rsidR="0059559D" w:rsidRPr="00227E3D">
        <w:t xml:space="preserve">per cent for </w:t>
      </w:r>
      <w:r w:rsidR="00117524" w:rsidRPr="00227E3D">
        <w:t>Western Australia</w:t>
      </w:r>
      <w:r w:rsidR="001A7EFF" w:rsidRPr="00227E3D">
        <w:t xml:space="preserve"> </w:t>
      </w:r>
      <w:r w:rsidR="0013187C">
        <w:br/>
      </w:r>
      <w:r w:rsidR="001A7EFF" w:rsidRPr="00227E3D">
        <w:t>(</w:t>
      </w:r>
      <w:r w:rsidR="001A7EFF" w:rsidRPr="00227E3D">
        <w:fldChar w:fldCharType="begin"/>
      </w:r>
      <w:r w:rsidR="001A7EFF" w:rsidRPr="00227E3D">
        <w:instrText xml:space="preserve"> REF _Ref492907401 \h </w:instrText>
      </w:r>
      <w:r w:rsidR="0023753E" w:rsidRPr="00227E3D">
        <w:instrText xml:space="preserve"> \* MERGEFORMAT </w:instrText>
      </w:r>
      <w:r w:rsidR="001A7EFF" w:rsidRPr="00227E3D">
        <w:fldChar w:fldCharType="separate"/>
      </w:r>
      <w:r w:rsidR="00BF7361" w:rsidRPr="00E94415">
        <w:t xml:space="preserve">Figure </w:t>
      </w:r>
      <w:r w:rsidR="00BF7361">
        <w:t>2</w:t>
      </w:r>
      <w:r w:rsidR="00BF7361" w:rsidRPr="00550B44">
        <w:t>–</w:t>
      </w:r>
      <w:r w:rsidR="00BF7361">
        <w:t>9</w:t>
      </w:r>
      <w:r w:rsidR="001A7EFF" w:rsidRPr="00227E3D">
        <w:fldChar w:fldCharType="end"/>
      </w:r>
      <w:r w:rsidRPr="00227E3D">
        <w:t>)</w:t>
      </w:r>
      <w:r w:rsidR="0059559D" w:rsidRPr="00227E3D">
        <w:t xml:space="preserve">. </w:t>
      </w:r>
      <w:r w:rsidR="00714317" w:rsidRPr="00227E3D">
        <w:t xml:space="preserve"> These shares are largely a function of the GST relativities that apply across </w:t>
      </w:r>
      <w:r w:rsidR="00257977" w:rsidRPr="00227E3D">
        <w:t xml:space="preserve">different </w:t>
      </w:r>
      <w:r w:rsidR="00FC73C8" w:rsidRPr="00227E3D">
        <w:t>states which are determined by the Commonwealth Grants Commission on a</w:t>
      </w:r>
      <w:r w:rsidR="00075528" w:rsidRPr="00227E3D">
        <w:t xml:space="preserve">n annual </w:t>
      </w:r>
      <w:r w:rsidR="00FC73C8" w:rsidRPr="00227E3D">
        <w:t>basis</w:t>
      </w:r>
      <w:r w:rsidR="00714317" w:rsidRPr="00227E3D">
        <w:t xml:space="preserve">. </w:t>
      </w:r>
    </w:p>
    <w:p w:rsidR="00FA22FC" w:rsidRPr="00227E3D" w:rsidRDefault="00291C6F" w:rsidP="00187CDE">
      <w:pPr>
        <w:pStyle w:val="BodyText"/>
      </w:pPr>
      <w:r>
        <w:fldChar w:fldCharType="begin"/>
      </w:r>
      <w:r>
        <w:instrText xml:space="preserve"> REF _Ref496098931 \h </w:instrText>
      </w:r>
      <w:r>
        <w:fldChar w:fldCharType="separate"/>
      </w:r>
      <w:r w:rsidR="00BF7361" w:rsidRPr="00E94415">
        <w:t xml:space="preserve">Figure </w:t>
      </w:r>
      <w:r w:rsidR="00BF7361">
        <w:rPr>
          <w:noProof/>
        </w:rPr>
        <w:t>2</w:t>
      </w:r>
      <w:r w:rsidR="00BF7361" w:rsidRPr="00550B44">
        <w:t>–</w:t>
      </w:r>
      <w:r w:rsidR="00BF7361">
        <w:rPr>
          <w:noProof/>
        </w:rPr>
        <w:t>10</w:t>
      </w:r>
      <w:r>
        <w:fldChar w:fldCharType="end"/>
      </w:r>
      <w:r>
        <w:t xml:space="preserve"> </w:t>
      </w:r>
      <w:r w:rsidR="00AC4C4F">
        <w:t>illustrates the variations in state revenue per person across states over the five years to 2015</w:t>
      </w:r>
      <w:r w:rsidR="001503C5">
        <w:t>–</w:t>
      </w:r>
      <w:r w:rsidR="00AC4C4F">
        <w:t>16, taking into account both own-source revenue and transfers from the Commonwealth</w:t>
      </w:r>
      <w:r w:rsidR="00001E04">
        <w:t>.</w:t>
      </w:r>
    </w:p>
    <w:p w:rsidR="00841D1E" w:rsidRDefault="00760871" w:rsidP="00D25CE5">
      <w:pPr>
        <w:pStyle w:val="Caption1"/>
        <w:spacing w:after="0" w:line="240" w:lineRule="auto"/>
      </w:pPr>
      <w:bookmarkStart w:id="63" w:name="_Ref492907401"/>
      <w:bookmarkStart w:id="64" w:name="_Toc495929700"/>
      <w:r w:rsidRPr="00E94415">
        <w:lastRenderedPageBreak/>
        <w:t xml:space="preserve">Figure </w:t>
      </w:r>
      <w:fldSimple w:instr=" STYLEREF 1 \s ">
        <w:r w:rsidR="00BF7361">
          <w:rPr>
            <w:noProof/>
          </w:rPr>
          <w:t>2</w:t>
        </w:r>
      </w:fldSimple>
      <w:r w:rsidRPr="00550B44">
        <w:t>–</w:t>
      </w:r>
      <w:fldSimple w:instr=" SEQ Figure \* ARABIC \s 1 ">
        <w:r w:rsidR="00BF7361">
          <w:rPr>
            <w:noProof/>
          </w:rPr>
          <w:t>9</w:t>
        </w:r>
      </w:fldSimple>
      <w:bookmarkEnd w:id="63"/>
      <w:r w:rsidRPr="00550B44">
        <w:t>: State revenue</w:t>
      </w:r>
      <w:bookmarkEnd w:id="64"/>
      <w:r w:rsidR="00173B81">
        <w:t xml:space="preserve"> </w:t>
      </w:r>
    </w:p>
    <w:p w:rsidR="00760871" w:rsidRPr="00841D1E" w:rsidRDefault="00841D1E" w:rsidP="00D25CE5">
      <w:pPr>
        <w:pStyle w:val="Caption1"/>
        <w:spacing w:before="0" w:line="240" w:lineRule="auto"/>
        <w:ind w:left="993"/>
        <w:rPr>
          <w:sz w:val="18"/>
        </w:rPr>
      </w:pPr>
      <w:r>
        <w:rPr>
          <w:b w:val="0"/>
          <w:sz w:val="18"/>
        </w:rPr>
        <w:t xml:space="preserve"> </w:t>
      </w:r>
      <w:r w:rsidR="00A069B1">
        <w:rPr>
          <w:b w:val="0"/>
          <w:sz w:val="18"/>
        </w:rPr>
        <w:t>(S</w:t>
      </w:r>
      <w:r w:rsidR="00173B81" w:rsidRPr="00841D1E">
        <w:rPr>
          <w:b w:val="0"/>
          <w:sz w:val="18"/>
        </w:rPr>
        <w:t>hare of GDP</w:t>
      </w:r>
      <w:r w:rsidR="00A069B1">
        <w:rPr>
          <w:b w:val="0"/>
          <w:sz w:val="18"/>
        </w:rPr>
        <w:t>, average,</w:t>
      </w:r>
      <w:r w:rsidR="00A069B1" w:rsidRPr="00A069B1">
        <w:rPr>
          <w:b w:val="0"/>
          <w:sz w:val="18"/>
        </w:rPr>
        <w:t xml:space="preserve"> 2011–12 to 2015–16</w:t>
      </w:r>
      <w:r w:rsidR="00173B81" w:rsidRPr="00841D1E">
        <w:rPr>
          <w:b w:val="0"/>
          <w:sz w:val="18"/>
        </w:rPr>
        <w:t>)</w:t>
      </w:r>
    </w:p>
    <w:p w:rsidR="00760871" w:rsidRPr="00227E3D" w:rsidRDefault="007053B2" w:rsidP="00187CDE">
      <w:pPr>
        <w:pStyle w:val="BodyText"/>
      </w:pPr>
      <w:r>
        <w:rPr>
          <w:noProof/>
          <w:lang w:eastAsia="en-AU"/>
        </w:rPr>
        <w:drawing>
          <wp:inline distT="0" distB="0" distL="0" distR="0" wp14:anchorId="7A2A623C">
            <wp:extent cx="5566760" cy="3435179"/>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81480" cy="3444262"/>
                    </a:xfrm>
                    <a:prstGeom prst="rect">
                      <a:avLst/>
                    </a:prstGeom>
                    <a:noFill/>
                  </pic:spPr>
                </pic:pic>
              </a:graphicData>
            </a:graphic>
          </wp:inline>
        </w:drawing>
      </w:r>
    </w:p>
    <w:p w:rsidR="001503C5" w:rsidRPr="00550B44" w:rsidRDefault="001503C5" w:rsidP="001503C5">
      <w:pPr>
        <w:pStyle w:val="Source"/>
        <w:rPr>
          <w:sz w:val="18"/>
          <w:szCs w:val="18"/>
        </w:rPr>
      </w:pPr>
      <w:bookmarkStart w:id="65" w:name="_Ref495931042"/>
      <w:bookmarkStart w:id="66" w:name="_Toc495929701"/>
      <w:r w:rsidRPr="00550B44">
        <w:rPr>
          <w:sz w:val="18"/>
          <w:szCs w:val="18"/>
        </w:rPr>
        <w:t xml:space="preserve">Source: ABS, Commonwealth and state budget papers, PBO analysis. </w:t>
      </w:r>
    </w:p>
    <w:p w:rsidR="00A069B1" w:rsidRDefault="00E94415" w:rsidP="00A069B1">
      <w:pPr>
        <w:pStyle w:val="Caption1"/>
        <w:spacing w:after="0" w:line="240" w:lineRule="auto"/>
      </w:pPr>
      <w:bookmarkStart w:id="67" w:name="_Ref496098931"/>
      <w:r w:rsidRPr="00E94415">
        <w:t xml:space="preserve">Figure </w:t>
      </w:r>
      <w:fldSimple w:instr=" STYLEREF 1 \s ">
        <w:r w:rsidR="00BF7361">
          <w:rPr>
            <w:noProof/>
          </w:rPr>
          <w:t>2</w:t>
        </w:r>
      </w:fldSimple>
      <w:r w:rsidRPr="00550B44">
        <w:t>–</w:t>
      </w:r>
      <w:fldSimple w:instr=" SEQ Figure \* ARABIC \s 1 ">
        <w:r w:rsidR="00BF7361">
          <w:rPr>
            <w:noProof/>
          </w:rPr>
          <w:t>10</w:t>
        </w:r>
      </w:fldSimple>
      <w:bookmarkEnd w:id="65"/>
      <w:bookmarkEnd w:id="67"/>
      <w:r w:rsidRPr="00550B44">
        <w:t>: State</w:t>
      </w:r>
      <w:bookmarkStart w:id="68" w:name="Here"/>
      <w:bookmarkEnd w:id="68"/>
      <w:r>
        <w:t xml:space="preserve"> per-capita</w:t>
      </w:r>
      <w:r w:rsidR="00A069B1">
        <w:t xml:space="preserve"> revenue </w:t>
      </w:r>
    </w:p>
    <w:p w:rsidR="00E94415" w:rsidRPr="00A069B1" w:rsidRDefault="00A069B1" w:rsidP="00A069B1">
      <w:pPr>
        <w:pStyle w:val="Caption1"/>
        <w:spacing w:before="0" w:after="120" w:line="240" w:lineRule="auto"/>
        <w:ind w:left="1134"/>
        <w:rPr>
          <w:b w:val="0"/>
          <w:sz w:val="18"/>
        </w:rPr>
      </w:pPr>
      <w:r>
        <w:rPr>
          <w:b w:val="0"/>
          <w:sz w:val="18"/>
        </w:rPr>
        <w:t>(A</w:t>
      </w:r>
      <w:r w:rsidR="00E94415" w:rsidRPr="00A069B1">
        <w:rPr>
          <w:b w:val="0"/>
          <w:sz w:val="18"/>
        </w:rPr>
        <w:t>verage</w:t>
      </w:r>
      <w:r w:rsidR="00AC4C4F" w:rsidRPr="00A069B1">
        <w:rPr>
          <w:b w:val="0"/>
          <w:sz w:val="18"/>
        </w:rPr>
        <w:t>,</w:t>
      </w:r>
      <w:r w:rsidR="00E94415" w:rsidRPr="00A069B1">
        <w:rPr>
          <w:b w:val="0"/>
          <w:sz w:val="18"/>
        </w:rPr>
        <w:t xml:space="preserve"> 2011–12 to 2015–16</w:t>
      </w:r>
      <w:bookmarkEnd w:id="66"/>
      <w:r>
        <w:rPr>
          <w:b w:val="0"/>
          <w:sz w:val="18"/>
        </w:rPr>
        <w:t>)</w:t>
      </w:r>
    </w:p>
    <w:p w:rsidR="001B5F37" w:rsidRDefault="00126549" w:rsidP="00FF0CEB">
      <w:pPr>
        <w:pStyle w:val="Heading4"/>
        <w:jc w:val="center"/>
        <w:rPr>
          <w:i w:val="0"/>
        </w:rPr>
      </w:pPr>
      <w:r>
        <w:rPr>
          <w:i w:val="0"/>
          <w:noProof/>
          <w:lang w:eastAsia="en-AU"/>
        </w:rPr>
        <w:drawing>
          <wp:inline distT="0" distB="0" distL="0" distR="0" wp14:anchorId="2FC1B89F">
            <wp:extent cx="5435608" cy="32807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36471" cy="3281240"/>
                    </a:xfrm>
                    <a:prstGeom prst="rect">
                      <a:avLst/>
                    </a:prstGeom>
                    <a:noFill/>
                  </pic:spPr>
                </pic:pic>
              </a:graphicData>
            </a:graphic>
          </wp:inline>
        </w:drawing>
      </w:r>
    </w:p>
    <w:p w:rsidR="00E94415" w:rsidRPr="00550B44" w:rsidRDefault="00E94415" w:rsidP="00E94415">
      <w:pPr>
        <w:pStyle w:val="Source"/>
        <w:rPr>
          <w:sz w:val="18"/>
          <w:szCs w:val="18"/>
        </w:rPr>
      </w:pPr>
      <w:r w:rsidRPr="00550B44">
        <w:rPr>
          <w:sz w:val="18"/>
          <w:szCs w:val="18"/>
        </w:rPr>
        <w:t xml:space="preserve">Source: ABS, Commonwealth and state budget papers, PBO analysis. </w:t>
      </w:r>
    </w:p>
    <w:p w:rsidR="00187CDE" w:rsidRPr="00187CDE" w:rsidRDefault="00F40BAA" w:rsidP="00F40BAA">
      <w:pPr>
        <w:pStyle w:val="Heading4"/>
      </w:pPr>
      <w:r>
        <w:lastRenderedPageBreak/>
        <w:t>Own-source revenue</w:t>
      </w:r>
    </w:p>
    <w:p w:rsidR="00CB3217" w:rsidRDefault="00760871" w:rsidP="00FF48FB">
      <w:pPr>
        <w:pStyle w:val="BodyText"/>
      </w:pPr>
      <w:r>
        <w:t xml:space="preserve">The remainder </w:t>
      </w:r>
      <w:r w:rsidR="00FF48FB">
        <w:t xml:space="preserve">of state revenue is derived from their own sources. </w:t>
      </w:r>
      <w:r w:rsidR="008A089D">
        <w:t xml:space="preserve"> </w:t>
      </w:r>
      <w:r w:rsidR="001555BF">
        <w:t xml:space="preserve">Key revenue sources for the states are taxes on property (land tax and municipal rates), payroll tax, stamp duty, revenue from sales of goods and services, </w:t>
      </w:r>
      <w:r w:rsidR="00187CDE">
        <w:t>and for resource rich states</w:t>
      </w:r>
      <w:r w:rsidR="006C5FBD">
        <w:t>,</w:t>
      </w:r>
      <w:r w:rsidR="00187CDE">
        <w:t xml:space="preserve"> </w:t>
      </w:r>
      <w:r w:rsidR="001555BF">
        <w:t xml:space="preserve">royalty revenue. </w:t>
      </w:r>
      <w:r w:rsidR="00DF791D">
        <w:t>Payments</w:t>
      </w:r>
      <w:r w:rsidR="00CB3217">
        <w:t xml:space="preserve"> from government-owned corporations have </w:t>
      </w:r>
      <w:r w:rsidR="00DF791D">
        <w:t xml:space="preserve">also </w:t>
      </w:r>
      <w:r w:rsidR="00CB3217">
        <w:t>become an increasing source of revenue for state governments.</w:t>
      </w:r>
      <w:r w:rsidR="00CB3217" w:rsidRPr="00320C37">
        <w:rPr>
          <w:rStyle w:val="FootnoteReference"/>
        </w:rPr>
        <w:footnoteReference w:id="9"/>
      </w:r>
      <w:r w:rsidR="00CB3217">
        <w:t xml:space="preserve"> </w:t>
      </w:r>
    </w:p>
    <w:p w:rsidR="00FF48FB" w:rsidRDefault="00F40BAA" w:rsidP="00FF48FB">
      <w:pPr>
        <w:pStyle w:val="BodyText"/>
      </w:pPr>
      <w:r>
        <w:t xml:space="preserve">Own-source revenue for the states in aggregate has been </w:t>
      </w:r>
      <w:r w:rsidR="00FF48FB">
        <w:t xml:space="preserve">relatively </w:t>
      </w:r>
      <w:r>
        <w:t>stable.</w:t>
      </w:r>
      <w:r w:rsidR="00FF48FB">
        <w:t xml:space="preserve"> </w:t>
      </w:r>
      <w:r w:rsidR="008A089D">
        <w:t xml:space="preserve"> </w:t>
      </w:r>
      <w:r w:rsidR="00FF48FB">
        <w:t>It has average</w:t>
      </w:r>
      <w:r w:rsidR="00AF6A6C">
        <w:t>d</w:t>
      </w:r>
      <w:r w:rsidR="00C1544B">
        <w:t xml:space="preserve"> 7.4</w:t>
      </w:r>
      <w:r w:rsidR="00FF48FB">
        <w:t xml:space="preserve"> per cent of GDP over the past decade. </w:t>
      </w:r>
      <w:r w:rsidR="00A464CF">
        <w:t xml:space="preserve"> O</w:t>
      </w:r>
      <w:r w:rsidR="00FF48FB">
        <w:t>wn-source revenue is projected to fa</w:t>
      </w:r>
      <w:r w:rsidR="00760871">
        <w:t>ll as a proportion of GDP from 8.</w:t>
      </w:r>
      <w:r w:rsidR="00D06842">
        <w:t>2</w:t>
      </w:r>
      <w:r w:rsidR="00FF48FB">
        <w:t xml:space="preserve"> per cent o</w:t>
      </w:r>
      <w:r w:rsidR="00760871">
        <w:t>f GDP in 2016</w:t>
      </w:r>
      <w:r w:rsidR="0065563F">
        <w:t>–</w:t>
      </w:r>
      <w:r w:rsidR="00D06842">
        <w:t>17 to 7.6</w:t>
      </w:r>
      <w:r w:rsidR="00FF48FB">
        <w:t xml:space="preserve"> per cent of GDP in 2020</w:t>
      </w:r>
      <w:r w:rsidR="0065563F">
        <w:t>–</w:t>
      </w:r>
      <w:r w:rsidR="00FF48FB">
        <w:t xml:space="preserve">21.   </w:t>
      </w:r>
    </w:p>
    <w:p w:rsidR="00665958" w:rsidRDefault="00665958" w:rsidP="00C264D3">
      <w:pPr>
        <w:pStyle w:val="BodyText"/>
      </w:pPr>
      <w:r>
        <w:t xml:space="preserve">This </w:t>
      </w:r>
      <w:r w:rsidR="00BA177B">
        <w:t xml:space="preserve">decline reflects </w:t>
      </w:r>
      <w:r>
        <w:t xml:space="preserve">strong </w:t>
      </w:r>
      <w:r w:rsidR="005A7F5E">
        <w:t>growth</w:t>
      </w:r>
      <w:r>
        <w:t xml:space="preserve"> </w:t>
      </w:r>
      <w:r w:rsidR="00D41524">
        <w:t>in certain states’ r</w:t>
      </w:r>
      <w:r w:rsidR="00BA177B">
        <w:t>evenue in 2016</w:t>
      </w:r>
      <w:r w:rsidR="0065563F">
        <w:t>–</w:t>
      </w:r>
      <w:r w:rsidR="00BA177B">
        <w:t>17 and 2017</w:t>
      </w:r>
      <w:r w:rsidR="0065563F">
        <w:t>–</w:t>
      </w:r>
      <w:r w:rsidR="00BA177B">
        <w:t xml:space="preserve">18 which </w:t>
      </w:r>
      <w:r w:rsidR="00AC4C4F">
        <w:t xml:space="preserve">is </w:t>
      </w:r>
      <w:r w:rsidR="003318C4">
        <w:t xml:space="preserve">not projected to continue </w:t>
      </w:r>
      <w:r w:rsidR="00BA177B">
        <w:t>ov</w:t>
      </w:r>
      <w:r w:rsidR="00A464CF">
        <w:t>er the remainder</w:t>
      </w:r>
      <w:r w:rsidR="00BA177B">
        <w:t xml:space="preserve"> of the forward estimates. </w:t>
      </w:r>
      <w:r w:rsidR="00C264D3">
        <w:t xml:space="preserve"> </w:t>
      </w:r>
      <w:r w:rsidR="00313AD1">
        <w:t>This includes</w:t>
      </w:r>
      <w:r w:rsidR="00A464CF">
        <w:t xml:space="preserve"> </w:t>
      </w:r>
      <w:r w:rsidR="00792677">
        <w:t>a</w:t>
      </w:r>
      <w:r w:rsidR="00A464CF">
        <w:t xml:space="preserve"> spike </w:t>
      </w:r>
      <w:r w:rsidR="00C264D3">
        <w:t xml:space="preserve">in </w:t>
      </w:r>
      <w:r w:rsidR="00A464CF">
        <w:t xml:space="preserve">Queensland </w:t>
      </w:r>
      <w:r w:rsidR="00C264D3">
        <w:t xml:space="preserve">royalty revenue from high metallurgical coal prices, which are then </w:t>
      </w:r>
      <w:r w:rsidR="00813934">
        <w:t>assumed to decline ove</w:t>
      </w:r>
      <w:r w:rsidR="00C264D3">
        <w:t>r</w:t>
      </w:r>
      <w:r w:rsidR="002413F5">
        <w:t xml:space="preserve"> the</w:t>
      </w:r>
      <w:r w:rsidR="00C264D3">
        <w:t xml:space="preserve"> </w:t>
      </w:r>
      <w:r w:rsidR="006C5FBD">
        <w:t>forward estimates</w:t>
      </w:r>
      <w:r w:rsidR="00C264D3">
        <w:t xml:space="preserve">.   </w:t>
      </w:r>
    </w:p>
    <w:p w:rsidR="00C264D3" w:rsidRDefault="00C264D3" w:rsidP="00C264D3">
      <w:pPr>
        <w:pStyle w:val="BodyText"/>
      </w:pPr>
      <w:r>
        <w:t>Similarly</w:t>
      </w:r>
      <w:r w:rsidR="005255E5">
        <w:t>,</w:t>
      </w:r>
      <w:r>
        <w:t xml:space="preserve"> a strong property </w:t>
      </w:r>
      <w:r w:rsidR="002413F5">
        <w:t xml:space="preserve">market </w:t>
      </w:r>
      <w:r w:rsidR="005255E5">
        <w:t xml:space="preserve">is fuelling </w:t>
      </w:r>
      <w:r>
        <w:t>strong growth in New South Wales transfer duty in 2016</w:t>
      </w:r>
      <w:r w:rsidR="0065563F">
        <w:t>–</w:t>
      </w:r>
      <w:r>
        <w:t xml:space="preserve">17, with growth projected to moderate over the forward estimates.  </w:t>
      </w:r>
      <w:r w:rsidR="00665958">
        <w:t>Further</w:t>
      </w:r>
      <w:r w:rsidR="00B904B6">
        <w:t>,</w:t>
      </w:r>
      <w:r w:rsidR="00665958">
        <w:t xml:space="preserve"> a </w:t>
      </w:r>
      <w:r w:rsidR="00C1544B">
        <w:br/>
      </w:r>
      <w:r w:rsidR="00665958">
        <w:t>one-off incre</w:t>
      </w:r>
      <w:r w:rsidR="00813934">
        <w:t xml:space="preserve">ase in stamp duty from the long-term lease </w:t>
      </w:r>
      <w:r w:rsidR="00665958">
        <w:t xml:space="preserve">of </w:t>
      </w:r>
      <w:proofErr w:type="spellStart"/>
      <w:r w:rsidR="00665958">
        <w:t>AusGrid</w:t>
      </w:r>
      <w:proofErr w:type="spellEnd"/>
      <w:r w:rsidR="00665958">
        <w:t xml:space="preserve"> and Endeavour Energy contribute</w:t>
      </w:r>
      <w:r w:rsidR="00AC4C4F">
        <w:t>s</w:t>
      </w:r>
      <w:r w:rsidR="00665958">
        <w:t xml:space="preserve"> to growth at the beginning of the forward estimates</w:t>
      </w:r>
      <w:r w:rsidR="003318C4">
        <w:t xml:space="preserve"> in New South Wales</w:t>
      </w:r>
      <w:r w:rsidR="00665958">
        <w:t xml:space="preserve">. </w:t>
      </w:r>
    </w:p>
    <w:p w:rsidR="00A72B8C" w:rsidRDefault="00A72B8C" w:rsidP="00C264D3">
      <w:pPr>
        <w:pStyle w:val="BodyText"/>
      </w:pPr>
      <w:r>
        <w:t xml:space="preserve">Western </w:t>
      </w:r>
      <w:r w:rsidR="007949B3">
        <w:t xml:space="preserve">Australia </w:t>
      </w:r>
      <w:r w:rsidR="00792677">
        <w:t xml:space="preserve">also </w:t>
      </w:r>
      <w:r>
        <w:t>has strong revenue growt</w:t>
      </w:r>
      <w:r w:rsidR="00760871">
        <w:t>h in 2017</w:t>
      </w:r>
      <w:r w:rsidR="0065563F">
        <w:t>–</w:t>
      </w:r>
      <w:r w:rsidR="00760871">
        <w:t xml:space="preserve">18 reflecting </w:t>
      </w:r>
      <w:r w:rsidR="004C4F0B">
        <w:t>a large increase in revenue from government-owned corporations, where the government has mandated increases in the dividend</w:t>
      </w:r>
      <w:r w:rsidR="002C61F9">
        <w:t xml:space="preserve">s paid by these corporations. </w:t>
      </w:r>
    </w:p>
    <w:p w:rsidR="007B673E" w:rsidRDefault="00BA0D6F" w:rsidP="00732C10">
      <w:pPr>
        <w:pStyle w:val="Heading3"/>
      </w:pPr>
      <w:bookmarkStart w:id="69" w:name="_Toc495678478"/>
      <w:r>
        <w:t>E</w:t>
      </w:r>
      <w:r w:rsidR="007B673E">
        <w:t>xpenses</w:t>
      </w:r>
      <w:bookmarkEnd w:id="69"/>
    </w:p>
    <w:p w:rsidR="00A72B8C" w:rsidRPr="008B213B" w:rsidRDefault="00774A0D" w:rsidP="008B213B">
      <w:pPr>
        <w:pStyle w:val="BodyText"/>
      </w:pPr>
      <w:r w:rsidRPr="008B213B">
        <w:t>State expenses</w:t>
      </w:r>
      <w:r w:rsidR="00760871">
        <w:t xml:space="preserve"> are projected to decline f</w:t>
      </w:r>
      <w:r w:rsidR="00D06842">
        <w:t>rom 14.5</w:t>
      </w:r>
      <w:r w:rsidR="00760871">
        <w:t xml:space="preserve"> per cent of GDP in 2016</w:t>
      </w:r>
      <w:r w:rsidR="0065563F">
        <w:t>–</w:t>
      </w:r>
      <w:r w:rsidR="00760871">
        <w:t xml:space="preserve">17 to </w:t>
      </w:r>
      <w:r w:rsidR="00530B39">
        <w:br/>
      </w:r>
      <w:r w:rsidR="00520FBE">
        <w:t>13.5</w:t>
      </w:r>
      <w:r w:rsidRPr="008B213B">
        <w:t xml:space="preserve"> per cent of GDP in 2020</w:t>
      </w:r>
      <w:r w:rsidR="0065563F">
        <w:t>–</w:t>
      </w:r>
      <w:r w:rsidRPr="008B213B">
        <w:t>21</w:t>
      </w:r>
      <w:r w:rsidR="005842FB">
        <w:t xml:space="preserve">, </w:t>
      </w:r>
      <w:r w:rsidR="00285399">
        <w:t xml:space="preserve">with negative and flat real growth </w:t>
      </w:r>
      <w:r w:rsidR="00285399" w:rsidRPr="0065563F">
        <w:t>from 2018</w:t>
      </w:r>
      <w:r w:rsidR="0065563F">
        <w:t>–</w:t>
      </w:r>
      <w:r w:rsidR="00285399" w:rsidRPr="0065563F">
        <w:t>19</w:t>
      </w:r>
      <w:r w:rsidR="00285399">
        <w:t xml:space="preserve"> onwards</w:t>
      </w:r>
      <w:r w:rsidRPr="008B213B">
        <w:t xml:space="preserve">.  This reflects </w:t>
      </w:r>
      <w:r w:rsidR="00A72B8C" w:rsidRPr="008B213B">
        <w:t>weak expenditure growth across jurisdictions</w:t>
      </w:r>
      <w:r w:rsidRPr="008B213B">
        <w:t xml:space="preserve"> over the forward estimates period</w:t>
      </w:r>
      <w:r w:rsidR="001B5972">
        <w:t xml:space="preserve">, with Queensland, Western Australian, South Australia, Tasmania and Northern Territory </w:t>
      </w:r>
      <w:r w:rsidR="00AC4C4F">
        <w:t xml:space="preserve">all </w:t>
      </w:r>
      <w:r w:rsidR="001B5972">
        <w:t xml:space="preserve">projecting zero or negative </w:t>
      </w:r>
      <w:r w:rsidR="00741A58">
        <w:t xml:space="preserve">real </w:t>
      </w:r>
      <w:r w:rsidR="001B5972">
        <w:t xml:space="preserve">growth </w:t>
      </w:r>
      <w:r w:rsidR="00002E1C">
        <w:t>from 2016</w:t>
      </w:r>
      <w:r w:rsidR="0065563F">
        <w:t>–</w:t>
      </w:r>
      <w:r w:rsidR="00002E1C">
        <w:t>17 to 2020</w:t>
      </w:r>
      <w:r w:rsidR="0065563F">
        <w:t>–</w:t>
      </w:r>
      <w:r w:rsidR="00002E1C">
        <w:t>21</w:t>
      </w:r>
      <w:r w:rsidR="00A72B8C" w:rsidRPr="008B213B">
        <w:t xml:space="preserve">. </w:t>
      </w:r>
    </w:p>
    <w:p w:rsidR="0071112E" w:rsidRDefault="0071112E" w:rsidP="008B213B">
      <w:pPr>
        <w:pStyle w:val="BodyText"/>
      </w:pPr>
      <w:r>
        <w:t>Many states are projecting strong growth over 2016</w:t>
      </w:r>
      <w:r w:rsidR="0065563F">
        <w:t>–</w:t>
      </w:r>
      <w:r>
        <w:t>17 and 2017</w:t>
      </w:r>
      <w:r w:rsidR="0065563F">
        <w:t>–</w:t>
      </w:r>
      <w:r>
        <w:t xml:space="preserve">18, before </w:t>
      </w:r>
      <w:r w:rsidR="00AC4C4F">
        <w:t xml:space="preserve">growth </w:t>
      </w:r>
      <w:r>
        <w:t>drop</w:t>
      </w:r>
      <w:r w:rsidR="00AC4C4F">
        <w:t>s</w:t>
      </w:r>
      <w:r>
        <w:t xml:space="preserve"> sharply over the latter half of the forward estimates periods.  This reflects a</w:t>
      </w:r>
      <w:r w:rsidR="00FB2B58">
        <w:t xml:space="preserve"> combination of ‘one-off’ increases</w:t>
      </w:r>
      <w:r>
        <w:t xml:space="preserve"> in expenses in </w:t>
      </w:r>
      <w:r w:rsidR="00C03FBD">
        <w:t>2016–17 and 2017–</w:t>
      </w:r>
      <w:r w:rsidR="00781F47">
        <w:t>18 combined</w:t>
      </w:r>
      <w:r>
        <w:t xml:space="preserve"> with savings initiatives</w:t>
      </w:r>
      <w:r w:rsidR="00C106CC">
        <w:t>, which are primarily aimed at public sector employee expenses</w:t>
      </w:r>
      <w:r w:rsidR="00760871">
        <w:t xml:space="preserve"> (the largest expenditure category for states)</w:t>
      </w:r>
      <w:r w:rsidR="00C106CC">
        <w:t xml:space="preserve">, </w:t>
      </w:r>
      <w:r>
        <w:t>tak</w:t>
      </w:r>
      <w:r w:rsidR="00C106CC">
        <w:t>ing</w:t>
      </w:r>
      <w:r>
        <w:t xml:space="preserve"> effect over the latter half of the forwards estimates.</w:t>
      </w:r>
      <w:r w:rsidR="009612C9">
        <w:t xml:space="preserve"> </w:t>
      </w:r>
      <w:r w:rsidR="001503C5">
        <w:t xml:space="preserve"> </w:t>
      </w:r>
      <w:r w:rsidR="008759F4">
        <w:t xml:space="preserve">This is a further decrease </w:t>
      </w:r>
      <w:r w:rsidR="00857551">
        <w:t>on</w:t>
      </w:r>
      <w:r w:rsidR="008759F4">
        <w:t xml:space="preserve"> the already low growth in spending over the previous five years (see </w:t>
      </w:r>
      <w:r w:rsidR="00E23469">
        <w:br/>
      </w:r>
      <w:r w:rsidR="008759F4">
        <w:t>Box 2).</w:t>
      </w:r>
    </w:p>
    <w:p w:rsidR="00986CD5" w:rsidRDefault="008B213B" w:rsidP="00C60908">
      <w:pPr>
        <w:pStyle w:val="BodyText"/>
      </w:pPr>
      <w:r>
        <w:t xml:space="preserve">In New South Wales, </w:t>
      </w:r>
      <w:r w:rsidR="00C020F3">
        <w:t xml:space="preserve">strong </w:t>
      </w:r>
      <w:r w:rsidR="00C60908">
        <w:t>growth</w:t>
      </w:r>
      <w:r w:rsidR="00C020F3">
        <w:t xml:space="preserve"> from 2016</w:t>
      </w:r>
      <w:r w:rsidR="0065563F">
        <w:t>–</w:t>
      </w:r>
      <w:r w:rsidR="00C020F3">
        <w:t>17 to 2017</w:t>
      </w:r>
      <w:r w:rsidR="0065563F">
        <w:t>–</w:t>
      </w:r>
      <w:r w:rsidR="00C020F3">
        <w:t>18 is largely driven by expen</w:t>
      </w:r>
      <w:r w:rsidR="00760871">
        <w:t xml:space="preserve">diture on education, health, </w:t>
      </w:r>
      <w:r w:rsidR="00C020F3">
        <w:t>major tr</w:t>
      </w:r>
      <w:r w:rsidR="00FB2B58">
        <w:t>ansport and grants and subsidy expenses</w:t>
      </w:r>
      <w:r w:rsidR="00C020F3">
        <w:t xml:space="preserve">.  This is dampened </w:t>
      </w:r>
      <w:r>
        <w:t xml:space="preserve">by </w:t>
      </w:r>
      <w:r>
        <w:lastRenderedPageBreak/>
        <w:t xml:space="preserve">the application of </w:t>
      </w:r>
      <w:r w:rsidR="00E23469">
        <w:t xml:space="preserve">an </w:t>
      </w:r>
      <w:r>
        <w:t>efficiency dividend and procurement savings which have the largest impact over the latter part of the forward estimates.</w:t>
      </w:r>
    </w:p>
    <w:p w:rsidR="008B213B" w:rsidRDefault="008B213B" w:rsidP="008B213B">
      <w:pPr>
        <w:pStyle w:val="BodyText"/>
      </w:pPr>
      <w:r>
        <w:t xml:space="preserve">In Queensland, </w:t>
      </w:r>
      <w:r w:rsidR="004A11CB">
        <w:t>expenditure in</w:t>
      </w:r>
      <w:r>
        <w:t xml:space="preserve"> 2016</w:t>
      </w:r>
      <w:r w:rsidR="0065563F">
        <w:t>–</w:t>
      </w:r>
      <w:r>
        <w:t>17 and 2017</w:t>
      </w:r>
      <w:r w:rsidR="0065563F">
        <w:t>–</w:t>
      </w:r>
      <w:r>
        <w:t>18 is inflated by spending on the Gold Coast Commonwealth games, recovery activities for Tropical Cyclone Debbie and continued</w:t>
      </w:r>
      <w:r w:rsidR="00574C15">
        <w:t xml:space="preserve"> </w:t>
      </w:r>
      <w:r w:rsidR="00B31280">
        <w:t>strong</w:t>
      </w:r>
      <w:r w:rsidR="00574C15">
        <w:t xml:space="preserve"> growth in the</w:t>
      </w:r>
      <w:r>
        <w:t xml:space="preserve"> demand for health and education </w:t>
      </w:r>
      <w:r w:rsidR="00B31280">
        <w:t>services</w:t>
      </w:r>
      <w:r>
        <w:t xml:space="preserve">. </w:t>
      </w:r>
    </w:p>
    <w:p w:rsidR="008B213B" w:rsidRDefault="006127CF" w:rsidP="008B213B">
      <w:pPr>
        <w:pStyle w:val="BodyText"/>
      </w:pPr>
      <w:r>
        <w:t xml:space="preserve">To address operating deficits, Western Australia has introduced a number </w:t>
      </w:r>
      <w:r w:rsidR="00F63784">
        <w:t>of</w:t>
      </w:r>
      <w:r>
        <w:t xml:space="preserve"> measures to reduce expenses growth</w:t>
      </w:r>
      <w:r w:rsidR="00F63784">
        <w:t xml:space="preserve"> including public service redundancies and capping public sector wage increases to $1,000</w:t>
      </w:r>
      <w:r w:rsidR="00972DB5">
        <w:t xml:space="preserve"> per annum</w:t>
      </w:r>
      <w:r w:rsidR="00F63784">
        <w:t>.</w:t>
      </w:r>
      <w:r w:rsidR="008F2053">
        <w:t xml:space="preserve">  These measures have the biggest impact from 2018</w:t>
      </w:r>
      <w:r w:rsidR="0065563F">
        <w:t>–</w:t>
      </w:r>
      <w:r w:rsidR="008F2053">
        <w:t xml:space="preserve">19 onwards. </w:t>
      </w:r>
    </w:p>
    <w:p w:rsidR="008B213B" w:rsidRDefault="00986CD5" w:rsidP="00FB2B58">
      <w:pPr>
        <w:pStyle w:val="BodyText"/>
      </w:pPr>
      <w:r>
        <w:t xml:space="preserve">In South </w:t>
      </w:r>
      <w:r w:rsidR="001B5972">
        <w:t>Australia, large one-off factors contribute to strong gr</w:t>
      </w:r>
      <w:r w:rsidR="00897501">
        <w:t>owth in 2016</w:t>
      </w:r>
      <w:r w:rsidR="0065563F">
        <w:t>–</w:t>
      </w:r>
      <w:r w:rsidR="00897501">
        <w:t>17 and 2017</w:t>
      </w:r>
      <w:r w:rsidR="0065563F">
        <w:t>–</w:t>
      </w:r>
      <w:r w:rsidR="00897501">
        <w:t xml:space="preserve">18. After that </w:t>
      </w:r>
      <w:r w:rsidR="001B5972">
        <w:t>employee expens</w:t>
      </w:r>
      <w:r w:rsidR="00897501">
        <w:t xml:space="preserve">es </w:t>
      </w:r>
      <w:r w:rsidR="00FB2B58">
        <w:t>decline</w:t>
      </w:r>
      <w:r w:rsidR="001B5972">
        <w:t xml:space="preserve"> in real terms across the forward estimates, primarily reflecting reductions in general government sector em</w:t>
      </w:r>
      <w:r w:rsidR="00897501">
        <w:t>ployment numbers, and measures to constrain</w:t>
      </w:r>
      <w:r w:rsidR="001B5972">
        <w:t xml:space="preserve"> public sector wages growth over the forward estimates.</w:t>
      </w:r>
      <w:r w:rsidR="0010774D">
        <w:t xml:space="preserve">  </w:t>
      </w:r>
    </w:p>
    <w:p w:rsidR="007B673E" w:rsidRDefault="00732C10" w:rsidP="00732C10">
      <w:pPr>
        <w:pStyle w:val="Heading3"/>
      </w:pPr>
      <w:bookmarkStart w:id="70" w:name="_Toc495678479"/>
      <w:r>
        <w:t>N</w:t>
      </w:r>
      <w:r w:rsidR="007B673E">
        <w:t>et capital investment</w:t>
      </w:r>
      <w:bookmarkEnd w:id="70"/>
    </w:p>
    <w:p w:rsidR="00BA0D6F" w:rsidRDefault="00BA0D6F" w:rsidP="00BA0D6F">
      <w:pPr>
        <w:pStyle w:val="BodyText"/>
      </w:pPr>
      <w:r>
        <w:t xml:space="preserve">States account for the large majority of </w:t>
      </w:r>
      <w:r w:rsidR="00A23633">
        <w:t xml:space="preserve">government </w:t>
      </w:r>
      <w:r>
        <w:t>net capital inve</w:t>
      </w:r>
      <w:r w:rsidR="00760871">
        <w:t xml:space="preserve">stment in Australia, making up </w:t>
      </w:r>
      <w:r w:rsidR="00C1544B">
        <w:t>around 80</w:t>
      </w:r>
      <w:r>
        <w:t xml:space="preserve"> per cent of total net capital investment</w:t>
      </w:r>
      <w:r w:rsidR="00EC7129">
        <w:t xml:space="preserve"> by </w:t>
      </w:r>
      <w:r w:rsidR="00857551">
        <w:t>g</w:t>
      </w:r>
      <w:r w:rsidR="00EC7129">
        <w:t>overnment</w:t>
      </w:r>
      <w:r w:rsidR="00857551">
        <w:t>s</w:t>
      </w:r>
      <w:r>
        <w:t xml:space="preserve"> in 2016</w:t>
      </w:r>
      <w:r w:rsidR="0065563F">
        <w:t>–</w:t>
      </w:r>
      <w:r>
        <w:t xml:space="preserve">17. </w:t>
      </w:r>
    </w:p>
    <w:p w:rsidR="00BA0D6F" w:rsidRDefault="00BA0D6F" w:rsidP="00BA0D6F">
      <w:pPr>
        <w:pStyle w:val="BodyText"/>
      </w:pPr>
      <w:r>
        <w:t>Over the first half of the forward estimates, aggregate state net capital investment is projected to rise sharply, peak</w:t>
      </w:r>
      <w:r w:rsidR="007620B1">
        <w:t xml:space="preserve">ing at </w:t>
      </w:r>
      <w:r w:rsidR="00760871">
        <w:t>0.9</w:t>
      </w:r>
      <w:r w:rsidR="007620B1">
        <w:t xml:space="preserve"> per cent of GDP in 2018</w:t>
      </w:r>
      <w:r w:rsidR="0065563F">
        <w:t>–</w:t>
      </w:r>
      <w:r w:rsidR="007620B1">
        <w:t>19</w:t>
      </w:r>
      <w:r>
        <w:t xml:space="preserve">, before declining to </w:t>
      </w:r>
      <w:r w:rsidR="00530B39">
        <w:br/>
      </w:r>
      <w:r w:rsidR="00760871">
        <w:t>0.</w:t>
      </w:r>
      <w:r w:rsidR="00C1544B">
        <w:t>3</w:t>
      </w:r>
      <w:r w:rsidR="00760871">
        <w:t xml:space="preserve"> per cent of GDP by</w:t>
      </w:r>
      <w:r w:rsidR="001A7EFF">
        <w:t xml:space="preserve"> 2020</w:t>
      </w:r>
      <w:r w:rsidR="0065563F">
        <w:t>–</w:t>
      </w:r>
      <w:r w:rsidR="001A7EFF">
        <w:t>21 (</w:t>
      </w:r>
      <w:r w:rsidR="001A7EFF">
        <w:fldChar w:fldCharType="begin"/>
      </w:r>
      <w:r w:rsidR="001A7EFF">
        <w:instrText xml:space="preserve"> REF _Ref492907309 \h </w:instrText>
      </w:r>
      <w:r w:rsidR="001A7EFF">
        <w:fldChar w:fldCharType="separate"/>
      </w:r>
      <w:r w:rsidR="00BF7361" w:rsidRPr="00AC3D46">
        <w:t xml:space="preserve">Figure </w:t>
      </w:r>
      <w:r w:rsidR="00BF7361">
        <w:rPr>
          <w:noProof/>
        </w:rPr>
        <w:t>2</w:t>
      </w:r>
      <w:r w:rsidR="00BF7361" w:rsidRPr="00AC3D46">
        <w:t>–</w:t>
      </w:r>
      <w:r w:rsidR="00BF7361">
        <w:rPr>
          <w:noProof/>
        </w:rPr>
        <w:t>11</w:t>
      </w:r>
      <w:r w:rsidR="001A7EFF">
        <w:fldChar w:fldCharType="end"/>
      </w:r>
      <w:r>
        <w:t>).</w:t>
      </w:r>
    </w:p>
    <w:p w:rsidR="00857551" w:rsidRDefault="00857551" w:rsidP="00BA0D6F">
      <w:pPr>
        <w:pStyle w:val="BodyText"/>
      </w:pPr>
      <w:r>
        <w:t>This increase follows a trend of declining state investment since the peak in 2009–10.  Investment in th</w:t>
      </w:r>
      <w:r w:rsidR="00C03FBD">
        <w:t xml:space="preserve">e peak </w:t>
      </w:r>
      <w:r>
        <w:t xml:space="preserve">period was driven by the Commonwealth’s fiscal stimulus packages that supported state infrastructure projects.  The composition of state investment was more weighted to Queensland </w:t>
      </w:r>
      <w:r w:rsidR="00550B44">
        <w:t xml:space="preserve">in that period </w:t>
      </w:r>
      <w:r>
        <w:t>which had large transport infrastructure spending as well as reconstruction spending following natural disasters in 2010–11.</w:t>
      </w:r>
    </w:p>
    <w:p w:rsidR="00841D1E" w:rsidRDefault="00AC3D46" w:rsidP="00D25CE5">
      <w:pPr>
        <w:pStyle w:val="Caption1"/>
        <w:spacing w:after="0" w:line="240" w:lineRule="auto"/>
      </w:pPr>
      <w:bookmarkStart w:id="71" w:name="_Ref492907309"/>
      <w:bookmarkStart w:id="72" w:name="_Toc495929702"/>
      <w:r w:rsidRPr="00AC3D46">
        <w:lastRenderedPageBreak/>
        <w:t xml:space="preserve">Figure </w:t>
      </w:r>
      <w:fldSimple w:instr=" STYLEREF 1 \s ">
        <w:r w:rsidR="00BF7361">
          <w:rPr>
            <w:noProof/>
          </w:rPr>
          <w:t>2</w:t>
        </w:r>
      </w:fldSimple>
      <w:r w:rsidRPr="00AC3D46">
        <w:t>–</w:t>
      </w:r>
      <w:fldSimple w:instr=" SEQ Figure \* ARABIC \s 1 ">
        <w:r w:rsidR="00BF7361">
          <w:rPr>
            <w:noProof/>
          </w:rPr>
          <w:t>11</w:t>
        </w:r>
      </w:fldSimple>
      <w:bookmarkEnd w:id="71"/>
      <w:r w:rsidRPr="00AC3D46">
        <w:t xml:space="preserve">: </w:t>
      </w:r>
      <w:r>
        <w:t>State net capital investment</w:t>
      </w:r>
      <w:bookmarkEnd w:id="72"/>
      <w:r w:rsidR="009077D7">
        <w:t xml:space="preserve"> </w:t>
      </w:r>
    </w:p>
    <w:p w:rsidR="00AC3D46" w:rsidRPr="00841D1E" w:rsidRDefault="00A069B1" w:rsidP="00D25CE5">
      <w:pPr>
        <w:pStyle w:val="Caption1"/>
        <w:spacing w:before="0" w:line="240" w:lineRule="auto"/>
        <w:ind w:left="1134"/>
        <w:rPr>
          <w:sz w:val="18"/>
        </w:rPr>
      </w:pPr>
      <w:r>
        <w:rPr>
          <w:b w:val="0"/>
          <w:sz w:val="18"/>
        </w:rPr>
        <w:t>(S</w:t>
      </w:r>
      <w:r w:rsidR="009077D7" w:rsidRPr="00841D1E">
        <w:rPr>
          <w:b w:val="0"/>
          <w:sz w:val="18"/>
        </w:rPr>
        <w:t>hare of GDP)</w:t>
      </w:r>
    </w:p>
    <w:p w:rsidR="00DA0624" w:rsidRDefault="0013469B" w:rsidP="001F572B">
      <w:pPr>
        <w:pStyle w:val="ListBullet"/>
        <w:numPr>
          <w:ilvl w:val="0"/>
          <w:numId w:val="0"/>
        </w:numPr>
        <w:ind w:left="454" w:hanging="454"/>
      </w:pPr>
      <w:r>
        <w:rPr>
          <w:noProof/>
          <w:lang w:eastAsia="en-AU"/>
        </w:rPr>
        <w:drawing>
          <wp:inline distT="0" distB="0" distL="0" distR="0" wp14:anchorId="0A05FEC8">
            <wp:extent cx="5183659" cy="3021772"/>
            <wp:effectExtent l="0" t="0" r="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97197" cy="3029664"/>
                    </a:xfrm>
                    <a:prstGeom prst="rect">
                      <a:avLst/>
                    </a:prstGeom>
                    <a:noFill/>
                  </pic:spPr>
                </pic:pic>
              </a:graphicData>
            </a:graphic>
          </wp:inline>
        </w:drawing>
      </w:r>
    </w:p>
    <w:p w:rsidR="004C7E93" w:rsidRPr="00550B44" w:rsidRDefault="004C7E93" w:rsidP="00BA0D6F">
      <w:pPr>
        <w:pStyle w:val="Source"/>
        <w:spacing w:before="0"/>
        <w:rPr>
          <w:sz w:val="18"/>
          <w:szCs w:val="18"/>
        </w:rPr>
      </w:pPr>
      <w:r w:rsidRPr="00550B44">
        <w:rPr>
          <w:sz w:val="18"/>
          <w:szCs w:val="18"/>
        </w:rPr>
        <w:t>Source: ABS, state budget papers</w:t>
      </w:r>
      <w:r w:rsidR="0010163B" w:rsidRPr="00550B44">
        <w:rPr>
          <w:sz w:val="18"/>
          <w:szCs w:val="18"/>
        </w:rPr>
        <w:t xml:space="preserve">, </w:t>
      </w:r>
      <w:r w:rsidRPr="00550B44">
        <w:rPr>
          <w:sz w:val="18"/>
          <w:szCs w:val="18"/>
        </w:rPr>
        <w:t>PBO analysis.</w:t>
      </w:r>
    </w:p>
    <w:p w:rsidR="00EE5B73" w:rsidRDefault="00BA0D6F" w:rsidP="00550B44">
      <w:pPr>
        <w:pStyle w:val="BodyText17ptAbove"/>
      </w:pPr>
      <w:r>
        <w:t xml:space="preserve">The increase in net capital investment </w:t>
      </w:r>
      <w:r w:rsidR="00062487">
        <w:t xml:space="preserve">over the period ahead </w:t>
      </w:r>
      <w:r>
        <w:t>is largely driven by New South Wales, which is projecting net capit</w:t>
      </w:r>
      <w:r w:rsidR="00760871">
        <w:t>al investment to increase from</w:t>
      </w:r>
      <w:r w:rsidR="000A200B">
        <w:t xml:space="preserve"> 0.2 per cent of GDP</w:t>
      </w:r>
      <w:r>
        <w:t xml:space="preserve"> in 2</w:t>
      </w:r>
      <w:r w:rsidR="000A200B">
        <w:t>016</w:t>
      </w:r>
      <w:r w:rsidR="0065563F">
        <w:t>–</w:t>
      </w:r>
      <w:r w:rsidR="000A200B">
        <w:t>17 to 0.6 per cent of GDP</w:t>
      </w:r>
      <w:r w:rsidR="00EE5B73">
        <w:t xml:space="preserve"> in 2018</w:t>
      </w:r>
      <w:r w:rsidR="0065563F">
        <w:t>–</w:t>
      </w:r>
      <w:r w:rsidR="00EE5B73">
        <w:t xml:space="preserve">19. </w:t>
      </w:r>
      <w:r w:rsidR="00F4144F">
        <w:t xml:space="preserve"> </w:t>
      </w:r>
      <w:r w:rsidR="00EE5B73">
        <w:t xml:space="preserve">This </w:t>
      </w:r>
      <w:r w:rsidR="00A13D0D">
        <w:t>reflects</w:t>
      </w:r>
      <w:r w:rsidR="00EE5B73">
        <w:t xml:space="preserve"> spending on </w:t>
      </w:r>
      <w:r>
        <w:t>major transport projects</w:t>
      </w:r>
      <w:r w:rsidR="000A200B">
        <w:t xml:space="preserve"> including </w:t>
      </w:r>
      <w:proofErr w:type="spellStart"/>
      <w:r>
        <w:t>WestConnex</w:t>
      </w:r>
      <w:proofErr w:type="spellEnd"/>
      <w:r>
        <w:t xml:space="preserve"> and the Sydney metro, capital works in schools and TAFEs, an</w:t>
      </w:r>
      <w:r w:rsidR="00EE5B73">
        <w:t>d</w:t>
      </w:r>
      <w:r>
        <w:t xml:space="preserve"> multiple hospital expansions and redevelopments. </w:t>
      </w:r>
      <w:r w:rsidR="00EE5B73">
        <w:t xml:space="preserve"> </w:t>
      </w:r>
      <w:r w:rsidR="00F4144F">
        <w:t xml:space="preserve">As a </w:t>
      </w:r>
      <w:r w:rsidR="00263935">
        <w:t xml:space="preserve">per cent </w:t>
      </w:r>
      <w:r w:rsidR="000A200B">
        <w:t>of GDP, the projected peak in</w:t>
      </w:r>
      <w:r w:rsidR="00F4144F">
        <w:t xml:space="preserve"> </w:t>
      </w:r>
      <w:r w:rsidR="00EE5B73">
        <w:t>New South Wales net capital investment i</w:t>
      </w:r>
      <w:r w:rsidR="00B07F07">
        <w:t>n 2018</w:t>
      </w:r>
      <w:r w:rsidR="0065563F">
        <w:t>–</w:t>
      </w:r>
      <w:r w:rsidR="00B07F07">
        <w:t>19</w:t>
      </w:r>
      <w:r w:rsidR="00F4144F">
        <w:t xml:space="preserve"> i</w:t>
      </w:r>
      <w:r w:rsidR="00EE5B73">
        <w:t xml:space="preserve">s </w:t>
      </w:r>
      <w:r w:rsidR="00F4144F">
        <w:t>ar</w:t>
      </w:r>
      <w:r w:rsidR="00427C9C">
        <w:t xml:space="preserve">ound </w:t>
      </w:r>
      <w:r w:rsidR="00B07F07">
        <w:t xml:space="preserve">double </w:t>
      </w:r>
      <w:r w:rsidR="00427C9C">
        <w:t xml:space="preserve">the </w:t>
      </w:r>
      <w:r w:rsidR="00F4144F">
        <w:t xml:space="preserve">peak </w:t>
      </w:r>
      <w:r w:rsidR="00EE5B73">
        <w:t xml:space="preserve">following the global financial crisis. </w:t>
      </w:r>
    </w:p>
    <w:p w:rsidR="00BA0D6F" w:rsidRDefault="00BA0D6F" w:rsidP="00EE5B73">
      <w:pPr>
        <w:pStyle w:val="BodyText"/>
      </w:pPr>
      <w:r>
        <w:t>Queensland is also undertaking major investment over the period,</w:t>
      </w:r>
      <w:r w:rsidR="000A200B">
        <w:t xml:space="preserve"> making up over half </w:t>
      </w:r>
      <w:r w:rsidR="00EE5B73">
        <w:t>of all net capital investment in 2020</w:t>
      </w:r>
      <w:r w:rsidR="0065563F">
        <w:t>–</w:t>
      </w:r>
      <w:r w:rsidR="00EE5B73">
        <w:t xml:space="preserve">21. </w:t>
      </w:r>
      <w:r w:rsidR="00E5345A">
        <w:t xml:space="preserve"> </w:t>
      </w:r>
      <w:r w:rsidR="00EE5B73">
        <w:t xml:space="preserve">This </w:t>
      </w:r>
      <w:r w:rsidR="00031EA7">
        <w:t xml:space="preserve">includes spending on major projects such as </w:t>
      </w:r>
      <w:r>
        <w:t xml:space="preserve">the </w:t>
      </w:r>
      <w:r w:rsidR="00EE5B73">
        <w:t xml:space="preserve">Brisbane </w:t>
      </w:r>
      <w:r>
        <w:t>Cros</w:t>
      </w:r>
      <w:r w:rsidR="00EE5B73">
        <w:t xml:space="preserve">s River Rail project, </w:t>
      </w:r>
      <w:proofErr w:type="spellStart"/>
      <w:r w:rsidR="00EE5B73">
        <w:t>Toowomba</w:t>
      </w:r>
      <w:proofErr w:type="spellEnd"/>
      <w:r w:rsidR="00EE5B73">
        <w:t xml:space="preserve"> S</w:t>
      </w:r>
      <w:r>
        <w:t xml:space="preserve">econd Range Crossing, </w:t>
      </w:r>
      <w:r w:rsidR="00EE5B73">
        <w:t xml:space="preserve">the </w:t>
      </w:r>
      <w:r>
        <w:t>Gold Coast light-rail</w:t>
      </w:r>
      <w:r w:rsidR="00EE5B73">
        <w:t>, the purchase of new trains,</w:t>
      </w:r>
      <w:r>
        <w:t xml:space="preserve"> road projects and health infrastructure. </w:t>
      </w:r>
      <w:r w:rsidR="00B60208">
        <w:t>Net capital investment</w:t>
      </w:r>
      <w:r w:rsidR="00A7258F">
        <w:t xml:space="preserve"> remains lower than peaks seen at the beginning of the decade.</w:t>
      </w:r>
    </w:p>
    <w:p w:rsidR="00D13CDF" w:rsidRDefault="00BA0D6F" w:rsidP="00D13CDF">
      <w:pPr>
        <w:pStyle w:val="BodyText"/>
      </w:pPr>
      <w:r>
        <w:t xml:space="preserve">As noted in previous </w:t>
      </w:r>
      <w:r w:rsidR="001F2E68">
        <w:t>section</w:t>
      </w:r>
      <w:r>
        <w:t xml:space="preserve">s, </w:t>
      </w:r>
      <w:r w:rsidR="00D13CDF">
        <w:t>some of this ne</w:t>
      </w:r>
      <w:r w:rsidR="000B26E2">
        <w:t>t capital investment is funded</w:t>
      </w:r>
      <w:r w:rsidR="00D13CDF">
        <w:t xml:space="preserve"> by the Commonwealth through capital grants to the states (e.g. for a specific road project), GST revenue which is then used by the states for capital expenditure, or through financing assistance to the states </w:t>
      </w:r>
      <w:r w:rsidR="0067041E">
        <w:t xml:space="preserve">for </w:t>
      </w:r>
      <w:r w:rsidR="00D13CDF">
        <w:t xml:space="preserve">capital projects.  </w:t>
      </w:r>
      <w:r w:rsidR="000A200B">
        <w:t>T</w:t>
      </w:r>
      <w:r w:rsidR="00D13CDF">
        <w:t>his latter category</w:t>
      </w:r>
      <w:r w:rsidR="000A200B">
        <w:t xml:space="preserve"> for example </w:t>
      </w:r>
      <w:r w:rsidR="00D13CDF">
        <w:t xml:space="preserve">includes the concessional loan to the New South Wales Government for the </w:t>
      </w:r>
      <w:proofErr w:type="spellStart"/>
      <w:r w:rsidR="00D13CDF">
        <w:t>WestConnex</w:t>
      </w:r>
      <w:proofErr w:type="spellEnd"/>
      <w:r w:rsidR="00D13CDF">
        <w:t xml:space="preserve"> project.</w:t>
      </w:r>
      <w:r w:rsidR="001573CD">
        <w:t xml:space="preserve"> </w:t>
      </w:r>
    </w:p>
    <w:p w:rsidR="00E5345A" w:rsidRDefault="001573CD" w:rsidP="00A96341">
      <w:pPr>
        <w:pStyle w:val="BodyText"/>
      </w:pPr>
      <w:r>
        <w:t>More broadly, state-owned corporations play a key role in undertaking net capital investment</w:t>
      </w:r>
      <w:r w:rsidR="00930D76">
        <w:t xml:space="preserve"> </w:t>
      </w:r>
      <w:r w:rsidR="00D41524">
        <w:t xml:space="preserve">and </w:t>
      </w:r>
      <w:r w:rsidR="00AC4C4F">
        <w:t xml:space="preserve">contribute </w:t>
      </w:r>
      <w:r w:rsidR="00D41524">
        <w:t xml:space="preserve">a significant portion of the net capital investment undertaken by the public sector </w:t>
      </w:r>
      <w:r w:rsidR="005842FB">
        <w:t>(Box 3</w:t>
      </w:r>
      <w:r w:rsidR="00930D76">
        <w:t>)</w:t>
      </w:r>
      <w:r>
        <w:t xml:space="preserve">. </w:t>
      </w:r>
    </w:p>
    <w:p w:rsidR="001573CD" w:rsidRDefault="00E5345A" w:rsidP="00550B44">
      <w:pPr>
        <w:pStyle w:val="Caption1"/>
      </w:pPr>
      <w:r>
        <w:lastRenderedPageBreak/>
        <w:t>Box 3: Net capital investment by government-owned corporations</w:t>
      </w:r>
    </w:p>
    <w:tbl>
      <w:tblPr>
        <w:tblStyle w:val="PullOutBoxTable"/>
        <w:tblW w:w="5000" w:type="pct"/>
        <w:tblLook w:val="0600" w:firstRow="0" w:lastRow="0" w:firstColumn="0" w:lastColumn="0" w:noHBand="1" w:noVBand="1"/>
      </w:tblPr>
      <w:tblGrid>
        <w:gridCol w:w="8322"/>
      </w:tblGrid>
      <w:tr w:rsidR="00655ADC" w:rsidTr="004A6413">
        <w:trPr>
          <w:trHeight w:val="5783"/>
        </w:trPr>
        <w:tc>
          <w:tcPr>
            <w:tcW w:w="5000" w:type="pct"/>
          </w:tcPr>
          <w:p w:rsidR="00655ADC" w:rsidRDefault="00655ADC" w:rsidP="00550B44">
            <w:pPr>
              <w:pStyle w:val="PullOutBoxBodyText"/>
            </w:pPr>
            <w:r>
              <w:t>The analysis in this report focusses on the general government sector.  This sector primarily consists of government departments and agencies providing non-market public services which are funded mainly through taxes.</w:t>
            </w:r>
          </w:p>
          <w:p w:rsidR="00655ADC" w:rsidRDefault="00655ADC" w:rsidP="00550B44">
            <w:pPr>
              <w:pStyle w:val="PullOutBoxBodyText"/>
            </w:pPr>
            <w:r>
              <w:t xml:space="preserve">The general government sector does not include government-owned corporations which provide services to consumers on a fee for service basis (e.g. </w:t>
            </w:r>
            <w:r w:rsidR="003318C4">
              <w:t xml:space="preserve">the National Broadband Network (NBN), </w:t>
            </w:r>
            <w:r>
              <w:t xml:space="preserve">Australia Post, some electricity companies and other utilities).  These corporations are funded through a combination of revenue from the provision of goods and services and government grants. </w:t>
            </w:r>
          </w:p>
          <w:p w:rsidR="00655ADC" w:rsidRDefault="00655ADC" w:rsidP="00550B44">
            <w:pPr>
              <w:pStyle w:val="PullOutBoxBodyText"/>
            </w:pPr>
            <w:r>
              <w:t xml:space="preserve">Government-owned corporations, particularly for states, typically have significant capital costs reflecting the goods and services they provide, such as electricity and water.  </w:t>
            </w:r>
          </w:p>
          <w:p w:rsidR="00655ADC" w:rsidRDefault="00655ADC" w:rsidP="00550B44">
            <w:pPr>
              <w:pStyle w:val="PullOutBoxBodyText"/>
            </w:pPr>
            <w:r>
              <w:t xml:space="preserve">Looking at net capital investment across both sectors can provide a more complete </w:t>
            </w:r>
            <w:r w:rsidR="00AC4C4F">
              <w:t xml:space="preserve">picture </w:t>
            </w:r>
            <w:r>
              <w:t>of the public investment taking place, and also overcomes classification differences between states due to which sectors deliver particular services.</w:t>
            </w:r>
          </w:p>
          <w:p w:rsidR="00655ADC" w:rsidRPr="00A96341" w:rsidRDefault="000A2245" w:rsidP="00550B44">
            <w:pPr>
              <w:pStyle w:val="PullOutBoxBodyText"/>
            </w:pPr>
            <w:r w:rsidRPr="00A96341">
              <w:fldChar w:fldCharType="begin"/>
            </w:r>
            <w:r w:rsidRPr="00A96341">
              <w:instrText xml:space="preserve"> REF _Ref493762251 \h </w:instrText>
            </w:r>
            <w:r w:rsidR="00663F4A" w:rsidRPr="00A96341">
              <w:instrText xml:space="preserve"> \* MERGEFORMAT </w:instrText>
            </w:r>
            <w:r w:rsidRPr="00A96341">
              <w:fldChar w:fldCharType="separate"/>
            </w:r>
            <w:r w:rsidR="00BF7361" w:rsidRPr="00D124C4">
              <w:t xml:space="preserve">Figure </w:t>
            </w:r>
            <w:r w:rsidR="00BF7361">
              <w:t>2</w:t>
            </w:r>
            <w:r w:rsidR="00BF7361" w:rsidRPr="00D124C4">
              <w:t>–</w:t>
            </w:r>
            <w:r w:rsidR="00BF7361">
              <w:t>12</w:t>
            </w:r>
            <w:r w:rsidRPr="00A96341">
              <w:fldChar w:fldCharType="end"/>
            </w:r>
            <w:r w:rsidR="00655ADC" w:rsidRPr="00A96341">
              <w:t xml:space="preserve"> and </w:t>
            </w:r>
            <w:r w:rsidRPr="00A96341">
              <w:fldChar w:fldCharType="begin"/>
            </w:r>
            <w:r w:rsidRPr="00A96341">
              <w:instrText xml:space="preserve"> REF _Ref493762266 \h </w:instrText>
            </w:r>
            <w:r w:rsidR="00663F4A" w:rsidRPr="00A96341">
              <w:instrText xml:space="preserve"> \* MERGEFORMAT </w:instrText>
            </w:r>
            <w:r w:rsidRPr="00A96341">
              <w:fldChar w:fldCharType="separate"/>
            </w:r>
            <w:r w:rsidR="00BF7361" w:rsidRPr="00D124C4">
              <w:t xml:space="preserve">Figure </w:t>
            </w:r>
            <w:r w:rsidR="00BF7361">
              <w:t>2</w:t>
            </w:r>
            <w:r w:rsidR="00BF7361" w:rsidRPr="00D124C4">
              <w:t>–</w:t>
            </w:r>
            <w:r w:rsidR="00BF7361">
              <w:t>13</w:t>
            </w:r>
            <w:r w:rsidRPr="00A96341">
              <w:fldChar w:fldCharType="end"/>
            </w:r>
            <w:r w:rsidR="00655ADC" w:rsidRPr="00A96341">
              <w:t xml:space="preserve"> show general government and government-owned net capital investment for th</w:t>
            </w:r>
            <w:r w:rsidR="00663F4A" w:rsidRPr="00A96341">
              <w:t xml:space="preserve">e Commonwealth and the states. </w:t>
            </w:r>
          </w:p>
          <w:tbl>
            <w:tblPr>
              <w:tblStyle w:val="TableGrid"/>
              <w:tblW w:w="8312" w:type="dxa"/>
              <w:tblLook w:val="04A0" w:firstRow="1" w:lastRow="0" w:firstColumn="1" w:lastColumn="0" w:noHBand="0" w:noVBand="1"/>
            </w:tblPr>
            <w:tblGrid>
              <w:gridCol w:w="4271"/>
              <w:gridCol w:w="4041"/>
            </w:tblGrid>
            <w:tr w:rsidR="00655ADC" w:rsidTr="00A8224F">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4198" w:type="dxa"/>
                  <w:shd w:val="clear" w:color="auto" w:fill="auto"/>
                </w:tcPr>
                <w:p w:rsidR="00655ADC" w:rsidRPr="00D124C4" w:rsidRDefault="00655ADC" w:rsidP="004A6413">
                  <w:pPr>
                    <w:pStyle w:val="Caption"/>
                    <w:spacing w:before="200" w:after="0"/>
                  </w:pPr>
                  <w:bookmarkStart w:id="73" w:name="_Ref493762251"/>
                  <w:bookmarkStart w:id="74" w:name="_Toc495929703"/>
                  <w:r w:rsidRPr="00D124C4">
                    <w:t xml:space="preserve">Figure </w:t>
                  </w:r>
                  <w:fldSimple w:instr=" STYLEREF 1 \s ">
                    <w:r w:rsidR="00BF7361">
                      <w:rPr>
                        <w:noProof/>
                      </w:rPr>
                      <w:t>2</w:t>
                    </w:r>
                  </w:fldSimple>
                  <w:r w:rsidRPr="00D124C4">
                    <w:t>–</w:t>
                  </w:r>
                  <w:fldSimple w:instr=" SEQ Figure \* ARABIC \s 1 ">
                    <w:r w:rsidR="00BF7361">
                      <w:rPr>
                        <w:noProof/>
                      </w:rPr>
                      <w:t>12</w:t>
                    </w:r>
                  </w:fldSimple>
                  <w:bookmarkEnd w:id="73"/>
                  <w:r w:rsidRPr="00D124C4">
                    <w:t xml:space="preserve">: </w:t>
                  </w:r>
                  <w:r>
                    <w:t xml:space="preserve"> Commonwealth net capital investment by government and government-owned corporations</w:t>
                  </w:r>
                  <w:r w:rsidRPr="00320C37">
                    <w:rPr>
                      <w:rStyle w:val="FootnoteReference"/>
                    </w:rPr>
                    <w:footnoteReference w:id="10"/>
                  </w:r>
                  <w:bookmarkEnd w:id="74"/>
                  <w:r w:rsidR="009077D7">
                    <w:t xml:space="preserve"> </w:t>
                  </w:r>
                  <w:r w:rsidR="00A069B1">
                    <w:rPr>
                      <w:b w:val="0"/>
                      <w:sz w:val="18"/>
                    </w:rPr>
                    <w:t>(S</w:t>
                  </w:r>
                  <w:r w:rsidR="009077D7" w:rsidRPr="00841D1E">
                    <w:rPr>
                      <w:b w:val="0"/>
                      <w:sz w:val="18"/>
                    </w:rPr>
                    <w:t>hare of GDP)</w:t>
                  </w:r>
                </w:p>
              </w:tc>
              <w:tc>
                <w:tcPr>
                  <w:tcW w:w="4114" w:type="dxa"/>
                  <w:shd w:val="clear" w:color="auto" w:fill="auto"/>
                </w:tcPr>
                <w:p w:rsidR="00655ADC" w:rsidRPr="00D124C4" w:rsidRDefault="00655ADC" w:rsidP="004A6413">
                  <w:pPr>
                    <w:pStyle w:val="Caption"/>
                    <w:spacing w:before="200" w:after="0"/>
                    <w:jc w:val="left"/>
                    <w:cnfStyle w:val="100000000000" w:firstRow="1" w:lastRow="0" w:firstColumn="0" w:lastColumn="0" w:oddVBand="0" w:evenVBand="0" w:oddHBand="0" w:evenHBand="0" w:firstRowFirstColumn="0" w:firstRowLastColumn="0" w:lastRowFirstColumn="0" w:lastRowLastColumn="0"/>
                  </w:pPr>
                  <w:bookmarkStart w:id="75" w:name="_Ref493762266"/>
                  <w:bookmarkStart w:id="76" w:name="_Toc495929704"/>
                  <w:r w:rsidRPr="00D124C4">
                    <w:t xml:space="preserve">Figure </w:t>
                  </w:r>
                  <w:fldSimple w:instr=" STYLEREF 1 \s ">
                    <w:r w:rsidR="00BF7361">
                      <w:rPr>
                        <w:noProof/>
                      </w:rPr>
                      <w:t>2</w:t>
                    </w:r>
                  </w:fldSimple>
                  <w:r w:rsidRPr="00D124C4">
                    <w:t>–</w:t>
                  </w:r>
                  <w:fldSimple w:instr=" SEQ Figure \* ARABIC \s 1 ">
                    <w:r w:rsidR="00BF7361">
                      <w:rPr>
                        <w:noProof/>
                      </w:rPr>
                      <w:t>13</w:t>
                    </w:r>
                  </w:fldSimple>
                  <w:bookmarkEnd w:id="75"/>
                  <w:r w:rsidRPr="00D124C4">
                    <w:t xml:space="preserve">: </w:t>
                  </w:r>
                  <w:r>
                    <w:t xml:space="preserve"> </w:t>
                  </w:r>
                  <w:r w:rsidRPr="00D124C4">
                    <w:t xml:space="preserve"> </w:t>
                  </w:r>
                  <w:r>
                    <w:t>State net capital investment by government and government-owned corporations</w:t>
                  </w:r>
                  <w:bookmarkEnd w:id="76"/>
                  <w:r w:rsidR="009077D7">
                    <w:t xml:space="preserve"> </w:t>
                  </w:r>
                  <w:r w:rsidR="00A069B1">
                    <w:rPr>
                      <w:b w:val="0"/>
                      <w:sz w:val="18"/>
                    </w:rPr>
                    <w:t>(S</w:t>
                  </w:r>
                  <w:r w:rsidR="009077D7" w:rsidRPr="00841D1E">
                    <w:rPr>
                      <w:b w:val="0"/>
                      <w:sz w:val="18"/>
                    </w:rPr>
                    <w:t>hare of GDP)</w:t>
                  </w:r>
                </w:p>
              </w:tc>
            </w:tr>
            <w:tr w:rsidR="00655ADC" w:rsidTr="00A8224F">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550"/>
              </w:trPr>
              <w:tc>
                <w:tcPr>
                  <w:cnfStyle w:val="001000000000" w:firstRow="0" w:lastRow="0" w:firstColumn="1" w:lastColumn="0" w:oddVBand="0" w:evenVBand="0" w:oddHBand="0" w:evenHBand="0" w:firstRowFirstColumn="0" w:firstRowLastColumn="0" w:lastRowFirstColumn="0" w:lastRowLastColumn="0"/>
                  <w:tcW w:w="4198" w:type="dxa"/>
                  <w:shd w:val="clear" w:color="auto" w:fill="auto"/>
                  <w:vAlign w:val="top"/>
                </w:tcPr>
                <w:p w:rsidR="00655ADC" w:rsidRDefault="0028672D" w:rsidP="00A8224F">
                  <w:pPr>
                    <w:pStyle w:val="BodyText"/>
                    <w:jc w:val="center"/>
                  </w:pPr>
                  <w:r>
                    <w:rPr>
                      <w:noProof/>
                    </w:rPr>
                    <w:drawing>
                      <wp:inline distT="0" distB="0" distL="0" distR="0" wp14:anchorId="50DB628E" wp14:editId="0B60C398">
                        <wp:extent cx="2532131" cy="3307930"/>
                        <wp:effectExtent l="0" t="0" r="1905" b="698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34961" cy="3311627"/>
                                </a:xfrm>
                                <a:prstGeom prst="rect">
                                  <a:avLst/>
                                </a:prstGeom>
                                <a:noFill/>
                              </pic:spPr>
                            </pic:pic>
                          </a:graphicData>
                        </a:graphic>
                      </wp:inline>
                    </w:drawing>
                  </w:r>
                </w:p>
                <w:p w:rsidR="00655ADC" w:rsidRPr="00550B44" w:rsidRDefault="00655ADC" w:rsidP="00A96341">
                  <w:pPr>
                    <w:pStyle w:val="Source"/>
                    <w:rPr>
                      <w:sz w:val="18"/>
                      <w:szCs w:val="18"/>
                    </w:rPr>
                  </w:pPr>
                  <w:r w:rsidRPr="00550B44">
                    <w:rPr>
                      <w:sz w:val="18"/>
                      <w:szCs w:val="18"/>
                    </w:rPr>
                    <w:t>Source: ABS, Commonwealth budget papers, PBO analysis.</w:t>
                  </w:r>
                </w:p>
              </w:tc>
              <w:tc>
                <w:tcPr>
                  <w:tcW w:w="4114" w:type="dxa"/>
                  <w:shd w:val="clear" w:color="auto" w:fill="auto"/>
                  <w:vAlign w:val="top"/>
                </w:tcPr>
                <w:p w:rsidR="00655ADC" w:rsidRDefault="0028672D" w:rsidP="00A8224F">
                  <w:pPr>
                    <w:pStyle w:val="Body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1A75448A">
                        <wp:extent cx="2373265" cy="3330146"/>
                        <wp:effectExtent l="0" t="0" r="8255"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75341" cy="3333060"/>
                                </a:xfrm>
                                <a:prstGeom prst="rect">
                                  <a:avLst/>
                                </a:prstGeom>
                                <a:noFill/>
                              </pic:spPr>
                            </pic:pic>
                          </a:graphicData>
                        </a:graphic>
                      </wp:inline>
                    </w:drawing>
                  </w:r>
                </w:p>
                <w:p w:rsidR="00655ADC" w:rsidRPr="00550B44" w:rsidRDefault="00655ADC" w:rsidP="00A8224F">
                  <w:pPr>
                    <w:pStyle w:val="Source"/>
                    <w:cnfStyle w:val="000000100000" w:firstRow="0" w:lastRow="0" w:firstColumn="0" w:lastColumn="0" w:oddVBand="0" w:evenVBand="0" w:oddHBand="1" w:evenHBand="0" w:firstRowFirstColumn="0" w:firstRowLastColumn="0" w:lastRowFirstColumn="0" w:lastRowLastColumn="0"/>
                    <w:rPr>
                      <w:sz w:val="18"/>
                      <w:szCs w:val="18"/>
                    </w:rPr>
                  </w:pPr>
                  <w:r w:rsidRPr="00550B44">
                    <w:rPr>
                      <w:sz w:val="18"/>
                      <w:szCs w:val="18"/>
                    </w:rPr>
                    <w:t>Source: ABS, state budget papers, PBO analysis.</w:t>
                  </w:r>
                </w:p>
              </w:tc>
            </w:tr>
          </w:tbl>
          <w:p w:rsidR="00655ADC" w:rsidRDefault="00A96341" w:rsidP="00550B44">
            <w:pPr>
              <w:pStyle w:val="PullOutBoxBodyText"/>
            </w:pPr>
            <w:r>
              <w:br/>
            </w:r>
            <w:r w:rsidR="00655ADC">
              <w:lastRenderedPageBreak/>
              <w:t>From 2006</w:t>
            </w:r>
            <w:r w:rsidR="0065563F">
              <w:t>–</w:t>
            </w:r>
            <w:r w:rsidR="00655ADC">
              <w:t>07 to 2012</w:t>
            </w:r>
            <w:r w:rsidR="0065563F">
              <w:t>–</w:t>
            </w:r>
            <w:r w:rsidR="00655ADC">
              <w:t xml:space="preserve">13 net capital investment by state government-owned corporations grew strongly reflecting strong investment by Queensland, New South Wales and Victoria at various stages over the period. </w:t>
            </w:r>
          </w:p>
          <w:p w:rsidR="00655ADC" w:rsidRDefault="00655ADC" w:rsidP="00550B44">
            <w:pPr>
              <w:pStyle w:val="PullOutBoxBodyText"/>
            </w:pPr>
            <w:r>
              <w:t>From 2006</w:t>
            </w:r>
            <w:r w:rsidR="0065563F">
              <w:t>–</w:t>
            </w:r>
            <w:r>
              <w:t>07 to 2008</w:t>
            </w:r>
            <w:r w:rsidR="0065563F">
              <w:t>–</w:t>
            </w:r>
            <w:r>
              <w:t xml:space="preserve">09 Queensland government-owned corporations were the key contributor to growth, reflecting investment in </w:t>
            </w:r>
            <w:r w:rsidRPr="008B0069">
              <w:t>water, electricity, rail and ports infrastructure</w:t>
            </w:r>
            <w:r>
              <w:t>.  New South Wales government-owned corporation investment increased significantly in 2008</w:t>
            </w:r>
            <w:r w:rsidR="0065563F">
              <w:t>–</w:t>
            </w:r>
            <w:r>
              <w:t>09 and 2009</w:t>
            </w:r>
            <w:r w:rsidR="0065563F">
              <w:t>–</w:t>
            </w:r>
            <w:r>
              <w:t>10 due to investment in water infrastructure, the electricity sector and social housing.  Strong growth in 2012</w:t>
            </w:r>
            <w:r w:rsidR="0065563F">
              <w:t>–</w:t>
            </w:r>
            <w:r>
              <w:t xml:space="preserve">13 was driven by Victorian government-owned corporations’ investment in water and rail infrastructure. </w:t>
            </w:r>
          </w:p>
          <w:p w:rsidR="00655ADC" w:rsidRDefault="00655ADC" w:rsidP="00550B44">
            <w:pPr>
              <w:pStyle w:val="PullOutBoxBodyText"/>
            </w:pPr>
            <w:r>
              <w:t>In 2016</w:t>
            </w:r>
            <w:r w:rsidR="0065563F">
              <w:t>–</w:t>
            </w:r>
            <w:r>
              <w:t>17, state government-owned corporations are estimated</w:t>
            </w:r>
            <w:r w:rsidR="006A3955">
              <w:t xml:space="preserve"> to account for around half (0.5</w:t>
            </w:r>
            <w:r>
              <w:t xml:space="preserve"> per cent of GDP) of all state net capital investment.  The projected decline in investment after 2018</w:t>
            </w:r>
            <w:r w:rsidR="0065563F">
              <w:t>–</w:t>
            </w:r>
            <w:r>
              <w:t>19 reflects a fall in New South Wales, as major road and rail projects are completed</w:t>
            </w:r>
            <w:r w:rsidR="003318C4">
              <w:t>,</w:t>
            </w:r>
            <w:r>
              <w:t xml:space="preserve"> and the planned sale of the </w:t>
            </w:r>
            <w:r w:rsidRPr="00B0046D">
              <w:t>Sydney Motorway Corporation.</w:t>
            </w:r>
            <w:r>
              <w:t xml:space="preserve"> </w:t>
            </w:r>
          </w:p>
          <w:p w:rsidR="00655ADC" w:rsidRPr="009E1C14" w:rsidRDefault="00655ADC" w:rsidP="00550B44">
            <w:pPr>
              <w:pStyle w:val="PullOutBoxBodyText"/>
            </w:pPr>
            <w:r>
              <w:t>In contrast net capital investment by Commonwealth government-owned corporations has been relatively small, but has grown sharply due to the roll</w:t>
            </w:r>
            <w:r w:rsidR="0065563F">
              <w:t>-</w:t>
            </w:r>
            <w:r>
              <w:t xml:space="preserve">out of the NBN.  In </w:t>
            </w:r>
            <w:r w:rsidR="00E5345A">
              <w:br/>
            </w:r>
            <w:r>
              <w:t>2016</w:t>
            </w:r>
            <w:r w:rsidR="0065563F">
              <w:t>–</w:t>
            </w:r>
            <w:r>
              <w:t xml:space="preserve">17, net capital investment from Commonwealth government-owned corporations is projected to be </w:t>
            </w:r>
            <w:r w:rsidRPr="00B0046D">
              <w:t>0.4</w:t>
            </w:r>
            <w:r>
              <w:t xml:space="preserve"> per cent of GDP, primarily comprising the NBN.  As the NBN rollout reaches completion, projects such as the Melbourne to Brisbane </w:t>
            </w:r>
            <w:r w:rsidRPr="00B0046D">
              <w:t>Inland Rail</w:t>
            </w:r>
            <w:r>
              <w:t xml:space="preserve"> project and the </w:t>
            </w:r>
            <w:r w:rsidRPr="00B0046D">
              <w:t>Western Sydney Airport</w:t>
            </w:r>
            <w:r>
              <w:t xml:space="preserve"> </w:t>
            </w:r>
            <w:r w:rsidR="003318C4">
              <w:t xml:space="preserve">are expected to be the </w:t>
            </w:r>
            <w:r>
              <w:t>key contributors to the growth in net capital investment by Commonwealth-owned government corporations</w:t>
            </w:r>
            <w:r w:rsidR="00062487">
              <w:t>, although most of these impacts are expected to fall outside the 2017-18 forward estimates</w:t>
            </w:r>
            <w:r>
              <w:t>.</w:t>
            </w:r>
          </w:p>
        </w:tc>
      </w:tr>
    </w:tbl>
    <w:p w:rsidR="007B673E" w:rsidRDefault="00732C10" w:rsidP="00732C10">
      <w:pPr>
        <w:pStyle w:val="Heading3"/>
      </w:pPr>
      <w:bookmarkStart w:id="77" w:name="_Toc495678480"/>
      <w:r>
        <w:lastRenderedPageBreak/>
        <w:t>Net</w:t>
      </w:r>
      <w:r w:rsidR="007B673E">
        <w:t xml:space="preserve"> debt</w:t>
      </w:r>
      <w:bookmarkEnd w:id="77"/>
    </w:p>
    <w:p w:rsidR="009D3840" w:rsidRDefault="00CC7BF8" w:rsidP="009D3840">
      <w:pPr>
        <w:pStyle w:val="BodyText"/>
      </w:pPr>
      <w:r>
        <w:t>As the previous section</w:t>
      </w:r>
      <w:r w:rsidRPr="00F14342">
        <w:t xml:space="preserve"> highlighted, </w:t>
      </w:r>
      <w:r w:rsidR="00C362A5">
        <w:t xml:space="preserve">revenue and expenses for the states </w:t>
      </w:r>
      <w:r w:rsidR="00834509">
        <w:t>are expected to track each other closely over the forward estimates</w:t>
      </w:r>
      <w:r w:rsidR="00C362A5">
        <w:t xml:space="preserve">, leading to </w:t>
      </w:r>
      <w:r w:rsidR="00834509">
        <w:t>small operating surpluse</w:t>
      </w:r>
      <w:r w:rsidR="00651225">
        <w:t>s</w:t>
      </w:r>
      <w:r w:rsidR="00C362A5">
        <w:t>.</w:t>
      </w:r>
      <w:r w:rsidR="00651225">
        <w:t xml:space="preserve"> However these operating surpluses are insufficient to fund the strong level of investment </w:t>
      </w:r>
      <w:r w:rsidR="00C25358">
        <w:t xml:space="preserve">the states plan to undertake over the forward estimates. </w:t>
      </w:r>
      <w:r w:rsidR="00F60DDA">
        <w:t xml:space="preserve"> States must </w:t>
      </w:r>
      <w:r w:rsidR="00146386">
        <w:t>sell</w:t>
      </w:r>
      <w:r w:rsidR="00F60DDA">
        <w:t xml:space="preserve"> assets or borrow to fund investment, with a consequent</w:t>
      </w:r>
      <w:r w:rsidR="009D3840" w:rsidRPr="00F14342">
        <w:t xml:space="preserve"> impact on their net debt position</w:t>
      </w:r>
      <w:r w:rsidR="009D3840">
        <w:t>s.</w:t>
      </w:r>
    </w:p>
    <w:p w:rsidR="0054177C" w:rsidRDefault="006A00F5" w:rsidP="00A16D0C">
      <w:pPr>
        <w:pStyle w:val="BodyText"/>
      </w:pPr>
      <w:r>
        <w:t>The aggregate net debt</w:t>
      </w:r>
      <w:r w:rsidR="005740C7">
        <w:t xml:space="preserve"> of the states </w:t>
      </w:r>
      <w:r>
        <w:t>is around a tenth that of the Commonwealth</w:t>
      </w:r>
      <w:r w:rsidR="00E74AA7">
        <w:t xml:space="preserve"> </w:t>
      </w:r>
      <w:r w:rsidR="00041957">
        <w:t xml:space="preserve">in </w:t>
      </w:r>
      <w:r w:rsidR="00530B39">
        <w:br/>
      </w:r>
      <w:r w:rsidR="00E74AA7">
        <w:t>2016</w:t>
      </w:r>
      <w:r w:rsidR="0065563F">
        <w:t>–</w:t>
      </w:r>
      <w:r w:rsidR="00E74AA7">
        <w:t>17</w:t>
      </w:r>
      <w:r>
        <w:t xml:space="preserve">.  </w:t>
      </w:r>
      <w:r w:rsidR="00E5345A">
        <w:t xml:space="preserve"> </w:t>
      </w:r>
      <w:r>
        <w:t xml:space="preserve">State net debt </w:t>
      </w:r>
      <w:r w:rsidR="005740C7">
        <w:t>is projected to increase sharply over the forward</w:t>
      </w:r>
      <w:r w:rsidR="007B7AB6">
        <w:t xml:space="preserve"> estimates, increasing from 2.0</w:t>
      </w:r>
      <w:r w:rsidR="00D82CC7">
        <w:t xml:space="preserve"> per cent of GDP </w:t>
      </w:r>
      <w:r w:rsidR="005740C7">
        <w:t>in 2016</w:t>
      </w:r>
      <w:r w:rsidR="0065563F">
        <w:t>–</w:t>
      </w:r>
      <w:r w:rsidR="005740C7">
        <w:t xml:space="preserve">17 to </w:t>
      </w:r>
      <w:r w:rsidR="007B7AB6">
        <w:t>4.7</w:t>
      </w:r>
      <w:r w:rsidR="00D82CC7">
        <w:t xml:space="preserve"> per cent of GDP</w:t>
      </w:r>
      <w:r>
        <w:t xml:space="preserve"> in 2020</w:t>
      </w:r>
      <w:r w:rsidR="0065563F">
        <w:t>–</w:t>
      </w:r>
      <w:r>
        <w:t>21</w:t>
      </w:r>
      <w:r w:rsidR="00734E21">
        <w:t xml:space="preserve"> </w:t>
      </w:r>
      <w:r w:rsidR="00734E21">
        <w:br/>
        <w:t>(</w:t>
      </w:r>
      <w:r w:rsidR="00734E21">
        <w:fldChar w:fldCharType="begin"/>
      </w:r>
      <w:r w:rsidR="00734E21">
        <w:instrText xml:space="preserve"> REF _Ref496111484 \h </w:instrText>
      </w:r>
      <w:r w:rsidR="00734E21">
        <w:fldChar w:fldCharType="separate"/>
      </w:r>
      <w:r w:rsidR="00BF7361" w:rsidRPr="00D25CE5">
        <w:t xml:space="preserve">Figure </w:t>
      </w:r>
      <w:r w:rsidR="00BF7361">
        <w:rPr>
          <w:noProof/>
        </w:rPr>
        <w:t>2</w:t>
      </w:r>
      <w:r w:rsidR="00BF7361" w:rsidRPr="00D25CE5">
        <w:t>–</w:t>
      </w:r>
      <w:r w:rsidR="00BF7361">
        <w:rPr>
          <w:noProof/>
        </w:rPr>
        <w:t>14</w:t>
      </w:r>
      <w:r w:rsidR="00734E21">
        <w:fldChar w:fldCharType="end"/>
      </w:r>
      <w:r w:rsidR="00734E21">
        <w:t>)</w:t>
      </w:r>
      <w:r>
        <w:t xml:space="preserve">. This </w:t>
      </w:r>
      <w:r w:rsidR="005740C7">
        <w:t>in large part reflects the investment profile of New South Wales</w:t>
      </w:r>
      <w:r w:rsidR="006F0FA1">
        <w:t xml:space="preserve"> </w:t>
      </w:r>
      <w:r w:rsidR="00734E21">
        <w:br/>
      </w:r>
      <w:r w:rsidR="006F0FA1">
        <w:t>(</w:t>
      </w:r>
      <w:r w:rsidR="00734E21">
        <w:fldChar w:fldCharType="begin"/>
      </w:r>
      <w:r w:rsidR="00734E21">
        <w:instrText xml:space="preserve"> REF _Ref496111530 \h </w:instrText>
      </w:r>
      <w:r w:rsidR="00734E21">
        <w:fldChar w:fldCharType="separate"/>
      </w:r>
      <w:r w:rsidR="00BF7361" w:rsidRPr="00D25CE5">
        <w:t xml:space="preserve">Figure </w:t>
      </w:r>
      <w:r w:rsidR="00BF7361">
        <w:rPr>
          <w:noProof/>
        </w:rPr>
        <w:t>2</w:t>
      </w:r>
      <w:r w:rsidR="00BF7361" w:rsidRPr="00D25CE5">
        <w:t>–</w:t>
      </w:r>
      <w:r w:rsidR="00BF7361">
        <w:rPr>
          <w:noProof/>
        </w:rPr>
        <w:t>15</w:t>
      </w:r>
      <w:r w:rsidR="00734E21">
        <w:fldChar w:fldCharType="end"/>
      </w:r>
      <w:r w:rsidR="00734E21">
        <w:t>)</w:t>
      </w:r>
      <w:r w:rsidR="005740C7">
        <w:t xml:space="preserve">. </w:t>
      </w:r>
    </w:p>
    <w:p w:rsidR="00631E78" w:rsidRDefault="00631E78" w:rsidP="00A16D0C">
      <w:pPr>
        <w:pStyle w:val="BodyText"/>
      </w:pPr>
    </w:p>
    <w:tbl>
      <w:tblPr>
        <w:tblStyle w:val="TableGrid"/>
        <w:tblW w:w="8944" w:type="dxa"/>
        <w:tblLook w:val="04A0" w:firstRow="1" w:lastRow="0" w:firstColumn="1" w:lastColumn="0" w:noHBand="0" w:noVBand="1"/>
      </w:tblPr>
      <w:tblGrid>
        <w:gridCol w:w="4426"/>
        <w:gridCol w:w="4518"/>
      </w:tblGrid>
      <w:tr w:rsidR="0098372E" w:rsidTr="00D25CE5">
        <w:trPr>
          <w:cnfStyle w:val="100000000000" w:firstRow="1" w:lastRow="0" w:firstColumn="0" w:lastColumn="0" w:oddVBand="0" w:evenVBand="0" w:oddHBand="0" w:evenHBand="0" w:firstRowFirstColumn="0" w:firstRowLastColumn="0" w:lastRowFirstColumn="0" w:lastRowLastColumn="0"/>
          <w:trHeight w:val="988"/>
        </w:trPr>
        <w:tc>
          <w:tcPr>
            <w:cnfStyle w:val="001000000100" w:firstRow="0" w:lastRow="0" w:firstColumn="1" w:lastColumn="0" w:oddVBand="0" w:evenVBand="0" w:oddHBand="0" w:evenHBand="0" w:firstRowFirstColumn="1" w:firstRowLastColumn="0" w:lastRowFirstColumn="0" w:lastRowLastColumn="0"/>
            <w:tcW w:w="4426" w:type="dxa"/>
            <w:shd w:val="clear" w:color="auto" w:fill="auto"/>
          </w:tcPr>
          <w:p w:rsidR="00841D1E" w:rsidRPr="00D25CE5" w:rsidRDefault="003D3571" w:rsidP="00D25CE5">
            <w:pPr>
              <w:pStyle w:val="Caption1"/>
              <w:spacing w:after="0" w:line="240" w:lineRule="auto"/>
            </w:pPr>
            <w:bookmarkStart w:id="78" w:name="_Ref496111484"/>
            <w:bookmarkStart w:id="79" w:name="_Toc495929705"/>
            <w:r w:rsidRPr="00D25CE5">
              <w:lastRenderedPageBreak/>
              <w:t xml:space="preserve">Figure </w:t>
            </w:r>
            <w:fldSimple w:instr=" STYLEREF 1 \s ">
              <w:r w:rsidR="00BF7361">
                <w:rPr>
                  <w:noProof/>
                </w:rPr>
                <w:t>2</w:t>
              </w:r>
            </w:fldSimple>
            <w:r w:rsidRPr="00D25CE5">
              <w:t>–</w:t>
            </w:r>
            <w:fldSimple w:instr=" SEQ Figure \* ARABIC \s 1 ">
              <w:r w:rsidR="00BF7361">
                <w:rPr>
                  <w:noProof/>
                </w:rPr>
                <w:t>14</w:t>
              </w:r>
            </w:fldSimple>
            <w:bookmarkEnd w:id="78"/>
            <w:r w:rsidRPr="00D25CE5">
              <w:t>:  Aggregate state net debt</w:t>
            </w:r>
            <w:bookmarkEnd w:id="79"/>
            <w:r w:rsidR="00D32971" w:rsidRPr="00D25CE5">
              <w:t xml:space="preserve"> </w:t>
            </w:r>
          </w:p>
          <w:p w:rsidR="003D3571" w:rsidRPr="00113800" w:rsidRDefault="00113800" w:rsidP="00D25CE5">
            <w:pPr>
              <w:pStyle w:val="BodyText"/>
              <w:spacing w:before="0" w:line="240" w:lineRule="auto"/>
              <w:ind w:left="992"/>
              <w:rPr>
                <w:color w:val="auto"/>
              </w:rPr>
            </w:pPr>
            <w:r w:rsidRPr="00D25CE5">
              <w:rPr>
                <w:sz w:val="18"/>
              </w:rPr>
              <w:t>(S</w:t>
            </w:r>
            <w:r w:rsidR="00A069B1">
              <w:rPr>
                <w:color w:val="2B3B5F" w:themeColor="accent1"/>
                <w:sz w:val="18"/>
              </w:rPr>
              <w:t xml:space="preserve"> (S</w:t>
            </w:r>
            <w:r w:rsidRPr="00D25CE5">
              <w:rPr>
                <w:color w:val="2B3B5F" w:themeColor="accent1"/>
                <w:sz w:val="18"/>
              </w:rPr>
              <w:t>hare of GDP)</w:t>
            </w:r>
          </w:p>
        </w:tc>
        <w:tc>
          <w:tcPr>
            <w:tcW w:w="4518" w:type="dxa"/>
            <w:shd w:val="clear" w:color="auto" w:fill="auto"/>
          </w:tcPr>
          <w:p w:rsidR="00841D1E" w:rsidRPr="00D25CE5" w:rsidRDefault="003D3571" w:rsidP="00D25CE5">
            <w:pPr>
              <w:pStyle w:val="Caption1"/>
              <w:spacing w:after="0" w:line="240" w:lineRule="auto"/>
              <w:jc w:val="left"/>
              <w:cnfStyle w:val="100000000000" w:firstRow="1" w:lastRow="0" w:firstColumn="0" w:lastColumn="0" w:oddVBand="0" w:evenVBand="0" w:oddHBand="0" w:evenHBand="0" w:firstRowFirstColumn="0" w:firstRowLastColumn="0" w:lastRowFirstColumn="0" w:lastRowLastColumn="0"/>
            </w:pPr>
            <w:bookmarkStart w:id="80" w:name="_Ref496111530"/>
            <w:bookmarkStart w:id="81" w:name="_Toc495929706"/>
            <w:r w:rsidRPr="00D25CE5">
              <w:t xml:space="preserve">Figure </w:t>
            </w:r>
            <w:fldSimple w:instr=" STYLEREF 1 \s ">
              <w:r w:rsidR="00BF7361">
                <w:rPr>
                  <w:noProof/>
                </w:rPr>
                <w:t>2</w:t>
              </w:r>
            </w:fldSimple>
            <w:r w:rsidRPr="00D25CE5">
              <w:t>–</w:t>
            </w:r>
            <w:fldSimple w:instr=" SEQ Figure \* ARABIC \s 1 ">
              <w:r w:rsidR="00BF7361">
                <w:rPr>
                  <w:noProof/>
                </w:rPr>
                <w:t>15</w:t>
              </w:r>
            </w:fldSimple>
            <w:bookmarkEnd w:id="80"/>
            <w:r w:rsidRPr="00D25CE5">
              <w:t xml:space="preserve">:  </w:t>
            </w:r>
            <w:r w:rsidR="00373103" w:rsidRPr="00D25CE5">
              <w:t>Net debt of selected states</w:t>
            </w:r>
            <w:bookmarkEnd w:id="81"/>
            <w:r w:rsidR="00D32971" w:rsidRPr="00D25CE5">
              <w:t xml:space="preserve"> </w:t>
            </w:r>
          </w:p>
          <w:p w:rsidR="003D3571" w:rsidRPr="00373103" w:rsidRDefault="00113800" w:rsidP="00D25CE5">
            <w:pPr>
              <w:pStyle w:val="BodyText"/>
              <w:spacing w:before="0" w:line="240" w:lineRule="auto"/>
              <w:ind w:left="992"/>
              <w:jc w:val="left"/>
              <w:cnfStyle w:val="100000000000" w:firstRow="1" w:lastRow="0" w:firstColumn="0" w:lastColumn="0" w:oddVBand="0" w:evenVBand="0" w:oddHBand="0" w:evenHBand="0" w:firstRowFirstColumn="0" w:firstRowLastColumn="0" w:lastRowFirstColumn="0" w:lastRowLastColumn="0"/>
            </w:pPr>
            <w:r w:rsidRPr="00D25CE5">
              <w:rPr>
                <w:color w:val="2B3B5F" w:themeColor="accent1"/>
                <w:sz w:val="18"/>
              </w:rPr>
              <w:t xml:space="preserve">     </w:t>
            </w:r>
            <w:r w:rsidR="00A069B1">
              <w:rPr>
                <w:color w:val="2B3B5F" w:themeColor="accent1"/>
                <w:sz w:val="18"/>
              </w:rPr>
              <w:t>(S</w:t>
            </w:r>
            <w:r w:rsidR="00D32971" w:rsidRPr="00D25CE5">
              <w:rPr>
                <w:color w:val="2B3B5F" w:themeColor="accent1"/>
                <w:sz w:val="18"/>
              </w:rPr>
              <w:t>hare of GDP)</w:t>
            </w:r>
          </w:p>
        </w:tc>
      </w:tr>
      <w:tr w:rsidR="0098372E" w:rsidTr="00CC7BF8">
        <w:trPr>
          <w:cnfStyle w:val="000000100000" w:firstRow="0" w:lastRow="0" w:firstColumn="0" w:lastColumn="0" w:oddVBand="0" w:evenVBand="0" w:oddHBand="1" w:evenHBand="0" w:firstRowFirstColumn="0" w:firstRowLastColumn="0" w:lastRowFirstColumn="0" w:lastRowLastColumn="0"/>
          <w:trHeight w:val="3550"/>
        </w:trPr>
        <w:tc>
          <w:tcPr>
            <w:cnfStyle w:val="001000000000" w:firstRow="0" w:lastRow="0" w:firstColumn="1" w:lastColumn="0" w:oddVBand="0" w:evenVBand="0" w:oddHBand="0" w:evenHBand="0" w:firstRowFirstColumn="0" w:firstRowLastColumn="0" w:lastRowFirstColumn="0" w:lastRowLastColumn="0"/>
            <w:tcW w:w="4426" w:type="dxa"/>
            <w:shd w:val="clear" w:color="auto" w:fill="auto"/>
            <w:vAlign w:val="top"/>
          </w:tcPr>
          <w:p w:rsidR="003D3571" w:rsidRDefault="0028672D" w:rsidP="007D54CF">
            <w:pPr>
              <w:pStyle w:val="BodyText"/>
              <w:tabs>
                <w:tab w:val="left" w:pos="851"/>
              </w:tabs>
              <w:jc w:val="center"/>
            </w:pPr>
            <w:r>
              <w:rPr>
                <w:noProof/>
              </w:rPr>
              <w:drawing>
                <wp:inline distT="0" distB="0" distL="0" distR="0" wp14:anchorId="310E8BCB">
                  <wp:extent cx="2582562" cy="3274540"/>
                  <wp:effectExtent l="0" t="0" r="8255" b="254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87325" cy="3280579"/>
                          </a:xfrm>
                          <a:prstGeom prst="rect">
                            <a:avLst/>
                          </a:prstGeom>
                          <a:noFill/>
                        </pic:spPr>
                      </pic:pic>
                    </a:graphicData>
                  </a:graphic>
                </wp:inline>
              </w:drawing>
            </w:r>
          </w:p>
          <w:p w:rsidR="00E56C0B" w:rsidRPr="00550B44" w:rsidRDefault="00E56C0B" w:rsidP="00550B44">
            <w:pPr>
              <w:pStyle w:val="Source"/>
              <w:spacing w:before="114"/>
              <w:rPr>
                <w:sz w:val="18"/>
                <w:szCs w:val="18"/>
              </w:rPr>
            </w:pPr>
            <w:r w:rsidRPr="00550B44">
              <w:rPr>
                <w:sz w:val="18"/>
                <w:szCs w:val="18"/>
              </w:rPr>
              <w:t>Source: ABS, state budget papers</w:t>
            </w:r>
            <w:r w:rsidR="0010163B" w:rsidRPr="00550B44">
              <w:rPr>
                <w:sz w:val="18"/>
                <w:szCs w:val="18"/>
              </w:rPr>
              <w:t xml:space="preserve">, </w:t>
            </w:r>
            <w:r w:rsidRPr="00550B44">
              <w:rPr>
                <w:sz w:val="18"/>
                <w:szCs w:val="18"/>
              </w:rPr>
              <w:t>PBO analysis.</w:t>
            </w:r>
          </w:p>
        </w:tc>
        <w:tc>
          <w:tcPr>
            <w:tcW w:w="4518" w:type="dxa"/>
            <w:shd w:val="clear" w:color="auto" w:fill="auto"/>
            <w:vAlign w:val="top"/>
          </w:tcPr>
          <w:p w:rsidR="003D3571" w:rsidRPr="00373103" w:rsidRDefault="00D32971" w:rsidP="003059B6">
            <w:pPr>
              <w:pStyle w:val="Body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68265541">
                  <wp:extent cx="2683775" cy="3274541"/>
                  <wp:effectExtent l="0" t="0" r="2540" b="25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83805" cy="3274577"/>
                          </a:xfrm>
                          <a:prstGeom prst="rect">
                            <a:avLst/>
                          </a:prstGeom>
                          <a:noFill/>
                        </pic:spPr>
                      </pic:pic>
                    </a:graphicData>
                  </a:graphic>
                </wp:inline>
              </w:drawing>
            </w:r>
          </w:p>
          <w:p w:rsidR="00E56C0B" w:rsidRPr="00373103" w:rsidRDefault="004C7E93" w:rsidP="00550B44">
            <w:pPr>
              <w:pStyle w:val="Source"/>
              <w:spacing w:before="114"/>
              <w:cnfStyle w:val="000000100000" w:firstRow="0" w:lastRow="0" w:firstColumn="0" w:lastColumn="0" w:oddVBand="0" w:evenVBand="0" w:oddHBand="1" w:evenHBand="0" w:firstRowFirstColumn="0" w:firstRowLastColumn="0" w:lastRowFirstColumn="0" w:lastRowLastColumn="0"/>
            </w:pPr>
            <w:r w:rsidRPr="00550B44">
              <w:rPr>
                <w:sz w:val="18"/>
                <w:szCs w:val="18"/>
              </w:rPr>
              <w:t>Source: ABS, state budget papers</w:t>
            </w:r>
            <w:r w:rsidR="0010163B" w:rsidRPr="00550B44">
              <w:rPr>
                <w:sz w:val="18"/>
                <w:szCs w:val="18"/>
              </w:rPr>
              <w:t xml:space="preserve">, </w:t>
            </w:r>
            <w:r w:rsidRPr="00550B44">
              <w:rPr>
                <w:sz w:val="18"/>
                <w:szCs w:val="18"/>
              </w:rPr>
              <w:t>PBO analysis</w:t>
            </w:r>
            <w:r w:rsidRPr="00373103">
              <w:t>.</w:t>
            </w:r>
          </w:p>
        </w:tc>
      </w:tr>
    </w:tbl>
    <w:p w:rsidR="00CC7BF8" w:rsidRDefault="000245CA" w:rsidP="00550B44">
      <w:pPr>
        <w:pStyle w:val="BodyText17ptAbove"/>
      </w:pPr>
      <w:r>
        <w:t xml:space="preserve">The </w:t>
      </w:r>
      <w:r w:rsidR="00CC7BF8">
        <w:t>fall in</w:t>
      </w:r>
      <w:r>
        <w:t xml:space="preserve"> net debt in</w:t>
      </w:r>
      <w:r w:rsidR="00CC7BF8">
        <w:t xml:space="preserve"> 2016</w:t>
      </w:r>
      <w:r w:rsidR="0065563F">
        <w:t>–</w:t>
      </w:r>
      <w:r w:rsidR="00CC7BF8">
        <w:t xml:space="preserve">17 </w:t>
      </w:r>
      <w:r>
        <w:t xml:space="preserve">reflects </w:t>
      </w:r>
      <w:r w:rsidR="0096464F">
        <w:t xml:space="preserve">the proceeds from </w:t>
      </w:r>
      <w:r w:rsidR="00E92520">
        <w:t>the sale of non</w:t>
      </w:r>
      <w:r w:rsidR="0065563F">
        <w:t>-</w:t>
      </w:r>
      <w:r w:rsidR="00E92520">
        <w:t>financial assets</w:t>
      </w:r>
      <w:r w:rsidR="0096464F">
        <w:t>;</w:t>
      </w:r>
      <w:r>
        <w:t xml:space="preserve"> the </w:t>
      </w:r>
      <w:r w:rsidR="00F03268">
        <w:t>partial lease of two government-</w:t>
      </w:r>
      <w:r>
        <w:t>owned el</w:t>
      </w:r>
      <w:r w:rsidR="0096464F">
        <w:t>ectricity network businesses</w:t>
      </w:r>
      <w:r>
        <w:t xml:space="preserve"> </w:t>
      </w:r>
      <w:proofErr w:type="spellStart"/>
      <w:r>
        <w:t>Ausgrid</w:t>
      </w:r>
      <w:proofErr w:type="spellEnd"/>
      <w:r>
        <w:t xml:space="preserve"> and Endeavour Energy in </w:t>
      </w:r>
      <w:r w:rsidR="00CC7BF8">
        <w:t xml:space="preserve">New South Wales and </w:t>
      </w:r>
      <w:r>
        <w:t xml:space="preserve">the partial long-term lease for the Port of Melbourne in </w:t>
      </w:r>
      <w:r w:rsidR="00CC7BF8">
        <w:t>Victoria.</w:t>
      </w:r>
      <w:r w:rsidR="0096464F">
        <w:t xml:space="preserve"> </w:t>
      </w:r>
      <w:r w:rsidR="00E92520">
        <w:t xml:space="preserve"> </w:t>
      </w:r>
      <w:r w:rsidR="0096464F">
        <w:t>A</w:t>
      </w:r>
      <w:r w:rsidR="00CC7BF8">
        <w:t>s the proceeds from these sales are reinveste</w:t>
      </w:r>
      <w:r w:rsidR="0096464F">
        <w:t>d into other capital projects, net debt rises</w:t>
      </w:r>
      <w:r w:rsidR="00CC7BF8">
        <w:t xml:space="preserve">. </w:t>
      </w:r>
    </w:p>
    <w:p w:rsidR="00CC7BF8" w:rsidRDefault="00CC7BF8" w:rsidP="0096464F">
      <w:pPr>
        <w:pStyle w:val="BodyText"/>
      </w:pPr>
      <w:r>
        <w:t>Queensland</w:t>
      </w:r>
      <w:r w:rsidR="00F752BB">
        <w:t>’s net debt also declines as a percentage of GDP at the beginning of the f</w:t>
      </w:r>
      <w:r w:rsidR="003F3064">
        <w:t>orward estimates, reflecting</w:t>
      </w:r>
      <w:r w:rsidR="00F752BB">
        <w:t xml:space="preserve"> increased</w:t>
      </w:r>
      <w:r>
        <w:t xml:space="preserve"> </w:t>
      </w:r>
      <w:r w:rsidR="00F752BB">
        <w:t xml:space="preserve">royalty </w:t>
      </w:r>
      <w:r>
        <w:t>revenue in 201</w:t>
      </w:r>
      <w:r w:rsidR="0096464F">
        <w:t>6</w:t>
      </w:r>
      <w:r w:rsidR="0065563F">
        <w:t>–</w:t>
      </w:r>
      <w:r w:rsidR="0096464F">
        <w:t>1</w:t>
      </w:r>
      <w:r w:rsidR="00E92520">
        <w:t>7</w:t>
      </w:r>
      <w:r w:rsidR="00F752BB">
        <w:t xml:space="preserve">. </w:t>
      </w:r>
      <w:r w:rsidR="00E92520">
        <w:t xml:space="preserve"> </w:t>
      </w:r>
      <w:r w:rsidR="00F752BB">
        <w:t xml:space="preserve">Net debt then increases </w:t>
      </w:r>
      <w:r>
        <w:t>as a result of increased borrowings to fund infrastructure projects over the remainder of the forward estimates</w:t>
      </w:r>
      <w:r w:rsidR="005740C7">
        <w:t xml:space="preserve"> period</w:t>
      </w:r>
      <w:r>
        <w:t>.</w:t>
      </w:r>
      <w:r w:rsidR="00E92520">
        <w:t xml:space="preserve"> </w:t>
      </w:r>
    </w:p>
    <w:p w:rsidR="00A13D0D" w:rsidRDefault="005B4484" w:rsidP="005B4484">
      <w:pPr>
        <w:pStyle w:val="ListBullet"/>
        <w:numPr>
          <w:ilvl w:val="0"/>
          <w:numId w:val="0"/>
        </w:numPr>
      </w:pPr>
      <w:r w:rsidRPr="003F3064">
        <w:t xml:space="preserve">Western Australia’s net debt position reflects increased infrastructure spending on </w:t>
      </w:r>
      <w:r w:rsidR="003F3064" w:rsidRPr="003F3064">
        <w:t xml:space="preserve">rail projects </w:t>
      </w:r>
      <w:r w:rsidRPr="003F3064">
        <w:t>in 2016</w:t>
      </w:r>
      <w:r w:rsidR="0065563F">
        <w:t>–</w:t>
      </w:r>
      <w:r w:rsidRPr="003F3064">
        <w:t>17 and 20</w:t>
      </w:r>
      <w:r w:rsidR="00DE4114" w:rsidRPr="003F3064">
        <w:t>17</w:t>
      </w:r>
      <w:r w:rsidR="0065563F">
        <w:t>–</w:t>
      </w:r>
      <w:r w:rsidR="00DE4114" w:rsidRPr="003F3064">
        <w:t xml:space="preserve">18, combined with </w:t>
      </w:r>
      <w:r w:rsidR="003F3064" w:rsidRPr="003F3064">
        <w:t>borrowing to fund</w:t>
      </w:r>
      <w:r w:rsidRPr="003F3064">
        <w:t xml:space="preserve"> operating </w:t>
      </w:r>
      <w:r w:rsidR="00DE4114" w:rsidRPr="003F3064">
        <w:t xml:space="preserve">deficits </w:t>
      </w:r>
      <w:r w:rsidRPr="003F3064">
        <w:t>over the forward estimates</w:t>
      </w:r>
      <w:r w:rsidR="002B0A23" w:rsidRPr="003F3064">
        <w:t xml:space="preserve"> to 2019</w:t>
      </w:r>
      <w:r w:rsidR="0065563F">
        <w:t>–</w:t>
      </w:r>
      <w:r w:rsidR="002B0A23" w:rsidRPr="003F3064">
        <w:t>20</w:t>
      </w:r>
      <w:r w:rsidRPr="003F3064">
        <w:t>.</w:t>
      </w:r>
      <w:r>
        <w:t xml:space="preserve"> </w:t>
      </w:r>
    </w:p>
    <w:p w:rsidR="00041957" w:rsidRDefault="00041957" w:rsidP="003C1059">
      <w:pPr>
        <w:pStyle w:val="BodyText"/>
      </w:pPr>
    </w:p>
    <w:p w:rsidR="00041957" w:rsidRDefault="00041957" w:rsidP="003C1059">
      <w:pPr>
        <w:pStyle w:val="BodyText"/>
      </w:pPr>
    </w:p>
    <w:p w:rsidR="00041957" w:rsidRDefault="00041957" w:rsidP="003C1059">
      <w:pPr>
        <w:pStyle w:val="BodyText"/>
      </w:pPr>
    </w:p>
    <w:p w:rsidR="00041957" w:rsidRDefault="00041957" w:rsidP="003C1059">
      <w:pPr>
        <w:pStyle w:val="BodyText"/>
      </w:pPr>
    </w:p>
    <w:p w:rsidR="00041957" w:rsidRDefault="00041957" w:rsidP="003C1059">
      <w:pPr>
        <w:pStyle w:val="BodyText"/>
      </w:pPr>
    </w:p>
    <w:p w:rsidR="00041957" w:rsidRDefault="00041957" w:rsidP="003C1059">
      <w:pPr>
        <w:pStyle w:val="BodyText"/>
      </w:pPr>
    </w:p>
    <w:p w:rsidR="00B22A14" w:rsidRDefault="00B22A14" w:rsidP="00B22A14">
      <w:pPr>
        <w:pStyle w:val="Heading1"/>
        <w:sectPr w:rsidR="00B22A14" w:rsidSect="007B673E">
          <w:footerReference w:type="default" r:id="rId49"/>
          <w:type w:val="oddPage"/>
          <w:pgSz w:w="11906" w:h="16838" w:code="9"/>
          <w:pgMar w:top="1361" w:right="1797" w:bottom="1474" w:left="1797" w:header="284" w:footer="454" w:gutter="0"/>
          <w:cols w:space="708"/>
          <w:docGrid w:linePitch="360"/>
        </w:sectPr>
      </w:pPr>
    </w:p>
    <w:p w:rsidR="00665B3E" w:rsidRPr="00665B3E" w:rsidRDefault="00B22A14" w:rsidP="00665B3E">
      <w:pPr>
        <w:pStyle w:val="Heading1"/>
        <w:numPr>
          <w:ilvl w:val="0"/>
          <w:numId w:val="0"/>
        </w:numPr>
      </w:pPr>
      <w:bookmarkStart w:id="82" w:name="_Toc495678481"/>
      <w:bookmarkStart w:id="83" w:name="_Toc496168776"/>
      <w:r>
        <w:lastRenderedPageBreak/>
        <w:t xml:space="preserve">Appendix </w:t>
      </w:r>
      <w:proofErr w:type="gramStart"/>
      <w:r>
        <w:t>A</w:t>
      </w:r>
      <w:proofErr w:type="gramEnd"/>
      <w:r>
        <w:t xml:space="preserve"> </w:t>
      </w:r>
      <w:r w:rsidR="00E5345A">
        <w:t>—</w:t>
      </w:r>
      <w:r>
        <w:t xml:space="preserve"> </w:t>
      </w:r>
      <w:r w:rsidR="00504D59">
        <w:t>S</w:t>
      </w:r>
      <w:r>
        <w:t>tate net operating balances</w:t>
      </w:r>
      <w:bookmarkEnd w:id="82"/>
      <w:bookmarkEnd w:id="83"/>
    </w:p>
    <w:tbl>
      <w:tblPr>
        <w:tblStyle w:val="TableGrid"/>
        <w:tblW w:w="8944" w:type="dxa"/>
        <w:tblLook w:val="04A0" w:firstRow="1" w:lastRow="0" w:firstColumn="1" w:lastColumn="0" w:noHBand="0" w:noVBand="1"/>
      </w:tblPr>
      <w:tblGrid>
        <w:gridCol w:w="4697"/>
        <w:gridCol w:w="4696"/>
      </w:tblGrid>
      <w:tr w:rsidR="00041957" w:rsidTr="00EA5C65">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4426" w:type="dxa"/>
            <w:shd w:val="clear" w:color="auto" w:fill="auto"/>
          </w:tcPr>
          <w:p w:rsidR="00041957" w:rsidRPr="00D124C4" w:rsidRDefault="00412325" w:rsidP="00EA5C65">
            <w:pPr>
              <w:pStyle w:val="Caption"/>
              <w:spacing w:before="0" w:after="0"/>
            </w:pPr>
            <w:r w:rsidRPr="00C94A50">
              <w:t>New South Wales</w:t>
            </w:r>
          </w:p>
        </w:tc>
        <w:tc>
          <w:tcPr>
            <w:tcW w:w="4518" w:type="dxa"/>
            <w:shd w:val="clear" w:color="auto" w:fill="auto"/>
          </w:tcPr>
          <w:p w:rsidR="00041957" w:rsidRPr="00373103" w:rsidRDefault="00412325" w:rsidP="00EA5C65">
            <w:pPr>
              <w:pStyle w:val="Caption"/>
              <w:spacing w:before="0" w:after="0"/>
              <w:jc w:val="left"/>
              <w:cnfStyle w:val="100000000000" w:firstRow="1" w:lastRow="0" w:firstColumn="0" w:lastColumn="0" w:oddVBand="0" w:evenVBand="0" w:oddHBand="0" w:evenHBand="0" w:firstRowFirstColumn="0" w:firstRowLastColumn="0" w:lastRowFirstColumn="0" w:lastRowLastColumn="0"/>
            </w:pPr>
            <w:r>
              <w:t>Victoria</w:t>
            </w:r>
          </w:p>
        </w:tc>
      </w:tr>
      <w:tr w:rsidR="00041957" w:rsidTr="00EA5C65">
        <w:trPr>
          <w:cnfStyle w:val="000000100000" w:firstRow="0" w:lastRow="0" w:firstColumn="0" w:lastColumn="0" w:oddVBand="0" w:evenVBand="0" w:oddHBand="1" w:evenHBand="0" w:firstRowFirstColumn="0" w:firstRowLastColumn="0" w:lastRowFirstColumn="0" w:lastRowLastColumn="0"/>
          <w:trHeight w:val="3550"/>
        </w:trPr>
        <w:tc>
          <w:tcPr>
            <w:cnfStyle w:val="001000000000" w:firstRow="0" w:lastRow="0" w:firstColumn="1" w:lastColumn="0" w:oddVBand="0" w:evenVBand="0" w:oddHBand="0" w:evenHBand="0" w:firstRowFirstColumn="0" w:firstRowLastColumn="0" w:lastRowFirstColumn="0" w:lastRowLastColumn="0"/>
            <w:tcW w:w="4426" w:type="dxa"/>
            <w:shd w:val="clear" w:color="auto" w:fill="auto"/>
            <w:vAlign w:val="top"/>
          </w:tcPr>
          <w:p w:rsidR="00041957" w:rsidRDefault="004E1C6B" w:rsidP="00EA5C65">
            <w:pPr>
              <w:pStyle w:val="BodyText"/>
              <w:tabs>
                <w:tab w:val="left" w:pos="851"/>
              </w:tabs>
              <w:jc w:val="center"/>
            </w:pPr>
            <w:r>
              <w:rPr>
                <w:noProof/>
              </w:rPr>
              <w:drawing>
                <wp:inline distT="0" distB="0" distL="0" distR="0" wp14:anchorId="330B820F" wp14:editId="5B89352A">
                  <wp:extent cx="2839585" cy="3243649"/>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39106" cy="3243102"/>
                          </a:xfrm>
                          <a:prstGeom prst="rect">
                            <a:avLst/>
                          </a:prstGeom>
                          <a:noFill/>
                        </pic:spPr>
                      </pic:pic>
                    </a:graphicData>
                  </a:graphic>
                </wp:inline>
              </w:drawing>
            </w:r>
          </w:p>
          <w:p w:rsidR="00041957" w:rsidRDefault="00041957" w:rsidP="00EA5C65">
            <w:pPr>
              <w:pStyle w:val="Source"/>
            </w:pPr>
            <w:r w:rsidRPr="00550B44">
              <w:rPr>
                <w:sz w:val="18"/>
                <w:szCs w:val="18"/>
              </w:rPr>
              <w:t>Source: ABS, state budget papers, PBO analysis.</w:t>
            </w:r>
          </w:p>
        </w:tc>
        <w:tc>
          <w:tcPr>
            <w:tcW w:w="4518" w:type="dxa"/>
            <w:shd w:val="clear" w:color="auto" w:fill="auto"/>
            <w:vAlign w:val="top"/>
          </w:tcPr>
          <w:p w:rsidR="00041957" w:rsidRPr="00373103" w:rsidRDefault="0013469B" w:rsidP="00EA5C65">
            <w:pPr>
              <w:pStyle w:val="Body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3067AEAF">
                  <wp:extent cx="2832379" cy="3243649"/>
                  <wp:effectExtent l="0" t="0" r="635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30935" cy="3241995"/>
                          </a:xfrm>
                          <a:prstGeom prst="rect">
                            <a:avLst/>
                          </a:prstGeom>
                          <a:noFill/>
                        </pic:spPr>
                      </pic:pic>
                    </a:graphicData>
                  </a:graphic>
                </wp:inline>
              </w:drawing>
            </w:r>
          </w:p>
          <w:p w:rsidR="00041957" w:rsidRPr="00550B44" w:rsidRDefault="00041957" w:rsidP="00EA5C65">
            <w:pPr>
              <w:pStyle w:val="Source"/>
              <w:cnfStyle w:val="000000100000" w:firstRow="0" w:lastRow="0" w:firstColumn="0" w:lastColumn="0" w:oddVBand="0" w:evenVBand="0" w:oddHBand="1" w:evenHBand="0" w:firstRowFirstColumn="0" w:firstRowLastColumn="0" w:lastRowFirstColumn="0" w:lastRowLastColumn="0"/>
              <w:rPr>
                <w:sz w:val="18"/>
                <w:szCs w:val="18"/>
              </w:rPr>
            </w:pPr>
            <w:r w:rsidRPr="00550B44">
              <w:rPr>
                <w:sz w:val="18"/>
                <w:szCs w:val="18"/>
              </w:rPr>
              <w:t>Source: ABS, state budget papers, PBO analysis.</w:t>
            </w:r>
          </w:p>
        </w:tc>
      </w:tr>
      <w:tr w:rsidR="00CA3830" w:rsidTr="00412325">
        <w:trPr>
          <w:trHeight w:val="401"/>
        </w:trPr>
        <w:tc>
          <w:tcPr>
            <w:cnfStyle w:val="001000000000" w:firstRow="0" w:lastRow="0" w:firstColumn="1" w:lastColumn="0" w:oddVBand="0" w:evenVBand="0" w:oddHBand="0" w:evenHBand="0" w:firstRowFirstColumn="0" w:firstRowLastColumn="0" w:lastRowFirstColumn="0" w:lastRowLastColumn="0"/>
            <w:tcW w:w="4426" w:type="dxa"/>
          </w:tcPr>
          <w:p w:rsidR="00412325" w:rsidRPr="00D124C4" w:rsidRDefault="00412325" w:rsidP="00EA5C65">
            <w:pPr>
              <w:pStyle w:val="Caption"/>
              <w:spacing w:before="0" w:after="0"/>
            </w:pPr>
            <w:r>
              <w:t>Queensland</w:t>
            </w:r>
          </w:p>
        </w:tc>
        <w:tc>
          <w:tcPr>
            <w:tcW w:w="4518" w:type="dxa"/>
          </w:tcPr>
          <w:p w:rsidR="00412325" w:rsidRPr="00373103" w:rsidRDefault="00412325" w:rsidP="00EA5C65">
            <w:pPr>
              <w:pStyle w:val="Caption"/>
              <w:spacing w:before="0" w:after="0"/>
              <w:cnfStyle w:val="000000000000" w:firstRow="0" w:lastRow="0" w:firstColumn="0" w:lastColumn="0" w:oddVBand="0" w:evenVBand="0" w:oddHBand="0" w:evenHBand="0" w:firstRowFirstColumn="0" w:firstRowLastColumn="0" w:lastRowFirstColumn="0" w:lastRowLastColumn="0"/>
            </w:pPr>
            <w:r>
              <w:t>Western Australia</w:t>
            </w:r>
          </w:p>
        </w:tc>
      </w:tr>
      <w:tr w:rsidR="00CA3830" w:rsidTr="00412325">
        <w:trPr>
          <w:cnfStyle w:val="000000100000" w:firstRow="0" w:lastRow="0" w:firstColumn="0" w:lastColumn="0" w:oddVBand="0" w:evenVBand="0" w:oddHBand="1" w:evenHBand="0" w:firstRowFirstColumn="0" w:firstRowLastColumn="0" w:lastRowFirstColumn="0" w:lastRowLastColumn="0"/>
          <w:trHeight w:val="3550"/>
        </w:trPr>
        <w:tc>
          <w:tcPr>
            <w:cnfStyle w:val="001000000000" w:firstRow="0" w:lastRow="0" w:firstColumn="1" w:lastColumn="0" w:oddVBand="0" w:evenVBand="0" w:oddHBand="0" w:evenHBand="0" w:firstRowFirstColumn="0" w:firstRowLastColumn="0" w:lastRowFirstColumn="0" w:lastRowLastColumn="0"/>
            <w:tcW w:w="4426" w:type="dxa"/>
            <w:shd w:val="clear" w:color="auto" w:fill="auto"/>
          </w:tcPr>
          <w:p w:rsidR="00412325" w:rsidRDefault="0013469B" w:rsidP="00EA5C65">
            <w:pPr>
              <w:pStyle w:val="BodyText"/>
              <w:tabs>
                <w:tab w:val="left" w:pos="851"/>
              </w:tabs>
              <w:jc w:val="center"/>
            </w:pPr>
            <w:r>
              <w:rPr>
                <w:noProof/>
              </w:rPr>
              <w:drawing>
                <wp:inline distT="0" distB="0" distL="0" distR="0" wp14:anchorId="27A3AAA8">
                  <wp:extent cx="2755900" cy="3255645"/>
                  <wp:effectExtent l="0" t="0" r="6350" b="190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55900" cy="3255645"/>
                          </a:xfrm>
                          <a:prstGeom prst="rect">
                            <a:avLst/>
                          </a:prstGeom>
                          <a:noFill/>
                        </pic:spPr>
                      </pic:pic>
                    </a:graphicData>
                  </a:graphic>
                </wp:inline>
              </w:drawing>
            </w:r>
          </w:p>
          <w:p w:rsidR="00412325" w:rsidRPr="00550B44" w:rsidRDefault="00412325" w:rsidP="00EA5C65">
            <w:pPr>
              <w:pStyle w:val="Source"/>
              <w:rPr>
                <w:sz w:val="18"/>
                <w:szCs w:val="18"/>
              </w:rPr>
            </w:pPr>
            <w:r w:rsidRPr="00550B44">
              <w:rPr>
                <w:sz w:val="18"/>
                <w:szCs w:val="18"/>
              </w:rPr>
              <w:t>Source: ABS, state budget papers, PBO analysis.</w:t>
            </w:r>
          </w:p>
        </w:tc>
        <w:tc>
          <w:tcPr>
            <w:tcW w:w="4518" w:type="dxa"/>
            <w:shd w:val="clear" w:color="auto" w:fill="auto"/>
          </w:tcPr>
          <w:p w:rsidR="00412325" w:rsidRPr="00412325" w:rsidRDefault="0013469B" w:rsidP="00EA5C65">
            <w:pPr>
              <w:pStyle w:val="Body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1BCCAB93">
                  <wp:extent cx="2687595" cy="3226989"/>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90835" cy="3230880"/>
                          </a:xfrm>
                          <a:prstGeom prst="rect">
                            <a:avLst/>
                          </a:prstGeom>
                          <a:noFill/>
                        </pic:spPr>
                      </pic:pic>
                    </a:graphicData>
                  </a:graphic>
                </wp:inline>
              </w:drawing>
            </w:r>
          </w:p>
          <w:p w:rsidR="00412325" w:rsidRPr="00550B44" w:rsidRDefault="00412325" w:rsidP="00EA5C65">
            <w:pPr>
              <w:pStyle w:val="Source"/>
              <w:cnfStyle w:val="000000100000" w:firstRow="0" w:lastRow="0" w:firstColumn="0" w:lastColumn="0" w:oddVBand="0" w:evenVBand="0" w:oddHBand="1" w:evenHBand="0" w:firstRowFirstColumn="0" w:firstRowLastColumn="0" w:lastRowFirstColumn="0" w:lastRowLastColumn="0"/>
              <w:rPr>
                <w:sz w:val="18"/>
                <w:szCs w:val="18"/>
              </w:rPr>
            </w:pPr>
            <w:r w:rsidRPr="00550B44">
              <w:rPr>
                <w:sz w:val="18"/>
                <w:szCs w:val="18"/>
              </w:rPr>
              <w:t>Source: ABS, state budget papers, PBO analysis.</w:t>
            </w:r>
          </w:p>
        </w:tc>
      </w:tr>
    </w:tbl>
    <w:p w:rsidR="00041957" w:rsidRDefault="00041957" w:rsidP="003C1059">
      <w:pPr>
        <w:pStyle w:val="BodyText"/>
      </w:pPr>
    </w:p>
    <w:tbl>
      <w:tblPr>
        <w:tblStyle w:val="TableGrid"/>
        <w:tblW w:w="9368" w:type="dxa"/>
        <w:tblLook w:val="04A0" w:firstRow="1" w:lastRow="0" w:firstColumn="1" w:lastColumn="0" w:noHBand="0" w:noVBand="1"/>
      </w:tblPr>
      <w:tblGrid>
        <w:gridCol w:w="4730"/>
        <w:gridCol w:w="4638"/>
      </w:tblGrid>
      <w:tr w:rsidR="00412325" w:rsidTr="003C1059">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4730" w:type="dxa"/>
            <w:shd w:val="clear" w:color="auto" w:fill="auto"/>
          </w:tcPr>
          <w:p w:rsidR="00412325" w:rsidRPr="00D124C4" w:rsidRDefault="00412325" w:rsidP="00EA5C65">
            <w:pPr>
              <w:pStyle w:val="Caption"/>
              <w:spacing w:before="0" w:after="0"/>
            </w:pPr>
            <w:r>
              <w:lastRenderedPageBreak/>
              <w:t>South Australia</w:t>
            </w:r>
          </w:p>
        </w:tc>
        <w:tc>
          <w:tcPr>
            <w:tcW w:w="4638" w:type="dxa"/>
            <w:shd w:val="clear" w:color="auto" w:fill="auto"/>
          </w:tcPr>
          <w:p w:rsidR="00412325" w:rsidRPr="00373103" w:rsidRDefault="00412325" w:rsidP="00EA5C65">
            <w:pPr>
              <w:pStyle w:val="Caption"/>
              <w:spacing w:before="0" w:after="0"/>
              <w:jc w:val="left"/>
              <w:cnfStyle w:val="100000000000" w:firstRow="1" w:lastRow="0" w:firstColumn="0" w:lastColumn="0" w:oddVBand="0" w:evenVBand="0" w:oddHBand="0" w:evenHBand="0" w:firstRowFirstColumn="0" w:firstRowLastColumn="0" w:lastRowFirstColumn="0" w:lastRowLastColumn="0"/>
            </w:pPr>
            <w:r>
              <w:t>Tasmania</w:t>
            </w:r>
          </w:p>
        </w:tc>
      </w:tr>
      <w:tr w:rsidR="00412325" w:rsidTr="003C1059">
        <w:trPr>
          <w:cnfStyle w:val="000000100000" w:firstRow="0" w:lastRow="0" w:firstColumn="0" w:lastColumn="0" w:oddVBand="0" w:evenVBand="0" w:oddHBand="1" w:evenHBand="0" w:firstRowFirstColumn="0" w:firstRowLastColumn="0" w:lastRowFirstColumn="0" w:lastRowLastColumn="0"/>
          <w:trHeight w:val="3550"/>
        </w:trPr>
        <w:tc>
          <w:tcPr>
            <w:cnfStyle w:val="001000000000" w:firstRow="0" w:lastRow="0" w:firstColumn="1" w:lastColumn="0" w:oddVBand="0" w:evenVBand="0" w:oddHBand="0" w:evenHBand="0" w:firstRowFirstColumn="0" w:firstRowLastColumn="0" w:lastRowFirstColumn="0" w:lastRowLastColumn="0"/>
            <w:tcW w:w="4730" w:type="dxa"/>
            <w:shd w:val="clear" w:color="auto" w:fill="auto"/>
            <w:vAlign w:val="top"/>
          </w:tcPr>
          <w:p w:rsidR="00412325" w:rsidRDefault="0013469B" w:rsidP="00EA5C65">
            <w:pPr>
              <w:pStyle w:val="BodyText"/>
              <w:tabs>
                <w:tab w:val="left" w:pos="851"/>
              </w:tabs>
              <w:jc w:val="center"/>
            </w:pPr>
            <w:r>
              <w:rPr>
                <w:noProof/>
              </w:rPr>
              <w:drawing>
                <wp:inline distT="0" distB="0" distL="0" distR="0" wp14:anchorId="7129B4CD" wp14:editId="680A0332">
                  <wp:extent cx="2853055" cy="3335020"/>
                  <wp:effectExtent l="0" t="0" r="444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53055" cy="3335020"/>
                          </a:xfrm>
                          <a:prstGeom prst="rect">
                            <a:avLst/>
                          </a:prstGeom>
                          <a:noFill/>
                        </pic:spPr>
                      </pic:pic>
                    </a:graphicData>
                  </a:graphic>
                </wp:inline>
              </w:drawing>
            </w:r>
          </w:p>
          <w:p w:rsidR="00412325" w:rsidRDefault="00412325" w:rsidP="00EA5C65">
            <w:pPr>
              <w:pStyle w:val="Source"/>
            </w:pPr>
            <w:r w:rsidRPr="00550B44">
              <w:rPr>
                <w:sz w:val="18"/>
                <w:szCs w:val="18"/>
              </w:rPr>
              <w:t>Source: ABS, state budget papers, PBO analysis.</w:t>
            </w:r>
          </w:p>
        </w:tc>
        <w:tc>
          <w:tcPr>
            <w:tcW w:w="4638" w:type="dxa"/>
            <w:shd w:val="clear" w:color="auto" w:fill="auto"/>
            <w:vAlign w:val="top"/>
          </w:tcPr>
          <w:p w:rsidR="00412325" w:rsidRPr="00373103" w:rsidRDefault="0013469B" w:rsidP="00EA5C65">
            <w:pPr>
              <w:pStyle w:val="Body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63299690" wp14:editId="4D8206C0">
                  <wp:extent cx="2767913" cy="3335171"/>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72531" cy="3340735"/>
                          </a:xfrm>
                          <a:prstGeom prst="rect">
                            <a:avLst/>
                          </a:prstGeom>
                          <a:noFill/>
                        </pic:spPr>
                      </pic:pic>
                    </a:graphicData>
                  </a:graphic>
                </wp:inline>
              </w:drawing>
            </w:r>
          </w:p>
          <w:p w:rsidR="00412325" w:rsidRPr="00550B44" w:rsidRDefault="00412325" w:rsidP="00EA5C65">
            <w:pPr>
              <w:pStyle w:val="Source"/>
              <w:cnfStyle w:val="000000100000" w:firstRow="0" w:lastRow="0" w:firstColumn="0" w:lastColumn="0" w:oddVBand="0" w:evenVBand="0" w:oddHBand="1" w:evenHBand="0" w:firstRowFirstColumn="0" w:firstRowLastColumn="0" w:lastRowFirstColumn="0" w:lastRowLastColumn="0"/>
              <w:rPr>
                <w:sz w:val="18"/>
                <w:szCs w:val="18"/>
              </w:rPr>
            </w:pPr>
            <w:r w:rsidRPr="00550B44">
              <w:rPr>
                <w:sz w:val="18"/>
                <w:szCs w:val="18"/>
              </w:rPr>
              <w:t>Source: ABS, state budget papers, PBO analysis.</w:t>
            </w:r>
          </w:p>
        </w:tc>
      </w:tr>
      <w:tr w:rsidR="00412325" w:rsidTr="003C1059">
        <w:trPr>
          <w:trHeight w:val="401"/>
        </w:trPr>
        <w:tc>
          <w:tcPr>
            <w:cnfStyle w:val="001000000000" w:firstRow="0" w:lastRow="0" w:firstColumn="1" w:lastColumn="0" w:oddVBand="0" w:evenVBand="0" w:oddHBand="0" w:evenHBand="0" w:firstRowFirstColumn="0" w:firstRowLastColumn="0" w:lastRowFirstColumn="0" w:lastRowLastColumn="0"/>
            <w:tcW w:w="4730" w:type="dxa"/>
          </w:tcPr>
          <w:p w:rsidR="00412325" w:rsidRPr="00D124C4" w:rsidRDefault="00412325" w:rsidP="00EA5C65">
            <w:pPr>
              <w:pStyle w:val="Caption"/>
              <w:spacing w:before="0" w:after="0"/>
            </w:pPr>
            <w:r>
              <w:t>Australian Capital Territory</w:t>
            </w:r>
          </w:p>
        </w:tc>
        <w:tc>
          <w:tcPr>
            <w:tcW w:w="4638" w:type="dxa"/>
          </w:tcPr>
          <w:p w:rsidR="00412325" w:rsidRPr="00412325" w:rsidRDefault="00412325">
            <w:pPr>
              <w:pStyle w:val="Caption"/>
              <w:spacing w:before="0" w:after="0"/>
              <w:cnfStyle w:val="000000000000" w:firstRow="0" w:lastRow="0" w:firstColumn="0" w:lastColumn="0" w:oddVBand="0" w:evenVBand="0" w:oddHBand="0" w:evenHBand="0" w:firstRowFirstColumn="0" w:firstRowLastColumn="0" w:lastRowFirstColumn="0" w:lastRowLastColumn="0"/>
            </w:pPr>
            <w:r>
              <w:t>Northern Territory</w:t>
            </w:r>
          </w:p>
        </w:tc>
      </w:tr>
      <w:tr w:rsidR="00B22A14" w:rsidTr="00B22A14">
        <w:trPr>
          <w:cnfStyle w:val="000000100000" w:firstRow="0" w:lastRow="0" w:firstColumn="0" w:lastColumn="0" w:oddVBand="0" w:evenVBand="0" w:oddHBand="1" w:evenHBand="0" w:firstRowFirstColumn="0" w:firstRowLastColumn="0" w:lastRowFirstColumn="0" w:lastRowLastColumn="0"/>
          <w:trHeight w:val="3550"/>
        </w:trPr>
        <w:tc>
          <w:tcPr>
            <w:cnfStyle w:val="001000000000" w:firstRow="0" w:lastRow="0" w:firstColumn="1" w:lastColumn="0" w:oddVBand="0" w:evenVBand="0" w:oddHBand="0" w:evenHBand="0" w:firstRowFirstColumn="0" w:firstRowLastColumn="0" w:lastRowFirstColumn="0" w:lastRowLastColumn="0"/>
            <w:tcW w:w="4730" w:type="dxa"/>
            <w:shd w:val="clear" w:color="auto" w:fill="auto"/>
          </w:tcPr>
          <w:p w:rsidR="00412325" w:rsidRDefault="0013469B" w:rsidP="00EA5C65">
            <w:pPr>
              <w:pStyle w:val="BodyText"/>
              <w:tabs>
                <w:tab w:val="left" w:pos="851"/>
              </w:tabs>
              <w:jc w:val="center"/>
            </w:pPr>
            <w:r>
              <w:rPr>
                <w:noProof/>
              </w:rPr>
              <w:drawing>
                <wp:inline distT="0" distB="0" distL="0" distR="0" wp14:anchorId="6987592A" wp14:editId="08749A8B">
                  <wp:extent cx="2829697" cy="3367216"/>
                  <wp:effectExtent l="0" t="0" r="8890" b="508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28255" cy="3365500"/>
                          </a:xfrm>
                          <a:prstGeom prst="rect">
                            <a:avLst/>
                          </a:prstGeom>
                          <a:noFill/>
                        </pic:spPr>
                      </pic:pic>
                    </a:graphicData>
                  </a:graphic>
                </wp:inline>
              </w:drawing>
            </w:r>
          </w:p>
          <w:p w:rsidR="00412325" w:rsidRPr="00550B44" w:rsidRDefault="00412325" w:rsidP="00EA5C65">
            <w:pPr>
              <w:pStyle w:val="Source"/>
              <w:rPr>
                <w:sz w:val="18"/>
                <w:szCs w:val="18"/>
              </w:rPr>
            </w:pPr>
            <w:r w:rsidRPr="00550B44">
              <w:rPr>
                <w:sz w:val="18"/>
                <w:szCs w:val="18"/>
              </w:rPr>
              <w:t>Source: ABS, state budget papers, PBO analysis.</w:t>
            </w:r>
          </w:p>
        </w:tc>
        <w:tc>
          <w:tcPr>
            <w:tcW w:w="4638" w:type="dxa"/>
            <w:shd w:val="clear" w:color="auto" w:fill="auto"/>
          </w:tcPr>
          <w:p w:rsidR="00412325" w:rsidRPr="00877166" w:rsidRDefault="0013469B" w:rsidP="00EA5C65">
            <w:pPr>
              <w:pStyle w:val="Body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7C598AC1" wp14:editId="122CFA2A">
                  <wp:extent cx="2698370" cy="3361037"/>
                  <wp:effectExtent l="0" t="0" r="698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00655" cy="3363883"/>
                          </a:xfrm>
                          <a:prstGeom prst="rect">
                            <a:avLst/>
                          </a:prstGeom>
                          <a:noFill/>
                        </pic:spPr>
                      </pic:pic>
                    </a:graphicData>
                  </a:graphic>
                </wp:inline>
              </w:drawing>
            </w:r>
          </w:p>
          <w:p w:rsidR="00412325" w:rsidRPr="00550B44" w:rsidRDefault="00412325" w:rsidP="00EA5C65">
            <w:pPr>
              <w:pStyle w:val="Source"/>
              <w:cnfStyle w:val="000000100000" w:firstRow="0" w:lastRow="0" w:firstColumn="0" w:lastColumn="0" w:oddVBand="0" w:evenVBand="0" w:oddHBand="1" w:evenHBand="0" w:firstRowFirstColumn="0" w:firstRowLastColumn="0" w:lastRowFirstColumn="0" w:lastRowLastColumn="0"/>
              <w:rPr>
                <w:sz w:val="18"/>
                <w:szCs w:val="18"/>
              </w:rPr>
            </w:pPr>
            <w:r w:rsidRPr="00550B44">
              <w:rPr>
                <w:sz w:val="18"/>
                <w:szCs w:val="18"/>
              </w:rPr>
              <w:t>Source: ABS, state budget papers, PBO analysis.</w:t>
            </w:r>
          </w:p>
        </w:tc>
      </w:tr>
    </w:tbl>
    <w:p w:rsidR="00A13D0D" w:rsidRDefault="00D543FF" w:rsidP="003C1059">
      <w:pPr>
        <w:pStyle w:val="Heading1"/>
        <w:numPr>
          <w:ilvl w:val="0"/>
          <w:numId w:val="0"/>
        </w:numPr>
        <w:ind w:left="765" w:hanging="765"/>
      </w:pPr>
      <w:bookmarkStart w:id="84" w:name="_Toc495678482"/>
      <w:bookmarkStart w:id="85" w:name="_Toc496168777"/>
      <w:r>
        <w:lastRenderedPageBreak/>
        <w:t xml:space="preserve">Appendix B </w:t>
      </w:r>
      <w:r w:rsidR="00E5345A">
        <w:t>—</w:t>
      </w:r>
      <w:r>
        <w:t xml:space="preserve"> </w:t>
      </w:r>
      <w:r w:rsidR="00504D59">
        <w:t>G</w:t>
      </w:r>
      <w:r w:rsidR="005422CF">
        <w:t>lossary</w:t>
      </w:r>
      <w:r w:rsidR="0068730B">
        <w:t xml:space="preserve"> and notes</w:t>
      </w:r>
      <w:bookmarkEnd w:id="84"/>
      <w:bookmarkEnd w:id="85"/>
      <w:r w:rsidR="005422CF">
        <w:t xml:space="preserve"> </w:t>
      </w:r>
    </w:p>
    <w:p w:rsidR="00227C2F" w:rsidRDefault="00227C2F" w:rsidP="00227C2F">
      <w:pPr>
        <w:pStyle w:val="Heading4"/>
      </w:pPr>
      <w:r>
        <w:t>Net operating balance</w:t>
      </w:r>
    </w:p>
    <w:p w:rsidR="00227C2F" w:rsidRDefault="00227C2F" w:rsidP="00227C2F">
      <w:r>
        <w:t>The net operating balance measures the difference between recurrent revenue and expenses. It does not include net capital investment, but does include the consumption of capital (depreciation).</w:t>
      </w:r>
    </w:p>
    <w:p w:rsidR="00227C2F" w:rsidRDefault="00227C2F" w:rsidP="003C1059">
      <w:pPr>
        <w:pStyle w:val="Heading4"/>
      </w:pPr>
      <w:r>
        <w:t>Net capital investment</w:t>
      </w:r>
    </w:p>
    <w:p w:rsidR="00227C2F" w:rsidRDefault="00227C2F" w:rsidP="00227C2F">
      <w:r>
        <w:t xml:space="preserve">Net capital investment is primarily the purchase of non-financial assets less asset sales and depreciation. </w:t>
      </w:r>
    </w:p>
    <w:p w:rsidR="00227C2F" w:rsidRDefault="00227C2F" w:rsidP="003C1059">
      <w:pPr>
        <w:pStyle w:val="Heading4"/>
      </w:pPr>
      <w:r>
        <w:t>Fiscal balance</w:t>
      </w:r>
    </w:p>
    <w:p w:rsidR="00227C2F" w:rsidRDefault="00227C2F" w:rsidP="00227C2F">
      <w:r>
        <w:t>The fiscal balance is the net operating balance les</w:t>
      </w:r>
      <w:r w:rsidR="00F26098">
        <w:t>s net capital investment.</w:t>
      </w:r>
      <w:r w:rsidR="00E5345A">
        <w:t xml:space="preserve"> </w:t>
      </w:r>
      <w:r w:rsidR="00F26098">
        <w:t xml:space="preserve"> It </w:t>
      </w:r>
      <w:r>
        <w:t>measures the government’s investment</w:t>
      </w:r>
      <w:r w:rsidR="00F26098">
        <w:t>-</w:t>
      </w:r>
      <w:r>
        <w:t>saving balance.</w:t>
      </w:r>
    </w:p>
    <w:p w:rsidR="00227C2F" w:rsidRDefault="00227C2F" w:rsidP="003C1059">
      <w:pPr>
        <w:pStyle w:val="Heading4"/>
      </w:pPr>
      <w:r>
        <w:t>Net debt</w:t>
      </w:r>
    </w:p>
    <w:p w:rsidR="00227C2F" w:rsidRDefault="00227C2F" w:rsidP="00227C2F">
      <w:r>
        <w:t xml:space="preserve">Net debt is a widely used measure of the strength of the government’s balance sheet. </w:t>
      </w:r>
      <w:r w:rsidR="00E5345A">
        <w:t xml:space="preserve"> </w:t>
      </w:r>
      <w:r w:rsidRPr="00C02161">
        <w:t xml:space="preserve">Net debt is the sum of selected financial liabilities (deposits held, advances received, government securities, loans and other borrowings) less the sum of selected financial assets (cash and deposits, advances paid, and investments, loans and placements).  </w:t>
      </w:r>
      <w:r>
        <w:t xml:space="preserve">It does </w:t>
      </w:r>
      <w:r w:rsidR="00A51DFD">
        <w:t xml:space="preserve">not </w:t>
      </w:r>
      <w:r>
        <w:t xml:space="preserve">include superannuation related liabilities. </w:t>
      </w:r>
    </w:p>
    <w:p w:rsidR="00227C2F" w:rsidRDefault="00227C2F" w:rsidP="003C1059">
      <w:pPr>
        <w:pStyle w:val="Heading4"/>
      </w:pPr>
      <w:r>
        <w:t xml:space="preserve">General government sector </w:t>
      </w:r>
    </w:p>
    <w:p w:rsidR="00227C2F" w:rsidRDefault="00227C2F" w:rsidP="003C1059">
      <w:r>
        <w:t>The general government sector consists primarily of government departments and agencies providing non-market public services which are funded mainly through taxes.</w:t>
      </w:r>
    </w:p>
    <w:p w:rsidR="00227C2F" w:rsidRDefault="00227C2F" w:rsidP="003C1059">
      <w:pPr>
        <w:pStyle w:val="Heading4"/>
      </w:pPr>
      <w:r>
        <w:t xml:space="preserve">Government-owned corporations </w:t>
      </w:r>
    </w:p>
    <w:p w:rsidR="00227C2F" w:rsidRDefault="00F26098" w:rsidP="003C1059">
      <w:r>
        <w:t>Government-owned corporations, a</w:t>
      </w:r>
      <w:r w:rsidR="00227C2F">
        <w:t>lso known as public non-financial corporations, are corporations which provide services to consume</w:t>
      </w:r>
      <w:r>
        <w:t xml:space="preserve">rs on a fee for service basis.  </w:t>
      </w:r>
      <w:r w:rsidR="00227C2F">
        <w:t xml:space="preserve">These corporations are funded through a combination of revenue from the provision of goods and services and government grants. </w:t>
      </w:r>
    </w:p>
    <w:p w:rsidR="00227C2F" w:rsidRDefault="00227C2F" w:rsidP="00550B44">
      <w:pPr>
        <w:pStyle w:val="Heading2"/>
        <w:numPr>
          <w:ilvl w:val="0"/>
          <w:numId w:val="0"/>
        </w:numPr>
        <w:ind w:left="765" w:hanging="765"/>
      </w:pPr>
      <w:bookmarkStart w:id="86" w:name="_Toc495678483"/>
      <w:bookmarkStart w:id="87" w:name="_Toc496168778"/>
      <w:r>
        <w:t xml:space="preserve">Data </w:t>
      </w:r>
      <w:r w:rsidR="00A0441E">
        <w:t>and Methodol</w:t>
      </w:r>
      <w:r w:rsidR="00857551">
        <w:t>o</w:t>
      </w:r>
      <w:r w:rsidR="00A0441E">
        <w:t>gy</w:t>
      </w:r>
      <w:bookmarkEnd w:id="86"/>
      <w:bookmarkEnd w:id="87"/>
    </w:p>
    <w:p w:rsidR="00857551" w:rsidRPr="00857551" w:rsidRDefault="00857551" w:rsidP="00550B44">
      <w:pPr>
        <w:pStyle w:val="BodyText"/>
      </w:pPr>
      <w:r>
        <w:t xml:space="preserve">The report </w:t>
      </w:r>
      <w:r w:rsidRPr="0036164B">
        <w:t>focusses on the general government sector</w:t>
      </w:r>
      <w:r>
        <w:t>.</w:t>
      </w:r>
    </w:p>
    <w:p w:rsidR="00227C2F" w:rsidRDefault="000B65FA" w:rsidP="00C94A50">
      <w:pPr>
        <w:pStyle w:val="BodyText"/>
      </w:pPr>
      <w:r>
        <w:t>F</w:t>
      </w:r>
      <w:r w:rsidRPr="006C6423">
        <w:t>rom 2006–07 to 2015–16</w:t>
      </w:r>
      <w:r>
        <w:t xml:space="preserve"> data are based on </w:t>
      </w:r>
      <w:r w:rsidR="00227C2F">
        <w:t xml:space="preserve">accrual data from </w:t>
      </w:r>
      <w:r w:rsidRPr="00C94A50">
        <w:t>A</w:t>
      </w:r>
      <w:r w:rsidR="00F26098" w:rsidRPr="00C94A50">
        <w:t>BS 5512.0 - Government Finance Statistics, Australia</w:t>
      </w:r>
      <w:r w:rsidRPr="006C6423">
        <w:t xml:space="preserve">.  From 2016–17 to 2020–21 </w:t>
      </w:r>
      <w:r w:rsidR="00F26098">
        <w:t xml:space="preserve">accrual </w:t>
      </w:r>
      <w:r w:rsidRPr="006C6423">
        <w:t>data are sourced from Commonwealth, state and territory budgets.</w:t>
      </w:r>
      <w:r>
        <w:t xml:space="preserve">  Data is generally comparable across </w:t>
      </w:r>
      <w:r w:rsidR="00227C2F">
        <w:t xml:space="preserve">the two </w:t>
      </w:r>
      <w:r>
        <w:t xml:space="preserve">periods, but there are differences in the budget treatment of items across jurisdictions. </w:t>
      </w:r>
      <w:r w:rsidR="00227C2F">
        <w:t xml:space="preserve"> </w:t>
      </w:r>
    </w:p>
    <w:p w:rsidR="00857551" w:rsidRDefault="00857551" w:rsidP="00857551">
      <w:pPr>
        <w:pStyle w:val="BodyText"/>
      </w:pPr>
      <w:r>
        <w:t xml:space="preserve">The New South Wales projections of revenue and expenses have been adjusted by the PBO to improve comparability across periods.  New South Wales exclude Commonwealth transfers that ‘pass through’ their state accounts and as such their reported revenue and expenses </w:t>
      </w:r>
      <w:r w:rsidR="00A17EB2">
        <w:t xml:space="preserve">do not include these amounts </w:t>
      </w:r>
      <w:r>
        <w:t xml:space="preserve">(these mainly relate to payments to non-government schools and </w:t>
      </w:r>
      <w:r>
        <w:lastRenderedPageBreak/>
        <w:t>local governments which the Commonwealth makes through the states).  In contrast the ABS requires that the full ‘grossed up’ amount be reported.  There are also differences in when Commonwealth grants are recognised between the New South Wales budget papers and the ABS.  To gain a more consistent series, the PBO has estimated New South Wales revenue and expenses from 2016</w:t>
      </w:r>
      <w:r w:rsidRPr="006C6423">
        <w:t>–</w:t>
      </w:r>
      <w:r>
        <w:t xml:space="preserve">17 onwards. </w:t>
      </w:r>
    </w:p>
    <w:p w:rsidR="00227C2F" w:rsidRDefault="000F2FA2" w:rsidP="00C94A50">
      <w:pPr>
        <w:pStyle w:val="BodyText"/>
      </w:pPr>
      <w:r>
        <w:t>The data in this report do not incorporate 2016</w:t>
      </w:r>
      <w:r w:rsidR="000C1E3C" w:rsidRPr="006C6423">
        <w:t>–</w:t>
      </w:r>
      <w:r>
        <w:t>17 final budget results</w:t>
      </w:r>
      <w:r w:rsidR="000C1E3C">
        <w:t xml:space="preserve"> of the Commonwealth and states</w:t>
      </w:r>
      <w:r>
        <w:t>.</w:t>
      </w:r>
      <w:r w:rsidR="00E5345A">
        <w:t xml:space="preserve"> </w:t>
      </w:r>
      <w:r>
        <w:t xml:space="preserve"> </w:t>
      </w:r>
      <w:r w:rsidR="00367A52">
        <w:t>P</w:t>
      </w:r>
      <w:r>
        <w:t xml:space="preserve">artially updating the forward estimates for final budget results may </w:t>
      </w:r>
      <w:r w:rsidR="00367A52">
        <w:t xml:space="preserve">misrepresent trends </w:t>
      </w:r>
      <w:r>
        <w:t>across the forward estimates.</w:t>
      </w:r>
      <w:r w:rsidR="00E5345A">
        <w:t xml:space="preserve"> </w:t>
      </w:r>
      <w:r>
        <w:t xml:space="preserve"> For example, the </w:t>
      </w:r>
      <w:r w:rsidR="00367A52">
        <w:t xml:space="preserve">Commonwealth’s </w:t>
      </w:r>
      <w:r w:rsidR="00D64EB9">
        <w:br/>
      </w:r>
      <w:r w:rsidR="00367A52">
        <w:t>2016</w:t>
      </w:r>
      <w:r w:rsidR="000C1E3C" w:rsidRPr="006C6423">
        <w:t>–</w:t>
      </w:r>
      <w:r w:rsidR="00367A52">
        <w:t>17 Final Budget Outcome contained a $0.5 billion underspend for payments to the states for infrastructure and housing due to delays in state projects.</w:t>
      </w:r>
      <w:r w:rsidR="00E5345A">
        <w:t xml:space="preserve"> </w:t>
      </w:r>
      <w:r w:rsidR="00367A52">
        <w:t xml:space="preserve"> This funding is likely to be shifted to subsequent years.  Factoring in only the 2016-17 reduction in expenses without any change in the other </w:t>
      </w:r>
      <w:r w:rsidR="000C1E3C">
        <w:t>years</w:t>
      </w:r>
      <w:r w:rsidR="00367A52">
        <w:t xml:space="preserve"> would create an inconsistency within the forward estimates period.  These changes will be factored in at the time of mid-year budget updates.</w:t>
      </w:r>
    </w:p>
    <w:p w:rsidR="0029112B" w:rsidRDefault="0029112B" w:rsidP="00C94A50">
      <w:pPr>
        <w:pStyle w:val="BodyText"/>
      </w:pPr>
      <w:r>
        <w:t xml:space="preserve">The report </w:t>
      </w:r>
      <w:r w:rsidRPr="0036164B">
        <w:t>focusses on the general government sector, which consists of government departments and agencies providing non-market public services which are funded mainly through taxes.</w:t>
      </w:r>
      <w:r>
        <w:t xml:space="preserve">  </w:t>
      </w:r>
    </w:p>
    <w:p w:rsidR="00B949FC" w:rsidRDefault="00857551" w:rsidP="00857551">
      <w:pPr>
        <w:pStyle w:val="BodyText"/>
      </w:pPr>
      <w:r>
        <w:t>From 2016–17 local government data is projected by the PBO using historical trends.</w:t>
      </w:r>
    </w:p>
    <w:p w:rsidR="00A13D0D" w:rsidRDefault="00A13D0D" w:rsidP="00257F6E">
      <w:pPr>
        <w:pStyle w:val="ListBullet"/>
        <w:numPr>
          <w:ilvl w:val="0"/>
          <w:numId w:val="0"/>
        </w:numPr>
      </w:pPr>
    </w:p>
    <w:p w:rsidR="00F361B5" w:rsidRDefault="00F361B5" w:rsidP="00257F6E">
      <w:pPr>
        <w:pStyle w:val="ListBullet"/>
        <w:numPr>
          <w:ilvl w:val="0"/>
          <w:numId w:val="0"/>
        </w:numPr>
        <w:sectPr w:rsidR="00F361B5" w:rsidSect="007B673E">
          <w:type w:val="oddPage"/>
          <w:pgSz w:w="11906" w:h="16838" w:code="9"/>
          <w:pgMar w:top="1361" w:right="1797" w:bottom="1474" w:left="1797" w:header="284" w:footer="454" w:gutter="0"/>
          <w:cols w:space="708"/>
          <w:docGrid w:linePitch="360"/>
        </w:sectPr>
      </w:pPr>
      <w:bookmarkStart w:id="88" w:name="_GoBack"/>
      <w:bookmarkEnd w:id="88"/>
    </w:p>
    <w:p w:rsidR="00F361B5" w:rsidRPr="00A13D0D" w:rsidRDefault="00F361B5" w:rsidP="00257F6E">
      <w:pPr>
        <w:pStyle w:val="ListBullet"/>
        <w:numPr>
          <w:ilvl w:val="0"/>
          <w:numId w:val="0"/>
        </w:numPr>
      </w:pPr>
      <w:r w:rsidRPr="003A2FBB">
        <w:rPr>
          <w:noProof/>
          <w:color w:val="FFFFFF" w:themeColor="background1"/>
          <w:sz w:val="72"/>
          <w:szCs w:val="72"/>
          <w:lang w:eastAsia="en-AU"/>
        </w:rPr>
        <w:lastRenderedPageBreak/>
        <mc:AlternateContent>
          <mc:Choice Requires="wpc">
            <w:drawing>
              <wp:anchor distT="0" distB="0" distL="114300" distR="114300" simplePos="0" relativeHeight="251659264" behindDoc="1" locked="0" layoutInCell="1" allowOverlap="1" wp14:anchorId="0D56ADE8" wp14:editId="515A5EC5">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58"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25"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F361B5" w:rsidRPr="0061135C" w:rsidRDefault="00F361B5" w:rsidP="009160FD">
                              <w:pPr>
                                <w:pStyle w:val="xBackPageWebAddress"/>
                                <w:jc w:val="center"/>
                              </w:pPr>
                              <w:hyperlink r:id="rId59" w:history="1">
                                <w:r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6" o:spid="_x0000_s1026" editas="canvas" style="position:absolute;margin-left:0;margin-top:0;width:600.95pt;height:841.9pt;z-index:-251657216;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24" o:spid="_x0000_s1028"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60" o:title=""/>
                  <v:path arrowok="t"/>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mlsUA&#10;AADbAAAADwAAAGRycy9kb3ducmV2LnhtbESP0WrCQBRE3wv9h+UW+mY2SpSSukqxFfoi1rQfcJO9&#10;JrHZuyG7Mcnfu0Khj8PMnGHW29E04kqdqy0rmEcxCOLC6ppLBT/f+9kLCOeRNTaWScFEDrabx4c1&#10;ptoOfKJr5ksRIOxSVFB536ZSuqIigy6yLXHwzrYz6IPsSqk7HALcNHIRxytpsOawUGFLu4qK36w3&#10;Cj6+8ilP5pd98h5PuT4Oh13RH5R6fhrfXkF4Gv1/+K/9qRUsl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qaWxQAAANsAAAAPAAAAAAAAAAAAAAAAAJgCAABkcnMv&#10;ZG93bnJldi54bWxQSwUGAAAAAAQABAD1AAAAigMAAAAA&#10;" filled="f" stroked="f">
                  <v:textbox>
                    <w:txbxContent>
                      <w:p w:rsidR="00F361B5" w:rsidRPr="0061135C" w:rsidRDefault="00F361B5" w:rsidP="009160FD">
                        <w:pPr>
                          <w:pStyle w:val="xBackPageWebAddress"/>
                          <w:jc w:val="center"/>
                        </w:pPr>
                        <w:hyperlink r:id="rId61" w:history="1">
                          <w:r w:rsidRPr="0061135C">
                            <w:t>www.pbo.gov.au</w:t>
                          </w:r>
                        </w:hyperlink>
                      </w:p>
                    </w:txbxContent>
                  </v:textbox>
                </v:shape>
                <w10:wrap type="tight" anchorx="page" anchory="page"/>
              </v:group>
            </w:pict>
          </mc:Fallback>
        </mc:AlternateContent>
      </w:r>
    </w:p>
    <w:sectPr w:rsidR="00F361B5" w:rsidRPr="00A13D0D" w:rsidSect="00F361B5">
      <w:footerReference w:type="even" r:id="rId62"/>
      <w:footerReference w:type="default" r:id="rId63"/>
      <w:type w:val="even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B1" w:rsidRDefault="00A069B1" w:rsidP="00A20802">
      <w:pPr>
        <w:spacing w:line="240" w:lineRule="auto"/>
      </w:pPr>
      <w:r>
        <w:separator/>
      </w:r>
    </w:p>
    <w:p w:rsidR="00A069B1" w:rsidRDefault="00A069B1"/>
  </w:endnote>
  <w:endnote w:type="continuationSeparator" w:id="0">
    <w:p w:rsidR="00A069B1" w:rsidRDefault="00A069B1" w:rsidP="00A20802">
      <w:pPr>
        <w:spacing w:line="240" w:lineRule="auto"/>
      </w:pPr>
      <w:r>
        <w:continuationSeparator/>
      </w:r>
    </w:p>
    <w:p w:rsidR="00A069B1" w:rsidRDefault="00A06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Default="00A069B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F361B5" w:rsidRPr="00EB388E" w:rsidTr="00F361B5">
      <w:trPr>
        <w:trHeight w:val="340"/>
      </w:trPr>
      <w:tc>
        <w:tcPr>
          <w:tcW w:w="8164" w:type="dxa"/>
          <w:tcBorders>
            <w:right w:val="single" w:sz="4" w:space="0" w:color="788184" w:themeColor="background2"/>
          </w:tcBorders>
          <w:vAlign w:val="center"/>
        </w:tcPr>
        <w:p w:rsidR="00F361B5" w:rsidRPr="00CB70DF" w:rsidRDefault="00F361B5" w:rsidP="00F361B5">
          <w:pPr>
            <w:pStyle w:val="FooterRight"/>
            <w:framePr w:wrap="auto" w:vAnchor="margin" w:hAnchor="text" w:xAlign="left" w:yAlign="inline"/>
          </w:pPr>
          <w:fldSimple w:instr=" STYLEREF  &quot;Heading 1&quot;  \* MERGEFORMAT ">
            <w:r>
              <w:rPr>
                <w:noProof/>
              </w:rPr>
              <w:t>Appendix B — Glossary and notes</w:t>
            </w:r>
          </w:fldSimple>
        </w:p>
      </w:tc>
      <w:tc>
        <w:tcPr>
          <w:tcW w:w="567" w:type="dxa"/>
          <w:tcBorders>
            <w:left w:val="single" w:sz="4" w:space="0" w:color="788184" w:themeColor="background2"/>
          </w:tcBorders>
          <w:vAlign w:val="center"/>
        </w:tcPr>
        <w:p w:rsidR="00F361B5" w:rsidRPr="00CB70DF" w:rsidRDefault="00F361B5" w:rsidP="00F361B5">
          <w:pPr>
            <w:pStyle w:val="FooterRightPageNumber"/>
          </w:pPr>
          <w:r w:rsidRPr="00EB388E">
            <w:fldChar w:fldCharType="begin"/>
          </w:r>
          <w:r w:rsidRPr="00EB388E">
            <w:instrText xml:space="preserve"> PAGE   \* MERGEFORMAT </w:instrText>
          </w:r>
          <w:r w:rsidRPr="00EB388E">
            <w:fldChar w:fldCharType="separate"/>
          </w:r>
          <w:r>
            <w:t>35</w:t>
          </w:r>
          <w:r w:rsidRPr="00EB388E">
            <w:fldChar w:fldCharType="end"/>
          </w:r>
        </w:p>
      </w:tc>
    </w:tr>
    <w:tr w:rsidR="00F361B5" w:rsidRPr="00EB388E" w:rsidTr="00F361B5">
      <w:trPr>
        <w:trHeight w:hRule="exact" w:val="403"/>
      </w:trPr>
      <w:tc>
        <w:tcPr>
          <w:tcW w:w="8164" w:type="dxa"/>
        </w:tcPr>
        <w:p w:rsidR="00F361B5" w:rsidRPr="00090E70" w:rsidRDefault="00F361B5" w:rsidP="00F361B5"/>
      </w:tc>
      <w:tc>
        <w:tcPr>
          <w:tcW w:w="567" w:type="dxa"/>
          <w:tcMar>
            <w:bottom w:w="284" w:type="dxa"/>
          </w:tcMar>
        </w:tcPr>
        <w:p w:rsidR="00F361B5" w:rsidRPr="00090E70" w:rsidRDefault="00F361B5" w:rsidP="00F361B5"/>
      </w:tc>
    </w:tr>
  </w:tbl>
  <w:p w:rsidR="00F361B5" w:rsidRDefault="00F361B5">
    <w:pPr>
      <w:pStyle w:val="Footer"/>
    </w:pPr>
  </w:p>
  <w:p w:rsidR="00F361B5" w:rsidRPr="004816D7" w:rsidRDefault="00F361B5" w:rsidP="00916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Default="00A069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Default="00A069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Default="00A069B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A069B1" w:rsidRPr="00EB388E" w:rsidTr="00C80200">
      <w:trPr>
        <w:trHeight w:val="340"/>
      </w:trPr>
      <w:tc>
        <w:tcPr>
          <w:tcW w:w="567" w:type="dxa"/>
          <w:tcBorders>
            <w:right w:val="single" w:sz="4" w:space="0" w:color="788184" w:themeColor="background2"/>
          </w:tcBorders>
          <w:vAlign w:val="center"/>
        </w:tcPr>
        <w:p w:rsidR="00A069B1" w:rsidRPr="00CB70DF" w:rsidRDefault="00A069B1"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F361B5">
            <w:rPr>
              <w:noProof/>
            </w:rPr>
            <w:t>34</w:t>
          </w:r>
          <w:r w:rsidRPr="00EB388E">
            <w:fldChar w:fldCharType="end"/>
          </w:r>
        </w:p>
      </w:tc>
      <w:tc>
        <w:tcPr>
          <w:tcW w:w="8164" w:type="dxa"/>
          <w:tcBorders>
            <w:left w:val="single" w:sz="4" w:space="0" w:color="788184" w:themeColor="background2"/>
          </w:tcBorders>
          <w:vAlign w:val="center"/>
        </w:tcPr>
        <w:p w:rsidR="00A069B1" w:rsidRPr="00CB70DF" w:rsidRDefault="00BF7361" w:rsidP="00C80200">
          <w:pPr>
            <w:pStyle w:val="FooterLeft"/>
            <w:framePr w:wrap="auto" w:vAnchor="margin" w:hAnchor="text" w:yAlign="inline"/>
          </w:pPr>
          <w:fldSimple w:instr=" STYLEREF  Title  \* MERGEFORMAT ">
            <w:r w:rsidR="00F361B5">
              <w:rPr>
                <w:noProof/>
              </w:rPr>
              <w:t>National fiscal outlook</w:t>
            </w:r>
          </w:fldSimple>
        </w:p>
      </w:tc>
    </w:tr>
    <w:tr w:rsidR="00A069B1" w:rsidRPr="00EB388E" w:rsidTr="00C80200">
      <w:trPr>
        <w:trHeight w:hRule="exact" w:val="403"/>
      </w:trPr>
      <w:tc>
        <w:tcPr>
          <w:tcW w:w="567" w:type="dxa"/>
          <w:tcMar>
            <w:bottom w:w="284" w:type="dxa"/>
          </w:tcMar>
        </w:tcPr>
        <w:p w:rsidR="00A069B1" w:rsidRPr="00EB388E" w:rsidRDefault="00A069B1" w:rsidP="00C80200">
          <w:pPr>
            <w:pStyle w:val="FooterRightPageNumber"/>
          </w:pPr>
        </w:p>
      </w:tc>
      <w:tc>
        <w:tcPr>
          <w:tcW w:w="8164" w:type="dxa"/>
          <w:tcMar>
            <w:bottom w:w="284" w:type="dxa"/>
          </w:tcMar>
        </w:tcPr>
        <w:p w:rsidR="00A069B1" w:rsidRPr="00090E70" w:rsidRDefault="00A069B1" w:rsidP="00C80200"/>
      </w:tc>
    </w:tr>
  </w:tbl>
  <w:p w:rsidR="00A069B1" w:rsidRDefault="00A069B1">
    <w:pPr>
      <w:pStyle w:val="Footer"/>
    </w:pPr>
  </w:p>
  <w:p w:rsidR="00A069B1" w:rsidRPr="004816D7" w:rsidRDefault="00A069B1" w:rsidP="004816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A069B1" w:rsidRPr="00EB388E" w:rsidTr="0087390B">
      <w:trPr>
        <w:trHeight w:val="340"/>
      </w:trPr>
      <w:tc>
        <w:tcPr>
          <w:tcW w:w="8164" w:type="dxa"/>
          <w:tcBorders>
            <w:right w:val="single" w:sz="4" w:space="0" w:color="788184" w:themeColor="background2"/>
          </w:tcBorders>
          <w:vAlign w:val="center"/>
        </w:tcPr>
        <w:p w:rsidR="00A069B1" w:rsidRPr="00CB70DF" w:rsidRDefault="00BF7361" w:rsidP="001C48DE">
          <w:pPr>
            <w:pStyle w:val="FooterRight"/>
            <w:framePr w:wrap="auto" w:vAnchor="margin" w:hAnchor="text" w:xAlign="left" w:yAlign="inline"/>
          </w:pPr>
          <w:fldSimple w:instr=" STYLEREF  &quot;TOC Heading&quot;  \* MERGEFORMAT ">
            <w:r w:rsidR="00F361B5">
              <w:rPr>
                <w:noProof/>
              </w:rPr>
              <w:t>Contents</w:t>
            </w:r>
          </w:fldSimple>
        </w:p>
      </w:tc>
      <w:tc>
        <w:tcPr>
          <w:tcW w:w="567" w:type="dxa"/>
          <w:tcBorders>
            <w:left w:val="single" w:sz="4" w:space="0" w:color="788184" w:themeColor="background2"/>
          </w:tcBorders>
          <w:vAlign w:val="center"/>
        </w:tcPr>
        <w:p w:rsidR="00A069B1" w:rsidRPr="00CB70DF" w:rsidRDefault="00A069B1" w:rsidP="00E915E6">
          <w:pPr>
            <w:pStyle w:val="FooterRightPageNumber"/>
          </w:pPr>
          <w:r w:rsidRPr="00EB388E">
            <w:fldChar w:fldCharType="begin"/>
          </w:r>
          <w:r w:rsidRPr="00EB388E">
            <w:instrText xml:space="preserve"> PAGE   \* MERGEFORMAT </w:instrText>
          </w:r>
          <w:r w:rsidRPr="00EB388E">
            <w:fldChar w:fldCharType="separate"/>
          </w:r>
          <w:r w:rsidR="00F361B5">
            <w:t>iii</w:t>
          </w:r>
          <w:r w:rsidRPr="00EB388E">
            <w:fldChar w:fldCharType="end"/>
          </w:r>
        </w:p>
      </w:tc>
    </w:tr>
    <w:tr w:rsidR="00A069B1" w:rsidRPr="00EB388E" w:rsidTr="004F1297">
      <w:trPr>
        <w:trHeight w:hRule="exact" w:val="403"/>
      </w:trPr>
      <w:tc>
        <w:tcPr>
          <w:tcW w:w="8164" w:type="dxa"/>
        </w:tcPr>
        <w:p w:rsidR="00A069B1" w:rsidRPr="00090E70" w:rsidRDefault="00A069B1" w:rsidP="0087390B"/>
      </w:tc>
      <w:tc>
        <w:tcPr>
          <w:tcW w:w="567" w:type="dxa"/>
          <w:tcMar>
            <w:bottom w:w="284" w:type="dxa"/>
          </w:tcMar>
        </w:tcPr>
        <w:p w:rsidR="00A069B1" w:rsidRPr="00090E70" w:rsidRDefault="00A069B1" w:rsidP="0087390B"/>
      </w:tc>
    </w:tr>
  </w:tbl>
  <w:p w:rsidR="00A069B1" w:rsidRDefault="00A069B1">
    <w:pPr>
      <w:pStyle w:val="Footer"/>
    </w:pPr>
  </w:p>
  <w:p w:rsidR="00A069B1" w:rsidRPr="004816D7" w:rsidRDefault="00A069B1" w:rsidP="004816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A069B1" w:rsidRPr="00EB388E" w:rsidTr="0087390B">
      <w:trPr>
        <w:trHeight w:val="340"/>
      </w:trPr>
      <w:tc>
        <w:tcPr>
          <w:tcW w:w="8164" w:type="dxa"/>
          <w:tcBorders>
            <w:right w:val="single" w:sz="4" w:space="0" w:color="788184" w:themeColor="background2"/>
          </w:tcBorders>
          <w:vAlign w:val="center"/>
        </w:tcPr>
        <w:p w:rsidR="00A069B1" w:rsidRPr="00CB70DF" w:rsidRDefault="00BF7361" w:rsidP="001C48DE">
          <w:pPr>
            <w:pStyle w:val="FooterRight"/>
            <w:framePr w:wrap="auto" w:vAnchor="margin" w:hAnchor="text" w:xAlign="left" w:yAlign="inline"/>
          </w:pPr>
          <w:fldSimple w:instr=" STYLEREF  &quot;Heading 1 No Numbering&quot;  \* MERGEFORMAT ">
            <w:r w:rsidR="00F361B5">
              <w:rPr>
                <w:noProof/>
              </w:rPr>
              <w:t>Foreword</w:t>
            </w:r>
          </w:fldSimple>
        </w:p>
      </w:tc>
      <w:tc>
        <w:tcPr>
          <w:tcW w:w="567" w:type="dxa"/>
          <w:tcBorders>
            <w:left w:val="single" w:sz="4" w:space="0" w:color="788184" w:themeColor="background2"/>
          </w:tcBorders>
          <w:vAlign w:val="center"/>
        </w:tcPr>
        <w:p w:rsidR="00A069B1" w:rsidRPr="00CB70DF" w:rsidRDefault="00A069B1" w:rsidP="00E915E6">
          <w:pPr>
            <w:pStyle w:val="FooterRightPageNumber"/>
          </w:pPr>
          <w:r w:rsidRPr="00EB388E">
            <w:fldChar w:fldCharType="begin"/>
          </w:r>
          <w:r w:rsidRPr="00EB388E">
            <w:instrText xml:space="preserve"> PAGE   \* MERGEFORMAT </w:instrText>
          </w:r>
          <w:r w:rsidRPr="00EB388E">
            <w:fldChar w:fldCharType="separate"/>
          </w:r>
          <w:r w:rsidR="00F361B5">
            <w:t>v</w:t>
          </w:r>
          <w:r w:rsidRPr="00EB388E">
            <w:fldChar w:fldCharType="end"/>
          </w:r>
        </w:p>
      </w:tc>
    </w:tr>
    <w:tr w:rsidR="00A069B1" w:rsidRPr="00EB388E" w:rsidTr="004F1297">
      <w:trPr>
        <w:trHeight w:hRule="exact" w:val="403"/>
      </w:trPr>
      <w:tc>
        <w:tcPr>
          <w:tcW w:w="8164" w:type="dxa"/>
        </w:tcPr>
        <w:p w:rsidR="00A069B1" w:rsidRPr="00090E70" w:rsidRDefault="00A069B1" w:rsidP="0087390B"/>
      </w:tc>
      <w:tc>
        <w:tcPr>
          <w:tcW w:w="567" w:type="dxa"/>
          <w:tcMar>
            <w:bottom w:w="284" w:type="dxa"/>
          </w:tcMar>
        </w:tcPr>
        <w:p w:rsidR="00A069B1" w:rsidRPr="00090E70" w:rsidRDefault="00A069B1" w:rsidP="0087390B"/>
      </w:tc>
    </w:tr>
  </w:tbl>
  <w:p w:rsidR="00A069B1" w:rsidRDefault="00A069B1">
    <w:pPr>
      <w:pStyle w:val="Footer"/>
    </w:pPr>
  </w:p>
  <w:p w:rsidR="00A069B1" w:rsidRPr="004816D7" w:rsidRDefault="00A069B1" w:rsidP="004816D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A069B1" w:rsidRPr="00EB388E" w:rsidTr="0087390B">
      <w:trPr>
        <w:trHeight w:val="340"/>
      </w:trPr>
      <w:tc>
        <w:tcPr>
          <w:tcW w:w="8164" w:type="dxa"/>
          <w:tcBorders>
            <w:right w:val="single" w:sz="4" w:space="0" w:color="788184" w:themeColor="background2"/>
          </w:tcBorders>
          <w:vAlign w:val="center"/>
        </w:tcPr>
        <w:p w:rsidR="00A069B1" w:rsidRPr="00CB70DF" w:rsidRDefault="00BF7361" w:rsidP="001C48DE">
          <w:pPr>
            <w:pStyle w:val="FooterRight"/>
            <w:framePr w:wrap="auto" w:vAnchor="margin" w:hAnchor="text" w:xAlign="left" w:yAlign="inline"/>
          </w:pPr>
          <w:fldSimple w:instr=" STYLEREF  &quot;Heading 1&quot;  \* MERGEFORMAT ">
            <w:r w:rsidR="00F361B5">
              <w:rPr>
                <w:noProof/>
              </w:rPr>
              <w:t>Appendix B — Glossary and notes</w:t>
            </w:r>
          </w:fldSimple>
        </w:p>
      </w:tc>
      <w:tc>
        <w:tcPr>
          <w:tcW w:w="567" w:type="dxa"/>
          <w:tcBorders>
            <w:left w:val="single" w:sz="4" w:space="0" w:color="788184" w:themeColor="background2"/>
          </w:tcBorders>
          <w:vAlign w:val="center"/>
        </w:tcPr>
        <w:p w:rsidR="00A069B1" w:rsidRPr="00CB70DF" w:rsidRDefault="00A069B1" w:rsidP="00E915E6">
          <w:pPr>
            <w:pStyle w:val="FooterRightPageNumber"/>
          </w:pPr>
          <w:r w:rsidRPr="00EB388E">
            <w:fldChar w:fldCharType="begin"/>
          </w:r>
          <w:r w:rsidRPr="00EB388E">
            <w:instrText xml:space="preserve"> PAGE   \* MERGEFORMAT </w:instrText>
          </w:r>
          <w:r w:rsidRPr="00EB388E">
            <w:fldChar w:fldCharType="separate"/>
          </w:r>
          <w:r w:rsidR="00F361B5">
            <w:t>33</w:t>
          </w:r>
          <w:r w:rsidRPr="00EB388E">
            <w:fldChar w:fldCharType="end"/>
          </w:r>
        </w:p>
      </w:tc>
    </w:tr>
    <w:tr w:rsidR="00A069B1" w:rsidRPr="00EB388E" w:rsidTr="004F1297">
      <w:trPr>
        <w:trHeight w:hRule="exact" w:val="403"/>
      </w:trPr>
      <w:tc>
        <w:tcPr>
          <w:tcW w:w="8164" w:type="dxa"/>
        </w:tcPr>
        <w:p w:rsidR="00A069B1" w:rsidRPr="00090E70" w:rsidRDefault="00A069B1" w:rsidP="0087390B"/>
      </w:tc>
      <w:tc>
        <w:tcPr>
          <w:tcW w:w="567" w:type="dxa"/>
          <w:tcMar>
            <w:bottom w:w="284" w:type="dxa"/>
          </w:tcMar>
        </w:tcPr>
        <w:p w:rsidR="00A069B1" w:rsidRPr="00090E70" w:rsidRDefault="00A069B1" w:rsidP="0087390B"/>
      </w:tc>
    </w:tr>
  </w:tbl>
  <w:p w:rsidR="00A069B1" w:rsidRDefault="00A069B1">
    <w:pPr>
      <w:pStyle w:val="Footer"/>
    </w:pPr>
  </w:p>
  <w:p w:rsidR="00A069B1" w:rsidRPr="004816D7" w:rsidRDefault="00A069B1" w:rsidP="004816D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F361B5" w:rsidRPr="00EB388E" w:rsidTr="00F361B5">
      <w:trPr>
        <w:trHeight w:val="340"/>
      </w:trPr>
      <w:tc>
        <w:tcPr>
          <w:tcW w:w="567" w:type="dxa"/>
          <w:tcBorders>
            <w:right w:val="single" w:sz="4" w:space="0" w:color="788184" w:themeColor="background2"/>
          </w:tcBorders>
          <w:vAlign w:val="center"/>
        </w:tcPr>
        <w:p w:rsidR="00F361B5" w:rsidRPr="00CB70DF" w:rsidRDefault="00F361B5" w:rsidP="00F361B5">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Pr>
              <w:noProof/>
            </w:rPr>
            <w:t>36</w:t>
          </w:r>
          <w:r w:rsidRPr="00EB388E">
            <w:fldChar w:fldCharType="end"/>
          </w:r>
        </w:p>
      </w:tc>
      <w:tc>
        <w:tcPr>
          <w:tcW w:w="8164" w:type="dxa"/>
          <w:tcBorders>
            <w:left w:val="single" w:sz="4" w:space="0" w:color="788184" w:themeColor="background2"/>
          </w:tcBorders>
          <w:vAlign w:val="center"/>
        </w:tcPr>
        <w:p w:rsidR="00F361B5" w:rsidRPr="00CB70DF" w:rsidRDefault="00F361B5" w:rsidP="00F361B5">
          <w:pPr>
            <w:pStyle w:val="FooterLeft"/>
            <w:framePr w:wrap="auto" w:vAnchor="margin" w:hAnchor="text" w:yAlign="inline"/>
          </w:pPr>
          <w:fldSimple w:instr=" STYLEREF  Title  \* MERGEFORMAT ">
            <w:r>
              <w:rPr>
                <w:noProof/>
              </w:rPr>
              <w:t>National fiscal outlook</w:t>
            </w:r>
          </w:fldSimple>
        </w:p>
      </w:tc>
    </w:tr>
    <w:tr w:rsidR="00F361B5" w:rsidRPr="00EB388E" w:rsidTr="00F361B5">
      <w:trPr>
        <w:trHeight w:hRule="exact" w:val="403"/>
      </w:trPr>
      <w:tc>
        <w:tcPr>
          <w:tcW w:w="567" w:type="dxa"/>
          <w:tcMar>
            <w:bottom w:w="284" w:type="dxa"/>
          </w:tcMar>
        </w:tcPr>
        <w:p w:rsidR="00F361B5" w:rsidRPr="00EB388E" w:rsidRDefault="00F361B5" w:rsidP="00F361B5">
          <w:pPr>
            <w:pStyle w:val="FooterRightPageNumber"/>
          </w:pPr>
        </w:p>
      </w:tc>
      <w:tc>
        <w:tcPr>
          <w:tcW w:w="8164" w:type="dxa"/>
          <w:tcMar>
            <w:bottom w:w="284" w:type="dxa"/>
          </w:tcMar>
        </w:tcPr>
        <w:p w:rsidR="00F361B5" w:rsidRPr="00090E70" w:rsidRDefault="00F361B5" w:rsidP="00F361B5"/>
      </w:tc>
    </w:tr>
  </w:tbl>
  <w:p w:rsidR="00F361B5" w:rsidRDefault="00F361B5">
    <w:pPr>
      <w:pStyle w:val="Footer"/>
    </w:pPr>
  </w:p>
  <w:p w:rsidR="00F361B5" w:rsidRPr="004816D7" w:rsidRDefault="00F361B5" w:rsidP="00017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B1" w:rsidRPr="000557A7" w:rsidRDefault="00A069B1" w:rsidP="008D5A11">
      <w:pPr>
        <w:pBdr>
          <w:top w:val="single" w:sz="4" w:space="1" w:color="auto"/>
        </w:pBdr>
        <w:spacing w:before="240" w:line="60" w:lineRule="exact"/>
        <w:rPr>
          <w:sz w:val="16"/>
          <w:szCs w:val="16"/>
        </w:rPr>
      </w:pPr>
    </w:p>
  </w:footnote>
  <w:footnote w:type="continuationSeparator" w:id="0">
    <w:p w:rsidR="00A069B1" w:rsidRDefault="00A069B1" w:rsidP="00A20802">
      <w:pPr>
        <w:spacing w:line="240" w:lineRule="auto"/>
      </w:pPr>
      <w:r>
        <w:continuationSeparator/>
      </w:r>
    </w:p>
    <w:p w:rsidR="00A069B1" w:rsidRDefault="00A069B1"/>
  </w:footnote>
  <w:footnote w:id="1">
    <w:p w:rsidR="00A069B1" w:rsidRPr="000773AD" w:rsidRDefault="00A069B1" w:rsidP="00436FF7">
      <w:pPr>
        <w:pStyle w:val="FootnoteText"/>
      </w:pPr>
      <w:r w:rsidRPr="008D255C">
        <w:footnoteRef/>
      </w:r>
      <w:r>
        <w:tab/>
        <w:t xml:space="preserve">Previous PBO reports and Commonwealth budgets focussed on the fiscal balance, which is the net operating balance less net capital investment.  More detail on budget aggregates and reporting are available in the ‘Glossary and notes’ section.  </w:t>
      </w:r>
    </w:p>
  </w:footnote>
  <w:footnote w:id="2">
    <w:p w:rsidR="00A069B1" w:rsidRPr="001B3545" w:rsidRDefault="00A069B1" w:rsidP="001B3545">
      <w:pPr>
        <w:pStyle w:val="FootnoteText"/>
      </w:pPr>
      <w:r w:rsidRPr="001B3545">
        <w:footnoteRef/>
      </w:r>
      <w:r>
        <w:tab/>
      </w:r>
      <w:r w:rsidRPr="006C6423">
        <w:t xml:space="preserve">To allow for the most consistent comparison across jurisdictions data are sourced from the ABS from </w:t>
      </w:r>
      <w:r>
        <w:br/>
      </w:r>
      <w:r w:rsidRPr="006C6423">
        <w:t xml:space="preserve">2006–07 to 2015–16.  From 2016–17 to 2020–21 data </w:t>
      </w:r>
      <w:r>
        <w:t xml:space="preserve">are based on </w:t>
      </w:r>
      <w:r w:rsidRPr="006C6423">
        <w:t>Commonwealth, state and territory budgets</w:t>
      </w:r>
      <w:r>
        <w:t xml:space="preserve"> (2016–17 data are estimates as the final budget outcome for that year is not available for all states at time of publication).  This section includes the local government sector, which is estimated by the PBO over the forward estimates period as there are no data available.</w:t>
      </w:r>
    </w:p>
  </w:footnote>
  <w:footnote w:id="3">
    <w:p w:rsidR="00A069B1" w:rsidRPr="009B24CF" w:rsidRDefault="00A069B1">
      <w:pPr>
        <w:pStyle w:val="FootnoteText"/>
      </w:pPr>
      <w:r w:rsidRPr="003C1059">
        <w:footnoteRef/>
      </w:r>
      <w:r>
        <w:tab/>
      </w:r>
      <w:proofErr w:type="gramStart"/>
      <w:r>
        <w:t>Public non-financial corporations.</w:t>
      </w:r>
      <w:proofErr w:type="gramEnd"/>
    </w:p>
  </w:footnote>
  <w:footnote w:id="4">
    <w:p w:rsidR="00A069B1" w:rsidRPr="002008CD" w:rsidRDefault="00A069B1" w:rsidP="00155BDC">
      <w:pPr>
        <w:pStyle w:val="FootnoteText"/>
      </w:pPr>
      <w:r w:rsidRPr="002008CD">
        <w:footnoteRef/>
      </w:r>
      <w:r>
        <w:tab/>
        <w:t xml:space="preserve">The data used in these charts are IMF data from the 2017 October World Economic Outlook database.  These data differ slightly from the data presented in the body of the paper due to the inclusion of the </w:t>
      </w:r>
      <w:r>
        <w:br/>
        <w:t xml:space="preserve">multi-jurisdictional sector (which mainly comprises public universities) and adjustments made by the IMF to standardise data across countries.  The OECD average is weighted by GDP. </w:t>
      </w:r>
    </w:p>
  </w:footnote>
  <w:footnote w:id="5">
    <w:p w:rsidR="00A069B1" w:rsidRPr="000A340D" w:rsidRDefault="00A069B1">
      <w:pPr>
        <w:pStyle w:val="FootnoteText"/>
      </w:pPr>
      <w:r w:rsidRPr="000A340D">
        <w:footnoteRef/>
      </w:r>
      <w:r>
        <w:tab/>
      </w:r>
      <w:r w:rsidRPr="006C6423">
        <w:t xml:space="preserve">To allow for the most consistent comparison across jurisdictions data are sourced from the ABS from </w:t>
      </w:r>
      <w:r>
        <w:br/>
      </w:r>
      <w:r w:rsidRPr="006C6423">
        <w:t xml:space="preserve">2006–07 to 2015–16.  From 2016–17 to 2020–21 data are </w:t>
      </w:r>
      <w:r>
        <w:t>based on</w:t>
      </w:r>
      <w:r w:rsidRPr="006C6423">
        <w:t xml:space="preserve"> Commonwealth, state and territory budgets.</w:t>
      </w:r>
      <w:r>
        <w:t xml:space="preserve">  Data and figures in this section do not include local government.  </w:t>
      </w:r>
    </w:p>
  </w:footnote>
  <w:footnote w:id="6">
    <w:p w:rsidR="00A069B1" w:rsidRPr="006E60BB" w:rsidRDefault="00A069B1" w:rsidP="005A77A8">
      <w:pPr>
        <w:pStyle w:val="FootnoteText"/>
      </w:pPr>
      <w:r w:rsidRPr="006E60BB">
        <w:footnoteRef/>
      </w:r>
      <w:r>
        <w:tab/>
        <w:t>In accordance with accounting standards, the superannuation expenses for 2016</w:t>
      </w:r>
      <w:r w:rsidRPr="006C6423">
        <w:t>–</w:t>
      </w:r>
      <w:r>
        <w:t xml:space="preserve">17 apply a discount rate equal to the long-term government bond rate at the start of the financial year (2.7 per cent). The remainder of the forward estimates are based on the discount rate applied by the superannuation scheme actuaries in preparing long-term cost reports (6 per cent).  </w:t>
      </w:r>
      <w:proofErr w:type="gramStart"/>
      <w:r>
        <w:t>This results</w:t>
      </w:r>
      <w:proofErr w:type="gramEnd"/>
      <w:r>
        <w:t xml:space="preserve"> in government superannuation benefit expenses falling from $9.0 billion in 2016-17 to $3.7 billion in 2017</w:t>
      </w:r>
      <w:r w:rsidRPr="006C6423">
        <w:t>–</w:t>
      </w:r>
      <w:r>
        <w:t>18.</w:t>
      </w:r>
    </w:p>
  </w:footnote>
  <w:footnote w:id="7">
    <w:p w:rsidR="00A069B1" w:rsidRPr="0028546B" w:rsidRDefault="00A069B1">
      <w:pPr>
        <w:pStyle w:val="FootnoteText"/>
      </w:pPr>
      <w:r w:rsidRPr="0028546B">
        <w:footnoteRef/>
      </w:r>
      <w:r>
        <w:tab/>
        <w:t xml:space="preserve">This relates to the expenses of the National Disability Insurance Agency, and does not include either the Commonwealth or Western Australian contributions to the Western Australian NDIS.  The Commonwealth and the previous Western Australian government agreed that the NDIS would be delivered under a locally administered model in Western Australia from 1 July 2017.  </w:t>
      </w:r>
      <w:r w:rsidRPr="00A56535">
        <w:t xml:space="preserve">The </w:t>
      </w:r>
      <w:r>
        <w:t xml:space="preserve">current Western Australian </w:t>
      </w:r>
      <w:r w:rsidRPr="00A56535">
        <w:t xml:space="preserve">Government is reviewing </w:t>
      </w:r>
      <w:r>
        <w:t xml:space="preserve">these </w:t>
      </w:r>
      <w:r w:rsidRPr="00A56535">
        <w:t xml:space="preserve">arrangements to determine whether the existing </w:t>
      </w:r>
      <w:r>
        <w:t>agreement</w:t>
      </w:r>
      <w:r w:rsidRPr="00A56535">
        <w:t xml:space="preserve"> should be retained or alternative arrangements negotiated with the Commonwealth.</w:t>
      </w:r>
    </w:p>
  </w:footnote>
  <w:footnote w:id="8">
    <w:p w:rsidR="00A069B1" w:rsidRDefault="00A069B1" w:rsidP="00CB3217">
      <w:pPr>
        <w:pStyle w:val="FootnoteText"/>
      </w:pPr>
      <w:r w:rsidRPr="00CB3217">
        <w:footnoteRef/>
      </w:r>
      <w:r>
        <w:t xml:space="preserve"> </w:t>
      </w:r>
      <w:r>
        <w:tab/>
      </w:r>
      <w:r w:rsidRPr="007A1A18">
        <w:t xml:space="preserve">Capital grants to the states are treated as an expense for the Commonwealth.  Financing arrangements such as the concessional loan to the New South Wales Government for the </w:t>
      </w:r>
      <w:proofErr w:type="spellStart"/>
      <w:r w:rsidRPr="007A1A18">
        <w:t>WestConnex</w:t>
      </w:r>
      <w:proofErr w:type="spellEnd"/>
      <w:r w:rsidRPr="007A1A18">
        <w:t xml:space="preserve"> project are recognised as the acquisition of assets rather than an expense.</w:t>
      </w:r>
    </w:p>
    <w:p w:rsidR="00A069B1" w:rsidRDefault="00A069B1" w:rsidP="0096020F">
      <w:pPr>
        <w:pStyle w:val="FootnoteText"/>
        <w:tabs>
          <w:tab w:val="clear" w:pos="425"/>
          <w:tab w:val="left" w:pos="90"/>
        </w:tabs>
        <w:ind w:left="0" w:firstLine="0"/>
      </w:pPr>
    </w:p>
  </w:footnote>
  <w:footnote w:id="9">
    <w:p w:rsidR="00A069B1" w:rsidRDefault="00A069B1" w:rsidP="00CB3217">
      <w:pPr>
        <w:pStyle w:val="FootnoteText"/>
      </w:pPr>
      <w:r w:rsidRPr="00CB3217">
        <w:footnoteRef/>
      </w:r>
      <w:r>
        <w:tab/>
        <w:t xml:space="preserve">In recent budgets a number of states have been increasing the dividend payable from government-owned corporations to the government, or prescribing that government-owned corporations hold less capital with the ‘excess’ returned to government.  This has occurred in Queensland, New South Wales and Western Australia, resulting in increases in government revenue. </w:t>
      </w:r>
    </w:p>
    <w:p w:rsidR="00A069B1" w:rsidRPr="00CB3217" w:rsidRDefault="00A069B1">
      <w:pPr>
        <w:pStyle w:val="FootnoteText"/>
      </w:pPr>
    </w:p>
  </w:footnote>
  <w:footnote w:id="10">
    <w:p w:rsidR="00A069B1" w:rsidRDefault="00A069B1" w:rsidP="00655ADC">
      <w:pPr>
        <w:pStyle w:val="FootnoteText"/>
      </w:pPr>
      <w:r w:rsidRPr="005842FB">
        <w:footnoteRef/>
      </w:r>
      <w:r>
        <w:t xml:space="preserve">     Budget data for Commonwealth government-owned corporations are only available to 2017</w:t>
      </w:r>
      <w:r w:rsidRPr="006C6423">
        <w:t>–</w:t>
      </w:r>
      <w:r>
        <w:t>18.  Data beyond that are the projected gross capital investment on the NBN from</w:t>
      </w:r>
      <w:r w:rsidRPr="00B0046D">
        <w:t xml:space="preserve"> NBN </w:t>
      </w:r>
      <w:proofErr w:type="spellStart"/>
      <w:r w:rsidRPr="00B0046D">
        <w:t>Co’s</w:t>
      </w:r>
      <w:proofErr w:type="spellEnd"/>
      <w:r w:rsidRPr="00B0046D">
        <w:t xml:space="preserve"> </w:t>
      </w:r>
      <w:r>
        <w:t xml:space="preserve">latest </w:t>
      </w:r>
      <w:r w:rsidRPr="00B0046D">
        <w:t>corporate plan.</w:t>
      </w:r>
    </w:p>
    <w:p w:rsidR="00A069B1" w:rsidRPr="005842FB" w:rsidRDefault="00A069B1" w:rsidP="00655ADC">
      <w:pPr>
        <w:pStyle w:val="FootnoteText"/>
        <w:ind w:left="0"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Default="00A069B1">
    <w:pPr>
      <w:pStyle w:val="Header"/>
    </w:pPr>
    <w:r>
      <w:rPr>
        <w:noProof/>
        <w:lang w:eastAsia="en-AU"/>
      </w:rPr>
      <mc:AlternateContent>
        <mc:Choice Requires="wps">
          <w:drawing>
            <wp:anchor distT="0" distB="0" distL="114300" distR="114300" simplePos="0" relativeHeight="251663360" behindDoc="1" locked="1" layoutInCell="1" allowOverlap="1" wp14:anchorId="52886A13" wp14:editId="565A3EEE">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9B1" w:rsidRPr="0001226A" w:rsidRDefault="00A069B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0"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A069B1" w:rsidRPr="0001226A" w:rsidRDefault="00A069B1"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Default="00A069B1">
    <w:pPr>
      <w:pStyle w:val="Header"/>
    </w:pPr>
    <w:r>
      <w:rPr>
        <w:noProof/>
        <w:lang w:eastAsia="en-AU"/>
      </w:rPr>
      <mc:AlternateContent>
        <mc:Choice Requires="wps">
          <w:drawing>
            <wp:anchor distT="0" distB="0" distL="114300" distR="114300" simplePos="0" relativeHeight="251665408" behindDoc="1" locked="1" layoutInCell="1" allowOverlap="1" wp14:anchorId="5F2D1D1B" wp14:editId="60C27D2F">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9B1" w:rsidRPr="0001226A" w:rsidRDefault="00A069B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A069B1" w:rsidRPr="0001226A" w:rsidRDefault="00A069B1"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Default="00A069B1">
    <w:pPr>
      <w:pStyle w:val="Header"/>
    </w:pPr>
    <w:r>
      <w:rPr>
        <w:noProof/>
        <w:lang w:eastAsia="en-AU"/>
      </w:rPr>
      <w:drawing>
        <wp:anchor distT="0" distB="0" distL="114300" distR="114300" simplePos="0" relativeHeight="251674624" behindDoc="1" locked="0" layoutInCell="1" allowOverlap="1" wp14:anchorId="20494EE4" wp14:editId="37643A00">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1B11DC2E" wp14:editId="1738A3CF">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9B1" w:rsidRPr="0001226A" w:rsidRDefault="00A069B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A069B1" w:rsidRPr="0001226A" w:rsidRDefault="00A069B1"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Pr="003A2544" w:rsidRDefault="00A069B1" w:rsidP="003A2544">
    <w:pPr>
      <w:pStyle w:val="Header"/>
      <w:jc w:val="center"/>
      <w:rPr>
        <w:color w:val="FF0000"/>
      </w:rPr>
    </w:pPr>
    <w:r w:rsidRPr="003A2544">
      <w:rPr>
        <w:noProof/>
        <w:color w:val="FF0000"/>
        <w:lang w:eastAsia="en-AU"/>
      </w:rPr>
      <mc:AlternateContent>
        <mc:Choice Requires="wps">
          <w:drawing>
            <wp:anchor distT="0" distB="0" distL="114300" distR="114300" simplePos="0" relativeHeight="251667456" behindDoc="1" locked="1" layoutInCell="1" allowOverlap="1" wp14:anchorId="508F9B79" wp14:editId="304C42EE">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9B1" w:rsidRPr="0001226A" w:rsidRDefault="00A069B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A069B1" w:rsidRPr="0001226A" w:rsidRDefault="00A069B1"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Default="00A069B1">
    <w:pPr>
      <w:pStyle w:val="Header"/>
    </w:pPr>
    <w:r>
      <w:rPr>
        <w:noProof/>
        <w:lang w:eastAsia="en-AU"/>
      </w:rPr>
      <mc:AlternateContent>
        <mc:Choice Requires="wps">
          <w:drawing>
            <wp:anchor distT="0" distB="0" distL="114300" distR="114300" simplePos="0" relativeHeight="251669504" behindDoc="1" locked="1" layoutInCell="1" allowOverlap="1" wp14:anchorId="14E9862F" wp14:editId="5DCD6F78">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9B1" w:rsidRPr="0001226A" w:rsidRDefault="00A069B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A069B1" w:rsidRPr="0001226A" w:rsidRDefault="00A069B1"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Default="00A069B1">
    <w:pPr>
      <w:pStyle w:val="Header"/>
    </w:pPr>
    <w:r>
      <w:rPr>
        <w:noProof/>
        <w:lang w:eastAsia="en-AU"/>
      </w:rPr>
      <mc:AlternateContent>
        <mc:Choice Requires="wps">
          <w:drawing>
            <wp:anchor distT="0" distB="0" distL="114300" distR="114300" simplePos="0" relativeHeight="251673600" behindDoc="1" locked="1" layoutInCell="1" allowOverlap="1" wp14:anchorId="6786FC17" wp14:editId="4081F198">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9B1" w:rsidRPr="0001226A" w:rsidRDefault="00A069B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A069B1" w:rsidRPr="0001226A" w:rsidRDefault="00A069B1"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B1" w:rsidRDefault="00A069B1">
    <w:pPr>
      <w:pStyle w:val="Header"/>
    </w:pPr>
    <w:r>
      <w:rPr>
        <w:noProof/>
        <w:lang w:eastAsia="en-AU"/>
      </w:rPr>
      <mc:AlternateContent>
        <mc:Choice Requires="wps">
          <w:drawing>
            <wp:anchor distT="0" distB="0" distL="114300" distR="114300" simplePos="0" relativeHeight="251671552" behindDoc="1" locked="1" layoutInCell="1" allowOverlap="1" wp14:anchorId="541E3BFE" wp14:editId="26F06F11">
              <wp:simplePos x="0" y="0"/>
              <wp:positionH relativeFrom="page">
                <wp:align>center</wp:align>
              </wp:positionH>
              <wp:positionV relativeFrom="page">
                <wp:align>center</wp:align>
              </wp:positionV>
              <wp:extent cx="7560000" cy="179640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9B1" w:rsidRPr="0001226A" w:rsidRDefault="00A069B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0;width:595.3pt;height:141.45pt;z-index:-2516449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yBiy6AgAA&#10;wwUAAA4AAAAAAAAAAAAAAAAALgIAAGRycy9lMm9Eb2MueG1sUEsBAi0AFAAGAAgAAAAhADTFRM7b&#10;AAAABgEAAA8AAAAAAAAAAAAAAAAAFAUAAGRycy9kb3ducmV2LnhtbFBLBQYAAAAABAAEAPMAAAAc&#10;BgAAAAA=&#10;" filled="f" stroked="f">
              <v:textbox>
                <w:txbxContent>
                  <w:p w:rsidR="00A069B1" w:rsidRPr="0001226A" w:rsidRDefault="00A069B1" w:rsidP="00F45442">
                    <w:pPr>
                      <w:pStyle w:val="xStatus"/>
                      <w:rPr>
                        <w:szCs w:val="1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46C8FE5C"/>
    <w:name w:val="Bullets"/>
    <w:lvl w:ilvl="0">
      <w:start w:val="1"/>
      <w:numFmt w:val="bullet"/>
      <w:lvlRestart w:val="0"/>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3AEE0806"/>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2BD712F9"/>
    <w:multiLevelType w:val="multilevel"/>
    <w:tmpl w:val="03868CD6"/>
    <w:name w:val="items"/>
    <w:lvl w:ilvl="0">
      <w:start w:val="1"/>
      <w:numFmt w:val="decimal"/>
      <w:lvlRestart w:val="0"/>
      <w:lvlText w:val="%1"/>
      <w:lvlJc w:val="left"/>
      <w:pPr>
        <w:tabs>
          <w:tab w:val="num" w:pos="454"/>
        </w:tabs>
        <w:ind w:left="454" w:hanging="454"/>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0">
    <w:nsid w:val="7839021E"/>
    <w:multiLevelType w:val="multilevel"/>
    <w:tmpl w:val="CAB05828"/>
    <w:name w:val="ListNumbering"/>
    <w:lvl w:ilvl="0">
      <w:start w:val="1"/>
      <w:numFmt w:val="decimal"/>
      <w:lvlRestart w:val="0"/>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7"/>
  </w:num>
  <w:num w:numId="2">
    <w:abstractNumId w:val="0"/>
  </w:num>
  <w:num w:numId="3">
    <w:abstractNumId w:val="10"/>
  </w:num>
  <w:num w:numId="4">
    <w:abstractNumId w:val="6"/>
  </w:num>
  <w:num w:numId="5">
    <w:abstractNumId w:val="5"/>
  </w:num>
  <w:num w:numId="6">
    <w:abstractNumId w:val="9"/>
  </w:num>
  <w:num w:numId="7">
    <w:abstractNumId w:val="2"/>
  </w:num>
  <w:num w:numId="8">
    <w:abstractNumId w:val="3"/>
  </w:num>
  <w:num w:numId="9">
    <w:abstractNumId w:val="8"/>
  </w:num>
  <w:num w:numId="10">
    <w:abstractNumId w:val="1"/>
  </w:num>
  <w:num w:numId="11">
    <w:abstractNumId w:val="1"/>
  </w:num>
  <w:num w:numId="12">
    <w:abstractNumId w:val="1"/>
  </w:num>
  <w:num w:numId="13">
    <w:abstractNumId w:val="0"/>
  </w:num>
  <w:num w:numId="14">
    <w:abstractNumId w:val="0"/>
  </w:num>
  <w:num w:numId="15">
    <w:abstractNumId w:val="0"/>
  </w:num>
  <w:num w:numId="16">
    <w:abstractNumId w:val="0"/>
  </w:num>
  <w:num w:numId="17">
    <w:abstractNumId w:val="0"/>
  </w:num>
  <w:num w:numId="18">
    <w:abstractNumId w:val="0"/>
  </w:num>
  <w:num w:numId="19">
    <w:abstractNumId w:val="6"/>
  </w:num>
  <w:num w:numId="20">
    <w:abstractNumId w:val="6"/>
  </w:num>
  <w:num w:numId="21">
    <w:abstractNumId w:val="6"/>
  </w:num>
  <w:num w:numId="22">
    <w:abstractNumId w:val="0"/>
  </w:num>
  <w:num w:numId="23">
    <w:abstractNumId w:val="0"/>
  </w:num>
  <w:num w:numId="24">
    <w:abstractNumId w:val="0"/>
  </w:num>
  <w:num w:numId="25">
    <w:abstractNumId w:val="0"/>
  </w:num>
  <w:num w:numId="26">
    <w:abstractNumId w:val="0"/>
  </w:num>
  <w:num w:numId="27">
    <w:abstractNumId w:val="6"/>
  </w:num>
  <w:num w:numId="28">
    <w:abstractNumId w:val="6"/>
  </w:num>
  <w:num w:numId="29">
    <w:abstractNumId w:val="6"/>
  </w:num>
  <w:num w:numId="30">
    <w:abstractNumId w:val="6"/>
  </w:num>
  <w:num w:numId="31">
    <w:abstractNumId w:val="1"/>
  </w:num>
  <w:num w:numId="32">
    <w:abstractNumId w:val="1"/>
  </w:num>
  <w:num w:numId="33">
    <w:abstractNumId w:val="1"/>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0"/>
  </w:num>
  <w:num w:numId="42">
    <w:abstractNumId w:val="0"/>
  </w:num>
  <w:num w:numId="43">
    <w:abstractNumId w:val="0"/>
  </w:num>
  <w:num w:numId="44">
    <w:abstractNumId w:val="0"/>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evenAndOddHeaders/>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True"/>
    <w:docVar w:name="Overview" w:val="True"/>
    <w:docVar w:name="PageSetup" w:val="Double"/>
    <w:docVar w:name="RibbonLabel" w:val="Appendix"/>
    <w:docVar w:name="TOC" w:val="True"/>
    <w:docVar w:name="TOCNew" w:val="False"/>
    <w:docVar w:name="Version" w:val="Version 1"/>
  </w:docVars>
  <w:rsids>
    <w:rsidRoot w:val="004B350B"/>
    <w:rsid w:val="00001E04"/>
    <w:rsid w:val="00002E1C"/>
    <w:rsid w:val="0000322C"/>
    <w:rsid w:val="00003CDD"/>
    <w:rsid w:val="00006211"/>
    <w:rsid w:val="00012F79"/>
    <w:rsid w:val="000147A7"/>
    <w:rsid w:val="00016644"/>
    <w:rsid w:val="000168A7"/>
    <w:rsid w:val="00017D9C"/>
    <w:rsid w:val="000202C9"/>
    <w:rsid w:val="00020AAF"/>
    <w:rsid w:val="00021072"/>
    <w:rsid w:val="00021C46"/>
    <w:rsid w:val="00022085"/>
    <w:rsid w:val="000245CA"/>
    <w:rsid w:val="00024B1B"/>
    <w:rsid w:val="000278D0"/>
    <w:rsid w:val="00027E62"/>
    <w:rsid w:val="000307C8"/>
    <w:rsid w:val="000308D3"/>
    <w:rsid w:val="00030F73"/>
    <w:rsid w:val="00031EA7"/>
    <w:rsid w:val="00035ADE"/>
    <w:rsid w:val="00035CBF"/>
    <w:rsid w:val="00037044"/>
    <w:rsid w:val="00040ACF"/>
    <w:rsid w:val="00041957"/>
    <w:rsid w:val="0004224B"/>
    <w:rsid w:val="00042E2C"/>
    <w:rsid w:val="00043723"/>
    <w:rsid w:val="00046226"/>
    <w:rsid w:val="00051053"/>
    <w:rsid w:val="00051E48"/>
    <w:rsid w:val="00052537"/>
    <w:rsid w:val="0005330D"/>
    <w:rsid w:val="00055167"/>
    <w:rsid w:val="000557A7"/>
    <w:rsid w:val="00055805"/>
    <w:rsid w:val="0005633D"/>
    <w:rsid w:val="00056CB3"/>
    <w:rsid w:val="000617F0"/>
    <w:rsid w:val="00061B3E"/>
    <w:rsid w:val="00062487"/>
    <w:rsid w:val="00066CD6"/>
    <w:rsid w:val="00067A28"/>
    <w:rsid w:val="000720D1"/>
    <w:rsid w:val="0007260F"/>
    <w:rsid w:val="000745FB"/>
    <w:rsid w:val="00074A2E"/>
    <w:rsid w:val="00075528"/>
    <w:rsid w:val="000773AD"/>
    <w:rsid w:val="000805D5"/>
    <w:rsid w:val="0008103B"/>
    <w:rsid w:val="000833DF"/>
    <w:rsid w:val="000834CF"/>
    <w:rsid w:val="00085F97"/>
    <w:rsid w:val="00087438"/>
    <w:rsid w:val="00087B11"/>
    <w:rsid w:val="00090E1D"/>
    <w:rsid w:val="00091003"/>
    <w:rsid w:val="0009142F"/>
    <w:rsid w:val="000916E8"/>
    <w:rsid w:val="00092A33"/>
    <w:rsid w:val="0009613D"/>
    <w:rsid w:val="000963AA"/>
    <w:rsid w:val="000A0678"/>
    <w:rsid w:val="000A06D6"/>
    <w:rsid w:val="000A13C6"/>
    <w:rsid w:val="000A15F2"/>
    <w:rsid w:val="000A18F7"/>
    <w:rsid w:val="000A200B"/>
    <w:rsid w:val="000A2245"/>
    <w:rsid w:val="000A22B9"/>
    <w:rsid w:val="000A245A"/>
    <w:rsid w:val="000A24AF"/>
    <w:rsid w:val="000A2FEC"/>
    <w:rsid w:val="000A2FFA"/>
    <w:rsid w:val="000A340D"/>
    <w:rsid w:val="000A348F"/>
    <w:rsid w:val="000A3B80"/>
    <w:rsid w:val="000A5C11"/>
    <w:rsid w:val="000B0267"/>
    <w:rsid w:val="000B26E2"/>
    <w:rsid w:val="000B348D"/>
    <w:rsid w:val="000B65FA"/>
    <w:rsid w:val="000B679E"/>
    <w:rsid w:val="000B6942"/>
    <w:rsid w:val="000C022B"/>
    <w:rsid w:val="000C09FA"/>
    <w:rsid w:val="000C1931"/>
    <w:rsid w:val="000C1E3C"/>
    <w:rsid w:val="000C37A9"/>
    <w:rsid w:val="000C6728"/>
    <w:rsid w:val="000C702E"/>
    <w:rsid w:val="000D15E9"/>
    <w:rsid w:val="000D3182"/>
    <w:rsid w:val="000D45C4"/>
    <w:rsid w:val="000E1653"/>
    <w:rsid w:val="000E18F3"/>
    <w:rsid w:val="000E266E"/>
    <w:rsid w:val="000E401F"/>
    <w:rsid w:val="000F1515"/>
    <w:rsid w:val="000F16B5"/>
    <w:rsid w:val="000F1707"/>
    <w:rsid w:val="000F2FA2"/>
    <w:rsid w:val="000F451C"/>
    <w:rsid w:val="000F4BB5"/>
    <w:rsid w:val="000F616E"/>
    <w:rsid w:val="0010163B"/>
    <w:rsid w:val="0010761C"/>
    <w:rsid w:val="0010774D"/>
    <w:rsid w:val="00110D43"/>
    <w:rsid w:val="0011368E"/>
    <w:rsid w:val="00113800"/>
    <w:rsid w:val="00115931"/>
    <w:rsid w:val="001159EA"/>
    <w:rsid w:val="00117524"/>
    <w:rsid w:val="00123E77"/>
    <w:rsid w:val="001241F1"/>
    <w:rsid w:val="00125410"/>
    <w:rsid w:val="00126549"/>
    <w:rsid w:val="00130858"/>
    <w:rsid w:val="0013187C"/>
    <w:rsid w:val="00132E8A"/>
    <w:rsid w:val="0013469B"/>
    <w:rsid w:val="00136C26"/>
    <w:rsid w:val="0014059F"/>
    <w:rsid w:val="0014068F"/>
    <w:rsid w:val="0014136A"/>
    <w:rsid w:val="00141509"/>
    <w:rsid w:val="00141551"/>
    <w:rsid w:val="001417CE"/>
    <w:rsid w:val="00142836"/>
    <w:rsid w:val="0014479F"/>
    <w:rsid w:val="00145116"/>
    <w:rsid w:val="001457DE"/>
    <w:rsid w:val="00145FD8"/>
    <w:rsid w:val="00146244"/>
    <w:rsid w:val="00146386"/>
    <w:rsid w:val="001464A1"/>
    <w:rsid w:val="001466FE"/>
    <w:rsid w:val="001503C5"/>
    <w:rsid w:val="00151E60"/>
    <w:rsid w:val="00154DC5"/>
    <w:rsid w:val="001555BF"/>
    <w:rsid w:val="00155BDC"/>
    <w:rsid w:val="001573CD"/>
    <w:rsid w:val="00157FFA"/>
    <w:rsid w:val="00160262"/>
    <w:rsid w:val="00160C8D"/>
    <w:rsid w:val="00160E7C"/>
    <w:rsid w:val="0016264D"/>
    <w:rsid w:val="001629C0"/>
    <w:rsid w:val="00163254"/>
    <w:rsid w:val="0016377E"/>
    <w:rsid w:val="001642D9"/>
    <w:rsid w:val="00165122"/>
    <w:rsid w:val="00165854"/>
    <w:rsid w:val="00166151"/>
    <w:rsid w:val="0016647E"/>
    <w:rsid w:val="00167911"/>
    <w:rsid w:val="001720BB"/>
    <w:rsid w:val="0017266C"/>
    <w:rsid w:val="00173483"/>
    <w:rsid w:val="00173B81"/>
    <w:rsid w:val="00173DFD"/>
    <w:rsid w:val="00177321"/>
    <w:rsid w:val="00180FF9"/>
    <w:rsid w:val="001819D4"/>
    <w:rsid w:val="00182DCF"/>
    <w:rsid w:val="00184BC6"/>
    <w:rsid w:val="00187CDE"/>
    <w:rsid w:val="001912D1"/>
    <w:rsid w:val="00192581"/>
    <w:rsid w:val="00195228"/>
    <w:rsid w:val="00195696"/>
    <w:rsid w:val="00196532"/>
    <w:rsid w:val="001A131A"/>
    <w:rsid w:val="001A1689"/>
    <w:rsid w:val="001A1EFC"/>
    <w:rsid w:val="001A48EF"/>
    <w:rsid w:val="001A49CC"/>
    <w:rsid w:val="001A5553"/>
    <w:rsid w:val="001A716E"/>
    <w:rsid w:val="001A7EFF"/>
    <w:rsid w:val="001B06A6"/>
    <w:rsid w:val="001B1301"/>
    <w:rsid w:val="001B1D0F"/>
    <w:rsid w:val="001B2C65"/>
    <w:rsid w:val="001B3545"/>
    <w:rsid w:val="001B4D6B"/>
    <w:rsid w:val="001B536F"/>
    <w:rsid w:val="001B5972"/>
    <w:rsid w:val="001B5F37"/>
    <w:rsid w:val="001B7058"/>
    <w:rsid w:val="001C15AF"/>
    <w:rsid w:val="001C184A"/>
    <w:rsid w:val="001C3A4F"/>
    <w:rsid w:val="001C4121"/>
    <w:rsid w:val="001C478F"/>
    <w:rsid w:val="001C48DE"/>
    <w:rsid w:val="001C7A8E"/>
    <w:rsid w:val="001D0470"/>
    <w:rsid w:val="001D52E3"/>
    <w:rsid w:val="001D576F"/>
    <w:rsid w:val="001D5CEE"/>
    <w:rsid w:val="001D6500"/>
    <w:rsid w:val="001D7109"/>
    <w:rsid w:val="001D7C29"/>
    <w:rsid w:val="001E0475"/>
    <w:rsid w:val="001E1D55"/>
    <w:rsid w:val="001F031B"/>
    <w:rsid w:val="001F10C9"/>
    <w:rsid w:val="001F2E68"/>
    <w:rsid w:val="001F4555"/>
    <w:rsid w:val="001F49E4"/>
    <w:rsid w:val="001F4AA4"/>
    <w:rsid w:val="001F572B"/>
    <w:rsid w:val="001F5C90"/>
    <w:rsid w:val="001F6D0D"/>
    <w:rsid w:val="001F6DDC"/>
    <w:rsid w:val="001F767C"/>
    <w:rsid w:val="002008CD"/>
    <w:rsid w:val="002045FB"/>
    <w:rsid w:val="00204865"/>
    <w:rsid w:val="00204D37"/>
    <w:rsid w:val="00205D9F"/>
    <w:rsid w:val="00207E34"/>
    <w:rsid w:val="00210FCF"/>
    <w:rsid w:val="00212BE1"/>
    <w:rsid w:val="00216232"/>
    <w:rsid w:val="00216B3E"/>
    <w:rsid w:val="00216BB1"/>
    <w:rsid w:val="00217FEE"/>
    <w:rsid w:val="00222EFF"/>
    <w:rsid w:val="0022384E"/>
    <w:rsid w:val="002240D5"/>
    <w:rsid w:val="002261A7"/>
    <w:rsid w:val="00226AEC"/>
    <w:rsid w:val="00227C2F"/>
    <w:rsid w:val="00227E3D"/>
    <w:rsid w:val="00230571"/>
    <w:rsid w:val="00230A23"/>
    <w:rsid w:val="00236305"/>
    <w:rsid w:val="002374C5"/>
    <w:rsid w:val="0023753E"/>
    <w:rsid w:val="002375B7"/>
    <w:rsid w:val="002413F5"/>
    <w:rsid w:val="00241B4E"/>
    <w:rsid w:val="0025042D"/>
    <w:rsid w:val="00253BF8"/>
    <w:rsid w:val="002545F3"/>
    <w:rsid w:val="00257977"/>
    <w:rsid w:val="00257F6E"/>
    <w:rsid w:val="0026344F"/>
    <w:rsid w:val="002635B9"/>
    <w:rsid w:val="0026391E"/>
    <w:rsid w:val="00263935"/>
    <w:rsid w:val="00266A17"/>
    <w:rsid w:val="00270372"/>
    <w:rsid w:val="002721E2"/>
    <w:rsid w:val="00273B72"/>
    <w:rsid w:val="00274F41"/>
    <w:rsid w:val="00275534"/>
    <w:rsid w:val="00277075"/>
    <w:rsid w:val="002775D2"/>
    <w:rsid w:val="00277EF5"/>
    <w:rsid w:val="00281ADD"/>
    <w:rsid w:val="002829DF"/>
    <w:rsid w:val="00284B7B"/>
    <w:rsid w:val="00284FC4"/>
    <w:rsid w:val="00285399"/>
    <w:rsid w:val="0028546B"/>
    <w:rsid w:val="00286196"/>
    <w:rsid w:val="0028672D"/>
    <w:rsid w:val="0029112B"/>
    <w:rsid w:val="00291C6F"/>
    <w:rsid w:val="00292D7E"/>
    <w:rsid w:val="00293728"/>
    <w:rsid w:val="00293E0D"/>
    <w:rsid w:val="00293E80"/>
    <w:rsid w:val="00295C42"/>
    <w:rsid w:val="002973B0"/>
    <w:rsid w:val="00297C14"/>
    <w:rsid w:val="002A0E59"/>
    <w:rsid w:val="002A220F"/>
    <w:rsid w:val="002A24F1"/>
    <w:rsid w:val="002A3819"/>
    <w:rsid w:val="002A5778"/>
    <w:rsid w:val="002A7C20"/>
    <w:rsid w:val="002B0A23"/>
    <w:rsid w:val="002B1E84"/>
    <w:rsid w:val="002B2085"/>
    <w:rsid w:val="002B3EC4"/>
    <w:rsid w:val="002B459B"/>
    <w:rsid w:val="002B4AED"/>
    <w:rsid w:val="002B4D8A"/>
    <w:rsid w:val="002B7558"/>
    <w:rsid w:val="002B788B"/>
    <w:rsid w:val="002B7F58"/>
    <w:rsid w:val="002C14D0"/>
    <w:rsid w:val="002C15AD"/>
    <w:rsid w:val="002C37D5"/>
    <w:rsid w:val="002C5987"/>
    <w:rsid w:val="002C61F9"/>
    <w:rsid w:val="002C731D"/>
    <w:rsid w:val="002D1D1C"/>
    <w:rsid w:val="002D2894"/>
    <w:rsid w:val="002D2B85"/>
    <w:rsid w:val="002D34DB"/>
    <w:rsid w:val="002D384B"/>
    <w:rsid w:val="002D3855"/>
    <w:rsid w:val="002D4B11"/>
    <w:rsid w:val="002D6441"/>
    <w:rsid w:val="002D64E9"/>
    <w:rsid w:val="002D6540"/>
    <w:rsid w:val="002E5633"/>
    <w:rsid w:val="002F1963"/>
    <w:rsid w:val="002F28C8"/>
    <w:rsid w:val="002F4E37"/>
    <w:rsid w:val="002F575F"/>
    <w:rsid w:val="002F5B6E"/>
    <w:rsid w:val="002F61B5"/>
    <w:rsid w:val="002F6FE3"/>
    <w:rsid w:val="002F740D"/>
    <w:rsid w:val="0030209B"/>
    <w:rsid w:val="00302186"/>
    <w:rsid w:val="003059B6"/>
    <w:rsid w:val="003127E4"/>
    <w:rsid w:val="00312E4C"/>
    <w:rsid w:val="00313215"/>
    <w:rsid w:val="00313AD1"/>
    <w:rsid w:val="00316067"/>
    <w:rsid w:val="003174C3"/>
    <w:rsid w:val="00317950"/>
    <w:rsid w:val="00320C37"/>
    <w:rsid w:val="00321B14"/>
    <w:rsid w:val="0032557A"/>
    <w:rsid w:val="00330034"/>
    <w:rsid w:val="003318C4"/>
    <w:rsid w:val="0033443F"/>
    <w:rsid w:val="00335897"/>
    <w:rsid w:val="00335D8D"/>
    <w:rsid w:val="00335E3F"/>
    <w:rsid w:val="003366B4"/>
    <w:rsid w:val="00340778"/>
    <w:rsid w:val="003423C3"/>
    <w:rsid w:val="003425A0"/>
    <w:rsid w:val="00344D2C"/>
    <w:rsid w:val="003458CE"/>
    <w:rsid w:val="00345A57"/>
    <w:rsid w:val="00346D90"/>
    <w:rsid w:val="003505D8"/>
    <w:rsid w:val="00350A29"/>
    <w:rsid w:val="00350B44"/>
    <w:rsid w:val="00351F62"/>
    <w:rsid w:val="00355662"/>
    <w:rsid w:val="00355AE7"/>
    <w:rsid w:val="003601F4"/>
    <w:rsid w:val="0036164B"/>
    <w:rsid w:val="00363101"/>
    <w:rsid w:val="003671E2"/>
    <w:rsid w:val="00367A52"/>
    <w:rsid w:val="003725C0"/>
    <w:rsid w:val="00372AE6"/>
    <w:rsid w:val="00373103"/>
    <w:rsid w:val="00373590"/>
    <w:rsid w:val="003744EC"/>
    <w:rsid w:val="00376570"/>
    <w:rsid w:val="00376781"/>
    <w:rsid w:val="00376C54"/>
    <w:rsid w:val="00377E1D"/>
    <w:rsid w:val="003812D1"/>
    <w:rsid w:val="003814D4"/>
    <w:rsid w:val="003837E1"/>
    <w:rsid w:val="0038584D"/>
    <w:rsid w:val="00390FB0"/>
    <w:rsid w:val="0039257F"/>
    <w:rsid w:val="003931DE"/>
    <w:rsid w:val="00397165"/>
    <w:rsid w:val="00397468"/>
    <w:rsid w:val="00397D1A"/>
    <w:rsid w:val="003A163C"/>
    <w:rsid w:val="003A2544"/>
    <w:rsid w:val="003A2B4E"/>
    <w:rsid w:val="003A2FBB"/>
    <w:rsid w:val="003A3799"/>
    <w:rsid w:val="003A4534"/>
    <w:rsid w:val="003A4913"/>
    <w:rsid w:val="003A54A9"/>
    <w:rsid w:val="003A57DC"/>
    <w:rsid w:val="003A5B37"/>
    <w:rsid w:val="003A7083"/>
    <w:rsid w:val="003A7FA1"/>
    <w:rsid w:val="003B0BC4"/>
    <w:rsid w:val="003B135F"/>
    <w:rsid w:val="003B2C5F"/>
    <w:rsid w:val="003B38B3"/>
    <w:rsid w:val="003B3A97"/>
    <w:rsid w:val="003B3D44"/>
    <w:rsid w:val="003B474E"/>
    <w:rsid w:val="003B75E4"/>
    <w:rsid w:val="003C1059"/>
    <w:rsid w:val="003C1995"/>
    <w:rsid w:val="003C6EF6"/>
    <w:rsid w:val="003C7CC2"/>
    <w:rsid w:val="003D2092"/>
    <w:rsid w:val="003D3571"/>
    <w:rsid w:val="003D414B"/>
    <w:rsid w:val="003D50B6"/>
    <w:rsid w:val="003D67DF"/>
    <w:rsid w:val="003E05DF"/>
    <w:rsid w:val="003E41D9"/>
    <w:rsid w:val="003E47B6"/>
    <w:rsid w:val="003E5B59"/>
    <w:rsid w:val="003E6085"/>
    <w:rsid w:val="003E6B2D"/>
    <w:rsid w:val="003E6CA3"/>
    <w:rsid w:val="003F14B1"/>
    <w:rsid w:val="003F2468"/>
    <w:rsid w:val="003F3064"/>
    <w:rsid w:val="003F4C96"/>
    <w:rsid w:val="00400D89"/>
    <w:rsid w:val="004020B3"/>
    <w:rsid w:val="00406002"/>
    <w:rsid w:val="00406AD3"/>
    <w:rsid w:val="00407895"/>
    <w:rsid w:val="00407C63"/>
    <w:rsid w:val="00412325"/>
    <w:rsid w:val="00412E42"/>
    <w:rsid w:val="00423B10"/>
    <w:rsid w:val="004252D3"/>
    <w:rsid w:val="00426356"/>
    <w:rsid w:val="00426929"/>
    <w:rsid w:val="00427BB2"/>
    <w:rsid w:val="00427C9C"/>
    <w:rsid w:val="00427DCA"/>
    <w:rsid w:val="0043114A"/>
    <w:rsid w:val="00436FF7"/>
    <w:rsid w:val="00441D8F"/>
    <w:rsid w:val="00442C16"/>
    <w:rsid w:val="00443C5B"/>
    <w:rsid w:val="00444DBB"/>
    <w:rsid w:val="00446439"/>
    <w:rsid w:val="00447501"/>
    <w:rsid w:val="00450BDA"/>
    <w:rsid w:val="00453A3E"/>
    <w:rsid w:val="0045452F"/>
    <w:rsid w:val="00454E5D"/>
    <w:rsid w:val="00455080"/>
    <w:rsid w:val="0045766B"/>
    <w:rsid w:val="00457718"/>
    <w:rsid w:val="00457A1D"/>
    <w:rsid w:val="0046067A"/>
    <w:rsid w:val="00462B44"/>
    <w:rsid w:val="00465067"/>
    <w:rsid w:val="0046595E"/>
    <w:rsid w:val="00465962"/>
    <w:rsid w:val="00470ED3"/>
    <w:rsid w:val="004737D0"/>
    <w:rsid w:val="00474BB7"/>
    <w:rsid w:val="00475910"/>
    <w:rsid w:val="004774CA"/>
    <w:rsid w:val="00477998"/>
    <w:rsid w:val="004803FB"/>
    <w:rsid w:val="0048044B"/>
    <w:rsid w:val="00480513"/>
    <w:rsid w:val="004816D7"/>
    <w:rsid w:val="0048291F"/>
    <w:rsid w:val="00482DA7"/>
    <w:rsid w:val="0048342E"/>
    <w:rsid w:val="00484ECF"/>
    <w:rsid w:val="00484F00"/>
    <w:rsid w:val="00487478"/>
    <w:rsid w:val="0048782D"/>
    <w:rsid w:val="00487F91"/>
    <w:rsid w:val="00492017"/>
    <w:rsid w:val="00494DC1"/>
    <w:rsid w:val="004963BF"/>
    <w:rsid w:val="00496588"/>
    <w:rsid w:val="004A11CB"/>
    <w:rsid w:val="004A1644"/>
    <w:rsid w:val="004A2012"/>
    <w:rsid w:val="004A2361"/>
    <w:rsid w:val="004A3CBA"/>
    <w:rsid w:val="004A3F56"/>
    <w:rsid w:val="004A5E21"/>
    <w:rsid w:val="004A631C"/>
    <w:rsid w:val="004A6413"/>
    <w:rsid w:val="004A666A"/>
    <w:rsid w:val="004B0BB3"/>
    <w:rsid w:val="004B143F"/>
    <w:rsid w:val="004B350B"/>
    <w:rsid w:val="004B49A0"/>
    <w:rsid w:val="004B565E"/>
    <w:rsid w:val="004B5C90"/>
    <w:rsid w:val="004B6F4C"/>
    <w:rsid w:val="004C0F43"/>
    <w:rsid w:val="004C46B2"/>
    <w:rsid w:val="004C4B94"/>
    <w:rsid w:val="004C4F0B"/>
    <w:rsid w:val="004C503A"/>
    <w:rsid w:val="004C6306"/>
    <w:rsid w:val="004C6CC7"/>
    <w:rsid w:val="004C6F1B"/>
    <w:rsid w:val="004C6F5E"/>
    <w:rsid w:val="004C7E93"/>
    <w:rsid w:val="004C7E94"/>
    <w:rsid w:val="004D04B9"/>
    <w:rsid w:val="004D0541"/>
    <w:rsid w:val="004D3620"/>
    <w:rsid w:val="004D409B"/>
    <w:rsid w:val="004D6753"/>
    <w:rsid w:val="004D7CF8"/>
    <w:rsid w:val="004D7EDA"/>
    <w:rsid w:val="004E05FF"/>
    <w:rsid w:val="004E0E49"/>
    <w:rsid w:val="004E197A"/>
    <w:rsid w:val="004E1C6B"/>
    <w:rsid w:val="004E3403"/>
    <w:rsid w:val="004E44A7"/>
    <w:rsid w:val="004E5D52"/>
    <w:rsid w:val="004E7AA5"/>
    <w:rsid w:val="004E7D75"/>
    <w:rsid w:val="004F07D7"/>
    <w:rsid w:val="004F1297"/>
    <w:rsid w:val="004F16DB"/>
    <w:rsid w:val="004F1763"/>
    <w:rsid w:val="004F1AF1"/>
    <w:rsid w:val="004F36CC"/>
    <w:rsid w:val="004F3B0C"/>
    <w:rsid w:val="004F4824"/>
    <w:rsid w:val="004F49BD"/>
    <w:rsid w:val="004F4D7E"/>
    <w:rsid w:val="004F5B16"/>
    <w:rsid w:val="004F5D9D"/>
    <w:rsid w:val="004F68E5"/>
    <w:rsid w:val="004F741B"/>
    <w:rsid w:val="00503253"/>
    <w:rsid w:val="00503A68"/>
    <w:rsid w:val="00503BB0"/>
    <w:rsid w:val="00503E03"/>
    <w:rsid w:val="00504214"/>
    <w:rsid w:val="00504D59"/>
    <w:rsid w:val="00505D21"/>
    <w:rsid w:val="00506CB8"/>
    <w:rsid w:val="00512226"/>
    <w:rsid w:val="005147C6"/>
    <w:rsid w:val="005159B1"/>
    <w:rsid w:val="00517632"/>
    <w:rsid w:val="00517D41"/>
    <w:rsid w:val="005207E3"/>
    <w:rsid w:val="00520FBE"/>
    <w:rsid w:val="0052199D"/>
    <w:rsid w:val="00522228"/>
    <w:rsid w:val="00522502"/>
    <w:rsid w:val="005233E2"/>
    <w:rsid w:val="00524212"/>
    <w:rsid w:val="005243FA"/>
    <w:rsid w:val="005250B2"/>
    <w:rsid w:val="005255A1"/>
    <w:rsid w:val="005255E5"/>
    <w:rsid w:val="0052641C"/>
    <w:rsid w:val="00530B39"/>
    <w:rsid w:val="005336AA"/>
    <w:rsid w:val="00535BF4"/>
    <w:rsid w:val="00536700"/>
    <w:rsid w:val="00536C5E"/>
    <w:rsid w:val="0053795D"/>
    <w:rsid w:val="0054177C"/>
    <w:rsid w:val="005422CF"/>
    <w:rsid w:val="00543764"/>
    <w:rsid w:val="00544522"/>
    <w:rsid w:val="005468AB"/>
    <w:rsid w:val="005501A0"/>
    <w:rsid w:val="00550831"/>
    <w:rsid w:val="00550B44"/>
    <w:rsid w:val="00554273"/>
    <w:rsid w:val="00560425"/>
    <w:rsid w:val="0056206D"/>
    <w:rsid w:val="00562A7F"/>
    <w:rsid w:val="005642B6"/>
    <w:rsid w:val="00565AEA"/>
    <w:rsid w:val="00571D5E"/>
    <w:rsid w:val="00573368"/>
    <w:rsid w:val="005740C7"/>
    <w:rsid w:val="00574C15"/>
    <w:rsid w:val="00575BB4"/>
    <w:rsid w:val="00581616"/>
    <w:rsid w:val="005823D0"/>
    <w:rsid w:val="005842FB"/>
    <w:rsid w:val="00584B1B"/>
    <w:rsid w:val="00590E0F"/>
    <w:rsid w:val="0059154C"/>
    <w:rsid w:val="00594236"/>
    <w:rsid w:val="00594CCC"/>
    <w:rsid w:val="005950FB"/>
    <w:rsid w:val="00595182"/>
    <w:rsid w:val="0059559D"/>
    <w:rsid w:val="0059590F"/>
    <w:rsid w:val="00596833"/>
    <w:rsid w:val="005A2748"/>
    <w:rsid w:val="005A443F"/>
    <w:rsid w:val="005A4F1F"/>
    <w:rsid w:val="005A5169"/>
    <w:rsid w:val="005A77A8"/>
    <w:rsid w:val="005A7F5E"/>
    <w:rsid w:val="005B374D"/>
    <w:rsid w:val="005B4484"/>
    <w:rsid w:val="005B4549"/>
    <w:rsid w:val="005B58D4"/>
    <w:rsid w:val="005B6456"/>
    <w:rsid w:val="005C07B3"/>
    <w:rsid w:val="005C1E35"/>
    <w:rsid w:val="005C284E"/>
    <w:rsid w:val="005C4128"/>
    <w:rsid w:val="005C47D4"/>
    <w:rsid w:val="005C47E1"/>
    <w:rsid w:val="005C5331"/>
    <w:rsid w:val="005C636B"/>
    <w:rsid w:val="005D01FA"/>
    <w:rsid w:val="005D2A6A"/>
    <w:rsid w:val="005D4E1C"/>
    <w:rsid w:val="005D51D0"/>
    <w:rsid w:val="005D6F83"/>
    <w:rsid w:val="005D7877"/>
    <w:rsid w:val="005D7CCF"/>
    <w:rsid w:val="005E08F8"/>
    <w:rsid w:val="005E243D"/>
    <w:rsid w:val="005E58C4"/>
    <w:rsid w:val="005E5D8F"/>
    <w:rsid w:val="005E63A0"/>
    <w:rsid w:val="005E6719"/>
    <w:rsid w:val="005E7652"/>
    <w:rsid w:val="005F35B9"/>
    <w:rsid w:val="005F5A5C"/>
    <w:rsid w:val="005F5CD9"/>
    <w:rsid w:val="005F73CA"/>
    <w:rsid w:val="00601805"/>
    <w:rsid w:val="00604DEE"/>
    <w:rsid w:val="0061018D"/>
    <w:rsid w:val="00611188"/>
    <w:rsid w:val="0061135C"/>
    <w:rsid w:val="00611CD7"/>
    <w:rsid w:val="00612026"/>
    <w:rsid w:val="006127CF"/>
    <w:rsid w:val="006136DD"/>
    <w:rsid w:val="00614741"/>
    <w:rsid w:val="006149F0"/>
    <w:rsid w:val="00614A5C"/>
    <w:rsid w:val="0061623E"/>
    <w:rsid w:val="00616A43"/>
    <w:rsid w:val="006220A5"/>
    <w:rsid w:val="00623A9C"/>
    <w:rsid w:val="00624AC8"/>
    <w:rsid w:val="0062616E"/>
    <w:rsid w:val="00627CD5"/>
    <w:rsid w:val="00627E4B"/>
    <w:rsid w:val="00631E78"/>
    <w:rsid w:val="006325D0"/>
    <w:rsid w:val="00633C60"/>
    <w:rsid w:val="00634843"/>
    <w:rsid w:val="00634E21"/>
    <w:rsid w:val="006351AB"/>
    <w:rsid w:val="0063560E"/>
    <w:rsid w:val="0064126D"/>
    <w:rsid w:val="0064444C"/>
    <w:rsid w:val="00644C96"/>
    <w:rsid w:val="006451B8"/>
    <w:rsid w:val="00645211"/>
    <w:rsid w:val="00645722"/>
    <w:rsid w:val="00647FD5"/>
    <w:rsid w:val="00650CDB"/>
    <w:rsid w:val="00651225"/>
    <w:rsid w:val="00652432"/>
    <w:rsid w:val="0065563F"/>
    <w:rsid w:val="00655ADC"/>
    <w:rsid w:val="00655C74"/>
    <w:rsid w:val="00656950"/>
    <w:rsid w:val="00657840"/>
    <w:rsid w:val="0066003C"/>
    <w:rsid w:val="0066041E"/>
    <w:rsid w:val="00663F4A"/>
    <w:rsid w:val="00664289"/>
    <w:rsid w:val="006655E8"/>
    <w:rsid w:val="00665958"/>
    <w:rsid w:val="00665B3E"/>
    <w:rsid w:val="00666B56"/>
    <w:rsid w:val="00667611"/>
    <w:rsid w:val="00667A66"/>
    <w:rsid w:val="0067041E"/>
    <w:rsid w:val="006727D2"/>
    <w:rsid w:val="006728FF"/>
    <w:rsid w:val="00672F12"/>
    <w:rsid w:val="00673CCC"/>
    <w:rsid w:val="00675A7C"/>
    <w:rsid w:val="00675C98"/>
    <w:rsid w:val="00676BC6"/>
    <w:rsid w:val="00683D12"/>
    <w:rsid w:val="006841EC"/>
    <w:rsid w:val="00686F73"/>
    <w:rsid w:val="0068730B"/>
    <w:rsid w:val="00687483"/>
    <w:rsid w:val="0069026B"/>
    <w:rsid w:val="00692A23"/>
    <w:rsid w:val="00694165"/>
    <w:rsid w:val="00694F88"/>
    <w:rsid w:val="006956EA"/>
    <w:rsid w:val="006A00F5"/>
    <w:rsid w:val="006A38CF"/>
    <w:rsid w:val="006A3955"/>
    <w:rsid w:val="006A490C"/>
    <w:rsid w:val="006B1792"/>
    <w:rsid w:val="006B4AF4"/>
    <w:rsid w:val="006B4F7D"/>
    <w:rsid w:val="006B6201"/>
    <w:rsid w:val="006B706C"/>
    <w:rsid w:val="006C114C"/>
    <w:rsid w:val="006C29C1"/>
    <w:rsid w:val="006C3864"/>
    <w:rsid w:val="006C4544"/>
    <w:rsid w:val="006C5383"/>
    <w:rsid w:val="006C555A"/>
    <w:rsid w:val="006C5A8A"/>
    <w:rsid w:val="006C5E72"/>
    <w:rsid w:val="006C5FBD"/>
    <w:rsid w:val="006C6423"/>
    <w:rsid w:val="006C7F4B"/>
    <w:rsid w:val="006D2AEC"/>
    <w:rsid w:val="006D4A03"/>
    <w:rsid w:val="006D4C8E"/>
    <w:rsid w:val="006D4F85"/>
    <w:rsid w:val="006E19D1"/>
    <w:rsid w:val="006E1CBB"/>
    <w:rsid w:val="006E36AF"/>
    <w:rsid w:val="006E51F0"/>
    <w:rsid w:val="006E60BB"/>
    <w:rsid w:val="006E7916"/>
    <w:rsid w:val="006F0090"/>
    <w:rsid w:val="006F0FA1"/>
    <w:rsid w:val="006F100B"/>
    <w:rsid w:val="006F153B"/>
    <w:rsid w:val="006F1E17"/>
    <w:rsid w:val="006F239A"/>
    <w:rsid w:val="006F2C9D"/>
    <w:rsid w:val="006F4FA7"/>
    <w:rsid w:val="006F57A5"/>
    <w:rsid w:val="007015B8"/>
    <w:rsid w:val="00701FA5"/>
    <w:rsid w:val="007053B2"/>
    <w:rsid w:val="007054F1"/>
    <w:rsid w:val="0070637D"/>
    <w:rsid w:val="007071DD"/>
    <w:rsid w:val="0070771F"/>
    <w:rsid w:val="007102A9"/>
    <w:rsid w:val="0071112E"/>
    <w:rsid w:val="0071143F"/>
    <w:rsid w:val="00712A14"/>
    <w:rsid w:val="00713F39"/>
    <w:rsid w:val="00714317"/>
    <w:rsid w:val="0071460F"/>
    <w:rsid w:val="00716C04"/>
    <w:rsid w:val="00717180"/>
    <w:rsid w:val="007179D2"/>
    <w:rsid w:val="00720750"/>
    <w:rsid w:val="00722DF3"/>
    <w:rsid w:val="00724057"/>
    <w:rsid w:val="0072549C"/>
    <w:rsid w:val="0072557E"/>
    <w:rsid w:val="00725A80"/>
    <w:rsid w:val="007328D9"/>
    <w:rsid w:val="00732C10"/>
    <w:rsid w:val="00732CD1"/>
    <w:rsid w:val="00733970"/>
    <w:rsid w:val="00733C60"/>
    <w:rsid w:val="007345D3"/>
    <w:rsid w:val="00734E21"/>
    <w:rsid w:val="00741A58"/>
    <w:rsid w:val="00744612"/>
    <w:rsid w:val="00745651"/>
    <w:rsid w:val="00747DD3"/>
    <w:rsid w:val="007503A7"/>
    <w:rsid w:val="007504B9"/>
    <w:rsid w:val="007516AC"/>
    <w:rsid w:val="00754C58"/>
    <w:rsid w:val="00754D7C"/>
    <w:rsid w:val="007554B0"/>
    <w:rsid w:val="00755AA6"/>
    <w:rsid w:val="00760871"/>
    <w:rsid w:val="00761204"/>
    <w:rsid w:val="007620B1"/>
    <w:rsid w:val="007636C2"/>
    <w:rsid w:val="007654DD"/>
    <w:rsid w:val="007666C1"/>
    <w:rsid w:val="0077020A"/>
    <w:rsid w:val="00772852"/>
    <w:rsid w:val="00774A0D"/>
    <w:rsid w:val="007759B6"/>
    <w:rsid w:val="00776E78"/>
    <w:rsid w:val="00780550"/>
    <w:rsid w:val="0078138A"/>
    <w:rsid w:val="00781F47"/>
    <w:rsid w:val="00783014"/>
    <w:rsid w:val="007834DC"/>
    <w:rsid w:val="007841CA"/>
    <w:rsid w:val="00784E90"/>
    <w:rsid w:val="00785DE8"/>
    <w:rsid w:val="00787EC1"/>
    <w:rsid w:val="00792677"/>
    <w:rsid w:val="007927AC"/>
    <w:rsid w:val="007949B3"/>
    <w:rsid w:val="007959D8"/>
    <w:rsid w:val="0079630F"/>
    <w:rsid w:val="007A0443"/>
    <w:rsid w:val="007A04C2"/>
    <w:rsid w:val="007A1A18"/>
    <w:rsid w:val="007A6AFB"/>
    <w:rsid w:val="007B146A"/>
    <w:rsid w:val="007B2581"/>
    <w:rsid w:val="007B673E"/>
    <w:rsid w:val="007B7AB6"/>
    <w:rsid w:val="007C0E7C"/>
    <w:rsid w:val="007C0EAA"/>
    <w:rsid w:val="007C12FF"/>
    <w:rsid w:val="007C1D17"/>
    <w:rsid w:val="007C2519"/>
    <w:rsid w:val="007C2AB2"/>
    <w:rsid w:val="007C44B2"/>
    <w:rsid w:val="007C6496"/>
    <w:rsid w:val="007C6799"/>
    <w:rsid w:val="007C745E"/>
    <w:rsid w:val="007D17EF"/>
    <w:rsid w:val="007D313F"/>
    <w:rsid w:val="007D54CF"/>
    <w:rsid w:val="007E3F8C"/>
    <w:rsid w:val="007E52A7"/>
    <w:rsid w:val="007E58CC"/>
    <w:rsid w:val="007E7F2C"/>
    <w:rsid w:val="007F0169"/>
    <w:rsid w:val="007F17B1"/>
    <w:rsid w:val="007F2058"/>
    <w:rsid w:val="007F326D"/>
    <w:rsid w:val="007F3EAC"/>
    <w:rsid w:val="007F4804"/>
    <w:rsid w:val="007F73DF"/>
    <w:rsid w:val="007F7685"/>
    <w:rsid w:val="007F7820"/>
    <w:rsid w:val="007F7E60"/>
    <w:rsid w:val="0080011D"/>
    <w:rsid w:val="008008B7"/>
    <w:rsid w:val="00800EA5"/>
    <w:rsid w:val="00801C01"/>
    <w:rsid w:val="008071FF"/>
    <w:rsid w:val="008074BE"/>
    <w:rsid w:val="0081008A"/>
    <w:rsid w:val="0081168C"/>
    <w:rsid w:val="0081170F"/>
    <w:rsid w:val="00812CAF"/>
    <w:rsid w:val="008130BB"/>
    <w:rsid w:val="00813934"/>
    <w:rsid w:val="00815B82"/>
    <w:rsid w:val="00815E33"/>
    <w:rsid w:val="008200AB"/>
    <w:rsid w:val="008237FA"/>
    <w:rsid w:val="00823A06"/>
    <w:rsid w:val="00823D8B"/>
    <w:rsid w:val="008242D0"/>
    <w:rsid w:val="00825D37"/>
    <w:rsid w:val="00826177"/>
    <w:rsid w:val="008265BF"/>
    <w:rsid w:val="00830830"/>
    <w:rsid w:val="00833569"/>
    <w:rsid w:val="00834509"/>
    <w:rsid w:val="00835DC8"/>
    <w:rsid w:val="008369B0"/>
    <w:rsid w:val="00837910"/>
    <w:rsid w:val="00841D1E"/>
    <w:rsid w:val="00847121"/>
    <w:rsid w:val="00850D5C"/>
    <w:rsid w:val="0085145E"/>
    <w:rsid w:val="008516F9"/>
    <w:rsid w:val="00856321"/>
    <w:rsid w:val="00856E29"/>
    <w:rsid w:val="0085732C"/>
    <w:rsid w:val="00857551"/>
    <w:rsid w:val="00860A12"/>
    <w:rsid w:val="00860B45"/>
    <w:rsid w:val="00863860"/>
    <w:rsid w:val="008638B5"/>
    <w:rsid w:val="008639CE"/>
    <w:rsid w:val="00870BD7"/>
    <w:rsid w:val="00871558"/>
    <w:rsid w:val="00872CCF"/>
    <w:rsid w:val="008734DB"/>
    <w:rsid w:val="0087390B"/>
    <w:rsid w:val="008745A1"/>
    <w:rsid w:val="00874ABF"/>
    <w:rsid w:val="008759F4"/>
    <w:rsid w:val="008768E9"/>
    <w:rsid w:val="00877397"/>
    <w:rsid w:val="0087751B"/>
    <w:rsid w:val="00884172"/>
    <w:rsid w:val="008859B2"/>
    <w:rsid w:val="00886E99"/>
    <w:rsid w:val="00886FCE"/>
    <w:rsid w:val="00890995"/>
    <w:rsid w:val="008914FB"/>
    <w:rsid w:val="00893F63"/>
    <w:rsid w:val="00897032"/>
    <w:rsid w:val="00897501"/>
    <w:rsid w:val="00897E99"/>
    <w:rsid w:val="008A089D"/>
    <w:rsid w:val="008A0D25"/>
    <w:rsid w:val="008A434B"/>
    <w:rsid w:val="008A4829"/>
    <w:rsid w:val="008A7855"/>
    <w:rsid w:val="008A7B18"/>
    <w:rsid w:val="008B0069"/>
    <w:rsid w:val="008B1D83"/>
    <w:rsid w:val="008B213B"/>
    <w:rsid w:val="008B2384"/>
    <w:rsid w:val="008B38D6"/>
    <w:rsid w:val="008B4802"/>
    <w:rsid w:val="008B69E3"/>
    <w:rsid w:val="008C1FD1"/>
    <w:rsid w:val="008C24A8"/>
    <w:rsid w:val="008C25FA"/>
    <w:rsid w:val="008C26A5"/>
    <w:rsid w:val="008C28C2"/>
    <w:rsid w:val="008C3065"/>
    <w:rsid w:val="008C35EF"/>
    <w:rsid w:val="008C5996"/>
    <w:rsid w:val="008C6D9C"/>
    <w:rsid w:val="008C7246"/>
    <w:rsid w:val="008C7406"/>
    <w:rsid w:val="008D4710"/>
    <w:rsid w:val="008D531B"/>
    <w:rsid w:val="008D5A11"/>
    <w:rsid w:val="008D5E23"/>
    <w:rsid w:val="008D633B"/>
    <w:rsid w:val="008E0672"/>
    <w:rsid w:val="008E1568"/>
    <w:rsid w:val="008E484C"/>
    <w:rsid w:val="008E5E3F"/>
    <w:rsid w:val="008E6D59"/>
    <w:rsid w:val="008F091D"/>
    <w:rsid w:val="008F165A"/>
    <w:rsid w:val="008F2053"/>
    <w:rsid w:val="008F28D4"/>
    <w:rsid w:val="008F5D66"/>
    <w:rsid w:val="008F60A6"/>
    <w:rsid w:val="008F641F"/>
    <w:rsid w:val="00900963"/>
    <w:rsid w:val="009028AA"/>
    <w:rsid w:val="00903E3F"/>
    <w:rsid w:val="009049C3"/>
    <w:rsid w:val="009057D9"/>
    <w:rsid w:val="0090774A"/>
    <w:rsid w:val="009077D7"/>
    <w:rsid w:val="00910D07"/>
    <w:rsid w:val="00914B2F"/>
    <w:rsid w:val="009150E6"/>
    <w:rsid w:val="00915E28"/>
    <w:rsid w:val="00915F52"/>
    <w:rsid w:val="009163D9"/>
    <w:rsid w:val="009178F8"/>
    <w:rsid w:val="00917A9C"/>
    <w:rsid w:val="00917F89"/>
    <w:rsid w:val="009255EE"/>
    <w:rsid w:val="00925603"/>
    <w:rsid w:val="00925F76"/>
    <w:rsid w:val="009277E9"/>
    <w:rsid w:val="00930D76"/>
    <w:rsid w:val="00931583"/>
    <w:rsid w:val="00931D95"/>
    <w:rsid w:val="00932D5C"/>
    <w:rsid w:val="00932E89"/>
    <w:rsid w:val="0093359D"/>
    <w:rsid w:val="00933F2B"/>
    <w:rsid w:val="00937529"/>
    <w:rsid w:val="00940DE2"/>
    <w:rsid w:val="00942EEB"/>
    <w:rsid w:val="009437EC"/>
    <w:rsid w:val="00943C3A"/>
    <w:rsid w:val="0094468E"/>
    <w:rsid w:val="00945261"/>
    <w:rsid w:val="00945748"/>
    <w:rsid w:val="00947EE3"/>
    <w:rsid w:val="009506A5"/>
    <w:rsid w:val="00953A81"/>
    <w:rsid w:val="009541CC"/>
    <w:rsid w:val="00956564"/>
    <w:rsid w:val="00956D5A"/>
    <w:rsid w:val="0096020F"/>
    <w:rsid w:val="009612C9"/>
    <w:rsid w:val="00961B2C"/>
    <w:rsid w:val="00961B3E"/>
    <w:rsid w:val="00961DBB"/>
    <w:rsid w:val="00961F0D"/>
    <w:rsid w:val="00962483"/>
    <w:rsid w:val="0096253B"/>
    <w:rsid w:val="009633B2"/>
    <w:rsid w:val="0096464F"/>
    <w:rsid w:val="0096618E"/>
    <w:rsid w:val="00972DB5"/>
    <w:rsid w:val="009734C3"/>
    <w:rsid w:val="00976ED0"/>
    <w:rsid w:val="00977B8A"/>
    <w:rsid w:val="00977D08"/>
    <w:rsid w:val="00981433"/>
    <w:rsid w:val="00981E39"/>
    <w:rsid w:val="00981F09"/>
    <w:rsid w:val="009826D9"/>
    <w:rsid w:val="0098372E"/>
    <w:rsid w:val="00985C07"/>
    <w:rsid w:val="00986CD5"/>
    <w:rsid w:val="00990B05"/>
    <w:rsid w:val="0099132D"/>
    <w:rsid w:val="00991433"/>
    <w:rsid w:val="009932A4"/>
    <w:rsid w:val="00995B4F"/>
    <w:rsid w:val="009969FE"/>
    <w:rsid w:val="00997582"/>
    <w:rsid w:val="009A21A3"/>
    <w:rsid w:val="009A2C21"/>
    <w:rsid w:val="009A2FFF"/>
    <w:rsid w:val="009A31E3"/>
    <w:rsid w:val="009A3AD8"/>
    <w:rsid w:val="009A3E58"/>
    <w:rsid w:val="009A49F8"/>
    <w:rsid w:val="009A5B03"/>
    <w:rsid w:val="009A5F02"/>
    <w:rsid w:val="009A6008"/>
    <w:rsid w:val="009A7654"/>
    <w:rsid w:val="009A7AB1"/>
    <w:rsid w:val="009B0737"/>
    <w:rsid w:val="009B10B5"/>
    <w:rsid w:val="009B24CF"/>
    <w:rsid w:val="009B3325"/>
    <w:rsid w:val="009B40FE"/>
    <w:rsid w:val="009B5EF7"/>
    <w:rsid w:val="009C0C1A"/>
    <w:rsid w:val="009C582B"/>
    <w:rsid w:val="009C5D0B"/>
    <w:rsid w:val="009C6DAA"/>
    <w:rsid w:val="009D025D"/>
    <w:rsid w:val="009D0E74"/>
    <w:rsid w:val="009D1A96"/>
    <w:rsid w:val="009D3288"/>
    <w:rsid w:val="009D3519"/>
    <w:rsid w:val="009D370B"/>
    <w:rsid w:val="009D3840"/>
    <w:rsid w:val="009E128B"/>
    <w:rsid w:val="009E1C14"/>
    <w:rsid w:val="009E2087"/>
    <w:rsid w:val="009E252B"/>
    <w:rsid w:val="009E3265"/>
    <w:rsid w:val="009E3353"/>
    <w:rsid w:val="009E446D"/>
    <w:rsid w:val="009E5D6C"/>
    <w:rsid w:val="009E64A9"/>
    <w:rsid w:val="009E6F3B"/>
    <w:rsid w:val="009E7C09"/>
    <w:rsid w:val="009F07D5"/>
    <w:rsid w:val="009F146D"/>
    <w:rsid w:val="009F4F1E"/>
    <w:rsid w:val="009F58AF"/>
    <w:rsid w:val="009F6666"/>
    <w:rsid w:val="00A015E4"/>
    <w:rsid w:val="00A0441E"/>
    <w:rsid w:val="00A069B1"/>
    <w:rsid w:val="00A07263"/>
    <w:rsid w:val="00A075BC"/>
    <w:rsid w:val="00A11222"/>
    <w:rsid w:val="00A12C39"/>
    <w:rsid w:val="00A134FB"/>
    <w:rsid w:val="00A13D0D"/>
    <w:rsid w:val="00A13D57"/>
    <w:rsid w:val="00A14590"/>
    <w:rsid w:val="00A16D0C"/>
    <w:rsid w:val="00A179A0"/>
    <w:rsid w:val="00A17AA0"/>
    <w:rsid w:val="00A17EB2"/>
    <w:rsid w:val="00A20802"/>
    <w:rsid w:val="00A23633"/>
    <w:rsid w:val="00A24314"/>
    <w:rsid w:val="00A247E4"/>
    <w:rsid w:val="00A24875"/>
    <w:rsid w:val="00A25B4F"/>
    <w:rsid w:val="00A260D9"/>
    <w:rsid w:val="00A34A1A"/>
    <w:rsid w:val="00A352C2"/>
    <w:rsid w:val="00A371ED"/>
    <w:rsid w:val="00A37BFF"/>
    <w:rsid w:val="00A4046E"/>
    <w:rsid w:val="00A442BF"/>
    <w:rsid w:val="00A464CF"/>
    <w:rsid w:val="00A50CA8"/>
    <w:rsid w:val="00A51262"/>
    <w:rsid w:val="00A51DFD"/>
    <w:rsid w:val="00A53351"/>
    <w:rsid w:val="00A53716"/>
    <w:rsid w:val="00A5629E"/>
    <w:rsid w:val="00A56535"/>
    <w:rsid w:val="00A6161B"/>
    <w:rsid w:val="00A619B7"/>
    <w:rsid w:val="00A64831"/>
    <w:rsid w:val="00A64832"/>
    <w:rsid w:val="00A70366"/>
    <w:rsid w:val="00A7185B"/>
    <w:rsid w:val="00A7258F"/>
    <w:rsid w:val="00A72B8C"/>
    <w:rsid w:val="00A72B97"/>
    <w:rsid w:val="00A732DB"/>
    <w:rsid w:val="00A74D57"/>
    <w:rsid w:val="00A77952"/>
    <w:rsid w:val="00A8081B"/>
    <w:rsid w:val="00A8224F"/>
    <w:rsid w:val="00A82337"/>
    <w:rsid w:val="00A824D1"/>
    <w:rsid w:val="00A84D43"/>
    <w:rsid w:val="00A85524"/>
    <w:rsid w:val="00A863F5"/>
    <w:rsid w:val="00A86F04"/>
    <w:rsid w:val="00A90F7C"/>
    <w:rsid w:val="00A946C4"/>
    <w:rsid w:val="00A96341"/>
    <w:rsid w:val="00AA1DC4"/>
    <w:rsid w:val="00AA2716"/>
    <w:rsid w:val="00AA2D5A"/>
    <w:rsid w:val="00AA7AE0"/>
    <w:rsid w:val="00AC01F8"/>
    <w:rsid w:val="00AC059A"/>
    <w:rsid w:val="00AC2E38"/>
    <w:rsid w:val="00AC34CF"/>
    <w:rsid w:val="00AC35F2"/>
    <w:rsid w:val="00AC3CFD"/>
    <w:rsid w:val="00AC3D46"/>
    <w:rsid w:val="00AC4C4F"/>
    <w:rsid w:val="00AC6912"/>
    <w:rsid w:val="00AC6ACC"/>
    <w:rsid w:val="00AC7B85"/>
    <w:rsid w:val="00AD0308"/>
    <w:rsid w:val="00AD2185"/>
    <w:rsid w:val="00AD377A"/>
    <w:rsid w:val="00AD42F4"/>
    <w:rsid w:val="00AD580B"/>
    <w:rsid w:val="00AD67BB"/>
    <w:rsid w:val="00AD7052"/>
    <w:rsid w:val="00AD7E96"/>
    <w:rsid w:val="00AE1CC1"/>
    <w:rsid w:val="00AE1D4D"/>
    <w:rsid w:val="00AE365C"/>
    <w:rsid w:val="00AE3EA4"/>
    <w:rsid w:val="00AF084D"/>
    <w:rsid w:val="00AF0A74"/>
    <w:rsid w:val="00AF1B02"/>
    <w:rsid w:val="00AF2BAB"/>
    <w:rsid w:val="00AF31BE"/>
    <w:rsid w:val="00AF32BF"/>
    <w:rsid w:val="00AF3736"/>
    <w:rsid w:val="00AF41E4"/>
    <w:rsid w:val="00AF6A6C"/>
    <w:rsid w:val="00AF72E8"/>
    <w:rsid w:val="00B06A75"/>
    <w:rsid w:val="00B06BC3"/>
    <w:rsid w:val="00B07F07"/>
    <w:rsid w:val="00B11DD0"/>
    <w:rsid w:val="00B14A8D"/>
    <w:rsid w:val="00B15A0F"/>
    <w:rsid w:val="00B20236"/>
    <w:rsid w:val="00B20937"/>
    <w:rsid w:val="00B220A0"/>
    <w:rsid w:val="00B22A14"/>
    <w:rsid w:val="00B22B64"/>
    <w:rsid w:val="00B22FEA"/>
    <w:rsid w:val="00B23831"/>
    <w:rsid w:val="00B24321"/>
    <w:rsid w:val="00B24CFB"/>
    <w:rsid w:val="00B24FC6"/>
    <w:rsid w:val="00B26D4C"/>
    <w:rsid w:val="00B27DE4"/>
    <w:rsid w:val="00B30DA4"/>
    <w:rsid w:val="00B30FEB"/>
    <w:rsid w:val="00B31280"/>
    <w:rsid w:val="00B35431"/>
    <w:rsid w:val="00B36D20"/>
    <w:rsid w:val="00B405BE"/>
    <w:rsid w:val="00B40AA3"/>
    <w:rsid w:val="00B44478"/>
    <w:rsid w:val="00B45646"/>
    <w:rsid w:val="00B4757A"/>
    <w:rsid w:val="00B50A79"/>
    <w:rsid w:val="00B51D95"/>
    <w:rsid w:val="00B51EC0"/>
    <w:rsid w:val="00B5513D"/>
    <w:rsid w:val="00B5700A"/>
    <w:rsid w:val="00B6002C"/>
    <w:rsid w:val="00B60208"/>
    <w:rsid w:val="00B619A3"/>
    <w:rsid w:val="00B620EE"/>
    <w:rsid w:val="00B628FE"/>
    <w:rsid w:val="00B630CF"/>
    <w:rsid w:val="00B63F6B"/>
    <w:rsid w:val="00B650FF"/>
    <w:rsid w:val="00B665BB"/>
    <w:rsid w:val="00B66A11"/>
    <w:rsid w:val="00B73B27"/>
    <w:rsid w:val="00B73F7C"/>
    <w:rsid w:val="00B74DDC"/>
    <w:rsid w:val="00B77248"/>
    <w:rsid w:val="00B7784F"/>
    <w:rsid w:val="00B80886"/>
    <w:rsid w:val="00B84651"/>
    <w:rsid w:val="00B85366"/>
    <w:rsid w:val="00B85DC2"/>
    <w:rsid w:val="00B87F60"/>
    <w:rsid w:val="00B904B6"/>
    <w:rsid w:val="00B93D3D"/>
    <w:rsid w:val="00B949FC"/>
    <w:rsid w:val="00BA0D6F"/>
    <w:rsid w:val="00BA177B"/>
    <w:rsid w:val="00BA39A6"/>
    <w:rsid w:val="00BA3B78"/>
    <w:rsid w:val="00BA471F"/>
    <w:rsid w:val="00BA63F1"/>
    <w:rsid w:val="00BA6AAA"/>
    <w:rsid w:val="00BB436C"/>
    <w:rsid w:val="00BB5013"/>
    <w:rsid w:val="00BB528E"/>
    <w:rsid w:val="00BB5A0D"/>
    <w:rsid w:val="00BB77AB"/>
    <w:rsid w:val="00BC0C4D"/>
    <w:rsid w:val="00BC2600"/>
    <w:rsid w:val="00BC36F0"/>
    <w:rsid w:val="00BC4FA7"/>
    <w:rsid w:val="00BC5E30"/>
    <w:rsid w:val="00BC7732"/>
    <w:rsid w:val="00BD02C5"/>
    <w:rsid w:val="00BD068D"/>
    <w:rsid w:val="00BD33AD"/>
    <w:rsid w:val="00BD6B0A"/>
    <w:rsid w:val="00BE0D9A"/>
    <w:rsid w:val="00BE1A50"/>
    <w:rsid w:val="00BE2702"/>
    <w:rsid w:val="00BE2F0D"/>
    <w:rsid w:val="00BE6305"/>
    <w:rsid w:val="00BF0BD5"/>
    <w:rsid w:val="00BF2FFD"/>
    <w:rsid w:val="00BF55F8"/>
    <w:rsid w:val="00BF5773"/>
    <w:rsid w:val="00BF7361"/>
    <w:rsid w:val="00C020F3"/>
    <w:rsid w:val="00C02161"/>
    <w:rsid w:val="00C03FBD"/>
    <w:rsid w:val="00C04D47"/>
    <w:rsid w:val="00C051FD"/>
    <w:rsid w:val="00C06BE3"/>
    <w:rsid w:val="00C106CC"/>
    <w:rsid w:val="00C1224F"/>
    <w:rsid w:val="00C15146"/>
    <w:rsid w:val="00C1544B"/>
    <w:rsid w:val="00C2081B"/>
    <w:rsid w:val="00C20C7D"/>
    <w:rsid w:val="00C20DEF"/>
    <w:rsid w:val="00C22A31"/>
    <w:rsid w:val="00C236AB"/>
    <w:rsid w:val="00C24B25"/>
    <w:rsid w:val="00C25358"/>
    <w:rsid w:val="00C264D3"/>
    <w:rsid w:val="00C271CC"/>
    <w:rsid w:val="00C27458"/>
    <w:rsid w:val="00C30457"/>
    <w:rsid w:val="00C32C2F"/>
    <w:rsid w:val="00C33384"/>
    <w:rsid w:val="00C362A5"/>
    <w:rsid w:val="00C3738A"/>
    <w:rsid w:val="00C40BA3"/>
    <w:rsid w:val="00C40CB6"/>
    <w:rsid w:val="00C414D7"/>
    <w:rsid w:val="00C42D75"/>
    <w:rsid w:val="00C4315A"/>
    <w:rsid w:val="00C43F5E"/>
    <w:rsid w:val="00C44074"/>
    <w:rsid w:val="00C4651F"/>
    <w:rsid w:val="00C51D0B"/>
    <w:rsid w:val="00C52A50"/>
    <w:rsid w:val="00C52BAE"/>
    <w:rsid w:val="00C60046"/>
    <w:rsid w:val="00C60908"/>
    <w:rsid w:val="00C60A7B"/>
    <w:rsid w:val="00C610CF"/>
    <w:rsid w:val="00C642D4"/>
    <w:rsid w:val="00C6609F"/>
    <w:rsid w:val="00C713B2"/>
    <w:rsid w:val="00C71E1D"/>
    <w:rsid w:val="00C730F4"/>
    <w:rsid w:val="00C7485B"/>
    <w:rsid w:val="00C775E8"/>
    <w:rsid w:val="00C80200"/>
    <w:rsid w:val="00C8270B"/>
    <w:rsid w:val="00C841A9"/>
    <w:rsid w:val="00C850D5"/>
    <w:rsid w:val="00C85BCF"/>
    <w:rsid w:val="00C866DD"/>
    <w:rsid w:val="00C8728F"/>
    <w:rsid w:val="00C87ACA"/>
    <w:rsid w:val="00C902CF"/>
    <w:rsid w:val="00C94690"/>
    <w:rsid w:val="00C94A50"/>
    <w:rsid w:val="00C94B3D"/>
    <w:rsid w:val="00C94D0A"/>
    <w:rsid w:val="00C95293"/>
    <w:rsid w:val="00C96C35"/>
    <w:rsid w:val="00C97FBC"/>
    <w:rsid w:val="00CA0B7E"/>
    <w:rsid w:val="00CA32E7"/>
    <w:rsid w:val="00CA3322"/>
    <w:rsid w:val="00CA3830"/>
    <w:rsid w:val="00CA5598"/>
    <w:rsid w:val="00CA5672"/>
    <w:rsid w:val="00CA5DAC"/>
    <w:rsid w:val="00CA5EF8"/>
    <w:rsid w:val="00CA610D"/>
    <w:rsid w:val="00CB07F1"/>
    <w:rsid w:val="00CB16DF"/>
    <w:rsid w:val="00CB28A3"/>
    <w:rsid w:val="00CB3217"/>
    <w:rsid w:val="00CB4849"/>
    <w:rsid w:val="00CC00A0"/>
    <w:rsid w:val="00CC2244"/>
    <w:rsid w:val="00CC2DCF"/>
    <w:rsid w:val="00CC49A1"/>
    <w:rsid w:val="00CC5455"/>
    <w:rsid w:val="00CC69BD"/>
    <w:rsid w:val="00CC6C06"/>
    <w:rsid w:val="00CC7BF8"/>
    <w:rsid w:val="00CD0D02"/>
    <w:rsid w:val="00CD5509"/>
    <w:rsid w:val="00CD6727"/>
    <w:rsid w:val="00CD6E08"/>
    <w:rsid w:val="00CD6EAE"/>
    <w:rsid w:val="00CE137D"/>
    <w:rsid w:val="00CE1EB0"/>
    <w:rsid w:val="00CE222D"/>
    <w:rsid w:val="00CE3DF2"/>
    <w:rsid w:val="00CE5BF4"/>
    <w:rsid w:val="00CE62FC"/>
    <w:rsid w:val="00CE65C9"/>
    <w:rsid w:val="00CE79F9"/>
    <w:rsid w:val="00CF0C0F"/>
    <w:rsid w:val="00CF1690"/>
    <w:rsid w:val="00CF17E6"/>
    <w:rsid w:val="00CF1DF7"/>
    <w:rsid w:val="00CF1F2A"/>
    <w:rsid w:val="00CF3A9E"/>
    <w:rsid w:val="00CF416F"/>
    <w:rsid w:val="00CF5CE3"/>
    <w:rsid w:val="00CF7412"/>
    <w:rsid w:val="00D00F67"/>
    <w:rsid w:val="00D014E3"/>
    <w:rsid w:val="00D02F7D"/>
    <w:rsid w:val="00D030F8"/>
    <w:rsid w:val="00D05E71"/>
    <w:rsid w:val="00D06459"/>
    <w:rsid w:val="00D06842"/>
    <w:rsid w:val="00D077B7"/>
    <w:rsid w:val="00D07839"/>
    <w:rsid w:val="00D11E9C"/>
    <w:rsid w:val="00D124C4"/>
    <w:rsid w:val="00D13CDF"/>
    <w:rsid w:val="00D13ECF"/>
    <w:rsid w:val="00D17FC2"/>
    <w:rsid w:val="00D20297"/>
    <w:rsid w:val="00D21E6B"/>
    <w:rsid w:val="00D23338"/>
    <w:rsid w:val="00D23634"/>
    <w:rsid w:val="00D25107"/>
    <w:rsid w:val="00D259A3"/>
    <w:rsid w:val="00D25CE5"/>
    <w:rsid w:val="00D32971"/>
    <w:rsid w:val="00D33B1A"/>
    <w:rsid w:val="00D33FDF"/>
    <w:rsid w:val="00D34551"/>
    <w:rsid w:val="00D34E7E"/>
    <w:rsid w:val="00D3734D"/>
    <w:rsid w:val="00D377BD"/>
    <w:rsid w:val="00D37832"/>
    <w:rsid w:val="00D40607"/>
    <w:rsid w:val="00D408CE"/>
    <w:rsid w:val="00D41524"/>
    <w:rsid w:val="00D43997"/>
    <w:rsid w:val="00D43F44"/>
    <w:rsid w:val="00D45698"/>
    <w:rsid w:val="00D457D6"/>
    <w:rsid w:val="00D45AFB"/>
    <w:rsid w:val="00D460AB"/>
    <w:rsid w:val="00D5102D"/>
    <w:rsid w:val="00D510CE"/>
    <w:rsid w:val="00D543FF"/>
    <w:rsid w:val="00D57E5D"/>
    <w:rsid w:val="00D60512"/>
    <w:rsid w:val="00D61BBC"/>
    <w:rsid w:val="00D6274C"/>
    <w:rsid w:val="00D64CE2"/>
    <w:rsid w:val="00D64EB9"/>
    <w:rsid w:val="00D6510F"/>
    <w:rsid w:val="00D72FBA"/>
    <w:rsid w:val="00D747F6"/>
    <w:rsid w:val="00D7751B"/>
    <w:rsid w:val="00D815DC"/>
    <w:rsid w:val="00D822B5"/>
    <w:rsid w:val="00D82788"/>
    <w:rsid w:val="00D82CC7"/>
    <w:rsid w:val="00D8318C"/>
    <w:rsid w:val="00D83D3C"/>
    <w:rsid w:val="00D867AE"/>
    <w:rsid w:val="00D87BBB"/>
    <w:rsid w:val="00D87C87"/>
    <w:rsid w:val="00D90202"/>
    <w:rsid w:val="00D921C4"/>
    <w:rsid w:val="00D9296A"/>
    <w:rsid w:val="00D92AA6"/>
    <w:rsid w:val="00D93C23"/>
    <w:rsid w:val="00D95638"/>
    <w:rsid w:val="00D9584C"/>
    <w:rsid w:val="00DA0624"/>
    <w:rsid w:val="00DA14D9"/>
    <w:rsid w:val="00DA2673"/>
    <w:rsid w:val="00DA306A"/>
    <w:rsid w:val="00DA649C"/>
    <w:rsid w:val="00DB02A1"/>
    <w:rsid w:val="00DB13AD"/>
    <w:rsid w:val="00DB23F9"/>
    <w:rsid w:val="00DB58BE"/>
    <w:rsid w:val="00DB6176"/>
    <w:rsid w:val="00DB6AA0"/>
    <w:rsid w:val="00DB7C3A"/>
    <w:rsid w:val="00DC7B8C"/>
    <w:rsid w:val="00DC7F07"/>
    <w:rsid w:val="00DD0020"/>
    <w:rsid w:val="00DD1862"/>
    <w:rsid w:val="00DD1AB8"/>
    <w:rsid w:val="00DD32AB"/>
    <w:rsid w:val="00DD4386"/>
    <w:rsid w:val="00DD5BF6"/>
    <w:rsid w:val="00DD7132"/>
    <w:rsid w:val="00DD7EE9"/>
    <w:rsid w:val="00DE1865"/>
    <w:rsid w:val="00DE29B1"/>
    <w:rsid w:val="00DE2F36"/>
    <w:rsid w:val="00DE4114"/>
    <w:rsid w:val="00DE678F"/>
    <w:rsid w:val="00DE6CEF"/>
    <w:rsid w:val="00DF11C2"/>
    <w:rsid w:val="00DF4593"/>
    <w:rsid w:val="00DF52E3"/>
    <w:rsid w:val="00DF791D"/>
    <w:rsid w:val="00E01594"/>
    <w:rsid w:val="00E02335"/>
    <w:rsid w:val="00E03BFD"/>
    <w:rsid w:val="00E04CC6"/>
    <w:rsid w:val="00E06953"/>
    <w:rsid w:val="00E1001E"/>
    <w:rsid w:val="00E10D05"/>
    <w:rsid w:val="00E118A8"/>
    <w:rsid w:val="00E1261F"/>
    <w:rsid w:val="00E13358"/>
    <w:rsid w:val="00E15923"/>
    <w:rsid w:val="00E16E9C"/>
    <w:rsid w:val="00E179DE"/>
    <w:rsid w:val="00E21D69"/>
    <w:rsid w:val="00E2223E"/>
    <w:rsid w:val="00E22D98"/>
    <w:rsid w:val="00E23469"/>
    <w:rsid w:val="00E24623"/>
    <w:rsid w:val="00E252E3"/>
    <w:rsid w:val="00E25D47"/>
    <w:rsid w:val="00E26E87"/>
    <w:rsid w:val="00E2799C"/>
    <w:rsid w:val="00E31416"/>
    <w:rsid w:val="00E40505"/>
    <w:rsid w:val="00E42A41"/>
    <w:rsid w:val="00E43C1F"/>
    <w:rsid w:val="00E456AE"/>
    <w:rsid w:val="00E45766"/>
    <w:rsid w:val="00E5095F"/>
    <w:rsid w:val="00E5245A"/>
    <w:rsid w:val="00E5345A"/>
    <w:rsid w:val="00E567E5"/>
    <w:rsid w:val="00E56C0B"/>
    <w:rsid w:val="00E6708B"/>
    <w:rsid w:val="00E73A8C"/>
    <w:rsid w:val="00E7418C"/>
    <w:rsid w:val="00E74AA7"/>
    <w:rsid w:val="00E75050"/>
    <w:rsid w:val="00E76F42"/>
    <w:rsid w:val="00E81966"/>
    <w:rsid w:val="00E84263"/>
    <w:rsid w:val="00E85693"/>
    <w:rsid w:val="00E866B0"/>
    <w:rsid w:val="00E86A20"/>
    <w:rsid w:val="00E915E6"/>
    <w:rsid w:val="00E92520"/>
    <w:rsid w:val="00E93109"/>
    <w:rsid w:val="00E93D06"/>
    <w:rsid w:val="00E94415"/>
    <w:rsid w:val="00EA072F"/>
    <w:rsid w:val="00EA1E6F"/>
    <w:rsid w:val="00EA27E6"/>
    <w:rsid w:val="00EA3E11"/>
    <w:rsid w:val="00EA5C65"/>
    <w:rsid w:val="00EA6EB3"/>
    <w:rsid w:val="00EA7466"/>
    <w:rsid w:val="00EB2E19"/>
    <w:rsid w:val="00EB2E50"/>
    <w:rsid w:val="00EB3AB9"/>
    <w:rsid w:val="00EB4A8E"/>
    <w:rsid w:val="00EB5EF3"/>
    <w:rsid w:val="00EB695D"/>
    <w:rsid w:val="00EB6DB9"/>
    <w:rsid w:val="00EC2B69"/>
    <w:rsid w:val="00EC4A5D"/>
    <w:rsid w:val="00EC4A90"/>
    <w:rsid w:val="00EC7129"/>
    <w:rsid w:val="00ED281D"/>
    <w:rsid w:val="00ED39CE"/>
    <w:rsid w:val="00ED3DCF"/>
    <w:rsid w:val="00ED4134"/>
    <w:rsid w:val="00ED527D"/>
    <w:rsid w:val="00ED7303"/>
    <w:rsid w:val="00EE05F1"/>
    <w:rsid w:val="00EE222E"/>
    <w:rsid w:val="00EE471A"/>
    <w:rsid w:val="00EE5492"/>
    <w:rsid w:val="00EE5B73"/>
    <w:rsid w:val="00EF02A5"/>
    <w:rsid w:val="00EF05FC"/>
    <w:rsid w:val="00EF06AB"/>
    <w:rsid w:val="00EF13FE"/>
    <w:rsid w:val="00EF1FFB"/>
    <w:rsid w:val="00EF6366"/>
    <w:rsid w:val="00EF7EE7"/>
    <w:rsid w:val="00F024F6"/>
    <w:rsid w:val="00F03268"/>
    <w:rsid w:val="00F037D4"/>
    <w:rsid w:val="00F040BB"/>
    <w:rsid w:val="00F058A1"/>
    <w:rsid w:val="00F071FE"/>
    <w:rsid w:val="00F07BD5"/>
    <w:rsid w:val="00F122D6"/>
    <w:rsid w:val="00F15BF4"/>
    <w:rsid w:val="00F172A1"/>
    <w:rsid w:val="00F17940"/>
    <w:rsid w:val="00F2046C"/>
    <w:rsid w:val="00F20647"/>
    <w:rsid w:val="00F21FE4"/>
    <w:rsid w:val="00F22389"/>
    <w:rsid w:val="00F23C49"/>
    <w:rsid w:val="00F26098"/>
    <w:rsid w:val="00F30DB8"/>
    <w:rsid w:val="00F31392"/>
    <w:rsid w:val="00F32BBA"/>
    <w:rsid w:val="00F33C0F"/>
    <w:rsid w:val="00F34035"/>
    <w:rsid w:val="00F348B5"/>
    <w:rsid w:val="00F35008"/>
    <w:rsid w:val="00F35575"/>
    <w:rsid w:val="00F361B5"/>
    <w:rsid w:val="00F36433"/>
    <w:rsid w:val="00F3652B"/>
    <w:rsid w:val="00F377B9"/>
    <w:rsid w:val="00F3784B"/>
    <w:rsid w:val="00F37CAC"/>
    <w:rsid w:val="00F37F37"/>
    <w:rsid w:val="00F40BAA"/>
    <w:rsid w:val="00F4144F"/>
    <w:rsid w:val="00F42A27"/>
    <w:rsid w:val="00F45442"/>
    <w:rsid w:val="00F5145E"/>
    <w:rsid w:val="00F51976"/>
    <w:rsid w:val="00F51CA3"/>
    <w:rsid w:val="00F53C2D"/>
    <w:rsid w:val="00F5541F"/>
    <w:rsid w:val="00F558EA"/>
    <w:rsid w:val="00F56164"/>
    <w:rsid w:val="00F56AA9"/>
    <w:rsid w:val="00F60DDA"/>
    <w:rsid w:val="00F613CB"/>
    <w:rsid w:val="00F61F79"/>
    <w:rsid w:val="00F63784"/>
    <w:rsid w:val="00F656A4"/>
    <w:rsid w:val="00F6665E"/>
    <w:rsid w:val="00F7075F"/>
    <w:rsid w:val="00F70CEC"/>
    <w:rsid w:val="00F70F7B"/>
    <w:rsid w:val="00F71D76"/>
    <w:rsid w:val="00F71DA3"/>
    <w:rsid w:val="00F74B12"/>
    <w:rsid w:val="00F74F8E"/>
    <w:rsid w:val="00F752BB"/>
    <w:rsid w:val="00F80483"/>
    <w:rsid w:val="00F80709"/>
    <w:rsid w:val="00F8349F"/>
    <w:rsid w:val="00F83FB7"/>
    <w:rsid w:val="00F85935"/>
    <w:rsid w:val="00F85D29"/>
    <w:rsid w:val="00F87E31"/>
    <w:rsid w:val="00F9055B"/>
    <w:rsid w:val="00F92BB4"/>
    <w:rsid w:val="00F92EC9"/>
    <w:rsid w:val="00F93F36"/>
    <w:rsid w:val="00F969D3"/>
    <w:rsid w:val="00F971E4"/>
    <w:rsid w:val="00FA190E"/>
    <w:rsid w:val="00FA22FC"/>
    <w:rsid w:val="00FA3102"/>
    <w:rsid w:val="00FA4DB8"/>
    <w:rsid w:val="00FA54D8"/>
    <w:rsid w:val="00FA6FE7"/>
    <w:rsid w:val="00FA77EC"/>
    <w:rsid w:val="00FB1669"/>
    <w:rsid w:val="00FB18E2"/>
    <w:rsid w:val="00FB2B58"/>
    <w:rsid w:val="00FB3C8A"/>
    <w:rsid w:val="00FB633C"/>
    <w:rsid w:val="00FB6F05"/>
    <w:rsid w:val="00FC4FB7"/>
    <w:rsid w:val="00FC60A5"/>
    <w:rsid w:val="00FC73C8"/>
    <w:rsid w:val="00FD1696"/>
    <w:rsid w:val="00FD2CD1"/>
    <w:rsid w:val="00FD3537"/>
    <w:rsid w:val="00FD357B"/>
    <w:rsid w:val="00FD38FC"/>
    <w:rsid w:val="00FD4EAF"/>
    <w:rsid w:val="00FD57D6"/>
    <w:rsid w:val="00FD6119"/>
    <w:rsid w:val="00FD688E"/>
    <w:rsid w:val="00FD729F"/>
    <w:rsid w:val="00FD7C0C"/>
    <w:rsid w:val="00FE045C"/>
    <w:rsid w:val="00FE0C52"/>
    <w:rsid w:val="00FE10C0"/>
    <w:rsid w:val="00FE1692"/>
    <w:rsid w:val="00FE248E"/>
    <w:rsid w:val="00FF0566"/>
    <w:rsid w:val="00FF0CEB"/>
    <w:rsid w:val="00FF2DCF"/>
    <w:rsid w:val="00FF408B"/>
    <w:rsid w:val="00FF48FB"/>
    <w:rsid w:val="00FF6218"/>
    <w:rsid w:val="00FF6F26"/>
    <w:rsid w:val="00FF763A"/>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3D3571"/>
  </w:style>
  <w:style w:type="paragraph" w:styleId="Heading1">
    <w:name w:val="heading 1"/>
    <w:basedOn w:val="Normal"/>
    <w:next w:val="BodyText"/>
    <w:link w:val="Heading1Char"/>
    <w:qFormat/>
    <w:rsid w:val="00733970"/>
    <w:pPr>
      <w:keepNext/>
      <w:keepLines/>
      <w:numPr>
        <w:numId w:val="10"/>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7B673E"/>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99"/>
    <w:rsid w:val="00961DBB"/>
    <w:rPr>
      <w:color w:val="808080"/>
    </w:rPr>
  </w:style>
  <w:style w:type="paragraph" w:customStyle="1" w:styleId="PullOutBoxBodyText">
    <w:name w:val="Pull Out Box Body Text"/>
    <w:basedOn w:val="Normal"/>
    <w:link w:val="PullOutBoxBodyTextChar"/>
    <w:qFormat/>
    <w:rsid w:val="004A6413"/>
    <w:pPr>
      <w:spacing w:before="113" w:after="113" w:line="240" w:lineRule="auto"/>
      <w:ind w:left="113" w:right="113"/>
    </w:pPr>
    <w:rPr>
      <w:rFonts w:eastAsia="Times New Roman" w:cs="Arial"/>
      <w:spacing w:val="-1"/>
      <w:lang w:eastAsia="en-AU"/>
    </w:rPr>
  </w:style>
  <w:style w:type="paragraph" w:customStyle="1" w:styleId="PullOutBoxBullet">
    <w:name w:val="Pull Out Box Bullet"/>
    <w:basedOn w:val="PullOutBoxBodyText"/>
    <w:qFormat/>
    <w:rsid w:val="00E1001E"/>
    <w:pPr>
      <w:numPr>
        <w:numId w:val="4"/>
      </w:numPr>
      <w:ind w:left="453"/>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link w:val="PullOutBoxHeadingChar"/>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FB1669"/>
    <w:rPr>
      <w:sz w:val="16"/>
      <w:szCs w:val="16"/>
    </w:rPr>
  </w:style>
  <w:style w:type="paragraph" w:styleId="CommentText">
    <w:name w:val="annotation text"/>
    <w:basedOn w:val="Normal"/>
    <w:link w:val="CommentTextChar"/>
    <w:semiHidden/>
    <w:unhideWhenUsed/>
    <w:rsid w:val="00FB1669"/>
    <w:pPr>
      <w:spacing w:line="240" w:lineRule="auto"/>
    </w:pPr>
    <w:rPr>
      <w:sz w:val="20"/>
      <w:szCs w:val="20"/>
    </w:rPr>
  </w:style>
  <w:style w:type="character" w:customStyle="1" w:styleId="CommentTextChar">
    <w:name w:val="Comment Text Char"/>
    <w:basedOn w:val="DefaultParagraphFont"/>
    <w:link w:val="CommentText"/>
    <w:semiHidden/>
    <w:rsid w:val="00FB1669"/>
    <w:rPr>
      <w:sz w:val="20"/>
      <w:szCs w:val="20"/>
    </w:rPr>
  </w:style>
  <w:style w:type="paragraph" w:styleId="CommentSubject">
    <w:name w:val="annotation subject"/>
    <w:basedOn w:val="CommentText"/>
    <w:next w:val="CommentText"/>
    <w:link w:val="CommentSubjectChar"/>
    <w:semiHidden/>
    <w:unhideWhenUsed/>
    <w:rsid w:val="00FB1669"/>
    <w:rPr>
      <w:b/>
      <w:bCs/>
    </w:rPr>
  </w:style>
  <w:style w:type="character" w:customStyle="1" w:styleId="CommentSubjectChar">
    <w:name w:val="Comment Subject Char"/>
    <w:basedOn w:val="CommentTextChar"/>
    <w:link w:val="CommentSubject"/>
    <w:semiHidden/>
    <w:rsid w:val="00FB1669"/>
    <w:rPr>
      <w:b/>
      <w:bCs/>
      <w:sz w:val="20"/>
      <w:szCs w:val="20"/>
    </w:rPr>
  </w:style>
  <w:style w:type="paragraph" w:customStyle="1" w:styleId="Caption1">
    <w:name w:val="Caption 1"/>
    <w:basedOn w:val="PullOutBoxHeading"/>
    <w:link w:val="Caption1Char"/>
    <w:qFormat/>
    <w:rsid w:val="00A96341"/>
    <w:pPr>
      <w:spacing w:before="340" w:line="300" w:lineRule="atLeast"/>
      <w:ind w:left="0"/>
    </w:pPr>
    <w:rPr>
      <w:sz w:val="22"/>
    </w:rPr>
  </w:style>
  <w:style w:type="character" w:customStyle="1" w:styleId="PullOutBoxBodyTextChar">
    <w:name w:val="Pull Out Box Body Text Char"/>
    <w:basedOn w:val="DefaultParagraphFont"/>
    <w:link w:val="PullOutBoxBodyText"/>
    <w:rsid w:val="004A6413"/>
    <w:rPr>
      <w:rFonts w:eastAsia="Times New Roman" w:cs="Arial"/>
      <w:spacing w:val="-1"/>
      <w:lang w:eastAsia="en-AU"/>
    </w:rPr>
  </w:style>
  <w:style w:type="character" w:customStyle="1" w:styleId="PullOutBoxHeadingChar">
    <w:name w:val="Pull Out Box Heading Char"/>
    <w:basedOn w:val="PullOutBoxBodyTextChar"/>
    <w:link w:val="PullOutBoxHeading"/>
    <w:rsid w:val="00155BDC"/>
    <w:rPr>
      <w:rFonts w:eastAsia="Times New Roman" w:cs="Arial"/>
      <w:b/>
      <w:color w:val="2B3B5F" w:themeColor="text2"/>
      <w:spacing w:val="-1"/>
      <w:sz w:val="28"/>
      <w:lang w:eastAsia="en-AU"/>
    </w:rPr>
  </w:style>
  <w:style w:type="character" w:customStyle="1" w:styleId="Caption1Char">
    <w:name w:val="Caption 1 Char"/>
    <w:basedOn w:val="PullOutBoxHeadingChar"/>
    <w:link w:val="Caption1"/>
    <w:rsid w:val="00A96341"/>
    <w:rPr>
      <w:rFonts w:eastAsia="Times New Roman" w:cs="Arial"/>
      <w:b/>
      <w:color w:val="2B3B5F" w:themeColor="text2"/>
      <w:spacing w:val="-1"/>
      <w:sz w:val="28"/>
      <w:lang w:eastAsia="en-AU"/>
    </w:rPr>
  </w:style>
  <w:style w:type="paragraph" w:styleId="Revision">
    <w:name w:val="Revision"/>
    <w:hidden/>
    <w:uiPriority w:val="99"/>
    <w:semiHidden/>
    <w:rsid w:val="00694F88"/>
    <w:pPr>
      <w:spacing w:line="240" w:lineRule="auto"/>
    </w:pPr>
  </w:style>
  <w:style w:type="paragraph" w:styleId="TOC9">
    <w:name w:val="toc 9"/>
    <w:basedOn w:val="Normal"/>
    <w:next w:val="Normal"/>
    <w:autoRedefine/>
    <w:semiHidden/>
    <w:unhideWhenUsed/>
    <w:rsid w:val="00F37F37"/>
    <w:pPr>
      <w:spacing w:after="100"/>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3D3571"/>
  </w:style>
  <w:style w:type="paragraph" w:styleId="Heading1">
    <w:name w:val="heading 1"/>
    <w:basedOn w:val="Normal"/>
    <w:next w:val="BodyText"/>
    <w:link w:val="Heading1Char"/>
    <w:qFormat/>
    <w:rsid w:val="00733970"/>
    <w:pPr>
      <w:keepNext/>
      <w:keepLines/>
      <w:numPr>
        <w:numId w:val="10"/>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7B673E"/>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99"/>
    <w:rsid w:val="00961DBB"/>
    <w:rPr>
      <w:color w:val="808080"/>
    </w:rPr>
  </w:style>
  <w:style w:type="paragraph" w:customStyle="1" w:styleId="PullOutBoxBodyText">
    <w:name w:val="Pull Out Box Body Text"/>
    <w:basedOn w:val="Normal"/>
    <w:link w:val="PullOutBoxBodyTextChar"/>
    <w:qFormat/>
    <w:rsid w:val="004A6413"/>
    <w:pPr>
      <w:spacing w:before="113" w:after="113" w:line="240" w:lineRule="auto"/>
      <w:ind w:left="113" w:right="113"/>
    </w:pPr>
    <w:rPr>
      <w:rFonts w:eastAsia="Times New Roman" w:cs="Arial"/>
      <w:spacing w:val="-1"/>
      <w:lang w:eastAsia="en-AU"/>
    </w:rPr>
  </w:style>
  <w:style w:type="paragraph" w:customStyle="1" w:styleId="PullOutBoxBullet">
    <w:name w:val="Pull Out Box Bullet"/>
    <w:basedOn w:val="PullOutBoxBodyText"/>
    <w:qFormat/>
    <w:rsid w:val="00E1001E"/>
    <w:pPr>
      <w:numPr>
        <w:numId w:val="4"/>
      </w:numPr>
      <w:ind w:left="453"/>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link w:val="PullOutBoxHeadingChar"/>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FB1669"/>
    <w:rPr>
      <w:sz w:val="16"/>
      <w:szCs w:val="16"/>
    </w:rPr>
  </w:style>
  <w:style w:type="paragraph" w:styleId="CommentText">
    <w:name w:val="annotation text"/>
    <w:basedOn w:val="Normal"/>
    <w:link w:val="CommentTextChar"/>
    <w:semiHidden/>
    <w:unhideWhenUsed/>
    <w:rsid w:val="00FB1669"/>
    <w:pPr>
      <w:spacing w:line="240" w:lineRule="auto"/>
    </w:pPr>
    <w:rPr>
      <w:sz w:val="20"/>
      <w:szCs w:val="20"/>
    </w:rPr>
  </w:style>
  <w:style w:type="character" w:customStyle="1" w:styleId="CommentTextChar">
    <w:name w:val="Comment Text Char"/>
    <w:basedOn w:val="DefaultParagraphFont"/>
    <w:link w:val="CommentText"/>
    <w:semiHidden/>
    <w:rsid w:val="00FB1669"/>
    <w:rPr>
      <w:sz w:val="20"/>
      <w:szCs w:val="20"/>
    </w:rPr>
  </w:style>
  <w:style w:type="paragraph" w:styleId="CommentSubject">
    <w:name w:val="annotation subject"/>
    <w:basedOn w:val="CommentText"/>
    <w:next w:val="CommentText"/>
    <w:link w:val="CommentSubjectChar"/>
    <w:semiHidden/>
    <w:unhideWhenUsed/>
    <w:rsid w:val="00FB1669"/>
    <w:rPr>
      <w:b/>
      <w:bCs/>
    </w:rPr>
  </w:style>
  <w:style w:type="character" w:customStyle="1" w:styleId="CommentSubjectChar">
    <w:name w:val="Comment Subject Char"/>
    <w:basedOn w:val="CommentTextChar"/>
    <w:link w:val="CommentSubject"/>
    <w:semiHidden/>
    <w:rsid w:val="00FB1669"/>
    <w:rPr>
      <w:b/>
      <w:bCs/>
      <w:sz w:val="20"/>
      <w:szCs w:val="20"/>
    </w:rPr>
  </w:style>
  <w:style w:type="paragraph" w:customStyle="1" w:styleId="Caption1">
    <w:name w:val="Caption 1"/>
    <w:basedOn w:val="PullOutBoxHeading"/>
    <w:link w:val="Caption1Char"/>
    <w:qFormat/>
    <w:rsid w:val="00A96341"/>
    <w:pPr>
      <w:spacing w:before="340" w:line="300" w:lineRule="atLeast"/>
      <w:ind w:left="0"/>
    </w:pPr>
    <w:rPr>
      <w:sz w:val="22"/>
    </w:rPr>
  </w:style>
  <w:style w:type="character" w:customStyle="1" w:styleId="PullOutBoxBodyTextChar">
    <w:name w:val="Pull Out Box Body Text Char"/>
    <w:basedOn w:val="DefaultParagraphFont"/>
    <w:link w:val="PullOutBoxBodyText"/>
    <w:rsid w:val="004A6413"/>
    <w:rPr>
      <w:rFonts w:eastAsia="Times New Roman" w:cs="Arial"/>
      <w:spacing w:val="-1"/>
      <w:lang w:eastAsia="en-AU"/>
    </w:rPr>
  </w:style>
  <w:style w:type="character" w:customStyle="1" w:styleId="PullOutBoxHeadingChar">
    <w:name w:val="Pull Out Box Heading Char"/>
    <w:basedOn w:val="PullOutBoxBodyTextChar"/>
    <w:link w:val="PullOutBoxHeading"/>
    <w:rsid w:val="00155BDC"/>
    <w:rPr>
      <w:rFonts w:eastAsia="Times New Roman" w:cs="Arial"/>
      <w:b/>
      <w:color w:val="2B3B5F" w:themeColor="text2"/>
      <w:spacing w:val="-1"/>
      <w:sz w:val="28"/>
      <w:lang w:eastAsia="en-AU"/>
    </w:rPr>
  </w:style>
  <w:style w:type="character" w:customStyle="1" w:styleId="Caption1Char">
    <w:name w:val="Caption 1 Char"/>
    <w:basedOn w:val="PullOutBoxHeadingChar"/>
    <w:link w:val="Caption1"/>
    <w:rsid w:val="00A96341"/>
    <w:rPr>
      <w:rFonts w:eastAsia="Times New Roman" w:cs="Arial"/>
      <w:b/>
      <w:color w:val="2B3B5F" w:themeColor="text2"/>
      <w:spacing w:val="-1"/>
      <w:sz w:val="28"/>
      <w:lang w:eastAsia="en-AU"/>
    </w:rPr>
  </w:style>
  <w:style w:type="paragraph" w:styleId="Revision">
    <w:name w:val="Revision"/>
    <w:hidden/>
    <w:uiPriority w:val="99"/>
    <w:semiHidden/>
    <w:rsid w:val="00694F88"/>
    <w:pPr>
      <w:spacing w:line="240" w:lineRule="auto"/>
    </w:pPr>
  </w:style>
  <w:style w:type="paragraph" w:styleId="TOC9">
    <w:name w:val="toc 9"/>
    <w:basedOn w:val="Normal"/>
    <w:next w:val="Normal"/>
    <w:autoRedefine/>
    <w:semiHidden/>
    <w:unhideWhenUsed/>
    <w:rsid w:val="00F37F3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7158">
      <w:bodyDiv w:val="1"/>
      <w:marLeft w:val="0"/>
      <w:marRight w:val="0"/>
      <w:marTop w:val="0"/>
      <w:marBottom w:val="0"/>
      <w:divBdr>
        <w:top w:val="none" w:sz="0" w:space="0" w:color="auto"/>
        <w:left w:val="none" w:sz="0" w:space="0" w:color="auto"/>
        <w:bottom w:val="none" w:sz="0" w:space="0" w:color="auto"/>
        <w:right w:val="none" w:sz="0" w:space="0" w:color="auto"/>
      </w:divBdr>
    </w:div>
    <w:div w:id="224878806">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338430023">
      <w:bodyDiv w:val="1"/>
      <w:marLeft w:val="0"/>
      <w:marRight w:val="0"/>
      <w:marTop w:val="0"/>
      <w:marBottom w:val="0"/>
      <w:divBdr>
        <w:top w:val="none" w:sz="0" w:space="0" w:color="auto"/>
        <w:left w:val="none" w:sz="0" w:space="0" w:color="auto"/>
        <w:bottom w:val="none" w:sz="0" w:space="0" w:color="auto"/>
        <w:right w:val="none" w:sz="0" w:space="0" w:color="auto"/>
      </w:divBdr>
    </w:div>
    <w:div w:id="391737834">
      <w:bodyDiv w:val="1"/>
      <w:marLeft w:val="0"/>
      <w:marRight w:val="0"/>
      <w:marTop w:val="0"/>
      <w:marBottom w:val="0"/>
      <w:divBdr>
        <w:top w:val="none" w:sz="0" w:space="0" w:color="auto"/>
        <w:left w:val="none" w:sz="0" w:space="0" w:color="auto"/>
        <w:bottom w:val="none" w:sz="0" w:space="0" w:color="auto"/>
        <w:right w:val="none" w:sz="0" w:space="0" w:color="auto"/>
      </w:divBdr>
    </w:div>
    <w:div w:id="524636293">
      <w:bodyDiv w:val="1"/>
      <w:marLeft w:val="0"/>
      <w:marRight w:val="0"/>
      <w:marTop w:val="0"/>
      <w:marBottom w:val="0"/>
      <w:divBdr>
        <w:top w:val="none" w:sz="0" w:space="0" w:color="auto"/>
        <w:left w:val="none" w:sz="0" w:space="0" w:color="auto"/>
        <w:bottom w:val="none" w:sz="0" w:space="0" w:color="auto"/>
        <w:right w:val="none" w:sz="0" w:space="0" w:color="auto"/>
      </w:divBdr>
    </w:div>
    <w:div w:id="7655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image" Target="media/image3.png"/><Relationship Id="rId39" Type="http://schemas.openxmlformats.org/officeDocument/2006/relationships/image" Target="media/image16.png"/><Relationship Id="rId21" Type="http://schemas.openxmlformats.org/officeDocument/2006/relationships/header" Target="header6.xml"/><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footer" Target="footer1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creativecommons.org/licenses/by-nc-nd/3.0/au/" TargetMode="External"/><Relationship Id="rId20" Type="http://schemas.openxmlformats.org/officeDocument/2006/relationships/footer" Target="footer4.xml"/><Relationship Id="rId29" Type="http://schemas.openxmlformats.org/officeDocument/2006/relationships/image" Target="media/image6.png"/><Relationship Id="rId41" Type="http://schemas.openxmlformats.org/officeDocument/2006/relationships/image" Target="media/image18.png"/><Relationship Id="rId54" Type="http://schemas.openxmlformats.org/officeDocument/2006/relationships/image" Target="media/image30.png"/><Relationship Id="rId62"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image" Target="media/image29.png"/><Relationship Id="rId58" Type="http://schemas.openxmlformats.org/officeDocument/2006/relationships/image" Target="media/image34.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footer" Target="footer8.xml"/><Relationship Id="rId57" Type="http://schemas.openxmlformats.org/officeDocument/2006/relationships/image" Target="media/image33.png"/><Relationship Id="rId61" Type="http://schemas.openxmlformats.org/officeDocument/2006/relationships/hyperlink" Target="http://www.pbo.gov.au/"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8.png"/><Relationship Id="rId44" Type="http://schemas.openxmlformats.org/officeDocument/2006/relationships/image" Target="media/image21.png"/><Relationship Id="rId52" Type="http://schemas.openxmlformats.org/officeDocument/2006/relationships/image" Target="media/image28.png"/><Relationship Id="rId60" Type="http://schemas.openxmlformats.org/officeDocument/2006/relationships/image" Target="media/image35.png"/><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image" Target="media/image32.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itsanhonour.gov.au/coat-arms" TargetMode="External"/><Relationship Id="rId25" Type="http://schemas.openxmlformats.org/officeDocument/2006/relationships/footer" Target="footer7.xm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hyperlink" Target="http://www.pbo.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Research%20Report.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10C02-DBC0-485F-9F6C-CADE828D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Report.dotm</Template>
  <TotalTime>2</TotalTime>
  <Pages>36</Pages>
  <Words>6952</Words>
  <Characters>39628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National fiscal outlook As at 2017-18 budgets</vt:lpstr>
    </vt:vector>
  </TitlesOfParts>
  <Company>Parliament of Australia</Company>
  <LinksUpToDate>false</LinksUpToDate>
  <CharactersWithSpaces>46488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fiscal outlook As at 2017-18 budgets</dc:title>
  <dc:creator>Parliamentary Budget Office</dc:creator>
  <cp:lastModifiedBy>Pratley, Lauren (PBO)</cp:lastModifiedBy>
  <cp:revision>3</cp:revision>
  <cp:lastPrinted>2017-10-18T23:09:00Z</cp:lastPrinted>
  <dcterms:created xsi:type="dcterms:W3CDTF">2017-10-18T23:09:00Z</dcterms:created>
  <dcterms:modified xsi:type="dcterms:W3CDTF">2017-10-18T23:13:00Z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S</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Figures</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