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D4408B" w:rsidTr="008939DA">
        <w:trPr>
          <w:trHeight w:val="1474"/>
        </w:trPr>
        <w:tc>
          <w:tcPr>
            <w:tcW w:w="8277" w:type="dxa"/>
          </w:tcPr>
          <w:p w:rsidR="00961DBB" w:rsidRDefault="003141C6" w:rsidP="008939DA">
            <w:pPr>
              <w:pStyle w:val="Title"/>
              <w:spacing w:line="264" w:lineRule="auto"/>
            </w:pPr>
            <w:r>
              <w:t xml:space="preserve">Changes in </w:t>
            </w:r>
            <w:r w:rsidR="009D7976">
              <w:t xml:space="preserve">average </w:t>
            </w:r>
            <w:r>
              <w:t>personal income tax rates: distributional impacts</w:t>
            </w:r>
          </w:p>
        </w:tc>
      </w:tr>
      <w:tr w:rsidR="00D4408B" w:rsidTr="00D4408B">
        <w:trPr>
          <w:trHeight w:val="765"/>
        </w:trPr>
        <w:tc>
          <w:tcPr>
            <w:tcW w:w="8277" w:type="dxa"/>
          </w:tcPr>
          <w:p w:rsidR="00195228" w:rsidRPr="009541CC" w:rsidRDefault="00821742" w:rsidP="00D4408B">
            <w:pPr>
              <w:pStyle w:val="Title3"/>
              <w:framePr w:wrap="auto" w:vAnchor="margin" w:hAnchor="text" w:yAlign="inline"/>
            </w:pPr>
            <w:r>
              <w:t>Report no. 03</w:t>
            </w:r>
            <w:r w:rsidR="003800A7">
              <w:t>/2017</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0" w:name="_DisclaimerMarker"/>
            <w:bookmarkEnd w:id="0"/>
            <w:r w:rsidRPr="00C77B5C">
              <w:t xml:space="preserve">© </w:t>
            </w:r>
            <w:r w:rsidRPr="0087390B">
              <w:t>Commonwealth</w:t>
            </w:r>
            <w:r w:rsidRPr="00C77B5C">
              <w:t xml:space="preserve"> of Australia</w:t>
            </w:r>
            <w:r w:rsidR="00F20647">
              <w:t xml:space="preserve"> </w:t>
            </w:r>
            <w:r w:rsidR="00CF5266">
              <w:t>2017</w:t>
            </w:r>
            <w:bookmarkStart w:id="1" w:name="Here"/>
            <w:bookmarkEnd w:id="1"/>
          </w:p>
          <w:p w:rsidR="00961DBB" w:rsidRPr="00BB5013" w:rsidRDefault="00961DBB" w:rsidP="00BB5013">
            <w:pPr>
              <w:pStyle w:val="xDisclaimerText2"/>
              <w:framePr w:hSpace="0" w:wrap="auto" w:hAnchor="text" w:yAlign="inline"/>
              <w:suppressOverlap w:val="0"/>
            </w:pPr>
            <w:r w:rsidRPr="008E314A">
              <w:t xml:space="preserve">ISSN </w:t>
            </w:r>
            <w:r w:rsidR="009F2CF4" w:rsidRPr="009F2CF4">
              <w:t>978-0-9953836-5-4</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5B75FDAF" wp14:editId="5891FE36">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F05CA6" w:rsidRPr="00F05CA6" w:rsidRDefault="00961DBB" w:rsidP="00F05CA6">
            <w:pPr>
              <w:pStyle w:val="xDisclaimerText"/>
              <w:rPr>
                <w:rStyle w:val="xDisclaimerHeadingwithxDisclaimerTextChar"/>
                <w:b w:val="0"/>
              </w:rPr>
            </w:pPr>
            <w:r w:rsidRPr="00D429BD">
              <w:rPr>
                <w:rStyle w:val="xDisclaimerHeadingwithxDisclaimerTextChar"/>
              </w:rPr>
              <w:t>Produced by:</w:t>
            </w:r>
            <w:r>
              <w:t xml:space="preserve"> </w:t>
            </w:r>
            <w:r w:rsidRPr="00BB5013">
              <w:t>Parliamentary</w:t>
            </w:r>
            <w:r>
              <w:t xml:space="preserve"> Budget Office</w:t>
            </w:r>
            <w:r w:rsidR="00F05CA6">
              <w:br/>
            </w:r>
            <w:r w:rsidR="00F05CA6" w:rsidRPr="00F05CA6">
              <w:rPr>
                <w:rStyle w:val="xDisclaimerHeadingwithxDisclaimerTextChar"/>
                <w:b w:val="0"/>
              </w:rPr>
              <w:t>Designed by:</w:t>
            </w:r>
            <w:r w:rsidR="00F05CA6" w:rsidRPr="00F05CA6">
              <w:rPr>
                <w:rStyle w:val="xDisclaimerHeadingwithxDisclaimerTextChar"/>
              </w:rPr>
              <w:t xml:space="preserve"> Studio Tweed</w:t>
            </w:r>
          </w:p>
          <w:p w:rsidR="00961DBB" w:rsidRDefault="00F05CA6" w:rsidP="00F05CA6">
            <w:pPr>
              <w:pStyle w:val="xDisclaimerHeading"/>
              <w:framePr w:hSpace="0" w:wrap="auto" w:hAnchor="text" w:yAlign="inline"/>
              <w:suppressOverlap w:val="0"/>
            </w:pPr>
            <w:r w:rsidRPr="00F05CA6">
              <w:t>First Assistant Parliamentary Budget Officer</w:t>
            </w:r>
          </w:p>
          <w:p w:rsidR="00961DBB" w:rsidRPr="008E314A" w:rsidRDefault="00F05CA6" w:rsidP="0087390B">
            <w:pPr>
              <w:pStyle w:val="xDisclaimerText"/>
            </w:pPr>
            <w:r w:rsidRPr="00F05CA6">
              <w:t>Fiscal Policy Analysis 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CF5266">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2" w:name="_TOCMarker"/>
      <w:bookmarkEnd w:id="2"/>
    </w:p>
    <w:p w:rsidR="00950388"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495329625" w:history="1">
        <w:r w:rsidR="00950388" w:rsidRPr="00523981">
          <w:rPr>
            <w:rStyle w:val="Hyperlink"/>
          </w:rPr>
          <w:t>Foreword</w:t>
        </w:r>
        <w:r w:rsidR="00950388">
          <w:rPr>
            <w:webHidden/>
          </w:rPr>
          <w:tab/>
        </w:r>
        <w:r w:rsidR="00950388">
          <w:rPr>
            <w:webHidden/>
          </w:rPr>
          <w:fldChar w:fldCharType="begin"/>
        </w:r>
        <w:r w:rsidR="00950388">
          <w:rPr>
            <w:webHidden/>
          </w:rPr>
          <w:instrText xml:space="preserve"> PAGEREF _Toc495329625 \h </w:instrText>
        </w:r>
        <w:r w:rsidR="00950388">
          <w:rPr>
            <w:webHidden/>
          </w:rPr>
        </w:r>
        <w:r w:rsidR="00950388">
          <w:rPr>
            <w:webHidden/>
          </w:rPr>
          <w:fldChar w:fldCharType="separate"/>
        </w:r>
        <w:r w:rsidR="00950388">
          <w:rPr>
            <w:webHidden/>
          </w:rPr>
          <w:t>v</w:t>
        </w:r>
        <w:r w:rsidR="00950388">
          <w:rPr>
            <w:webHidden/>
          </w:rPr>
          <w:fldChar w:fldCharType="end"/>
        </w:r>
      </w:hyperlink>
    </w:p>
    <w:p w:rsidR="00950388" w:rsidRDefault="000E2B08">
      <w:pPr>
        <w:pStyle w:val="TOC1"/>
        <w:rPr>
          <w:rFonts w:eastAsiaTheme="minorEastAsia"/>
          <w:b w:val="0"/>
          <w:color w:val="auto"/>
          <w:lang w:eastAsia="en-AU"/>
        </w:rPr>
      </w:pPr>
      <w:hyperlink w:anchor="_Toc495329626" w:history="1">
        <w:r w:rsidR="00950388" w:rsidRPr="00523981">
          <w:rPr>
            <w:rStyle w:val="Hyperlink"/>
          </w:rPr>
          <w:t>Overview</w:t>
        </w:r>
        <w:r w:rsidR="00950388">
          <w:rPr>
            <w:webHidden/>
          </w:rPr>
          <w:tab/>
        </w:r>
        <w:r w:rsidR="00950388">
          <w:rPr>
            <w:webHidden/>
          </w:rPr>
          <w:fldChar w:fldCharType="begin"/>
        </w:r>
        <w:r w:rsidR="00950388">
          <w:rPr>
            <w:webHidden/>
          </w:rPr>
          <w:instrText xml:space="preserve"> PAGEREF _Toc495329626 \h </w:instrText>
        </w:r>
        <w:r w:rsidR="00950388">
          <w:rPr>
            <w:webHidden/>
          </w:rPr>
        </w:r>
        <w:r w:rsidR="00950388">
          <w:rPr>
            <w:webHidden/>
          </w:rPr>
          <w:fldChar w:fldCharType="separate"/>
        </w:r>
        <w:r w:rsidR="00950388">
          <w:rPr>
            <w:webHidden/>
          </w:rPr>
          <w:t>vii</w:t>
        </w:r>
        <w:r w:rsidR="00950388">
          <w:rPr>
            <w:webHidden/>
          </w:rPr>
          <w:fldChar w:fldCharType="end"/>
        </w:r>
      </w:hyperlink>
    </w:p>
    <w:p w:rsidR="00950388" w:rsidRDefault="000E2B08">
      <w:pPr>
        <w:pStyle w:val="TOC1"/>
        <w:rPr>
          <w:rFonts w:eastAsiaTheme="minorEastAsia"/>
          <w:b w:val="0"/>
          <w:color w:val="auto"/>
          <w:lang w:eastAsia="en-AU"/>
        </w:rPr>
      </w:pPr>
      <w:hyperlink w:anchor="_Toc495329627" w:history="1">
        <w:r w:rsidR="00950388" w:rsidRPr="00523981">
          <w:rPr>
            <w:rStyle w:val="Hyperlink"/>
          </w:rPr>
          <w:t>1</w:t>
        </w:r>
        <w:r w:rsidR="00950388">
          <w:rPr>
            <w:rFonts w:eastAsiaTheme="minorEastAsia"/>
            <w:b w:val="0"/>
            <w:color w:val="auto"/>
            <w:lang w:eastAsia="en-AU"/>
          </w:rPr>
          <w:tab/>
        </w:r>
        <w:r w:rsidR="00950388" w:rsidRPr="00523981">
          <w:rPr>
            <w:rStyle w:val="Hyperlink"/>
          </w:rPr>
          <w:t>Distributional analysis of personal income tax changes</w:t>
        </w:r>
        <w:r w:rsidR="00950388">
          <w:rPr>
            <w:webHidden/>
          </w:rPr>
          <w:tab/>
        </w:r>
        <w:r w:rsidR="00950388">
          <w:rPr>
            <w:webHidden/>
          </w:rPr>
          <w:fldChar w:fldCharType="begin"/>
        </w:r>
        <w:r w:rsidR="00950388">
          <w:rPr>
            <w:webHidden/>
          </w:rPr>
          <w:instrText xml:space="preserve"> PAGEREF _Toc495329627 \h </w:instrText>
        </w:r>
        <w:r w:rsidR="00950388">
          <w:rPr>
            <w:webHidden/>
          </w:rPr>
        </w:r>
        <w:r w:rsidR="00950388">
          <w:rPr>
            <w:webHidden/>
          </w:rPr>
          <w:fldChar w:fldCharType="separate"/>
        </w:r>
        <w:r w:rsidR="00950388">
          <w:rPr>
            <w:webHidden/>
          </w:rPr>
          <w:t>1</w:t>
        </w:r>
        <w:r w:rsidR="00950388">
          <w:rPr>
            <w:webHidden/>
          </w:rPr>
          <w:fldChar w:fldCharType="end"/>
        </w:r>
      </w:hyperlink>
    </w:p>
    <w:p w:rsidR="00950388" w:rsidRDefault="000E2B08">
      <w:pPr>
        <w:pStyle w:val="TOC2"/>
        <w:rPr>
          <w:rFonts w:eastAsiaTheme="minorEastAsia"/>
          <w:szCs w:val="22"/>
          <w:lang w:eastAsia="en-AU"/>
        </w:rPr>
      </w:pPr>
      <w:hyperlink w:anchor="_Toc495329628" w:history="1">
        <w:r w:rsidR="00950388" w:rsidRPr="00523981">
          <w:rPr>
            <w:rStyle w:val="Hyperlink"/>
          </w:rPr>
          <w:t>1.1</w:t>
        </w:r>
        <w:r w:rsidR="00950388">
          <w:rPr>
            <w:rFonts w:eastAsiaTheme="minorEastAsia"/>
            <w:szCs w:val="22"/>
            <w:lang w:eastAsia="en-AU"/>
          </w:rPr>
          <w:tab/>
        </w:r>
        <w:r w:rsidR="00950388" w:rsidRPr="00523981">
          <w:rPr>
            <w:rStyle w:val="Hyperlink"/>
          </w:rPr>
          <w:t>Introduction</w:t>
        </w:r>
        <w:r w:rsidR="00950388">
          <w:rPr>
            <w:webHidden/>
          </w:rPr>
          <w:tab/>
        </w:r>
        <w:r w:rsidR="00950388">
          <w:rPr>
            <w:webHidden/>
          </w:rPr>
          <w:fldChar w:fldCharType="begin"/>
        </w:r>
        <w:r w:rsidR="00950388">
          <w:rPr>
            <w:webHidden/>
          </w:rPr>
          <w:instrText xml:space="preserve"> PAGEREF _Toc495329628 \h </w:instrText>
        </w:r>
        <w:r w:rsidR="00950388">
          <w:rPr>
            <w:webHidden/>
          </w:rPr>
        </w:r>
        <w:r w:rsidR="00950388">
          <w:rPr>
            <w:webHidden/>
          </w:rPr>
          <w:fldChar w:fldCharType="separate"/>
        </w:r>
        <w:r w:rsidR="00950388">
          <w:rPr>
            <w:webHidden/>
          </w:rPr>
          <w:t>1</w:t>
        </w:r>
        <w:r w:rsidR="00950388">
          <w:rPr>
            <w:webHidden/>
          </w:rPr>
          <w:fldChar w:fldCharType="end"/>
        </w:r>
      </w:hyperlink>
    </w:p>
    <w:p w:rsidR="00950388" w:rsidRDefault="000E2B08">
      <w:pPr>
        <w:pStyle w:val="TOC2"/>
        <w:rPr>
          <w:rFonts w:eastAsiaTheme="minorEastAsia"/>
          <w:szCs w:val="22"/>
          <w:lang w:eastAsia="en-AU"/>
        </w:rPr>
      </w:pPr>
      <w:hyperlink w:anchor="_Toc495329629" w:history="1">
        <w:r w:rsidR="00950388" w:rsidRPr="00523981">
          <w:rPr>
            <w:rStyle w:val="Hyperlink"/>
          </w:rPr>
          <w:t>1.2</w:t>
        </w:r>
        <w:r w:rsidR="00950388">
          <w:rPr>
            <w:rFonts w:eastAsiaTheme="minorEastAsia"/>
            <w:szCs w:val="22"/>
            <w:lang w:eastAsia="en-AU"/>
          </w:rPr>
          <w:tab/>
        </w:r>
        <w:r w:rsidR="00950388" w:rsidRPr="00523981">
          <w:rPr>
            <w:rStyle w:val="Hyperlink"/>
          </w:rPr>
          <w:t>Distribution of Australia’s taxpayers</w:t>
        </w:r>
        <w:r w:rsidR="00950388">
          <w:rPr>
            <w:webHidden/>
          </w:rPr>
          <w:tab/>
        </w:r>
        <w:r w:rsidR="00950388">
          <w:rPr>
            <w:webHidden/>
          </w:rPr>
          <w:fldChar w:fldCharType="begin"/>
        </w:r>
        <w:r w:rsidR="00950388">
          <w:rPr>
            <w:webHidden/>
          </w:rPr>
          <w:instrText xml:space="preserve"> PAGEREF _Toc495329629 \h </w:instrText>
        </w:r>
        <w:r w:rsidR="00950388">
          <w:rPr>
            <w:webHidden/>
          </w:rPr>
        </w:r>
        <w:r w:rsidR="00950388">
          <w:rPr>
            <w:webHidden/>
          </w:rPr>
          <w:fldChar w:fldCharType="separate"/>
        </w:r>
        <w:r w:rsidR="00950388">
          <w:rPr>
            <w:webHidden/>
          </w:rPr>
          <w:t>1</w:t>
        </w:r>
        <w:r w:rsidR="00950388">
          <w:rPr>
            <w:webHidden/>
          </w:rPr>
          <w:fldChar w:fldCharType="end"/>
        </w:r>
      </w:hyperlink>
    </w:p>
    <w:p w:rsidR="00950388" w:rsidRDefault="000E2B08">
      <w:pPr>
        <w:pStyle w:val="TOC2"/>
        <w:rPr>
          <w:rFonts w:eastAsiaTheme="minorEastAsia"/>
          <w:szCs w:val="22"/>
          <w:lang w:eastAsia="en-AU"/>
        </w:rPr>
      </w:pPr>
      <w:hyperlink w:anchor="_Toc495329630" w:history="1">
        <w:r w:rsidR="00950388" w:rsidRPr="00523981">
          <w:rPr>
            <w:rStyle w:val="Hyperlink"/>
          </w:rPr>
          <w:t>1.3</w:t>
        </w:r>
        <w:r w:rsidR="00950388">
          <w:rPr>
            <w:rFonts w:eastAsiaTheme="minorEastAsia"/>
            <w:szCs w:val="22"/>
            <w:lang w:eastAsia="en-AU"/>
          </w:rPr>
          <w:tab/>
        </w:r>
        <w:r w:rsidR="00950388" w:rsidRPr="00523981">
          <w:rPr>
            <w:rStyle w:val="Hyperlink"/>
          </w:rPr>
          <w:t>Projected change in average tax rate by quintile</w:t>
        </w:r>
        <w:r w:rsidR="00950388">
          <w:rPr>
            <w:webHidden/>
          </w:rPr>
          <w:tab/>
        </w:r>
        <w:r w:rsidR="00950388">
          <w:rPr>
            <w:webHidden/>
          </w:rPr>
          <w:fldChar w:fldCharType="begin"/>
        </w:r>
        <w:r w:rsidR="00950388">
          <w:rPr>
            <w:webHidden/>
          </w:rPr>
          <w:instrText xml:space="preserve"> PAGEREF _Toc495329630 \h </w:instrText>
        </w:r>
        <w:r w:rsidR="00950388">
          <w:rPr>
            <w:webHidden/>
          </w:rPr>
        </w:r>
        <w:r w:rsidR="00950388">
          <w:rPr>
            <w:webHidden/>
          </w:rPr>
          <w:fldChar w:fldCharType="separate"/>
        </w:r>
        <w:r w:rsidR="00950388">
          <w:rPr>
            <w:webHidden/>
          </w:rPr>
          <w:t>5</w:t>
        </w:r>
        <w:r w:rsidR="00950388">
          <w:rPr>
            <w:webHidden/>
          </w:rPr>
          <w:fldChar w:fldCharType="end"/>
        </w:r>
      </w:hyperlink>
    </w:p>
    <w:p w:rsidR="00950388" w:rsidRDefault="000E2B08">
      <w:pPr>
        <w:pStyle w:val="TOC2"/>
        <w:rPr>
          <w:rFonts w:eastAsiaTheme="minorEastAsia"/>
          <w:szCs w:val="22"/>
          <w:lang w:eastAsia="en-AU"/>
        </w:rPr>
      </w:pPr>
      <w:hyperlink w:anchor="_Toc495329631" w:history="1">
        <w:r w:rsidR="00950388" w:rsidRPr="00523981">
          <w:rPr>
            <w:rStyle w:val="Hyperlink"/>
          </w:rPr>
          <w:t>1.4</w:t>
        </w:r>
        <w:r w:rsidR="00950388">
          <w:rPr>
            <w:rFonts w:eastAsiaTheme="minorEastAsia"/>
            <w:szCs w:val="22"/>
            <w:lang w:eastAsia="en-AU"/>
          </w:rPr>
          <w:tab/>
        </w:r>
        <w:r w:rsidR="00950388" w:rsidRPr="00523981">
          <w:rPr>
            <w:rStyle w:val="Hyperlink"/>
          </w:rPr>
          <w:t>What is causing the change in average tax rates?</w:t>
        </w:r>
        <w:r w:rsidR="00950388">
          <w:rPr>
            <w:webHidden/>
          </w:rPr>
          <w:tab/>
        </w:r>
        <w:r w:rsidR="00950388">
          <w:rPr>
            <w:webHidden/>
          </w:rPr>
          <w:fldChar w:fldCharType="begin"/>
        </w:r>
        <w:r w:rsidR="00950388">
          <w:rPr>
            <w:webHidden/>
          </w:rPr>
          <w:instrText xml:space="preserve"> PAGEREF _Toc495329631 \h </w:instrText>
        </w:r>
        <w:r w:rsidR="00950388">
          <w:rPr>
            <w:webHidden/>
          </w:rPr>
        </w:r>
        <w:r w:rsidR="00950388">
          <w:rPr>
            <w:webHidden/>
          </w:rPr>
          <w:fldChar w:fldCharType="separate"/>
        </w:r>
        <w:r w:rsidR="00950388">
          <w:rPr>
            <w:webHidden/>
          </w:rPr>
          <w:t>6</w:t>
        </w:r>
        <w:r w:rsidR="00950388">
          <w:rPr>
            <w:webHidden/>
          </w:rPr>
          <w:fldChar w:fldCharType="end"/>
        </w:r>
      </w:hyperlink>
    </w:p>
    <w:p w:rsidR="00950388" w:rsidRDefault="000E2B08">
      <w:pPr>
        <w:pStyle w:val="TOC2"/>
        <w:rPr>
          <w:rFonts w:eastAsiaTheme="minorEastAsia"/>
          <w:szCs w:val="22"/>
          <w:lang w:eastAsia="en-AU"/>
        </w:rPr>
      </w:pPr>
      <w:hyperlink w:anchor="_Toc495329632" w:history="1">
        <w:r w:rsidR="00950388" w:rsidRPr="00523981">
          <w:rPr>
            <w:rStyle w:val="Hyperlink"/>
          </w:rPr>
          <w:t>1.5</w:t>
        </w:r>
        <w:r w:rsidR="00950388">
          <w:rPr>
            <w:rFonts w:eastAsiaTheme="minorEastAsia"/>
            <w:szCs w:val="22"/>
            <w:lang w:eastAsia="en-AU"/>
          </w:rPr>
          <w:tab/>
        </w:r>
        <w:r w:rsidR="00950388" w:rsidRPr="00523981">
          <w:rPr>
            <w:rStyle w:val="Hyperlink"/>
          </w:rPr>
          <w:t>Historic analysis of average tax rates</w:t>
        </w:r>
        <w:r w:rsidR="00950388">
          <w:rPr>
            <w:webHidden/>
          </w:rPr>
          <w:tab/>
        </w:r>
        <w:r w:rsidR="00950388">
          <w:rPr>
            <w:webHidden/>
          </w:rPr>
          <w:fldChar w:fldCharType="begin"/>
        </w:r>
        <w:r w:rsidR="00950388">
          <w:rPr>
            <w:webHidden/>
          </w:rPr>
          <w:instrText xml:space="preserve"> PAGEREF _Toc495329632 \h </w:instrText>
        </w:r>
        <w:r w:rsidR="00950388">
          <w:rPr>
            <w:webHidden/>
          </w:rPr>
        </w:r>
        <w:r w:rsidR="00950388">
          <w:rPr>
            <w:webHidden/>
          </w:rPr>
          <w:fldChar w:fldCharType="separate"/>
        </w:r>
        <w:r w:rsidR="00950388">
          <w:rPr>
            <w:webHidden/>
          </w:rPr>
          <w:t>9</w:t>
        </w:r>
        <w:r w:rsidR="00950388">
          <w:rPr>
            <w:webHidden/>
          </w:rPr>
          <w:fldChar w:fldCharType="end"/>
        </w:r>
      </w:hyperlink>
    </w:p>
    <w:p w:rsidR="00950388" w:rsidRDefault="000E2B08">
      <w:pPr>
        <w:pStyle w:val="TOC1"/>
        <w:rPr>
          <w:rFonts w:eastAsiaTheme="minorEastAsia"/>
          <w:b w:val="0"/>
          <w:color w:val="auto"/>
          <w:lang w:eastAsia="en-AU"/>
        </w:rPr>
      </w:pPr>
      <w:hyperlink w:anchor="_Toc495329633" w:history="1">
        <w:r w:rsidR="00950388" w:rsidRPr="00523981">
          <w:rPr>
            <w:rStyle w:val="Hyperlink"/>
          </w:rPr>
          <w:t>2</w:t>
        </w:r>
        <w:r w:rsidR="00950388">
          <w:rPr>
            <w:rFonts w:eastAsiaTheme="minorEastAsia"/>
            <w:b w:val="0"/>
            <w:color w:val="auto"/>
            <w:lang w:eastAsia="en-AU"/>
          </w:rPr>
          <w:tab/>
        </w:r>
        <w:r w:rsidR="00950388" w:rsidRPr="00523981">
          <w:rPr>
            <w:rStyle w:val="Hyperlink"/>
          </w:rPr>
          <w:t>Technical appendix</w:t>
        </w:r>
        <w:r w:rsidR="00950388">
          <w:rPr>
            <w:webHidden/>
          </w:rPr>
          <w:tab/>
        </w:r>
        <w:r w:rsidR="00950388">
          <w:rPr>
            <w:webHidden/>
          </w:rPr>
          <w:fldChar w:fldCharType="begin"/>
        </w:r>
        <w:r w:rsidR="00950388">
          <w:rPr>
            <w:webHidden/>
          </w:rPr>
          <w:instrText xml:space="preserve"> PAGEREF _Toc495329633 \h </w:instrText>
        </w:r>
        <w:r w:rsidR="00950388">
          <w:rPr>
            <w:webHidden/>
          </w:rPr>
        </w:r>
        <w:r w:rsidR="00950388">
          <w:rPr>
            <w:webHidden/>
          </w:rPr>
          <w:fldChar w:fldCharType="separate"/>
        </w:r>
        <w:r w:rsidR="00950388">
          <w:rPr>
            <w:webHidden/>
          </w:rPr>
          <w:t>11</w:t>
        </w:r>
        <w:r w:rsidR="00950388">
          <w:rPr>
            <w:webHidden/>
          </w:rPr>
          <w:fldChar w:fldCharType="end"/>
        </w:r>
      </w:hyperlink>
    </w:p>
    <w:p w:rsidR="00950388" w:rsidRDefault="000E2B08">
      <w:pPr>
        <w:pStyle w:val="TOC2"/>
        <w:rPr>
          <w:rFonts w:eastAsiaTheme="minorEastAsia"/>
          <w:szCs w:val="22"/>
          <w:lang w:eastAsia="en-AU"/>
        </w:rPr>
      </w:pPr>
      <w:hyperlink w:anchor="_Toc495329634" w:history="1">
        <w:r w:rsidR="00950388" w:rsidRPr="00523981">
          <w:rPr>
            <w:rStyle w:val="Hyperlink"/>
          </w:rPr>
          <w:t>2.1</w:t>
        </w:r>
        <w:r w:rsidR="00950388">
          <w:rPr>
            <w:rFonts w:eastAsiaTheme="minorEastAsia"/>
            <w:szCs w:val="22"/>
            <w:lang w:eastAsia="en-AU"/>
          </w:rPr>
          <w:tab/>
        </w:r>
        <w:r w:rsidR="00950388" w:rsidRPr="00523981">
          <w:rPr>
            <w:rStyle w:val="Hyperlink"/>
          </w:rPr>
          <w:t>Methodology</w:t>
        </w:r>
        <w:r w:rsidR="00950388">
          <w:rPr>
            <w:webHidden/>
          </w:rPr>
          <w:tab/>
        </w:r>
        <w:r w:rsidR="00950388">
          <w:rPr>
            <w:webHidden/>
          </w:rPr>
          <w:fldChar w:fldCharType="begin"/>
        </w:r>
        <w:r w:rsidR="00950388">
          <w:rPr>
            <w:webHidden/>
          </w:rPr>
          <w:instrText xml:space="preserve"> PAGEREF _Toc495329634 \h </w:instrText>
        </w:r>
        <w:r w:rsidR="00950388">
          <w:rPr>
            <w:webHidden/>
          </w:rPr>
        </w:r>
        <w:r w:rsidR="00950388">
          <w:rPr>
            <w:webHidden/>
          </w:rPr>
          <w:fldChar w:fldCharType="separate"/>
        </w:r>
        <w:r w:rsidR="00950388">
          <w:rPr>
            <w:webHidden/>
          </w:rPr>
          <w:t>11</w:t>
        </w:r>
        <w:r w:rsidR="00950388">
          <w:rPr>
            <w:webHidden/>
          </w:rPr>
          <w:fldChar w:fldCharType="end"/>
        </w:r>
      </w:hyperlink>
    </w:p>
    <w:p w:rsidR="00950388" w:rsidRDefault="000E2B08">
      <w:pPr>
        <w:pStyle w:val="TOC2"/>
        <w:rPr>
          <w:rFonts w:eastAsiaTheme="minorEastAsia"/>
          <w:szCs w:val="22"/>
          <w:lang w:eastAsia="en-AU"/>
        </w:rPr>
      </w:pPr>
      <w:hyperlink w:anchor="_Toc495329635" w:history="1">
        <w:r w:rsidR="00950388" w:rsidRPr="00523981">
          <w:rPr>
            <w:rStyle w:val="Hyperlink"/>
          </w:rPr>
          <w:t>2.2</w:t>
        </w:r>
        <w:r w:rsidR="00950388">
          <w:rPr>
            <w:rFonts w:eastAsiaTheme="minorEastAsia"/>
            <w:szCs w:val="22"/>
            <w:lang w:eastAsia="en-AU"/>
          </w:rPr>
          <w:tab/>
        </w:r>
        <w:r w:rsidR="00950388" w:rsidRPr="00523981">
          <w:rPr>
            <w:rStyle w:val="Hyperlink"/>
          </w:rPr>
          <w:t>Quintile characteristics</w:t>
        </w:r>
        <w:r w:rsidR="00950388">
          <w:rPr>
            <w:webHidden/>
          </w:rPr>
          <w:tab/>
        </w:r>
        <w:r w:rsidR="00950388">
          <w:rPr>
            <w:webHidden/>
          </w:rPr>
          <w:fldChar w:fldCharType="begin"/>
        </w:r>
        <w:r w:rsidR="00950388">
          <w:rPr>
            <w:webHidden/>
          </w:rPr>
          <w:instrText xml:space="preserve"> PAGEREF _Toc495329635 \h </w:instrText>
        </w:r>
        <w:r w:rsidR="00950388">
          <w:rPr>
            <w:webHidden/>
          </w:rPr>
        </w:r>
        <w:r w:rsidR="00950388">
          <w:rPr>
            <w:webHidden/>
          </w:rPr>
          <w:fldChar w:fldCharType="separate"/>
        </w:r>
        <w:r w:rsidR="00950388">
          <w:rPr>
            <w:webHidden/>
          </w:rPr>
          <w:t>12</w:t>
        </w:r>
        <w:r w:rsidR="00950388">
          <w:rPr>
            <w:webHidden/>
          </w:rPr>
          <w:fldChar w:fldCharType="end"/>
        </w:r>
      </w:hyperlink>
    </w:p>
    <w:p w:rsidR="00950388" w:rsidRDefault="000E2B08">
      <w:pPr>
        <w:pStyle w:val="TOC2"/>
        <w:rPr>
          <w:rFonts w:eastAsiaTheme="minorEastAsia"/>
          <w:szCs w:val="22"/>
          <w:lang w:eastAsia="en-AU"/>
        </w:rPr>
      </w:pPr>
      <w:hyperlink w:anchor="_Toc495329636" w:history="1">
        <w:r w:rsidR="00950388" w:rsidRPr="00523981">
          <w:rPr>
            <w:rStyle w:val="Hyperlink"/>
          </w:rPr>
          <w:t>2.3</w:t>
        </w:r>
        <w:r w:rsidR="00950388">
          <w:rPr>
            <w:rFonts w:eastAsiaTheme="minorEastAsia"/>
            <w:szCs w:val="22"/>
            <w:lang w:eastAsia="en-AU"/>
          </w:rPr>
          <w:tab/>
        </w:r>
        <w:r w:rsidR="00950388" w:rsidRPr="00523981">
          <w:rPr>
            <w:rStyle w:val="Hyperlink"/>
          </w:rPr>
          <w:t>Population included in analysis</w:t>
        </w:r>
        <w:r w:rsidR="00950388">
          <w:rPr>
            <w:webHidden/>
          </w:rPr>
          <w:tab/>
        </w:r>
        <w:r w:rsidR="00950388">
          <w:rPr>
            <w:webHidden/>
          </w:rPr>
          <w:fldChar w:fldCharType="begin"/>
        </w:r>
        <w:r w:rsidR="00950388">
          <w:rPr>
            <w:webHidden/>
          </w:rPr>
          <w:instrText xml:space="preserve"> PAGEREF _Toc495329636 \h </w:instrText>
        </w:r>
        <w:r w:rsidR="00950388">
          <w:rPr>
            <w:webHidden/>
          </w:rPr>
        </w:r>
        <w:r w:rsidR="00950388">
          <w:rPr>
            <w:webHidden/>
          </w:rPr>
          <w:fldChar w:fldCharType="separate"/>
        </w:r>
        <w:r w:rsidR="00950388">
          <w:rPr>
            <w:webHidden/>
          </w:rPr>
          <w:t>13</w:t>
        </w:r>
        <w:r w:rsidR="00950388">
          <w:rPr>
            <w:webHidden/>
          </w:rPr>
          <w:fldChar w:fldCharType="end"/>
        </w:r>
      </w:hyperlink>
    </w:p>
    <w:p w:rsidR="00903E3F" w:rsidRDefault="00903E3F" w:rsidP="00903E3F">
      <w:r>
        <w:fldChar w:fldCharType="end"/>
      </w:r>
    </w:p>
    <w:p w:rsidR="00E915E6" w:rsidRDefault="00E915E6">
      <w:pPr>
        <w:sectPr w:rsidR="00E915E6"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p>
    <w:p w:rsidR="004F1297" w:rsidRDefault="00E915E6" w:rsidP="00A12C39">
      <w:pPr>
        <w:pStyle w:val="Heading1NoNumbering"/>
      </w:pPr>
      <w:bookmarkStart w:id="3" w:name="_Toc495329625"/>
      <w:r>
        <w:lastRenderedPageBreak/>
        <w:t>Foreword</w:t>
      </w:r>
      <w:bookmarkStart w:id="4" w:name="_ForewordMarker"/>
      <w:bookmarkEnd w:id="3"/>
      <w:bookmarkEnd w:id="4"/>
    </w:p>
    <w:p w:rsidR="009D7976" w:rsidRDefault="00870447" w:rsidP="00925603">
      <w:pPr>
        <w:pStyle w:val="OverviewBodyText"/>
        <w:rPr>
          <w:i/>
        </w:rPr>
      </w:pPr>
      <w:r>
        <w:t xml:space="preserve">This report </w:t>
      </w:r>
      <w:r w:rsidR="00577240">
        <w:t xml:space="preserve">builds on the analysis </w:t>
      </w:r>
      <w:r w:rsidR="003141C6">
        <w:t xml:space="preserve">included in the </w:t>
      </w:r>
      <w:r w:rsidR="00D4408B">
        <w:t>Parliamentary Budget Office (</w:t>
      </w:r>
      <w:r w:rsidR="003141C6">
        <w:t>PBO</w:t>
      </w:r>
      <w:r w:rsidR="00CE4EFD">
        <w:t>)</w:t>
      </w:r>
      <w:r w:rsidR="003141C6">
        <w:t xml:space="preserve"> report </w:t>
      </w:r>
      <w:r w:rsidR="003141C6" w:rsidRPr="00577240">
        <w:rPr>
          <w:i/>
        </w:rPr>
        <w:t>2017</w:t>
      </w:r>
      <w:r w:rsidR="00156F53">
        <w:rPr>
          <w:i/>
        </w:rPr>
        <w:t>–</w:t>
      </w:r>
      <w:r w:rsidR="003141C6" w:rsidRPr="00577240">
        <w:rPr>
          <w:i/>
        </w:rPr>
        <w:t>18 Budget medium</w:t>
      </w:r>
      <w:r w:rsidR="003141C6" w:rsidRPr="00577240">
        <w:rPr>
          <w:i/>
        </w:rPr>
        <w:noBreakHyphen/>
        <w:t>term</w:t>
      </w:r>
      <w:r w:rsidR="003141C6">
        <w:t xml:space="preserve"> </w:t>
      </w:r>
      <w:r w:rsidR="003141C6" w:rsidRPr="00577240">
        <w:rPr>
          <w:i/>
        </w:rPr>
        <w:t>projections</w:t>
      </w:r>
      <w:r w:rsidR="003141C6">
        <w:t xml:space="preserve"> which illustrated, among other things, the expected increase</w:t>
      </w:r>
      <w:r w:rsidR="00577240">
        <w:t xml:space="preserve"> in average personal income tax rates</w:t>
      </w:r>
      <w:r w:rsidR="003141C6">
        <w:t xml:space="preserve"> over the period </w:t>
      </w:r>
      <w:r w:rsidR="003141C6" w:rsidRPr="00B3367D">
        <w:t>ahead</w:t>
      </w:r>
      <w:r w:rsidR="00577240" w:rsidRPr="004E0D9A">
        <w:t>.</w:t>
      </w:r>
      <w:r w:rsidR="00B3367D" w:rsidRPr="004E0D9A">
        <w:t xml:space="preserve"> </w:t>
      </w:r>
      <w:r w:rsidR="004E0D9A">
        <w:t xml:space="preserve"> </w:t>
      </w:r>
      <w:r w:rsidR="00B3367D" w:rsidRPr="004E0D9A">
        <w:t xml:space="preserve">It </w:t>
      </w:r>
      <w:r w:rsidR="004E0D9A">
        <w:t>provides additional</w:t>
      </w:r>
      <w:r w:rsidR="004E0D9A" w:rsidRPr="004E0D9A">
        <w:t xml:space="preserve"> </w:t>
      </w:r>
      <w:r w:rsidR="004E0D9A">
        <w:t xml:space="preserve">analysis to inform </w:t>
      </w:r>
      <w:r w:rsidR="0019577E">
        <w:t xml:space="preserve">the </w:t>
      </w:r>
      <w:r w:rsidR="004E0D9A">
        <w:t xml:space="preserve">public discussion </w:t>
      </w:r>
      <w:r w:rsidR="0019577E">
        <w:t>that has emerged around</w:t>
      </w:r>
      <w:r w:rsidR="004E0D9A">
        <w:t xml:space="preserve"> who would bear the </w:t>
      </w:r>
      <w:r w:rsidR="00B3367D">
        <w:t xml:space="preserve">burden of this increase in personal income tax rates. </w:t>
      </w:r>
      <w:r w:rsidR="00B3367D">
        <w:rPr>
          <w:i/>
        </w:rPr>
        <w:t xml:space="preserve"> </w:t>
      </w:r>
      <w:r w:rsidR="00577240">
        <w:rPr>
          <w:i/>
        </w:rPr>
        <w:t xml:space="preserve">  </w:t>
      </w:r>
    </w:p>
    <w:p w:rsidR="00C80200" w:rsidRDefault="003141C6" w:rsidP="00925603">
      <w:pPr>
        <w:pStyle w:val="OverviewBodyText"/>
      </w:pPr>
      <w:r>
        <w:t xml:space="preserve">This </w:t>
      </w:r>
      <w:r w:rsidRPr="00602CE8">
        <w:t>repor</w:t>
      </w:r>
      <w:r w:rsidR="00577240" w:rsidRPr="00602CE8">
        <w:t>t</w:t>
      </w:r>
      <w:r w:rsidR="00577240" w:rsidRPr="004E0D9A">
        <w:t xml:space="preserve"> </w:t>
      </w:r>
      <w:r w:rsidR="00B3367D">
        <w:t>analyses</w:t>
      </w:r>
      <w:r>
        <w:t xml:space="preserve"> </w:t>
      </w:r>
      <w:r w:rsidR="00B3367D">
        <w:t>the expected increase in average tax rates for</w:t>
      </w:r>
      <w:r>
        <w:t xml:space="preserve"> individuals </w:t>
      </w:r>
      <w:r w:rsidRPr="00602CE8">
        <w:t>in different parts of the</w:t>
      </w:r>
      <w:r w:rsidR="0018788C">
        <w:t xml:space="preserve"> taxable</w:t>
      </w:r>
      <w:r w:rsidRPr="00602CE8">
        <w:t xml:space="preserve"> income distrib</w:t>
      </w:r>
      <w:r>
        <w:t>ution</w:t>
      </w:r>
      <w:r w:rsidR="00B3367D">
        <w:t xml:space="preserve"> and examines the factors that are driving these outcomes</w:t>
      </w:r>
      <w:r>
        <w:t xml:space="preserve">.  </w:t>
      </w:r>
      <w:r w:rsidR="00602CE8">
        <w:t>The paper also examines trends in average tax rates over a longer time period, using</w:t>
      </w:r>
      <w:r w:rsidR="00870447">
        <w:t xml:space="preserve"> historical data from 2000</w:t>
      </w:r>
      <w:r w:rsidR="001E3512">
        <w:t>–</w:t>
      </w:r>
      <w:r w:rsidR="00870447">
        <w:t>01 and projections</w:t>
      </w:r>
      <w:r w:rsidR="00870447" w:rsidRPr="004210F8">
        <w:t xml:space="preserve"> </w:t>
      </w:r>
      <w:r w:rsidR="00870447">
        <w:t>up to 2021</w:t>
      </w:r>
      <w:r w:rsidR="00156F53">
        <w:t>–</w:t>
      </w:r>
      <w:r w:rsidR="00870447">
        <w:t xml:space="preserve">22.  </w:t>
      </w:r>
    </w:p>
    <w:p w:rsidR="00870447" w:rsidRDefault="009248B0" w:rsidP="00925603">
      <w:pPr>
        <w:pStyle w:val="OverviewBodyText"/>
      </w:pPr>
      <w:r>
        <w:t>The report was prepared by Kate Wagner with the benefit of comments by Lok Potticary, Jonathan Regan-Beasley, Paul Gardiner and Tim Pyne.</w:t>
      </w:r>
      <w:r w:rsidR="004E0D9A">
        <w:t xml:space="preserve">  The report was prepared for publication by Lauren Pratley.</w:t>
      </w:r>
    </w:p>
    <w:p w:rsidR="00351F62" w:rsidRDefault="00870447" w:rsidP="00925603">
      <w:pPr>
        <w:spacing w:before="960"/>
      </w:pPr>
      <w:r>
        <w:t>Jenny Wilkinson</w:t>
      </w:r>
    </w:p>
    <w:p w:rsidR="00351F62" w:rsidRDefault="00870447" w:rsidP="00925603">
      <w:pPr>
        <w:spacing w:after="114"/>
      </w:pPr>
      <w:r>
        <w:t>Parliamentary Budget Officer</w:t>
      </w:r>
    </w:p>
    <w:sdt>
      <w:sdtPr>
        <w:alias w:val="Date"/>
        <w:tag w:val="Date"/>
        <w:id w:val="-226846581"/>
        <w:placeholder>
          <w:docPart w:val="020B07D60EDD41D0B7553DAB493D2327"/>
        </w:placeholder>
        <w:date w:fullDate="2017-10-11T00:00:00Z">
          <w:dateFormat w:val="d MMMM yyyy"/>
          <w:lid w:val="en-AU"/>
          <w:storeMappedDataAs w:val="dateTime"/>
          <w:calendar w:val="gregorian"/>
        </w:date>
      </w:sdtPr>
      <w:sdtEndPr/>
      <w:sdtContent>
        <w:p w:rsidR="00EA6EB3" w:rsidRDefault="0022234D" w:rsidP="00351F62">
          <w:r>
            <w:t>11 October 2017</w:t>
          </w:r>
        </w:p>
      </w:sdtContent>
    </w:sdt>
    <w:p w:rsidR="00EA6EB3" w:rsidRDefault="00EA6EB3"/>
    <w:p w:rsidR="00870447" w:rsidRDefault="00870447"/>
    <w:p w:rsidR="00870447" w:rsidRDefault="00870447"/>
    <w:p w:rsidR="00870447" w:rsidRDefault="00870447"/>
    <w:p w:rsidR="00B842DB" w:rsidRDefault="00B842DB"/>
    <w:p w:rsidR="00B842DB" w:rsidRDefault="00B842DB"/>
    <w:p w:rsidR="00B842DB" w:rsidRDefault="00B842DB"/>
    <w:p w:rsidR="00B842DB" w:rsidRDefault="00B842DB"/>
    <w:p w:rsidR="00B842DB" w:rsidRDefault="00B842DB"/>
    <w:p w:rsidR="00B842DB" w:rsidRDefault="00B842DB"/>
    <w:p w:rsidR="00B842DB" w:rsidRDefault="00B842DB"/>
    <w:p w:rsidR="00B842DB" w:rsidRDefault="00B842DB"/>
    <w:p w:rsidR="00B842DB" w:rsidRDefault="00B842DB"/>
    <w:p w:rsidR="00B842DB" w:rsidRDefault="00B842DB"/>
    <w:p w:rsidR="00B842DB" w:rsidRDefault="00B842DB"/>
    <w:p w:rsidR="00870447" w:rsidRDefault="00870447"/>
    <w:p w:rsidR="00870447" w:rsidRDefault="00870447"/>
    <w:p w:rsidR="00870447" w:rsidRDefault="00870447"/>
    <w:p w:rsidR="00870447" w:rsidRDefault="00870447"/>
    <w:p w:rsidR="00870447" w:rsidRDefault="00870447">
      <w:pPr>
        <w:sectPr w:rsidR="00870447" w:rsidSect="005468AB">
          <w:footerReference w:type="default" r:id="rId22"/>
          <w:type w:val="oddPage"/>
          <w:pgSz w:w="11906" w:h="16838" w:code="9"/>
          <w:pgMar w:top="1361" w:right="1797" w:bottom="1474" w:left="1797" w:header="284" w:footer="454" w:gutter="0"/>
          <w:pgNumType w:fmt="lowerRoman"/>
          <w:cols w:space="708"/>
          <w:docGrid w:linePitch="360"/>
        </w:sectPr>
      </w:pPr>
    </w:p>
    <w:p w:rsidR="00903E3F" w:rsidRPr="00C51D0B" w:rsidRDefault="00F532B8" w:rsidP="00EA6EB3">
      <w:pPr>
        <w:pStyle w:val="Heading1NoNumbering"/>
      </w:pPr>
      <w:bookmarkStart w:id="5" w:name="_OverviewMarker"/>
      <w:bookmarkStart w:id="6" w:name="_Toc495329626"/>
      <w:bookmarkEnd w:id="5"/>
      <w:r>
        <w:lastRenderedPageBreak/>
        <w:t>Overview</w:t>
      </w:r>
      <w:bookmarkEnd w:id="6"/>
    </w:p>
    <w:p w:rsidR="00ED08F2" w:rsidRDefault="000A03A1" w:rsidP="00144083">
      <w:pPr>
        <w:pStyle w:val="BodyText"/>
      </w:pPr>
      <w:r>
        <w:t>T</w:t>
      </w:r>
      <w:r w:rsidR="00144083" w:rsidRPr="007776E9">
        <w:t>he PBO’s</w:t>
      </w:r>
      <w:r w:rsidR="00144083">
        <w:t xml:space="preserve"> </w:t>
      </w:r>
      <w:r w:rsidR="00144083">
        <w:rPr>
          <w:i/>
        </w:rPr>
        <w:t>2017</w:t>
      </w:r>
      <w:r w:rsidR="00156F53">
        <w:rPr>
          <w:i/>
        </w:rPr>
        <w:t>–</w:t>
      </w:r>
      <w:r w:rsidR="00144083">
        <w:rPr>
          <w:i/>
        </w:rPr>
        <w:t>18 </w:t>
      </w:r>
      <w:r w:rsidR="00144083" w:rsidRPr="00617E66">
        <w:rPr>
          <w:i/>
        </w:rPr>
        <w:t>Budget medium-term projections</w:t>
      </w:r>
      <w:r w:rsidR="00144083">
        <w:t xml:space="preserve"> report </w:t>
      </w:r>
      <w:r>
        <w:t>identified that</w:t>
      </w:r>
      <w:r w:rsidR="00144083">
        <w:t xml:space="preserve"> the projected return to surplus </w:t>
      </w:r>
      <w:r w:rsidR="00577240">
        <w:t>in 2020</w:t>
      </w:r>
      <w:r w:rsidR="00156F53">
        <w:t>–</w:t>
      </w:r>
      <w:r w:rsidR="00577240">
        <w:t xml:space="preserve">21 </w:t>
      </w:r>
      <w:r w:rsidR="00144083">
        <w:t xml:space="preserve">is </w:t>
      </w:r>
      <w:r>
        <w:t xml:space="preserve">predominantly </w:t>
      </w:r>
      <w:r w:rsidR="005D299E">
        <w:t>due to</w:t>
      </w:r>
      <w:r w:rsidR="00144083">
        <w:t xml:space="preserve"> a</w:t>
      </w:r>
      <w:r w:rsidR="00B3367D">
        <w:t xml:space="preserve"> projected</w:t>
      </w:r>
      <w:r w:rsidR="00602CE8">
        <w:t xml:space="preserve"> </w:t>
      </w:r>
      <w:r w:rsidR="00144083">
        <w:t xml:space="preserve">increase in personal </w:t>
      </w:r>
      <w:r w:rsidR="00602CE8">
        <w:t xml:space="preserve">income </w:t>
      </w:r>
      <w:r w:rsidR="00144083">
        <w:t>tax</w:t>
      </w:r>
      <w:r w:rsidR="007D41C4">
        <w:t xml:space="preserve"> revenue</w:t>
      </w:r>
      <w:r w:rsidR="006E5D77">
        <w:t xml:space="preserve">.  </w:t>
      </w:r>
    </w:p>
    <w:p w:rsidR="00144083" w:rsidRDefault="006E5D77" w:rsidP="00144083">
      <w:pPr>
        <w:pStyle w:val="BodyText"/>
      </w:pPr>
      <w:r>
        <w:t>T</w:t>
      </w:r>
      <w:r w:rsidR="00144083">
        <w:t xml:space="preserve">he average tax rate </w:t>
      </w:r>
      <w:r w:rsidR="00602CE8">
        <w:t>faced by individuals</w:t>
      </w:r>
      <w:r>
        <w:t xml:space="preserve"> </w:t>
      </w:r>
      <w:r w:rsidR="00ED08F2">
        <w:t xml:space="preserve">is </w:t>
      </w:r>
      <w:r>
        <w:t xml:space="preserve">estimated to increase by </w:t>
      </w:r>
      <w:r w:rsidR="003F2CF7">
        <w:t>2.3 </w:t>
      </w:r>
      <w:r>
        <w:t>percentage points</w:t>
      </w:r>
      <w:r w:rsidR="000B301F" w:rsidRPr="000B301F">
        <w:t xml:space="preserve"> </w:t>
      </w:r>
      <w:r w:rsidR="000B301F">
        <w:t>over the period from 2017</w:t>
      </w:r>
      <w:r w:rsidR="00156F53">
        <w:t>–</w:t>
      </w:r>
      <w:r w:rsidR="000B301F">
        <w:t>18 to 2021</w:t>
      </w:r>
      <w:r w:rsidR="00156F53">
        <w:t>–</w:t>
      </w:r>
      <w:r w:rsidR="000B301F">
        <w:t>22</w:t>
      </w:r>
      <w:r w:rsidR="00144083">
        <w:t xml:space="preserve">.  This report </w:t>
      </w:r>
      <w:r w:rsidR="00602CE8">
        <w:t xml:space="preserve">examines how </w:t>
      </w:r>
      <w:r w:rsidR="00144083">
        <w:t>the projected increase in the average tax rate</w:t>
      </w:r>
      <w:r w:rsidR="00144083" w:rsidRPr="004210F8">
        <w:t xml:space="preserve"> </w:t>
      </w:r>
      <w:r w:rsidR="00602CE8">
        <w:t>is expected to vary across individual</w:t>
      </w:r>
      <w:r w:rsidR="00B10FF2">
        <w:t xml:space="preserve"> taxpayer</w:t>
      </w:r>
      <w:r w:rsidR="00602CE8">
        <w:t xml:space="preserve">s in different parts of the </w:t>
      </w:r>
      <w:r w:rsidR="0018788C">
        <w:t xml:space="preserve">taxable </w:t>
      </w:r>
      <w:r w:rsidR="00602CE8">
        <w:t>income distribution</w:t>
      </w:r>
      <w:r w:rsidR="00144083">
        <w:t xml:space="preserve">.  </w:t>
      </w:r>
    </w:p>
    <w:p w:rsidR="00577240" w:rsidRDefault="00DA5869" w:rsidP="00DA5869">
      <w:pPr>
        <w:pStyle w:val="OverviewBodyText"/>
      </w:pPr>
      <w:r>
        <w:t xml:space="preserve">The average tax rate for </w:t>
      </w:r>
      <w:r w:rsidR="00602CE8">
        <w:t xml:space="preserve">individuals in every </w:t>
      </w:r>
      <w:r>
        <w:t xml:space="preserve">income quintile is projected to increase </w:t>
      </w:r>
      <w:r w:rsidR="00532317">
        <w:t xml:space="preserve">over the period </w:t>
      </w:r>
      <w:r w:rsidR="00B251E5">
        <w:t>from 2017</w:t>
      </w:r>
      <w:r w:rsidR="00156F53">
        <w:t>–</w:t>
      </w:r>
      <w:r w:rsidR="00B251E5">
        <w:t xml:space="preserve">18 </w:t>
      </w:r>
      <w:r w:rsidR="00532317">
        <w:t>to 2021</w:t>
      </w:r>
      <w:r w:rsidR="00156F53">
        <w:t>–</w:t>
      </w:r>
      <w:r w:rsidR="00532317">
        <w:t>22</w:t>
      </w:r>
      <w:r w:rsidR="000A03A1">
        <w:t>.</w:t>
      </w:r>
      <w:r w:rsidR="000A03A1" w:rsidRPr="000A03A1">
        <w:t xml:space="preserve"> </w:t>
      </w:r>
      <w:r w:rsidR="000A03A1">
        <w:t xml:space="preserve"> The </w:t>
      </w:r>
      <w:r w:rsidR="00602CE8">
        <w:t>largest increase is expected to be faced by</w:t>
      </w:r>
      <w:r w:rsidR="000A03A1">
        <w:t xml:space="preserve"> individuals </w:t>
      </w:r>
      <w:r w:rsidR="009C1668">
        <w:t xml:space="preserve">in the </w:t>
      </w:r>
      <w:r w:rsidR="005D299E">
        <w:t xml:space="preserve">middle </w:t>
      </w:r>
      <w:r w:rsidR="009C1668">
        <w:t xml:space="preserve">income quintile, </w:t>
      </w:r>
      <w:r w:rsidR="00602CE8">
        <w:t xml:space="preserve">whose </w:t>
      </w:r>
      <w:r w:rsidR="000A03A1">
        <w:t xml:space="preserve">taxable income </w:t>
      </w:r>
      <w:r w:rsidR="00EA20D0">
        <w:t xml:space="preserve">is expected to </w:t>
      </w:r>
      <w:r w:rsidR="00602CE8" w:rsidRPr="00240CDD">
        <w:t xml:space="preserve">average </w:t>
      </w:r>
      <w:r w:rsidR="00240CDD" w:rsidRPr="00240CDD">
        <w:t>$46,000</w:t>
      </w:r>
      <w:r w:rsidR="00602CE8" w:rsidRPr="00240CDD">
        <w:t xml:space="preserve"> </w:t>
      </w:r>
      <w:r w:rsidR="000A03A1" w:rsidRPr="00240CDD">
        <w:t>in 2017</w:t>
      </w:r>
      <w:r w:rsidR="00156F53">
        <w:t>–</w:t>
      </w:r>
      <w:r w:rsidR="000A03A1">
        <w:t xml:space="preserve">18.  </w:t>
      </w:r>
      <w:r w:rsidR="0080306C">
        <w:t>T</w:t>
      </w:r>
      <w:r w:rsidR="000A03A1">
        <w:t xml:space="preserve">his group </w:t>
      </w:r>
      <w:r w:rsidR="0080306C">
        <w:t xml:space="preserve">of taxpayers </w:t>
      </w:r>
      <w:r w:rsidR="000A03A1">
        <w:t>is p</w:t>
      </w:r>
      <w:r w:rsidR="002020D5">
        <w:t xml:space="preserve">rojected to </w:t>
      </w:r>
      <w:r w:rsidR="0080306C">
        <w:t xml:space="preserve">face an increase in their average tax rate of </w:t>
      </w:r>
      <w:r w:rsidR="002020D5">
        <w:t>3.2 per</w:t>
      </w:r>
      <w:r w:rsidR="000A03A1">
        <w:t>cent</w:t>
      </w:r>
      <w:r w:rsidR="002020D5">
        <w:t>age points</w:t>
      </w:r>
      <w:r w:rsidR="000A03A1">
        <w:t xml:space="preserve"> by 2021</w:t>
      </w:r>
      <w:r w:rsidR="00156F53">
        <w:t>–</w:t>
      </w:r>
      <w:r w:rsidR="000A03A1">
        <w:t>22</w:t>
      </w:r>
      <w:r w:rsidR="0080306C">
        <w:t>,</w:t>
      </w:r>
      <w:r w:rsidR="000A03A1">
        <w:t xml:space="preserve"> as a higher proportion of their income is taxed at the 32.5 per cent rate. </w:t>
      </w:r>
      <w:r w:rsidR="0080306C">
        <w:t xml:space="preserve">Their average tax rate is expected to increase from </w:t>
      </w:r>
      <w:r w:rsidR="00240CDD">
        <w:t xml:space="preserve">14.9 per cent </w:t>
      </w:r>
      <w:r w:rsidR="0080306C">
        <w:t xml:space="preserve">to </w:t>
      </w:r>
      <w:r w:rsidR="00240CDD">
        <w:t>18.</w:t>
      </w:r>
      <w:r w:rsidR="00384F5E">
        <w:t>2</w:t>
      </w:r>
      <w:r w:rsidR="00240CDD">
        <w:t> per </w:t>
      </w:r>
      <w:r w:rsidR="0080306C">
        <w:t>cent.</w:t>
      </w:r>
      <w:r w:rsidR="000A03A1">
        <w:t xml:space="preserve"> </w:t>
      </w:r>
    </w:p>
    <w:p w:rsidR="000A03A1" w:rsidRDefault="000A03A1" w:rsidP="00DA5869">
      <w:pPr>
        <w:pStyle w:val="OverviewBodyText"/>
      </w:pPr>
      <w:r>
        <w:t>Increases in the average tax rate of between 1.9 </w:t>
      </w:r>
      <w:r w:rsidR="002020D5">
        <w:t>and 2.5 per</w:t>
      </w:r>
      <w:r>
        <w:t>cent</w:t>
      </w:r>
      <w:r w:rsidR="002020D5">
        <w:t>age points</w:t>
      </w:r>
      <w:r>
        <w:t xml:space="preserve"> are projected for </w:t>
      </w:r>
      <w:r w:rsidR="005340B4">
        <w:t xml:space="preserve">individuals in the </w:t>
      </w:r>
      <w:r>
        <w:t>second, fourth and fifth quintiles.</w:t>
      </w:r>
      <w:r w:rsidR="00F639DE">
        <w:t xml:space="preserve">  </w:t>
      </w:r>
      <w:r>
        <w:t xml:space="preserve">The average tax rate </w:t>
      </w:r>
      <w:r w:rsidR="005340B4">
        <w:t xml:space="preserve">for individuals in </w:t>
      </w:r>
      <w:r>
        <w:t xml:space="preserve">the </w:t>
      </w:r>
      <w:r w:rsidR="0080306C">
        <w:t xml:space="preserve">lowest </w:t>
      </w:r>
      <w:r>
        <w:t xml:space="preserve">quintile is projected to rise by </w:t>
      </w:r>
      <w:r w:rsidR="00B3367D">
        <w:t xml:space="preserve">only </w:t>
      </w:r>
      <w:r>
        <w:t>0.2 </w:t>
      </w:r>
      <w:r w:rsidR="002020D5">
        <w:t>percentage points</w:t>
      </w:r>
      <w:r>
        <w:t xml:space="preserve"> because most of their income remains below the effective tax</w:t>
      </w:r>
      <w:r>
        <w:noBreakHyphen/>
        <w:t>free threshold.</w:t>
      </w:r>
    </w:p>
    <w:p w:rsidR="000A03A1" w:rsidRDefault="006E5D77" w:rsidP="00DA5869">
      <w:pPr>
        <w:pStyle w:val="OverviewBodyText"/>
      </w:pPr>
      <w:r>
        <w:t>Across all quintiles, t</w:t>
      </w:r>
      <w:r w:rsidR="00F639DE">
        <w:t xml:space="preserve">he largest driver of the increase in average tax rates is </w:t>
      </w:r>
      <w:r w:rsidR="00F95AA6">
        <w:t xml:space="preserve">expected </w:t>
      </w:r>
      <w:r w:rsidR="00F639DE">
        <w:t>increas</w:t>
      </w:r>
      <w:r w:rsidR="00F95AA6">
        <w:t>es in</w:t>
      </w:r>
      <w:r w:rsidR="00F639DE">
        <w:t xml:space="preserve"> nominal </w:t>
      </w:r>
      <w:r w:rsidR="00F639DE" w:rsidRPr="00384F5E">
        <w:t xml:space="preserve">incomes.  </w:t>
      </w:r>
      <w:r w:rsidR="00F639DE" w:rsidRPr="00831682">
        <w:t xml:space="preserve">This </w:t>
      </w:r>
      <w:r w:rsidR="0080306C" w:rsidRPr="00831682">
        <w:t xml:space="preserve">reflects </w:t>
      </w:r>
      <w:r w:rsidR="00F95AA6" w:rsidRPr="00831682">
        <w:t xml:space="preserve">the </w:t>
      </w:r>
      <w:r w:rsidR="00384F5E" w:rsidRPr="00831682">
        <w:t>impact</w:t>
      </w:r>
      <w:r w:rsidR="00384F5E" w:rsidRPr="00384F5E">
        <w:t xml:space="preserve"> </w:t>
      </w:r>
      <w:r w:rsidR="00F95AA6" w:rsidRPr="00831682">
        <w:t xml:space="preserve">of </w:t>
      </w:r>
      <w:r w:rsidR="00F639DE" w:rsidRPr="00831682">
        <w:t xml:space="preserve">bracket creep, </w:t>
      </w:r>
      <w:r w:rsidR="00257993" w:rsidRPr="00831682">
        <w:t>on</w:t>
      </w:r>
      <w:r w:rsidR="00257993">
        <w:t xml:space="preserve"> account of both</w:t>
      </w:r>
      <w:r w:rsidR="00F639DE">
        <w:t xml:space="preserve"> inflation and real income growth.  In addition to the </w:t>
      </w:r>
      <w:r w:rsidR="00831682">
        <w:t xml:space="preserve">effect </w:t>
      </w:r>
      <w:r w:rsidR="00F639DE">
        <w:t>of nominal income growth, average tax rates are projected to increase due to policy changes, most notably the policy decision to increase the Medicare Levy from</w:t>
      </w:r>
      <w:r w:rsidR="00577240">
        <w:t xml:space="preserve"> 2019</w:t>
      </w:r>
      <w:r w:rsidR="00156F53">
        <w:t>–</w:t>
      </w:r>
      <w:r w:rsidR="00577240">
        <w:t>20.</w:t>
      </w:r>
      <w:r w:rsidR="00F95AA6">
        <w:t xml:space="preserve"> </w:t>
      </w:r>
    </w:p>
    <w:p w:rsidR="00144083" w:rsidRDefault="0080306C" w:rsidP="00144083">
      <w:pPr>
        <w:pStyle w:val="BodyText"/>
      </w:pPr>
      <w:r w:rsidRPr="00831682">
        <w:t>Taking a longer term perspective</w:t>
      </w:r>
      <w:r w:rsidR="006E5D77" w:rsidRPr="00831682">
        <w:t xml:space="preserve"> illustrates </w:t>
      </w:r>
      <w:r w:rsidR="00B70F6B" w:rsidRPr="00831682">
        <w:t xml:space="preserve">the net effect of nominal income growth and changes to tax policy </w:t>
      </w:r>
      <w:r w:rsidR="007D41C4">
        <w:t xml:space="preserve">on average tax rates </w:t>
      </w:r>
      <w:r w:rsidR="00B70F6B" w:rsidRPr="00831682">
        <w:t>over the period since 2000</w:t>
      </w:r>
      <w:r w:rsidR="00156F53">
        <w:t>–</w:t>
      </w:r>
      <w:r w:rsidR="00B70F6B" w:rsidRPr="00831682">
        <w:t xml:space="preserve">01.  This shows </w:t>
      </w:r>
      <w:r w:rsidR="006E5D77" w:rsidRPr="00DD6B36">
        <w:t xml:space="preserve">that </w:t>
      </w:r>
      <w:r w:rsidR="00B3367D" w:rsidRPr="00DD6B36">
        <w:t>for</w:t>
      </w:r>
      <w:r w:rsidR="00B70F6B">
        <w:t xml:space="preserve"> all but the lowest quintile, the </w:t>
      </w:r>
      <w:r w:rsidR="006E5D77">
        <w:t xml:space="preserve">increases in </w:t>
      </w:r>
      <w:r w:rsidR="00B70F6B">
        <w:t>average tax rates since 2009</w:t>
      </w:r>
      <w:r w:rsidR="001E3512">
        <w:t>–</w:t>
      </w:r>
      <w:r w:rsidR="00B70F6B" w:rsidRPr="00DD6B36">
        <w:t>10 are offsetting reductions in average tax rates</w:t>
      </w:r>
      <w:r w:rsidR="00144083" w:rsidRPr="00DD6B36">
        <w:t xml:space="preserve"> </w:t>
      </w:r>
      <w:r w:rsidR="00B70F6B" w:rsidRPr="00DD6B36">
        <w:t xml:space="preserve">that occurred </w:t>
      </w:r>
      <w:r w:rsidR="00144083" w:rsidRPr="00DD6B36">
        <w:t xml:space="preserve">during the 2000s.  </w:t>
      </w:r>
      <w:r w:rsidR="00B70F6B" w:rsidRPr="00DD6B36">
        <w:t>By 2021</w:t>
      </w:r>
      <w:r w:rsidR="00156F53">
        <w:t>–</w:t>
      </w:r>
      <w:r w:rsidR="00B70F6B" w:rsidRPr="00DD6B36">
        <w:t>22, the average tax rate for individuals</w:t>
      </w:r>
      <w:r w:rsidR="00B70F6B">
        <w:t xml:space="preserve"> in the lowest two quintiles is still expected to be below its average in 2000</w:t>
      </w:r>
      <w:r w:rsidR="00156F53">
        <w:t>–</w:t>
      </w:r>
      <w:r w:rsidR="00B70F6B">
        <w:t>01, while the most significant increases will have occurred for individuals in the top two</w:t>
      </w:r>
      <w:r w:rsidR="00144083">
        <w:t xml:space="preserve"> income quintiles.</w:t>
      </w:r>
    </w:p>
    <w:p w:rsidR="0018094D" w:rsidRDefault="0018094D"/>
    <w:p w:rsidR="0018094D" w:rsidRDefault="0018094D">
      <w:pPr>
        <w:sectPr w:rsidR="0018094D" w:rsidSect="005468AB">
          <w:type w:val="oddPage"/>
          <w:pgSz w:w="11906" w:h="16838" w:code="9"/>
          <w:pgMar w:top="1361" w:right="1797" w:bottom="1474" w:left="1797" w:header="284" w:footer="454" w:gutter="0"/>
          <w:pgNumType w:fmt="lowerRoman"/>
          <w:cols w:space="708"/>
          <w:docGrid w:linePitch="360"/>
        </w:sectPr>
      </w:pPr>
    </w:p>
    <w:p w:rsidR="00903E3F" w:rsidRDefault="0080306C" w:rsidP="00CF5CE3">
      <w:pPr>
        <w:pStyle w:val="Heading1"/>
      </w:pPr>
      <w:bookmarkStart w:id="7" w:name="_Toc495329627"/>
      <w:r>
        <w:lastRenderedPageBreak/>
        <w:t>Distributional analysis of p</w:t>
      </w:r>
      <w:r w:rsidR="00BC1606">
        <w:t>ersonal income tax</w:t>
      </w:r>
      <w:r w:rsidR="004D5BE9">
        <w:t xml:space="preserve"> </w:t>
      </w:r>
      <w:r>
        <w:t>changes</w:t>
      </w:r>
      <w:bookmarkEnd w:id="7"/>
    </w:p>
    <w:p w:rsidR="00343958" w:rsidRDefault="00343958" w:rsidP="008F5372">
      <w:pPr>
        <w:pStyle w:val="Heading2"/>
      </w:pPr>
      <w:bookmarkStart w:id="8" w:name="_Toc495329628"/>
      <w:r>
        <w:t>Introduction</w:t>
      </w:r>
      <w:bookmarkEnd w:id="8"/>
    </w:p>
    <w:p w:rsidR="00343958" w:rsidRDefault="00343958" w:rsidP="00343958">
      <w:pPr>
        <w:pStyle w:val="BodyText"/>
      </w:pPr>
      <w:r w:rsidRPr="007776E9">
        <w:t xml:space="preserve">Personal income tax is </w:t>
      </w:r>
      <w:r>
        <w:t>a large and growing component of the Commonwealth’s budget.</w:t>
      </w:r>
      <w:r w:rsidRPr="001A0CC6">
        <w:rPr>
          <w:rStyle w:val="FootnoteReference"/>
        </w:rPr>
        <w:t xml:space="preserve"> </w:t>
      </w:r>
      <w:r>
        <w:rPr>
          <w:rStyle w:val="FootnoteReference"/>
        </w:rPr>
        <w:footnoteReference w:id="1"/>
      </w:r>
      <w:r>
        <w:t xml:space="preserve">  It is </w:t>
      </w:r>
      <w:r w:rsidRPr="007776E9">
        <w:t xml:space="preserve">the single largest source of revenue in Australia’s taxation system, </w:t>
      </w:r>
      <w:r>
        <w:t>accounting for</w:t>
      </w:r>
      <w:r w:rsidRPr="007776E9">
        <w:t xml:space="preserve"> over half of the Commonwealth’s tax receipts </w:t>
      </w:r>
      <w:r>
        <w:t xml:space="preserve">in </w:t>
      </w:r>
      <w:r w:rsidR="00A44EB4" w:rsidRPr="007776E9">
        <w:t>201</w:t>
      </w:r>
      <w:r w:rsidR="00A44EB4">
        <w:t>6</w:t>
      </w:r>
      <w:r w:rsidR="00156F53">
        <w:t>–</w:t>
      </w:r>
      <w:r w:rsidR="00A44EB4" w:rsidRPr="007776E9">
        <w:t>1</w:t>
      </w:r>
      <w:r w:rsidR="00A44EB4">
        <w:t>7</w:t>
      </w:r>
      <w:r w:rsidRPr="007776E9">
        <w:t>.</w:t>
      </w:r>
      <w:r w:rsidRPr="007776E9">
        <w:rPr>
          <w:rStyle w:val="FootnoteReference"/>
        </w:rPr>
        <w:footnoteReference w:id="2"/>
      </w:r>
      <w:r w:rsidRPr="007776E9">
        <w:t xml:space="preserve">  As the PBO’s</w:t>
      </w:r>
      <w:r>
        <w:t xml:space="preserve"> </w:t>
      </w:r>
      <w:r>
        <w:rPr>
          <w:i/>
        </w:rPr>
        <w:t>2017</w:t>
      </w:r>
      <w:r w:rsidR="00156F53">
        <w:rPr>
          <w:i/>
        </w:rPr>
        <w:t>–</w:t>
      </w:r>
      <w:r>
        <w:rPr>
          <w:i/>
        </w:rPr>
        <w:t>18 </w:t>
      </w:r>
      <w:r w:rsidRPr="00617E66">
        <w:rPr>
          <w:i/>
        </w:rPr>
        <w:t>Budget medium-term projections</w:t>
      </w:r>
      <w:r>
        <w:t xml:space="preserve"> report discussed, the projected return to surplus</w:t>
      </w:r>
      <w:r w:rsidR="00577240">
        <w:t xml:space="preserve"> in 2020</w:t>
      </w:r>
      <w:r w:rsidR="00156F53">
        <w:t>–</w:t>
      </w:r>
      <w:r w:rsidR="00577240">
        <w:t>21</w:t>
      </w:r>
      <w:r>
        <w:t xml:space="preserve"> is </w:t>
      </w:r>
      <w:r w:rsidR="00F639DE">
        <w:t>predominantly due to a</w:t>
      </w:r>
      <w:r w:rsidR="005D299E">
        <w:t xml:space="preserve"> projected</w:t>
      </w:r>
      <w:r w:rsidR="00F639DE">
        <w:t xml:space="preserve"> increase in personal</w:t>
      </w:r>
      <w:r w:rsidR="00E447AF">
        <w:t xml:space="preserve"> income</w:t>
      </w:r>
      <w:r w:rsidR="00F639DE">
        <w:t xml:space="preserve"> tax </w:t>
      </w:r>
      <w:r w:rsidR="00384F5E">
        <w:t>revenues as</w:t>
      </w:r>
      <w:r>
        <w:t xml:space="preserve"> average tax rate</w:t>
      </w:r>
      <w:r w:rsidR="00384F5E">
        <w:t>s</w:t>
      </w:r>
      <w:r>
        <w:t xml:space="preserve"> on personal income</w:t>
      </w:r>
      <w:r w:rsidR="00384F5E">
        <w:t xml:space="preserve"> increase</w:t>
      </w:r>
      <w:r>
        <w:t xml:space="preserve">.  This report outlines the distributional impact of the projected increase in average personal income tax rates.  </w:t>
      </w:r>
    </w:p>
    <w:p w:rsidR="00343958" w:rsidRDefault="00343958" w:rsidP="00343958">
      <w:pPr>
        <w:pStyle w:val="BodyText"/>
      </w:pPr>
      <w:r>
        <w:t>The analysis presented here is based on Government policy as at the 2017</w:t>
      </w:r>
      <w:r w:rsidR="00156F53">
        <w:t>–</w:t>
      </w:r>
      <w:r>
        <w:t xml:space="preserve">18 Budget, which includes a technical assumption </w:t>
      </w:r>
      <w:r w:rsidR="005D299E">
        <w:t>that the</w:t>
      </w:r>
      <w:r>
        <w:t xml:space="preserve"> tax</w:t>
      </w:r>
      <w:r>
        <w:noBreakHyphen/>
        <w:t>to</w:t>
      </w:r>
      <w:r>
        <w:noBreakHyphen/>
        <w:t>GDP</w:t>
      </w:r>
      <w:r w:rsidR="005D299E">
        <w:t xml:space="preserve"> ratio will not rise above</w:t>
      </w:r>
      <w:r>
        <w:t xml:space="preserve"> 23.9 per cent of GDP.  Based on the PBO’s 2017</w:t>
      </w:r>
      <w:r w:rsidR="00156F53">
        <w:t>–</w:t>
      </w:r>
      <w:r>
        <w:t xml:space="preserve">18 Budget projections, the Government’s </w:t>
      </w:r>
      <w:r w:rsidR="005D299E">
        <w:t xml:space="preserve">cap on the ratio of </w:t>
      </w:r>
      <w:r>
        <w:t>tax</w:t>
      </w:r>
      <w:r w:rsidR="005D299E">
        <w:t>-to-GDP</w:t>
      </w:r>
      <w:r>
        <w:t xml:space="preserve"> would require an unspecified change to Government tax policy from 2022</w:t>
      </w:r>
      <w:r w:rsidR="00156F53">
        <w:t>–</w:t>
      </w:r>
      <w:r>
        <w:t>23 onwards.  As distributional analysis cannot be undertaken in the absence of specified policy, the analysis presented here ends in 2021</w:t>
      </w:r>
      <w:r w:rsidR="00156F53">
        <w:t>–</w:t>
      </w:r>
      <w:r>
        <w:t>22.</w:t>
      </w:r>
    </w:p>
    <w:p w:rsidR="00903E3F" w:rsidRPr="002568FC" w:rsidRDefault="00C10969" w:rsidP="008F5372">
      <w:pPr>
        <w:pStyle w:val="Heading2"/>
      </w:pPr>
      <w:bookmarkStart w:id="9" w:name="_Toc495329629"/>
      <w:r>
        <w:t xml:space="preserve">Distribution of Australia’s </w:t>
      </w:r>
      <w:r w:rsidR="00A07319">
        <w:t>taxpayer</w:t>
      </w:r>
      <w:r w:rsidR="002A5820">
        <w:t>s</w:t>
      </w:r>
      <w:bookmarkEnd w:id="9"/>
    </w:p>
    <w:p w:rsidR="00F278A1" w:rsidRDefault="00CF5266" w:rsidP="00F278A1">
      <w:pPr>
        <w:pStyle w:val="BodyText"/>
      </w:pPr>
      <w:r>
        <w:t xml:space="preserve">Australia has a progressive personal income tax system, </w:t>
      </w:r>
      <w:r w:rsidR="00FC0386">
        <w:t>meaning that higher income earners pay higher marginal tax rates as their income exceeds designated income thresholds.  Figure </w:t>
      </w:r>
      <w:r w:rsidR="009F31A7">
        <w:t>1</w:t>
      </w:r>
      <w:r w:rsidR="00FC0386">
        <w:t xml:space="preserve"> shows</w:t>
      </w:r>
      <w:r w:rsidR="009F31A7">
        <w:t xml:space="preserve"> the </w:t>
      </w:r>
      <w:r w:rsidR="00FC0386">
        <w:t xml:space="preserve">projected </w:t>
      </w:r>
      <w:r w:rsidR="009F31A7">
        <w:t xml:space="preserve">distribution of </w:t>
      </w:r>
      <w:r w:rsidR="00A07319">
        <w:t>taxpayer</w:t>
      </w:r>
      <w:r w:rsidR="009341F3">
        <w:t>s</w:t>
      </w:r>
      <w:r w:rsidR="009F31A7">
        <w:t xml:space="preserve"> according to their taxable income</w:t>
      </w:r>
      <w:r w:rsidR="008F6B7B">
        <w:t xml:space="preserve"> for 2017</w:t>
      </w:r>
      <w:r w:rsidR="00156F53">
        <w:t>–</w:t>
      </w:r>
      <w:r w:rsidR="008F6B7B">
        <w:t>18.</w:t>
      </w:r>
      <w:r w:rsidR="009F31A7">
        <w:rPr>
          <w:rStyle w:val="FootnoteReference"/>
        </w:rPr>
        <w:footnoteReference w:id="3"/>
      </w:r>
      <w:r w:rsidR="007D41C4" w:rsidRPr="007D41C4">
        <w:rPr>
          <w:vertAlign w:val="superscript"/>
        </w:rPr>
        <w:t>,</w:t>
      </w:r>
      <w:r w:rsidR="007D41C4">
        <w:rPr>
          <w:rStyle w:val="FootnoteReference"/>
        </w:rPr>
        <w:footnoteReference w:id="4"/>
      </w:r>
      <w:r w:rsidR="00442930">
        <w:t xml:space="preserve">  The </w:t>
      </w:r>
      <w:r w:rsidR="00A07319">
        <w:t>taxpayer</w:t>
      </w:r>
      <w:r w:rsidR="009341F3">
        <w:t xml:space="preserve">s </w:t>
      </w:r>
      <w:r w:rsidR="00442930">
        <w:t xml:space="preserve">are divided into </w:t>
      </w:r>
      <w:r w:rsidR="008F6B7B">
        <w:t xml:space="preserve">quintiles </w:t>
      </w:r>
      <w:r w:rsidR="00156F53">
        <w:t>—</w:t>
      </w:r>
      <w:r w:rsidR="00442930">
        <w:t xml:space="preserve"> th</w:t>
      </w:r>
      <w:r w:rsidR="006631ED">
        <w:t xml:space="preserve">e </w:t>
      </w:r>
      <w:r w:rsidR="00E447AF">
        <w:t>dark purple</w:t>
      </w:r>
      <w:r w:rsidR="006631ED">
        <w:t xml:space="preserve"> indicates the </w:t>
      </w:r>
      <w:r w:rsidR="006631ED">
        <w:lastRenderedPageBreak/>
        <w:t>20 </w:t>
      </w:r>
      <w:r w:rsidR="005527E6">
        <w:t>per </w:t>
      </w:r>
      <w:r w:rsidR="00442930">
        <w:t xml:space="preserve">cent of </w:t>
      </w:r>
      <w:r w:rsidR="00A07319">
        <w:t>taxpayer</w:t>
      </w:r>
      <w:r w:rsidR="009341F3">
        <w:t xml:space="preserve">s </w:t>
      </w:r>
      <w:r w:rsidR="00442930">
        <w:t>with the lowest taxable income and the</w:t>
      </w:r>
      <w:r w:rsidR="006631ED">
        <w:t xml:space="preserve"> dark</w:t>
      </w:r>
      <w:r w:rsidR="00E447AF">
        <w:t xml:space="preserve"> blue</w:t>
      </w:r>
      <w:r w:rsidR="006631ED">
        <w:t xml:space="preserve"> indicates the 20 </w:t>
      </w:r>
      <w:r w:rsidR="005527E6">
        <w:t>per </w:t>
      </w:r>
      <w:r w:rsidR="00442930">
        <w:t xml:space="preserve">cent of </w:t>
      </w:r>
      <w:r w:rsidR="00A07319">
        <w:t>taxpayer</w:t>
      </w:r>
      <w:r w:rsidR="009341F3">
        <w:t xml:space="preserve">s </w:t>
      </w:r>
      <w:r w:rsidR="00442930">
        <w:t xml:space="preserve">with the </w:t>
      </w:r>
      <w:r w:rsidR="00442930" w:rsidRPr="0089093F">
        <w:t>highest</w:t>
      </w:r>
      <w:r w:rsidR="005D299E">
        <w:t xml:space="preserve"> taxable income</w:t>
      </w:r>
      <w:r w:rsidR="00442930" w:rsidRPr="0089093F">
        <w:t>.</w:t>
      </w:r>
      <w:r w:rsidR="006631ED" w:rsidRPr="0089093F">
        <w:t xml:space="preserve">  </w:t>
      </w:r>
      <w:r w:rsidR="00E435B3">
        <w:t xml:space="preserve">The figure also illustrates the income levels at which the different marginal tax rates apply. </w:t>
      </w:r>
      <w:r w:rsidR="00F278A1">
        <w:t xml:space="preserve"> </w:t>
      </w:r>
    </w:p>
    <w:p w:rsidR="00747529" w:rsidRDefault="00747529" w:rsidP="00747529">
      <w:pPr>
        <w:pStyle w:val="BodyText"/>
      </w:pPr>
      <w:r>
        <w:t xml:space="preserve">The tax thresholds are not indexed and so, in the absence of legislative amendments, they do not change over time.  Incomes, on the other hand, tend to grow over time.  One consequence of static tax thresholds combined with growing incomes is that taxpayers are subject to </w:t>
      </w:r>
      <w:r w:rsidR="00551060">
        <w:t xml:space="preserve">average </w:t>
      </w:r>
      <w:r>
        <w:t xml:space="preserve">tax rates that increase over time.  This effect is sometimes referred to as </w:t>
      </w:r>
      <w:r w:rsidR="001E3512">
        <w:t>‘</w:t>
      </w:r>
      <w:r>
        <w:t>bracket creep</w:t>
      </w:r>
      <w:r w:rsidR="001E3512">
        <w:t>’</w:t>
      </w:r>
      <w:r>
        <w:t xml:space="preserve"> or </w:t>
      </w:r>
      <w:r w:rsidR="003041E3">
        <w:t>‘</w:t>
      </w:r>
      <w:r>
        <w:t>fiscal drag</w:t>
      </w:r>
      <w:r w:rsidR="001E3512">
        <w:t>’</w:t>
      </w:r>
      <w:r>
        <w:t xml:space="preserve">.  </w:t>
      </w:r>
    </w:p>
    <w:p w:rsidR="009F31A7" w:rsidRDefault="009F31A7" w:rsidP="002E0A16">
      <w:pPr>
        <w:pStyle w:val="Caption1"/>
        <w:spacing w:before="120" w:after="60"/>
      </w:pPr>
      <w:r>
        <w:t>Figure 1</w:t>
      </w:r>
      <w:r w:rsidRPr="002A287B">
        <w:t xml:space="preserve">: The distribution of </w:t>
      </w:r>
      <w:r w:rsidR="00A07319">
        <w:t>taxpayer</w:t>
      </w:r>
      <w:r w:rsidR="009341F3" w:rsidRPr="009341F3">
        <w:t>s</w:t>
      </w:r>
      <w:r w:rsidR="00551060">
        <w:t xml:space="preserve"> by taxable income</w:t>
      </w:r>
      <w:r w:rsidR="00BF2920">
        <w:t>, 2017</w:t>
      </w:r>
      <w:r w:rsidR="001E3512">
        <w:t>–</w:t>
      </w:r>
      <w:r w:rsidR="00BF2920">
        <w:t>18</w:t>
      </w:r>
    </w:p>
    <w:p w:rsidR="00312A34" w:rsidRDefault="00312A34" w:rsidP="002E0A16">
      <w:pPr>
        <w:pStyle w:val="BodyText"/>
        <w:keepNext/>
        <w:spacing w:before="0" w:after="0"/>
      </w:pPr>
      <w:r>
        <w:rPr>
          <w:noProof/>
          <w:lang w:eastAsia="en-AU"/>
        </w:rPr>
        <w:drawing>
          <wp:inline distT="0" distB="0" distL="0" distR="0" wp14:anchorId="3F6A0BF1">
            <wp:extent cx="4834800" cy="2628000"/>
            <wp:effectExtent l="0" t="0" r="444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4800" cy="2628000"/>
                    </a:xfrm>
                    <a:prstGeom prst="rect">
                      <a:avLst/>
                    </a:prstGeom>
                    <a:noFill/>
                  </pic:spPr>
                </pic:pic>
              </a:graphicData>
            </a:graphic>
          </wp:inline>
        </w:drawing>
      </w:r>
    </w:p>
    <w:p w:rsidR="00723410" w:rsidRDefault="00723410" w:rsidP="00723410">
      <w:pPr>
        <w:pStyle w:val="ListParagraph"/>
        <w:ind w:left="0"/>
        <w:rPr>
          <w:color w:val="808080" w:themeColor="background1" w:themeShade="80"/>
          <w:sz w:val="18"/>
          <w:szCs w:val="18"/>
        </w:rPr>
      </w:pPr>
      <w:r w:rsidRPr="00723410">
        <w:rPr>
          <w:color w:val="808080" w:themeColor="background1" w:themeShade="80"/>
          <w:sz w:val="18"/>
          <w:szCs w:val="18"/>
        </w:rPr>
        <w:t>Source:</w:t>
      </w:r>
      <w:r>
        <w:rPr>
          <w:color w:val="808080" w:themeColor="background1" w:themeShade="80"/>
          <w:sz w:val="18"/>
          <w:szCs w:val="18"/>
        </w:rPr>
        <w:t xml:space="preserve"> </w:t>
      </w:r>
      <w:r w:rsidR="00860CD7">
        <w:rPr>
          <w:color w:val="808080" w:themeColor="background1" w:themeShade="80"/>
          <w:sz w:val="18"/>
          <w:szCs w:val="18"/>
        </w:rPr>
        <w:t xml:space="preserve">PBO analysis, </w:t>
      </w:r>
      <w:r>
        <w:rPr>
          <w:color w:val="808080" w:themeColor="background1" w:themeShade="80"/>
          <w:sz w:val="18"/>
          <w:szCs w:val="18"/>
        </w:rPr>
        <w:t>Australian Tax Office</w:t>
      </w:r>
      <w:r w:rsidR="0059636F">
        <w:rPr>
          <w:color w:val="808080" w:themeColor="background1" w:themeShade="80"/>
          <w:sz w:val="18"/>
          <w:szCs w:val="18"/>
        </w:rPr>
        <w:t xml:space="preserve"> (ATO)</w:t>
      </w:r>
      <w:r>
        <w:rPr>
          <w:color w:val="808080" w:themeColor="background1" w:themeShade="80"/>
          <w:sz w:val="18"/>
          <w:szCs w:val="18"/>
        </w:rPr>
        <w:t xml:space="preserve"> data and parameters</w:t>
      </w:r>
      <w:r w:rsidR="00C83AF5">
        <w:rPr>
          <w:color w:val="808080" w:themeColor="background1" w:themeShade="80"/>
          <w:sz w:val="18"/>
          <w:szCs w:val="18"/>
        </w:rPr>
        <w:t xml:space="preserve"> underlying the 2017</w:t>
      </w:r>
      <w:r w:rsidR="001E3512">
        <w:rPr>
          <w:color w:val="808080" w:themeColor="background1" w:themeShade="80"/>
          <w:sz w:val="18"/>
          <w:szCs w:val="18"/>
        </w:rPr>
        <w:t>–</w:t>
      </w:r>
      <w:r w:rsidR="00C83AF5">
        <w:rPr>
          <w:color w:val="808080" w:themeColor="background1" w:themeShade="80"/>
          <w:sz w:val="18"/>
          <w:szCs w:val="18"/>
        </w:rPr>
        <w:t xml:space="preserve">18 </w:t>
      </w:r>
      <w:proofErr w:type="gramStart"/>
      <w:r w:rsidR="00C83AF5">
        <w:rPr>
          <w:color w:val="808080" w:themeColor="background1" w:themeShade="80"/>
          <w:sz w:val="18"/>
          <w:szCs w:val="18"/>
        </w:rPr>
        <w:t>Budget</w:t>
      </w:r>
      <w:proofErr w:type="gramEnd"/>
      <w:r>
        <w:rPr>
          <w:color w:val="808080" w:themeColor="background1" w:themeShade="80"/>
          <w:sz w:val="18"/>
          <w:szCs w:val="18"/>
        </w:rPr>
        <w:t>.</w:t>
      </w:r>
    </w:p>
    <w:p w:rsidR="002D2AA3" w:rsidRPr="00723410" w:rsidRDefault="00551060" w:rsidP="002E0A16">
      <w:pPr>
        <w:pStyle w:val="ListParagraph"/>
        <w:spacing w:after="120"/>
        <w:ind w:left="0"/>
        <w:rPr>
          <w:color w:val="808080" w:themeColor="background1" w:themeShade="80"/>
          <w:sz w:val="18"/>
          <w:szCs w:val="18"/>
        </w:rPr>
      </w:pPr>
      <w:r w:rsidRPr="007919DD">
        <w:rPr>
          <w:color w:val="808080" w:themeColor="background1" w:themeShade="80"/>
          <w:sz w:val="18"/>
          <w:szCs w:val="18"/>
        </w:rPr>
        <w:t>Note: Th</w:t>
      </w:r>
      <w:r>
        <w:rPr>
          <w:color w:val="808080" w:themeColor="background1" w:themeShade="80"/>
          <w:sz w:val="18"/>
          <w:szCs w:val="18"/>
        </w:rPr>
        <w:t>e marginal tax rate in this</w:t>
      </w:r>
      <w:r w:rsidRPr="007919DD">
        <w:rPr>
          <w:color w:val="808080" w:themeColor="background1" w:themeShade="80"/>
          <w:sz w:val="18"/>
          <w:szCs w:val="18"/>
        </w:rPr>
        <w:t xml:space="preserve"> chart doesn’t include the Medicare Levy and surcharge or tax offsets, which can vary depending on the characteristics of the taxpayer.</w:t>
      </w:r>
      <w:r w:rsidR="00675530">
        <w:rPr>
          <w:color w:val="808080" w:themeColor="background1" w:themeShade="80"/>
          <w:sz w:val="18"/>
          <w:szCs w:val="18"/>
        </w:rPr>
        <w:t xml:space="preserve">  </w:t>
      </w:r>
    </w:p>
    <w:p w:rsidR="006631ED" w:rsidRDefault="006631ED" w:rsidP="002E0A16">
      <w:pPr>
        <w:pStyle w:val="Caption1"/>
        <w:spacing w:before="120" w:after="60"/>
      </w:pPr>
      <w:r>
        <w:t>Figure 2</w:t>
      </w:r>
      <w:r w:rsidRPr="002A287B">
        <w:t xml:space="preserve">: The distribution of </w:t>
      </w:r>
      <w:r w:rsidR="00A07319">
        <w:t>taxpayer</w:t>
      </w:r>
      <w:r w:rsidR="009341F3" w:rsidRPr="009341F3">
        <w:t>s</w:t>
      </w:r>
      <w:r w:rsidR="00551060">
        <w:t xml:space="preserve"> by taxable income</w:t>
      </w:r>
      <w:r w:rsidR="00BF2920">
        <w:t>, 2021</w:t>
      </w:r>
      <w:r w:rsidR="001E3512">
        <w:t>–</w:t>
      </w:r>
      <w:r w:rsidR="00BF2920">
        <w:t>22</w:t>
      </w:r>
    </w:p>
    <w:p w:rsidR="006631ED" w:rsidRDefault="00312A34" w:rsidP="002E0A16">
      <w:pPr>
        <w:pStyle w:val="BodyText"/>
        <w:keepNext/>
        <w:spacing w:before="0" w:after="0"/>
      </w:pPr>
      <w:r>
        <w:rPr>
          <w:noProof/>
          <w:lang w:eastAsia="en-AU"/>
        </w:rPr>
        <w:drawing>
          <wp:inline distT="0" distB="0" distL="0" distR="0" wp14:anchorId="4DD11ADF">
            <wp:extent cx="4726800" cy="262800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6800" cy="2628000"/>
                    </a:xfrm>
                    <a:prstGeom prst="rect">
                      <a:avLst/>
                    </a:prstGeom>
                    <a:noFill/>
                  </pic:spPr>
                </pic:pic>
              </a:graphicData>
            </a:graphic>
          </wp:inline>
        </w:drawing>
      </w:r>
    </w:p>
    <w:p w:rsidR="007B22EA" w:rsidRDefault="007B22EA" w:rsidP="0043581D">
      <w:pPr>
        <w:pStyle w:val="ListParagraph"/>
        <w:keepNext/>
        <w:ind w:left="0"/>
        <w:rPr>
          <w:color w:val="808080" w:themeColor="background1" w:themeShade="80"/>
          <w:sz w:val="18"/>
          <w:szCs w:val="18"/>
        </w:rPr>
      </w:pPr>
      <w:r w:rsidRPr="00723410">
        <w:rPr>
          <w:color w:val="808080" w:themeColor="background1" w:themeShade="80"/>
          <w:sz w:val="18"/>
          <w:szCs w:val="18"/>
        </w:rPr>
        <w:t>Source:</w:t>
      </w:r>
      <w:r>
        <w:rPr>
          <w:color w:val="808080" w:themeColor="background1" w:themeShade="80"/>
          <w:sz w:val="18"/>
          <w:szCs w:val="18"/>
        </w:rPr>
        <w:t xml:space="preserve"> PBO analysis, </w:t>
      </w:r>
      <w:r w:rsidR="0059636F">
        <w:rPr>
          <w:color w:val="808080" w:themeColor="background1" w:themeShade="80"/>
          <w:sz w:val="18"/>
          <w:szCs w:val="18"/>
        </w:rPr>
        <w:t>ATO</w:t>
      </w:r>
      <w:r>
        <w:rPr>
          <w:color w:val="808080" w:themeColor="background1" w:themeShade="80"/>
          <w:sz w:val="18"/>
          <w:szCs w:val="18"/>
        </w:rPr>
        <w:t xml:space="preserve"> data and parameters underlying the 2017</w:t>
      </w:r>
      <w:r w:rsidR="001E3512">
        <w:rPr>
          <w:color w:val="808080" w:themeColor="background1" w:themeShade="80"/>
          <w:sz w:val="18"/>
          <w:szCs w:val="18"/>
        </w:rPr>
        <w:t>–</w:t>
      </w:r>
      <w:r>
        <w:rPr>
          <w:color w:val="808080" w:themeColor="background1" w:themeShade="80"/>
          <w:sz w:val="18"/>
          <w:szCs w:val="18"/>
        </w:rPr>
        <w:t xml:space="preserve">18 </w:t>
      </w:r>
      <w:proofErr w:type="gramStart"/>
      <w:r>
        <w:rPr>
          <w:color w:val="808080" w:themeColor="background1" w:themeShade="80"/>
          <w:sz w:val="18"/>
          <w:szCs w:val="18"/>
        </w:rPr>
        <w:t>Budget</w:t>
      </w:r>
      <w:proofErr w:type="gramEnd"/>
      <w:r>
        <w:rPr>
          <w:color w:val="808080" w:themeColor="background1" w:themeShade="80"/>
          <w:sz w:val="18"/>
          <w:szCs w:val="18"/>
        </w:rPr>
        <w:t>.</w:t>
      </w:r>
    </w:p>
    <w:p w:rsidR="00551060" w:rsidRPr="00723410" w:rsidRDefault="00551060" w:rsidP="002E0A16">
      <w:pPr>
        <w:pStyle w:val="ListParagraph"/>
        <w:spacing w:after="0"/>
        <w:ind w:left="0"/>
        <w:rPr>
          <w:color w:val="808080" w:themeColor="background1" w:themeShade="80"/>
          <w:sz w:val="18"/>
          <w:szCs w:val="18"/>
        </w:rPr>
      </w:pPr>
      <w:r w:rsidRPr="007919DD">
        <w:rPr>
          <w:color w:val="808080" w:themeColor="background1" w:themeShade="80"/>
          <w:sz w:val="18"/>
          <w:szCs w:val="18"/>
        </w:rPr>
        <w:t>Note: Th</w:t>
      </w:r>
      <w:r>
        <w:rPr>
          <w:color w:val="808080" w:themeColor="background1" w:themeShade="80"/>
          <w:sz w:val="18"/>
          <w:szCs w:val="18"/>
        </w:rPr>
        <w:t>e marginal tax rate in this</w:t>
      </w:r>
      <w:r w:rsidRPr="007919DD">
        <w:rPr>
          <w:color w:val="808080" w:themeColor="background1" w:themeShade="80"/>
          <w:sz w:val="18"/>
          <w:szCs w:val="18"/>
        </w:rPr>
        <w:t xml:space="preserve"> chart doesn’t include the Medicare Levy and surcharge or tax offsets, which can vary depending on the characteristics of the taxpayer.</w:t>
      </w:r>
      <w:r w:rsidR="00F00193" w:rsidRPr="00F00193">
        <w:rPr>
          <w:color w:val="808080" w:themeColor="background1" w:themeShade="80"/>
          <w:sz w:val="18"/>
          <w:szCs w:val="18"/>
        </w:rPr>
        <w:t xml:space="preserve"> </w:t>
      </w:r>
      <w:r w:rsidR="00F00193">
        <w:rPr>
          <w:color w:val="808080" w:themeColor="background1" w:themeShade="80"/>
          <w:sz w:val="18"/>
          <w:szCs w:val="18"/>
        </w:rPr>
        <w:t xml:space="preserve"> </w:t>
      </w:r>
      <w:r w:rsidR="002B5FCC" w:rsidRPr="002B5FCC">
        <w:rPr>
          <w:color w:val="808080" w:themeColor="background1" w:themeShade="80"/>
          <w:sz w:val="18"/>
          <w:szCs w:val="18"/>
        </w:rPr>
        <w:t>The projected distribution does not take into account behavioural effects that may arise, such as people adjusting their taxable income to maintain access to particular transfer payments or remaining below a particular income threshold.  This could result in an overestimate of the number of individuals who cross tax thresholds.</w:t>
      </w:r>
    </w:p>
    <w:p w:rsidR="00747529" w:rsidRDefault="00747529" w:rsidP="008939DA">
      <w:pPr>
        <w:pStyle w:val="BodyText17ptAbove"/>
      </w:pPr>
      <w:r>
        <w:lastRenderedPageBreak/>
        <w:t xml:space="preserve">Figure 2 shows the projected distribution of taxpayers according to the taxable incomes they are </w:t>
      </w:r>
      <w:r w:rsidR="00551060">
        <w:t xml:space="preserve">estimated </w:t>
      </w:r>
      <w:r>
        <w:t>to receive in 2021</w:t>
      </w:r>
      <w:r w:rsidR="001E3512">
        <w:t>–</w:t>
      </w:r>
      <w:r>
        <w:t xml:space="preserve">22.  Comparing figures 1 and 2 shows that as incomes increase, the distribution of </w:t>
      </w:r>
      <w:proofErr w:type="gramStart"/>
      <w:r>
        <w:t>taxpayers</w:t>
      </w:r>
      <w:proofErr w:type="gramEnd"/>
      <w:r>
        <w:t xml:space="preserve"> moves to the right. This increases average tax rates for each quintile and increases the marginal tax rates facing some individuals.</w:t>
      </w:r>
      <w:r w:rsidRPr="00F46660">
        <w:t xml:space="preserve"> </w:t>
      </w:r>
      <w:r>
        <w:t xml:space="preserve"> The difference between average and marginal tax rates is described in Box 1.</w:t>
      </w:r>
    </w:p>
    <w:p w:rsidR="005657A5" w:rsidRDefault="004C5403" w:rsidP="00002951">
      <w:pPr>
        <w:pStyle w:val="BodyText"/>
      </w:pPr>
      <w:r w:rsidRPr="00376671">
        <w:t>Between 2017</w:t>
      </w:r>
      <w:r w:rsidR="00156F53">
        <w:t>–</w:t>
      </w:r>
      <w:r w:rsidRPr="00376671">
        <w:t>18 and 2021</w:t>
      </w:r>
      <w:r w:rsidR="00156F53">
        <w:t>–</w:t>
      </w:r>
      <w:r w:rsidRPr="008B7D8A">
        <w:t xml:space="preserve">22, </w:t>
      </w:r>
      <w:r w:rsidR="00731DDE">
        <w:t xml:space="preserve">a number of </w:t>
      </w:r>
      <w:r w:rsidR="00731DDE" w:rsidRPr="00731DDE">
        <w:t xml:space="preserve">individuals </w:t>
      </w:r>
      <w:r w:rsidR="00A85971">
        <w:t xml:space="preserve">are expected to </w:t>
      </w:r>
      <w:r w:rsidR="00731DDE" w:rsidRPr="00731DDE">
        <w:t xml:space="preserve">move across a tax threshold as a result of income growth.  In this case, </w:t>
      </w:r>
      <w:r w:rsidRPr="00731DDE">
        <w:t>each additional dollar received in</w:t>
      </w:r>
      <w:r w:rsidRPr="00376671">
        <w:t xml:space="preserve"> taxable income </w:t>
      </w:r>
      <w:r w:rsidR="00731DDE">
        <w:t xml:space="preserve">is </w:t>
      </w:r>
      <w:r w:rsidRPr="00376671">
        <w:t xml:space="preserve">taxed at a higher rate.  </w:t>
      </w:r>
      <w:r w:rsidR="008B7D8A">
        <w:t>Projections over these four years show 6</w:t>
      </w:r>
      <w:r w:rsidR="00C66A22">
        <w:t>.3</w:t>
      </w:r>
      <w:r w:rsidR="008B7D8A">
        <w:t xml:space="preserve"> per cent of </w:t>
      </w:r>
      <w:r w:rsidR="00A07319">
        <w:t>taxpayer</w:t>
      </w:r>
      <w:r w:rsidR="008B7D8A">
        <w:t>s</w:t>
      </w:r>
      <w:r w:rsidR="00C66A22">
        <w:t>, or over 900,000 people,</w:t>
      </w:r>
      <w:r w:rsidR="009971EB">
        <w:t xml:space="preserve"> </w:t>
      </w:r>
      <w:r w:rsidR="00731DDE">
        <w:t>move from a marginal tax rate of</w:t>
      </w:r>
      <w:r w:rsidR="008B7D8A">
        <w:t xml:space="preserve"> 32.5 per cent to 37 per cent.  </w:t>
      </w:r>
      <w:r w:rsidR="005657A5">
        <w:t>Similarly</w:t>
      </w:r>
      <w:r w:rsidR="00F278A1">
        <w:t xml:space="preserve">, </w:t>
      </w:r>
      <w:r w:rsidR="005657A5">
        <w:t xml:space="preserve">around 5 per cent of </w:t>
      </w:r>
      <w:r w:rsidR="005657A5" w:rsidRPr="005C4251">
        <w:t>taxpayers</w:t>
      </w:r>
      <w:r w:rsidR="002A3ECA">
        <w:t>, or 700,000 people,</w:t>
      </w:r>
      <w:r w:rsidR="005657A5" w:rsidRPr="005C4251">
        <w:t xml:space="preserve"> are projected</w:t>
      </w:r>
      <w:r w:rsidR="005657A5">
        <w:t xml:space="preserve"> to </w:t>
      </w:r>
      <w:r w:rsidR="00A85971">
        <w:t>move from a</w:t>
      </w:r>
      <w:r w:rsidR="005657A5">
        <w:t xml:space="preserve"> marginal tax rate </w:t>
      </w:r>
      <w:r w:rsidR="00A85971">
        <w:t xml:space="preserve">of </w:t>
      </w:r>
      <w:r w:rsidR="005657A5">
        <w:t>19 per cent to 32.5 per cent.</w:t>
      </w:r>
    </w:p>
    <w:p w:rsidR="00002951" w:rsidRDefault="004C5403" w:rsidP="00002951">
      <w:pPr>
        <w:pStyle w:val="BodyText"/>
      </w:pPr>
      <w:r w:rsidRPr="00376671">
        <w:t>For individuals whose incomes increase without crossing a tax threshold, they pay the same marginal tax rate for each additional dollar ea</w:t>
      </w:r>
      <w:r w:rsidR="00F238B6">
        <w:t>rned.</w:t>
      </w:r>
      <w:r w:rsidRPr="00376671">
        <w:t xml:space="preserve"> </w:t>
      </w:r>
      <w:r w:rsidR="00F238B6">
        <w:t xml:space="preserve"> H</w:t>
      </w:r>
      <w:r w:rsidRPr="00376671">
        <w:t xml:space="preserve">owever a higher proportion of their taxable income is taxed at </w:t>
      </w:r>
      <w:r w:rsidR="00551060">
        <w:t>their marginal tax</w:t>
      </w:r>
      <w:r w:rsidRPr="00376671">
        <w:t xml:space="preserve"> rate, </w:t>
      </w:r>
      <w:r w:rsidR="00F238B6">
        <w:t>meaning that their</w:t>
      </w:r>
      <w:r w:rsidRPr="00376671">
        <w:t xml:space="preserve"> average tax </w:t>
      </w:r>
      <w:r w:rsidR="00002951" w:rsidRPr="00376671">
        <w:t>rate still increases.</w:t>
      </w:r>
    </w:p>
    <w:p w:rsidR="00533A79" w:rsidRDefault="00533A79">
      <w:pPr>
        <w:rPr>
          <w:b/>
          <w:bCs/>
          <w:color w:val="2B3B5F" w:themeColor="text2"/>
          <w:spacing w:val="-4"/>
        </w:rPr>
      </w:pPr>
      <w:r>
        <w:br w:type="page"/>
      </w:r>
    </w:p>
    <w:p w:rsidR="006932FE" w:rsidRDefault="00533A79" w:rsidP="008939DA">
      <w:pPr>
        <w:pStyle w:val="Caption1"/>
        <w:rPr>
          <w:rFonts w:cs="Times New Roman"/>
          <w:spacing w:val="-1"/>
        </w:rPr>
      </w:pPr>
      <w:r>
        <w:lastRenderedPageBreak/>
        <w:t xml:space="preserve">Box 1: </w:t>
      </w:r>
      <w:r w:rsidRPr="003800A7">
        <w:t>Average and marginal tax rates</w:t>
      </w:r>
    </w:p>
    <w:tbl>
      <w:tblPr>
        <w:tblStyle w:val="TableGrid"/>
        <w:tblW w:w="8902" w:type="dxa"/>
        <w:tblInd w:w="108" w:type="dxa"/>
        <w:shd w:val="clear" w:color="auto" w:fill="D7DDE9" w:themeFill="accent3"/>
        <w:tblLayout w:type="fixed"/>
        <w:tblCellMar>
          <w:left w:w="108" w:type="dxa"/>
          <w:right w:w="108" w:type="dxa"/>
        </w:tblCellMar>
        <w:tblLook w:val="04A0" w:firstRow="1" w:lastRow="0" w:firstColumn="1" w:lastColumn="0" w:noHBand="0" w:noVBand="1"/>
      </w:tblPr>
      <w:tblGrid>
        <w:gridCol w:w="8902"/>
      </w:tblGrid>
      <w:tr w:rsidR="003800A7" w:rsidTr="004D17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0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tcPr>
          <w:p w:rsidR="00062F94" w:rsidRPr="00DD32B2" w:rsidRDefault="00214533" w:rsidP="008939DA">
            <w:pPr>
              <w:pStyle w:val="PullOutBoxBodyText"/>
              <w:ind w:left="113"/>
              <w:rPr>
                <w:rFonts w:eastAsiaTheme="minorHAnsi"/>
                <w:color w:val="auto"/>
                <w:sz w:val="22"/>
                <w:lang w:eastAsia="en-US"/>
              </w:rPr>
            </w:pPr>
            <w:r w:rsidRPr="00DD32B2">
              <w:rPr>
                <w:rFonts w:eastAsiaTheme="minorHAnsi"/>
                <w:color w:val="auto"/>
                <w:sz w:val="22"/>
                <w:lang w:eastAsia="en-US"/>
              </w:rPr>
              <w:t>Australia’s personal</w:t>
            </w:r>
            <w:r w:rsidR="003800A7" w:rsidRPr="00DD32B2">
              <w:rPr>
                <w:rFonts w:eastAsiaTheme="minorHAnsi"/>
                <w:color w:val="auto"/>
                <w:sz w:val="22"/>
                <w:lang w:eastAsia="en-US"/>
              </w:rPr>
              <w:t xml:space="preserve"> income tax system </w:t>
            </w:r>
            <w:r w:rsidR="006946C7">
              <w:rPr>
                <w:rFonts w:eastAsiaTheme="minorHAnsi"/>
                <w:color w:val="auto"/>
                <w:sz w:val="22"/>
                <w:lang w:eastAsia="en-US"/>
              </w:rPr>
              <w:t>comprises</w:t>
            </w:r>
            <w:r w:rsidR="003800A7" w:rsidRPr="00DD32B2">
              <w:rPr>
                <w:rFonts w:eastAsiaTheme="minorHAnsi"/>
                <w:color w:val="auto"/>
                <w:sz w:val="22"/>
                <w:lang w:eastAsia="en-US"/>
              </w:rPr>
              <w:t xml:space="preserve"> a set of tax </w:t>
            </w:r>
            <w:r w:rsidR="006946C7">
              <w:rPr>
                <w:rFonts w:eastAsiaTheme="minorHAnsi"/>
                <w:color w:val="auto"/>
                <w:sz w:val="22"/>
                <w:lang w:eastAsia="en-US"/>
              </w:rPr>
              <w:t>thresholds</w:t>
            </w:r>
            <w:r w:rsidR="003800A7" w:rsidRPr="00DD32B2">
              <w:rPr>
                <w:rFonts w:eastAsiaTheme="minorHAnsi"/>
                <w:color w:val="auto"/>
                <w:sz w:val="22"/>
                <w:lang w:eastAsia="en-US"/>
              </w:rPr>
              <w:t xml:space="preserve"> with corresponding progressive tax rates that apply </w:t>
            </w:r>
            <w:r w:rsidR="006946C7">
              <w:rPr>
                <w:rFonts w:eastAsiaTheme="minorHAnsi"/>
                <w:color w:val="auto"/>
                <w:sz w:val="22"/>
                <w:lang w:eastAsia="en-US"/>
              </w:rPr>
              <w:t>between thresholds</w:t>
            </w:r>
            <w:r w:rsidR="003800A7" w:rsidRPr="00DD32B2">
              <w:rPr>
                <w:rFonts w:eastAsiaTheme="minorHAnsi"/>
                <w:color w:val="auto"/>
                <w:sz w:val="22"/>
                <w:lang w:eastAsia="en-US"/>
              </w:rPr>
              <w:t xml:space="preserve">. </w:t>
            </w:r>
            <w:r w:rsidRPr="00DD32B2">
              <w:rPr>
                <w:rFonts w:eastAsiaTheme="minorHAnsi"/>
                <w:color w:val="auto"/>
                <w:sz w:val="22"/>
                <w:lang w:eastAsia="en-US"/>
              </w:rPr>
              <w:t xml:space="preserve"> </w:t>
            </w:r>
            <w:r w:rsidR="003800A7" w:rsidRPr="00DD32B2">
              <w:rPr>
                <w:rFonts w:eastAsiaTheme="minorHAnsi"/>
                <w:color w:val="auto"/>
                <w:sz w:val="22"/>
                <w:lang w:eastAsia="en-US"/>
              </w:rPr>
              <w:t xml:space="preserve">The income tax rates specified are marginal tax rates, </w:t>
            </w:r>
            <w:r w:rsidRPr="00DD32B2">
              <w:rPr>
                <w:rFonts w:eastAsiaTheme="minorHAnsi"/>
                <w:color w:val="auto"/>
                <w:sz w:val="22"/>
                <w:lang w:eastAsia="en-US"/>
              </w:rPr>
              <w:t xml:space="preserve">so they </w:t>
            </w:r>
            <w:r w:rsidR="00A77454">
              <w:rPr>
                <w:rFonts w:eastAsiaTheme="minorHAnsi"/>
                <w:color w:val="auto"/>
                <w:sz w:val="22"/>
                <w:lang w:eastAsia="en-US"/>
              </w:rPr>
              <w:t>specify</w:t>
            </w:r>
            <w:r w:rsidRPr="00DD32B2">
              <w:rPr>
                <w:rFonts w:eastAsiaTheme="minorHAnsi"/>
                <w:color w:val="auto"/>
                <w:sz w:val="22"/>
                <w:lang w:eastAsia="en-US"/>
              </w:rPr>
              <w:t xml:space="preserve"> the</w:t>
            </w:r>
            <w:r w:rsidR="003800A7" w:rsidRPr="00DD32B2">
              <w:rPr>
                <w:rFonts w:eastAsiaTheme="minorHAnsi"/>
                <w:color w:val="auto"/>
                <w:sz w:val="22"/>
                <w:lang w:eastAsia="en-US"/>
              </w:rPr>
              <w:t xml:space="preserve"> additional tax payable if additional taxable income is received.  This differs from the average tax rate, which takes the total tax payable and divides this by total taxable income.  </w:t>
            </w:r>
            <w:r w:rsidR="0008137E" w:rsidRPr="00DD32B2">
              <w:rPr>
                <w:rFonts w:eastAsiaTheme="minorHAnsi"/>
                <w:color w:val="auto"/>
                <w:sz w:val="22"/>
                <w:lang w:eastAsia="en-US"/>
              </w:rPr>
              <w:t xml:space="preserve">Marginal tax rates are of interest when investigating incentives to increase or reduce taxable income for </w:t>
            </w:r>
            <w:r w:rsidR="00AF6C15">
              <w:rPr>
                <w:rFonts w:eastAsiaTheme="minorHAnsi"/>
                <w:color w:val="auto"/>
                <w:sz w:val="22"/>
                <w:lang w:eastAsia="en-US"/>
              </w:rPr>
              <w:t>different groups of taxpayers</w:t>
            </w:r>
            <w:r w:rsidR="0008137E" w:rsidRPr="00DD32B2">
              <w:rPr>
                <w:rFonts w:eastAsiaTheme="minorHAnsi"/>
                <w:color w:val="auto"/>
                <w:sz w:val="22"/>
                <w:lang w:eastAsia="en-US"/>
              </w:rPr>
              <w:t xml:space="preserve">.  Average tax rates are of interest when investigating the overall tax burden for </w:t>
            </w:r>
            <w:r w:rsidR="00AF6C15">
              <w:rPr>
                <w:rFonts w:eastAsiaTheme="minorHAnsi"/>
                <w:color w:val="auto"/>
                <w:sz w:val="22"/>
                <w:lang w:eastAsia="en-US"/>
              </w:rPr>
              <w:t>groups of taxpayers</w:t>
            </w:r>
            <w:r w:rsidR="0008137E" w:rsidRPr="00DD32B2">
              <w:rPr>
                <w:rFonts w:eastAsiaTheme="minorHAnsi"/>
                <w:color w:val="auto"/>
                <w:sz w:val="22"/>
                <w:lang w:eastAsia="en-US"/>
              </w:rPr>
              <w:t xml:space="preserve">. </w:t>
            </w:r>
            <w:r w:rsidR="0008137E">
              <w:rPr>
                <w:rFonts w:eastAsiaTheme="minorHAnsi"/>
                <w:color w:val="auto"/>
                <w:sz w:val="22"/>
                <w:lang w:eastAsia="en-US"/>
              </w:rPr>
              <w:t xml:space="preserve"> </w:t>
            </w:r>
            <w:r w:rsidR="00062F94" w:rsidRPr="00DD32B2">
              <w:rPr>
                <w:rFonts w:eastAsiaTheme="minorHAnsi"/>
                <w:color w:val="auto"/>
                <w:sz w:val="22"/>
                <w:lang w:eastAsia="en-US"/>
              </w:rPr>
              <w:t xml:space="preserve">The </w:t>
            </w:r>
            <w:r w:rsidR="00062F94">
              <w:rPr>
                <w:rFonts w:eastAsiaTheme="minorHAnsi"/>
                <w:color w:val="auto"/>
                <w:sz w:val="22"/>
                <w:lang w:eastAsia="en-US"/>
              </w:rPr>
              <w:t>marginal and average tax</w:t>
            </w:r>
            <w:r w:rsidR="00062F94" w:rsidRPr="00DD32B2">
              <w:rPr>
                <w:rFonts w:eastAsiaTheme="minorHAnsi"/>
                <w:color w:val="auto"/>
                <w:sz w:val="22"/>
                <w:lang w:eastAsia="en-US"/>
              </w:rPr>
              <w:t xml:space="preserve"> rates</w:t>
            </w:r>
            <w:r w:rsidR="00062F94">
              <w:rPr>
                <w:rFonts w:eastAsiaTheme="minorHAnsi"/>
                <w:color w:val="auto"/>
                <w:sz w:val="22"/>
                <w:lang w:eastAsia="en-US"/>
              </w:rPr>
              <w:t xml:space="preserve"> are shown in Figure 3</w:t>
            </w:r>
            <w:r w:rsidR="00062F94" w:rsidRPr="00DD32B2">
              <w:rPr>
                <w:rFonts w:eastAsiaTheme="minorHAnsi"/>
                <w:color w:val="auto"/>
                <w:sz w:val="22"/>
                <w:lang w:eastAsia="en-US"/>
              </w:rPr>
              <w:t xml:space="preserve"> below for the 2017</w:t>
            </w:r>
            <w:r w:rsidR="001E3512">
              <w:rPr>
                <w:rFonts w:eastAsiaTheme="minorHAnsi"/>
                <w:color w:val="auto"/>
                <w:sz w:val="22"/>
                <w:lang w:eastAsia="en-US"/>
              </w:rPr>
              <w:t>–</w:t>
            </w:r>
            <w:r w:rsidR="00062F94" w:rsidRPr="00DD32B2">
              <w:rPr>
                <w:rFonts w:eastAsiaTheme="minorHAnsi"/>
                <w:color w:val="auto"/>
                <w:sz w:val="22"/>
                <w:lang w:eastAsia="en-US"/>
              </w:rPr>
              <w:t xml:space="preserve">18 base income tax rates.  </w:t>
            </w:r>
            <w:r w:rsidR="00F0669F">
              <w:rPr>
                <w:rFonts w:eastAsiaTheme="minorHAnsi"/>
                <w:color w:val="auto"/>
                <w:sz w:val="22"/>
                <w:lang w:eastAsia="en-US"/>
              </w:rPr>
              <w:t xml:space="preserve">The chart, and the analysis in this report, does not include the effects of transfer </w:t>
            </w:r>
            <w:r w:rsidR="00EA3821">
              <w:rPr>
                <w:rFonts w:eastAsiaTheme="minorHAnsi"/>
                <w:color w:val="auto"/>
                <w:sz w:val="22"/>
                <w:lang w:eastAsia="en-US"/>
              </w:rPr>
              <w:t>payments</w:t>
            </w:r>
            <w:r w:rsidR="00164898">
              <w:rPr>
                <w:rFonts w:eastAsiaTheme="minorHAnsi"/>
                <w:color w:val="auto"/>
                <w:sz w:val="22"/>
                <w:lang w:eastAsia="en-US"/>
              </w:rPr>
              <w:t>.</w:t>
            </w:r>
          </w:p>
          <w:p w:rsidR="00062F94" w:rsidRDefault="00062F94" w:rsidP="008939DA">
            <w:pPr>
              <w:pStyle w:val="Caption1"/>
              <w:rPr>
                <w:vertAlign w:val="superscript"/>
              </w:rPr>
            </w:pPr>
            <w:r>
              <w:t>Figure 3</w:t>
            </w:r>
            <w:r w:rsidRPr="006932FE">
              <w:t>: Average and marginal tax rates, 2017</w:t>
            </w:r>
            <w:r w:rsidR="001E3512">
              <w:t>–</w:t>
            </w:r>
            <w:r w:rsidRPr="006932FE">
              <w:t>18</w:t>
            </w:r>
          </w:p>
          <w:p w:rsidR="004D175A" w:rsidRDefault="004D175A" w:rsidP="00062F94">
            <w:pPr>
              <w:pStyle w:val="TableHeadingRight"/>
              <w:jc w:val="left"/>
              <w:rPr>
                <w:color w:val="auto"/>
                <w:vertAlign w:val="superscript"/>
              </w:rPr>
            </w:pPr>
            <w:r>
              <w:rPr>
                <w:noProof/>
                <w:color w:val="auto"/>
                <w:vertAlign w:val="superscript"/>
              </w:rPr>
              <w:drawing>
                <wp:inline distT="0" distB="0" distL="0" distR="0" wp14:anchorId="27A0A1EB" wp14:editId="58708A50">
                  <wp:extent cx="5279390" cy="2527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9390" cy="2527300"/>
                          </a:xfrm>
                          <a:prstGeom prst="rect">
                            <a:avLst/>
                          </a:prstGeom>
                          <a:noFill/>
                          <a:ln>
                            <a:noFill/>
                          </a:ln>
                        </pic:spPr>
                      </pic:pic>
                    </a:graphicData>
                  </a:graphic>
                </wp:inline>
              </w:drawing>
            </w:r>
          </w:p>
          <w:p w:rsidR="00062F94" w:rsidRPr="007919DD" w:rsidRDefault="00062F94" w:rsidP="008939DA">
            <w:pPr>
              <w:pStyle w:val="TableTextNumber"/>
              <w:numPr>
                <w:ilvl w:val="0"/>
                <w:numId w:val="0"/>
              </w:numPr>
              <w:spacing w:before="0"/>
              <w:ind w:left="113"/>
              <w:rPr>
                <w:color w:val="808080" w:themeColor="background1" w:themeShade="80"/>
                <w:sz w:val="18"/>
                <w:szCs w:val="18"/>
              </w:rPr>
            </w:pPr>
            <w:r w:rsidRPr="007919DD">
              <w:rPr>
                <w:color w:val="808080" w:themeColor="background1" w:themeShade="80"/>
                <w:sz w:val="18"/>
                <w:szCs w:val="18"/>
              </w:rPr>
              <w:t>Note: This chart doesn’t include the Medicare Levy and surcharge or tax offsets, which can vary depending on the characteristics of the taxpayer.</w:t>
            </w:r>
            <w:r w:rsidR="001E01D2">
              <w:rPr>
                <w:color w:val="808080" w:themeColor="background1" w:themeShade="80"/>
                <w:sz w:val="18"/>
                <w:szCs w:val="18"/>
              </w:rPr>
              <w:t xml:space="preserve">  The diamonds indicate a taxable income of $70,000, used in the example below.</w:t>
            </w:r>
          </w:p>
          <w:p w:rsidR="006946C7" w:rsidRPr="00F505BF" w:rsidRDefault="00062F94" w:rsidP="008939DA">
            <w:pPr>
              <w:pStyle w:val="PullOutBoxBodyText"/>
              <w:spacing w:before="340"/>
              <w:ind w:left="113"/>
              <w:rPr>
                <w:rFonts w:eastAsiaTheme="minorHAnsi"/>
                <w:color w:val="auto"/>
                <w:sz w:val="22"/>
                <w:lang w:eastAsia="en-US"/>
              </w:rPr>
            </w:pPr>
            <w:r w:rsidRPr="00F505BF">
              <w:rPr>
                <w:rFonts w:eastAsiaTheme="minorHAnsi"/>
                <w:color w:val="auto"/>
                <w:sz w:val="22"/>
                <w:lang w:eastAsia="en-US"/>
              </w:rPr>
              <w:t>As</w:t>
            </w:r>
            <w:r w:rsidR="00583BC6" w:rsidRPr="00F505BF">
              <w:rPr>
                <w:rFonts w:eastAsiaTheme="minorHAnsi"/>
                <w:color w:val="auto"/>
                <w:sz w:val="22"/>
                <w:lang w:eastAsia="en-US"/>
              </w:rPr>
              <w:t xml:space="preserve"> </w:t>
            </w:r>
            <w:r w:rsidRPr="00F505BF">
              <w:rPr>
                <w:rFonts w:eastAsiaTheme="minorHAnsi"/>
                <w:color w:val="auto"/>
                <w:sz w:val="22"/>
                <w:lang w:eastAsia="en-US"/>
              </w:rPr>
              <w:t xml:space="preserve">an </w:t>
            </w:r>
            <w:r w:rsidR="00583BC6" w:rsidRPr="00F505BF">
              <w:rPr>
                <w:rFonts w:eastAsiaTheme="minorHAnsi"/>
                <w:color w:val="auto"/>
                <w:sz w:val="22"/>
                <w:lang w:eastAsia="en-US"/>
              </w:rPr>
              <w:t>example</w:t>
            </w:r>
            <w:r w:rsidRPr="00F505BF">
              <w:rPr>
                <w:rFonts w:eastAsiaTheme="minorHAnsi"/>
                <w:color w:val="auto"/>
                <w:sz w:val="22"/>
                <w:lang w:eastAsia="en-US"/>
              </w:rPr>
              <w:t xml:space="preserve"> of how these </w:t>
            </w:r>
            <w:r w:rsidR="0008137E">
              <w:rPr>
                <w:rFonts w:eastAsiaTheme="minorHAnsi"/>
                <w:color w:val="auto"/>
                <w:sz w:val="22"/>
                <w:lang w:eastAsia="en-US"/>
              </w:rPr>
              <w:t xml:space="preserve">tax </w:t>
            </w:r>
            <w:r w:rsidRPr="00F505BF">
              <w:rPr>
                <w:rFonts w:eastAsiaTheme="minorHAnsi"/>
                <w:color w:val="auto"/>
                <w:sz w:val="22"/>
                <w:lang w:eastAsia="en-US"/>
              </w:rPr>
              <w:t>rates are related</w:t>
            </w:r>
            <w:r w:rsidR="00583BC6" w:rsidRPr="00F505BF">
              <w:rPr>
                <w:rFonts w:eastAsiaTheme="minorHAnsi"/>
                <w:color w:val="auto"/>
                <w:sz w:val="22"/>
                <w:lang w:eastAsia="en-US"/>
              </w:rPr>
              <w:t xml:space="preserve">, </w:t>
            </w:r>
            <w:r w:rsidRPr="00F505BF">
              <w:rPr>
                <w:rFonts w:eastAsiaTheme="minorHAnsi"/>
                <w:color w:val="auto"/>
                <w:sz w:val="22"/>
                <w:lang w:eastAsia="en-US"/>
              </w:rPr>
              <w:t xml:space="preserve">consider </w:t>
            </w:r>
            <w:r w:rsidR="00583BC6" w:rsidRPr="00F505BF">
              <w:rPr>
                <w:rFonts w:eastAsiaTheme="minorHAnsi"/>
                <w:color w:val="auto"/>
                <w:sz w:val="22"/>
                <w:lang w:eastAsia="en-US"/>
              </w:rPr>
              <w:t xml:space="preserve">a person </w:t>
            </w:r>
            <w:r w:rsidR="00BB3D18" w:rsidRPr="00F505BF">
              <w:rPr>
                <w:rFonts w:eastAsiaTheme="minorHAnsi"/>
                <w:color w:val="auto"/>
                <w:sz w:val="22"/>
                <w:lang w:eastAsia="en-US"/>
              </w:rPr>
              <w:t>earning a salary of $70,000 each year</w:t>
            </w:r>
            <w:r w:rsidR="006946C7" w:rsidRPr="00F505BF">
              <w:rPr>
                <w:rFonts w:eastAsiaTheme="minorHAnsi"/>
                <w:color w:val="auto"/>
                <w:sz w:val="22"/>
                <w:lang w:eastAsia="en-US"/>
              </w:rPr>
              <w:t xml:space="preserve"> (</w:t>
            </w:r>
            <w:r w:rsidRPr="00F505BF">
              <w:rPr>
                <w:rFonts w:eastAsiaTheme="minorHAnsi"/>
                <w:color w:val="auto"/>
                <w:sz w:val="22"/>
                <w:lang w:eastAsia="en-US"/>
              </w:rPr>
              <w:t>with</w:t>
            </w:r>
            <w:r w:rsidR="006946C7" w:rsidRPr="00F505BF">
              <w:rPr>
                <w:rFonts w:eastAsiaTheme="minorHAnsi"/>
                <w:color w:val="auto"/>
                <w:sz w:val="22"/>
                <w:lang w:eastAsia="en-US"/>
              </w:rPr>
              <w:t xml:space="preserve"> no other income)</w:t>
            </w:r>
            <w:r w:rsidRPr="00F505BF">
              <w:rPr>
                <w:rFonts w:eastAsiaTheme="minorHAnsi"/>
                <w:color w:val="auto"/>
                <w:sz w:val="22"/>
                <w:lang w:eastAsia="en-US"/>
              </w:rPr>
              <w:t>.  This person’s tax is calculated by adding the following:</w:t>
            </w:r>
          </w:p>
          <w:p w:rsidR="006946C7" w:rsidRPr="004913B9" w:rsidRDefault="0008137E" w:rsidP="008939DA">
            <w:pPr>
              <w:pStyle w:val="TableTextBullet"/>
              <w:rPr>
                <w:rFonts w:eastAsiaTheme="minorHAnsi"/>
                <w:color w:val="000000" w:themeColor="text1"/>
                <w:sz w:val="22"/>
                <w:lang w:eastAsia="en-US"/>
              </w:rPr>
            </w:pPr>
            <w:r w:rsidRPr="004913B9">
              <w:rPr>
                <w:rFonts w:eastAsiaTheme="minorHAnsi"/>
                <w:color w:val="000000" w:themeColor="text1"/>
                <w:sz w:val="22"/>
                <w:lang w:eastAsia="en-US"/>
              </w:rPr>
              <w:t>$0</w:t>
            </w:r>
            <w:r w:rsidR="006946C7" w:rsidRPr="004913B9">
              <w:rPr>
                <w:rFonts w:eastAsiaTheme="minorHAnsi"/>
                <w:color w:val="000000" w:themeColor="text1"/>
                <w:sz w:val="22"/>
                <w:lang w:eastAsia="en-US"/>
              </w:rPr>
              <w:t xml:space="preserve"> tax </w:t>
            </w:r>
            <w:r w:rsidR="00062F94" w:rsidRPr="004913B9">
              <w:rPr>
                <w:rFonts w:eastAsiaTheme="minorHAnsi"/>
                <w:color w:val="000000" w:themeColor="text1"/>
                <w:sz w:val="22"/>
                <w:lang w:eastAsia="en-US"/>
              </w:rPr>
              <w:t>for</w:t>
            </w:r>
            <w:r w:rsidR="006946C7" w:rsidRPr="004913B9">
              <w:rPr>
                <w:rFonts w:eastAsiaTheme="minorHAnsi"/>
                <w:color w:val="000000" w:themeColor="text1"/>
                <w:sz w:val="22"/>
                <w:lang w:eastAsia="en-US"/>
              </w:rPr>
              <w:t xml:space="preserve"> the first $18,200 of income</w:t>
            </w:r>
          </w:p>
          <w:p w:rsidR="006946C7" w:rsidRPr="004913B9" w:rsidRDefault="006946C7" w:rsidP="008939DA">
            <w:pPr>
              <w:pStyle w:val="TableTextBullet"/>
              <w:rPr>
                <w:rFonts w:eastAsiaTheme="minorHAnsi"/>
                <w:color w:val="000000" w:themeColor="text1"/>
                <w:sz w:val="22"/>
                <w:lang w:eastAsia="en-US"/>
              </w:rPr>
            </w:pPr>
            <w:r w:rsidRPr="004913B9">
              <w:rPr>
                <w:rFonts w:eastAsiaTheme="minorHAnsi"/>
                <w:color w:val="000000" w:themeColor="text1"/>
                <w:sz w:val="22"/>
                <w:lang w:eastAsia="en-US"/>
              </w:rPr>
              <w:t xml:space="preserve">$3,572 tax on the income </w:t>
            </w:r>
            <w:r w:rsidR="00503123" w:rsidRPr="004913B9">
              <w:rPr>
                <w:rFonts w:eastAsiaTheme="minorHAnsi"/>
                <w:color w:val="000000" w:themeColor="text1"/>
                <w:sz w:val="22"/>
                <w:lang w:eastAsia="en-US"/>
              </w:rPr>
              <w:t>between $18,200 and $37,000  (19 per cent</w:t>
            </w:r>
            <w:r w:rsidR="00AF6D25" w:rsidRPr="004913B9">
              <w:rPr>
                <w:rFonts w:eastAsiaTheme="minorHAnsi"/>
                <w:color w:val="000000" w:themeColor="text1"/>
                <w:sz w:val="22"/>
                <w:lang w:eastAsia="en-US"/>
              </w:rPr>
              <w:t xml:space="preserve"> tax rate</w:t>
            </w:r>
            <w:r w:rsidR="00503123" w:rsidRPr="004913B9">
              <w:rPr>
                <w:rFonts w:eastAsiaTheme="minorHAnsi"/>
                <w:color w:val="000000" w:themeColor="text1"/>
                <w:sz w:val="22"/>
                <w:lang w:eastAsia="en-US"/>
              </w:rPr>
              <w:t>)</w:t>
            </w:r>
          </w:p>
          <w:p w:rsidR="00503123" w:rsidRPr="004913B9" w:rsidRDefault="00503123" w:rsidP="008939DA">
            <w:pPr>
              <w:pStyle w:val="TableTextBullet"/>
              <w:rPr>
                <w:rFonts w:eastAsiaTheme="minorHAnsi"/>
                <w:color w:val="000000" w:themeColor="text1"/>
                <w:sz w:val="22"/>
                <w:lang w:eastAsia="en-US"/>
              </w:rPr>
            </w:pPr>
            <w:r w:rsidRPr="004913B9">
              <w:rPr>
                <w:rFonts w:eastAsiaTheme="minorHAnsi"/>
                <w:color w:val="000000" w:themeColor="text1"/>
                <w:sz w:val="22"/>
                <w:lang w:eastAsia="en-US"/>
              </w:rPr>
              <w:t xml:space="preserve">$10,725 tax on the income between $37,000 and $70,000 (32.5 per cent, </w:t>
            </w:r>
            <w:r w:rsidR="00062F94" w:rsidRPr="004913B9">
              <w:rPr>
                <w:rFonts w:eastAsiaTheme="minorHAnsi"/>
                <w:color w:val="000000" w:themeColor="text1"/>
                <w:sz w:val="22"/>
                <w:lang w:eastAsia="en-US"/>
              </w:rPr>
              <w:t>the person’s</w:t>
            </w:r>
            <w:r w:rsidRPr="004913B9">
              <w:rPr>
                <w:rFonts w:eastAsiaTheme="minorHAnsi"/>
                <w:color w:val="000000" w:themeColor="text1"/>
                <w:sz w:val="22"/>
                <w:lang w:eastAsia="en-US"/>
              </w:rPr>
              <w:t xml:space="preserve"> marginal tax rate).</w:t>
            </w:r>
          </w:p>
          <w:p w:rsidR="00583BC6" w:rsidRDefault="00503123" w:rsidP="008939DA">
            <w:pPr>
              <w:pStyle w:val="PullOutBoxBodyText"/>
              <w:ind w:left="113"/>
              <w:rPr>
                <w:rFonts w:eastAsiaTheme="minorEastAsia"/>
                <w:color w:val="auto"/>
                <w:sz w:val="22"/>
                <w:lang w:eastAsia="en-US"/>
              </w:rPr>
            </w:pPr>
            <w:r w:rsidRPr="00F505BF">
              <w:rPr>
                <w:rFonts w:eastAsiaTheme="minorHAnsi"/>
                <w:color w:val="auto"/>
                <w:sz w:val="22"/>
                <w:lang w:eastAsia="en-US"/>
              </w:rPr>
              <w:t xml:space="preserve">This gives a total of $14,297 </w:t>
            </w:r>
            <w:r w:rsidR="001A0CC6">
              <w:rPr>
                <w:rFonts w:eastAsiaTheme="minorHAnsi"/>
                <w:color w:val="auto"/>
                <w:sz w:val="22"/>
                <w:lang w:eastAsia="en-US"/>
              </w:rPr>
              <w:t>in tax (excluding the Medicare l</w:t>
            </w:r>
            <w:r w:rsidRPr="00F505BF">
              <w:rPr>
                <w:rFonts w:eastAsiaTheme="minorHAnsi"/>
                <w:color w:val="auto"/>
                <w:sz w:val="22"/>
                <w:lang w:eastAsia="en-US"/>
              </w:rPr>
              <w:t xml:space="preserve">evy).  </w:t>
            </w:r>
            <w:r w:rsidR="0010441F" w:rsidRPr="00F505BF">
              <w:rPr>
                <w:rFonts w:eastAsiaTheme="minorHAnsi"/>
                <w:color w:val="auto"/>
                <w:sz w:val="22"/>
                <w:lang w:eastAsia="en-US"/>
              </w:rPr>
              <w:t>The average tax rate</w:t>
            </w:r>
            <w:r w:rsidR="009A7ECE" w:rsidRPr="00F505BF">
              <w:rPr>
                <w:rFonts w:eastAsiaTheme="minorHAnsi"/>
                <w:color w:val="auto"/>
                <w:sz w:val="22"/>
                <w:lang w:eastAsia="en-US"/>
              </w:rPr>
              <w:t xml:space="preserve"> </w:t>
            </w:r>
            <w:r w:rsidR="0010441F" w:rsidRPr="00F505BF">
              <w:rPr>
                <w:rFonts w:eastAsiaTheme="minorHAnsi"/>
                <w:color w:val="auto"/>
                <w:sz w:val="22"/>
                <w:lang w:eastAsia="en-US"/>
              </w:rPr>
              <w:t xml:space="preserve">is </w:t>
            </w:r>
            <w:r w:rsidRPr="00F505BF">
              <w:rPr>
                <w:rFonts w:eastAsiaTheme="minorHAnsi"/>
                <w:color w:val="auto"/>
                <w:sz w:val="22"/>
                <w:lang w:eastAsia="en-US"/>
              </w:rPr>
              <w:t xml:space="preserve">then </w:t>
            </w:r>
            <w:r w:rsidR="009A7ECE" w:rsidRPr="00F505BF">
              <w:rPr>
                <w:rFonts w:eastAsiaTheme="minorHAnsi"/>
                <w:color w:val="auto"/>
                <w:sz w:val="22"/>
                <w:lang w:eastAsia="en-US"/>
              </w:rPr>
              <w:t xml:space="preserve">given by </w:t>
            </w:r>
            <w:r w:rsidR="001A0CC6">
              <w:rPr>
                <w:rFonts w:eastAsiaTheme="minorHAnsi"/>
                <w:color w:val="auto"/>
                <w:sz w:val="22"/>
                <w:lang w:eastAsia="en-US"/>
              </w:rPr>
              <w:t>$14,297/$70,000 = 20.4</w:t>
            </w:r>
            <w:r w:rsidR="009A7ECE" w:rsidRPr="00F505BF">
              <w:rPr>
                <w:rFonts w:eastAsiaTheme="minorEastAsia"/>
                <w:color w:val="auto"/>
                <w:sz w:val="22"/>
                <w:lang w:eastAsia="en-US"/>
              </w:rPr>
              <w:t xml:space="preserve"> per cent.</w:t>
            </w:r>
            <w:r w:rsidR="001E01D2">
              <w:rPr>
                <w:rFonts w:eastAsiaTheme="minorEastAsia"/>
                <w:color w:val="auto"/>
                <w:sz w:val="22"/>
                <w:lang w:eastAsia="en-US"/>
              </w:rPr>
              <w:t xml:space="preserve">  The marginal and average tax rates for this person are </w:t>
            </w:r>
            <w:r w:rsidR="005F180C">
              <w:rPr>
                <w:rFonts w:eastAsiaTheme="minorEastAsia"/>
                <w:color w:val="auto"/>
                <w:sz w:val="22"/>
                <w:lang w:eastAsia="en-US"/>
              </w:rPr>
              <w:t>shown</w:t>
            </w:r>
            <w:r w:rsidR="001E01D2">
              <w:rPr>
                <w:rFonts w:eastAsiaTheme="minorEastAsia"/>
                <w:color w:val="auto"/>
                <w:sz w:val="22"/>
                <w:lang w:eastAsia="en-US"/>
              </w:rPr>
              <w:t xml:space="preserve"> in Figure 3 with the diamond-shaped markers on the curves.</w:t>
            </w:r>
          </w:p>
          <w:p w:rsidR="004D175A" w:rsidRPr="00B0163A" w:rsidRDefault="006932FE" w:rsidP="008939DA">
            <w:pPr>
              <w:pStyle w:val="PullOutBoxBodyText"/>
              <w:ind w:left="113"/>
              <w:rPr>
                <w:rFonts w:eastAsiaTheme="minorHAnsi"/>
                <w:color w:val="auto"/>
                <w:sz w:val="22"/>
                <w:lang w:eastAsia="en-US"/>
              </w:rPr>
            </w:pPr>
            <w:r w:rsidRPr="00DD32B2">
              <w:rPr>
                <w:rFonts w:eastAsiaTheme="minorHAnsi"/>
                <w:color w:val="auto"/>
                <w:sz w:val="22"/>
                <w:lang w:eastAsia="en-US"/>
              </w:rPr>
              <w:t xml:space="preserve">After the application of the </w:t>
            </w:r>
            <w:r w:rsidR="00A85971" w:rsidRPr="00DD32B2">
              <w:rPr>
                <w:rFonts w:eastAsiaTheme="minorHAnsi"/>
                <w:color w:val="auto"/>
                <w:sz w:val="22"/>
                <w:lang w:eastAsia="en-US"/>
              </w:rPr>
              <w:t>bas</w:t>
            </w:r>
            <w:r w:rsidR="00A85971">
              <w:rPr>
                <w:rFonts w:eastAsiaTheme="minorHAnsi"/>
                <w:color w:val="auto"/>
                <w:sz w:val="22"/>
                <w:lang w:eastAsia="en-US"/>
              </w:rPr>
              <w:t>ic</w:t>
            </w:r>
            <w:r w:rsidR="00A85971" w:rsidRPr="00DD32B2">
              <w:rPr>
                <w:rFonts w:eastAsiaTheme="minorHAnsi"/>
                <w:color w:val="auto"/>
                <w:sz w:val="22"/>
                <w:lang w:eastAsia="en-US"/>
              </w:rPr>
              <w:t xml:space="preserve"> </w:t>
            </w:r>
            <w:r w:rsidRPr="00DD32B2">
              <w:rPr>
                <w:rFonts w:eastAsiaTheme="minorHAnsi"/>
                <w:color w:val="auto"/>
                <w:sz w:val="22"/>
                <w:lang w:eastAsia="en-US"/>
              </w:rPr>
              <w:t>income tax rates to taxable incomes, vario</w:t>
            </w:r>
            <w:r w:rsidR="001A0CC6">
              <w:rPr>
                <w:rFonts w:eastAsiaTheme="minorHAnsi"/>
                <w:color w:val="auto"/>
                <w:sz w:val="22"/>
                <w:lang w:eastAsia="en-US"/>
              </w:rPr>
              <w:t xml:space="preserve">us tax offsets, such as the low </w:t>
            </w:r>
            <w:r w:rsidRPr="00DD32B2">
              <w:rPr>
                <w:rFonts w:eastAsiaTheme="minorHAnsi"/>
                <w:color w:val="auto"/>
                <w:sz w:val="22"/>
                <w:lang w:eastAsia="en-US"/>
              </w:rPr>
              <w:t xml:space="preserve">income tax offset and the seniors and pensioners’ tax offset, are applied </w:t>
            </w:r>
            <w:r w:rsidR="00AF6D25">
              <w:rPr>
                <w:rFonts w:eastAsiaTheme="minorHAnsi"/>
                <w:color w:val="auto"/>
                <w:sz w:val="22"/>
                <w:lang w:eastAsia="en-US"/>
              </w:rPr>
              <w:t xml:space="preserve">for eligible </w:t>
            </w:r>
            <w:r w:rsidR="00A07319">
              <w:rPr>
                <w:rFonts w:eastAsiaTheme="minorHAnsi"/>
                <w:color w:val="auto"/>
                <w:sz w:val="22"/>
                <w:lang w:eastAsia="en-US"/>
              </w:rPr>
              <w:t>taxpayer</w:t>
            </w:r>
            <w:r w:rsidR="00AF6D25">
              <w:rPr>
                <w:rFonts w:eastAsiaTheme="minorHAnsi"/>
                <w:color w:val="auto"/>
                <w:sz w:val="22"/>
                <w:lang w:eastAsia="en-US"/>
              </w:rPr>
              <w:t xml:space="preserve">s </w:t>
            </w:r>
            <w:r w:rsidRPr="00DD32B2">
              <w:rPr>
                <w:rFonts w:eastAsiaTheme="minorHAnsi"/>
                <w:color w:val="auto"/>
                <w:sz w:val="22"/>
                <w:lang w:eastAsia="en-US"/>
              </w:rPr>
              <w:t>and serve to reduce the tax burden for s</w:t>
            </w:r>
            <w:r w:rsidR="001A0CC6">
              <w:rPr>
                <w:rFonts w:eastAsiaTheme="minorHAnsi"/>
                <w:color w:val="auto"/>
                <w:sz w:val="22"/>
                <w:lang w:eastAsia="en-US"/>
              </w:rPr>
              <w:t>ome individuals.  The Medicare l</w:t>
            </w:r>
            <w:r w:rsidRPr="00DD32B2">
              <w:rPr>
                <w:rFonts w:eastAsiaTheme="minorHAnsi"/>
                <w:color w:val="auto"/>
                <w:sz w:val="22"/>
                <w:lang w:eastAsia="en-US"/>
              </w:rPr>
              <w:t>evy and surcharge are then applied</w:t>
            </w:r>
            <w:r w:rsidR="00A85971">
              <w:rPr>
                <w:rFonts w:eastAsiaTheme="minorHAnsi"/>
                <w:color w:val="auto"/>
                <w:sz w:val="22"/>
                <w:lang w:eastAsia="en-US"/>
              </w:rPr>
              <w:t>,</w:t>
            </w:r>
            <w:r w:rsidRPr="00DD32B2">
              <w:rPr>
                <w:rFonts w:eastAsiaTheme="minorHAnsi"/>
                <w:color w:val="auto"/>
                <w:sz w:val="22"/>
                <w:lang w:eastAsia="en-US"/>
              </w:rPr>
              <w:t xml:space="preserve"> where relevant, increasing the tax burden.  In previous years, other levies have </w:t>
            </w:r>
            <w:r w:rsidR="001A0CC6">
              <w:rPr>
                <w:rFonts w:eastAsiaTheme="minorHAnsi"/>
                <w:color w:val="auto"/>
                <w:sz w:val="22"/>
                <w:lang w:eastAsia="en-US"/>
              </w:rPr>
              <w:t>also been applied, such as the t</w:t>
            </w:r>
            <w:r w:rsidRPr="00DD32B2">
              <w:rPr>
                <w:rFonts w:eastAsiaTheme="minorHAnsi"/>
                <w:color w:val="auto"/>
                <w:sz w:val="22"/>
                <w:lang w:eastAsia="en-US"/>
              </w:rPr>
              <w:t xml:space="preserve">emporary </w:t>
            </w:r>
            <w:r w:rsidR="001A0CC6">
              <w:rPr>
                <w:rFonts w:eastAsiaTheme="minorHAnsi"/>
                <w:color w:val="auto"/>
                <w:sz w:val="22"/>
                <w:lang w:eastAsia="en-US"/>
              </w:rPr>
              <w:t>b</w:t>
            </w:r>
            <w:r w:rsidRPr="00DD32B2">
              <w:rPr>
                <w:rFonts w:eastAsiaTheme="minorHAnsi"/>
                <w:color w:val="auto"/>
                <w:sz w:val="22"/>
                <w:lang w:eastAsia="en-US"/>
              </w:rPr>
              <w:t xml:space="preserve">udget </w:t>
            </w:r>
            <w:r w:rsidR="001A0CC6">
              <w:rPr>
                <w:rFonts w:eastAsiaTheme="minorHAnsi"/>
                <w:color w:val="auto"/>
                <w:sz w:val="22"/>
                <w:lang w:eastAsia="en-US"/>
              </w:rPr>
              <w:t>r</w:t>
            </w:r>
            <w:r w:rsidRPr="00DD32B2">
              <w:rPr>
                <w:rFonts w:eastAsiaTheme="minorHAnsi"/>
                <w:color w:val="auto"/>
                <w:sz w:val="22"/>
                <w:lang w:eastAsia="en-US"/>
              </w:rPr>
              <w:t xml:space="preserve">epair </w:t>
            </w:r>
            <w:r w:rsidR="001A0CC6">
              <w:rPr>
                <w:rFonts w:eastAsiaTheme="minorHAnsi"/>
                <w:color w:val="auto"/>
                <w:sz w:val="22"/>
                <w:lang w:eastAsia="en-US"/>
              </w:rPr>
              <w:t>l</w:t>
            </w:r>
            <w:r w:rsidRPr="00DD32B2">
              <w:rPr>
                <w:rFonts w:eastAsiaTheme="minorHAnsi"/>
                <w:color w:val="auto"/>
                <w:sz w:val="22"/>
                <w:lang w:eastAsia="en-US"/>
              </w:rPr>
              <w:t xml:space="preserve">evy </w:t>
            </w:r>
            <w:r w:rsidR="006946C7">
              <w:rPr>
                <w:rFonts w:eastAsiaTheme="minorHAnsi"/>
                <w:color w:val="auto"/>
                <w:sz w:val="22"/>
                <w:lang w:eastAsia="en-US"/>
              </w:rPr>
              <w:t>and</w:t>
            </w:r>
            <w:r w:rsidR="001A0CC6">
              <w:rPr>
                <w:rFonts w:eastAsiaTheme="minorHAnsi"/>
                <w:color w:val="auto"/>
                <w:sz w:val="22"/>
                <w:lang w:eastAsia="en-US"/>
              </w:rPr>
              <w:t xml:space="preserve"> the f</w:t>
            </w:r>
            <w:r w:rsidRPr="00DD32B2">
              <w:rPr>
                <w:rFonts w:eastAsiaTheme="minorHAnsi"/>
                <w:color w:val="auto"/>
                <w:sz w:val="22"/>
                <w:lang w:eastAsia="en-US"/>
              </w:rPr>
              <w:t xml:space="preserve">lood </w:t>
            </w:r>
            <w:r w:rsidR="001A0CC6">
              <w:rPr>
                <w:rFonts w:eastAsiaTheme="minorHAnsi"/>
                <w:color w:val="auto"/>
                <w:sz w:val="22"/>
                <w:lang w:eastAsia="en-US"/>
              </w:rPr>
              <w:t>l</w:t>
            </w:r>
            <w:r w:rsidRPr="00DD32B2">
              <w:rPr>
                <w:rFonts w:eastAsiaTheme="minorHAnsi"/>
                <w:color w:val="auto"/>
                <w:sz w:val="22"/>
                <w:lang w:eastAsia="en-US"/>
              </w:rPr>
              <w:t>evy.  The amount of tax payable after the application of offsets and levies is known as the net tax, which then allows us to calculate the average tax rate</w:t>
            </w:r>
            <w:r w:rsidR="00A85971">
              <w:rPr>
                <w:rFonts w:eastAsiaTheme="minorHAnsi"/>
                <w:color w:val="auto"/>
                <w:sz w:val="22"/>
                <w:lang w:eastAsia="en-US"/>
              </w:rPr>
              <w:t xml:space="preserve"> net of offsets and levies</w:t>
            </w:r>
            <w:r w:rsidRPr="00DD32B2">
              <w:rPr>
                <w:rFonts w:eastAsiaTheme="minorHAnsi"/>
                <w:color w:val="auto"/>
                <w:sz w:val="22"/>
                <w:lang w:eastAsia="en-US"/>
              </w:rPr>
              <w:t>.</w:t>
            </w:r>
          </w:p>
        </w:tc>
      </w:tr>
    </w:tbl>
    <w:p w:rsidR="004D175A" w:rsidRPr="004D175A" w:rsidRDefault="008F5372" w:rsidP="004D175A">
      <w:pPr>
        <w:pStyle w:val="Heading2"/>
      </w:pPr>
      <w:bookmarkStart w:id="10" w:name="_Toc495329630"/>
      <w:r w:rsidRPr="008F5372">
        <w:lastRenderedPageBreak/>
        <w:t xml:space="preserve">Projected change in </w:t>
      </w:r>
      <w:r w:rsidR="00A85971">
        <w:t>average</w:t>
      </w:r>
      <w:r w:rsidR="00A85971" w:rsidRPr="008F5372">
        <w:t xml:space="preserve"> </w:t>
      </w:r>
      <w:r w:rsidRPr="008F5372">
        <w:t>tax rate by quintile</w:t>
      </w:r>
      <w:bookmarkEnd w:id="10"/>
    </w:p>
    <w:p w:rsidR="00002951" w:rsidRDefault="0071049E" w:rsidP="00002951">
      <w:pPr>
        <w:pStyle w:val="BodyText"/>
      </w:pPr>
      <w:r w:rsidRPr="00EB7C2C">
        <w:t xml:space="preserve">While </w:t>
      </w:r>
      <w:r w:rsidR="007836BB" w:rsidRPr="00EB7C2C">
        <w:t>Figures 1 and 2</w:t>
      </w:r>
      <w:r w:rsidR="007836BB">
        <w:t xml:space="preserve"> </w:t>
      </w:r>
      <w:r w:rsidRPr="00EB7C2C">
        <w:t xml:space="preserve">demonstrate the principle </w:t>
      </w:r>
      <w:r w:rsidR="00EB7C2C">
        <w:t>that</w:t>
      </w:r>
      <w:r w:rsidRPr="00EB7C2C">
        <w:t xml:space="preserve"> nominal income growth increas</w:t>
      </w:r>
      <w:r w:rsidR="00EB7C2C">
        <w:t>es</w:t>
      </w:r>
      <w:r w:rsidRPr="00EB7C2C">
        <w:t xml:space="preserve"> personal income tax rates, they don’t show the relative </w:t>
      </w:r>
      <w:r w:rsidR="00EB7C2C">
        <w:t>change in</w:t>
      </w:r>
      <w:r w:rsidRPr="00EB7C2C">
        <w:t xml:space="preserve"> </w:t>
      </w:r>
      <w:r w:rsidR="00EB7C2C">
        <w:t xml:space="preserve">the </w:t>
      </w:r>
      <w:r w:rsidRPr="00EB7C2C">
        <w:t xml:space="preserve">tax burden </w:t>
      </w:r>
      <w:r w:rsidR="00EB7C2C">
        <w:t>for</w:t>
      </w:r>
      <w:r w:rsidRPr="00EB7C2C">
        <w:t xml:space="preserve"> taxpayers </w:t>
      </w:r>
      <w:r w:rsidR="00EB7C2C">
        <w:t xml:space="preserve">on </w:t>
      </w:r>
      <w:r w:rsidRPr="00EB7C2C">
        <w:t xml:space="preserve">different </w:t>
      </w:r>
      <w:r w:rsidR="00EB7C2C" w:rsidRPr="00EB7C2C">
        <w:t>income</w:t>
      </w:r>
      <w:r w:rsidR="00EB7C2C">
        <w:t>s</w:t>
      </w:r>
      <w:r w:rsidRPr="00EB7C2C">
        <w:t xml:space="preserve">.  </w:t>
      </w:r>
      <w:r w:rsidR="00002951" w:rsidRPr="00EB7C2C">
        <w:t xml:space="preserve">The following analysis takes the quintiles shown in </w:t>
      </w:r>
      <w:r w:rsidR="007836BB">
        <w:t xml:space="preserve">these charts </w:t>
      </w:r>
      <w:r w:rsidR="00002951" w:rsidRPr="00EB7C2C">
        <w:t>and projects the change in average tax rate for each quintile</w:t>
      </w:r>
      <w:r w:rsidR="00EB7C2C" w:rsidRPr="00EB7C2C">
        <w:t xml:space="preserve"> </w:t>
      </w:r>
      <w:r w:rsidR="00EB7C2C" w:rsidRPr="00B46ABC">
        <w:t xml:space="preserve">over the </w:t>
      </w:r>
      <w:r w:rsidR="001C4EC7">
        <w:t>period from 2017–18</w:t>
      </w:r>
      <w:r w:rsidR="00EB7C2C" w:rsidRPr="00B46ABC">
        <w:t xml:space="preserve"> to 2021</w:t>
      </w:r>
      <w:r w:rsidR="001E3512">
        <w:t>–</w:t>
      </w:r>
      <w:r w:rsidR="00EB7C2C" w:rsidRPr="00B46ABC">
        <w:t>22</w:t>
      </w:r>
      <w:r w:rsidR="001C4EC7">
        <w:t>.</w:t>
      </w:r>
      <w:r w:rsidR="00A85971">
        <w:t xml:space="preserve"> </w:t>
      </w:r>
      <w:r w:rsidR="001C4EC7">
        <w:t xml:space="preserve"> This analysis t</w:t>
      </w:r>
      <w:r w:rsidR="00CD04E1">
        <w:t>ak</w:t>
      </w:r>
      <w:r w:rsidR="001C4EC7">
        <w:t>es</w:t>
      </w:r>
      <w:r w:rsidR="00CD04E1">
        <w:t xml:space="preserve"> into account the base income tax rates (shown in Box 1) as well as tax offsets (such as the seniors and pensioners</w:t>
      </w:r>
      <w:r w:rsidR="001A0CC6">
        <w:t>’ tax offset)</w:t>
      </w:r>
      <w:r w:rsidR="00B10FF2">
        <w:t>,</w:t>
      </w:r>
      <w:r w:rsidR="001A0CC6">
        <w:t xml:space="preserve"> the Medicare l</w:t>
      </w:r>
      <w:r w:rsidR="00CD04E1">
        <w:t>evy</w:t>
      </w:r>
      <w:r w:rsidR="00B10FF2">
        <w:t>,</w:t>
      </w:r>
      <w:r w:rsidR="001A0CC6">
        <w:t xml:space="preserve"> and </w:t>
      </w:r>
      <w:r w:rsidR="00B10FF2">
        <w:t xml:space="preserve">the Medicare levy </w:t>
      </w:r>
      <w:r w:rsidR="001A0CC6">
        <w:t>surcharge</w:t>
      </w:r>
      <w:r w:rsidR="00CD04E1">
        <w:t>.</w:t>
      </w:r>
      <w:r w:rsidR="00A85971" w:rsidRPr="00A85971">
        <w:t xml:space="preserve"> </w:t>
      </w:r>
      <w:r w:rsidR="00A85971">
        <w:t>This measure of average tax rates is therefore an effective measure of the personal income tax burden.</w:t>
      </w:r>
    </w:p>
    <w:p w:rsidR="007836BB" w:rsidRPr="00B46ABC" w:rsidRDefault="007836BB" w:rsidP="007836BB">
      <w:pPr>
        <w:pStyle w:val="BodyText"/>
      </w:pPr>
      <w:r>
        <w:t>To estimate</w:t>
      </w:r>
      <w:r w:rsidRPr="00B46ABC">
        <w:t xml:space="preserve"> changes to average tax rates over the coming years, current and future levels of tax and taxable income were modelled using a 16 per cent sample of individual tax return data.  This model uses both Government policy and parameters as at the </w:t>
      </w:r>
      <w:r w:rsidR="007D4854">
        <w:br/>
      </w:r>
      <w:r w:rsidRPr="00B46ABC">
        <w:t>2017</w:t>
      </w:r>
      <w:r w:rsidR="001E3512">
        <w:t>–</w:t>
      </w:r>
      <w:r w:rsidRPr="00B46ABC">
        <w:t xml:space="preserve">18 Budget to calculate the changes </w:t>
      </w:r>
      <w:r>
        <w:t>for taxpayers</w:t>
      </w:r>
      <w:r w:rsidRPr="00B46ABC">
        <w:t xml:space="preserve"> over time.  Further details on the modelling and methodology can be found in the Technical </w:t>
      </w:r>
      <w:r w:rsidR="00533A79">
        <w:t>a</w:t>
      </w:r>
      <w:r w:rsidR="00533A79" w:rsidRPr="00B46ABC">
        <w:t xml:space="preserve">ppendix </w:t>
      </w:r>
      <w:r w:rsidRPr="00B46ABC">
        <w:t>at the end of this report.</w:t>
      </w:r>
    </w:p>
    <w:p w:rsidR="00FD0847" w:rsidRDefault="009F31A7" w:rsidP="00192365">
      <w:pPr>
        <w:pStyle w:val="Caption1"/>
        <w:spacing w:before="120"/>
      </w:pPr>
      <w:r>
        <w:t>Figure 4</w:t>
      </w:r>
      <w:r w:rsidR="009B1F49" w:rsidRPr="009B1F49">
        <w:t xml:space="preserve">: </w:t>
      </w:r>
      <w:r w:rsidR="00AF6D25">
        <w:t xml:space="preserve">Change in </w:t>
      </w:r>
      <w:r w:rsidR="009B1F49" w:rsidRPr="009B1F49">
        <w:t xml:space="preserve">tax rates </w:t>
      </w:r>
      <w:r w:rsidR="00AF6D25">
        <w:t>from</w:t>
      </w:r>
      <w:r w:rsidR="009B1F49" w:rsidRPr="009B1F49">
        <w:t xml:space="preserve"> 2017</w:t>
      </w:r>
      <w:r w:rsidR="001E3512">
        <w:t>–</w:t>
      </w:r>
      <w:r w:rsidR="009B1F49" w:rsidRPr="009B1F49">
        <w:t xml:space="preserve">18 rates by </w:t>
      </w:r>
      <w:r w:rsidR="002A0A2A">
        <w:t xml:space="preserve">income </w:t>
      </w:r>
      <w:r w:rsidR="009B1F49" w:rsidRPr="009B1F49">
        <w:t>quintile</w:t>
      </w:r>
    </w:p>
    <w:p w:rsidR="00192365" w:rsidRDefault="00192365" w:rsidP="00192365">
      <w:pPr>
        <w:pStyle w:val="Caption1"/>
        <w:spacing w:before="120"/>
      </w:pPr>
      <w:r>
        <w:rPr>
          <w:noProof/>
          <w:lang w:eastAsia="en-AU"/>
        </w:rPr>
        <w:drawing>
          <wp:inline distT="0" distB="0" distL="0" distR="0" wp14:anchorId="57B85ECC">
            <wp:extent cx="5285740" cy="34569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5740" cy="3456940"/>
                    </a:xfrm>
                    <a:prstGeom prst="rect">
                      <a:avLst/>
                    </a:prstGeom>
                    <a:noFill/>
                  </pic:spPr>
                </pic:pic>
              </a:graphicData>
            </a:graphic>
          </wp:inline>
        </w:drawing>
      </w:r>
    </w:p>
    <w:p w:rsidR="00002951" w:rsidRDefault="007B22EA" w:rsidP="00002951">
      <w:pPr>
        <w:pStyle w:val="BodyText"/>
      </w:pPr>
      <w:r w:rsidRPr="00723410">
        <w:rPr>
          <w:color w:val="808080" w:themeColor="background1" w:themeShade="80"/>
          <w:sz w:val="18"/>
          <w:szCs w:val="18"/>
        </w:rPr>
        <w:t>Source:</w:t>
      </w:r>
      <w:r>
        <w:rPr>
          <w:color w:val="808080" w:themeColor="background1" w:themeShade="80"/>
          <w:sz w:val="18"/>
          <w:szCs w:val="18"/>
        </w:rPr>
        <w:t xml:space="preserve"> PBO analysis, </w:t>
      </w:r>
      <w:r w:rsidR="0059636F">
        <w:rPr>
          <w:color w:val="808080" w:themeColor="background1" w:themeShade="80"/>
          <w:sz w:val="18"/>
          <w:szCs w:val="18"/>
        </w:rPr>
        <w:t>ATO</w:t>
      </w:r>
      <w:r>
        <w:rPr>
          <w:color w:val="808080" w:themeColor="background1" w:themeShade="80"/>
          <w:sz w:val="18"/>
          <w:szCs w:val="18"/>
        </w:rPr>
        <w:t xml:space="preserve"> data and parameters underlying the 2017</w:t>
      </w:r>
      <w:r w:rsidR="001E3512">
        <w:rPr>
          <w:color w:val="808080" w:themeColor="background1" w:themeShade="80"/>
          <w:sz w:val="18"/>
          <w:szCs w:val="18"/>
        </w:rPr>
        <w:t>–</w:t>
      </w:r>
      <w:r>
        <w:rPr>
          <w:color w:val="808080" w:themeColor="background1" w:themeShade="80"/>
          <w:sz w:val="18"/>
          <w:szCs w:val="18"/>
        </w:rPr>
        <w:t xml:space="preserve">18 </w:t>
      </w:r>
      <w:proofErr w:type="gramStart"/>
      <w:r>
        <w:rPr>
          <w:color w:val="808080" w:themeColor="background1" w:themeShade="80"/>
          <w:sz w:val="18"/>
          <w:szCs w:val="18"/>
        </w:rPr>
        <w:t>Budget</w:t>
      </w:r>
      <w:proofErr w:type="gramEnd"/>
      <w:r>
        <w:rPr>
          <w:color w:val="808080" w:themeColor="background1" w:themeShade="80"/>
          <w:sz w:val="18"/>
          <w:szCs w:val="18"/>
        </w:rPr>
        <w:t>.</w:t>
      </w:r>
      <w:r w:rsidR="00002951" w:rsidRPr="00002951">
        <w:t xml:space="preserve"> </w:t>
      </w:r>
    </w:p>
    <w:p w:rsidR="00F639DE" w:rsidRDefault="007836BB" w:rsidP="004913B9">
      <w:pPr>
        <w:rPr>
          <w:rFonts w:cs="Times New Roman"/>
          <w:spacing w:val="-1"/>
        </w:rPr>
      </w:pPr>
      <w:r>
        <w:rPr>
          <w:rFonts w:cs="Times New Roman"/>
          <w:spacing w:val="-1"/>
        </w:rPr>
        <w:t>Figure 4 shows that t</w:t>
      </w:r>
      <w:r w:rsidRPr="00B46ABC">
        <w:rPr>
          <w:rFonts w:cs="Times New Roman"/>
          <w:spacing w:val="-1"/>
        </w:rPr>
        <w:t>he average tax rate is expected to increase the most for the third income quintile,</w:t>
      </w:r>
      <w:r w:rsidR="00933074" w:rsidRPr="00933074">
        <w:t xml:space="preserve"> </w:t>
      </w:r>
      <w:r w:rsidR="00933074">
        <w:t>w</w:t>
      </w:r>
      <w:r w:rsidR="0025362E">
        <w:t>hich has an average</w:t>
      </w:r>
      <w:r w:rsidR="00933074">
        <w:t xml:space="preserve"> taxable income </w:t>
      </w:r>
      <w:r w:rsidR="0025362E">
        <w:t xml:space="preserve">of </w:t>
      </w:r>
      <w:r w:rsidR="00933074">
        <w:rPr>
          <w:lang w:eastAsia="en-AU"/>
        </w:rPr>
        <w:t>$</w:t>
      </w:r>
      <w:r w:rsidR="0008394D">
        <w:rPr>
          <w:lang w:eastAsia="en-AU"/>
        </w:rPr>
        <w:t>46</w:t>
      </w:r>
      <w:r w:rsidR="00933074" w:rsidRPr="00191FC1">
        <w:rPr>
          <w:lang w:eastAsia="en-AU"/>
        </w:rPr>
        <w:t>,000</w:t>
      </w:r>
      <w:r w:rsidR="00933074">
        <w:rPr>
          <w:lang w:eastAsia="en-AU"/>
        </w:rPr>
        <w:t xml:space="preserve"> </w:t>
      </w:r>
      <w:r w:rsidR="00933074">
        <w:t>in 2017</w:t>
      </w:r>
      <w:r w:rsidR="001E3512">
        <w:t>–</w:t>
      </w:r>
      <w:r w:rsidR="00933074">
        <w:t>18</w:t>
      </w:r>
      <w:r w:rsidR="00F639DE">
        <w:t>.  The average tax rate for this group is projected to increase by 3.2 percentage points by 2021</w:t>
      </w:r>
      <w:r w:rsidR="001E3512">
        <w:t>–</w:t>
      </w:r>
      <w:r w:rsidR="00F639DE">
        <w:t>22 as a higher proportion of their income is taxed at the 32.5 per cent rate.</w:t>
      </w:r>
      <w:r w:rsidRPr="00B46ABC">
        <w:rPr>
          <w:rFonts w:cs="Times New Roman"/>
          <w:spacing w:val="-1"/>
        </w:rPr>
        <w:t xml:space="preserve"> </w:t>
      </w:r>
      <w:r w:rsidR="00F639DE">
        <w:rPr>
          <w:rFonts w:cs="Times New Roman"/>
          <w:spacing w:val="-1"/>
        </w:rPr>
        <w:t xml:space="preserve"> </w:t>
      </w:r>
    </w:p>
    <w:p w:rsidR="007836BB" w:rsidRDefault="00F639DE" w:rsidP="00F639DE">
      <w:pPr>
        <w:pStyle w:val="BodyText"/>
      </w:pPr>
      <w:r>
        <w:t>T</w:t>
      </w:r>
      <w:r w:rsidR="007836BB" w:rsidRPr="00B46ABC">
        <w:t>he second, fourth, and fifth quintiles</w:t>
      </w:r>
      <w:r>
        <w:t xml:space="preserve"> are projected to experience increases in the average tax rate of between 1.9 and 2.5 percentage points</w:t>
      </w:r>
      <w:r w:rsidR="00551060">
        <w:t xml:space="preserve"> by 2021–22</w:t>
      </w:r>
      <w:r w:rsidR="007836BB" w:rsidRPr="00B46ABC">
        <w:t xml:space="preserve">.  The first income quintile is projected to experience very little change </w:t>
      </w:r>
      <w:r>
        <w:t>(an increase of 0.2 </w:t>
      </w:r>
      <w:r w:rsidR="002020D5">
        <w:t>percentage points</w:t>
      </w:r>
      <w:r>
        <w:t xml:space="preserve">) </w:t>
      </w:r>
      <w:r w:rsidR="007836BB" w:rsidRPr="00B46ABC">
        <w:t xml:space="preserve">to their average tax rate as most of their income remains below the </w:t>
      </w:r>
      <w:r w:rsidR="007836BB">
        <w:t xml:space="preserve">effective </w:t>
      </w:r>
      <w:r w:rsidR="007836BB" w:rsidRPr="00B46ABC">
        <w:t>tax</w:t>
      </w:r>
      <w:r w:rsidR="007836BB" w:rsidRPr="00B46ABC">
        <w:noBreakHyphen/>
        <w:t>free thres</w:t>
      </w:r>
      <w:r w:rsidR="007836BB">
        <w:t xml:space="preserve">hold, including the low </w:t>
      </w:r>
      <w:r w:rsidR="007836BB" w:rsidRPr="00B46ABC">
        <w:t>income tax offset.</w:t>
      </w:r>
      <w:r w:rsidR="007836BB" w:rsidRPr="0071049E">
        <w:rPr>
          <w:highlight w:val="lightGray"/>
        </w:rPr>
        <w:t xml:space="preserve"> </w:t>
      </w:r>
    </w:p>
    <w:p w:rsidR="00A840E2" w:rsidRPr="00F44A95" w:rsidRDefault="005618E9" w:rsidP="00A840E2">
      <w:pPr>
        <w:pStyle w:val="Heading2"/>
      </w:pPr>
      <w:bookmarkStart w:id="11" w:name="_Toc495329631"/>
      <w:r>
        <w:lastRenderedPageBreak/>
        <w:t>What is causing</w:t>
      </w:r>
      <w:r w:rsidR="00A840E2" w:rsidRPr="00F44A95">
        <w:t xml:space="preserve"> the change in </w:t>
      </w:r>
      <w:r>
        <w:t>average</w:t>
      </w:r>
      <w:r w:rsidRPr="00F44A95">
        <w:t xml:space="preserve"> </w:t>
      </w:r>
      <w:r w:rsidR="00A840E2" w:rsidRPr="00F44A95">
        <w:t>tax rate</w:t>
      </w:r>
      <w:r>
        <w:t>s?</w:t>
      </w:r>
      <w:bookmarkEnd w:id="11"/>
    </w:p>
    <w:p w:rsidR="009600D0" w:rsidRPr="009920A1" w:rsidRDefault="00532D7F" w:rsidP="009600D0">
      <w:pPr>
        <w:pStyle w:val="BodyText"/>
      </w:pPr>
      <w:r w:rsidRPr="009920A1">
        <w:t xml:space="preserve">The growth </w:t>
      </w:r>
      <w:r w:rsidR="00577240" w:rsidRPr="009920A1">
        <w:t xml:space="preserve">in the average tax rate </w:t>
      </w:r>
      <w:r w:rsidRPr="009920A1">
        <w:t xml:space="preserve">that is projected to occur over the </w:t>
      </w:r>
      <w:r w:rsidR="002A0A2A">
        <w:t>period from 2017</w:t>
      </w:r>
      <w:r w:rsidR="001E3512">
        <w:t>–</w:t>
      </w:r>
      <w:r w:rsidR="002A0A2A">
        <w:t>18 to 2021</w:t>
      </w:r>
      <w:r w:rsidR="001E3512">
        <w:t>–</w:t>
      </w:r>
      <w:r w:rsidR="002A0A2A">
        <w:t>22</w:t>
      </w:r>
      <w:r w:rsidRPr="009920A1">
        <w:t xml:space="preserve"> is the cumulative effect of several drivers:</w:t>
      </w:r>
    </w:p>
    <w:p w:rsidR="00532D7F" w:rsidRPr="004913B9" w:rsidRDefault="009248B0" w:rsidP="004913B9">
      <w:pPr>
        <w:pStyle w:val="ListBullet"/>
      </w:pPr>
      <w:r>
        <w:t>t</w:t>
      </w:r>
      <w:r w:rsidR="00532D7F" w:rsidRPr="004913B9">
        <w:t xml:space="preserve">he impact of </w:t>
      </w:r>
      <w:r w:rsidR="005A487F" w:rsidRPr="004913B9">
        <w:t>nominal income growth</w:t>
      </w:r>
    </w:p>
    <w:p w:rsidR="00002BBC" w:rsidRPr="004913B9" w:rsidRDefault="009248B0" w:rsidP="004913B9">
      <w:pPr>
        <w:pStyle w:val="ListBullet"/>
      </w:pPr>
      <w:r w:rsidRPr="004913B9">
        <w:t>p</w:t>
      </w:r>
      <w:r w:rsidR="00002BBC" w:rsidRPr="004913B9">
        <w:t>olicy changes</w:t>
      </w:r>
    </w:p>
    <w:p w:rsidR="00002BBC" w:rsidRPr="004913B9" w:rsidRDefault="009248B0" w:rsidP="004913B9">
      <w:pPr>
        <w:pStyle w:val="ListBullet"/>
      </w:pPr>
      <w:proofErr w:type="gramStart"/>
      <w:r w:rsidRPr="004913B9">
        <w:t>d</w:t>
      </w:r>
      <w:r w:rsidR="00002BBC" w:rsidRPr="004913B9">
        <w:t>emographic</w:t>
      </w:r>
      <w:proofErr w:type="gramEnd"/>
      <w:r w:rsidR="00002BBC" w:rsidRPr="004913B9">
        <w:t xml:space="preserve"> changes.</w:t>
      </w:r>
    </w:p>
    <w:p w:rsidR="00B17270" w:rsidRDefault="00B17270" w:rsidP="00B17270">
      <w:pPr>
        <w:pStyle w:val="BodyText"/>
      </w:pPr>
      <w:r>
        <w:t xml:space="preserve">How each of these drivers affects the average net tax rate </w:t>
      </w:r>
      <w:r w:rsidR="002E4A1E">
        <w:t xml:space="preserve">across the population </w:t>
      </w:r>
      <w:r>
        <w:t xml:space="preserve">is described and modelled </w:t>
      </w:r>
      <w:r w:rsidR="009248B0">
        <w:t>in this section</w:t>
      </w:r>
      <w:r>
        <w:t xml:space="preserve">.  </w:t>
      </w:r>
      <w:r w:rsidR="009139B3">
        <w:t>All</w:t>
      </w:r>
      <w:r w:rsidR="00586D67">
        <w:t xml:space="preserve"> estimates use the parameters and population projections underlying the 2017–18 </w:t>
      </w:r>
      <w:proofErr w:type="gramStart"/>
      <w:r w:rsidR="00586D67">
        <w:t>Budget</w:t>
      </w:r>
      <w:proofErr w:type="gramEnd"/>
      <w:r w:rsidR="00586D67">
        <w:t>.</w:t>
      </w:r>
    </w:p>
    <w:p w:rsidR="00B17270" w:rsidRDefault="007836BB" w:rsidP="00B17270">
      <w:pPr>
        <w:pStyle w:val="BodyText"/>
      </w:pPr>
      <w:r>
        <w:t>A</w:t>
      </w:r>
      <w:r w:rsidR="00B17270">
        <w:t>s nominal taxable incomes increase</w:t>
      </w:r>
      <w:r>
        <w:t xml:space="preserve"> in a progressive tax system</w:t>
      </w:r>
      <w:r w:rsidR="00B17270">
        <w:t>, average tax rates also increase</w:t>
      </w:r>
      <w:r>
        <w:t>, as</w:t>
      </w:r>
      <w:r w:rsidR="00B53293">
        <w:t xml:space="preserve"> was</w:t>
      </w:r>
      <w:r>
        <w:t xml:space="preserve"> shown in Figure 3</w:t>
      </w:r>
      <w:r w:rsidR="00B17270">
        <w:t xml:space="preserve">.  </w:t>
      </w:r>
      <w:r w:rsidR="00B53293">
        <w:t>G</w:t>
      </w:r>
      <w:r w:rsidR="00B17270">
        <w:t>rowth in nominal income is itself a combination of income growth that offsets inflation and real income growth.  The impact of the inflation component of</w:t>
      </w:r>
      <w:r w:rsidR="009248B0">
        <w:t xml:space="preserve"> rising incomes on</w:t>
      </w:r>
      <w:r w:rsidR="00B17270">
        <w:t xml:space="preserve"> the </w:t>
      </w:r>
      <w:r w:rsidR="009248B0">
        <w:t>average tax rate</w:t>
      </w:r>
      <w:r w:rsidR="00B17270">
        <w:t xml:space="preserve"> </w:t>
      </w:r>
      <w:r w:rsidR="005618E9">
        <w:t xml:space="preserve">is </w:t>
      </w:r>
      <w:r w:rsidR="00B17270">
        <w:t xml:space="preserve">modelled by uniformly growing incomes by the projected </w:t>
      </w:r>
      <w:r w:rsidR="00A74A27">
        <w:t>rate</w:t>
      </w:r>
      <w:r w:rsidR="00B17270">
        <w:t xml:space="preserve"> of inflation and calculating the resulting additional tax liability for the projected levels of taxable income.  </w:t>
      </w:r>
    </w:p>
    <w:p w:rsidR="00383FDD" w:rsidRDefault="00B17270" w:rsidP="00B17270">
      <w:pPr>
        <w:pStyle w:val="BodyText"/>
      </w:pPr>
      <w:r w:rsidRPr="00572832">
        <w:t xml:space="preserve">The second component of nominal income growth </w:t>
      </w:r>
      <w:r>
        <w:t>is the projected increase in real income</w:t>
      </w:r>
      <w:r w:rsidR="00BA08B3">
        <w:t>s</w:t>
      </w:r>
      <w:r>
        <w:t xml:space="preserve">.  </w:t>
      </w:r>
      <w:r w:rsidR="00BA08B3">
        <w:t>Growth in real salaries and w</w:t>
      </w:r>
      <w:r w:rsidR="00586D67">
        <w:t xml:space="preserve">ages </w:t>
      </w:r>
      <w:r w:rsidR="00BA08B3">
        <w:t>(the largest component of total personal income)</w:t>
      </w:r>
      <w:r w:rsidR="00586D67">
        <w:t xml:space="preserve"> is applied differentially across taxpayers based on historical remuneration growth by gender and level of remuneration. </w:t>
      </w:r>
      <w:r w:rsidR="00383FDD">
        <w:t xml:space="preserve">The </w:t>
      </w:r>
      <w:r w:rsidR="00F65E78">
        <w:t xml:space="preserve">contribution of real income growth to the change in average net tax rate </w:t>
      </w:r>
      <w:r w:rsidR="005618E9">
        <w:t xml:space="preserve">is </w:t>
      </w:r>
      <w:r w:rsidR="00F65E78">
        <w:t xml:space="preserve">estimated by calculating the </w:t>
      </w:r>
      <w:r w:rsidR="00383FDD">
        <w:t xml:space="preserve">additional tax liability given the </w:t>
      </w:r>
      <w:r w:rsidR="00F65E78">
        <w:t>projected growth in real incomes.</w:t>
      </w:r>
    </w:p>
    <w:p w:rsidR="00F65E78" w:rsidRDefault="00F65E78" w:rsidP="00D75C90">
      <w:pPr>
        <w:pStyle w:val="BodyText"/>
      </w:pPr>
      <w:r>
        <w:t>Policy changes that are due for implementation between now and 2021</w:t>
      </w:r>
      <w:r w:rsidR="001E3512">
        <w:t>–</w:t>
      </w:r>
      <w:r>
        <w:t xml:space="preserve">22 </w:t>
      </w:r>
      <w:r w:rsidR="005618E9">
        <w:t xml:space="preserve">are </w:t>
      </w:r>
      <w:r>
        <w:t>included for each individual in the analysis</w:t>
      </w:r>
      <w:r w:rsidR="00B53293">
        <w:t xml:space="preserve"> to evaluate the</w:t>
      </w:r>
      <w:r w:rsidR="00EA20D0">
        <w:t>ir</w:t>
      </w:r>
      <w:r w:rsidR="00B53293">
        <w:t xml:space="preserve"> impact on average tax rates</w:t>
      </w:r>
      <w:r>
        <w:t xml:space="preserve">.  The most material change to policy is the </w:t>
      </w:r>
      <w:r w:rsidRPr="00DF4F9B">
        <w:t xml:space="preserve">increase in the </w:t>
      </w:r>
      <w:r>
        <w:t>Medicare l</w:t>
      </w:r>
      <w:r w:rsidRPr="00DF4F9B">
        <w:t>evy that is due to be implemented in 2019</w:t>
      </w:r>
      <w:r w:rsidR="001E3512">
        <w:t>–</w:t>
      </w:r>
      <w:r w:rsidRPr="00DF4F9B">
        <w:t>20.</w:t>
      </w:r>
    </w:p>
    <w:p w:rsidR="00DB45DE" w:rsidRDefault="004D376D" w:rsidP="00D75C90">
      <w:pPr>
        <w:pStyle w:val="BodyText"/>
      </w:pPr>
      <w:r>
        <w:t>T</w:t>
      </w:r>
      <w:r w:rsidR="00BA08B3">
        <w:t>he changing age composition of the population (demographics</w:t>
      </w:r>
      <w:r>
        <w:t>) is also projected to have a small impact on the average tax rate</w:t>
      </w:r>
      <w:r w:rsidR="00BA08B3">
        <w:t xml:space="preserve">.  </w:t>
      </w:r>
      <w:r w:rsidR="0022234D">
        <w:t>Average i</w:t>
      </w:r>
      <w:r w:rsidR="00246AC0">
        <w:t xml:space="preserve">ncomes </w:t>
      </w:r>
      <w:r>
        <w:t>vary among age cohorts</w:t>
      </w:r>
      <w:r w:rsidR="00246AC0">
        <w:t xml:space="preserve">, and since </w:t>
      </w:r>
      <w:r w:rsidR="0022234D">
        <w:t xml:space="preserve">in a progressive tax system </w:t>
      </w:r>
      <w:r w:rsidR="00DB45DE">
        <w:t>tax rate</w:t>
      </w:r>
      <w:r w:rsidR="0022234D">
        <w:t>s</w:t>
      </w:r>
      <w:r w:rsidR="00DB45DE">
        <w:t xml:space="preserve"> </w:t>
      </w:r>
      <w:r w:rsidR="0022234D">
        <w:t>depend on</w:t>
      </w:r>
      <w:r w:rsidR="00DB45DE">
        <w:t xml:space="preserve"> incomes, </w:t>
      </w:r>
      <w:r>
        <w:t xml:space="preserve">a changing age composition </w:t>
      </w:r>
      <w:r w:rsidR="0022234D">
        <w:t xml:space="preserve">indirectly </w:t>
      </w:r>
      <w:r>
        <w:t>affects</w:t>
      </w:r>
      <w:r w:rsidR="00AA3203">
        <w:t xml:space="preserve"> </w:t>
      </w:r>
      <w:r w:rsidR="00EA20D0">
        <w:t xml:space="preserve">the </w:t>
      </w:r>
      <w:r w:rsidR="00AA3203">
        <w:t>average tax rate</w:t>
      </w:r>
      <w:r w:rsidR="00246AC0">
        <w:t xml:space="preserve">.  </w:t>
      </w:r>
      <w:r w:rsidR="0022234D">
        <w:t xml:space="preserve">Net tax rates also differ depending on age due to the availability of an additional tax offset to seniors.  </w:t>
      </w:r>
    </w:p>
    <w:p w:rsidR="002E4A1E" w:rsidRPr="00723410" w:rsidRDefault="002E4A1E" w:rsidP="002E4A1E">
      <w:pPr>
        <w:pStyle w:val="ListParagraph"/>
        <w:ind w:left="0"/>
        <w:rPr>
          <w:color w:val="808080" w:themeColor="background1" w:themeShade="80"/>
          <w:sz w:val="18"/>
          <w:szCs w:val="18"/>
        </w:rPr>
      </w:pPr>
      <w:r>
        <w:t xml:space="preserve">The impact that these drivers have on the average tax rate across the entire taxpaying population is shown in Figure </w:t>
      </w:r>
      <w:r w:rsidR="00EA20D0">
        <w:t>5</w:t>
      </w:r>
      <w:r w:rsidRPr="009920A1">
        <w:t xml:space="preserve">. </w:t>
      </w:r>
    </w:p>
    <w:p w:rsidR="002E4A1E" w:rsidRDefault="002E4A1E" w:rsidP="008939DA">
      <w:pPr>
        <w:pStyle w:val="Caption1"/>
      </w:pPr>
      <w:r>
        <w:lastRenderedPageBreak/>
        <w:t xml:space="preserve">Figure </w:t>
      </w:r>
      <w:r w:rsidR="00EA20D0">
        <w:t>5</w:t>
      </w:r>
      <w:r w:rsidRPr="009920A1">
        <w:t xml:space="preserve">: Drivers of the projected change in </w:t>
      </w:r>
      <w:r w:rsidR="00BA097F">
        <w:t xml:space="preserve">average </w:t>
      </w:r>
      <w:r w:rsidRPr="009920A1">
        <w:t>tax rate</w:t>
      </w:r>
      <w:r>
        <w:t>, cumulative effect from 2017</w:t>
      </w:r>
      <w:r w:rsidR="001E3512">
        <w:t>–</w:t>
      </w:r>
      <w:r>
        <w:t>18</w:t>
      </w:r>
    </w:p>
    <w:p w:rsidR="002E4A1E" w:rsidRDefault="00192365" w:rsidP="00192365">
      <w:pPr>
        <w:pStyle w:val="BodyText"/>
        <w:rPr>
          <w:color w:val="808080" w:themeColor="background1" w:themeShade="80"/>
          <w:sz w:val="18"/>
          <w:szCs w:val="18"/>
        </w:rPr>
      </w:pPr>
      <w:r>
        <w:rPr>
          <w:noProof/>
          <w:lang w:eastAsia="en-AU"/>
        </w:rPr>
        <w:drawing>
          <wp:inline distT="0" distB="0" distL="0" distR="0" wp14:anchorId="3A297393" wp14:editId="6343A52B">
            <wp:extent cx="5279390" cy="3286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9390" cy="3286125"/>
                    </a:xfrm>
                    <a:prstGeom prst="rect">
                      <a:avLst/>
                    </a:prstGeom>
                    <a:noFill/>
                  </pic:spPr>
                </pic:pic>
              </a:graphicData>
            </a:graphic>
          </wp:inline>
        </w:drawing>
      </w:r>
      <w:r w:rsidR="002E4A1E" w:rsidRPr="00723410">
        <w:rPr>
          <w:color w:val="808080" w:themeColor="background1" w:themeShade="80"/>
          <w:sz w:val="18"/>
          <w:szCs w:val="18"/>
        </w:rPr>
        <w:t>Source:</w:t>
      </w:r>
      <w:r w:rsidR="002E4A1E">
        <w:rPr>
          <w:color w:val="808080" w:themeColor="background1" w:themeShade="80"/>
          <w:sz w:val="18"/>
          <w:szCs w:val="18"/>
        </w:rPr>
        <w:t xml:space="preserve"> PBO analysis, </w:t>
      </w:r>
      <w:r w:rsidR="0059636F">
        <w:rPr>
          <w:color w:val="808080" w:themeColor="background1" w:themeShade="80"/>
          <w:sz w:val="18"/>
          <w:szCs w:val="18"/>
        </w:rPr>
        <w:t>ATO</w:t>
      </w:r>
      <w:r w:rsidR="002E4A1E">
        <w:rPr>
          <w:color w:val="808080" w:themeColor="background1" w:themeShade="80"/>
          <w:sz w:val="18"/>
          <w:szCs w:val="18"/>
        </w:rPr>
        <w:t xml:space="preserve"> data and parameters underlying the 2017</w:t>
      </w:r>
      <w:r w:rsidR="001E3512">
        <w:rPr>
          <w:color w:val="808080" w:themeColor="background1" w:themeShade="80"/>
          <w:sz w:val="18"/>
          <w:szCs w:val="18"/>
        </w:rPr>
        <w:t>–</w:t>
      </w:r>
      <w:r w:rsidR="002E4A1E">
        <w:rPr>
          <w:color w:val="808080" w:themeColor="background1" w:themeShade="80"/>
          <w:sz w:val="18"/>
          <w:szCs w:val="18"/>
        </w:rPr>
        <w:t xml:space="preserve">18 </w:t>
      </w:r>
      <w:proofErr w:type="gramStart"/>
      <w:r w:rsidR="002E4A1E">
        <w:rPr>
          <w:color w:val="808080" w:themeColor="background1" w:themeShade="80"/>
          <w:sz w:val="18"/>
          <w:szCs w:val="18"/>
        </w:rPr>
        <w:t>Budget</w:t>
      </w:r>
      <w:proofErr w:type="gramEnd"/>
      <w:r w:rsidR="002E4A1E">
        <w:rPr>
          <w:color w:val="808080" w:themeColor="background1" w:themeShade="80"/>
          <w:sz w:val="18"/>
          <w:szCs w:val="18"/>
        </w:rPr>
        <w:t>.</w:t>
      </w:r>
    </w:p>
    <w:p w:rsidR="00BC0323" w:rsidRDefault="000B301F" w:rsidP="008939DA">
      <w:pPr>
        <w:pStyle w:val="BodyText17ptAbove"/>
      </w:pPr>
      <w:r>
        <w:t>T</w:t>
      </w:r>
      <w:r w:rsidR="00BC0323">
        <w:t>he projected growth in nominal incomes is t</w:t>
      </w:r>
      <w:r w:rsidR="00BC0323" w:rsidRPr="00381203">
        <w:t xml:space="preserve">he largest driver of the change in the average tax rate.  </w:t>
      </w:r>
      <w:r w:rsidR="00BC0323">
        <w:t>As mentioned above, this comprises both an inflation component and a real income component, both of which contribute to bracket creep.</w:t>
      </w:r>
    </w:p>
    <w:p w:rsidR="00C81572" w:rsidRDefault="0043139B" w:rsidP="0043139B">
      <w:pPr>
        <w:pStyle w:val="BodyText"/>
      </w:pPr>
      <w:r>
        <w:t>Figure 5 implies that</w:t>
      </w:r>
      <w:r w:rsidRPr="00381203">
        <w:t xml:space="preserve"> if incomes were to only grow enough to compensate for inflation over the next four years and there were no other changes to the tax system, the average tax rate would increase by 1 percentage point </w:t>
      </w:r>
      <w:r>
        <w:t xml:space="preserve">across the </w:t>
      </w:r>
      <w:r w:rsidR="006756CA">
        <w:t xml:space="preserve">taxpaying </w:t>
      </w:r>
      <w:r>
        <w:t>population</w:t>
      </w:r>
      <w:r w:rsidRPr="00732C60">
        <w:t>.</w:t>
      </w:r>
      <w:r>
        <w:t xml:space="preserve">  </w:t>
      </w:r>
      <w:r w:rsidR="00A90C99">
        <w:t xml:space="preserve">After the effect of nominal income increases, the main contributor to growth in the average net tax rate is policy change.  </w:t>
      </w:r>
    </w:p>
    <w:p w:rsidR="0043139B" w:rsidRDefault="00A10D5B" w:rsidP="0043139B">
      <w:pPr>
        <w:pStyle w:val="BodyText"/>
      </w:pPr>
      <w:r w:rsidRPr="00090C53">
        <w:t xml:space="preserve">Demographic changes </w:t>
      </w:r>
      <w:r>
        <w:t xml:space="preserve">also </w:t>
      </w:r>
      <w:r w:rsidRPr="00090C53">
        <w:t xml:space="preserve">have a very small </w:t>
      </w:r>
      <w:r>
        <w:t xml:space="preserve">negative </w:t>
      </w:r>
      <w:r w:rsidRPr="00090C53">
        <w:t xml:space="preserve">impact </w:t>
      </w:r>
      <w:r>
        <w:t>on the average tax rate between 2017–18 and 2021–22</w:t>
      </w:r>
      <w:r w:rsidRPr="00090C53">
        <w:t xml:space="preserve">.  </w:t>
      </w:r>
      <w:r>
        <w:t>There are two effects driving the demographic impact among taxpayers.</w:t>
      </w:r>
    </w:p>
    <w:p w:rsidR="00A10D5B" w:rsidRDefault="00A10D5B" w:rsidP="00E447AF">
      <w:pPr>
        <w:pStyle w:val="ListBullet"/>
      </w:pPr>
      <w:r>
        <w:t xml:space="preserve">Net migration leads to a slight increase in the proportion of young working age individuals in the taxpaying population.  </w:t>
      </w:r>
    </w:p>
    <w:p w:rsidR="00A10D5B" w:rsidRDefault="00A10D5B" w:rsidP="00E447AF">
      <w:pPr>
        <w:pStyle w:val="ListBullet"/>
      </w:pPr>
      <w:r>
        <w:t>The aging population leads to a slight increase in the proportion of seniors in the taxpaying population.</w:t>
      </w:r>
    </w:p>
    <w:p w:rsidR="00A10D5B" w:rsidRDefault="00C81572">
      <w:pPr>
        <w:pStyle w:val="BodyText"/>
      </w:pPr>
      <w:r>
        <w:t xml:space="preserve">Both of these effects lead to a slight decrease </w:t>
      </w:r>
      <w:r w:rsidR="00CB1AB9">
        <w:t xml:space="preserve">in </w:t>
      </w:r>
      <w:r>
        <w:t xml:space="preserve">the average net tax rate between 2017–18 and 2021–22.  Senior Australians have a lower average tax rate as they </w:t>
      </w:r>
      <w:r w:rsidR="00A61C5D">
        <w:t>are</w:t>
      </w:r>
      <w:r>
        <w:t xml:space="preserve"> eligible for the </w:t>
      </w:r>
      <w:proofErr w:type="gramStart"/>
      <w:r>
        <w:t>Seniors</w:t>
      </w:r>
      <w:proofErr w:type="gramEnd"/>
      <w:r>
        <w:t xml:space="preserve"> and pensioners’ tax offset.  Among the working age population, incomes tend to rise </w:t>
      </w:r>
      <w:r w:rsidR="00A61C5D">
        <w:t>the longer individuals have been in the workforce,</w:t>
      </w:r>
      <w:r>
        <w:t xml:space="preserve"> leading to lower average tax rates</w:t>
      </w:r>
      <w:r w:rsidR="00A61C5D">
        <w:t xml:space="preserve"> among younger workers and higher average tax rates among older workers</w:t>
      </w:r>
      <w:r>
        <w:t xml:space="preserve">.  </w:t>
      </w:r>
      <w:r w:rsidR="00A61C5D">
        <w:t xml:space="preserve">A higher proportion of younger workers through net migration then </w:t>
      </w:r>
      <w:proofErr w:type="gramStart"/>
      <w:r w:rsidR="00A61C5D">
        <w:t>tends</w:t>
      </w:r>
      <w:proofErr w:type="gramEnd"/>
      <w:r w:rsidR="00A61C5D">
        <w:t xml:space="preserve"> to lower the average tax rate.</w:t>
      </w:r>
    </w:p>
    <w:p w:rsidR="000A1BEB" w:rsidRDefault="00A61C5D" w:rsidP="000A1BEB">
      <w:pPr>
        <w:pStyle w:val="BodyText"/>
      </w:pPr>
      <w:r>
        <w:t>Overall, the average tax rate is</w:t>
      </w:r>
      <w:r w:rsidRPr="00AA6304">
        <w:t xml:space="preserve"> </w:t>
      </w:r>
      <w:r>
        <w:t xml:space="preserve">projected to increase by 2.3 percentage points </w:t>
      </w:r>
      <w:proofErr w:type="gramStart"/>
      <w:r>
        <w:t xml:space="preserve">between </w:t>
      </w:r>
      <w:r w:rsidR="008A6404">
        <w:t xml:space="preserve"> </w:t>
      </w:r>
      <w:r>
        <w:t>2017</w:t>
      </w:r>
      <w:proofErr w:type="gramEnd"/>
      <w:r>
        <w:t xml:space="preserve">–18 and 2021–22.  </w:t>
      </w:r>
      <w:r w:rsidR="000A1BEB">
        <w:t>However, as was shown in Figure 4, t</w:t>
      </w:r>
      <w:r w:rsidR="000A1BEB" w:rsidRPr="009920A1">
        <w:t xml:space="preserve">he projected change in the </w:t>
      </w:r>
      <w:r w:rsidR="000A1BEB">
        <w:lastRenderedPageBreak/>
        <w:t xml:space="preserve">average </w:t>
      </w:r>
      <w:r w:rsidR="000A1BEB" w:rsidRPr="009920A1">
        <w:t xml:space="preserve">tax rate is not consistent across the </w:t>
      </w:r>
      <w:r w:rsidR="000A1BEB">
        <w:t xml:space="preserve">taxpaying </w:t>
      </w:r>
      <w:r w:rsidR="000A1BEB" w:rsidRPr="009920A1">
        <w:t xml:space="preserve">population, reflecting the fact that the underlying drivers have a different impact depending on where </w:t>
      </w:r>
      <w:r w:rsidR="000A1BEB">
        <w:t>a</w:t>
      </w:r>
      <w:r w:rsidR="000A1BEB" w:rsidRPr="009920A1">
        <w:t xml:space="preserve"> taxpayer lies on the </w:t>
      </w:r>
      <w:r w:rsidR="0018788C">
        <w:t xml:space="preserve">taxable </w:t>
      </w:r>
      <w:r w:rsidR="000A1BEB" w:rsidRPr="009920A1">
        <w:t>income distribution.</w:t>
      </w:r>
      <w:r w:rsidR="000A1BEB" w:rsidRPr="00B17270">
        <w:t xml:space="preserve"> </w:t>
      </w:r>
      <w:r w:rsidR="000A1BEB">
        <w:t xml:space="preserve"> </w:t>
      </w:r>
    </w:p>
    <w:p w:rsidR="0043139B" w:rsidRPr="009920A1" w:rsidRDefault="0043139B" w:rsidP="0043139B">
      <w:pPr>
        <w:pStyle w:val="BodyText"/>
      </w:pPr>
      <w:r>
        <w:t xml:space="preserve">Figure </w:t>
      </w:r>
      <w:r w:rsidR="000A1BEB">
        <w:t>6</w:t>
      </w:r>
      <w:r w:rsidRPr="002A5820">
        <w:t xml:space="preserve"> shows the impact of </w:t>
      </w:r>
      <w:r>
        <w:t xml:space="preserve">each of the </w:t>
      </w:r>
      <w:r w:rsidRPr="002A5820">
        <w:t xml:space="preserve">different </w:t>
      </w:r>
      <w:r>
        <w:t xml:space="preserve">factors on the increase in average tax rate </w:t>
      </w:r>
      <w:r w:rsidR="00EA20D0">
        <w:t>for each income quintile</w:t>
      </w:r>
      <w:r>
        <w:t>.</w:t>
      </w:r>
    </w:p>
    <w:p w:rsidR="0043139B" w:rsidRPr="009B1F49" w:rsidRDefault="0043139B" w:rsidP="008939DA">
      <w:pPr>
        <w:pStyle w:val="Caption1"/>
      </w:pPr>
      <w:r>
        <w:t xml:space="preserve">Figure </w:t>
      </w:r>
      <w:r w:rsidR="000A1BEB">
        <w:t>6</w:t>
      </w:r>
      <w:r w:rsidRPr="009B1F49">
        <w:t xml:space="preserve">: </w:t>
      </w:r>
      <w:r>
        <w:t>Drivers of projected change in tax rate</w:t>
      </w:r>
      <w:r w:rsidR="00BA097F">
        <w:t>s</w:t>
      </w:r>
      <w:r>
        <w:t xml:space="preserve"> between 2017</w:t>
      </w:r>
      <w:r w:rsidR="001E3512">
        <w:t>–</w:t>
      </w:r>
      <w:r>
        <w:t>18 and 2021</w:t>
      </w:r>
      <w:r w:rsidR="001E3512">
        <w:t>–</w:t>
      </w:r>
      <w:r>
        <w:t>22 by quintile</w:t>
      </w:r>
    </w:p>
    <w:p w:rsidR="0043139B" w:rsidRDefault="00192365" w:rsidP="004913B9">
      <w:pPr>
        <w:pStyle w:val="BodyText"/>
      </w:pPr>
      <w:r>
        <w:rPr>
          <w:noProof/>
          <w:lang w:eastAsia="en-AU"/>
        </w:rPr>
        <w:drawing>
          <wp:inline distT="0" distB="0" distL="0" distR="0" wp14:anchorId="4CEDAB71">
            <wp:extent cx="5279390" cy="34874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9390" cy="3487420"/>
                    </a:xfrm>
                    <a:prstGeom prst="rect">
                      <a:avLst/>
                    </a:prstGeom>
                    <a:noFill/>
                  </pic:spPr>
                </pic:pic>
              </a:graphicData>
            </a:graphic>
          </wp:inline>
        </w:drawing>
      </w:r>
    </w:p>
    <w:p w:rsidR="0043139B" w:rsidRPr="00723410" w:rsidRDefault="0043139B" w:rsidP="0043139B">
      <w:pPr>
        <w:pStyle w:val="ListParagraph"/>
        <w:ind w:left="0"/>
        <w:rPr>
          <w:color w:val="808080" w:themeColor="background1" w:themeShade="80"/>
          <w:sz w:val="18"/>
          <w:szCs w:val="18"/>
        </w:rPr>
      </w:pPr>
      <w:r w:rsidRPr="00723410">
        <w:rPr>
          <w:color w:val="808080" w:themeColor="background1" w:themeShade="80"/>
          <w:sz w:val="18"/>
          <w:szCs w:val="18"/>
        </w:rPr>
        <w:t>Source:</w:t>
      </w:r>
      <w:r>
        <w:rPr>
          <w:color w:val="808080" w:themeColor="background1" w:themeShade="80"/>
          <w:sz w:val="18"/>
          <w:szCs w:val="18"/>
        </w:rPr>
        <w:t xml:space="preserve"> PBO analysis, </w:t>
      </w:r>
      <w:r w:rsidR="0059636F">
        <w:rPr>
          <w:color w:val="808080" w:themeColor="background1" w:themeShade="80"/>
          <w:sz w:val="18"/>
          <w:szCs w:val="18"/>
        </w:rPr>
        <w:t>ATO</w:t>
      </w:r>
      <w:r>
        <w:rPr>
          <w:color w:val="808080" w:themeColor="background1" w:themeShade="80"/>
          <w:sz w:val="18"/>
          <w:szCs w:val="18"/>
        </w:rPr>
        <w:t xml:space="preserve"> data and parameters underlying the 2017</w:t>
      </w:r>
      <w:r w:rsidR="001E3512">
        <w:rPr>
          <w:color w:val="808080" w:themeColor="background1" w:themeShade="80"/>
          <w:sz w:val="18"/>
          <w:szCs w:val="18"/>
        </w:rPr>
        <w:t>–</w:t>
      </w:r>
      <w:r>
        <w:rPr>
          <w:color w:val="808080" w:themeColor="background1" w:themeShade="80"/>
          <w:sz w:val="18"/>
          <w:szCs w:val="18"/>
        </w:rPr>
        <w:t xml:space="preserve">18 </w:t>
      </w:r>
      <w:proofErr w:type="gramStart"/>
      <w:r>
        <w:rPr>
          <w:color w:val="808080" w:themeColor="background1" w:themeShade="80"/>
          <w:sz w:val="18"/>
          <w:szCs w:val="18"/>
        </w:rPr>
        <w:t>Budget</w:t>
      </w:r>
      <w:proofErr w:type="gramEnd"/>
      <w:r>
        <w:rPr>
          <w:color w:val="808080" w:themeColor="background1" w:themeShade="80"/>
          <w:sz w:val="18"/>
          <w:szCs w:val="18"/>
        </w:rPr>
        <w:t>.</w:t>
      </w:r>
    </w:p>
    <w:p w:rsidR="0071049E" w:rsidRDefault="00B80C45" w:rsidP="0071049E">
      <w:pPr>
        <w:pStyle w:val="BodyText"/>
      </w:pPr>
      <w:r w:rsidRPr="00B80C45">
        <w:t>Bracket creep does not impact on all taxpayers equally</w:t>
      </w:r>
      <w:r w:rsidR="00577240">
        <w:t xml:space="preserve"> </w:t>
      </w:r>
      <w:r w:rsidR="001E3512">
        <w:t>—</w:t>
      </w:r>
      <w:r w:rsidR="00577240">
        <w:t xml:space="preserve"> Figure </w:t>
      </w:r>
      <w:r w:rsidR="000A1BEB">
        <w:t>6</w:t>
      </w:r>
      <w:r>
        <w:t xml:space="preserve"> shows that bracket creep has the greatest impact on</w:t>
      </w:r>
      <w:r w:rsidR="005F559F">
        <w:t xml:space="preserve"> average</w:t>
      </w:r>
      <w:r>
        <w:t xml:space="preserve"> tax rates for individuals in the </w:t>
      </w:r>
      <w:r w:rsidR="009A0533">
        <w:t xml:space="preserve">third </w:t>
      </w:r>
      <w:r w:rsidR="001F5F62">
        <w:t xml:space="preserve">income </w:t>
      </w:r>
      <w:r>
        <w:t>quintile, corresponding to a</w:t>
      </w:r>
      <w:r w:rsidR="00801EF5">
        <w:t>n</w:t>
      </w:r>
      <w:r>
        <w:t xml:space="preserve"> </w:t>
      </w:r>
      <w:r w:rsidR="00801EF5">
        <w:t xml:space="preserve">average </w:t>
      </w:r>
      <w:r>
        <w:t>taxable income of $</w:t>
      </w:r>
      <w:r w:rsidR="00801EF5">
        <w:t>46</w:t>
      </w:r>
      <w:r>
        <w:t>,000</w:t>
      </w:r>
      <w:r w:rsidR="008D628E">
        <w:t xml:space="preserve"> in 2017–18</w:t>
      </w:r>
      <w:r w:rsidR="00801EF5">
        <w:t>, followed by individuals in the second income quintile, with an average taxable income of $28,000</w:t>
      </w:r>
      <w:r w:rsidRPr="00B80C45">
        <w:t>.</w:t>
      </w:r>
      <w:r w:rsidR="000A1BEB">
        <w:rPr>
          <w:rStyle w:val="FootnoteReference"/>
        </w:rPr>
        <w:footnoteReference w:id="5"/>
      </w:r>
      <w:r w:rsidRPr="00B80C45">
        <w:t xml:space="preserve">  </w:t>
      </w:r>
      <w:r w:rsidR="00862340" w:rsidRPr="00381203">
        <w:t>Figure </w:t>
      </w:r>
      <w:r w:rsidR="000A1BEB">
        <w:t>6</w:t>
      </w:r>
      <w:r w:rsidR="00862340" w:rsidRPr="00381203">
        <w:t xml:space="preserve"> </w:t>
      </w:r>
      <w:r w:rsidR="009A0533">
        <w:t xml:space="preserve">also </w:t>
      </w:r>
      <w:r w:rsidR="00862340" w:rsidRPr="00381203">
        <w:t xml:space="preserve">implies that if incomes </w:t>
      </w:r>
      <w:r w:rsidR="000A1BEB">
        <w:t xml:space="preserve">were to </w:t>
      </w:r>
      <w:r w:rsidR="00862340" w:rsidRPr="00381203">
        <w:t xml:space="preserve">only grow enough to compensate for inflation over the next four years and there were no other changes to the tax system, the average tax rate would increase by </w:t>
      </w:r>
      <w:r w:rsidR="00862340">
        <w:t xml:space="preserve">over </w:t>
      </w:r>
      <w:r w:rsidR="00862340" w:rsidRPr="00381203">
        <w:t>1 percentage point for the second, third, and fourth income quintiles</w:t>
      </w:r>
      <w:r w:rsidR="00862340" w:rsidRPr="00732C60">
        <w:t xml:space="preserve">.  </w:t>
      </w:r>
    </w:p>
    <w:p w:rsidR="00933074" w:rsidRPr="00B80C45" w:rsidRDefault="00933074" w:rsidP="0071049E">
      <w:pPr>
        <w:pStyle w:val="BodyText"/>
      </w:pPr>
      <w:r>
        <w:t>The impact of real income growth on top of bracket creep is generally less than the inflation component of nominal income growth, but is similarly material.</w:t>
      </w:r>
    </w:p>
    <w:p w:rsidR="00F71B7F" w:rsidRPr="00DF4F9B" w:rsidRDefault="00DF4F9B" w:rsidP="00F71B7F">
      <w:pPr>
        <w:pStyle w:val="BodyText"/>
      </w:pPr>
      <w:r w:rsidRPr="00DF4F9B">
        <w:t>P</w:t>
      </w:r>
      <w:r w:rsidR="00F71B7F" w:rsidRPr="00DF4F9B">
        <w:t>olicy changes</w:t>
      </w:r>
      <w:r w:rsidRPr="00DF4F9B">
        <w:t xml:space="preserve"> also contribute to the increasing average tax rate between 2017</w:t>
      </w:r>
      <w:r w:rsidR="001E3512">
        <w:t>–</w:t>
      </w:r>
      <w:r w:rsidRPr="00DF4F9B">
        <w:t xml:space="preserve">18 and </w:t>
      </w:r>
      <w:r w:rsidR="001E3512">
        <w:br/>
      </w:r>
      <w:r w:rsidRPr="00DF4F9B">
        <w:t>2021</w:t>
      </w:r>
      <w:r w:rsidR="001E3512">
        <w:t>–</w:t>
      </w:r>
      <w:r w:rsidR="005F559F">
        <w:t>22</w:t>
      </w:r>
      <w:r w:rsidRPr="00DF4F9B">
        <w:t>.</w:t>
      </w:r>
      <w:r w:rsidR="00F71B7F" w:rsidRPr="00DF4F9B">
        <w:t xml:space="preserve"> </w:t>
      </w:r>
      <w:r w:rsidRPr="00DF4F9B">
        <w:t xml:space="preserve"> The policy component primarily reflects</w:t>
      </w:r>
      <w:r w:rsidR="00F71B7F" w:rsidRPr="00DF4F9B">
        <w:t xml:space="preserve"> the increase in the </w:t>
      </w:r>
      <w:r w:rsidR="001A0CC6">
        <w:t>Medicare l</w:t>
      </w:r>
      <w:r w:rsidR="00F71B7F" w:rsidRPr="00DF4F9B">
        <w:t>evy that is due to be implemented in 2019</w:t>
      </w:r>
      <w:r w:rsidR="001E3512">
        <w:t>–</w:t>
      </w:r>
      <w:r w:rsidR="00F71B7F" w:rsidRPr="00DF4F9B">
        <w:t>20.</w:t>
      </w:r>
      <w:r w:rsidR="008D628E">
        <w:rPr>
          <w:rStyle w:val="FootnoteReference"/>
        </w:rPr>
        <w:footnoteReference w:id="6"/>
      </w:r>
      <w:r w:rsidR="001A0CC6">
        <w:t xml:space="preserve">  The increase in the Medicare l</w:t>
      </w:r>
      <w:r w:rsidR="00732C60" w:rsidRPr="00DF4F9B">
        <w:t xml:space="preserve">evy has the greatest </w:t>
      </w:r>
      <w:r w:rsidR="00732C60" w:rsidRPr="00DF4F9B">
        <w:lastRenderedPageBreak/>
        <w:t>impact on individuals in the third, fourth, and fifth i</w:t>
      </w:r>
      <w:r w:rsidR="001A0CC6">
        <w:t>ncome quintiles.  Medicare l</w:t>
      </w:r>
      <w:r w:rsidR="00732C60" w:rsidRPr="00DF4F9B">
        <w:t>evy concession</w:t>
      </w:r>
      <w:r w:rsidR="006756CA">
        <w:t>al arrangements</w:t>
      </w:r>
      <w:r w:rsidR="00732C60" w:rsidRPr="00DF4F9B">
        <w:t xml:space="preserve"> eliminate this impact for the first income quintile and limit </w:t>
      </w:r>
      <w:r w:rsidR="000A1BEB">
        <w:t>the impact</w:t>
      </w:r>
      <w:r w:rsidR="000A1BEB" w:rsidRPr="00DF4F9B">
        <w:t xml:space="preserve"> </w:t>
      </w:r>
      <w:r w:rsidR="00732C60" w:rsidRPr="00DF4F9B">
        <w:t xml:space="preserve">for the second. </w:t>
      </w:r>
    </w:p>
    <w:p w:rsidR="004D5BE9" w:rsidRDefault="000F22D6" w:rsidP="00BC1606">
      <w:pPr>
        <w:pStyle w:val="Heading2"/>
      </w:pPr>
      <w:bookmarkStart w:id="12" w:name="_Toc495329632"/>
      <w:r>
        <w:t>Historic analysis of average tax rates</w:t>
      </w:r>
      <w:bookmarkEnd w:id="12"/>
    </w:p>
    <w:p w:rsidR="0008334C" w:rsidRDefault="00F32728" w:rsidP="0008334C">
      <w:pPr>
        <w:pStyle w:val="BodyText"/>
      </w:pPr>
      <w:r>
        <w:t xml:space="preserve">While the </w:t>
      </w:r>
      <w:r w:rsidR="00860F88">
        <w:t>distribution</w:t>
      </w:r>
      <w:r w:rsidR="0014522A">
        <w:t>al</w:t>
      </w:r>
      <w:r w:rsidR="00860F88">
        <w:t xml:space="preserve"> impact of </w:t>
      </w:r>
      <w:r w:rsidR="00257993">
        <w:t xml:space="preserve">changes in </w:t>
      </w:r>
      <w:r w:rsidR="00860F88">
        <w:t xml:space="preserve">personal income tax </w:t>
      </w:r>
      <w:r w:rsidR="00257993">
        <w:t xml:space="preserve">rates </w:t>
      </w:r>
      <w:r w:rsidR="0014522A">
        <w:t xml:space="preserve">over the coming years </w:t>
      </w:r>
      <w:r w:rsidR="00860F88">
        <w:t xml:space="preserve">is clearly of interest </w:t>
      </w:r>
      <w:r>
        <w:t xml:space="preserve">for informing public </w:t>
      </w:r>
      <w:r w:rsidR="00F91406">
        <w:t xml:space="preserve">policy </w:t>
      </w:r>
      <w:r>
        <w:t xml:space="preserve">discussions, it is </w:t>
      </w:r>
      <w:r w:rsidR="00860F88">
        <w:t xml:space="preserve">also </w:t>
      </w:r>
      <w:r>
        <w:t>useful to have the</w:t>
      </w:r>
      <w:r w:rsidR="00860F88">
        <w:t xml:space="preserve"> additional context that historical comparisons provide</w:t>
      </w:r>
      <w:r>
        <w:t>.</w:t>
      </w:r>
      <w:r w:rsidR="00A24B16">
        <w:t xml:space="preserve">  To this end, </w:t>
      </w:r>
      <w:r w:rsidR="00816A49">
        <w:t>individual tax returns for each year from 2000</w:t>
      </w:r>
      <w:r w:rsidR="001E3512">
        <w:t>–</w:t>
      </w:r>
      <w:r w:rsidR="00816A49">
        <w:t xml:space="preserve">01 were analysed to </w:t>
      </w:r>
      <w:r w:rsidR="00257993">
        <w:t xml:space="preserve">illustrate </w:t>
      </w:r>
      <w:r w:rsidR="00816A49">
        <w:t>how the average tax rate has changed for each</w:t>
      </w:r>
      <w:r w:rsidR="00413CC8">
        <w:t xml:space="preserve"> income</w:t>
      </w:r>
      <w:r w:rsidR="00816A49">
        <w:t xml:space="preserve"> quintile </w:t>
      </w:r>
      <w:r w:rsidR="008D6A5F">
        <w:t>historically</w:t>
      </w:r>
      <w:r w:rsidR="00816A49">
        <w:t xml:space="preserve">. </w:t>
      </w:r>
      <w:r w:rsidR="00F546C7">
        <w:t xml:space="preserve"> The results </w:t>
      </w:r>
      <w:r w:rsidR="008D6A5F">
        <w:t xml:space="preserve">from the historical </w:t>
      </w:r>
      <w:r w:rsidR="00257993">
        <w:t xml:space="preserve">period </w:t>
      </w:r>
      <w:r w:rsidR="008D6A5F">
        <w:t>as well as the modelled projections to 2021</w:t>
      </w:r>
      <w:r w:rsidR="001E3512">
        <w:t>–</w:t>
      </w:r>
      <w:r w:rsidR="008D6A5F">
        <w:t xml:space="preserve">22 </w:t>
      </w:r>
      <w:r w:rsidR="00F546C7">
        <w:t>are shown in Figure 7.</w:t>
      </w:r>
    </w:p>
    <w:p w:rsidR="00032535" w:rsidRDefault="00032535" w:rsidP="008939DA">
      <w:pPr>
        <w:pStyle w:val="Caption1"/>
        <w:rPr>
          <w:noProof/>
          <w:lang w:eastAsia="en-AU"/>
        </w:rPr>
      </w:pPr>
      <w:r>
        <w:t>Figure 7</w:t>
      </w:r>
      <w:r w:rsidR="00AF6D25">
        <w:t xml:space="preserve">: Change in </w:t>
      </w:r>
      <w:r w:rsidR="00BA097F">
        <w:t xml:space="preserve">average </w:t>
      </w:r>
      <w:r w:rsidRPr="009B1F49">
        <w:t xml:space="preserve">tax rates </w:t>
      </w:r>
      <w:r w:rsidR="000022D4">
        <w:t>since</w:t>
      </w:r>
      <w:r w:rsidRPr="009B1F49">
        <w:t xml:space="preserve"> 20</w:t>
      </w:r>
      <w:r>
        <w:t>00</w:t>
      </w:r>
      <w:r w:rsidR="001E3512">
        <w:t>–</w:t>
      </w:r>
      <w:r>
        <w:t>01</w:t>
      </w:r>
      <w:r w:rsidRPr="009B1F49">
        <w:t xml:space="preserve"> by </w:t>
      </w:r>
      <w:r w:rsidR="00D75C90">
        <w:t xml:space="preserve">income </w:t>
      </w:r>
      <w:r w:rsidRPr="009B1F49">
        <w:t>quintile</w:t>
      </w:r>
      <w:r>
        <w:rPr>
          <w:noProof/>
          <w:lang w:eastAsia="en-AU"/>
        </w:rPr>
        <w:t xml:space="preserve"> </w:t>
      </w:r>
    </w:p>
    <w:p w:rsidR="004D5BE9" w:rsidRDefault="00192365" w:rsidP="008939DA">
      <w:pPr>
        <w:pStyle w:val="TableHeading"/>
        <w:ind w:left="0"/>
      </w:pPr>
      <w:r>
        <w:rPr>
          <w:noProof/>
          <w:lang w:eastAsia="en-AU"/>
        </w:rPr>
        <w:drawing>
          <wp:inline distT="0" distB="0" distL="0" distR="0" wp14:anchorId="50010F62">
            <wp:extent cx="5285740" cy="3657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85740" cy="3657600"/>
                    </a:xfrm>
                    <a:prstGeom prst="rect">
                      <a:avLst/>
                    </a:prstGeom>
                    <a:noFill/>
                  </pic:spPr>
                </pic:pic>
              </a:graphicData>
            </a:graphic>
          </wp:inline>
        </w:drawing>
      </w:r>
    </w:p>
    <w:p w:rsidR="000C575C" w:rsidRDefault="00BE14EF" w:rsidP="000C575C">
      <w:pPr>
        <w:pStyle w:val="ListParagraph"/>
        <w:ind w:left="0"/>
        <w:rPr>
          <w:color w:val="808080" w:themeColor="background1" w:themeShade="80"/>
          <w:sz w:val="18"/>
          <w:szCs w:val="18"/>
        </w:rPr>
      </w:pPr>
      <w:r w:rsidRPr="000C575C">
        <w:rPr>
          <w:color w:val="808080" w:themeColor="background1" w:themeShade="80"/>
          <w:sz w:val="18"/>
          <w:szCs w:val="18"/>
        </w:rPr>
        <w:t>Note: The chart shows the actual data collected by the ATO up to 2013</w:t>
      </w:r>
      <w:r w:rsidR="001E3512">
        <w:rPr>
          <w:color w:val="808080" w:themeColor="background1" w:themeShade="80"/>
          <w:sz w:val="18"/>
          <w:szCs w:val="18"/>
        </w:rPr>
        <w:t>–</w:t>
      </w:r>
      <w:r w:rsidRPr="000C575C">
        <w:rPr>
          <w:color w:val="808080" w:themeColor="background1" w:themeShade="80"/>
          <w:sz w:val="18"/>
          <w:szCs w:val="18"/>
        </w:rPr>
        <w:t>14</w:t>
      </w:r>
      <w:r w:rsidR="000C575C">
        <w:rPr>
          <w:color w:val="808080" w:themeColor="background1" w:themeShade="80"/>
          <w:sz w:val="18"/>
          <w:szCs w:val="18"/>
        </w:rPr>
        <w:t xml:space="preserve">; PBO </w:t>
      </w:r>
      <w:r w:rsidRPr="000C575C">
        <w:rPr>
          <w:color w:val="808080" w:themeColor="background1" w:themeShade="80"/>
          <w:sz w:val="18"/>
          <w:szCs w:val="18"/>
        </w:rPr>
        <w:t xml:space="preserve">estimates based on </w:t>
      </w:r>
      <w:r w:rsidR="000C575C">
        <w:rPr>
          <w:color w:val="808080" w:themeColor="background1" w:themeShade="80"/>
          <w:sz w:val="18"/>
          <w:szCs w:val="18"/>
        </w:rPr>
        <w:t xml:space="preserve">ATO </w:t>
      </w:r>
      <w:r w:rsidRPr="000C575C">
        <w:rPr>
          <w:color w:val="808080" w:themeColor="background1" w:themeShade="80"/>
          <w:sz w:val="18"/>
          <w:szCs w:val="18"/>
        </w:rPr>
        <w:t>data combined with economic data</w:t>
      </w:r>
      <w:r w:rsidR="00801EF5" w:rsidRPr="000B301F">
        <w:rPr>
          <w:color w:val="808080" w:themeColor="background1" w:themeShade="80"/>
          <w:sz w:val="18"/>
          <w:szCs w:val="18"/>
        </w:rPr>
        <w:t xml:space="preserve"> </w:t>
      </w:r>
      <w:r w:rsidR="000C575C" w:rsidRPr="000B301F">
        <w:rPr>
          <w:color w:val="808080" w:themeColor="background1" w:themeShade="80"/>
          <w:sz w:val="18"/>
          <w:szCs w:val="18"/>
        </w:rPr>
        <w:t>from 201</w:t>
      </w:r>
      <w:r w:rsidR="000C575C">
        <w:rPr>
          <w:color w:val="808080" w:themeColor="background1" w:themeShade="80"/>
          <w:sz w:val="18"/>
          <w:szCs w:val="18"/>
        </w:rPr>
        <w:t>4</w:t>
      </w:r>
      <w:r w:rsidR="001E3512">
        <w:rPr>
          <w:color w:val="808080" w:themeColor="background1" w:themeShade="80"/>
          <w:sz w:val="18"/>
          <w:szCs w:val="18"/>
        </w:rPr>
        <w:t>–</w:t>
      </w:r>
      <w:r w:rsidR="000C575C" w:rsidRPr="000B301F">
        <w:rPr>
          <w:color w:val="808080" w:themeColor="background1" w:themeShade="80"/>
          <w:sz w:val="18"/>
          <w:szCs w:val="18"/>
        </w:rPr>
        <w:t>1</w:t>
      </w:r>
      <w:r w:rsidR="000C575C">
        <w:rPr>
          <w:color w:val="808080" w:themeColor="background1" w:themeShade="80"/>
          <w:sz w:val="18"/>
          <w:szCs w:val="18"/>
        </w:rPr>
        <w:t>5</w:t>
      </w:r>
      <w:r w:rsidR="00801EF5" w:rsidRPr="000B301F">
        <w:rPr>
          <w:color w:val="808080" w:themeColor="background1" w:themeShade="80"/>
          <w:sz w:val="18"/>
          <w:szCs w:val="18"/>
        </w:rPr>
        <w:t xml:space="preserve"> to 2016</w:t>
      </w:r>
      <w:r w:rsidR="001E3512">
        <w:rPr>
          <w:color w:val="808080" w:themeColor="background1" w:themeShade="80"/>
          <w:sz w:val="18"/>
          <w:szCs w:val="18"/>
        </w:rPr>
        <w:t>–</w:t>
      </w:r>
      <w:r w:rsidR="00801EF5" w:rsidRPr="000B301F">
        <w:rPr>
          <w:color w:val="808080" w:themeColor="background1" w:themeShade="80"/>
          <w:sz w:val="18"/>
          <w:szCs w:val="18"/>
        </w:rPr>
        <w:t>17</w:t>
      </w:r>
      <w:r w:rsidR="000C575C">
        <w:rPr>
          <w:color w:val="808080" w:themeColor="background1" w:themeShade="80"/>
          <w:sz w:val="18"/>
          <w:szCs w:val="18"/>
        </w:rPr>
        <w:t>, and PBO p</w:t>
      </w:r>
      <w:r w:rsidR="000C575C" w:rsidRPr="000C575C">
        <w:rPr>
          <w:color w:val="808080" w:themeColor="background1" w:themeShade="80"/>
          <w:sz w:val="18"/>
          <w:szCs w:val="18"/>
        </w:rPr>
        <w:t xml:space="preserve">rojections based on </w:t>
      </w:r>
      <w:r w:rsidR="000C575C">
        <w:rPr>
          <w:color w:val="808080" w:themeColor="background1" w:themeShade="80"/>
          <w:sz w:val="18"/>
          <w:szCs w:val="18"/>
        </w:rPr>
        <w:t xml:space="preserve">ATO </w:t>
      </w:r>
      <w:r w:rsidR="000C575C" w:rsidRPr="000C575C">
        <w:rPr>
          <w:color w:val="808080" w:themeColor="background1" w:themeShade="80"/>
          <w:sz w:val="18"/>
          <w:szCs w:val="18"/>
        </w:rPr>
        <w:t xml:space="preserve">data and </w:t>
      </w:r>
      <w:r w:rsidR="00F22F1C">
        <w:rPr>
          <w:color w:val="808080" w:themeColor="background1" w:themeShade="80"/>
          <w:sz w:val="18"/>
          <w:szCs w:val="18"/>
        </w:rPr>
        <w:t xml:space="preserve">the </w:t>
      </w:r>
      <w:r w:rsidR="000C575C" w:rsidRPr="000C575C">
        <w:rPr>
          <w:color w:val="808080" w:themeColor="background1" w:themeShade="80"/>
          <w:sz w:val="18"/>
          <w:szCs w:val="18"/>
        </w:rPr>
        <w:t>parameters underlying the 2017</w:t>
      </w:r>
      <w:r w:rsidR="001E3512">
        <w:rPr>
          <w:color w:val="808080" w:themeColor="background1" w:themeShade="80"/>
          <w:sz w:val="18"/>
          <w:szCs w:val="18"/>
        </w:rPr>
        <w:t>–</w:t>
      </w:r>
      <w:r w:rsidR="000C575C" w:rsidRPr="000C575C">
        <w:rPr>
          <w:color w:val="808080" w:themeColor="background1" w:themeShade="80"/>
          <w:sz w:val="18"/>
          <w:szCs w:val="18"/>
        </w:rPr>
        <w:t>18 Budget from 2017</w:t>
      </w:r>
      <w:r w:rsidR="001E3512">
        <w:rPr>
          <w:color w:val="808080" w:themeColor="background1" w:themeShade="80"/>
          <w:sz w:val="18"/>
          <w:szCs w:val="18"/>
        </w:rPr>
        <w:t>–</w:t>
      </w:r>
      <w:r w:rsidR="000C575C" w:rsidRPr="000C575C">
        <w:rPr>
          <w:color w:val="808080" w:themeColor="background1" w:themeShade="80"/>
          <w:sz w:val="18"/>
          <w:szCs w:val="18"/>
        </w:rPr>
        <w:t>18</w:t>
      </w:r>
      <w:r w:rsidR="000C575C">
        <w:rPr>
          <w:color w:val="808080" w:themeColor="background1" w:themeShade="80"/>
          <w:sz w:val="18"/>
          <w:szCs w:val="18"/>
        </w:rPr>
        <w:t xml:space="preserve"> onwards</w:t>
      </w:r>
      <w:r w:rsidR="000C575C" w:rsidRPr="000C575C">
        <w:rPr>
          <w:color w:val="808080" w:themeColor="background1" w:themeShade="80"/>
          <w:sz w:val="18"/>
          <w:szCs w:val="18"/>
        </w:rPr>
        <w:t>.</w:t>
      </w:r>
    </w:p>
    <w:p w:rsidR="00BB02BE" w:rsidRDefault="00B8019E" w:rsidP="008939DA">
      <w:pPr>
        <w:pStyle w:val="BodyText17ptAbove"/>
      </w:pPr>
      <w:r>
        <w:t>Figure 7 shows change</w:t>
      </w:r>
      <w:r w:rsidR="000022D4">
        <w:t>s</w:t>
      </w:r>
      <w:r>
        <w:t xml:space="preserve"> in the</w:t>
      </w:r>
      <w:r w:rsidR="00BA0E4C">
        <w:t xml:space="preserve"> average</w:t>
      </w:r>
      <w:r>
        <w:t xml:space="preserve"> tax rate by income quintile over the period </w:t>
      </w:r>
      <w:proofErr w:type="gramStart"/>
      <w:r w:rsidR="00257993">
        <w:t xml:space="preserve">from </w:t>
      </w:r>
      <w:r w:rsidR="000022D4">
        <w:t xml:space="preserve"> </w:t>
      </w:r>
      <w:r>
        <w:t>2000</w:t>
      </w:r>
      <w:proofErr w:type="gramEnd"/>
      <w:r w:rsidR="001E3512">
        <w:t>–</w:t>
      </w:r>
      <w:r>
        <w:t>01 to 2021</w:t>
      </w:r>
      <w:r w:rsidR="001E3512">
        <w:t>–</w:t>
      </w:r>
      <w:r>
        <w:t>22</w:t>
      </w:r>
      <w:r w:rsidR="009438B8">
        <w:t xml:space="preserve">.  </w:t>
      </w:r>
      <w:r w:rsidR="0083768D">
        <w:t xml:space="preserve">There were many changes to the personal income tax rates and thresholds </w:t>
      </w:r>
      <w:r w:rsidR="009438B8">
        <w:t>during</w:t>
      </w:r>
      <w:r w:rsidR="0083768D">
        <w:t xml:space="preserve"> this period.  </w:t>
      </w:r>
      <w:r w:rsidR="003707C6">
        <w:t>The most m</w:t>
      </w:r>
      <w:r w:rsidR="00981DB4">
        <w:t xml:space="preserve">aterial changes </w:t>
      </w:r>
      <w:r w:rsidR="003707C6">
        <w:t>for the purposes of understanding Figure 7 were between 2005</w:t>
      </w:r>
      <w:r w:rsidR="001E3512">
        <w:t>–</w:t>
      </w:r>
      <w:r w:rsidR="003707C6">
        <w:t>06 and 2008</w:t>
      </w:r>
      <w:r w:rsidR="001E3512">
        <w:t>–</w:t>
      </w:r>
      <w:r w:rsidR="003707C6">
        <w:t>09.</w:t>
      </w:r>
      <w:r w:rsidR="00981DB4">
        <w:t xml:space="preserve">  </w:t>
      </w:r>
      <w:r w:rsidR="00BB02BE">
        <w:t xml:space="preserve">The average tax rate </w:t>
      </w:r>
      <w:r w:rsidR="006D7ED5">
        <w:t xml:space="preserve">decreased </w:t>
      </w:r>
      <w:r w:rsidR="00BB02BE">
        <w:t>across all income quintiles as a result of the combination of decrease</w:t>
      </w:r>
      <w:r w:rsidR="006D7ED5">
        <w:t>s</w:t>
      </w:r>
      <w:r w:rsidR="00BB02BE">
        <w:t xml:space="preserve"> to the tax rates and thresholds and increase</w:t>
      </w:r>
      <w:r w:rsidR="006D7ED5">
        <w:t>s</w:t>
      </w:r>
      <w:r w:rsidR="00BB02BE">
        <w:t xml:space="preserve"> in the low</w:t>
      </w:r>
      <w:r w:rsidR="00BB02BE">
        <w:noBreakHyphen/>
        <w:t xml:space="preserve">income tax offset. </w:t>
      </w:r>
      <w:r w:rsidR="008B5586">
        <w:t xml:space="preserve"> </w:t>
      </w:r>
      <w:r w:rsidR="00BB02BE">
        <w:t>T</w:t>
      </w:r>
      <w:r w:rsidR="008B5586">
        <w:t xml:space="preserve">he most substantial decreases </w:t>
      </w:r>
      <w:r w:rsidR="00BB02BE">
        <w:t>in average tax rate</w:t>
      </w:r>
      <w:r w:rsidR="00776D10">
        <w:t>s</w:t>
      </w:r>
      <w:r w:rsidR="00BB02BE">
        <w:t xml:space="preserve"> occurred </w:t>
      </w:r>
      <w:r w:rsidR="008B5586">
        <w:t>for the second and third income quintiles.</w:t>
      </w:r>
    </w:p>
    <w:p w:rsidR="00B07CBD" w:rsidRDefault="00061C64" w:rsidP="007024A5">
      <w:pPr>
        <w:pStyle w:val="BodyText"/>
      </w:pPr>
      <w:r w:rsidRPr="00061C64">
        <w:lastRenderedPageBreak/>
        <w:t>Since 2009</w:t>
      </w:r>
      <w:r w:rsidR="001E3512">
        <w:t>–</w:t>
      </w:r>
      <w:r w:rsidRPr="00061C64">
        <w:t xml:space="preserve">10, average tax rates </w:t>
      </w:r>
      <w:r>
        <w:t>ha</w:t>
      </w:r>
      <w:r w:rsidR="00776D10">
        <w:t>ve increased for all quintiles except the first quintile and are projected to continue to increase over the period to 2021</w:t>
      </w:r>
      <w:r w:rsidR="001E3512">
        <w:t>–</w:t>
      </w:r>
      <w:r w:rsidR="00776D10">
        <w:t>22.  T</w:t>
      </w:r>
      <w:r>
        <w:t>he first income quintile</w:t>
      </w:r>
      <w:r w:rsidR="00776D10">
        <w:t xml:space="preserve"> </w:t>
      </w:r>
      <w:r>
        <w:t xml:space="preserve">has maintained a lower tax rate due to the </w:t>
      </w:r>
      <w:r w:rsidR="00776D10">
        <w:t xml:space="preserve">operation of the </w:t>
      </w:r>
      <w:r>
        <w:t>low</w:t>
      </w:r>
      <w:r w:rsidR="008D6A5F">
        <w:t xml:space="preserve"> </w:t>
      </w:r>
      <w:r>
        <w:t>income tax offset.</w:t>
      </w:r>
      <w:r w:rsidR="00343958">
        <w:t xml:space="preserve">  </w:t>
      </w:r>
    </w:p>
    <w:p w:rsidR="00343958" w:rsidRDefault="00776D10" w:rsidP="009D543A">
      <w:pPr>
        <w:pStyle w:val="BodyText"/>
      </w:pPr>
      <w:r>
        <w:t xml:space="preserve">Overall, this longer term analysis illustrates that while the </w:t>
      </w:r>
      <w:r w:rsidR="003C6AB6">
        <w:t xml:space="preserve">third income quintile </w:t>
      </w:r>
      <w:r>
        <w:t xml:space="preserve">is </w:t>
      </w:r>
      <w:r w:rsidR="003C6AB6">
        <w:t>projected to experience the largest increase in average tax rate</w:t>
      </w:r>
      <w:r>
        <w:t>s</w:t>
      </w:r>
      <w:r w:rsidR="003C6AB6">
        <w:t xml:space="preserve"> over the period to 2021</w:t>
      </w:r>
      <w:r w:rsidR="001E3512">
        <w:t>–</w:t>
      </w:r>
      <w:r w:rsidR="003C6AB6">
        <w:t>22</w:t>
      </w:r>
      <w:r>
        <w:t xml:space="preserve">, this was also the quintile that benefitted from the most significant reductions in average tax rates </w:t>
      </w:r>
      <w:r w:rsidR="003C6AB6">
        <w:t xml:space="preserve">during the 2000s.  </w:t>
      </w:r>
      <w:r>
        <w:t>Over the period since 2000</w:t>
      </w:r>
      <w:r w:rsidR="001E3512">
        <w:t>–</w:t>
      </w:r>
      <w:r>
        <w:t>01, t</w:t>
      </w:r>
      <w:r w:rsidR="002561EF">
        <w:t>he net effect of nominal income growth and changes to tax policy has</w:t>
      </w:r>
      <w:r>
        <w:t xml:space="preserve"> </w:t>
      </w:r>
      <w:bookmarkStart w:id="13" w:name="_GoBack"/>
      <w:bookmarkEnd w:id="13"/>
      <w:r>
        <w:t>increased the progressivity of Australia’s income tax system</w:t>
      </w:r>
      <w:r w:rsidR="009D543A">
        <w:t>.</w:t>
      </w:r>
    </w:p>
    <w:p w:rsidR="001B0C26" w:rsidRDefault="001B0C26">
      <w:pPr>
        <w:rPr>
          <w:rFonts w:asciiTheme="majorHAnsi" w:hAnsiTheme="majorHAnsi"/>
          <w:bCs/>
          <w:color w:val="2B3B5F" w:themeColor="text2"/>
          <w:spacing w:val="-6"/>
          <w:kern w:val="32"/>
          <w:sz w:val="40"/>
          <w:szCs w:val="32"/>
        </w:rPr>
      </w:pPr>
      <w:r>
        <w:br w:type="page"/>
      </w:r>
    </w:p>
    <w:p w:rsidR="009600D0" w:rsidRDefault="009600D0" w:rsidP="007024A5">
      <w:pPr>
        <w:pStyle w:val="Heading1"/>
      </w:pPr>
      <w:bookmarkStart w:id="14" w:name="_Toc495329633"/>
      <w:r>
        <w:lastRenderedPageBreak/>
        <w:t>Technical appendix</w:t>
      </w:r>
      <w:bookmarkEnd w:id="14"/>
    </w:p>
    <w:p w:rsidR="00BB46F8" w:rsidRDefault="00BB46F8" w:rsidP="00BB46F8">
      <w:pPr>
        <w:pStyle w:val="Heading2"/>
      </w:pPr>
      <w:bookmarkStart w:id="15" w:name="_Toc495329634"/>
      <w:r>
        <w:t>Methodology</w:t>
      </w:r>
      <w:bookmarkEnd w:id="15"/>
    </w:p>
    <w:p w:rsidR="00BB46F8" w:rsidRDefault="00BB46F8" w:rsidP="00BB46F8">
      <w:pPr>
        <w:pStyle w:val="BodyText"/>
      </w:pPr>
      <w:r>
        <w:t xml:space="preserve">The </w:t>
      </w:r>
      <w:r w:rsidR="008D628E">
        <w:t xml:space="preserve">distributional </w:t>
      </w:r>
      <w:r>
        <w:t>projections of the average personal income tax rate by quintile are estimated using a 16 per cent sample of de</w:t>
      </w:r>
      <w:r>
        <w:noBreakHyphen/>
        <w:t>identified personal income tax and superannuation returns for 2013</w:t>
      </w:r>
      <w:r w:rsidR="001E3512">
        <w:t>–</w:t>
      </w:r>
      <w:r>
        <w:t xml:space="preserve">14 provided by the Australian Taxation Office (ATO).  </w:t>
      </w:r>
      <w:r w:rsidR="008D628E">
        <w:t>The estimates use</w:t>
      </w:r>
      <w:r>
        <w:t xml:space="preserve"> the parameters and population projections underlying the 2017</w:t>
      </w:r>
      <w:r w:rsidR="001E3512">
        <w:t>–</w:t>
      </w:r>
      <w:r>
        <w:t xml:space="preserve">18 </w:t>
      </w:r>
      <w:proofErr w:type="gramStart"/>
      <w:r>
        <w:t>Budget</w:t>
      </w:r>
      <w:proofErr w:type="gramEnd"/>
      <w:r>
        <w:t xml:space="preserve">.  Wages growth is applied differentially across </w:t>
      </w:r>
      <w:r w:rsidR="00397194">
        <w:t>taxpayers</w:t>
      </w:r>
      <w:r>
        <w:t xml:space="preserve"> based on historical remuneration growth by gender and level of remuneration.</w:t>
      </w:r>
      <w:r w:rsidR="00DE571D">
        <w:t xml:space="preserve">  Remuneration comprises income from salaries and wages and </w:t>
      </w:r>
      <w:r w:rsidR="00986D03">
        <w:t xml:space="preserve">concessional </w:t>
      </w:r>
      <w:r w:rsidR="00DE571D">
        <w:t>superannuation contributions.</w:t>
      </w:r>
    </w:p>
    <w:p w:rsidR="00BB46F8" w:rsidRDefault="00BB46F8" w:rsidP="00BB46F8">
      <w:pPr>
        <w:pStyle w:val="BodyText"/>
      </w:pPr>
      <w:r>
        <w:t>The historical distributional analysis is based on de-identified personal income tax returns for 2000</w:t>
      </w:r>
      <w:r w:rsidR="001E3512">
        <w:t>–</w:t>
      </w:r>
      <w:r>
        <w:t>01 through to 2013</w:t>
      </w:r>
      <w:r w:rsidR="001E3512">
        <w:t>–</w:t>
      </w:r>
      <w:r>
        <w:t xml:space="preserve">14 provided by the ATO.  </w:t>
      </w:r>
    </w:p>
    <w:p w:rsidR="00BB46F8" w:rsidRDefault="00BB46F8" w:rsidP="00BB46F8">
      <w:pPr>
        <w:pStyle w:val="BodyText"/>
      </w:pPr>
      <w:r>
        <w:t>All analysis excludes individuals who are non-residents for taxation purposes.  These individuals are subject to different tax rates and thresholds.</w:t>
      </w:r>
    </w:p>
    <w:p w:rsidR="00BB46F8" w:rsidRDefault="00BB46F8" w:rsidP="00BB46F8">
      <w:pPr>
        <w:pStyle w:val="BodyText"/>
      </w:pPr>
      <w:r>
        <w:t>Calculations of the average net tax rate</w:t>
      </w:r>
      <w:r w:rsidR="000A1BEB">
        <w:t xml:space="preserve"> (usually referred to as average tax rate throughout this report)</w:t>
      </w:r>
      <w:r>
        <w:t xml:space="preserve"> take the sum of the net tax for the relevant </w:t>
      </w:r>
      <w:r w:rsidR="00397194">
        <w:t>group of taxpayers</w:t>
      </w:r>
      <w:r>
        <w:t xml:space="preserve"> and divide this by the sum of the taxable income for the </w:t>
      </w:r>
      <w:r w:rsidR="00397194">
        <w:t>same group of taxpayers</w:t>
      </w:r>
      <w:r>
        <w:t>.</w:t>
      </w:r>
      <w:r>
        <w:rPr>
          <w:rStyle w:val="FootnoteReference"/>
        </w:rPr>
        <w:footnoteReference w:id="7"/>
      </w:r>
      <w:r>
        <w:t xml:space="preserve">  </w:t>
      </w:r>
    </w:p>
    <w:p w:rsidR="00BB46F8" w:rsidRDefault="008D6A5F" w:rsidP="00BB46F8">
      <w:pPr>
        <w:pStyle w:val="BodyText"/>
      </w:pPr>
      <w:r>
        <w:t>T</w:t>
      </w:r>
      <w:r w:rsidR="00BB46F8">
        <w:t>he net tax is calculated as:</w:t>
      </w:r>
    </w:p>
    <w:tbl>
      <w:tblPr>
        <w:tblStyle w:val="PullOutBoxTable"/>
        <w:tblW w:w="0" w:type="auto"/>
        <w:tblLook w:val="04A0" w:firstRow="1" w:lastRow="0" w:firstColumn="1" w:lastColumn="0" w:noHBand="0" w:noVBand="1"/>
      </w:tblPr>
      <w:tblGrid>
        <w:gridCol w:w="8312"/>
      </w:tblGrid>
      <w:tr w:rsidR="007D4854" w:rsidTr="008939DA">
        <w:tc>
          <w:tcPr>
            <w:tcW w:w="8322" w:type="dxa"/>
            <w:tcBorders>
              <w:top w:val="nil"/>
              <w:left w:val="nil"/>
              <w:bottom w:val="nil"/>
              <w:right w:val="nil"/>
            </w:tcBorders>
            <w:shd w:val="clear" w:color="auto" w:fill="F2F2F2" w:themeFill="background1" w:themeFillShade="F2"/>
          </w:tcPr>
          <w:p w:rsidR="007D4854" w:rsidRPr="00D649A5" w:rsidRDefault="007D4854" w:rsidP="007D4854">
            <w:pPr>
              <w:pStyle w:val="BodyText"/>
              <w:ind w:firstLine="284"/>
              <w:rPr>
                <w:b/>
              </w:rPr>
            </w:pPr>
            <w:r w:rsidRPr="00D649A5">
              <w:rPr>
                <w:b/>
              </w:rPr>
              <w:t>Net tax</w:t>
            </w:r>
          </w:p>
          <w:p w:rsidR="007D4854" w:rsidRPr="00D649A5" w:rsidRDefault="007D4854" w:rsidP="007D4854">
            <w:pPr>
              <w:pStyle w:val="BodyText"/>
              <w:ind w:firstLine="340"/>
              <w:rPr>
                <w:i/>
              </w:rPr>
            </w:pPr>
            <w:r>
              <w:rPr>
                <w:i/>
              </w:rPr>
              <w:t xml:space="preserve"> </w:t>
            </w:r>
            <w:r w:rsidRPr="00D649A5">
              <w:rPr>
                <w:i/>
              </w:rPr>
              <w:t>equals</w:t>
            </w:r>
          </w:p>
          <w:p w:rsidR="007D4854" w:rsidRPr="00D649A5" w:rsidRDefault="007D4854" w:rsidP="007D4854">
            <w:pPr>
              <w:pStyle w:val="BodyText"/>
              <w:ind w:firstLine="284"/>
              <w:rPr>
                <w:b/>
              </w:rPr>
            </w:pPr>
            <w:r w:rsidRPr="00D649A5">
              <w:rPr>
                <w:b/>
              </w:rPr>
              <w:t>Gross tax</w:t>
            </w:r>
          </w:p>
          <w:p w:rsidR="007D4854" w:rsidRPr="00D649A5" w:rsidRDefault="007D4854" w:rsidP="007D4854">
            <w:pPr>
              <w:pStyle w:val="BodyText"/>
              <w:ind w:firstLine="340"/>
              <w:rPr>
                <w:i/>
              </w:rPr>
            </w:pPr>
            <w:r w:rsidRPr="00D649A5">
              <w:rPr>
                <w:i/>
              </w:rPr>
              <w:t xml:space="preserve">  less</w:t>
            </w:r>
          </w:p>
          <w:p w:rsidR="007D4854" w:rsidRPr="00D649A5" w:rsidRDefault="007D4854" w:rsidP="007D4854">
            <w:pPr>
              <w:pStyle w:val="BodyText"/>
              <w:ind w:firstLine="284"/>
              <w:rPr>
                <w:b/>
              </w:rPr>
            </w:pPr>
            <w:r w:rsidRPr="00D649A5">
              <w:rPr>
                <w:b/>
              </w:rPr>
              <w:t>Non-refundable tax offsets</w:t>
            </w:r>
          </w:p>
          <w:p w:rsidR="007D4854" w:rsidRPr="00D649A5" w:rsidRDefault="007D4854" w:rsidP="007D4854">
            <w:pPr>
              <w:pStyle w:val="BodyText"/>
              <w:ind w:firstLine="340"/>
              <w:rPr>
                <w:i/>
              </w:rPr>
            </w:pPr>
            <w:r w:rsidRPr="00D649A5">
              <w:rPr>
                <w:i/>
              </w:rPr>
              <w:t xml:space="preserve">  plus</w:t>
            </w:r>
          </w:p>
          <w:p w:rsidR="007D4854" w:rsidRDefault="007D4854" w:rsidP="008939DA">
            <w:pPr>
              <w:pStyle w:val="BodyText"/>
              <w:ind w:firstLine="284"/>
            </w:pPr>
            <w:r w:rsidRPr="00D649A5">
              <w:rPr>
                <w:b/>
              </w:rPr>
              <w:t>Medicare Levy (and surcharge)</w:t>
            </w:r>
          </w:p>
        </w:tc>
      </w:tr>
    </w:tbl>
    <w:p w:rsidR="00986921" w:rsidRDefault="00986921" w:rsidP="001D29B3">
      <w:pPr>
        <w:pStyle w:val="BodyText17ptAbove"/>
        <w:spacing w:before="120"/>
      </w:pPr>
      <w:r>
        <w:t>Note that this does not include tax credits such as franking credits or the private health insurance rebate.</w:t>
      </w:r>
    </w:p>
    <w:p w:rsidR="00BB46F8" w:rsidRDefault="00BB46F8" w:rsidP="00BB46F8">
      <w:pPr>
        <w:pStyle w:val="BodyText"/>
      </w:pPr>
      <w:r>
        <w:t>All figu</w:t>
      </w:r>
      <w:r w:rsidR="008D6A5F">
        <w:t>res presented are on an accrual</w:t>
      </w:r>
      <w:r>
        <w:t xml:space="preserve"> basis.  As an example, this means that for the projected tax rate in 2017</w:t>
      </w:r>
      <w:r w:rsidR="001E3512">
        <w:t>–</w:t>
      </w:r>
      <w:r>
        <w:t xml:space="preserve">18, we are comparing the tax </w:t>
      </w:r>
      <w:r w:rsidR="00986921">
        <w:t>liability</w:t>
      </w:r>
      <w:r>
        <w:t xml:space="preserve"> on the earnings for 2017</w:t>
      </w:r>
      <w:r w:rsidR="001E3512">
        <w:t>–</w:t>
      </w:r>
      <w:r>
        <w:t>18 to the taxable income for</w:t>
      </w:r>
      <w:r w:rsidR="008D6A5F">
        <w:t xml:space="preserve"> that same year.  On an accrual</w:t>
      </w:r>
      <w:r>
        <w:t xml:space="preserve"> basis, tax is calculated this way even if some of the tax is actually paid </w:t>
      </w:r>
      <w:r w:rsidR="0061276E">
        <w:t>a year later</w:t>
      </w:r>
      <w:r>
        <w:t>.</w:t>
      </w:r>
    </w:p>
    <w:p w:rsidR="00405ECB" w:rsidRDefault="00405ECB" w:rsidP="00BB46F8">
      <w:pPr>
        <w:pStyle w:val="BodyText"/>
      </w:pPr>
      <w:r>
        <w:t xml:space="preserve">While annual results within this distributional analysis can be compared, there are some methodological differences to the figures presented in the PBO’s </w:t>
      </w:r>
      <w:r w:rsidR="00FE5937" w:rsidRPr="00FE5937">
        <w:rPr>
          <w:i/>
        </w:rPr>
        <w:t>2017–18 Budget medium</w:t>
      </w:r>
      <w:r w:rsidR="00FE5937" w:rsidRPr="00FE5937">
        <w:rPr>
          <w:i/>
        </w:rPr>
        <w:noBreakHyphen/>
      </w:r>
      <w:r w:rsidRPr="00FE5937">
        <w:rPr>
          <w:i/>
        </w:rPr>
        <w:t xml:space="preserve">term projections </w:t>
      </w:r>
      <w:r>
        <w:t>report.  In particular, the medium-term projections report is on a cash rather than accrual basis, and it also included tax credits in the calculations of tax and tax rates.</w:t>
      </w:r>
    </w:p>
    <w:p w:rsidR="00961A08" w:rsidRDefault="00961A08">
      <w:pPr>
        <w:sectPr w:rsidR="00961A08" w:rsidSect="009C6DAA">
          <w:footerReference w:type="default" r:id="rId30"/>
          <w:type w:val="oddPage"/>
          <w:pgSz w:w="11906" w:h="16838" w:code="9"/>
          <w:pgMar w:top="1361" w:right="1797" w:bottom="1474" w:left="1797" w:header="284" w:footer="454" w:gutter="0"/>
          <w:pgNumType w:start="1"/>
          <w:cols w:space="708"/>
          <w:docGrid w:linePitch="360"/>
        </w:sectPr>
      </w:pPr>
    </w:p>
    <w:p w:rsidR="00BB46F8" w:rsidRDefault="00BB46F8" w:rsidP="00BB46F8">
      <w:pPr>
        <w:pStyle w:val="Heading2"/>
      </w:pPr>
      <w:bookmarkStart w:id="16" w:name="_Toc494889268"/>
      <w:bookmarkStart w:id="17" w:name="_Toc495329635"/>
      <w:bookmarkEnd w:id="16"/>
      <w:r>
        <w:lastRenderedPageBreak/>
        <w:t xml:space="preserve">Quintile </w:t>
      </w:r>
      <w:r w:rsidR="001235EA">
        <w:t>characteristics</w:t>
      </w:r>
      <w:bookmarkEnd w:id="17"/>
    </w:p>
    <w:p w:rsidR="00BB46F8" w:rsidRPr="008C3179" w:rsidRDefault="002809E9" w:rsidP="00BB46F8">
      <w:pPr>
        <w:pStyle w:val="BodyText"/>
      </w:pPr>
      <w:r>
        <w:t>The income quintiles</w:t>
      </w:r>
      <w:r w:rsidR="005233B0">
        <w:t xml:space="preserve"> projected for 2017</w:t>
      </w:r>
      <w:r w:rsidR="001E3512">
        <w:t>–</w:t>
      </w:r>
      <w:r w:rsidR="005233B0">
        <w:t xml:space="preserve">18 and used for the analysis in this report, </w:t>
      </w:r>
      <w:r w:rsidR="00986921">
        <w:t>are</w:t>
      </w:r>
      <w:r w:rsidR="00BB46F8" w:rsidRPr="008C3179">
        <w:t xml:space="preserve"> shown in Table 1.</w:t>
      </w:r>
      <w:r w:rsidR="00F02FB3">
        <w:t xml:space="preserve">  In 2017–18, each quintile </w:t>
      </w:r>
      <w:r w:rsidR="00810E32">
        <w:t>contains</w:t>
      </w:r>
      <w:r w:rsidR="00F02FB3">
        <w:t xml:space="preserve"> around </w:t>
      </w:r>
      <w:r w:rsidR="00336447">
        <w:t>2.9</w:t>
      </w:r>
      <w:r w:rsidR="00F02FB3">
        <w:t> million taxpayers.</w:t>
      </w:r>
    </w:p>
    <w:p w:rsidR="00F70C71" w:rsidRPr="00191FC1" w:rsidRDefault="00F70C71" w:rsidP="00F70C71">
      <w:pPr>
        <w:pStyle w:val="Caption1"/>
      </w:pPr>
      <w:r w:rsidRPr="00191FC1">
        <w:t xml:space="preserve">Table 1: The </w:t>
      </w:r>
      <w:r>
        <w:t>characteristics</w:t>
      </w:r>
      <w:r w:rsidRPr="00191FC1">
        <w:t xml:space="preserve"> of each quintile by taxable income</w:t>
      </w:r>
    </w:p>
    <w:tbl>
      <w:tblPr>
        <w:tblW w:w="5000" w:type="pct"/>
        <w:jc w:val="center"/>
        <w:tblLook w:val="04A0" w:firstRow="1" w:lastRow="0" w:firstColumn="1" w:lastColumn="0" w:noHBand="0" w:noVBand="1"/>
      </w:tblPr>
      <w:tblGrid>
        <w:gridCol w:w="1302"/>
        <w:gridCol w:w="3067"/>
        <w:gridCol w:w="1813"/>
        <w:gridCol w:w="1813"/>
        <w:gridCol w:w="1813"/>
        <w:gridCol w:w="2187"/>
        <w:gridCol w:w="2173"/>
      </w:tblGrid>
      <w:tr w:rsidR="00F70C71" w:rsidRPr="00191FC1" w:rsidTr="00586D67">
        <w:trPr>
          <w:cantSplit/>
          <w:trHeight w:val="444"/>
          <w:jc w:val="center"/>
        </w:trPr>
        <w:tc>
          <w:tcPr>
            <w:tcW w:w="516" w:type="pct"/>
            <w:tcBorders>
              <w:top w:val="single" w:sz="4" w:space="0" w:color="auto"/>
              <w:left w:val="nil"/>
              <w:bottom w:val="single" w:sz="4" w:space="0" w:color="auto"/>
              <w:right w:val="nil"/>
            </w:tcBorders>
            <w:shd w:val="clear" w:color="auto" w:fill="2B3B5F" w:themeFill="text2"/>
            <w:noWrap/>
            <w:tcMar>
              <w:left w:w="57" w:type="dxa"/>
              <w:right w:w="57" w:type="dxa"/>
            </w:tcMar>
            <w:vAlign w:val="center"/>
            <w:hideMark/>
          </w:tcPr>
          <w:p w:rsidR="00F70C71" w:rsidRPr="008939DA" w:rsidRDefault="00F70C71" w:rsidP="00586D67">
            <w:pPr>
              <w:pStyle w:val="TableText"/>
              <w:jc w:val="center"/>
              <w:rPr>
                <w:b/>
                <w:lang w:eastAsia="en-AU"/>
              </w:rPr>
            </w:pPr>
            <w:r w:rsidRPr="008939DA">
              <w:rPr>
                <w:b/>
                <w:lang w:eastAsia="en-AU"/>
              </w:rPr>
              <w:t>Quintile</w:t>
            </w:r>
          </w:p>
        </w:tc>
        <w:tc>
          <w:tcPr>
            <w:tcW w:w="744" w:type="pct"/>
            <w:tcBorders>
              <w:top w:val="single" w:sz="4" w:space="0" w:color="auto"/>
              <w:left w:val="nil"/>
              <w:bottom w:val="single" w:sz="4" w:space="0" w:color="auto"/>
              <w:right w:val="nil"/>
            </w:tcBorders>
            <w:shd w:val="clear" w:color="auto" w:fill="2B3B5F" w:themeFill="text2"/>
            <w:noWrap/>
            <w:vAlign w:val="center"/>
            <w:hideMark/>
          </w:tcPr>
          <w:p w:rsidR="00F70C71" w:rsidRPr="008939DA" w:rsidRDefault="00F70C71" w:rsidP="00586D67">
            <w:pPr>
              <w:pStyle w:val="TableText"/>
              <w:jc w:val="center"/>
              <w:rPr>
                <w:b/>
                <w:lang w:eastAsia="en-AU"/>
              </w:rPr>
            </w:pPr>
            <w:r w:rsidRPr="008939DA">
              <w:rPr>
                <w:b/>
                <w:lang w:eastAsia="en-AU"/>
              </w:rPr>
              <w:t>Taxable income range, 2017–18</w:t>
            </w:r>
          </w:p>
        </w:tc>
        <w:tc>
          <w:tcPr>
            <w:tcW w:w="696" w:type="pct"/>
            <w:tcBorders>
              <w:top w:val="single" w:sz="4" w:space="0" w:color="auto"/>
              <w:left w:val="nil"/>
              <w:bottom w:val="single" w:sz="4" w:space="0" w:color="auto"/>
              <w:right w:val="nil"/>
            </w:tcBorders>
            <w:shd w:val="clear" w:color="auto" w:fill="2B3B5F" w:themeFill="text2"/>
            <w:tcMar>
              <w:left w:w="57" w:type="dxa"/>
              <w:right w:w="57" w:type="dxa"/>
            </w:tcMar>
            <w:vAlign w:val="center"/>
          </w:tcPr>
          <w:p w:rsidR="00F70C71" w:rsidRPr="008939DA" w:rsidRDefault="00F70C71" w:rsidP="00586D67">
            <w:pPr>
              <w:pStyle w:val="TableText"/>
              <w:jc w:val="center"/>
              <w:rPr>
                <w:b/>
              </w:rPr>
            </w:pPr>
            <w:r w:rsidRPr="008939DA">
              <w:rPr>
                <w:b/>
                <w:lang w:eastAsia="en-AU"/>
              </w:rPr>
              <w:t>Average taxable income, 2017–18</w:t>
            </w:r>
          </w:p>
        </w:tc>
        <w:tc>
          <w:tcPr>
            <w:tcW w:w="696" w:type="pct"/>
            <w:tcBorders>
              <w:top w:val="single" w:sz="4" w:space="0" w:color="auto"/>
              <w:left w:val="nil"/>
              <w:bottom w:val="single" w:sz="4" w:space="0" w:color="auto"/>
              <w:right w:val="nil"/>
            </w:tcBorders>
            <w:shd w:val="clear" w:color="auto" w:fill="2B3B5F" w:themeFill="text2"/>
            <w:vAlign w:val="center"/>
          </w:tcPr>
          <w:p w:rsidR="00F70C71" w:rsidRPr="008939DA" w:rsidRDefault="00F70C71" w:rsidP="00586D67">
            <w:pPr>
              <w:pStyle w:val="TableText"/>
              <w:jc w:val="center"/>
              <w:rPr>
                <w:b/>
                <w:lang w:eastAsia="en-AU"/>
              </w:rPr>
            </w:pPr>
            <w:r>
              <w:rPr>
                <w:b/>
                <w:lang w:eastAsia="en-AU"/>
              </w:rPr>
              <w:t>Growth in average taxable income</w:t>
            </w:r>
            <w:r>
              <w:rPr>
                <w:b/>
                <w:vertAlign w:val="superscript"/>
                <w:lang w:eastAsia="en-AU"/>
              </w:rPr>
              <w:t>(a</w:t>
            </w:r>
            <w:r w:rsidRPr="008939DA">
              <w:rPr>
                <w:b/>
                <w:vertAlign w:val="superscript"/>
                <w:lang w:eastAsia="en-AU"/>
              </w:rPr>
              <w:t>)</w:t>
            </w:r>
          </w:p>
        </w:tc>
        <w:tc>
          <w:tcPr>
            <w:tcW w:w="696" w:type="pct"/>
            <w:tcBorders>
              <w:top w:val="single" w:sz="4" w:space="0" w:color="auto"/>
              <w:left w:val="nil"/>
              <w:bottom w:val="single" w:sz="4" w:space="0" w:color="auto"/>
              <w:right w:val="nil"/>
            </w:tcBorders>
            <w:shd w:val="clear" w:color="auto" w:fill="2B3B5F" w:themeFill="text2"/>
            <w:vAlign w:val="center"/>
          </w:tcPr>
          <w:p w:rsidR="00F70C71" w:rsidRPr="008939DA" w:rsidRDefault="00F70C71" w:rsidP="00586D67">
            <w:pPr>
              <w:pStyle w:val="TableText"/>
              <w:jc w:val="center"/>
              <w:rPr>
                <w:b/>
                <w:lang w:eastAsia="en-AU"/>
              </w:rPr>
            </w:pPr>
            <w:r w:rsidRPr="008939DA">
              <w:rPr>
                <w:b/>
                <w:lang w:eastAsia="en-AU"/>
              </w:rPr>
              <w:t>Average tax rate</w:t>
            </w:r>
            <w:r>
              <w:rPr>
                <w:b/>
                <w:lang w:eastAsia="en-AU"/>
              </w:rPr>
              <w:t xml:space="preserve"> (</w:t>
            </w:r>
            <w:r w:rsidRPr="008939DA">
              <w:rPr>
                <w:b/>
                <w:lang w:eastAsia="en-AU"/>
              </w:rPr>
              <w:t xml:space="preserve">per cent), </w:t>
            </w:r>
            <w:r>
              <w:rPr>
                <w:b/>
                <w:lang w:eastAsia="en-AU"/>
              </w:rPr>
              <w:t xml:space="preserve">    2</w:t>
            </w:r>
            <w:r w:rsidRPr="008939DA">
              <w:rPr>
                <w:b/>
                <w:lang w:eastAsia="en-AU"/>
              </w:rPr>
              <w:t>017–18</w:t>
            </w:r>
            <w:r>
              <w:rPr>
                <w:b/>
                <w:lang w:eastAsia="en-AU"/>
              </w:rPr>
              <w:t xml:space="preserve">  </w:t>
            </w:r>
          </w:p>
        </w:tc>
        <w:tc>
          <w:tcPr>
            <w:tcW w:w="828" w:type="pct"/>
            <w:tcBorders>
              <w:top w:val="single" w:sz="4" w:space="0" w:color="auto"/>
              <w:left w:val="nil"/>
              <w:bottom w:val="single" w:sz="4" w:space="0" w:color="auto"/>
              <w:right w:val="nil"/>
            </w:tcBorders>
            <w:shd w:val="clear" w:color="auto" w:fill="2B3B5F" w:themeFill="text2"/>
            <w:vAlign w:val="center"/>
          </w:tcPr>
          <w:p w:rsidR="00F70C71" w:rsidRDefault="00F70C71" w:rsidP="00586D67">
            <w:pPr>
              <w:pStyle w:val="TableText"/>
              <w:jc w:val="center"/>
              <w:rPr>
                <w:b/>
                <w:lang w:eastAsia="en-AU"/>
              </w:rPr>
            </w:pPr>
            <w:r w:rsidRPr="008939DA">
              <w:rPr>
                <w:b/>
                <w:lang w:eastAsia="en-AU"/>
              </w:rPr>
              <w:t>Projected increase in average tax rate</w:t>
            </w:r>
            <w:r w:rsidRPr="008939DA">
              <w:rPr>
                <w:b/>
                <w:vertAlign w:val="superscript"/>
                <w:lang w:eastAsia="en-AU"/>
              </w:rPr>
              <w:t>(</w:t>
            </w:r>
            <w:r>
              <w:rPr>
                <w:b/>
                <w:vertAlign w:val="superscript"/>
                <w:lang w:eastAsia="en-AU"/>
              </w:rPr>
              <w:t>b</w:t>
            </w:r>
            <w:r w:rsidRPr="008939DA">
              <w:rPr>
                <w:b/>
                <w:vertAlign w:val="superscript"/>
                <w:lang w:eastAsia="en-AU"/>
              </w:rPr>
              <w:t xml:space="preserve">) </w:t>
            </w:r>
          </w:p>
        </w:tc>
        <w:tc>
          <w:tcPr>
            <w:tcW w:w="823" w:type="pct"/>
            <w:tcBorders>
              <w:top w:val="single" w:sz="4" w:space="0" w:color="auto"/>
              <w:left w:val="nil"/>
              <w:bottom w:val="single" w:sz="4" w:space="0" w:color="auto"/>
              <w:right w:val="nil"/>
            </w:tcBorders>
            <w:shd w:val="clear" w:color="auto" w:fill="2B3B5F" w:themeFill="text2"/>
            <w:vAlign w:val="center"/>
          </w:tcPr>
          <w:p w:rsidR="00F70C71" w:rsidRPr="008939DA" w:rsidRDefault="00F70C71" w:rsidP="00586D67">
            <w:pPr>
              <w:pStyle w:val="TableText"/>
              <w:jc w:val="center"/>
              <w:rPr>
                <w:b/>
                <w:lang w:eastAsia="en-AU"/>
              </w:rPr>
            </w:pPr>
            <w:r>
              <w:rPr>
                <w:b/>
                <w:lang w:eastAsia="en-AU"/>
              </w:rPr>
              <w:t xml:space="preserve">Growth in average tax </w:t>
            </w:r>
            <w:r>
              <w:rPr>
                <w:b/>
                <w:vertAlign w:val="superscript"/>
                <w:lang w:eastAsia="en-AU"/>
              </w:rPr>
              <w:t>(a)</w:t>
            </w:r>
          </w:p>
        </w:tc>
      </w:tr>
      <w:tr w:rsidR="00F70C71" w:rsidRPr="00191FC1" w:rsidTr="00586D67">
        <w:trPr>
          <w:cantSplit/>
          <w:trHeight w:val="342"/>
          <w:jc w:val="center"/>
        </w:trPr>
        <w:tc>
          <w:tcPr>
            <w:tcW w:w="516"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sidRPr="00191FC1">
              <w:rPr>
                <w:lang w:eastAsia="en-AU"/>
              </w:rPr>
              <w:t>1</w:t>
            </w:r>
          </w:p>
        </w:tc>
        <w:tc>
          <w:tcPr>
            <w:tcW w:w="744"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sidRPr="00191FC1">
              <w:rPr>
                <w:lang w:eastAsia="en-AU"/>
              </w:rPr>
              <w:t xml:space="preserve">Up to </w:t>
            </w:r>
            <w:r>
              <w:rPr>
                <w:lang w:eastAsia="en-AU"/>
              </w:rPr>
              <w:t>$20,000</w:t>
            </w:r>
          </w:p>
        </w:tc>
        <w:tc>
          <w:tcPr>
            <w:tcW w:w="696" w:type="pct"/>
            <w:tcBorders>
              <w:top w:val="nil"/>
              <w:left w:val="nil"/>
              <w:bottom w:val="nil"/>
              <w:right w:val="nil"/>
            </w:tcBorders>
            <w:vAlign w:val="center"/>
          </w:tcPr>
          <w:p w:rsidR="00F70C71" w:rsidRPr="00191FC1" w:rsidRDefault="00F70C71" w:rsidP="00586D67">
            <w:pPr>
              <w:pStyle w:val="TableText"/>
              <w:jc w:val="center"/>
              <w:rPr>
                <w:lang w:eastAsia="en-AU"/>
              </w:rPr>
            </w:pPr>
            <w:r>
              <w:rPr>
                <w:lang w:eastAsia="en-AU"/>
              </w:rPr>
              <w:t>$8,000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$800</w:t>
            </w:r>
          </w:p>
        </w:tc>
        <w:tc>
          <w:tcPr>
            <w:tcW w:w="696" w:type="pct"/>
            <w:tcBorders>
              <w:top w:val="nil"/>
              <w:left w:val="nil"/>
              <w:bottom w:val="nil"/>
              <w:right w:val="nil"/>
            </w:tcBorders>
            <w:vAlign w:val="center"/>
          </w:tcPr>
          <w:p w:rsidR="00F70C71" w:rsidRPr="00191FC1" w:rsidRDefault="00B81375" w:rsidP="00586D67">
            <w:pPr>
              <w:pStyle w:val="TableText"/>
              <w:jc w:val="center"/>
              <w:rPr>
                <w:lang w:eastAsia="en-AU"/>
              </w:rPr>
            </w:pPr>
            <w:r>
              <w:rPr>
                <w:lang w:eastAsia="en-AU"/>
              </w:rPr>
              <w:t>..</w:t>
            </w:r>
          </w:p>
        </w:tc>
        <w:tc>
          <w:tcPr>
            <w:tcW w:w="828"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0.2</w:t>
            </w:r>
          </w:p>
        </w:tc>
        <w:tc>
          <w:tcPr>
            <w:tcW w:w="823" w:type="pct"/>
            <w:tcBorders>
              <w:top w:val="nil"/>
              <w:left w:val="nil"/>
              <w:bottom w:val="nil"/>
              <w:right w:val="nil"/>
            </w:tcBorders>
            <w:vAlign w:val="center"/>
          </w:tcPr>
          <w:p w:rsidR="00F70C71" w:rsidRDefault="00B81375" w:rsidP="00586D67">
            <w:pPr>
              <w:pStyle w:val="TableText"/>
              <w:jc w:val="center"/>
              <w:rPr>
                <w:lang w:eastAsia="en-AU"/>
              </w:rPr>
            </w:pPr>
            <w:r>
              <w:rPr>
                <w:lang w:eastAsia="en-AU"/>
              </w:rPr>
              <w:t>..</w:t>
            </w:r>
          </w:p>
        </w:tc>
      </w:tr>
      <w:tr w:rsidR="00F70C71" w:rsidRPr="00191FC1" w:rsidTr="00586D67">
        <w:trPr>
          <w:cantSplit/>
          <w:trHeight w:val="342"/>
          <w:jc w:val="center"/>
        </w:trPr>
        <w:tc>
          <w:tcPr>
            <w:tcW w:w="516"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sidRPr="00191FC1">
              <w:rPr>
                <w:lang w:eastAsia="en-AU"/>
              </w:rPr>
              <w:t>2</w:t>
            </w:r>
          </w:p>
        </w:tc>
        <w:tc>
          <w:tcPr>
            <w:tcW w:w="744"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Pr>
                <w:lang w:eastAsia="en-AU"/>
              </w:rPr>
              <w:t>$</w:t>
            </w:r>
            <w:r w:rsidRPr="00191FC1">
              <w:rPr>
                <w:lang w:eastAsia="en-AU"/>
              </w:rPr>
              <w:t>20,000</w:t>
            </w:r>
            <w:r>
              <w:rPr>
                <w:lang w:eastAsia="en-AU"/>
              </w:rPr>
              <w:t xml:space="preserve"> to $37,000</w:t>
            </w:r>
          </w:p>
        </w:tc>
        <w:tc>
          <w:tcPr>
            <w:tcW w:w="696" w:type="pct"/>
            <w:tcBorders>
              <w:top w:val="nil"/>
              <w:left w:val="nil"/>
              <w:bottom w:val="nil"/>
              <w:right w:val="nil"/>
            </w:tcBorders>
            <w:vAlign w:val="center"/>
          </w:tcPr>
          <w:p w:rsidR="00F70C71" w:rsidRPr="00191FC1" w:rsidRDefault="00F70C71" w:rsidP="00586D67">
            <w:pPr>
              <w:pStyle w:val="TableText"/>
              <w:jc w:val="center"/>
              <w:rPr>
                <w:lang w:eastAsia="en-AU"/>
              </w:rPr>
            </w:pPr>
            <w:r>
              <w:rPr>
                <w:lang w:eastAsia="en-AU"/>
              </w:rPr>
              <w:t>$</w:t>
            </w:r>
            <w:r w:rsidRPr="00191FC1">
              <w:rPr>
                <w:lang w:eastAsia="en-AU"/>
              </w:rPr>
              <w:t>2</w:t>
            </w:r>
            <w:r>
              <w:rPr>
                <w:lang w:eastAsia="en-AU"/>
              </w:rPr>
              <w:t>8</w:t>
            </w:r>
            <w:r w:rsidRPr="00191FC1">
              <w:rPr>
                <w:lang w:eastAsia="en-AU"/>
              </w:rPr>
              <w:t>,000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$3,500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5.5</w:t>
            </w:r>
          </w:p>
        </w:tc>
        <w:tc>
          <w:tcPr>
            <w:tcW w:w="828"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2.5</w:t>
            </w:r>
          </w:p>
        </w:tc>
        <w:tc>
          <w:tcPr>
            <w:tcW w:w="823"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$900</w:t>
            </w:r>
          </w:p>
        </w:tc>
      </w:tr>
      <w:tr w:rsidR="00F70C71" w:rsidRPr="00191FC1" w:rsidTr="00586D67">
        <w:trPr>
          <w:cantSplit/>
          <w:trHeight w:val="342"/>
          <w:jc w:val="center"/>
        </w:trPr>
        <w:tc>
          <w:tcPr>
            <w:tcW w:w="516"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sidRPr="00191FC1">
              <w:rPr>
                <w:lang w:eastAsia="en-AU"/>
              </w:rPr>
              <w:t>3</w:t>
            </w:r>
          </w:p>
        </w:tc>
        <w:tc>
          <w:tcPr>
            <w:tcW w:w="744"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Pr>
                <w:lang w:eastAsia="en-AU"/>
              </w:rPr>
              <w:t>$</w:t>
            </w:r>
            <w:r w:rsidRPr="00191FC1">
              <w:rPr>
                <w:lang w:eastAsia="en-AU"/>
              </w:rPr>
              <w:t>37,000</w:t>
            </w:r>
            <w:r>
              <w:rPr>
                <w:lang w:eastAsia="en-AU"/>
              </w:rPr>
              <w:t xml:space="preserve"> to $56,000</w:t>
            </w:r>
          </w:p>
        </w:tc>
        <w:tc>
          <w:tcPr>
            <w:tcW w:w="696" w:type="pct"/>
            <w:tcBorders>
              <w:top w:val="nil"/>
              <w:left w:val="nil"/>
              <w:bottom w:val="nil"/>
              <w:right w:val="nil"/>
            </w:tcBorders>
            <w:vAlign w:val="center"/>
          </w:tcPr>
          <w:p w:rsidR="00F70C71" w:rsidRPr="00191FC1" w:rsidRDefault="00F70C71" w:rsidP="00586D67">
            <w:pPr>
              <w:pStyle w:val="TableText"/>
              <w:jc w:val="center"/>
              <w:rPr>
                <w:lang w:eastAsia="en-AU"/>
              </w:rPr>
            </w:pPr>
            <w:r>
              <w:rPr>
                <w:lang w:eastAsia="en-AU"/>
              </w:rPr>
              <w:t>$46</w:t>
            </w:r>
            <w:r w:rsidRPr="00191FC1">
              <w:rPr>
                <w:lang w:eastAsia="en-AU"/>
              </w:rPr>
              <w:t>,000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$6,100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14.9</w:t>
            </w:r>
          </w:p>
        </w:tc>
        <w:tc>
          <w:tcPr>
            <w:tcW w:w="828"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3.2</w:t>
            </w:r>
          </w:p>
        </w:tc>
        <w:tc>
          <w:tcPr>
            <w:tcW w:w="823"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$2,500</w:t>
            </w:r>
          </w:p>
        </w:tc>
      </w:tr>
      <w:tr w:rsidR="00F70C71" w:rsidRPr="00191FC1" w:rsidTr="00586D67">
        <w:trPr>
          <w:cantSplit/>
          <w:trHeight w:val="342"/>
          <w:jc w:val="center"/>
        </w:trPr>
        <w:tc>
          <w:tcPr>
            <w:tcW w:w="516"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sidRPr="00191FC1">
              <w:rPr>
                <w:lang w:eastAsia="en-AU"/>
              </w:rPr>
              <w:t>4</w:t>
            </w:r>
          </w:p>
        </w:tc>
        <w:tc>
          <w:tcPr>
            <w:tcW w:w="744"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Pr>
                <w:lang w:eastAsia="en-AU"/>
              </w:rPr>
              <w:t>$</w:t>
            </w:r>
            <w:r w:rsidRPr="00191FC1">
              <w:rPr>
                <w:lang w:eastAsia="en-AU"/>
              </w:rPr>
              <w:t>56,000</w:t>
            </w:r>
            <w:r>
              <w:rPr>
                <w:lang w:eastAsia="en-AU"/>
              </w:rPr>
              <w:t xml:space="preserve"> to $85,000</w:t>
            </w:r>
          </w:p>
        </w:tc>
        <w:tc>
          <w:tcPr>
            <w:tcW w:w="696" w:type="pct"/>
            <w:tcBorders>
              <w:top w:val="nil"/>
              <w:left w:val="nil"/>
              <w:bottom w:val="nil"/>
              <w:right w:val="nil"/>
            </w:tcBorders>
            <w:vAlign w:val="center"/>
          </w:tcPr>
          <w:p w:rsidR="00F70C71" w:rsidRPr="00191FC1" w:rsidRDefault="00F70C71" w:rsidP="00586D67">
            <w:pPr>
              <w:pStyle w:val="TableText"/>
              <w:jc w:val="center"/>
              <w:rPr>
                <w:lang w:eastAsia="en-AU"/>
              </w:rPr>
            </w:pPr>
            <w:r>
              <w:rPr>
                <w:lang w:eastAsia="en-AU"/>
              </w:rPr>
              <w:t>$69</w:t>
            </w:r>
            <w:r w:rsidRPr="00191FC1">
              <w:rPr>
                <w:lang w:eastAsia="en-AU"/>
              </w:rPr>
              <w:t>,000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$9,600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21.9</w:t>
            </w:r>
          </w:p>
        </w:tc>
        <w:tc>
          <w:tcPr>
            <w:tcW w:w="828"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2.2</w:t>
            </w:r>
          </w:p>
        </w:tc>
        <w:tc>
          <w:tcPr>
            <w:tcW w:w="823"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$3,700</w:t>
            </w:r>
          </w:p>
        </w:tc>
      </w:tr>
      <w:tr w:rsidR="00F70C71" w:rsidRPr="00191FC1" w:rsidTr="00586D67">
        <w:trPr>
          <w:cantSplit/>
          <w:trHeight w:val="342"/>
          <w:jc w:val="center"/>
        </w:trPr>
        <w:tc>
          <w:tcPr>
            <w:tcW w:w="516"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sidRPr="00191FC1">
              <w:rPr>
                <w:lang w:eastAsia="en-AU"/>
              </w:rPr>
              <w:t>5</w:t>
            </w:r>
          </w:p>
        </w:tc>
        <w:tc>
          <w:tcPr>
            <w:tcW w:w="744" w:type="pct"/>
            <w:tcBorders>
              <w:top w:val="nil"/>
              <w:left w:val="nil"/>
              <w:bottom w:val="nil"/>
              <w:right w:val="nil"/>
            </w:tcBorders>
            <w:shd w:val="clear" w:color="auto" w:fill="auto"/>
            <w:noWrap/>
            <w:vAlign w:val="center"/>
            <w:hideMark/>
          </w:tcPr>
          <w:p w:rsidR="00F70C71" w:rsidRPr="00191FC1" w:rsidRDefault="00F70C71" w:rsidP="00586D67">
            <w:pPr>
              <w:pStyle w:val="TableText"/>
              <w:jc w:val="center"/>
              <w:rPr>
                <w:lang w:eastAsia="en-AU"/>
              </w:rPr>
            </w:pPr>
            <w:r>
              <w:rPr>
                <w:lang w:eastAsia="en-AU"/>
              </w:rPr>
              <w:t>$</w:t>
            </w:r>
            <w:r w:rsidRPr="00191FC1">
              <w:rPr>
                <w:lang w:eastAsia="en-AU"/>
              </w:rPr>
              <w:t>85,000</w:t>
            </w:r>
            <w:r>
              <w:rPr>
                <w:lang w:eastAsia="en-AU"/>
              </w:rPr>
              <w:t xml:space="preserve"> and above</w:t>
            </w:r>
          </w:p>
        </w:tc>
        <w:tc>
          <w:tcPr>
            <w:tcW w:w="696" w:type="pct"/>
            <w:tcBorders>
              <w:top w:val="nil"/>
              <w:left w:val="nil"/>
              <w:bottom w:val="nil"/>
              <w:right w:val="nil"/>
            </w:tcBorders>
            <w:vAlign w:val="center"/>
          </w:tcPr>
          <w:p w:rsidR="00F70C71" w:rsidRPr="00191FC1" w:rsidRDefault="00F70C71" w:rsidP="00586D67">
            <w:pPr>
              <w:pStyle w:val="TableText"/>
              <w:jc w:val="center"/>
              <w:rPr>
                <w:lang w:eastAsia="en-AU"/>
              </w:rPr>
            </w:pPr>
            <w:r>
              <w:rPr>
                <w:lang w:eastAsia="en-AU"/>
              </w:rPr>
              <w:t>$156</w:t>
            </w:r>
            <w:r w:rsidRPr="00191FC1">
              <w:rPr>
                <w:lang w:eastAsia="en-AU"/>
              </w:rPr>
              <w:t>,000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$23,400</w:t>
            </w:r>
          </w:p>
        </w:tc>
        <w:tc>
          <w:tcPr>
            <w:tcW w:w="696"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32.0</w:t>
            </w:r>
          </w:p>
        </w:tc>
        <w:tc>
          <w:tcPr>
            <w:tcW w:w="828"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1.9</w:t>
            </w:r>
          </w:p>
        </w:tc>
        <w:tc>
          <w:tcPr>
            <w:tcW w:w="823" w:type="pct"/>
            <w:tcBorders>
              <w:top w:val="nil"/>
              <w:left w:val="nil"/>
              <w:bottom w:val="nil"/>
              <w:right w:val="nil"/>
            </w:tcBorders>
            <w:vAlign w:val="center"/>
          </w:tcPr>
          <w:p w:rsidR="00F70C71" w:rsidRDefault="00F70C71" w:rsidP="00586D67">
            <w:pPr>
              <w:pStyle w:val="TableText"/>
              <w:jc w:val="center"/>
              <w:rPr>
                <w:lang w:eastAsia="en-AU"/>
              </w:rPr>
            </w:pPr>
            <w:r>
              <w:rPr>
                <w:lang w:eastAsia="en-AU"/>
              </w:rPr>
              <w:t>$10,700</w:t>
            </w:r>
          </w:p>
        </w:tc>
      </w:tr>
      <w:tr w:rsidR="00F70C71" w:rsidRPr="00191FC1" w:rsidTr="00586D67">
        <w:trPr>
          <w:cantSplit/>
          <w:trHeight w:val="342"/>
          <w:jc w:val="center"/>
        </w:trPr>
        <w:tc>
          <w:tcPr>
            <w:tcW w:w="516" w:type="pct"/>
            <w:tcBorders>
              <w:top w:val="nil"/>
              <w:left w:val="nil"/>
              <w:bottom w:val="single" w:sz="4" w:space="0" w:color="auto"/>
              <w:right w:val="nil"/>
            </w:tcBorders>
            <w:shd w:val="clear" w:color="auto" w:fill="auto"/>
            <w:noWrap/>
            <w:vAlign w:val="center"/>
          </w:tcPr>
          <w:p w:rsidR="00F70C71" w:rsidRPr="00191FC1" w:rsidRDefault="00F70C71" w:rsidP="00586D67">
            <w:pPr>
              <w:pStyle w:val="TableText"/>
              <w:jc w:val="center"/>
              <w:rPr>
                <w:lang w:eastAsia="en-AU"/>
              </w:rPr>
            </w:pPr>
            <w:r>
              <w:rPr>
                <w:lang w:eastAsia="en-AU"/>
              </w:rPr>
              <w:t xml:space="preserve">All </w:t>
            </w:r>
          </w:p>
        </w:tc>
        <w:tc>
          <w:tcPr>
            <w:tcW w:w="744" w:type="pct"/>
            <w:tcBorders>
              <w:top w:val="nil"/>
              <w:left w:val="nil"/>
              <w:bottom w:val="single" w:sz="4" w:space="0" w:color="auto"/>
              <w:right w:val="nil"/>
            </w:tcBorders>
            <w:shd w:val="clear" w:color="auto" w:fill="auto"/>
            <w:noWrap/>
            <w:vAlign w:val="center"/>
          </w:tcPr>
          <w:p w:rsidR="00F70C71" w:rsidRDefault="00F70C71" w:rsidP="00586D67">
            <w:pPr>
              <w:pStyle w:val="TableText"/>
              <w:jc w:val="center"/>
              <w:rPr>
                <w:lang w:eastAsia="en-AU"/>
              </w:rPr>
            </w:pPr>
            <w:r>
              <w:rPr>
                <w:lang w:eastAsia="en-AU"/>
              </w:rPr>
              <w:t>n/a</w:t>
            </w:r>
          </w:p>
        </w:tc>
        <w:tc>
          <w:tcPr>
            <w:tcW w:w="696" w:type="pct"/>
            <w:tcBorders>
              <w:top w:val="nil"/>
              <w:left w:val="nil"/>
              <w:bottom w:val="single" w:sz="4" w:space="0" w:color="auto"/>
              <w:right w:val="nil"/>
            </w:tcBorders>
            <w:vAlign w:val="center"/>
          </w:tcPr>
          <w:p w:rsidR="00F70C71" w:rsidRDefault="00336447" w:rsidP="00586D67">
            <w:pPr>
              <w:pStyle w:val="TableText"/>
              <w:jc w:val="center"/>
              <w:rPr>
                <w:lang w:eastAsia="en-AU"/>
              </w:rPr>
            </w:pPr>
            <w:r>
              <w:rPr>
                <w:lang w:eastAsia="en-AU"/>
              </w:rPr>
              <w:t>$62,000</w:t>
            </w:r>
          </w:p>
        </w:tc>
        <w:tc>
          <w:tcPr>
            <w:tcW w:w="696" w:type="pct"/>
            <w:tcBorders>
              <w:top w:val="nil"/>
              <w:left w:val="nil"/>
              <w:bottom w:val="single" w:sz="4" w:space="0" w:color="auto"/>
              <w:right w:val="nil"/>
            </w:tcBorders>
          </w:tcPr>
          <w:p w:rsidR="00F70C71" w:rsidRDefault="00336447" w:rsidP="00B81375">
            <w:pPr>
              <w:pStyle w:val="TableText"/>
              <w:jc w:val="center"/>
              <w:rPr>
                <w:lang w:eastAsia="en-AU"/>
              </w:rPr>
            </w:pPr>
            <w:r>
              <w:rPr>
                <w:lang w:eastAsia="en-AU"/>
              </w:rPr>
              <w:t>$</w:t>
            </w:r>
            <w:r w:rsidR="00B81375">
              <w:rPr>
                <w:lang w:eastAsia="en-AU"/>
              </w:rPr>
              <w:t>8</w:t>
            </w:r>
            <w:r>
              <w:rPr>
                <w:lang w:eastAsia="en-AU"/>
              </w:rPr>
              <w:t>,</w:t>
            </w:r>
            <w:r w:rsidR="00B81375">
              <w:rPr>
                <w:lang w:eastAsia="en-AU"/>
              </w:rPr>
              <w:t>7</w:t>
            </w:r>
            <w:r>
              <w:rPr>
                <w:lang w:eastAsia="en-AU"/>
              </w:rPr>
              <w:t>00</w:t>
            </w:r>
          </w:p>
        </w:tc>
        <w:tc>
          <w:tcPr>
            <w:tcW w:w="696" w:type="pct"/>
            <w:tcBorders>
              <w:top w:val="nil"/>
              <w:left w:val="nil"/>
              <w:bottom w:val="single" w:sz="4" w:space="0" w:color="auto"/>
              <w:right w:val="nil"/>
            </w:tcBorders>
          </w:tcPr>
          <w:p w:rsidR="00F70C71" w:rsidRDefault="00336447" w:rsidP="00586D67">
            <w:pPr>
              <w:pStyle w:val="TableText"/>
              <w:jc w:val="center"/>
              <w:rPr>
                <w:lang w:eastAsia="en-AU"/>
              </w:rPr>
            </w:pPr>
            <w:r>
              <w:rPr>
                <w:lang w:eastAsia="en-AU"/>
              </w:rPr>
              <w:t>23.9</w:t>
            </w:r>
          </w:p>
        </w:tc>
        <w:tc>
          <w:tcPr>
            <w:tcW w:w="828" w:type="pct"/>
            <w:tcBorders>
              <w:top w:val="nil"/>
              <w:left w:val="nil"/>
              <w:bottom w:val="single" w:sz="4" w:space="0" w:color="auto"/>
              <w:right w:val="nil"/>
            </w:tcBorders>
          </w:tcPr>
          <w:p w:rsidR="00F70C71" w:rsidRDefault="00336447" w:rsidP="00586D67">
            <w:pPr>
              <w:pStyle w:val="TableText"/>
              <w:jc w:val="center"/>
              <w:rPr>
                <w:lang w:eastAsia="en-AU"/>
              </w:rPr>
            </w:pPr>
            <w:r>
              <w:rPr>
                <w:lang w:eastAsia="en-AU"/>
              </w:rPr>
              <w:t>2.3</w:t>
            </w:r>
          </w:p>
        </w:tc>
        <w:tc>
          <w:tcPr>
            <w:tcW w:w="823" w:type="pct"/>
            <w:tcBorders>
              <w:top w:val="nil"/>
              <w:left w:val="nil"/>
              <w:bottom w:val="single" w:sz="4" w:space="0" w:color="auto"/>
              <w:right w:val="nil"/>
            </w:tcBorders>
          </w:tcPr>
          <w:p w:rsidR="00F70C71" w:rsidRDefault="00336447" w:rsidP="00B81375">
            <w:pPr>
              <w:pStyle w:val="TableText"/>
              <w:jc w:val="center"/>
              <w:rPr>
                <w:lang w:eastAsia="en-AU"/>
              </w:rPr>
            </w:pPr>
            <w:r>
              <w:rPr>
                <w:lang w:eastAsia="en-AU"/>
              </w:rPr>
              <w:t>$3,</w:t>
            </w:r>
            <w:r w:rsidR="00B81375">
              <w:rPr>
                <w:lang w:eastAsia="en-AU"/>
              </w:rPr>
              <w:t>6</w:t>
            </w:r>
            <w:r>
              <w:rPr>
                <w:lang w:eastAsia="en-AU"/>
              </w:rPr>
              <w:t>00</w:t>
            </w:r>
          </w:p>
        </w:tc>
      </w:tr>
    </w:tbl>
    <w:p w:rsidR="00F70C71" w:rsidRDefault="00F70C71" w:rsidP="00F70C71">
      <w:pPr>
        <w:pStyle w:val="ListParagraph"/>
        <w:ind w:left="0"/>
        <w:rPr>
          <w:color w:val="808080" w:themeColor="background1" w:themeShade="80"/>
          <w:sz w:val="2"/>
          <w:szCs w:val="2"/>
        </w:rPr>
      </w:pPr>
    </w:p>
    <w:p w:rsidR="00F70C71" w:rsidRDefault="00F70C71" w:rsidP="00F70C71">
      <w:pPr>
        <w:pStyle w:val="ListParagraph"/>
        <w:ind w:left="0"/>
        <w:rPr>
          <w:color w:val="808080" w:themeColor="background1" w:themeShade="80"/>
          <w:sz w:val="2"/>
          <w:szCs w:val="2"/>
        </w:rPr>
      </w:pPr>
    </w:p>
    <w:p w:rsidR="00F70C71" w:rsidRPr="00EB79E6" w:rsidRDefault="00F70C71" w:rsidP="00F70C71">
      <w:pPr>
        <w:pStyle w:val="ListParagraph"/>
        <w:ind w:left="0"/>
        <w:rPr>
          <w:color w:val="808080" w:themeColor="background1" w:themeShade="80"/>
          <w:sz w:val="2"/>
          <w:szCs w:val="2"/>
        </w:rPr>
      </w:pPr>
    </w:p>
    <w:p w:rsidR="00F70C71" w:rsidRDefault="00F70C71" w:rsidP="00F70C71">
      <w:pPr>
        <w:pStyle w:val="ListParagraph"/>
        <w:ind w:left="0"/>
        <w:rPr>
          <w:color w:val="808080" w:themeColor="background1" w:themeShade="80"/>
          <w:sz w:val="18"/>
          <w:szCs w:val="18"/>
        </w:rPr>
      </w:pPr>
      <w:r w:rsidRPr="00723410">
        <w:rPr>
          <w:color w:val="808080" w:themeColor="background1" w:themeShade="80"/>
          <w:sz w:val="18"/>
          <w:szCs w:val="18"/>
        </w:rPr>
        <w:t>Source:</w:t>
      </w:r>
      <w:r>
        <w:rPr>
          <w:color w:val="808080" w:themeColor="background1" w:themeShade="80"/>
          <w:sz w:val="18"/>
          <w:szCs w:val="18"/>
        </w:rPr>
        <w:t xml:space="preserve"> PBO analysis, ATO data and parameters underlying the 2017–18 </w:t>
      </w:r>
      <w:proofErr w:type="gramStart"/>
      <w:r>
        <w:rPr>
          <w:color w:val="808080" w:themeColor="background1" w:themeShade="80"/>
          <w:sz w:val="18"/>
          <w:szCs w:val="18"/>
        </w:rPr>
        <w:t>Budget</w:t>
      </w:r>
      <w:proofErr w:type="gramEnd"/>
      <w:r>
        <w:rPr>
          <w:color w:val="808080" w:themeColor="background1" w:themeShade="80"/>
          <w:sz w:val="18"/>
          <w:szCs w:val="18"/>
        </w:rPr>
        <w:t>.</w:t>
      </w:r>
    </w:p>
    <w:p w:rsidR="00F70C71" w:rsidRDefault="00F70C71" w:rsidP="00F70C71">
      <w:pPr>
        <w:pStyle w:val="ListParagraph"/>
        <w:ind w:left="0"/>
        <w:rPr>
          <w:color w:val="808080" w:themeColor="background1" w:themeShade="80"/>
          <w:sz w:val="18"/>
          <w:szCs w:val="18"/>
        </w:rPr>
      </w:pPr>
      <w:r>
        <w:rPr>
          <w:color w:val="808080" w:themeColor="background1" w:themeShade="80"/>
          <w:sz w:val="18"/>
          <w:szCs w:val="18"/>
        </w:rPr>
        <w:t>Note: Average taxable income figures are rounded to the nearest $1,000.</w:t>
      </w:r>
    </w:p>
    <w:p w:rsidR="00B81375" w:rsidRDefault="00B81375" w:rsidP="00F70C71">
      <w:pPr>
        <w:pStyle w:val="ListParagraph"/>
        <w:ind w:left="0"/>
        <w:rPr>
          <w:color w:val="808080" w:themeColor="background1" w:themeShade="80"/>
          <w:sz w:val="18"/>
          <w:szCs w:val="18"/>
        </w:rPr>
      </w:pPr>
      <w:r>
        <w:rPr>
          <w:color w:val="808080" w:themeColor="background1" w:themeShade="80"/>
          <w:sz w:val="18"/>
          <w:szCs w:val="18"/>
        </w:rPr>
        <w:t>.. Not zero, but rounded to zero.</w:t>
      </w:r>
    </w:p>
    <w:p w:rsidR="00F70C71" w:rsidRDefault="00F70C71" w:rsidP="00F70C71">
      <w:pPr>
        <w:pStyle w:val="ListParagraph"/>
        <w:ind w:left="0"/>
        <w:rPr>
          <w:color w:val="808080" w:themeColor="background1" w:themeShade="80"/>
          <w:sz w:val="18"/>
          <w:szCs w:val="18"/>
        </w:rPr>
      </w:pPr>
      <w:r>
        <w:rPr>
          <w:color w:val="808080" w:themeColor="background1" w:themeShade="80"/>
          <w:sz w:val="18"/>
          <w:szCs w:val="18"/>
        </w:rPr>
        <w:t>(a)  Increase in 2017–18 dollars between 2017–18 and 2021–22.  These figures are rounded to the nearest $100.</w:t>
      </w:r>
    </w:p>
    <w:p w:rsidR="00F70C71" w:rsidRDefault="00F70C71" w:rsidP="00F70C71">
      <w:pPr>
        <w:pStyle w:val="ListParagraph"/>
        <w:ind w:left="0"/>
        <w:rPr>
          <w:color w:val="808080" w:themeColor="background1" w:themeShade="80"/>
          <w:sz w:val="18"/>
          <w:szCs w:val="18"/>
        </w:rPr>
      </w:pPr>
      <w:r>
        <w:rPr>
          <w:color w:val="808080" w:themeColor="background1" w:themeShade="80"/>
          <w:sz w:val="18"/>
          <w:szCs w:val="18"/>
        </w:rPr>
        <w:t>(b)  Increase in percentage points between 2017–18 and 2021–22.</w:t>
      </w:r>
    </w:p>
    <w:p w:rsidR="00A90C99" w:rsidRDefault="00A90C99" w:rsidP="0022234D">
      <w:pPr>
        <w:pStyle w:val="Heading2"/>
        <w:numPr>
          <w:ilvl w:val="0"/>
          <w:numId w:val="0"/>
        </w:numPr>
        <w:ind w:left="765" w:hanging="765"/>
      </w:pPr>
    </w:p>
    <w:p w:rsidR="00543722" w:rsidRPr="0022234D" w:rsidRDefault="00543722" w:rsidP="0022234D">
      <w:pPr>
        <w:pStyle w:val="BodyText"/>
        <w:sectPr w:rsidR="00543722" w:rsidRPr="0022234D" w:rsidSect="00FD6905">
          <w:footerReference w:type="default" r:id="rId31"/>
          <w:pgSz w:w="16838" w:h="11906" w:orient="landscape" w:code="9"/>
          <w:pgMar w:top="1797" w:right="1361" w:bottom="1797" w:left="1474" w:header="284" w:footer="454" w:gutter="0"/>
          <w:cols w:space="708"/>
          <w:docGrid w:linePitch="360"/>
        </w:sectPr>
      </w:pPr>
    </w:p>
    <w:p w:rsidR="007F257B" w:rsidRDefault="00877DD5" w:rsidP="0022234D">
      <w:pPr>
        <w:pStyle w:val="Heading2"/>
      </w:pPr>
      <w:bookmarkStart w:id="18" w:name="_Toc495329636"/>
      <w:r>
        <w:lastRenderedPageBreak/>
        <w:t>Population included in analysis</w:t>
      </w:r>
      <w:bookmarkEnd w:id="18"/>
    </w:p>
    <w:p w:rsidR="004A78B9" w:rsidRDefault="00457F68" w:rsidP="00A840E2">
      <w:pPr>
        <w:pStyle w:val="BodyText"/>
      </w:pPr>
      <w:r>
        <w:t>This analysis includes</w:t>
      </w:r>
      <w:r w:rsidR="004A78B9">
        <w:t xml:space="preserve"> all Australian residents who file a tax return.</w:t>
      </w:r>
      <w:r w:rsidR="00877DD5">
        <w:t xml:space="preserve">  </w:t>
      </w:r>
      <w:r w:rsidR="007806BA">
        <w:t>Some i</w:t>
      </w:r>
      <w:r>
        <w:t>ndividuals</w:t>
      </w:r>
      <w:r w:rsidR="007806BA">
        <w:t xml:space="preserve">, particularly those on lower incomes, </w:t>
      </w:r>
      <w:r>
        <w:t xml:space="preserve">are not required to submit a tax return, and so they are not captured in this analysis.  The population captured in the </w:t>
      </w:r>
      <w:r w:rsidR="007806BA">
        <w:t xml:space="preserve">historical </w:t>
      </w:r>
      <w:r>
        <w:t xml:space="preserve">analysis </w:t>
      </w:r>
      <w:r w:rsidR="007806BA">
        <w:t xml:space="preserve">may have </w:t>
      </w:r>
      <w:r>
        <w:t>changed over time as the population that is obliged to file a tax return has changed, in particular with the change in the tax</w:t>
      </w:r>
      <w:r>
        <w:noBreakHyphen/>
        <w:t>free threshold in 2012</w:t>
      </w:r>
      <w:r>
        <w:noBreakHyphen/>
        <w:t>13.</w:t>
      </w:r>
    </w:p>
    <w:p w:rsidR="003105A4" w:rsidRDefault="00457F68" w:rsidP="003105A4">
      <w:r>
        <w:t>T</w:t>
      </w:r>
      <w:r w:rsidR="00453BCC" w:rsidRPr="00702A63">
        <w:t xml:space="preserve">he analysis accounts for all Australian residents who submitted a tax return, regardless of whether they paid net personal income tax.  </w:t>
      </w:r>
      <w:r w:rsidR="006B262D">
        <w:t>This is i</w:t>
      </w:r>
      <w:r>
        <w:t>n order to capture as broad a representation of Australia</w:t>
      </w:r>
      <w:r w:rsidR="006B262D">
        <w:t xml:space="preserve">’s population </w:t>
      </w:r>
      <w:r>
        <w:t xml:space="preserve">as possible </w:t>
      </w:r>
      <w:r w:rsidR="006B262D">
        <w:t>in an analysis that uses only th</w:t>
      </w:r>
      <w:r w:rsidR="003105A4">
        <w:t xml:space="preserve">e personal income tax returns. </w:t>
      </w:r>
      <w:r w:rsidR="003105A4">
        <w:br w:type="page"/>
      </w:r>
    </w:p>
    <w:p w:rsidR="003105A4" w:rsidRDefault="003105A4" w:rsidP="003105A4">
      <w:pPr>
        <w:sectPr w:rsidR="003105A4" w:rsidSect="00E03911">
          <w:footerReference w:type="default" r:id="rId32"/>
          <w:pgSz w:w="11906" w:h="16838" w:code="9"/>
          <w:pgMar w:top="1361" w:right="1797" w:bottom="1474" w:left="1797" w:header="284" w:footer="454" w:gutter="0"/>
          <w:cols w:space="708"/>
          <w:docGrid w:linePitch="360"/>
        </w:sectPr>
      </w:pPr>
    </w:p>
    <w:p w:rsidR="00453BCC" w:rsidRDefault="003105A4" w:rsidP="0022234D">
      <w:pPr>
        <w:pStyle w:val="BodyText"/>
      </w:pPr>
      <w:r w:rsidRPr="003105A4">
        <w:rPr>
          <w:noProof/>
          <w:lang w:eastAsia="en-AU"/>
        </w:rPr>
        <w:lastRenderedPageBreak/>
        <w:drawing>
          <wp:anchor distT="0" distB="0" distL="114300" distR="114300" simplePos="0" relativeHeight="251659264" behindDoc="0" locked="0" layoutInCell="1" allowOverlap="1" wp14:anchorId="762C05C3" wp14:editId="11E609BF">
            <wp:simplePos x="0" y="0"/>
            <wp:positionH relativeFrom="column">
              <wp:posOffset>-1137285</wp:posOffset>
            </wp:positionH>
            <wp:positionV relativeFrom="paragraph">
              <wp:posOffset>-857885</wp:posOffset>
            </wp:positionV>
            <wp:extent cx="7561580" cy="10686415"/>
            <wp:effectExtent l="0" t="0" r="1270" b="63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pic:cNvPicPr>
                      <a:picLocks/>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561580" cy="10686415"/>
                    </a:xfrm>
                    <a:prstGeom prst="rect">
                      <a:avLst/>
                    </a:prstGeom>
                  </pic:spPr>
                </pic:pic>
              </a:graphicData>
            </a:graphic>
          </wp:anchor>
        </w:drawing>
      </w:r>
      <w:r w:rsidRPr="003105A4">
        <w:rPr>
          <w:noProof/>
          <w:lang w:eastAsia="en-AU"/>
        </w:rPr>
        <mc:AlternateContent>
          <mc:Choice Requires="wps">
            <w:drawing>
              <wp:anchor distT="0" distB="0" distL="114300" distR="114300" simplePos="0" relativeHeight="251660288" behindDoc="0" locked="0" layoutInCell="1" allowOverlap="1" wp14:anchorId="52AAC481" wp14:editId="7C4174D5">
                <wp:simplePos x="0" y="0"/>
                <wp:positionH relativeFrom="column">
                  <wp:posOffset>1350645</wp:posOffset>
                </wp:positionH>
                <wp:positionV relativeFrom="paragraph">
                  <wp:posOffset>7902413</wp:posOffset>
                </wp:positionV>
                <wp:extent cx="2519045" cy="607695"/>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607695"/>
                        </a:xfrm>
                        <a:prstGeom prst="rect">
                          <a:avLst/>
                        </a:prstGeom>
                        <a:noFill/>
                        <a:ln w="9525">
                          <a:noFill/>
                          <a:miter lim="800000"/>
                          <a:headEnd/>
                          <a:tailEnd/>
                        </a:ln>
                      </wps:spPr>
                      <wps:txbx>
                        <w:txbxContent>
                          <w:p w:rsidR="003105A4" w:rsidRPr="0061135C" w:rsidRDefault="000E2B08" w:rsidP="003105A4">
                            <w:pPr>
                              <w:pStyle w:val="xBackPageWebAddress"/>
                              <w:jc w:val="center"/>
                            </w:pPr>
                            <w:hyperlink r:id="rId34" w:history="1">
                              <w:r w:rsidR="003105A4" w:rsidRPr="0061135C">
                                <w:t>www.pbo.gov.au</w:t>
                              </w:r>
                            </w:hyperlink>
                          </w:p>
                        </w:txbxContent>
                      </wps:txbx>
                      <wps:bodyPr rot="0" vert="horz" wrap="square" lIns="91440" tIns="45720" rIns="91440" bIns="45720" anchor="b"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6.35pt;margin-top:622.25pt;width:198.3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" filled="f" stroked="f">
                <v:textbox>
                  <w:txbxContent>
                    <w:p w:rsidR="003105A4" w:rsidRPr="0061135C" w:rsidRDefault="001056CC" w:rsidP="003105A4">
                      <w:pPr>
                        <w:pStyle w:val="xBackPageWebAddress"/>
                        <w:jc w:val="center"/>
                      </w:pPr>
                      <w:hyperlink r:id="rId35" w:history="1">
                        <w:r w:rsidR="003105A4" w:rsidRPr="0061135C">
                          <w:t>www.pbo.gov.au</w:t>
                        </w:r>
                      </w:hyperlink>
                    </w:p>
                  </w:txbxContent>
                </v:textbox>
              </v:shape>
            </w:pict>
          </mc:Fallback>
        </mc:AlternateContent>
      </w:r>
    </w:p>
    <w:sectPr w:rsidR="00453BCC" w:rsidSect="00FD6905">
      <w:pgSz w:w="11906" w:h="16838" w:code="9"/>
      <w:pgMar w:top="1361" w:right="1797" w:bottom="1474" w:left="179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6CC" w:rsidRDefault="001056CC" w:rsidP="00A20802">
      <w:pPr>
        <w:spacing w:line="240" w:lineRule="auto"/>
      </w:pPr>
      <w:r>
        <w:separator/>
      </w:r>
    </w:p>
    <w:p w:rsidR="001056CC" w:rsidRDefault="001056CC"/>
  </w:endnote>
  <w:endnote w:type="continuationSeparator" w:id="0">
    <w:p w:rsidR="001056CC" w:rsidRDefault="001056CC" w:rsidP="00A20802">
      <w:pPr>
        <w:spacing w:line="240" w:lineRule="auto"/>
      </w:pPr>
      <w:r>
        <w:continuationSeparator/>
      </w:r>
    </w:p>
    <w:p w:rsidR="001056CC" w:rsidRDefault="0010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BA08B3" w:rsidRPr="00EB388E" w:rsidTr="00C80200">
      <w:trPr>
        <w:trHeight w:val="340"/>
      </w:trPr>
      <w:tc>
        <w:tcPr>
          <w:tcW w:w="567" w:type="dxa"/>
          <w:tcBorders>
            <w:right w:val="single" w:sz="4" w:space="0" w:color="788184" w:themeColor="background2"/>
          </w:tcBorders>
          <w:vAlign w:val="center"/>
        </w:tcPr>
        <w:p w:rsidR="00BA08B3" w:rsidRPr="00CB70DF" w:rsidRDefault="00BA08B3"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BD6BFD">
            <w:rPr>
              <w:noProof/>
            </w:rPr>
            <w:t>2</w:t>
          </w:r>
          <w:r w:rsidRPr="00EB388E">
            <w:fldChar w:fldCharType="end"/>
          </w:r>
        </w:p>
      </w:tc>
      <w:tc>
        <w:tcPr>
          <w:tcW w:w="8164" w:type="dxa"/>
          <w:tcBorders>
            <w:left w:val="single" w:sz="4" w:space="0" w:color="788184" w:themeColor="background2"/>
          </w:tcBorders>
          <w:vAlign w:val="center"/>
        </w:tcPr>
        <w:p w:rsidR="00BA08B3" w:rsidRPr="00CB70DF" w:rsidRDefault="000E2B08" w:rsidP="00C80200">
          <w:pPr>
            <w:pStyle w:val="FooterLeft"/>
            <w:framePr w:wrap="auto" w:vAnchor="margin" w:hAnchor="text" w:yAlign="inline"/>
          </w:pPr>
          <w:r>
            <w:fldChar w:fldCharType="begin"/>
          </w:r>
          <w:r>
            <w:instrText xml:space="preserve"> STYLEREF  Title  \* MERGEFORMAT </w:instrText>
          </w:r>
          <w:r>
            <w:fldChar w:fldCharType="separate"/>
          </w:r>
          <w:r w:rsidR="00BD6BFD">
            <w:rPr>
              <w:noProof/>
            </w:rPr>
            <w:t>Changes in average personal income tax rates: distributional impacts</w:t>
          </w:r>
          <w:r>
            <w:rPr>
              <w:noProof/>
            </w:rPr>
            <w:fldChar w:fldCharType="end"/>
          </w:r>
        </w:p>
      </w:tc>
    </w:tr>
    <w:tr w:rsidR="00BA08B3" w:rsidRPr="00EB388E" w:rsidTr="00C80200">
      <w:trPr>
        <w:trHeight w:hRule="exact" w:val="403"/>
      </w:trPr>
      <w:tc>
        <w:tcPr>
          <w:tcW w:w="567" w:type="dxa"/>
          <w:tcMar>
            <w:bottom w:w="284" w:type="dxa"/>
          </w:tcMar>
        </w:tcPr>
        <w:p w:rsidR="00BA08B3" w:rsidRPr="00EB388E" w:rsidRDefault="00BA08B3" w:rsidP="00C80200">
          <w:pPr>
            <w:pStyle w:val="FooterRightPageNumber"/>
          </w:pPr>
        </w:p>
      </w:tc>
      <w:tc>
        <w:tcPr>
          <w:tcW w:w="8164" w:type="dxa"/>
          <w:tcMar>
            <w:bottom w:w="284" w:type="dxa"/>
          </w:tcMar>
        </w:tcPr>
        <w:p w:rsidR="00BA08B3" w:rsidRPr="00090E70" w:rsidRDefault="00BA08B3" w:rsidP="00C80200"/>
      </w:tc>
    </w:tr>
  </w:tbl>
  <w:p w:rsidR="00BA08B3" w:rsidRDefault="00BA08B3">
    <w:pPr>
      <w:pStyle w:val="Footer"/>
    </w:pPr>
  </w:p>
  <w:p w:rsidR="00BA08B3" w:rsidRPr="004816D7" w:rsidRDefault="00BA08B3"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A08B3" w:rsidRPr="00EB388E" w:rsidTr="0087390B">
      <w:trPr>
        <w:trHeight w:val="340"/>
      </w:trPr>
      <w:tc>
        <w:tcPr>
          <w:tcW w:w="8164" w:type="dxa"/>
          <w:tcBorders>
            <w:right w:val="single" w:sz="4" w:space="0" w:color="788184" w:themeColor="background2"/>
          </w:tcBorders>
          <w:vAlign w:val="center"/>
        </w:tcPr>
        <w:p w:rsidR="00BA08B3" w:rsidRPr="00CB70DF" w:rsidRDefault="000E2B08" w:rsidP="001C48DE">
          <w:pPr>
            <w:pStyle w:val="FooterRight"/>
            <w:framePr w:wrap="auto" w:vAnchor="margin" w:hAnchor="text" w:xAlign="left" w:yAlign="inline"/>
          </w:pPr>
          <w:r>
            <w:fldChar w:fldCharType="begin"/>
          </w:r>
          <w:r>
            <w:instrText xml:space="preserve"> STYLEREF  "TOC Heading"  \* MERGEFORMAT </w:instrText>
          </w:r>
          <w:r>
            <w:fldChar w:fldCharType="separate"/>
          </w:r>
          <w:r w:rsidR="00BD6BFD">
            <w:rPr>
              <w:noProof/>
            </w:rPr>
            <w:t>Contents</w:t>
          </w:r>
          <w:r>
            <w:rPr>
              <w:noProof/>
            </w:rPr>
            <w:fldChar w:fldCharType="end"/>
          </w:r>
        </w:p>
      </w:tc>
      <w:tc>
        <w:tcPr>
          <w:tcW w:w="567" w:type="dxa"/>
          <w:tcBorders>
            <w:left w:val="single" w:sz="4" w:space="0" w:color="788184" w:themeColor="background2"/>
          </w:tcBorders>
          <w:vAlign w:val="center"/>
        </w:tcPr>
        <w:p w:rsidR="00BA08B3" w:rsidRPr="00CB70DF" w:rsidRDefault="00BA08B3" w:rsidP="00E915E6">
          <w:pPr>
            <w:pStyle w:val="FooterRightPageNumber"/>
          </w:pPr>
          <w:r w:rsidRPr="00EB388E">
            <w:fldChar w:fldCharType="begin"/>
          </w:r>
          <w:r w:rsidRPr="00EB388E">
            <w:instrText xml:space="preserve"> PAGE   \* MERGEFORMAT </w:instrText>
          </w:r>
          <w:r w:rsidRPr="00EB388E">
            <w:fldChar w:fldCharType="separate"/>
          </w:r>
          <w:r w:rsidR="00BD6BFD">
            <w:t>iii</w:t>
          </w:r>
          <w:r w:rsidRPr="00EB388E">
            <w:fldChar w:fldCharType="end"/>
          </w:r>
        </w:p>
      </w:tc>
    </w:tr>
    <w:tr w:rsidR="00BA08B3" w:rsidRPr="00EB388E" w:rsidTr="004F1297">
      <w:trPr>
        <w:trHeight w:hRule="exact" w:val="403"/>
      </w:trPr>
      <w:tc>
        <w:tcPr>
          <w:tcW w:w="8164" w:type="dxa"/>
        </w:tcPr>
        <w:p w:rsidR="00BA08B3" w:rsidRPr="00090E70" w:rsidRDefault="00BA08B3" w:rsidP="0087390B"/>
      </w:tc>
      <w:tc>
        <w:tcPr>
          <w:tcW w:w="567" w:type="dxa"/>
          <w:tcMar>
            <w:bottom w:w="284" w:type="dxa"/>
          </w:tcMar>
        </w:tcPr>
        <w:p w:rsidR="00BA08B3" w:rsidRPr="00090E70" w:rsidRDefault="00BA08B3" w:rsidP="0087390B"/>
      </w:tc>
    </w:tr>
  </w:tbl>
  <w:p w:rsidR="00BA08B3" w:rsidRDefault="00BA08B3">
    <w:pPr>
      <w:pStyle w:val="Footer"/>
    </w:pPr>
  </w:p>
  <w:p w:rsidR="00BA08B3" w:rsidRPr="004816D7" w:rsidRDefault="00BA08B3"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A08B3" w:rsidRPr="00EB388E" w:rsidTr="0087390B">
      <w:trPr>
        <w:trHeight w:val="340"/>
      </w:trPr>
      <w:tc>
        <w:tcPr>
          <w:tcW w:w="8164" w:type="dxa"/>
          <w:tcBorders>
            <w:right w:val="single" w:sz="4" w:space="0" w:color="788184" w:themeColor="background2"/>
          </w:tcBorders>
          <w:vAlign w:val="center"/>
        </w:tcPr>
        <w:p w:rsidR="00BA08B3" w:rsidRPr="00CB70DF" w:rsidRDefault="000E2B08" w:rsidP="001C48DE">
          <w:pPr>
            <w:pStyle w:val="FooterRight"/>
            <w:framePr w:wrap="auto" w:vAnchor="margin" w:hAnchor="text" w:xAlign="left" w:yAlign="inline"/>
          </w:pPr>
          <w:r>
            <w:fldChar w:fldCharType="begin"/>
          </w:r>
          <w:r>
            <w:instrText xml:space="preserve"> STYLEREF  "Heading 1 No Numbering"  \* MERGEFORMAT </w:instrText>
          </w:r>
          <w:r>
            <w:fldChar w:fldCharType="separate"/>
          </w:r>
          <w:r w:rsidR="00BD6BFD">
            <w:rPr>
              <w:noProof/>
            </w:rPr>
            <w:t>Foreword</w:t>
          </w:r>
          <w:r>
            <w:rPr>
              <w:noProof/>
            </w:rPr>
            <w:fldChar w:fldCharType="end"/>
          </w:r>
        </w:p>
      </w:tc>
      <w:tc>
        <w:tcPr>
          <w:tcW w:w="567" w:type="dxa"/>
          <w:tcBorders>
            <w:left w:val="single" w:sz="4" w:space="0" w:color="788184" w:themeColor="background2"/>
          </w:tcBorders>
          <w:vAlign w:val="center"/>
        </w:tcPr>
        <w:p w:rsidR="00BA08B3" w:rsidRPr="00CB70DF" w:rsidRDefault="00BA08B3" w:rsidP="00E915E6">
          <w:pPr>
            <w:pStyle w:val="FooterRightPageNumber"/>
          </w:pPr>
          <w:r w:rsidRPr="00EB388E">
            <w:fldChar w:fldCharType="begin"/>
          </w:r>
          <w:r w:rsidRPr="00EB388E">
            <w:instrText xml:space="preserve"> PAGE   \* MERGEFORMAT </w:instrText>
          </w:r>
          <w:r w:rsidRPr="00EB388E">
            <w:fldChar w:fldCharType="separate"/>
          </w:r>
          <w:r w:rsidR="00BD6BFD">
            <w:t>v</w:t>
          </w:r>
          <w:r w:rsidRPr="00EB388E">
            <w:fldChar w:fldCharType="end"/>
          </w:r>
        </w:p>
      </w:tc>
    </w:tr>
    <w:tr w:rsidR="00BA08B3" w:rsidRPr="00EB388E" w:rsidTr="004F1297">
      <w:trPr>
        <w:trHeight w:hRule="exact" w:val="403"/>
      </w:trPr>
      <w:tc>
        <w:tcPr>
          <w:tcW w:w="8164" w:type="dxa"/>
        </w:tcPr>
        <w:p w:rsidR="00BA08B3" w:rsidRPr="00090E70" w:rsidRDefault="00BA08B3" w:rsidP="0087390B"/>
      </w:tc>
      <w:tc>
        <w:tcPr>
          <w:tcW w:w="567" w:type="dxa"/>
          <w:tcMar>
            <w:bottom w:w="284" w:type="dxa"/>
          </w:tcMar>
        </w:tcPr>
        <w:p w:rsidR="00BA08B3" w:rsidRPr="00090E70" w:rsidRDefault="00BA08B3" w:rsidP="0087390B"/>
      </w:tc>
    </w:tr>
  </w:tbl>
  <w:p w:rsidR="00BA08B3" w:rsidRDefault="00BA08B3">
    <w:pPr>
      <w:pStyle w:val="Footer"/>
    </w:pPr>
  </w:p>
  <w:p w:rsidR="00BA08B3" w:rsidRPr="004816D7" w:rsidRDefault="00BA08B3"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A08B3" w:rsidRPr="00EB388E" w:rsidTr="0087390B">
      <w:trPr>
        <w:trHeight w:val="340"/>
      </w:trPr>
      <w:tc>
        <w:tcPr>
          <w:tcW w:w="8164" w:type="dxa"/>
          <w:tcBorders>
            <w:right w:val="single" w:sz="4" w:space="0" w:color="788184" w:themeColor="background2"/>
          </w:tcBorders>
          <w:vAlign w:val="center"/>
        </w:tcPr>
        <w:p w:rsidR="00BA08B3" w:rsidRPr="00CB70DF" w:rsidRDefault="000E2B08" w:rsidP="001C48DE">
          <w:pPr>
            <w:pStyle w:val="FooterRight"/>
            <w:framePr w:wrap="auto" w:vAnchor="margin" w:hAnchor="text" w:xAlign="left" w:yAlign="inline"/>
          </w:pPr>
          <w:r>
            <w:fldChar w:fldCharType="begin"/>
          </w:r>
          <w:r>
            <w:instrText xml:space="preserve"> STYLEREF  "Heading 1"  \* MERGEFORMAT </w:instrText>
          </w:r>
          <w:r>
            <w:fldChar w:fldCharType="separate"/>
          </w:r>
          <w:r w:rsidR="00BD6BFD">
            <w:rPr>
              <w:noProof/>
            </w:rPr>
            <w:t>Distributional analysis of personal income tax changes</w:t>
          </w:r>
          <w:r>
            <w:rPr>
              <w:noProof/>
            </w:rPr>
            <w:fldChar w:fldCharType="end"/>
          </w:r>
        </w:p>
      </w:tc>
      <w:tc>
        <w:tcPr>
          <w:tcW w:w="567" w:type="dxa"/>
          <w:tcBorders>
            <w:left w:val="single" w:sz="4" w:space="0" w:color="788184" w:themeColor="background2"/>
          </w:tcBorders>
          <w:vAlign w:val="center"/>
        </w:tcPr>
        <w:p w:rsidR="00BA08B3" w:rsidRPr="00CB70DF" w:rsidRDefault="00BA08B3" w:rsidP="00E915E6">
          <w:pPr>
            <w:pStyle w:val="FooterRightPageNumber"/>
          </w:pPr>
          <w:r w:rsidRPr="00EB388E">
            <w:fldChar w:fldCharType="begin"/>
          </w:r>
          <w:r w:rsidRPr="00EB388E">
            <w:instrText xml:space="preserve"> PAGE   \* MERGEFORMAT </w:instrText>
          </w:r>
          <w:r w:rsidRPr="00EB388E">
            <w:fldChar w:fldCharType="separate"/>
          </w:r>
          <w:r w:rsidR="00BD6BFD">
            <w:t>3</w:t>
          </w:r>
          <w:r w:rsidRPr="00EB388E">
            <w:fldChar w:fldCharType="end"/>
          </w:r>
        </w:p>
      </w:tc>
    </w:tr>
    <w:tr w:rsidR="00BA08B3" w:rsidRPr="00EB388E" w:rsidTr="004F1297">
      <w:trPr>
        <w:trHeight w:hRule="exact" w:val="403"/>
      </w:trPr>
      <w:tc>
        <w:tcPr>
          <w:tcW w:w="8164" w:type="dxa"/>
        </w:tcPr>
        <w:p w:rsidR="00BA08B3" w:rsidRPr="00090E70" w:rsidRDefault="00BA08B3" w:rsidP="0087390B"/>
      </w:tc>
      <w:tc>
        <w:tcPr>
          <w:tcW w:w="567" w:type="dxa"/>
          <w:tcMar>
            <w:bottom w:w="284" w:type="dxa"/>
          </w:tcMar>
        </w:tcPr>
        <w:p w:rsidR="00BA08B3" w:rsidRPr="00090E70" w:rsidRDefault="00BA08B3" w:rsidP="0087390B"/>
      </w:tc>
    </w:tr>
  </w:tbl>
  <w:p w:rsidR="00BA08B3" w:rsidRDefault="00BA08B3">
    <w:pPr>
      <w:pStyle w:val="Footer"/>
    </w:pPr>
  </w:p>
  <w:p w:rsidR="00BA08B3" w:rsidRPr="004816D7" w:rsidRDefault="00BA08B3"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2234D" w:rsidRPr="00EB388E" w:rsidTr="0087390B">
      <w:trPr>
        <w:trHeight w:val="340"/>
      </w:trPr>
      <w:tc>
        <w:tcPr>
          <w:tcW w:w="8164" w:type="dxa"/>
          <w:tcBorders>
            <w:right w:val="single" w:sz="4" w:space="0" w:color="788184" w:themeColor="background2"/>
          </w:tcBorders>
          <w:vAlign w:val="center"/>
        </w:tcPr>
        <w:p w:rsidR="0022234D" w:rsidRPr="00CB70DF" w:rsidRDefault="000E2B08" w:rsidP="001C48DE">
          <w:pPr>
            <w:pStyle w:val="FooterRight"/>
            <w:framePr w:wrap="auto" w:vAnchor="margin" w:hAnchor="text" w:xAlign="left" w:yAlign="inline"/>
          </w:pPr>
          <w:r>
            <w:fldChar w:fldCharType="begin"/>
          </w:r>
          <w:r>
            <w:instrText xml:space="preserve"> STYLEREF  "Heading 1"  \* MERGEFORMAT </w:instrText>
          </w:r>
          <w:r>
            <w:fldChar w:fldCharType="separate"/>
          </w:r>
          <w:r w:rsidR="00192365">
            <w:rPr>
              <w:noProof/>
            </w:rPr>
            <w:t>Technical appendix</w:t>
          </w:r>
          <w:r>
            <w:rPr>
              <w:noProof/>
            </w:rPr>
            <w:fldChar w:fldCharType="end"/>
          </w:r>
        </w:p>
      </w:tc>
      <w:tc>
        <w:tcPr>
          <w:tcW w:w="567" w:type="dxa"/>
          <w:tcBorders>
            <w:left w:val="single" w:sz="4" w:space="0" w:color="788184" w:themeColor="background2"/>
          </w:tcBorders>
          <w:vAlign w:val="center"/>
        </w:tcPr>
        <w:p w:rsidR="0022234D" w:rsidRPr="00CB70DF" w:rsidRDefault="0022234D" w:rsidP="00E915E6">
          <w:pPr>
            <w:pStyle w:val="FooterRightPageNumber"/>
          </w:pPr>
          <w:r w:rsidRPr="00EB388E">
            <w:fldChar w:fldCharType="begin"/>
          </w:r>
          <w:r w:rsidRPr="00EB388E">
            <w:instrText xml:space="preserve"> PAGE   \* MERGEFORMAT </w:instrText>
          </w:r>
          <w:r w:rsidRPr="00EB388E">
            <w:fldChar w:fldCharType="separate"/>
          </w:r>
          <w:r w:rsidR="00192365">
            <w:t>13</w:t>
          </w:r>
          <w:r w:rsidRPr="00EB388E">
            <w:fldChar w:fldCharType="end"/>
          </w:r>
        </w:p>
      </w:tc>
    </w:tr>
    <w:tr w:rsidR="0022234D" w:rsidRPr="00EB388E" w:rsidTr="004F1297">
      <w:trPr>
        <w:trHeight w:hRule="exact" w:val="403"/>
      </w:trPr>
      <w:tc>
        <w:tcPr>
          <w:tcW w:w="8164" w:type="dxa"/>
        </w:tcPr>
        <w:p w:rsidR="0022234D" w:rsidRPr="00090E70" w:rsidRDefault="0022234D" w:rsidP="0087390B"/>
      </w:tc>
      <w:tc>
        <w:tcPr>
          <w:tcW w:w="567" w:type="dxa"/>
          <w:tcMar>
            <w:bottom w:w="284" w:type="dxa"/>
          </w:tcMar>
        </w:tcPr>
        <w:p w:rsidR="0022234D" w:rsidRPr="00090E70" w:rsidRDefault="0022234D" w:rsidP="0087390B"/>
      </w:tc>
    </w:tr>
  </w:tbl>
  <w:p w:rsidR="0022234D" w:rsidRDefault="0022234D">
    <w:pPr>
      <w:pStyle w:val="Footer"/>
    </w:pPr>
  </w:p>
  <w:p w:rsidR="0022234D" w:rsidRPr="004816D7" w:rsidRDefault="0022234D"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105A4" w:rsidRPr="00EB388E" w:rsidTr="0087390B">
      <w:trPr>
        <w:trHeight w:val="340"/>
      </w:trPr>
      <w:tc>
        <w:tcPr>
          <w:tcW w:w="8164" w:type="dxa"/>
          <w:tcBorders>
            <w:right w:val="single" w:sz="4" w:space="0" w:color="788184" w:themeColor="background2"/>
          </w:tcBorders>
          <w:vAlign w:val="center"/>
        </w:tcPr>
        <w:p w:rsidR="003105A4" w:rsidRPr="00CB70DF" w:rsidRDefault="0035265A" w:rsidP="001C48DE">
          <w:pPr>
            <w:pStyle w:val="FooterRight"/>
            <w:framePr w:wrap="auto" w:vAnchor="margin" w:hAnchor="text" w:xAlign="left" w:yAlign="inline"/>
          </w:pPr>
          <w:fldSimple w:instr=" STYLEREF  &quot;Heading 1&quot;  \* MERGEFORMAT ">
            <w:r w:rsidR="00020B9A">
              <w:rPr>
                <w:noProof/>
              </w:rPr>
              <w:t>Technical appendix</w:t>
            </w:r>
          </w:fldSimple>
        </w:p>
      </w:tc>
      <w:tc>
        <w:tcPr>
          <w:tcW w:w="567" w:type="dxa"/>
          <w:tcBorders>
            <w:left w:val="single" w:sz="4" w:space="0" w:color="788184" w:themeColor="background2"/>
          </w:tcBorders>
          <w:vAlign w:val="center"/>
        </w:tcPr>
        <w:p w:rsidR="003105A4" w:rsidRPr="00CB70DF" w:rsidRDefault="003105A4" w:rsidP="00E915E6">
          <w:pPr>
            <w:pStyle w:val="FooterRightPageNumber"/>
          </w:pPr>
          <w:r w:rsidRPr="00EB388E">
            <w:fldChar w:fldCharType="begin"/>
          </w:r>
          <w:r w:rsidRPr="00EB388E">
            <w:instrText xml:space="preserve"> PAGE   \* MERGEFORMAT </w:instrText>
          </w:r>
          <w:r w:rsidRPr="00EB388E">
            <w:fldChar w:fldCharType="separate"/>
          </w:r>
          <w:r w:rsidR="00020B9A">
            <w:t>13</w:t>
          </w:r>
          <w:r w:rsidRPr="00EB388E">
            <w:fldChar w:fldCharType="end"/>
          </w:r>
        </w:p>
      </w:tc>
    </w:tr>
    <w:tr w:rsidR="003105A4" w:rsidRPr="00EB388E" w:rsidTr="004F1297">
      <w:trPr>
        <w:trHeight w:hRule="exact" w:val="403"/>
      </w:trPr>
      <w:tc>
        <w:tcPr>
          <w:tcW w:w="8164" w:type="dxa"/>
        </w:tcPr>
        <w:p w:rsidR="003105A4" w:rsidRPr="00090E70" w:rsidRDefault="003105A4" w:rsidP="0087390B"/>
      </w:tc>
      <w:tc>
        <w:tcPr>
          <w:tcW w:w="567" w:type="dxa"/>
          <w:tcMar>
            <w:bottom w:w="284" w:type="dxa"/>
          </w:tcMar>
        </w:tcPr>
        <w:p w:rsidR="003105A4" w:rsidRPr="00090E70" w:rsidRDefault="003105A4" w:rsidP="0087390B"/>
      </w:tc>
    </w:tr>
  </w:tbl>
  <w:p w:rsidR="003105A4" w:rsidRDefault="003105A4">
    <w:pPr>
      <w:pStyle w:val="Footer"/>
    </w:pPr>
    <w:r w:rsidRPr="004B3DD1">
      <w:rPr>
        <w:noProof/>
        <w:lang w:eastAsia="en-AU"/>
      </w:rPr>
      <mc:AlternateContent>
        <mc:Choice Requires="wps">
          <w:drawing>
            <wp:anchor distT="0" distB="0" distL="114300" distR="114300" simplePos="0" relativeHeight="251676672" behindDoc="0" locked="0" layoutInCell="1" allowOverlap="1" wp14:anchorId="54D339AB" wp14:editId="4658322F">
              <wp:simplePos x="0" y="0"/>
              <wp:positionH relativeFrom="column">
                <wp:posOffset>1348740</wp:posOffset>
              </wp:positionH>
              <wp:positionV relativeFrom="paragraph">
                <wp:posOffset>-1280160</wp:posOffset>
              </wp:positionV>
              <wp:extent cx="2519680" cy="60833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608330"/>
                      </a:xfrm>
                      <a:prstGeom prst="rect">
                        <a:avLst/>
                      </a:prstGeom>
                      <a:noFill/>
                      <a:ln w="9525">
                        <a:noFill/>
                        <a:miter lim="800000"/>
                        <a:headEnd/>
                        <a:tailEnd/>
                      </a:ln>
                    </wps:spPr>
                    <wps:txbx>
                      <w:txbxContent>
                        <w:p w:rsidR="003105A4" w:rsidRPr="0061135C" w:rsidRDefault="000E2B08" w:rsidP="004B3DD1">
                          <w:pPr>
                            <w:pStyle w:val="xBackPageWebAddress"/>
                            <w:jc w:val="center"/>
                          </w:pPr>
                          <w:hyperlink r:id="rId1" w:history="1">
                            <w:r w:rsidR="003105A4" w:rsidRPr="0061135C">
                              <w:t>www.pbo.gov.au</w:t>
                            </w:r>
                          </w:hyperlink>
                        </w:p>
                      </w:txbxContent>
                    </wps:txbx>
                    <wps:bodyPr rot="0" vert="horz" wrap="square" lIns="91440" tIns="45720" rIns="91440" bIns="45720" anchor="b" anchorCtr="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106.2pt;margin-top:-100.8pt;width:198.4pt;height:47.9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" filled="f" stroked="f">
              <v:textbox>
                <w:txbxContent>
                  <w:p w:rsidR="003105A4" w:rsidRPr="0061135C" w:rsidRDefault="001056CC" w:rsidP="004B3DD1">
                    <w:pPr>
                      <w:pStyle w:val="xBackPageWebAddress"/>
                      <w:jc w:val="center"/>
                    </w:pPr>
                    <w:hyperlink r:id="rId2" w:history="1">
                      <w:r w:rsidR="003105A4" w:rsidRPr="0061135C">
                        <w:t>www.pbo.gov.au</w:t>
                      </w:r>
                    </w:hyperlink>
                  </w:p>
                </w:txbxContent>
              </v:textbox>
            </v:shape>
          </w:pict>
        </mc:Fallback>
      </mc:AlternateContent>
    </w:r>
  </w:p>
  <w:p w:rsidR="003105A4" w:rsidRPr="004816D7" w:rsidRDefault="003105A4" w:rsidP="0048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6CC" w:rsidRPr="000557A7" w:rsidRDefault="001056CC" w:rsidP="008D5A11">
      <w:pPr>
        <w:pBdr>
          <w:top w:val="single" w:sz="4" w:space="1" w:color="auto"/>
        </w:pBdr>
        <w:spacing w:before="240" w:line="60" w:lineRule="exact"/>
        <w:rPr>
          <w:sz w:val="16"/>
          <w:szCs w:val="16"/>
        </w:rPr>
      </w:pPr>
    </w:p>
  </w:footnote>
  <w:footnote w:type="continuationSeparator" w:id="0">
    <w:p w:rsidR="001056CC" w:rsidRDefault="001056CC" w:rsidP="00A20802">
      <w:pPr>
        <w:spacing w:line="240" w:lineRule="auto"/>
      </w:pPr>
      <w:r>
        <w:continuationSeparator/>
      </w:r>
    </w:p>
    <w:p w:rsidR="001056CC" w:rsidRDefault="001056CC"/>
  </w:footnote>
  <w:footnote w:id="1">
    <w:p w:rsidR="00BA08B3" w:rsidRPr="004C5403" w:rsidRDefault="00BA08B3" w:rsidP="00343958">
      <w:pPr>
        <w:pStyle w:val="FootnoteText"/>
      </w:pPr>
      <w:r w:rsidRPr="004C5403">
        <w:footnoteRef/>
      </w:r>
      <w:r>
        <w:tab/>
        <w:t xml:space="preserve">Parliamentary Budget Office 2017, </w:t>
      </w:r>
      <w:r w:rsidRPr="004C5403">
        <w:rPr>
          <w:i/>
        </w:rPr>
        <w:t>2017</w:t>
      </w:r>
      <w:r>
        <w:rPr>
          <w:i/>
        </w:rPr>
        <w:t>–</w:t>
      </w:r>
      <w:r w:rsidRPr="004C5403">
        <w:rPr>
          <w:i/>
        </w:rPr>
        <w:t>18 Budget: medium</w:t>
      </w:r>
      <w:r w:rsidRPr="004C5403">
        <w:rPr>
          <w:i/>
        </w:rPr>
        <w:noBreakHyphen/>
        <w:t>term</w:t>
      </w:r>
      <w:r>
        <w:t xml:space="preserve"> </w:t>
      </w:r>
      <w:r w:rsidRPr="004C5403">
        <w:rPr>
          <w:i/>
        </w:rPr>
        <w:t>projections</w:t>
      </w:r>
      <w:r>
        <w:t xml:space="preserve">,  </w:t>
      </w:r>
      <w:r w:rsidRPr="001E3512">
        <w:t>http://www.aph.gov.au/About_Parliament/Parliamentary_Departments/Parliamentary_Budget_Office/Reports/Research_reports</w:t>
      </w:r>
    </w:p>
  </w:footnote>
  <w:footnote w:id="2">
    <w:p w:rsidR="00BA08B3" w:rsidRPr="009F0761" w:rsidRDefault="00BA08B3" w:rsidP="00343958">
      <w:pPr>
        <w:pStyle w:val="FootnoteText"/>
      </w:pPr>
      <w:r w:rsidRPr="009F0761">
        <w:footnoteRef/>
      </w:r>
      <w:r>
        <w:tab/>
      </w:r>
      <w:r w:rsidRPr="004C5403">
        <w:t xml:space="preserve">Commonwealth </w:t>
      </w:r>
      <w:r w:rsidR="00E447AF">
        <w:t xml:space="preserve">of Australia </w:t>
      </w:r>
      <w:r>
        <w:t xml:space="preserve">2017, </w:t>
      </w:r>
      <w:r>
        <w:rPr>
          <w:i/>
        </w:rPr>
        <w:t xml:space="preserve">2016–17 Final Budget Outcome, </w:t>
      </w:r>
      <w:r w:rsidRPr="00A44EB4">
        <w:t>http://www.budget.gov.au/2016-17/content/fbo/html/</w:t>
      </w:r>
    </w:p>
  </w:footnote>
  <w:footnote w:id="3">
    <w:p w:rsidR="00BA08B3" w:rsidRPr="008F5372" w:rsidRDefault="00BA08B3" w:rsidP="009F31A7">
      <w:pPr>
        <w:pStyle w:val="FootnoteText"/>
      </w:pPr>
      <w:r w:rsidRPr="008F5372">
        <w:footnoteRef/>
      </w:r>
      <w:r>
        <w:tab/>
        <w:t>“Taxpayer” refers to an Australian resident who submits</w:t>
      </w:r>
      <w:r w:rsidRPr="00702A63">
        <w:t xml:space="preserve"> a tax return, regardless of whether they </w:t>
      </w:r>
      <w:r>
        <w:t>pay</w:t>
      </w:r>
      <w:r w:rsidRPr="00702A63">
        <w:t xml:space="preserve"> net personal income tax.  </w:t>
      </w:r>
      <w:r>
        <w:t xml:space="preserve">  </w:t>
      </w:r>
    </w:p>
  </w:footnote>
  <w:footnote w:id="4">
    <w:p w:rsidR="007D41C4" w:rsidRDefault="007D41C4" w:rsidP="007D41C4">
      <w:pPr>
        <w:pStyle w:val="FootnoteText"/>
      </w:pPr>
      <w:r w:rsidRPr="000B301F">
        <w:footnoteRef/>
      </w:r>
      <w:r>
        <w:tab/>
        <w:t xml:space="preserve">The distribution of taxable income among individuals who submit a tax return is different from the distribution of annual earnings for employees covered by the </w:t>
      </w:r>
      <w:r w:rsidR="00DB1CDE">
        <w:t xml:space="preserve">earnings </w:t>
      </w:r>
      <w:r>
        <w:t>survey</w:t>
      </w:r>
      <w:r w:rsidR="00DB1CDE">
        <w:t>s</w:t>
      </w:r>
      <w:r>
        <w:t xml:space="preserve"> published by the Australian Bureau of Statistics (ABS) </w:t>
      </w:r>
      <w:r w:rsidR="00DB1CDE">
        <w:t xml:space="preserve">such as </w:t>
      </w:r>
      <w:r w:rsidR="00DB1CDE" w:rsidRPr="00DB1CDE">
        <w:rPr>
          <w:i/>
        </w:rPr>
        <w:t>Employee Earnings and Hours, 6306.0</w:t>
      </w:r>
      <w:r w:rsidR="00DB1CDE">
        <w:t>.</w:t>
      </w:r>
    </w:p>
    <w:p w:rsidR="007D41C4" w:rsidRDefault="007D41C4" w:rsidP="007D41C4">
      <w:pPr>
        <w:pStyle w:val="FootnoteText"/>
        <w:keepNext/>
      </w:pPr>
      <w:r>
        <w:tab/>
        <w:t>Key differences include:</w:t>
      </w:r>
    </w:p>
    <w:p w:rsidR="007D41C4" w:rsidRDefault="007D41C4" w:rsidP="007D41C4">
      <w:pPr>
        <w:pStyle w:val="FootnoteText"/>
        <w:numPr>
          <w:ilvl w:val="0"/>
          <w:numId w:val="50"/>
        </w:numPr>
      </w:pPr>
      <w:r>
        <w:t>there are individuals who submit tax returns but do not receive salary or wage earnings and therefore are not represented in the ABS survey</w:t>
      </w:r>
    </w:p>
    <w:p w:rsidR="007D41C4" w:rsidRDefault="007D41C4" w:rsidP="007D41C4">
      <w:pPr>
        <w:pStyle w:val="FootnoteText"/>
        <w:numPr>
          <w:ilvl w:val="0"/>
          <w:numId w:val="50"/>
        </w:numPr>
      </w:pPr>
      <w:proofErr w:type="gramStart"/>
      <w:r>
        <w:t>taxable</w:t>
      </w:r>
      <w:proofErr w:type="gramEnd"/>
      <w:r>
        <w:t xml:space="preserve"> income includes income from sources other than salaries and wages and takes into account tax deductions. </w:t>
      </w:r>
    </w:p>
    <w:p w:rsidR="007D41C4" w:rsidRPr="00EA20D0" w:rsidRDefault="00DB1CDE" w:rsidP="007D41C4">
      <w:pPr>
        <w:pStyle w:val="FootnoteText"/>
        <w:ind w:left="420" w:firstLine="0"/>
      </w:pPr>
      <w:r>
        <w:t>In 2015</w:t>
      </w:r>
      <w:r w:rsidRPr="00DB1CDE">
        <w:t>–</w:t>
      </w:r>
      <w:r>
        <w:t>16</w:t>
      </w:r>
      <w:proofErr w:type="gramStart"/>
      <w:r>
        <w:t>, m</w:t>
      </w:r>
      <w:r w:rsidR="007D41C4" w:rsidRPr="00DB1CDE">
        <w:t xml:space="preserve">edian earnings according to the </w:t>
      </w:r>
      <w:r w:rsidRPr="00DB1CDE">
        <w:t>employee earnings</w:t>
      </w:r>
      <w:r>
        <w:t xml:space="preserve"> survey wa</w:t>
      </w:r>
      <w:r w:rsidR="007D41C4" w:rsidRPr="00DB1CDE">
        <w:t>s</w:t>
      </w:r>
      <w:proofErr w:type="gramEnd"/>
      <w:r w:rsidR="007D41C4" w:rsidRPr="00DB1CDE">
        <w:t xml:space="preserve"> $</w:t>
      </w:r>
      <w:r w:rsidRPr="00DB1CDE">
        <w:t>55,100</w:t>
      </w:r>
      <w:r w:rsidR="00C74AC7">
        <w:t>,</w:t>
      </w:r>
      <w:r w:rsidR="00E71541">
        <w:t xml:space="preserve"> and</w:t>
      </w:r>
      <w:r w:rsidR="007D41C4" w:rsidRPr="00DB1CDE">
        <w:t xml:space="preserve"> median </w:t>
      </w:r>
      <w:r>
        <w:t>taxable income among taxpayers was estimated to be</w:t>
      </w:r>
      <w:r w:rsidR="007D41C4" w:rsidRPr="00DB1CDE">
        <w:t xml:space="preserve"> $</w:t>
      </w:r>
      <w:r w:rsidRPr="00DB1CDE">
        <w:t>44,000</w:t>
      </w:r>
      <w:r w:rsidR="007D41C4" w:rsidRPr="00DB1CDE">
        <w:t>.</w:t>
      </w:r>
    </w:p>
  </w:footnote>
  <w:footnote w:id="5">
    <w:p w:rsidR="00BA08B3" w:rsidRPr="000A1BEB" w:rsidRDefault="00BA08B3">
      <w:pPr>
        <w:pStyle w:val="FootnoteText"/>
      </w:pPr>
      <w:r w:rsidRPr="000B301F">
        <w:footnoteRef/>
      </w:r>
      <w:r>
        <w:tab/>
        <w:t>The taxable income range, average taxable income, and average tax rate for each income quintile is provided in the Technical appendix.</w:t>
      </w:r>
    </w:p>
  </w:footnote>
  <w:footnote w:id="6">
    <w:p w:rsidR="00BA08B3" w:rsidRPr="008D628E" w:rsidRDefault="00BA08B3">
      <w:pPr>
        <w:pStyle w:val="FootnoteText"/>
      </w:pPr>
      <w:r w:rsidRPr="0022234D">
        <w:footnoteRef/>
      </w:r>
      <w:r>
        <w:tab/>
        <w:t>Other policy changes related to tax offsets and the superannuation system are also taken into account.  The impact of these changes in the context of this distributional analysis is very small.</w:t>
      </w:r>
    </w:p>
  </w:footnote>
  <w:footnote w:id="7">
    <w:p w:rsidR="00BA08B3" w:rsidRPr="00DE458A" w:rsidRDefault="00BA08B3" w:rsidP="00BB46F8">
      <w:pPr>
        <w:pStyle w:val="FootnoteText"/>
      </w:pPr>
      <w:r w:rsidRPr="00DE458A">
        <w:footnoteRef/>
      </w:r>
      <w:r>
        <w:tab/>
        <w:t>One implication of this is that an average result across the quintiles is not equivalent to the result if calculated for the entire population of taxpayers.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mc:AlternateContent>
        <mc:Choice Requires="wps">
          <w:drawing>
            <wp:anchor distT="0" distB="0" distL="114300" distR="114300" simplePos="0" relativeHeight="251663360" behindDoc="1" locked="1" layoutInCell="1" allowOverlap="1" wp14:anchorId="006943D3" wp14:editId="615BA83A">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mc:AlternateContent>
        <mc:Choice Requires="wps">
          <w:drawing>
            <wp:anchor distT="0" distB="0" distL="114300" distR="114300" simplePos="0" relativeHeight="251665408" behindDoc="1" locked="1" layoutInCell="1" allowOverlap="1" wp14:anchorId="1451AA37" wp14:editId="1BFBCC7C">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w:drawing>
        <wp:anchor distT="0" distB="0" distL="114300" distR="114300" simplePos="0" relativeHeight="251674624" behindDoc="1" locked="0" layoutInCell="1" allowOverlap="1" wp14:anchorId="25E075FC" wp14:editId="2F1AFC38">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394AC89C" wp14:editId="04FEE177">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mc:AlternateContent>
        <mc:Choice Requires="wps">
          <w:drawing>
            <wp:anchor distT="0" distB="0" distL="114300" distR="114300" simplePos="0" relativeHeight="251667456" behindDoc="1" locked="1" layoutInCell="1" allowOverlap="1" wp14:anchorId="03685C53" wp14:editId="55AA9BB1">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mc:AlternateContent>
        <mc:Choice Requires="wps">
          <w:drawing>
            <wp:anchor distT="0" distB="0" distL="114300" distR="114300" simplePos="0" relativeHeight="251669504" behindDoc="1" locked="1" layoutInCell="1" allowOverlap="1" wp14:anchorId="0D23B058" wp14:editId="2D30C7AF">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mc:AlternateContent>
        <mc:Choice Requires="wps">
          <w:drawing>
            <wp:anchor distT="0" distB="0" distL="114300" distR="114300" simplePos="0" relativeHeight="251673600" behindDoc="1" locked="1" layoutInCell="1" allowOverlap="1" wp14:anchorId="43694264" wp14:editId="3824CA8C">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3" w:rsidRDefault="00BA08B3">
    <w:pPr>
      <w:pStyle w:val="Header"/>
    </w:pPr>
    <w:r>
      <w:rPr>
        <w:noProof/>
        <w:lang w:eastAsia="en-AU"/>
      </w:rPr>
      <mc:AlternateContent>
        <mc:Choice Requires="wps">
          <w:drawing>
            <wp:anchor distT="0" distB="0" distL="114300" distR="114300" simplePos="0" relativeHeight="251671552" behindDoc="1" locked="1" layoutInCell="1" allowOverlap="1" wp14:anchorId="767B3CFD" wp14:editId="70DFB7D5">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B3" w:rsidRPr="0001226A" w:rsidRDefault="00BA08B3"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BA08B3" w:rsidRPr="0001226A" w:rsidRDefault="00BA08B3"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1437B7F"/>
    <w:multiLevelType w:val="hybridMultilevel"/>
    <w:tmpl w:val="91A017E6"/>
    <w:lvl w:ilvl="0" w:tplc="6DE677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443D27D2"/>
    <w:multiLevelType w:val="hybridMultilevel"/>
    <w:tmpl w:val="ACA6FA50"/>
    <w:lvl w:ilvl="0" w:tplc="58FC54C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15B5742"/>
    <w:multiLevelType w:val="hybridMultilevel"/>
    <w:tmpl w:val="80F82F42"/>
    <w:lvl w:ilvl="0" w:tplc="1DE2F11C">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7">
    <w:nsid w:val="63851E4C"/>
    <w:multiLevelType w:val="hybridMultilevel"/>
    <w:tmpl w:val="AB30BB52"/>
    <w:lvl w:ilvl="0" w:tplc="A87659C8">
      <w:numFmt w:val="bullet"/>
      <w:lvlText w:val="-"/>
      <w:lvlJc w:val="left"/>
      <w:pPr>
        <w:ind w:left="587" w:hanging="360"/>
      </w:pPr>
      <w:rPr>
        <w:rFonts w:ascii="Calibri" w:eastAsiaTheme="minorHAnsi" w:hAnsi="Calibri" w:cs="Times New Roman"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nsid w:val="7A556D9A"/>
    <w:multiLevelType w:val="hybridMultilevel"/>
    <w:tmpl w:val="1F102B5A"/>
    <w:lvl w:ilvl="0" w:tplc="0F7417E6">
      <w:numFmt w:val="bullet"/>
      <w:lvlText w:val="-"/>
      <w:lvlJc w:val="left"/>
      <w:pPr>
        <w:ind w:left="780" w:hanging="360"/>
      </w:pPr>
      <w:rPr>
        <w:rFonts w:ascii="Calibri" w:eastAsiaTheme="minorHAnsi" w:hAnsi="Calibri" w:cstheme="minorBid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20"/>
  </w:num>
  <w:num w:numId="13">
    <w:abstractNumId w:val="1"/>
  </w:num>
  <w:num w:numId="14">
    <w:abstractNumId w:val="20"/>
  </w:num>
  <w:num w:numId="15">
    <w:abstractNumId w:val="0"/>
  </w:num>
  <w:num w:numId="16">
    <w:abstractNumId w:val="20"/>
  </w:num>
  <w:num w:numId="17">
    <w:abstractNumId w:val="13"/>
  </w:num>
  <w:num w:numId="18">
    <w:abstractNumId w:val="13"/>
  </w:num>
  <w:num w:numId="19">
    <w:abstractNumId w:val="13"/>
  </w:num>
  <w:num w:numId="20">
    <w:abstractNumId w:val="12"/>
  </w:num>
  <w:num w:numId="21">
    <w:abstractNumId w:val="12"/>
  </w:num>
  <w:num w:numId="22">
    <w:abstractNumId w:val="12"/>
  </w:num>
  <w:num w:numId="23">
    <w:abstractNumId w:val="19"/>
  </w:num>
  <w:num w:numId="24">
    <w:abstractNumId w:val="19"/>
  </w:num>
  <w:num w:numId="25">
    <w:abstractNumId w:val="8"/>
  </w:num>
  <w:num w:numId="26">
    <w:abstractNumId w:val="10"/>
  </w:num>
  <w:num w:numId="27">
    <w:abstractNumId w:val="10"/>
  </w:num>
  <w:num w:numId="28">
    <w:abstractNumId w:val="10"/>
  </w:num>
  <w:num w:numId="29">
    <w:abstractNumId w:val="18"/>
  </w:num>
  <w:num w:numId="30">
    <w:abstractNumId w:val="18"/>
  </w:num>
  <w:num w:numId="31">
    <w:abstractNumId w:val="18"/>
  </w:num>
  <w:num w:numId="32">
    <w:abstractNumId w:val="11"/>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4"/>
  </w:num>
  <w:num w:numId="46">
    <w:abstractNumId w:val="7"/>
  </w:num>
  <w:num w:numId="47">
    <w:abstractNumId w:val="17"/>
  </w:num>
  <w:num w:numId="48">
    <w:abstractNumId w:val="9"/>
  </w:num>
  <w:num w:numId="49">
    <w:abstractNumId w:val="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True"/>
    <w:docVar w:name="Version" w:val="Version 1"/>
  </w:docVars>
  <w:rsids>
    <w:rsidRoot w:val="00CF5266"/>
    <w:rsid w:val="00001806"/>
    <w:rsid w:val="000022D4"/>
    <w:rsid w:val="000028B1"/>
    <w:rsid w:val="00002951"/>
    <w:rsid w:val="00002BBC"/>
    <w:rsid w:val="0000322C"/>
    <w:rsid w:val="00003CDD"/>
    <w:rsid w:val="00010AE0"/>
    <w:rsid w:val="000168A7"/>
    <w:rsid w:val="00020B9A"/>
    <w:rsid w:val="00023E9B"/>
    <w:rsid w:val="0002408C"/>
    <w:rsid w:val="00024316"/>
    <w:rsid w:val="000278D0"/>
    <w:rsid w:val="00027E62"/>
    <w:rsid w:val="000307C8"/>
    <w:rsid w:val="00030F73"/>
    <w:rsid w:val="00032535"/>
    <w:rsid w:val="00035ADE"/>
    <w:rsid w:val="00035CB8"/>
    <w:rsid w:val="00035DC3"/>
    <w:rsid w:val="000409DC"/>
    <w:rsid w:val="0004224B"/>
    <w:rsid w:val="00046226"/>
    <w:rsid w:val="0005330D"/>
    <w:rsid w:val="000557A7"/>
    <w:rsid w:val="00055805"/>
    <w:rsid w:val="00055C10"/>
    <w:rsid w:val="0005669E"/>
    <w:rsid w:val="00056CB3"/>
    <w:rsid w:val="00057C4C"/>
    <w:rsid w:val="0006197A"/>
    <w:rsid w:val="00061C64"/>
    <w:rsid w:val="00062F94"/>
    <w:rsid w:val="00063D79"/>
    <w:rsid w:val="00067A28"/>
    <w:rsid w:val="0007260F"/>
    <w:rsid w:val="000805D5"/>
    <w:rsid w:val="0008076D"/>
    <w:rsid w:val="0008103B"/>
    <w:rsid w:val="0008137E"/>
    <w:rsid w:val="0008334C"/>
    <w:rsid w:val="0008394D"/>
    <w:rsid w:val="00084914"/>
    <w:rsid w:val="00085F97"/>
    <w:rsid w:val="00090C53"/>
    <w:rsid w:val="00092A33"/>
    <w:rsid w:val="000A03A1"/>
    <w:rsid w:val="000A1BEB"/>
    <w:rsid w:val="000A2FEC"/>
    <w:rsid w:val="000A348F"/>
    <w:rsid w:val="000A4E31"/>
    <w:rsid w:val="000B301F"/>
    <w:rsid w:val="000B6942"/>
    <w:rsid w:val="000C09FA"/>
    <w:rsid w:val="000C37A9"/>
    <w:rsid w:val="000C575C"/>
    <w:rsid w:val="000C6728"/>
    <w:rsid w:val="000C702E"/>
    <w:rsid w:val="000D15E9"/>
    <w:rsid w:val="000D1730"/>
    <w:rsid w:val="000D3182"/>
    <w:rsid w:val="000D3E38"/>
    <w:rsid w:val="000D45C4"/>
    <w:rsid w:val="000D7C77"/>
    <w:rsid w:val="000E18F3"/>
    <w:rsid w:val="000E266E"/>
    <w:rsid w:val="000E5DAC"/>
    <w:rsid w:val="000F1515"/>
    <w:rsid w:val="000F16B5"/>
    <w:rsid w:val="000F22D6"/>
    <w:rsid w:val="000F616E"/>
    <w:rsid w:val="0010441F"/>
    <w:rsid w:val="001056CC"/>
    <w:rsid w:val="00110D43"/>
    <w:rsid w:val="0011164A"/>
    <w:rsid w:val="001126A0"/>
    <w:rsid w:val="001159EA"/>
    <w:rsid w:val="00115A36"/>
    <w:rsid w:val="001235EA"/>
    <w:rsid w:val="00125410"/>
    <w:rsid w:val="00125FC9"/>
    <w:rsid w:val="00127FDE"/>
    <w:rsid w:val="00130858"/>
    <w:rsid w:val="001310F6"/>
    <w:rsid w:val="00136C26"/>
    <w:rsid w:val="0014059F"/>
    <w:rsid w:val="00141551"/>
    <w:rsid w:val="001417CE"/>
    <w:rsid w:val="00144083"/>
    <w:rsid w:val="0014479F"/>
    <w:rsid w:val="0014522A"/>
    <w:rsid w:val="001467D7"/>
    <w:rsid w:val="00153DF2"/>
    <w:rsid w:val="00154DC5"/>
    <w:rsid w:val="00156F53"/>
    <w:rsid w:val="00160AE2"/>
    <w:rsid w:val="00160C8D"/>
    <w:rsid w:val="001629C0"/>
    <w:rsid w:val="0016405B"/>
    <w:rsid w:val="00164898"/>
    <w:rsid w:val="00165122"/>
    <w:rsid w:val="00165854"/>
    <w:rsid w:val="00173DFD"/>
    <w:rsid w:val="00173E0A"/>
    <w:rsid w:val="0018094D"/>
    <w:rsid w:val="00180FF9"/>
    <w:rsid w:val="0018788C"/>
    <w:rsid w:val="00191FC1"/>
    <w:rsid w:val="00192365"/>
    <w:rsid w:val="00195228"/>
    <w:rsid w:val="00195696"/>
    <w:rsid w:val="0019577E"/>
    <w:rsid w:val="00196532"/>
    <w:rsid w:val="001A0CC6"/>
    <w:rsid w:val="001A0F85"/>
    <w:rsid w:val="001A1EFC"/>
    <w:rsid w:val="001A48EF"/>
    <w:rsid w:val="001A49CC"/>
    <w:rsid w:val="001A5553"/>
    <w:rsid w:val="001A716E"/>
    <w:rsid w:val="001B0C26"/>
    <w:rsid w:val="001B2C65"/>
    <w:rsid w:val="001B7058"/>
    <w:rsid w:val="001C1397"/>
    <w:rsid w:val="001C3A4F"/>
    <w:rsid w:val="001C4121"/>
    <w:rsid w:val="001C48DE"/>
    <w:rsid w:val="001C4EC7"/>
    <w:rsid w:val="001D29B3"/>
    <w:rsid w:val="001D52E3"/>
    <w:rsid w:val="001D576F"/>
    <w:rsid w:val="001D7C29"/>
    <w:rsid w:val="001E01D2"/>
    <w:rsid w:val="001E0475"/>
    <w:rsid w:val="001E2E80"/>
    <w:rsid w:val="001E3512"/>
    <w:rsid w:val="001F5C90"/>
    <w:rsid w:val="001F5F62"/>
    <w:rsid w:val="001F767C"/>
    <w:rsid w:val="002020D5"/>
    <w:rsid w:val="00204946"/>
    <w:rsid w:val="00210698"/>
    <w:rsid w:val="00210FCF"/>
    <w:rsid w:val="00211ECF"/>
    <w:rsid w:val="00213571"/>
    <w:rsid w:val="002144BD"/>
    <w:rsid w:val="00214533"/>
    <w:rsid w:val="00216498"/>
    <w:rsid w:val="0022234D"/>
    <w:rsid w:val="00222EFF"/>
    <w:rsid w:val="00223DC0"/>
    <w:rsid w:val="002240D5"/>
    <w:rsid w:val="00224F27"/>
    <w:rsid w:val="00225CF7"/>
    <w:rsid w:val="002261A7"/>
    <w:rsid w:val="00226AEC"/>
    <w:rsid w:val="00235B3D"/>
    <w:rsid w:val="00240CDD"/>
    <w:rsid w:val="00244AF5"/>
    <w:rsid w:val="00246AC0"/>
    <w:rsid w:val="00252DDF"/>
    <w:rsid w:val="0025362E"/>
    <w:rsid w:val="002545F3"/>
    <w:rsid w:val="002561EF"/>
    <w:rsid w:val="00257993"/>
    <w:rsid w:val="00262AD5"/>
    <w:rsid w:val="0026344F"/>
    <w:rsid w:val="00263D22"/>
    <w:rsid w:val="00266A17"/>
    <w:rsid w:val="00270372"/>
    <w:rsid w:val="00275534"/>
    <w:rsid w:val="002761A2"/>
    <w:rsid w:val="00277075"/>
    <w:rsid w:val="002775D2"/>
    <w:rsid w:val="002807BD"/>
    <w:rsid w:val="002809E9"/>
    <w:rsid w:val="00281ADD"/>
    <w:rsid w:val="00287401"/>
    <w:rsid w:val="00290BCA"/>
    <w:rsid w:val="00293E0D"/>
    <w:rsid w:val="00293E80"/>
    <w:rsid w:val="00296984"/>
    <w:rsid w:val="002973B0"/>
    <w:rsid w:val="00297C14"/>
    <w:rsid w:val="002A0A2A"/>
    <w:rsid w:val="002A220F"/>
    <w:rsid w:val="002A24F1"/>
    <w:rsid w:val="002A3ECA"/>
    <w:rsid w:val="002A5778"/>
    <w:rsid w:val="002A5820"/>
    <w:rsid w:val="002B1E84"/>
    <w:rsid w:val="002B2085"/>
    <w:rsid w:val="002B3EC4"/>
    <w:rsid w:val="002B5FCC"/>
    <w:rsid w:val="002C1011"/>
    <w:rsid w:val="002C1BB7"/>
    <w:rsid w:val="002C34C6"/>
    <w:rsid w:val="002C37D5"/>
    <w:rsid w:val="002C6A0B"/>
    <w:rsid w:val="002D2AA3"/>
    <w:rsid w:val="002D34DB"/>
    <w:rsid w:val="002D4B11"/>
    <w:rsid w:val="002D6DED"/>
    <w:rsid w:val="002E02E2"/>
    <w:rsid w:val="002E0A16"/>
    <w:rsid w:val="002E4A1E"/>
    <w:rsid w:val="002E5633"/>
    <w:rsid w:val="002F1051"/>
    <w:rsid w:val="002F1963"/>
    <w:rsid w:val="002F5923"/>
    <w:rsid w:val="002F5B6E"/>
    <w:rsid w:val="002F61B5"/>
    <w:rsid w:val="0030209B"/>
    <w:rsid w:val="00303EFB"/>
    <w:rsid w:val="003041E3"/>
    <w:rsid w:val="00306D84"/>
    <w:rsid w:val="00306EC9"/>
    <w:rsid w:val="003105A4"/>
    <w:rsid w:val="003127E4"/>
    <w:rsid w:val="00312A34"/>
    <w:rsid w:val="00313215"/>
    <w:rsid w:val="003141C6"/>
    <w:rsid w:val="003171D3"/>
    <w:rsid w:val="003174C3"/>
    <w:rsid w:val="0032557A"/>
    <w:rsid w:val="0033583F"/>
    <w:rsid w:val="00336447"/>
    <w:rsid w:val="00340778"/>
    <w:rsid w:val="00343958"/>
    <w:rsid w:val="00344D2C"/>
    <w:rsid w:val="003458CE"/>
    <w:rsid w:val="00345A57"/>
    <w:rsid w:val="00346D90"/>
    <w:rsid w:val="00351F62"/>
    <w:rsid w:val="0035265A"/>
    <w:rsid w:val="003601F4"/>
    <w:rsid w:val="003665D3"/>
    <w:rsid w:val="003671E2"/>
    <w:rsid w:val="00367259"/>
    <w:rsid w:val="003707C6"/>
    <w:rsid w:val="00372AE6"/>
    <w:rsid w:val="00376671"/>
    <w:rsid w:val="003800A7"/>
    <w:rsid w:val="00381203"/>
    <w:rsid w:val="00382EF8"/>
    <w:rsid w:val="003837E1"/>
    <w:rsid w:val="00383FDD"/>
    <w:rsid w:val="00384F5E"/>
    <w:rsid w:val="0038584D"/>
    <w:rsid w:val="00391366"/>
    <w:rsid w:val="003924F0"/>
    <w:rsid w:val="0039257F"/>
    <w:rsid w:val="003931DE"/>
    <w:rsid w:val="003966FF"/>
    <w:rsid w:val="00397194"/>
    <w:rsid w:val="00397D1A"/>
    <w:rsid w:val="003A106F"/>
    <w:rsid w:val="003A163C"/>
    <w:rsid w:val="003A2B4E"/>
    <w:rsid w:val="003A2FBB"/>
    <w:rsid w:val="003A3799"/>
    <w:rsid w:val="003A4913"/>
    <w:rsid w:val="003A54A9"/>
    <w:rsid w:val="003A7083"/>
    <w:rsid w:val="003B38B3"/>
    <w:rsid w:val="003B3A97"/>
    <w:rsid w:val="003B3D44"/>
    <w:rsid w:val="003B708B"/>
    <w:rsid w:val="003C6AB6"/>
    <w:rsid w:val="003C7CC2"/>
    <w:rsid w:val="003D1352"/>
    <w:rsid w:val="003D50B6"/>
    <w:rsid w:val="003D584D"/>
    <w:rsid w:val="003D71F8"/>
    <w:rsid w:val="003E05DF"/>
    <w:rsid w:val="003E6085"/>
    <w:rsid w:val="003E6CA3"/>
    <w:rsid w:val="003E7EF0"/>
    <w:rsid w:val="003F2CF7"/>
    <w:rsid w:val="003F4C96"/>
    <w:rsid w:val="003F4CA8"/>
    <w:rsid w:val="00405ECB"/>
    <w:rsid w:val="00406002"/>
    <w:rsid w:val="004064F1"/>
    <w:rsid w:val="00406AD3"/>
    <w:rsid w:val="00406E63"/>
    <w:rsid w:val="00412E42"/>
    <w:rsid w:val="00413CC8"/>
    <w:rsid w:val="004210F8"/>
    <w:rsid w:val="00421FA6"/>
    <w:rsid w:val="00426356"/>
    <w:rsid w:val="00426929"/>
    <w:rsid w:val="00427E9D"/>
    <w:rsid w:val="0043139B"/>
    <w:rsid w:val="0043340F"/>
    <w:rsid w:val="004335DE"/>
    <w:rsid w:val="00434520"/>
    <w:rsid w:val="0043581D"/>
    <w:rsid w:val="004413D3"/>
    <w:rsid w:val="00442930"/>
    <w:rsid w:val="00442C16"/>
    <w:rsid w:val="00446439"/>
    <w:rsid w:val="00450BDA"/>
    <w:rsid w:val="00453A3E"/>
    <w:rsid w:val="00453BCC"/>
    <w:rsid w:val="0045452F"/>
    <w:rsid w:val="00455DF1"/>
    <w:rsid w:val="0045766B"/>
    <w:rsid w:val="00457B09"/>
    <w:rsid w:val="00457F68"/>
    <w:rsid w:val="00465B15"/>
    <w:rsid w:val="004710D1"/>
    <w:rsid w:val="00472ED0"/>
    <w:rsid w:val="00474BB7"/>
    <w:rsid w:val="004816D7"/>
    <w:rsid w:val="0048342E"/>
    <w:rsid w:val="00483E84"/>
    <w:rsid w:val="00484CA3"/>
    <w:rsid w:val="00487478"/>
    <w:rsid w:val="0048782D"/>
    <w:rsid w:val="0048797B"/>
    <w:rsid w:val="00487986"/>
    <w:rsid w:val="00490ED8"/>
    <w:rsid w:val="004913B9"/>
    <w:rsid w:val="00494DC1"/>
    <w:rsid w:val="004A3F56"/>
    <w:rsid w:val="004A5E21"/>
    <w:rsid w:val="004A666A"/>
    <w:rsid w:val="004A78B9"/>
    <w:rsid w:val="004B143F"/>
    <w:rsid w:val="004B49A0"/>
    <w:rsid w:val="004C35AA"/>
    <w:rsid w:val="004C5403"/>
    <w:rsid w:val="004C6306"/>
    <w:rsid w:val="004C6F5E"/>
    <w:rsid w:val="004C7E94"/>
    <w:rsid w:val="004D02B3"/>
    <w:rsid w:val="004D175A"/>
    <w:rsid w:val="004D376D"/>
    <w:rsid w:val="004D5BE9"/>
    <w:rsid w:val="004D7AF7"/>
    <w:rsid w:val="004D7CF8"/>
    <w:rsid w:val="004D7EDA"/>
    <w:rsid w:val="004E0D9A"/>
    <w:rsid w:val="004E0E34"/>
    <w:rsid w:val="004E0E49"/>
    <w:rsid w:val="004E0F88"/>
    <w:rsid w:val="004E197A"/>
    <w:rsid w:val="004E4EF2"/>
    <w:rsid w:val="004E5D52"/>
    <w:rsid w:val="004E5FE2"/>
    <w:rsid w:val="004F07D7"/>
    <w:rsid w:val="004F0D08"/>
    <w:rsid w:val="004F1297"/>
    <w:rsid w:val="004F16DB"/>
    <w:rsid w:val="004F4D7E"/>
    <w:rsid w:val="004F5B16"/>
    <w:rsid w:val="004F5D9D"/>
    <w:rsid w:val="004F68E5"/>
    <w:rsid w:val="004F718F"/>
    <w:rsid w:val="004F741B"/>
    <w:rsid w:val="0050030B"/>
    <w:rsid w:val="00501AF5"/>
    <w:rsid w:val="00503123"/>
    <w:rsid w:val="00503253"/>
    <w:rsid w:val="00503BB0"/>
    <w:rsid w:val="00503E03"/>
    <w:rsid w:val="00504E2F"/>
    <w:rsid w:val="00506DC4"/>
    <w:rsid w:val="00512226"/>
    <w:rsid w:val="005147C6"/>
    <w:rsid w:val="005159B1"/>
    <w:rsid w:val="00522502"/>
    <w:rsid w:val="005233B0"/>
    <w:rsid w:val="00523E09"/>
    <w:rsid w:val="005255A1"/>
    <w:rsid w:val="0052574C"/>
    <w:rsid w:val="0052641C"/>
    <w:rsid w:val="00527C9B"/>
    <w:rsid w:val="00532317"/>
    <w:rsid w:val="00532D7F"/>
    <w:rsid w:val="00533A79"/>
    <w:rsid w:val="005340B4"/>
    <w:rsid w:val="00534A99"/>
    <w:rsid w:val="00535093"/>
    <w:rsid w:val="0053543A"/>
    <w:rsid w:val="00536370"/>
    <w:rsid w:val="0053795D"/>
    <w:rsid w:val="005403D2"/>
    <w:rsid w:val="00540A89"/>
    <w:rsid w:val="00542D2B"/>
    <w:rsid w:val="00543722"/>
    <w:rsid w:val="00544522"/>
    <w:rsid w:val="005468AB"/>
    <w:rsid w:val="005475BD"/>
    <w:rsid w:val="005501A0"/>
    <w:rsid w:val="00550831"/>
    <w:rsid w:val="00551060"/>
    <w:rsid w:val="005527E6"/>
    <w:rsid w:val="00554273"/>
    <w:rsid w:val="005555F3"/>
    <w:rsid w:val="005618E9"/>
    <w:rsid w:val="005642B6"/>
    <w:rsid w:val="005657A5"/>
    <w:rsid w:val="005667BC"/>
    <w:rsid w:val="00571D5E"/>
    <w:rsid w:val="00572832"/>
    <w:rsid w:val="00573A21"/>
    <w:rsid w:val="005753F2"/>
    <w:rsid w:val="00577240"/>
    <w:rsid w:val="005821C9"/>
    <w:rsid w:val="005823D0"/>
    <w:rsid w:val="00582802"/>
    <w:rsid w:val="00583BC6"/>
    <w:rsid w:val="00586D67"/>
    <w:rsid w:val="00587A06"/>
    <w:rsid w:val="00593ABB"/>
    <w:rsid w:val="0059636F"/>
    <w:rsid w:val="00597228"/>
    <w:rsid w:val="005A254F"/>
    <w:rsid w:val="005A2748"/>
    <w:rsid w:val="005A443F"/>
    <w:rsid w:val="005A487F"/>
    <w:rsid w:val="005A5AA3"/>
    <w:rsid w:val="005A773E"/>
    <w:rsid w:val="005B58D4"/>
    <w:rsid w:val="005C07B3"/>
    <w:rsid w:val="005C284E"/>
    <w:rsid w:val="005C2CB6"/>
    <w:rsid w:val="005C3541"/>
    <w:rsid w:val="005C4251"/>
    <w:rsid w:val="005C47D4"/>
    <w:rsid w:val="005D299E"/>
    <w:rsid w:val="005D51D0"/>
    <w:rsid w:val="005D6F83"/>
    <w:rsid w:val="005D7877"/>
    <w:rsid w:val="005D7CCF"/>
    <w:rsid w:val="005E56B6"/>
    <w:rsid w:val="005E58C4"/>
    <w:rsid w:val="005E5D8F"/>
    <w:rsid w:val="005F180C"/>
    <w:rsid w:val="005F559F"/>
    <w:rsid w:val="005F5A5C"/>
    <w:rsid w:val="005F5CD9"/>
    <w:rsid w:val="006004EF"/>
    <w:rsid w:val="00602CE8"/>
    <w:rsid w:val="0061135C"/>
    <w:rsid w:val="0061276E"/>
    <w:rsid w:val="006136DD"/>
    <w:rsid w:val="006149F0"/>
    <w:rsid w:val="0061533D"/>
    <w:rsid w:val="00617E66"/>
    <w:rsid w:val="006220A5"/>
    <w:rsid w:val="00624AC8"/>
    <w:rsid w:val="00633C60"/>
    <w:rsid w:val="0064126D"/>
    <w:rsid w:val="006434D7"/>
    <w:rsid w:val="006451B8"/>
    <w:rsid w:val="00645722"/>
    <w:rsid w:val="0064578F"/>
    <w:rsid w:val="00652432"/>
    <w:rsid w:val="00657840"/>
    <w:rsid w:val="0066003C"/>
    <w:rsid w:val="0066041E"/>
    <w:rsid w:val="006631ED"/>
    <w:rsid w:val="00673CCC"/>
    <w:rsid w:val="00675530"/>
    <w:rsid w:val="006756CA"/>
    <w:rsid w:val="00675C98"/>
    <w:rsid w:val="00685E1E"/>
    <w:rsid w:val="00686703"/>
    <w:rsid w:val="00687F3B"/>
    <w:rsid w:val="0069026B"/>
    <w:rsid w:val="00692EB6"/>
    <w:rsid w:val="006932FE"/>
    <w:rsid w:val="006946C7"/>
    <w:rsid w:val="006956EA"/>
    <w:rsid w:val="006A420B"/>
    <w:rsid w:val="006A490C"/>
    <w:rsid w:val="006A4B89"/>
    <w:rsid w:val="006B262D"/>
    <w:rsid w:val="006B4059"/>
    <w:rsid w:val="006B4F7D"/>
    <w:rsid w:val="006B77DF"/>
    <w:rsid w:val="006B7CA6"/>
    <w:rsid w:val="006C114C"/>
    <w:rsid w:val="006C3457"/>
    <w:rsid w:val="006C3864"/>
    <w:rsid w:val="006C5383"/>
    <w:rsid w:val="006C5603"/>
    <w:rsid w:val="006C5E72"/>
    <w:rsid w:val="006D2AEC"/>
    <w:rsid w:val="006D3C68"/>
    <w:rsid w:val="006D4C8E"/>
    <w:rsid w:val="006D7ED5"/>
    <w:rsid w:val="006D7ED8"/>
    <w:rsid w:val="006E09B5"/>
    <w:rsid w:val="006E19D1"/>
    <w:rsid w:val="006E1CBB"/>
    <w:rsid w:val="006E5D77"/>
    <w:rsid w:val="006E5F82"/>
    <w:rsid w:val="006F100B"/>
    <w:rsid w:val="006F1052"/>
    <w:rsid w:val="006F239A"/>
    <w:rsid w:val="006F2986"/>
    <w:rsid w:val="006F2C9D"/>
    <w:rsid w:val="006F72C3"/>
    <w:rsid w:val="00701FC7"/>
    <w:rsid w:val="00702311"/>
    <w:rsid w:val="007024A5"/>
    <w:rsid w:val="00704CD5"/>
    <w:rsid w:val="00705B4E"/>
    <w:rsid w:val="0070637D"/>
    <w:rsid w:val="007071DD"/>
    <w:rsid w:val="0070771F"/>
    <w:rsid w:val="0071049E"/>
    <w:rsid w:val="00710A17"/>
    <w:rsid w:val="00711766"/>
    <w:rsid w:val="0071277C"/>
    <w:rsid w:val="007129EC"/>
    <w:rsid w:val="00712A14"/>
    <w:rsid w:val="007154FD"/>
    <w:rsid w:val="00716209"/>
    <w:rsid w:val="00716C04"/>
    <w:rsid w:val="00717180"/>
    <w:rsid w:val="007179D2"/>
    <w:rsid w:val="00720750"/>
    <w:rsid w:val="00723410"/>
    <w:rsid w:val="0072549C"/>
    <w:rsid w:val="00725A80"/>
    <w:rsid w:val="007271A8"/>
    <w:rsid w:val="00731DDE"/>
    <w:rsid w:val="00732C60"/>
    <w:rsid w:val="00733970"/>
    <w:rsid w:val="00746A06"/>
    <w:rsid w:val="00747529"/>
    <w:rsid w:val="00754C58"/>
    <w:rsid w:val="007636CF"/>
    <w:rsid w:val="00772585"/>
    <w:rsid w:val="00775F80"/>
    <w:rsid w:val="00776D10"/>
    <w:rsid w:val="00776E78"/>
    <w:rsid w:val="007776E9"/>
    <w:rsid w:val="007806BA"/>
    <w:rsid w:val="0078138A"/>
    <w:rsid w:val="00783014"/>
    <w:rsid w:val="007834DC"/>
    <w:rsid w:val="007836BB"/>
    <w:rsid w:val="0078710A"/>
    <w:rsid w:val="007919DD"/>
    <w:rsid w:val="007959D8"/>
    <w:rsid w:val="0079630F"/>
    <w:rsid w:val="007A04C2"/>
    <w:rsid w:val="007B146A"/>
    <w:rsid w:val="007B22EA"/>
    <w:rsid w:val="007C0E7C"/>
    <w:rsid w:val="007C0EAA"/>
    <w:rsid w:val="007C44B2"/>
    <w:rsid w:val="007C5757"/>
    <w:rsid w:val="007C6222"/>
    <w:rsid w:val="007C6496"/>
    <w:rsid w:val="007C745E"/>
    <w:rsid w:val="007D3966"/>
    <w:rsid w:val="007D41C4"/>
    <w:rsid w:val="007D4854"/>
    <w:rsid w:val="007D63C9"/>
    <w:rsid w:val="007E3F8C"/>
    <w:rsid w:val="007E528F"/>
    <w:rsid w:val="007F2058"/>
    <w:rsid w:val="007F257B"/>
    <w:rsid w:val="007F3129"/>
    <w:rsid w:val="007F3418"/>
    <w:rsid w:val="007F55D7"/>
    <w:rsid w:val="007F7685"/>
    <w:rsid w:val="0080011D"/>
    <w:rsid w:val="00800EA5"/>
    <w:rsid w:val="00801C01"/>
    <w:rsid w:val="00801EF5"/>
    <w:rsid w:val="0080306C"/>
    <w:rsid w:val="00810E32"/>
    <w:rsid w:val="00810F82"/>
    <w:rsid w:val="008130BB"/>
    <w:rsid w:val="00814A57"/>
    <w:rsid w:val="00816A49"/>
    <w:rsid w:val="00821742"/>
    <w:rsid w:val="008237FA"/>
    <w:rsid w:val="0082402D"/>
    <w:rsid w:val="00825D37"/>
    <w:rsid w:val="00826119"/>
    <w:rsid w:val="00831392"/>
    <w:rsid w:val="00831682"/>
    <w:rsid w:val="008369B0"/>
    <w:rsid w:val="0083768D"/>
    <w:rsid w:val="00842249"/>
    <w:rsid w:val="008527FE"/>
    <w:rsid w:val="00854A9D"/>
    <w:rsid w:val="0085732C"/>
    <w:rsid w:val="008578E3"/>
    <w:rsid w:val="00860B45"/>
    <w:rsid w:val="00860CD7"/>
    <w:rsid w:val="00860F88"/>
    <w:rsid w:val="00862340"/>
    <w:rsid w:val="00863860"/>
    <w:rsid w:val="008638B5"/>
    <w:rsid w:val="00864715"/>
    <w:rsid w:val="008668D6"/>
    <w:rsid w:val="00870447"/>
    <w:rsid w:val="008734DB"/>
    <w:rsid w:val="0087390B"/>
    <w:rsid w:val="00873FCF"/>
    <w:rsid w:val="008745A1"/>
    <w:rsid w:val="008768E9"/>
    <w:rsid w:val="0087751B"/>
    <w:rsid w:val="00877DD5"/>
    <w:rsid w:val="0089093F"/>
    <w:rsid w:val="00890995"/>
    <w:rsid w:val="008914FB"/>
    <w:rsid w:val="008939DA"/>
    <w:rsid w:val="00897E99"/>
    <w:rsid w:val="008A4516"/>
    <w:rsid w:val="008A4829"/>
    <w:rsid w:val="008A4FE3"/>
    <w:rsid w:val="008A6404"/>
    <w:rsid w:val="008B2384"/>
    <w:rsid w:val="008B38D6"/>
    <w:rsid w:val="008B3FCA"/>
    <w:rsid w:val="008B4802"/>
    <w:rsid w:val="008B5586"/>
    <w:rsid w:val="008B6528"/>
    <w:rsid w:val="008B69E3"/>
    <w:rsid w:val="008B7D8A"/>
    <w:rsid w:val="008C1FD1"/>
    <w:rsid w:val="008C24A8"/>
    <w:rsid w:val="008C2FC4"/>
    <w:rsid w:val="008C35EF"/>
    <w:rsid w:val="008C55C4"/>
    <w:rsid w:val="008C5996"/>
    <w:rsid w:val="008D5A11"/>
    <w:rsid w:val="008D5E23"/>
    <w:rsid w:val="008D628E"/>
    <w:rsid w:val="008D6A5F"/>
    <w:rsid w:val="008E36C7"/>
    <w:rsid w:val="008E3CAC"/>
    <w:rsid w:val="008E45EF"/>
    <w:rsid w:val="008E6D59"/>
    <w:rsid w:val="008F18DA"/>
    <w:rsid w:val="008F5372"/>
    <w:rsid w:val="008F5D66"/>
    <w:rsid w:val="008F6B7B"/>
    <w:rsid w:val="00901E98"/>
    <w:rsid w:val="009028AA"/>
    <w:rsid w:val="00903E3F"/>
    <w:rsid w:val="009049C3"/>
    <w:rsid w:val="009057D9"/>
    <w:rsid w:val="0090774A"/>
    <w:rsid w:val="00910D07"/>
    <w:rsid w:val="009139B3"/>
    <w:rsid w:val="00914B2F"/>
    <w:rsid w:val="009150E6"/>
    <w:rsid w:val="00917F89"/>
    <w:rsid w:val="00921CE0"/>
    <w:rsid w:val="009248B0"/>
    <w:rsid w:val="009255EE"/>
    <w:rsid w:val="00925603"/>
    <w:rsid w:val="00925AA3"/>
    <w:rsid w:val="00925F76"/>
    <w:rsid w:val="00926484"/>
    <w:rsid w:val="00926592"/>
    <w:rsid w:val="0092674F"/>
    <w:rsid w:val="00932E89"/>
    <w:rsid w:val="00933074"/>
    <w:rsid w:val="0093359D"/>
    <w:rsid w:val="00933F2B"/>
    <w:rsid w:val="009341F3"/>
    <w:rsid w:val="00935A30"/>
    <w:rsid w:val="00942EEB"/>
    <w:rsid w:val="009438B8"/>
    <w:rsid w:val="009441D2"/>
    <w:rsid w:val="0094468E"/>
    <w:rsid w:val="00944CC8"/>
    <w:rsid w:val="00945261"/>
    <w:rsid w:val="00950388"/>
    <w:rsid w:val="009506A5"/>
    <w:rsid w:val="0095132E"/>
    <w:rsid w:val="009541CC"/>
    <w:rsid w:val="00954711"/>
    <w:rsid w:val="00956564"/>
    <w:rsid w:val="00956BBB"/>
    <w:rsid w:val="00956D5A"/>
    <w:rsid w:val="009600D0"/>
    <w:rsid w:val="00961A08"/>
    <w:rsid w:val="00961B2C"/>
    <w:rsid w:val="00961DBB"/>
    <w:rsid w:val="00963122"/>
    <w:rsid w:val="00964113"/>
    <w:rsid w:val="009642F5"/>
    <w:rsid w:val="0096508D"/>
    <w:rsid w:val="0096618E"/>
    <w:rsid w:val="00977057"/>
    <w:rsid w:val="00981433"/>
    <w:rsid w:val="00981DB4"/>
    <w:rsid w:val="00984913"/>
    <w:rsid w:val="00985C07"/>
    <w:rsid w:val="00986921"/>
    <w:rsid w:val="00986D03"/>
    <w:rsid w:val="00987ADA"/>
    <w:rsid w:val="009920A1"/>
    <w:rsid w:val="00992F8A"/>
    <w:rsid w:val="00995B4F"/>
    <w:rsid w:val="009971EB"/>
    <w:rsid w:val="00997582"/>
    <w:rsid w:val="009A0533"/>
    <w:rsid w:val="009A2C21"/>
    <w:rsid w:val="009A3E58"/>
    <w:rsid w:val="009A5F02"/>
    <w:rsid w:val="009A7AB1"/>
    <w:rsid w:val="009A7ECE"/>
    <w:rsid w:val="009B1F49"/>
    <w:rsid w:val="009C1668"/>
    <w:rsid w:val="009C18E5"/>
    <w:rsid w:val="009C6DAA"/>
    <w:rsid w:val="009D0E74"/>
    <w:rsid w:val="009D1A96"/>
    <w:rsid w:val="009D25EA"/>
    <w:rsid w:val="009D370B"/>
    <w:rsid w:val="009D543A"/>
    <w:rsid w:val="009D558A"/>
    <w:rsid w:val="009D7843"/>
    <w:rsid w:val="009D7976"/>
    <w:rsid w:val="009E123C"/>
    <w:rsid w:val="009E2087"/>
    <w:rsid w:val="009E252B"/>
    <w:rsid w:val="009E3265"/>
    <w:rsid w:val="009E3353"/>
    <w:rsid w:val="009E41CD"/>
    <w:rsid w:val="009E446D"/>
    <w:rsid w:val="009E7C09"/>
    <w:rsid w:val="009F0452"/>
    <w:rsid w:val="009F0761"/>
    <w:rsid w:val="009F146D"/>
    <w:rsid w:val="009F2CF4"/>
    <w:rsid w:val="009F31A7"/>
    <w:rsid w:val="009F44C4"/>
    <w:rsid w:val="009F4F1E"/>
    <w:rsid w:val="00A013C0"/>
    <w:rsid w:val="00A015E4"/>
    <w:rsid w:val="00A02C6B"/>
    <w:rsid w:val="00A04B3E"/>
    <w:rsid w:val="00A06887"/>
    <w:rsid w:val="00A07319"/>
    <w:rsid w:val="00A075BC"/>
    <w:rsid w:val="00A10D5B"/>
    <w:rsid w:val="00A10DC9"/>
    <w:rsid w:val="00A11222"/>
    <w:rsid w:val="00A1124A"/>
    <w:rsid w:val="00A12C39"/>
    <w:rsid w:val="00A13279"/>
    <w:rsid w:val="00A134FB"/>
    <w:rsid w:val="00A20802"/>
    <w:rsid w:val="00A248E2"/>
    <w:rsid w:val="00A24B16"/>
    <w:rsid w:val="00A25B4F"/>
    <w:rsid w:val="00A26C3A"/>
    <w:rsid w:val="00A442BF"/>
    <w:rsid w:val="00A44EB4"/>
    <w:rsid w:val="00A53716"/>
    <w:rsid w:val="00A5629E"/>
    <w:rsid w:val="00A61C5D"/>
    <w:rsid w:val="00A64832"/>
    <w:rsid w:val="00A654DF"/>
    <w:rsid w:val="00A71D73"/>
    <w:rsid w:val="00A732DB"/>
    <w:rsid w:val="00A74A27"/>
    <w:rsid w:val="00A77454"/>
    <w:rsid w:val="00A80AEF"/>
    <w:rsid w:val="00A8147D"/>
    <w:rsid w:val="00A840E2"/>
    <w:rsid w:val="00A85971"/>
    <w:rsid w:val="00A86F04"/>
    <w:rsid w:val="00A90C99"/>
    <w:rsid w:val="00A93134"/>
    <w:rsid w:val="00A946C4"/>
    <w:rsid w:val="00AA3203"/>
    <w:rsid w:val="00AA6304"/>
    <w:rsid w:val="00AB3C01"/>
    <w:rsid w:val="00AC01F8"/>
    <w:rsid w:val="00AC059A"/>
    <w:rsid w:val="00AC0FE8"/>
    <w:rsid w:val="00AC61A2"/>
    <w:rsid w:val="00AD0308"/>
    <w:rsid w:val="00AD1219"/>
    <w:rsid w:val="00AD377A"/>
    <w:rsid w:val="00AD67BB"/>
    <w:rsid w:val="00AE12DC"/>
    <w:rsid w:val="00AE1610"/>
    <w:rsid w:val="00AE1CC1"/>
    <w:rsid w:val="00AE3EA4"/>
    <w:rsid w:val="00AE4A6A"/>
    <w:rsid w:val="00AE4B59"/>
    <w:rsid w:val="00AF1B02"/>
    <w:rsid w:val="00AF3F4E"/>
    <w:rsid w:val="00AF41E4"/>
    <w:rsid w:val="00AF6C15"/>
    <w:rsid w:val="00AF6D25"/>
    <w:rsid w:val="00AF70E6"/>
    <w:rsid w:val="00B0163A"/>
    <w:rsid w:val="00B05D9D"/>
    <w:rsid w:val="00B06A75"/>
    <w:rsid w:val="00B06BC3"/>
    <w:rsid w:val="00B07CBD"/>
    <w:rsid w:val="00B10FF2"/>
    <w:rsid w:val="00B11237"/>
    <w:rsid w:val="00B15A0F"/>
    <w:rsid w:val="00B16CEA"/>
    <w:rsid w:val="00B17270"/>
    <w:rsid w:val="00B20236"/>
    <w:rsid w:val="00B202F1"/>
    <w:rsid w:val="00B20937"/>
    <w:rsid w:val="00B220A0"/>
    <w:rsid w:val="00B22B64"/>
    <w:rsid w:val="00B22FEA"/>
    <w:rsid w:val="00B23D34"/>
    <w:rsid w:val="00B24321"/>
    <w:rsid w:val="00B251E5"/>
    <w:rsid w:val="00B30FEB"/>
    <w:rsid w:val="00B3367D"/>
    <w:rsid w:val="00B35773"/>
    <w:rsid w:val="00B40AA3"/>
    <w:rsid w:val="00B44478"/>
    <w:rsid w:val="00B45E9C"/>
    <w:rsid w:val="00B46ABC"/>
    <w:rsid w:val="00B50284"/>
    <w:rsid w:val="00B53293"/>
    <w:rsid w:val="00B57D69"/>
    <w:rsid w:val="00B6002C"/>
    <w:rsid w:val="00B6147E"/>
    <w:rsid w:val="00B6159E"/>
    <w:rsid w:val="00B62062"/>
    <w:rsid w:val="00B620EE"/>
    <w:rsid w:val="00B64524"/>
    <w:rsid w:val="00B66679"/>
    <w:rsid w:val="00B67C4A"/>
    <w:rsid w:val="00B70F6B"/>
    <w:rsid w:val="00B8019E"/>
    <w:rsid w:val="00B80C45"/>
    <w:rsid w:val="00B81375"/>
    <w:rsid w:val="00B8216D"/>
    <w:rsid w:val="00B842DB"/>
    <w:rsid w:val="00B85366"/>
    <w:rsid w:val="00B868E8"/>
    <w:rsid w:val="00B87F60"/>
    <w:rsid w:val="00B937A0"/>
    <w:rsid w:val="00B93D3D"/>
    <w:rsid w:val="00B96053"/>
    <w:rsid w:val="00B96898"/>
    <w:rsid w:val="00BA08B3"/>
    <w:rsid w:val="00BA097F"/>
    <w:rsid w:val="00BA0E4C"/>
    <w:rsid w:val="00BA3403"/>
    <w:rsid w:val="00BA471F"/>
    <w:rsid w:val="00BB02BE"/>
    <w:rsid w:val="00BB3D18"/>
    <w:rsid w:val="00BB46F8"/>
    <w:rsid w:val="00BB5013"/>
    <w:rsid w:val="00BB528E"/>
    <w:rsid w:val="00BC0323"/>
    <w:rsid w:val="00BC1606"/>
    <w:rsid w:val="00BC2600"/>
    <w:rsid w:val="00BC36F0"/>
    <w:rsid w:val="00BC4FA7"/>
    <w:rsid w:val="00BC5E30"/>
    <w:rsid w:val="00BD02C5"/>
    <w:rsid w:val="00BD068D"/>
    <w:rsid w:val="00BD1B35"/>
    <w:rsid w:val="00BD6BFD"/>
    <w:rsid w:val="00BE0D9A"/>
    <w:rsid w:val="00BE14EF"/>
    <w:rsid w:val="00BE1A50"/>
    <w:rsid w:val="00BE2F0D"/>
    <w:rsid w:val="00BF0BD5"/>
    <w:rsid w:val="00BF2920"/>
    <w:rsid w:val="00BF55F8"/>
    <w:rsid w:val="00C02F80"/>
    <w:rsid w:val="00C03F1D"/>
    <w:rsid w:val="00C051FD"/>
    <w:rsid w:val="00C05BCF"/>
    <w:rsid w:val="00C10969"/>
    <w:rsid w:val="00C11F4E"/>
    <w:rsid w:val="00C20C7D"/>
    <w:rsid w:val="00C20DEF"/>
    <w:rsid w:val="00C219B5"/>
    <w:rsid w:val="00C232A0"/>
    <w:rsid w:val="00C24B25"/>
    <w:rsid w:val="00C328CB"/>
    <w:rsid w:val="00C32C2F"/>
    <w:rsid w:val="00C33776"/>
    <w:rsid w:val="00C339AD"/>
    <w:rsid w:val="00C36393"/>
    <w:rsid w:val="00C3738A"/>
    <w:rsid w:val="00C41510"/>
    <w:rsid w:val="00C4315A"/>
    <w:rsid w:val="00C43F5E"/>
    <w:rsid w:val="00C44074"/>
    <w:rsid w:val="00C4651F"/>
    <w:rsid w:val="00C51D0B"/>
    <w:rsid w:val="00C52A50"/>
    <w:rsid w:val="00C53A7A"/>
    <w:rsid w:val="00C56E11"/>
    <w:rsid w:val="00C642D4"/>
    <w:rsid w:val="00C66A22"/>
    <w:rsid w:val="00C730F4"/>
    <w:rsid w:val="00C74AC7"/>
    <w:rsid w:val="00C80200"/>
    <w:rsid w:val="00C81572"/>
    <w:rsid w:val="00C8270B"/>
    <w:rsid w:val="00C83AF5"/>
    <w:rsid w:val="00C841A9"/>
    <w:rsid w:val="00C84968"/>
    <w:rsid w:val="00C8600F"/>
    <w:rsid w:val="00C8728F"/>
    <w:rsid w:val="00C97FBC"/>
    <w:rsid w:val="00CA0B7E"/>
    <w:rsid w:val="00CA40C5"/>
    <w:rsid w:val="00CA5598"/>
    <w:rsid w:val="00CA5EF8"/>
    <w:rsid w:val="00CB0A85"/>
    <w:rsid w:val="00CB1AB9"/>
    <w:rsid w:val="00CB28A3"/>
    <w:rsid w:val="00CB3704"/>
    <w:rsid w:val="00CC00A0"/>
    <w:rsid w:val="00CC5455"/>
    <w:rsid w:val="00CC6C06"/>
    <w:rsid w:val="00CD04E1"/>
    <w:rsid w:val="00CD5509"/>
    <w:rsid w:val="00CE1EB0"/>
    <w:rsid w:val="00CE3DF2"/>
    <w:rsid w:val="00CE4EFD"/>
    <w:rsid w:val="00CF0C0F"/>
    <w:rsid w:val="00CF1690"/>
    <w:rsid w:val="00CF1F2A"/>
    <w:rsid w:val="00CF5266"/>
    <w:rsid w:val="00CF5CE3"/>
    <w:rsid w:val="00CF7412"/>
    <w:rsid w:val="00D030F8"/>
    <w:rsid w:val="00D077B7"/>
    <w:rsid w:val="00D10D6E"/>
    <w:rsid w:val="00D11305"/>
    <w:rsid w:val="00D129CB"/>
    <w:rsid w:val="00D20297"/>
    <w:rsid w:val="00D20912"/>
    <w:rsid w:val="00D20A62"/>
    <w:rsid w:val="00D21E6B"/>
    <w:rsid w:val="00D23634"/>
    <w:rsid w:val="00D26496"/>
    <w:rsid w:val="00D32994"/>
    <w:rsid w:val="00D32CE6"/>
    <w:rsid w:val="00D34551"/>
    <w:rsid w:val="00D4408B"/>
    <w:rsid w:val="00D457D6"/>
    <w:rsid w:val="00D51D0F"/>
    <w:rsid w:val="00D528C0"/>
    <w:rsid w:val="00D56D3B"/>
    <w:rsid w:val="00D62E62"/>
    <w:rsid w:val="00D649A5"/>
    <w:rsid w:val="00D64CE2"/>
    <w:rsid w:val="00D70F56"/>
    <w:rsid w:val="00D72E94"/>
    <w:rsid w:val="00D738AE"/>
    <w:rsid w:val="00D75501"/>
    <w:rsid w:val="00D75C90"/>
    <w:rsid w:val="00D7751B"/>
    <w:rsid w:val="00D815DC"/>
    <w:rsid w:val="00D822B5"/>
    <w:rsid w:val="00D83D3C"/>
    <w:rsid w:val="00D84ACA"/>
    <w:rsid w:val="00D867AE"/>
    <w:rsid w:val="00D87BBB"/>
    <w:rsid w:val="00D87C87"/>
    <w:rsid w:val="00D921C4"/>
    <w:rsid w:val="00D9230F"/>
    <w:rsid w:val="00D9296A"/>
    <w:rsid w:val="00D93C23"/>
    <w:rsid w:val="00D95638"/>
    <w:rsid w:val="00D9584C"/>
    <w:rsid w:val="00D969F0"/>
    <w:rsid w:val="00DA14D9"/>
    <w:rsid w:val="00DA2A5A"/>
    <w:rsid w:val="00DA39D5"/>
    <w:rsid w:val="00DA3AC3"/>
    <w:rsid w:val="00DA5869"/>
    <w:rsid w:val="00DB13AD"/>
    <w:rsid w:val="00DB1CDE"/>
    <w:rsid w:val="00DB23F9"/>
    <w:rsid w:val="00DB3AF3"/>
    <w:rsid w:val="00DB45DE"/>
    <w:rsid w:val="00DB58BE"/>
    <w:rsid w:val="00DB6176"/>
    <w:rsid w:val="00DB6AA0"/>
    <w:rsid w:val="00DB7C3A"/>
    <w:rsid w:val="00DC1A63"/>
    <w:rsid w:val="00DC253F"/>
    <w:rsid w:val="00DD06F2"/>
    <w:rsid w:val="00DD0F9C"/>
    <w:rsid w:val="00DD32AB"/>
    <w:rsid w:val="00DD32B2"/>
    <w:rsid w:val="00DD5B6D"/>
    <w:rsid w:val="00DD5BF6"/>
    <w:rsid w:val="00DD6B36"/>
    <w:rsid w:val="00DE11D7"/>
    <w:rsid w:val="00DE1865"/>
    <w:rsid w:val="00DE3703"/>
    <w:rsid w:val="00DE458A"/>
    <w:rsid w:val="00DE571D"/>
    <w:rsid w:val="00DE6CEF"/>
    <w:rsid w:val="00DF11C2"/>
    <w:rsid w:val="00DF1A3F"/>
    <w:rsid w:val="00DF4593"/>
    <w:rsid w:val="00DF4F9B"/>
    <w:rsid w:val="00DF7A75"/>
    <w:rsid w:val="00E005E3"/>
    <w:rsid w:val="00E02C11"/>
    <w:rsid w:val="00E03911"/>
    <w:rsid w:val="00E10D05"/>
    <w:rsid w:val="00E141C1"/>
    <w:rsid w:val="00E170A8"/>
    <w:rsid w:val="00E2223E"/>
    <w:rsid w:val="00E22D98"/>
    <w:rsid w:val="00E24623"/>
    <w:rsid w:val="00E252E3"/>
    <w:rsid w:val="00E25F37"/>
    <w:rsid w:val="00E311FA"/>
    <w:rsid w:val="00E37FC8"/>
    <w:rsid w:val="00E40505"/>
    <w:rsid w:val="00E42A41"/>
    <w:rsid w:val="00E435B3"/>
    <w:rsid w:val="00E447AF"/>
    <w:rsid w:val="00E45766"/>
    <w:rsid w:val="00E51733"/>
    <w:rsid w:val="00E52679"/>
    <w:rsid w:val="00E567E5"/>
    <w:rsid w:val="00E62176"/>
    <w:rsid w:val="00E63267"/>
    <w:rsid w:val="00E66E0E"/>
    <w:rsid w:val="00E6708B"/>
    <w:rsid w:val="00E71541"/>
    <w:rsid w:val="00E73A8C"/>
    <w:rsid w:val="00E75050"/>
    <w:rsid w:val="00E75816"/>
    <w:rsid w:val="00E75E1E"/>
    <w:rsid w:val="00E76F42"/>
    <w:rsid w:val="00E858BC"/>
    <w:rsid w:val="00E9108B"/>
    <w:rsid w:val="00E914BE"/>
    <w:rsid w:val="00E915E6"/>
    <w:rsid w:val="00E93FD9"/>
    <w:rsid w:val="00EA20D0"/>
    <w:rsid w:val="00EA3821"/>
    <w:rsid w:val="00EA3CD7"/>
    <w:rsid w:val="00EA3E11"/>
    <w:rsid w:val="00EA6EB3"/>
    <w:rsid w:val="00EB4A8E"/>
    <w:rsid w:val="00EB5EF3"/>
    <w:rsid w:val="00EB695D"/>
    <w:rsid w:val="00EB7C2C"/>
    <w:rsid w:val="00EB7FF9"/>
    <w:rsid w:val="00EC30A3"/>
    <w:rsid w:val="00EC7F67"/>
    <w:rsid w:val="00ED08F2"/>
    <w:rsid w:val="00ED39CE"/>
    <w:rsid w:val="00ED4134"/>
    <w:rsid w:val="00ED58B9"/>
    <w:rsid w:val="00EE05F1"/>
    <w:rsid w:val="00EE471A"/>
    <w:rsid w:val="00EE5492"/>
    <w:rsid w:val="00EE6BDC"/>
    <w:rsid w:val="00EE78AF"/>
    <w:rsid w:val="00EF0F77"/>
    <w:rsid w:val="00EF4EAF"/>
    <w:rsid w:val="00F00193"/>
    <w:rsid w:val="00F02FB3"/>
    <w:rsid w:val="00F04175"/>
    <w:rsid w:val="00F05CA6"/>
    <w:rsid w:val="00F0669F"/>
    <w:rsid w:val="00F07BD5"/>
    <w:rsid w:val="00F100E7"/>
    <w:rsid w:val="00F122D6"/>
    <w:rsid w:val="00F15BF4"/>
    <w:rsid w:val="00F17940"/>
    <w:rsid w:val="00F2046C"/>
    <w:rsid w:val="00F20647"/>
    <w:rsid w:val="00F22F1C"/>
    <w:rsid w:val="00F238B6"/>
    <w:rsid w:val="00F278A1"/>
    <w:rsid w:val="00F27CDB"/>
    <w:rsid w:val="00F31392"/>
    <w:rsid w:val="00F32728"/>
    <w:rsid w:val="00F348B5"/>
    <w:rsid w:val="00F34DE0"/>
    <w:rsid w:val="00F3652B"/>
    <w:rsid w:val="00F36535"/>
    <w:rsid w:val="00F377B9"/>
    <w:rsid w:val="00F44A95"/>
    <w:rsid w:val="00F45442"/>
    <w:rsid w:val="00F46660"/>
    <w:rsid w:val="00F505BF"/>
    <w:rsid w:val="00F5145E"/>
    <w:rsid w:val="00F532B8"/>
    <w:rsid w:val="00F546C7"/>
    <w:rsid w:val="00F558EA"/>
    <w:rsid w:val="00F568B7"/>
    <w:rsid w:val="00F613CB"/>
    <w:rsid w:val="00F61EB9"/>
    <w:rsid w:val="00F61F79"/>
    <w:rsid w:val="00F639DE"/>
    <w:rsid w:val="00F63ADE"/>
    <w:rsid w:val="00F656A4"/>
    <w:rsid w:val="00F65E78"/>
    <w:rsid w:val="00F6665E"/>
    <w:rsid w:val="00F7075F"/>
    <w:rsid w:val="00F70C71"/>
    <w:rsid w:val="00F71B7F"/>
    <w:rsid w:val="00F71D76"/>
    <w:rsid w:val="00F7363D"/>
    <w:rsid w:val="00F73E03"/>
    <w:rsid w:val="00F82C27"/>
    <w:rsid w:val="00F8349F"/>
    <w:rsid w:val="00F83FB7"/>
    <w:rsid w:val="00F85935"/>
    <w:rsid w:val="00F85D29"/>
    <w:rsid w:val="00F91406"/>
    <w:rsid w:val="00F927F6"/>
    <w:rsid w:val="00F95AA6"/>
    <w:rsid w:val="00F969D3"/>
    <w:rsid w:val="00FA190E"/>
    <w:rsid w:val="00FA3F87"/>
    <w:rsid w:val="00FA54D8"/>
    <w:rsid w:val="00FC0386"/>
    <w:rsid w:val="00FC4FB7"/>
    <w:rsid w:val="00FD064B"/>
    <w:rsid w:val="00FD0847"/>
    <w:rsid w:val="00FD33A3"/>
    <w:rsid w:val="00FD357B"/>
    <w:rsid w:val="00FD38FC"/>
    <w:rsid w:val="00FD3D01"/>
    <w:rsid w:val="00FD6119"/>
    <w:rsid w:val="00FD688E"/>
    <w:rsid w:val="00FD6905"/>
    <w:rsid w:val="00FD696D"/>
    <w:rsid w:val="00FD7C0C"/>
    <w:rsid w:val="00FE045C"/>
    <w:rsid w:val="00FE0C52"/>
    <w:rsid w:val="00FE1692"/>
    <w:rsid w:val="00FE5937"/>
    <w:rsid w:val="00FE5CCC"/>
    <w:rsid w:val="00FF0566"/>
    <w:rsid w:val="00FF5491"/>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NormalWeb">
    <w:name w:val="Normal (Web)"/>
    <w:basedOn w:val="Normal"/>
    <w:uiPriority w:val="99"/>
    <w:semiHidden/>
    <w:unhideWhenUsed/>
    <w:rsid w:val="00C415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E858BC"/>
    <w:pPr>
      <w:spacing w:after="200" w:line="276" w:lineRule="auto"/>
      <w:ind w:left="720"/>
      <w:contextualSpacing/>
    </w:pPr>
  </w:style>
  <w:style w:type="character" w:styleId="CommentReference">
    <w:name w:val="annotation reference"/>
    <w:basedOn w:val="DefaultParagraphFont"/>
    <w:semiHidden/>
    <w:unhideWhenUsed/>
    <w:rsid w:val="00B3367D"/>
    <w:rPr>
      <w:sz w:val="16"/>
      <w:szCs w:val="16"/>
    </w:rPr>
  </w:style>
  <w:style w:type="paragraph" w:styleId="CommentText">
    <w:name w:val="annotation text"/>
    <w:basedOn w:val="Normal"/>
    <w:link w:val="CommentTextChar"/>
    <w:semiHidden/>
    <w:unhideWhenUsed/>
    <w:rsid w:val="00B3367D"/>
    <w:pPr>
      <w:spacing w:line="240" w:lineRule="auto"/>
    </w:pPr>
    <w:rPr>
      <w:sz w:val="20"/>
      <w:szCs w:val="20"/>
    </w:rPr>
  </w:style>
  <w:style w:type="character" w:customStyle="1" w:styleId="CommentTextChar">
    <w:name w:val="Comment Text Char"/>
    <w:basedOn w:val="DefaultParagraphFont"/>
    <w:link w:val="CommentText"/>
    <w:semiHidden/>
    <w:rsid w:val="00B3367D"/>
    <w:rPr>
      <w:sz w:val="20"/>
      <w:szCs w:val="20"/>
    </w:rPr>
  </w:style>
  <w:style w:type="paragraph" w:styleId="CommentSubject">
    <w:name w:val="annotation subject"/>
    <w:basedOn w:val="CommentText"/>
    <w:next w:val="CommentText"/>
    <w:link w:val="CommentSubjectChar"/>
    <w:semiHidden/>
    <w:unhideWhenUsed/>
    <w:rsid w:val="00B3367D"/>
    <w:rPr>
      <w:b/>
      <w:bCs/>
    </w:rPr>
  </w:style>
  <w:style w:type="character" w:customStyle="1" w:styleId="CommentSubjectChar">
    <w:name w:val="Comment Subject Char"/>
    <w:basedOn w:val="CommentTextChar"/>
    <w:link w:val="CommentSubject"/>
    <w:semiHidden/>
    <w:rsid w:val="00B3367D"/>
    <w:rPr>
      <w:b/>
      <w:bCs/>
      <w:sz w:val="20"/>
      <w:szCs w:val="20"/>
    </w:rPr>
  </w:style>
  <w:style w:type="paragraph" w:styleId="Revision">
    <w:name w:val="Revision"/>
    <w:hidden/>
    <w:uiPriority w:val="99"/>
    <w:semiHidden/>
    <w:rsid w:val="00B3367D"/>
    <w:pPr>
      <w:spacing w:line="240" w:lineRule="auto"/>
    </w:pPr>
  </w:style>
  <w:style w:type="paragraph" w:customStyle="1" w:styleId="Caption1">
    <w:name w:val="Caption 1"/>
    <w:basedOn w:val="Caption"/>
    <w:link w:val="Caption1Char"/>
    <w:qFormat/>
    <w:rsid w:val="0059636F"/>
  </w:style>
  <w:style w:type="character" w:customStyle="1" w:styleId="Caption1Char">
    <w:name w:val="Caption 1 Char"/>
    <w:basedOn w:val="DefaultParagraphFont"/>
    <w:link w:val="Caption1"/>
    <w:rsid w:val="0059636F"/>
    <w:rPr>
      <w:b/>
      <w:bCs/>
      <w:color w:val="2B3B5F" w:themeColor="text2"/>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NormalWeb">
    <w:name w:val="Normal (Web)"/>
    <w:basedOn w:val="Normal"/>
    <w:uiPriority w:val="99"/>
    <w:semiHidden/>
    <w:unhideWhenUsed/>
    <w:rsid w:val="00C415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E858BC"/>
    <w:pPr>
      <w:spacing w:after="200" w:line="276" w:lineRule="auto"/>
      <w:ind w:left="720"/>
      <w:contextualSpacing/>
    </w:pPr>
  </w:style>
  <w:style w:type="character" w:styleId="CommentReference">
    <w:name w:val="annotation reference"/>
    <w:basedOn w:val="DefaultParagraphFont"/>
    <w:semiHidden/>
    <w:unhideWhenUsed/>
    <w:rsid w:val="00B3367D"/>
    <w:rPr>
      <w:sz w:val="16"/>
      <w:szCs w:val="16"/>
    </w:rPr>
  </w:style>
  <w:style w:type="paragraph" w:styleId="CommentText">
    <w:name w:val="annotation text"/>
    <w:basedOn w:val="Normal"/>
    <w:link w:val="CommentTextChar"/>
    <w:semiHidden/>
    <w:unhideWhenUsed/>
    <w:rsid w:val="00B3367D"/>
    <w:pPr>
      <w:spacing w:line="240" w:lineRule="auto"/>
    </w:pPr>
    <w:rPr>
      <w:sz w:val="20"/>
      <w:szCs w:val="20"/>
    </w:rPr>
  </w:style>
  <w:style w:type="character" w:customStyle="1" w:styleId="CommentTextChar">
    <w:name w:val="Comment Text Char"/>
    <w:basedOn w:val="DefaultParagraphFont"/>
    <w:link w:val="CommentText"/>
    <w:semiHidden/>
    <w:rsid w:val="00B3367D"/>
    <w:rPr>
      <w:sz w:val="20"/>
      <w:szCs w:val="20"/>
    </w:rPr>
  </w:style>
  <w:style w:type="paragraph" w:styleId="CommentSubject">
    <w:name w:val="annotation subject"/>
    <w:basedOn w:val="CommentText"/>
    <w:next w:val="CommentText"/>
    <w:link w:val="CommentSubjectChar"/>
    <w:semiHidden/>
    <w:unhideWhenUsed/>
    <w:rsid w:val="00B3367D"/>
    <w:rPr>
      <w:b/>
      <w:bCs/>
    </w:rPr>
  </w:style>
  <w:style w:type="character" w:customStyle="1" w:styleId="CommentSubjectChar">
    <w:name w:val="Comment Subject Char"/>
    <w:basedOn w:val="CommentTextChar"/>
    <w:link w:val="CommentSubject"/>
    <w:semiHidden/>
    <w:rsid w:val="00B3367D"/>
    <w:rPr>
      <w:b/>
      <w:bCs/>
      <w:sz w:val="20"/>
      <w:szCs w:val="20"/>
    </w:rPr>
  </w:style>
  <w:style w:type="paragraph" w:styleId="Revision">
    <w:name w:val="Revision"/>
    <w:hidden/>
    <w:uiPriority w:val="99"/>
    <w:semiHidden/>
    <w:rsid w:val="00B3367D"/>
    <w:pPr>
      <w:spacing w:line="240" w:lineRule="auto"/>
    </w:pPr>
  </w:style>
  <w:style w:type="paragraph" w:customStyle="1" w:styleId="Caption1">
    <w:name w:val="Caption 1"/>
    <w:basedOn w:val="Caption"/>
    <w:link w:val="Caption1Char"/>
    <w:qFormat/>
    <w:rsid w:val="0059636F"/>
  </w:style>
  <w:style w:type="character" w:customStyle="1" w:styleId="Caption1Char">
    <w:name w:val="Caption 1 Char"/>
    <w:basedOn w:val="DefaultParagraphFont"/>
    <w:link w:val="Caption1"/>
    <w:rsid w:val="0059636F"/>
    <w:rPr>
      <w:b/>
      <w:bCs/>
      <w:color w:val="2B3B5F" w:themeColor="text2"/>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86489136">
      <w:bodyDiv w:val="1"/>
      <w:marLeft w:val="0"/>
      <w:marRight w:val="0"/>
      <w:marTop w:val="0"/>
      <w:marBottom w:val="0"/>
      <w:divBdr>
        <w:top w:val="none" w:sz="0" w:space="0" w:color="auto"/>
        <w:left w:val="none" w:sz="0" w:space="0" w:color="auto"/>
        <w:bottom w:val="none" w:sz="0" w:space="0" w:color="auto"/>
        <w:right w:val="none" w:sz="0" w:space="0" w:color="auto"/>
      </w:divBdr>
    </w:div>
    <w:div w:id="467281965">
      <w:bodyDiv w:val="1"/>
      <w:marLeft w:val="0"/>
      <w:marRight w:val="0"/>
      <w:marTop w:val="0"/>
      <w:marBottom w:val="0"/>
      <w:divBdr>
        <w:top w:val="none" w:sz="0" w:space="0" w:color="auto"/>
        <w:left w:val="none" w:sz="0" w:space="0" w:color="auto"/>
        <w:bottom w:val="none" w:sz="0" w:space="0" w:color="auto"/>
        <w:right w:val="none" w:sz="0" w:space="0" w:color="auto"/>
      </w:divBdr>
    </w:div>
    <w:div w:id="745032788">
      <w:bodyDiv w:val="1"/>
      <w:marLeft w:val="0"/>
      <w:marRight w:val="0"/>
      <w:marTop w:val="0"/>
      <w:marBottom w:val="0"/>
      <w:divBdr>
        <w:top w:val="none" w:sz="0" w:space="0" w:color="auto"/>
        <w:left w:val="none" w:sz="0" w:space="0" w:color="auto"/>
        <w:bottom w:val="none" w:sz="0" w:space="0" w:color="auto"/>
        <w:right w:val="none" w:sz="0" w:space="0" w:color="auto"/>
      </w:divBdr>
    </w:div>
    <w:div w:id="13155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pbo.gov.au/"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5.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footer" Target="footer7.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image" Target="media/image7.png"/><Relationship Id="rId30" Type="http://schemas.openxmlformats.org/officeDocument/2006/relationships/footer" Target="footer5.xml"/><Relationship Id="rId35" Type="http://schemas.openxmlformats.org/officeDocument/2006/relationships/hyperlink" Target="http://www.pbo.gov.au/"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pbo.gov.au/" TargetMode="External"/><Relationship Id="rId1" Type="http://schemas.openxmlformats.org/officeDocument/2006/relationships/hyperlink" Target="http://www.pbo.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0B07D60EDD41D0B7553DAB493D2327"/>
        <w:category>
          <w:name w:val="General"/>
          <w:gallery w:val="placeholder"/>
        </w:category>
        <w:types>
          <w:type w:val="bbPlcHdr"/>
        </w:types>
        <w:behaviors>
          <w:behavior w:val="content"/>
        </w:behaviors>
        <w:guid w:val="{D9D80C59-685B-4958-9819-FB0BB9CD4AAB}"/>
      </w:docPartPr>
      <w:docPartBody>
        <w:p w:rsidR="00DD0DA1" w:rsidRDefault="00DD0DA1">
          <w:pPr>
            <w:pStyle w:val="020B07D60EDD41D0B7553DAB493D2327"/>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A1"/>
    <w:rsid w:val="00040E9B"/>
    <w:rsid w:val="00240CB1"/>
    <w:rsid w:val="0046168E"/>
    <w:rsid w:val="00524639"/>
    <w:rsid w:val="005C357B"/>
    <w:rsid w:val="00C70DAB"/>
    <w:rsid w:val="00D076B1"/>
    <w:rsid w:val="00DD0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D0DA1"/>
    <w:rPr>
      <w:color w:val="808080"/>
    </w:rPr>
  </w:style>
  <w:style w:type="paragraph" w:customStyle="1" w:styleId="020B07D60EDD41D0B7553DAB493D2327">
    <w:name w:val="020B07D60EDD41D0B7553DAB493D23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D0DA1"/>
    <w:rPr>
      <w:color w:val="808080"/>
    </w:rPr>
  </w:style>
  <w:style w:type="paragraph" w:customStyle="1" w:styleId="020B07D60EDD41D0B7553DAB493D2327">
    <w:name w:val="020B07D60EDD41D0B7553DAB493D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B188-2F9D-4085-8ED2-C82035A9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6</TotalTime>
  <Pages>22</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Changes in average personal income tax rates: distributional impacts</vt:lpstr>
    </vt:vector>
  </TitlesOfParts>
  <Company>Parliament of Australia</Company>
  <LinksUpToDate>false</LinksUpToDate>
  <CharactersWithSpaces>26727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average personal income tax rates: distributional impacts</dc:title>
  <dc:creator>Parliamentary Budget Office</dc:creator>
  <cp:lastModifiedBy>Pratley, Lauren (PBO)</cp:lastModifiedBy>
  <cp:revision>8</cp:revision>
  <cp:lastPrinted>2017-10-09T05:24:00Z</cp:lastPrinted>
  <dcterms:created xsi:type="dcterms:W3CDTF">2017-10-10T22:27:00Z</dcterms:created>
  <dcterms:modified xsi:type="dcterms:W3CDTF">2017-10-10T22:50:00Z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