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5DA4" w:rsidRDefault="00047A2B" w:rsidP="00961DBB">
      <w:r>
        <w:t xml:space="preserve">                                                                                                                                                                                                                                                                                                                                                                                                                                                                                                                                                                                                                                                                                                                                                                                                                                        </w:t>
      </w:r>
    </w:p>
    <w:tbl>
      <w:tblPr>
        <w:tblStyle w:val="TableAsPlaceholder"/>
        <w:tblpPr w:leftFromText="181" w:rightFromText="181" w:vertAnchor="page" w:horzAnchor="margin" w:tblpY="5779"/>
        <w:tblOverlap w:val="never"/>
        <w:tblW w:w="8277" w:type="dxa"/>
        <w:tblLayout w:type="fixed"/>
        <w:tblLook w:val="04A0" w:firstRow="1" w:lastRow="0" w:firstColumn="1" w:lastColumn="0" w:noHBand="0" w:noVBand="1"/>
      </w:tblPr>
      <w:tblGrid>
        <w:gridCol w:w="8277"/>
      </w:tblGrid>
      <w:tr w:rsidR="00961DBB" w:rsidTr="00C8728F">
        <w:trPr>
          <w:trHeight w:val="907"/>
        </w:trPr>
        <w:tc>
          <w:tcPr>
            <w:tcW w:w="8277" w:type="dxa"/>
          </w:tcPr>
          <w:p w:rsidR="00961DBB" w:rsidRDefault="00D5527E" w:rsidP="00C8728F">
            <w:pPr>
              <w:pStyle w:val="Title"/>
            </w:pPr>
            <w:r>
              <w:t>Disability Support Pension</w:t>
            </w:r>
          </w:p>
        </w:tc>
      </w:tr>
      <w:tr w:rsidR="00F20647" w:rsidTr="00C8728F">
        <w:trPr>
          <w:trHeight w:val="680"/>
        </w:trPr>
        <w:tc>
          <w:tcPr>
            <w:tcW w:w="8277" w:type="dxa"/>
          </w:tcPr>
          <w:p w:rsidR="00F20647" w:rsidRPr="006A7978" w:rsidRDefault="00D5527E" w:rsidP="004636CD">
            <w:pPr>
              <w:pStyle w:val="Title2"/>
            </w:pPr>
            <w:r>
              <w:t xml:space="preserve">Historical </w:t>
            </w:r>
            <w:r w:rsidR="004636CD">
              <w:t>and projected trends</w:t>
            </w:r>
            <w:r>
              <w:t xml:space="preserve"> </w:t>
            </w:r>
          </w:p>
        </w:tc>
      </w:tr>
      <w:tr w:rsidR="00195228" w:rsidTr="00C8728F">
        <w:trPr>
          <w:trHeight w:val="765"/>
        </w:trPr>
        <w:tc>
          <w:tcPr>
            <w:tcW w:w="8277" w:type="dxa"/>
          </w:tcPr>
          <w:p w:rsidR="00195228" w:rsidRPr="009541CC" w:rsidRDefault="00122580" w:rsidP="00EC6960">
            <w:pPr>
              <w:pStyle w:val="Title3"/>
              <w:framePr w:wrap="auto" w:vAnchor="margin" w:hAnchor="text" w:yAlign="inline"/>
              <w:tabs>
                <w:tab w:val="left" w:pos="6976"/>
              </w:tabs>
            </w:pPr>
            <w:r>
              <w:t xml:space="preserve">Report no. </w:t>
            </w:r>
            <w:r w:rsidR="00EC6960">
              <w:t>01</w:t>
            </w:r>
            <w:r>
              <w:t>/2018</w:t>
            </w:r>
          </w:p>
        </w:tc>
      </w:tr>
    </w:tbl>
    <w:p w:rsidR="00961DBB" w:rsidRDefault="00961DBB" w:rsidP="00961DBB"/>
    <w:p w:rsidR="00961DBB" w:rsidRDefault="00961DBB">
      <w:pPr>
        <w:sectPr w:rsidR="00961DBB" w:rsidSect="009057D9">
          <w:headerReference w:type="even" r:id="rId9"/>
          <w:headerReference w:type="default" r:id="rId10"/>
          <w:footerReference w:type="even" r:id="rId11"/>
          <w:headerReference w:type="first" r:id="rId12"/>
          <w:pgSz w:w="11906" w:h="16838" w:code="9"/>
          <w:pgMar w:top="1361" w:right="1797" w:bottom="1474" w:left="1797" w:header="284" w:footer="454" w:gutter="0"/>
          <w:cols w:space="708"/>
          <w:titlePg/>
          <w:docGrid w:linePitch="360"/>
        </w:sectPr>
      </w:pPr>
    </w:p>
    <w:p w:rsidR="00961DBB" w:rsidRDefault="00961DBB" w:rsidP="00961DBB"/>
    <w:tbl>
      <w:tblPr>
        <w:tblStyle w:val="TableAsPlaceholder"/>
        <w:tblpPr w:leftFromText="181" w:rightFromText="181" w:horzAnchor="margin" w:tblpY="4310"/>
        <w:tblOverlap w:val="never"/>
        <w:tblW w:w="0" w:type="auto"/>
        <w:tblCellMar>
          <w:bottom w:w="57" w:type="dxa"/>
          <w:right w:w="57" w:type="dxa"/>
        </w:tblCellMar>
        <w:tblLook w:val="04A0" w:firstRow="1" w:lastRow="0" w:firstColumn="1" w:lastColumn="0" w:noHBand="0" w:noVBand="1"/>
      </w:tblPr>
      <w:tblGrid>
        <w:gridCol w:w="8220"/>
      </w:tblGrid>
      <w:tr w:rsidR="00961DBB" w:rsidTr="0087390B">
        <w:trPr>
          <w:trHeight w:val="8165"/>
        </w:trPr>
        <w:tc>
          <w:tcPr>
            <w:tcW w:w="8220" w:type="dxa"/>
            <w:vAlign w:val="bottom"/>
          </w:tcPr>
          <w:p w:rsidR="00961DBB" w:rsidRPr="00C77B5C" w:rsidRDefault="00961DBB" w:rsidP="00BB5013">
            <w:pPr>
              <w:pStyle w:val="xDisclaimerText2"/>
              <w:framePr w:hSpace="0" w:wrap="auto" w:hAnchor="text" w:yAlign="inline"/>
              <w:suppressOverlap w:val="0"/>
            </w:pPr>
            <w:bookmarkStart w:id="0" w:name="_DisclaimerMarker"/>
            <w:bookmarkEnd w:id="0"/>
            <w:r w:rsidRPr="00C77B5C">
              <w:t xml:space="preserve">© </w:t>
            </w:r>
            <w:r w:rsidRPr="0087390B">
              <w:t>Commonwealth</w:t>
            </w:r>
            <w:r w:rsidRPr="00C77B5C">
              <w:t xml:space="preserve"> of Australia</w:t>
            </w:r>
            <w:r w:rsidR="00F20647">
              <w:t xml:space="preserve"> </w:t>
            </w:r>
            <w:r w:rsidR="008B4BDA">
              <w:t>201</w:t>
            </w:r>
            <w:r w:rsidR="00BE18AB">
              <w:t>8</w:t>
            </w:r>
          </w:p>
          <w:p w:rsidR="00961DBB" w:rsidRPr="00BB5013" w:rsidRDefault="00961DBB" w:rsidP="00BB5013">
            <w:pPr>
              <w:pStyle w:val="xDisclaimerText2"/>
              <w:framePr w:hSpace="0" w:wrap="auto" w:hAnchor="text" w:yAlign="inline"/>
              <w:suppressOverlap w:val="0"/>
            </w:pPr>
            <w:r w:rsidRPr="008E314A">
              <w:t xml:space="preserve">ISSN </w:t>
            </w:r>
            <w:r w:rsidR="00BE18AB" w:rsidRPr="00BE18AB">
              <w:t>978-0-6482138-1-9</w:t>
            </w:r>
            <w:r w:rsidRPr="008E314A">
              <w:t xml:space="preserve"> (</w:t>
            </w:r>
            <w:r w:rsidRPr="00870C85">
              <w:t>Online</w:t>
            </w:r>
            <w:r w:rsidRPr="00C77B5C">
              <w:t>)</w:t>
            </w:r>
          </w:p>
          <w:p w:rsidR="00961DBB" w:rsidRDefault="00961DBB" w:rsidP="00BB5013">
            <w:pPr>
              <w:pStyle w:val="xDisclaimerText2"/>
              <w:framePr w:hSpace="0" w:wrap="auto" w:hAnchor="text" w:yAlign="inline"/>
              <w:suppressOverlap w:val="0"/>
            </w:pPr>
            <w:r w:rsidRPr="00C77B5C">
              <w:t>This work is licensed und</w:t>
            </w:r>
            <w:r w:rsidRPr="00870C85">
              <w:t>e</w:t>
            </w:r>
            <w:r w:rsidRPr="00C77B5C">
              <w:t xml:space="preserve">r </w:t>
            </w:r>
            <w:r w:rsidRPr="008E314A">
              <w:t xml:space="preserve">the Creative </w:t>
            </w:r>
            <w:r w:rsidRPr="0087390B">
              <w:t>Commons</w:t>
            </w:r>
            <w:r w:rsidRPr="008E314A">
              <w:t xml:space="preserve"> Attribution-NonCommercial-NoDerivs 3.0 Australia License</w:t>
            </w:r>
            <w:r>
              <w:t>.</w:t>
            </w:r>
          </w:p>
          <w:p w:rsidR="00961DBB" w:rsidRPr="0084503F" w:rsidRDefault="003B3D44" w:rsidP="00BB5013">
            <w:pPr>
              <w:pStyle w:val="xDisclaimerText2"/>
              <w:framePr w:hSpace="0" w:wrap="auto" w:hAnchor="text" w:yAlign="inline"/>
              <w:spacing w:before="240"/>
              <w:suppressOverlap w:val="0"/>
            </w:pPr>
            <w:r>
              <w:rPr>
                <w:noProof/>
              </w:rPr>
              <w:drawing>
                <wp:inline distT="0" distB="0" distL="0" distR="0" wp14:anchorId="6EECD623" wp14:editId="0EDFF1C2">
                  <wp:extent cx="1079086" cy="377985"/>
                  <wp:effectExtent l="0" t="0" r="698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 creatives.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9086" cy="377985"/>
                          </a:xfrm>
                          <a:prstGeom prst="rect">
                            <a:avLst/>
                          </a:prstGeom>
                        </pic:spPr>
                      </pic:pic>
                    </a:graphicData>
                  </a:graphic>
                </wp:inline>
              </w:drawing>
            </w:r>
          </w:p>
          <w:p w:rsidR="00BE18AB" w:rsidRDefault="00BE18AB" w:rsidP="00BE18AB">
            <w:pPr>
              <w:pStyle w:val="xDisclaimerText2"/>
              <w:framePr w:hSpace="0" w:wrap="auto" w:hAnchor="text" w:yAlign="inline"/>
              <w:suppressOverlap w:val="0"/>
            </w:pPr>
            <w:r w:rsidRPr="00D0237F">
              <w:t xml:space="preserve">The details of this licence </w:t>
            </w:r>
            <w:r w:rsidRPr="00BB5013">
              <w:t>are</w:t>
            </w:r>
            <w:r w:rsidRPr="00D0237F">
              <w:t xml:space="preserve"> available on the Creative Commons website:</w:t>
            </w:r>
            <w:r w:rsidRPr="00D0237F">
              <w:rPr>
                <w:color w:val="FF0000"/>
              </w:rPr>
              <w:t xml:space="preserve"> </w:t>
            </w:r>
            <w:hyperlink r:id="rId14" w:history="1">
              <w:r w:rsidRPr="00847751">
                <w:rPr>
                  <w:u w:val="single"/>
                </w:rPr>
                <w:t>http://creativecommons.org/licenses/by-nc-nd/3.0/au/</w:t>
              </w:r>
            </w:hyperlink>
            <w:r w:rsidRPr="00847751">
              <w:rPr>
                <w:u w:val="single"/>
              </w:rPr>
              <w:t xml:space="preserve"> </w:t>
            </w:r>
          </w:p>
          <w:p w:rsidR="00BE18AB" w:rsidRPr="00BB5013" w:rsidRDefault="00BE18AB" w:rsidP="00BE18AB">
            <w:pPr>
              <w:pStyle w:val="xDisclaimerHeading"/>
              <w:framePr w:hSpace="0" w:wrap="auto" w:hAnchor="text" w:yAlign="inline"/>
              <w:suppressOverlap w:val="0"/>
            </w:pPr>
            <w:r>
              <w:t xml:space="preserve">Use </w:t>
            </w:r>
            <w:r w:rsidRPr="00D0237F">
              <w:t>of</w:t>
            </w:r>
            <w:r>
              <w:t xml:space="preserve"> </w:t>
            </w:r>
            <w:r w:rsidRPr="00D0237F">
              <w:t>the</w:t>
            </w:r>
            <w:r>
              <w:t xml:space="preserve"> Coat of Arms</w:t>
            </w:r>
          </w:p>
          <w:p w:rsidR="00BE18AB" w:rsidRDefault="00BE18AB" w:rsidP="00BE18AB">
            <w:pPr>
              <w:pStyle w:val="xDisclaimerText2"/>
              <w:framePr w:hSpace="0" w:wrap="auto" w:hAnchor="text" w:yAlign="inline"/>
              <w:suppressOverlap w:val="0"/>
            </w:pPr>
            <w:r>
              <w:t xml:space="preserve">The terms under which the Coat of Arms </w:t>
            </w:r>
            <w:r w:rsidRPr="00BB5013">
              <w:t>can</w:t>
            </w:r>
            <w:r>
              <w:t xml:space="preserve"> be used are detailed on the following website: </w:t>
            </w:r>
            <w:hyperlink r:id="rId15" w:history="1">
              <w:r w:rsidRPr="00847751">
                <w:rPr>
                  <w:u w:val="single"/>
                </w:rPr>
                <w:t>www.itsanhonour.gov.au/coat-arms</w:t>
              </w:r>
            </w:hyperlink>
            <w:r>
              <w:t xml:space="preserve"> </w:t>
            </w:r>
          </w:p>
          <w:p w:rsidR="00BE18AB" w:rsidRDefault="00BE18AB" w:rsidP="00BE18AB">
            <w:pPr>
              <w:pStyle w:val="xDisclaimerText"/>
            </w:pPr>
            <w:r w:rsidRPr="008E314A">
              <w:t>Parliamentary Budget</w:t>
            </w:r>
            <w:r>
              <w:t xml:space="preserve"> Office</w:t>
            </w:r>
          </w:p>
          <w:p w:rsidR="00BE18AB" w:rsidRPr="008E314A" w:rsidRDefault="00BE18AB" w:rsidP="00BE18AB">
            <w:pPr>
              <w:pStyle w:val="xDisclaimerText"/>
            </w:pPr>
            <w:r w:rsidRPr="008E314A">
              <w:t>Parliament House</w:t>
            </w:r>
          </w:p>
          <w:p w:rsidR="00BE18AB" w:rsidRPr="008E314A" w:rsidRDefault="00BE18AB" w:rsidP="00BE18AB">
            <w:pPr>
              <w:pStyle w:val="xDisclaimerText"/>
            </w:pPr>
            <w:r w:rsidRPr="008E314A">
              <w:t>PO Box 6010</w:t>
            </w:r>
          </w:p>
          <w:p w:rsidR="00BE18AB" w:rsidRDefault="00BE18AB" w:rsidP="00BE18AB">
            <w:pPr>
              <w:pStyle w:val="xDisclaimerText2"/>
              <w:framePr w:hSpace="0" w:wrap="auto" w:hAnchor="text" w:yAlign="inline"/>
              <w:suppressOverlap w:val="0"/>
            </w:pPr>
            <w:r w:rsidRPr="008E314A">
              <w:t>CANBERRA ACT</w:t>
            </w:r>
            <w:r>
              <w:t xml:space="preserve"> 2600</w:t>
            </w:r>
          </w:p>
          <w:p w:rsidR="00BE18AB" w:rsidRPr="008E314A" w:rsidRDefault="00BE18AB" w:rsidP="00BE18AB">
            <w:pPr>
              <w:pStyle w:val="xDisclaimerText"/>
            </w:pPr>
            <w:r>
              <w:t xml:space="preserve">Phone: (02) </w:t>
            </w:r>
            <w:r w:rsidRPr="008E314A">
              <w:t>6277 9500</w:t>
            </w:r>
          </w:p>
          <w:p w:rsidR="00961DBB" w:rsidRDefault="00BE18AB" w:rsidP="00BE18AB">
            <w:pPr>
              <w:pStyle w:val="xDisclaimerText"/>
            </w:pPr>
            <w:r w:rsidRPr="008E314A">
              <w:t>Email: pbo@pbo.gov</w:t>
            </w:r>
            <w:r>
              <w:t>.au</w:t>
            </w:r>
          </w:p>
        </w:tc>
      </w:tr>
    </w:tbl>
    <w:p w:rsidR="00961DBB" w:rsidRDefault="00961DBB" w:rsidP="00961DBB"/>
    <w:p w:rsidR="00961DBB" w:rsidRPr="0096748D" w:rsidRDefault="00961DBB">
      <w:pPr>
        <w:rPr>
          <w:color w:val="FF0000"/>
        </w:rPr>
        <w:sectPr w:rsidR="00961DBB" w:rsidRPr="0096748D" w:rsidSect="008B4BDA">
          <w:headerReference w:type="even" r:id="rId16"/>
          <w:headerReference w:type="default" r:id="rId17"/>
          <w:footerReference w:type="default" r:id="rId18"/>
          <w:pgSz w:w="11906" w:h="16838" w:code="9"/>
          <w:pgMar w:top="1361" w:right="1797" w:bottom="1474" w:left="1797" w:header="284" w:footer="454" w:gutter="0"/>
          <w:pgNumType w:fmt="lowerRoman"/>
          <w:cols w:space="708"/>
          <w:docGrid w:linePitch="360"/>
        </w:sectPr>
      </w:pPr>
    </w:p>
    <w:p w:rsidR="00961DBB" w:rsidRPr="00442F58" w:rsidRDefault="00903E3F" w:rsidP="00733970">
      <w:pPr>
        <w:pStyle w:val="TOCHeading"/>
      </w:pPr>
      <w:r w:rsidRPr="00442F58">
        <w:lastRenderedPageBreak/>
        <w:t>Contents</w:t>
      </w:r>
      <w:bookmarkStart w:id="1" w:name="_TOCMarker"/>
      <w:bookmarkEnd w:id="1"/>
    </w:p>
    <w:p w:rsidR="002D147D" w:rsidRDefault="00E4431C">
      <w:pPr>
        <w:pStyle w:val="TOC1"/>
        <w:rPr>
          <w:rFonts w:eastAsiaTheme="minorEastAsia"/>
          <w:b w:val="0"/>
          <w:color w:val="auto"/>
          <w:lang w:eastAsia="en-AU"/>
        </w:rPr>
      </w:pPr>
      <w:r>
        <w:fldChar w:fldCharType="begin"/>
      </w:r>
      <w:r>
        <w:instrText xml:space="preserve"> TOC \o "2-2" \h \z \t "Heading 1,1,Heading 1 No Numbering,1,Section Heading,5" </w:instrText>
      </w:r>
      <w:r>
        <w:fldChar w:fldCharType="separate"/>
      </w:r>
      <w:hyperlink w:anchor="_Toc506277153" w:history="1">
        <w:r w:rsidR="002D147D" w:rsidRPr="005F25D1">
          <w:rPr>
            <w:rStyle w:val="Hyperlink"/>
          </w:rPr>
          <w:t>Foreword</w:t>
        </w:r>
        <w:r w:rsidR="002D147D">
          <w:rPr>
            <w:webHidden/>
          </w:rPr>
          <w:tab/>
        </w:r>
        <w:r w:rsidR="002D147D">
          <w:rPr>
            <w:webHidden/>
          </w:rPr>
          <w:fldChar w:fldCharType="begin"/>
        </w:r>
        <w:r w:rsidR="002D147D">
          <w:rPr>
            <w:webHidden/>
          </w:rPr>
          <w:instrText xml:space="preserve"> PAGEREF _Toc506277153 \h </w:instrText>
        </w:r>
        <w:r w:rsidR="002D147D">
          <w:rPr>
            <w:webHidden/>
          </w:rPr>
        </w:r>
        <w:r w:rsidR="002D147D">
          <w:rPr>
            <w:webHidden/>
          </w:rPr>
          <w:fldChar w:fldCharType="separate"/>
        </w:r>
        <w:r w:rsidR="0036047A">
          <w:rPr>
            <w:webHidden/>
          </w:rPr>
          <w:t>v</w:t>
        </w:r>
        <w:r w:rsidR="002D147D">
          <w:rPr>
            <w:webHidden/>
          </w:rPr>
          <w:fldChar w:fldCharType="end"/>
        </w:r>
      </w:hyperlink>
    </w:p>
    <w:p w:rsidR="002D147D" w:rsidRDefault="001030D2">
      <w:pPr>
        <w:pStyle w:val="TOC1"/>
        <w:rPr>
          <w:rFonts w:eastAsiaTheme="minorEastAsia"/>
          <w:b w:val="0"/>
          <w:color w:val="auto"/>
          <w:lang w:eastAsia="en-AU"/>
        </w:rPr>
      </w:pPr>
      <w:hyperlink w:anchor="_Toc506277154" w:history="1">
        <w:r w:rsidR="002D147D" w:rsidRPr="005F25D1">
          <w:rPr>
            <w:rStyle w:val="Hyperlink"/>
          </w:rPr>
          <w:t>Overview</w:t>
        </w:r>
        <w:r w:rsidR="002D147D">
          <w:rPr>
            <w:webHidden/>
          </w:rPr>
          <w:tab/>
        </w:r>
        <w:r w:rsidR="002D147D">
          <w:rPr>
            <w:webHidden/>
          </w:rPr>
          <w:fldChar w:fldCharType="begin"/>
        </w:r>
        <w:r w:rsidR="002D147D">
          <w:rPr>
            <w:webHidden/>
          </w:rPr>
          <w:instrText xml:space="preserve"> PAGEREF _Toc506277154 \h </w:instrText>
        </w:r>
        <w:r w:rsidR="002D147D">
          <w:rPr>
            <w:webHidden/>
          </w:rPr>
        </w:r>
        <w:r w:rsidR="002D147D">
          <w:rPr>
            <w:webHidden/>
          </w:rPr>
          <w:fldChar w:fldCharType="separate"/>
        </w:r>
        <w:r w:rsidR="0036047A">
          <w:rPr>
            <w:webHidden/>
          </w:rPr>
          <w:t>vi</w:t>
        </w:r>
        <w:r w:rsidR="002D147D">
          <w:rPr>
            <w:webHidden/>
          </w:rPr>
          <w:fldChar w:fldCharType="end"/>
        </w:r>
      </w:hyperlink>
    </w:p>
    <w:p w:rsidR="002D147D" w:rsidRDefault="001030D2">
      <w:pPr>
        <w:pStyle w:val="TOC1"/>
        <w:rPr>
          <w:rFonts w:eastAsiaTheme="minorEastAsia"/>
          <w:b w:val="0"/>
          <w:color w:val="auto"/>
          <w:lang w:eastAsia="en-AU"/>
        </w:rPr>
      </w:pPr>
      <w:hyperlink w:anchor="_Toc506277155" w:history="1">
        <w:r w:rsidR="002D147D" w:rsidRPr="005F25D1">
          <w:rPr>
            <w:rStyle w:val="Hyperlink"/>
          </w:rPr>
          <w:t>1</w:t>
        </w:r>
        <w:r w:rsidR="002D147D">
          <w:rPr>
            <w:rFonts w:eastAsiaTheme="minorEastAsia"/>
            <w:b w:val="0"/>
            <w:color w:val="auto"/>
            <w:lang w:eastAsia="en-AU"/>
          </w:rPr>
          <w:tab/>
        </w:r>
        <w:r w:rsidR="002D147D" w:rsidRPr="005F25D1">
          <w:rPr>
            <w:rStyle w:val="Hyperlink"/>
          </w:rPr>
          <w:t>Introduction</w:t>
        </w:r>
        <w:r w:rsidR="002D147D">
          <w:rPr>
            <w:webHidden/>
          </w:rPr>
          <w:tab/>
        </w:r>
        <w:r w:rsidR="002D147D">
          <w:rPr>
            <w:webHidden/>
          </w:rPr>
          <w:fldChar w:fldCharType="begin"/>
        </w:r>
        <w:r w:rsidR="002D147D">
          <w:rPr>
            <w:webHidden/>
          </w:rPr>
          <w:instrText xml:space="preserve"> PAGEREF _Toc506277155 \h </w:instrText>
        </w:r>
        <w:r w:rsidR="002D147D">
          <w:rPr>
            <w:webHidden/>
          </w:rPr>
        </w:r>
        <w:r w:rsidR="002D147D">
          <w:rPr>
            <w:webHidden/>
          </w:rPr>
          <w:fldChar w:fldCharType="separate"/>
        </w:r>
        <w:r w:rsidR="0036047A">
          <w:rPr>
            <w:webHidden/>
          </w:rPr>
          <w:t>7</w:t>
        </w:r>
        <w:r w:rsidR="002D147D">
          <w:rPr>
            <w:webHidden/>
          </w:rPr>
          <w:fldChar w:fldCharType="end"/>
        </w:r>
      </w:hyperlink>
    </w:p>
    <w:p w:rsidR="002D147D" w:rsidRDefault="001030D2">
      <w:pPr>
        <w:pStyle w:val="TOC2"/>
        <w:rPr>
          <w:rFonts w:eastAsiaTheme="minorEastAsia"/>
          <w:szCs w:val="22"/>
          <w:lang w:eastAsia="en-AU"/>
        </w:rPr>
      </w:pPr>
      <w:hyperlink w:anchor="_Toc506277156" w:history="1">
        <w:r w:rsidR="002D147D" w:rsidRPr="005F25D1">
          <w:rPr>
            <w:rStyle w:val="Hyperlink"/>
          </w:rPr>
          <w:t>1.1</w:t>
        </w:r>
        <w:r w:rsidR="002D147D">
          <w:rPr>
            <w:rFonts w:eastAsiaTheme="minorEastAsia"/>
            <w:szCs w:val="22"/>
            <w:lang w:eastAsia="en-AU"/>
          </w:rPr>
          <w:tab/>
        </w:r>
        <w:r w:rsidR="002D147D" w:rsidRPr="005F25D1">
          <w:rPr>
            <w:rStyle w:val="Hyperlink"/>
          </w:rPr>
          <w:t>Expenditure</w:t>
        </w:r>
        <w:r w:rsidR="002D147D">
          <w:rPr>
            <w:webHidden/>
          </w:rPr>
          <w:tab/>
        </w:r>
        <w:r w:rsidR="002D147D">
          <w:rPr>
            <w:webHidden/>
          </w:rPr>
          <w:fldChar w:fldCharType="begin"/>
        </w:r>
        <w:r w:rsidR="002D147D">
          <w:rPr>
            <w:webHidden/>
          </w:rPr>
          <w:instrText xml:space="preserve"> PAGEREF _Toc506277156 \h </w:instrText>
        </w:r>
        <w:r w:rsidR="002D147D">
          <w:rPr>
            <w:webHidden/>
          </w:rPr>
        </w:r>
        <w:r w:rsidR="002D147D">
          <w:rPr>
            <w:webHidden/>
          </w:rPr>
          <w:fldChar w:fldCharType="separate"/>
        </w:r>
        <w:r w:rsidR="0036047A">
          <w:rPr>
            <w:webHidden/>
          </w:rPr>
          <w:t>7</w:t>
        </w:r>
        <w:r w:rsidR="002D147D">
          <w:rPr>
            <w:webHidden/>
          </w:rPr>
          <w:fldChar w:fldCharType="end"/>
        </w:r>
      </w:hyperlink>
    </w:p>
    <w:p w:rsidR="002D147D" w:rsidRDefault="001030D2">
      <w:pPr>
        <w:pStyle w:val="TOC1"/>
        <w:rPr>
          <w:rFonts w:eastAsiaTheme="minorEastAsia"/>
          <w:b w:val="0"/>
          <w:color w:val="auto"/>
          <w:lang w:eastAsia="en-AU"/>
        </w:rPr>
      </w:pPr>
      <w:hyperlink w:anchor="_Toc506277157" w:history="1">
        <w:r w:rsidR="002D147D" w:rsidRPr="005F25D1">
          <w:rPr>
            <w:rStyle w:val="Hyperlink"/>
          </w:rPr>
          <w:t>2</w:t>
        </w:r>
        <w:r w:rsidR="002D147D">
          <w:rPr>
            <w:rFonts w:eastAsiaTheme="minorEastAsia"/>
            <w:b w:val="0"/>
            <w:color w:val="auto"/>
            <w:lang w:eastAsia="en-AU"/>
          </w:rPr>
          <w:tab/>
        </w:r>
        <w:r w:rsidR="002D147D" w:rsidRPr="005F25D1">
          <w:rPr>
            <w:rStyle w:val="Hyperlink"/>
          </w:rPr>
          <w:t>Trends in Disability Support Pension expenditure</w:t>
        </w:r>
        <w:r w:rsidR="002D147D">
          <w:rPr>
            <w:webHidden/>
          </w:rPr>
          <w:tab/>
        </w:r>
        <w:r w:rsidR="002D147D">
          <w:rPr>
            <w:webHidden/>
          </w:rPr>
          <w:fldChar w:fldCharType="begin"/>
        </w:r>
        <w:r w:rsidR="002D147D">
          <w:rPr>
            <w:webHidden/>
          </w:rPr>
          <w:instrText xml:space="preserve"> PAGEREF _Toc506277157 \h </w:instrText>
        </w:r>
        <w:r w:rsidR="002D147D">
          <w:rPr>
            <w:webHidden/>
          </w:rPr>
        </w:r>
        <w:r w:rsidR="002D147D">
          <w:rPr>
            <w:webHidden/>
          </w:rPr>
          <w:fldChar w:fldCharType="separate"/>
        </w:r>
        <w:r w:rsidR="0036047A">
          <w:rPr>
            <w:webHidden/>
          </w:rPr>
          <w:t>9</w:t>
        </w:r>
        <w:r w:rsidR="002D147D">
          <w:rPr>
            <w:webHidden/>
          </w:rPr>
          <w:fldChar w:fldCharType="end"/>
        </w:r>
      </w:hyperlink>
    </w:p>
    <w:p w:rsidR="002D147D" w:rsidRDefault="001030D2">
      <w:pPr>
        <w:pStyle w:val="TOC2"/>
        <w:rPr>
          <w:rFonts w:eastAsiaTheme="minorEastAsia"/>
          <w:szCs w:val="22"/>
          <w:lang w:eastAsia="en-AU"/>
        </w:rPr>
      </w:pPr>
      <w:hyperlink w:anchor="_Toc506277158" w:history="1">
        <w:r w:rsidR="002D147D" w:rsidRPr="005F25D1">
          <w:rPr>
            <w:rStyle w:val="Hyperlink"/>
          </w:rPr>
          <w:t>2.1</w:t>
        </w:r>
        <w:r w:rsidR="002D147D">
          <w:rPr>
            <w:rFonts w:eastAsiaTheme="minorEastAsia"/>
            <w:szCs w:val="22"/>
            <w:lang w:eastAsia="en-AU"/>
          </w:rPr>
          <w:tab/>
        </w:r>
        <w:r w:rsidR="002D147D" w:rsidRPr="005F25D1">
          <w:rPr>
            <w:rStyle w:val="Hyperlink"/>
          </w:rPr>
          <w:t>Recipients</w:t>
        </w:r>
        <w:r w:rsidR="002D147D">
          <w:rPr>
            <w:webHidden/>
          </w:rPr>
          <w:tab/>
        </w:r>
        <w:r w:rsidR="002D147D">
          <w:rPr>
            <w:webHidden/>
          </w:rPr>
          <w:fldChar w:fldCharType="begin"/>
        </w:r>
        <w:r w:rsidR="002D147D">
          <w:rPr>
            <w:webHidden/>
          </w:rPr>
          <w:instrText xml:space="preserve"> PAGEREF _Toc506277158 \h </w:instrText>
        </w:r>
        <w:r w:rsidR="002D147D">
          <w:rPr>
            <w:webHidden/>
          </w:rPr>
        </w:r>
        <w:r w:rsidR="002D147D">
          <w:rPr>
            <w:webHidden/>
          </w:rPr>
          <w:fldChar w:fldCharType="separate"/>
        </w:r>
        <w:r w:rsidR="0036047A">
          <w:rPr>
            <w:webHidden/>
          </w:rPr>
          <w:t>11</w:t>
        </w:r>
        <w:r w:rsidR="002D147D">
          <w:rPr>
            <w:webHidden/>
          </w:rPr>
          <w:fldChar w:fldCharType="end"/>
        </w:r>
      </w:hyperlink>
    </w:p>
    <w:p w:rsidR="002D147D" w:rsidRDefault="001030D2">
      <w:pPr>
        <w:pStyle w:val="TOC2"/>
        <w:rPr>
          <w:rFonts w:eastAsiaTheme="minorEastAsia"/>
          <w:szCs w:val="22"/>
          <w:lang w:eastAsia="en-AU"/>
        </w:rPr>
      </w:pPr>
      <w:hyperlink w:anchor="_Toc506277159" w:history="1">
        <w:r w:rsidR="002D147D" w:rsidRPr="005F25D1">
          <w:rPr>
            <w:rStyle w:val="Hyperlink"/>
          </w:rPr>
          <w:t>2.2</w:t>
        </w:r>
        <w:r w:rsidR="002D147D">
          <w:rPr>
            <w:rFonts w:eastAsiaTheme="minorEastAsia"/>
            <w:szCs w:val="22"/>
            <w:lang w:eastAsia="en-AU"/>
          </w:rPr>
          <w:tab/>
        </w:r>
        <w:r w:rsidR="002D147D" w:rsidRPr="005F25D1">
          <w:rPr>
            <w:rStyle w:val="Hyperlink"/>
          </w:rPr>
          <w:t>Payment rates</w:t>
        </w:r>
        <w:r w:rsidR="002D147D">
          <w:rPr>
            <w:webHidden/>
          </w:rPr>
          <w:tab/>
        </w:r>
        <w:r w:rsidR="002D147D">
          <w:rPr>
            <w:webHidden/>
          </w:rPr>
          <w:fldChar w:fldCharType="begin"/>
        </w:r>
        <w:r w:rsidR="002D147D">
          <w:rPr>
            <w:webHidden/>
          </w:rPr>
          <w:instrText xml:space="preserve"> PAGEREF _Toc506277159 \h </w:instrText>
        </w:r>
        <w:r w:rsidR="002D147D">
          <w:rPr>
            <w:webHidden/>
          </w:rPr>
        </w:r>
        <w:r w:rsidR="002D147D">
          <w:rPr>
            <w:webHidden/>
          </w:rPr>
          <w:fldChar w:fldCharType="separate"/>
        </w:r>
        <w:r w:rsidR="0036047A">
          <w:rPr>
            <w:webHidden/>
          </w:rPr>
          <w:t>22</w:t>
        </w:r>
        <w:r w:rsidR="002D147D">
          <w:rPr>
            <w:webHidden/>
          </w:rPr>
          <w:fldChar w:fldCharType="end"/>
        </w:r>
      </w:hyperlink>
    </w:p>
    <w:p w:rsidR="002D147D" w:rsidRDefault="001030D2">
      <w:pPr>
        <w:pStyle w:val="TOC1"/>
        <w:rPr>
          <w:rFonts w:eastAsiaTheme="minorEastAsia"/>
          <w:b w:val="0"/>
          <w:color w:val="auto"/>
          <w:lang w:eastAsia="en-AU"/>
        </w:rPr>
      </w:pPr>
      <w:hyperlink w:anchor="_Toc506277160" w:history="1">
        <w:r w:rsidR="002D147D" w:rsidRPr="005F25D1">
          <w:rPr>
            <w:rStyle w:val="Hyperlink"/>
          </w:rPr>
          <w:t>3</w:t>
        </w:r>
        <w:r w:rsidR="002D147D">
          <w:rPr>
            <w:rFonts w:eastAsiaTheme="minorEastAsia"/>
            <w:b w:val="0"/>
            <w:color w:val="auto"/>
            <w:lang w:eastAsia="en-AU"/>
          </w:rPr>
          <w:tab/>
        </w:r>
        <w:r w:rsidR="002D147D" w:rsidRPr="005F25D1">
          <w:rPr>
            <w:rStyle w:val="Hyperlink"/>
          </w:rPr>
          <w:t>Projections of DSP expenditure</w:t>
        </w:r>
        <w:r w:rsidR="002D147D">
          <w:rPr>
            <w:webHidden/>
          </w:rPr>
          <w:tab/>
        </w:r>
        <w:r w:rsidR="002D147D">
          <w:rPr>
            <w:webHidden/>
          </w:rPr>
          <w:fldChar w:fldCharType="begin"/>
        </w:r>
        <w:r w:rsidR="002D147D">
          <w:rPr>
            <w:webHidden/>
          </w:rPr>
          <w:instrText xml:space="preserve"> PAGEREF _Toc506277160 \h </w:instrText>
        </w:r>
        <w:r w:rsidR="002D147D">
          <w:rPr>
            <w:webHidden/>
          </w:rPr>
        </w:r>
        <w:r w:rsidR="002D147D">
          <w:rPr>
            <w:webHidden/>
          </w:rPr>
          <w:fldChar w:fldCharType="separate"/>
        </w:r>
        <w:r w:rsidR="0036047A">
          <w:rPr>
            <w:webHidden/>
          </w:rPr>
          <w:t>23</w:t>
        </w:r>
        <w:r w:rsidR="002D147D">
          <w:rPr>
            <w:webHidden/>
          </w:rPr>
          <w:fldChar w:fldCharType="end"/>
        </w:r>
      </w:hyperlink>
    </w:p>
    <w:p w:rsidR="002D147D" w:rsidRDefault="001030D2">
      <w:pPr>
        <w:pStyle w:val="TOC2"/>
        <w:rPr>
          <w:rFonts w:eastAsiaTheme="minorEastAsia"/>
          <w:szCs w:val="22"/>
          <w:lang w:eastAsia="en-AU"/>
        </w:rPr>
      </w:pPr>
      <w:hyperlink w:anchor="_Toc506277161" w:history="1">
        <w:r w:rsidR="002D147D" w:rsidRPr="005F25D1">
          <w:rPr>
            <w:rStyle w:val="Hyperlink"/>
          </w:rPr>
          <w:t>3.1</w:t>
        </w:r>
        <w:r w:rsidR="002D147D">
          <w:rPr>
            <w:rFonts w:eastAsiaTheme="minorEastAsia"/>
            <w:szCs w:val="22"/>
            <w:lang w:eastAsia="en-AU"/>
          </w:rPr>
          <w:tab/>
        </w:r>
        <w:r w:rsidR="002D147D" w:rsidRPr="005F25D1">
          <w:rPr>
            <w:rStyle w:val="Hyperlink"/>
          </w:rPr>
          <w:t>Projection approach</w:t>
        </w:r>
        <w:r w:rsidR="002D147D">
          <w:rPr>
            <w:webHidden/>
          </w:rPr>
          <w:tab/>
        </w:r>
        <w:r w:rsidR="002D147D">
          <w:rPr>
            <w:webHidden/>
          </w:rPr>
          <w:fldChar w:fldCharType="begin"/>
        </w:r>
        <w:r w:rsidR="002D147D">
          <w:rPr>
            <w:webHidden/>
          </w:rPr>
          <w:instrText xml:space="preserve"> PAGEREF _Toc506277161 \h </w:instrText>
        </w:r>
        <w:r w:rsidR="002D147D">
          <w:rPr>
            <w:webHidden/>
          </w:rPr>
        </w:r>
        <w:r w:rsidR="002D147D">
          <w:rPr>
            <w:webHidden/>
          </w:rPr>
          <w:fldChar w:fldCharType="separate"/>
        </w:r>
        <w:r w:rsidR="0036047A">
          <w:rPr>
            <w:webHidden/>
          </w:rPr>
          <w:t>23</w:t>
        </w:r>
        <w:r w:rsidR="002D147D">
          <w:rPr>
            <w:webHidden/>
          </w:rPr>
          <w:fldChar w:fldCharType="end"/>
        </w:r>
      </w:hyperlink>
    </w:p>
    <w:p w:rsidR="002D147D" w:rsidRDefault="001030D2">
      <w:pPr>
        <w:pStyle w:val="TOC2"/>
        <w:rPr>
          <w:rFonts w:eastAsiaTheme="minorEastAsia"/>
          <w:szCs w:val="22"/>
          <w:lang w:eastAsia="en-AU"/>
        </w:rPr>
      </w:pPr>
      <w:hyperlink w:anchor="_Toc506277162" w:history="1">
        <w:r w:rsidR="002D147D" w:rsidRPr="005F25D1">
          <w:rPr>
            <w:rStyle w:val="Hyperlink"/>
          </w:rPr>
          <w:t>3.2</w:t>
        </w:r>
        <w:r w:rsidR="002D147D">
          <w:rPr>
            <w:rFonts w:eastAsiaTheme="minorEastAsia"/>
            <w:szCs w:val="22"/>
            <w:lang w:eastAsia="en-AU"/>
          </w:rPr>
          <w:tab/>
        </w:r>
        <w:r w:rsidR="002D147D" w:rsidRPr="005F25D1">
          <w:rPr>
            <w:rStyle w:val="Hyperlink"/>
          </w:rPr>
          <w:t>Payment rate projections</w:t>
        </w:r>
        <w:r w:rsidR="002D147D">
          <w:rPr>
            <w:webHidden/>
          </w:rPr>
          <w:tab/>
        </w:r>
        <w:r w:rsidR="002D147D">
          <w:rPr>
            <w:webHidden/>
          </w:rPr>
          <w:fldChar w:fldCharType="begin"/>
        </w:r>
        <w:r w:rsidR="002D147D">
          <w:rPr>
            <w:webHidden/>
          </w:rPr>
          <w:instrText xml:space="preserve"> PAGEREF _Toc506277162 \h </w:instrText>
        </w:r>
        <w:r w:rsidR="002D147D">
          <w:rPr>
            <w:webHidden/>
          </w:rPr>
        </w:r>
        <w:r w:rsidR="002D147D">
          <w:rPr>
            <w:webHidden/>
          </w:rPr>
          <w:fldChar w:fldCharType="separate"/>
        </w:r>
        <w:r w:rsidR="0036047A">
          <w:rPr>
            <w:webHidden/>
          </w:rPr>
          <w:t>24</w:t>
        </w:r>
        <w:r w:rsidR="002D147D">
          <w:rPr>
            <w:webHidden/>
          </w:rPr>
          <w:fldChar w:fldCharType="end"/>
        </w:r>
      </w:hyperlink>
    </w:p>
    <w:p w:rsidR="002D147D" w:rsidRDefault="001030D2">
      <w:pPr>
        <w:pStyle w:val="TOC2"/>
        <w:rPr>
          <w:rFonts w:eastAsiaTheme="minorEastAsia"/>
          <w:szCs w:val="22"/>
          <w:lang w:eastAsia="en-AU"/>
        </w:rPr>
      </w:pPr>
      <w:hyperlink w:anchor="_Toc506277163" w:history="1">
        <w:r w:rsidR="002D147D" w:rsidRPr="005F25D1">
          <w:rPr>
            <w:rStyle w:val="Hyperlink"/>
            <w:lang w:eastAsia="en-AU"/>
          </w:rPr>
          <w:t>3.3</w:t>
        </w:r>
        <w:r w:rsidR="002D147D">
          <w:rPr>
            <w:rFonts w:eastAsiaTheme="minorEastAsia"/>
            <w:szCs w:val="22"/>
            <w:lang w:eastAsia="en-AU"/>
          </w:rPr>
          <w:tab/>
        </w:r>
        <w:r w:rsidR="002D147D" w:rsidRPr="005F25D1">
          <w:rPr>
            <w:rStyle w:val="Hyperlink"/>
          </w:rPr>
          <w:t>Recipient projections</w:t>
        </w:r>
        <w:r w:rsidR="002D147D">
          <w:rPr>
            <w:webHidden/>
          </w:rPr>
          <w:tab/>
        </w:r>
        <w:r w:rsidR="002D147D">
          <w:rPr>
            <w:webHidden/>
          </w:rPr>
          <w:fldChar w:fldCharType="begin"/>
        </w:r>
        <w:r w:rsidR="002D147D">
          <w:rPr>
            <w:webHidden/>
          </w:rPr>
          <w:instrText xml:space="preserve"> PAGEREF _Toc506277163 \h </w:instrText>
        </w:r>
        <w:r w:rsidR="002D147D">
          <w:rPr>
            <w:webHidden/>
          </w:rPr>
        </w:r>
        <w:r w:rsidR="002D147D">
          <w:rPr>
            <w:webHidden/>
          </w:rPr>
          <w:fldChar w:fldCharType="separate"/>
        </w:r>
        <w:r w:rsidR="0036047A">
          <w:rPr>
            <w:webHidden/>
          </w:rPr>
          <w:t>24</w:t>
        </w:r>
        <w:r w:rsidR="002D147D">
          <w:rPr>
            <w:webHidden/>
          </w:rPr>
          <w:fldChar w:fldCharType="end"/>
        </w:r>
      </w:hyperlink>
    </w:p>
    <w:p w:rsidR="002D147D" w:rsidRDefault="001030D2">
      <w:pPr>
        <w:pStyle w:val="TOC2"/>
        <w:rPr>
          <w:rFonts w:eastAsiaTheme="minorEastAsia"/>
          <w:szCs w:val="22"/>
          <w:lang w:eastAsia="en-AU"/>
        </w:rPr>
      </w:pPr>
      <w:hyperlink w:anchor="_Toc506277164" w:history="1">
        <w:r w:rsidR="002D147D" w:rsidRPr="005F25D1">
          <w:rPr>
            <w:rStyle w:val="Hyperlink"/>
          </w:rPr>
          <w:t>3.4</w:t>
        </w:r>
        <w:r w:rsidR="002D147D">
          <w:rPr>
            <w:rFonts w:eastAsiaTheme="minorEastAsia"/>
            <w:szCs w:val="22"/>
            <w:lang w:eastAsia="en-AU"/>
          </w:rPr>
          <w:tab/>
        </w:r>
        <w:r w:rsidR="002D147D" w:rsidRPr="005F25D1">
          <w:rPr>
            <w:rStyle w:val="Hyperlink"/>
          </w:rPr>
          <w:t>Projection scenarios</w:t>
        </w:r>
        <w:r w:rsidR="002D147D">
          <w:rPr>
            <w:webHidden/>
          </w:rPr>
          <w:tab/>
        </w:r>
        <w:r w:rsidR="002D147D">
          <w:rPr>
            <w:webHidden/>
          </w:rPr>
          <w:fldChar w:fldCharType="begin"/>
        </w:r>
        <w:r w:rsidR="002D147D">
          <w:rPr>
            <w:webHidden/>
          </w:rPr>
          <w:instrText xml:space="preserve"> PAGEREF _Toc506277164 \h </w:instrText>
        </w:r>
        <w:r w:rsidR="002D147D">
          <w:rPr>
            <w:webHidden/>
          </w:rPr>
        </w:r>
        <w:r w:rsidR="002D147D">
          <w:rPr>
            <w:webHidden/>
          </w:rPr>
          <w:fldChar w:fldCharType="separate"/>
        </w:r>
        <w:r w:rsidR="0036047A">
          <w:rPr>
            <w:webHidden/>
          </w:rPr>
          <w:t>26</w:t>
        </w:r>
        <w:r w:rsidR="002D147D">
          <w:rPr>
            <w:webHidden/>
          </w:rPr>
          <w:fldChar w:fldCharType="end"/>
        </w:r>
      </w:hyperlink>
    </w:p>
    <w:p w:rsidR="002D147D" w:rsidRDefault="001030D2">
      <w:pPr>
        <w:pStyle w:val="TOC1"/>
        <w:rPr>
          <w:rFonts w:eastAsiaTheme="minorEastAsia"/>
          <w:b w:val="0"/>
          <w:color w:val="auto"/>
          <w:lang w:eastAsia="en-AU"/>
        </w:rPr>
      </w:pPr>
      <w:hyperlink w:anchor="_Toc506277165" w:history="1">
        <w:r w:rsidR="002D147D" w:rsidRPr="005F25D1">
          <w:rPr>
            <w:rStyle w:val="Hyperlink"/>
          </w:rPr>
          <w:t>Appendix A – Technical notes</w:t>
        </w:r>
        <w:r w:rsidR="002D147D">
          <w:rPr>
            <w:webHidden/>
          </w:rPr>
          <w:tab/>
        </w:r>
        <w:r w:rsidR="002D147D">
          <w:rPr>
            <w:webHidden/>
          </w:rPr>
          <w:fldChar w:fldCharType="begin"/>
        </w:r>
        <w:r w:rsidR="002D147D">
          <w:rPr>
            <w:webHidden/>
          </w:rPr>
          <w:instrText xml:space="preserve"> PAGEREF _Toc506277165 \h </w:instrText>
        </w:r>
        <w:r w:rsidR="002D147D">
          <w:rPr>
            <w:webHidden/>
          </w:rPr>
        </w:r>
        <w:r w:rsidR="002D147D">
          <w:rPr>
            <w:webHidden/>
          </w:rPr>
          <w:fldChar w:fldCharType="separate"/>
        </w:r>
        <w:r w:rsidR="0036047A">
          <w:rPr>
            <w:webHidden/>
          </w:rPr>
          <w:t>30</w:t>
        </w:r>
        <w:r w:rsidR="002D147D">
          <w:rPr>
            <w:webHidden/>
          </w:rPr>
          <w:fldChar w:fldCharType="end"/>
        </w:r>
      </w:hyperlink>
    </w:p>
    <w:p w:rsidR="002D147D" w:rsidRDefault="001030D2">
      <w:pPr>
        <w:pStyle w:val="TOC1"/>
        <w:rPr>
          <w:rFonts w:eastAsiaTheme="minorEastAsia"/>
          <w:b w:val="0"/>
          <w:color w:val="auto"/>
          <w:lang w:eastAsia="en-AU"/>
        </w:rPr>
      </w:pPr>
      <w:hyperlink w:anchor="_Toc506277166" w:history="1">
        <w:r w:rsidR="002D147D" w:rsidRPr="005F25D1">
          <w:rPr>
            <w:rStyle w:val="Hyperlink"/>
          </w:rPr>
          <w:t>Appendix B – Significant changes affecting the Disability Support Pension</w:t>
        </w:r>
        <w:r w:rsidR="002D147D">
          <w:rPr>
            <w:webHidden/>
          </w:rPr>
          <w:tab/>
        </w:r>
        <w:r w:rsidR="002D147D">
          <w:rPr>
            <w:webHidden/>
          </w:rPr>
          <w:fldChar w:fldCharType="begin"/>
        </w:r>
        <w:r w:rsidR="002D147D">
          <w:rPr>
            <w:webHidden/>
          </w:rPr>
          <w:instrText xml:space="preserve"> PAGEREF _Toc506277166 \h </w:instrText>
        </w:r>
        <w:r w:rsidR="002D147D">
          <w:rPr>
            <w:webHidden/>
          </w:rPr>
        </w:r>
        <w:r w:rsidR="002D147D">
          <w:rPr>
            <w:webHidden/>
          </w:rPr>
          <w:fldChar w:fldCharType="separate"/>
        </w:r>
        <w:r w:rsidR="0036047A">
          <w:rPr>
            <w:webHidden/>
          </w:rPr>
          <w:t>37</w:t>
        </w:r>
        <w:r w:rsidR="002D147D">
          <w:rPr>
            <w:webHidden/>
          </w:rPr>
          <w:fldChar w:fldCharType="end"/>
        </w:r>
      </w:hyperlink>
    </w:p>
    <w:p w:rsidR="002D147D" w:rsidRDefault="001030D2">
      <w:pPr>
        <w:pStyle w:val="TOC1"/>
        <w:rPr>
          <w:rFonts w:eastAsiaTheme="minorEastAsia"/>
          <w:b w:val="0"/>
          <w:color w:val="auto"/>
          <w:lang w:eastAsia="en-AU"/>
        </w:rPr>
      </w:pPr>
      <w:hyperlink w:anchor="_Toc506277167" w:history="1">
        <w:r w:rsidR="002D147D" w:rsidRPr="005F25D1">
          <w:rPr>
            <w:rStyle w:val="Hyperlink"/>
          </w:rPr>
          <w:t>Appendix C – References</w:t>
        </w:r>
        <w:r w:rsidR="002D147D">
          <w:rPr>
            <w:webHidden/>
          </w:rPr>
          <w:tab/>
        </w:r>
        <w:r w:rsidR="002D147D">
          <w:rPr>
            <w:webHidden/>
          </w:rPr>
          <w:fldChar w:fldCharType="begin"/>
        </w:r>
        <w:r w:rsidR="002D147D">
          <w:rPr>
            <w:webHidden/>
          </w:rPr>
          <w:instrText xml:space="preserve"> PAGEREF _Toc506277167 \h </w:instrText>
        </w:r>
        <w:r w:rsidR="002D147D">
          <w:rPr>
            <w:webHidden/>
          </w:rPr>
        </w:r>
        <w:r w:rsidR="002D147D">
          <w:rPr>
            <w:webHidden/>
          </w:rPr>
          <w:fldChar w:fldCharType="separate"/>
        </w:r>
        <w:r w:rsidR="0036047A">
          <w:rPr>
            <w:webHidden/>
          </w:rPr>
          <w:t>37</w:t>
        </w:r>
        <w:r w:rsidR="002D147D">
          <w:rPr>
            <w:webHidden/>
          </w:rPr>
          <w:fldChar w:fldCharType="end"/>
        </w:r>
      </w:hyperlink>
    </w:p>
    <w:p w:rsidR="00E4431C" w:rsidRPr="002848A6" w:rsidRDefault="00E4431C" w:rsidP="002848A6">
      <w:pPr>
        <w:rPr>
          <w:noProof/>
          <w:color w:val="2B3B5F" w:themeColor="text2"/>
        </w:rPr>
      </w:pPr>
      <w:r>
        <w:rPr>
          <w:noProof/>
          <w:color w:val="2B3B5F" w:themeColor="text2"/>
        </w:rPr>
        <w:fldChar w:fldCharType="end"/>
      </w:r>
    </w:p>
    <w:p w:rsidR="0073182E" w:rsidRPr="0073182E" w:rsidRDefault="0073182E" w:rsidP="0073182E">
      <w:pPr>
        <w:pStyle w:val="TableofFigures"/>
      </w:pPr>
    </w:p>
    <w:p w:rsidR="0092516D" w:rsidRPr="0092516D" w:rsidRDefault="0092516D" w:rsidP="0092516D">
      <w:pPr>
        <w:pStyle w:val="TableofFigures"/>
      </w:pPr>
    </w:p>
    <w:p w:rsidR="0073182E" w:rsidRDefault="0073182E">
      <w:r>
        <w:br w:type="page"/>
      </w:r>
    </w:p>
    <w:p w:rsidR="0092516D" w:rsidRDefault="0092516D">
      <w:pPr>
        <w:sectPr w:rsidR="0092516D" w:rsidSect="005468AB">
          <w:headerReference w:type="even" r:id="rId19"/>
          <w:headerReference w:type="default" r:id="rId20"/>
          <w:footerReference w:type="even" r:id="rId21"/>
          <w:footerReference w:type="default" r:id="rId22"/>
          <w:type w:val="oddPage"/>
          <w:pgSz w:w="11906" w:h="16838" w:code="9"/>
          <w:pgMar w:top="1361" w:right="1797" w:bottom="1474" w:left="1797" w:header="284" w:footer="454" w:gutter="0"/>
          <w:pgNumType w:fmt="lowerRoman"/>
          <w:cols w:space="708"/>
          <w:docGrid w:linePitch="360"/>
        </w:sectPr>
      </w:pPr>
    </w:p>
    <w:p w:rsidR="004F1297" w:rsidRDefault="00E915E6" w:rsidP="00A12C39">
      <w:pPr>
        <w:pStyle w:val="Heading1NoNumbering"/>
      </w:pPr>
      <w:bookmarkStart w:id="2" w:name="_Toc495612910"/>
      <w:bookmarkStart w:id="3" w:name="_Toc495849173"/>
      <w:bookmarkStart w:id="4" w:name="_Toc505928125"/>
      <w:bookmarkStart w:id="5" w:name="_Toc505928391"/>
      <w:bookmarkStart w:id="6" w:name="_Toc506277153"/>
      <w:r>
        <w:lastRenderedPageBreak/>
        <w:t>Foreword</w:t>
      </w:r>
      <w:bookmarkStart w:id="7" w:name="_ForewordMarker"/>
      <w:bookmarkEnd w:id="2"/>
      <w:bookmarkEnd w:id="3"/>
      <w:bookmarkEnd w:id="4"/>
      <w:bookmarkEnd w:id="5"/>
      <w:bookmarkEnd w:id="6"/>
      <w:bookmarkEnd w:id="7"/>
    </w:p>
    <w:p w:rsidR="003204ED" w:rsidRDefault="003204ED" w:rsidP="00925603">
      <w:pPr>
        <w:pStyle w:val="OverviewBodyText"/>
      </w:pPr>
      <w:r>
        <w:t xml:space="preserve">The Disability Support Pension </w:t>
      </w:r>
      <w:r w:rsidR="00763783">
        <w:t xml:space="preserve">(DSP) </w:t>
      </w:r>
      <w:r>
        <w:t xml:space="preserve">represents a large component of </w:t>
      </w:r>
      <w:r w:rsidR="00763783">
        <w:t>social security</w:t>
      </w:r>
      <w:r>
        <w:t xml:space="preserve"> spending</w:t>
      </w:r>
      <w:r w:rsidR="004607A1">
        <w:t xml:space="preserve"> for the Australian government</w:t>
      </w:r>
      <w:r>
        <w:t xml:space="preserve">. </w:t>
      </w:r>
    </w:p>
    <w:p w:rsidR="00763783" w:rsidRDefault="0071589A" w:rsidP="004D27D8">
      <w:pPr>
        <w:pStyle w:val="OverviewBodyText"/>
      </w:pPr>
      <w:r w:rsidRPr="00823426">
        <w:t>T</w:t>
      </w:r>
      <w:r w:rsidR="001769F1" w:rsidRPr="00823426">
        <w:t xml:space="preserve">his report </w:t>
      </w:r>
      <w:r w:rsidRPr="00823426">
        <w:t>examines</w:t>
      </w:r>
      <w:r w:rsidR="001769F1" w:rsidRPr="00823426">
        <w:t xml:space="preserve"> the </w:t>
      </w:r>
      <w:r w:rsidR="004607A1" w:rsidRPr="00823426">
        <w:t>factors</w:t>
      </w:r>
      <w:r w:rsidR="001769F1" w:rsidRPr="00823426">
        <w:t xml:space="preserve"> underlying the recent decline in DSP expenditure</w:t>
      </w:r>
      <w:r w:rsidR="008468B2" w:rsidRPr="00823426">
        <w:t>, highlighting the impact</w:t>
      </w:r>
      <w:r w:rsidR="00E4602C">
        <w:t>s</w:t>
      </w:r>
      <w:r w:rsidR="008468B2" w:rsidRPr="00823426">
        <w:t xml:space="preserve"> of changes in government policy</w:t>
      </w:r>
      <w:r w:rsidRPr="00823426">
        <w:t>.</w:t>
      </w:r>
      <w:r w:rsidR="004D27D8">
        <w:t xml:space="preserve">  </w:t>
      </w:r>
      <w:r w:rsidRPr="00823426">
        <w:t>It</w:t>
      </w:r>
      <w:r w:rsidR="00C475E8" w:rsidRPr="00823426">
        <w:t xml:space="preserve"> </w:t>
      </w:r>
      <w:r w:rsidRPr="00823426">
        <w:t xml:space="preserve">uses </w:t>
      </w:r>
      <w:r w:rsidR="004607A1" w:rsidRPr="00823426">
        <w:t>historical trends to provide</w:t>
      </w:r>
      <w:r w:rsidRPr="00823426">
        <w:t xml:space="preserve"> updated</w:t>
      </w:r>
      <w:r w:rsidR="00763783" w:rsidRPr="00823426">
        <w:t xml:space="preserve"> projections of DSP </w:t>
      </w:r>
      <w:r w:rsidR="00C475E8" w:rsidRPr="00823426">
        <w:t>expenditure</w:t>
      </w:r>
      <w:r w:rsidR="00763783" w:rsidRPr="00823426">
        <w:t xml:space="preserve"> over the next</w:t>
      </w:r>
      <w:r w:rsidR="00763783">
        <w:t xml:space="preserve"> decade based on current policy settings.</w:t>
      </w:r>
    </w:p>
    <w:p w:rsidR="00763783" w:rsidRDefault="00763783" w:rsidP="00763783">
      <w:pPr>
        <w:pStyle w:val="BodyText"/>
      </w:pPr>
      <w:r>
        <w:t xml:space="preserve">The historical data underlying the analysis in this report </w:t>
      </w:r>
      <w:r w:rsidR="00E25E10">
        <w:t>are</w:t>
      </w:r>
      <w:r w:rsidR="00B4132D">
        <w:t xml:space="preserve"> </w:t>
      </w:r>
      <w:r>
        <w:t>sourced from the Department of Social Services.  The analysis, including projections, based on th</w:t>
      </w:r>
      <w:r w:rsidR="00E25E10">
        <w:t>ese</w:t>
      </w:r>
      <w:r>
        <w:t xml:space="preserve"> data is available on the PBO website.</w:t>
      </w:r>
    </w:p>
    <w:p w:rsidR="00763783" w:rsidRPr="00765F93" w:rsidRDefault="002143B7" w:rsidP="00763783">
      <w:pPr>
        <w:pStyle w:val="BodyText"/>
      </w:pPr>
      <w:r>
        <w:t>This report was prepared by</w:t>
      </w:r>
      <w:r w:rsidR="00763783">
        <w:t xml:space="preserve"> </w:t>
      </w:r>
      <w:r w:rsidR="001F7336">
        <w:t>Nutan Singh and Anupam Sharma with the benefit of comments by Paul Gardiner and Tim Pyne</w:t>
      </w:r>
      <w:r w:rsidR="00763783">
        <w:t xml:space="preserve">.  The report </w:t>
      </w:r>
      <w:r w:rsidR="00763783" w:rsidRPr="00765F93">
        <w:t xml:space="preserve">was prepared for publication by </w:t>
      </w:r>
      <w:r w:rsidR="001F7336">
        <w:t>Lauren Pratley</w:t>
      </w:r>
      <w:r w:rsidR="00763783" w:rsidRPr="00765F93">
        <w:t>.</w:t>
      </w:r>
    </w:p>
    <w:p w:rsidR="00763783" w:rsidRDefault="00966B39" w:rsidP="00763783">
      <w:pPr>
        <w:pStyle w:val="BodyText"/>
      </w:pPr>
      <w:r>
        <w:t xml:space="preserve">I </w:t>
      </w:r>
      <w:r w:rsidR="00763783" w:rsidRPr="00765F93">
        <w:t>wish to thank the external referees who provided helpful comments and su</w:t>
      </w:r>
      <w:r w:rsidR="002143B7">
        <w:t>ggestions on the report, namely</w:t>
      </w:r>
      <w:r w:rsidR="00DB4564" w:rsidRPr="00765F93">
        <w:t xml:space="preserve"> Professor Peter Whiteford, Director </w:t>
      </w:r>
      <w:r w:rsidR="00E13F84" w:rsidRPr="00765F93">
        <w:t>Social Policy Institute,</w:t>
      </w:r>
      <w:r w:rsidR="00DB4564" w:rsidRPr="00765F93">
        <w:t xml:space="preserve"> Crawford School of Public Policy</w:t>
      </w:r>
      <w:r w:rsidR="00765F93" w:rsidRPr="00765F93">
        <w:t>, Australian National University</w:t>
      </w:r>
      <w:r w:rsidR="00DB4564" w:rsidRPr="00765F93">
        <w:t xml:space="preserve">; </w:t>
      </w:r>
      <w:r w:rsidR="002F58AB" w:rsidRPr="00765F93">
        <w:t xml:space="preserve">and </w:t>
      </w:r>
      <w:r w:rsidR="00E13F84" w:rsidRPr="00765F93">
        <w:t xml:space="preserve">Dr </w:t>
      </w:r>
      <w:r w:rsidR="00DB4564" w:rsidRPr="00765F93">
        <w:t>Cain Polidano</w:t>
      </w:r>
      <w:r w:rsidR="00E13F84" w:rsidRPr="00765F93">
        <w:t>, Senior Research Fellow,</w:t>
      </w:r>
      <w:r w:rsidR="00DB4564" w:rsidRPr="00765F93">
        <w:t xml:space="preserve"> Melbourne Institute of Applied Economics and Social Research</w:t>
      </w:r>
      <w:r w:rsidR="00E13F84" w:rsidRPr="00765F93">
        <w:t>, University of Melbourne</w:t>
      </w:r>
      <w:r w:rsidR="002F58AB" w:rsidRPr="00765F93">
        <w:t>.</w:t>
      </w:r>
    </w:p>
    <w:p w:rsidR="00763783" w:rsidRDefault="00763783" w:rsidP="00763783">
      <w:pPr>
        <w:pStyle w:val="BodyText"/>
      </w:pPr>
      <w:r>
        <w:t>The assistance of external reviewers does not imply any responsibility on their part for the content of the final report, which rests solely with the PBO.</w:t>
      </w:r>
    </w:p>
    <w:p w:rsidR="00763783" w:rsidRDefault="00763783" w:rsidP="00763783">
      <w:pPr>
        <w:pStyle w:val="BodyText"/>
      </w:pPr>
    </w:p>
    <w:p w:rsidR="00763783" w:rsidRDefault="00763783" w:rsidP="00763783">
      <w:pPr>
        <w:pStyle w:val="BodyText"/>
      </w:pPr>
    </w:p>
    <w:p w:rsidR="00763783" w:rsidRDefault="00763783" w:rsidP="00763783">
      <w:pPr>
        <w:pStyle w:val="BodyText"/>
      </w:pPr>
    </w:p>
    <w:p w:rsidR="00763783" w:rsidRDefault="00763783" w:rsidP="00763783">
      <w:pPr>
        <w:pStyle w:val="BodyText"/>
      </w:pPr>
    </w:p>
    <w:p w:rsidR="003204ED" w:rsidRDefault="003204ED" w:rsidP="00925603">
      <w:pPr>
        <w:pStyle w:val="OverviewBodyText"/>
      </w:pPr>
      <w:r>
        <w:br/>
      </w:r>
    </w:p>
    <w:p w:rsidR="003204ED" w:rsidRDefault="003204ED" w:rsidP="00925603">
      <w:pPr>
        <w:pStyle w:val="OverviewBodyText"/>
      </w:pPr>
    </w:p>
    <w:p w:rsidR="00351F62" w:rsidRDefault="00260214" w:rsidP="00925603">
      <w:pPr>
        <w:spacing w:before="960"/>
      </w:pPr>
      <w:r>
        <w:t>Jenny Wilkinson</w:t>
      </w:r>
    </w:p>
    <w:p w:rsidR="00351F62" w:rsidRDefault="00956050" w:rsidP="00925603">
      <w:pPr>
        <w:spacing w:after="114"/>
      </w:pPr>
      <w:r>
        <w:t>Parliamentary Budget Officer</w:t>
      </w:r>
    </w:p>
    <w:sdt>
      <w:sdtPr>
        <w:alias w:val="Date"/>
        <w:tag w:val="Date"/>
        <w:id w:val="-226846581"/>
        <w:placeholder>
          <w:docPart w:val="83F48F9AF6A242C28604B678CED9555F"/>
        </w:placeholder>
        <w:date w:fullDate="2018-02-20T00:00:00Z">
          <w:dateFormat w:val="d MMMM yyyy"/>
          <w:lid w:val="en-AU"/>
          <w:storeMappedDataAs w:val="dateTime"/>
          <w:calendar w:val="gregorian"/>
        </w:date>
      </w:sdtPr>
      <w:sdtEndPr/>
      <w:sdtContent>
        <w:p w:rsidR="00EA6EB3" w:rsidRDefault="00E4602C" w:rsidP="00351F62">
          <w:r>
            <w:t>20 February 2018</w:t>
          </w:r>
        </w:p>
      </w:sdtContent>
    </w:sdt>
    <w:p w:rsidR="00EA6EB3" w:rsidRDefault="00EA6EB3">
      <w:pPr>
        <w:sectPr w:rsidR="00EA6EB3" w:rsidSect="005468AB">
          <w:footerReference w:type="default" r:id="rId23"/>
          <w:type w:val="oddPage"/>
          <w:pgSz w:w="11906" w:h="16838" w:code="9"/>
          <w:pgMar w:top="1361" w:right="1797" w:bottom="1474" w:left="1797" w:header="284" w:footer="454" w:gutter="0"/>
          <w:pgNumType w:fmt="lowerRoman"/>
          <w:cols w:space="708"/>
          <w:docGrid w:linePitch="360"/>
        </w:sectPr>
      </w:pPr>
    </w:p>
    <w:p w:rsidR="00422839" w:rsidRPr="0071589A" w:rsidRDefault="00D64DA9" w:rsidP="0071589A">
      <w:pPr>
        <w:pStyle w:val="Heading1NoNumbering"/>
      </w:pPr>
      <w:bookmarkStart w:id="8" w:name="_Toc495612911"/>
      <w:bookmarkStart w:id="9" w:name="_Toc495849174"/>
      <w:bookmarkStart w:id="10" w:name="_Toc505928126"/>
      <w:bookmarkStart w:id="11" w:name="_Toc505928392"/>
      <w:bookmarkStart w:id="12" w:name="_Toc506277154"/>
      <w:r w:rsidRPr="003D368A">
        <w:lastRenderedPageBreak/>
        <w:t>Overview</w:t>
      </w:r>
      <w:bookmarkStart w:id="13" w:name="_OverviewMarker"/>
      <w:bookmarkEnd w:id="8"/>
      <w:bookmarkEnd w:id="9"/>
      <w:bookmarkEnd w:id="10"/>
      <w:bookmarkEnd w:id="11"/>
      <w:bookmarkEnd w:id="12"/>
      <w:bookmarkEnd w:id="13"/>
      <w:r w:rsidR="005E288F" w:rsidRPr="003D368A">
        <w:t xml:space="preserve"> </w:t>
      </w:r>
    </w:p>
    <w:p w:rsidR="00B06A09" w:rsidRPr="00823426" w:rsidRDefault="00B06A09" w:rsidP="0071589A">
      <w:pPr>
        <w:pStyle w:val="BodyText"/>
      </w:pPr>
      <w:r w:rsidRPr="00823426">
        <w:t>The Disability Support Pension (DSP) is an income support payment to individuals with permanent physi</w:t>
      </w:r>
      <w:r w:rsidR="0099121E" w:rsidRPr="00823426">
        <w:t>cal, intellectual or</w:t>
      </w:r>
      <w:r w:rsidR="0015149D" w:rsidRPr="00823426">
        <w:t xml:space="preserve"> </w:t>
      </w:r>
      <w:r w:rsidR="00495EE1" w:rsidRPr="00823426">
        <w:t>psychiatric</w:t>
      </w:r>
      <w:r w:rsidRPr="00823426">
        <w:t xml:space="preserve"> impairments that prevent them from engaging in employment.  </w:t>
      </w:r>
      <w:r w:rsidR="00E4602C">
        <w:t>It is one of the largest programs of Australian government spending.  In </w:t>
      </w:r>
      <w:r w:rsidRPr="00823426">
        <w:t>2016</w:t>
      </w:r>
      <w:r w:rsidR="00582D59" w:rsidRPr="00823426">
        <w:t>–</w:t>
      </w:r>
      <w:r w:rsidRPr="00823426">
        <w:t>17, DSP expenditure was $16.3 billion (</w:t>
      </w:r>
      <w:r w:rsidR="00582D59" w:rsidRPr="00823426">
        <w:t>10.</w:t>
      </w:r>
      <w:r w:rsidR="00282B09">
        <w:t>6</w:t>
      </w:r>
      <w:r w:rsidR="00582D59" w:rsidRPr="00823426">
        <w:t xml:space="preserve"> </w:t>
      </w:r>
      <w:r w:rsidRPr="00823426">
        <w:t xml:space="preserve">per cent of social security spending) </w:t>
      </w:r>
      <w:r w:rsidR="0071589A" w:rsidRPr="00823426">
        <w:t xml:space="preserve">and there were </w:t>
      </w:r>
      <w:r w:rsidRPr="00823426">
        <w:t xml:space="preserve">around 760,000 </w:t>
      </w:r>
      <w:r w:rsidR="0071589A" w:rsidRPr="00823426">
        <w:t>DSP recipients</w:t>
      </w:r>
      <w:r w:rsidRPr="00823426">
        <w:t>.</w:t>
      </w:r>
    </w:p>
    <w:p w:rsidR="00B06A09" w:rsidRPr="009D2D5D" w:rsidRDefault="00B06A09" w:rsidP="00BF1708">
      <w:pPr>
        <w:pStyle w:val="BodyText"/>
        <w:spacing w:after="0"/>
      </w:pPr>
      <w:r w:rsidRPr="009D2D5D">
        <w:t>Following the global financial crisis</w:t>
      </w:r>
      <w:r w:rsidR="0071589A" w:rsidRPr="009D2D5D">
        <w:t>,</w:t>
      </w:r>
      <w:r w:rsidR="00F35F0B" w:rsidRPr="009D2D5D">
        <w:t xml:space="preserve"> </w:t>
      </w:r>
      <w:r w:rsidRPr="009D2D5D">
        <w:t xml:space="preserve">DSP expenditure </w:t>
      </w:r>
      <w:r w:rsidR="0071589A" w:rsidRPr="009D2D5D">
        <w:t>increased</w:t>
      </w:r>
      <w:r w:rsidRPr="009D2D5D">
        <w:t xml:space="preserve"> strongly, averaging 8.7</w:t>
      </w:r>
      <w:r w:rsidR="0071589A" w:rsidRPr="009D2D5D">
        <w:t> </w:t>
      </w:r>
      <w:r w:rsidRPr="009D2D5D">
        <w:t>per</w:t>
      </w:r>
      <w:r w:rsidR="008468B2" w:rsidRPr="009D2D5D">
        <w:t> </w:t>
      </w:r>
      <w:r w:rsidRPr="009D2D5D">
        <w:t xml:space="preserve">cent annual real </w:t>
      </w:r>
      <w:r w:rsidR="0071589A" w:rsidRPr="009D2D5D">
        <w:t>growth</w:t>
      </w:r>
      <w:r w:rsidRPr="009D2D5D">
        <w:t xml:space="preserve"> from 2008</w:t>
      </w:r>
      <w:r w:rsidR="00582D59" w:rsidRPr="009D2D5D">
        <w:t>–</w:t>
      </w:r>
      <w:r w:rsidRPr="009D2D5D">
        <w:t>09 to 2011</w:t>
      </w:r>
      <w:r w:rsidR="00582D59" w:rsidRPr="009D2D5D">
        <w:t>–</w:t>
      </w:r>
      <w:r w:rsidRPr="009D2D5D">
        <w:t>12.</w:t>
      </w:r>
      <w:r w:rsidR="00B4132D">
        <w:t xml:space="preserve"> </w:t>
      </w:r>
      <w:r w:rsidRPr="009D2D5D">
        <w:t xml:space="preserve"> </w:t>
      </w:r>
      <w:r w:rsidR="00E25E10">
        <w:t>M</w:t>
      </w:r>
      <w:r w:rsidR="0001331F" w:rsidRPr="009D2D5D">
        <w:t>ore</w:t>
      </w:r>
      <w:r w:rsidRPr="009D2D5D">
        <w:t xml:space="preserve"> recently</w:t>
      </w:r>
      <w:r w:rsidR="00851D59">
        <w:t>,</w:t>
      </w:r>
      <w:r w:rsidRPr="009D2D5D">
        <w:t xml:space="preserve"> growth has slowed significantly</w:t>
      </w:r>
      <w:r w:rsidR="00CA1464" w:rsidRPr="009D2D5D">
        <w:t xml:space="preserve">, with annual </w:t>
      </w:r>
      <w:r w:rsidR="00E25E10">
        <w:t xml:space="preserve">real </w:t>
      </w:r>
      <w:r w:rsidR="00CA1464" w:rsidRPr="009D2D5D">
        <w:t>growth</w:t>
      </w:r>
      <w:r w:rsidRPr="009D2D5D">
        <w:t xml:space="preserve"> averaging 0.2 per cent</w:t>
      </w:r>
      <w:r w:rsidR="00AE4C76" w:rsidRPr="009D2D5D">
        <w:t xml:space="preserve"> </w:t>
      </w:r>
      <w:r w:rsidRPr="009D2D5D">
        <w:t xml:space="preserve">from </w:t>
      </w:r>
      <w:r w:rsidR="004D08F3" w:rsidRPr="009D2D5D">
        <w:t>2012–13 to</w:t>
      </w:r>
      <w:r w:rsidR="00274C47">
        <w:t xml:space="preserve"> </w:t>
      </w:r>
      <w:r w:rsidR="00274C47">
        <w:br/>
      </w:r>
      <w:r w:rsidRPr="00E4602C">
        <w:t>2016</w:t>
      </w:r>
      <w:r w:rsidR="00582D59" w:rsidRPr="00E4602C">
        <w:t>–</w:t>
      </w:r>
      <w:r w:rsidRPr="00E4602C">
        <w:t>17.  DSP expenditure has fallen in nominal terms</w:t>
      </w:r>
      <w:r w:rsidR="006901BE" w:rsidRPr="00E4602C">
        <w:t xml:space="preserve"> since 2014–15</w:t>
      </w:r>
      <w:r w:rsidRPr="00E4602C">
        <w:t xml:space="preserve">, </w:t>
      </w:r>
      <w:r w:rsidR="001C44D6" w:rsidRPr="00E4602C">
        <w:t xml:space="preserve">and </w:t>
      </w:r>
      <w:r w:rsidR="00E13F84" w:rsidRPr="00E4602C">
        <w:t>the ratio of</w:t>
      </w:r>
      <w:r w:rsidR="00E13F84">
        <w:t xml:space="preserve"> recipients to</w:t>
      </w:r>
      <w:r w:rsidRPr="009D2D5D">
        <w:t xml:space="preserve"> the working</w:t>
      </w:r>
      <w:r w:rsidR="004336DB">
        <w:t>-</w:t>
      </w:r>
      <w:r w:rsidRPr="009D2D5D">
        <w:t xml:space="preserve">age population (15 to 64) </w:t>
      </w:r>
      <w:r w:rsidR="00CA1464" w:rsidRPr="009D2D5D">
        <w:t>has now</w:t>
      </w:r>
      <w:r w:rsidR="007E6A4A" w:rsidRPr="009D2D5D">
        <w:t xml:space="preserve"> return</w:t>
      </w:r>
      <w:r w:rsidR="00CA1464" w:rsidRPr="009D2D5D">
        <w:t>ed</w:t>
      </w:r>
      <w:r w:rsidR="001C44D6" w:rsidRPr="009D2D5D">
        <w:t xml:space="preserve"> to levels recorded in</w:t>
      </w:r>
      <w:r w:rsidRPr="009D2D5D">
        <w:t xml:space="preserve"> </w:t>
      </w:r>
      <w:r w:rsidR="00E4602C">
        <w:t>the late 1990s</w:t>
      </w:r>
      <w:r w:rsidRPr="009D2D5D">
        <w:t xml:space="preserve">. </w:t>
      </w:r>
    </w:p>
    <w:p w:rsidR="00B06A09" w:rsidRPr="00320C10" w:rsidRDefault="00B06A09" w:rsidP="0071589A">
      <w:pPr>
        <w:pStyle w:val="BodyText"/>
      </w:pPr>
      <w:r w:rsidRPr="009D2D5D">
        <w:t>The main driver of th</w:t>
      </w:r>
      <w:r w:rsidR="00E25E10">
        <w:t>e</w:t>
      </w:r>
      <w:r w:rsidRPr="009D2D5D">
        <w:t xml:space="preserve"> slowdown </w:t>
      </w:r>
      <w:r w:rsidR="00E25E10">
        <w:t xml:space="preserve">in DSP expenditure </w:t>
      </w:r>
      <w:r w:rsidRPr="009D2D5D">
        <w:t>has been p</w:t>
      </w:r>
      <w:r w:rsidR="00B14E71">
        <w:t>olicy measures</w:t>
      </w:r>
      <w:r w:rsidRPr="009D2D5D">
        <w:t xml:space="preserve"> which have focussed on stemming the flow of people onto the payment.  In particular, new compliance and assessment measures</w:t>
      </w:r>
      <w:r w:rsidR="0001331F" w:rsidRPr="009D2D5D">
        <w:t>,</w:t>
      </w:r>
      <w:r w:rsidRPr="009D2D5D">
        <w:t xml:space="preserve"> which applied from 1 January 2012, </w:t>
      </w:r>
      <w:r w:rsidR="00B14E71">
        <w:t xml:space="preserve">have </w:t>
      </w:r>
      <w:r w:rsidRPr="009D2D5D">
        <w:t>led to a sharp decline in the</w:t>
      </w:r>
      <w:r w:rsidRPr="00823426">
        <w:t xml:space="preserve"> number of people </w:t>
      </w:r>
      <w:r w:rsidR="001C44D6" w:rsidRPr="00823426">
        <w:t>being assessed a</w:t>
      </w:r>
      <w:r w:rsidR="00394C35" w:rsidRPr="00823426">
        <w:t>s</w:t>
      </w:r>
      <w:r w:rsidR="001C44D6" w:rsidRPr="00823426">
        <w:t xml:space="preserve"> being eligible for the</w:t>
      </w:r>
      <w:r w:rsidRPr="00823426">
        <w:t xml:space="preserve"> payment.  This resulted in the share of applicants granted access to the DSP (known as the grant rate) falling from an average of 63</w:t>
      </w:r>
      <w:r w:rsidR="00582D59" w:rsidRPr="00823426">
        <w:t> </w:t>
      </w:r>
      <w:r w:rsidRPr="00823426">
        <w:t xml:space="preserve">per cent </w:t>
      </w:r>
      <w:r w:rsidR="00766C82" w:rsidRPr="00823426">
        <w:t xml:space="preserve">from </w:t>
      </w:r>
      <w:r w:rsidRPr="00823426">
        <w:t>2001–02 to 2010–11, to 43 pe</w:t>
      </w:r>
      <w:r w:rsidR="000D16C0" w:rsidRPr="00823426">
        <w:t xml:space="preserve">r cent from 2011–12 to 2014–15. </w:t>
      </w:r>
      <w:r w:rsidRPr="00823426">
        <w:t xml:space="preserve">Correspondingly the number of </w:t>
      </w:r>
      <w:r w:rsidR="001C44D6" w:rsidRPr="00823426">
        <w:t>new</w:t>
      </w:r>
      <w:r w:rsidR="00766C82" w:rsidRPr="00823426">
        <w:t xml:space="preserve"> DSP </w:t>
      </w:r>
      <w:r w:rsidR="001C44D6" w:rsidRPr="00823426">
        <w:t xml:space="preserve">recipients </w:t>
      </w:r>
      <w:r w:rsidRPr="00823426">
        <w:t xml:space="preserve">fell from a peak of </w:t>
      </w:r>
      <w:r w:rsidR="007D6C79" w:rsidRPr="00823426">
        <w:t>89,000 in 2009–10</w:t>
      </w:r>
      <w:r w:rsidRPr="00823426">
        <w:t xml:space="preserve"> to </w:t>
      </w:r>
      <w:r w:rsidRPr="00320C10">
        <w:t>32,000 in 2016</w:t>
      </w:r>
      <w:r w:rsidR="00582D59" w:rsidRPr="00320C10">
        <w:t>–</w:t>
      </w:r>
      <w:r w:rsidRPr="00320C10">
        <w:t>17.</w:t>
      </w:r>
    </w:p>
    <w:p w:rsidR="00B06A09" w:rsidRPr="00320C10" w:rsidRDefault="00B06A09" w:rsidP="0071589A">
      <w:pPr>
        <w:pStyle w:val="BodyText"/>
      </w:pPr>
      <w:r w:rsidRPr="00320C10">
        <w:t>Underlying these overall trends, the</w:t>
      </w:r>
      <w:r w:rsidR="001C44D6" w:rsidRPr="00320C10">
        <w:t xml:space="preserve"> population of</w:t>
      </w:r>
      <w:r w:rsidRPr="00320C10">
        <w:t xml:space="preserve"> DSP</w:t>
      </w:r>
      <w:r w:rsidR="001C44D6" w:rsidRPr="00320C10">
        <w:t xml:space="preserve"> recipients</w:t>
      </w:r>
      <w:r w:rsidRPr="00320C10">
        <w:t xml:space="preserve"> has also undergone a marked compositional shift</w:t>
      </w:r>
      <w:r w:rsidR="001C44D6" w:rsidRPr="00320C10">
        <w:t xml:space="preserve">.  The </w:t>
      </w:r>
      <w:r w:rsidR="007E6A4A" w:rsidRPr="00320C10">
        <w:t xml:space="preserve">proportion </w:t>
      </w:r>
      <w:r w:rsidR="001C44D6" w:rsidRPr="00320C10">
        <w:t>of DSP recipients with</w:t>
      </w:r>
      <w:r w:rsidRPr="00320C10">
        <w:t xml:space="preserve"> physical</w:t>
      </w:r>
      <w:r w:rsidR="001C44D6" w:rsidRPr="00320C10">
        <w:t xml:space="preserve"> impairments has declined</w:t>
      </w:r>
      <w:r w:rsidRPr="00320C10">
        <w:t xml:space="preserve"> and the </w:t>
      </w:r>
      <w:r w:rsidR="00B4132D">
        <w:t>proportion</w:t>
      </w:r>
      <w:r w:rsidR="00B4132D" w:rsidRPr="00320C10">
        <w:t xml:space="preserve"> </w:t>
      </w:r>
      <w:r w:rsidR="001C44D6" w:rsidRPr="00320C10">
        <w:t>with</w:t>
      </w:r>
      <w:r w:rsidR="0099121E" w:rsidRPr="00320C10">
        <w:t xml:space="preserve"> psych</w:t>
      </w:r>
      <w:r w:rsidR="00333BCD" w:rsidRPr="00320C10">
        <w:t>iatric</w:t>
      </w:r>
      <w:r w:rsidRPr="00320C10">
        <w:t xml:space="preserve"> and intellectual </w:t>
      </w:r>
      <w:r w:rsidR="001C44D6" w:rsidRPr="00320C10">
        <w:t>impairments has increased</w:t>
      </w:r>
      <w:r w:rsidRPr="00320C10">
        <w:t xml:space="preserve">. </w:t>
      </w:r>
    </w:p>
    <w:p w:rsidR="00B06A09" w:rsidRPr="00320C10" w:rsidRDefault="00B06A09" w:rsidP="0071589A">
      <w:pPr>
        <w:pStyle w:val="BodyText"/>
      </w:pPr>
      <w:r w:rsidRPr="00320C10">
        <w:t xml:space="preserve">In 2001–02, recipients with musculoskeletal </w:t>
      </w:r>
      <w:r w:rsidR="0099121E" w:rsidRPr="00320C10">
        <w:t>conditions</w:t>
      </w:r>
      <w:r w:rsidRPr="00320C10">
        <w:t xml:space="preserve"> accounted for around 40</w:t>
      </w:r>
      <w:r w:rsidR="001C44D6" w:rsidRPr="00320C10">
        <w:t> </w:t>
      </w:r>
      <w:r w:rsidRPr="00320C10">
        <w:t xml:space="preserve">per cent of </w:t>
      </w:r>
      <w:r w:rsidR="001C44D6" w:rsidRPr="00320C10">
        <w:t>new</w:t>
      </w:r>
      <w:r w:rsidRPr="00320C10">
        <w:t xml:space="preserve"> DSP</w:t>
      </w:r>
      <w:r w:rsidR="001C44D6" w:rsidRPr="00320C10">
        <w:t xml:space="preserve"> recipients</w:t>
      </w:r>
      <w:r w:rsidRPr="00320C10">
        <w:t xml:space="preserve">. </w:t>
      </w:r>
      <w:r w:rsidR="006A1716">
        <w:t xml:space="preserve"> </w:t>
      </w:r>
      <w:r w:rsidRPr="00320C10">
        <w:t>This fell to 11 per cent in 2016–17.</w:t>
      </w:r>
      <w:r w:rsidR="00B4132D">
        <w:t xml:space="preserve"> </w:t>
      </w:r>
      <w:r w:rsidRPr="00320C10">
        <w:t xml:space="preserve"> </w:t>
      </w:r>
      <w:r w:rsidR="00E25E10">
        <w:t>Over</w:t>
      </w:r>
      <w:r w:rsidRPr="00320C10">
        <w:t xml:space="preserve"> the same time</w:t>
      </w:r>
      <w:r w:rsidR="00E25E10">
        <w:t xml:space="preserve"> period</w:t>
      </w:r>
      <w:r w:rsidRPr="00320C10">
        <w:t xml:space="preserve">, the share of </w:t>
      </w:r>
      <w:r w:rsidR="001C44D6" w:rsidRPr="00320C10">
        <w:t>new recipients with</w:t>
      </w:r>
      <w:r w:rsidRPr="00320C10">
        <w:t xml:space="preserve"> psychological</w:t>
      </w:r>
      <w:r w:rsidR="007E6A4A" w:rsidRPr="00320C10">
        <w:t xml:space="preserve"> </w:t>
      </w:r>
      <w:r w:rsidR="0099121E" w:rsidRPr="00320C10">
        <w:t>conditions</w:t>
      </w:r>
      <w:r w:rsidRPr="00320C10">
        <w:t xml:space="preserve"> increased from 25 per cent to 33 per cent, and the share </w:t>
      </w:r>
      <w:r w:rsidR="00646E89" w:rsidRPr="00320C10">
        <w:t>with</w:t>
      </w:r>
      <w:r w:rsidR="0099121E" w:rsidRPr="00320C10">
        <w:t xml:space="preserve"> intellectual conditions</w:t>
      </w:r>
      <w:r w:rsidR="00B4132D" w:rsidRPr="00320C10">
        <w:t xml:space="preserve"> </w:t>
      </w:r>
      <w:r w:rsidRPr="00320C10">
        <w:t>increased from 6</w:t>
      </w:r>
      <w:r w:rsidR="00525FB7" w:rsidRPr="00320C10">
        <w:t> </w:t>
      </w:r>
      <w:r w:rsidRPr="00320C10">
        <w:t>per</w:t>
      </w:r>
      <w:r w:rsidR="00525FB7" w:rsidRPr="00320C10">
        <w:t xml:space="preserve"> </w:t>
      </w:r>
      <w:r w:rsidRPr="00320C10">
        <w:t xml:space="preserve">cent to 17 per cent. </w:t>
      </w:r>
    </w:p>
    <w:p w:rsidR="00B06A09" w:rsidRPr="00320C10" w:rsidRDefault="00B06A09" w:rsidP="00D334AB">
      <w:pPr>
        <w:pStyle w:val="BodyText"/>
      </w:pPr>
      <w:r w:rsidRPr="00CC6325">
        <w:t xml:space="preserve">Taking these historical trends into account, </w:t>
      </w:r>
      <w:r w:rsidR="00E25E10" w:rsidRPr="00CC6325">
        <w:t>we have significan</w:t>
      </w:r>
      <w:r w:rsidR="00BF7673">
        <w:t>tly revised down the PBO medium-</w:t>
      </w:r>
      <w:r w:rsidR="00E25E10" w:rsidRPr="00CC6325">
        <w:t>term projections for</w:t>
      </w:r>
      <w:r w:rsidRPr="00CC6325">
        <w:t xml:space="preserve"> DSP expenditure</w:t>
      </w:r>
      <w:r w:rsidR="00E25E10" w:rsidRPr="00CC6325">
        <w:t>.</w:t>
      </w:r>
      <w:r w:rsidRPr="00CC6325">
        <w:t xml:space="preserve"> </w:t>
      </w:r>
      <w:r w:rsidR="00E25E10" w:rsidRPr="00CC6325">
        <w:t xml:space="preserve"> </w:t>
      </w:r>
      <w:r w:rsidR="0088251E" w:rsidRPr="00CC6325">
        <w:t>Our current pro</w:t>
      </w:r>
      <w:r w:rsidR="006A14AE">
        <w:t>jections for expenditure in 2027</w:t>
      </w:r>
      <w:r w:rsidR="00773751" w:rsidRPr="00CC6325">
        <w:t>–</w:t>
      </w:r>
      <w:r w:rsidR="006A14AE">
        <w:t>28</w:t>
      </w:r>
      <w:r w:rsidR="00646E89" w:rsidRPr="00CC6325">
        <w:t xml:space="preserve"> are $4.</w:t>
      </w:r>
      <w:r w:rsidR="006A14AE">
        <w:t>8</w:t>
      </w:r>
      <w:r w:rsidR="00646E89" w:rsidRPr="00CC6325">
        <w:t xml:space="preserve"> billion l</w:t>
      </w:r>
      <w:r w:rsidR="00302136">
        <w:t>ower than our</w:t>
      </w:r>
      <w:r w:rsidR="006A14AE">
        <w:t xml:space="preserve"> 2017</w:t>
      </w:r>
      <w:r w:rsidR="00773751" w:rsidRPr="00CC6325">
        <w:t>–</w:t>
      </w:r>
      <w:r w:rsidR="006A14AE">
        <w:t>18</w:t>
      </w:r>
      <w:r w:rsidR="0088251E" w:rsidRPr="00CC6325">
        <w:t xml:space="preserve"> Budget</w:t>
      </w:r>
      <w:r w:rsidR="00302136">
        <w:t xml:space="preserve"> projections</w:t>
      </w:r>
      <w:r w:rsidR="0088251E" w:rsidRPr="00CC6325">
        <w:t>.</w:t>
      </w:r>
      <w:r w:rsidR="00646E89" w:rsidRPr="00CC6325">
        <w:t xml:space="preserve">  </w:t>
      </w:r>
      <w:r w:rsidR="00E25E10" w:rsidRPr="00CC6325">
        <w:t>Over the medium term, we are projecting that DSP expenditure will average 1.0 per cent annual real growth</w:t>
      </w:r>
      <w:r w:rsidR="00851D59" w:rsidRPr="00CC6325">
        <w:t>,</w:t>
      </w:r>
      <w:r w:rsidR="00E25E10" w:rsidRPr="00CC6325">
        <w:t xml:space="preserve"> which</w:t>
      </w:r>
      <w:r w:rsidRPr="00CC6325">
        <w:t xml:space="preserve"> would see recipients as a proportion of the</w:t>
      </w:r>
      <w:r w:rsidRPr="00320C10">
        <w:t xml:space="preserve"> </w:t>
      </w:r>
      <w:r w:rsidR="00646E89" w:rsidRPr="00320C10">
        <w:t>working</w:t>
      </w:r>
      <w:r w:rsidR="00646E89" w:rsidRPr="00320C10">
        <w:noBreakHyphen/>
      </w:r>
      <w:r w:rsidRPr="00320C10">
        <w:t xml:space="preserve">age population </w:t>
      </w:r>
      <w:r w:rsidR="00646E89" w:rsidRPr="00320C10">
        <w:t>continu</w:t>
      </w:r>
      <w:r w:rsidR="00CC6325">
        <w:t>e</w:t>
      </w:r>
      <w:r w:rsidR="00D334AB" w:rsidRPr="00320C10">
        <w:t xml:space="preserve"> to drift lower</w:t>
      </w:r>
      <w:r w:rsidRPr="00320C10">
        <w:t>.</w:t>
      </w:r>
    </w:p>
    <w:p w:rsidR="00B06A09" w:rsidRPr="00320C10" w:rsidRDefault="00B06A09" w:rsidP="0071589A">
      <w:pPr>
        <w:pStyle w:val="BodyText"/>
      </w:pPr>
      <w:r w:rsidRPr="00320C10">
        <w:t>The PBO’s projection incorporates the 2017</w:t>
      </w:r>
      <w:r w:rsidR="0086654E" w:rsidRPr="00320C10">
        <w:t>–</w:t>
      </w:r>
      <w:r w:rsidRPr="00320C10">
        <w:t>18 Mid-Year Economic and Fiscal Outlook estimates up to 2020</w:t>
      </w:r>
      <w:r w:rsidR="00582D59" w:rsidRPr="00320C10">
        <w:t>–</w:t>
      </w:r>
      <w:r w:rsidRPr="00320C10">
        <w:t>21, which imply a sig</w:t>
      </w:r>
      <w:r w:rsidR="00D334AB" w:rsidRPr="00320C10">
        <w:t>nificant rebound in new</w:t>
      </w:r>
      <w:r w:rsidR="0001331F" w:rsidRPr="00320C10">
        <w:t xml:space="preserve"> </w:t>
      </w:r>
      <w:r w:rsidRPr="00320C10">
        <w:t>DSP</w:t>
      </w:r>
      <w:r w:rsidR="00D334AB" w:rsidRPr="00320C10">
        <w:t xml:space="preserve"> recipients</w:t>
      </w:r>
      <w:r w:rsidRPr="00320C10">
        <w:t>.  The limited historical experience following the introduction of new compliance and assessment measures, makes interpreting the recent few years challenging.  Given this uncertainty, the PBO has analysed a number of scenarios with alternative recipient projections</w:t>
      </w:r>
      <w:r w:rsidR="00766C82" w:rsidRPr="00320C10">
        <w:t xml:space="preserve"> to determine our medium-term projections</w:t>
      </w:r>
      <w:r w:rsidRPr="00320C10">
        <w:t xml:space="preserve">.  </w:t>
      </w:r>
      <w:r w:rsidR="004D08F3">
        <w:t>These scenarios suggest there are</w:t>
      </w:r>
      <w:r w:rsidR="009659D8">
        <w:t xml:space="preserve"> further</w:t>
      </w:r>
      <w:r w:rsidR="004D08F3">
        <w:t xml:space="preserve"> downside risks to the DSP expenditure projections.</w:t>
      </w:r>
    </w:p>
    <w:p w:rsidR="00E25E10" w:rsidRDefault="00E25E10" w:rsidP="0071589A">
      <w:pPr>
        <w:pStyle w:val="BodyText"/>
      </w:pPr>
    </w:p>
    <w:p w:rsidR="00E25E10" w:rsidRDefault="00E25E10" w:rsidP="0071589A">
      <w:pPr>
        <w:pStyle w:val="BodyText"/>
        <w:sectPr w:rsidR="00E25E10" w:rsidSect="00C13E4E">
          <w:footerReference w:type="even" r:id="rId24"/>
          <w:footerReference w:type="default" r:id="rId25"/>
          <w:footerReference w:type="first" r:id="rId26"/>
          <w:pgSz w:w="11906" w:h="16838" w:code="9"/>
          <w:pgMar w:top="1079" w:right="1797" w:bottom="1258" w:left="1797" w:header="284" w:footer="454" w:gutter="0"/>
          <w:pgNumType w:fmt="lowerRoman"/>
          <w:cols w:space="708"/>
          <w:docGrid w:linePitch="360"/>
        </w:sectPr>
      </w:pPr>
    </w:p>
    <w:p w:rsidR="00903E3F" w:rsidRDefault="009659D8" w:rsidP="00CF5CE3">
      <w:pPr>
        <w:pStyle w:val="Heading1"/>
      </w:pPr>
      <w:bookmarkStart w:id="14" w:name="_Toc505928127"/>
      <w:bookmarkStart w:id="15" w:name="_Toc505928393"/>
      <w:bookmarkStart w:id="16" w:name="_Toc506277155"/>
      <w:r>
        <w:lastRenderedPageBreak/>
        <w:t>Introduction</w:t>
      </w:r>
      <w:bookmarkEnd w:id="14"/>
      <w:bookmarkEnd w:id="15"/>
      <w:bookmarkEnd w:id="16"/>
    </w:p>
    <w:p w:rsidR="00643C11" w:rsidRDefault="00785E59" w:rsidP="00643C11">
      <w:pPr>
        <w:pStyle w:val="BodyText"/>
      </w:pPr>
      <w:r>
        <w:t>The Disability Support Pension (DSP)</w:t>
      </w:r>
      <w:r w:rsidR="00643C11">
        <w:t xml:space="preserve"> </w:t>
      </w:r>
      <w:r w:rsidR="006C3D3F">
        <w:t xml:space="preserve">is an </w:t>
      </w:r>
      <w:r w:rsidR="00643C11">
        <w:t xml:space="preserve">income support </w:t>
      </w:r>
      <w:r w:rsidR="006C3D3F">
        <w:t>payment</w:t>
      </w:r>
      <w:r w:rsidR="00643C11">
        <w:t xml:space="preserve"> to individuals with </w:t>
      </w:r>
      <w:r w:rsidR="00643C11" w:rsidRPr="00C30E4E">
        <w:t>permanent physical, intellectual or psychiatric impairment</w:t>
      </w:r>
      <w:r w:rsidR="00643C11">
        <w:t>s</w:t>
      </w:r>
      <w:r w:rsidR="00643C11" w:rsidRPr="00C30E4E">
        <w:t xml:space="preserve"> </w:t>
      </w:r>
      <w:r w:rsidR="00643C11">
        <w:t xml:space="preserve">that prevent them from engaging in employment.  It replaced the Invalid Pension in 1991 </w:t>
      </w:r>
      <w:r w:rsidR="00874345">
        <w:t>with the aim of</w:t>
      </w:r>
      <w:r w:rsidR="00643C11">
        <w:t xml:space="preserve"> improv</w:t>
      </w:r>
      <w:r w:rsidR="00874345">
        <w:t>ing</w:t>
      </w:r>
      <w:r w:rsidR="00643C11">
        <w:t xml:space="preserve"> rehabilitation and labour market engagement of recipients.</w:t>
      </w:r>
      <w:r w:rsidR="00643C11" w:rsidRPr="00004478">
        <w:rPr>
          <w:rStyle w:val="FootnoteReference"/>
        </w:rPr>
        <w:footnoteReference w:id="1"/>
      </w:r>
      <w:r w:rsidR="00643C11">
        <w:t xml:space="preserve"> </w:t>
      </w:r>
    </w:p>
    <w:p w:rsidR="00B149FA" w:rsidRDefault="00643C11" w:rsidP="00643C11">
      <w:pPr>
        <w:pStyle w:val="BodyText"/>
      </w:pPr>
      <w:r>
        <w:t>To be eligible for the DSP</w:t>
      </w:r>
      <w:r w:rsidR="00C47D8E">
        <w:t>,</w:t>
      </w:r>
      <w:r>
        <w:t xml:space="preserve"> applicants must be</w:t>
      </w:r>
      <w:r w:rsidR="00B149FA">
        <w:t>:</w:t>
      </w:r>
    </w:p>
    <w:p w:rsidR="00B149FA" w:rsidRDefault="00643C11" w:rsidP="00B149FA">
      <w:pPr>
        <w:pStyle w:val="ListBullet"/>
        <w:rPr>
          <w:lang w:eastAsia="en-AU"/>
        </w:rPr>
      </w:pPr>
      <w:r>
        <w:t>16 years or older</w:t>
      </w:r>
    </w:p>
    <w:p w:rsidR="00B149FA" w:rsidRDefault="00643C11" w:rsidP="00B149FA">
      <w:pPr>
        <w:pStyle w:val="ListBullet"/>
        <w:rPr>
          <w:lang w:eastAsia="en-AU"/>
        </w:rPr>
      </w:pPr>
      <w:r>
        <w:t>have a permanent disability preventing them from working more than 15 hours a week</w:t>
      </w:r>
      <w:r w:rsidRPr="003856A7">
        <w:rPr>
          <w:lang w:eastAsia="en-AU"/>
        </w:rPr>
        <w:t xml:space="preserve"> </w:t>
      </w:r>
      <w:r w:rsidRPr="00666C2E">
        <w:rPr>
          <w:lang w:eastAsia="en-AU"/>
        </w:rPr>
        <w:t>for at least two years</w:t>
      </w:r>
      <w:r w:rsidR="00C8465A" w:rsidRPr="00004478">
        <w:rPr>
          <w:rStyle w:val="FootnoteReference"/>
        </w:rPr>
        <w:footnoteReference w:id="2"/>
      </w:r>
      <w:r w:rsidR="00C8465A">
        <w:rPr>
          <w:lang w:eastAsia="en-AU"/>
        </w:rPr>
        <w:t xml:space="preserve">  </w:t>
      </w:r>
    </w:p>
    <w:p w:rsidR="00B149FA" w:rsidRDefault="00643C11" w:rsidP="00B149FA">
      <w:pPr>
        <w:pStyle w:val="ListBullet"/>
        <w:rPr>
          <w:lang w:eastAsia="en-AU"/>
        </w:rPr>
      </w:pPr>
      <w:r>
        <w:t xml:space="preserve">meet </w:t>
      </w:r>
      <w:r>
        <w:rPr>
          <w:lang w:eastAsia="en-AU"/>
        </w:rPr>
        <w:t>Australian residency requirements</w:t>
      </w:r>
      <w:r w:rsidR="00B149FA">
        <w:rPr>
          <w:lang w:eastAsia="en-AU"/>
        </w:rPr>
        <w:t>; and</w:t>
      </w:r>
    </w:p>
    <w:p w:rsidR="00B149FA" w:rsidRDefault="00643C11" w:rsidP="00B149FA">
      <w:pPr>
        <w:pStyle w:val="ListBullet"/>
        <w:rPr>
          <w:lang w:eastAsia="en-AU"/>
        </w:rPr>
      </w:pPr>
      <w:proofErr w:type="gramStart"/>
      <w:r>
        <w:rPr>
          <w:lang w:eastAsia="en-AU"/>
        </w:rPr>
        <w:t>score</w:t>
      </w:r>
      <w:proofErr w:type="gramEnd"/>
      <w:r>
        <w:rPr>
          <w:lang w:eastAsia="en-AU"/>
        </w:rPr>
        <w:t xml:space="preserve"> at least 20 points on Centrelink Impairment Tables demonstrating a physical, </w:t>
      </w:r>
      <w:r w:rsidRPr="00666C2E">
        <w:rPr>
          <w:lang w:eastAsia="en-AU"/>
        </w:rPr>
        <w:t>intellectual or psychiatric impairment</w:t>
      </w:r>
      <w:r>
        <w:rPr>
          <w:lang w:eastAsia="en-AU"/>
        </w:rPr>
        <w:t xml:space="preserve"> as assessed by a medical professional. </w:t>
      </w:r>
    </w:p>
    <w:p w:rsidR="006C3D3F" w:rsidRDefault="009C285C" w:rsidP="006C3D3F">
      <w:pPr>
        <w:pStyle w:val="BodyText"/>
        <w:rPr>
          <w:lang w:eastAsia="en-AU"/>
        </w:rPr>
      </w:pPr>
      <w:r>
        <w:t>T</w:t>
      </w:r>
      <w:r w:rsidR="00B149FA" w:rsidRPr="009C285C">
        <w:t xml:space="preserve">he Impairment Tables </w:t>
      </w:r>
      <w:r w:rsidR="00E42684">
        <w:t>are</w:t>
      </w:r>
      <w:r w:rsidR="00B149FA" w:rsidRPr="009C285C">
        <w:t xml:space="preserve"> a set of tables that assign ratings in proportion t</w:t>
      </w:r>
      <w:r w:rsidR="00E42684">
        <w:t xml:space="preserve">o the severity </w:t>
      </w:r>
      <w:r w:rsidR="008D53F2">
        <w:t xml:space="preserve">of </w:t>
      </w:r>
      <w:r w:rsidR="00E42684">
        <w:t xml:space="preserve">an individual’s </w:t>
      </w:r>
      <w:r w:rsidR="00B149FA" w:rsidRPr="009C285C">
        <w:t>impairment</w:t>
      </w:r>
      <w:r w:rsidR="008D53F2">
        <w:t>.</w:t>
      </w:r>
      <w:r w:rsidR="00E16FF0">
        <w:t xml:space="preserve"> </w:t>
      </w:r>
      <w:r w:rsidR="00B4132D">
        <w:t xml:space="preserve"> </w:t>
      </w:r>
      <w:r w:rsidR="00E16FF0">
        <w:t>The tables are function</w:t>
      </w:r>
      <w:r w:rsidR="000F7328">
        <w:noBreakHyphen/>
      </w:r>
      <w:r w:rsidR="00E16FF0">
        <w:t>based rather than diagnosis-</w:t>
      </w:r>
      <w:r w:rsidR="00B149FA" w:rsidRPr="009C285C">
        <w:t>based</w:t>
      </w:r>
      <w:r>
        <w:t>.</w:t>
      </w:r>
      <w:r w:rsidR="00B149FA" w:rsidRPr="009C285C">
        <w:t xml:space="preserve"> </w:t>
      </w:r>
      <w:r w:rsidR="002C2D2E">
        <w:t xml:space="preserve"> </w:t>
      </w:r>
      <w:r w:rsidR="006C3D3F">
        <w:rPr>
          <w:lang w:eastAsia="en-AU"/>
        </w:rPr>
        <w:t>If eligible for the payment</w:t>
      </w:r>
      <w:r w:rsidR="00E16FF0">
        <w:rPr>
          <w:lang w:eastAsia="en-AU"/>
        </w:rPr>
        <w:t>,</w:t>
      </w:r>
      <w:r w:rsidR="006C3D3F">
        <w:rPr>
          <w:lang w:eastAsia="en-AU"/>
        </w:rPr>
        <w:t xml:space="preserve"> recipients are </w:t>
      </w:r>
      <w:r w:rsidR="00DE5649">
        <w:rPr>
          <w:lang w:eastAsia="en-AU"/>
        </w:rPr>
        <w:t xml:space="preserve">classified as having </w:t>
      </w:r>
      <w:r w:rsidR="006C3D3F">
        <w:rPr>
          <w:lang w:eastAsia="en-AU"/>
        </w:rPr>
        <w:t xml:space="preserve">one of </w:t>
      </w:r>
      <w:r w:rsidR="0081631A">
        <w:rPr>
          <w:lang w:eastAsia="en-AU"/>
        </w:rPr>
        <w:t>23</w:t>
      </w:r>
      <w:r w:rsidR="006C3D3F">
        <w:rPr>
          <w:lang w:eastAsia="en-AU"/>
        </w:rPr>
        <w:t xml:space="preserve"> primary medical conditions.</w:t>
      </w:r>
      <w:r w:rsidR="00E42684" w:rsidRPr="00004478">
        <w:rPr>
          <w:rStyle w:val="FootnoteReference"/>
        </w:rPr>
        <w:footnoteReference w:id="3"/>
      </w:r>
    </w:p>
    <w:p w:rsidR="00CA3D68" w:rsidRDefault="00643C11" w:rsidP="00643C11">
      <w:pPr>
        <w:pStyle w:val="BodyText"/>
      </w:pPr>
      <w:r>
        <w:t xml:space="preserve">As at 20 September 2017 the fortnightly </w:t>
      </w:r>
      <w:r w:rsidR="009C285C">
        <w:t xml:space="preserve">maximum basic </w:t>
      </w:r>
      <w:r>
        <w:t>single rate for DSP was $814.00</w:t>
      </w:r>
      <w:r w:rsidR="009C285C">
        <w:t xml:space="preserve"> and the equivalent combined couple’s rate was $1,227.20</w:t>
      </w:r>
      <w:r w:rsidRPr="00311BB3">
        <w:t xml:space="preserve">. </w:t>
      </w:r>
      <w:r w:rsidR="00B149FA">
        <w:t xml:space="preserve"> </w:t>
      </w:r>
    </w:p>
    <w:p w:rsidR="00B149FA" w:rsidRDefault="00591D52" w:rsidP="00643C11">
      <w:pPr>
        <w:pStyle w:val="BodyText"/>
      </w:pPr>
      <w:r>
        <w:rPr>
          <w:lang w:eastAsia="en-AU"/>
        </w:rPr>
        <w:t xml:space="preserve">Recipients are also subject to income and assets tests which may result in a reduction in income support. </w:t>
      </w:r>
      <w:r w:rsidR="00B4132D">
        <w:rPr>
          <w:lang w:eastAsia="en-AU"/>
        </w:rPr>
        <w:t xml:space="preserve"> </w:t>
      </w:r>
      <w:r w:rsidR="00CA3D68">
        <w:t xml:space="preserve">The basic single rate is </w:t>
      </w:r>
      <w:r w:rsidR="007B428C">
        <w:t xml:space="preserve">reduced by 50 cents for each dollar of income over $168 earned a fortnight. </w:t>
      </w:r>
      <w:r w:rsidR="00CE2DB4">
        <w:t xml:space="preserve"> </w:t>
      </w:r>
      <w:r w:rsidR="00646A88">
        <w:t xml:space="preserve">For a </w:t>
      </w:r>
      <w:r w:rsidR="00DC0EEA">
        <w:t xml:space="preserve">single homeowner the </w:t>
      </w:r>
      <w:r w:rsidR="00C6203A">
        <w:t xml:space="preserve">fortnightly </w:t>
      </w:r>
      <w:r w:rsidR="00646A88">
        <w:t xml:space="preserve">pension is reduced </w:t>
      </w:r>
      <w:r w:rsidR="00DC0EEA">
        <w:t xml:space="preserve">by $3 for every $1,000 </w:t>
      </w:r>
      <w:r w:rsidR="00646A88">
        <w:t xml:space="preserve">worth of assets </w:t>
      </w:r>
      <w:r w:rsidR="00DC0EEA">
        <w:t xml:space="preserve">above $253,750 </w:t>
      </w:r>
      <w:r>
        <w:t>(the</w:t>
      </w:r>
      <w:r w:rsidR="00FF36E9">
        <w:t xml:space="preserve"> </w:t>
      </w:r>
      <w:r w:rsidR="00FF36E9" w:rsidRPr="00823426">
        <w:t>assets</w:t>
      </w:r>
      <w:r w:rsidRPr="00823426">
        <w:t> </w:t>
      </w:r>
      <w:r w:rsidR="00646A88" w:rsidRPr="00823426">
        <w:t xml:space="preserve">threshold is </w:t>
      </w:r>
      <w:r w:rsidR="00DC0EEA" w:rsidRPr="00823426">
        <w:t>$456,750 for non</w:t>
      </w:r>
      <w:r w:rsidR="000F7328">
        <w:noBreakHyphen/>
      </w:r>
      <w:r w:rsidR="00DC0EEA" w:rsidRPr="00823426">
        <w:t>homeowners).</w:t>
      </w:r>
      <w:r w:rsidR="00A82457" w:rsidRPr="00823426">
        <w:rPr>
          <w:rStyle w:val="FootnoteReference"/>
        </w:rPr>
        <w:footnoteReference w:id="4"/>
      </w:r>
      <w:r w:rsidR="00DC0EEA">
        <w:t xml:space="preserve"> </w:t>
      </w:r>
    </w:p>
    <w:p w:rsidR="00643C11" w:rsidRDefault="00643C11" w:rsidP="00643C11">
      <w:pPr>
        <w:pStyle w:val="Heading2"/>
      </w:pPr>
      <w:bookmarkStart w:id="17" w:name="_Toc498354930"/>
      <w:bookmarkStart w:id="18" w:name="_Toc505928128"/>
      <w:bookmarkStart w:id="19" w:name="_Toc505928394"/>
      <w:bookmarkStart w:id="20" w:name="_Toc506277156"/>
      <w:r>
        <w:t>Expenditure</w:t>
      </w:r>
      <w:bookmarkEnd w:id="17"/>
      <w:bookmarkEnd w:id="18"/>
      <w:bookmarkEnd w:id="19"/>
      <w:bookmarkEnd w:id="20"/>
    </w:p>
    <w:p w:rsidR="00643C11" w:rsidRDefault="00785E59" w:rsidP="00643C11">
      <w:pPr>
        <w:pStyle w:val="BodyText"/>
      </w:pPr>
      <w:r>
        <w:t>The DSP</w:t>
      </w:r>
      <w:r w:rsidR="00643C11">
        <w:t xml:space="preserve"> is one of the largest programs of Australian gove</w:t>
      </w:r>
      <w:r w:rsidR="00D54701">
        <w:t>rnment spending totalling $16.3 </w:t>
      </w:r>
      <w:r w:rsidR="00643C11">
        <w:t>billion in 2016</w:t>
      </w:r>
      <w:r w:rsidR="00E6722C">
        <w:t>–</w:t>
      </w:r>
      <w:r w:rsidR="00643C11">
        <w:t>17</w:t>
      </w:r>
      <w:r>
        <w:t>.</w:t>
      </w:r>
      <w:r w:rsidR="00B4132D">
        <w:t xml:space="preserve"> </w:t>
      </w:r>
      <w:r>
        <w:t xml:space="preserve"> It </w:t>
      </w:r>
      <w:r w:rsidR="00643C11">
        <w:t>comprises a significant portion of</w:t>
      </w:r>
      <w:r w:rsidR="00F419AC">
        <w:t xml:space="preserve"> the largest single area of </w:t>
      </w:r>
      <w:r>
        <w:t>government</w:t>
      </w:r>
      <w:r w:rsidR="00643C11">
        <w:t xml:space="preserve"> expenditure—social security and welfare.</w:t>
      </w:r>
      <w:r w:rsidR="00DD33AE">
        <w:t xml:space="preserve"> </w:t>
      </w:r>
      <w:r w:rsidR="00643C11">
        <w:t xml:space="preserve"> In 2016</w:t>
      </w:r>
      <w:r w:rsidR="00180A90">
        <w:t>–</w:t>
      </w:r>
      <w:r w:rsidR="00643C11">
        <w:t xml:space="preserve">17 </w:t>
      </w:r>
      <w:r w:rsidR="007123A6">
        <w:t xml:space="preserve">around </w:t>
      </w:r>
      <w:r w:rsidR="0081631A">
        <w:t>760</w:t>
      </w:r>
      <w:r w:rsidR="007123A6">
        <w:t>,000</w:t>
      </w:r>
      <w:r w:rsidR="00643C11">
        <w:t xml:space="preserve"> people received </w:t>
      </w:r>
      <w:r w:rsidR="007123A6">
        <w:t xml:space="preserve">the </w:t>
      </w:r>
      <w:r w:rsidR="00643C11">
        <w:t>DSP.</w:t>
      </w:r>
    </w:p>
    <w:p w:rsidR="00643C11" w:rsidRPr="00A4062E" w:rsidRDefault="00F15DBA" w:rsidP="00A4062E">
      <w:pPr>
        <w:pStyle w:val="BodyText"/>
      </w:pPr>
      <w:r w:rsidRPr="00A4062E">
        <w:lastRenderedPageBreak/>
        <w:fldChar w:fldCharType="begin"/>
      </w:r>
      <w:r w:rsidRPr="00A4062E">
        <w:instrText xml:space="preserve"> REF _Ref500918820 \h </w:instrText>
      </w:r>
      <w:r w:rsidR="00A4062E">
        <w:instrText xml:space="preserve"> \* MERGEFORMAT </w:instrText>
      </w:r>
      <w:r w:rsidRPr="00A4062E">
        <w:fldChar w:fldCharType="separate"/>
      </w:r>
      <w:r w:rsidR="0036047A" w:rsidRPr="00C47F46">
        <w:t xml:space="preserve">Figure </w:t>
      </w:r>
      <w:r w:rsidR="0036047A">
        <w:t>1</w:t>
      </w:r>
      <w:r w:rsidR="0036047A" w:rsidRPr="00C47F46">
        <w:t>–</w:t>
      </w:r>
      <w:r w:rsidR="0036047A">
        <w:t>1</w:t>
      </w:r>
      <w:r w:rsidRPr="00A4062E">
        <w:fldChar w:fldCharType="end"/>
      </w:r>
      <w:r w:rsidR="00643C11" w:rsidRPr="00A4062E">
        <w:t xml:space="preserve"> shows expenditure on the DSP and related payments as </w:t>
      </w:r>
      <w:r w:rsidR="006C3D3F" w:rsidRPr="00A4062E">
        <w:t xml:space="preserve">a </w:t>
      </w:r>
      <w:r w:rsidR="00643C11" w:rsidRPr="00A4062E">
        <w:t>share of the total social security and welfare budget in 2016</w:t>
      </w:r>
      <w:r w:rsidR="006D32F7" w:rsidRPr="00A4062E">
        <w:t>–</w:t>
      </w:r>
      <w:r w:rsidR="00643C11" w:rsidRPr="00A4062E">
        <w:t xml:space="preserve">17.  Other social security and welfare spending includes Family Tax Benefit, </w:t>
      </w:r>
      <w:r w:rsidR="00297819" w:rsidRPr="00A4062E">
        <w:t xml:space="preserve">aged care, </w:t>
      </w:r>
      <w:r w:rsidR="00643C11" w:rsidRPr="00A4062E">
        <w:t>child care and parenting payments.</w:t>
      </w:r>
      <w:r w:rsidR="004D59EC" w:rsidRPr="00A4062E">
        <w:t xml:space="preserve"> </w:t>
      </w:r>
    </w:p>
    <w:p w:rsidR="007B7EAD" w:rsidRPr="00A4062E" w:rsidRDefault="007B7EAD" w:rsidP="00A4062E">
      <w:pPr>
        <w:pStyle w:val="BodyText"/>
      </w:pPr>
      <w:r w:rsidRPr="00A4062E">
        <w:t xml:space="preserve">The DSP interacts with other income support payments, mainly the Age Pension and Newstart, with half of all </w:t>
      </w:r>
      <w:r w:rsidR="00333BCD" w:rsidRPr="00A4062E">
        <w:t>new</w:t>
      </w:r>
      <w:r w:rsidRPr="00A4062E">
        <w:t xml:space="preserve"> DSP</w:t>
      </w:r>
      <w:r w:rsidR="00333BCD" w:rsidRPr="00A4062E">
        <w:t xml:space="preserve"> recipients</w:t>
      </w:r>
      <w:r w:rsidRPr="00A4062E">
        <w:t xml:space="preserve"> transitioning from another income support</w:t>
      </w:r>
      <w:r w:rsidR="002006B2" w:rsidRPr="00A4062E">
        <w:t xml:space="preserve"> payment</w:t>
      </w:r>
      <w:r w:rsidRPr="00A4062E">
        <w:t xml:space="preserve"> an</w:t>
      </w:r>
      <w:r w:rsidR="00333BCD" w:rsidRPr="00A4062E">
        <w:t>d half of all recipients who cease</w:t>
      </w:r>
      <w:r w:rsidRPr="00A4062E">
        <w:t xml:space="preserve"> </w:t>
      </w:r>
      <w:r w:rsidR="00F05011" w:rsidRPr="00A4062E">
        <w:t xml:space="preserve">receiving </w:t>
      </w:r>
      <w:r w:rsidR="002B35F8" w:rsidRPr="00A4062E">
        <w:t xml:space="preserve">the DSP </w:t>
      </w:r>
      <w:r w:rsidRPr="00A4062E">
        <w:t xml:space="preserve">moving onto the Age Pension. </w:t>
      </w:r>
      <w:r w:rsidR="00B4132D" w:rsidRPr="00A4062E">
        <w:t xml:space="preserve"> </w:t>
      </w:r>
      <w:r w:rsidRPr="00A4062E">
        <w:t xml:space="preserve"> Tightening the eligibility criteria around the DSP may reduce direct expenditure on the DSP, but from a whole-of-government expenditure perspective this may be partly offset by expenditure increases on other payments such as Newstart which is paid at a lower rate. </w:t>
      </w:r>
    </w:p>
    <w:p w:rsidR="00475A3B" w:rsidRDefault="00C47F46" w:rsidP="00851D59">
      <w:pPr>
        <w:pStyle w:val="Caption1"/>
      </w:pPr>
      <w:bookmarkStart w:id="21" w:name="_Ref500918820"/>
      <w:bookmarkStart w:id="22" w:name="_Toc505927960"/>
      <w:bookmarkStart w:id="23" w:name="_Toc505928616"/>
      <w:bookmarkStart w:id="24" w:name="_Toc506214862"/>
      <w:r w:rsidRPr="00C47F46">
        <w:t xml:space="preserve">Figure </w:t>
      </w:r>
      <w:fldSimple w:instr=" STYLEREF 1 \s ">
        <w:r w:rsidR="0036047A">
          <w:rPr>
            <w:noProof/>
          </w:rPr>
          <w:t>1</w:t>
        </w:r>
      </w:fldSimple>
      <w:r w:rsidRPr="00C47F46">
        <w:t>–</w:t>
      </w:r>
      <w:fldSimple w:instr=" SEQ Figure \* ARABIC \s 1 ">
        <w:r w:rsidR="0036047A">
          <w:rPr>
            <w:noProof/>
          </w:rPr>
          <w:t>1</w:t>
        </w:r>
      </w:fldSimple>
      <w:bookmarkEnd w:id="21"/>
      <w:r w:rsidRPr="00C47F46">
        <w:t xml:space="preserve">: </w:t>
      </w:r>
      <w:r w:rsidR="00A0267B">
        <w:t>S</w:t>
      </w:r>
      <w:r>
        <w:t xml:space="preserve">ocial </w:t>
      </w:r>
      <w:r w:rsidR="00AA1CCE">
        <w:t>S</w:t>
      </w:r>
      <w:r>
        <w:t xml:space="preserve">ecurity and </w:t>
      </w:r>
      <w:r w:rsidR="00AA1CCE">
        <w:t>W</w:t>
      </w:r>
      <w:r>
        <w:t xml:space="preserve">elfare </w:t>
      </w:r>
      <w:r w:rsidR="00AA1CCE">
        <w:t>E</w:t>
      </w:r>
      <w:r w:rsidR="00475A3B">
        <w:t>xpenditure</w:t>
      </w:r>
      <w:bookmarkEnd w:id="22"/>
      <w:bookmarkEnd w:id="23"/>
      <w:bookmarkEnd w:id="24"/>
      <w:r>
        <w:t xml:space="preserve"> </w:t>
      </w:r>
    </w:p>
    <w:p w:rsidR="006B2793" w:rsidRPr="00596A92" w:rsidRDefault="00C47F46" w:rsidP="00596A92">
      <w:pPr>
        <w:pStyle w:val="Caption4"/>
      </w:pPr>
      <w:r w:rsidRPr="00596A92">
        <w:t>2016–17</w:t>
      </w:r>
    </w:p>
    <w:p w:rsidR="00643C11" w:rsidRDefault="00BA5FFC" w:rsidP="00CC6325">
      <w:pPr>
        <w:pStyle w:val="Caption4"/>
      </w:pPr>
      <w:r>
        <w:rPr>
          <w:noProof/>
          <w:lang w:eastAsia="en-AU"/>
        </w:rPr>
        <w:drawing>
          <wp:inline distT="0" distB="0" distL="0" distR="0" wp14:anchorId="5773E86A">
            <wp:extent cx="4791710" cy="3773805"/>
            <wp:effectExtent l="0" t="0" r="889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1710" cy="3773805"/>
                    </a:xfrm>
                    <a:prstGeom prst="rect">
                      <a:avLst/>
                    </a:prstGeom>
                    <a:noFill/>
                  </pic:spPr>
                </pic:pic>
              </a:graphicData>
            </a:graphic>
          </wp:inline>
        </w:drawing>
      </w:r>
    </w:p>
    <w:p w:rsidR="00643C11" w:rsidRDefault="00643C11" w:rsidP="00F33957">
      <w:pPr>
        <w:pStyle w:val="Source1"/>
      </w:pPr>
      <w:r>
        <w:t xml:space="preserve">Source: </w:t>
      </w:r>
      <w:r w:rsidR="00C34C16">
        <w:t>2017–18 Final Budget Outcome</w:t>
      </w:r>
      <w:r w:rsidR="004D4DC3">
        <w:t xml:space="preserve"> and </w:t>
      </w:r>
      <w:r>
        <w:t>Department of Social Services</w:t>
      </w:r>
      <w:r w:rsidR="008669DA">
        <w:t xml:space="preserve"> (DSS)</w:t>
      </w:r>
      <w:r>
        <w:t xml:space="preserve"> 2016</w:t>
      </w:r>
      <w:r w:rsidR="008669DA">
        <w:t>–</w:t>
      </w:r>
      <w:r>
        <w:t>17</w:t>
      </w:r>
      <w:r w:rsidR="00A60317">
        <w:t xml:space="preserve"> </w:t>
      </w:r>
      <w:r>
        <w:t>Annual Repor</w:t>
      </w:r>
      <w:r w:rsidRPr="00E6722C">
        <w:t>t</w:t>
      </w:r>
      <w:r w:rsidR="00A0267B" w:rsidRPr="00823426">
        <w:rPr>
          <w:rStyle w:val="FootnoteReference"/>
          <w:color w:val="788184" w:themeColor="background2"/>
        </w:rPr>
        <w:footnoteReference w:id="5"/>
      </w:r>
      <w:r w:rsidRPr="00E6722C">
        <w:t xml:space="preserve"> </w:t>
      </w:r>
    </w:p>
    <w:p w:rsidR="00656071" w:rsidRPr="00A4062E" w:rsidRDefault="00736376" w:rsidP="003F1853">
      <w:pPr>
        <w:pStyle w:val="BodyText17ptAbove"/>
      </w:pPr>
      <w:r w:rsidRPr="00A4062E">
        <w:t>Until recently, t</w:t>
      </w:r>
      <w:r w:rsidR="000E21F8" w:rsidRPr="00A4062E">
        <w:t>he DSP ha</w:t>
      </w:r>
      <w:r w:rsidRPr="00A4062E">
        <w:t>d</w:t>
      </w:r>
      <w:r w:rsidR="000E21F8" w:rsidRPr="00A4062E">
        <w:t xml:space="preserve"> also been one of the fastest growing areas of government spending</w:t>
      </w:r>
      <w:r w:rsidR="009659D8" w:rsidRPr="00A4062E">
        <w:t>.</w:t>
      </w:r>
      <w:r w:rsidR="000E21F8" w:rsidRPr="00A4062E">
        <w:t xml:space="preserve"> </w:t>
      </w:r>
      <w:r w:rsidRPr="00A4062E">
        <w:t>However, g</w:t>
      </w:r>
      <w:r w:rsidR="00E14698" w:rsidRPr="00A4062E">
        <w:t xml:space="preserve">rowth in expenditure on the DSP has slowed significantly </w:t>
      </w:r>
      <w:r w:rsidR="00FE643A" w:rsidRPr="00A4062E">
        <w:t>since 2012</w:t>
      </w:r>
      <w:r w:rsidR="00F92328" w:rsidRPr="00A4062E">
        <w:t>–</w:t>
      </w:r>
      <w:r w:rsidR="00FE643A" w:rsidRPr="00A4062E">
        <w:t>13</w:t>
      </w:r>
      <w:r w:rsidR="00E14698" w:rsidRPr="00A4062E">
        <w:t>.</w:t>
      </w:r>
    </w:p>
    <w:p w:rsidR="00864D5B" w:rsidRPr="00A4062E" w:rsidRDefault="00250C46" w:rsidP="00A4062E">
      <w:pPr>
        <w:pStyle w:val="BodyText"/>
      </w:pPr>
      <w:r w:rsidRPr="00A4062E">
        <w:t xml:space="preserve">This </w:t>
      </w:r>
      <w:r w:rsidR="00E8741B" w:rsidRPr="00A4062E">
        <w:t>report discusses the implications</w:t>
      </w:r>
      <w:r w:rsidR="0075599F" w:rsidRPr="00A4062E">
        <w:t xml:space="preserve"> of this</w:t>
      </w:r>
      <w:r w:rsidRPr="00A4062E">
        <w:t xml:space="preserve"> recent slowing in g</w:t>
      </w:r>
      <w:r w:rsidR="00E8741B" w:rsidRPr="00A4062E">
        <w:t xml:space="preserve">rowth in DSP expenditure </w:t>
      </w:r>
      <w:r w:rsidR="00FE643A" w:rsidRPr="00A4062E">
        <w:t>for medium-term projections of the payment.</w:t>
      </w:r>
      <w:r w:rsidR="00B4132D" w:rsidRPr="00A4062E">
        <w:t xml:space="preserve"> </w:t>
      </w:r>
      <w:r w:rsidR="00FE643A" w:rsidRPr="00A4062E">
        <w:t xml:space="preserve"> </w:t>
      </w:r>
      <w:r w:rsidR="009659D8" w:rsidRPr="00A4062E">
        <w:t>Section 2 explores recent t</w:t>
      </w:r>
      <w:r w:rsidR="001A0B38" w:rsidRPr="00A4062E">
        <w:t>rends in DSP expenditure in more detail</w:t>
      </w:r>
      <w:r w:rsidR="00B64604" w:rsidRPr="00A4062E">
        <w:t>, examining characteristics and trends in</w:t>
      </w:r>
      <w:r w:rsidR="001250A4" w:rsidRPr="00A4062E">
        <w:t xml:space="preserve"> both recipient numbers and </w:t>
      </w:r>
      <w:r w:rsidR="00B64604" w:rsidRPr="00A4062E">
        <w:t>trends in payment rates.  Section 3 presents the PBO’s latest projections for DSP expenditure and examines a range of scenarios for this expenditure.</w:t>
      </w:r>
    </w:p>
    <w:p w:rsidR="009B0ABB" w:rsidRDefault="00F20F97" w:rsidP="009B0ABB">
      <w:pPr>
        <w:pStyle w:val="Heading1"/>
      </w:pPr>
      <w:bookmarkStart w:id="25" w:name="_Toc505928129"/>
      <w:bookmarkStart w:id="26" w:name="_Toc505928395"/>
      <w:bookmarkStart w:id="27" w:name="_Toc506277157"/>
      <w:r>
        <w:lastRenderedPageBreak/>
        <w:t xml:space="preserve">Trends in </w:t>
      </w:r>
      <w:r w:rsidR="009B0ABB">
        <w:t>Disability Support Pension expenditure</w:t>
      </w:r>
      <w:bookmarkEnd w:id="25"/>
      <w:bookmarkEnd w:id="26"/>
      <w:bookmarkEnd w:id="27"/>
    </w:p>
    <w:p w:rsidR="00053605" w:rsidRPr="00A4062E" w:rsidRDefault="00DB481E" w:rsidP="00A4062E">
      <w:pPr>
        <w:pStyle w:val="BodyText"/>
      </w:pPr>
      <w:r w:rsidRPr="00A4062E">
        <w:t>The e</w:t>
      </w:r>
      <w:r w:rsidR="00F21F41" w:rsidRPr="00A4062E">
        <w:t xml:space="preserve">ligibility criteria, payment rates and </w:t>
      </w:r>
      <w:r w:rsidR="00D5409D" w:rsidRPr="00A4062E">
        <w:t>assessment</w:t>
      </w:r>
      <w:r w:rsidR="00F21F41" w:rsidRPr="00A4062E">
        <w:t xml:space="preserve"> processes </w:t>
      </w:r>
      <w:r w:rsidRPr="00A4062E">
        <w:t xml:space="preserve">for the DSP have varied </w:t>
      </w:r>
      <w:r w:rsidR="00F21F41" w:rsidRPr="00A4062E">
        <w:t xml:space="preserve">since </w:t>
      </w:r>
      <w:r w:rsidRPr="00A4062E">
        <w:t xml:space="preserve">the payment </w:t>
      </w:r>
      <w:r w:rsidR="00F21F41" w:rsidRPr="00A4062E">
        <w:t>was introduced</w:t>
      </w:r>
      <w:r w:rsidR="002A270F" w:rsidRPr="00A4062E">
        <w:t xml:space="preserve"> in 1991</w:t>
      </w:r>
      <w:r w:rsidR="00F21F41" w:rsidRPr="00A4062E">
        <w:t xml:space="preserve">. </w:t>
      </w:r>
      <w:r w:rsidR="000C2EE3" w:rsidRPr="00A4062E">
        <w:t xml:space="preserve"> </w:t>
      </w:r>
      <w:r w:rsidR="00AE269D" w:rsidRPr="00A4062E">
        <w:t xml:space="preserve">Following </w:t>
      </w:r>
      <w:r w:rsidR="00E42684" w:rsidRPr="00A4062E">
        <w:t xml:space="preserve">largely </w:t>
      </w:r>
      <w:r w:rsidR="00AE269D" w:rsidRPr="00A4062E">
        <w:t xml:space="preserve">positive growth in </w:t>
      </w:r>
      <w:r w:rsidR="002A270F" w:rsidRPr="00A4062E">
        <w:t xml:space="preserve">DSP </w:t>
      </w:r>
      <w:r w:rsidR="00AE269D" w:rsidRPr="00A4062E">
        <w:t>expenditure for</w:t>
      </w:r>
      <w:r w:rsidR="002A270F" w:rsidRPr="00A4062E">
        <w:t xml:space="preserve"> over</w:t>
      </w:r>
      <w:r w:rsidR="00AE269D" w:rsidRPr="00A4062E">
        <w:t xml:space="preserve"> two decades, the c</w:t>
      </w:r>
      <w:r w:rsidR="000C2EE3" w:rsidRPr="00A4062E">
        <w:t xml:space="preserve">hanges </w:t>
      </w:r>
      <w:r w:rsidRPr="00A4062E">
        <w:t xml:space="preserve">to assessment processes </w:t>
      </w:r>
      <w:r w:rsidR="00E42F83" w:rsidRPr="00A4062E">
        <w:t>announced in the 2009</w:t>
      </w:r>
      <w:r w:rsidR="00525FB7" w:rsidRPr="00A4062E">
        <w:t>–</w:t>
      </w:r>
      <w:r w:rsidR="00E42F83" w:rsidRPr="00A4062E">
        <w:t>10 Budget</w:t>
      </w:r>
      <w:r w:rsidR="000C2EE3" w:rsidRPr="00A4062E">
        <w:t xml:space="preserve"> </w:t>
      </w:r>
      <w:r w:rsidR="001A0B38" w:rsidRPr="00A4062E">
        <w:t>(</w:t>
      </w:r>
      <w:r w:rsidRPr="00A4062E">
        <w:t xml:space="preserve">and </w:t>
      </w:r>
      <w:r w:rsidR="00E42684" w:rsidRPr="00A4062E">
        <w:t xml:space="preserve">to a lesser extent </w:t>
      </w:r>
      <w:r w:rsidRPr="00A4062E">
        <w:t>subsequent measures</w:t>
      </w:r>
      <w:r w:rsidR="001A0B38" w:rsidRPr="00A4062E">
        <w:t>)</w:t>
      </w:r>
      <w:r w:rsidRPr="00A4062E">
        <w:t xml:space="preserve"> </w:t>
      </w:r>
      <w:r w:rsidR="002A270F" w:rsidRPr="00A4062E">
        <w:t xml:space="preserve">have resulted in </w:t>
      </w:r>
      <w:r w:rsidR="001A0B38" w:rsidRPr="00A4062E">
        <w:t xml:space="preserve">nominal </w:t>
      </w:r>
      <w:r w:rsidR="002A270F" w:rsidRPr="00A4062E">
        <w:t xml:space="preserve">expenditure on </w:t>
      </w:r>
      <w:r w:rsidR="00487CBA" w:rsidRPr="00A4062E">
        <w:t xml:space="preserve">the </w:t>
      </w:r>
      <w:r w:rsidR="002A270F" w:rsidRPr="00A4062E">
        <w:t>DSP</w:t>
      </w:r>
      <w:r w:rsidR="00487CBA" w:rsidRPr="00A4062E">
        <w:t xml:space="preserve"> </w:t>
      </w:r>
      <w:r w:rsidR="00773751">
        <w:t>being</w:t>
      </w:r>
      <w:r w:rsidR="00487CBA" w:rsidRPr="00A4062E">
        <w:t xml:space="preserve"> </w:t>
      </w:r>
      <w:r w:rsidR="0012772D" w:rsidRPr="00A4062E">
        <w:t xml:space="preserve">below 2014–15 levels </w:t>
      </w:r>
      <w:r w:rsidR="00AE0971">
        <w:t xml:space="preserve">in each </w:t>
      </w:r>
      <w:r w:rsidR="00773751">
        <w:t>of</w:t>
      </w:r>
      <w:r w:rsidR="00487CBA" w:rsidRPr="00A4062E">
        <w:t xml:space="preserve"> the past two</w:t>
      </w:r>
      <w:r w:rsidR="002A270F" w:rsidRPr="00A4062E">
        <w:t xml:space="preserve"> years</w:t>
      </w:r>
      <w:r w:rsidR="00635DCD" w:rsidRPr="00A4062E">
        <w:t xml:space="preserve">.  </w:t>
      </w:r>
      <w:r w:rsidRPr="00A4062E">
        <w:t xml:space="preserve">This has </w:t>
      </w:r>
      <w:r w:rsidR="006C3D3F" w:rsidRPr="00A4062E">
        <w:t xml:space="preserve">posed challenges in </w:t>
      </w:r>
      <w:r w:rsidR="00230F78" w:rsidRPr="00A4062E">
        <w:t>projecting</w:t>
      </w:r>
      <w:r w:rsidRPr="00A4062E">
        <w:t xml:space="preserve"> expenditure on the DSP.</w:t>
      </w:r>
    </w:p>
    <w:p w:rsidR="00053605" w:rsidRPr="00A4062E" w:rsidRDefault="00E42F83" w:rsidP="00A4062E">
      <w:pPr>
        <w:pStyle w:val="BodyText"/>
      </w:pPr>
      <w:r w:rsidRPr="00A4062E">
        <w:t>By way of illustration</w:t>
      </w:r>
      <w:r w:rsidR="00635DCD" w:rsidRPr="00A4062E">
        <w:t xml:space="preserve">, </w:t>
      </w:r>
      <w:r w:rsidR="00053605" w:rsidRPr="00A4062E">
        <w:t>at the time of the 2014</w:t>
      </w:r>
      <w:r w:rsidR="00541E34" w:rsidRPr="00A4062E">
        <w:t>–</w:t>
      </w:r>
      <w:r w:rsidR="00053605" w:rsidRPr="00A4062E">
        <w:t xml:space="preserve">15 </w:t>
      </w:r>
      <w:r w:rsidR="009C72D1" w:rsidRPr="00A4062E">
        <w:t>Budget</w:t>
      </w:r>
      <w:r w:rsidR="003D368A" w:rsidRPr="00A4062E">
        <w:t>,</w:t>
      </w:r>
      <w:r w:rsidR="009C72D1" w:rsidRPr="00A4062E">
        <w:t xml:space="preserve"> expenditure on the DSP for</w:t>
      </w:r>
      <w:r w:rsidR="00053605" w:rsidRPr="00A4062E">
        <w:t xml:space="preserve"> </w:t>
      </w:r>
      <w:r w:rsidR="003D368A" w:rsidRPr="00A4062E">
        <w:br/>
      </w:r>
      <w:r w:rsidR="00053605" w:rsidRPr="00A4062E">
        <w:t>2016</w:t>
      </w:r>
      <w:r w:rsidR="00541E34" w:rsidRPr="00A4062E">
        <w:t>–</w:t>
      </w:r>
      <w:r w:rsidR="00053605" w:rsidRPr="00A4062E">
        <w:t xml:space="preserve">17 was estimated at </w:t>
      </w:r>
      <w:r w:rsidR="000C2EE3" w:rsidRPr="00A4062E">
        <w:t>$17.8 billion</w:t>
      </w:r>
      <w:r w:rsidR="00053605" w:rsidRPr="00A4062E">
        <w:t xml:space="preserve">. </w:t>
      </w:r>
      <w:r w:rsidR="0012772D" w:rsidRPr="00A4062E">
        <w:t xml:space="preserve"> </w:t>
      </w:r>
      <w:r w:rsidR="00053605" w:rsidRPr="00A4062E">
        <w:t>Th</w:t>
      </w:r>
      <w:r w:rsidRPr="00A4062E">
        <w:t xml:space="preserve">is compares to the </w:t>
      </w:r>
      <w:r w:rsidR="009C72D1" w:rsidRPr="00A4062E">
        <w:t xml:space="preserve">final expenditure </w:t>
      </w:r>
      <w:r w:rsidR="00053605" w:rsidRPr="00A4062E">
        <w:t>for 2016</w:t>
      </w:r>
      <w:r w:rsidR="00541E34" w:rsidRPr="00A4062E">
        <w:t>–17 of $16.3 </w:t>
      </w:r>
      <w:r w:rsidR="00053605" w:rsidRPr="00A4062E">
        <w:t xml:space="preserve">billion, </w:t>
      </w:r>
      <w:r w:rsidR="00FF36E9" w:rsidRPr="00A4062E">
        <w:t>and included</w:t>
      </w:r>
      <w:r w:rsidR="00053605" w:rsidRPr="00A4062E">
        <w:t xml:space="preserve"> a downward revision in the number of recipients on the payment of more than </w:t>
      </w:r>
      <w:r w:rsidR="00081CD5" w:rsidRPr="00A4062E">
        <w:t>72</w:t>
      </w:r>
      <w:r w:rsidR="00053605" w:rsidRPr="00A4062E">
        <w:t>,000</w:t>
      </w:r>
      <w:r w:rsidR="00FF36E9" w:rsidRPr="00A4062E">
        <w:t xml:space="preserve"> (around 10 per cent)</w:t>
      </w:r>
      <w:r w:rsidR="00053605" w:rsidRPr="00A4062E">
        <w:t xml:space="preserve">. </w:t>
      </w:r>
    </w:p>
    <w:p w:rsidR="00635DCD" w:rsidRPr="00A4062E" w:rsidRDefault="00DB481E" w:rsidP="00A4062E">
      <w:pPr>
        <w:pStyle w:val="BodyText"/>
      </w:pPr>
      <w:r w:rsidRPr="00A4062E">
        <w:t xml:space="preserve">As </w:t>
      </w:r>
      <w:r w:rsidR="003D14AA" w:rsidRPr="00A4062E">
        <w:fldChar w:fldCharType="begin"/>
      </w:r>
      <w:r w:rsidR="003D14AA" w:rsidRPr="00A4062E">
        <w:instrText xml:space="preserve"> REF _Ref500919463 \h </w:instrText>
      </w:r>
      <w:r w:rsidR="00F05011" w:rsidRPr="00A4062E">
        <w:instrText xml:space="preserve"> \* MERGEFORMAT </w:instrText>
      </w:r>
      <w:r w:rsidR="003D14AA" w:rsidRPr="00A4062E">
        <w:fldChar w:fldCharType="separate"/>
      </w:r>
      <w:r w:rsidR="0036047A" w:rsidRPr="00B9720D">
        <w:t xml:space="preserve">Figure </w:t>
      </w:r>
      <w:r w:rsidR="0036047A">
        <w:t>2</w:t>
      </w:r>
      <w:r w:rsidR="0036047A" w:rsidRPr="00B9720D">
        <w:t>–</w:t>
      </w:r>
      <w:r w:rsidR="0036047A">
        <w:t>1</w:t>
      </w:r>
      <w:r w:rsidR="003D14AA" w:rsidRPr="00A4062E">
        <w:fldChar w:fldCharType="end"/>
      </w:r>
      <w:r w:rsidR="003D14AA" w:rsidRPr="00A4062E">
        <w:t xml:space="preserve"> </w:t>
      </w:r>
      <w:r w:rsidRPr="00A4062E">
        <w:t xml:space="preserve">highlights, </w:t>
      </w:r>
      <w:r w:rsidR="009C72D1" w:rsidRPr="00A4062E">
        <w:t xml:space="preserve">subdued </w:t>
      </w:r>
      <w:r w:rsidR="00D5409D" w:rsidRPr="00A4062E">
        <w:t xml:space="preserve">historical </w:t>
      </w:r>
      <w:r w:rsidR="00B9552B" w:rsidRPr="00A4062E">
        <w:t xml:space="preserve">outcomes </w:t>
      </w:r>
      <w:r w:rsidR="00E16FF0" w:rsidRPr="00A4062E">
        <w:t>since 2012</w:t>
      </w:r>
      <w:r w:rsidR="00070EC1" w:rsidRPr="00A4062E">
        <w:t>–</w:t>
      </w:r>
      <w:r w:rsidR="00E16FF0" w:rsidRPr="00A4062E">
        <w:t>13 ha</w:t>
      </w:r>
      <w:r w:rsidR="00B9552B" w:rsidRPr="00A4062E">
        <w:t xml:space="preserve">ve led to </w:t>
      </w:r>
      <w:r w:rsidR="00D5409D" w:rsidRPr="00A4062E">
        <w:t>downward revision</w:t>
      </w:r>
      <w:r w:rsidR="000C2EE3" w:rsidRPr="00A4062E">
        <w:t>s</w:t>
      </w:r>
      <w:r w:rsidR="00D5409D" w:rsidRPr="00A4062E">
        <w:t xml:space="preserve"> in the budget estimates</w:t>
      </w:r>
      <w:r w:rsidR="00823426" w:rsidRPr="00A4062E">
        <w:t>.</w:t>
      </w:r>
    </w:p>
    <w:p w:rsidR="00C9104A" w:rsidRPr="00C9104A" w:rsidRDefault="00E22C40" w:rsidP="0049007D">
      <w:pPr>
        <w:pStyle w:val="Caption1"/>
      </w:pPr>
      <w:bookmarkStart w:id="28" w:name="_Ref500919463"/>
      <w:bookmarkStart w:id="29" w:name="_Toc505927961"/>
      <w:bookmarkStart w:id="30" w:name="_Toc505928617"/>
      <w:bookmarkStart w:id="31" w:name="_Toc506214863"/>
      <w:r w:rsidRPr="00B9720D">
        <w:t xml:space="preserve">Figure </w:t>
      </w:r>
      <w:fldSimple w:instr=" STYLEREF 1 \s ">
        <w:r w:rsidR="0036047A">
          <w:rPr>
            <w:noProof/>
          </w:rPr>
          <w:t>2</w:t>
        </w:r>
      </w:fldSimple>
      <w:r w:rsidRPr="00B9720D">
        <w:t>–</w:t>
      </w:r>
      <w:fldSimple w:instr=" SEQ Figure \* ARABIC \s 1 ">
        <w:r w:rsidR="0036047A">
          <w:rPr>
            <w:noProof/>
          </w:rPr>
          <w:t>1</w:t>
        </w:r>
      </w:fldSimple>
      <w:bookmarkEnd w:id="28"/>
      <w:r w:rsidR="009D2D5D" w:rsidRPr="00B9720D">
        <w:t xml:space="preserve">: </w:t>
      </w:r>
      <w:r w:rsidR="007C69FC" w:rsidRPr="00B9720D">
        <w:t>D</w:t>
      </w:r>
      <w:r w:rsidR="00987D94" w:rsidRPr="00B9720D">
        <w:t xml:space="preserve">isability </w:t>
      </w:r>
      <w:r w:rsidR="007C69FC" w:rsidRPr="00B9720D">
        <w:t>S</w:t>
      </w:r>
      <w:r w:rsidR="00987D94" w:rsidRPr="00B9720D">
        <w:t xml:space="preserve">upport </w:t>
      </w:r>
      <w:r w:rsidR="007C69FC" w:rsidRPr="00B9720D">
        <w:t>P</w:t>
      </w:r>
      <w:r w:rsidR="00987D94" w:rsidRPr="00B9720D">
        <w:t>ension</w:t>
      </w:r>
      <w:r w:rsidR="007A5769">
        <w:t xml:space="preserve"> </w:t>
      </w:r>
      <w:bookmarkEnd w:id="29"/>
      <w:bookmarkEnd w:id="30"/>
      <w:r w:rsidR="00AA1CCE">
        <w:t>E</w:t>
      </w:r>
      <w:r w:rsidR="00C9104A">
        <w:t>xpenditure</w:t>
      </w:r>
      <w:bookmarkEnd w:id="31"/>
    </w:p>
    <w:p w:rsidR="00393E6D" w:rsidRPr="00393E6D" w:rsidRDefault="00CF28F7" w:rsidP="00540B3F">
      <w:pPr>
        <w:pStyle w:val="BodyText"/>
        <w:spacing w:before="0"/>
        <w:jc w:val="center"/>
      </w:pPr>
      <w:r>
        <w:rPr>
          <w:noProof/>
          <w:lang w:eastAsia="en-AU"/>
        </w:rPr>
        <w:drawing>
          <wp:inline distT="0" distB="0" distL="0" distR="0" wp14:anchorId="711A131B" wp14:editId="105BD6FE">
            <wp:extent cx="5309870" cy="3060700"/>
            <wp:effectExtent l="0" t="0" r="508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09870" cy="3060700"/>
                    </a:xfrm>
                    <a:prstGeom prst="rect">
                      <a:avLst/>
                    </a:prstGeom>
                    <a:noFill/>
                  </pic:spPr>
                </pic:pic>
              </a:graphicData>
            </a:graphic>
          </wp:inline>
        </w:drawing>
      </w:r>
    </w:p>
    <w:p w:rsidR="000A4150" w:rsidRPr="00626E15" w:rsidRDefault="000A4150" w:rsidP="00F33957">
      <w:pPr>
        <w:pStyle w:val="Source1"/>
        <w:rPr>
          <w:i/>
        </w:rPr>
      </w:pPr>
      <w:r w:rsidRPr="00393E6D">
        <w:t xml:space="preserve">Source: </w:t>
      </w:r>
      <w:r w:rsidR="00B64604">
        <w:t xml:space="preserve">2014–15 Portfolio Budget Statements No. 1.15A and DSS Annual Reports </w:t>
      </w:r>
    </w:p>
    <w:p w:rsidR="00CA14C6" w:rsidRPr="00A4062E" w:rsidRDefault="002A270F" w:rsidP="006F15D5">
      <w:pPr>
        <w:pStyle w:val="BodyText17ptAbove"/>
      </w:pPr>
      <w:r w:rsidRPr="00A4062E">
        <w:t xml:space="preserve">Understanding </w:t>
      </w:r>
      <w:r w:rsidR="009C72D1" w:rsidRPr="00A4062E">
        <w:t>h</w:t>
      </w:r>
      <w:r w:rsidR="00CA14C6" w:rsidRPr="00A4062E">
        <w:t xml:space="preserve">istorical trends </w:t>
      </w:r>
      <w:r w:rsidR="00CA1F7D" w:rsidRPr="00A4062E">
        <w:t xml:space="preserve">is fundamental to </w:t>
      </w:r>
      <w:r w:rsidRPr="00A4062E">
        <w:t xml:space="preserve">determining </w:t>
      </w:r>
      <w:r w:rsidR="001A0B38" w:rsidRPr="00A4062E">
        <w:t xml:space="preserve">the factors that </w:t>
      </w:r>
      <w:r w:rsidR="00CA14C6" w:rsidRPr="00A4062E">
        <w:t>will drive growth in DSP expenditure over the forward estimates and medium term.</w:t>
      </w:r>
      <w:r w:rsidR="00E808C4" w:rsidRPr="00A4062E">
        <w:t xml:space="preserve"> </w:t>
      </w:r>
      <w:r w:rsidR="00CA14C6" w:rsidRPr="00A4062E">
        <w:t xml:space="preserve"> </w:t>
      </w:r>
      <w:r w:rsidR="00E808C4" w:rsidRPr="00A4062E">
        <w:t xml:space="preserve">A combination of changes in recipient numbers and payment rates has driven growth in expenditure over the </w:t>
      </w:r>
      <w:r w:rsidR="00F43386" w:rsidRPr="00A4062E">
        <w:t>past two decades</w:t>
      </w:r>
      <w:r w:rsidR="00E808C4" w:rsidRPr="00A4062E">
        <w:t>.</w:t>
      </w:r>
    </w:p>
    <w:p w:rsidR="00C54581" w:rsidRPr="00A4062E" w:rsidRDefault="00C54581" w:rsidP="00A4062E">
      <w:pPr>
        <w:pStyle w:val="BodyText"/>
      </w:pPr>
      <w:r w:rsidRPr="00A4062E">
        <w:t xml:space="preserve">Growth in expenditure on the DSP can be divided into three distinct </w:t>
      </w:r>
      <w:r w:rsidR="00E72B8C" w:rsidRPr="00A4062E">
        <w:t>periods (</w:t>
      </w:r>
      <w:r w:rsidR="00950895" w:rsidRPr="00A4062E">
        <w:fldChar w:fldCharType="begin"/>
      </w:r>
      <w:r w:rsidR="00950895" w:rsidRPr="00A4062E">
        <w:instrText xml:space="preserve"> REF _Ref500919902 \h </w:instrText>
      </w:r>
      <w:r w:rsidR="00A4062E" w:rsidRPr="00A4062E">
        <w:instrText xml:space="preserve"> \* MERGEFORMAT </w:instrText>
      </w:r>
      <w:r w:rsidR="00950895" w:rsidRPr="00A4062E">
        <w:fldChar w:fldCharType="separate"/>
      </w:r>
      <w:r w:rsidR="0036047A" w:rsidRPr="00950895">
        <w:t xml:space="preserve">Figure </w:t>
      </w:r>
      <w:r w:rsidR="0036047A">
        <w:t>2</w:t>
      </w:r>
      <w:r w:rsidR="0036047A" w:rsidRPr="00950895">
        <w:t>–</w:t>
      </w:r>
      <w:r w:rsidR="0036047A">
        <w:t>2</w:t>
      </w:r>
      <w:r w:rsidR="00950895" w:rsidRPr="00A4062E">
        <w:fldChar w:fldCharType="end"/>
      </w:r>
      <w:r w:rsidR="00E72B8C" w:rsidRPr="00A4062E">
        <w:t xml:space="preserve">). </w:t>
      </w:r>
      <w:r w:rsidR="00F94FD2" w:rsidRPr="00A4062E">
        <w:t xml:space="preserve"> </w:t>
      </w:r>
      <w:r w:rsidR="00E72B8C" w:rsidRPr="00A4062E">
        <w:t>F</w:t>
      </w:r>
      <w:r w:rsidRPr="00A4062E">
        <w:t>rom</w:t>
      </w:r>
      <w:r w:rsidR="004D01D3" w:rsidRPr="00A4062E">
        <w:t xml:space="preserve"> introduction of the payment in 1991</w:t>
      </w:r>
      <w:r w:rsidR="00541E34" w:rsidRPr="00A4062E">
        <w:t>–92 to 2007–</w:t>
      </w:r>
      <w:r w:rsidR="004D01D3" w:rsidRPr="00A4062E">
        <w:t>08, growth was relatively sta</w:t>
      </w:r>
      <w:r w:rsidR="00C20D7D" w:rsidRPr="00A4062E">
        <w:t>b</w:t>
      </w:r>
      <w:r w:rsidR="005E288F" w:rsidRPr="00A4062E">
        <w:t>le averaging 3.5</w:t>
      </w:r>
      <w:r w:rsidR="004D01D3" w:rsidRPr="00A4062E">
        <w:t xml:space="preserve"> per cent annually in real terms. </w:t>
      </w:r>
    </w:p>
    <w:p w:rsidR="0056259D" w:rsidRDefault="00950895" w:rsidP="00DB4564">
      <w:pPr>
        <w:pStyle w:val="Caption"/>
        <w:spacing w:before="120" w:after="0"/>
        <w:jc w:val="center"/>
      </w:pPr>
      <w:bookmarkStart w:id="32" w:name="_Ref500919902"/>
      <w:bookmarkStart w:id="33" w:name="_Toc506214864"/>
      <w:bookmarkStart w:id="34" w:name="_Toc505928618"/>
      <w:r w:rsidRPr="00950895">
        <w:lastRenderedPageBreak/>
        <w:t xml:space="preserve">Figure </w:t>
      </w:r>
      <w:fldSimple w:instr=" STYLEREF 1 \s ">
        <w:r w:rsidR="0036047A">
          <w:rPr>
            <w:noProof/>
          </w:rPr>
          <w:t>2</w:t>
        </w:r>
      </w:fldSimple>
      <w:r w:rsidRPr="00950895">
        <w:t>–</w:t>
      </w:r>
      <w:fldSimple w:instr=" SEQ Figure \* ARABIC \s 1 ">
        <w:r w:rsidR="0036047A">
          <w:rPr>
            <w:noProof/>
          </w:rPr>
          <w:t>2</w:t>
        </w:r>
      </w:fldSimple>
      <w:bookmarkEnd w:id="32"/>
      <w:r w:rsidRPr="00950895">
        <w:t xml:space="preserve">: </w:t>
      </w:r>
      <w:r w:rsidR="00CA256C">
        <w:t>D</w:t>
      </w:r>
      <w:r w:rsidR="00987D94">
        <w:t xml:space="preserve">isability </w:t>
      </w:r>
      <w:r w:rsidR="00CA256C">
        <w:t>S</w:t>
      </w:r>
      <w:r w:rsidR="00987D94">
        <w:t xml:space="preserve">upport </w:t>
      </w:r>
      <w:r w:rsidR="00CA256C">
        <w:t>P</w:t>
      </w:r>
      <w:r w:rsidR="00987D94">
        <w:t>ension</w:t>
      </w:r>
      <w:r w:rsidR="0041511F">
        <w:t xml:space="preserve"> </w:t>
      </w:r>
      <w:r w:rsidR="00AA1CCE">
        <w:t>E</w:t>
      </w:r>
      <w:r w:rsidR="0041511F">
        <w:t>xpenditure</w:t>
      </w:r>
      <w:bookmarkEnd w:id="33"/>
      <w:r w:rsidR="007A5769">
        <w:t xml:space="preserve"> </w:t>
      </w:r>
      <w:bookmarkEnd w:id="34"/>
    </w:p>
    <w:p w:rsidR="00950895" w:rsidRPr="00851D59" w:rsidRDefault="0056259D" w:rsidP="0056259D">
      <w:pPr>
        <w:pStyle w:val="Caption4"/>
        <w:rPr>
          <w:b/>
        </w:rPr>
      </w:pPr>
      <w:r>
        <w:t>A</w:t>
      </w:r>
      <w:r w:rsidR="00DB4564">
        <w:t>nnual real growth</w:t>
      </w:r>
    </w:p>
    <w:p w:rsidR="00393E6D" w:rsidRDefault="00CF28F7" w:rsidP="00CF28F7">
      <w:pPr>
        <w:pStyle w:val="BodyText"/>
        <w:spacing w:before="0" w:after="0" w:line="240" w:lineRule="auto"/>
        <w:jc w:val="center"/>
        <w:rPr>
          <w:rFonts w:ascii="Arial" w:hAnsi="Arial" w:cs="Arial"/>
          <w:sz w:val="20"/>
        </w:rPr>
      </w:pPr>
      <w:r>
        <w:rPr>
          <w:rFonts w:ascii="Arial" w:hAnsi="Arial" w:cs="Arial"/>
          <w:noProof/>
          <w:sz w:val="20"/>
          <w:lang w:eastAsia="en-AU"/>
        </w:rPr>
        <w:drawing>
          <wp:inline distT="0" distB="0" distL="0" distR="0" wp14:anchorId="2E537C35" wp14:editId="53D0BDFE">
            <wp:extent cx="5358765" cy="306641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358765" cy="3066415"/>
                    </a:xfrm>
                    <a:prstGeom prst="rect">
                      <a:avLst/>
                    </a:prstGeom>
                    <a:noFill/>
                  </pic:spPr>
                </pic:pic>
              </a:graphicData>
            </a:graphic>
          </wp:inline>
        </w:drawing>
      </w:r>
    </w:p>
    <w:p w:rsidR="00C20D7D" w:rsidRPr="00840903" w:rsidRDefault="00C20D7D" w:rsidP="00F33957">
      <w:pPr>
        <w:pStyle w:val="Source1"/>
      </w:pPr>
      <w:r w:rsidRPr="00840903">
        <w:t>Source: PBO analysis</w:t>
      </w:r>
    </w:p>
    <w:p w:rsidR="004D01D3" w:rsidRPr="00BB7725" w:rsidRDefault="004D01D3" w:rsidP="006F15D5">
      <w:pPr>
        <w:pStyle w:val="BodyText17ptAbove"/>
      </w:pPr>
      <w:r w:rsidRPr="00BB7725">
        <w:t>In 2008</w:t>
      </w:r>
      <w:r w:rsidR="00E21C0A" w:rsidRPr="00BB7725">
        <w:t>–</w:t>
      </w:r>
      <w:r w:rsidRPr="00BB7725">
        <w:t>09 growth in</w:t>
      </w:r>
      <w:r w:rsidR="005E288F" w:rsidRPr="00BB7725">
        <w:t>creased sharply and averaged 8.7</w:t>
      </w:r>
      <w:r w:rsidRPr="00BB7725">
        <w:t xml:space="preserve"> per cent in real terms over the four years to 2011</w:t>
      </w:r>
      <w:r w:rsidR="007E75BC" w:rsidRPr="00BB7725">
        <w:t>–</w:t>
      </w:r>
      <w:r w:rsidRPr="00BB7725">
        <w:t>12.</w:t>
      </w:r>
      <w:r w:rsidR="0012772D">
        <w:t xml:space="preserve"> </w:t>
      </w:r>
      <w:r w:rsidRPr="00BB7725">
        <w:t xml:space="preserve"> This period coincided with softer labour market condition</w:t>
      </w:r>
      <w:r w:rsidR="00E72B8C" w:rsidRPr="00BB7725">
        <w:t>s</w:t>
      </w:r>
      <w:r w:rsidRPr="00BB7725">
        <w:t xml:space="preserve"> due to the global financial crisis</w:t>
      </w:r>
      <w:r w:rsidR="006704DE" w:rsidRPr="00BB7725">
        <w:t xml:space="preserve"> </w:t>
      </w:r>
      <w:r w:rsidR="00F35F0B" w:rsidRPr="00BB7725">
        <w:t>(GFC)</w:t>
      </w:r>
      <w:r w:rsidR="00CA1F7D" w:rsidRPr="00BB7725">
        <w:t xml:space="preserve">. </w:t>
      </w:r>
      <w:r w:rsidR="0012772D">
        <w:t xml:space="preserve"> </w:t>
      </w:r>
      <w:r w:rsidR="00CA1F7D" w:rsidRPr="00BB7725">
        <w:t>T</w:t>
      </w:r>
      <w:r w:rsidRPr="00BB7725">
        <w:t>he single base pension rate</w:t>
      </w:r>
      <w:r w:rsidR="00CA1F7D" w:rsidRPr="00BB7725">
        <w:t xml:space="preserve"> was also increased</w:t>
      </w:r>
      <w:r w:rsidRPr="00BB7725">
        <w:t xml:space="preserve"> from 25 pe</w:t>
      </w:r>
      <w:r w:rsidR="007E75BC" w:rsidRPr="00BB7725">
        <w:t>r cent to 27.7 per cent of Male Total Average Weekly Earnings (MTAWE) in 2009–</w:t>
      </w:r>
      <w:r w:rsidR="00CA1F7D" w:rsidRPr="00BB7725">
        <w:t>10</w:t>
      </w:r>
      <w:r w:rsidRPr="00BB7725">
        <w:t xml:space="preserve">.  </w:t>
      </w:r>
    </w:p>
    <w:p w:rsidR="00BB7725" w:rsidRPr="00D0033E" w:rsidRDefault="00452E5C" w:rsidP="00BB7725">
      <w:pPr>
        <w:pStyle w:val="BodyText"/>
      </w:pPr>
      <w:r>
        <w:t xml:space="preserve">From </w:t>
      </w:r>
      <w:r w:rsidR="001D2D9C">
        <w:t>2012</w:t>
      </w:r>
      <w:r w:rsidR="009B6587">
        <w:t>–</w:t>
      </w:r>
      <w:r w:rsidR="001D2D9C">
        <w:t xml:space="preserve">13 growth in DSP expenditure </w:t>
      </w:r>
      <w:r w:rsidR="006704DE">
        <w:t>slowed</w:t>
      </w:r>
      <w:r w:rsidR="001D2D9C">
        <w:t xml:space="preserve"> sharply, averaging </w:t>
      </w:r>
      <w:r w:rsidR="005E288F">
        <w:t>0.2</w:t>
      </w:r>
      <w:r w:rsidR="00E72B8C">
        <w:t xml:space="preserve"> per cent annually </w:t>
      </w:r>
      <w:r w:rsidR="00E81260">
        <w:t xml:space="preserve">in real terms </w:t>
      </w:r>
      <w:r w:rsidR="00E72B8C">
        <w:t>over the five years to 2016</w:t>
      </w:r>
      <w:r w:rsidR="009B6587">
        <w:t>–</w:t>
      </w:r>
      <w:r w:rsidR="00E72B8C">
        <w:t>17.</w:t>
      </w:r>
      <w:r w:rsidR="001D2D9C">
        <w:t xml:space="preserve">  This has been driven by </w:t>
      </w:r>
      <w:r w:rsidR="00C20D7D">
        <w:t xml:space="preserve">significant changes </w:t>
      </w:r>
      <w:r w:rsidR="00E72B8C">
        <w:t>to assessment processes</w:t>
      </w:r>
      <w:r w:rsidR="00AE53F0">
        <w:t>,</w:t>
      </w:r>
      <w:r w:rsidR="00E72B8C">
        <w:t xml:space="preserve"> </w:t>
      </w:r>
      <w:r w:rsidR="00AE53F0">
        <w:t>particularly</w:t>
      </w:r>
      <w:r w:rsidR="00C20D7D">
        <w:t xml:space="preserve"> the introduction of n</w:t>
      </w:r>
      <w:r w:rsidR="00D305D5">
        <w:t>ew assessment tables for work</w:t>
      </w:r>
      <w:r w:rsidR="00D305D5">
        <w:noBreakHyphen/>
      </w:r>
      <w:r w:rsidR="00C20D7D">
        <w:t xml:space="preserve">related </w:t>
      </w:r>
      <w:r w:rsidR="00C20D7D" w:rsidRPr="006C2178">
        <w:t>impairment</w:t>
      </w:r>
      <w:r w:rsidR="00D0033E" w:rsidRPr="006C2178">
        <w:t xml:space="preserve"> which took effect from 1 January 2012</w:t>
      </w:r>
      <w:r w:rsidR="00C20D7D" w:rsidRPr="006C2178">
        <w:t xml:space="preserve"> and additional job capacity assessment</w:t>
      </w:r>
      <w:r w:rsidR="00D463A5" w:rsidRPr="006C2178">
        <w:t>s of</w:t>
      </w:r>
      <w:r w:rsidR="00D463A5">
        <w:t xml:space="preserve"> </w:t>
      </w:r>
      <w:r w:rsidR="00D463A5" w:rsidRPr="00D0033E">
        <w:t xml:space="preserve">new applicants </w:t>
      </w:r>
      <w:r w:rsidR="00B80094" w:rsidRPr="00D0033E">
        <w:t xml:space="preserve">which </w:t>
      </w:r>
      <w:r w:rsidR="00D463A5" w:rsidRPr="00D0033E">
        <w:t>commenced</w:t>
      </w:r>
      <w:r w:rsidR="00C20D7D" w:rsidRPr="00D0033E">
        <w:t xml:space="preserve"> in 2011</w:t>
      </w:r>
      <w:r w:rsidR="009B6587" w:rsidRPr="00D0033E">
        <w:t>–</w:t>
      </w:r>
      <w:r w:rsidR="00C20D7D" w:rsidRPr="00D0033E">
        <w:t>12.</w:t>
      </w:r>
      <w:r w:rsidR="00C20D7D" w:rsidRPr="00D0033E">
        <w:rPr>
          <w:rStyle w:val="FootnoteReference"/>
        </w:rPr>
        <w:footnoteReference w:id="6"/>
      </w:r>
      <w:r w:rsidR="00AE53F0" w:rsidRPr="0041511F">
        <w:rPr>
          <w:vertAlign w:val="superscript"/>
        </w:rPr>
        <w:t>,</w:t>
      </w:r>
      <w:r w:rsidR="00AE53F0" w:rsidRPr="00D0033E">
        <w:rPr>
          <w:rStyle w:val="FootnoteReference"/>
        </w:rPr>
        <w:footnoteReference w:id="7"/>
      </w:r>
      <w:r w:rsidR="00C20D7D" w:rsidRPr="00D0033E">
        <w:t xml:space="preserve">  </w:t>
      </w:r>
      <w:r w:rsidR="00C47628" w:rsidRPr="00D0033E">
        <w:t xml:space="preserve">The introduction of new assessment tables and </w:t>
      </w:r>
      <w:r w:rsidR="00475DB2">
        <w:t>processes has effectively</w:t>
      </w:r>
      <w:r w:rsidR="00C47628" w:rsidRPr="00D0033E">
        <w:t xml:space="preserve"> resulted in a structural break over the historical period, as the regime for assess</w:t>
      </w:r>
      <w:r w:rsidR="001859D0">
        <w:t xml:space="preserve">ing eligibility for the DSP </w:t>
      </w:r>
      <w:r w:rsidR="00C47628" w:rsidRPr="00D0033E">
        <w:t xml:space="preserve">fundamentally changed from </w:t>
      </w:r>
      <w:r w:rsidR="00D0033E">
        <w:t>2011–12.</w:t>
      </w:r>
    </w:p>
    <w:p w:rsidR="00C20D7D" w:rsidRPr="00C20D7D" w:rsidRDefault="00B63E46" w:rsidP="00C20D7D">
      <w:pPr>
        <w:pStyle w:val="BodyText"/>
      </w:pPr>
      <w:r w:rsidRPr="00D0033E">
        <w:fldChar w:fldCharType="begin"/>
      </w:r>
      <w:r w:rsidRPr="00D0033E">
        <w:instrText xml:space="preserve"> REF _Ref500920503 \h </w:instrText>
      </w:r>
      <w:r w:rsidR="00D0033E">
        <w:instrText xml:space="preserve"> \* MERGEFORMAT </w:instrText>
      </w:r>
      <w:r w:rsidRPr="00D0033E">
        <w:fldChar w:fldCharType="separate"/>
      </w:r>
      <w:r w:rsidR="0036047A" w:rsidRPr="0036047A">
        <w:t xml:space="preserve">Figure </w:t>
      </w:r>
      <w:r w:rsidR="0036047A" w:rsidRPr="0036047A">
        <w:rPr>
          <w:noProof/>
        </w:rPr>
        <w:t>2</w:t>
      </w:r>
      <w:r w:rsidR="0036047A" w:rsidRPr="0036047A">
        <w:t>–</w:t>
      </w:r>
      <w:r w:rsidR="0036047A" w:rsidRPr="0036047A">
        <w:rPr>
          <w:noProof/>
        </w:rPr>
        <w:t>3</w:t>
      </w:r>
      <w:r w:rsidRPr="00D0033E">
        <w:fldChar w:fldCharType="end"/>
      </w:r>
      <w:r w:rsidRPr="00D0033E">
        <w:t xml:space="preserve"> </w:t>
      </w:r>
      <w:r w:rsidR="005B63CF" w:rsidRPr="00D0033E">
        <w:t xml:space="preserve">shows </w:t>
      </w:r>
      <w:r w:rsidR="005A15C0" w:rsidRPr="00D0033E">
        <w:t xml:space="preserve">how changes in </w:t>
      </w:r>
      <w:r w:rsidR="00707C61" w:rsidRPr="00D0033E">
        <w:t xml:space="preserve">recipient numbers </w:t>
      </w:r>
      <w:r w:rsidR="00E808C4" w:rsidRPr="00D0033E">
        <w:t>and the payment rate</w:t>
      </w:r>
      <w:r w:rsidR="00707C61" w:rsidRPr="00D0033E">
        <w:t xml:space="preserve"> </w:t>
      </w:r>
      <w:r w:rsidR="00AB66D6" w:rsidRPr="00D0033E">
        <w:t xml:space="preserve">have contributed to growth in </w:t>
      </w:r>
      <w:r w:rsidR="005A15C0" w:rsidRPr="00D0033E">
        <w:t xml:space="preserve">DSP </w:t>
      </w:r>
      <w:r w:rsidR="00B80094" w:rsidRPr="00D0033E">
        <w:t>expenditure</w:t>
      </w:r>
      <w:r w:rsidR="00AE53F0">
        <w:t xml:space="preserve"> over time</w:t>
      </w:r>
      <w:r w:rsidR="005A15C0" w:rsidRPr="00D0033E">
        <w:t>.</w:t>
      </w:r>
      <w:r w:rsidR="005A15C0">
        <w:t xml:space="preserve"> </w:t>
      </w:r>
    </w:p>
    <w:p w:rsidR="00AE53F0" w:rsidRPr="004623C5" w:rsidRDefault="00246261" w:rsidP="0041511F">
      <w:pPr>
        <w:pStyle w:val="Caption1"/>
        <w:rPr>
          <w:sz w:val="20"/>
          <w:szCs w:val="20"/>
        </w:rPr>
      </w:pPr>
      <w:bookmarkStart w:id="35" w:name="_Ref500920503"/>
      <w:bookmarkStart w:id="36" w:name="_Toc505927962"/>
      <w:bookmarkStart w:id="37" w:name="_Toc505928619"/>
      <w:bookmarkStart w:id="38" w:name="_Toc506214865"/>
      <w:r w:rsidRPr="004623C5">
        <w:rPr>
          <w:sz w:val="21"/>
          <w:szCs w:val="21"/>
        </w:rPr>
        <w:lastRenderedPageBreak/>
        <w:t xml:space="preserve">Figure </w:t>
      </w:r>
      <w:r w:rsidR="006A1716" w:rsidRPr="004623C5">
        <w:rPr>
          <w:sz w:val="21"/>
          <w:szCs w:val="21"/>
        </w:rPr>
        <w:fldChar w:fldCharType="begin"/>
      </w:r>
      <w:r w:rsidR="006A1716" w:rsidRPr="004623C5">
        <w:rPr>
          <w:sz w:val="21"/>
          <w:szCs w:val="21"/>
        </w:rPr>
        <w:instrText xml:space="preserve"> STYLEREF 1 \s </w:instrText>
      </w:r>
      <w:r w:rsidR="006A1716" w:rsidRPr="004623C5">
        <w:rPr>
          <w:sz w:val="21"/>
          <w:szCs w:val="21"/>
        </w:rPr>
        <w:fldChar w:fldCharType="separate"/>
      </w:r>
      <w:r w:rsidR="0036047A">
        <w:rPr>
          <w:noProof/>
          <w:sz w:val="21"/>
          <w:szCs w:val="21"/>
        </w:rPr>
        <w:t>2</w:t>
      </w:r>
      <w:r w:rsidR="006A1716" w:rsidRPr="004623C5">
        <w:rPr>
          <w:noProof/>
          <w:sz w:val="21"/>
          <w:szCs w:val="21"/>
        </w:rPr>
        <w:fldChar w:fldCharType="end"/>
      </w:r>
      <w:r w:rsidRPr="004623C5">
        <w:rPr>
          <w:sz w:val="21"/>
          <w:szCs w:val="21"/>
        </w:rPr>
        <w:t>–</w:t>
      </w:r>
      <w:r w:rsidR="006A1716" w:rsidRPr="004623C5">
        <w:rPr>
          <w:sz w:val="21"/>
          <w:szCs w:val="21"/>
        </w:rPr>
        <w:fldChar w:fldCharType="begin"/>
      </w:r>
      <w:r w:rsidR="006A1716" w:rsidRPr="004623C5">
        <w:rPr>
          <w:sz w:val="21"/>
          <w:szCs w:val="21"/>
        </w:rPr>
        <w:instrText xml:space="preserve"> SEQ Figure \* ARABIC \s 1 </w:instrText>
      </w:r>
      <w:r w:rsidR="006A1716" w:rsidRPr="004623C5">
        <w:rPr>
          <w:sz w:val="21"/>
          <w:szCs w:val="21"/>
        </w:rPr>
        <w:fldChar w:fldCharType="separate"/>
      </w:r>
      <w:r w:rsidR="0036047A">
        <w:rPr>
          <w:noProof/>
          <w:sz w:val="21"/>
          <w:szCs w:val="21"/>
        </w:rPr>
        <w:t>3</w:t>
      </w:r>
      <w:r w:rsidR="006A1716" w:rsidRPr="004623C5">
        <w:rPr>
          <w:noProof/>
          <w:sz w:val="21"/>
          <w:szCs w:val="21"/>
        </w:rPr>
        <w:fldChar w:fldCharType="end"/>
      </w:r>
      <w:bookmarkEnd w:id="35"/>
      <w:r w:rsidR="00000289" w:rsidRPr="004623C5">
        <w:rPr>
          <w:sz w:val="21"/>
          <w:szCs w:val="21"/>
        </w:rPr>
        <w:t xml:space="preserve">: </w:t>
      </w:r>
      <w:r w:rsidR="00C47628" w:rsidRPr="004623C5">
        <w:rPr>
          <w:sz w:val="21"/>
          <w:szCs w:val="21"/>
        </w:rPr>
        <w:t>Disability Support Pension</w:t>
      </w:r>
      <w:r w:rsidR="00000289" w:rsidRPr="004623C5">
        <w:rPr>
          <w:sz w:val="21"/>
          <w:szCs w:val="21"/>
        </w:rPr>
        <w:t xml:space="preserve"> </w:t>
      </w:r>
      <w:r w:rsidR="00AA1CCE">
        <w:rPr>
          <w:sz w:val="21"/>
          <w:szCs w:val="21"/>
        </w:rPr>
        <w:t>E</w:t>
      </w:r>
      <w:r w:rsidR="00000289" w:rsidRPr="004623C5">
        <w:rPr>
          <w:sz w:val="21"/>
          <w:szCs w:val="21"/>
        </w:rPr>
        <w:t>xpenditure</w:t>
      </w:r>
      <w:bookmarkEnd w:id="36"/>
      <w:bookmarkEnd w:id="37"/>
      <w:bookmarkEnd w:id="38"/>
    </w:p>
    <w:p w:rsidR="00246261" w:rsidRPr="004623C5" w:rsidRDefault="00AE53F0" w:rsidP="004623C5">
      <w:pPr>
        <w:pStyle w:val="Caption4"/>
        <w:rPr>
          <w:sz w:val="14"/>
          <w:szCs w:val="14"/>
        </w:rPr>
      </w:pPr>
      <w:r w:rsidRPr="004623C5">
        <w:t>C</w:t>
      </w:r>
      <w:r w:rsidR="0012772D" w:rsidRPr="004623C5">
        <w:t xml:space="preserve">umulative </w:t>
      </w:r>
      <w:r w:rsidR="00000289" w:rsidRPr="004623C5">
        <w:t>contributions to growth since 1991–</w:t>
      </w:r>
      <w:r w:rsidR="00C47628" w:rsidRPr="004623C5">
        <w:t>9</w:t>
      </w:r>
      <w:r w:rsidR="00526248">
        <w:t>2</w:t>
      </w:r>
    </w:p>
    <w:p w:rsidR="009409E0" w:rsidRDefault="00CD59E7" w:rsidP="00CD59E7">
      <w:pPr>
        <w:pStyle w:val="BodyText"/>
        <w:keepNext/>
        <w:keepLines/>
        <w:spacing w:before="0" w:after="0" w:line="240" w:lineRule="auto"/>
        <w:jc w:val="center"/>
        <w:rPr>
          <w:color w:val="788184" w:themeColor="background2"/>
          <w:spacing w:val="0"/>
          <w:sz w:val="20"/>
          <w:szCs w:val="14"/>
        </w:rPr>
      </w:pPr>
      <w:r>
        <w:rPr>
          <w:noProof/>
          <w:color w:val="788184" w:themeColor="background2"/>
          <w:spacing w:val="0"/>
          <w:sz w:val="20"/>
          <w:szCs w:val="14"/>
          <w:lang w:eastAsia="en-AU"/>
        </w:rPr>
        <w:drawing>
          <wp:inline distT="0" distB="0" distL="0" distR="0" wp14:anchorId="0A1590B8" wp14:editId="785D9558">
            <wp:extent cx="5401310" cy="3060700"/>
            <wp:effectExtent l="0" t="0" r="889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1310" cy="3060700"/>
                    </a:xfrm>
                    <a:prstGeom prst="rect">
                      <a:avLst/>
                    </a:prstGeom>
                    <a:noFill/>
                  </pic:spPr>
                </pic:pic>
              </a:graphicData>
            </a:graphic>
          </wp:inline>
        </w:drawing>
      </w:r>
    </w:p>
    <w:p w:rsidR="00DE5649" w:rsidRPr="00F33957" w:rsidRDefault="002C04B8" w:rsidP="00F33957">
      <w:pPr>
        <w:pStyle w:val="Source1"/>
      </w:pPr>
      <w:r w:rsidRPr="000F7328">
        <w:t>Source: PBO analysis</w:t>
      </w:r>
    </w:p>
    <w:p w:rsidR="00411B4E" w:rsidRDefault="00F73236" w:rsidP="006F15D5">
      <w:pPr>
        <w:pStyle w:val="BodyText17ptAbove"/>
      </w:pPr>
      <w:r>
        <w:t>From 1</w:t>
      </w:r>
      <w:r w:rsidR="008737FE">
        <w:t>991</w:t>
      </w:r>
      <w:r w:rsidR="00E5080A">
        <w:t>–92 to 2016–</w:t>
      </w:r>
      <w:r w:rsidR="008737FE">
        <w:t>17, expen</w:t>
      </w:r>
      <w:r w:rsidR="002E3DFB">
        <w:t xml:space="preserve">diture on the DSP has grown by </w:t>
      </w:r>
      <w:r w:rsidR="00897632">
        <w:t>145</w:t>
      </w:r>
      <w:r w:rsidR="008737FE">
        <w:t xml:space="preserve"> pe</w:t>
      </w:r>
      <w:r w:rsidR="00CC6B85">
        <w:t>r cent in real terms</w:t>
      </w:r>
      <w:r w:rsidR="003334EB">
        <w:t xml:space="preserve">. </w:t>
      </w:r>
      <w:r w:rsidR="0012772D">
        <w:t xml:space="preserve"> </w:t>
      </w:r>
      <w:r w:rsidR="008737FE">
        <w:t>Most of this growth has been driven by</w:t>
      </w:r>
      <w:r w:rsidR="0012772D">
        <w:t xml:space="preserve"> increased</w:t>
      </w:r>
      <w:r w:rsidR="008737FE">
        <w:t xml:space="preserve"> recipient numbers</w:t>
      </w:r>
      <w:r w:rsidR="00E808C4">
        <w:t>,</w:t>
      </w:r>
      <w:r w:rsidR="0095467D">
        <w:t xml:space="preserve"> </w:t>
      </w:r>
      <w:r w:rsidR="008737FE">
        <w:t>which have contracted in recent years</w:t>
      </w:r>
      <w:r w:rsidR="0095467D">
        <w:t>.</w:t>
      </w:r>
      <w:r w:rsidR="0012772D">
        <w:t xml:space="preserve"> </w:t>
      </w:r>
      <w:r w:rsidR="0095467D">
        <w:t xml:space="preserve"> </w:t>
      </w:r>
      <w:r w:rsidR="00411B4E">
        <w:t xml:space="preserve">Trends in recipient numbers </w:t>
      </w:r>
      <w:r w:rsidR="005A15C0">
        <w:t xml:space="preserve">and payment rates </w:t>
      </w:r>
      <w:r w:rsidR="00411B4E">
        <w:t>are explored in more detail in the following section</w:t>
      </w:r>
      <w:r w:rsidR="00CA14C6">
        <w:t>s</w:t>
      </w:r>
      <w:r w:rsidR="00411B4E">
        <w:t xml:space="preserve">. </w:t>
      </w:r>
    </w:p>
    <w:p w:rsidR="006D5399" w:rsidRDefault="007E4ADF" w:rsidP="008D1CEC">
      <w:pPr>
        <w:pStyle w:val="Heading2"/>
      </w:pPr>
      <w:bookmarkStart w:id="39" w:name="_Toc495849176"/>
      <w:bookmarkStart w:id="40" w:name="_Toc505928130"/>
      <w:bookmarkStart w:id="41" w:name="_Toc505928396"/>
      <w:bookmarkStart w:id="42" w:name="_Toc506277158"/>
      <w:r>
        <w:t>Recipients</w:t>
      </w:r>
      <w:bookmarkStart w:id="43" w:name="_Toc495073212"/>
      <w:bookmarkStart w:id="44" w:name="_Toc495580906"/>
      <w:bookmarkEnd w:id="39"/>
      <w:bookmarkEnd w:id="40"/>
      <w:bookmarkEnd w:id="41"/>
      <w:bookmarkEnd w:id="42"/>
    </w:p>
    <w:p w:rsidR="00FB07F3" w:rsidRDefault="00457681" w:rsidP="00CF1B12">
      <w:pPr>
        <w:pStyle w:val="BodyText"/>
        <w:rPr>
          <w:rStyle w:val="BodyTextChar"/>
        </w:rPr>
      </w:pPr>
      <w:r>
        <w:t>As highlighted above, g</w:t>
      </w:r>
      <w:r w:rsidR="007D643A">
        <w:t xml:space="preserve">rowth in the number of people on the DSP has been </w:t>
      </w:r>
      <w:r w:rsidR="00970A91">
        <w:t xml:space="preserve">the key driver of </w:t>
      </w:r>
      <w:r w:rsidR="000E692E" w:rsidRPr="0001034F">
        <w:t xml:space="preserve">DSP expenditure </w:t>
      </w:r>
      <w:r w:rsidR="00970A91" w:rsidRPr="0001034F">
        <w:t>growth.</w:t>
      </w:r>
      <w:r w:rsidR="00256B44">
        <w:t xml:space="preserve"> </w:t>
      </w:r>
      <w:r w:rsidR="00970A91" w:rsidRPr="0001034F">
        <w:t xml:space="preserve"> </w:t>
      </w:r>
      <w:r w:rsidR="001D21C6" w:rsidRPr="0001034F">
        <w:fldChar w:fldCharType="begin"/>
      </w:r>
      <w:r w:rsidR="001D21C6" w:rsidRPr="0001034F">
        <w:instrText xml:space="preserve"> REF _Ref504405581 \h </w:instrText>
      </w:r>
      <w:r w:rsidR="0001034F">
        <w:instrText xml:space="preserve"> \* MERGEFORMAT </w:instrText>
      </w:r>
      <w:r w:rsidR="001D21C6" w:rsidRPr="0001034F">
        <w:fldChar w:fldCharType="separate"/>
      </w:r>
      <w:r w:rsidR="0036047A" w:rsidRPr="00000289">
        <w:t xml:space="preserve">Figure </w:t>
      </w:r>
      <w:r w:rsidR="0036047A">
        <w:rPr>
          <w:noProof/>
        </w:rPr>
        <w:t>2</w:t>
      </w:r>
      <w:r w:rsidR="0036047A" w:rsidRPr="0036047A">
        <w:rPr>
          <w:rFonts w:cstheme="minorBidi"/>
        </w:rPr>
        <w:t>–</w:t>
      </w:r>
      <w:r w:rsidR="0036047A" w:rsidRPr="0036047A">
        <w:rPr>
          <w:rFonts w:cstheme="minorBidi"/>
          <w:noProof/>
        </w:rPr>
        <w:t>4</w:t>
      </w:r>
      <w:r w:rsidR="001D21C6" w:rsidRPr="0001034F">
        <w:fldChar w:fldCharType="end"/>
      </w:r>
      <w:r w:rsidR="001D21C6" w:rsidRPr="0001034F">
        <w:t xml:space="preserve"> </w:t>
      </w:r>
      <w:r w:rsidR="00EC2108" w:rsidRPr="0001034F">
        <w:t xml:space="preserve">shows the </w:t>
      </w:r>
      <w:r w:rsidR="00970A91" w:rsidRPr="0001034F">
        <w:t xml:space="preserve">number </w:t>
      </w:r>
      <w:r w:rsidR="00EC2108" w:rsidRPr="0001034F">
        <w:t xml:space="preserve">of </w:t>
      </w:r>
      <w:r w:rsidR="004B0399" w:rsidRPr="0001034F">
        <w:t xml:space="preserve">people on the </w:t>
      </w:r>
      <w:r w:rsidR="00AA4023" w:rsidRPr="0001034F">
        <w:t>DSP since the</w:t>
      </w:r>
      <w:r w:rsidR="00AA4023">
        <w:t xml:space="preserve"> pa</w:t>
      </w:r>
      <w:r w:rsidR="000E692E">
        <w:t xml:space="preserve">yment was introduced in </w:t>
      </w:r>
      <w:r w:rsidR="000E692E" w:rsidRPr="00504CFE">
        <w:t>1991</w:t>
      </w:r>
      <w:r w:rsidR="00EC2108" w:rsidRPr="00F35F0B">
        <w:t>.</w:t>
      </w:r>
      <w:r w:rsidR="00AB57A4">
        <w:t xml:space="preserve"> </w:t>
      </w:r>
      <w:r w:rsidR="00EC2108" w:rsidRPr="00F35F0B">
        <w:t xml:space="preserve"> </w:t>
      </w:r>
      <w:r w:rsidR="001D21C6">
        <w:fldChar w:fldCharType="begin"/>
      </w:r>
      <w:r w:rsidR="001D21C6">
        <w:instrText xml:space="preserve"> REF _Ref504405606 \h </w:instrText>
      </w:r>
      <w:r w:rsidR="001D21C6">
        <w:fldChar w:fldCharType="separate"/>
      </w:r>
      <w:r w:rsidR="0036047A" w:rsidRPr="00773751">
        <w:t xml:space="preserve">Figure </w:t>
      </w:r>
      <w:r w:rsidR="0036047A">
        <w:rPr>
          <w:noProof/>
        </w:rPr>
        <w:t>2</w:t>
      </w:r>
      <w:r w:rsidR="0036047A" w:rsidRPr="00773751">
        <w:t>–</w:t>
      </w:r>
      <w:r w:rsidR="0036047A">
        <w:rPr>
          <w:noProof/>
        </w:rPr>
        <w:t>5</w:t>
      </w:r>
      <w:r w:rsidR="001D21C6">
        <w:fldChar w:fldCharType="end"/>
      </w:r>
      <w:r w:rsidR="001D21C6">
        <w:t xml:space="preserve"> </w:t>
      </w:r>
      <w:r w:rsidR="00A54EAE" w:rsidRPr="00F35F0B">
        <w:rPr>
          <w:rStyle w:val="BodyTextChar"/>
        </w:rPr>
        <w:t>shows the</w:t>
      </w:r>
      <w:r w:rsidR="004B0399">
        <w:rPr>
          <w:rStyle w:val="BodyTextChar"/>
        </w:rPr>
        <w:t>se</w:t>
      </w:r>
      <w:r w:rsidR="00A54EAE" w:rsidRPr="00F35F0B">
        <w:rPr>
          <w:rStyle w:val="BodyTextChar"/>
        </w:rPr>
        <w:t xml:space="preserve"> recipients as a share of the </w:t>
      </w:r>
      <w:r w:rsidR="00965E1E">
        <w:rPr>
          <w:rStyle w:val="BodyTextChar"/>
        </w:rPr>
        <w:t xml:space="preserve">total </w:t>
      </w:r>
      <w:r w:rsidR="00A54EAE" w:rsidRPr="00F35F0B">
        <w:rPr>
          <w:rStyle w:val="BodyTextChar"/>
        </w:rPr>
        <w:t>working-age population to strip out the effect of population growth</w:t>
      </w:r>
      <w:r>
        <w:rPr>
          <w:rStyle w:val="BodyTextChar"/>
        </w:rPr>
        <w:t>.</w:t>
      </w:r>
      <w:r w:rsidR="00BC23ED" w:rsidRPr="00004478">
        <w:rPr>
          <w:rStyle w:val="FootnoteReference"/>
        </w:rPr>
        <w:footnoteReference w:id="8"/>
      </w:r>
    </w:p>
    <w:p w:rsidR="00256B44" w:rsidRPr="005B1932" w:rsidRDefault="005B1932" w:rsidP="00CF1B12">
      <w:pPr>
        <w:pStyle w:val="BodyText"/>
        <w:rPr>
          <w:rStyle w:val="BodyTextChar"/>
        </w:rPr>
      </w:pPr>
      <w:r w:rsidRPr="0017690F">
        <w:t>Both</w:t>
      </w:r>
      <w:r w:rsidR="00D37214">
        <w:t xml:space="preserve"> of</w:t>
      </w:r>
      <w:r w:rsidRPr="0017690F">
        <w:t xml:space="preserve"> these figures illustrate that from</w:t>
      </w:r>
      <w:r w:rsidR="00D37214">
        <w:t xml:space="preserve"> the</w:t>
      </w:r>
      <w:r w:rsidRPr="0017690F">
        <w:t xml:space="preserve"> introduction of the pa</w:t>
      </w:r>
      <w:r w:rsidR="00AC5F97">
        <w:t>yment up until the mid</w:t>
      </w:r>
      <w:r w:rsidR="00AC5F97">
        <w:noBreakHyphen/>
      </w:r>
      <w:r w:rsidRPr="0017690F">
        <w:t>2000s, growth in the number of people on the DSP was relatively stable and strong.</w:t>
      </w:r>
      <w:r w:rsidRPr="0017690F">
        <w:rPr>
          <w:rStyle w:val="FootnoteReference"/>
        </w:rPr>
        <w:footnoteReference w:id="9"/>
      </w:r>
      <w:r w:rsidRPr="0017690F">
        <w:rPr>
          <w:rStyle w:val="BodyTextChar"/>
        </w:rPr>
        <w:t xml:space="preserve">  There were increases in the number of both </w:t>
      </w:r>
      <w:r>
        <w:rPr>
          <w:rStyle w:val="BodyTextChar"/>
        </w:rPr>
        <w:t>men and women on the DSP over this period.  S</w:t>
      </w:r>
      <w:r w:rsidRPr="0017690F">
        <w:rPr>
          <w:rStyle w:val="BodyTextChar"/>
        </w:rPr>
        <w:t>trong growth in the number of women receiving the payment</w:t>
      </w:r>
      <w:r>
        <w:rPr>
          <w:rStyle w:val="BodyTextChar"/>
        </w:rPr>
        <w:t xml:space="preserve"> was</w:t>
      </w:r>
      <w:r w:rsidRPr="0017690F">
        <w:rPr>
          <w:rStyle w:val="BodyTextChar"/>
        </w:rPr>
        <w:t xml:space="preserve"> influenced by the progressive increase in the Age Pension eligibility age for women from 60 to 65, which commenced in 1995 and finished in 2013. This resulted in the number of women on the DSP within this age group increasing by </w:t>
      </w:r>
      <w:r w:rsidR="00A26233">
        <w:rPr>
          <w:rStyle w:val="BodyTextChar"/>
        </w:rPr>
        <w:t>90</w:t>
      </w:r>
      <w:r w:rsidRPr="0017690F">
        <w:rPr>
          <w:rStyle w:val="BodyTextChar"/>
        </w:rPr>
        <w:t>,000 over the period.</w:t>
      </w:r>
      <w:r w:rsidRPr="0017690F">
        <w:rPr>
          <w:rStyle w:val="FootnoteReference"/>
        </w:rPr>
        <w:footnoteReference w:id="10"/>
      </w:r>
      <w:r w:rsidRPr="0017690F">
        <w:rPr>
          <w:rStyle w:val="BodyTextChar"/>
          <w:vertAlign w:val="superscript"/>
        </w:rPr>
        <w:t xml:space="preserve"> </w:t>
      </w:r>
      <w:r w:rsidRPr="0017690F">
        <w:rPr>
          <w:rStyle w:val="BodyTextChar"/>
        </w:rPr>
        <w:t xml:space="preserve"> Growth in the number of men on the DSP over this period was largely comprised of men with physical impairments such as musculoskeletal conditions and aged between 50 and 59.</w:t>
      </w:r>
    </w:p>
    <w:tbl>
      <w:tblPr>
        <w:tblStyle w:val="TableGrid"/>
        <w:tblW w:w="8640" w:type="dxa"/>
        <w:tblLayout w:type="fixed"/>
        <w:tblLook w:val="04A0" w:firstRow="1" w:lastRow="0" w:firstColumn="1" w:lastColumn="0" w:noHBand="0" w:noVBand="1"/>
      </w:tblPr>
      <w:tblGrid>
        <w:gridCol w:w="4320"/>
        <w:gridCol w:w="4320"/>
      </w:tblGrid>
      <w:tr w:rsidR="00B259C5" w:rsidRPr="00504CFE" w:rsidTr="009D6D5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shd w:val="clear" w:color="auto" w:fill="auto"/>
          </w:tcPr>
          <w:p w:rsidR="00244381" w:rsidRPr="00AA39B4" w:rsidRDefault="00B259C5" w:rsidP="00CD59E7">
            <w:pPr>
              <w:pStyle w:val="Caption1"/>
              <w:spacing w:before="0"/>
              <w:rPr>
                <w:rFonts w:eastAsiaTheme="minorHAnsi"/>
                <w:lang w:eastAsia="en-US"/>
              </w:rPr>
            </w:pPr>
            <w:bookmarkStart w:id="45" w:name="_Ref504405581"/>
            <w:bookmarkStart w:id="46" w:name="_Toc505928620"/>
            <w:bookmarkStart w:id="47" w:name="_Toc506214866"/>
            <w:r w:rsidRPr="00000289">
              <w:lastRenderedPageBreak/>
              <w:t xml:space="preserve">Figure </w:t>
            </w:r>
            <w:fldSimple w:instr=" STYLEREF 1 \s ">
              <w:r w:rsidR="0036047A">
                <w:rPr>
                  <w:noProof/>
                </w:rPr>
                <w:t>2</w:t>
              </w:r>
            </w:fldSimple>
            <w:r w:rsidRPr="00000289">
              <w:rPr>
                <w:rFonts w:eastAsiaTheme="minorHAnsi"/>
                <w:lang w:eastAsia="en-US"/>
              </w:rPr>
              <w:t>–</w:t>
            </w:r>
            <w:r w:rsidRPr="00000289">
              <w:fldChar w:fldCharType="begin"/>
            </w:r>
            <w:r w:rsidRPr="00000289">
              <w:rPr>
                <w:rFonts w:eastAsiaTheme="minorHAnsi"/>
                <w:lang w:eastAsia="en-US"/>
              </w:rPr>
              <w:instrText xml:space="preserve"> SEQ Figure \* ARABIC \s 1 </w:instrText>
            </w:r>
            <w:r w:rsidRPr="00000289">
              <w:fldChar w:fldCharType="separate"/>
            </w:r>
            <w:r w:rsidR="0036047A">
              <w:rPr>
                <w:rFonts w:eastAsiaTheme="minorHAnsi"/>
                <w:noProof/>
                <w:lang w:eastAsia="en-US"/>
              </w:rPr>
              <w:t>4</w:t>
            </w:r>
            <w:r w:rsidRPr="00000289">
              <w:rPr>
                <w:noProof/>
              </w:rPr>
              <w:fldChar w:fldCharType="end"/>
            </w:r>
            <w:bookmarkEnd w:id="45"/>
            <w:r w:rsidRPr="00000289">
              <w:rPr>
                <w:rFonts w:eastAsiaTheme="minorHAnsi"/>
                <w:lang w:eastAsia="en-US"/>
              </w:rPr>
              <w:t>:</w:t>
            </w:r>
            <w:r w:rsidR="00E83D12">
              <w:rPr>
                <w:rFonts w:eastAsiaTheme="minorHAnsi"/>
                <w:lang w:eastAsia="en-US"/>
              </w:rPr>
              <w:t xml:space="preserve"> </w:t>
            </w:r>
            <w:r w:rsidRPr="00000289">
              <w:rPr>
                <w:rFonts w:eastAsiaTheme="minorHAnsi"/>
                <w:lang w:eastAsia="en-US"/>
              </w:rPr>
              <w:t>D</w:t>
            </w:r>
            <w:r w:rsidR="007A5769">
              <w:rPr>
                <w:rFonts w:eastAsiaTheme="minorHAnsi"/>
                <w:lang w:eastAsia="en-US"/>
              </w:rPr>
              <w:t xml:space="preserve">isability Support </w:t>
            </w:r>
            <w:r w:rsidRPr="00773751">
              <w:rPr>
                <w:rFonts w:eastAsiaTheme="minorHAnsi"/>
              </w:rPr>
              <w:t>P</w:t>
            </w:r>
            <w:r w:rsidR="007A5769" w:rsidRPr="00773751">
              <w:rPr>
                <w:rFonts w:eastAsiaTheme="minorHAnsi"/>
              </w:rPr>
              <w:t>ension</w:t>
            </w:r>
            <w:r w:rsidR="00AA1CCE">
              <w:rPr>
                <w:rFonts w:eastAsiaTheme="minorHAnsi"/>
                <w:lang w:eastAsia="en-US"/>
              </w:rPr>
              <w:t xml:space="preserve"> R</w:t>
            </w:r>
            <w:r w:rsidRPr="00000289">
              <w:rPr>
                <w:rFonts w:eastAsiaTheme="minorHAnsi"/>
                <w:lang w:eastAsia="en-US"/>
              </w:rPr>
              <w:t>ecipients</w:t>
            </w:r>
            <w:bookmarkEnd w:id="46"/>
            <w:bookmarkEnd w:id="47"/>
          </w:p>
        </w:tc>
        <w:tc>
          <w:tcPr>
            <w:tcW w:w="4320" w:type="dxa"/>
            <w:shd w:val="clear" w:color="auto" w:fill="auto"/>
          </w:tcPr>
          <w:p w:rsidR="00CD59E7" w:rsidRDefault="00B259C5" w:rsidP="00773751">
            <w:pPr>
              <w:pStyle w:val="Caption1"/>
              <w:spacing w:before="0"/>
              <w:cnfStyle w:val="100000000000" w:firstRow="1" w:lastRow="0" w:firstColumn="0" w:lastColumn="0" w:oddVBand="0" w:evenVBand="0" w:oddHBand="0" w:evenHBand="0" w:firstRowFirstColumn="0" w:firstRowLastColumn="0" w:lastRowFirstColumn="0" w:lastRowLastColumn="0"/>
              <w:rPr>
                <w:rFonts w:eastAsiaTheme="minorHAnsi"/>
              </w:rPr>
            </w:pPr>
            <w:bookmarkStart w:id="48" w:name="_Ref504405606"/>
            <w:bookmarkStart w:id="49" w:name="_Toc505928621"/>
            <w:bookmarkStart w:id="50" w:name="_Toc506214867"/>
            <w:r w:rsidRPr="00773751">
              <w:t xml:space="preserve">Figure </w:t>
            </w:r>
            <w:fldSimple w:instr=" STYLEREF 1 \s ">
              <w:r w:rsidR="0036047A">
                <w:rPr>
                  <w:noProof/>
                </w:rPr>
                <w:t>2</w:t>
              </w:r>
            </w:fldSimple>
            <w:r w:rsidRPr="00773751">
              <w:rPr>
                <w:rFonts w:eastAsiaTheme="minorHAnsi"/>
              </w:rPr>
              <w:t>–</w:t>
            </w:r>
            <w:r w:rsidRPr="00773751">
              <w:fldChar w:fldCharType="begin"/>
            </w:r>
            <w:r w:rsidRPr="00773751">
              <w:rPr>
                <w:rFonts w:eastAsiaTheme="minorHAnsi"/>
              </w:rPr>
              <w:instrText xml:space="preserve"> SEQ Figure \* ARABIC \s 1 </w:instrText>
            </w:r>
            <w:r w:rsidRPr="00773751">
              <w:fldChar w:fldCharType="separate"/>
            </w:r>
            <w:r w:rsidR="0036047A">
              <w:rPr>
                <w:rFonts w:eastAsiaTheme="minorHAnsi"/>
                <w:noProof/>
              </w:rPr>
              <w:t>5</w:t>
            </w:r>
            <w:r w:rsidRPr="00773751">
              <w:fldChar w:fldCharType="end"/>
            </w:r>
            <w:bookmarkEnd w:id="48"/>
            <w:r w:rsidRPr="00773751">
              <w:rPr>
                <w:rFonts w:eastAsiaTheme="minorHAnsi"/>
              </w:rPr>
              <w:t>: D</w:t>
            </w:r>
            <w:r w:rsidR="007A5769" w:rsidRPr="00773751">
              <w:rPr>
                <w:rFonts w:eastAsiaTheme="minorHAnsi"/>
              </w:rPr>
              <w:t xml:space="preserve">isability </w:t>
            </w:r>
            <w:r w:rsidRPr="00773751">
              <w:rPr>
                <w:rFonts w:eastAsiaTheme="minorHAnsi"/>
              </w:rPr>
              <w:t>S</w:t>
            </w:r>
            <w:r w:rsidR="007A5769" w:rsidRPr="00773751">
              <w:rPr>
                <w:rFonts w:eastAsiaTheme="minorHAnsi"/>
              </w:rPr>
              <w:t xml:space="preserve">upport </w:t>
            </w:r>
            <w:r w:rsidRPr="00773751">
              <w:rPr>
                <w:rFonts w:eastAsiaTheme="minorHAnsi"/>
              </w:rPr>
              <w:t>P</w:t>
            </w:r>
            <w:r w:rsidR="007A5769" w:rsidRPr="00773751">
              <w:rPr>
                <w:rFonts w:eastAsiaTheme="minorHAnsi"/>
              </w:rPr>
              <w:t>ension</w:t>
            </w:r>
            <w:r w:rsidR="00AA1CCE">
              <w:rPr>
                <w:rFonts w:eastAsiaTheme="minorHAnsi"/>
              </w:rPr>
              <w:t xml:space="preserve"> R</w:t>
            </w:r>
            <w:r w:rsidRPr="00773751">
              <w:rPr>
                <w:rFonts w:eastAsiaTheme="minorHAnsi"/>
              </w:rPr>
              <w:t>ecipients</w:t>
            </w:r>
            <w:bookmarkEnd w:id="49"/>
            <w:bookmarkEnd w:id="50"/>
          </w:p>
          <w:p w:rsidR="00B259C5" w:rsidRPr="00773751" w:rsidRDefault="00CD59E7" w:rsidP="00773751">
            <w:pPr>
              <w:pStyle w:val="Caption1"/>
              <w:spacing w:before="0"/>
              <w:cnfStyle w:val="100000000000" w:firstRow="1" w:lastRow="0" w:firstColumn="0" w:lastColumn="0" w:oddVBand="0" w:evenVBand="0" w:oddHBand="0" w:evenHBand="0" w:firstRowFirstColumn="0" w:firstRowLastColumn="0" w:lastRowFirstColumn="0" w:lastRowLastColumn="0"/>
            </w:pPr>
            <w:r w:rsidRPr="007B095E">
              <w:rPr>
                <w:rStyle w:val="Caption4Char"/>
                <w:rFonts w:eastAsiaTheme="minorHAnsi"/>
                <w:b w:val="0"/>
              </w:rPr>
              <w:t>S</w:t>
            </w:r>
            <w:r w:rsidR="00B259C5" w:rsidRPr="007B095E">
              <w:rPr>
                <w:rStyle w:val="Caption4Char"/>
                <w:rFonts w:eastAsiaTheme="minorHAnsi"/>
                <w:b w:val="0"/>
              </w:rPr>
              <w:t xml:space="preserve">hare of </w:t>
            </w:r>
            <w:r w:rsidR="00D4558F" w:rsidRPr="007B095E">
              <w:rPr>
                <w:rStyle w:val="Caption4Char"/>
                <w:rFonts w:eastAsiaTheme="minorHAnsi"/>
                <w:b w:val="0"/>
              </w:rPr>
              <w:t xml:space="preserve">total </w:t>
            </w:r>
            <w:r w:rsidR="00B259C5" w:rsidRPr="007B095E">
              <w:rPr>
                <w:rStyle w:val="Caption4Char"/>
                <w:rFonts w:eastAsiaTheme="minorHAnsi"/>
                <w:b w:val="0"/>
              </w:rPr>
              <w:t>working</w:t>
            </w:r>
            <w:r w:rsidR="00457681" w:rsidRPr="007B095E">
              <w:rPr>
                <w:rStyle w:val="Caption4Char"/>
                <w:rFonts w:eastAsiaTheme="minorHAnsi"/>
                <w:b w:val="0"/>
              </w:rPr>
              <w:noBreakHyphen/>
            </w:r>
            <w:r w:rsidR="00B259C5" w:rsidRPr="007B095E">
              <w:rPr>
                <w:rStyle w:val="Caption4Char"/>
                <w:rFonts w:eastAsiaTheme="minorHAnsi"/>
                <w:b w:val="0"/>
              </w:rPr>
              <w:t>age population</w:t>
            </w:r>
          </w:p>
        </w:tc>
      </w:tr>
      <w:tr w:rsidR="00B259C5" w:rsidRPr="00504CFE" w:rsidTr="009D6D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shd w:val="clear" w:color="auto" w:fill="auto"/>
            <w:vAlign w:val="top"/>
          </w:tcPr>
          <w:p w:rsidR="00B259C5" w:rsidRPr="00504CFE" w:rsidRDefault="00CD59E7" w:rsidP="009D6D59">
            <w:pPr>
              <w:pStyle w:val="BodyText"/>
              <w:spacing w:before="0" w:after="0" w:line="240" w:lineRule="auto"/>
              <w:ind w:left="0"/>
              <w:jc w:val="center"/>
              <w:rPr>
                <w:noProof/>
              </w:rPr>
            </w:pPr>
            <w:r>
              <w:rPr>
                <w:noProof/>
              </w:rPr>
              <w:drawing>
                <wp:inline distT="0" distB="0" distL="0" distR="0" wp14:anchorId="3BA8C55C" wp14:editId="54A82DF7">
                  <wp:extent cx="2749550" cy="3060700"/>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49550" cy="3060700"/>
                          </a:xfrm>
                          <a:prstGeom prst="rect">
                            <a:avLst/>
                          </a:prstGeom>
                          <a:noFill/>
                        </pic:spPr>
                      </pic:pic>
                    </a:graphicData>
                  </a:graphic>
                </wp:inline>
              </w:drawing>
            </w:r>
          </w:p>
        </w:tc>
        <w:tc>
          <w:tcPr>
            <w:tcW w:w="4320" w:type="dxa"/>
            <w:shd w:val="clear" w:color="auto" w:fill="auto"/>
            <w:vAlign w:val="top"/>
          </w:tcPr>
          <w:p w:rsidR="00B259C5" w:rsidRPr="0091423C" w:rsidRDefault="00CD59E7" w:rsidP="00CD59E7">
            <w:pPr>
              <w:pStyle w:val="BodyText"/>
              <w:spacing w:before="0" w:after="0" w:line="240" w:lineRule="auto"/>
              <w:jc w:val="center"/>
              <w:cnfStyle w:val="000000100000" w:firstRow="0" w:lastRow="0" w:firstColumn="0" w:lastColumn="0" w:oddVBand="0" w:evenVBand="0" w:oddHBand="1" w:evenHBand="0" w:firstRowFirstColumn="0" w:firstRowLastColumn="0" w:lastRowFirstColumn="0" w:lastRowLastColumn="0"/>
            </w:pPr>
            <w:r>
              <w:rPr>
                <w:noProof/>
              </w:rPr>
              <w:drawing>
                <wp:inline distT="0" distB="0" distL="0" distR="0" wp14:anchorId="2687CEAD" wp14:editId="4310951E">
                  <wp:extent cx="2505710" cy="3060700"/>
                  <wp:effectExtent l="0" t="0" r="8890"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05710" cy="3060700"/>
                          </a:xfrm>
                          <a:prstGeom prst="rect">
                            <a:avLst/>
                          </a:prstGeom>
                          <a:noFill/>
                        </pic:spPr>
                      </pic:pic>
                    </a:graphicData>
                  </a:graphic>
                </wp:inline>
              </w:drawing>
            </w:r>
          </w:p>
        </w:tc>
      </w:tr>
      <w:tr w:rsidR="00B259C5" w:rsidRPr="00504CFE" w:rsidTr="009D6D59">
        <w:tc>
          <w:tcPr>
            <w:cnfStyle w:val="001000000000" w:firstRow="0" w:lastRow="0" w:firstColumn="1" w:lastColumn="0" w:oddVBand="0" w:evenVBand="0" w:oddHBand="0" w:evenHBand="0" w:firstRowFirstColumn="0" w:firstRowLastColumn="0" w:lastRowFirstColumn="0" w:lastRowLastColumn="0"/>
            <w:tcW w:w="4320" w:type="dxa"/>
            <w:shd w:val="clear" w:color="auto" w:fill="auto"/>
          </w:tcPr>
          <w:p w:rsidR="00B259C5" w:rsidRPr="00504CFE" w:rsidRDefault="00B259C5" w:rsidP="00F33957">
            <w:pPr>
              <w:pStyle w:val="Source1"/>
              <w:rPr>
                <w:b/>
                <w:noProof/>
              </w:rPr>
            </w:pPr>
            <w:r w:rsidRPr="00504CFE">
              <w:t xml:space="preserve">Source: DSS </w:t>
            </w:r>
            <w:r w:rsidR="0017690F">
              <w:t>published data</w:t>
            </w:r>
          </w:p>
        </w:tc>
        <w:tc>
          <w:tcPr>
            <w:tcW w:w="4320" w:type="dxa"/>
            <w:shd w:val="clear" w:color="auto" w:fill="auto"/>
          </w:tcPr>
          <w:p w:rsidR="00B259C5" w:rsidRPr="00504CFE" w:rsidRDefault="00B259C5" w:rsidP="00F33957">
            <w:pPr>
              <w:pStyle w:val="Source1"/>
              <w:cnfStyle w:val="000000000000" w:firstRow="0" w:lastRow="0" w:firstColumn="0" w:lastColumn="0" w:oddVBand="0" w:evenVBand="0" w:oddHBand="0" w:evenHBand="0" w:firstRowFirstColumn="0" w:firstRowLastColumn="0" w:lastRowFirstColumn="0" w:lastRowLastColumn="0"/>
              <w:rPr>
                <w:rFonts w:eastAsiaTheme="minorHAnsi"/>
                <w:lang w:eastAsia="en-US"/>
              </w:rPr>
            </w:pPr>
            <w:r w:rsidRPr="00504CFE">
              <w:t>Source: DSS data</w:t>
            </w:r>
            <w:r w:rsidR="00F77F6A">
              <w:t xml:space="preserve"> and ABS Cat. No. 3101</w:t>
            </w:r>
          </w:p>
        </w:tc>
      </w:tr>
    </w:tbl>
    <w:p w:rsidR="004B0399" w:rsidRPr="0017690F" w:rsidRDefault="00B259C5" w:rsidP="006F15D5">
      <w:pPr>
        <w:pStyle w:val="BodyText17ptAbove"/>
      </w:pPr>
      <w:r w:rsidRPr="0017690F">
        <w:rPr>
          <w:rStyle w:val="BodyTextChar"/>
        </w:rPr>
        <w:t xml:space="preserve">Following the </w:t>
      </w:r>
      <w:r w:rsidR="009C39F7" w:rsidRPr="0017690F">
        <w:rPr>
          <w:rStyle w:val="BodyTextChar"/>
        </w:rPr>
        <w:t>onset of the GFC</w:t>
      </w:r>
      <w:r w:rsidRPr="0017690F">
        <w:rPr>
          <w:rStyle w:val="BodyTextChar"/>
        </w:rPr>
        <w:t>, the number of people</w:t>
      </w:r>
      <w:r w:rsidR="004B0399" w:rsidRPr="0017690F">
        <w:rPr>
          <w:rStyle w:val="BodyTextChar"/>
        </w:rPr>
        <w:t xml:space="preserve"> on</w:t>
      </w:r>
      <w:r w:rsidRPr="0017690F">
        <w:rPr>
          <w:rStyle w:val="BodyTextChar"/>
        </w:rPr>
        <w:t xml:space="preserve"> the DSP increased</w:t>
      </w:r>
      <w:r w:rsidR="0088654C" w:rsidRPr="0017690F">
        <w:rPr>
          <w:rStyle w:val="BodyTextChar"/>
        </w:rPr>
        <w:t xml:space="preserve"> sharply</w:t>
      </w:r>
      <w:r w:rsidR="009C39F7" w:rsidRPr="0017690F">
        <w:rPr>
          <w:rStyle w:val="BodyTextChar"/>
        </w:rPr>
        <w:t xml:space="preserve">, before a range of policy changes were enacted including changes to assessment processes and workforce participation requirements. </w:t>
      </w:r>
      <w:r w:rsidR="001B0EA5" w:rsidRPr="0017690F">
        <w:rPr>
          <w:rStyle w:val="BodyTextChar"/>
        </w:rPr>
        <w:t xml:space="preserve"> </w:t>
      </w:r>
      <w:r w:rsidR="0003060D" w:rsidRPr="0017690F">
        <w:t>After increasing for over two decades, the number of DSP recipient</w:t>
      </w:r>
      <w:r w:rsidR="000A1530">
        <w:t>s has declined for the past three</w:t>
      </w:r>
      <w:r w:rsidR="0003060D" w:rsidRPr="0017690F">
        <w:t xml:space="preserve"> years with recip</w:t>
      </w:r>
      <w:r w:rsidR="00D86EB7" w:rsidRPr="0017690F">
        <w:t>ients as a share of the working</w:t>
      </w:r>
      <w:r w:rsidR="00D86EB7" w:rsidRPr="0017690F">
        <w:noBreakHyphen/>
      </w:r>
      <w:r w:rsidR="0003060D" w:rsidRPr="0017690F">
        <w:t>age population in 2016–17 falling to 4.7 per ce</w:t>
      </w:r>
      <w:r w:rsidR="008547CB">
        <w:t>nt, around the same level as in</w:t>
      </w:r>
      <w:r w:rsidR="008547CB">
        <w:br/>
      </w:r>
      <w:r w:rsidR="0003060D" w:rsidRPr="0017690F">
        <w:t xml:space="preserve">1998–99.  </w:t>
      </w:r>
      <w:r w:rsidR="0017690F">
        <w:t>Over this period there was</w:t>
      </w:r>
      <w:r w:rsidR="00D97442" w:rsidRPr="0017690F">
        <w:t xml:space="preserve"> a decline in </w:t>
      </w:r>
      <w:r w:rsidR="001B0EA5" w:rsidRPr="0017690F">
        <w:rPr>
          <w:rStyle w:val="BodyTextChar"/>
        </w:rPr>
        <w:t xml:space="preserve">the </w:t>
      </w:r>
      <w:r w:rsidR="001B0EA5" w:rsidRPr="0017690F">
        <w:t>prevalence of disability in the broader population with the share of people reporting a disability falling from 20 per cent in 2002–03 to 17 per cent in 2014–15</w:t>
      </w:r>
      <w:r w:rsidR="0080358E" w:rsidRPr="0017690F">
        <w:t xml:space="preserve"> and</w:t>
      </w:r>
      <w:r w:rsidR="00D97442" w:rsidRPr="0017690F">
        <w:t xml:space="preserve"> increase</w:t>
      </w:r>
      <w:r w:rsidR="0080358E" w:rsidRPr="0017690F">
        <w:t xml:space="preserve">d </w:t>
      </w:r>
      <w:r w:rsidR="00D97442" w:rsidRPr="0017690F">
        <w:t>labour force participation particularly for women</w:t>
      </w:r>
      <w:r w:rsidR="001B0EA5" w:rsidRPr="0017690F">
        <w:t>.</w:t>
      </w:r>
      <w:r w:rsidR="00EA0351" w:rsidRPr="0017690F">
        <w:rPr>
          <w:rStyle w:val="FootnoteReference"/>
        </w:rPr>
        <w:footnoteReference w:id="11"/>
      </w:r>
      <w:r w:rsidR="00D97442" w:rsidRPr="0017690F">
        <w:t xml:space="preserve">  </w:t>
      </w:r>
    </w:p>
    <w:p w:rsidR="00CF1B12" w:rsidRDefault="0003060D" w:rsidP="00504CFE">
      <w:pPr>
        <w:pStyle w:val="Heading3"/>
        <w:ind w:left="0" w:firstLine="0"/>
      </w:pPr>
      <w:r w:rsidRPr="00501F2B">
        <w:t xml:space="preserve">Net </w:t>
      </w:r>
      <w:r w:rsidR="00863A1D" w:rsidRPr="00501F2B">
        <w:t>change</w:t>
      </w:r>
      <w:r w:rsidR="00501F2B" w:rsidRPr="00501F2B">
        <w:t xml:space="preserve"> </w:t>
      </w:r>
      <w:r w:rsidR="0088654C" w:rsidRPr="00501F2B">
        <w:t>in</w:t>
      </w:r>
      <w:r w:rsidRPr="00501F2B">
        <w:t xml:space="preserve"> </w:t>
      </w:r>
      <w:r w:rsidR="00152F43" w:rsidRPr="00501F2B">
        <w:t xml:space="preserve">DSP </w:t>
      </w:r>
      <w:r w:rsidRPr="00501F2B">
        <w:t>recipients</w:t>
      </w:r>
    </w:p>
    <w:p w:rsidR="00D52DD6" w:rsidRDefault="00561A67" w:rsidP="00AA4023">
      <w:pPr>
        <w:pStyle w:val="BodyText"/>
      </w:pPr>
      <w:bookmarkStart w:id="51" w:name="_Toc495848845"/>
      <w:r w:rsidRPr="00501F2B">
        <w:t>T</w:t>
      </w:r>
      <w:r w:rsidR="007A37C3" w:rsidRPr="00501F2B">
        <w:t>rend</w:t>
      </w:r>
      <w:r w:rsidR="004D29FE" w:rsidRPr="00501F2B">
        <w:t>s</w:t>
      </w:r>
      <w:r w:rsidR="007A37C3" w:rsidRPr="00501F2B">
        <w:t xml:space="preserve"> in</w:t>
      </w:r>
      <w:r w:rsidR="003B3DB7" w:rsidRPr="00501F2B">
        <w:t xml:space="preserve"> </w:t>
      </w:r>
      <w:r w:rsidR="004B0399" w:rsidRPr="00501F2B">
        <w:t xml:space="preserve">the number of people on the </w:t>
      </w:r>
      <w:r w:rsidR="003B3DB7" w:rsidRPr="00501F2B">
        <w:t xml:space="preserve">DSP reflect the </w:t>
      </w:r>
      <w:r w:rsidR="000E692E" w:rsidRPr="00501F2B">
        <w:t xml:space="preserve">net </w:t>
      </w:r>
      <w:r w:rsidR="004B0399" w:rsidRPr="00501F2B">
        <w:t>change in</w:t>
      </w:r>
      <w:r w:rsidR="000E692E" w:rsidRPr="00501F2B">
        <w:t xml:space="preserve"> people</w:t>
      </w:r>
      <w:r w:rsidR="003A5621" w:rsidRPr="00501F2B">
        <w:t xml:space="preserve"> receiving</w:t>
      </w:r>
      <w:r w:rsidR="000E692E" w:rsidRPr="00501F2B">
        <w:t xml:space="preserve"> the </w:t>
      </w:r>
      <w:r w:rsidRPr="00501F2B">
        <w:t xml:space="preserve">DSP </w:t>
      </w:r>
      <w:r w:rsidR="000E692E" w:rsidRPr="00501F2B">
        <w:t>in any given year</w:t>
      </w:r>
      <w:r w:rsidR="003A5621" w:rsidRPr="00501F2B">
        <w:t>.</w:t>
      </w:r>
      <w:r w:rsidR="003B3DB7" w:rsidRPr="00501F2B">
        <w:t xml:space="preserve"> </w:t>
      </w:r>
      <w:r w:rsidR="003A5621" w:rsidRPr="00501F2B">
        <w:t xml:space="preserve"> </w:t>
      </w:r>
      <w:r w:rsidR="0088654C" w:rsidRPr="00501F2B">
        <w:t>This</w:t>
      </w:r>
      <w:r w:rsidRPr="00501F2B">
        <w:t xml:space="preserve"> comprise</w:t>
      </w:r>
      <w:r w:rsidR="0088654C" w:rsidRPr="00501F2B">
        <w:t>s</w:t>
      </w:r>
      <w:r w:rsidRPr="00501F2B">
        <w:t xml:space="preserve"> those people that</w:t>
      </w:r>
      <w:r w:rsidR="0088654C" w:rsidRPr="00501F2B">
        <w:t xml:space="preserve"> are new recipients of the DSP and those </w:t>
      </w:r>
      <w:r w:rsidR="00F42BC6">
        <w:t>who</w:t>
      </w:r>
      <w:r w:rsidR="0088654C" w:rsidRPr="00501F2B">
        <w:t xml:space="preserve"> cease receiving the </w:t>
      </w:r>
      <w:r w:rsidRPr="00501F2B">
        <w:t>payment</w:t>
      </w:r>
      <w:r w:rsidR="004C78FF" w:rsidRPr="00501F2B">
        <w:t xml:space="preserve"> (</w:t>
      </w:r>
      <w:r w:rsidR="0092570E" w:rsidRPr="00501F2B">
        <w:fldChar w:fldCharType="begin"/>
      </w:r>
      <w:r w:rsidR="0092570E" w:rsidRPr="00501F2B">
        <w:instrText xml:space="preserve"> REF _Ref503996568 \h </w:instrText>
      </w:r>
      <w:r w:rsidR="00103228" w:rsidRPr="00501F2B">
        <w:instrText xml:space="preserve"> \* MERGEFORMAT </w:instrText>
      </w:r>
      <w:r w:rsidR="0092570E" w:rsidRPr="00501F2B">
        <w:fldChar w:fldCharType="separate"/>
      </w:r>
      <w:r w:rsidR="0036047A" w:rsidRPr="00D32E2C">
        <w:t xml:space="preserve">Figure </w:t>
      </w:r>
      <w:r w:rsidR="0036047A">
        <w:rPr>
          <w:noProof/>
        </w:rPr>
        <w:t>2</w:t>
      </w:r>
      <w:r w:rsidR="0036047A" w:rsidRPr="00C07B2E">
        <w:t>–</w:t>
      </w:r>
      <w:r w:rsidR="0036047A">
        <w:rPr>
          <w:noProof/>
        </w:rPr>
        <w:t>6</w:t>
      </w:r>
      <w:r w:rsidR="0092570E" w:rsidRPr="00501F2B">
        <w:fldChar w:fldCharType="end"/>
      </w:r>
      <w:r w:rsidR="004C78FF" w:rsidRPr="00501F2B">
        <w:t>)</w:t>
      </w:r>
      <w:r w:rsidRPr="00501F2B">
        <w:t>.</w:t>
      </w:r>
      <w:r w:rsidR="0088654C" w:rsidRPr="00501F2B">
        <w:rPr>
          <w:rStyle w:val="FootnoteReference"/>
        </w:rPr>
        <w:footnoteReference w:id="12"/>
      </w:r>
    </w:p>
    <w:p w:rsidR="0089221F" w:rsidRDefault="0089221F" w:rsidP="00AA4023">
      <w:pPr>
        <w:pStyle w:val="BodyText"/>
      </w:pPr>
      <w:r w:rsidRPr="007E3803">
        <w:t>This net change</w:t>
      </w:r>
      <w:r>
        <w:t xml:space="preserve"> in the current year</w:t>
      </w:r>
      <w:r w:rsidRPr="007E3803">
        <w:t xml:space="preserve"> is added to </w:t>
      </w:r>
      <w:r>
        <w:t>the number of</w:t>
      </w:r>
      <w:r w:rsidRPr="007E3803">
        <w:t xml:space="preserve"> recipients</w:t>
      </w:r>
      <w:r>
        <w:t xml:space="preserve"> at the end of the previous</w:t>
      </w:r>
      <w:r w:rsidRPr="007E3803">
        <w:t xml:space="preserve"> year to form the total DSP population for the </w:t>
      </w:r>
      <w:r>
        <w:t>current</w:t>
      </w:r>
      <w:r w:rsidRPr="007E3803">
        <w:t xml:space="preserve"> year. </w:t>
      </w:r>
      <w:r>
        <w:t xml:space="preserve"> </w:t>
      </w:r>
      <w:r w:rsidRPr="007E3803">
        <w:t xml:space="preserve">For example, at the end of 2001–02 there were 657,000 people on the DSP. </w:t>
      </w:r>
      <w:r>
        <w:t xml:space="preserve"> </w:t>
      </w:r>
      <w:r w:rsidRPr="007E3803">
        <w:t>During 2002–03, there were 69,000 new recipients and 54,000 people who ceased receiving the payment, resulting in 672,000 people being on the payment at the end of 2002–03 (i</w:t>
      </w:r>
      <w:r w:rsidR="009E6558">
        <w:t>.</w:t>
      </w:r>
      <w:r w:rsidR="00190BD3">
        <w:t>e</w:t>
      </w:r>
      <w:r w:rsidR="009E6558">
        <w:t>.,</w:t>
      </w:r>
      <w:r w:rsidRPr="007E3803">
        <w:t xml:space="preserve"> a net increase of 14,000 people).</w:t>
      </w:r>
      <w:r>
        <w:t xml:space="preserve">  </w:t>
      </w:r>
    </w:p>
    <w:p w:rsidR="00475A3B" w:rsidRDefault="003B3DB7" w:rsidP="007A5769">
      <w:pPr>
        <w:pStyle w:val="Caption1"/>
      </w:pPr>
      <w:bookmarkStart w:id="52" w:name="_Ref503996568"/>
      <w:bookmarkStart w:id="53" w:name="_Toc505927963"/>
      <w:bookmarkStart w:id="54" w:name="_Toc505928622"/>
      <w:bookmarkStart w:id="55" w:name="_Toc506214868"/>
      <w:r w:rsidRPr="00D32E2C">
        <w:lastRenderedPageBreak/>
        <w:t xml:space="preserve">Figure </w:t>
      </w:r>
      <w:r w:rsidRPr="00D32E2C">
        <w:fldChar w:fldCharType="begin"/>
      </w:r>
      <w:r w:rsidRPr="00C07B2E">
        <w:instrText xml:space="preserve"> STYLEREF 1 \s </w:instrText>
      </w:r>
      <w:r w:rsidRPr="00D32E2C">
        <w:fldChar w:fldCharType="separate"/>
      </w:r>
      <w:r w:rsidR="0036047A">
        <w:rPr>
          <w:noProof/>
        </w:rPr>
        <w:t>2</w:t>
      </w:r>
      <w:r w:rsidRPr="00D32E2C">
        <w:fldChar w:fldCharType="end"/>
      </w:r>
      <w:r w:rsidRPr="00C07B2E">
        <w:t>–</w:t>
      </w:r>
      <w:fldSimple w:instr=" SEQ Figure \* ARABIC \s 1 ">
        <w:r w:rsidR="0036047A">
          <w:rPr>
            <w:noProof/>
          </w:rPr>
          <w:t>6</w:t>
        </w:r>
      </w:fldSimple>
      <w:bookmarkEnd w:id="52"/>
      <w:r w:rsidRPr="00C07B2E">
        <w:t xml:space="preserve">: </w:t>
      </w:r>
      <w:r w:rsidR="00CD59E7">
        <w:t>Net change in D</w:t>
      </w:r>
      <w:r w:rsidR="00B65CF5">
        <w:t>isability Support Pensio</w:t>
      </w:r>
      <w:bookmarkEnd w:id="53"/>
      <w:bookmarkEnd w:id="54"/>
      <w:r w:rsidR="00CD59E7">
        <w:t>n</w:t>
      </w:r>
      <w:r w:rsidR="00DB4564">
        <w:t xml:space="preserve"> </w:t>
      </w:r>
      <w:r w:rsidR="00AA1CCE">
        <w:t>R</w:t>
      </w:r>
      <w:r w:rsidR="00DB4564">
        <w:t>ecipients</w:t>
      </w:r>
      <w:bookmarkEnd w:id="55"/>
    </w:p>
    <w:p w:rsidR="003B3DB7" w:rsidRPr="006C6514" w:rsidRDefault="00137E38" w:rsidP="00137E38">
      <w:pPr>
        <w:pStyle w:val="BodyText"/>
        <w:spacing w:before="0" w:after="0" w:line="240" w:lineRule="auto"/>
      </w:pPr>
      <w:r>
        <w:rPr>
          <w:noProof/>
          <w:lang w:eastAsia="en-AU"/>
        </w:rPr>
        <w:drawing>
          <wp:inline distT="0" distB="0" distL="0" distR="0" wp14:anchorId="0E722D63" wp14:editId="4D43DE2B">
            <wp:extent cx="5401310" cy="3072765"/>
            <wp:effectExtent l="0" t="0" r="889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401310" cy="3072765"/>
                    </a:xfrm>
                    <a:prstGeom prst="rect">
                      <a:avLst/>
                    </a:prstGeom>
                    <a:noFill/>
                  </pic:spPr>
                </pic:pic>
              </a:graphicData>
            </a:graphic>
          </wp:inline>
        </w:drawing>
      </w:r>
    </w:p>
    <w:p w:rsidR="007930E8" w:rsidRDefault="007930E8" w:rsidP="00F33957">
      <w:pPr>
        <w:pStyle w:val="Source1"/>
      </w:pPr>
      <w:r>
        <w:t xml:space="preserve">Source: </w:t>
      </w:r>
      <w:r w:rsidR="0017690F">
        <w:t xml:space="preserve">DSS published data and </w:t>
      </w:r>
      <w:r>
        <w:t>PBO analysis</w:t>
      </w:r>
    </w:p>
    <w:p w:rsidR="00004478" w:rsidRDefault="006D4F62" w:rsidP="00526248">
      <w:pPr>
        <w:pStyle w:val="BodyText17ptAbove"/>
      </w:pPr>
      <w:r>
        <w:fldChar w:fldCharType="begin"/>
      </w:r>
      <w:r>
        <w:instrText xml:space="preserve"> REF _Ref503996568 \h </w:instrText>
      </w:r>
      <w:r>
        <w:fldChar w:fldCharType="separate"/>
      </w:r>
      <w:r w:rsidR="0036047A" w:rsidRPr="00D32E2C">
        <w:t xml:space="preserve">Figure </w:t>
      </w:r>
      <w:r w:rsidR="0036047A">
        <w:rPr>
          <w:noProof/>
        </w:rPr>
        <w:t>2</w:t>
      </w:r>
      <w:r w:rsidR="0036047A" w:rsidRPr="00C07B2E">
        <w:t>–</w:t>
      </w:r>
      <w:r w:rsidR="0036047A">
        <w:rPr>
          <w:noProof/>
        </w:rPr>
        <w:t>6</w:t>
      </w:r>
      <w:r>
        <w:fldChar w:fldCharType="end"/>
      </w:r>
      <w:r>
        <w:t xml:space="preserve"> </w:t>
      </w:r>
      <w:r w:rsidR="001953B2" w:rsidRPr="007E3803">
        <w:t xml:space="preserve">highlights how sharply the net change in the number of recipients </w:t>
      </w:r>
      <w:r w:rsidR="00AE0971">
        <w:t>on</w:t>
      </w:r>
      <w:r w:rsidR="001953B2" w:rsidRPr="007E3803">
        <w:t xml:space="preserve"> the payment has declined in recent </w:t>
      </w:r>
      <w:r w:rsidR="00D37214">
        <w:t>years</w:t>
      </w:r>
      <w:r w:rsidR="001953B2" w:rsidRPr="007E3803">
        <w:t>.</w:t>
      </w:r>
    </w:p>
    <w:p w:rsidR="00165B72" w:rsidRPr="00B46B79" w:rsidRDefault="00165B72" w:rsidP="00165B72">
      <w:pPr>
        <w:pStyle w:val="BodyText"/>
      </w:pPr>
      <w:r w:rsidRPr="00B46B79">
        <w:t xml:space="preserve">Breaking down net changes in the DSP recipient population between new recipients and persons who cease the payment allows for a more detailed analysis of </w:t>
      </w:r>
      <w:r w:rsidR="0017690F">
        <w:t xml:space="preserve">the </w:t>
      </w:r>
      <w:r w:rsidRPr="00B46B79">
        <w:t xml:space="preserve">drivers of </w:t>
      </w:r>
      <w:r w:rsidR="00A44872">
        <w:t>the</w:t>
      </w:r>
      <w:r w:rsidRPr="00B46B79">
        <w:t xml:space="preserve"> recent sharp decline in recipient numbers.  </w:t>
      </w:r>
    </w:p>
    <w:p w:rsidR="00165B72" w:rsidRPr="006C2178" w:rsidRDefault="00165B72" w:rsidP="00165B72">
      <w:pPr>
        <w:pStyle w:val="BodyText"/>
      </w:pPr>
      <w:r w:rsidRPr="00B46B79">
        <w:fldChar w:fldCharType="begin"/>
      </w:r>
      <w:r w:rsidRPr="00B46B79">
        <w:instrText xml:space="preserve"> REF _Ref505327251 \h  \* MERGEFORMAT </w:instrText>
      </w:r>
      <w:r w:rsidRPr="00B46B79">
        <w:fldChar w:fldCharType="separate"/>
      </w:r>
      <w:r w:rsidR="0036047A" w:rsidRPr="00B46B79">
        <w:t xml:space="preserve">Figure </w:t>
      </w:r>
      <w:r w:rsidR="0036047A">
        <w:rPr>
          <w:noProof/>
        </w:rPr>
        <w:t>2</w:t>
      </w:r>
      <w:r w:rsidR="0036047A" w:rsidRPr="00B46B79">
        <w:t>–</w:t>
      </w:r>
      <w:r w:rsidR="0036047A">
        <w:rPr>
          <w:noProof/>
        </w:rPr>
        <w:t>7</w:t>
      </w:r>
      <w:r w:rsidRPr="00B46B79">
        <w:fldChar w:fldCharType="end"/>
      </w:r>
      <w:r w:rsidRPr="00B46B79">
        <w:t xml:space="preserve"> shows that the number of people who ceased receiving the DSP has remained broadly stable over time while changes in the number of new DSP recipients have been the</w:t>
      </w:r>
      <w:r w:rsidRPr="007E3803">
        <w:t xml:space="preserve"> key factor </w:t>
      </w:r>
      <w:r w:rsidR="00190BD3">
        <w:t>driving the overall</w:t>
      </w:r>
      <w:r w:rsidRPr="007E3803">
        <w:t xml:space="preserve"> trends in the DSP recipient population since 2001–02.</w:t>
      </w:r>
      <w:r w:rsidRPr="007E3803">
        <w:rPr>
          <w:rStyle w:val="FootnoteReference"/>
        </w:rPr>
        <w:footnoteReference w:id="13"/>
      </w:r>
      <w:r w:rsidRPr="007E3803">
        <w:t xml:space="preserve">  The number of </w:t>
      </w:r>
      <w:r w:rsidRPr="006C2178">
        <w:t xml:space="preserve">people who ceased receiving the DSP averaged around 55,000 per year from 2001–02 to 2016–17 while the number of new recipients peaked at almost 89,000 in 2009–10 and declined to around 32,000 in 2016–17. </w:t>
      </w:r>
    </w:p>
    <w:p w:rsidR="00165B72" w:rsidRDefault="00165B72" w:rsidP="001953B2">
      <w:pPr>
        <w:pStyle w:val="BodyText"/>
      </w:pPr>
      <w:r w:rsidRPr="006C2178">
        <w:t>The volatility in the number of new DSP recipients reflects the fact that key measures to change assessment and compliance arrangements have, in the main, focussed on tightening eligibility requirements for new applicants. People who are already on</w:t>
      </w:r>
      <w:r w:rsidRPr="00A16124">
        <w:t xml:space="preserve"> </w:t>
      </w:r>
      <w:r w:rsidRPr="006C2178">
        <w:t xml:space="preserve">the payment are generally ‘grandfathered’ and exempt from changes.  By contrast, the stability in the number of people who cease receiving the DSP reflects the fact that most of </w:t>
      </w:r>
      <w:r w:rsidRPr="00B46B79">
        <w:t>these people move onto the Age Pension. The ‘up and down’ pattern between years result</w:t>
      </w:r>
      <w:r w:rsidR="00A44872">
        <w:t>ed</w:t>
      </w:r>
      <w:r w:rsidRPr="00A16124">
        <w:t xml:space="preserve"> from the staged increase in Age Pension eligibility age </w:t>
      </w:r>
      <w:r w:rsidR="00A44872">
        <w:t xml:space="preserve">for women </w:t>
      </w:r>
      <w:r w:rsidRPr="00A16124">
        <w:t xml:space="preserve">(see Box 2). </w:t>
      </w:r>
    </w:p>
    <w:p w:rsidR="00475A3B" w:rsidRPr="00503BBF" w:rsidRDefault="00004478" w:rsidP="00503BBF">
      <w:pPr>
        <w:pStyle w:val="Caption1"/>
      </w:pPr>
      <w:bookmarkStart w:id="56" w:name="_Ref505327251"/>
      <w:bookmarkStart w:id="57" w:name="_Toc505927964"/>
      <w:bookmarkStart w:id="58" w:name="_Toc505928623"/>
      <w:bookmarkStart w:id="59" w:name="_Toc506214869"/>
      <w:r w:rsidRPr="00B46B79">
        <w:lastRenderedPageBreak/>
        <w:t xml:space="preserve">Figure </w:t>
      </w:r>
      <w:fldSimple w:instr=" STYLEREF 1 \s ">
        <w:r w:rsidR="0036047A">
          <w:rPr>
            <w:noProof/>
          </w:rPr>
          <w:t>2</w:t>
        </w:r>
      </w:fldSimple>
      <w:r w:rsidRPr="00B46B79">
        <w:t>–</w:t>
      </w:r>
      <w:fldSimple w:instr=" SEQ Figure \* ARABIC \s 1 ">
        <w:r w:rsidR="0036047A">
          <w:rPr>
            <w:noProof/>
          </w:rPr>
          <w:t>7</w:t>
        </w:r>
      </w:fldSimple>
      <w:bookmarkEnd w:id="56"/>
      <w:r w:rsidR="00503BBF">
        <w:t xml:space="preserve">: </w:t>
      </w:r>
      <w:r w:rsidR="00E87B25">
        <w:t xml:space="preserve">Net change in </w:t>
      </w:r>
      <w:r w:rsidR="00AD5501" w:rsidRPr="00B46B79">
        <w:t xml:space="preserve">Disability Support Pension </w:t>
      </w:r>
      <w:r w:rsidR="00AA1CCE">
        <w:t>R</w:t>
      </w:r>
      <w:r w:rsidR="00503BBF">
        <w:t>ecipients</w:t>
      </w:r>
      <w:bookmarkEnd w:id="57"/>
      <w:bookmarkEnd w:id="58"/>
      <w:bookmarkEnd w:id="59"/>
    </w:p>
    <w:p w:rsidR="00004478" w:rsidRDefault="00137E38" w:rsidP="000F05EF">
      <w:pPr>
        <w:pStyle w:val="BodyText"/>
        <w:jc w:val="center"/>
      </w:pPr>
      <w:r>
        <w:rPr>
          <w:noProof/>
          <w:lang w:eastAsia="en-AU"/>
        </w:rPr>
        <w:drawing>
          <wp:inline distT="0" distB="0" distL="0" distR="0" wp14:anchorId="3FAF0218" wp14:editId="37F030D4">
            <wp:extent cx="5035550" cy="306641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035550" cy="3066415"/>
                    </a:xfrm>
                    <a:prstGeom prst="rect">
                      <a:avLst/>
                    </a:prstGeom>
                    <a:noFill/>
                  </pic:spPr>
                </pic:pic>
              </a:graphicData>
            </a:graphic>
          </wp:inline>
        </w:drawing>
      </w:r>
    </w:p>
    <w:p w:rsidR="00004478" w:rsidRDefault="00004478" w:rsidP="00F33957">
      <w:pPr>
        <w:pStyle w:val="Source1"/>
      </w:pPr>
      <w:r>
        <w:t>Source: DSS recipient characteristics data</w:t>
      </w:r>
    </w:p>
    <w:p w:rsidR="00370002" w:rsidRPr="006C2178" w:rsidRDefault="002A3F74" w:rsidP="00EB2060">
      <w:pPr>
        <w:pStyle w:val="Heading3"/>
        <w:keepNext w:val="0"/>
        <w:keepLines w:val="0"/>
      </w:pPr>
      <w:r w:rsidRPr="006C2178">
        <w:t>Trends in new recipients</w:t>
      </w:r>
    </w:p>
    <w:p w:rsidR="001953B2" w:rsidRPr="006C2178" w:rsidRDefault="001953B2" w:rsidP="00A16124">
      <w:pPr>
        <w:pStyle w:val="BodyText"/>
      </w:pPr>
      <w:r w:rsidRPr="006C2178">
        <w:t>As shown in</w:t>
      </w:r>
      <w:r w:rsidR="003273D6">
        <w:t xml:space="preserve"> </w:t>
      </w:r>
      <w:r w:rsidR="003273D6">
        <w:fldChar w:fldCharType="begin"/>
      </w:r>
      <w:r w:rsidR="003273D6">
        <w:instrText xml:space="preserve"> REF _Ref505327251 \h </w:instrText>
      </w:r>
      <w:r w:rsidR="003273D6">
        <w:fldChar w:fldCharType="separate"/>
      </w:r>
      <w:r w:rsidR="0036047A" w:rsidRPr="00B46B79">
        <w:t xml:space="preserve">Figure </w:t>
      </w:r>
      <w:r w:rsidR="0036047A">
        <w:rPr>
          <w:noProof/>
        </w:rPr>
        <w:t>2</w:t>
      </w:r>
      <w:r w:rsidR="0036047A" w:rsidRPr="00B46B79">
        <w:t>–</w:t>
      </w:r>
      <w:r w:rsidR="0036047A">
        <w:rPr>
          <w:noProof/>
        </w:rPr>
        <w:t>7</w:t>
      </w:r>
      <w:r w:rsidR="003273D6">
        <w:fldChar w:fldCharType="end"/>
      </w:r>
      <w:r w:rsidRPr="006C2178">
        <w:t xml:space="preserve">, the number of new </w:t>
      </w:r>
      <w:r w:rsidR="00A16124" w:rsidRPr="006C2178">
        <w:t xml:space="preserve">DSP </w:t>
      </w:r>
      <w:r w:rsidRPr="006C2178">
        <w:t>recipients has varied over time with trends in new recipients primarily driven by policy settings but also influenced by other factors such as demographics and labour market conditions.</w:t>
      </w:r>
    </w:p>
    <w:p w:rsidR="003633D3" w:rsidRDefault="00AA4023" w:rsidP="00A16124">
      <w:pPr>
        <w:pStyle w:val="BodyText"/>
        <w:spacing w:after="0"/>
      </w:pPr>
      <w:r w:rsidRPr="006C2178">
        <w:t xml:space="preserve">From </w:t>
      </w:r>
      <w:r w:rsidR="00D45378" w:rsidRPr="006C2178">
        <w:t>20</w:t>
      </w:r>
      <w:r w:rsidR="00D34A44" w:rsidRPr="006C2178">
        <w:t>0</w:t>
      </w:r>
      <w:r w:rsidR="00D45378" w:rsidRPr="006C2178">
        <w:t>1</w:t>
      </w:r>
      <w:r w:rsidR="007161AD" w:rsidRPr="006C2178">
        <w:t>–</w:t>
      </w:r>
      <w:r w:rsidR="00D45378" w:rsidRPr="006C2178">
        <w:t>02</w:t>
      </w:r>
      <w:r w:rsidR="007161AD" w:rsidRPr="006C2178">
        <w:t xml:space="preserve"> to 2004–</w:t>
      </w:r>
      <w:r w:rsidRPr="006C2178">
        <w:t xml:space="preserve">05 </w:t>
      </w:r>
      <w:r w:rsidR="002A3F74" w:rsidRPr="006C2178">
        <w:t>there were</w:t>
      </w:r>
      <w:r w:rsidR="00867A48" w:rsidRPr="006C2178">
        <w:t xml:space="preserve"> around </w:t>
      </w:r>
      <w:r w:rsidR="00D45378" w:rsidRPr="006C2178">
        <w:t xml:space="preserve">71,000 </w:t>
      </w:r>
      <w:r w:rsidR="00CC2CA2" w:rsidRPr="006C2178">
        <w:t xml:space="preserve">new DSP recipients </w:t>
      </w:r>
      <w:r w:rsidR="002A3F74" w:rsidRPr="006C2178">
        <w:t>each</w:t>
      </w:r>
      <w:r w:rsidR="00D45378" w:rsidRPr="006C2178">
        <w:t xml:space="preserve"> year</w:t>
      </w:r>
      <w:r w:rsidR="00D4580A" w:rsidRPr="006C2178">
        <w:t xml:space="preserve"> </w:t>
      </w:r>
    </w:p>
    <w:p w:rsidR="00A50475" w:rsidRPr="006C2178" w:rsidRDefault="00D4580A" w:rsidP="003633D3">
      <w:pPr>
        <w:pStyle w:val="BodyText"/>
        <w:spacing w:before="0" w:after="0"/>
      </w:pPr>
      <w:r w:rsidRPr="006C2178">
        <w:t>(</w:t>
      </w:r>
      <w:r w:rsidR="003273D6">
        <w:fldChar w:fldCharType="begin"/>
      </w:r>
      <w:r w:rsidR="003273D6">
        <w:instrText xml:space="preserve"> REF _Ref505327251 \h </w:instrText>
      </w:r>
      <w:r w:rsidR="003273D6">
        <w:fldChar w:fldCharType="separate"/>
      </w:r>
      <w:r w:rsidR="0036047A" w:rsidRPr="00B46B79">
        <w:t xml:space="preserve">Figure </w:t>
      </w:r>
      <w:r w:rsidR="0036047A">
        <w:rPr>
          <w:noProof/>
        </w:rPr>
        <w:t>2</w:t>
      </w:r>
      <w:r w:rsidR="0036047A" w:rsidRPr="00B46B79">
        <w:t>–</w:t>
      </w:r>
      <w:r w:rsidR="0036047A">
        <w:rPr>
          <w:noProof/>
        </w:rPr>
        <w:t>7</w:t>
      </w:r>
      <w:r w:rsidR="003273D6">
        <w:fldChar w:fldCharType="end"/>
      </w:r>
      <w:r w:rsidRPr="006C2178">
        <w:t>)</w:t>
      </w:r>
      <w:r w:rsidR="00AA4023" w:rsidRPr="006C2178">
        <w:t>.</w:t>
      </w:r>
      <w:r w:rsidRPr="006C2178">
        <w:t xml:space="preserve"> </w:t>
      </w:r>
      <w:r w:rsidR="00B720B4" w:rsidRPr="006C2178">
        <w:t>This number</w:t>
      </w:r>
      <w:r w:rsidR="00A33AFE" w:rsidRPr="006C2178">
        <w:t xml:space="preserve"> then declined with the introduction of the </w:t>
      </w:r>
      <w:r w:rsidR="00A33AFE" w:rsidRPr="006C2178">
        <w:rPr>
          <w:i/>
        </w:rPr>
        <w:t>Welfare to Work</w:t>
      </w:r>
      <w:r w:rsidR="00A33AFE" w:rsidRPr="006C2178">
        <w:t xml:space="preserve"> package </w:t>
      </w:r>
      <w:r w:rsidR="008F5829" w:rsidRPr="006C2178">
        <w:t xml:space="preserve">introduced </w:t>
      </w:r>
      <w:r w:rsidR="00A33AFE" w:rsidRPr="006C2178">
        <w:t>in the 2005</w:t>
      </w:r>
      <w:r w:rsidR="007161AD" w:rsidRPr="006C2178">
        <w:t>–</w:t>
      </w:r>
      <w:r w:rsidR="00A33AFE" w:rsidRPr="006C2178">
        <w:t>06 Budget</w:t>
      </w:r>
      <w:r w:rsidR="00A50475" w:rsidRPr="006C2178">
        <w:t>.</w:t>
      </w:r>
      <w:r w:rsidR="00A50475" w:rsidRPr="006C2178">
        <w:rPr>
          <w:rStyle w:val="FootnoteReference"/>
        </w:rPr>
        <w:footnoteReference w:id="14"/>
      </w:r>
      <w:r w:rsidR="00A50475" w:rsidRPr="006C2178">
        <w:t xml:space="preserve">   The measure </w:t>
      </w:r>
      <w:r w:rsidR="00A50475" w:rsidRPr="006C2178">
        <w:rPr>
          <w:i/>
        </w:rPr>
        <w:t>Welfare to Work —</w:t>
      </w:r>
      <w:r w:rsidR="00A50475" w:rsidRPr="006C2178">
        <w:t xml:space="preserve"> </w:t>
      </w:r>
      <w:r w:rsidR="00A50475" w:rsidRPr="006C2178">
        <w:rPr>
          <w:i/>
        </w:rPr>
        <w:t xml:space="preserve">increasing participation of people with a disability </w:t>
      </w:r>
      <w:r w:rsidR="00A50475" w:rsidRPr="006C2178">
        <w:t>reduced</w:t>
      </w:r>
      <w:r w:rsidR="00D34A44" w:rsidRPr="006C2178">
        <w:t xml:space="preserve"> the</w:t>
      </w:r>
      <w:r w:rsidR="00A50475" w:rsidRPr="006C2178">
        <w:t xml:space="preserve"> </w:t>
      </w:r>
      <w:r w:rsidR="008F5829" w:rsidRPr="006C2178">
        <w:t>number of hours</w:t>
      </w:r>
      <w:r w:rsidR="00A50475" w:rsidRPr="006C2178">
        <w:t xml:space="preserve"> an individual is assessed as being capable of working</w:t>
      </w:r>
      <w:r w:rsidR="008F5829" w:rsidRPr="006C2178">
        <w:t xml:space="preserve"> before being excluded</w:t>
      </w:r>
      <w:r w:rsidR="00A50475" w:rsidRPr="006C2178">
        <w:t xml:space="preserve"> from </w:t>
      </w:r>
      <w:r w:rsidR="008F5829" w:rsidRPr="006C2178">
        <w:t xml:space="preserve">the payment from </w:t>
      </w:r>
      <w:r w:rsidR="00A50475" w:rsidRPr="006C2178">
        <w:t xml:space="preserve">30 </w:t>
      </w:r>
      <w:r w:rsidR="00A16124" w:rsidRPr="006C2178">
        <w:t>per</w:t>
      </w:r>
      <w:r w:rsidR="00A50475" w:rsidRPr="006C2178">
        <w:t xml:space="preserve"> week to 15. </w:t>
      </w:r>
      <w:r w:rsidR="00E148FA" w:rsidRPr="006C2178">
        <w:t xml:space="preserve"> People</w:t>
      </w:r>
      <w:r w:rsidR="00A50475" w:rsidRPr="006C2178">
        <w:t xml:space="preserve"> assessed as being able to work</w:t>
      </w:r>
      <w:r w:rsidR="00A33AFE" w:rsidRPr="006C2178">
        <w:t xml:space="preserve"> between 15 and 29 hours</w:t>
      </w:r>
      <w:r w:rsidR="00E148FA" w:rsidRPr="006C2178">
        <w:t xml:space="preserve"> could</w:t>
      </w:r>
      <w:r w:rsidR="00A33AFE" w:rsidRPr="006C2178">
        <w:t xml:space="preserve"> instead </w:t>
      </w:r>
      <w:r w:rsidR="00E148FA" w:rsidRPr="006C2178">
        <w:t>seek to access</w:t>
      </w:r>
      <w:r w:rsidR="00A33AFE" w:rsidRPr="006C2178">
        <w:t xml:space="preserve"> </w:t>
      </w:r>
      <w:r w:rsidR="00A50475" w:rsidRPr="006C2178">
        <w:t>Newstart</w:t>
      </w:r>
      <w:r w:rsidR="002936C4" w:rsidRPr="006C2178">
        <w:t>,</w:t>
      </w:r>
      <w:r w:rsidR="00A50475" w:rsidRPr="006C2178">
        <w:t xml:space="preserve"> which is subject to an obligation to seek part-time work.</w:t>
      </w:r>
      <w:r w:rsidR="00A50475" w:rsidRPr="006C2178">
        <w:rPr>
          <w:rStyle w:val="FootnoteReference"/>
        </w:rPr>
        <w:footnoteReference w:id="15"/>
      </w:r>
    </w:p>
    <w:p w:rsidR="003744E0" w:rsidRPr="006C2178" w:rsidRDefault="00D45378" w:rsidP="001953B2">
      <w:pPr>
        <w:pStyle w:val="BodyText"/>
      </w:pPr>
      <w:r w:rsidRPr="006C2178">
        <w:t>From 2008</w:t>
      </w:r>
      <w:r w:rsidR="007161AD" w:rsidRPr="006C2178">
        <w:t>–</w:t>
      </w:r>
      <w:r w:rsidRPr="006C2178">
        <w:t>09</w:t>
      </w:r>
      <w:r w:rsidR="002A3F74" w:rsidRPr="006C2178">
        <w:t>,</w:t>
      </w:r>
      <w:r w:rsidR="003744E0" w:rsidRPr="006C2178">
        <w:t xml:space="preserve"> with the </w:t>
      </w:r>
      <w:r w:rsidR="00905521" w:rsidRPr="006C2178">
        <w:t>onset of the global financial crisis</w:t>
      </w:r>
      <w:r w:rsidR="006D3294" w:rsidRPr="006C2178">
        <w:t xml:space="preserve"> and s</w:t>
      </w:r>
      <w:r w:rsidR="003744E0" w:rsidRPr="006C2178">
        <w:t>oft</w:t>
      </w:r>
      <w:r w:rsidR="008118E3" w:rsidRPr="006C2178">
        <w:t>er</w:t>
      </w:r>
      <w:r w:rsidR="003744E0" w:rsidRPr="006C2178">
        <w:t xml:space="preserve"> labour market conditions</w:t>
      </w:r>
      <w:r w:rsidR="00A16124" w:rsidRPr="006C2178">
        <w:t>,</w:t>
      </w:r>
      <w:r w:rsidR="003744E0" w:rsidRPr="006C2178">
        <w:t xml:space="preserve"> the number of </w:t>
      </w:r>
      <w:r w:rsidR="006D3294" w:rsidRPr="006C2178">
        <w:t xml:space="preserve">applicants </w:t>
      </w:r>
      <w:r w:rsidR="003744E0" w:rsidRPr="006C2178">
        <w:t xml:space="preserve">granted entry onto the </w:t>
      </w:r>
      <w:r w:rsidR="006D3294" w:rsidRPr="006C2178">
        <w:t xml:space="preserve">DSP </w:t>
      </w:r>
      <w:r w:rsidR="003744E0" w:rsidRPr="006C2178">
        <w:t>increas</w:t>
      </w:r>
      <w:r w:rsidR="006D3294" w:rsidRPr="006C2178">
        <w:t>ed</w:t>
      </w:r>
      <w:r w:rsidR="003744E0" w:rsidRPr="006C2178">
        <w:t xml:space="preserve"> significantly</w:t>
      </w:r>
      <w:r w:rsidRPr="006C2178">
        <w:t xml:space="preserve">, with </w:t>
      </w:r>
      <w:r w:rsidR="006D3294" w:rsidRPr="006C2178">
        <w:t>the number of new recipients on the DSP</w:t>
      </w:r>
      <w:r w:rsidRPr="006C2178">
        <w:t xml:space="preserve"> averaging around 87,000 per year from 2008</w:t>
      </w:r>
      <w:r w:rsidR="005A7458" w:rsidRPr="006C2178">
        <w:t>–09 to 2010–</w:t>
      </w:r>
      <w:r w:rsidRPr="006C2178">
        <w:t>11</w:t>
      </w:r>
      <w:r w:rsidR="00936896" w:rsidRPr="006C2178">
        <w:t xml:space="preserve"> (see Box </w:t>
      </w:r>
      <w:r w:rsidR="005A7458" w:rsidRPr="006C2178">
        <w:t>1</w:t>
      </w:r>
      <w:r w:rsidR="00936896" w:rsidRPr="006C2178">
        <w:t>)</w:t>
      </w:r>
      <w:r w:rsidR="003744E0" w:rsidRPr="006C2178">
        <w:t>.</w:t>
      </w:r>
    </w:p>
    <w:p w:rsidR="004D29FE" w:rsidRDefault="00C9708D" w:rsidP="007107A4">
      <w:pPr>
        <w:pStyle w:val="BodyText"/>
        <w:spacing w:after="0"/>
      </w:pPr>
      <w:r>
        <w:t>Commencing in</w:t>
      </w:r>
      <w:r w:rsidR="005A7458" w:rsidRPr="006C2178">
        <w:t xml:space="preserve"> 2011–</w:t>
      </w:r>
      <w:r w:rsidR="00905521" w:rsidRPr="006C2178">
        <w:t>12</w:t>
      </w:r>
      <w:r w:rsidR="00631CDD" w:rsidRPr="006C2178">
        <w:t>,</w:t>
      </w:r>
      <w:r w:rsidR="00905521" w:rsidRPr="006C2178">
        <w:t xml:space="preserve"> </w:t>
      </w:r>
      <w:r w:rsidR="00584F2A" w:rsidRPr="006C2178">
        <w:t xml:space="preserve">the number of </w:t>
      </w:r>
      <w:r w:rsidR="00A16124" w:rsidRPr="006C2178">
        <w:t xml:space="preserve">new DSP </w:t>
      </w:r>
      <w:r w:rsidR="00584F2A" w:rsidRPr="006C2178">
        <w:t xml:space="preserve">recipients </w:t>
      </w:r>
      <w:r w:rsidR="00AB4C4D" w:rsidRPr="006C2178">
        <w:t>fell</w:t>
      </w:r>
      <w:r w:rsidR="00905521" w:rsidRPr="006C2178">
        <w:t xml:space="preserve"> sharply, </w:t>
      </w:r>
      <w:r w:rsidR="00631CDD" w:rsidRPr="006C2178">
        <w:t xml:space="preserve">from </w:t>
      </w:r>
      <w:r w:rsidR="00A1681E" w:rsidRPr="006C2178">
        <w:t xml:space="preserve">almost </w:t>
      </w:r>
      <w:r w:rsidR="005A7458" w:rsidRPr="006C2178">
        <w:t>8</w:t>
      </w:r>
      <w:r w:rsidR="00A1681E" w:rsidRPr="006C2178">
        <w:t>6</w:t>
      </w:r>
      <w:r w:rsidR="005A7458" w:rsidRPr="006C2178">
        <w:t>,000 in 2010–</w:t>
      </w:r>
      <w:r w:rsidR="005E288F" w:rsidRPr="006C2178">
        <w:t>11 to under 3</w:t>
      </w:r>
      <w:r w:rsidR="00A1681E" w:rsidRPr="006C2178">
        <w:t>2</w:t>
      </w:r>
      <w:r w:rsidR="005A7458" w:rsidRPr="006C2178">
        <w:t>,000 in 2016–</w:t>
      </w:r>
      <w:r w:rsidR="00631CDD" w:rsidRPr="006C2178">
        <w:t>17</w:t>
      </w:r>
      <w:r w:rsidR="007D2AC6" w:rsidRPr="006C2178">
        <w:t xml:space="preserve"> </w:t>
      </w:r>
      <w:r w:rsidR="00584F2A" w:rsidRPr="006C2178">
        <w:t xml:space="preserve">largely </w:t>
      </w:r>
      <w:r w:rsidR="007D2AC6" w:rsidRPr="006C2178">
        <w:t>reflect</w:t>
      </w:r>
      <w:r w:rsidR="00584F2A" w:rsidRPr="006C2178">
        <w:t>ing the impact of</w:t>
      </w:r>
      <w:r w:rsidR="007D2AC6" w:rsidRPr="006C2178">
        <w:t xml:space="preserve"> </w:t>
      </w:r>
      <w:r w:rsidR="00905521" w:rsidRPr="006C2178">
        <w:t>measures</w:t>
      </w:r>
      <w:r w:rsidR="00CA2E8E" w:rsidRPr="006C2178">
        <w:t xml:space="preserve"> contained in the 20</w:t>
      </w:r>
      <w:r w:rsidR="00624D80" w:rsidRPr="006C2178">
        <w:t>0</w:t>
      </w:r>
      <w:r w:rsidR="00CA2E8E" w:rsidRPr="006C2178">
        <w:t>9</w:t>
      </w:r>
      <w:r w:rsidR="005A7458" w:rsidRPr="006C2178">
        <w:t>–</w:t>
      </w:r>
      <w:r w:rsidR="00CA2E8E" w:rsidRPr="006C2178">
        <w:t>10 Budget</w:t>
      </w:r>
      <w:r w:rsidR="00905521" w:rsidRPr="006C2178">
        <w:t xml:space="preserve"> to tighten assessment criteria and processes</w:t>
      </w:r>
      <w:r w:rsidR="00773751">
        <w:t>.</w:t>
      </w:r>
      <w:r w:rsidR="000F7328">
        <w:t xml:space="preserve"> </w:t>
      </w:r>
      <w:r w:rsidR="00773751">
        <w:t xml:space="preserve"> This</w:t>
      </w:r>
      <w:r w:rsidR="00B720B4" w:rsidRPr="006C2178">
        <w:t xml:space="preserve"> in effect resulted in a structural break </w:t>
      </w:r>
      <w:r w:rsidR="00A16124" w:rsidRPr="006C2178">
        <w:t>from</w:t>
      </w:r>
      <w:r w:rsidR="00B720B4" w:rsidRPr="006C2178">
        <w:t xml:space="preserve"> earlier history, as the regime for assessing eligibility for th</w:t>
      </w:r>
      <w:r w:rsidR="00ED7761" w:rsidRPr="006C2178">
        <w:t>e DSP fundamentally changed</w:t>
      </w:r>
      <w:r w:rsidR="00631CDD" w:rsidRPr="006C2178">
        <w:t xml:space="preserve">. </w:t>
      </w:r>
      <w:r w:rsidR="00905521" w:rsidRPr="006C2178">
        <w:t xml:space="preserve"> </w:t>
      </w:r>
      <w:r w:rsidR="00584F2A" w:rsidRPr="006C2178">
        <w:t>The introduction of</w:t>
      </w:r>
      <w:r w:rsidR="00CA2E8E" w:rsidRPr="006C2178">
        <w:t xml:space="preserve"> comprehensive Job Capacity Assessment </w:t>
      </w:r>
      <w:r w:rsidR="00CA2E8E" w:rsidRPr="006C2178">
        <w:lastRenderedPageBreak/>
        <w:t>processes</w:t>
      </w:r>
      <w:r w:rsidR="00584F2A" w:rsidRPr="006C2178">
        <w:t xml:space="preserve"> require</w:t>
      </w:r>
      <w:r w:rsidR="00D34A44" w:rsidRPr="006C2178">
        <w:t>s</w:t>
      </w:r>
      <w:r w:rsidR="00624D80" w:rsidRPr="006C2178">
        <w:t xml:space="preserve"> Government assessors</w:t>
      </w:r>
      <w:r w:rsidR="00D43D76" w:rsidRPr="006C2178">
        <w:t xml:space="preserve"> to</w:t>
      </w:r>
      <w:r w:rsidR="00624D80" w:rsidRPr="006C2178">
        <w:t xml:space="preserve"> take into </w:t>
      </w:r>
      <w:r w:rsidR="00D43D76" w:rsidRPr="006C2178">
        <w:t xml:space="preserve">account </w:t>
      </w:r>
      <w:r w:rsidR="00624D80" w:rsidRPr="006C2178">
        <w:t xml:space="preserve">additional information such as past work history and previous access to employment services, in addition to medical advice, when determining an applicant’s capacity to work. </w:t>
      </w:r>
      <w:r w:rsidR="0045411B">
        <w:t xml:space="preserve"> </w:t>
      </w:r>
      <w:r w:rsidR="00C07B2E" w:rsidRPr="006C2178">
        <w:t>N</w:t>
      </w:r>
      <w:r w:rsidR="007D2AC6" w:rsidRPr="006C2178">
        <w:t>ew assessment tables for work-related</w:t>
      </w:r>
      <w:r w:rsidR="007D2AC6" w:rsidRPr="00A16124">
        <w:t xml:space="preserve"> impairment </w:t>
      </w:r>
      <w:r w:rsidR="00C07B2E" w:rsidRPr="00A16124">
        <w:t>which</w:t>
      </w:r>
      <w:r w:rsidR="00C07B2E">
        <w:t xml:space="preserve"> </w:t>
      </w:r>
      <w:r w:rsidR="00624D80">
        <w:t>commence</w:t>
      </w:r>
      <w:r w:rsidR="00C07B2E">
        <w:t>d</w:t>
      </w:r>
      <w:r w:rsidR="00624D80">
        <w:t xml:space="preserve"> from 1</w:t>
      </w:r>
      <w:r w:rsidR="00511678">
        <w:t> </w:t>
      </w:r>
      <w:r w:rsidR="00624D80">
        <w:t>January 2012</w:t>
      </w:r>
      <w:r w:rsidR="007D2AC6">
        <w:t>, moved to assess applicants based on the ability to perform certain activities rather than medical diagnoses of conditions.</w:t>
      </w:r>
      <w:r w:rsidR="007D2AC6" w:rsidRPr="00004478">
        <w:rPr>
          <w:rStyle w:val="FootnoteReference"/>
        </w:rPr>
        <w:footnoteReference w:id="16"/>
      </w:r>
      <w:r w:rsidR="00C07B2E">
        <w:t xml:space="preserve"> </w:t>
      </w:r>
    </w:p>
    <w:p w:rsidR="002308F8" w:rsidRDefault="004E6516" w:rsidP="004E6516">
      <w:pPr>
        <w:pStyle w:val="BodyText"/>
        <w:spacing w:after="0"/>
      </w:pPr>
      <w:r>
        <w:t xml:space="preserve">As </w:t>
      </w:r>
      <w:r>
        <w:fldChar w:fldCharType="begin"/>
      </w:r>
      <w:r>
        <w:instrText xml:space="preserve"> REF _Ref504035538 \h </w:instrText>
      </w:r>
      <w:r>
        <w:fldChar w:fldCharType="separate"/>
      </w:r>
      <w:r w:rsidR="0036047A" w:rsidRPr="006C2178">
        <w:t xml:space="preserve">Figure </w:t>
      </w:r>
      <w:r w:rsidR="0036047A">
        <w:rPr>
          <w:noProof/>
        </w:rPr>
        <w:t>2</w:t>
      </w:r>
      <w:r w:rsidR="0036047A" w:rsidRPr="006C2178">
        <w:t>–</w:t>
      </w:r>
      <w:r w:rsidR="0036047A">
        <w:rPr>
          <w:noProof/>
        </w:rPr>
        <w:t>8</w:t>
      </w:r>
      <w:r>
        <w:fldChar w:fldCharType="end"/>
      </w:r>
      <w:r>
        <w:t xml:space="preserve"> shows, t</w:t>
      </w:r>
      <w:r w:rsidR="00C07B2E" w:rsidRPr="00A16124">
        <w:t>he</w:t>
      </w:r>
      <w:r w:rsidR="004D29FE" w:rsidRPr="00A16124">
        <w:t xml:space="preserve"> above</w:t>
      </w:r>
      <w:r w:rsidR="00C07B2E" w:rsidRPr="00A16124">
        <w:t xml:space="preserve"> changes</w:t>
      </w:r>
      <w:r w:rsidR="00584F2A" w:rsidRPr="00A16124">
        <w:t xml:space="preserve"> to assessment processes and criteria</w:t>
      </w:r>
      <w:r w:rsidR="00C07B2E" w:rsidRPr="00A16124">
        <w:t xml:space="preserve"> contributed to a </w:t>
      </w:r>
      <w:r w:rsidR="00A97800" w:rsidRPr="00A16124">
        <w:t xml:space="preserve">significant </w:t>
      </w:r>
      <w:r w:rsidR="00413198" w:rsidRPr="00A16124">
        <w:t>fall in the</w:t>
      </w:r>
      <w:r w:rsidR="00A97800" w:rsidRPr="00504CFE">
        <w:t xml:space="preserve"> </w:t>
      </w:r>
      <w:r w:rsidR="00584F2A">
        <w:t xml:space="preserve">average </w:t>
      </w:r>
      <w:r w:rsidR="00A97800" w:rsidRPr="00504CFE">
        <w:t>share of applicants granted entry onto the payment from</w:t>
      </w:r>
      <w:r>
        <w:t xml:space="preserve"> 63 </w:t>
      </w:r>
      <w:r w:rsidR="00584F2A">
        <w:t>per cent between 2001–02 and</w:t>
      </w:r>
      <w:r w:rsidR="00A97800" w:rsidRPr="00504CFE">
        <w:t xml:space="preserve"> </w:t>
      </w:r>
      <w:r w:rsidR="00A97800" w:rsidRPr="001B0EA5">
        <w:t>2010–11</w:t>
      </w:r>
      <w:r w:rsidR="00584F2A">
        <w:t xml:space="preserve"> to </w:t>
      </w:r>
      <w:r w:rsidR="00A97800" w:rsidRPr="00504CFE">
        <w:t>43</w:t>
      </w:r>
      <w:r w:rsidR="00335D72" w:rsidRPr="00504CFE">
        <w:t> </w:t>
      </w:r>
      <w:r w:rsidR="00A97800" w:rsidRPr="00504CFE">
        <w:t>per cent from 2011–12 to 2014–15</w:t>
      </w:r>
      <w:r w:rsidR="00335D72" w:rsidRPr="00504CFE">
        <w:t xml:space="preserve">, </w:t>
      </w:r>
      <w:r w:rsidR="00584F2A">
        <w:t xml:space="preserve">with the new lower average rate </w:t>
      </w:r>
      <w:r w:rsidR="00335D72" w:rsidRPr="00504CFE">
        <w:t>pointing to a fundamentally</w:t>
      </w:r>
      <w:r w:rsidR="00A97800" w:rsidRPr="00504CFE">
        <w:t xml:space="preserve"> different assessment </w:t>
      </w:r>
      <w:r w:rsidR="00584F2A">
        <w:t>regime applying from 2011</w:t>
      </w:r>
      <w:r w:rsidR="004A0721">
        <w:t>–</w:t>
      </w:r>
      <w:r w:rsidR="00584F2A">
        <w:t>12</w:t>
      </w:r>
      <w:r w:rsidR="00335D72" w:rsidRPr="00504CFE">
        <w:t>.</w:t>
      </w:r>
      <w:r w:rsidR="004A0721">
        <w:t xml:space="preserve">  </w:t>
      </w:r>
      <w:bookmarkStart w:id="60" w:name="_Ref503863687"/>
    </w:p>
    <w:p w:rsidR="00C9104A" w:rsidRDefault="00511678" w:rsidP="00A2316A">
      <w:pPr>
        <w:pStyle w:val="Caption1"/>
      </w:pPr>
      <w:bookmarkStart w:id="61" w:name="_Ref504035538"/>
      <w:bookmarkStart w:id="62" w:name="_Toc505927965"/>
      <w:bookmarkStart w:id="63" w:name="_Toc505928624"/>
      <w:bookmarkStart w:id="64" w:name="_Toc506214870"/>
      <w:r w:rsidRPr="006C2178">
        <w:t>Fig</w:t>
      </w:r>
      <w:r w:rsidR="000503F2" w:rsidRPr="006C2178">
        <w:t xml:space="preserve">ure </w:t>
      </w:r>
      <w:fldSimple w:instr=" STYLEREF 1 \s ">
        <w:r w:rsidR="0036047A">
          <w:rPr>
            <w:noProof/>
          </w:rPr>
          <w:t>2</w:t>
        </w:r>
      </w:fldSimple>
      <w:r w:rsidR="000503F2" w:rsidRPr="006C2178">
        <w:t>–</w:t>
      </w:r>
      <w:fldSimple w:instr=" SEQ Figure \* ARABIC \s 1 ">
        <w:r w:rsidR="0036047A">
          <w:rPr>
            <w:noProof/>
          </w:rPr>
          <w:t>8</w:t>
        </w:r>
      </w:fldSimple>
      <w:bookmarkEnd w:id="60"/>
      <w:bookmarkEnd w:id="61"/>
      <w:r w:rsidR="000503F2" w:rsidRPr="006C2178">
        <w:t xml:space="preserve">: </w:t>
      </w:r>
      <w:r w:rsidR="00926A04" w:rsidRPr="006C2178">
        <w:t xml:space="preserve">Disability Support Pension </w:t>
      </w:r>
      <w:r w:rsidR="00AA1CCE">
        <w:t>G</w:t>
      </w:r>
      <w:r w:rsidR="00A2316A">
        <w:t xml:space="preserve">rant </w:t>
      </w:r>
      <w:r w:rsidR="00AA1CCE">
        <w:t>R</w:t>
      </w:r>
      <w:r w:rsidR="00A2316A">
        <w:t>ate</w:t>
      </w:r>
      <w:bookmarkEnd w:id="62"/>
      <w:bookmarkEnd w:id="63"/>
      <w:bookmarkEnd w:id="64"/>
    </w:p>
    <w:p w:rsidR="002A3F74" w:rsidRDefault="007B095E" w:rsidP="00773751">
      <w:pPr>
        <w:pStyle w:val="Caption4"/>
      </w:pPr>
      <w:r>
        <w:t xml:space="preserve">Share of </w:t>
      </w:r>
      <w:r w:rsidR="00AA1CCE">
        <w:t>a</w:t>
      </w:r>
      <w:r w:rsidR="00C9104A">
        <w:t>pplicants granted entry onto the DSP</w:t>
      </w:r>
    </w:p>
    <w:p w:rsidR="000503F2" w:rsidRDefault="00302116" w:rsidP="00302116">
      <w:pPr>
        <w:pStyle w:val="BodyText"/>
        <w:spacing w:before="0" w:after="0" w:line="240" w:lineRule="auto"/>
        <w:rPr>
          <w:color w:val="788184" w:themeColor="background2"/>
          <w:spacing w:val="0"/>
          <w:sz w:val="20"/>
          <w:szCs w:val="14"/>
        </w:rPr>
      </w:pPr>
      <w:r>
        <w:rPr>
          <w:noProof/>
          <w:color w:val="788184" w:themeColor="background2"/>
          <w:sz w:val="18"/>
          <w:szCs w:val="18"/>
          <w:lang w:eastAsia="en-AU"/>
        </w:rPr>
        <w:drawing>
          <wp:inline distT="0" distB="0" distL="0" distR="0" wp14:anchorId="148E1441" wp14:editId="29ABAFEC">
            <wp:extent cx="5114925" cy="3066415"/>
            <wp:effectExtent l="0" t="0" r="9525"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14925" cy="3066415"/>
                    </a:xfrm>
                    <a:prstGeom prst="rect">
                      <a:avLst/>
                    </a:prstGeom>
                    <a:noFill/>
                  </pic:spPr>
                </pic:pic>
              </a:graphicData>
            </a:graphic>
          </wp:inline>
        </w:drawing>
      </w:r>
      <w:r w:rsidR="000503F2" w:rsidRPr="00187D0A">
        <w:rPr>
          <w:rStyle w:val="Source1Char"/>
        </w:rPr>
        <w:t>Source: DSS Annual Reports</w:t>
      </w:r>
    </w:p>
    <w:p w:rsidR="00F05987" w:rsidRDefault="00F05987" w:rsidP="000F7328">
      <w:pPr>
        <w:pStyle w:val="BodyText17ptAbove"/>
        <w:spacing w:after="0"/>
      </w:pPr>
      <w:r w:rsidRPr="00A16124">
        <w:t>To a lesser extent</w:t>
      </w:r>
      <w:r w:rsidR="002A3F74" w:rsidRPr="00A16124">
        <w:t>,</w:t>
      </w:r>
      <w:r w:rsidRPr="00A16124">
        <w:t xml:space="preserve"> the </w:t>
      </w:r>
      <w:r w:rsidR="00335D72" w:rsidRPr="00A16124">
        <w:t xml:space="preserve">recent </w:t>
      </w:r>
      <w:r w:rsidRPr="00A16124">
        <w:t>decline in recipient numbers also reflects the impact of</w:t>
      </w:r>
      <w:r w:rsidR="0033077F" w:rsidRPr="00A16124">
        <w:t xml:space="preserve"> </w:t>
      </w:r>
      <w:r w:rsidRPr="00A16124">
        <w:t>the 2014–15 Mid</w:t>
      </w:r>
      <w:r w:rsidR="00650726" w:rsidRPr="00A16124">
        <w:noBreakHyphen/>
      </w:r>
      <w:r w:rsidRPr="00A16124">
        <w:t xml:space="preserve">Year Economic and Fiscal Outlook (MYEFO) </w:t>
      </w:r>
      <w:r w:rsidR="002A3F74" w:rsidRPr="00A16124">
        <w:t xml:space="preserve">measure </w:t>
      </w:r>
      <w:r w:rsidRPr="00A16124">
        <w:t>to replace treating doctor’s reports with Government Contracted D</w:t>
      </w:r>
      <w:r w:rsidR="003762A3" w:rsidRPr="00A16124">
        <w:t>octor’s reports on applications</w:t>
      </w:r>
      <w:r w:rsidRPr="00A16124">
        <w:t xml:space="preserve"> and</w:t>
      </w:r>
      <w:r w:rsidR="002A3F74" w:rsidRPr="00A16124">
        <w:t xml:space="preserve"> the </w:t>
      </w:r>
      <w:r w:rsidR="001C7E6A">
        <w:br/>
      </w:r>
      <w:r w:rsidR="002A3F74" w:rsidRPr="00A16124">
        <w:t>2015–16 MYEFO measure in relation to</w:t>
      </w:r>
      <w:r w:rsidRPr="00A16124">
        <w:t xml:space="preserve"> fraud prevention, debt recovery and assessment changes.</w:t>
      </w:r>
    </w:p>
    <w:p w:rsidR="000503F2" w:rsidRDefault="000503F2" w:rsidP="00491594">
      <w:pPr>
        <w:pStyle w:val="BodyText"/>
      </w:pPr>
    </w:p>
    <w:tbl>
      <w:tblPr>
        <w:tblStyle w:val="PullOutBoxTable"/>
        <w:tblW w:w="5000" w:type="pct"/>
        <w:tblInd w:w="5" w:type="dxa"/>
        <w:tblCellMar>
          <w:top w:w="113" w:type="dxa"/>
          <w:left w:w="113" w:type="dxa"/>
          <w:bottom w:w="113" w:type="dxa"/>
          <w:right w:w="113" w:type="dxa"/>
        </w:tblCellMar>
        <w:tblLook w:val="0600" w:firstRow="0" w:lastRow="0" w:firstColumn="0" w:lastColumn="0" w:noHBand="1" w:noVBand="1"/>
      </w:tblPr>
      <w:tblGrid>
        <w:gridCol w:w="8539"/>
      </w:tblGrid>
      <w:tr w:rsidR="00EB09E7" w:rsidTr="00187D0A">
        <w:tc>
          <w:tcPr>
            <w:tcW w:w="5000" w:type="pct"/>
          </w:tcPr>
          <w:p w:rsidR="00EB09E7" w:rsidRPr="00187D0A" w:rsidRDefault="005A7458" w:rsidP="00187D0A">
            <w:pPr>
              <w:pStyle w:val="PullOutBoxHeading"/>
              <w:spacing w:before="0"/>
              <w:ind w:left="0" w:right="0"/>
            </w:pPr>
            <w:r w:rsidRPr="00187D0A">
              <w:lastRenderedPageBreak/>
              <w:t xml:space="preserve">Box 1: </w:t>
            </w:r>
            <w:r w:rsidR="00D07610">
              <w:t>Labour M</w:t>
            </w:r>
            <w:r w:rsidR="00902EC9" w:rsidRPr="00187D0A">
              <w:t>arket and the Disability Support Pension</w:t>
            </w:r>
          </w:p>
          <w:p w:rsidR="00F52080" w:rsidRDefault="006A64AF" w:rsidP="00187D0A">
            <w:pPr>
              <w:pStyle w:val="BodyText"/>
              <w:keepNext/>
              <w:keepLines/>
            </w:pPr>
            <w:r w:rsidRPr="008F358D">
              <w:fldChar w:fldCharType="begin"/>
            </w:r>
            <w:r w:rsidRPr="008F358D">
              <w:instrText xml:space="preserve"> REF _Ref500921969 \h </w:instrText>
            </w:r>
            <w:r w:rsidR="008F358D">
              <w:instrText xml:space="preserve"> \* MERGEFORMAT </w:instrText>
            </w:r>
            <w:r w:rsidRPr="008F358D">
              <w:fldChar w:fldCharType="separate"/>
            </w:r>
            <w:r w:rsidR="0036047A" w:rsidRPr="0036047A">
              <w:t>Figure 2–9</w:t>
            </w:r>
            <w:r w:rsidRPr="008F358D">
              <w:fldChar w:fldCharType="end"/>
            </w:r>
            <w:r w:rsidR="00F52080">
              <w:t xml:space="preserve"> shows the unemployment rate and DSP recipient growth</w:t>
            </w:r>
            <w:r w:rsidR="00B04761">
              <w:t xml:space="preserve"> as a share of the working age population</w:t>
            </w:r>
            <w:r w:rsidR="00F52080">
              <w:t xml:space="preserve"> since the payment was introduced in 1991. </w:t>
            </w:r>
          </w:p>
          <w:p w:rsidR="005659DE" w:rsidRPr="005659DE" w:rsidRDefault="00EB09E7" w:rsidP="00187D0A">
            <w:pPr>
              <w:pStyle w:val="Caption1"/>
              <w:rPr>
                <w:rStyle w:val="Caption1Char"/>
                <w:b/>
                <w:bCs/>
              </w:rPr>
            </w:pPr>
            <w:bookmarkStart w:id="65" w:name="_Ref500921969"/>
            <w:bookmarkStart w:id="66" w:name="_Toc495848847"/>
            <w:bookmarkStart w:id="67" w:name="_Ref503972472"/>
            <w:bookmarkStart w:id="68" w:name="_Ref503972487"/>
            <w:bookmarkStart w:id="69" w:name="_Toc505927966"/>
            <w:bookmarkStart w:id="70" w:name="_Toc505928625"/>
            <w:bookmarkStart w:id="71" w:name="_Toc506214871"/>
            <w:r w:rsidRPr="005659DE">
              <w:rPr>
                <w:rStyle w:val="Caption1Char"/>
                <w:b/>
                <w:bCs/>
              </w:rPr>
              <w:t xml:space="preserve">Figure </w:t>
            </w:r>
            <w:r w:rsidR="009E6558" w:rsidRPr="005659DE">
              <w:rPr>
                <w:rStyle w:val="Caption1Char"/>
                <w:b/>
                <w:bCs/>
              </w:rPr>
              <w:fldChar w:fldCharType="begin"/>
            </w:r>
            <w:r w:rsidR="009E6558" w:rsidRPr="005659DE">
              <w:rPr>
                <w:rStyle w:val="Caption1Char"/>
                <w:b/>
                <w:bCs/>
              </w:rPr>
              <w:instrText xml:space="preserve"> STYLEREF 1 \s </w:instrText>
            </w:r>
            <w:r w:rsidR="009E6558" w:rsidRPr="005659DE">
              <w:rPr>
                <w:rStyle w:val="Caption1Char"/>
                <w:b/>
                <w:bCs/>
              </w:rPr>
              <w:fldChar w:fldCharType="separate"/>
            </w:r>
            <w:r w:rsidR="0036047A">
              <w:rPr>
                <w:rStyle w:val="Caption1Char"/>
                <w:b/>
                <w:bCs/>
                <w:noProof/>
              </w:rPr>
              <w:t>2</w:t>
            </w:r>
            <w:r w:rsidR="009E6558" w:rsidRPr="005659DE">
              <w:rPr>
                <w:rStyle w:val="Caption1Char"/>
                <w:b/>
                <w:bCs/>
              </w:rPr>
              <w:fldChar w:fldCharType="end"/>
            </w:r>
            <w:r w:rsidRPr="005659DE">
              <w:rPr>
                <w:rStyle w:val="Caption1Char"/>
                <w:b/>
                <w:bCs/>
              </w:rPr>
              <w:t>–</w:t>
            </w:r>
            <w:r w:rsidR="009E6558" w:rsidRPr="005659DE">
              <w:rPr>
                <w:rStyle w:val="Caption1Char"/>
                <w:b/>
                <w:bCs/>
              </w:rPr>
              <w:fldChar w:fldCharType="begin"/>
            </w:r>
            <w:r w:rsidR="009E6558" w:rsidRPr="005659DE">
              <w:rPr>
                <w:rStyle w:val="Caption1Char"/>
                <w:b/>
                <w:bCs/>
              </w:rPr>
              <w:instrText xml:space="preserve"> SEQ Figure \* ARABIC \s 1 </w:instrText>
            </w:r>
            <w:r w:rsidR="009E6558" w:rsidRPr="005659DE">
              <w:rPr>
                <w:rStyle w:val="Caption1Char"/>
                <w:b/>
                <w:bCs/>
              </w:rPr>
              <w:fldChar w:fldCharType="separate"/>
            </w:r>
            <w:r w:rsidR="0036047A">
              <w:rPr>
                <w:rStyle w:val="Caption1Char"/>
                <w:b/>
                <w:bCs/>
                <w:noProof/>
              </w:rPr>
              <w:t>9</w:t>
            </w:r>
            <w:r w:rsidR="009E6558" w:rsidRPr="005659DE">
              <w:rPr>
                <w:rStyle w:val="Caption1Char"/>
                <w:b/>
                <w:bCs/>
              </w:rPr>
              <w:fldChar w:fldCharType="end"/>
            </w:r>
            <w:bookmarkEnd w:id="65"/>
            <w:r w:rsidRPr="005659DE">
              <w:rPr>
                <w:rStyle w:val="Caption1Char"/>
                <w:b/>
                <w:bCs/>
              </w:rPr>
              <w:t>: D</w:t>
            </w:r>
            <w:r w:rsidR="00B53F2C">
              <w:rPr>
                <w:rStyle w:val="Caption1Char"/>
                <w:b/>
                <w:bCs/>
              </w:rPr>
              <w:t xml:space="preserve">isability </w:t>
            </w:r>
            <w:r w:rsidRPr="005659DE">
              <w:rPr>
                <w:rStyle w:val="Caption1Char"/>
                <w:b/>
                <w:bCs/>
              </w:rPr>
              <w:t>S</w:t>
            </w:r>
            <w:r w:rsidR="00B53F2C">
              <w:rPr>
                <w:rStyle w:val="Caption1Char"/>
                <w:b/>
                <w:bCs/>
              </w:rPr>
              <w:t xml:space="preserve">upport </w:t>
            </w:r>
            <w:r w:rsidRPr="005659DE">
              <w:rPr>
                <w:rStyle w:val="Caption1Char"/>
                <w:b/>
                <w:bCs/>
              </w:rPr>
              <w:t>P</w:t>
            </w:r>
            <w:r w:rsidR="00B53F2C">
              <w:rPr>
                <w:rStyle w:val="Caption1Char"/>
                <w:b/>
                <w:bCs/>
              </w:rPr>
              <w:t>ension</w:t>
            </w:r>
            <w:r w:rsidRPr="005659DE">
              <w:rPr>
                <w:rStyle w:val="Caption1Char"/>
                <w:b/>
                <w:bCs/>
              </w:rPr>
              <w:t xml:space="preserve"> </w:t>
            </w:r>
            <w:r w:rsidR="00D07610">
              <w:rPr>
                <w:rStyle w:val="Caption1Char"/>
                <w:b/>
                <w:bCs/>
              </w:rPr>
              <w:t>R</w:t>
            </w:r>
            <w:r w:rsidRPr="005659DE">
              <w:rPr>
                <w:rStyle w:val="Caption1Char"/>
                <w:b/>
                <w:bCs/>
              </w:rPr>
              <w:t xml:space="preserve">ecipients and the </w:t>
            </w:r>
            <w:r w:rsidR="00D07610">
              <w:rPr>
                <w:rStyle w:val="Caption1Char"/>
                <w:b/>
                <w:bCs/>
              </w:rPr>
              <w:t>U</w:t>
            </w:r>
            <w:r w:rsidRPr="005659DE">
              <w:rPr>
                <w:rStyle w:val="Caption1Char"/>
                <w:b/>
                <w:bCs/>
              </w:rPr>
              <w:t xml:space="preserve">nemployment </w:t>
            </w:r>
            <w:r w:rsidR="00D07610">
              <w:rPr>
                <w:rStyle w:val="Caption1Char"/>
                <w:b/>
                <w:bCs/>
              </w:rPr>
              <w:t>R</w:t>
            </w:r>
            <w:r w:rsidRPr="005659DE">
              <w:rPr>
                <w:rStyle w:val="Caption1Char"/>
                <w:b/>
                <w:bCs/>
              </w:rPr>
              <w:t>ate</w:t>
            </w:r>
            <w:bookmarkEnd w:id="66"/>
            <w:bookmarkEnd w:id="67"/>
            <w:bookmarkEnd w:id="68"/>
            <w:bookmarkEnd w:id="69"/>
            <w:bookmarkEnd w:id="70"/>
            <w:bookmarkEnd w:id="71"/>
          </w:p>
          <w:p w:rsidR="00EB09E7" w:rsidRDefault="00A353C9" w:rsidP="006C190E">
            <w:pPr>
              <w:pStyle w:val="BodyText"/>
              <w:spacing w:before="0" w:after="0"/>
              <w:jc w:val="center"/>
            </w:pPr>
            <w:r>
              <w:rPr>
                <w:noProof/>
              </w:rPr>
              <w:drawing>
                <wp:inline distT="0" distB="0" distL="0" distR="0" wp14:anchorId="3A88ADF4" wp14:editId="28862C7A">
                  <wp:extent cx="5066030" cy="3066415"/>
                  <wp:effectExtent l="0" t="0" r="127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066030" cy="3066415"/>
                          </a:xfrm>
                          <a:prstGeom prst="rect">
                            <a:avLst/>
                          </a:prstGeom>
                          <a:noFill/>
                        </pic:spPr>
                      </pic:pic>
                    </a:graphicData>
                  </a:graphic>
                </wp:inline>
              </w:drawing>
            </w:r>
          </w:p>
          <w:p w:rsidR="00EB09E7" w:rsidRDefault="00EB09E7" w:rsidP="00F33957">
            <w:pPr>
              <w:pStyle w:val="Source1"/>
            </w:pPr>
            <w:r>
              <w:t xml:space="preserve">Source: ABS Cat. No. 6202.1 and DSS </w:t>
            </w:r>
            <w:r w:rsidR="00626E15">
              <w:t>published</w:t>
            </w:r>
            <w:r>
              <w:t xml:space="preserve"> data</w:t>
            </w:r>
          </w:p>
          <w:p w:rsidR="00F52080" w:rsidRDefault="009957DF" w:rsidP="006F15D5">
            <w:pPr>
              <w:pStyle w:val="BodyText17ptAbove"/>
            </w:pPr>
            <w:r>
              <w:t>From 1991</w:t>
            </w:r>
            <w:r w:rsidR="006E1615">
              <w:t>–92 to 2006–</w:t>
            </w:r>
            <w:r>
              <w:t xml:space="preserve">07 </w:t>
            </w:r>
            <w:r w:rsidR="00947D8A">
              <w:t xml:space="preserve">the unemployment rate and </w:t>
            </w:r>
            <w:r w:rsidR="00B64139">
              <w:t xml:space="preserve">change </w:t>
            </w:r>
            <w:r w:rsidR="00230BDD">
              <w:t>in the number of people on the DSP</w:t>
            </w:r>
            <w:r w:rsidR="004E6516">
              <w:t xml:space="preserve"> as a proportion of the working-age population</w:t>
            </w:r>
            <w:r w:rsidR="00F52080">
              <w:t xml:space="preserve"> broadly</w:t>
            </w:r>
            <w:r w:rsidR="00947D8A">
              <w:t xml:space="preserve"> followed</w:t>
            </w:r>
            <w:r w:rsidR="003D368A">
              <w:t xml:space="preserve"> a</w:t>
            </w:r>
            <w:r w:rsidR="0014644F">
              <w:t xml:space="preserve"> similar</w:t>
            </w:r>
            <w:r w:rsidR="00947D8A">
              <w:t xml:space="preserve"> downward trajectory.</w:t>
            </w:r>
            <w:r w:rsidR="00771000">
              <w:t xml:space="preserve"> </w:t>
            </w:r>
            <w:r w:rsidR="00947D8A">
              <w:t xml:space="preserve"> </w:t>
            </w:r>
            <w:r w:rsidR="00D955B0">
              <w:t xml:space="preserve">With the onset of the </w:t>
            </w:r>
            <w:r w:rsidR="00555403">
              <w:t>GFC</w:t>
            </w:r>
            <w:r w:rsidR="00D955B0">
              <w:t>, the unemployment</w:t>
            </w:r>
            <w:r w:rsidR="00F52080">
              <w:t xml:space="preserve"> rate </w:t>
            </w:r>
            <w:r w:rsidR="00955D32">
              <w:t>increased to</w:t>
            </w:r>
            <w:r w:rsidR="00D072BC">
              <w:t xml:space="preserve"> 5.7</w:t>
            </w:r>
            <w:r w:rsidR="00ED467A">
              <w:t> </w:t>
            </w:r>
            <w:r w:rsidR="00D072BC">
              <w:t>per cent in 2009</w:t>
            </w:r>
            <w:r w:rsidR="006E1615">
              <w:t>–</w:t>
            </w:r>
            <w:r w:rsidR="00D072BC">
              <w:t>10</w:t>
            </w:r>
            <w:r w:rsidR="00D955B0">
              <w:t xml:space="preserve">.  This corresponded with </w:t>
            </w:r>
            <w:r w:rsidR="00F52080">
              <w:t>a</w:t>
            </w:r>
            <w:r w:rsidR="00230BDD">
              <w:t>n</w:t>
            </w:r>
            <w:r w:rsidR="00F52080">
              <w:t xml:space="preserve"> </w:t>
            </w:r>
            <w:r w:rsidR="00955D32">
              <w:t>increase</w:t>
            </w:r>
            <w:r w:rsidR="00F52080">
              <w:t xml:space="preserve"> in</w:t>
            </w:r>
            <w:r w:rsidR="00327267">
              <w:t xml:space="preserve"> the number of people on the</w:t>
            </w:r>
            <w:r w:rsidR="00F52080">
              <w:t xml:space="preserve"> </w:t>
            </w:r>
            <w:r w:rsidR="00327267">
              <w:t>DSP</w:t>
            </w:r>
            <w:r w:rsidR="00D955B0">
              <w:t xml:space="preserve"> </w:t>
            </w:r>
            <w:r w:rsidR="00F52080">
              <w:t>i</w:t>
            </w:r>
            <w:r w:rsidR="00D955B0">
              <w:t xml:space="preserve">n the same </w:t>
            </w:r>
            <w:r w:rsidR="00D072BC">
              <w:t>year</w:t>
            </w:r>
            <w:r w:rsidR="00F52080">
              <w:t>.</w:t>
            </w:r>
            <w:r w:rsidR="001C4FD1" w:rsidRPr="00004478">
              <w:rPr>
                <w:rStyle w:val="FootnoteReference"/>
              </w:rPr>
              <w:footnoteReference w:id="17"/>
            </w:r>
            <w:r w:rsidR="00F52080">
              <w:t xml:space="preserve">  </w:t>
            </w:r>
          </w:p>
          <w:p w:rsidR="00F52080" w:rsidRDefault="00F52080" w:rsidP="00187D0A">
            <w:pPr>
              <w:pStyle w:val="BodyText"/>
              <w:keepNext/>
              <w:keepLines/>
              <w:spacing w:after="0"/>
            </w:pPr>
            <w:r>
              <w:t xml:space="preserve">The unemployment rate rose marginally over the period </w:t>
            </w:r>
            <w:r w:rsidR="000B18BF">
              <w:t>2010</w:t>
            </w:r>
            <w:r w:rsidR="006E1615">
              <w:t>–</w:t>
            </w:r>
            <w:r w:rsidR="000B18BF">
              <w:t>11</w:t>
            </w:r>
            <w:r>
              <w:t xml:space="preserve"> to 2016</w:t>
            </w:r>
            <w:r w:rsidR="006E1615">
              <w:t>–</w:t>
            </w:r>
            <w:r>
              <w:t>17, averaging around 6 per cent. However</w:t>
            </w:r>
            <w:r w:rsidR="004E6516">
              <w:t>,</w:t>
            </w:r>
            <w:r>
              <w:t xml:space="preserve"> </w:t>
            </w:r>
            <w:r w:rsidR="000B18BF">
              <w:t xml:space="preserve">over the same period </w:t>
            </w:r>
            <w:r>
              <w:t xml:space="preserve">the growth in DSP recipients has fallen sharply. </w:t>
            </w:r>
          </w:p>
          <w:p w:rsidR="00EB09E7" w:rsidRDefault="00F52080" w:rsidP="00187D0A">
            <w:pPr>
              <w:pStyle w:val="BodyText"/>
              <w:keepNext/>
              <w:keepLines/>
            </w:pPr>
            <w:r>
              <w:t xml:space="preserve">This </w:t>
            </w:r>
            <w:r w:rsidR="0014644F">
              <w:t xml:space="preserve">highlights how dominant a factor the recent policy changes have been on DSP recipient growth, </w:t>
            </w:r>
            <w:r w:rsidR="00376D85">
              <w:t xml:space="preserve">overshadowing </w:t>
            </w:r>
            <w:r w:rsidR="00B64139">
              <w:t xml:space="preserve">the </w:t>
            </w:r>
            <w:r w:rsidR="00C85716">
              <w:t>link</w:t>
            </w:r>
            <w:r w:rsidR="00376D85">
              <w:t xml:space="preserve"> with </w:t>
            </w:r>
            <w:r w:rsidR="0014644F">
              <w:t>underlying labour market conditions</w:t>
            </w:r>
            <w:r w:rsidR="00376D85">
              <w:t>.</w:t>
            </w:r>
            <w:r w:rsidR="00C85716" w:rsidRPr="00004478">
              <w:rPr>
                <w:rStyle w:val="FootnoteReference"/>
              </w:rPr>
              <w:footnoteReference w:id="18"/>
            </w:r>
          </w:p>
        </w:tc>
      </w:tr>
    </w:tbl>
    <w:p w:rsidR="00905521" w:rsidRDefault="003D368A" w:rsidP="008D1CEC">
      <w:pPr>
        <w:pStyle w:val="Heading4"/>
      </w:pPr>
      <w:r>
        <w:t>P</w:t>
      </w:r>
      <w:r w:rsidR="004F4605">
        <w:t>rimary medical condition</w:t>
      </w:r>
      <w:r>
        <w:t xml:space="preserve"> and age</w:t>
      </w:r>
    </w:p>
    <w:p w:rsidR="004F4605" w:rsidRDefault="004F4605" w:rsidP="00320CEF">
      <w:pPr>
        <w:pStyle w:val="BodyText"/>
        <w:spacing w:before="0" w:after="0"/>
      </w:pPr>
      <w:r w:rsidRPr="00A16124">
        <w:t xml:space="preserve">The composition of </w:t>
      </w:r>
      <w:r w:rsidR="0033077F" w:rsidRPr="00A16124">
        <w:t xml:space="preserve">new </w:t>
      </w:r>
      <w:r w:rsidR="00D34A44" w:rsidRPr="00A16124">
        <w:t>DSP recipients</w:t>
      </w:r>
      <w:r w:rsidRPr="00A16124">
        <w:t xml:space="preserve"> has changed significantly over the past 15 years</w:t>
      </w:r>
      <w:r w:rsidR="00B74EDB" w:rsidRPr="00A16124">
        <w:t>, with</w:t>
      </w:r>
      <w:r w:rsidR="00B74EDB">
        <w:t xml:space="preserve"> t</w:t>
      </w:r>
      <w:r>
        <w:t xml:space="preserve">he </w:t>
      </w:r>
      <w:r w:rsidR="00D072BC">
        <w:t xml:space="preserve">type of medical condition and age </w:t>
      </w:r>
      <w:r>
        <w:t xml:space="preserve">of new entrants </w:t>
      </w:r>
      <w:r w:rsidR="00B74EDB">
        <w:t>shifting over the period</w:t>
      </w:r>
      <w:r w:rsidR="006D06E9">
        <w:t xml:space="preserve"> </w:t>
      </w:r>
      <w:r w:rsidR="006D06E9" w:rsidRPr="00EA0351">
        <w:t>(</w:t>
      </w:r>
      <w:r w:rsidR="00320CEF" w:rsidRPr="00EA0351">
        <w:fldChar w:fldCharType="begin"/>
      </w:r>
      <w:r w:rsidR="00320CEF" w:rsidRPr="00EA0351">
        <w:instrText xml:space="preserve"> REF _Ref500922231 \h </w:instrText>
      </w:r>
      <w:r w:rsidR="00EA0351">
        <w:instrText xml:space="preserve"> \* MERGEFORMAT </w:instrText>
      </w:r>
      <w:r w:rsidR="00320CEF" w:rsidRPr="00EA0351">
        <w:fldChar w:fldCharType="separate"/>
      </w:r>
      <w:r w:rsidR="0036047A" w:rsidRPr="00EA0351">
        <w:t xml:space="preserve">Table </w:t>
      </w:r>
      <w:r w:rsidR="0036047A">
        <w:rPr>
          <w:noProof/>
        </w:rPr>
        <w:t>2</w:t>
      </w:r>
      <w:r w:rsidR="0036047A" w:rsidRPr="00EA0351">
        <w:t>–</w:t>
      </w:r>
      <w:r w:rsidR="0036047A">
        <w:rPr>
          <w:noProof/>
        </w:rPr>
        <w:t>1</w:t>
      </w:r>
      <w:r w:rsidR="00320CEF" w:rsidRPr="00EA0351">
        <w:fldChar w:fldCharType="end"/>
      </w:r>
      <w:r w:rsidR="006D06E9" w:rsidRPr="00EA0351">
        <w:t>)</w:t>
      </w:r>
      <w:r w:rsidR="00B74EDB" w:rsidRPr="00EA0351">
        <w:t>.</w:t>
      </w:r>
      <w:r w:rsidR="00B74EDB">
        <w:t xml:space="preserve"> </w:t>
      </w:r>
      <w:r w:rsidR="00561E97">
        <w:t xml:space="preserve"> </w:t>
      </w:r>
    </w:p>
    <w:p w:rsidR="006E1615" w:rsidRPr="006E1615" w:rsidRDefault="006E1615" w:rsidP="00D07610">
      <w:pPr>
        <w:pStyle w:val="Caption"/>
        <w:keepLines/>
        <w:jc w:val="center"/>
      </w:pPr>
      <w:bookmarkStart w:id="72" w:name="_Ref500922231"/>
      <w:r w:rsidRPr="00EA0351">
        <w:lastRenderedPageBreak/>
        <w:t xml:space="preserve">Table </w:t>
      </w:r>
      <w:fldSimple w:instr=" STYLEREF 1 \s ">
        <w:r w:rsidR="0036047A">
          <w:rPr>
            <w:noProof/>
          </w:rPr>
          <w:t>2</w:t>
        </w:r>
      </w:fldSimple>
      <w:r w:rsidRPr="00EA0351">
        <w:t>–</w:t>
      </w:r>
      <w:fldSimple w:instr=" SEQ Table \* ARABIC \s 1 ">
        <w:r w:rsidR="0036047A">
          <w:rPr>
            <w:noProof/>
          </w:rPr>
          <w:t>1</w:t>
        </w:r>
      </w:fldSimple>
      <w:bookmarkEnd w:id="72"/>
      <w:r w:rsidRPr="00EA0351">
        <w:t xml:space="preserve">: </w:t>
      </w:r>
      <w:r w:rsidR="00D07610">
        <w:t xml:space="preserve">New </w:t>
      </w:r>
      <w:r w:rsidR="00A16124">
        <w:t>D</w:t>
      </w:r>
      <w:r w:rsidR="00D34A44">
        <w:t>i</w:t>
      </w:r>
      <w:r w:rsidRPr="00EA0351">
        <w:t>sability Support Pension</w:t>
      </w:r>
      <w:r w:rsidR="00D07610">
        <w:t xml:space="preserve"> R</w:t>
      </w:r>
      <w:r w:rsidR="00A16124">
        <w:t>ecipients</w:t>
      </w:r>
      <w:r w:rsidR="00D07610">
        <w:t xml:space="preserve"> by Major C</w:t>
      </w:r>
      <w:r w:rsidRPr="00EA0351">
        <w:t>ondition</w:t>
      </w:r>
    </w:p>
    <w:tbl>
      <w:tblPr>
        <w:tblStyle w:val="TableGrid"/>
        <w:tblW w:w="0" w:type="auto"/>
        <w:tblLayout w:type="fixed"/>
        <w:tblLook w:val="04A0" w:firstRow="1" w:lastRow="0" w:firstColumn="1" w:lastColumn="0" w:noHBand="0" w:noVBand="1"/>
      </w:tblPr>
      <w:tblGrid>
        <w:gridCol w:w="2340"/>
        <w:gridCol w:w="1260"/>
        <w:gridCol w:w="1080"/>
        <w:gridCol w:w="1170"/>
        <w:gridCol w:w="1170"/>
        <w:gridCol w:w="1293"/>
      </w:tblGrid>
      <w:tr w:rsidR="00592363" w:rsidRPr="00592363" w:rsidTr="007D245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40" w:type="dxa"/>
            <w:vMerge w:val="restart"/>
            <w:vAlign w:val="center"/>
          </w:tcPr>
          <w:p w:rsidR="00497E70" w:rsidRPr="0066057A" w:rsidRDefault="00497E70" w:rsidP="007D2458">
            <w:pPr>
              <w:pStyle w:val="Source"/>
              <w:keepNext/>
              <w:keepLines/>
              <w:spacing w:before="40" w:after="40"/>
              <w:contextualSpacing w:val="0"/>
              <w:rPr>
                <w:b/>
                <w:color w:val="FFFFFF" w:themeColor="background1"/>
                <w:szCs w:val="20"/>
              </w:rPr>
            </w:pPr>
            <w:r w:rsidRPr="0066057A">
              <w:rPr>
                <w:b/>
                <w:color w:val="FFFFFF" w:themeColor="background1"/>
                <w:szCs w:val="20"/>
              </w:rPr>
              <w:t>Category</w:t>
            </w:r>
          </w:p>
        </w:tc>
        <w:tc>
          <w:tcPr>
            <w:tcW w:w="2340" w:type="dxa"/>
            <w:gridSpan w:val="2"/>
          </w:tcPr>
          <w:p w:rsidR="00497E70" w:rsidRPr="0066057A" w:rsidRDefault="00152736" w:rsidP="00504CFE">
            <w:pPr>
              <w:pStyle w:val="Source"/>
              <w:keepNext/>
              <w:keepLines/>
              <w:spacing w:before="40" w:after="40"/>
              <w:contextualSpacing w:val="0"/>
              <w:cnfStyle w:val="100000000000" w:firstRow="1" w:lastRow="0" w:firstColumn="0" w:lastColumn="0" w:oddVBand="0" w:evenVBand="0" w:oddHBand="0" w:evenHBand="0" w:firstRowFirstColumn="0" w:firstRowLastColumn="0" w:lastRowFirstColumn="0" w:lastRowLastColumn="0"/>
              <w:rPr>
                <w:b/>
                <w:color w:val="FFFFFF" w:themeColor="background1"/>
                <w:szCs w:val="20"/>
              </w:rPr>
            </w:pPr>
            <w:r w:rsidRPr="0066057A">
              <w:rPr>
                <w:b/>
                <w:color w:val="FFFFFF" w:themeColor="background1"/>
                <w:szCs w:val="20"/>
              </w:rPr>
              <w:t>Entries</w:t>
            </w:r>
            <w:r w:rsidR="00497E70" w:rsidRPr="0066057A">
              <w:rPr>
                <w:b/>
                <w:color w:val="FFFFFF" w:themeColor="background1"/>
                <w:szCs w:val="20"/>
              </w:rPr>
              <w:t xml:space="preserve"> (‘000)</w:t>
            </w:r>
          </w:p>
        </w:tc>
        <w:tc>
          <w:tcPr>
            <w:tcW w:w="2340" w:type="dxa"/>
            <w:gridSpan w:val="2"/>
          </w:tcPr>
          <w:p w:rsidR="00497E70" w:rsidRPr="0066057A" w:rsidRDefault="00B61216" w:rsidP="00504CFE">
            <w:pPr>
              <w:pStyle w:val="Source"/>
              <w:keepNext/>
              <w:keepLines/>
              <w:spacing w:before="40" w:after="40"/>
              <w:contextualSpacing w:val="0"/>
              <w:cnfStyle w:val="100000000000" w:firstRow="1" w:lastRow="0" w:firstColumn="0" w:lastColumn="0" w:oddVBand="0" w:evenVBand="0" w:oddHBand="0" w:evenHBand="0" w:firstRowFirstColumn="0" w:firstRowLastColumn="0" w:lastRowFirstColumn="0" w:lastRowLastColumn="0"/>
              <w:rPr>
                <w:b/>
                <w:color w:val="FFFFFF" w:themeColor="background1"/>
                <w:szCs w:val="20"/>
              </w:rPr>
            </w:pPr>
            <w:r w:rsidRPr="0066057A">
              <w:rPr>
                <w:b/>
                <w:color w:val="FFFFFF" w:themeColor="background1"/>
                <w:szCs w:val="20"/>
              </w:rPr>
              <w:t xml:space="preserve">Share of </w:t>
            </w:r>
            <w:r w:rsidR="001D0F28" w:rsidRPr="0066057A">
              <w:rPr>
                <w:b/>
                <w:color w:val="FFFFFF" w:themeColor="background1"/>
                <w:szCs w:val="20"/>
              </w:rPr>
              <w:t xml:space="preserve">total </w:t>
            </w:r>
            <w:r w:rsidRPr="0066057A">
              <w:rPr>
                <w:b/>
                <w:color w:val="FFFFFF" w:themeColor="background1"/>
                <w:szCs w:val="20"/>
              </w:rPr>
              <w:t>entries</w:t>
            </w:r>
            <w:r w:rsidR="001D0F28" w:rsidRPr="0066057A">
              <w:rPr>
                <w:b/>
                <w:color w:val="FFFFFF" w:themeColor="background1"/>
                <w:szCs w:val="20"/>
              </w:rPr>
              <w:t xml:space="preserve"> (%)</w:t>
            </w:r>
          </w:p>
        </w:tc>
        <w:tc>
          <w:tcPr>
            <w:tcW w:w="1293" w:type="dxa"/>
          </w:tcPr>
          <w:p w:rsidR="00497E70" w:rsidRPr="0066057A" w:rsidRDefault="00497E70" w:rsidP="00504CFE">
            <w:pPr>
              <w:pStyle w:val="Source"/>
              <w:keepNext/>
              <w:keepLines/>
              <w:spacing w:before="40" w:after="40"/>
              <w:contextualSpacing w:val="0"/>
              <w:cnfStyle w:val="100000000000" w:firstRow="1" w:lastRow="0" w:firstColumn="0" w:lastColumn="0" w:oddVBand="0" w:evenVBand="0" w:oddHBand="0" w:evenHBand="0" w:firstRowFirstColumn="0" w:firstRowLastColumn="0" w:lastRowFirstColumn="0" w:lastRowLastColumn="0"/>
              <w:rPr>
                <w:b/>
                <w:color w:val="auto"/>
                <w:szCs w:val="20"/>
              </w:rPr>
            </w:pPr>
            <w:r w:rsidRPr="0066057A">
              <w:rPr>
                <w:b/>
                <w:color w:val="auto"/>
                <w:szCs w:val="20"/>
              </w:rPr>
              <w:t>Average age</w:t>
            </w:r>
          </w:p>
        </w:tc>
      </w:tr>
      <w:tr w:rsidR="00C9149B" w:rsidRPr="00592363" w:rsidTr="00A62D77">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2340" w:type="dxa"/>
            <w:vMerge/>
            <w:shd w:val="clear" w:color="auto" w:fill="2B3B5F" w:themeFill="text2"/>
          </w:tcPr>
          <w:p w:rsidR="00B61216" w:rsidRPr="0066057A" w:rsidRDefault="00B61216" w:rsidP="00504CFE">
            <w:pPr>
              <w:pStyle w:val="Source"/>
              <w:keepNext/>
              <w:keepLines/>
              <w:spacing w:before="40" w:after="40"/>
              <w:contextualSpacing w:val="0"/>
              <w:rPr>
                <w:b/>
                <w:color w:val="FFFFFF" w:themeColor="background1"/>
                <w:szCs w:val="20"/>
              </w:rPr>
            </w:pPr>
          </w:p>
        </w:tc>
        <w:tc>
          <w:tcPr>
            <w:tcW w:w="1260" w:type="dxa"/>
            <w:shd w:val="clear" w:color="auto" w:fill="2B3B5F" w:themeFill="text2"/>
          </w:tcPr>
          <w:p w:rsidR="00B61216" w:rsidRPr="0066057A" w:rsidRDefault="00B61216" w:rsidP="00504CFE">
            <w:pPr>
              <w:pStyle w:val="Source"/>
              <w:keepNext/>
              <w:keepLines/>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66057A">
              <w:rPr>
                <w:b/>
                <w:color w:val="FFFFFF" w:themeColor="background1"/>
                <w:szCs w:val="20"/>
              </w:rPr>
              <w:t>2001</w:t>
            </w:r>
            <w:r w:rsidR="00B85F58" w:rsidRPr="0066057A">
              <w:rPr>
                <w:b/>
                <w:color w:val="FFFFFF" w:themeColor="background1"/>
                <w:szCs w:val="20"/>
              </w:rPr>
              <w:t>–</w:t>
            </w:r>
            <w:r w:rsidRPr="0066057A">
              <w:rPr>
                <w:b/>
                <w:color w:val="FFFFFF" w:themeColor="background1"/>
                <w:szCs w:val="20"/>
              </w:rPr>
              <w:t>02</w:t>
            </w:r>
          </w:p>
        </w:tc>
        <w:tc>
          <w:tcPr>
            <w:tcW w:w="1080" w:type="dxa"/>
            <w:shd w:val="clear" w:color="auto" w:fill="2B3B5F" w:themeFill="text2"/>
          </w:tcPr>
          <w:p w:rsidR="00B61216" w:rsidRPr="0066057A" w:rsidRDefault="00B61216" w:rsidP="00504CFE">
            <w:pPr>
              <w:pStyle w:val="Source"/>
              <w:keepNext/>
              <w:keepLines/>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66057A">
              <w:rPr>
                <w:b/>
                <w:color w:val="FFFFFF" w:themeColor="background1"/>
                <w:szCs w:val="20"/>
              </w:rPr>
              <w:t>2016</w:t>
            </w:r>
            <w:r w:rsidR="00B85F58" w:rsidRPr="0066057A">
              <w:rPr>
                <w:b/>
                <w:color w:val="FFFFFF" w:themeColor="background1"/>
                <w:szCs w:val="20"/>
              </w:rPr>
              <w:t>–</w:t>
            </w:r>
            <w:r w:rsidRPr="0066057A">
              <w:rPr>
                <w:b/>
                <w:color w:val="FFFFFF" w:themeColor="background1"/>
                <w:szCs w:val="20"/>
              </w:rPr>
              <w:t>17</w:t>
            </w:r>
          </w:p>
        </w:tc>
        <w:tc>
          <w:tcPr>
            <w:tcW w:w="1170" w:type="dxa"/>
            <w:shd w:val="clear" w:color="auto" w:fill="2B3B5F" w:themeFill="text2"/>
          </w:tcPr>
          <w:p w:rsidR="00B61216" w:rsidRPr="0066057A" w:rsidRDefault="00B61216" w:rsidP="00504CFE">
            <w:pPr>
              <w:pStyle w:val="Source"/>
              <w:keepNext/>
              <w:keepLines/>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66057A">
              <w:rPr>
                <w:b/>
                <w:color w:val="FFFFFF" w:themeColor="background1"/>
                <w:szCs w:val="20"/>
              </w:rPr>
              <w:t>2001</w:t>
            </w:r>
            <w:r w:rsidR="00B85F58" w:rsidRPr="0066057A">
              <w:rPr>
                <w:b/>
                <w:color w:val="FFFFFF" w:themeColor="background1"/>
                <w:szCs w:val="20"/>
              </w:rPr>
              <w:t>–</w:t>
            </w:r>
            <w:r w:rsidRPr="0066057A">
              <w:rPr>
                <w:b/>
                <w:color w:val="FFFFFF" w:themeColor="background1"/>
                <w:szCs w:val="20"/>
              </w:rPr>
              <w:t>02</w:t>
            </w:r>
          </w:p>
        </w:tc>
        <w:tc>
          <w:tcPr>
            <w:tcW w:w="1170" w:type="dxa"/>
            <w:shd w:val="clear" w:color="auto" w:fill="2B3B5F" w:themeFill="text2"/>
          </w:tcPr>
          <w:p w:rsidR="00B61216" w:rsidRPr="0066057A" w:rsidRDefault="00B85F58" w:rsidP="00504CFE">
            <w:pPr>
              <w:pStyle w:val="Source"/>
              <w:keepNext/>
              <w:keepLines/>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b/>
                <w:color w:val="FFFFFF" w:themeColor="background1"/>
                <w:szCs w:val="20"/>
              </w:rPr>
            </w:pPr>
            <w:r w:rsidRPr="0066057A">
              <w:rPr>
                <w:b/>
                <w:color w:val="FFFFFF" w:themeColor="background1"/>
                <w:szCs w:val="20"/>
              </w:rPr>
              <w:t>2016–</w:t>
            </w:r>
            <w:r w:rsidR="00B61216" w:rsidRPr="0066057A">
              <w:rPr>
                <w:b/>
                <w:color w:val="FFFFFF" w:themeColor="background1"/>
                <w:szCs w:val="20"/>
              </w:rPr>
              <w:t>17</w:t>
            </w:r>
          </w:p>
        </w:tc>
        <w:tc>
          <w:tcPr>
            <w:tcW w:w="1293" w:type="dxa"/>
            <w:shd w:val="clear" w:color="auto" w:fill="2B3B5F" w:themeFill="text2"/>
          </w:tcPr>
          <w:p w:rsidR="00B61216" w:rsidRPr="0066057A" w:rsidRDefault="00B61216" w:rsidP="00504CFE">
            <w:pPr>
              <w:pStyle w:val="Source"/>
              <w:keepNext/>
              <w:keepLines/>
              <w:spacing w:before="40" w:after="40"/>
              <w:contextualSpacing w:val="0"/>
              <w:jc w:val="center"/>
              <w:cnfStyle w:val="000000100000" w:firstRow="0" w:lastRow="0" w:firstColumn="0" w:lastColumn="0" w:oddVBand="0" w:evenVBand="0" w:oddHBand="1" w:evenHBand="0" w:firstRowFirstColumn="0" w:firstRowLastColumn="0" w:lastRowFirstColumn="0" w:lastRowLastColumn="0"/>
              <w:rPr>
                <w:b/>
                <w:color w:val="auto"/>
                <w:szCs w:val="20"/>
              </w:rPr>
            </w:pPr>
            <w:r w:rsidRPr="0066057A">
              <w:rPr>
                <w:b/>
                <w:color w:val="auto"/>
                <w:szCs w:val="20"/>
              </w:rPr>
              <w:t>2016</w:t>
            </w:r>
            <w:r w:rsidR="00B85F58" w:rsidRPr="0066057A">
              <w:rPr>
                <w:b/>
                <w:color w:val="auto"/>
                <w:szCs w:val="20"/>
              </w:rPr>
              <w:t>–</w:t>
            </w:r>
            <w:r w:rsidRPr="0066057A">
              <w:rPr>
                <w:b/>
                <w:color w:val="auto"/>
                <w:szCs w:val="20"/>
              </w:rPr>
              <w:t>17</w:t>
            </w:r>
          </w:p>
        </w:tc>
      </w:tr>
      <w:tr w:rsidR="00555403" w:rsidRPr="00592363" w:rsidTr="00F33957">
        <w:tc>
          <w:tcPr>
            <w:cnfStyle w:val="001000000000" w:firstRow="0" w:lastRow="0" w:firstColumn="1" w:lastColumn="0" w:oddVBand="0" w:evenVBand="0" w:oddHBand="0" w:evenHBand="0" w:firstRowFirstColumn="0" w:firstRowLastColumn="0" w:lastRowFirstColumn="0" w:lastRowLastColumn="0"/>
            <w:tcW w:w="2340" w:type="dxa"/>
            <w:shd w:val="clear" w:color="auto" w:fill="D7DDE9" w:themeFill="accent3"/>
          </w:tcPr>
          <w:p w:rsidR="00555403" w:rsidRPr="0066057A" w:rsidRDefault="00555403" w:rsidP="00504CFE">
            <w:pPr>
              <w:pStyle w:val="Source"/>
              <w:keepNext/>
              <w:keepLines/>
              <w:spacing w:before="40" w:after="40" w:line="240" w:lineRule="auto"/>
              <w:contextualSpacing w:val="0"/>
              <w:rPr>
                <w:color w:val="2B3B5F" w:themeColor="text2"/>
                <w:szCs w:val="20"/>
              </w:rPr>
            </w:pPr>
            <w:r w:rsidRPr="0066057A">
              <w:rPr>
                <w:color w:val="2B3B5F" w:themeColor="text2"/>
                <w:szCs w:val="20"/>
              </w:rPr>
              <w:t>Musculoskeletal (total)</w:t>
            </w:r>
          </w:p>
        </w:tc>
        <w:tc>
          <w:tcPr>
            <w:tcW w:w="126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31.4</w:t>
            </w:r>
          </w:p>
        </w:tc>
        <w:tc>
          <w:tcPr>
            <w:tcW w:w="108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3.5</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39.4</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10.9</w:t>
            </w:r>
          </w:p>
        </w:tc>
        <w:tc>
          <w:tcPr>
            <w:tcW w:w="1293" w:type="dxa"/>
            <w:shd w:val="clear" w:color="auto" w:fill="D7DDE9" w:themeFill="accent3"/>
          </w:tcPr>
          <w:p w:rsidR="00555403" w:rsidRPr="0066057A" w:rsidRDefault="00555403" w:rsidP="00504CFE">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olor w:val="2B3B5F"/>
                <w:szCs w:val="20"/>
              </w:rPr>
            </w:pPr>
            <w:r w:rsidRPr="0066057A">
              <w:rPr>
                <w:rFonts w:ascii="Calibri" w:hAnsi="Calibri"/>
                <w:color w:val="2B3B5F"/>
                <w:szCs w:val="20"/>
              </w:rPr>
              <w:t>57</w:t>
            </w:r>
          </w:p>
        </w:tc>
      </w:tr>
      <w:tr w:rsidR="00555403" w:rsidRPr="00592363" w:rsidTr="00F3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 xml:space="preserve"> Male </w:t>
            </w:r>
          </w:p>
        </w:tc>
        <w:tc>
          <w:tcPr>
            <w:tcW w:w="126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18.9</w:t>
            </w:r>
          </w:p>
        </w:tc>
        <w:tc>
          <w:tcPr>
            <w:tcW w:w="108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2.0</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23.7</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6.1</w:t>
            </w:r>
          </w:p>
        </w:tc>
        <w:tc>
          <w:tcPr>
            <w:tcW w:w="1293" w:type="dxa"/>
            <w:shd w:val="clear" w:color="auto" w:fill="FFFFFF" w:themeFill="background1"/>
          </w:tcPr>
          <w:p w:rsidR="00555403" w:rsidRPr="0066057A" w:rsidRDefault="00555403" w:rsidP="00504CF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i/>
                <w:color w:val="2B3B5F"/>
                <w:szCs w:val="20"/>
              </w:rPr>
            </w:pPr>
            <w:r w:rsidRPr="0066057A">
              <w:rPr>
                <w:rFonts w:ascii="Calibri" w:hAnsi="Calibri"/>
                <w:i/>
                <w:color w:val="2B3B5F"/>
                <w:szCs w:val="20"/>
              </w:rPr>
              <w:t>57</w:t>
            </w:r>
          </w:p>
        </w:tc>
      </w:tr>
      <w:tr w:rsidR="00555403" w:rsidRPr="00592363" w:rsidTr="00F33957">
        <w:tc>
          <w:tcPr>
            <w:cnfStyle w:val="001000000000" w:firstRow="0" w:lastRow="0" w:firstColumn="1" w:lastColumn="0" w:oddVBand="0" w:evenVBand="0" w:oddHBand="0" w:evenHBand="0" w:firstRowFirstColumn="0" w:firstRowLastColumn="0" w:lastRowFirstColumn="0" w:lastRowLastColumn="0"/>
            <w:tcW w:w="2340" w:type="dxa"/>
            <w:shd w:val="clear" w:color="auto" w:fill="D7DDE9" w:themeFill="accent3"/>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Female</w:t>
            </w:r>
          </w:p>
        </w:tc>
        <w:tc>
          <w:tcPr>
            <w:tcW w:w="126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12.6</w:t>
            </w:r>
          </w:p>
        </w:tc>
        <w:tc>
          <w:tcPr>
            <w:tcW w:w="108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1.5</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15.8</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4.8</w:t>
            </w:r>
          </w:p>
        </w:tc>
        <w:tc>
          <w:tcPr>
            <w:tcW w:w="1293" w:type="dxa"/>
            <w:shd w:val="clear" w:color="auto" w:fill="D7DDE9" w:themeFill="accent3"/>
          </w:tcPr>
          <w:p w:rsidR="00555403" w:rsidRPr="0066057A" w:rsidRDefault="00555403" w:rsidP="00504CFE">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i/>
                <w:color w:val="2B3B5F"/>
                <w:szCs w:val="20"/>
              </w:rPr>
            </w:pPr>
            <w:r w:rsidRPr="0066057A">
              <w:rPr>
                <w:rFonts w:ascii="Calibri" w:hAnsi="Calibri"/>
                <w:i/>
                <w:color w:val="2B3B5F"/>
                <w:szCs w:val="20"/>
              </w:rPr>
              <w:t>57</w:t>
            </w:r>
          </w:p>
        </w:tc>
      </w:tr>
      <w:tr w:rsidR="00555403" w:rsidRPr="00592363" w:rsidTr="00F3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tcPr>
          <w:p w:rsidR="00555403" w:rsidRPr="0066057A" w:rsidRDefault="00555403" w:rsidP="00504CFE">
            <w:pPr>
              <w:pStyle w:val="Source"/>
              <w:keepNext/>
              <w:keepLines/>
              <w:spacing w:before="40" w:after="40" w:line="240" w:lineRule="auto"/>
              <w:rPr>
                <w:color w:val="2B3B5F" w:themeColor="text2"/>
                <w:szCs w:val="20"/>
              </w:rPr>
            </w:pPr>
            <w:r w:rsidRPr="0066057A">
              <w:rPr>
                <w:color w:val="2B3B5F" w:themeColor="text2"/>
                <w:szCs w:val="20"/>
              </w:rPr>
              <w:t>Psychological (total)</w:t>
            </w:r>
          </w:p>
        </w:tc>
        <w:tc>
          <w:tcPr>
            <w:tcW w:w="126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color w:val="2B3B5F" w:themeColor="text2"/>
                <w:szCs w:val="20"/>
              </w:rPr>
            </w:pPr>
            <w:r>
              <w:rPr>
                <w:rFonts w:ascii="Calibri" w:hAnsi="Calibri"/>
                <w:color w:val="2B3B5F"/>
                <w:szCs w:val="20"/>
              </w:rPr>
              <w:t>20.0</w:t>
            </w:r>
          </w:p>
        </w:tc>
        <w:tc>
          <w:tcPr>
            <w:tcW w:w="108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color w:val="2B3B5F" w:themeColor="text2"/>
                <w:szCs w:val="20"/>
              </w:rPr>
            </w:pPr>
            <w:r>
              <w:rPr>
                <w:rFonts w:ascii="Calibri" w:hAnsi="Calibri"/>
                <w:color w:val="2B3B5F"/>
                <w:szCs w:val="20"/>
              </w:rPr>
              <w:t>10.4</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color w:val="2B3B5F" w:themeColor="text2"/>
                <w:szCs w:val="20"/>
              </w:rPr>
            </w:pPr>
            <w:r>
              <w:rPr>
                <w:rFonts w:ascii="Calibri" w:hAnsi="Calibri"/>
                <w:color w:val="2B3B5F"/>
                <w:szCs w:val="20"/>
              </w:rPr>
              <w:t>25.1</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color w:val="2B3B5F" w:themeColor="text2"/>
                <w:szCs w:val="20"/>
              </w:rPr>
            </w:pPr>
            <w:r>
              <w:rPr>
                <w:rFonts w:ascii="Calibri" w:hAnsi="Calibri"/>
                <w:color w:val="2B3B5F"/>
                <w:szCs w:val="20"/>
              </w:rPr>
              <w:t>32.7</w:t>
            </w:r>
          </w:p>
        </w:tc>
        <w:tc>
          <w:tcPr>
            <w:tcW w:w="1293" w:type="dxa"/>
            <w:shd w:val="clear" w:color="auto" w:fill="FFFFFF" w:themeFill="background1"/>
          </w:tcPr>
          <w:p w:rsidR="00555403" w:rsidRPr="0066057A" w:rsidRDefault="00555403" w:rsidP="00504CF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olor w:val="2B3B5F"/>
                <w:szCs w:val="20"/>
              </w:rPr>
            </w:pPr>
            <w:r w:rsidRPr="0066057A">
              <w:rPr>
                <w:rFonts w:ascii="Calibri" w:hAnsi="Calibri"/>
                <w:color w:val="2B3B5F"/>
                <w:szCs w:val="20"/>
              </w:rPr>
              <w:t>48</w:t>
            </w:r>
          </w:p>
        </w:tc>
      </w:tr>
      <w:tr w:rsidR="00555403" w:rsidRPr="00592363" w:rsidTr="00F33957">
        <w:tc>
          <w:tcPr>
            <w:cnfStyle w:val="001000000000" w:firstRow="0" w:lastRow="0" w:firstColumn="1" w:lastColumn="0" w:oddVBand="0" w:evenVBand="0" w:oddHBand="0" w:evenHBand="0" w:firstRowFirstColumn="0" w:firstRowLastColumn="0" w:lastRowFirstColumn="0" w:lastRowLastColumn="0"/>
            <w:tcW w:w="2340" w:type="dxa"/>
            <w:shd w:val="clear" w:color="auto" w:fill="D7DDE9" w:themeFill="accent3"/>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Male</w:t>
            </w:r>
          </w:p>
        </w:tc>
        <w:tc>
          <w:tcPr>
            <w:tcW w:w="126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11.6</w:t>
            </w:r>
          </w:p>
        </w:tc>
        <w:tc>
          <w:tcPr>
            <w:tcW w:w="108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6.8</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14.6</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21.2</w:t>
            </w:r>
          </w:p>
        </w:tc>
        <w:tc>
          <w:tcPr>
            <w:tcW w:w="1293" w:type="dxa"/>
            <w:shd w:val="clear" w:color="auto" w:fill="D7DDE9" w:themeFill="accent3"/>
          </w:tcPr>
          <w:p w:rsidR="00555403" w:rsidRPr="0066057A" w:rsidRDefault="00555403" w:rsidP="00504CFE">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i/>
                <w:color w:val="2B3B5F"/>
                <w:szCs w:val="20"/>
              </w:rPr>
            </w:pPr>
            <w:r w:rsidRPr="0066057A">
              <w:rPr>
                <w:rFonts w:ascii="Calibri" w:hAnsi="Calibri"/>
                <w:i/>
                <w:color w:val="2B3B5F"/>
                <w:szCs w:val="20"/>
              </w:rPr>
              <w:t>46</w:t>
            </w:r>
          </w:p>
        </w:tc>
      </w:tr>
      <w:tr w:rsidR="00555403" w:rsidRPr="00592363" w:rsidTr="00F3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Female</w:t>
            </w:r>
          </w:p>
        </w:tc>
        <w:tc>
          <w:tcPr>
            <w:tcW w:w="126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8.4</w:t>
            </w:r>
          </w:p>
        </w:tc>
        <w:tc>
          <w:tcPr>
            <w:tcW w:w="108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3.7</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10.5</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11.5</w:t>
            </w:r>
          </w:p>
        </w:tc>
        <w:tc>
          <w:tcPr>
            <w:tcW w:w="1293" w:type="dxa"/>
            <w:shd w:val="clear" w:color="auto" w:fill="FFFFFF" w:themeFill="background1"/>
          </w:tcPr>
          <w:p w:rsidR="00555403" w:rsidRPr="0066057A" w:rsidRDefault="00555403" w:rsidP="00504CF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i/>
                <w:color w:val="2B3B5F"/>
                <w:szCs w:val="20"/>
              </w:rPr>
            </w:pPr>
            <w:r w:rsidRPr="0066057A">
              <w:rPr>
                <w:rFonts w:ascii="Calibri" w:hAnsi="Calibri"/>
                <w:i/>
                <w:color w:val="2B3B5F"/>
                <w:szCs w:val="20"/>
              </w:rPr>
              <w:t>49</w:t>
            </w:r>
          </w:p>
        </w:tc>
      </w:tr>
      <w:tr w:rsidR="00555403" w:rsidRPr="00592363" w:rsidTr="00F33957">
        <w:tc>
          <w:tcPr>
            <w:cnfStyle w:val="001000000000" w:firstRow="0" w:lastRow="0" w:firstColumn="1" w:lastColumn="0" w:oddVBand="0" w:evenVBand="0" w:oddHBand="0" w:evenHBand="0" w:firstRowFirstColumn="0" w:firstRowLastColumn="0" w:lastRowFirstColumn="0" w:lastRowLastColumn="0"/>
            <w:tcW w:w="2340" w:type="dxa"/>
            <w:shd w:val="clear" w:color="auto" w:fill="D7DDE9" w:themeFill="accent3"/>
          </w:tcPr>
          <w:p w:rsidR="00555403" w:rsidRPr="0066057A" w:rsidRDefault="00555403" w:rsidP="00504CFE">
            <w:pPr>
              <w:pStyle w:val="Source"/>
              <w:keepNext/>
              <w:keepLines/>
              <w:spacing w:before="40" w:after="40" w:line="240" w:lineRule="auto"/>
              <w:rPr>
                <w:color w:val="2B3B5F" w:themeColor="text2"/>
                <w:szCs w:val="20"/>
              </w:rPr>
            </w:pPr>
            <w:r w:rsidRPr="0066057A">
              <w:rPr>
                <w:color w:val="2B3B5F" w:themeColor="text2"/>
                <w:szCs w:val="20"/>
              </w:rPr>
              <w:t>Intellectual (total)</w:t>
            </w:r>
          </w:p>
        </w:tc>
        <w:tc>
          <w:tcPr>
            <w:tcW w:w="126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4.4</w:t>
            </w:r>
          </w:p>
        </w:tc>
        <w:tc>
          <w:tcPr>
            <w:tcW w:w="108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5.3</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5.5</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16.5</w:t>
            </w:r>
          </w:p>
        </w:tc>
        <w:tc>
          <w:tcPr>
            <w:tcW w:w="1293" w:type="dxa"/>
            <w:shd w:val="clear" w:color="auto" w:fill="D7DDE9" w:themeFill="accent3"/>
          </w:tcPr>
          <w:p w:rsidR="00555403" w:rsidRPr="0066057A" w:rsidRDefault="00555403" w:rsidP="00504CFE">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olor w:val="2B3B5F"/>
                <w:szCs w:val="20"/>
              </w:rPr>
            </w:pPr>
            <w:r w:rsidRPr="0066057A">
              <w:rPr>
                <w:rFonts w:ascii="Calibri" w:hAnsi="Calibri"/>
                <w:color w:val="2B3B5F"/>
                <w:szCs w:val="20"/>
              </w:rPr>
              <w:t>37</w:t>
            </w:r>
          </w:p>
        </w:tc>
      </w:tr>
      <w:tr w:rsidR="00555403" w:rsidRPr="00592363" w:rsidTr="00F3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Male</w:t>
            </w:r>
          </w:p>
        </w:tc>
        <w:tc>
          <w:tcPr>
            <w:tcW w:w="126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2.8</w:t>
            </w:r>
          </w:p>
        </w:tc>
        <w:tc>
          <w:tcPr>
            <w:tcW w:w="108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3.6</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3.5</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11.4</w:t>
            </w:r>
          </w:p>
        </w:tc>
        <w:tc>
          <w:tcPr>
            <w:tcW w:w="1293" w:type="dxa"/>
            <w:shd w:val="clear" w:color="auto" w:fill="FFFFFF" w:themeFill="background1"/>
          </w:tcPr>
          <w:p w:rsidR="00555403" w:rsidRPr="0066057A" w:rsidRDefault="00555403" w:rsidP="00504CF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i/>
                <w:color w:val="2B3B5F"/>
                <w:szCs w:val="20"/>
              </w:rPr>
            </w:pPr>
            <w:r w:rsidRPr="0066057A">
              <w:rPr>
                <w:rFonts w:ascii="Calibri" w:hAnsi="Calibri"/>
                <w:i/>
                <w:color w:val="2B3B5F"/>
                <w:szCs w:val="20"/>
              </w:rPr>
              <w:t>37</w:t>
            </w:r>
          </w:p>
        </w:tc>
      </w:tr>
      <w:tr w:rsidR="00555403" w:rsidRPr="00592363" w:rsidTr="00F33957">
        <w:tc>
          <w:tcPr>
            <w:cnfStyle w:val="001000000000" w:firstRow="0" w:lastRow="0" w:firstColumn="1" w:lastColumn="0" w:oddVBand="0" w:evenVBand="0" w:oddHBand="0" w:evenHBand="0" w:firstRowFirstColumn="0" w:firstRowLastColumn="0" w:lastRowFirstColumn="0" w:lastRowLastColumn="0"/>
            <w:tcW w:w="2340" w:type="dxa"/>
            <w:shd w:val="clear" w:color="auto" w:fill="D7DDE9" w:themeFill="accent3"/>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Female</w:t>
            </w:r>
          </w:p>
        </w:tc>
        <w:tc>
          <w:tcPr>
            <w:tcW w:w="126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1.7</w:t>
            </w:r>
          </w:p>
        </w:tc>
        <w:tc>
          <w:tcPr>
            <w:tcW w:w="108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1.6</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2.1</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5.2</w:t>
            </w:r>
          </w:p>
        </w:tc>
        <w:tc>
          <w:tcPr>
            <w:tcW w:w="1293" w:type="dxa"/>
            <w:shd w:val="clear" w:color="auto" w:fill="D7DDE9" w:themeFill="accent3"/>
          </w:tcPr>
          <w:p w:rsidR="00555403" w:rsidRPr="0066057A" w:rsidRDefault="00555403" w:rsidP="00504CFE">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i/>
                <w:color w:val="2B3B5F"/>
                <w:szCs w:val="20"/>
              </w:rPr>
            </w:pPr>
            <w:r w:rsidRPr="0066057A">
              <w:rPr>
                <w:rFonts w:ascii="Calibri" w:hAnsi="Calibri"/>
                <w:i/>
                <w:color w:val="2B3B5F"/>
                <w:szCs w:val="20"/>
              </w:rPr>
              <w:t>38</w:t>
            </w:r>
          </w:p>
        </w:tc>
      </w:tr>
      <w:tr w:rsidR="00555403" w:rsidRPr="00592363" w:rsidTr="00F3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tcPr>
          <w:p w:rsidR="00555403" w:rsidRPr="0066057A" w:rsidRDefault="00555403" w:rsidP="00504CFE">
            <w:pPr>
              <w:pStyle w:val="Source"/>
              <w:keepNext/>
              <w:keepLines/>
              <w:spacing w:before="40" w:after="40" w:line="240" w:lineRule="auto"/>
              <w:rPr>
                <w:color w:val="2B3B5F" w:themeColor="text2"/>
                <w:szCs w:val="20"/>
              </w:rPr>
            </w:pPr>
            <w:r w:rsidRPr="0066057A">
              <w:rPr>
                <w:color w:val="2B3B5F" w:themeColor="text2"/>
                <w:szCs w:val="20"/>
              </w:rPr>
              <w:t>Other (total)</w:t>
            </w:r>
          </w:p>
        </w:tc>
        <w:tc>
          <w:tcPr>
            <w:tcW w:w="126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color w:val="2B3B5F" w:themeColor="text2"/>
                <w:szCs w:val="20"/>
              </w:rPr>
            </w:pPr>
            <w:r>
              <w:rPr>
                <w:rFonts w:ascii="Calibri" w:hAnsi="Calibri"/>
                <w:color w:val="2B3B5F"/>
                <w:szCs w:val="20"/>
              </w:rPr>
              <w:t>23.9</w:t>
            </w:r>
          </w:p>
        </w:tc>
        <w:tc>
          <w:tcPr>
            <w:tcW w:w="108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color w:val="2B3B5F" w:themeColor="text2"/>
                <w:szCs w:val="20"/>
              </w:rPr>
            </w:pPr>
            <w:r>
              <w:rPr>
                <w:rFonts w:ascii="Calibri" w:hAnsi="Calibri"/>
                <w:color w:val="2B3B5F"/>
                <w:szCs w:val="20"/>
              </w:rPr>
              <w:t>12.7</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color w:val="2B3B5F" w:themeColor="text2"/>
                <w:szCs w:val="20"/>
              </w:rPr>
            </w:pPr>
            <w:r>
              <w:rPr>
                <w:rFonts w:ascii="Calibri" w:hAnsi="Calibri"/>
                <w:color w:val="2B3B5F"/>
                <w:szCs w:val="20"/>
              </w:rPr>
              <w:t>29.9</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color w:val="2B3B5F" w:themeColor="text2"/>
                <w:szCs w:val="20"/>
              </w:rPr>
            </w:pPr>
            <w:r>
              <w:rPr>
                <w:rFonts w:ascii="Calibri" w:hAnsi="Calibri"/>
                <w:color w:val="2B3B5F"/>
                <w:szCs w:val="20"/>
              </w:rPr>
              <w:t>39.9</w:t>
            </w:r>
          </w:p>
        </w:tc>
        <w:tc>
          <w:tcPr>
            <w:tcW w:w="1293" w:type="dxa"/>
            <w:shd w:val="clear" w:color="auto" w:fill="FFFFFF" w:themeFill="background1"/>
          </w:tcPr>
          <w:p w:rsidR="00555403" w:rsidRPr="0066057A" w:rsidRDefault="00555403" w:rsidP="00504CF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color w:val="2B3B5F"/>
                <w:szCs w:val="20"/>
              </w:rPr>
            </w:pPr>
            <w:r w:rsidRPr="0066057A">
              <w:rPr>
                <w:rFonts w:ascii="Calibri" w:hAnsi="Calibri"/>
                <w:color w:val="2B3B5F"/>
                <w:szCs w:val="20"/>
              </w:rPr>
              <w:t>51</w:t>
            </w:r>
          </w:p>
        </w:tc>
      </w:tr>
      <w:tr w:rsidR="00555403" w:rsidRPr="00592363" w:rsidTr="00F33957">
        <w:tc>
          <w:tcPr>
            <w:cnfStyle w:val="001000000000" w:firstRow="0" w:lastRow="0" w:firstColumn="1" w:lastColumn="0" w:oddVBand="0" w:evenVBand="0" w:oddHBand="0" w:evenHBand="0" w:firstRowFirstColumn="0" w:firstRowLastColumn="0" w:lastRowFirstColumn="0" w:lastRowLastColumn="0"/>
            <w:tcW w:w="2340" w:type="dxa"/>
            <w:shd w:val="clear" w:color="auto" w:fill="D7DDE9" w:themeFill="accent3"/>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Male</w:t>
            </w:r>
          </w:p>
        </w:tc>
        <w:tc>
          <w:tcPr>
            <w:tcW w:w="126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14.7</w:t>
            </w:r>
          </w:p>
        </w:tc>
        <w:tc>
          <w:tcPr>
            <w:tcW w:w="108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7.5</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18.5</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23.4</w:t>
            </w:r>
          </w:p>
        </w:tc>
        <w:tc>
          <w:tcPr>
            <w:tcW w:w="1293" w:type="dxa"/>
            <w:shd w:val="clear" w:color="auto" w:fill="D7DDE9" w:themeFill="accent3"/>
          </w:tcPr>
          <w:p w:rsidR="00555403" w:rsidRPr="0066057A" w:rsidRDefault="00555403" w:rsidP="00504CFE">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i/>
                <w:color w:val="2B3B5F"/>
                <w:szCs w:val="20"/>
              </w:rPr>
            </w:pPr>
            <w:r w:rsidRPr="0066057A">
              <w:rPr>
                <w:rFonts w:ascii="Calibri" w:hAnsi="Calibri"/>
                <w:i/>
                <w:color w:val="2B3B5F"/>
                <w:szCs w:val="20"/>
              </w:rPr>
              <w:t>51</w:t>
            </w:r>
          </w:p>
        </w:tc>
      </w:tr>
      <w:tr w:rsidR="00555403" w:rsidRPr="00592363" w:rsidTr="00F3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Female</w:t>
            </w:r>
          </w:p>
        </w:tc>
        <w:tc>
          <w:tcPr>
            <w:tcW w:w="126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9.1</w:t>
            </w:r>
          </w:p>
        </w:tc>
        <w:tc>
          <w:tcPr>
            <w:tcW w:w="108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5.3</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11.4</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16.5</w:t>
            </w:r>
          </w:p>
        </w:tc>
        <w:tc>
          <w:tcPr>
            <w:tcW w:w="1293" w:type="dxa"/>
            <w:shd w:val="clear" w:color="auto" w:fill="FFFFFF" w:themeFill="background1"/>
          </w:tcPr>
          <w:p w:rsidR="00555403" w:rsidRPr="0066057A" w:rsidRDefault="00555403" w:rsidP="00504CF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i/>
                <w:color w:val="2B3B5F"/>
                <w:szCs w:val="20"/>
              </w:rPr>
            </w:pPr>
            <w:r w:rsidRPr="0066057A">
              <w:rPr>
                <w:rFonts w:ascii="Calibri" w:hAnsi="Calibri"/>
                <w:i/>
                <w:color w:val="2B3B5F"/>
                <w:szCs w:val="20"/>
              </w:rPr>
              <w:t>51</w:t>
            </w:r>
          </w:p>
        </w:tc>
      </w:tr>
      <w:tr w:rsidR="00555403" w:rsidRPr="00592363" w:rsidTr="00F33957">
        <w:tc>
          <w:tcPr>
            <w:cnfStyle w:val="001000000000" w:firstRow="0" w:lastRow="0" w:firstColumn="1" w:lastColumn="0" w:oddVBand="0" w:evenVBand="0" w:oddHBand="0" w:evenHBand="0" w:firstRowFirstColumn="0" w:firstRowLastColumn="0" w:lastRowFirstColumn="0" w:lastRowLastColumn="0"/>
            <w:tcW w:w="2340" w:type="dxa"/>
            <w:shd w:val="clear" w:color="auto" w:fill="D7DDE9" w:themeFill="accent3"/>
          </w:tcPr>
          <w:p w:rsidR="00555403" w:rsidRPr="0066057A" w:rsidRDefault="00555403" w:rsidP="00504CFE">
            <w:pPr>
              <w:pStyle w:val="Source"/>
              <w:keepNext/>
              <w:keepLines/>
              <w:spacing w:before="40" w:after="40" w:line="240" w:lineRule="auto"/>
              <w:rPr>
                <w:color w:val="2B3B5F" w:themeColor="text2"/>
                <w:szCs w:val="20"/>
              </w:rPr>
            </w:pPr>
            <w:r w:rsidRPr="0066057A">
              <w:rPr>
                <w:color w:val="2B3B5F" w:themeColor="text2"/>
                <w:szCs w:val="20"/>
              </w:rPr>
              <w:t>TOTAL</w:t>
            </w:r>
          </w:p>
        </w:tc>
        <w:tc>
          <w:tcPr>
            <w:tcW w:w="126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79.7</w:t>
            </w:r>
          </w:p>
        </w:tc>
        <w:tc>
          <w:tcPr>
            <w:tcW w:w="108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31.9</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100.0</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color w:val="2B3B5F" w:themeColor="text2"/>
                <w:szCs w:val="20"/>
              </w:rPr>
            </w:pPr>
            <w:r>
              <w:rPr>
                <w:rFonts w:ascii="Calibri" w:hAnsi="Calibri"/>
                <w:color w:val="2B3B5F"/>
                <w:szCs w:val="20"/>
              </w:rPr>
              <w:t>100.0</w:t>
            </w:r>
          </w:p>
        </w:tc>
        <w:tc>
          <w:tcPr>
            <w:tcW w:w="1293" w:type="dxa"/>
            <w:shd w:val="clear" w:color="auto" w:fill="D7DDE9" w:themeFill="accent3"/>
          </w:tcPr>
          <w:p w:rsidR="00555403" w:rsidRPr="0066057A" w:rsidRDefault="00555403" w:rsidP="00504CFE">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color w:val="2B3B5F"/>
                <w:szCs w:val="20"/>
              </w:rPr>
            </w:pPr>
            <w:r w:rsidRPr="0066057A">
              <w:rPr>
                <w:rFonts w:ascii="Calibri" w:hAnsi="Calibri"/>
                <w:color w:val="2B3B5F"/>
                <w:szCs w:val="20"/>
              </w:rPr>
              <w:t>50</w:t>
            </w:r>
          </w:p>
        </w:tc>
      </w:tr>
      <w:tr w:rsidR="00555403" w:rsidRPr="00592363" w:rsidTr="00F339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shd w:val="clear" w:color="auto" w:fill="FFFFFF" w:themeFill="background1"/>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Male</w:t>
            </w:r>
          </w:p>
        </w:tc>
        <w:tc>
          <w:tcPr>
            <w:tcW w:w="126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48.0</w:t>
            </w:r>
          </w:p>
        </w:tc>
        <w:tc>
          <w:tcPr>
            <w:tcW w:w="108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19.8</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60.2</w:t>
            </w:r>
          </w:p>
        </w:tc>
        <w:tc>
          <w:tcPr>
            <w:tcW w:w="1170" w:type="dxa"/>
            <w:shd w:val="clear" w:color="auto" w:fill="FFFFFF" w:themeFill="background1"/>
          </w:tcPr>
          <w:p w:rsidR="00555403" w:rsidRPr="0066057A" w:rsidRDefault="00555403" w:rsidP="00504CFE">
            <w:pPr>
              <w:pStyle w:val="Source"/>
              <w:keepNext/>
              <w:keepLines/>
              <w:spacing w:before="40" w:after="40" w:line="240" w:lineRule="auto"/>
              <w:contextualSpacing w:val="0"/>
              <w:jc w:val="center"/>
              <w:cnfStyle w:val="000000100000" w:firstRow="0" w:lastRow="0" w:firstColumn="0" w:lastColumn="0" w:oddVBand="0" w:evenVBand="0" w:oddHBand="1" w:evenHBand="0" w:firstRowFirstColumn="0" w:firstRowLastColumn="0" w:lastRowFirstColumn="0" w:lastRowLastColumn="0"/>
              <w:rPr>
                <w:i/>
                <w:color w:val="2B3B5F" w:themeColor="text2"/>
                <w:szCs w:val="20"/>
              </w:rPr>
            </w:pPr>
            <w:r>
              <w:rPr>
                <w:rFonts w:ascii="Calibri" w:hAnsi="Calibri"/>
                <w:i/>
                <w:iCs/>
                <w:color w:val="2B3B5F"/>
                <w:szCs w:val="20"/>
              </w:rPr>
              <w:t>62.1</w:t>
            </w:r>
          </w:p>
        </w:tc>
        <w:tc>
          <w:tcPr>
            <w:tcW w:w="1293" w:type="dxa"/>
            <w:shd w:val="clear" w:color="auto" w:fill="FFFFFF" w:themeFill="background1"/>
          </w:tcPr>
          <w:p w:rsidR="00555403" w:rsidRPr="0066057A" w:rsidRDefault="00555403" w:rsidP="00504CFE">
            <w:pPr>
              <w:keepNext/>
              <w:keepLines/>
              <w:spacing w:before="40" w:after="40"/>
              <w:jc w:val="center"/>
              <w:cnfStyle w:val="000000100000" w:firstRow="0" w:lastRow="0" w:firstColumn="0" w:lastColumn="0" w:oddVBand="0" w:evenVBand="0" w:oddHBand="1" w:evenHBand="0" w:firstRowFirstColumn="0" w:firstRowLastColumn="0" w:lastRowFirstColumn="0" w:lastRowLastColumn="0"/>
              <w:rPr>
                <w:rFonts w:ascii="Calibri" w:hAnsi="Calibri"/>
                <w:i/>
                <w:iCs/>
                <w:color w:val="2B3B5F"/>
                <w:szCs w:val="20"/>
              </w:rPr>
            </w:pPr>
            <w:r w:rsidRPr="0066057A">
              <w:rPr>
                <w:rFonts w:ascii="Calibri" w:hAnsi="Calibri"/>
                <w:i/>
                <w:iCs/>
                <w:color w:val="2B3B5F"/>
                <w:szCs w:val="20"/>
              </w:rPr>
              <w:t>49</w:t>
            </w:r>
          </w:p>
        </w:tc>
      </w:tr>
      <w:tr w:rsidR="00555403" w:rsidRPr="00592363" w:rsidTr="00F33957">
        <w:tc>
          <w:tcPr>
            <w:cnfStyle w:val="001000000000" w:firstRow="0" w:lastRow="0" w:firstColumn="1" w:lastColumn="0" w:oddVBand="0" w:evenVBand="0" w:oddHBand="0" w:evenHBand="0" w:firstRowFirstColumn="0" w:firstRowLastColumn="0" w:lastRowFirstColumn="0" w:lastRowLastColumn="0"/>
            <w:tcW w:w="2340" w:type="dxa"/>
            <w:shd w:val="clear" w:color="auto" w:fill="D7DDE9" w:themeFill="accent3"/>
          </w:tcPr>
          <w:p w:rsidR="00555403" w:rsidRPr="0066057A" w:rsidRDefault="00555403" w:rsidP="00504CFE">
            <w:pPr>
              <w:pStyle w:val="Source"/>
              <w:keepNext/>
              <w:keepLines/>
              <w:spacing w:before="40" w:after="40" w:line="240" w:lineRule="auto"/>
              <w:ind w:left="284"/>
              <w:rPr>
                <w:i/>
                <w:color w:val="2B3B5F" w:themeColor="text2"/>
                <w:szCs w:val="20"/>
              </w:rPr>
            </w:pPr>
            <w:r w:rsidRPr="0066057A">
              <w:rPr>
                <w:i/>
                <w:color w:val="2B3B5F" w:themeColor="text2"/>
                <w:szCs w:val="20"/>
              </w:rPr>
              <w:t>Female</w:t>
            </w:r>
          </w:p>
        </w:tc>
        <w:tc>
          <w:tcPr>
            <w:tcW w:w="126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31.8</w:t>
            </w:r>
          </w:p>
        </w:tc>
        <w:tc>
          <w:tcPr>
            <w:tcW w:w="108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12.1</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39.8</w:t>
            </w:r>
          </w:p>
        </w:tc>
        <w:tc>
          <w:tcPr>
            <w:tcW w:w="1170" w:type="dxa"/>
            <w:shd w:val="clear" w:color="auto" w:fill="D7DDE9" w:themeFill="accent3"/>
          </w:tcPr>
          <w:p w:rsidR="00555403" w:rsidRPr="0066057A" w:rsidRDefault="00555403" w:rsidP="00504CFE">
            <w:pPr>
              <w:pStyle w:val="Source"/>
              <w:keepNext/>
              <w:keepLines/>
              <w:spacing w:before="40" w:after="40" w:line="240" w:lineRule="auto"/>
              <w:contextualSpacing w:val="0"/>
              <w:jc w:val="center"/>
              <w:cnfStyle w:val="000000000000" w:firstRow="0" w:lastRow="0" w:firstColumn="0" w:lastColumn="0" w:oddVBand="0" w:evenVBand="0" w:oddHBand="0" w:evenHBand="0" w:firstRowFirstColumn="0" w:firstRowLastColumn="0" w:lastRowFirstColumn="0" w:lastRowLastColumn="0"/>
              <w:rPr>
                <w:i/>
                <w:color w:val="2B3B5F" w:themeColor="text2"/>
                <w:szCs w:val="20"/>
              </w:rPr>
            </w:pPr>
            <w:r>
              <w:rPr>
                <w:rFonts w:ascii="Calibri" w:hAnsi="Calibri"/>
                <w:i/>
                <w:iCs/>
                <w:color w:val="2B3B5F"/>
                <w:szCs w:val="20"/>
              </w:rPr>
              <w:t>37.9</w:t>
            </w:r>
          </w:p>
        </w:tc>
        <w:tc>
          <w:tcPr>
            <w:tcW w:w="1293" w:type="dxa"/>
            <w:shd w:val="clear" w:color="auto" w:fill="D7DDE9" w:themeFill="accent3"/>
          </w:tcPr>
          <w:p w:rsidR="00555403" w:rsidRPr="0066057A" w:rsidRDefault="00555403" w:rsidP="00504CFE">
            <w:pPr>
              <w:keepNext/>
              <w:keepLines/>
              <w:spacing w:before="40" w:after="40"/>
              <w:jc w:val="center"/>
              <w:cnfStyle w:val="000000000000" w:firstRow="0" w:lastRow="0" w:firstColumn="0" w:lastColumn="0" w:oddVBand="0" w:evenVBand="0" w:oddHBand="0" w:evenHBand="0" w:firstRowFirstColumn="0" w:firstRowLastColumn="0" w:lastRowFirstColumn="0" w:lastRowLastColumn="0"/>
              <w:rPr>
                <w:rFonts w:ascii="Calibri" w:hAnsi="Calibri"/>
                <w:i/>
                <w:iCs/>
                <w:color w:val="2B3B5F"/>
                <w:szCs w:val="20"/>
              </w:rPr>
            </w:pPr>
            <w:r w:rsidRPr="0066057A">
              <w:rPr>
                <w:rFonts w:ascii="Calibri" w:hAnsi="Calibri"/>
                <w:i/>
                <w:iCs/>
                <w:color w:val="2B3B5F"/>
                <w:szCs w:val="20"/>
              </w:rPr>
              <w:t>51</w:t>
            </w:r>
          </w:p>
        </w:tc>
      </w:tr>
    </w:tbl>
    <w:p w:rsidR="003806B5" w:rsidRPr="00773751" w:rsidRDefault="003806B5" w:rsidP="003806B5">
      <w:pPr>
        <w:pStyle w:val="TableFootnotes"/>
        <w:rPr>
          <w:sz w:val="18"/>
        </w:rPr>
      </w:pPr>
      <w:r w:rsidRPr="00773751">
        <w:rPr>
          <w:sz w:val="18"/>
        </w:rPr>
        <w:t xml:space="preserve">Totals may not </w:t>
      </w:r>
      <w:r w:rsidR="00664CAC" w:rsidRPr="00773751">
        <w:rPr>
          <w:sz w:val="18"/>
        </w:rPr>
        <w:t>sum</w:t>
      </w:r>
      <w:r w:rsidRPr="00773751">
        <w:rPr>
          <w:sz w:val="18"/>
        </w:rPr>
        <w:t xml:space="preserve"> due to rounding.</w:t>
      </w:r>
    </w:p>
    <w:p w:rsidR="006D06E9" w:rsidRPr="00A16124" w:rsidRDefault="006D06E9" w:rsidP="00F33957">
      <w:pPr>
        <w:pStyle w:val="Source1"/>
      </w:pPr>
      <w:r w:rsidRPr="00A16124">
        <w:t>Source: DSS recipient characteristics data and PBO analysis</w:t>
      </w:r>
    </w:p>
    <w:p w:rsidR="00D826CF" w:rsidRPr="00717407" w:rsidRDefault="00356D0A" w:rsidP="009128A7">
      <w:pPr>
        <w:pStyle w:val="BodyText"/>
      </w:pPr>
      <w:r w:rsidRPr="00A16124">
        <w:rPr>
          <w:lang w:eastAsia="en-AU"/>
        </w:rPr>
        <w:t xml:space="preserve">DSP </w:t>
      </w:r>
      <w:r w:rsidR="00561E97" w:rsidRPr="00A16124">
        <w:rPr>
          <w:lang w:eastAsia="en-AU"/>
        </w:rPr>
        <w:t>rec</w:t>
      </w:r>
      <w:r w:rsidR="00FF53FD" w:rsidRPr="00A16124">
        <w:rPr>
          <w:lang w:eastAsia="en-AU"/>
        </w:rPr>
        <w:t xml:space="preserve">ipients are classified across </w:t>
      </w:r>
      <w:r w:rsidR="009B2408" w:rsidRPr="00A16124">
        <w:rPr>
          <w:lang w:eastAsia="en-AU"/>
        </w:rPr>
        <w:t>23</w:t>
      </w:r>
      <w:r w:rsidR="00561E97" w:rsidRPr="00A16124">
        <w:rPr>
          <w:lang w:eastAsia="en-AU"/>
        </w:rPr>
        <w:t xml:space="preserve"> primary </w:t>
      </w:r>
      <w:r w:rsidR="00FF53FD" w:rsidRPr="00A16124">
        <w:rPr>
          <w:lang w:eastAsia="en-AU"/>
        </w:rPr>
        <w:t>medical conditions.  Of these</w:t>
      </w:r>
      <w:r w:rsidR="00561E97" w:rsidRPr="00A16124">
        <w:rPr>
          <w:lang w:eastAsia="en-AU"/>
        </w:rPr>
        <w:t xml:space="preserve">, </w:t>
      </w:r>
      <w:r w:rsidR="006D06E9" w:rsidRPr="00A16124">
        <w:rPr>
          <w:lang w:eastAsia="en-AU"/>
        </w:rPr>
        <w:t>three</w:t>
      </w:r>
      <w:r w:rsidR="00561E97" w:rsidRPr="00A16124">
        <w:rPr>
          <w:lang w:eastAsia="en-AU"/>
        </w:rPr>
        <w:t xml:space="preserve"> conditions</w:t>
      </w:r>
      <w:r w:rsidRPr="00A16124">
        <w:rPr>
          <w:lang w:eastAsia="en-AU"/>
        </w:rPr>
        <w:t xml:space="preserve"> (musculoskeletal, psychological and intellectual)</w:t>
      </w:r>
      <w:r w:rsidR="00561E97" w:rsidRPr="00A16124">
        <w:rPr>
          <w:lang w:eastAsia="en-AU"/>
        </w:rPr>
        <w:t xml:space="preserve"> accoun</w:t>
      </w:r>
      <w:r w:rsidRPr="00A16124">
        <w:rPr>
          <w:lang w:eastAsia="en-AU"/>
        </w:rPr>
        <w:t>t</w:t>
      </w:r>
      <w:r w:rsidR="0072030B" w:rsidRPr="00A16124">
        <w:rPr>
          <w:lang w:eastAsia="en-AU"/>
        </w:rPr>
        <w:t>ed</w:t>
      </w:r>
      <w:r w:rsidR="00FF53FD" w:rsidRPr="00A16124">
        <w:rPr>
          <w:lang w:eastAsia="en-AU"/>
        </w:rPr>
        <w:t xml:space="preserve"> for 60</w:t>
      </w:r>
      <w:r w:rsidRPr="00A16124">
        <w:rPr>
          <w:lang w:eastAsia="en-AU"/>
        </w:rPr>
        <w:t xml:space="preserve"> per cent of </w:t>
      </w:r>
      <w:r w:rsidR="004E6516">
        <w:rPr>
          <w:lang w:eastAsia="en-AU"/>
        </w:rPr>
        <w:t>new recipients</w:t>
      </w:r>
      <w:r w:rsidR="004E6516" w:rsidRPr="00A16124">
        <w:rPr>
          <w:lang w:eastAsia="en-AU"/>
        </w:rPr>
        <w:t xml:space="preserve"> </w:t>
      </w:r>
      <w:r w:rsidRPr="00A16124">
        <w:rPr>
          <w:lang w:eastAsia="en-AU"/>
        </w:rPr>
        <w:t>on the DSP in 2016</w:t>
      </w:r>
      <w:r w:rsidR="008C1FBC" w:rsidRPr="00A16124">
        <w:rPr>
          <w:lang w:eastAsia="en-AU"/>
        </w:rPr>
        <w:t>–</w:t>
      </w:r>
      <w:r w:rsidRPr="00A16124">
        <w:rPr>
          <w:lang w:eastAsia="en-AU"/>
        </w:rPr>
        <w:t>17</w:t>
      </w:r>
      <w:r w:rsidR="00561E97" w:rsidRPr="00A16124">
        <w:rPr>
          <w:lang w:eastAsia="en-AU"/>
        </w:rPr>
        <w:t>.</w:t>
      </w:r>
      <w:r w:rsidR="00561E97" w:rsidRPr="00A16124">
        <w:t xml:space="preserve"> </w:t>
      </w:r>
      <w:r w:rsidR="004E6516">
        <w:t xml:space="preserve"> </w:t>
      </w:r>
      <w:r w:rsidR="009128A7" w:rsidRPr="00A16124">
        <w:rPr>
          <w:lang w:eastAsia="en-AU"/>
        </w:rPr>
        <w:fldChar w:fldCharType="begin"/>
      </w:r>
      <w:r w:rsidR="009128A7" w:rsidRPr="00A16124">
        <w:instrText xml:space="preserve"> REF _Ref500922529 \h </w:instrText>
      </w:r>
      <w:r w:rsidR="00A16124">
        <w:rPr>
          <w:lang w:eastAsia="en-AU"/>
        </w:rPr>
        <w:instrText xml:space="preserve"> \* MERGEFORMAT </w:instrText>
      </w:r>
      <w:r w:rsidR="009128A7" w:rsidRPr="00A16124">
        <w:rPr>
          <w:lang w:eastAsia="en-AU"/>
        </w:rPr>
      </w:r>
      <w:r w:rsidR="009128A7" w:rsidRPr="00A16124">
        <w:rPr>
          <w:lang w:eastAsia="en-AU"/>
        </w:rPr>
        <w:fldChar w:fldCharType="separate"/>
      </w:r>
      <w:r w:rsidR="0036047A" w:rsidRPr="008C1FBC">
        <w:t xml:space="preserve">Figure </w:t>
      </w:r>
      <w:r w:rsidR="0036047A">
        <w:rPr>
          <w:noProof/>
        </w:rPr>
        <w:t>2</w:t>
      </w:r>
      <w:r w:rsidR="0036047A" w:rsidRPr="008C1FBC">
        <w:t>–</w:t>
      </w:r>
      <w:r w:rsidR="0036047A">
        <w:rPr>
          <w:noProof/>
        </w:rPr>
        <w:t>10</w:t>
      </w:r>
      <w:r w:rsidR="009128A7" w:rsidRPr="00A16124">
        <w:rPr>
          <w:lang w:eastAsia="en-AU"/>
        </w:rPr>
        <w:fldChar w:fldCharType="end"/>
      </w:r>
      <w:r w:rsidR="009128A7" w:rsidRPr="00A16124">
        <w:rPr>
          <w:lang w:eastAsia="en-AU"/>
        </w:rPr>
        <w:t xml:space="preserve"> </w:t>
      </w:r>
      <w:r w:rsidR="00A3766F" w:rsidRPr="00A16124">
        <w:rPr>
          <w:lang w:eastAsia="en-AU"/>
        </w:rPr>
        <w:t xml:space="preserve">shows how the primary medical condition of </w:t>
      </w:r>
      <w:r w:rsidR="00561E97" w:rsidRPr="00A16124">
        <w:rPr>
          <w:lang w:eastAsia="en-AU"/>
        </w:rPr>
        <w:t xml:space="preserve">new </w:t>
      </w:r>
      <w:r w:rsidR="0033077F" w:rsidRPr="00A16124">
        <w:rPr>
          <w:lang w:eastAsia="en-AU"/>
        </w:rPr>
        <w:t xml:space="preserve">DSP recipients </w:t>
      </w:r>
      <w:r w:rsidR="00561E97" w:rsidRPr="00A16124">
        <w:rPr>
          <w:lang w:eastAsia="en-AU"/>
        </w:rPr>
        <w:t>has changed</w:t>
      </w:r>
      <w:r w:rsidR="00A3766F" w:rsidRPr="00A16124">
        <w:rPr>
          <w:lang w:eastAsia="en-AU"/>
        </w:rPr>
        <w:t xml:space="preserve"> since </w:t>
      </w:r>
      <w:r w:rsidR="005E0496" w:rsidRPr="00A16124">
        <w:rPr>
          <w:lang w:eastAsia="en-AU"/>
        </w:rPr>
        <w:t>2001</w:t>
      </w:r>
      <w:r w:rsidR="008C1FBC" w:rsidRPr="00A16124">
        <w:rPr>
          <w:lang w:eastAsia="en-AU"/>
        </w:rPr>
        <w:t>–</w:t>
      </w:r>
      <w:r w:rsidR="005E0496" w:rsidRPr="00A16124">
        <w:rPr>
          <w:lang w:eastAsia="en-AU"/>
        </w:rPr>
        <w:t>02.</w:t>
      </w:r>
      <w:r w:rsidR="005E0496">
        <w:rPr>
          <w:lang w:eastAsia="en-AU"/>
        </w:rPr>
        <w:t xml:space="preserve"> </w:t>
      </w:r>
    </w:p>
    <w:p w:rsidR="008C1FBC" w:rsidRPr="008C1FBC" w:rsidRDefault="008C1FBC" w:rsidP="008C6DEE">
      <w:pPr>
        <w:pStyle w:val="Caption1"/>
      </w:pPr>
      <w:bookmarkStart w:id="73" w:name="_Ref500922529"/>
      <w:bookmarkStart w:id="74" w:name="_Toc505927967"/>
      <w:bookmarkStart w:id="75" w:name="_Toc505928626"/>
      <w:bookmarkStart w:id="76" w:name="_Toc506214872"/>
      <w:r w:rsidRPr="008C1FBC">
        <w:t xml:space="preserve">Figure </w:t>
      </w:r>
      <w:fldSimple w:instr=" STYLEREF 1 \s ">
        <w:r w:rsidR="0036047A">
          <w:rPr>
            <w:noProof/>
          </w:rPr>
          <w:t>2</w:t>
        </w:r>
      </w:fldSimple>
      <w:r w:rsidRPr="008C1FBC">
        <w:t>–</w:t>
      </w:r>
      <w:fldSimple w:instr=" SEQ Figure \* ARABIC \s 1 ">
        <w:r w:rsidR="0036047A">
          <w:rPr>
            <w:noProof/>
          </w:rPr>
          <w:t>10</w:t>
        </w:r>
      </w:fldSimple>
      <w:bookmarkEnd w:id="73"/>
      <w:r w:rsidRPr="008C1FBC">
        <w:t xml:space="preserve">: </w:t>
      </w:r>
      <w:r w:rsidR="00302116">
        <w:t xml:space="preserve">New </w:t>
      </w:r>
      <w:r>
        <w:t>Disability Support Pension</w:t>
      </w:r>
      <w:r w:rsidR="00302116">
        <w:t xml:space="preserve"> </w:t>
      </w:r>
      <w:r w:rsidR="00263543">
        <w:t>R</w:t>
      </w:r>
      <w:r w:rsidR="00302116">
        <w:t>ecipients</w:t>
      </w:r>
      <w:r w:rsidR="003D2AFA">
        <w:t xml:space="preserve"> </w:t>
      </w:r>
      <w:r w:rsidR="008C6DEE">
        <w:t>by</w:t>
      </w:r>
      <w:r>
        <w:t xml:space="preserve"> </w:t>
      </w:r>
      <w:r w:rsidR="00263543">
        <w:t>M</w:t>
      </w:r>
      <w:r>
        <w:t xml:space="preserve">edical </w:t>
      </w:r>
      <w:r w:rsidR="00263543">
        <w:t>C</w:t>
      </w:r>
      <w:r>
        <w:t>ondition</w:t>
      </w:r>
      <w:bookmarkEnd w:id="74"/>
      <w:bookmarkEnd w:id="75"/>
      <w:bookmarkEnd w:id="76"/>
    </w:p>
    <w:p w:rsidR="00D826CF" w:rsidRPr="004A21D4" w:rsidRDefault="00D76A35" w:rsidP="00D76A35">
      <w:pPr>
        <w:pStyle w:val="BodyText"/>
      </w:pPr>
      <w:r w:rsidRPr="00D76A35">
        <w:rPr>
          <w:noProof/>
          <w:lang w:eastAsia="en-AU"/>
        </w:rPr>
        <w:drawing>
          <wp:inline distT="0" distB="0" distL="0" distR="0" wp14:anchorId="3E651F0F" wp14:editId="48655B04">
            <wp:extent cx="5511165" cy="306641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11165" cy="3066415"/>
                    </a:xfrm>
                    <a:prstGeom prst="rect">
                      <a:avLst/>
                    </a:prstGeom>
                    <a:noFill/>
                  </pic:spPr>
                </pic:pic>
              </a:graphicData>
            </a:graphic>
          </wp:inline>
        </w:drawing>
      </w:r>
    </w:p>
    <w:p w:rsidR="00D826CF" w:rsidRDefault="00D826CF" w:rsidP="00F33957">
      <w:pPr>
        <w:pStyle w:val="Source1"/>
      </w:pPr>
      <w:r>
        <w:t>Source: DSS recipient characte</w:t>
      </w:r>
      <w:r w:rsidR="00626E15">
        <w:t>ristics data</w:t>
      </w:r>
    </w:p>
    <w:p w:rsidR="0034480F" w:rsidRDefault="00D072BC" w:rsidP="006A1656">
      <w:pPr>
        <w:pStyle w:val="BodyText"/>
        <w:rPr>
          <w:lang w:eastAsia="en-AU"/>
        </w:rPr>
      </w:pPr>
      <w:r w:rsidRPr="00A54870">
        <w:rPr>
          <w:lang w:eastAsia="en-AU"/>
        </w:rPr>
        <w:lastRenderedPageBreak/>
        <w:t>O</w:t>
      </w:r>
      <w:r w:rsidR="000355BA" w:rsidRPr="00A54870">
        <w:rPr>
          <w:lang w:eastAsia="en-AU"/>
        </w:rPr>
        <w:t>ne of the</w:t>
      </w:r>
      <w:r w:rsidR="00A3766F" w:rsidRPr="00A54870">
        <w:rPr>
          <w:lang w:eastAsia="en-AU"/>
        </w:rPr>
        <w:t xml:space="preserve"> most significant changes in the composition </w:t>
      </w:r>
      <w:r w:rsidR="00561E97" w:rsidRPr="00A54870">
        <w:rPr>
          <w:lang w:eastAsia="en-AU"/>
        </w:rPr>
        <w:t xml:space="preserve">of </w:t>
      </w:r>
      <w:r w:rsidR="00955D32" w:rsidRPr="00A54870">
        <w:rPr>
          <w:lang w:eastAsia="en-AU"/>
        </w:rPr>
        <w:t>new</w:t>
      </w:r>
      <w:r w:rsidR="006948FC" w:rsidRPr="00A54870">
        <w:rPr>
          <w:lang w:eastAsia="en-AU"/>
        </w:rPr>
        <w:t xml:space="preserve"> </w:t>
      </w:r>
      <w:r w:rsidR="00EB2060" w:rsidRPr="00A54870">
        <w:rPr>
          <w:lang w:eastAsia="en-AU"/>
        </w:rPr>
        <w:t xml:space="preserve">DSP </w:t>
      </w:r>
      <w:r w:rsidR="00955D32" w:rsidRPr="00A54870">
        <w:rPr>
          <w:lang w:eastAsia="en-AU"/>
        </w:rPr>
        <w:t>recipients</w:t>
      </w:r>
      <w:r w:rsidR="00936A9B" w:rsidRPr="00A54870">
        <w:rPr>
          <w:lang w:eastAsia="en-AU"/>
        </w:rPr>
        <w:t xml:space="preserve"> has been the marked decline in </w:t>
      </w:r>
      <w:r w:rsidR="00014181" w:rsidRPr="00A54870">
        <w:rPr>
          <w:lang w:eastAsia="en-AU"/>
        </w:rPr>
        <w:t xml:space="preserve">the share </w:t>
      </w:r>
      <w:r w:rsidR="00FF53FD" w:rsidRPr="00A54870">
        <w:rPr>
          <w:lang w:eastAsia="en-AU"/>
        </w:rPr>
        <w:t xml:space="preserve">of </w:t>
      </w:r>
      <w:r w:rsidR="006948FC" w:rsidRPr="00A54870">
        <w:rPr>
          <w:lang w:eastAsia="en-AU"/>
        </w:rPr>
        <w:t xml:space="preserve">recipients with </w:t>
      </w:r>
      <w:r w:rsidR="00226D59" w:rsidRPr="00A54870">
        <w:rPr>
          <w:lang w:eastAsia="en-AU"/>
        </w:rPr>
        <w:t xml:space="preserve">physical </w:t>
      </w:r>
      <w:r w:rsidR="0033077F" w:rsidRPr="00A54870">
        <w:rPr>
          <w:lang w:eastAsia="en-AU"/>
        </w:rPr>
        <w:t xml:space="preserve">impairments </w:t>
      </w:r>
      <w:r w:rsidR="00936A9B" w:rsidRPr="00A54870">
        <w:rPr>
          <w:lang w:eastAsia="en-AU"/>
        </w:rPr>
        <w:t xml:space="preserve">and the increase in </w:t>
      </w:r>
      <w:r w:rsidR="006948FC" w:rsidRPr="00A54870">
        <w:rPr>
          <w:lang w:eastAsia="en-AU"/>
        </w:rPr>
        <w:t>the share with</w:t>
      </w:r>
      <w:r w:rsidR="00014181" w:rsidRPr="00A54870">
        <w:rPr>
          <w:lang w:eastAsia="en-AU"/>
        </w:rPr>
        <w:t xml:space="preserve"> </w:t>
      </w:r>
      <w:r w:rsidR="006948FC" w:rsidRPr="00A54870">
        <w:rPr>
          <w:lang w:eastAsia="en-AU"/>
        </w:rPr>
        <w:t>psych</w:t>
      </w:r>
      <w:r w:rsidR="006652BA" w:rsidRPr="00A54870">
        <w:rPr>
          <w:lang w:eastAsia="en-AU"/>
        </w:rPr>
        <w:t>iatric</w:t>
      </w:r>
      <w:r w:rsidR="00B530A3" w:rsidRPr="00A54870">
        <w:rPr>
          <w:lang w:eastAsia="en-AU"/>
        </w:rPr>
        <w:t xml:space="preserve"> and</w:t>
      </w:r>
      <w:r w:rsidR="00936A9B" w:rsidRPr="00A54870">
        <w:rPr>
          <w:lang w:eastAsia="en-AU"/>
        </w:rPr>
        <w:t xml:space="preserve"> </w:t>
      </w:r>
      <w:r w:rsidR="00B530A3" w:rsidRPr="00A54870">
        <w:rPr>
          <w:lang w:eastAsia="en-AU"/>
        </w:rPr>
        <w:t xml:space="preserve">intellectual </w:t>
      </w:r>
      <w:r w:rsidR="0033077F" w:rsidRPr="00A54870">
        <w:rPr>
          <w:lang w:eastAsia="en-AU"/>
        </w:rPr>
        <w:t>impairments</w:t>
      </w:r>
      <w:r w:rsidR="000355BA" w:rsidRPr="00A54870">
        <w:rPr>
          <w:lang w:eastAsia="en-AU"/>
        </w:rPr>
        <w:t>.</w:t>
      </w:r>
      <w:r w:rsidR="006F1F39" w:rsidRPr="00A54870">
        <w:rPr>
          <w:lang w:eastAsia="en-AU"/>
        </w:rPr>
        <w:t xml:space="preserve"> </w:t>
      </w:r>
      <w:r w:rsidR="00FE0ADF">
        <w:rPr>
          <w:lang w:eastAsia="en-AU"/>
        </w:rPr>
        <w:t xml:space="preserve"> </w:t>
      </w:r>
      <w:r w:rsidR="006F1F39" w:rsidRPr="00A54870">
        <w:rPr>
          <w:lang w:eastAsia="en-AU"/>
        </w:rPr>
        <w:t xml:space="preserve">This coincides with a fall in the proportion of </w:t>
      </w:r>
      <w:r w:rsidR="007A37C3" w:rsidRPr="00A54870">
        <w:rPr>
          <w:lang w:eastAsia="en-AU"/>
        </w:rPr>
        <w:t xml:space="preserve">all </w:t>
      </w:r>
      <w:r w:rsidR="006F1F39" w:rsidRPr="00A54870">
        <w:rPr>
          <w:lang w:eastAsia="en-AU"/>
        </w:rPr>
        <w:t xml:space="preserve">people with </w:t>
      </w:r>
      <w:r w:rsidR="006948FC" w:rsidRPr="00A54870">
        <w:rPr>
          <w:lang w:eastAsia="en-AU"/>
        </w:rPr>
        <w:t>a disability reporting physical</w:t>
      </w:r>
      <w:r w:rsidR="00907D92" w:rsidRPr="00A54870">
        <w:rPr>
          <w:lang w:eastAsia="en-AU"/>
        </w:rPr>
        <w:t xml:space="preserve"> </w:t>
      </w:r>
      <w:r w:rsidR="00DC3C9D">
        <w:rPr>
          <w:lang w:eastAsia="en-AU"/>
        </w:rPr>
        <w:t>impairments</w:t>
      </w:r>
      <w:r w:rsidR="0034480F" w:rsidRPr="00A54870">
        <w:rPr>
          <w:lang w:eastAsia="en-AU"/>
        </w:rPr>
        <w:t xml:space="preserve"> fr</w:t>
      </w:r>
      <w:r w:rsidR="00907D92" w:rsidRPr="00A54870">
        <w:rPr>
          <w:lang w:eastAsia="en-AU"/>
        </w:rPr>
        <w:t>om 84 per cent in 2002</w:t>
      </w:r>
      <w:r w:rsidR="00FF4C88" w:rsidRPr="00A54870">
        <w:rPr>
          <w:lang w:eastAsia="en-AU"/>
        </w:rPr>
        <w:t>–</w:t>
      </w:r>
      <w:r w:rsidR="00907D92" w:rsidRPr="00A54870">
        <w:rPr>
          <w:lang w:eastAsia="en-AU"/>
        </w:rPr>
        <w:t>03 to 79</w:t>
      </w:r>
      <w:r w:rsidR="00227570" w:rsidRPr="00A54870">
        <w:rPr>
          <w:lang w:eastAsia="en-AU"/>
        </w:rPr>
        <w:t> </w:t>
      </w:r>
      <w:r w:rsidR="0034480F" w:rsidRPr="00A54870">
        <w:rPr>
          <w:lang w:eastAsia="en-AU"/>
        </w:rPr>
        <w:t>per cent in 2014–15.</w:t>
      </w:r>
      <w:r w:rsidR="006F64E3" w:rsidRPr="00A54870">
        <w:rPr>
          <w:rStyle w:val="FootnoteReference"/>
        </w:rPr>
        <w:footnoteReference w:id="19"/>
      </w:r>
    </w:p>
    <w:p w:rsidR="00A3766F" w:rsidRPr="006C2178" w:rsidRDefault="000355BA" w:rsidP="00936896">
      <w:pPr>
        <w:pStyle w:val="BodyText"/>
        <w:rPr>
          <w:lang w:eastAsia="en-AU"/>
        </w:rPr>
      </w:pPr>
      <w:r w:rsidRPr="006C2178">
        <w:rPr>
          <w:lang w:eastAsia="en-AU"/>
        </w:rPr>
        <w:t>In 2001</w:t>
      </w:r>
      <w:r w:rsidR="00537D3B" w:rsidRPr="006C2178">
        <w:rPr>
          <w:lang w:eastAsia="en-AU"/>
        </w:rPr>
        <w:t>–</w:t>
      </w:r>
      <w:r w:rsidRPr="006C2178">
        <w:rPr>
          <w:lang w:eastAsia="en-AU"/>
        </w:rPr>
        <w:t>02, recipients with musculoskel</w:t>
      </w:r>
      <w:r w:rsidR="00FF53FD" w:rsidRPr="006C2178">
        <w:rPr>
          <w:lang w:eastAsia="en-AU"/>
        </w:rPr>
        <w:t>etal conditions accounted for around 40</w:t>
      </w:r>
      <w:r w:rsidRPr="006C2178">
        <w:rPr>
          <w:lang w:eastAsia="en-AU"/>
        </w:rPr>
        <w:t xml:space="preserve"> per cent of </w:t>
      </w:r>
      <w:r w:rsidR="00955D32" w:rsidRPr="006C2178">
        <w:rPr>
          <w:lang w:eastAsia="en-AU"/>
        </w:rPr>
        <w:t>new</w:t>
      </w:r>
      <w:r w:rsidRPr="006C2178">
        <w:rPr>
          <w:lang w:eastAsia="en-AU"/>
        </w:rPr>
        <w:t xml:space="preserve"> DSP</w:t>
      </w:r>
      <w:r w:rsidR="00955D32" w:rsidRPr="006C2178">
        <w:rPr>
          <w:lang w:eastAsia="en-AU"/>
        </w:rPr>
        <w:t xml:space="preserve"> recipients</w:t>
      </w:r>
      <w:r w:rsidR="002F1E06" w:rsidRPr="006C2178">
        <w:rPr>
          <w:lang w:eastAsia="en-AU"/>
        </w:rPr>
        <w:t xml:space="preserve">. </w:t>
      </w:r>
      <w:r w:rsidR="00FE0ADF">
        <w:rPr>
          <w:lang w:eastAsia="en-AU"/>
        </w:rPr>
        <w:t xml:space="preserve"> </w:t>
      </w:r>
      <w:r w:rsidR="002F1E06" w:rsidRPr="006C2178">
        <w:rPr>
          <w:lang w:eastAsia="en-AU"/>
        </w:rPr>
        <w:t xml:space="preserve">This fell to </w:t>
      </w:r>
      <w:r w:rsidR="00FF53FD" w:rsidRPr="006C2178">
        <w:rPr>
          <w:lang w:eastAsia="en-AU"/>
        </w:rPr>
        <w:t>11</w:t>
      </w:r>
      <w:r w:rsidRPr="006C2178">
        <w:rPr>
          <w:lang w:eastAsia="en-AU"/>
        </w:rPr>
        <w:t xml:space="preserve"> per cent in 2016</w:t>
      </w:r>
      <w:r w:rsidR="00537D3B" w:rsidRPr="006C2178">
        <w:rPr>
          <w:lang w:eastAsia="en-AU"/>
        </w:rPr>
        <w:t>–</w:t>
      </w:r>
      <w:r w:rsidRPr="006C2178">
        <w:rPr>
          <w:lang w:eastAsia="en-AU"/>
        </w:rPr>
        <w:t>17.</w:t>
      </w:r>
      <w:r w:rsidR="00955D32" w:rsidRPr="006C2178">
        <w:rPr>
          <w:lang w:eastAsia="en-AU"/>
        </w:rPr>
        <w:t xml:space="preserve">  Over</w:t>
      </w:r>
      <w:r w:rsidR="00380C67" w:rsidRPr="006C2178">
        <w:rPr>
          <w:lang w:eastAsia="en-AU"/>
        </w:rPr>
        <w:t xml:space="preserve"> the same </w:t>
      </w:r>
      <w:r w:rsidR="00955D32" w:rsidRPr="006C2178">
        <w:rPr>
          <w:lang w:eastAsia="en-AU"/>
        </w:rPr>
        <w:t>period</w:t>
      </w:r>
      <w:r w:rsidR="00380C67" w:rsidRPr="006C2178">
        <w:rPr>
          <w:lang w:eastAsia="en-AU"/>
        </w:rPr>
        <w:t xml:space="preserve">, </w:t>
      </w:r>
      <w:r w:rsidR="0041707D" w:rsidRPr="006C2178">
        <w:rPr>
          <w:lang w:eastAsia="en-AU"/>
        </w:rPr>
        <w:t xml:space="preserve">the share of </w:t>
      </w:r>
      <w:r w:rsidR="006948FC" w:rsidRPr="006C2178">
        <w:rPr>
          <w:lang w:eastAsia="en-AU"/>
        </w:rPr>
        <w:t xml:space="preserve">new recipients with psychological </w:t>
      </w:r>
      <w:r w:rsidR="006652BA" w:rsidRPr="006C2178">
        <w:rPr>
          <w:lang w:eastAsia="en-AU"/>
        </w:rPr>
        <w:t>conditions</w:t>
      </w:r>
      <w:r w:rsidR="00D150CC" w:rsidRPr="006C2178">
        <w:rPr>
          <w:lang w:eastAsia="en-AU"/>
        </w:rPr>
        <w:t xml:space="preserve"> </w:t>
      </w:r>
      <w:r w:rsidR="00380C67" w:rsidRPr="006C2178">
        <w:rPr>
          <w:lang w:eastAsia="en-AU"/>
        </w:rPr>
        <w:t xml:space="preserve">increased from </w:t>
      </w:r>
      <w:r w:rsidR="0041707D" w:rsidRPr="006C2178">
        <w:rPr>
          <w:lang w:eastAsia="en-AU"/>
        </w:rPr>
        <w:t>25</w:t>
      </w:r>
      <w:r w:rsidR="00380C67" w:rsidRPr="006C2178">
        <w:rPr>
          <w:lang w:eastAsia="en-AU"/>
        </w:rPr>
        <w:t xml:space="preserve"> per cent</w:t>
      </w:r>
      <w:r w:rsidR="0041707D" w:rsidRPr="006C2178">
        <w:rPr>
          <w:lang w:eastAsia="en-AU"/>
        </w:rPr>
        <w:t xml:space="preserve"> to 33 </w:t>
      </w:r>
      <w:r w:rsidR="00380C67" w:rsidRPr="006C2178">
        <w:rPr>
          <w:lang w:eastAsia="en-AU"/>
        </w:rPr>
        <w:t>per cent</w:t>
      </w:r>
      <w:r w:rsidR="00226D59" w:rsidRPr="006C2178">
        <w:rPr>
          <w:lang w:eastAsia="en-AU"/>
        </w:rPr>
        <w:t xml:space="preserve">, and </w:t>
      </w:r>
      <w:r w:rsidR="00B530A3" w:rsidRPr="006C2178">
        <w:rPr>
          <w:lang w:eastAsia="en-AU"/>
        </w:rPr>
        <w:t>the share with</w:t>
      </w:r>
      <w:r w:rsidR="00561E97" w:rsidRPr="006C2178">
        <w:rPr>
          <w:lang w:eastAsia="en-AU"/>
        </w:rPr>
        <w:t xml:space="preserve"> </w:t>
      </w:r>
      <w:r w:rsidR="00B530A3" w:rsidRPr="006C2178">
        <w:rPr>
          <w:lang w:eastAsia="en-AU"/>
        </w:rPr>
        <w:t xml:space="preserve">intellectual conditions </w:t>
      </w:r>
      <w:r w:rsidR="00226D59" w:rsidRPr="006C2178">
        <w:rPr>
          <w:lang w:eastAsia="en-AU"/>
        </w:rPr>
        <w:t xml:space="preserve">increased </w:t>
      </w:r>
      <w:r w:rsidR="00D072BC" w:rsidRPr="006C2178">
        <w:rPr>
          <w:lang w:eastAsia="en-AU"/>
        </w:rPr>
        <w:t>from 6</w:t>
      </w:r>
      <w:r w:rsidR="00907D92" w:rsidRPr="006C2178">
        <w:rPr>
          <w:lang w:eastAsia="en-AU"/>
        </w:rPr>
        <w:t> </w:t>
      </w:r>
      <w:r w:rsidR="00D072BC" w:rsidRPr="006C2178">
        <w:rPr>
          <w:lang w:eastAsia="en-AU"/>
        </w:rPr>
        <w:t>per</w:t>
      </w:r>
      <w:r w:rsidR="00907D92" w:rsidRPr="006C2178">
        <w:rPr>
          <w:lang w:eastAsia="en-AU"/>
        </w:rPr>
        <w:t xml:space="preserve"> </w:t>
      </w:r>
      <w:r w:rsidR="00D072BC" w:rsidRPr="006C2178">
        <w:rPr>
          <w:lang w:eastAsia="en-AU"/>
        </w:rPr>
        <w:t>cent to 17</w:t>
      </w:r>
      <w:r w:rsidR="006948FC" w:rsidRPr="006C2178">
        <w:rPr>
          <w:lang w:eastAsia="en-AU"/>
        </w:rPr>
        <w:t> </w:t>
      </w:r>
      <w:r w:rsidR="00226D59" w:rsidRPr="006C2178">
        <w:rPr>
          <w:lang w:eastAsia="en-AU"/>
        </w:rPr>
        <w:t>per cent.</w:t>
      </w:r>
      <w:r w:rsidR="005A4AD1" w:rsidRPr="006C2178">
        <w:rPr>
          <w:lang w:eastAsia="en-AU"/>
        </w:rPr>
        <w:t xml:space="preserve"> </w:t>
      </w:r>
    </w:p>
    <w:p w:rsidR="00DF775A" w:rsidRDefault="006634D3" w:rsidP="00936896">
      <w:pPr>
        <w:pStyle w:val="BodyText"/>
        <w:rPr>
          <w:lang w:eastAsia="en-AU"/>
        </w:rPr>
      </w:pPr>
      <w:r w:rsidRPr="006C2178">
        <w:rPr>
          <w:lang w:eastAsia="en-AU"/>
        </w:rPr>
        <w:t>T</w:t>
      </w:r>
      <w:r w:rsidR="00C8133A" w:rsidRPr="006C2178">
        <w:rPr>
          <w:lang w:eastAsia="en-AU"/>
        </w:rPr>
        <w:t xml:space="preserve">he decline in musculoskeletal conditions </w:t>
      </w:r>
      <w:r w:rsidR="0087217D" w:rsidRPr="006C2178">
        <w:rPr>
          <w:lang w:eastAsia="en-AU"/>
        </w:rPr>
        <w:t xml:space="preserve">is also apparent </w:t>
      </w:r>
      <w:r w:rsidR="00C8133A" w:rsidRPr="006C2178">
        <w:rPr>
          <w:lang w:eastAsia="en-AU"/>
        </w:rPr>
        <w:t xml:space="preserve">in the age </w:t>
      </w:r>
      <w:r w:rsidR="00B64139">
        <w:rPr>
          <w:lang w:eastAsia="en-AU"/>
        </w:rPr>
        <w:t xml:space="preserve">profile </w:t>
      </w:r>
      <w:r w:rsidR="00C8133A" w:rsidRPr="006C2178">
        <w:rPr>
          <w:lang w:eastAsia="en-AU"/>
        </w:rPr>
        <w:t>of n</w:t>
      </w:r>
      <w:r w:rsidR="00F43CC2" w:rsidRPr="006C2178">
        <w:rPr>
          <w:lang w:eastAsia="en-AU"/>
        </w:rPr>
        <w:t xml:space="preserve">ew </w:t>
      </w:r>
      <w:r w:rsidR="00A54870" w:rsidRPr="006C2178">
        <w:rPr>
          <w:lang w:eastAsia="en-AU"/>
        </w:rPr>
        <w:t>DSP recipients</w:t>
      </w:r>
      <w:r w:rsidR="00C8133A" w:rsidRPr="006C2178">
        <w:rPr>
          <w:lang w:eastAsia="en-AU"/>
        </w:rPr>
        <w:t xml:space="preserve">. </w:t>
      </w:r>
      <w:r w:rsidR="00F43CC2" w:rsidRPr="006C2178">
        <w:rPr>
          <w:lang w:eastAsia="en-AU"/>
        </w:rPr>
        <w:t xml:space="preserve"> </w:t>
      </w:r>
      <w:r w:rsidR="00140591" w:rsidRPr="006C2178">
        <w:rPr>
          <w:lang w:eastAsia="en-AU"/>
        </w:rPr>
        <w:t xml:space="preserve">Recipients with musculoskeletal conditions typically </w:t>
      </w:r>
      <w:r w:rsidR="00A54870" w:rsidRPr="006C2178">
        <w:rPr>
          <w:lang w:eastAsia="en-AU"/>
        </w:rPr>
        <w:t>commence receiving</w:t>
      </w:r>
      <w:r w:rsidR="00F43CC2" w:rsidRPr="006C2178">
        <w:rPr>
          <w:lang w:eastAsia="en-AU"/>
        </w:rPr>
        <w:t xml:space="preserve"> the DSP at an older age compared to recipients with other cond</w:t>
      </w:r>
      <w:r w:rsidRPr="006C2178">
        <w:rPr>
          <w:lang w:eastAsia="en-AU"/>
        </w:rPr>
        <w:t>itions.  This is consistent with physical</w:t>
      </w:r>
      <w:r w:rsidR="00DF775A" w:rsidRPr="006C2178">
        <w:rPr>
          <w:lang w:eastAsia="en-AU"/>
        </w:rPr>
        <w:t xml:space="preserve"> labour </w:t>
      </w:r>
      <w:r w:rsidRPr="006C2178">
        <w:rPr>
          <w:lang w:eastAsia="en-AU"/>
        </w:rPr>
        <w:t>having an increasing impact</w:t>
      </w:r>
      <w:r w:rsidR="00F43CC2" w:rsidRPr="006C2178">
        <w:rPr>
          <w:lang w:eastAsia="en-AU"/>
        </w:rPr>
        <w:t xml:space="preserve"> </w:t>
      </w:r>
      <w:r w:rsidR="00344003" w:rsidRPr="006C2178">
        <w:rPr>
          <w:lang w:eastAsia="en-AU"/>
        </w:rPr>
        <w:t>on an individual</w:t>
      </w:r>
      <w:r w:rsidRPr="006C2178">
        <w:rPr>
          <w:lang w:eastAsia="en-AU"/>
        </w:rPr>
        <w:t xml:space="preserve">’s </w:t>
      </w:r>
      <w:r w:rsidR="00F43CC2" w:rsidRPr="006C2178">
        <w:rPr>
          <w:lang w:eastAsia="en-AU"/>
        </w:rPr>
        <w:t>capacity to work</w:t>
      </w:r>
      <w:r w:rsidR="000A4DD0" w:rsidRPr="006C2178">
        <w:rPr>
          <w:lang w:eastAsia="en-AU"/>
        </w:rPr>
        <w:t xml:space="preserve"> as they grow</w:t>
      </w:r>
      <w:r w:rsidRPr="006C2178">
        <w:rPr>
          <w:lang w:eastAsia="en-AU"/>
        </w:rPr>
        <w:t xml:space="preserve"> older</w:t>
      </w:r>
      <w:r w:rsidR="00F43CC2" w:rsidRPr="006C2178">
        <w:rPr>
          <w:lang w:eastAsia="en-AU"/>
        </w:rPr>
        <w:t xml:space="preserve">. </w:t>
      </w:r>
      <w:r w:rsidR="00344003" w:rsidRPr="006C2178">
        <w:rPr>
          <w:lang w:eastAsia="en-AU"/>
        </w:rPr>
        <w:t xml:space="preserve"> </w:t>
      </w:r>
      <w:r w:rsidR="00A54870" w:rsidRPr="006C2178">
        <w:rPr>
          <w:lang w:eastAsia="en-AU"/>
        </w:rPr>
        <w:t>The average age of new DSP recipients</w:t>
      </w:r>
      <w:r w:rsidR="00F43CC2" w:rsidRPr="006C2178">
        <w:rPr>
          <w:lang w:eastAsia="en-AU"/>
        </w:rPr>
        <w:t xml:space="preserve"> with a musculoskeletal condition is </w:t>
      </w:r>
      <w:r w:rsidR="00E311A7" w:rsidRPr="006C2178">
        <w:rPr>
          <w:lang w:eastAsia="en-AU"/>
        </w:rPr>
        <w:t>57</w:t>
      </w:r>
      <w:r w:rsidR="00F43CC2" w:rsidRPr="006C2178">
        <w:rPr>
          <w:lang w:eastAsia="en-AU"/>
        </w:rPr>
        <w:t>.</w:t>
      </w:r>
      <w:r w:rsidR="00FE0012">
        <w:rPr>
          <w:lang w:eastAsia="en-AU"/>
        </w:rPr>
        <w:t xml:space="preserve"> </w:t>
      </w:r>
      <w:r w:rsidR="00F43CC2" w:rsidRPr="006C2178">
        <w:rPr>
          <w:lang w:eastAsia="en-AU"/>
        </w:rPr>
        <w:t xml:space="preserve"> In contrast </w:t>
      </w:r>
      <w:r w:rsidR="00A54870" w:rsidRPr="006C2178">
        <w:rPr>
          <w:lang w:eastAsia="en-AU"/>
        </w:rPr>
        <w:t>new DSP recipients</w:t>
      </w:r>
      <w:r w:rsidR="003D368A" w:rsidRPr="006C2178">
        <w:rPr>
          <w:lang w:eastAsia="en-AU"/>
        </w:rPr>
        <w:t xml:space="preserve"> with</w:t>
      </w:r>
      <w:r w:rsidR="005A4AD1" w:rsidRPr="006C2178">
        <w:rPr>
          <w:lang w:eastAsia="en-AU"/>
        </w:rPr>
        <w:t xml:space="preserve"> psycholog</w:t>
      </w:r>
      <w:r w:rsidR="0072030B" w:rsidRPr="006C2178">
        <w:rPr>
          <w:lang w:eastAsia="en-AU"/>
        </w:rPr>
        <w:t>ical or intellectual condition</w:t>
      </w:r>
      <w:r w:rsidR="003D368A" w:rsidRPr="006C2178">
        <w:rPr>
          <w:lang w:eastAsia="en-AU"/>
        </w:rPr>
        <w:t>s</w:t>
      </w:r>
      <w:r w:rsidR="0072030B" w:rsidRPr="006C2178">
        <w:rPr>
          <w:lang w:eastAsia="en-AU"/>
        </w:rPr>
        <w:t xml:space="preserve"> </w:t>
      </w:r>
      <w:r w:rsidR="00C5194B" w:rsidRPr="006C2178">
        <w:rPr>
          <w:lang w:eastAsia="en-AU"/>
        </w:rPr>
        <w:t>are typically younger, with the average age of</w:t>
      </w:r>
      <w:r w:rsidR="00B64139">
        <w:rPr>
          <w:lang w:eastAsia="en-AU"/>
        </w:rPr>
        <w:t xml:space="preserve"> new</w:t>
      </w:r>
      <w:r w:rsidR="00C5194B" w:rsidRPr="006C2178">
        <w:rPr>
          <w:lang w:eastAsia="en-AU"/>
        </w:rPr>
        <w:t xml:space="preserve"> recipients being </w:t>
      </w:r>
      <w:r w:rsidR="00E311A7" w:rsidRPr="006C2178">
        <w:rPr>
          <w:lang w:eastAsia="en-AU"/>
        </w:rPr>
        <w:t>48</w:t>
      </w:r>
      <w:r w:rsidR="003D368A" w:rsidRPr="006C2178">
        <w:rPr>
          <w:lang w:eastAsia="en-AU"/>
        </w:rPr>
        <w:t xml:space="preserve"> and 37 respectively</w:t>
      </w:r>
      <w:r w:rsidR="00E311A7" w:rsidRPr="006C2178">
        <w:rPr>
          <w:lang w:eastAsia="en-AU"/>
        </w:rPr>
        <w:t>.</w:t>
      </w:r>
    </w:p>
    <w:p w:rsidR="00EF240E" w:rsidRPr="00EF240E" w:rsidRDefault="00EF240E" w:rsidP="00ED2CAE">
      <w:pPr>
        <w:pStyle w:val="Caption1"/>
      </w:pPr>
      <w:bookmarkStart w:id="77" w:name="_Ref500922862"/>
      <w:bookmarkStart w:id="78" w:name="_Toc505927968"/>
      <w:bookmarkStart w:id="79" w:name="_Toc505928627"/>
      <w:bookmarkStart w:id="80" w:name="_Toc506214873"/>
      <w:r w:rsidRPr="00EF240E">
        <w:t xml:space="preserve">Figure </w:t>
      </w:r>
      <w:fldSimple w:instr=" STYLEREF 1 \s ">
        <w:r w:rsidR="0036047A">
          <w:rPr>
            <w:noProof/>
          </w:rPr>
          <w:t>2</w:t>
        </w:r>
      </w:fldSimple>
      <w:r w:rsidRPr="00EF240E">
        <w:t>–</w:t>
      </w:r>
      <w:fldSimple w:instr=" SEQ Figure \* ARABIC \s 1 ">
        <w:r w:rsidR="0036047A">
          <w:rPr>
            <w:noProof/>
          </w:rPr>
          <w:t>11</w:t>
        </w:r>
      </w:fldSimple>
      <w:bookmarkEnd w:id="77"/>
      <w:r w:rsidRPr="00EF240E">
        <w:t xml:space="preserve">: </w:t>
      </w:r>
      <w:r w:rsidR="00302116">
        <w:t xml:space="preserve">New </w:t>
      </w:r>
      <w:r>
        <w:t>Disability Support Pension</w:t>
      </w:r>
      <w:r w:rsidR="00855994">
        <w:t xml:space="preserve"> </w:t>
      </w:r>
      <w:r w:rsidR="00263543">
        <w:t>R</w:t>
      </w:r>
      <w:r w:rsidR="003D2AFA">
        <w:t>ecipients</w:t>
      </w:r>
      <w:r w:rsidR="00ED2CAE">
        <w:t xml:space="preserve"> </w:t>
      </w:r>
      <w:r>
        <w:t xml:space="preserve">by </w:t>
      </w:r>
      <w:r w:rsidR="00263543">
        <w:t>A</w:t>
      </w:r>
      <w:r>
        <w:t xml:space="preserve">ge </w:t>
      </w:r>
      <w:r w:rsidR="00263543">
        <w:t>G</w:t>
      </w:r>
      <w:r>
        <w:t>roup</w:t>
      </w:r>
      <w:bookmarkEnd w:id="78"/>
      <w:bookmarkEnd w:id="79"/>
      <w:bookmarkEnd w:id="80"/>
    </w:p>
    <w:p w:rsidR="00BB5BB2" w:rsidRDefault="00302116" w:rsidP="00302116">
      <w:pPr>
        <w:pStyle w:val="BodyText"/>
        <w:spacing w:before="0" w:after="0" w:line="240" w:lineRule="auto"/>
        <w:jc w:val="center"/>
      </w:pPr>
      <w:r>
        <w:rPr>
          <w:noProof/>
          <w:lang w:eastAsia="en-AU"/>
        </w:rPr>
        <w:drawing>
          <wp:inline distT="0" distB="0" distL="0" distR="0" wp14:anchorId="736176C0" wp14:editId="7D159CD5">
            <wp:extent cx="5438140" cy="3066415"/>
            <wp:effectExtent l="0" t="0" r="0" b="63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38140" cy="3066415"/>
                    </a:xfrm>
                    <a:prstGeom prst="rect">
                      <a:avLst/>
                    </a:prstGeom>
                    <a:noFill/>
                  </pic:spPr>
                </pic:pic>
              </a:graphicData>
            </a:graphic>
          </wp:inline>
        </w:drawing>
      </w:r>
    </w:p>
    <w:p w:rsidR="00592363" w:rsidRPr="00302116" w:rsidRDefault="00BB5BB2" w:rsidP="00F33957">
      <w:pPr>
        <w:pStyle w:val="Source1"/>
      </w:pPr>
      <w:r w:rsidRPr="00302116">
        <w:t xml:space="preserve">Source: DSS </w:t>
      </w:r>
      <w:r w:rsidR="008579FC" w:rsidRPr="00302116">
        <w:t>r</w:t>
      </w:r>
      <w:r w:rsidRPr="00302116">
        <w:t>ecipient characteristics data</w:t>
      </w:r>
    </w:p>
    <w:p w:rsidR="00955D32" w:rsidRPr="006C2178" w:rsidRDefault="00955D32" w:rsidP="00302116">
      <w:pPr>
        <w:pStyle w:val="BodyText17ptAbove"/>
        <w:rPr>
          <w:lang w:eastAsia="en-AU"/>
        </w:rPr>
      </w:pPr>
      <w:r w:rsidRPr="006C2178">
        <w:rPr>
          <w:lang w:eastAsia="en-AU"/>
        </w:rPr>
        <w:fldChar w:fldCharType="begin"/>
      </w:r>
      <w:r w:rsidRPr="006C2178">
        <w:rPr>
          <w:lang w:eastAsia="en-AU"/>
        </w:rPr>
        <w:instrText xml:space="preserve"> REF _Ref500922862 \h </w:instrText>
      </w:r>
      <w:r w:rsidR="006C2178">
        <w:rPr>
          <w:lang w:eastAsia="en-AU"/>
        </w:rPr>
        <w:instrText xml:space="preserve"> \* MERGEFORMAT </w:instrText>
      </w:r>
      <w:r w:rsidRPr="006C2178">
        <w:rPr>
          <w:lang w:eastAsia="en-AU"/>
        </w:rPr>
      </w:r>
      <w:r w:rsidRPr="006C2178">
        <w:rPr>
          <w:lang w:eastAsia="en-AU"/>
        </w:rPr>
        <w:fldChar w:fldCharType="separate"/>
      </w:r>
      <w:r w:rsidR="0036047A" w:rsidRPr="00EF240E">
        <w:t xml:space="preserve">Figure </w:t>
      </w:r>
      <w:r w:rsidR="0036047A">
        <w:rPr>
          <w:noProof/>
        </w:rPr>
        <w:t>2</w:t>
      </w:r>
      <w:r w:rsidR="0036047A" w:rsidRPr="00EF240E">
        <w:t>–</w:t>
      </w:r>
      <w:r w:rsidR="0036047A">
        <w:rPr>
          <w:noProof/>
        </w:rPr>
        <w:t>11</w:t>
      </w:r>
      <w:r w:rsidRPr="006C2178">
        <w:rPr>
          <w:lang w:eastAsia="en-AU"/>
        </w:rPr>
        <w:fldChar w:fldCharType="end"/>
      </w:r>
      <w:r w:rsidRPr="006C2178">
        <w:rPr>
          <w:lang w:eastAsia="en-AU"/>
        </w:rPr>
        <w:t xml:space="preserve"> shows that while </w:t>
      </w:r>
      <w:r w:rsidR="00A54870" w:rsidRPr="006C2178">
        <w:rPr>
          <w:lang w:eastAsia="en-AU"/>
        </w:rPr>
        <w:t>new DSP recipients</w:t>
      </w:r>
      <w:r w:rsidRPr="006C2178">
        <w:rPr>
          <w:lang w:eastAsia="en-AU"/>
        </w:rPr>
        <w:t xml:space="preserve"> aged between 40 and 60 still make up the largest share</w:t>
      </w:r>
      <w:r w:rsidR="00A54870" w:rsidRPr="006C2178">
        <w:rPr>
          <w:lang w:eastAsia="en-AU"/>
        </w:rPr>
        <w:t xml:space="preserve"> of</w:t>
      </w:r>
      <w:r w:rsidRPr="006C2178">
        <w:rPr>
          <w:lang w:eastAsia="en-AU"/>
        </w:rPr>
        <w:t xml:space="preserve"> </w:t>
      </w:r>
      <w:r w:rsidR="00A54870" w:rsidRPr="006C2178">
        <w:rPr>
          <w:lang w:eastAsia="en-AU"/>
        </w:rPr>
        <w:t>new recipients</w:t>
      </w:r>
      <w:r w:rsidRPr="006C2178">
        <w:rPr>
          <w:lang w:eastAsia="en-AU"/>
        </w:rPr>
        <w:t xml:space="preserve">, this has shrunk from 61 per cent in 2001–02 to 45 per cent in 2016–17. </w:t>
      </w:r>
      <w:r w:rsidR="00FE0ADF">
        <w:rPr>
          <w:lang w:eastAsia="en-AU"/>
        </w:rPr>
        <w:t xml:space="preserve"> </w:t>
      </w:r>
      <w:r w:rsidRPr="006C2178">
        <w:rPr>
          <w:lang w:eastAsia="en-AU"/>
        </w:rPr>
        <w:t xml:space="preserve">In part, this reflects </w:t>
      </w:r>
      <w:r w:rsidR="00C75EB9" w:rsidRPr="006C2178">
        <w:rPr>
          <w:lang w:eastAsia="en-AU"/>
        </w:rPr>
        <w:t xml:space="preserve">a fall in the size of the 40 to 60 cohort as the baby boomers </w:t>
      </w:r>
      <w:r w:rsidR="00FE0ADF">
        <w:rPr>
          <w:lang w:eastAsia="en-AU"/>
        </w:rPr>
        <w:t>grow older</w:t>
      </w:r>
      <w:r w:rsidR="006A3BBE" w:rsidRPr="006C2178">
        <w:rPr>
          <w:lang w:eastAsia="en-AU"/>
        </w:rPr>
        <w:t>.</w:t>
      </w:r>
      <w:r w:rsidRPr="006C2178">
        <w:rPr>
          <w:lang w:eastAsia="en-AU"/>
        </w:rPr>
        <w:t xml:space="preserve">  In 2000–01</w:t>
      </w:r>
      <w:r w:rsidR="006A3BBE" w:rsidRPr="006C2178">
        <w:rPr>
          <w:lang w:eastAsia="en-AU"/>
        </w:rPr>
        <w:t>,</w:t>
      </w:r>
      <w:r w:rsidRPr="006C2178">
        <w:rPr>
          <w:lang w:eastAsia="en-AU"/>
        </w:rPr>
        <w:t xml:space="preserve"> the baby boomers comprised 82 per cent of people aged between 40 and 60, this fell to 41 per cent in 2016–17.</w:t>
      </w:r>
      <w:r w:rsidR="00C75EB9" w:rsidRPr="006C2178">
        <w:rPr>
          <w:rStyle w:val="FootnoteReference"/>
        </w:rPr>
        <w:footnoteReference w:id="20"/>
      </w:r>
      <w:r w:rsidRPr="006C2178">
        <w:rPr>
          <w:lang w:eastAsia="en-AU"/>
        </w:rPr>
        <w:t xml:space="preserve">  The increasing workforce participation of </w:t>
      </w:r>
      <w:r w:rsidRPr="006C2178">
        <w:rPr>
          <w:lang w:eastAsia="en-AU"/>
        </w:rPr>
        <w:lastRenderedPageBreak/>
        <w:t xml:space="preserve">women </w:t>
      </w:r>
      <w:r w:rsidR="0033077F" w:rsidRPr="006C2178">
        <w:rPr>
          <w:lang w:eastAsia="en-AU"/>
        </w:rPr>
        <w:t xml:space="preserve">within this cohort has </w:t>
      </w:r>
      <w:r w:rsidRPr="006C2178">
        <w:rPr>
          <w:lang w:eastAsia="en-AU"/>
        </w:rPr>
        <w:t>also contribute</w:t>
      </w:r>
      <w:r w:rsidR="0033077F" w:rsidRPr="006C2178">
        <w:rPr>
          <w:lang w:eastAsia="en-AU"/>
        </w:rPr>
        <w:t>d</w:t>
      </w:r>
      <w:r w:rsidRPr="006C2178">
        <w:rPr>
          <w:lang w:eastAsia="en-AU"/>
        </w:rPr>
        <w:t xml:space="preserve"> to the falling share of</w:t>
      </w:r>
      <w:r w:rsidR="0033077F" w:rsidRPr="006C2178">
        <w:rPr>
          <w:lang w:eastAsia="en-AU"/>
        </w:rPr>
        <w:t xml:space="preserve"> recipients in</w:t>
      </w:r>
      <w:r w:rsidRPr="006C2178">
        <w:rPr>
          <w:lang w:eastAsia="en-AU"/>
        </w:rPr>
        <w:t xml:space="preserve"> this age group over the period. </w:t>
      </w:r>
    </w:p>
    <w:p w:rsidR="00BD34A1" w:rsidRDefault="00955D32" w:rsidP="00ED1974">
      <w:pPr>
        <w:pStyle w:val="BodyText"/>
        <w:rPr>
          <w:lang w:eastAsia="en-AU"/>
        </w:rPr>
      </w:pPr>
      <w:r w:rsidRPr="006C2178">
        <w:rPr>
          <w:lang w:eastAsia="en-AU"/>
        </w:rPr>
        <w:t>In contrast, those under 4</w:t>
      </w:r>
      <w:r w:rsidR="00A54870" w:rsidRPr="006C2178">
        <w:rPr>
          <w:lang w:eastAsia="en-AU"/>
        </w:rPr>
        <w:t>0 made up 28 per cent of new recipients</w:t>
      </w:r>
      <w:r w:rsidRPr="006C2178">
        <w:rPr>
          <w:lang w:eastAsia="en-AU"/>
        </w:rPr>
        <w:t xml:space="preserve"> in 2001–02, with this share increasing to 40 per cent in 2016–17.  This increase is mainly driv</w:t>
      </w:r>
      <w:r w:rsidR="00475DB2">
        <w:rPr>
          <w:lang w:eastAsia="en-AU"/>
        </w:rPr>
        <w:t>en by men</w:t>
      </w:r>
      <w:r w:rsidRPr="006C2178">
        <w:rPr>
          <w:lang w:eastAsia="en-AU"/>
        </w:rPr>
        <w:t xml:space="preserve"> with intellectual</w:t>
      </w:r>
      <w:r w:rsidRPr="00504CFE">
        <w:rPr>
          <w:lang w:eastAsia="en-AU"/>
        </w:rPr>
        <w:t xml:space="preserve"> </w:t>
      </w:r>
      <w:r w:rsidRPr="006C2178">
        <w:rPr>
          <w:lang w:eastAsia="en-AU"/>
        </w:rPr>
        <w:t>and psychological con</w:t>
      </w:r>
      <w:r w:rsidR="00B530A3" w:rsidRPr="006C2178">
        <w:rPr>
          <w:lang w:eastAsia="en-AU"/>
        </w:rPr>
        <w:t xml:space="preserve">ditions entering the DSP. </w:t>
      </w:r>
      <w:r w:rsidR="00FE0ADF">
        <w:rPr>
          <w:lang w:eastAsia="en-AU"/>
        </w:rPr>
        <w:t xml:space="preserve"> </w:t>
      </w:r>
      <w:r w:rsidR="00B64139">
        <w:rPr>
          <w:lang w:eastAsia="en-AU"/>
        </w:rPr>
        <w:t>In 2016–17, men</w:t>
      </w:r>
      <w:r w:rsidR="00B64139" w:rsidRPr="006C2178">
        <w:rPr>
          <w:lang w:eastAsia="en-AU"/>
        </w:rPr>
        <w:t xml:space="preserve"> </w:t>
      </w:r>
      <w:r w:rsidR="00B530A3" w:rsidRPr="006C2178">
        <w:rPr>
          <w:lang w:eastAsia="en-AU"/>
        </w:rPr>
        <w:t>under 40</w:t>
      </w:r>
      <w:r w:rsidR="00A54870" w:rsidRPr="006C2178">
        <w:rPr>
          <w:lang w:eastAsia="en-AU"/>
        </w:rPr>
        <w:t xml:space="preserve"> with these conditions</w:t>
      </w:r>
      <w:r w:rsidR="00B530A3" w:rsidRPr="006C2178">
        <w:rPr>
          <w:lang w:eastAsia="en-AU"/>
        </w:rPr>
        <w:t xml:space="preserve"> accounted for three times as many new DSP recipients than</w:t>
      </w:r>
      <w:r w:rsidR="00A54870" w:rsidRPr="006C2178">
        <w:rPr>
          <w:lang w:eastAsia="en-AU"/>
        </w:rPr>
        <w:t xml:space="preserve"> </w:t>
      </w:r>
      <w:r w:rsidR="00125DEA">
        <w:rPr>
          <w:lang w:eastAsia="en-AU"/>
        </w:rPr>
        <w:t>women</w:t>
      </w:r>
      <w:r w:rsidR="00A54870" w:rsidRPr="006C2178">
        <w:rPr>
          <w:lang w:eastAsia="en-AU"/>
        </w:rPr>
        <w:t xml:space="preserve"> </w:t>
      </w:r>
      <w:proofErr w:type="gramStart"/>
      <w:r w:rsidR="00A54870" w:rsidRPr="006C2178">
        <w:rPr>
          <w:lang w:eastAsia="en-AU"/>
        </w:rPr>
        <w:t>under</w:t>
      </w:r>
      <w:proofErr w:type="gramEnd"/>
      <w:r w:rsidR="00A54870" w:rsidRPr="006C2178">
        <w:rPr>
          <w:lang w:eastAsia="en-AU"/>
        </w:rPr>
        <w:t xml:space="preserve"> 40 with the same</w:t>
      </w:r>
      <w:r w:rsidRPr="006C2178">
        <w:rPr>
          <w:lang w:eastAsia="en-AU"/>
        </w:rPr>
        <w:t xml:space="preserve"> conditions.  </w:t>
      </w:r>
    </w:p>
    <w:p w:rsidR="00ED1974" w:rsidRDefault="00EA4506" w:rsidP="00ED1974">
      <w:pPr>
        <w:pStyle w:val="BodyText"/>
        <w:rPr>
          <w:lang w:eastAsia="en-AU"/>
        </w:rPr>
      </w:pPr>
      <w:r w:rsidRPr="007D1079">
        <w:rPr>
          <w:lang w:eastAsia="en-AU"/>
        </w:rPr>
        <w:t>Th</w:t>
      </w:r>
      <w:r w:rsidR="00E4431C" w:rsidRPr="007D1079">
        <w:rPr>
          <w:lang w:eastAsia="en-AU"/>
        </w:rPr>
        <w:t>e change in the composition of new DSP recipients</w:t>
      </w:r>
      <w:r w:rsidRPr="007D1079">
        <w:rPr>
          <w:lang w:eastAsia="en-AU"/>
        </w:rPr>
        <w:t xml:space="preserve"> </w:t>
      </w:r>
      <w:r w:rsidR="00E4431C" w:rsidRPr="007D1079">
        <w:rPr>
          <w:lang w:eastAsia="en-AU"/>
        </w:rPr>
        <w:t xml:space="preserve">discussed above </w:t>
      </w:r>
      <w:r w:rsidRPr="007D1079">
        <w:rPr>
          <w:lang w:eastAsia="en-AU"/>
        </w:rPr>
        <w:t xml:space="preserve">represents a key </w:t>
      </w:r>
      <w:r w:rsidR="00E4431C" w:rsidRPr="007D1079">
        <w:rPr>
          <w:lang w:eastAsia="en-AU"/>
        </w:rPr>
        <w:t>shift in the dynamics of the payment</w:t>
      </w:r>
      <w:r w:rsidR="00E41FDB" w:rsidRPr="007D1079">
        <w:rPr>
          <w:lang w:eastAsia="en-AU"/>
        </w:rPr>
        <w:t xml:space="preserve">.  While the number of new </w:t>
      </w:r>
      <w:r w:rsidR="00ED2CAE" w:rsidRPr="007D1079">
        <w:rPr>
          <w:lang w:eastAsia="en-AU"/>
        </w:rPr>
        <w:t xml:space="preserve">DSP </w:t>
      </w:r>
      <w:r w:rsidR="00E41FDB" w:rsidRPr="007D1079">
        <w:rPr>
          <w:lang w:eastAsia="en-AU"/>
        </w:rPr>
        <w:t>recipients has f</w:t>
      </w:r>
      <w:r w:rsidR="00E47948" w:rsidRPr="007D1079">
        <w:rPr>
          <w:lang w:eastAsia="en-AU"/>
        </w:rPr>
        <w:t>allen more</w:t>
      </w:r>
      <w:r w:rsidR="00ED2CAE" w:rsidRPr="007D1079">
        <w:rPr>
          <w:lang w:eastAsia="en-AU"/>
        </w:rPr>
        <w:t xml:space="preserve"> general</w:t>
      </w:r>
      <w:r w:rsidR="00E47948" w:rsidRPr="007D1079">
        <w:rPr>
          <w:lang w:eastAsia="en-AU"/>
        </w:rPr>
        <w:t>ly</w:t>
      </w:r>
      <w:r w:rsidR="00ED2CAE" w:rsidRPr="007D1079">
        <w:rPr>
          <w:lang w:eastAsia="en-AU"/>
        </w:rPr>
        <w:t>,</w:t>
      </w:r>
      <w:r w:rsidR="00E41FDB" w:rsidRPr="007D1079">
        <w:rPr>
          <w:lang w:eastAsia="en-AU"/>
        </w:rPr>
        <w:t xml:space="preserve"> </w:t>
      </w:r>
      <w:r w:rsidR="009F3DC0" w:rsidRPr="007D1079">
        <w:rPr>
          <w:lang w:eastAsia="en-AU"/>
        </w:rPr>
        <w:t xml:space="preserve">an increasing proportion of </w:t>
      </w:r>
      <w:r w:rsidR="00E41FDB" w:rsidRPr="007D1079">
        <w:rPr>
          <w:lang w:eastAsia="en-AU"/>
        </w:rPr>
        <w:t>new recipients</w:t>
      </w:r>
      <w:r w:rsidR="00ED2CAE" w:rsidRPr="007D1079">
        <w:rPr>
          <w:lang w:eastAsia="en-AU"/>
        </w:rPr>
        <w:t xml:space="preserve"> are more likely to stay on the payment for</w:t>
      </w:r>
      <w:r w:rsidR="008E5661" w:rsidRPr="007D1079">
        <w:rPr>
          <w:lang w:eastAsia="en-AU"/>
        </w:rPr>
        <w:t xml:space="preserve"> a</w:t>
      </w:r>
      <w:r w:rsidR="00ED2CAE" w:rsidRPr="007D1079">
        <w:rPr>
          <w:lang w:eastAsia="en-AU"/>
        </w:rPr>
        <w:t xml:space="preserve"> longer</w:t>
      </w:r>
      <w:r w:rsidR="008E5661" w:rsidRPr="007D1079">
        <w:rPr>
          <w:lang w:eastAsia="en-AU"/>
        </w:rPr>
        <w:t xml:space="preserve"> period.  This is because an increasing</w:t>
      </w:r>
      <w:r w:rsidR="00333968" w:rsidRPr="007D1079">
        <w:rPr>
          <w:lang w:eastAsia="en-AU"/>
        </w:rPr>
        <w:t xml:space="preserve"> proportion of new DSP recipients</w:t>
      </w:r>
      <w:r w:rsidR="008E5661" w:rsidRPr="007D1079">
        <w:rPr>
          <w:lang w:eastAsia="en-AU"/>
        </w:rPr>
        <w:t xml:space="preserve"> are</w:t>
      </w:r>
      <w:r w:rsidR="00333968" w:rsidRPr="007D1079">
        <w:rPr>
          <w:lang w:eastAsia="en-AU"/>
        </w:rPr>
        <w:t xml:space="preserve"> under 40 </w:t>
      </w:r>
      <w:r w:rsidR="008E5661" w:rsidRPr="007D1079">
        <w:rPr>
          <w:lang w:eastAsia="en-AU"/>
        </w:rPr>
        <w:t>and</w:t>
      </w:r>
      <w:r w:rsidR="00ED2CAE" w:rsidRPr="007D1079">
        <w:rPr>
          <w:lang w:eastAsia="en-AU"/>
        </w:rPr>
        <w:t xml:space="preserve"> more likely to have</w:t>
      </w:r>
      <w:r w:rsidR="009965D6" w:rsidRPr="007D1079">
        <w:rPr>
          <w:lang w:eastAsia="en-AU"/>
        </w:rPr>
        <w:t xml:space="preserve"> psychological and intellectual conditions</w:t>
      </w:r>
      <w:r w:rsidR="009F3DC0" w:rsidRPr="007D1079">
        <w:rPr>
          <w:lang w:eastAsia="en-AU"/>
        </w:rPr>
        <w:t xml:space="preserve">.  </w:t>
      </w:r>
      <w:r w:rsidR="00E4431C" w:rsidRPr="007D1079">
        <w:rPr>
          <w:lang w:eastAsia="en-AU"/>
        </w:rPr>
        <w:t>As m</w:t>
      </w:r>
      <w:r w:rsidR="00BF5F6C" w:rsidRPr="007D1079">
        <w:rPr>
          <w:lang w:eastAsia="en-AU"/>
        </w:rPr>
        <w:t xml:space="preserve">ost </w:t>
      </w:r>
      <w:r w:rsidR="00333968" w:rsidRPr="007D1079">
        <w:rPr>
          <w:lang w:eastAsia="en-AU"/>
        </w:rPr>
        <w:t xml:space="preserve">recipients </w:t>
      </w:r>
      <w:r w:rsidR="008C00BF" w:rsidRPr="007D1079">
        <w:rPr>
          <w:lang w:eastAsia="en-AU"/>
        </w:rPr>
        <w:t>with these conditions</w:t>
      </w:r>
      <w:r w:rsidR="004F09E9" w:rsidRPr="007D1079">
        <w:rPr>
          <w:lang w:eastAsia="en-AU"/>
        </w:rPr>
        <w:t xml:space="preserve"> </w:t>
      </w:r>
      <w:r w:rsidR="00A4062E" w:rsidRPr="007D1079">
        <w:rPr>
          <w:lang w:eastAsia="en-AU"/>
        </w:rPr>
        <w:t xml:space="preserve">remain on the payment until </w:t>
      </w:r>
      <w:r w:rsidR="00A4062E" w:rsidRPr="00A918BC">
        <w:rPr>
          <w:lang w:eastAsia="en-AU"/>
        </w:rPr>
        <w:t>they receive the Age Pension</w:t>
      </w:r>
      <w:r w:rsidR="00774BE8" w:rsidRPr="00A918BC">
        <w:rPr>
          <w:lang w:eastAsia="en-AU"/>
        </w:rPr>
        <w:t>,</w:t>
      </w:r>
      <w:r w:rsidR="00E4431C" w:rsidRPr="00A918BC">
        <w:rPr>
          <w:lang w:eastAsia="en-AU"/>
        </w:rPr>
        <w:t xml:space="preserve"> this</w:t>
      </w:r>
      <w:r w:rsidR="00774BE8" w:rsidRPr="00A918BC">
        <w:rPr>
          <w:lang w:eastAsia="en-AU"/>
        </w:rPr>
        <w:t xml:space="preserve"> younger</w:t>
      </w:r>
      <w:r w:rsidR="00722E1B" w:rsidRPr="00A918BC">
        <w:rPr>
          <w:lang w:eastAsia="en-AU"/>
        </w:rPr>
        <w:t xml:space="preserve"> cohort could</w:t>
      </w:r>
      <w:r w:rsidR="00E4431C" w:rsidRPr="00A918BC">
        <w:rPr>
          <w:lang w:eastAsia="en-AU"/>
        </w:rPr>
        <w:t xml:space="preserve"> </w:t>
      </w:r>
      <w:r w:rsidR="00A4062E" w:rsidRPr="00A918BC">
        <w:rPr>
          <w:lang w:eastAsia="en-AU"/>
        </w:rPr>
        <w:t>remain on the payment for over</w:t>
      </w:r>
      <w:r w:rsidR="00E4431C" w:rsidRPr="00A918BC">
        <w:rPr>
          <w:lang w:eastAsia="en-AU"/>
        </w:rPr>
        <w:t xml:space="preserve"> 20 years</w:t>
      </w:r>
      <w:r w:rsidR="009965D6" w:rsidRPr="00A918BC">
        <w:rPr>
          <w:lang w:eastAsia="en-AU"/>
        </w:rPr>
        <w:t>.</w:t>
      </w:r>
      <w:r w:rsidR="008E5661" w:rsidRPr="00A918BC">
        <w:rPr>
          <w:lang w:eastAsia="en-AU"/>
        </w:rPr>
        <w:t xml:space="preserve">  Around</w:t>
      </w:r>
      <w:r w:rsidR="004F09E9" w:rsidRPr="00A918BC">
        <w:rPr>
          <w:lang w:eastAsia="en-AU"/>
        </w:rPr>
        <w:t xml:space="preserve"> a decade ago</w:t>
      </w:r>
      <w:r w:rsidR="008E5661" w:rsidRPr="00A918BC">
        <w:rPr>
          <w:lang w:eastAsia="en-AU"/>
        </w:rPr>
        <w:t>, in contrast,</w:t>
      </w:r>
      <w:r w:rsidR="004F09E9" w:rsidRPr="00A918BC">
        <w:rPr>
          <w:lang w:eastAsia="en-AU"/>
        </w:rPr>
        <w:t xml:space="preserve"> </w:t>
      </w:r>
      <w:r w:rsidR="008E5661" w:rsidRPr="00A918BC">
        <w:rPr>
          <w:lang w:eastAsia="en-AU"/>
        </w:rPr>
        <w:t>the average period of receiving the payment was around 10 years</w:t>
      </w:r>
      <w:r w:rsidR="00BF5F6C" w:rsidRPr="00A918BC">
        <w:rPr>
          <w:lang w:eastAsia="en-AU"/>
        </w:rPr>
        <w:t>.</w:t>
      </w:r>
      <w:r w:rsidR="008C00BF" w:rsidRPr="00A918BC">
        <w:rPr>
          <w:lang w:eastAsia="en-AU"/>
        </w:rPr>
        <w:t xml:space="preserve"> </w:t>
      </w:r>
      <w:r w:rsidR="00BF5F6C" w:rsidRPr="00A918BC">
        <w:rPr>
          <w:lang w:eastAsia="en-AU"/>
        </w:rPr>
        <w:t xml:space="preserve"> </w:t>
      </w:r>
      <w:bookmarkStart w:id="81" w:name="_Toc495565581"/>
      <w:bookmarkStart w:id="82" w:name="_Toc495580830"/>
      <w:bookmarkStart w:id="83" w:name="_Toc495612919"/>
      <w:r w:rsidR="008E5661" w:rsidRPr="00A918BC">
        <w:rPr>
          <w:lang w:eastAsia="en-AU"/>
        </w:rPr>
        <w:t xml:space="preserve">This structural change </w:t>
      </w:r>
      <w:r w:rsidR="00D6490D" w:rsidRPr="00A918BC">
        <w:rPr>
          <w:lang w:eastAsia="en-AU"/>
        </w:rPr>
        <w:t xml:space="preserve">will contribute to growth in DSP expenditure over the longer term as the total number of recipients </w:t>
      </w:r>
      <w:r w:rsidR="00A918BC" w:rsidRPr="00A918BC">
        <w:rPr>
          <w:lang w:eastAsia="en-AU"/>
        </w:rPr>
        <w:t>will remain</w:t>
      </w:r>
      <w:r w:rsidR="001F7336" w:rsidRPr="00A918BC">
        <w:rPr>
          <w:lang w:eastAsia="en-AU"/>
        </w:rPr>
        <w:t xml:space="preserve"> larger than would have otherwise been the case.</w:t>
      </w:r>
    </w:p>
    <w:bookmarkEnd w:id="81"/>
    <w:bookmarkEnd w:id="82"/>
    <w:bookmarkEnd w:id="83"/>
    <w:p w:rsidR="00E5629D" w:rsidRDefault="00822CC3" w:rsidP="00D6490D">
      <w:pPr>
        <w:pStyle w:val="Heading3"/>
        <w:spacing w:before="240" w:after="120"/>
      </w:pPr>
      <w:r>
        <w:t>Trends in recipients leaving the DSP</w:t>
      </w:r>
    </w:p>
    <w:p w:rsidR="008975CF" w:rsidRPr="006C2178" w:rsidRDefault="00955D32" w:rsidP="00723ADB">
      <w:pPr>
        <w:pStyle w:val="BodyText"/>
      </w:pPr>
      <w:r w:rsidRPr="006C2178">
        <w:t>A</w:t>
      </w:r>
      <w:r w:rsidR="000030A0" w:rsidRPr="006C2178">
        <w:t>round</w:t>
      </w:r>
      <w:r w:rsidR="00486A9E" w:rsidRPr="006C2178">
        <w:t xml:space="preserve"> </w:t>
      </w:r>
      <w:r w:rsidR="000030A0" w:rsidRPr="006C2178">
        <w:t>55,000</w:t>
      </w:r>
      <w:r w:rsidR="00486A9E" w:rsidRPr="006C2178">
        <w:t xml:space="preserve"> people</w:t>
      </w:r>
      <w:r w:rsidRPr="006C2178">
        <w:t xml:space="preserve"> </w:t>
      </w:r>
      <w:r w:rsidR="00CB1CBA" w:rsidRPr="006C2178">
        <w:t>ceased receiving the</w:t>
      </w:r>
      <w:r w:rsidR="00486A9E" w:rsidRPr="006C2178">
        <w:t xml:space="preserve"> DSP </w:t>
      </w:r>
      <w:r w:rsidR="0029399E" w:rsidRPr="006C2178">
        <w:t xml:space="preserve">each year </w:t>
      </w:r>
      <w:r w:rsidR="00486A9E" w:rsidRPr="006C2178">
        <w:t>from 2001</w:t>
      </w:r>
      <w:r w:rsidR="00E760FC" w:rsidRPr="006C2178">
        <w:t>–02 to 2016–</w:t>
      </w:r>
      <w:r w:rsidR="00486A9E" w:rsidRPr="006C2178">
        <w:t xml:space="preserve">17. </w:t>
      </w:r>
      <w:r w:rsidR="00FE0ADF">
        <w:t xml:space="preserve"> </w:t>
      </w:r>
      <w:r w:rsidR="00AB00A4">
        <w:t xml:space="preserve">As shown in </w:t>
      </w:r>
      <w:r w:rsidR="00AB00A4">
        <w:fldChar w:fldCharType="begin"/>
      </w:r>
      <w:r w:rsidR="00AB00A4">
        <w:instrText xml:space="preserve"> REF _Ref500923001 \h </w:instrText>
      </w:r>
      <w:r w:rsidR="00AB00A4">
        <w:fldChar w:fldCharType="separate"/>
      </w:r>
      <w:r w:rsidR="0036047A" w:rsidRPr="006C2178">
        <w:t xml:space="preserve">Figure </w:t>
      </w:r>
      <w:r w:rsidR="0036047A">
        <w:rPr>
          <w:noProof/>
        </w:rPr>
        <w:t>2</w:t>
      </w:r>
      <w:r w:rsidR="0036047A" w:rsidRPr="006C2178">
        <w:t>–</w:t>
      </w:r>
      <w:r w:rsidR="0036047A">
        <w:rPr>
          <w:noProof/>
        </w:rPr>
        <w:t>12</w:t>
      </w:r>
      <w:r w:rsidR="00AB00A4">
        <w:fldChar w:fldCharType="end"/>
      </w:r>
      <w:r w:rsidR="00AB00A4">
        <w:t>, t</w:t>
      </w:r>
      <w:r w:rsidR="00B530A3" w:rsidRPr="006C2178">
        <w:t>he primary reason that people</w:t>
      </w:r>
      <w:r w:rsidR="00CB1CBA" w:rsidRPr="006C2178">
        <w:t xml:space="preserve"> cease receiving the DSP is that they</w:t>
      </w:r>
      <w:r w:rsidR="00B530A3" w:rsidRPr="006C2178">
        <w:t xml:space="preserve"> move onto the Age Pension (49 per cent)</w:t>
      </w:r>
      <w:r w:rsidR="00723ADB" w:rsidRPr="006C2178">
        <w:t>.</w:t>
      </w:r>
      <w:r w:rsidR="001E2404">
        <w:t xml:space="preserve"> </w:t>
      </w:r>
      <w:r w:rsidR="00723ADB" w:rsidRPr="006C2178">
        <w:t xml:space="preserve"> </w:t>
      </w:r>
      <w:r w:rsidR="00B530A3" w:rsidRPr="006C2178">
        <w:t>Once a person reaches Age Pension age (currently 65), they have the option to continue to receive the DSP or to move onto the Age Pension.</w:t>
      </w:r>
      <w:r w:rsidR="00FE0ADF">
        <w:t xml:space="preserve"> </w:t>
      </w:r>
      <w:r w:rsidR="00B530A3" w:rsidRPr="006C2178">
        <w:t xml:space="preserve"> The vast majority of eligible 65 year olds choose to transition to the Age Pension </w:t>
      </w:r>
      <w:r w:rsidR="00B64139">
        <w:t>as it has</w:t>
      </w:r>
      <w:r w:rsidR="00B530A3" w:rsidRPr="006C2178">
        <w:t xml:space="preserve"> no medical eligibility rules</w:t>
      </w:r>
      <w:r w:rsidR="001D0ED4">
        <w:t xml:space="preserve">.  </w:t>
      </w:r>
      <w:r w:rsidR="008975CF" w:rsidRPr="005B5BEF">
        <w:t>The next most common reason for ceasing to receive the DSP is death (24</w:t>
      </w:r>
      <w:r w:rsidR="001D0ED4">
        <w:t> </w:t>
      </w:r>
      <w:r w:rsidR="008975CF" w:rsidRPr="005B5BEF">
        <w:t>per cent).</w:t>
      </w:r>
      <w:r w:rsidR="008975CF">
        <w:t xml:space="preserve"> </w:t>
      </w:r>
    </w:p>
    <w:p w:rsidR="00256A99" w:rsidRDefault="007F17E0" w:rsidP="00D6490D">
      <w:pPr>
        <w:pStyle w:val="Caption1"/>
        <w:spacing w:before="120"/>
      </w:pPr>
      <w:bookmarkStart w:id="84" w:name="_Ref500923001"/>
      <w:bookmarkStart w:id="85" w:name="_Toc505927969"/>
      <w:bookmarkStart w:id="86" w:name="_Toc505928628"/>
      <w:bookmarkStart w:id="87" w:name="_Toc506214874"/>
      <w:r w:rsidRPr="006C2178">
        <w:t xml:space="preserve">Figure </w:t>
      </w:r>
      <w:fldSimple w:instr=" STYLEREF 1 \s ">
        <w:r w:rsidR="0036047A">
          <w:rPr>
            <w:noProof/>
          </w:rPr>
          <w:t>2</w:t>
        </w:r>
      </w:fldSimple>
      <w:r w:rsidRPr="006C2178">
        <w:t>–</w:t>
      </w:r>
      <w:fldSimple w:instr=" SEQ Figure \* ARABIC \s 1 ">
        <w:r w:rsidR="0036047A">
          <w:rPr>
            <w:noProof/>
          </w:rPr>
          <w:t>12</w:t>
        </w:r>
      </w:fldSimple>
      <w:bookmarkEnd w:id="84"/>
      <w:r w:rsidRPr="006C2178">
        <w:t>: Disability Support Pension</w:t>
      </w:r>
      <w:r w:rsidR="00ED2CAE">
        <w:t xml:space="preserve"> </w:t>
      </w:r>
      <w:r w:rsidR="00263543">
        <w:t>R</w:t>
      </w:r>
      <w:r w:rsidR="00ED2CAE">
        <w:t>easons</w:t>
      </w:r>
      <w:r w:rsidR="008E3FF5">
        <w:t xml:space="preserve"> for </w:t>
      </w:r>
      <w:r w:rsidR="00263543">
        <w:t>L</w:t>
      </w:r>
      <w:r w:rsidR="00B261EC">
        <w:t>eaving</w:t>
      </w:r>
      <w:bookmarkEnd w:id="85"/>
      <w:bookmarkEnd w:id="86"/>
      <w:bookmarkEnd w:id="87"/>
      <w:r w:rsidRPr="006C2178">
        <w:t xml:space="preserve"> </w:t>
      </w:r>
    </w:p>
    <w:p w:rsidR="007F17E0" w:rsidRPr="007F17E0" w:rsidRDefault="00256A99" w:rsidP="00526248">
      <w:pPr>
        <w:pStyle w:val="Caption4"/>
      </w:pPr>
      <w:r>
        <w:t>Share of recipient</w:t>
      </w:r>
      <w:r w:rsidR="00B150F8">
        <w:t>s</w:t>
      </w:r>
      <w:r>
        <w:t xml:space="preserve"> who ceased receiving the DSP in </w:t>
      </w:r>
      <w:r w:rsidR="007F17E0" w:rsidRPr="006C2178">
        <w:t>2016–17</w:t>
      </w:r>
      <w:r w:rsidR="007F17E0" w:rsidRPr="007F17E0">
        <w:t xml:space="preserve"> </w:t>
      </w:r>
    </w:p>
    <w:p w:rsidR="007F17E0" w:rsidRDefault="007F17E0" w:rsidP="005379FA">
      <w:pPr>
        <w:pStyle w:val="BodyText"/>
        <w:jc w:val="center"/>
      </w:pPr>
      <w:r w:rsidRPr="007F17E0">
        <w:rPr>
          <w:noProof/>
          <w:lang w:eastAsia="en-AU"/>
        </w:rPr>
        <w:drawing>
          <wp:inline distT="0" distB="0" distL="0" distR="0" wp14:anchorId="412E8599" wp14:editId="30C81FEA">
            <wp:extent cx="4655298" cy="2808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55298" cy="2808000"/>
                    </a:xfrm>
                    <a:prstGeom prst="rect">
                      <a:avLst/>
                    </a:prstGeom>
                    <a:noFill/>
                  </pic:spPr>
                </pic:pic>
              </a:graphicData>
            </a:graphic>
          </wp:inline>
        </w:drawing>
      </w:r>
    </w:p>
    <w:p w:rsidR="007F17E0" w:rsidRDefault="007F17E0" w:rsidP="00F33957">
      <w:pPr>
        <w:pStyle w:val="Source1"/>
      </w:pPr>
      <w:r>
        <w:t>Source: DSS recipient characteristics data</w:t>
      </w:r>
    </w:p>
    <w:p w:rsidR="007F17E0" w:rsidRPr="00CB1CBA" w:rsidRDefault="006A3BBE" w:rsidP="00360FDE">
      <w:pPr>
        <w:pStyle w:val="BodyText"/>
      </w:pPr>
      <w:r w:rsidRPr="006C2178">
        <w:lastRenderedPageBreak/>
        <w:t>O</w:t>
      </w:r>
      <w:r w:rsidR="00E54658" w:rsidRPr="006C2178">
        <w:t xml:space="preserve">ther </w:t>
      </w:r>
      <w:r w:rsidRPr="006C2178">
        <w:t>rea</w:t>
      </w:r>
      <w:r w:rsidR="00365A4A" w:rsidRPr="006C2178">
        <w:t>sons</w:t>
      </w:r>
      <w:r w:rsidR="00CB1CBA" w:rsidRPr="006C2178">
        <w:t xml:space="preserve"> DSP recipients cease receiving the payment include exceeding </w:t>
      </w:r>
      <w:r w:rsidR="00062F84">
        <w:t xml:space="preserve">the </w:t>
      </w:r>
      <w:r w:rsidR="00CB1CBA" w:rsidRPr="006C2178">
        <w:t xml:space="preserve">amount of time they are able to remain overseas while continuing to </w:t>
      </w:r>
      <w:r w:rsidRPr="006C2178">
        <w:t>access</w:t>
      </w:r>
      <w:r w:rsidR="00CB1CBA" w:rsidRPr="006C2178">
        <w:t xml:space="preserve"> income support payments</w:t>
      </w:r>
      <w:r w:rsidR="0008078D" w:rsidRPr="006C2178">
        <w:t xml:space="preserve">, </w:t>
      </w:r>
      <w:r w:rsidR="00CB1CBA" w:rsidRPr="005B5BEF">
        <w:t>earning</w:t>
      </w:r>
      <w:r w:rsidR="00915041" w:rsidRPr="005B5BEF">
        <w:t xml:space="preserve"> </w:t>
      </w:r>
      <w:r w:rsidR="00CB1CBA" w:rsidRPr="005B5BEF">
        <w:t>income or holding</w:t>
      </w:r>
      <w:r w:rsidR="00A84461" w:rsidRPr="005B5BEF">
        <w:t xml:space="preserve"> asset</w:t>
      </w:r>
      <w:r w:rsidRPr="005B5BEF">
        <w:t>s that exceed</w:t>
      </w:r>
      <w:r w:rsidR="00365A4A" w:rsidRPr="005B5BEF">
        <w:t xml:space="preserve"> test</w:t>
      </w:r>
      <w:r w:rsidR="00A84461" w:rsidRPr="005B5BEF">
        <w:t xml:space="preserve"> thresholds, </w:t>
      </w:r>
      <w:r w:rsidR="00365A4A" w:rsidRPr="005B5BEF">
        <w:t>or going to</w:t>
      </w:r>
      <w:r w:rsidR="0008078D" w:rsidRPr="005B5BEF">
        <w:t xml:space="preserve"> </w:t>
      </w:r>
      <w:r w:rsidR="00A84461" w:rsidRPr="005B5BEF">
        <w:t>prison</w:t>
      </w:r>
      <w:r w:rsidR="00C15626" w:rsidRPr="005B5BEF">
        <w:t>.</w:t>
      </w:r>
      <w:r w:rsidR="00915041" w:rsidRPr="005B5BEF">
        <w:t xml:space="preserve">  </w:t>
      </w:r>
      <w:r w:rsidR="00365A4A" w:rsidRPr="005B5BEF">
        <w:t>Exceeding the amount of time recipients are</w:t>
      </w:r>
      <w:r w:rsidR="005B5BEF">
        <w:t xml:space="preserve"> able to remain overseas </w:t>
      </w:r>
      <w:r w:rsidR="00AB00A4" w:rsidRPr="005B5BEF">
        <w:t>account</w:t>
      </w:r>
      <w:r w:rsidR="00AB00A4">
        <w:t>ed</w:t>
      </w:r>
      <w:r w:rsidR="00AB00A4" w:rsidRPr="005B5BEF">
        <w:t xml:space="preserve"> </w:t>
      </w:r>
      <w:r w:rsidR="006C2178" w:rsidRPr="005B5BEF">
        <w:t xml:space="preserve">for </w:t>
      </w:r>
      <w:r w:rsidR="00FE0ADF">
        <w:t xml:space="preserve">a quarter </w:t>
      </w:r>
      <w:r w:rsidR="006C6934">
        <w:t>of</w:t>
      </w:r>
      <w:r w:rsidR="003F39EF" w:rsidRPr="005B5BEF">
        <w:t xml:space="preserve"> recipients ceasing the DSP</w:t>
      </w:r>
      <w:r w:rsidR="005B5BEF">
        <w:t xml:space="preserve"> in this category.  T</w:t>
      </w:r>
      <w:r w:rsidR="00365A4A" w:rsidRPr="005B5BEF">
        <w:t>he tim</w:t>
      </w:r>
      <w:r w:rsidR="000B453C">
        <w:t>e</w:t>
      </w:r>
      <w:r w:rsidR="00365A4A" w:rsidRPr="005B5BEF">
        <w:t xml:space="preserve"> permissible</w:t>
      </w:r>
      <w:r w:rsidR="000B453C">
        <w:t xml:space="preserve"> for receiving the DSP while overseas</w:t>
      </w:r>
      <w:r w:rsidR="00365A4A" w:rsidRPr="005B5BEF">
        <w:t xml:space="preserve"> has</w:t>
      </w:r>
      <w:r w:rsidR="00365A4A" w:rsidRPr="006C2178">
        <w:t xml:space="preserve"> been reduced</w:t>
      </w:r>
      <w:r w:rsidR="00915041" w:rsidRPr="006C2178">
        <w:t xml:space="preserve"> from </w:t>
      </w:r>
      <w:r w:rsidR="00121A7E" w:rsidRPr="006C2178">
        <w:t xml:space="preserve">a period of </w:t>
      </w:r>
      <w:r w:rsidR="00915041" w:rsidRPr="006C2178">
        <w:t>12 months</w:t>
      </w:r>
      <w:r w:rsidR="00121A7E" w:rsidRPr="006C2178">
        <w:t xml:space="preserve"> </w:t>
      </w:r>
      <w:r w:rsidR="00915041" w:rsidRPr="006C2178">
        <w:t>to 4 weeks.</w:t>
      </w:r>
    </w:p>
    <w:p w:rsidR="00A84461" w:rsidRDefault="00326A11" w:rsidP="00723ADB">
      <w:pPr>
        <w:pStyle w:val="BodyText"/>
      </w:pPr>
      <w:r>
        <w:t xml:space="preserve">Each year </w:t>
      </w:r>
      <w:r w:rsidR="00FE0ADF">
        <w:t xml:space="preserve">around </w:t>
      </w:r>
      <w:r>
        <w:t xml:space="preserve">70,000 people on the DSP </w:t>
      </w:r>
      <w:r w:rsidR="00FE0ADF">
        <w:t xml:space="preserve">are </w:t>
      </w:r>
      <w:r w:rsidR="00B01CAC" w:rsidRPr="00CB1CBA">
        <w:t xml:space="preserve">reviewed </w:t>
      </w:r>
      <w:r w:rsidR="00FE0ADF" w:rsidRPr="00CB1CBA">
        <w:t>for compliance with criteria related to income, assets or medical condition</w:t>
      </w:r>
      <w:r>
        <w:t>.</w:t>
      </w:r>
      <w:r w:rsidR="00FE0ADF" w:rsidRPr="00CB1CBA">
        <w:t xml:space="preserve"> </w:t>
      </w:r>
      <w:r>
        <w:t xml:space="preserve"> </w:t>
      </w:r>
      <w:r w:rsidRPr="00CB1CBA">
        <w:t>Only a small proportion of</w:t>
      </w:r>
      <w:r>
        <w:t xml:space="preserve"> those reviewed</w:t>
      </w:r>
      <w:r w:rsidRPr="00CB1CBA">
        <w:t xml:space="preserve"> </w:t>
      </w:r>
      <w:r w:rsidR="00B01CAC" w:rsidRPr="00CB1CBA">
        <w:t>are deemed ineligible for the payment</w:t>
      </w:r>
      <w:r w:rsidR="00AB00A4">
        <w:t>.</w:t>
      </w:r>
      <w:r w:rsidR="00886A8F" w:rsidRPr="003F39EF">
        <w:rPr>
          <w:rStyle w:val="FootnoteReference"/>
        </w:rPr>
        <w:footnoteReference w:id="21"/>
      </w:r>
      <w:r w:rsidR="00E10FDB">
        <w:t xml:space="preserve"> </w:t>
      </w:r>
      <w:r w:rsidR="007D382F" w:rsidRPr="00CB1CBA">
        <w:t xml:space="preserve"> </w:t>
      </w:r>
      <w:r w:rsidR="00AB00A4">
        <w:t>These recipients</w:t>
      </w:r>
      <w:r w:rsidR="00943B5E" w:rsidRPr="00CB1CBA">
        <w:t xml:space="preserve"> account</w:t>
      </w:r>
      <w:r w:rsidR="00AB00A4">
        <w:t>ed</w:t>
      </w:r>
      <w:r w:rsidR="007D382F" w:rsidRPr="00CB1CBA">
        <w:t xml:space="preserve"> for around 5 per cent of all recipients leaving </w:t>
      </w:r>
      <w:r w:rsidR="007D382F" w:rsidRPr="003F39EF">
        <w:t>the DSP</w:t>
      </w:r>
      <w:r w:rsidR="00943B5E" w:rsidRPr="003F39EF">
        <w:t xml:space="preserve"> in 2016–17</w:t>
      </w:r>
      <w:r w:rsidR="00723ADB" w:rsidRPr="003F39EF">
        <w:t xml:space="preserve"> (</w:t>
      </w:r>
      <w:r w:rsidR="00723ADB" w:rsidRPr="003F39EF">
        <w:fldChar w:fldCharType="begin"/>
      </w:r>
      <w:r w:rsidR="00723ADB" w:rsidRPr="003F39EF">
        <w:instrText xml:space="preserve"> REF _Ref500923001 \h </w:instrText>
      </w:r>
      <w:r w:rsidR="002F0ECF" w:rsidRPr="003F39EF">
        <w:instrText xml:space="preserve"> \* MERGEFORMAT </w:instrText>
      </w:r>
      <w:r w:rsidR="00723ADB" w:rsidRPr="003F39EF">
        <w:fldChar w:fldCharType="separate"/>
      </w:r>
      <w:r w:rsidR="0036047A" w:rsidRPr="006C2178">
        <w:t xml:space="preserve">Figure </w:t>
      </w:r>
      <w:r w:rsidR="0036047A">
        <w:rPr>
          <w:noProof/>
        </w:rPr>
        <w:t>2</w:t>
      </w:r>
      <w:r w:rsidR="0036047A" w:rsidRPr="006C2178">
        <w:t>–</w:t>
      </w:r>
      <w:r w:rsidR="0036047A">
        <w:rPr>
          <w:noProof/>
        </w:rPr>
        <w:t>12</w:t>
      </w:r>
      <w:r w:rsidR="00723ADB" w:rsidRPr="003F39EF">
        <w:fldChar w:fldCharType="end"/>
      </w:r>
      <w:r w:rsidR="00943B5E" w:rsidRPr="003F39EF">
        <w:t>).</w:t>
      </w:r>
      <w:r w:rsidR="00AB00A4">
        <w:t xml:space="preserve"> </w:t>
      </w:r>
      <w:r w:rsidR="007D382F" w:rsidRPr="003F39EF">
        <w:t xml:space="preserve"> </w:t>
      </w:r>
      <w:r w:rsidR="00AB00A4">
        <w:t>Most of these people were deemed ineligible for non-medical reasons.</w:t>
      </w:r>
      <w:r w:rsidR="00557E76">
        <w:t xml:space="preserve"> </w:t>
      </w:r>
      <w:r w:rsidR="00AB00A4">
        <w:t xml:space="preserve"> </w:t>
      </w:r>
      <w:r w:rsidR="007D382F" w:rsidRPr="003F39EF">
        <w:t xml:space="preserve">Similarly, the proportion of recipients leaving the payment to return to work </w:t>
      </w:r>
      <w:r w:rsidR="00AB00A4" w:rsidRPr="003F39EF">
        <w:t>account</w:t>
      </w:r>
      <w:r w:rsidR="00AB00A4">
        <w:t>ed</w:t>
      </w:r>
      <w:r w:rsidR="00AB00A4" w:rsidRPr="003F39EF">
        <w:t xml:space="preserve"> </w:t>
      </w:r>
      <w:r w:rsidR="007D382F" w:rsidRPr="003F39EF">
        <w:t>for only 3 per cent of recipients</w:t>
      </w:r>
      <w:r w:rsidR="00AB00A4">
        <w:t xml:space="preserve"> who ceased receiving the DSP in 2016–17</w:t>
      </w:r>
      <w:r w:rsidR="007D382F" w:rsidRPr="003F39EF">
        <w:t>.</w:t>
      </w:r>
    </w:p>
    <w:p w:rsidR="00641C17" w:rsidRPr="00350360" w:rsidRDefault="00641C17" w:rsidP="00350360">
      <w:pPr>
        <w:pStyle w:val="Heading4"/>
      </w:pPr>
      <w:r w:rsidRPr="00350360">
        <w:t>Recipient</w:t>
      </w:r>
      <w:r w:rsidR="00132E7E" w:rsidRPr="00350360">
        <w:t>s</w:t>
      </w:r>
      <w:r w:rsidRPr="00350360">
        <w:t xml:space="preserve"> leaving the DSP by gender</w:t>
      </w:r>
    </w:p>
    <w:p w:rsidR="00D23511" w:rsidRDefault="00D23511" w:rsidP="00D23511">
      <w:pPr>
        <w:pStyle w:val="BodyText"/>
      </w:pPr>
      <w:r w:rsidRPr="003F39EF">
        <w:t>One of the only factor</w:t>
      </w:r>
      <w:r w:rsidR="00E028BA">
        <w:t>s</w:t>
      </w:r>
      <w:r w:rsidRPr="003F39EF">
        <w:t xml:space="preserve"> that </w:t>
      </w:r>
      <w:proofErr w:type="gramStart"/>
      <w:r w:rsidRPr="003F39EF">
        <w:t>has</w:t>
      </w:r>
      <w:proofErr w:type="gramEnd"/>
      <w:r w:rsidRPr="003F39EF">
        <w:t xml:space="preserve"> caused a significant variation in</w:t>
      </w:r>
      <w:r w:rsidR="00365A4A" w:rsidRPr="003F39EF">
        <w:t xml:space="preserve"> the number of peopl</w:t>
      </w:r>
      <w:r w:rsidR="00592FD8">
        <w:t>e who cease</w:t>
      </w:r>
      <w:r w:rsidR="00365A4A" w:rsidRPr="003F39EF">
        <w:t xml:space="preserve"> receiving the DSP </w:t>
      </w:r>
      <w:r w:rsidRPr="003F39EF">
        <w:t>has been the increase in the</w:t>
      </w:r>
      <w:r w:rsidR="007231F4">
        <w:t xml:space="preserve"> </w:t>
      </w:r>
      <w:r w:rsidRPr="003F39EF">
        <w:t xml:space="preserve">Age Pension eligibility age </w:t>
      </w:r>
      <w:r w:rsidR="007231F4">
        <w:t xml:space="preserve">for women </w:t>
      </w:r>
      <w:r w:rsidRPr="003F39EF">
        <w:t>from 60 to 65</w:t>
      </w:r>
      <w:r w:rsidR="00560C44">
        <w:t xml:space="preserve"> </w:t>
      </w:r>
      <w:r w:rsidR="007231F4">
        <w:t>from</w:t>
      </w:r>
      <w:r w:rsidR="00560C44">
        <w:t xml:space="preserve"> 1 </w:t>
      </w:r>
      <w:r w:rsidRPr="003F39EF">
        <w:t>July</w:t>
      </w:r>
      <w:r>
        <w:t xml:space="preserve"> 1995 (</w:t>
      </w:r>
      <w:r>
        <w:fldChar w:fldCharType="begin"/>
      </w:r>
      <w:r>
        <w:instrText xml:space="preserve"> REF _Ref500923185 \h </w:instrText>
      </w:r>
      <w:r>
        <w:fldChar w:fldCharType="separate"/>
      </w:r>
      <w:r w:rsidR="0036047A" w:rsidRPr="00EF240E">
        <w:t xml:space="preserve">Figure </w:t>
      </w:r>
      <w:r w:rsidR="0036047A">
        <w:rPr>
          <w:noProof/>
        </w:rPr>
        <w:t>2</w:t>
      </w:r>
      <w:r w:rsidR="0036047A" w:rsidRPr="00EF240E">
        <w:t>–</w:t>
      </w:r>
      <w:r w:rsidR="0036047A">
        <w:rPr>
          <w:noProof/>
        </w:rPr>
        <w:t>13</w:t>
      </w:r>
      <w:r>
        <w:fldChar w:fldCharType="end"/>
      </w:r>
      <w:r>
        <w:t>).  This change drives the ‘zig zag’ pattern from the beginning of the period to 2013–14, at which point the Age Pension age for</w:t>
      </w:r>
      <w:r w:rsidR="00560C44">
        <w:t xml:space="preserve"> both men and women was 65 (See </w:t>
      </w:r>
      <w:r>
        <w:t xml:space="preserve">Box 2 for more detail).  </w:t>
      </w:r>
    </w:p>
    <w:p w:rsidR="00E5629D" w:rsidRPr="00041D4D" w:rsidRDefault="00720256" w:rsidP="00C94315">
      <w:pPr>
        <w:pStyle w:val="Caption1"/>
      </w:pPr>
      <w:bookmarkStart w:id="88" w:name="_Ref500923185"/>
      <w:bookmarkStart w:id="89" w:name="_Toc495580922"/>
      <w:bookmarkStart w:id="90" w:name="_Toc495848848"/>
      <w:bookmarkStart w:id="91" w:name="_Toc506214875"/>
      <w:bookmarkStart w:id="92" w:name="_Toc505927970"/>
      <w:bookmarkStart w:id="93" w:name="_Toc505928629"/>
      <w:r w:rsidRPr="00EF240E">
        <w:t xml:space="preserve">Figure </w:t>
      </w:r>
      <w:fldSimple w:instr=" STYLEREF 1 \s ">
        <w:r w:rsidR="0036047A">
          <w:rPr>
            <w:noProof/>
          </w:rPr>
          <w:t>2</w:t>
        </w:r>
      </w:fldSimple>
      <w:r w:rsidRPr="00EF240E">
        <w:t>–</w:t>
      </w:r>
      <w:fldSimple w:instr=" SEQ Figure \* ARABIC \s 1 ">
        <w:r w:rsidR="0036047A">
          <w:rPr>
            <w:noProof/>
          </w:rPr>
          <w:t>13</w:t>
        </w:r>
      </w:fldSimple>
      <w:bookmarkEnd w:id="88"/>
      <w:r w:rsidR="00E5629D" w:rsidRPr="00153E00">
        <w:t xml:space="preserve">: </w:t>
      </w:r>
      <w:r w:rsidR="00E5629D">
        <w:t>D</w:t>
      </w:r>
      <w:bookmarkEnd w:id="89"/>
      <w:bookmarkEnd w:id="90"/>
      <w:r w:rsidR="00AA1061">
        <w:t>isability Support Pension</w:t>
      </w:r>
      <w:r w:rsidR="00B150F8">
        <w:t xml:space="preserve"> </w:t>
      </w:r>
      <w:r w:rsidR="004817C4">
        <w:t>R</w:t>
      </w:r>
      <w:r w:rsidR="00B150F8">
        <w:t xml:space="preserve">ecipients </w:t>
      </w:r>
      <w:r w:rsidR="004817C4">
        <w:t>Leaving the P</w:t>
      </w:r>
      <w:r w:rsidR="00B150F8">
        <w:t>ayment</w:t>
      </w:r>
      <w:bookmarkEnd w:id="91"/>
      <w:r w:rsidR="00B150F8">
        <w:t xml:space="preserve"> </w:t>
      </w:r>
      <w:bookmarkEnd w:id="92"/>
      <w:bookmarkEnd w:id="93"/>
    </w:p>
    <w:p w:rsidR="00E5629D" w:rsidRDefault="005C661A" w:rsidP="005C661A">
      <w:pPr>
        <w:pStyle w:val="BodyText"/>
        <w:spacing w:before="0" w:after="0" w:line="240" w:lineRule="auto"/>
        <w:jc w:val="center"/>
      </w:pPr>
      <w:r>
        <w:rPr>
          <w:noProof/>
          <w:lang w:eastAsia="en-AU"/>
        </w:rPr>
        <w:drawing>
          <wp:inline distT="0" distB="0" distL="0" distR="0" wp14:anchorId="087D2BFA" wp14:editId="450CD2BD">
            <wp:extent cx="5407660" cy="3060700"/>
            <wp:effectExtent l="0" t="0" r="2540" b="635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07660" cy="3060700"/>
                    </a:xfrm>
                    <a:prstGeom prst="rect">
                      <a:avLst/>
                    </a:prstGeom>
                    <a:noFill/>
                  </pic:spPr>
                </pic:pic>
              </a:graphicData>
            </a:graphic>
          </wp:inline>
        </w:drawing>
      </w:r>
    </w:p>
    <w:p w:rsidR="00E5629D" w:rsidRPr="00F50F90" w:rsidRDefault="00E5629D" w:rsidP="00F33957">
      <w:pPr>
        <w:pStyle w:val="Source1"/>
      </w:pPr>
      <w:r w:rsidRPr="00F50F90">
        <w:t>Source: DSS recipient characteristics data</w:t>
      </w:r>
    </w:p>
    <w:tbl>
      <w:tblPr>
        <w:tblStyle w:val="PullOutBoxTable"/>
        <w:tblpPr w:leftFromText="180" w:rightFromText="180" w:vertAnchor="text" w:tblpX="103" w:tblpY="1"/>
        <w:tblOverlap w:val="never"/>
        <w:tblW w:w="4879" w:type="pct"/>
        <w:tblCellMar>
          <w:top w:w="113" w:type="dxa"/>
          <w:left w:w="108" w:type="dxa"/>
          <w:bottom w:w="113" w:type="dxa"/>
          <w:right w:w="108" w:type="dxa"/>
        </w:tblCellMar>
        <w:tblLook w:val="0600" w:firstRow="0" w:lastRow="0" w:firstColumn="0" w:lastColumn="0" w:noHBand="1" w:noVBand="1"/>
      </w:tblPr>
      <w:tblGrid>
        <w:gridCol w:w="8323"/>
      </w:tblGrid>
      <w:tr w:rsidR="00B150F8" w:rsidTr="00F50F90">
        <w:trPr>
          <w:cantSplit/>
          <w:trHeight w:val="11869"/>
        </w:trPr>
        <w:tc>
          <w:tcPr>
            <w:tcW w:w="8323" w:type="dxa"/>
          </w:tcPr>
          <w:p w:rsidR="00B150F8" w:rsidRDefault="00B150F8" w:rsidP="00526248">
            <w:pPr>
              <w:pStyle w:val="PullOutBoxHeading"/>
              <w:spacing w:before="0"/>
              <w:ind w:left="0" w:right="0"/>
              <w:rPr>
                <w:rFonts w:cs="Times New Roman"/>
                <w:color w:val="auto"/>
                <w:sz w:val="22"/>
              </w:rPr>
            </w:pPr>
            <w:r>
              <w:lastRenderedPageBreak/>
              <w:t xml:space="preserve">Box 2: Age Pension </w:t>
            </w:r>
            <w:r w:rsidR="00CC48A1">
              <w:t>E</w:t>
            </w:r>
            <w:r>
              <w:t xml:space="preserve">ligibility </w:t>
            </w:r>
            <w:r w:rsidR="00CC48A1">
              <w:t>A</w:t>
            </w:r>
            <w:r>
              <w:t>ge</w:t>
            </w:r>
          </w:p>
          <w:p w:rsidR="00B150F8" w:rsidRDefault="00B150F8" w:rsidP="00F50F90">
            <w:pPr>
              <w:pStyle w:val="BodyText"/>
              <w:keepNext/>
              <w:keepLines/>
              <w:rPr>
                <w:rFonts w:eastAsiaTheme="minorHAnsi"/>
                <w:lang w:eastAsia="en-US"/>
              </w:rPr>
            </w:pPr>
            <w:r>
              <w:rPr>
                <w:rFonts w:eastAsiaTheme="minorHAnsi"/>
                <w:lang w:eastAsia="en-US"/>
              </w:rPr>
              <w:t xml:space="preserve">Prior to 1 July 2013, the qualifying age for the Age Pension was different for men and women, depending on their date of birth.  From 1 July 1995, the minimum age for women to qualify for the Age Pension began increasing by 6 months every two years. This had the effect of lifting the Age Pension eligibility age for women from 60 to 65 by 1 July 2013, at which point it was the same as the eligibility age for men.  </w:t>
            </w:r>
          </w:p>
          <w:p w:rsidR="00B150F8" w:rsidRDefault="00B150F8" w:rsidP="00F50F90">
            <w:pPr>
              <w:pStyle w:val="BodyText"/>
              <w:keepNext/>
              <w:keepLines/>
              <w:rPr>
                <w:rFonts w:eastAsiaTheme="minorHAnsi"/>
                <w:lang w:eastAsia="en-US"/>
              </w:rPr>
            </w:pPr>
            <w:r>
              <w:rPr>
                <w:rFonts w:eastAsiaTheme="minorHAnsi"/>
                <w:lang w:eastAsia="en-US"/>
              </w:rPr>
              <w:t xml:space="preserve">This change affected women born between 1 July 1935 and 31 December 1948.  For example, if a woman was born on 31 December 1939, the earliest date from which she could qualify for the Age Pension would be 1 July 2001. </w:t>
            </w:r>
          </w:p>
          <w:p w:rsidR="00B150F8" w:rsidRDefault="00B150F8" w:rsidP="00F50F90">
            <w:pPr>
              <w:pStyle w:val="BodyText"/>
              <w:keepNext/>
              <w:keepLines/>
              <w:rPr>
                <w:rFonts w:eastAsiaTheme="minorHAnsi"/>
                <w:lang w:eastAsia="en-US"/>
              </w:rPr>
            </w:pPr>
            <w:r>
              <w:rPr>
                <w:rFonts w:eastAsiaTheme="minorHAnsi"/>
                <w:lang w:eastAsia="en-US"/>
              </w:rPr>
              <w:t xml:space="preserve">The staged approach of increasing the eligibility age is the reason for the ‘zig zag’ pattern in </w:t>
            </w:r>
            <w:r>
              <w:fldChar w:fldCharType="begin"/>
            </w:r>
            <w:r>
              <w:rPr>
                <w:rFonts w:eastAsiaTheme="minorHAnsi"/>
                <w:lang w:eastAsia="en-US"/>
              </w:rPr>
              <w:instrText xml:space="preserve"> REF _Ref500923185 \h </w:instrText>
            </w:r>
            <w:r>
              <w:instrText xml:space="preserve"> \* MERGEFORMAT </w:instrText>
            </w:r>
            <w:r>
              <w:fldChar w:fldCharType="separate"/>
            </w:r>
            <w:r w:rsidR="0036047A" w:rsidRPr="00EF240E">
              <w:t xml:space="preserve">Figure </w:t>
            </w:r>
            <w:r w:rsidR="0036047A">
              <w:rPr>
                <w:noProof/>
              </w:rPr>
              <w:t>2</w:t>
            </w:r>
            <w:r w:rsidR="0036047A" w:rsidRPr="00EF240E">
              <w:t>–</w:t>
            </w:r>
            <w:r w:rsidR="0036047A">
              <w:rPr>
                <w:noProof/>
              </w:rPr>
              <w:t>13</w:t>
            </w:r>
            <w:r>
              <w:fldChar w:fldCharType="end"/>
            </w:r>
            <w:r>
              <w:rPr>
                <w:rFonts w:eastAsiaTheme="minorHAnsi"/>
                <w:lang w:eastAsia="en-US"/>
              </w:rPr>
              <w:t xml:space="preserve">. </w:t>
            </w:r>
            <w:r w:rsidR="001872A6">
              <w:rPr>
                <w:rFonts w:eastAsiaTheme="minorHAnsi"/>
                <w:lang w:eastAsia="en-US"/>
              </w:rPr>
              <w:t xml:space="preserve"> </w:t>
            </w:r>
            <w:r>
              <w:rPr>
                <w:rFonts w:eastAsiaTheme="minorHAnsi"/>
                <w:lang w:eastAsia="en-US"/>
              </w:rPr>
              <w:t>Specifically, the pattern reflects that the changes to the Age Pension age (which apply according to the person’s date of birth), in effect only occurs over an 18 month period over two financial years.</w:t>
            </w:r>
          </w:p>
          <w:p w:rsidR="00B150F8" w:rsidRDefault="00B150F8" w:rsidP="00F50F90">
            <w:pPr>
              <w:pStyle w:val="BodyText"/>
              <w:keepNext/>
              <w:keepLines/>
              <w:rPr>
                <w:rFonts w:eastAsiaTheme="minorHAnsi"/>
                <w:lang w:eastAsia="en-US"/>
              </w:rPr>
            </w:pPr>
            <w:r>
              <w:fldChar w:fldCharType="begin"/>
            </w:r>
            <w:r>
              <w:instrText xml:space="preserve"> REF _Ref504998114 \h </w:instrText>
            </w:r>
            <w:r>
              <w:fldChar w:fldCharType="separate"/>
            </w:r>
            <w:r w:rsidR="0036047A" w:rsidRPr="00DC517B">
              <w:rPr>
                <w:rFonts w:eastAsiaTheme="minorHAnsi"/>
                <w:lang w:eastAsia="en-US"/>
              </w:rPr>
              <w:t xml:space="preserve">Figure </w:t>
            </w:r>
            <w:r w:rsidR="0036047A">
              <w:rPr>
                <w:rFonts w:eastAsiaTheme="minorHAnsi"/>
                <w:noProof/>
                <w:lang w:eastAsia="en-US"/>
              </w:rPr>
              <w:t>2</w:t>
            </w:r>
            <w:r w:rsidR="0036047A" w:rsidRPr="00DC517B">
              <w:rPr>
                <w:rFonts w:eastAsiaTheme="minorHAnsi"/>
                <w:lang w:eastAsia="en-US"/>
              </w:rPr>
              <w:t>–</w:t>
            </w:r>
            <w:r w:rsidR="0036047A">
              <w:rPr>
                <w:rFonts w:eastAsiaTheme="minorHAnsi"/>
                <w:noProof/>
                <w:lang w:eastAsia="en-US"/>
              </w:rPr>
              <w:t>14</w:t>
            </w:r>
            <w:r>
              <w:fldChar w:fldCharType="end"/>
            </w:r>
            <w:r>
              <w:t xml:space="preserve"> </w:t>
            </w:r>
            <w:r>
              <w:rPr>
                <w:rFonts w:eastAsiaTheme="minorHAnsi"/>
                <w:lang w:eastAsia="en-US"/>
              </w:rPr>
              <w:t xml:space="preserve">shows </w:t>
            </w:r>
            <w:r w:rsidRPr="00F4261A">
              <w:rPr>
                <w:rFonts w:eastAsiaTheme="minorHAnsi"/>
                <w:lang w:eastAsia="en-US"/>
              </w:rPr>
              <w:t xml:space="preserve">when </w:t>
            </w:r>
            <w:r>
              <w:rPr>
                <w:rFonts w:eastAsiaTheme="minorHAnsi"/>
                <w:lang w:eastAsia="en-US"/>
              </w:rPr>
              <w:t xml:space="preserve">people </w:t>
            </w:r>
            <w:r w:rsidRPr="003F39EF">
              <w:rPr>
                <w:rFonts w:eastAsiaTheme="minorHAnsi"/>
                <w:lang w:eastAsia="en-US"/>
              </w:rPr>
              <w:t>would cease receiving the DSP</w:t>
            </w:r>
            <w:r w:rsidRPr="00F4261A">
              <w:rPr>
                <w:rFonts w:eastAsiaTheme="minorHAnsi"/>
                <w:lang w:eastAsia="en-US"/>
              </w:rPr>
              <w:t xml:space="preserve"> and move onto the Age Pension for both men and women from 2001–02.  The line for men is smooth, reflecting that once a </w:t>
            </w:r>
            <w:r>
              <w:rPr>
                <w:rFonts w:eastAsiaTheme="minorHAnsi"/>
                <w:lang w:eastAsia="en-US"/>
              </w:rPr>
              <w:t>man</w:t>
            </w:r>
            <w:r w:rsidRPr="00F4261A">
              <w:rPr>
                <w:rFonts w:eastAsiaTheme="minorHAnsi"/>
                <w:lang w:eastAsia="en-US"/>
              </w:rPr>
              <w:t xml:space="preserve"> turned 65 </w:t>
            </w:r>
            <w:r>
              <w:rPr>
                <w:rFonts w:eastAsiaTheme="minorHAnsi"/>
                <w:lang w:eastAsia="en-US"/>
              </w:rPr>
              <w:t>he</w:t>
            </w:r>
            <w:r w:rsidRPr="00F4261A">
              <w:rPr>
                <w:rFonts w:eastAsiaTheme="minorHAnsi"/>
                <w:lang w:eastAsia="en-US"/>
              </w:rPr>
              <w:t xml:space="preserve"> </w:t>
            </w:r>
            <w:bookmarkStart w:id="94" w:name="_Ref500923338"/>
            <w:r w:rsidRPr="00F4261A">
              <w:rPr>
                <w:rFonts w:eastAsiaTheme="minorHAnsi"/>
                <w:lang w:eastAsia="en-US"/>
              </w:rPr>
              <w:t>moved from the DSP to the Age Pension.</w:t>
            </w:r>
            <w:r>
              <w:rPr>
                <w:rFonts w:eastAsiaTheme="minorHAnsi"/>
                <w:lang w:eastAsia="en-US"/>
              </w:rPr>
              <w:t xml:space="preserve"> </w:t>
            </w:r>
          </w:p>
          <w:p w:rsidR="00B150F8" w:rsidRDefault="00B150F8" w:rsidP="00F50F90">
            <w:pPr>
              <w:pStyle w:val="Caption1"/>
              <w:keepLines/>
              <w:rPr>
                <w:rFonts w:eastAsiaTheme="minorHAnsi"/>
                <w:lang w:eastAsia="en-US"/>
              </w:rPr>
            </w:pPr>
            <w:bookmarkStart w:id="95" w:name="_Ref504998114"/>
            <w:bookmarkStart w:id="96" w:name="_Toc505927971"/>
            <w:bookmarkStart w:id="97" w:name="_Toc505928630"/>
            <w:bookmarkStart w:id="98" w:name="_Toc506214876"/>
            <w:r w:rsidRPr="00DC517B">
              <w:rPr>
                <w:rFonts w:eastAsiaTheme="minorHAnsi"/>
                <w:lang w:eastAsia="en-US"/>
              </w:rPr>
              <w:t xml:space="preserve">Figure </w:t>
            </w:r>
            <w:r w:rsidRPr="00DC517B">
              <w:fldChar w:fldCharType="begin"/>
            </w:r>
            <w:r w:rsidRPr="00DC517B">
              <w:rPr>
                <w:rFonts w:eastAsiaTheme="minorHAnsi"/>
                <w:lang w:eastAsia="en-US"/>
              </w:rPr>
              <w:instrText xml:space="preserve"> STYLEREF 1 \s </w:instrText>
            </w:r>
            <w:r w:rsidRPr="00DC517B">
              <w:fldChar w:fldCharType="separate"/>
            </w:r>
            <w:r w:rsidR="0036047A">
              <w:rPr>
                <w:rFonts w:eastAsiaTheme="minorHAnsi"/>
                <w:noProof/>
                <w:lang w:eastAsia="en-US"/>
              </w:rPr>
              <w:t>2</w:t>
            </w:r>
            <w:r w:rsidRPr="00DC517B">
              <w:fldChar w:fldCharType="end"/>
            </w:r>
            <w:r w:rsidRPr="00DC517B">
              <w:rPr>
                <w:rFonts w:eastAsiaTheme="minorHAnsi"/>
                <w:lang w:eastAsia="en-US"/>
              </w:rPr>
              <w:t>–</w:t>
            </w:r>
            <w:r w:rsidRPr="00DC517B">
              <w:fldChar w:fldCharType="begin"/>
            </w:r>
            <w:r w:rsidRPr="00DC517B">
              <w:rPr>
                <w:rFonts w:eastAsiaTheme="minorHAnsi"/>
                <w:lang w:eastAsia="en-US"/>
              </w:rPr>
              <w:instrText xml:space="preserve"> SEQ Figure \* ARABIC \s 1 </w:instrText>
            </w:r>
            <w:r w:rsidRPr="00DC517B">
              <w:fldChar w:fldCharType="separate"/>
            </w:r>
            <w:r w:rsidR="0036047A">
              <w:rPr>
                <w:rFonts w:eastAsiaTheme="minorHAnsi"/>
                <w:noProof/>
                <w:lang w:eastAsia="en-US"/>
              </w:rPr>
              <w:t>14</w:t>
            </w:r>
            <w:r w:rsidRPr="00DC517B">
              <w:fldChar w:fldCharType="end"/>
            </w:r>
            <w:bookmarkEnd w:id="94"/>
            <w:bookmarkEnd w:id="95"/>
            <w:r w:rsidRPr="00DC517B">
              <w:rPr>
                <w:rFonts w:eastAsiaTheme="minorHAnsi"/>
                <w:lang w:eastAsia="en-US"/>
              </w:rPr>
              <w:t xml:space="preserve">: </w:t>
            </w:r>
            <w:r>
              <w:rPr>
                <w:rFonts w:eastAsiaTheme="minorHAnsi"/>
                <w:lang w:eastAsia="en-US"/>
              </w:rPr>
              <w:t xml:space="preserve">Moving from the </w:t>
            </w:r>
            <w:r w:rsidRPr="00DC517B">
              <w:rPr>
                <w:rFonts w:eastAsiaTheme="minorHAnsi"/>
                <w:lang w:eastAsia="en-US"/>
              </w:rPr>
              <w:t>Disability Support Pension</w:t>
            </w:r>
            <w:r>
              <w:rPr>
                <w:rFonts w:eastAsiaTheme="minorHAnsi"/>
                <w:lang w:eastAsia="en-US"/>
              </w:rPr>
              <w:t xml:space="preserve"> on</w:t>
            </w:r>
            <w:r w:rsidRPr="00DC517B">
              <w:rPr>
                <w:rFonts w:eastAsiaTheme="minorHAnsi"/>
                <w:lang w:eastAsia="en-US"/>
              </w:rPr>
              <w:t>to the Age Pension</w:t>
            </w:r>
            <w:bookmarkEnd w:id="96"/>
            <w:bookmarkEnd w:id="97"/>
            <w:bookmarkEnd w:id="98"/>
          </w:p>
          <w:p w:rsidR="00B150F8" w:rsidRPr="00AF5122" w:rsidRDefault="00B150F8" w:rsidP="00AF5122">
            <w:pPr>
              <w:pStyle w:val="Caption4"/>
              <w:rPr>
                <w:rFonts w:eastAsiaTheme="minorHAnsi"/>
              </w:rPr>
            </w:pPr>
            <w:r w:rsidRPr="00AF5122">
              <w:rPr>
                <w:rFonts w:eastAsiaTheme="minorHAnsi"/>
              </w:rPr>
              <w:t>By birth year and gender from 2001–02 to 2016–17</w:t>
            </w:r>
          </w:p>
          <w:p w:rsidR="00F33957" w:rsidRDefault="00B150F8" w:rsidP="00AD0EEF">
            <w:pPr>
              <w:pStyle w:val="Source1"/>
            </w:pPr>
            <w:r w:rsidRPr="00F50F90">
              <w:rPr>
                <w:noProof/>
              </w:rPr>
              <w:drawing>
                <wp:inline distT="0" distB="0" distL="0" distR="0" wp14:anchorId="17FD69FD" wp14:editId="6FD7D3C4">
                  <wp:extent cx="5040000" cy="2916308"/>
                  <wp:effectExtent l="0" t="0" r="825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040000" cy="2916308"/>
                          </a:xfrm>
                          <a:prstGeom prst="rect">
                            <a:avLst/>
                          </a:prstGeom>
                        </pic:spPr>
                      </pic:pic>
                    </a:graphicData>
                  </a:graphic>
                </wp:inline>
              </w:drawing>
            </w:r>
          </w:p>
          <w:p w:rsidR="00B150F8" w:rsidRPr="00F50F90" w:rsidRDefault="00B150F8" w:rsidP="00AD0EEF">
            <w:pPr>
              <w:pStyle w:val="Source1"/>
            </w:pPr>
            <w:r w:rsidRPr="00F50F90">
              <w:t>Source: PBO analysis</w:t>
            </w:r>
            <w:r w:rsidR="00934FCF" w:rsidRPr="00F50F90">
              <w:t xml:space="preserve"> and Guide to Social Security Law</w:t>
            </w:r>
          </w:p>
          <w:p w:rsidR="00B150F8" w:rsidRPr="003F39EF" w:rsidRDefault="00B150F8" w:rsidP="00F50F90">
            <w:pPr>
              <w:pStyle w:val="BodyText"/>
              <w:keepNext/>
              <w:keepLines/>
              <w:rPr>
                <w:rFonts w:eastAsiaTheme="minorHAnsi"/>
                <w:lang w:eastAsia="en-US"/>
              </w:rPr>
            </w:pPr>
            <w:r w:rsidRPr="00FE1D35">
              <w:rPr>
                <w:rFonts w:eastAsiaTheme="minorHAnsi"/>
                <w:lang w:eastAsia="en-US"/>
              </w:rPr>
              <w:t xml:space="preserve">In contrast the line for women is staggered reflecting the </w:t>
            </w:r>
            <w:r>
              <w:rPr>
                <w:rFonts w:eastAsiaTheme="minorHAnsi"/>
                <w:lang w:eastAsia="en-US"/>
              </w:rPr>
              <w:t xml:space="preserve">schedule for </w:t>
            </w:r>
            <w:r w:rsidRPr="00FE1D35">
              <w:rPr>
                <w:rFonts w:eastAsiaTheme="minorHAnsi"/>
                <w:lang w:eastAsia="en-US"/>
              </w:rPr>
              <w:t>chang</w:t>
            </w:r>
            <w:r>
              <w:rPr>
                <w:rFonts w:eastAsiaTheme="minorHAnsi"/>
                <w:lang w:eastAsia="en-US"/>
              </w:rPr>
              <w:t xml:space="preserve">ing the </w:t>
            </w:r>
            <w:r w:rsidRPr="00FE1D35">
              <w:rPr>
                <w:rFonts w:eastAsiaTheme="minorHAnsi"/>
                <w:lang w:eastAsia="en-US"/>
              </w:rPr>
              <w:t xml:space="preserve">Age </w:t>
            </w:r>
            <w:r w:rsidRPr="003F39EF">
              <w:rPr>
                <w:rFonts w:eastAsiaTheme="minorHAnsi"/>
                <w:lang w:eastAsia="en-US"/>
              </w:rPr>
              <w:t>Pension eligibility age, with a partial effect in the first year of an increase in the age and larger impact in the subsequent year.  For example, when the Age Pension eligibility age was increased to 63, entry to the Age Pension was deferred until the second half of the 2005–06 finan</w:t>
            </w:r>
            <w:r w:rsidR="00EF4D1B">
              <w:rPr>
                <w:rFonts w:eastAsiaTheme="minorHAnsi"/>
                <w:lang w:eastAsia="en-US"/>
              </w:rPr>
              <w:t>cial year, resulting in a pause for</w:t>
            </w:r>
            <w:r w:rsidRPr="003F39EF">
              <w:rPr>
                <w:rFonts w:eastAsiaTheme="minorHAnsi"/>
                <w:lang w:eastAsia="en-US"/>
              </w:rPr>
              <w:t xml:space="preserve"> </w:t>
            </w:r>
            <w:r w:rsidR="00326A11" w:rsidRPr="003F39EF">
              <w:rPr>
                <w:rFonts w:eastAsiaTheme="minorHAnsi"/>
                <w:lang w:eastAsia="en-US"/>
              </w:rPr>
              <w:t xml:space="preserve">a six month period </w:t>
            </w:r>
            <w:r w:rsidR="00EF4D1B">
              <w:rPr>
                <w:rFonts w:eastAsiaTheme="minorHAnsi"/>
                <w:lang w:eastAsia="en-US"/>
              </w:rPr>
              <w:t xml:space="preserve">in </w:t>
            </w:r>
            <w:r w:rsidRPr="003F39EF">
              <w:rPr>
                <w:rFonts w:eastAsiaTheme="minorHAnsi"/>
                <w:lang w:eastAsia="en-US"/>
              </w:rPr>
              <w:t xml:space="preserve">the number of women within the age group </w:t>
            </w:r>
            <w:r w:rsidR="007E5888">
              <w:rPr>
                <w:rFonts w:eastAsiaTheme="minorHAnsi"/>
                <w:lang w:eastAsia="en-US"/>
              </w:rPr>
              <w:t>that cease receiving the DSP</w:t>
            </w:r>
            <w:r w:rsidRPr="003F39EF">
              <w:rPr>
                <w:rFonts w:eastAsiaTheme="minorHAnsi"/>
                <w:lang w:eastAsia="en-US"/>
              </w:rPr>
              <w:t>.</w:t>
            </w:r>
            <w:r w:rsidR="001872A6">
              <w:rPr>
                <w:rFonts w:eastAsiaTheme="minorHAnsi"/>
                <w:lang w:eastAsia="en-US"/>
              </w:rPr>
              <w:t xml:space="preserve"> </w:t>
            </w:r>
            <w:r w:rsidRPr="003F39EF">
              <w:rPr>
                <w:rFonts w:eastAsiaTheme="minorHAnsi"/>
                <w:lang w:eastAsia="en-US"/>
              </w:rPr>
              <w:t xml:space="preserve"> This pattern is repeated throughout the period as the eligibility age is increased. </w:t>
            </w:r>
          </w:p>
          <w:p w:rsidR="00B150F8" w:rsidRPr="006D6961" w:rsidRDefault="00B150F8" w:rsidP="00F50F90">
            <w:pPr>
              <w:pStyle w:val="BodyText"/>
              <w:keepNext/>
              <w:keepLines/>
              <w:rPr>
                <w:rFonts w:eastAsiaTheme="minorHAnsi"/>
                <w:lang w:eastAsia="en-US"/>
              </w:rPr>
            </w:pPr>
            <w:r w:rsidRPr="003F39EF">
              <w:rPr>
                <w:rFonts w:eastAsiaTheme="minorHAnsi"/>
                <w:lang w:eastAsia="en-US"/>
              </w:rPr>
              <w:t xml:space="preserve">The historical experience for </w:t>
            </w:r>
            <w:r>
              <w:rPr>
                <w:rFonts w:eastAsiaTheme="minorHAnsi"/>
                <w:lang w:eastAsia="en-US"/>
              </w:rPr>
              <w:t>women</w:t>
            </w:r>
            <w:r w:rsidRPr="003F39EF">
              <w:rPr>
                <w:rFonts w:eastAsiaTheme="minorHAnsi"/>
                <w:lang w:eastAsia="en-US"/>
              </w:rPr>
              <w:t xml:space="preserve"> has informed the approach to projecting the number of people that cease receiving the DSP as the Age Pension eligibility age increases from</w:t>
            </w:r>
            <w:r>
              <w:rPr>
                <w:rFonts w:eastAsiaTheme="minorHAnsi"/>
                <w:lang w:eastAsia="en-US"/>
              </w:rPr>
              <w:t xml:space="preserve"> 65 to 70 over the period 1 July 2017 to 1 July 2035.  The effect is more pronounced over the medium term as the change affects both men and women.</w:t>
            </w:r>
          </w:p>
        </w:tc>
      </w:tr>
    </w:tbl>
    <w:p w:rsidR="00874345" w:rsidRPr="0004614A" w:rsidRDefault="00874345" w:rsidP="0004614A">
      <w:pPr>
        <w:pStyle w:val="Heading2"/>
      </w:pPr>
      <w:bookmarkStart w:id="99" w:name="_Toc505928131"/>
      <w:bookmarkStart w:id="100" w:name="_Toc505928397"/>
      <w:bookmarkStart w:id="101" w:name="_Toc506277159"/>
      <w:bookmarkStart w:id="102" w:name="_Toc495565583"/>
      <w:bookmarkStart w:id="103" w:name="_Toc495580831"/>
      <w:bookmarkStart w:id="104" w:name="_Toc495612921"/>
      <w:bookmarkStart w:id="105" w:name="_Toc495849177"/>
      <w:bookmarkEnd w:id="43"/>
      <w:bookmarkEnd w:id="44"/>
      <w:bookmarkEnd w:id="51"/>
      <w:r w:rsidRPr="0004614A">
        <w:lastRenderedPageBreak/>
        <w:t>Payment rates</w:t>
      </w:r>
      <w:bookmarkEnd w:id="99"/>
      <w:bookmarkEnd w:id="100"/>
      <w:bookmarkEnd w:id="101"/>
    </w:p>
    <w:p w:rsidR="00C24CD6" w:rsidRDefault="009B32D9" w:rsidP="00B4321B">
      <w:pPr>
        <w:pStyle w:val="BodyText"/>
      </w:pPr>
      <w:r>
        <w:t xml:space="preserve">The other key driver of DSP expenditure has been the </w:t>
      </w:r>
      <w:r w:rsidR="00AC1498">
        <w:t>pension</w:t>
      </w:r>
      <w:r>
        <w:t xml:space="preserve"> payment rate</w:t>
      </w:r>
      <w:r w:rsidR="00286522">
        <w:t xml:space="preserve"> (</w:t>
      </w:r>
      <w:r w:rsidR="00286522">
        <w:fldChar w:fldCharType="begin"/>
      </w:r>
      <w:r w:rsidR="00286522">
        <w:instrText xml:space="preserve"> REF _Ref500923590 \h </w:instrText>
      </w:r>
      <w:r w:rsidR="00286522">
        <w:fldChar w:fldCharType="separate"/>
      </w:r>
      <w:r w:rsidR="0036047A" w:rsidRPr="000A0CBE">
        <w:t xml:space="preserve">Figure </w:t>
      </w:r>
      <w:r w:rsidR="0036047A">
        <w:rPr>
          <w:noProof/>
        </w:rPr>
        <w:t>2</w:t>
      </w:r>
      <w:r w:rsidR="0036047A" w:rsidRPr="000A0CBE">
        <w:t>–</w:t>
      </w:r>
      <w:r w:rsidR="0036047A">
        <w:rPr>
          <w:noProof/>
        </w:rPr>
        <w:t>15</w:t>
      </w:r>
      <w:r w:rsidR="00286522">
        <w:fldChar w:fldCharType="end"/>
      </w:r>
      <w:r w:rsidR="00286522">
        <w:t>).</w:t>
      </w:r>
      <w:r>
        <w:t xml:space="preserve"> </w:t>
      </w:r>
      <w:r w:rsidR="00286522">
        <w:t xml:space="preserve"> </w:t>
      </w:r>
      <w:r w:rsidR="00AE0971">
        <w:t>T</w:t>
      </w:r>
      <w:r w:rsidR="00AC1498">
        <w:t>he DSP, Age Pension, Service Pension and Carer Payment, all share the same indexation arrangements.</w:t>
      </w:r>
      <w:r w:rsidR="00286522" w:rsidRPr="00286522">
        <w:t xml:space="preserve"> </w:t>
      </w:r>
      <w:r w:rsidR="00286522">
        <w:t xml:space="preserve"> These indexation </w:t>
      </w:r>
      <w:r w:rsidR="00286522" w:rsidRPr="00FC75E0">
        <w:t>arrangements</w:t>
      </w:r>
      <w:r w:rsidR="007E0D76" w:rsidRPr="00FC75E0">
        <w:t>, which are set out in legislation,</w:t>
      </w:r>
      <w:r w:rsidR="00286522" w:rsidRPr="00FC75E0">
        <w:t xml:space="preserve"> have varied significantly over the period.</w:t>
      </w:r>
      <w:r w:rsidR="00286522">
        <w:t xml:space="preserve">  </w:t>
      </w:r>
    </w:p>
    <w:p w:rsidR="00C24CD6" w:rsidRDefault="0081540A" w:rsidP="00B4321B">
      <w:pPr>
        <w:pStyle w:val="BodyText"/>
      </w:pPr>
      <w:r>
        <w:t xml:space="preserve">Prior to 1997, pension payments were indexed in line with movements </w:t>
      </w:r>
      <w:r w:rsidR="00231B46">
        <w:t>in</w:t>
      </w:r>
      <w:r w:rsidR="00DF5B54">
        <w:t xml:space="preserve"> the</w:t>
      </w:r>
      <w:r w:rsidR="00F13F77">
        <w:t xml:space="preserve"> Consumer Price Index</w:t>
      </w:r>
      <w:r w:rsidR="00B742AE">
        <w:t xml:space="preserve"> </w:t>
      </w:r>
      <w:r w:rsidR="00F13F77">
        <w:t>(</w:t>
      </w:r>
      <w:r w:rsidR="00B742AE">
        <w:t>CPI</w:t>
      </w:r>
      <w:r w:rsidR="00F13F77">
        <w:t>)</w:t>
      </w:r>
      <w:r w:rsidR="00B742AE">
        <w:t>.   From 1997</w:t>
      </w:r>
      <w:r w:rsidR="00DE039F">
        <w:t>–</w:t>
      </w:r>
      <w:r>
        <w:t>98</w:t>
      </w:r>
      <w:r w:rsidR="009B32D9">
        <w:t xml:space="preserve"> to 200</w:t>
      </w:r>
      <w:r w:rsidR="00AC1498">
        <w:t>9</w:t>
      </w:r>
      <w:r w:rsidR="00DE039F">
        <w:t>–</w:t>
      </w:r>
      <w:r w:rsidR="00AC1498">
        <w:t xml:space="preserve">10, the single rate pension </w:t>
      </w:r>
      <w:r w:rsidR="005412AD">
        <w:t>was benchmarked to 25 per </w:t>
      </w:r>
      <w:r w:rsidR="009B32D9">
        <w:t>cent of MTAWE</w:t>
      </w:r>
      <w:r>
        <w:t xml:space="preserve">.  </w:t>
      </w:r>
      <w:r w:rsidR="00C24CD6">
        <w:t>‘</w:t>
      </w:r>
      <w:r w:rsidR="00C24CD6">
        <w:rPr>
          <w:lang w:val="en"/>
        </w:rPr>
        <w:t xml:space="preserve">Benchmarked’ means that after it has been indexed, the relative pension rate is checked to see whether it is equal to or higher than </w:t>
      </w:r>
      <w:r w:rsidR="00B742AE">
        <w:rPr>
          <w:lang w:val="en"/>
        </w:rPr>
        <w:t xml:space="preserve">the </w:t>
      </w:r>
      <w:r w:rsidR="00C24CD6">
        <w:rPr>
          <w:lang w:val="en"/>
        </w:rPr>
        <w:t xml:space="preserve">prescribed </w:t>
      </w:r>
      <w:r w:rsidR="000B0489">
        <w:rPr>
          <w:lang w:val="en"/>
        </w:rPr>
        <w:t>percentage</w:t>
      </w:r>
      <w:r w:rsidR="00380A31">
        <w:rPr>
          <w:lang w:val="en"/>
        </w:rPr>
        <w:t xml:space="preserve"> of MTAWE (in this case 25</w:t>
      </w:r>
      <w:r w:rsidR="00C24CD6">
        <w:rPr>
          <w:lang w:val="en"/>
        </w:rPr>
        <w:t xml:space="preserve"> per cent for the single rate).  If the rate is lower than this percentage, the rates are increased to the appropriate benchmark level.</w:t>
      </w:r>
    </w:p>
    <w:p w:rsidR="000A0CBE" w:rsidRPr="000A0CBE" w:rsidRDefault="00DB5700" w:rsidP="000A0CBE">
      <w:pPr>
        <w:pStyle w:val="Caption1"/>
        <w:spacing w:before="0"/>
      </w:pPr>
      <w:bookmarkStart w:id="106" w:name="_Ref500923590"/>
      <w:bookmarkStart w:id="107" w:name="_Toc505927972"/>
      <w:bookmarkStart w:id="108" w:name="_Toc505928631"/>
      <w:bookmarkStart w:id="109" w:name="_Toc506214877"/>
      <w:r w:rsidRPr="000A0CBE">
        <w:t xml:space="preserve">Figure </w:t>
      </w:r>
      <w:fldSimple w:instr=" STYLEREF 1 \s ">
        <w:r w:rsidR="0036047A">
          <w:rPr>
            <w:noProof/>
          </w:rPr>
          <w:t>2</w:t>
        </w:r>
      </w:fldSimple>
      <w:r w:rsidRPr="000A0CBE">
        <w:t>–</w:t>
      </w:r>
      <w:fldSimple w:instr=" SEQ Figure \* ARABIC \s 1 ">
        <w:r w:rsidR="0036047A">
          <w:rPr>
            <w:noProof/>
          </w:rPr>
          <w:t>15</w:t>
        </w:r>
      </w:fldSimple>
      <w:bookmarkEnd w:id="106"/>
      <w:r w:rsidR="00874345" w:rsidRPr="000A0CBE">
        <w:t xml:space="preserve">: </w:t>
      </w:r>
      <w:r w:rsidR="000A0CBE" w:rsidRPr="000A0CBE">
        <w:t>Disability Support Pension</w:t>
      </w:r>
      <w:r w:rsidR="00410A76">
        <w:t xml:space="preserve"> </w:t>
      </w:r>
      <w:r w:rsidR="004817C4">
        <w:t>P</w:t>
      </w:r>
      <w:r w:rsidR="000A0CBE" w:rsidRPr="000A0CBE">
        <w:t>ayment</w:t>
      </w:r>
      <w:bookmarkEnd w:id="107"/>
      <w:bookmarkEnd w:id="108"/>
      <w:r w:rsidR="00410A76">
        <w:t>s</w:t>
      </w:r>
      <w:bookmarkEnd w:id="109"/>
    </w:p>
    <w:p w:rsidR="00874345" w:rsidRPr="00132E62" w:rsidRDefault="00EB5878" w:rsidP="00526248">
      <w:pPr>
        <w:pStyle w:val="Caption4"/>
      </w:pPr>
      <w:r>
        <w:t>G</w:t>
      </w:r>
      <w:r w:rsidR="00874345" w:rsidRPr="00132E62">
        <w:t xml:space="preserve">rowth in standard pension rate </w:t>
      </w:r>
    </w:p>
    <w:p w:rsidR="00874345" w:rsidRDefault="00410A76" w:rsidP="00410A76">
      <w:pPr>
        <w:pStyle w:val="BodyText"/>
        <w:spacing w:before="0" w:after="0" w:line="240" w:lineRule="auto"/>
        <w:jc w:val="center"/>
      </w:pPr>
      <w:r>
        <w:rPr>
          <w:noProof/>
          <w:lang w:eastAsia="en-AU"/>
        </w:rPr>
        <w:drawing>
          <wp:inline distT="0" distB="0" distL="0" distR="0" wp14:anchorId="45E403A2" wp14:editId="576C3A3D">
            <wp:extent cx="4910058" cy="2844000"/>
            <wp:effectExtent l="0" t="0" r="508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910058" cy="2844000"/>
                    </a:xfrm>
                    <a:prstGeom prst="rect">
                      <a:avLst/>
                    </a:prstGeom>
                    <a:noFill/>
                  </pic:spPr>
                </pic:pic>
              </a:graphicData>
            </a:graphic>
          </wp:inline>
        </w:drawing>
      </w:r>
    </w:p>
    <w:p w:rsidR="00874345" w:rsidRDefault="005F3913" w:rsidP="00F33957">
      <w:pPr>
        <w:pStyle w:val="Source1"/>
      </w:pPr>
      <w:r>
        <w:t>Source: PBO analysis</w:t>
      </w:r>
      <w:r w:rsidR="00874345">
        <w:t xml:space="preserve"> and Guide to Social Security Law</w:t>
      </w:r>
    </w:p>
    <w:p w:rsidR="0082170A" w:rsidRDefault="000B0489" w:rsidP="00AD0EEF">
      <w:pPr>
        <w:pStyle w:val="BodyText"/>
      </w:pPr>
      <w:r w:rsidRPr="0019119F">
        <w:t xml:space="preserve">The </w:t>
      </w:r>
      <w:r w:rsidR="00136997" w:rsidRPr="0019119F">
        <w:t xml:space="preserve">increase </w:t>
      </w:r>
      <w:r w:rsidRPr="0019119F">
        <w:t>in 2009</w:t>
      </w:r>
      <w:r w:rsidR="00DE039F" w:rsidRPr="0019119F">
        <w:t>–</w:t>
      </w:r>
      <w:r w:rsidRPr="0019119F">
        <w:t xml:space="preserve">10 reflects changes in the </w:t>
      </w:r>
      <w:r w:rsidR="00AB00A4">
        <w:t xml:space="preserve">2009–10 </w:t>
      </w:r>
      <w:r w:rsidR="00C81491" w:rsidRPr="0019119F">
        <w:t>Budget</w:t>
      </w:r>
      <w:r w:rsidR="0081540A" w:rsidRPr="0019119F">
        <w:t xml:space="preserve">, </w:t>
      </w:r>
      <w:r w:rsidR="00B44427" w:rsidRPr="0019119F">
        <w:t xml:space="preserve">which </w:t>
      </w:r>
      <w:r w:rsidR="005F0A53" w:rsidRPr="0019119F">
        <w:t xml:space="preserve">increased the </w:t>
      </w:r>
      <w:r w:rsidR="00380A31" w:rsidRPr="0019119F">
        <w:t>benchmarked</w:t>
      </w:r>
      <w:r w:rsidR="00380A31">
        <w:t xml:space="preserve"> </w:t>
      </w:r>
      <w:r w:rsidR="00231B46">
        <w:t xml:space="preserve">single rate pension </w:t>
      </w:r>
      <w:r w:rsidR="005F0A53">
        <w:t xml:space="preserve">to 27.7 per cent of MTAWE and tied indexation to </w:t>
      </w:r>
      <w:r w:rsidR="00286522">
        <w:t xml:space="preserve">the greater of </w:t>
      </w:r>
      <w:r w:rsidR="005F0A53">
        <w:t xml:space="preserve">movements in the CPI, MTAWE </w:t>
      </w:r>
      <w:r w:rsidR="00944A75">
        <w:t xml:space="preserve">or the </w:t>
      </w:r>
      <w:r w:rsidR="005F0A53" w:rsidRPr="0082170A">
        <w:t>Pensioner and Beneficiary Cost of Living Index</w:t>
      </w:r>
      <w:r w:rsidR="005F0A53">
        <w:t xml:space="preserve"> </w:t>
      </w:r>
      <w:r w:rsidR="00944A75">
        <w:t>(a</w:t>
      </w:r>
      <w:r w:rsidR="00AB00A4">
        <w:t> </w:t>
      </w:r>
      <w:r w:rsidR="00944A75">
        <w:t xml:space="preserve">pensioner specific index). </w:t>
      </w:r>
    </w:p>
    <w:p w:rsidR="00874345" w:rsidRDefault="00874345" w:rsidP="006F15D5">
      <w:pPr>
        <w:pStyle w:val="BodyText"/>
        <w:spacing w:after="0"/>
      </w:pPr>
      <w:r w:rsidRPr="008641CC">
        <w:t xml:space="preserve">The rate of DSP paid to recipients is also </w:t>
      </w:r>
      <w:r w:rsidR="008234A2" w:rsidRPr="008641CC">
        <w:t xml:space="preserve">affected </w:t>
      </w:r>
      <w:r w:rsidRPr="008641CC">
        <w:t>by income and assets tests.</w:t>
      </w:r>
      <w:r w:rsidR="00F33957">
        <w:t xml:space="preserve">  </w:t>
      </w:r>
      <w:r w:rsidRPr="0082170A">
        <w:t>The 2015</w:t>
      </w:r>
      <w:r w:rsidR="00456BE6">
        <w:t>–</w:t>
      </w:r>
      <w:r w:rsidRPr="0082170A">
        <w:t xml:space="preserve">16 Budget measure </w:t>
      </w:r>
      <w:r w:rsidRPr="0082170A">
        <w:rPr>
          <w:i/>
        </w:rPr>
        <w:t>Social Security Assets Test—rebalance asset test threshold and taper rate</w:t>
      </w:r>
      <w:r w:rsidRPr="0082170A">
        <w:t xml:space="preserve"> is expected to result in a reduction in recipient numbers</w:t>
      </w:r>
      <w:r w:rsidR="0082170A" w:rsidRPr="0082170A">
        <w:t xml:space="preserve"> due to an increase in the taper rate when the asset test threshold is exceeded.</w:t>
      </w:r>
      <w:r w:rsidR="00604E2B">
        <w:t xml:space="preserve"> From 1 January 2017 </w:t>
      </w:r>
      <w:r w:rsidR="00345A63">
        <w:t xml:space="preserve">the </w:t>
      </w:r>
      <w:r w:rsidR="003A6ED6">
        <w:t xml:space="preserve">taper </w:t>
      </w:r>
      <w:r w:rsidR="00345A63">
        <w:t>rate was doubled</w:t>
      </w:r>
      <w:r w:rsidR="003A6ED6">
        <w:t xml:space="preserve"> so that the payment is reduced</w:t>
      </w:r>
      <w:r w:rsidR="00774DC9">
        <w:t xml:space="preserve"> by $3.00 (instead of $1.50) for every</w:t>
      </w:r>
      <w:r w:rsidR="003A6ED6">
        <w:t xml:space="preserve"> </w:t>
      </w:r>
      <w:r w:rsidR="00345A63">
        <w:t>$1,000 above the asset test threshold.  This</w:t>
      </w:r>
      <w:r w:rsidR="00793470">
        <w:t xml:space="preserve"> </w:t>
      </w:r>
      <w:r w:rsidR="00BE74AF">
        <w:t>was</w:t>
      </w:r>
      <w:r w:rsidR="00793470">
        <w:t xml:space="preserve"> partly offset by</w:t>
      </w:r>
      <w:r w:rsidR="00345A63">
        <w:t xml:space="preserve"> </w:t>
      </w:r>
      <w:r w:rsidR="00604E2B">
        <w:t xml:space="preserve">one-off increases </w:t>
      </w:r>
      <w:r w:rsidR="00793470">
        <w:t>to the asset test thresholds</w:t>
      </w:r>
      <w:r w:rsidR="00604E2B">
        <w:t xml:space="preserve"> from $209,000 to $250,00</w:t>
      </w:r>
      <w:r w:rsidR="00345A63">
        <w:t>0 for single homeowners</w:t>
      </w:r>
      <w:r w:rsidR="00604E2B">
        <w:t xml:space="preserve"> and </w:t>
      </w:r>
      <w:r w:rsidR="00345A63">
        <w:t>$</w:t>
      </w:r>
      <w:r w:rsidR="00604E2B">
        <w:t>296,500 to $375,000 for couples.</w:t>
      </w:r>
      <w:r w:rsidR="00345A63" w:rsidRPr="00004478">
        <w:rPr>
          <w:rStyle w:val="FootnoteReference"/>
        </w:rPr>
        <w:footnoteReference w:id="22"/>
      </w:r>
      <w:r w:rsidR="00604E2B">
        <w:t xml:space="preserve"> </w:t>
      </w:r>
    </w:p>
    <w:p w:rsidR="00A178FA" w:rsidRDefault="00A178FA" w:rsidP="005C3F98">
      <w:pPr>
        <w:pStyle w:val="Heading1"/>
      </w:pPr>
      <w:bookmarkStart w:id="110" w:name="_Toc505928132"/>
      <w:bookmarkStart w:id="111" w:name="_Toc505928398"/>
      <w:bookmarkStart w:id="112" w:name="_Toc506277160"/>
      <w:bookmarkEnd w:id="102"/>
      <w:bookmarkEnd w:id="103"/>
      <w:bookmarkEnd w:id="104"/>
      <w:bookmarkEnd w:id="105"/>
      <w:r>
        <w:lastRenderedPageBreak/>
        <w:t>Projections of DSP expenditure</w:t>
      </w:r>
      <w:bookmarkEnd w:id="110"/>
      <w:bookmarkEnd w:id="111"/>
      <w:bookmarkEnd w:id="112"/>
    </w:p>
    <w:p w:rsidR="00CE54E7" w:rsidRDefault="00CE54E7" w:rsidP="00B4321B">
      <w:pPr>
        <w:pStyle w:val="BodyText"/>
        <w:keepNext/>
        <w:keepLines/>
      </w:pPr>
      <w:proofErr w:type="gramStart"/>
      <w:r>
        <w:t xml:space="preserve">The PBO projects that expenditure on the DSP will grow on average by </w:t>
      </w:r>
      <w:r w:rsidR="003C03E7">
        <w:t>1.0</w:t>
      </w:r>
      <w:r>
        <w:t xml:space="preserve"> per cent annually in real terms over the medium term, increasing from $16.3 billion in 2016–17 to $23.</w:t>
      </w:r>
      <w:r w:rsidR="003C03E7">
        <w:t xml:space="preserve">6 </w:t>
      </w:r>
      <w:r>
        <w:t>billion in 2027–28</w:t>
      </w:r>
      <w:r w:rsidR="00CA4ADB">
        <w:t xml:space="preserve"> (</w:t>
      </w:r>
      <w:r w:rsidR="00CA4ADB">
        <w:fldChar w:fldCharType="begin"/>
      </w:r>
      <w:r w:rsidR="00CA4ADB">
        <w:instrText xml:space="preserve"> REF _Ref503346172 \h </w:instrText>
      </w:r>
      <w:r w:rsidR="00CA4ADB">
        <w:fldChar w:fldCharType="separate"/>
      </w:r>
      <w:r w:rsidR="0036047A" w:rsidRPr="00571CB5">
        <w:t xml:space="preserve">Figure </w:t>
      </w:r>
      <w:r w:rsidR="0036047A">
        <w:rPr>
          <w:noProof/>
        </w:rPr>
        <w:t>3</w:t>
      </w:r>
      <w:r w:rsidR="0036047A" w:rsidRPr="00571CB5">
        <w:t>–</w:t>
      </w:r>
      <w:r w:rsidR="0036047A">
        <w:rPr>
          <w:noProof/>
        </w:rPr>
        <w:t>1</w:t>
      </w:r>
      <w:r w:rsidR="00CA4ADB">
        <w:fldChar w:fldCharType="end"/>
      </w:r>
      <w:r w:rsidR="00CA4ADB">
        <w:t>)</w:t>
      </w:r>
      <w:r>
        <w:t>.</w:t>
      </w:r>
      <w:proofErr w:type="gramEnd"/>
      <w:r>
        <w:t xml:space="preserve">  </w:t>
      </w:r>
    </w:p>
    <w:p w:rsidR="00DE7F50" w:rsidRDefault="00DE7F50" w:rsidP="005C3F98">
      <w:pPr>
        <w:pStyle w:val="BodyText"/>
        <w:keepNext/>
        <w:keepLines/>
        <w:spacing w:after="0"/>
      </w:pPr>
      <w:r w:rsidRPr="008641CC">
        <w:t>These projections</w:t>
      </w:r>
      <w:r w:rsidR="00CC5251">
        <w:t xml:space="preserve"> augment </w:t>
      </w:r>
      <w:r w:rsidR="00E949F4" w:rsidRPr="008641CC">
        <w:t xml:space="preserve">the Government’s </w:t>
      </w:r>
      <w:r w:rsidRPr="008641CC">
        <w:t xml:space="preserve">expenditure </w:t>
      </w:r>
      <w:r w:rsidR="008B3820" w:rsidRPr="008641CC">
        <w:t xml:space="preserve">estimates </w:t>
      </w:r>
      <w:r w:rsidRPr="008641CC">
        <w:t>for the period 2017–18 to 2020–21, as contained in the 2017–18 MYEFO</w:t>
      </w:r>
      <w:r w:rsidR="00CC5251">
        <w:t>, with the PBO projections</w:t>
      </w:r>
      <w:r>
        <w:t xml:space="preserve"> from 2021</w:t>
      </w:r>
      <w:r w:rsidR="00E9688D">
        <w:t>–</w:t>
      </w:r>
      <w:r>
        <w:t xml:space="preserve">22 onwards. </w:t>
      </w:r>
    </w:p>
    <w:p w:rsidR="00CE54E7" w:rsidRDefault="00CE54E7" w:rsidP="00F310C9">
      <w:pPr>
        <w:pStyle w:val="Caption1"/>
      </w:pPr>
      <w:bookmarkStart w:id="113" w:name="_Ref503346172"/>
      <w:bookmarkStart w:id="114" w:name="_Toc505927973"/>
      <w:bookmarkStart w:id="115" w:name="_Toc505928632"/>
      <w:bookmarkStart w:id="116" w:name="_Toc506214878"/>
      <w:r w:rsidRPr="00571CB5">
        <w:t xml:space="preserve">Figure </w:t>
      </w:r>
      <w:fldSimple w:instr=" STYLEREF 1 \s ">
        <w:r w:rsidR="0036047A">
          <w:rPr>
            <w:noProof/>
          </w:rPr>
          <w:t>3</w:t>
        </w:r>
      </w:fldSimple>
      <w:r w:rsidRPr="00571CB5">
        <w:t>–</w:t>
      </w:r>
      <w:fldSimple w:instr=" SEQ Figure \* ARABIC \s 1 ">
        <w:r w:rsidR="0036047A">
          <w:rPr>
            <w:noProof/>
          </w:rPr>
          <w:t>1</w:t>
        </w:r>
      </w:fldSimple>
      <w:bookmarkEnd w:id="113"/>
      <w:r w:rsidRPr="00571CB5">
        <w:t xml:space="preserve">: Disability Support Pension </w:t>
      </w:r>
      <w:r w:rsidR="004817C4">
        <w:t>E</w:t>
      </w:r>
      <w:r w:rsidRPr="00571CB5">
        <w:t>xpenditure</w:t>
      </w:r>
      <w:bookmarkEnd w:id="114"/>
      <w:bookmarkEnd w:id="115"/>
      <w:bookmarkEnd w:id="116"/>
      <w:r w:rsidRPr="00571CB5">
        <w:t xml:space="preserve"> </w:t>
      </w:r>
    </w:p>
    <w:p w:rsidR="00CE54E7" w:rsidRDefault="00760CE4" w:rsidP="0073447A">
      <w:pPr>
        <w:pStyle w:val="BodyText"/>
        <w:keepNext/>
        <w:keepLines/>
        <w:spacing w:before="0" w:after="0"/>
        <w:jc w:val="center"/>
      </w:pPr>
      <w:r>
        <w:rPr>
          <w:noProof/>
          <w:lang w:eastAsia="en-AU"/>
        </w:rPr>
        <w:drawing>
          <wp:inline distT="0" distB="0" distL="0" distR="0" wp14:anchorId="23A784DD">
            <wp:extent cx="5334635" cy="306641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34635" cy="3066415"/>
                    </a:xfrm>
                    <a:prstGeom prst="rect">
                      <a:avLst/>
                    </a:prstGeom>
                    <a:noFill/>
                  </pic:spPr>
                </pic:pic>
              </a:graphicData>
            </a:graphic>
          </wp:inline>
        </w:drawing>
      </w:r>
    </w:p>
    <w:p w:rsidR="00CE54E7" w:rsidRDefault="00CE54E7" w:rsidP="00F33957">
      <w:pPr>
        <w:pStyle w:val="Source1"/>
      </w:pPr>
      <w:r w:rsidRPr="00235CE5">
        <w:t xml:space="preserve">Source: DSS </w:t>
      </w:r>
      <w:r w:rsidR="00E10FDB">
        <w:t>published</w:t>
      </w:r>
      <w:r w:rsidRPr="00235CE5">
        <w:t xml:space="preserve"> data</w:t>
      </w:r>
      <w:r w:rsidR="00E10FDB">
        <w:t xml:space="preserve"> and 2017–18 MYEFO program estimates,</w:t>
      </w:r>
      <w:r w:rsidR="00664346">
        <w:t xml:space="preserve"> and</w:t>
      </w:r>
      <w:r>
        <w:t xml:space="preserve"> PBO projections</w:t>
      </w:r>
    </w:p>
    <w:p w:rsidR="00773687" w:rsidRPr="00773687" w:rsidRDefault="00773687" w:rsidP="006F15D5">
      <w:pPr>
        <w:pStyle w:val="BodyText17ptAbove"/>
      </w:pPr>
      <w:r>
        <w:fldChar w:fldCharType="begin"/>
      </w:r>
      <w:r>
        <w:instrText xml:space="preserve"> REF _Ref503346172 \h  \* MERGEFORMAT </w:instrText>
      </w:r>
      <w:r>
        <w:fldChar w:fldCharType="separate"/>
      </w:r>
      <w:r w:rsidR="0036047A" w:rsidRPr="00571CB5">
        <w:t xml:space="preserve">Figure </w:t>
      </w:r>
      <w:r w:rsidR="0036047A">
        <w:rPr>
          <w:noProof/>
        </w:rPr>
        <w:t>3</w:t>
      </w:r>
      <w:r w:rsidR="0036047A" w:rsidRPr="00571CB5">
        <w:t>–</w:t>
      </w:r>
      <w:r w:rsidR="0036047A">
        <w:rPr>
          <w:noProof/>
        </w:rPr>
        <w:t>1</w:t>
      </w:r>
      <w:r>
        <w:fldChar w:fldCharType="end"/>
      </w:r>
      <w:r>
        <w:t xml:space="preserve"> highlights </w:t>
      </w:r>
      <w:r w:rsidR="004B6A45">
        <w:t>that the PBO’s current projections for DSP expenditure</w:t>
      </w:r>
      <w:r w:rsidR="00D40779">
        <w:t xml:space="preserve"> are</w:t>
      </w:r>
      <w:r w:rsidR="004B6A45">
        <w:t xml:space="preserve"> </w:t>
      </w:r>
      <w:r w:rsidRPr="00320C10">
        <w:t>$4.</w:t>
      </w:r>
      <w:r w:rsidR="006A14AE">
        <w:t>8</w:t>
      </w:r>
      <w:r w:rsidRPr="00320C10">
        <w:t xml:space="preserve"> billion lower</w:t>
      </w:r>
      <w:r w:rsidR="007231F4">
        <w:t xml:space="preserve"> in 202</w:t>
      </w:r>
      <w:r w:rsidR="006A14AE">
        <w:t>7–28</w:t>
      </w:r>
      <w:r w:rsidR="00E10FDB">
        <w:t xml:space="preserve"> than </w:t>
      </w:r>
      <w:r w:rsidR="00302136">
        <w:t>our</w:t>
      </w:r>
      <w:r w:rsidR="00E10FDB">
        <w:t xml:space="preserve"> </w:t>
      </w:r>
      <w:r w:rsidRPr="00320C10">
        <w:t>201</w:t>
      </w:r>
      <w:r w:rsidR="006A14AE">
        <w:t>7–18</w:t>
      </w:r>
      <w:r w:rsidR="00D40779">
        <w:t xml:space="preserve"> Budget</w:t>
      </w:r>
      <w:r w:rsidR="00302136">
        <w:t xml:space="preserve"> projections</w:t>
      </w:r>
      <w:r w:rsidRPr="00320C10">
        <w:t>.</w:t>
      </w:r>
    </w:p>
    <w:p w:rsidR="00A87139" w:rsidRDefault="00A87139" w:rsidP="00504CFE">
      <w:pPr>
        <w:pStyle w:val="Heading2"/>
      </w:pPr>
      <w:bookmarkStart w:id="117" w:name="_Toc505928133"/>
      <w:bookmarkStart w:id="118" w:name="_Toc505928399"/>
      <w:bookmarkStart w:id="119" w:name="_Toc506277161"/>
      <w:r>
        <w:t>Projection approach</w:t>
      </w:r>
      <w:bookmarkEnd w:id="117"/>
      <w:bookmarkEnd w:id="118"/>
      <w:bookmarkEnd w:id="119"/>
    </w:p>
    <w:p w:rsidR="00876290" w:rsidRDefault="000E6F12" w:rsidP="00504CFE">
      <w:pPr>
        <w:pStyle w:val="BodyText"/>
        <w:spacing w:after="0"/>
      </w:pPr>
      <w:r>
        <w:t xml:space="preserve">The PBO projections from </w:t>
      </w:r>
      <w:r w:rsidR="000C3CB7">
        <w:t>2021–22 to 2027–28</w:t>
      </w:r>
      <w:r w:rsidR="00876290">
        <w:t xml:space="preserve"> </w:t>
      </w:r>
      <w:r w:rsidR="00CC5251">
        <w:t xml:space="preserve">are </w:t>
      </w:r>
      <w:r w:rsidR="00876290">
        <w:t xml:space="preserve">prepared by modelling </w:t>
      </w:r>
      <w:r w:rsidR="00A47426">
        <w:t xml:space="preserve">the net change </w:t>
      </w:r>
      <w:r w:rsidR="00A47426" w:rsidRPr="0019119F">
        <w:t>in recipients</w:t>
      </w:r>
      <w:r w:rsidR="00876290" w:rsidRPr="0019119F">
        <w:t xml:space="preserve"> taking into account </w:t>
      </w:r>
      <w:r w:rsidR="00CD7C80" w:rsidRPr="0019119F">
        <w:t xml:space="preserve">recent trends, </w:t>
      </w:r>
      <w:r w:rsidR="00876290" w:rsidRPr="0019119F">
        <w:t>demographic change and the effect of po</w:t>
      </w:r>
      <w:r w:rsidR="00CD7C80" w:rsidRPr="0019119F">
        <w:t>licies</w:t>
      </w:r>
      <w:r w:rsidR="000E6F0A">
        <w:t>,</w:t>
      </w:r>
      <w:r w:rsidR="00876290" w:rsidRPr="0019119F">
        <w:t xml:space="preserve"> and applying this to an average payment rate. </w:t>
      </w:r>
      <w:r w:rsidR="00AB0098">
        <w:t xml:space="preserve"> </w:t>
      </w:r>
      <w:r w:rsidR="00A708D8" w:rsidRPr="0019119F">
        <w:t>Recipients were modelled by gender, age and medical condition</w:t>
      </w:r>
      <w:r w:rsidR="00A36ADD" w:rsidRPr="0019119F">
        <w:t xml:space="preserve"> to reflect the variations in trends across these categories discussed in </w:t>
      </w:r>
      <w:r w:rsidR="00176C90" w:rsidRPr="0019119F">
        <w:t>Section 2</w:t>
      </w:r>
      <w:r w:rsidR="00A708D8" w:rsidRPr="0019119F">
        <w:t xml:space="preserve">.  </w:t>
      </w:r>
      <w:r w:rsidR="00876290" w:rsidRPr="0019119F">
        <w:t>The average payment rate</w:t>
      </w:r>
      <w:r w:rsidR="00F058EF" w:rsidRPr="0019119F">
        <w:t xml:space="preserve"> applied to aggregate recipient projections</w:t>
      </w:r>
      <w:r w:rsidR="00876290" w:rsidRPr="0019119F">
        <w:t xml:space="preserve"> was the legislated payment rate weighted for recipient characteristics and indexed to MTAWE.</w:t>
      </w:r>
      <w:r w:rsidR="00876290" w:rsidRPr="0019119F">
        <w:rPr>
          <w:rStyle w:val="FootnoteReference"/>
        </w:rPr>
        <w:footnoteReference w:id="23"/>
      </w:r>
    </w:p>
    <w:p w:rsidR="003D78F5" w:rsidRPr="0019119F" w:rsidRDefault="005108D0" w:rsidP="00504CFE">
      <w:pPr>
        <w:pStyle w:val="BodyText"/>
        <w:keepNext/>
        <w:spacing w:after="120"/>
      </w:pPr>
      <w:r>
        <w:lastRenderedPageBreak/>
        <w:t>The PBO</w:t>
      </w:r>
      <w:r w:rsidR="003D5CE1">
        <w:t>’s</w:t>
      </w:r>
      <w:r>
        <w:t xml:space="preserve"> projections </w:t>
      </w:r>
      <w:r w:rsidR="004A2AF7" w:rsidRPr="00093CE1">
        <w:t xml:space="preserve">are based on current </w:t>
      </w:r>
      <w:r>
        <w:t>policy settings</w:t>
      </w:r>
      <w:r w:rsidR="00DE4285">
        <w:t xml:space="preserve">, and </w:t>
      </w:r>
      <w:r w:rsidR="003D78F5">
        <w:t xml:space="preserve">hence </w:t>
      </w:r>
      <w:r w:rsidR="00DE4285">
        <w:t xml:space="preserve">include the impact of a </w:t>
      </w:r>
      <w:r w:rsidR="00DE4285" w:rsidRPr="004628CA">
        <w:t xml:space="preserve">number of measures which are </w:t>
      </w:r>
      <w:r w:rsidR="003D78F5" w:rsidRPr="004628CA">
        <w:t xml:space="preserve">expected to have </w:t>
      </w:r>
      <w:r w:rsidR="00A36ADD" w:rsidRPr="004628CA">
        <w:t>a</w:t>
      </w:r>
      <w:r w:rsidR="00AB00A4">
        <w:t xml:space="preserve"> </w:t>
      </w:r>
      <w:r w:rsidR="003D78F5" w:rsidRPr="004628CA">
        <w:t>downward influence</w:t>
      </w:r>
      <w:r w:rsidR="00136997" w:rsidRPr="004628CA">
        <w:t xml:space="preserve"> on</w:t>
      </w:r>
      <w:r w:rsidR="003D78F5">
        <w:t xml:space="preserve"> </w:t>
      </w:r>
      <w:r w:rsidR="003D78F5" w:rsidRPr="0019119F">
        <w:t xml:space="preserve">recipient numbers. These include: </w:t>
      </w:r>
    </w:p>
    <w:p w:rsidR="009D46D1" w:rsidRPr="0019119F" w:rsidRDefault="009D46D1" w:rsidP="00504CFE">
      <w:pPr>
        <w:pStyle w:val="ListBullet"/>
        <w:keepNext/>
        <w:keepLines w:val="0"/>
        <w:ind w:left="284" w:hanging="284"/>
      </w:pPr>
      <w:r w:rsidRPr="0019119F">
        <w:t xml:space="preserve">the introduction of new assessment tables </w:t>
      </w:r>
      <w:r w:rsidR="00A47426" w:rsidRPr="0019119F">
        <w:t xml:space="preserve">and processes </w:t>
      </w:r>
      <w:r w:rsidRPr="0019119F">
        <w:t>from 1 January 2012 to assess applicants based on</w:t>
      </w:r>
      <w:r w:rsidR="00F05987" w:rsidRPr="0019119F">
        <w:t xml:space="preserve"> the ability to perform certain activities rather than medical diagnoses</w:t>
      </w:r>
      <w:r w:rsidR="00A36ADD" w:rsidRPr="0019119F">
        <w:t xml:space="preserve"> which resulted i</w:t>
      </w:r>
      <w:r w:rsidR="00136997" w:rsidRPr="0019119F">
        <w:t>n</w:t>
      </w:r>
      <w:r w:rsidR="00176C90" w:rsidRPr="0019119F">
        <w:t xml:space="preserve"> a</w:t>
      </w:r>
      <w:r w:rsidR="00136997" w:rsidRPr="0019119F">
        <w:t xml:space="preserve"> fundamentally different assessment</w:t>
      </w:r>
      <w:r w:rsidR="00A36ADD" w:rsidRPr="0019119F">
        <w:t xml:space="preserve"> regime</w:t>
      </w:r>
      <w:r w:rsidR="00136997" w:rsidRPr="0019119F">
        <w:t xml:space="preserve"> for new recipients</w:t>
      </w:r>
      <w:r w:rsidR="00A36ADD" w:rsidRPr="0019119F">
        <w:t xml:space="preserve"> than earlier history</w:t>
      </w:r>
    </w:p>
    <w:p w:rsidR="00CD7C80" w:rsidRPr="003D5CE1" w:rsidRDefault="00870052" w:rsidP="00504CFE">
      <w:pPr>
        <w:pStyle w:val="ListBullet"/>
        <w:keepNext/>
        <w:keepLines w:val="0"/>
        <w:ind w:left="284" w:hanging="284"/>
      </w:pPr>
      <w:r w:rsidRPr="003D5CE1">
        <w:t xml:space="preserve">the </w:t>
      </w:r>
      <w:r w:rsidR="00CD7C80" w:rsidRPr="003D5CE1">
        <w:t>2014–15 MYEFO measure to replace treating doctor’s reports with Government Contracted Doctor’s reports on application</w:t>
      </w:r>
      <w:r w:rsidR="00327B98" w:rsidRPr="003D5CE1">
        <w:t>s</w:t>
      </w:r>
    </w:p>
    <w:p w:rsidR="00CD7C80" w:rsidRPr="000260FC" w:rsidRDefault="00CD7C80" w:rsidP="00504CFE">
      <w:pPr>
        <w:pStyle w:val="ListBullet"/>
        <w:keepNext/>
        <w:keepLines w:val="0"/>
        <w:ind w:left="284" w:hanging="284"/>
      </w:pPr>
      <w:r w:rsidRPr="000260FC">
        <w:t xml:space="preserve">the </w:t>
      </w:r>
      <w:r w:rsidR="00870052" w:rsidRPr="000260FC">
        <w:t xml:space="preserve">2016–17 Budget measure to </w:t>
      </w:r>
      <w:r w:rsidR="007D098D" w:rsidRPr="000260FC">
        <w:t xml:space="preserve">undertake additional medical </w:t>
      </w:r>
      <w:r w:rsidR="00870052" w:rsidRPr="000260FC">
        <w:t>review</w:t>
      </w:r>
      <w:r w:rsidR="007D098D" w:rsidRPr="000260FC">
        <w:t>s of</w:t>
      </w:r>
      <w:r w:rsidR="00870052" w:rsidRPr="000260FC">
        <w:t xml:space="preserve"> </w:t>
      </w:r>
      <w:r w:rsidR="007D098D" w:rsidRPr="000260FC">
        <w:t xml:space="preserve"> 9</w:t>
      </w:r>
      <w:r w:rsidR="00870052" w:rsidRPr="000260FC">
        <w:t>0,000 existing DSP recipients</w:t>
      </w:r>
      <w:r w:rsidR="00CC5251" w:rsidRPr="000260FC">
        <w:t xml:space="preserve"> </w:t>
      </w:r>
      <w:r w:rsidR="007D098D" w:rsidRPr="000260FC">
        <w:t xml:space="preserve">over a </w:t>
      </w:r>
      <w:r w:rsidR="00CC5251" w:rsidRPr="000260FC">
        <w:t xml:space="preserve">three </w:t>
      </w:r>
      <w:r w:rsidR="00870052" w:rsidRPr="000260FC">
        <w:t>year</w:t>
      </w:r>
      <w:r w:rsidR="007D098D" w:rsidRPr="000260FC">
        <w:t xml:space="preserve"> period</w:t>
      </w:r>
    </w:p>
    <w:p w:rsidR="000036BD" w:rsidRPr="003D5CE1" w:rsidRDefault="00870052" w:rsidP="00504CFE">
      <w:pPr>
        <w:pStyle w:val="ListBullet"/>
        <w:keepNext/>
        <w:keepLines w:val="0"/>
        <w:ind w:left="284" w:hanging="284"/>
      </w:pPr>
      <w:proofErr w:type="gramStart"/>
      <w:r w:rsidRPr="003D5CE1">
        <w:t>the</w:t>
      </w:r>
      <w:proofErr w:type="gramEnd"/>
      <w:r w:rsidRPr="003D5CE1">
        <w:t xml:space="preserve"> extension of fraud prevention and debt recovery activity through data matching contained in the 2016–17 MYEFO.</w:t>
      </w:r>
    </w:p>
    <w:p w:rsidR="003B4489" w:rsidRDefault="00CE54E7" w:rsidP="00E10FDB">
      <w:pPr>
        <w:pStyle w:val="BodyText"/>
        <w:spacing w:after="0"/>
      </w:pPr>
      <w:r w:rsidRPr="0019119F">
        <w:t>Projections also include the effect of the 2009</w:t>
      </w:r>
      <w:r w:rsidR="007045E1" w:rsidRPr="0019119F">
        <w:t>–</w:t>
      </w:r>
      <w:r w:rsidRPr="0019119F">
        <w:t xml:space="preserve">10 Budget measure to increase the Age Pension eligibility age from 65 to 67 by six months every two years from 1 July 2017 and </w:t>
      </w:r>
      <w:r w:rsidR="000036BD" w:rsidRPr="0019119F">
        <w:t xml:space="preserve">the </w:t>
      </w:r>
      <w:r w:rsidR="005108D0" w:rsidRPr="0019119F">
        <w:t xml:space="preserve">yet to be legislated </w:t>
      </w:r>
      <w:r w:rsidR="004A2AF7" w:rsidRPr="0019119F">
        <w:t>2014</w:t>
      </w:r>
      <w:r w:rsidR="00AE222A" w:rsidRPr="0019119F">
        <w:t>–</w:t>
      </w:r>
      <w:r w:rsidR="004A2AF7" w:rsidRPr="0019119F">
        <w:t xml:space="preserve">15 Budget measure to increase the Age Pension eligibility age to </w:t>
      </w:r>
      <w:r w:rsidRPr="0019119F">
        <w:t>70</w:t>
      </w:r>
      <w:r w:rsidR="004A2AF7" w:rsidRPr="0019119F">
        <w:t xml:space="preserve"> from 1 July 2025.  </w:t>
      </w:r>
      <w:r w:rsidRPr="0019119F">
        <w:t>These measures increase expenditure on</w:t>
      </w:r>
      <w:r w:rsidR="00BE366C" w:rsidRPr="0019119F">
        <w:t xml:space="preserve"> the DSP as recipients</w:t>
      </w:r>
      <w:r w:rsidR="002A4653" w:rsidRPr="0019119F">
        <w:t xml:space="preserve"> remain on the DSP for longer and</w:t>
      </w:r>
      <w:r w:rsidR="0058459B" w:rsidRPr="0019119F">
        <w:t xml:space="preserve"> </w:t>
      </w:r>
      <w:r w:rsidR="001B1B97">
        <w:t>a higher number of older individual</w:t>
      </w:r>
      <w:r w:rsidR="00BF5038">
        <w:t>s</w:t>
      </w:r>
      <w:r w:rsidR="0058459B" w:rsidRPr="0019119F">
        <w:t xml:space="preserve"> enter</w:t>
      </w:r>
      <w:r w:rsidR="00AE0971">
        <w:t xml:space="preserve"> the DSP in lieu of the Age </w:t>
      </w:r>
      <w:r w:rsidR="002A4653" w:rsidRPr="0019119F">
        <w:t>Pension.</w:t>
      </w:r>
      <w:r w:rsidR="00793470" w:rsidRPr="0019119F">
        <w:t xml:space="preserve"> </w:t>
      </w:r>
      <w:r w:rsidR="00C86424" w:rsidRPr="0019119F">
        <w:t xml:space="preserve"> </w:t>
      </w:r>
    </w:p>
    <w:p w:rsidR="00DD12E6" w:rsidRPr="0019119F" w:rsidRDefault="00620C8B" w:rsidP="00A21A23">
      <w:pPr>
        <w:pStyle w:val="BodyText"/>
      </w:pPr>
      <w:r w:rsidRPr="0019119F">
        <w:t>From 2021–22 to 2027–28 the increase in the Age Pension eligibility age is projected to increase the amount of time 140,000 recipients spend on the DSP and result in an additional 30,000 recipients entering the DSP by 2027–28.</w:t>
      </w:r>
    </w:p>
    <w:p w:rsidR="00BC07C7" w:rsidRPr="0019119F" w:rsidRDefault="00BC07C7" w:rsidP="00504CFE">
      <w:pPr>
        <w:pStyle w:val="Heading2"/>
      </w:pPr>
      <w:bookmarkStart w:id="120" w:name="_Toc505928134"/>
      <w:bookmarkStart w:id="121" w:name="_Toc505928400"/>
      <w:bookmarkStart w:id="122" w:name="_Toc506277162"/>
      <w:r w:rsidRPr="0019119F">
        <w:t>Payment rate projections</w:t>
      </w:r>
      <w:bookmarkEnd w:id="120"/>
      <w:bookmarkEnd w:id="121"/>
      <w:bookmarkEnd w:id="122"/>
    </w:p>
    <w:p w:rsidR="00BC07C7" w:rsidRPr="0019119F" w:rsidRDefault="00BC07C7" w:rsidP="00504CFE">
      <w:pPr>
        <w:pStyle w:val="BodyText"/>
      </w:pPr>
      <w:r w:rsidRPr="0019119F">
        <w:t xml:space="preserve">As Section 2 highlighted, </w:t>
      </w:r>
      <w:r w:rsidR="003D78F5" w:rsidRPr="0019119F">
        <w:t xml:space="preserve">the recent subdued growth in </w:t>
      </w:r>
      <w:r w:rsidR="00A47426" w:rsidRPr="0019119F">
        <w:t xml:space="preserve">new DSP </w:t>
      </w:r>
      <w:r w:rsidR="003D78F5" w:rsidRPr="0019119F">
        <w:t>recipient</w:t>
      </w:r>
      <w:r w:rsidR="00A47426" w:rsidRPr="0019119F">
        <w:t>s,</w:t>
      </w:r>
      <w:r w:rsidR="002A0F78" w:rsidRPr="0019119F">
        <w:t xml:space="preserve"> which is</w:t>
      </w:r>
      <w:r w:rsidR="003D78F5" w:rsidRPr="0019119F">
        <w:t xml:space="preserve"> projected to continue over the medium-term</w:t>
      </w:r>
      <w:r w:rsidR="00D82C72">
        <w:t>,</w:t>
      </w:r>
      <w:r w:rsidR="003D78F5" w:rsidRPr="0019119F">
        <w:t xml:space="preserve"> </w:t>
      </w:r>
      <w:r w:rsidR="002A0F78" w:rsidRPr="0019119F">
        <w:t>means that</w:t>
      </w:r>
      <w:r w:rsidR="003D78F5" w:rsidRPr="0019119F">
        <w:t xml:space="preserve"> growth </w:t>
      </w:r>
      <w:r w:rsidR="000C3CB7" w:rsidRPr="0019119F">
        <w:t xml:space="preserve">in DSP expenditure </w:t>
      </w:r>
      <w:r w:rsidR="003D78F5" w:rsidRPr="0019119F">
        <w:t>from 2021</w:t>
      </w:r>
      <w:r w:rsidR="00664346" w:rsidRPr="0019119F">
        <w:t>–</w:t>
      </w:r>
      <w:r w:rsidR="003D78F5" w:rsidRPr="0019119F">
        <w:t>22</w:t>
      </w:r>
      <w:r w:rsidR="000C3CB7" w:rsidRPr="0019119F">
        <w:t xml:space="preserve"> is </w:t>
      </w:r>
      <w:r w:rsidR="0075455B" w:rsidRPr="0019119F">
        <w:t xml:space="preserve">largely </w:t>
      </w:r>
      <w:r w:rsidR="000C3CB7" w:rsidRPr="0019119F">
        <w:t xml:space="preserve">driven by </w:t>
      </w:r>
      <w:r w:rsidR="00A36ADD" w:rsidRPr="0019119F">
        <w:t xml:space="preserve">increases in </w:t>
      </w:r>
      <w:r w:rsidR="000C3CB7" w:rsidRPr="0019119F">
        <w:t>the average payment</w:t>
      </w:r>
      <w:r w:rsidR="00F16CD9" w:rsidRPr="0019119F">
        <w:t xml:space="preserve"> rate</w:t>
      </w:r>
      <w:r w:rsidR="003D78F5" w:rsidRPr="0019119F">
        <w:t>.</w:t>
      </w:r>
      <w:r w:rsidR="00AB0098">
        <w:t xml:space="preserve"> </w:t>
      </w:r>
      <w:r w:rsidR="003D78F5" w:rsidRPr="0019119F">
        <w:t xml:space="preserve"> The </w:t>
      </w:r>
      <w:r w:rsidR="003B35C8" w:rsidRPr="0019119F">
        <w:t xml:space="preserve">average </w:t>
      </w:r>
      <w:r w:rsidR="003D78F5" w:rsidRPr="0019119F">
        <w:t xml:space="preserve">payment rate </w:t>
      </w:r>
      <w:r w:rsidR="00F16CD9" w:rsidRPr="0019119F">
        <w:t>is projected to grow by 3.</w:t>
      </w:r>
      <w:r w:rsidR="00E949F4" w:rsidRPr="0019119F">
        <w:t>3</w:t>
      </w:r>
      <w:r w:rsidR="00F16CD9" w:rsidRPr="0019119F">
        <w:t xml:space="preserve"> per cent annually over the medium term as it is </w:t>
      </w:r>
      <w:r w:rsidR="000C3CB7" w:rsidRPr="0019119F">
        <w:t>indexed to MTAWE</w:t>
      </w:r>
      <w:r w:rsidR="0008158F" w:rsidRPr="0019119F">
        <w:t>.</w:t>
      </w:r>
      <w:r w:rsidR="00F16CD9" w:rsidRPr="0019119F">
        <w:t xml:space="preserve"> </w:t>
      </w:r>
    </w:p>
    <w:p w:rsidR="00F16CD9" w:rsidRPr="0019119F" w:rsidRDefault="00BC07C7" w:rsidP="00504CFE">
      <w:pPr>
        <w:pStyle w:val="BodyText"/>
      </w:pPr>
      <w:r w:rsidRPr="0019119F">
        <w:t xml:space="preserve">The average payment rate was projected by adjusting the legislated payment rate for the proportion of recipients expected to be on the full and part rate and those on the single or couple rate. </w:t>
      </w:r>
      <w:r w:rsidR="00AB0098">
        <w:t xml:space="preserve"> </w:t>
      </w:r>
      <w:r w:rsidR="00F16CD9" w:rsidRPr="0019119F">
        <w:t xml:space="preserve">More detail on the PBO’s projection methodology is </w:t>
      </w:r>
      <w:r w:rsidR="00A36ADD" w:rsidRPr="0019119F">
        <w:t xml:space="preserve">provided </w:t>
      </w:r>
      <w:r w:rsidR="00F16CD9" w:rsidRPr="0019119F">
        <w:t>at Appendix A.</w:t>
      </w:r>
    </w:p>
    <w:p w:rsidR="007D6F74" w:rsidRPr="0019119F" w:rsidRDefault="008F1C02" w:rsidP="00504CFE">
      <w:pPr>
        <w:pStyle w:val="Heading2"/>
        <w:rPr>
          <w:noProof/>
          <w:lang w:eastAsia="en-AU"/>
        </w:rPr>
      </w:pPr>
      <w:bookmarkStart w:id="123" w:name="_Toc505928135"/>
      <w:bookmarkStart w:id="124" w:name="_Toc505928401"/>
      <w:bookmarkStart w:id="125" w:name="_Toc506277163"/>
      <w:r w:rsidRPr="0019119F">
        <w:t>Recipient projections</w:t>
      </w:r>
      <w:bookmarkEnd w:id="123"/>
      <w:bookmarkEnd w:id="124"/>
      <w:bookmarkEnd w:id="125"/>
    </w:p>
    <w:p w:rsidR="00B714C5" w:rsidRDefault="00CA4ADB" w:rsidP="00B714C5">
      <w:pPr>
        <w:pStyle w:val="BodyText"/>
      </w:pPr>
      <w:bookmarkStart w:id="126" w:name="_Ref500925826"/>
      <w:bookmarkStart w:id="127" w:name="_Ref503175949"/>
      <w:r w:rsidRPr="003F39EF">
        <w:t xml:space="preserve">The PBO projects that </w:t>
      </w:r>
      <w:r w:rsidR="00B4321B" w:rsidRPr="003F39EF">
        <w:t xml:space="preserve">the number of </w:t>
      </w:r>
      <w:r w:rsidRPr="003F39EF">
        <w:t xml:space="preserve">DSP </w:t>
      </w:r>
      <w:r w:rsidR="00B4321B" w:rsidRPr="003F39EF">
        <w:t xml:space="preserve">recipients </w:t>
      </w:r>
      <w:r w:rsidRPr="003F39EF">
        <w:t>will</w:t>
      </w:r>
      <w:r w:rsidR="0075455B" w:rsidRPr="003F39EF">
        <w:t xml:space="preserve"> grow </w:t>
      </w:r>
      <w:r w:rsidR="0008158F" w:rsidRPr="003F39EF">
        <w:t>on</w:t>
      </w:r>
      <w:r w:rsidR="0075455B" w:rsidRPr="003F39EF">
        <w:t xml:space="preserve"> an average </w:t>
      </w:r>
      <w:r w:rsidR="0008158F" w:rsidRPr="003F39EF">
        <w:t>by</w:t>
      </w:r>
      <w:r w:rsidR="0075455B" w:rsidRPr="003F39EF">
        <w:t xml:space="preserve"> 0.4</w:t>
      </w:r>
      <w:r w:rsidR="00E4092C" w:rsidRPr="003F39EF">
        <w:t> </w:t>
      </w:r>
      <w:r w:rsidR="0075455B" w:rsidRPr="003F39EF">
        <w:t>per</w:t>
      </w:r>
      <w:r w:rsidR="00E4092C" w:rsidRPr="003F39EF">
        <w:t> </w:t>
      </w:r>
      <w:r w:rsidR="0075455B" w:rsidRPr="003F39EF">
        <w:t xml:space="preserve">cent annually over the medium term, with </w:t>
      </w:r>
      <w:r w:rsidR="001B1B97">
        <w:t xml:space="preserve">the total number of </w:t>
      </w:r>
      <w:r w:rsidR="0075455B" w:rsidRPr="003F39EF">
        <w:t>recipients</w:t>
      </w:r>
      <w:r w:rsidR="00B714C5" w:rsidRPr="003F39EF">
        <w:t xml:space="preserve"> </w:t>
      </w:r>
      <w:r w:rsidR="0075455B" w:rsidRPr="003F39EF">
        <w:t>in</w:t>
      </w:r>
      <w:r w:rsidR="00B714C5" w:rsidRPr="003F39EF">
        <w:t>creas</w:t>
      </w:r>
      <w:r w:rsidR="0075455B" w:rsidRPr="003F39EF">
        <w:t>ing</w:t>
      </w:r>
      <w:r w:rsidR="00B714C5" w:rsidRPr="003F39EF">
        <w:t xml:space="preserve"> from </w:t>
      </w:r>
      <w:r w:rsidR="00B72569" w:rsidRPr="003F39EF">
        <w:t>760</w:t>
      </w:r>
      <w:r w:rsidR="00B714C5" w:rsidRPr="003F39EF">
        <w:t>,000 in 2016–17 to</w:t>
      </w:r>
      <w:r w:rsidR="00B714C5" w:rsidRPr="0019119F">
        <w:t xml:space="preserve"> </w:t>
      </w:r>
      <w:r w:rsidR="003C03E7" w:rsidRPr="0019119F">
        <w:t>796</w:t>
      </w:r>
      <w:r w:rsidR="00B714C5" w:rsidRPr="0019119F">
        <w:t xml:space="preserve">,000 </w:t>
      </w:r>
      <w:r w:rsidR="00B30C7B" w:rsidRPr="0019119F">
        <w:t>in</w:t>
      </w:r>
      <w:r w:rsidR="00B714C5" w:rsidRPr="0019119F">
        <w:t xml:space="preserve"> 2027–28.  This </w:t>
      </w:r>
      <w:r w:rsidR="001B1B97">
        <w:t xml:space="preserve">subdued growth </w:t>
      </w:r>
      <w:r w:rsidR="00B714C5" w:rsidRPr="0019119F">
        <w:t>would see the</w:t>
      </w:r>
      <w:r w:rsidR="00614E8C">
        <w:t xml:space="preserve"> total</w:t>
      </w:r>
      <w:r w:rsidR="00B714C5" w:rsidRPr="0019119F">
        <w:t xml:space="preserve"> number of DSP recipients </w:t>
      </w:r>
      <w:r w:rsidR="00AC5CA1">
        <w:t xml:space="preserve">remaining below </w:t>
      </w:r>
      <w:r w:rsidR="009813F4">
        <w:t>the peak experienced following the GFC</w:t>
      </w:r>
      <w:r w:rsidR="00B714C5" w:rsidRPr="0019119F">
        <w:t xml:space="preserve"> </w:t>
      </w:r>
      <w:r w:rsidR="009813F4">
        <w:t>wi</w:t>
      </w:r>
      <w:r w:rsidR="00C9708D">
        <w:t xml:space="preserve">th total recipients in 2027–28 </w:t>
      </w:r>
      <w:r w:rsidR="009813F4">
        <w:t xml:space="preserve">at around the same level as in 2009–10 </w:t>
      </w:r>
      <w:r w:rsidR="00B714C5" w:rsidRPr="0019119F">
        <w:t>(</w:t>
      </w:r>
      <w:r w:rsidRPr="0019119F">
        <w:fldChar w:fldCharType="begin"/>
      </w:r>
      <w:r w:rsidRPr="0019119F">
        <w:instrText xml:space="preserve"> REF _Ref503346434 \h </w:instrText>
      </w:r>
      <w:r w:rsidR="0019119F">
        <w:instrText xml:space="preserve"> \* MERGEFORMAT </w:instrText>
      </w:r>
      <w:r w:rsidRPr="0019119F">
        <w:fldChar w:fldCharType="separate"/>
      </w:r>
      <w:r w:rsidR="0036047A" w:rsidRPr="009C342A">
        <w:t xml:space="preserve">Figure </w:t>
      </w:r>
      <w:r w:rsidR="0036047A">
        <w:rPr>
          <w:noProof/>
        </w:rPr>
        <w:t>3</w:t>
      </w:r>
      <w:r w:rsidR="0036047A" w:rsidRPr="009C342A">
        <w:t>–</w:t>
      </w:r>
      <w:r w:rsidR="0036047A">
        <w:rPr>
          <w:noProof/>
        </w:rPr>
        <w:t>2</w:t>
      </w:r>
      <w:r w:rsidRPr="0019119F">
        <w:fldChar w:fldCharType="end"/>
      </w:r>
      <w:r w:rsidR="00B714C5" w:rsidRPr="0019119F">
        <w:t>).</w:t>
      </w:r>
      <w:r w:rsidR="00992AFD">
        <w:t xml:space="preserve"> </w:t>
      </w:r>
    </w:p>
    <w:p w:rsidR="00CA4ADB" w:rsidRDefault="00CA4ADB" w:rsidP="00F310C9">
      <w:pPr>
        <w:pStyle w:val="Caption1"/>
      </w:pPr>
      <w:bookmarkStart w:id="128" w:name="_Ref503346434"/>
      <w:bookmarkStart w:id="129" w:name="_Toc505927974"/>
      <w:bookmarkStart w:id="130" w:name="_Toc505928633"/>
      <w:bookmarkStart w:id="131" w:name="_Toc506214879"/>
      <w:r w:rsidRPr="009C342A">
        <w:lastRenderedPageBreak/>
        <w:t xml:space="preserve">Figure </w:t>
      </w:r>
      <w:fldSimple w:instr=" STYLEREF 1 \s ">
        <w:r w:rsidR="0036047A">
          <w:rPr>
            <w:noProof/>
          </w:rPr>
          <w:t>3</w:t>
        </w:r>
      </w:fldSimple>
      <w:r w:rsidRPr="009C342A">
        <w:t>–</w:t>
      </w:r>
      <w:fldSimple w:instr=" SEQ Figure \* ARABIC \s 1 ">
        <w:r w:rsidR="0036047A">
          <w:rPr>
            <w:noProof/>
          </w:rPr>
          <w:t>2</w:t>
        </w:r>
      </w:fldSimple>
      <w:bookmarkEnd w:id="128"/>
      <w:r w:rsidRPr="009C342A">
        <w:t xml:space="preserve">: Disability Support Pension </w:t>
      </w:r>
      <w:r w:rsidR="00CC48A1">
        <w:t>R</w:t>
      </w:r>
      <w:r w:rsidRPr="009C342A">
        <w:t>ecipients</w:t>
      </w:r>
      <w:bookmarkEnd w:id="129"/>
      <w:bookmarkEnd w:id="130"/>
      <w:bookmarkEnd w:id="131"/>
    </w:p>
    <w:p w:rsidR="00CA4ADB" w:rsidRDefault="000260FC" w:rsidP="000260FC">
      <w:pPr>
        <w:pStyle w:val="BodyText"/>
        <w:spacing w:before="0" w:after="0" w:line="240" w:lineRule="auto"/>
        <w:jc w:val="center"/>
      </w:pPr>
      <w:r>
        <w:rPr>
          <w:noProof/>
          <w:lang w:eastAsia="en-AU"/>
        </w:rPr>
        <w:drawing>
          <wp:inline distT="0" distB="0" distL="0" distR="0" wp14:anchorId="39D24107" wp14:editId="5215779E">
            <wp:extent cx="5182235" cy="2987040"/>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182235" cy="2987040"/>
                    </a:xfrm>
                    <a:prstGeom prst="rect">
                      <a:avLst/>
                    </a:prstGeom>
                    <a:noFill/>
                  </pic:spPr>
                </pic:pic>
              </a:graphicData>
            </a:graphic>
          </wp:inline>
        </w:drawing>
      </w:r>
    </w:p>
    <w:p w:rsidR="00CA4ADB" w:rsidRDefault="00CA4ADB" w:rsidP="00F33957">
      <w:pPr>
        <w:pStyle w:val="Source1"/>
      </w:pPr>
      <w:r w:rsidRPr="00235CE5">
        <w:t xml:space="preserve">Source: DSS </w:t>
      </w:r>
      <w:r w:rsidR="00AB00A4">
        <w:t>published data and 2017–18 MYEFO program estimates</w:t>
      </w:r>
      <w:r w:rsidR="00ED467A">
        <w:t>,</w:t>
      </w:r>
      <w:r w:rsidR="00AB00A4">
        <w:t xml:space="preserve"> </w:t>
      </w:r>
      <w:r w:rsidR="00664346">
        <w:t xml:space="preserve">and </w:t>
      </w:r>
      <w:r>
        <w:t>PBO projections</w:t>
      </w:r>
    </w:p>
    <w:p w:rsidR="0008158F" w:rsidRDefault="0008158F" w:rsidP="0008158F">
      <w:pPr>
        <w:pStyle w:val="BodyText"/>
      </w:pPr>
      <w:r w:rsidRPr="0019119F">
        <w:fldChar w:fldCharType="begin"/>
      </w:r>
      <w:r w:rsidRPr="0019119F">
        <w:instrText xml:space="preserve"> REF _Ref503347529 \h </w:instrText>
      </w:r>
      <w:r w:rsidR="002F0ECF" w:rsidRPr="0019119F">
        <w:instrText xml:space="preserve"> \* MERGEFORMAT </w:instrText>
      </w:r>
      <w:r w:rsidRPr="0019119F">
        <w:fldChar w:fldCharType="separate"/>
      </w:r>
      <w:r w:rsidR="0036047A" w:rsidRPr="0096748D">
        <w:t xml:space="preserve">Figure </w:t>
      </w:r>
      <w:r w:rsidR="0036047A">
        <w:rPr>
          <w:noProof/>
        </w:rPr>
        <w:t>3</w:t>
      </w:r>
      <w:r w:rsidR="0036047A" w:rsidRPr="00495EE1">
        <w:t>–</w:t>
      </w:r>
      <w:r w:rsidR="0036047A">
        <w:rPr>
          <w:noProof/>
        </w:rPr>
        <w:t>3</w:t>
      </w:r>
      <w:r w:rsidRPr="0019119F">
        <w:fldChar w:fldCharType="end"/>
      </w:r>
      <w:r w:rsidRPr="0019119F">
        <w:t xml:space="preserve"> shows the </w:t>
      </w:r>
      <w:r w:rsidR="00AB00A4">
        <w:t>projected</w:t>
      </w:r>
      <w:r w:rsidR="00AB00A4" w:rsidRPr="0019119F">
        <w:t xml:space="preserve"> </w:t>
      </w:r>
      <w:r w:rsidR="00E505A4" w:rsidRPr="0019119F">
        <w:t>number</w:t>
      </w:r>
      <w:r w:rsidR="0096748D" w:rsidRPr="0019119F">
        <w:t xml:space="preserve"> of new</w:t>
      </w:r>
      <w:r w:rsidR="00A46A70" w:rsidRPr="0019119F">
        <w:t xml:space="preserve"> </w:t>
      </w:r>
      <w:r w:rsidR="00FD0069" w:rsidRPr="0019119F">
        <w:t>DSP</w:t>
      </w:r>
      <w:r w:rsidR="0096748D" w:rsidRPr="0019119F">
        <w:t xml:space="preserve"> recipients</w:t>
      </w:r>
      <w:r w:rsidRPr="0019119F">
        <w:t xml:space="preserve"> and </w:t>
      </w:r>
      <w:r w:rsidR="00FD0069" w:rsidRPr="0019119F">
        <w:t>those</w:t>
      </w:r>
      <w:r w:rsidR="00A46A70" w:rsidRPr="0019119F">
        <w:t xml:space="preserve"> projected to</w:t>
      </w:r>
      <w:r w:rsidR="0096748D" w:rsidRPr="0019119F">
        <w:t xml:space="preserve"> cease</w:t>
      </w:r>
      <w:r w:rsidR="00FD0069" w:rsidRPr="0019119F">
        <w:t xml:space="preserve"> </w:t>
      </w:r>
      <w:r w:rsidR="00B4321B" w:rsidRPr="003F39EF">
        <w:t xml:space="preserve">receiving </w:t>
      </w:r>
      <w:r w:rsidR="00FD0069" w:rsidRPr="003F39EF">
        <w:t xml:space="preserve">the payment </w:t>
      </w:r>
      <w:r w:rsidRPr="003F39EF">
        <w:t>underlying the project</w:t>
      </w:r>
      <w:r w:rsidR="00AB00A4">
        <w:t>ed</w:t>
      </w:r>
      <w:r w:rsidR="00E505A4" w:rsidRPr="003F39EF">
        <w:t xml:space="preserve"> total</w:t>
      </w:r>
      <w:r w:rsidR="00025499" w:rsidRPr="003F39EF">
        <w:t xml:space="preserve"> number of recipients on</w:t>
      </w:r>
      <w:r w:rsidR="00025499" w:rsidRPr="0019119F">
        <w:t xml:space="preserve"> the</w:t>
      </w:r>
      <w:r w:rsidR="00E505A4" w:rsidRPr="0019119F">
        <w:t xml:space="preserve"> DSP</w:t>
      </w:r>
      <w:r w:rsidRPr="0019119F">
        <w:t>.</w:t>
      </w:r>
      <w:r w:rsidR="00D82C72">
        <w:t xml:space="preserve"> </w:t>
      </w:r>
      <w:r w:rsidRPr="0019119F">
        <w:t xml:space="preserve"> E</w:t>
      </w:r>
      <w:r w:rsidR="00620C8B" w:rsidRPr="0019119F">
        <w:t xml:space="preserve">stimates of recipients </w:t>
      </w:r>
      <w:r w:rsidRPr="0019119F">
        <w:t>from 2017–18 to 2020–21 are those implied by the</w:t>
      </w:r>
      <w:r w:rsidR="00620C8B" w:rsidRPr="0019119F">
        <w:t xml:space="preserve"> official</w:t>
      </w:r>
      <w:r w:rsidR="009B1F05">
        <w:br/>
        <w:t>2017–18 </w:t>
      </w:r>
      <w:r w:rsidRPr="0019119F">
        <w:t xml:space="preserve">MYEFO forward estimates. </w:t>
      </w:r>
    </w:p>
    <w:p w:rsidR="00CA4ADB" w:rsidRPr="00132E62" w:rsidRDefault="00CA4ADB" w:rsidP="00F310C9">
      <w:pPr>
        <w:pStyle w:val="Caption1"/>
      </w:pPr>
      <w:bookmarkStart w:id="132" w:name="_Ref503347529"/>
      <w:bookmarkStart w:id="133" w:name="_Toc505927975"/>
      <w:bookmarkStart w:id="134" w:name="_Toc505928634"/>
      <w:bookmarkStart w:id="135" w:name="_Toc506214880"/>
      <w:r w:rsidRPr="0096748D">
        <w:t xml:space="preserve">Figure </w:t>
      </w:r>
      <w:fldSimple w:instr=" STYLEREF 1 \s ">
        <w:r w:rsidR="0036047A">
          <w:rPr>
            <w:noProof/>
          </w:rPr>
          <w:t>3</w:t>
        </w:r>
      </w:fldSimple>
      <w:r w:rsidRPr="00495EE1">
        <w:t>–</w:t>
      </w:r>
      <w:fldSimple w:instr=" SEQ Figure \* ARABIC \s 1 ">
        <w:r w:rsidR="0036047A">
          <w:rPr>
            <w:noProof/>
          </w:rPr>
          <w:t>3</w:t>
        </w:r>
      </w:fldSimple>
      <w:bookmarkEnd w:id="132"/>
      <w:r w:rsidR="00E35758" w:rsidRPr="00495EE1">
        <w:t xml:space="preserve">: </w:t>
      </w:r>
      <w:r w:rsidR="00CC48A1">
        <w:t xml:space="preserve">Net Change in </w:t>
      </w:r>
      <w:r w:rsidRPr="00495EE1">
        <w:t xml:space="preserve">Disability Support Pension </w:t>
      </w:r>
      <w:r w:rsidR="00CC48A1">
        <w:t>R</w:t>
      </w:r>
      <w:r w:rsidRPr="00495EE1">
        <w:t>ecipients</w:t>
      </w:r>
      <w:r w:rsidR="009702F7" w:rsidRPr="00FB1A44">
        <w:rPr>
          <w:rStyle w:val="FootnoteReference"/>
          <w:color w:val="2B3B5F" w:themeColor="text2"/>
        </w:rPr>
        <w:footnoteReference w:id="24"/>
      </w:r>
      <w:bookmarkEnd w:id="133"/>
      <w:bookmarkEnd w:id="134"/>
      <w:bookmarkEnd w:id="135"/>
      <w:r w:rsidRPr="00FB1A44">
        <w:t xml:space="preserve"> </w:t>
      </w:r>
    </w:p>
    <w:p w:rsidR="00CA4ADB" w:rsidRPr="001622A2" w:rsidRDefault="000260FC" w:rsidP="000260FC">
      <w:pPr>
        <w:pStyle w:val="BodyText"/>
        <w:spacing w:before="0" w:after="0" w:line="240" w:lineRule="auto"/>
        <w:jc w:val="center"/>
      </w:pPr>
      <w:r>
        <w:rPr>
          <w:noProof/>
          <w:lang w:eastAsia="en-AU"/>
        </w:rPr>
        <w:drawing>
          <wp:inline distT="0" distB="0" distL="0" distR="0" wp14:anchorId="1C9ACC94" wp14:editId="79A71DFB">
            <wp:extent cx="5365115" cy="3060700"/>
            <wp:effectExtent l="0" t="0" r="6985" b="635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365115" cy="3060700"/>
                    </a:xfrm>
                    <a:prstGeom prst="rect">
                      <a:avLst/>
                    </a:prstGeom>
                    <a:noFill/>
                  </pic:spPr>
                </pic:pic>
              </a:graphicData>
            </a:graphic>
          </wp:inline>
        </w:drawing>
      </w:r>
    </w:p>
    <w:p w:rsidR="00CA4ADB" w:rsidRDefault="00CA4ADB" w:rsidP="00F33957">
      <w:pPr>
        <w:pStyle w:val="Source1"/>
      </w:pPr>
      <w:r w:rsidRPr="00235CE5">
        <w:t xml:space="preserve">Source: DSS </w:t>
      </w:r>
      <w:r w:rsidR="00AB00A4">
        <w:t>published</w:t>
      </w:r>
      <w:r w:rsidRPr="00235CE5">
        <w:t xml:space="preserve"> data</w:t>
      </w:r>
      <w:r w:rsidR="00AB00A4">
        <w:t xml:space="preserve"> and 2017–18 MYEFO program estimates,</w:t>
      </w:r>
      <w:r w:rsidR="00B72569">
        <w:t xml:space="preserve"> and </w:t>
      </w:r>
      <w:r>
        <w:t>PBO projections</w:t>
      </w:r>
    </w:p>
    <w:p w:rsidR="008A239F" w:rsidRPr="009C342A" w:rsidRDefault="00620C8B">
      <w:pPr>
        <w:pStyle w:val="BodyText"/>
      </w:pPr>
      <w:r w:rsidRPr="00B4321B">
        <w:lastRenderedPageBreak/>
        <w:t>T</w:t>
      </w:r>
      <w:r w:rsidR="008F295D" w:rsidRPr="00B4321B">
        <w:t xml:space="preserve">he number of </w:t>
      </w:r>
      <w:r w:rsidR="00613AD7" w:rsidRPr="00B4321B">
        <w:t>new</w:t>
      </w:r>
      <w:r w:rsidR="00870052" w:rsidRPr="00B4321B">
        <w:t xml:space="preserve"> DSP</w:t>
      </w:r>
      <w:r w:rsidR="00613AD7" w:rsidRPr="00B4321B">
        <w:t xml:space="preserve"> recipients</w:t>
      </w:r>
      <w:r w:rsidR="00870052" w:rsidRPr="00B4321B">
        <w:t xml:space="preserve"> </w:t>
      </w:r>
      <w:r w:rsidRPr="00B4321B">
        <w:t>is</w:t>
      </w:r>
      <w:r w:rsidR="00C3288F" w:rsidRPr="00B4321B">
        <w:t xml:space="preserve"> projected to</w:t>
      </w:r>
      <w:r w:rsidR="00870052" w:rsidRPr="00B4321B">
        <w:t xml:space="preserve"> increas</w:t>
      </w:r>
      <w:r w:rsidR="00C3288F" w:rsidRPr="00B4321B">
        <w:t>e</w:t>
      </w:r>
      <w:r w:rsidR="00870052" w:rsidRPr="00B4321B">
        <w:t xml:space="preserve"> from 3</w:t>
      </w:r>
      <w:r w:rsidR="008A239F" w:rsidRPr="00B4321B">
        <w:t>2</w:t>
      </w:r>
      <w:r w:rsidR="00870052" w:rsidRPr="00B4321B">
        <w:t xml:space="preserve">,000 in 2016–17 to </w:t>
      </w:r>
      <w:r w:rsidR="008A239F" w:rsidRPr="00B4321B">
        <w:t>5</w:t>
      </w:r>
      <w:r w:rsidR="005A4C50" w:rsidRPr="00B4321B">
        <w:t>5</w:t>
      </w:r>
      <w:r w:rsidR="00870052" w:rsidRPr="00B4321B">
        <w:t>,000</w:t>
      </w:r>
      <w:r w:rsidR="00870052">
        <w:t xml:space="preserve"> in 2027–28</w:t>
      </w:r>
      <w:r w:rsidR="00DC12F5">
        <w:t>.</w:t>
      </w:r>
      <w:r w:rsidR="00D00650">
        <w:t xml:space="preserve"> </w:t>
      </w:r>
      <w:r w:rsidR="00DC12F5">
        <w:t xml:space="preserve"> </w:t>
      </w:r>
      <w:r w:rsidR="00817D85">
        <w:t>From 2017–18 to 2020–21</w:t>
      </w:r>
      <w:r w:rsidR="008F295D">
        <w:t>,</w:t>
      </w:r>
      <w:r w:rsidR="00817D85">
        <w:t xml:space="preserve"> </w:t>
      </w:r>
      <w:r w:rsidR="008F295D">
        <w:t>new</w:t>
      </w:r>
      <w:r>
        <w:t xml:space="preserve"> DSP</w:t>
      </w:r>
      <w:r w:rsidR="008F295D">
        <w:t xml:space="preserve"> recipients</w:t>
      </w:r>
      <w:r>
        <w:t xml:space="preserve"> are estimated to</w:t>
      </w:r>
      <w:r w:rsidR="005011BD">
        <w:t xml:space="preserve"> </w:t>
      </w:r>
      <w:r w:rsidR="00DC12F5">
        <w:t xml:space="preserve">average </w:t>
      </w:r>
      <w:r w:rsidR="005011BD">
        <w:t>7</w:t>
      </w:r>
      <w:r w:rsidR="005A4C50">
        <w:t>7</w:t>
      </w:r>
      <w:r w:rsidR="005011BD">
        <w:t>,000</w:t>
      </w:r>
      <w:r w:rsidR="00817D85">
        <w:t xml:space="preserve"> a year</w:t>
      </w:r>
      <w:r w:rsidR="00B23A5A">
        <w:t xml:space="preserve">. </w:t>
      </w:r>
      <w:r w:rsidR="00D64307">
        <w:t xml:space="preserve"> </w:t>
      </w:r>
      <w:r w:rsidR="00B23A5A">
        <w:t xml:space="preserve">This is projected to </w:t>
      </w:r>
      <w:r w:rsidR="000E6F0A">
        <w:t xml:space="preserve">revert </w:t>
      </w:r>
      <w:r w:rsidR="00DC12F5">
        <w:t>to around 5</w:t>
      </w:r>
      <w:r w:rsidR="005A4C50">
        <w:t>2</w:t>
      </w:r>
      <w:r w:rsidR="00DC12F5">
        <w:t xml:space="preserve">,000 </w:t>
      </w:r>
      <w:r w:rsidR="00817D85">
        <w:t>a year</w:t>
      </w:r>
      <w:r w:rsidR="00B23A5A">
        <w:t xml:space="preserve"> from</w:t>
      </w:r>
      <w:r w:rsidR="005011BD">
        <w:t xml:space="preserve"> 2021–22 to 2027–28.</w:t>
      </w:r>
      <w:r w:rsidR="0008158F">
        <w:t xml:space="preserve">  </w:t>
      </w:r>
    </w:p>
    <w:p w:rsidR="00DD12E6" w:rsidRDefault="00B4321B" w:rsidP="00B12F2E">
      <w:pPr>
        <w:pStyle w:val="BodyText"/>
      </w:pPr>
      <w:r w:rsidRPr="005B5127">
        <w:t>The number of recipients that cease receiving</w:t>
      </w:r>
      <w:r w:rsidR="00E505A4" w:rsidRPr="005B5127">
        <w:t xml:space="preserve"> the DSP </w:t>
      </w:r>
      <w:r w:rsidR="00870052" w:rsidRPr="005B5127">
        <w:t xml:space="preserve">are projected to </w:t>
      </w:r>
      <w:r w:rsidR="005011BD" w:rsidRPr="005B5127">
        <w:t>remain at relatively</w:t>
      </w:r>
      <w:r w:rsidR="005011BD" w:rsidRPr="00B4321B">
        <w:t xml:space="preserve"> similar levels</w:t>
      </w:r>
      <w:r w:rsidR="00870052" w:rsidRPr="00B4321B">
        <w:t xml:space="preserve"> </w:t>
      </w:r>
      <w:r w:rsidR="0008158F" w:rsidRPr="00B4321B">
        <w:t xml:space="preserve">to those historically, </w:t>
      </w:r>
      <w:r w:rsidR="00E505A4" w:rsidRPr="00B4321B">
        <w:t xml:space="preserve">averaging </w:t>
      </w:r>
      <w:r w:rsidR="005A130B">
        <w:t>58</w:t>
      </w:r>
      <w:r w:rsidR="00E505A4" w:rsidRPr="00B4321B">
        <w:t>,000 a year</w:t>
      </w:r>
      <w:r w:rsidR="005011BD" w:rsidRPr="00B4321B">
        <w:t xml:space="preserve"> from 2017–18 to 2027–28</w:t>
      </w:r>
      <w:r w:rsidR="00E505A4" w:rsidRPr="00B4321B">
        <w:t>.</w:t>
      </w:r>
      <w:r w:rsidR="008F295D" w:rsidRPr="00B4321B">
        <w:t xml:space="preserve"> </w:t>
      </w:r>
      <w:r w:rsidR="00E505A4" w:rsidRPr="00B4321B">
        <w:t xml:space="preserve"> </w:t>
      </w:r>
      <w:r w:rsidR="007C5DCE" w:rsidRPr="00B4321B">
        <w:t>As with the historical period, t</w:t>
      </w:r>
      <w:r w:rsidR="00870052" w:rsidRPr="00B4321B">
        <w:t xml:space="preserve">he </w:t>
      </w:r>
      <w:r w:rsidR="007C5DCE" w:rsidRPr="00B4321B">
        <w:t>‘up and down’ profile of recipients leaving the payment</w:t>
      </w:r>
      <w:r w:rsidR="00870052" w:rsidRPr="00B4321B">
        <w:t xml:space="preserve"> </w:t>
      </w:r>
      <w:r w:rsidR="007C5DCE" w:rsidRPr="00B4321B">
        <w:t>reflects increases in the Age Pension eli</w:t>
      </w:r>
      <w:r w:rsidR="00D82C72">
        <w:t xml:space="preserve">gibility </w:t>
      </w:r>
      <w:r w:rsidR="00300B00" w:rsidRPr="00B4321B">
        <w:t xml:space="preserve">age </w:t>
      </w:r>
      <w:r w:rsidR="00D82C72">
        <w:t>which occur over an 18</w:t>
      </w:r>
      <w:r w:rsidR="007C5DCE" w:rsidRPr="00B4321B">
        <w:t>-month period every two years (see Box 2).</w:t>
      </w:r>
      <w:r w:rsidR="00D82C72">
        <w:t xml:space="preserve"> </w:t>
      </w:r>
      <w:r w:rsidR="00F91453" w:rsidRPr="00B4321B">
        <w:t xml:space="preserve"> </w:t>
      </w:r>
      <w:r w:rsidR="008F295D" w:rsidRPr="00B4321B">
        <w:t>Increases in the</w:t>
      </w:r>
      <w:r w:rsidR="00DD12E6" w:rsidRPr="00B4321B">
        <w:t xml:space="preserve"> eligibility age for both men and women aged between 65 and 68</w:t>
      </w:r>
      <w:r w:rsidR="008F295D" w:rsidRPr="00B4321B">
        <w:t xml:space="preserve"> are projected to increase the number of DSP recipients within this cohort</w:t>
      </w:r>
      <w:r w:rsidR="00DD12E6" w:rsidRPr="00B4321B">
        <w:t xml:space="preserve"> from 29,000 in 2016–17 to 10</w:t>
      </w:r>
      <w:r w:rsidR="005A4C50" w:rsidRPr="00B4321B">
        <w:t>3</w:t>
      </w:r>
      <w:r w:rsidR="00DD12E6" w:rsidRPr="00B4321B">
        <w:t>,000 in 2027–28.</w:t>
      </w:r>
    </w:p>
    <w:p w:rsidR="00350360" w:rsidRPr="00E27028" w:rsidRDefault="00350360" w:rsidP="00E27028">
      <w:pPr>
        <w:pStyle w:val="Heading2"/>
      </w:pPr>
      <w:bookmarkStart w:id="136" w:name="_Toc505928136"/>
      <w:bookmarkStart w:id="137" w:name="_Toc505928402"/>
      <w:bookmarkStart w:id="138" w:name="_Toc506277164"/>
      <w:r w:rsidRPr="00E27028">
        <w:t>Projection scenarios</w:t>
      </w:r>
      <w:bookmarkEnd w:id="136"/>
      <w:bookmarkEnd w:id="137"/>
      <w:bookmarkEnd w:id="138"/>
    </w:p>
    <w:p w:rsidR="00350360" w:rsidRPr="006B1D4C" w:rsidRDefault="00350360" w:rsidP="00350360">
      <w:pPr>
        <w:pStyle w:val="BodyText"/>
        <w:rPr>
          <w:noProof/>
          <w:lang w:eastAsia="en-AU"/>
        </w:rPr>
      </w:pPr>
      <w:r w:rsidRPr="00576E80">
        <w:t>As with all medium-term projections there are uncertainties surrounding the projections presented in t</w:t>
      </w:r>
      <w:r w:rsidR="00E27028">
        <w:t>his report.  In particular, these</w:t>
      </w:r>
      <w:r w:rsidRPr="00576E80">
        <w:t xml:space="preserve"> relat</w:t>
      </w:r>
      <w:r w:rsidR="00E27028">
        <w:t>e</w:t>
      </w:r>
      <w:r w:rsidRPr="00576E80">
        <w:t xml:space="preserve"> to the limited historical experience of the new assessment regime and recent temporary compliance measures.  These developments make interpreting the implications of the recent few years for the medium term challenging</w:t>
      </w:r>
      <w:r w:rsidR="00E27028">
        <w:t xml:space="preserve">, </w:t>
      </w:r>
      <w:r w:rsidR="00E27028" w:rsidRPr="006B1D4C">
        <w:t>particularly since the grant rate is yet to stabilise</w:t>
      </w:r>
      <w:r w:rsidRPr="006B1D4C">
        <w:rPr>
          <w:noProof/>
          <w:lang w:eastAsia="en-AU"/>
        </w:rPr>
        <w:t>.</w:t>
      </w:r>
      <w:r w:rsidRPr="006B1D4C">
        <w:rPr>
          <w:rStyle w:val="FootnoteReference"/>
        </w:rPr>
        <w:footnoteReference w:id="25"/>
      </w:r>
      <w:r w:rsidRPr="006B1D4C">
        <w:rPr>
          <w:noProof/>
          <w:lang w:eastAsia="en-AU"/>
        </w:rPr>
        <w:t xml:space="preserve">  </w:t>
      </w:r>
    </w:p>
    <w:p w:rsidR="00350360" w:rsidRPr="006B1D4C" w:rsidRDefault="00350360" w:rsidP="00350360">
      <w:pPr>
        <w:pStyle w:val="BodyText"/>
      </w:pPr>
      <w:r w:rsidRPr="006B1D4C">
        <w:t>Given this uncertainty, we analyse a number of scenarios using alternative assumptions for new recipients to see how they affect the projections (</w:t>
      </w:r>
      <w:r w:rsidRPr="006B1D4C">
        <w:fldChar w:fldCharType="begin"/>
      </w:r>
      <w:r w:rsidRPr="006B1D4C">
        <w:instrText xml:space="preserve"> REF _Ref505290978 \h  \* MERGEFORMAT </w:instrText>
      </w:r>
      <w:r w:rsidRPr="006B1D4C">
        <w:fldChar w:fldCharType="separate"/>
      </w:r>
      <w:r w:rsidR="0036047A" w:rsidRPr="00B46B79">
        <w:t xml:space="preserve">Figure </w:t>
      </w:r>
      <w:r w:rsidR="0036047A">
        <w:rPr>
          <w:noProof/>
        </w:rPr>
        <w:t>3</w:t>
      </w:r>
      <w:r w:rsidR="0036047A" w:rsidRPr="00B46B79">
        <w:t>–</w:t>
      </w:r>
      <w:r w:rsidR="0036047A">
        <w:rPr>
          <w:noProof/>
        </w:rPr>
        <w:t>4</w:t>
      </w:r>
      <w:r w:rsidRPr="006B1D4C">
        <w:fldChar w:fldCharType="end"/>
      </w:r>
      <w:r w:rsidRPr="006B1D4C">
        <w:t>).</w:t>
      </w:r>
      <w:r w:rsidRPr="006B1D4C">
        <w:rPr>
          <w:rStyle w:val="FootnoteReference"/>
        </w:rPr>
        <w:footnoteReference w:id="26"/>
      </w:r>
      <w:r w:rsidRPr="006B1D4C">
        <w:t xml:space="preserve">  </w:t>
      </w:r>
      <w:r w:rsidR="00E27028" w:rsidRPr="006B1D4C">
        <w:t>These s</w:t>
      </w:r>
      <w:r w:rsidRPr="006B1D4C">
        <w:t>cenarios are based on alternative assumptions for</w:t>
      </w:r>
      <w:r w:rsidR="00E27028" w:rsidRPr="006B1D4C">
        <w:t xml:space="preserve"> the future trends in</w:t>
      </w:r>
      <w:r w:rsidRPr="006B1D4C">
        <w:t xml:space="preserve"> new recipients</w:t>
      </w:r>
      <w:r w:rsidR="00E27028" w:rsidRPr="006B1D4C">
        <w:t>,</w:t>
      </w:r>
      <w:r w:rsidRPr="006B1D4C">
        <w:t xml:space="preserve"> as these are the largest driver of trends in the total DSP population and more likely to be influenced by changes in policy.  These scenarios look at the implications if the average number of new recipients:</w:t>
      </w:r>
    </w:p>
    <w:p w:rsidR="00350360" w:rsidRPr="006B1D4C" w:rsidRDefault="00350360" w:rsidP="00350360">
      <w:pPr>
        <w:pStyle w:val="ListBullet"/>
        <w:numPr>
          <w:ilvl w:val="0"/>
          <w:numId w:val="3"/>
        </w:numPr>
      </w:pPr>
      <w:r w:rsidRPr="006B1D4C">
        <w:t>remains at 2016</w:t>
      </w:r>
      <w:r w:rsidR="003318A5" w:rsidRPr="006B1D4C">
        <w:t>–</w:t>
      </w:r>
      <w:r w:rsidRPr="006B1D4C">
        <w:t>17 levels</w:t>
      </w:r>
    </w:p>
    <w:p w:rsidR="00350360" w:rsidRPr="006B1D4C" w:rsidRDefault="00350360" w:rsidP="00350360">
      <w:pPr>
        <w:pStyle w:val="ListBullet"/>
        <w:numPr>
          <w:ilvl w:val="0"/>
          <w:numId w:val="3"/>
        </w:numPr>
      </w:pPr>
      <w:r w:rsidRPr="006B1D4C">
        <w:t xml:space="preserve">remains around the average recorded over the past five years, or </w:t>
      </w:r>
    </w:p>
    <w:p w:rsidR="00350360" w:rsidRPr="006B1D4C" w:rsidRDefault="00350360" w:rsidP="00350360">
      <w:pPr>
        <w:pStyle w:val="ListBullet"/>
        <w:numPr>
          <w:ilvl w:val="0"/>
          <w:numId w:val="3"/>
        </w:numPr>
      </w:pPr>
      <w:proofErr w:type="gramStart"/>
      <w:r w:rsidRPr="006B1D4C">
        <w:t>increases</w:t>
      </w:r>
      <w:proofErr w:type="gramEnd"/>
      <w:r w:rsidR="00E27028" w:rsidRPr="006B1D4C">
        <w:t xml:space="preserve"> back</w:t>
      </w:r>
      <w:r w:rsidRPr="006B1D4C">
        <w:t xml:space="preserve"> to the average recorded over the past 15 years.</w:t>
      </w:r>
    </w:p>
    <w:p w:rsidR="00350360" w:rsidRPr="006B1D4C" w:rsidRDefault="00350360" w:rsidP="00350360">
      <w:pPr>
        <w:pStyle w:val="BodyText"/>
        <w:rPr>
          <w:noProof/>
          <w:lang w:eastAsia="en-AU"/>
        </w:rPr>
      </w:pPr>
      <w:r w:rsidRPr="006B1D4C">
        <w:t>The PBO’s projections beyond the forward estimates</w:t>
      </w:r>
      <w:r w:rsidR="00614E8C" w:rsidRPr="006B1D4C">
        <w:t>,</w:t>
      </w:r>
      <w:r w:rsidRPr="006B1D4C">
        <w:t xml:space="preserve"> as presented in the previous section</w:t>
      </w:r>
      <w:r w:rsidR="00614E8C" w:rsidRPr="006B1D4C">
        <w:t>,</w:t>
      </w:r>
      <w:r w:rsidRPr="006B1D4C">
        <w:t xml:space="preserve"> were modelled based on the average level of new recipient</w:t>
      </w:r>
      <w:r w:rsidR="00384370">
        <w:t>s</w:t>
      </w:r>
      <w:r w:rsidRPr="006B1D4C">
        <w:t xml:space="preserve"> over the past </w:t>
      </w:r>
      <w:r w:rsidR="002D3D82" w:rsidRPr="006B1D4C">
        <w:t>five</w:t>
      </w:r>
      <w:r w:rsidRPr="006B1D4C">
        <w:t xml:space="preserve"> years.  This approach </w:t>
      </w:r>
      <w:r w:rsidRPr="006B1D4C">
        <w:rPr>
          <w:noProof/>
          <w:lang w:eastAsia="en-AU"/>
        </w:rPr>
        <w:t xml:space="preserve">captures the period following changes to DSP assessment processes and tables from 1 January 2012 that resulted in a structural break from earlier history and allows for a rebound from the current historcally low levels of new DSP recipients. </w:t>
      </w:r>
    </w:p>
    <w:p w:rsidR="00350360" w:rsidRPr="00544F75" w:rsidRDefault="00350360" w:rsidP="00350360">
      <w:pPr>
        <w:pStyle w:val="BodyText"/>
        <w:rPr>
          <w:noProof/>
          <w:lang w:eastAsia="en-AU"/>
        </w:rPr>
      </w:pPr>
      <w:r w:rsidRPr="006B1D4C">
        <w:rPr>
          <w:noProof/>
          <w:lang w:eastAsia="en-AU"/>
        </w:rPr>
        <w:t xml:space="preserve">Using </w:t>
      </w:r>
      <w:r w:rsidR="00E27028" w:rsidRPr="006B1D4C">
        <w:rPr>
          <w:noProof/>
          <w:lang w:eastAsia="en-AU"/>
        </w:rPr>
        <w:t>the most recent data (2016–17)</w:t>
      </w:r>
      <w:r w:rsidRPr="006B1D4C">
        <w:rPr>
          <w:noProof/>
          <w:lang w:eastAsia="en-AU"/>
        </w:rPr>
        <w:t xml:space="preserve"> to project new recipients would</w:t>
      </w:r>
      <w:r w:rsidR="00E27028" w:rsidRPr="006B1D4C">
        <w:rPr>
          <w:noProof/>
          <w:lang w:eastAsia="en-AU"/>
        </w:rPr>
        <w:t xml:space="preserve"> appear</w:t>
      </w:r>
      <w:r w:rsidRPr="006B1D4C">
        <w:rPr>
          <w:noProof/>
          <w:lang w:eastAsia="en-AU"/>
        </w:rPr>
        <w:t xml:space="preserve"> likely </w:t>
      </w:r>
      <w:r w:rsidR="00E27028" w:rsidRPr="006B1D4C">
        <w:rPr>
          <w:noProof/>
          <w:lang w:eastAsia="en-AU"/>
        </w:rPr>
        <w:t xml:space="preserve">to </w:t>
      </w:r>
      <w:r w:rsidRPr="006B1D4C">
        <w:rPr>
          <w:noProof/>
          <w:lang w:eastAsia="en-AU"/>
        </w:rPr>
        <w:t xml:space="preserve">understate future </w:t>
      </w:r>
      <w:r w:rsidR="00E27028" w:rsidRPr="006B1D4C">
        <w:rPr>
          <w:noProof/>
          <w:lang w:eastAsia="en-AU"/>
        </w:rPr>
        <w:t>recipient numbers as these data partly reflect</w:t>
      </w:r>
      <w:r w:rsidRPr="006B1D4C">
        <w:rPr>
          <w:noProof/>
          <w:lang w:eastAsia="en-AU"/>
        </w:rPr>
        <w:t xml:space="preserve"> the temporary effect of</w:t>
      </w:r>
      <w:r w:rsidRPr="00544F75">
        <w:rPr>
          <w:noProof/>
          <w:lang w:eastAsia="en-AU"/>
        </w:rPr>
        <w:t xml:space="preserve"> compliance activity which is not expected to persist over the medium term.  </w:t>
      </w:r>
    </w:p>
    <w:p w:rsidR="00E27028" w:rsidRDefault="00350360" w:rsidP="00E27028">
      <w:pPr>
        <w:pStyle w:val="BodyText"/>
        <w:rPr>
          <w:noProof/>
          <w:lang w:eastAsia="en-AU"/>
        </w:rPr>
      </w:pPr>
      <w:r w:rsidRPr="00544F75">
        <w:rPr>
          <w:noProof/>
          <w:lang w:eastAsia="en-AU"/>
        </w:rPr>
        <w:t>In contrast, using the 15</w:t>
      </w:r>
      <w:r w:rsidRPr="00544F75">
        <w:rPr>
          <w:noProof/>
          <w:lang w:eastAsia="en-AU"/>
        </w:rPr>
        <w:noBreakHyphen/>
        <w:t xml:space="preserve">year average would likely overstate the number of future recipients as it captures a period of strong growth in recipient numbers that was largely based on </w:t>
      </w:r>
      <w:r w:rsidRPr="00544F75">
        <w:rPr>
          <w:noProof/>
          <w:lang w:eastAsia="en-AU"/>
        </w:rPr>
        <w:lastRenderedPageBreak/>
        <w:t>assessment tables and participation requi</w:t>
      </w:r>
      <w:r w:rsidR="00544F75" w:rsidRPr="00544F75">
        <w:rPr>
          <w:noProof/>
          <w:lang w:eastAsia="en-AU"/>
        </w:rPr>
        <w:t>rements that have been significa</w:t>
      </w:r>
      <w:r w:rsidRPr="00544F75">
        <w:rPr>
          <w:noProof/>
          <w:lang w:eastAsia="en-AU"/>
        </w:rPr>
        <w:t xml:space="preserve">nty and effectively tightened over the past five years. </w:t>
      </w:r>
    </w:p>
    <w:p w:rsidR="00350360" w:rsidRPr="00544F75" w:rsidRDefault="00E27028" w:rsidP="00350360">
      <w:pPr>
        <w:pStyle w:val="BodyText"/>
        <w:rPr>
          <w:noProof/>
          <w:lang w:eastAsia="en-AU"/>
        </w:rPr>
      </w:pPr>
      <w:r w:rsidRPr="00544F75">
        <w:rPr>
          <w:noProof/>
          <w:lang w:eastAsia="en-AU"/>
        </w:rPr>
        <w:fldChar w:fldCharType="begin"/>
      </w:r>
      <w:r w:rsidRPr="00544F75">
        <w:rPr>
          <w:noProof/>
          <w:lang w:eastAsia="en-AU"/>
        </w:rPr>
        <w:instrText xml:space="preserve"> REF _Ref505290978 \h  \* MERGEFORMAT </w:instrText>
      </w:r>
      <w:r w:rsidRPr="00544F75">
        <w:rPr>
          <w:noProof/>
          <w:lang w:eastAsia="en-AU"/>
        </w:rPr>
      </w:r>
      <w:r w:rsidRPr="00544F75">
        <w:rPr>
          <w:noProof/>
          <w:lang w:eastAsia="en-AU"/>
        </w:rPr>
        <w:fldChar w:fldCharType="separate"/>
      </w:r>
      <w:r w:rsidR="0036047A" w:rsidRPr="00B46B79">
        <w:t xml:space="preserve">Figure </w:t>
      </w:r>
      <w:r w:rsidR="0036047A">
        <w:rPr>
          <w:noProof/>
        </w:rPr>
        <w:t>3</w:t>
      </w:r>
      <w:r w:rsidR="0036047A" w:rsidRPr="00B46B79">
        <w:t>–</w:t>
      </w:r>
      <w:r w:rsidR="0036047A">
        <w:rPr>
          <w:noProof/>
        </w:rPr>
        <w:t>4</w:t>
      </w:r>
      <w:r w:rsidRPr="00544F75">
        <w:rPr>
          <w:noProof/>
          <w:lang w:eastAsia="en-AU"/>
        </w:rPr>
        <w:fldChar w:fldCharType="end"/>
      </w:r>
      <w:r w:rsidRPr="00544F75">
        <w:rPr>
          <w:noProof/>
          <w:lang w:eastAsia="en-AU"/>
        </w:rPr>
        <w:t xml:space="preserve"> shows </w:t>
      </w:r>
      <w:r w:rsidR="007648F8">
        <w:rPr>
          <w:noProof/>
          <w:lang w:eastAsia="en-AU"/>
        </w:rPr>
        <w:t>projections for new DSP recipients under the three scenarios outlined</w:t>
      </w:r>
      <w:r w:rsidRPr="00544F75">
        <w:rPr>
          <w:noProof/>
          <w:lang w:eastAsia="en-AU"/>
        </w:rPr>
        <w:t xml:space="preserve"> above.  This illustrates that the PBO’s projections include a strong rebound in new recipients</w:t>
      </w:r>
      <w:r w:rsidR="007648F8">
        <w:rPr>
          <w:noProof/>
          <w:lang w:eastAsia="en-AU"/>
        </w:rPr>
        <w:t>,</w:t>
      </w:r>
      <w:r w:rsidRPr="00544F75">
        <w:rPr>
          <w:noProof/>
          <w:lang w:eastAsia="en-AU"/>
        </w:rPr>
        <w:t xml:space="preserve"> based on official 20</w:t>
      </w:r>
      <w:r w:rsidR="007648F8">
        <w:rPr>
          <w:noProof/>
          <w:lang w:eastAsia="en-AU"/>
        </w:rPr>
        <w:t>17–18 MYEFO estimates,</w:t>
      </w:r>
      <w:r w:rsidRPr="00544F75">
        <w:rPr>
          <w:noProof/>
          <w:lang w:eastAsia="en-AU"/>
        </w:rPr>
        <w:t xml:space="preserve"> before movin</w:t>
      </w:r>
      <w:r>
        <w:rPr>
          <w:noProof/>
          <w:lang w:eastAsia="en-AU"/>
        </w:rPr>
        <w:t>g to a five-year average level.</w:t>
      </w:r>
    </w:p>
    <w:p w:rsidR="007648F8" w:rsidRDefault="0028343F" w:rsidP="00F310C9">
      <w:pPr>
        <w:pStyle w:val="Caption1"/>
        <w:spacing w:before="120"/>
      </w:pPr>
      <w:bookmarkStart w:id="139" w:name="_Ref505290978"/>
      <w:bookmarkStart w:id="140" w:name="_Toc506214881"/>
      <w:bookmarkStart w:id="141" w:name="_Toc505927976"/>
      <w:bookmarkStart w:id="142" w:name="_Toc505928635"/>
      <w:r w:rsidRPr="00B46B79">
        <w:t xml:space="preserve">Figure </w:t>
      </w:r>
      <w:fldSimple w:instr=" STYLEREF 1 \s ">
        <w:r w:rsidR="0036047A">
          <w:rPr>
            <w:noProof/>
          </w:rPr>
          <w:t>3</w:t>
        </w:r>
      </w:fldSimple>
      <w:r w:rsidRPr="00B46B79">
        <w:t>–</w:t>
      </w:r>
      <w:fldSimple w:instr=" SEQ Figure \* ARABIC \s 1 ">
        <w:r w:rsidR="0036047A">
          <w:rPr>
            <w:noProof/>
          </w:rPr>
          <w:t>4</w:t>
        </w:r>
      </w:fldSimple>
      <w:bookmarkEnd w:id="139"/>
      <w:r w:rsidR="00770C7B">
        <w:t xml:space="preserve">: </w:t>
      </w:r>
      <w:r w:rsidR="007648F8">
        <w:t>New Disability Support Pension</w:t>
      </w:r>
      <w:r w:rsidR="0084733F">
        <w:t xml:space="preserve"> </w:t>
      </w:r>
      <w:r w:rsidR="00F71898">
        <w:t>R</w:t>
      </w:r>
      <w:r w:rsidR="0084733F">
        <w:t>ecipient</w:t>
      </w:r>
      <w:r w:rsidR="007648F8">
        <w:t>s</w:t>
      </w:r>
      <w:bookmarkEnd w:id="140"/>
    </w:p>
    <w:p w:rsidR="0028343F" w:rsidRDefault="0084733F" w:rsidP="007648F8">
      <w:pPr>
        <w:pStyle w:val="Caption4"/>
      </w:pPr>
      <w:r>
        <w:t xml:space="preserve"> </w:t>
      </w:r>
      <w:r w:rsidR="007648F8">
        <w:t>P</w:t>
      </w:r>
      <w:r w:rsidR="00D863F4" w:rsidRPr="00B46B79">
        <w:t>rojection scenarios</w:t>
      </w:r>
      <w:bookmarkEnd w:id="141"/>
      <w:bookmarkEnd w:id="142"/>
    </w:p>
    <w:p w:rsidR="001030D2" w:rsidRDefault="001030D2" w:rsidP="00F33957">
      <w:pPr>
        <w:pStyle w:val="Source1"/>
      </w:pPr>
      <w:r>
        <w:rPr>
          <w:noProof/>
          <w:lang w:eastAsia="en-AU"/>
        </w:rPr>
        <w:drawing>
          <wp:inline distT="0" distB="0" distL="0" distR="0" wp14:anchorId="2A84B32F" wp14:editId="3FDADC67">
            <wp:extent cx="5446643" cy="3061911"/>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449752" cy="3063659"/>
                    </a:xfrm>
                    <a:prstGeom prst="rect">
                      <a:avLst/>
                    </a:prstGeom>
                    <a:noFill/>
                  </pic:spPr>
                </pic:pic>
              </a:graphicData>
            </a:graphic>
          </wp:inline>
        </w:drawing>
      </w:r>
    </w:p>
    <w:p w:rsidR="0028343F" w:rsidRDefault="0028343F" w:rsidP="00F33957">
      <w:pPr>
        <w:pStyle w:val="Source1"/>
      </w:pPr>
      <w:r>
        <w:t xml:space="preserve">Source: DSS </w:t>
      </w:r>
      <w:r w:rsidR="00AB00A4">
        <w:t xml:space="preserve">published </w:t>
      </w:r>
      <w:r>
        <w:t>data</w:t>
      </w:r>
      <w:r w:rsidR="00AB00A4">
        <w:t xml:space="preserve"> and 2017–18 MYEFO program estimates,</w:t>
      </w:r>
      <w:r>
        <w:t xml:space="preserve"> and PBO analysis</w:t>
      </w:r>
    </w:p>
    <w:p w:rsidR="00D81932" w:rsidRPr="007648F8" w:rsidRDefault="0084733F" w:rsidP="006F15D5">
      <w:pPr>
        <w:pStyle w:val="BodyText17ptAbove"/>
      </w:pPr>
      <w:r w:rsidRPr="00D863F4">
        <w:rPr>
          <w:rStyle w:val="BodyTextChar"/>
        </w:rPr>
        <w:fldChar w:fldCharType="begin"/>
      </w:r>
      <w:r w:rsidRPr="00D863F4">
        <w:rPr>
          <w:rStyle w:val="BodyTextChar"/>
        </w:rPr>
        <w:instrText xml:space="preserve"> REF _Ref503357105 \h  \* MERGEFORMAT </w:instrText>
      </w:r>
      <w:r w:rsidRPr="00D863F4">
        <w:rPr>
          <w:rStyle w:val="BodyTextChar"/>
        </w:rPr>
      </w:r>
      <w:r w:rsidRPr="00D863F4">
        <w:rPr>
          <w:rStyle w:val="BodyTextChar"/>
        </w:rPr>
        <w:fldChar w:fldCharType="separate"/>
      </w:r>
      <w:r w:rsidR="0036047A" w:rsidRPr="0036047A">
        <w:rPr>
          <w:rStyle w:val="BodyTextChar"/>
        </w:rPr>
        <w:t>Figure 3–5</w:t>
      </w:r>
      <w:r w:rsidRPr="00D863F4">
        <w:rPr>
          <w:rStyle w:val="BodyTextChar"/>
        </w:rPr>
        <w:fldChar w:fldCharType="end"/>
      </w:r>
      <w:r w:rsidRPr="00D863F4">
        <w:rPr>
          <w:rStyle w:val="BodyTextChar"/>
        </w:rPr>
        <w:t xml:space="preserve"> shows</w:t>
      </w:r>
      <w:r w:rsidR="003A18E0">
        <w:rPr>
          <w:rStyle w:val="BodyTextChar"/>
        </w:rPr>
        <w:t xml:space="preserve"> how the projections for</w:t>
      </w:r>
      <w:r w:rsidRPr="00D863F4">
        <w:rPr>
          <w:rStyle w:val="BodyTextChar"/>
        </w:rPr>
        <w:t xml:space="preserve"> </w:t>
      </w:r>
      <w:r>
        <w:rPr>
          <w:rStyle w:val="BodyTextChar"/>
        </w:rPr>
        <w:t xml:space="preserve">total </w:t>
      </w:r>
      <w:r w:rsidRPr="00D863F4">
        <w:rPr>
          <w:rStyle w:val="BodyTextChar"/>
        </w:rPr>
        <w:t>recipient</w:t>
      </w:r>
      <w:r w:rsidR="003A18E0">
        <w:rPr>
          <w:rStyle w:val="BodyTextChar"/>
        </w:rPr>
        <w:t>s</w:t>
      </w:r>
      <w:r w:rsidRPr="00D863F4">
        <w:rPr>
          <w:rStyle w:val="BodyTextChar"/>
        </w:rPr>
        <w:t xml:space="preserve"> vary significantly </w:t>
      </w:r>
      <w:r w:rsidR="003A18E0">
        <w:rPr>
          <w:rStyle w:val="BodyTextChar"/>
        </w:rPr>
        <w:t xml:space="preserve">across the </w:t>
      </w:r>
      <w:r w:rsidR="003A18E0" w:rsidRPr="003A18E0">
        <w:rPr>
          <w:rStyle w:val="BodyTextChar"/>
        </w:rPr>
        <w:t>scenarios</w:t>
      </w:r>
      <w:r w:rsidRPr="003A18E0">
        <w:rPr>
          <w:rStyle w:val="BodyTextChar"/>
        </w:rPr>
        <w:t xml:space="preserve">. </w:t>
      </w:r>
      <w:r w:rsidR="00D81932" w:rsidRPr="003A18E0">
        <w:rPr>
          <w:rStyle w:val="BodyTextChar"/>
        </w:rPr>
        <w:t>If the number of new recipients remained at the 201</w:t>
      </w:r>
      <w:bookmarkStart w:id="143" w:name="_GoBack"/>
      <w:bookmarkEnd w:id="143"/>
      <w:r w:rsidR="00D81932" w:rsidRPr="003A18E0">
        <w:rPr>
          <w:rStyle w:val="BodyTextChar"/>
        </w:rPr>
        <w:t>6</w:t>
      </w:r>
      <w:r w:rsidR="007F2F81" w:rsidRPr="003A18E0">
        <w:rPr>
          <w:rStyle w:val="BodyTextChar"/>
        </w:rPr>
        <w:t>–</w:t>
      </w:r>
      <w:r w:rsidR="00D81932" w:rsidRPr="003A18E0">
        <w:rPr>
          <w:rStyle w:val="BodyTextChar"/>
        </w:rPr>
        <w:t>17 level over the medium term, the total number of recipients would fall</w:t>
      </w:r>
      <w:r w:rsidR="00A1427D">
        <w:rPr>
          <w:rStyle w:val="BodyTextChar"/>
        </w:rPr>
        <w:t xml:space="preserve"> from 760,000</w:t>
      </w:r>
      <w:r w:rsidR="00D81932" w:rsidRPr="003A18E0">
        <w:rPr>
          <w:rStyle w:val="BodyTextChar"/>
        </w:rPr>
        <w:t xml:space="preserve"> to 630,000 by </w:t>
      </w:r>
      <w:r w:rsidR="00AD55FC" w:rsidRPr="003A18E0">
        <w:rPr>
          <w:rStyle w:val="BodyTextChar"/>
        </w:rPr>
        <w:t>2027</w:t>
      </w:r>
      <w:r w:rsidR="007E5888" w:rsidRPr="003A18E0">
        <w:rPr>
          <w:rStyle w:val="BodyTextChar"/>
        </w:rPr>
        <w:t>–</w:t>
      </w:r>
      <w:r w:rsidR="00AD55FC" w:rsidRPr="003A18E0">
        <w:rPr>
          <w:rStyle w:val="BodyTextChar"/>
        </w:rPr>
        <w:t>28</w:t>
      </w:r>
      <w:r w:rsidR="00D81932" w:rsidRPr="003A18E0">
        <w:rPr>
          <w:rStyle w:val="BodyTextChar"/>
        </w:rPr>
        <w:t>.  If the number of new recipients remain</w:t>
      </w:r>
      <w:r w:rsidR="003A18E0" w:rsidRPr="003A18E0">
        <w:rPr>
          <w:rStyle w:val="BodyTextChar"/>
        </w:rPr>
        <w:t>ed</w:t>
      </w:r>
      <w:r w:rsidR="00D81932" w:rsidRPr="003A18E0">
        <w:rPr>
          <w:rStyle w:val="BodyTextChar"/>
        </w:rPr>
        <w:t xml:space="preserve"> at around the average of the past five years, total recipients would fall</w:t>
      </w:r>
      <w:r w:rsidR="00A1427D">
        <w:rPr>
          <w:rStyle w:val="BodyTextChar"/>
        </w:rPr>
        <w:t xml:space="preserve"> from 760,000 in 2016–17 </w:t>
      </w:r>
      <w:r w:rsidR="00D81932" w:rsidRPr="003A18E0">
        <w:rPr>
          <w:rStyle w:val="BodyTextChar"/>
        </w:rPr>
        <w:t>to around 740,000 by 2027</w:t>
      </w:r>
      <w:r w:rsidR="00484E14" w:rsidRPr="003A18E0">
        <w:rPr>
          <w:rStyle w:val="BodyTextChar"/>
        </w:rPr>
        <w:t>–</w:t>
      </w:r>
      <w:r w:rsidR="00D81932" w:rsidRPr="003A18E0">
        <w:rPr>
          <w:rStyle w:val="BodyTextChar"/>
        </w:rPr>
        <w:t>28.  However, if new recipients increased to the average level experienced over the past 15 years, total recipients would be projected to rise to 954,000 in 2027</w:t>
      </w:r>
      <w:r w:rsidR="00484E14" w:rsidRPr="003A18E0">
        <w:rPr>
          <w:rStyle w:val="BodyTextChar"/>
        </w:rPr>
        <w:t>–</w:t>
      </w:r>
      <w:r w:rsidR="00D81932" w:rsidRPr="003A18E0">
        <w:rPr>
          <w:rStyle w:val="BodyTextChar"/>
        </w:rPr>
        <w:t>28.</w:t>
      </w:r>
    </w:p>
    <w:p w:rsidR="00D81932" w:rsidRPr="003A18E0" w:rsidRDefault="00D81932" w:rsidP="00686221">
      <w:pPr>
        <w:pStyle w:val="BodyText"/>
        <w:spacing w:after="0"/>
      </w:pPr>
      <w:r w:rsidRPr="00484E14">
        <w:t xml:space="preserve">These scenarios compare with the PBO’s current projection for total DSP recipients in </w:t>
      </w:r>
      <w:r w:rsidR="00686221">
        <w:br/>
      </w:r>
      <w:r w:rsidRPr="00484E14">
        <w:t>2027</w:t>
      </w:r>
      <w:r w:rsidR="007E5888">
        <w:t>–</w:t>
      </w:r>
      <w:r w:rsidRPr="00484E14">
        <w:t xml:space="preserve">28 of 796,000.  As the PBO’s projections </w:t>
      </w:r>
      <w:r w:rsidR="003A18E0">
        <w:t>incorporate the rebound</w:t>
      </w:r>
      <w:r w:rsidRPr="00484E14">
        <w:t xml:space="preserve"> in new recipients in the 2017–18 MYEFO estimates, the total number of recipients in 2027–28 is higher than it would have been if </w:t>
      </w:r>
      <w:r w:rsidR="003A18E0">
        <w:t>the</w:t>
      </w:r>
      <w:r w:rsidRPr="00484E14">
        <w:t xml:space="preserve"> five-year </w:t>
      </w:r>
      <w:r w:rsidR="003A18E0">
        <w:t xml:space="preserve">historical </w:t>
      </w:r>
      <w:r w:rsidRPr="00484E14">
        <w:t>average</w:t>
      </w:r>
      <w:r w:rsidR="003A18E0">
        <w:t xml:space="preserve"> of new recipients</w:t>
      </w:r>
      <w:r w:rsidRPr="00484E14">
        <w:t xml:space="preserve"> was applied from </w:t>
      </w:r>
      <w:r w:rsidR="00C9708D">
        <w:br/>
      </w:r>
      <w:r w:rsidRPr="003A18E0">
        <w:t>2016–17.</w:t>
      </w:r>
    </w:p>
    <w:p w:rsidR="00D81932" w:rsidRPr="003A18E0" w:rsidRDefault="00D81932" w:rsidP="00484E14">
      <w:pPr>
        <w:pStyle w:val="BodyText"/>
      </w:pPr>
      <w:r w:rsidRPr="003A18E0">
        <w:t xml:space="preserve">In the scenarios that use the lower levels of new recipients, there are falls in the total number of recipients over the projection period.  </w:t>
      </w:r>
      <w:r w:rsidR="00AD55FC" w:rsidRPr="003A18E0">
        <w:t xml:space="preserve">This is due to the </w:t>
      </w:r>
      <w:r w:rsidRPr="003A18E0">
        <w:t>increasing number of people who are projected to cease receiving the DSP.  This occurs as</w:t>
      </w:r>
      <w:r w:rsidR="00484E14" w:rsidRPr="003A18E0">
        <w:t xml:space="preserve"> people who commenced receiving</w:t>
      </w:r>
      <w:r w:rsidR="004F3023" w:rsidRPr="003A18E0">
        <w:t xml:space="preserve"> the DSP over the</w:t>
      </w:r>
      <w:r w:rsidRPr="003A18E0">
        <w:t xml:space="preserve"> period of strong historical growth reach the age at which they are entitled to the Age Pension.</w:t>
      </w:r>
    </w:p>
    <w:p w:rsidR="007648F8" w:rsidRDefault="007648F8" w:rsidP="007648F8">
      <w:pPr>
        <w:pStyle w:val="Caption1"/>
        <w:spacing w:before="120"/>
      </w:pPr>
      <w:bookmarkStart w:id="144" w:name="_Ref503357105"/>
      <w:bookmarkStart w:id="145" w:name="_Toc506214882"/>
      <w:bookmarkStart w:id="146" w:name="_Toc505927977"/>
      <w:bookmarkStart w:id="147" w:name="_Toc505928636"/>
      <w:r w:rsidRPr="004C1B3C">
        <w:lastRenderedPageBreak/>
        <w:t xml:space="preserve">Figure </w:t>
      </w:r>
      <w:fldSimple w:instr=" STYLEREF 1 \s ">
        <w:r w:rsidR="0036047A">
          <w:rPr>
            <w:noProof/>
          </w:rPr>
          <w:t>3</w:t>
        </w:r>
      </w:fldSimple>
      <w:r w:rsidRPr="004C1B3C">
        <w:t>–</w:t>
      </w:r>
      <w:fldSimple w:instr=" SEQ Figure \* ARABIC \s 1 ">
        <w:r w:rsidR="0036047A">
          <w:rPr>
            <w:noProof/>
          </w:rPr>
          <w:t>5</w:t>
        </w:r>
      </w:fldSimple>
      <w:bookmarkEnd w:id="144"/>
      <w:r w:rsidRPr="004C1B3C">
        <w:t xml:space="preserve">: </w:t>
      </w:r>
      <w:r>
        <w:t xml:space="preserve">Total </w:t>
      </w:r>
      <w:r w:rsidRPr="004C1B3C">
        <w:t>Disability Support Pension</w:t>
      </w:r>
      <w:r>
        <w:t xml:space="preserve"> </w:t>
      </w:r>
      <w:r w:rsidR="00F71898">
        <w:t>R</w:t>
      </w:r>
      <w:r>
        <w:t>ecipients</w:t>
      </w:r>
      <w:bookmarkEnd w:id="145"/>
    </w:p>
    <w:p w:rsidR="007648F8" w:rsidRDefault="007648F8" w:rsidP="00BA7A54">
      <w:pPr>
        <w:pStyle w:val="Caption4"/>
      </w:pPr>
      <w:r>
        <w:t>P</w:t>
      </w:r>
      <w:r w:rsidRPr="004C1B3C">
        <w:t>rojection scenarios</w:t>
      </w:r>
      <w:bookmarkEnd w:id="146"/>
      <w:bookmarkEnd w:id="147"/>
    </w:p>
    <w:p w:rsidR="001030D2" w:rsidRDefault="001030D2" w:rsidP="00F33957">
      <w:pPr>
        <w:pStyle w:val="Source1"/>
      </w:pPr>
      <w:r>
        <w:rPr>
          <w:noProof/>
          <w:lang w:eastAsia="en-AU"/>
        </w:rPr>
        <w:drawing>
          <wp:inline distT="0" distB="0" distL="0" distR="0" wp14:anchorId="5BBAE97F" wp14:editId="2C9C82A2">
            <wp:extent cx="5468433" cy="328388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468433" cy="3283889"/>
                    </a:xfrm>
                    <a:prstGeom prst="rect">
                      <a:avLst/>
                    </a:prstGeom>
                    <a:noFill/>
                  </pic:spPr>
                </pic:pic>
              </a:graphicData>
            </a:graphic>
          </wp:inline>
        </w:drawing>
      </w:r>
    </w:p>
    <w:p w:rsidR="007648F8" w:rsidRDefault="007648F8" w:rsidP="00F33957">
      <w:pPr>
        <w:pStyle w:val="Source1"/>
      </w:pPr>
      <w:r>
        <w:t>Source: DSS published data and 2017–18 MYEFO program estimates, and PBO analysis</w:t>
      </w:r>
    </w:p>
    <w:p w:rsidR="003A18E0" w:rsidRDefault="00A50675" w:rsidP="00F310C9">
      <w:pPr>
        <w:pStyle w:val="Caption1"/>
      </w:pPr>
      <w:bookmarkStart w:id="148" w:name="_Ref505257679"/>
      <w:bookmarkStart w:id="149" w:name="_Toc506214883"/>
      <w:bookmarkStart w:id="150" w:name="_Toc505927978"/>
      <w:bookmarkStart w:id="151" w:name="_Toc505928637"/>
      <w:r w:rsidRPr="00ED5A23">
        <w:t xml:space="preserve">Figure </w:t>
      </w:r>
      <w:fldSimple w:instr=" STYLEREF 1 \s ">
        <w:r w:rsidR="0036047A">
          <w:rPr>
            <w:noProof/>
          </w:rPr>
          <w:t>3</w:t>
        </w:r>
      </w:fldSimple>
      <w:r w:rsidRPr="00ED5A23">
        <w:t>–</w:t>
      </w:r>
      <w:fldSimple w:instr=" SEQ Figure \* ARABIC \s 1 ">
        <w:r w:rsidR="0036047A">
          <w:rPr>
            <w:noProof/>
          </w:rPr>
          <w:t>6</w:t>
        </w:r>
      </w:fldSimple>
      <w:bookmarkEnd w:id="148"/>
      <w:r w:rsidR="008174AD">
        <w:t xml:space="preserve">: </w:t>
      </w:r>
      <w:r w:rsidR="003A18E0">
        <w:t xml:space="preserve">Total </w:t>
      </w:r>
      <w:r w:rsidR="008174AD">
        <w:t>Disability Support Pension</w:t>
      </w:r>
      <w:r w:rsidR="00D863F4" w:rsidRPr="00ED5A23">
        <w:t xml:space="preserve"> </w:t>
      </w:r>
      <w:r w:rsidR="00F71898">
        <w:t>E</w:t>
      </w:r>
      <w:r w:rsidR="00D863F4" w:rsidRPr="00ED5A23">
        <w:t>xpenditure</w:t>
      </w:r>
      <w:bookmarkEnd w:id="149"/>
      <w:r w:rsidR="006D6DE6">
        <w:t xml:space="preserve"> </w:t>
      </w:r>
    </w:p>
    <w:p w:rsidR="00A50675" w:rsidRDefault="003A18E0" w:rsidP="003A18E0">
      <w:pPr>
        <w:pStyle w:val="Caption4"/>
      </w:pPr>
      <w:r>
        <w:t>P</w:t>
      </w:r>
      <w:r w:rsidR="00A50675" w:rsidRPr="00ED5A23">
        <w:t>rojection scenarios</w:t>
      </w:r>
      <w:bookmarkEnd w:id="150"/>
      <w:bookmarkEnd w:id="151"/>
    </w:p>
    <w:p w:rsidR="00A50675" w:rsidRDefault="001030D2" w:rsidP="00980DF4">
      <w:pPr>
        <w:pStyle w:val="BodyText"/>
        <w:rPr>
          <w:noProof/>
          <w:lang w:eastAsia="en-AU"/>
        </w:rPr>
      </w:pPr>
      <w:r>
        <w:rPr>
          <w:noProof/>
          <w:lang w:eastAsia="en-AU"/>
        </w:rPr>
        <w:drawing>
          <wp:inline distT="0" distB="0" distL="0" distR="0" wp14:anchorId="55E13873" wp14:editId="3C3F673F">
            <wp:extent cx="5521396" cy="3315694"/>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20443" cy="3315122"/>
                    </a:xfrm>
                    <a:prstGeom prst="rect">
                      <a:avLst/>
                    </a:prstGeom>
                    <a:noFill/>
                  </pic:spPr>
                </pic:pic>
              </a:graphicData>
            </a:graphic>
          </wp:inline>
        </w:drawing>
      </w:r>
    </w:p>
    <w:p w:rsidR="00D81932" w:rsidRDefault="00A50675" w:rsidP="00F33957">
      <w:pPr>
        <w:pStyle w:val="Source1"/>
      </w:pPr>
      <w:r>
        <w:t xml:space="preserve">Source: DSS </w:t>
      </w:r>
      <w:r w:rsidR="009F240B">
        <w:t>published data and 2017–18 MYEFO program estimates,</w:t>
      </w:r>
      <w:r>
        <w:t xml:space="preserve"> and PBO analysis</w:t>
      </w:r>
      <w:bookmarkStart w:id="152" w:name="_Toc495580833"/>
      <w:bookmarkStart w:id="153" w:name="_Toc495613151"/>
      <w:bookmarkEnd w:id="126"/>
      <w:bookmarkEnd w:id="127"/>
      <w:r w:rsidR="00E56122" w:rsidRPr="00E56122">
        <w:rPr>
          <w:vertAlign w:val="superscript"/>
        </w:rPr>
        <w:footnoteReference w:id="27"/>
      </w:r>
    </w:p>
    <w:p w:rsidR="000A4F50" w:rsidRPr="007D1079" w:rsidRDefault="000A4F50" w:rsidP="000A4F50">
      <w:pPr>
        <w:pStyle w:val="BodyText"/>
      </w:pPr>
      <w:r w:rsidRPr="007D1079">
        <w:lastRenderedPageBreak/>
        <w:fldChar w:fldCharType="begin"/>
      </w:r>
      <w:r w:rsidRPr="007D1079">
        <w:instrText xml:space="preserve"> REF _Ref505257679 \h  \* MERGEFORMAT </w:instrText>
      </w:r>
      <w:r w:rsidRPr="007D1079">
        <w:fldChar w:fldCharType="separate"/>
      </w:r>
      <w:r w:rsidR="0036047A" w:rsidRPr="00ED5A23">
        <w:t xml:space="preserve">Figure </w:t>
      </w:r>
      <w:r w:rsidR="0036047A">
        <w:t>3</w:t>
      </w:r>
      <w:r w:rsidR="0036047A" w:rsidRPr="00ED5A23">
        <w:t>–</w:t>
      </w:r>
      <w:r w:rsidR="0036047A">
        <w:t>6</w:t>
      </w:r>
      <w:r w:rsidRPr="007D1079">
        <w:fldChar w:fldCharType="end"/>
      </w:r>
      <w:r w:rsidRPr="007D1079">
        <w:t xml:space="preserve"> shows the corresponding expenditure projections under each scenario with the projections for 2027–28 ranging from $28.3 billion, based on a 15</w:t>
      </w:r>
      <w:r w:rsidRPr="007D1079">
        <w:noBreakHyphen/>
        <w:t>year average level of new recipients, to $18.9 billion if new recipients remained at 2016–17 levels.  This compares with the PBO’s projection of DSP expenditure in 2027–28 of $23.6 billion.</w:t>
      </w:r>
    </w:p>
    <w:p w:rsidR="00CA7FCB" w:rsidRPr="00484E14" w:rsidRDefault="00CA7FCB" w:rsidP="00484E14">
      <w:pPr>
        <w:pStyle w:val="BodyText"/>
      </w:pPr>
      <w:r w:rsidRPr="007D1079">
        <w:t xml:space="preserve">Growth in the PBO’s expenditure projections over the forward estimates reflects the strong growth in the official 2017–18 MYEFO forward estimates for the program to 2020–21 </w:t>
      </w:r>
      <w:r w:rsidR="00647122" w:rsidRPr="007D1079">
        <w:t>with</w:t>
      </w:r>
      <w:r w:rsidRPr="007D1079">
        <w:t xml:space="preserve"> slowing of growth </w:t>
      </w:r>
      <w:r w:rsidR="00484E14" w:rsidRPr="007D1079">
        <w:t>thereafter</w:t>
      </w:r>
      <w:r w:rsidRPr="007D1079">
        <w:t xml:space="preserve"> based on our lower projections for </w:t>
      </w:r>
      <w:r w:rsidR="000E6F0A">
        <w:t xml:space="preserve">the ongoing level of </w:t>
      </w:r>
      <w:r w:rsidRPr="007D1079">
        <w:t xml:space="preserve">new </w:t>
      </w:r>
      <w:r w:rsidR="00484E14" w:rsidRPr="007D1079">
        <w:t>recipients</w:t>
      </w:r>
      <w:r w:rsidRPr="007D1079">
        <w:t xml:space="preserve">.  This </w:t>
      </w:r>
      <w:r w:rsidR="003A18E0" w:rsidRPr="007D1079">
        <w:t>scenario analysis suggests there are</w:t>
      </w:r>
      <w:r w:rsidRPr="007D1079">
        <w:t xml:space="preserve"> further downside risk</w:t>
      </w:r>
      <w:r w:rsidR="003A18E0" w:rsidRPr="007D1079">
        <w:t>s</w:t>
      </w:r>
      <w:r w:rsidRPr="007D1079">
        <w:t xml:space="preserve"> to the DSP expenditure projections.</w:t>
      </w:r>
    </w:p>
    <w:p w:rsidR="00CA7FCB" w:rsidRPr="00CA7FCB" w:rsidRDefault="00CA7FCB" w:rsidP="00CA7FCB">
      <w:pPr>
        <w:pStyle w:val="BodyText"/>
        <w:sectPr w:rsidR="00CA7FCB" w:rsidRPr="00CA7FCB" w:rsidSect="006F15D5">
          <w:headerReference w:type="even" r:id="rId49"/>
          <w:headerReference w:type="default" r:id="rId50"/>
          <w:footerReference w:type="even" r:id="rId51"/>
          <w:footerReference w:type="default" r:id="rId52"/>
          <w:headerReference w:type="first" r:id="rId53"/>
          <w:footerReference w:type="first" r:id="rId54"/>
          <w:pgSz w:w="11907" w:h="16839" w:code="9"/>
          <w:pgMar w:top="1361" w:right="1797" w:bottom="1474" w:left="1797" w:header="284" w:footer="454" w:gutter="0"/>
          <w:cols w:space="708"/>
          <w:docGrid w:linePitch="360"/>
        </w:sectPr>
      </w:pPr>
    </w:p>
    <w:p w:rsidR="001A0F8C" w:rsidRPr="00B76E84" w:rsidRDefault="00570B95" w:rsidP="00AF5122">
      <w:pPr>
        <w:pStyle w:val="Heading1"/>
        <w:numPr>
          <w:ilvl w:val="0"/>
          <w:numId w:val="0"/>
        </w:numPr>
        <w:spacing w:before="0"/>
        <w:ind w:left="765" w:hanging="765"/>
      </w:pPr>
      <w:bookmarkStart w:id="154" w:name="_Toc505928370"/>
      <w:bookmarkStart w:id="155" w:name="_Toc505932104"/>
      <w:bookmarkStart w:id="156" w:name="_Toc506277165"/>
      <w:r w:rsidRPr="00AF5122">
        <w:rPr>
          <w:rStyle w:val="Heading1Char"/>
        </w:rPr>
        <w:lastRenderedPageBreak/>
        <w:t xml:space="preserve">Appendix A – </w:t>
      </w:r>
      <w:r w:rsidR="001A0F8C" w:rsidRPr="00AF5122">
        <w:rPr>
          <w:rStyle w:val="Heading1Char"/>
        </w:rPr>
        <w:t>Technical note</w:t>
      </w:r>
      <w:r w:rsidR="001A0F8C" w:rsidRPr="00B76E84">
        <w:t>s</w:t>
      </w:r>
      <w:bookmarkEnd w:id="152"/>
      <w:bookmarkEnd w:id="153"/>
      <w:bookmarkEnd w:id="154"/>
      <w:bookmarkEnd w:id="155"/>
      <w:bookmarkEnd w:id="156"/>
    </w:p>
    <w:p w:rsidR="007317F0" w:rsidRPr="00696D80" w:rsidRDefault="007317F0" w:rsidP="007317F0">
      <w:pPr>
        <w:pStyle w:val="AppendixHeading2"/>
        <w:numPr>
          <w:ilvl w:val="2"/>
          <w:numId w:val="1"/>
        </w:numPr>
        <w:spacing w:line="276" w:lineRule="auto"/>
      </w:pPr>
      <w:r>
        <w:t>Data sources</w:t>
      </w:r>
    </w:p>
    <w:p w:rsidR="00093CE1" w:rsidRDefault="001A0F8C" w:rsidP="001A0F8C">
      <w:pPr>
        <w:pStyle w:val="BodyText"/>
      </w:pPr>
      <w:r>
        <w:t>This report uses unpublished DSP recipient characteristics data provided by the Department of Social Services</w:t>
      </w:r>
      <w:r w:rsidR="00690386">
        <w:t xml:space="preserve"> (DSS)</w:t>
      </w:r>
      <w:r>
        <w:t xml:space="preserve"> in the analysis of historical trends from 2001</w:t>
      </w:r>
      <w:r w:rsidR="00B357F3">
        <w:t>–02 to 2016–</w:t>
      </w:r>
      <w:r>
        <w:t xml:space="preserve">17.  </w:t>
      </w:r>
    </w:p>
    <w:p w:rsidR="00A576A0" w:rsidRDefault="00BD6CD0" w:rsidP="00A576A0">
      <w:pPr>
        <w:pStyle w:val="BodyText"/>
      </w:pPr>
      <w:r>
        <w:t xml:space="preserve">Data underlying the </w:t>
      </w:r>
      <w:r w:rsidR="00A576A0">
        <w:t xml:space="preserve">2017–18 MYEFO forward estimates for the DSP were sourced from </w:t>
      </w:r>
      <w:r w:rsidR="008D033F">
        <w:t>DSS.</w:t>
      </w:r>
    </w:p>
    <w:p w:rsidR="001A0F8C" w:rsidRDefault="007317F0" w:rsidP="001A0F8C">
      <w:pPr>
        <w:pStyle w:val="BodyText"/>
      </w:pPr>
      <w:r>
        <w:t>Economic parameters and population projecti</w:t>
      </w:r>
      <w:r w:rsidR="0006094C">
        <w:t>ons over the medium-term were provide</w:t>
      </w:r>
      <w:r w:rsidR="00FF0F0E">
        <w:t>d</w:t>
      </w:r>
      <w:r w:rsidR="00891923">
        <w:t xml:space="preserve"> by </w:t>
      </w:r>
      <w:r w:rsidR="0006094C">
        <w:t>Treasury.</w:t>
      </w:r>
    </w:p>
    <w:p w:rsidR="00C26792" w:rsidRDefault="00C26792" w:rsidP="00C26792">
      <w:r>
        <w:t xml:space="preserve">Average payment rates are based on settings as outlined in current legislation under the </w:t>
      </w:r>
      <w:r>
        <w:rPr>
          <w:i/>
        </w:rPr>
        <w:t>Social Security Administration Act 1999</w:t>
      </w:r>
      <w:r>
        <w:t xml:space="preserve">.  </w:t>
      </w:r>
    </w:p>
    <w:p w:rsidR="00706786" w:rsidRDefault="00706786" w:rsidP="00706786">
      <w:pPr>
        <w:pStyle w:val="AppendixHeading2"/>
        <w:numPr>
          <w:ilvl w:val="2"/>
          <w:numId w:val="1"/>
        </w:numPr>
        <w:spacing w:line="276" w:lineRule="auto"/>
      </w:pPr>
      <w:r>
        <w:t>Projections m</w:t>
      </w:r>
      <w:r w:rsidRPr="00696D80">
        <w:t>ethodology</w:t>
      </w:r>
    </w:p>
    <w:p w:rsidR="006D1A65" w:rsidRPr="0058459B" w:rsidRDefault="00A576A0" w:rsidP="00504CFE">
      <w:pPr>
        <w:pStyle w:val="BodyText"/>
      </w:pPr>
      <w:r>
        <w:t xml:space="preserve">The projections contained in this report assume the forward estimates of DSP expenditure contained in the 2017–18 MYEFO and underlying recipient numbers </w:t>
      </w:r>
      <w:r w:rsidR="00C06409">
        <w:t>provided</w:t>
      </w:r>
      <w:r>
        <w:t xml:space="preserve"> by t</w:t>
      </w:r>
      <w:r w:rsidR="00690386">
        <w:t>he DSS</w:t>
      </w:r>
      <w:r>
        <w:t>. These estimates cover the period from 2017–18 to 2020–21.</w:t>
      </w:r>
      <w:r w:rsidR="000C6F90">
        <w:t xml:space="preserve"> The PBO has </w:t>
      </w:r>
      <w:r w:rsidR="00C06409">
        <w:t>bench</w:t>
      </w:r>
      <w:r w:rsidR="006D1A65">
        <w:t>marked its projection model to these estimates.</w:t>
      </w:r>
    </w:p>
    <w:p w:rsidR="00331838" w:rsidRPr="00331838" w:rsidRDefault="00331838" w:rsidP="00331838">
      <w:pPr>
        <w:pStyle w:val="BodyText"/>
      </w:pPr>
      <w:r>
        <w:t xml:space="preserve">The PBO’s </w:t>
      </w:r>
      <w:r w:rsidR="00891923">
        <w:t xml:space="preserve">previously </w:t>
      </w:r>
      <w:r>
        <w:t>published projections of DSP expenditure</w:t>
      </w:r>
      <w:r w:rsidR="002553C0">
        <w:t>,</w:t>
      </w:r>
      <w:r>
        <w:t xml:space="preserve"> including those in its recent report </w:t>
      </w:r>
      <w:r w:rsidRPr="00331838">
        <w:rPr>
          <w:i/>
        </w:rPr>
        <w:t>2017</w:t>
      </w:r>
      <w:r w:rsidR="00E94C40">
        <w:rPr>
          <w:i/>
        </w:rPr>
        <w:t>–</w:t>
      </w:r>
      <w:r w:rsidRPr="00E723A3">
        <w:rPr>
          <w:i/>
        </w:rPr>
        <w:t>18 Budget: medium-term projections</w:t>
      </w:r>
      <w:r>
        <w:rPr>
          <w:i/>
        </w:rPr>
        <w:t xml:space="preserve"> </w:t>
      </w:r>
      <w:r w:rsidR="00891923">
        <w:t>were</w:t>
      </w:r>
      <w:r>
        <w:t xml:space="preserve"> modelled </w:t>
      </w:r>
      <w:r w:rsidR="00C47A1E">
        <w:t xml:space="preserve">by projecting take-up rates </w:t>
      </w:r>
      <w:r>
        <w:t>bas</w:t>
      </w:r>
      <w:r w:rsidR="00C47A1E">
        <w:t>ed on</w:t>
      </w:r>
      <w:r w:rsidR="00912192">
        <w:t xml:space="preserve"> long-term</w:t>
      </w:r>
      <w:r w:rsidR="00C47A1E">
        <w:t xml:space="preserve"> historical trends in the total </w:t>
      </w:r>
      <w:r w:rsidR="00293D06">
        <w:t>DSP population</w:t>
      </w:r>
      <w:r w:rsidR="00C47A1E">
        <w:t xml:space="preserve"> by gender and age. </w:t>
      </w:r>
      <w:r w:rsidR="00891923">
        <w:t>T</w:t>
      </w:r>
      <w:r w:rsidR="00C47A1E">
        <w:t>hese</w:t>
      </w:r>
      <w:r w:rsidR="00EE34DC">
        <w:t xml:space="preserve"> take-up rates </w:t>
      </w:r>
      <w:r w:rsidR="00B76E84">
        <w:t>we</w:t>
      </w:r>
      <w:r w:rsidR="00EE34DC">
        <w:t>re then applied to population projections to get a</w:t>
      </w:r>
      <w:r w:rsidR="00C47A1E">
        <w:t xml:space="preserve"> baseline projection</w:t>
      </w:r>
      <w:r w:rsidR="00EE34DC">
        <w:t>. Th</w:t>
      </w:r>
      <w:r w:rsidR="001868D0">
        <w:t xml:space="preserve">is baseline projection </w:t>
      </w:r>
      <w:r w:rsidR="00B76E84">
        <w:t>wa</w:t>
      </w:r>
      <w:r w:rsidR="001868D0">
        <w:t xml:space="preserve">s </w:t>
      </w:r>
      <w:r w:rsidR="00891923">
        <w:t xml:space="preserve">then adjusted </w:t>
      </w:r>
      <w:r w:rsidR="00C47A1E">
        <w:t>for</w:t>
      </w:r>
      <w:r>
        <w:t xml:space="preserve"> t</w:t>
      </w:r>
      <w:r w:rsidR="00C47A1E">
        <w:t xml:space="preserve">he </w:t>
      </w:r>
      <w:r w:rsidR="00EE34DC">
        <w:t xml:space="preserve">impact </w:t>
      </w:r>
      <w:r w:rsidR="00C47A1E">
        <w:t>of increas</w:t>
      </w:r>
      <w:r w:rsidR="002553C0">
        <w:t>es in</w:t>
      </w:r>
      <w:r>
        <w:t xml:space="preserve"> </w:t>
      </w:r>
      <w:r w:rsidR="00F303DC">
        <w:t xml:space="preserve">the </w:t>
      </w:r>
      <w:r>
        <w:t>Age Pension</w:t>
      </w:r>
      <w:r w:rsidR="005C2ECA">
        <w:t xml:space="preserve"> eligibility</w:t>
      </w:r>
      <w:r>
        <w:t xml:space="preserve"> age</w:t>
      </w:r>
      <w:r w:rsidR="001868D0">
        <w:t>,</w:t>
      </w:r>
      <w:r w:rsidR="00C47A1E">
        <w:t xml:space="preserve"> as </w:t>
      </w:r>
      <w:r w:rsidR="00571CB5">
        <w:t xml:space="preserve">some </w:t>
      </w:r>
      <w:r w:rsidR="00C47A1E">
        <w:t xml:space="preserve">recipients who are no longer eligible for the Age Pension are expected to </w:t>
      </w:r>
      <w:r w:rsidR="002553C0">
        <w:t xml:space="preserve">remain on, or apply for </w:t>
      </w:r>
      <w:r w:rsidR="00C47A1E">
        <w:t>the DSP</w:t>
      </w:r>
      <w:r>
        <w:t>.</w:t>
      </w:r>
      <w:r w:rsidR="00C47A1E">
        <w:t xml:space="preserve">  An </w:t>
      </w:r>
      <w:r w:rsidR="00395B6C">
        <w:t>average payment rate</w:t>
      </w:r>
      <w:r w:rsidR="00BD6CD0">
        <w:t>,</w:t>
      </w:r>
      <w:r w:rsidR="00395B6C">
        <w:t xml:space="preserve"> calculated based on total </w:t>
      </w:r>
      <w:r w:rsidR="00293D06">
        <w:t xml:space="preserve">historical </w:t>
      </w:r>
      <w:r w:rsidR="00395B6C">
        <w:t>expenditure on the DSP and recipient numbers</w:t>
      </w:r>
      <w:r w:rsidR="00BD6CD0">
        <w:t>,</w:t>
      </w:r>
      <w:r w:rsidR="00293D06">
        <w:t xml:space="preserve"> grown by MTAWE</w:t>
      </w:r>
      <w:r w:rsidR="00BD6CD0">
        <w:t>.  This</w:t>
      </w:r>
      <w:r w:rsidR="00395B6C">
        <w:t xml:space="preserve"> was then applied to recipient projections to arrive at total expenditure projections.</w:t>
      </w:r>
    </w:p>
    <w:p w:rsidR="003E6B13" w:rsidRDefault="007317F0" w:rsidP="00093CE1">
      <w:pPr>
        <w:pStyle w:val="BodyText"/>
      </w:pPr>
      <w:r>
        <w:t>Medium-</w:t>
      </w:r>
      <w:r w:rsidR="00093CE1" w:rsidRPr="00093CE1">
        <w:t>term projections of DSP expenditure presented</w:t>
      </w:r>
      <w:r w:rsidR="00093CE1">
        <w:t xml:space="preserve"> in</w:t>
      </w:r>
      <w:r w:rsidR="00093CE1" w:rsidRPr="00093CE1">
        <w:t xml:space="preserve"> this analysis</w:t>
      </w:r>
      <w:r w:rsidR="00690386">
        <w:t xml:space="preserve"> were arrived at by modelling recipient numbers taking into account demographic change and the effect of policies</w:t>
      </w:r>
      <w:r w:rsidR="00845DDA">
        <w:t xml:space="preserve"> and applying this to an average </w:t>
      </w:r>
      <w:r w:rsidR="002553C0">
        <w:t xml:space="preserve">payment </w:t>
      </w:r>
      <w:r w:rsidR="00845DDA">
        <w:t>rate</w:t>
      </w:r>
      <w:r w:rsidR="002553C0">
        <w:t xml:space="preserve"> for recipients</w:t>
      </w:r>
      <w:r w:rsidR="00845DDA">
        <w:t>.</w:t>
      </w:r>
      <w:r w:rsidR="00845DDA" w:rsidRPr="00004478">
        <w:rPr>
          <w:rStyle w:val="FootnoteReference"/>
        </w:rPr>
        <w:footnoteReference w:id="28"/>
      </w:r>
      <w:r w:rsidR="00845DDA">
        <w:t xml:space="preserve">  Projections have been</w:t>
      </w:r>
      <w:r w:rsidR="00331838">
        <w:t xml:space="preserve"> based on detailed recipient characteristics data</w:t>
      </w:r>
      <w:r w:rsidR="00C47A1E">
        <w:t xml:space="preserve">. </w:t>
      </w:r>
      <w:r w:rsidR="00293D06">
        <w:t xml:space="preserve"> </w:t>
      </w:r>
      <w:r w:rsidR="00C47A1E">
        <w:t>In addition to age and gender, recipient pro</w:t>
      </w:r>
      <w:r w:rsidR="00395B6C">
        <w:t xml:space="preserve">jections have been modelled by major medical condition. </w:t>
      </w:r>
    </w:p>
    <w:p w:rsidR="001868D0" w:rsidRDefault="001868D0" w:rsidP="00093CE1">
      <w:pPr>
        <w:pStyle w:val="BodyText"/>
      </w:pPr>
      <w:r>
        <w:t>Further, r</w:t>
      </w:r>
      <w:r w:rsidR="00395B6C">
        <w:t xml:space="preserve">ecipient projections </w:t>
      </w:r>
      <w:r w:rsidR="00093CE1" w:rsidRPr="00093CE1">
        <w:t>were</w:t>
      </w:r>
      <w:r w:rsidR="000373DD">
        <w:t xml:space="preserve"> </w:t>
      </w:r>
      <w:r w:rsidR="00093CE1" w:rsidRPr="00093CE1">
        <w:t xml:space="preserve">prepared </w:t>
      </w:r>
      <w:r w:rsidR="00395B6C">
        <w:t xml:space="preserve">by </w:t>
      </w:r>
      <w:r>
        <w:t>looking at</w:t>
      </w:r>
      <w:r w:rsidR="00395B6C">
        <w:t xml:space="preserve"> the number of</w:t>
      </w:r>
      <w:r w:rsidR="00093CE1" w:rsidRPr="00093CE1">
        <w:t xml:space="preserve"> </w:t>
      </w:r>
      <w:r w:rsidR="00242DA4">
        <w:t xml:space="preserve">new </w:t>
      </w:r>
      <w:r w:rsidR="00093CE1" w:rsidRPr="00093CE1">
        <w:t xml:space="preserve">recipients </w:t>
      </w:r>
      <w:r w:rsidR="00242DA4">
        <w:t>and those who cease to receive</w:t>
      </w:r>
      <w:r w:rsidR="00093CE1" w:rsidRPr="00093CE1">
        <w:t xml:space="preserve"> the payment</w:t>
      </w:r>
      <w:r w:rsidR="00891923">
        <w:t xml:space="preserve">, rather than </w:t>
      </w:r>
      <w:r w:rsidR="00021D11">
        <w:t xml:space="preserve">looking at </w:t>
      </w:r>
      <w:r w:rsidR="00242DA4">
        <w:t>the total DSP population</w:t>
      </w:r>
      <w:r w:rsidR="00395B6C">
        <w:t xml:space="preserve">.  </w:t>
      </w:r>
      <w:r w:rsidR="00641392">
        <w:t xml:space="preserve">This </w:t>
      </w:r>
      <w:r w:rsidR="00C046C2">
        <w:t>approach better captures</w:t>
      </w:r>
      <w:r w:rsidR="00641392">
        <w:t xml:space="preserve"> the dynamics</w:t>
      </w:r>
      <w:r w:rsidR="009D017B">
        <w:t xml:space="preserve"> </w:t>
      </w:r>
      <w:r w:rsidR="00C046C2">
        <w:t>underlying</w:t>
      </w:r>
      <w:r w:rsidR="009D017B">
        <w:t xml:space="preserve"> trends in</w:t>
      </w:r>
      <w:r w:rsidR="00C046C2">
        <w:t xml:space="preserve"> DSP</w:t>
      </w:r>
      <w:r w:rsidR="009D017B">
        <w:t xml:space="preserve"> recipient numbers</w:t>
      </w:r>
      <w:r w:rsidR="00C046C2">
        <w:t xml:space="preserve"> as</w:t>
      </w:r>
      <w:r w:rsidR="00242DA4">
        <w:t xml:space="preserve"> new recipients</w:t>
      </w:r>
      <w:r w:rsidR="00891923">
        <w:t xml:space="preserve"> have been the key driver of changes in D</w:t>
      </w:r>
      <w:r w:rsidR="003239C1">
        <w:t>SP expenditure over the past 15 </w:t>
      </w:r>
      <w:r w:rsidR="00891923">
        <w:t xml:space="preserve">years. </w:t>
      </w:r>
    </w:p>
    <w:p w:rsidR="00B76E84" w:rsidRDefault="00C046C2" w:rsidP="00093CE1">
      <w:pPr>
        <w:pStyle w:val="BodyText"/>
      </w:pPr>
      <w:r>
        <w:t>Projections of both</w:t>
      </w:r>
      <w:r w:rsidR="001C6EAF">
        <w:t xml:space="preserve"> new recipients and those who cease to receive</w:t>
      </w:r>
      <w:r w:rsidR="002553C0">
        <w:t xml:space="preserve"> the DSP</w:t>
      </w:r>
      <w:r>
        <w:t xml:space="preserve"> include adjustments for the increase in the Age Pension eligibility age over the projection period. </w:t>
      </w:r>
      <w:r w:rsidR="00093CE1" w:rsidRPr="00093CE1">
        <w:t xml:space="preserve"> </w:t>
      </w:r>
      <w:r w:rsidR="001C6EAF">
        <w:t>New recipients</w:t>
      </w:r>
      <w:r w:rsidR="00912192">
        <w:t xml:space="preserve"> have been projected on a per capita basis. </w:t>
      </w:r>
      <w:r w:rsidR="002E6A65">
        <w:t xml:space="preserve"> </w:t>
      </w:r>
      <w:r w:rsidR="001C6EAF">
        <w:t xml:space="preserve">Recipients who cease receiving the </w:t>
      </w:r>
      <w:r w:rsidR="001C6EAF">
        <w:lastRenderedPageBreak/>
        <w:t>DSP</w:t>
      </w:r>
      <w:r w:rsidR="00912192">
        <w:t xml:space="preserve"> have</w:t>
      </w:r>
      <w:r w:rsidR="001D078D">
        <w:t xml:space="preserve"> been</w:t>
      </w:r>
      <w:r w:rsidR="00912192">
        <w:t xml:space="preserve"> projected based on the share of total recipients </w:t>
      </w:r>
      <w:r w:rsidR="002E6A65">
        <w:t xml:space="preserve">in the previous year </w:t>
      </w:r>
      <w:r w:rsidR="00AD73A6">
        <w:t>expected to cease receiving</w:t>
      </w:r>
      <w:r w:rsidR="002E6A65">
        <w:t xml:space="preserve"> the payment in the projection</w:t>
      </w:r>
      <w:r w:rsidR="00912192">
        <w:t xml:space="preserve"> year.  Total </w:t>
      </w:r>
      <w:r w:rsidR="002553C0">
        <w:t>number</w:t>
      </w:r>
      <w:r w:rsidR="006614E2">
        <w:t>s</w:t>
      </w:r>
      <w:r w:rsidR="002553C0">
        <w:t xml:space="preserve"> of recipients</w:t>
      </w:r>
      <w:r w:rsidR="00912192">
        <w:t xml:space="preserve"> in a year ha</w:t>
      </w:r>
      <w:r w:rsidR="00FC75E0">
        <w:t>ve</w:t>
      </w:r>
      <w:r w:rsidR="00912192">
        <w:t xml:space="preserve"> been arrived at by adding </w:t>
      </w:r>
      <w:r w:rsidR="002553C0">
        <w:t xml:space="preserve">projections of </w:t>
      </w:r>
      <w:r w:rsidR="00AD73A6">
        <w:t>new recipients on</w:t>
      </w:r>
      <w:r w:rsidR="002553C0">
        <w:t xml:space="preserve"> the payment</w:t>
      </w:r>
      <w:r w:rsidR="00912192">
        <w:t xml:space="preserve"> and subtracting</w:t>
      </w:r>
      <w:r w:rsidR="002553C0">
        <w:t xml:space="preserve"> projections of those </w:t>
      </w:r>
      <w:r w:rsidR="00AD73A6">
        <w:t>who cease receiving</w:t>
      </w:r>
      <w:r w:rsidR="002553C0">
        <w:t xml:space="preserve"> the payment</w:t>
      </w:r>
      <w:r w:rsidR="00AD73A6">
        <w:t xml:space="preserve"> from the total number</w:t>
      </w:r>
      <w:r w:rsidR="003C6C62">
        <w:t xml:space="preserve"> of recipients at the end of the previous year.  This end of year estimate of recipients has then been converted to an annual average level based on the historical distribution of recipients throughout a year.</w:t>
      </w:r>
    </w:p>
    <w:p w:rsidR="00093CE1" w:rsidRDefault="00BD6CD0" w:rsidP="00093CE1">
      <w:pPr>
        <w:pStyle w:val="BodyText"/>
      </w:pPr>
      <w:r>
        <w:t>The</w:t>
      </w:r>
      <w:r w:rsidR="00643402">
        <w:t xml:space="preserve"> average payment rate is then applied to the a</w:t>
      </w:r>
      <w:r w:rsidR="003C6C62">
        <w:t>ggregate annual average recipient numbers</w:t>
      </w:r>
      <w:r w:rsidR="00643402">
        <w:t xml:space="preserve"> to arrive at expenditure projections</w:t>
      </w:r>
      <w:r w:rsidR="00643402" w:rsidRPr="00093CE1">
        <w:t xml:space="preserve">.  </w:t>
      </w:r>
      <w:r w:rsidR="00571CB5">
        <w:t>The</w:t>
      </w:r>
      <w:r w:rsidR="003C6C62">
        <w:t xml:space="preserve"> average </w:t>
      </w:r>
      <w:r w:rsidR="00643402">
        <w:t xml:space="preserve">payment </w:t>
      </w:r>
      <w:r w:rsidR="003C6C62">
        <w:t>rate was based on</w:t>
      </w:r>
      <w:r w:rsidR="00E94C40">
        <w:t xml:space="preserve"> </w:t>
      </w:r>
      <w:r w:rsidR="00571CB5">
        <w:t xml:space="preserve">indexed </w:t>
      </w:r>
      <w:r w:rsidR="00C046C2">
        <w:t>pension rate</w:t>
      </w:r>
      <w:r w:rsidR="00B76E84">
        <w:t>s</w:t>
      </w:r>
      <w:r w:rsidR="00C046C2">
        <w:t xml:space="preserve"> as</w:t>
      </w:r>
      <w:r w:rsidR="00093CE1">
        <w:t xml:space="preserve"> set out in current legislation</w:t>
      </w:r>
      <w:r w:rsidR="00B22324">
        <w:t xml:space="preserve"> under the </w:t>
      </w:r>
      <w:r w:rsidR="00B22324">
        <w:rPr>
          <w:i/>
        </w:rPr>
        <w:t>Social Security Administration Act 1999</w:t>
      </w:r>
      <w:r w:rsidR="00B72374">
        <w:rPr>
          <w:i/>
        </w:rPr>
        <w:t xml:space="preserve"> </w:t>
      </w:r>
      <w:r w:rsidR="00B76E84">
        <w:t>adjusted for the DSP recipient profile (i</w:t>
      </w:r>
      <w:r w:rsidR="005F68B9">
        <w:t>.</w:t>
      </w:r>
      <w:r w:rsidR="00B76E84">
        <w:t>e. single, partnered and full and part-rate recipients)</w:t>
      </w:r>
      <w:r w:rsidR="004952FC">
        <w:t xml:space="preserve">. </w:t>
      </w:r>
    </w:p>
    <w:p w:rsidR="000C7390" w:rsidRDefault="00F81D61" w:rsidP="00E10FDB">
      <w:pPr>
        <w:pStyle w:val="BodyText"/>
      </w:pPr>
      <w:r>
        <w:t xml:space="preserve">The approach used to model </w:t>
      </w:r>
      <w:r w:rsidR="002553C0">
        <w:t>new recipients, those leaving the DSP and total recipients</w:t>
      </w:r>
      <w:r>
        <w:t xml:space="preserve"> including the effect of the increase in the Age Pension eligibility age is discussed </w:t>
      </w:r>
      <w:r w:rsidR="00021D11">
        <w:t>below</w:t>
      </w:r>
      <w:r>
        <w:t>.</w:t>
      </w:r>
    </w:p>
    <w:p w:rsidR="00F81D61" w:rsidRDefault="00F81D61" w:rsidP="00B76E84">
      <w:pPr>
        <w:pStyle w:val="AppendixHeading3"/>
      </w:pPr>
      <w:r w:rsidRPr="00CF22D2">
        <w:t>Major medical condition, gender and age</w:t>
      </w:r>
    </w:p>
    <w:p w:rsidR="00891923" w:rsidRPr="00EE34DC" w:rsidRDefault="00F81D61" w:rsidP="00B76E84">
      <w:pPr>
        <w:pStyle w:val="BodyText"/>
      </w:pPr>
      <w:r>
        <w:t xml:space="preserve">DSP recipients are classified across 23 primary medical conditions. The major categories used to prepare projections in this report have been based on the overall contribution of recipients across these medical conditions to total growth in DSP recipients from </w:t>
      </w:r>
      <w:r w:rsidR="00675349">
        <w:t>2000</w:t>
      </w:r>
      <w:r w:rsidR="003017FC">
        <w:t>–0</w:t>
      </w:r>
      <w:r w:rsidR="00675349">
        <w:t>1</w:t>
      </w:r>
      <w:r w:rsidR="003017FC">
        <w:t xml:space="preserve"> to 2016–</w:t>
      </w:r>
      <w:r>
        <w:t xml:space="preserve">17 (Table A–1).  </w:t>
      </w:r>
      <w:r w:rsidR="00696CE9">
        <w:t>T</w:t>
      </w:r>
      <w:r>
        <w:t xml:space="preserve">his </w:t>
      </w:r>
      <w:r w:rsidR="00891923">
        <w:t xml:space="preserve">allows the analysis to </w:t>
      </w:r>
      <w:r>
        <w:t>focus on the most significant drivers of changes in the DSP population over the past 15 years.</w:t>
      </w:r>
    </w:p>
    <w:p w:rsidR="00F81D61" w:rsidRPr="0006094C" w:rsidRDefault="00F81D61" w:rsidP="00260CDC">
      <w:pPr>
        <w:pStyle w:val="Caption"/>
        <w:jc w:val="center"/>
      </w:pPr>
      <w:bookmarkStart w:id="157" w:name="_Ref500930617"/>
      <w:r w:rsidRPr="0006094C">
        <w:t xml:space="preserve">Table </w:t>
      </w:r>
      <w:r w:rsidR="009B0CDF">
        <w:t>A</w:t>
      </w:r>
      <w:r w:rsidRPr="0006094C">
        <w:t>‒</w:t>
      </w:r>
      <w:fldSimple w:instr=" SEQ AppendixTable\s 8 ">
        <w:r w:rsidR="0036047A">
          <w:rPr>
            <w:noProof/>
          </w:rPr>
          <w:t>1</w:t>
        </w:r>
      </w:fldSimple>
      <w:bookmarkEnd w:id="157"/>
      <w:r w:rsidRPr="0006094C">
        <w:t xml:space="preserve">: </w:t>
      </w:r>
      <w:r>
        <w:t xml:space="preserve">Major </w:t>
      </w:r>
      <w:r w:rsidR="00D07B94">
        <w:t>Categories for Analysis and P</w:t>
      </w:r>
      <w:r>
        <w:t>rojections</w:t>
      </w:r>
    </w:p>
    <w:tbl>
      <w:tblPr>
        <w:tblStyle w:val="TableGrid"/>
        <w:tblW w:w="5000" w:type="pct"/>
        <w:tblLook w:val="04A0" w:firstRow="1" w:lastRow="0" w:firstColumn="1" w:lastColumn="0" w:noHBand="0" w:noVBand="1"/>
      </w:tblPr>
      <w:tblGrid>
        <w:gridCol w:w="3663"/>
        <w:gridCol w:w="1144"/>
        <w:gridCol w:w="1056"/>
        <w:gridCol w:w="1142"/>
        <w:gridCol w:w="1308"/>
      </w:tblGrid>
      <w:tr w:rsidR="00F81D61" w:rsidRPr="00ED2D06" w:rsidTr="001F4952">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03" w:type="pct"/>
            <w:vMerge w:val="restart"/>
            <w:vAlign w:val="center"/>
            <w:hideMark/>
          </w:tcPr>
          <w:p w:rsidR="00F81D61" w:rsidRPr="00ED2D06" w:rsidRDefault="00F81D61" w:rsidP="000A6A72">
            <w:pPr>
              <w:pStyle w:val="TableHeading"/>
            </w:pPr>
            <w:r w:rsidRPr="00ED2D06">
              <w:t>Category</w:t>
            </w:r>
          </w:p>
        </w:tc>
        <w:tc>
          <w:tcPr>
            <w:tcW w:w="1323" w:type="pct"/>
            <w:gridSpan w:val="2"/>
            <w:hideMark/>
          </w:tcPr>
          <w:p w:rsidR="00F81D61" w:rsidRPr="00ED2D06" w:rsidRDefault="00F81D61" w:rsidP="0084117F">
            <w:pPr>
              <w:pStyle w:val="TableHeadingCentred"/>
              <w:cnfStyle w:val="100000000000" w:firstRow="1" w:lastRow="0" w:firstColumn="0" w:lastColumn="0" w:oddVBand="0" w:evenVBand="0" w:oddHBand="0" w:evenHBand="0" w:firstRowFirstColumn="0" w:firstRowLastColumn="0" w:lastRowFirstColumn="0" w:lastRowLastColumn="0"/>
            </w:pPr>
            <w:r w:rsidRPr="00ED2D06">
              <w:t>Recipients</w:t>
            </w:r>
            <w:r w:rsidR="00A67D33">
              <w:t xml:space="preserve"> (‘000)</w:t>
            </w:r>
          </w:p>
        </w:tc>
        <w:tc>
          <w:tcPr>
            <w:tcW w:w="1474" w:type="pct"/>
            <w:gridSpan w:val="2"/>
            <w:hideMark/>
          </w:tcPr>
          <w:p w:rsidR="00F81D61" w:rsidRPr="00ED2D06" w:rsidRDefault="00F81D61" w:rsidP="0084117F">
            <w:pPr>
              <w:pStyle w:val="TableHeadingCentred"/>
              <w:cnfStyle w:val="100000000000" w:firstRow="1" w:lastRow="0" w:firstColumn="0" w:lastColumn="0" w:oddVBand="0" w:evenVBand="0" w:oddHBand="0" w:evenHBand="0" w:firstRowFirstColumn="0" w:firstRowLastColumn="0" w:lastRowFirstColumn="0" w:lastRowLastColumn="0"/>
            </w:pPr>
            <w:r w:rsidRPr="00ED2D06">
              <w:t>Contribution to growth</w:t>
            </w:r>
          </w:p>
        </w:tc>
      </w:tr>
      <w:tr w:rsidR="00675349" w:rsidRPr="00ED2D06" w:rsidTr="0066057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03" w:type="pct"/>
            <w:vMerge/>
            <w:hideMark/>
          </w:tcPr>
          <w:p w:rsidR="00675349" w:rsidRPr="00ED2D06" w:rsidRDefault="00675349" w:rsidP="0084117F">
            <w:pPr>
              <w:pStyle w:val="TableTextCentred"/>
            </w:pPr>
          </w:p>
        </w:tc>
        <w:tc>
          <w:tcPr>
            <w:tcW w:w="688" w:type="pct"/>
            <w:hideMark/>
          </w:tcPr>
          <w:p w:rsidR="00675349" w:rsidRPr="00ED2D06" w:rsidRDefault="00675349" w:rsidP="0084117F">
            <w:pPr>
              <w:pStyle w:val="TableTextCentred"/>
              <w:cnfStyle w:val="100000000000" w:firstRow="1" w:lastRow="0" w:firstColumn="0" w:lastColumn="0" w:oddVBand="0" w:evenVBand="0" w:oddHBand="0" w:evenHBand="0" w:firstRowFirstColumn="0" w:firstRowLastColumn="0" w:lastRowFirstColumn="0" w:lastRowLastColumn="0"/>
            </w:pPr>
            <w:r w:rsidRPr="00827DE7">
              <w:t>2000-01</w:t>
            </w:r>
          </w:p>
        </w:tc>
        <w:tc>
          <w:tcPr>
            <w:tcW w:w="635" w:type="pct"/>
            <w:hideMark/>
          </w:tcPr>
          <w:p w:rsidR="00675349" w:rsidRPr="00ED2D06" w:rsidRDefault="00675349" w:rsidP="0084117F">
            <w:pPr>
              <w:pStyle w:val="TableTextCentred"/>
              <w:cnfStyle w:val="100000000000" w:firstRow="1" w:lastRow="0" w:firstColumn="0" w:lastColumn="0" w:oddVBand="0" w:evenVBand="0" w:oddHBand="0" w:evenHBand="0" w:firstRowFirstColumn="0" w:firstRowLastColumn="0" w:lastRowFirstColumn="0" w:lastRowLastColumn="0"/>
            </w:pPr>
            <w:r w:rsidRPr="00827DE7">
              <w:t>2016-17</w:t>
            </w:r>
          </w:p>
        </w:tc>
        <w:tc>
          <w:tcPr>
            <w:tcW w:w="687" w:type="pct"/>
            <w:hideMark/>
          </w:tcPr>
          <w:p w:rsidR="00675349" w:rsidRPr="00ED2D06" w:rsidRDefault="00675349" w:rsidP="0084117F">
            <w:pPr>
              <w:pStyle w:val="TableTextCentred"/>
              <w:cnfStyle w:val="100000000000" w:firstRow="1" w:lastRow="0" w:firstColumn="0" w:lastColumn="0" w:oddVBand="0" w:evenVBand="0" w:oddHBand="0" w:evenHBand="0" w:firstRowFirstColumn="0" w:firstRowLastColumn="0" w:lastRowFirstColumn="0" w:lastRowLastColumn="0"/>
            </w:pPr>
            <w:r w:rsidRPr="00827DE7">
              <w:t>%</w:t>
            </w:r>
          </w:p>
        </w:tc>
        <w:tc>
          <w:tcPr>
            <w:tcW w:w="787" w:type="pct"/>
            <w:hideMark/>
          </w:tcPr>
          <w:p w:rsidR="00675349" w:rsidRPr="00ED2D06" w:rsidRDefault="00675349" w:rsidP="0084117F">
            <w:pPr>
              <w:pStyle w:val="TableTextCentred"/>
              <w:cnfStyle w:val="100000000000" w:firstRow="1" w:lastRow="0" w:firstColumn="0" w:lastColumn="0" w:oddVBand="0" w:evenVBand="0" w:oddHBand="0" w:evenHBand="0" w:firstRowFirstColumn="0" w:firstRowLastColumn="0" w:lastRowFirstColumn="0" w:lastRowLastColumn="0"/>
            </w:pPr>
            <w:r w:rsidRPr="00827DE7">
              <w:t>Share</w:t>
            </w:r>
          </w:p>
        </w:tc>
      </w:tr>
      <w:tr w:rsidR="00A67D33" w:rsidRPr="00ED2D06" w:rsidTr="00A60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ED2D06" w:rsidRDefault="00A67D33" w:rsidP="0084117F">
            <w:pPr>
              <w:pStyle w:val="TableText"/>
            </w:pPr>
            <w:r w:rsidRPr="00ED2D06">
              <w:t>Psychological/psychiatric</w:t>
            </w:r>
          </w:p>
        </w:tc>
        <w:tc>
          <w:tcPr>
            <w:tcW w:w="688" w:type="pct"/>
            <w:hideMark/>
          </w:tcPr>
          <w:p w:rsidR="00A67D33" w:rsidRPr="00ED2D06" w:rsidRDefault="00A67D33" w:rsidP="0084117F">
            <w:pPr>
              <w:pStyle w:val="TableTextCentred"/>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olor w:val="000000"/>
                <w:szCs w:val="20"/>
              </w:rPr>
              <w:t>136</w:t>
            </w:r>
          </w:p>
        </w:tc>
        <w:tc>
          <w:tcPr>
            <w:tcW w:w="635" w:type="pct"/>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252</w:t>
            </w:r>
          </w:p>
        </w:tc>
        <w:tc>
          <w:tcPr>
            <w:tcW w:w="6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sidRPr="00827DE7">
              <w:t>18.6</w:t>
            </w:r>
          </w:p>
        </w:tc>
        <w:tc>
          <w:tcPr>
            <w:tcW w:w="7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sidRPr="00827DE7">
              <w:t>86</w:t>
            </w:r>
          </w:p>
        </w:tc>
      </w:tr>
      <w:tr w:rsidR="00A67D33" w:rsidRPr="00ED2D06" w:rsidTr="00A60317">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ED2D06" w:rsidRDefault="00A67D33" w:rsidP="0084117F">
            <w:pPr>
              <w:pStyle w:val="TableText"/>
            </w:pPr>
            <w:r w:rsidRPr="00ED2D06">
              <w:t>Intellectual/learning</w:t>
            </w:r>
          </w:p>
        </w:tc>
        <w:tc>
          <w:tcPr>
            <w:tcW w:w="688" w:type="pct"/>
            <w:hideMark/>
          </w:tcPr>
          <w:p w:rsidR="00A67D33" w:rsidRPr="00ED2D06" w:rsidRDefault="00A67D33" w:rsidP="0084117F">
            <w:pPr>
              <w:pStyle w:val="TableTextCentred"/>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olor w:val="000000"/>
                <w:szCs w:val="20"/>
              </w:rPr>
              <w:t>63</w:t>
            </w:r>
          </w:p>
        </w:tc>
        <w:tc>
          <w:tcPr>
            <w:tcW w:w="635" w:type="pct"/>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108</w:t>
            </w:r>
          </w:p>
        </w:tc>
        <w:tc>
          <w:tcPr>
            <w:tcW w:w="687" w:type="pct"/>
            <w:vAlign w:val="top"/>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sidRPr="00827DE7">
              <w:t>7.3</w:t>
            </w:r>
          </w:p>
        </w:tc>
        <w:tc>
          <w:tcPr>
            <w:tcW w:w="787" w:type="pct"/>
            <w:vAlign w:val="top"/>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sidRPr="00827DE7">
              <w:t>34</w:t>
            </w:r>
          </w:p>
        </w:tc>
      </w:tr>
      <w:tr w:rsidR="00A67D33" w:rsidRPr="00ED2D06" w:rsidTr="00A60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ED2D06" w:rsidRDefault="00A67D33" w:rsidP="0084117F">
            <w:pPr>
              <w:pStyle w:val="TableText"/>
            </w:pPr>
            <w:r w:rsidRPr="00ED2D06">
              <w:t>Musculoskeletal</w:t>
            </w:r>
          </w:p>
        </w:tc>
        <w:tc>
          <w:tcPr>
            <w:tcW w:w="688" w:type="pct"/>
            <w:hideMark/>
          </w:tcPr>
          <w:p w:rsidR="00A67D33" w:rsidRPr="00ED2D06" w:rsidRDefault="00A67D33" w:rsidP="0084117F">
            <w:pPr>
              <w:pStyle w:val="TableTextCentred"/>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olor w:val="000000"/>
                <w:szCs w:val="20"/>
              </w:rPr>
              <w:t>200</w:t>
            </w:r>
          </w:p>
        </w:tc>
        <w:tc>
          <w:tcPr>
            <w:tcW w:w="635" w:type="pct"/>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169</w:t>
            </w:r>
          </w:p>
        </w:tc>
        <w:tc>
          <w:tcPr>
            <w:tcW w:w="6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sidRPr="00827DE7">
              <w:t>-5.0</w:t>
            </w:r>
          </w:p>
        </w:tc>
        <w:tc>
          <w:tcPr>
            <w:tcW w:w="7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sidRPr="00827DE7">
              <w:t>-23</w:t>
            </w:r>
          </w:p>
        </w:tc>
      </w:tr>
      <w:tr w:rsidR="00A67D33" w:rsidRPr="00ED2D06" w:rsidTr="00A60317">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ED2D06" w:rsidRDefault="00A67D33" w:rsidP="0084117F">
            <w:pPr>
              <w:pStyle w:val="TableText"/>
            </w:pPr>
            <w:r w:rsidRPr="00ED2D06">
              <w:t>Nervous system</w:t>
            </w:r>
          </w:p>
        </w:tc>
        <w:tc>
          <w:tcPr>
            <w:tcW w:w="688" w:type="pct"/>
            <w:hideMark/>
          </w:tcPr>
          <w:p w:rsidR="00A67D33" w:rsidRPr="00ED2D06" w:rsidRDefault="00A67D33" w:rsidP="0084117F">
            <w:pPr>
              <w:pStyle w:val="TableTextCentred"/>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olor w:val="000000"/>
                <w:szCs w:val="20"/>
              </w:rPr>
              <w:t>25</w:t>
            </w:r>
          </w:p>
        </w:tc>
        <w:tc>
          <w:tcPr>
            <w:tcW w:w="635" w:type="pct"/>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39</w:t>
            </w:r>
          </w:p>
        </w:tc>
        <w:tc>
          <w:tcPr>
            <w:tcW w:w="687" w:type="pct"/>
            <w:vAlign w:val="top"/>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sidRPr="00827DE7">
              <w:t>2.3</w:t>
            </w:r>
          </w:p>
        </w:tc>
        <w:tc>
          <w:tcPr>
            <w:tcW w:w="787" w:type="pct"/>
            <w:vAlign w:val="top"/>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sidRPr="00827DE7">
              <w:t>11</w:t>
            </w:r>
          </w:p>
        </w:tc>
      </w:tr>
      <w:tr w:rsidR="00A67D33" w:rsidRPr="00ED2D06" w:rsidTr="00A60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ED2D06" w:rsidRDefault="00A67D33" w:rsidP="0084117F">
            <w:pPr>
              <w:pStyle w:val="TableText"/>
            </w:pPr>
            <w:r w:rsidRPr="00ED2D06">
              <w:t>Circulatory</w:t>
            </w:r>
          </w:p>
        </w:tc>
        <w:tc>
          <w:tcPr>
            <w:tcW w:w="688" w:type="pct"/>
            <w:hideMark/>
          </w:tcPr>
          <w:p w:rsidR="00A67D33" w:rsidRPr="00ED2D06" w:rsidRDefault="00A67D33" w:rsidP="0084117F">
            <w:pPr>
              <w:pStyle w:val="TableTextCentred"/>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olor w:val="000000"/>
                <w:szCs w:val="20"/>
              </w:rPr>
              <w:t>35</w:t>
            </w:r>
          </w:p>
        </w:tc>
        <w:tc>
          <w:tcPr>
            <w:tcW w:w="635" w:type="pct"/>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25</w:t>
            </w:r>
          </w:p>
        </w:tc>
        <w:tc>
          <w:tcPr>
            <w:tcW w:w="6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sidRPr="00827DE7">
              <w:t>-1.5</w:t>
            </w:r>
          </w:p>
        </w:tc>
        <w:tc>
          <w:tcPr>
            <w:tcW w:w="7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sidRPr="00827DE7">
              <w:t>-7</w:t>
            </w:r>
          </w:p>
        </w:tc>
      </w:tr>
      <w:tr w:rsidR="00A67D33" w:rsidRPr="00ED2D06" w:rsidTr="00A60317">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ED2D06" w:rsidRDefault="00A67D33" w:rsidP="0084117F">
            <w:pPr>
              <w:pStyle w:val="TableText"/>
            </w:pPr>
            <w:r w:rsidRPr="00ED2D06">
              <w:t>Cancer</w:t>
            </w:r>
          </w:p>
        </w:tc>
        <w:tc>
          <w:tcPr>
            <w:tcW w:w="688" w:type="pct"/>
            <w:hideMark/>
          </w:tcPr>
          <w:p w:rsidR="00A67D33" w:rsidRPr="00ED2D06" w:rsidRDefault="00A67D33" w:rsidP="0084117F">
            <w:pPr>
              <w:pStyle w:val="TableTextCentred"/>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olor w:val="000000"/>
                <w:szCs w:val="20"/>
              </w:rPr>
              <w:t>10</w:t>
            </w:r>
          </w:p>
        </w:tc>
        <w:tc>
          <w:tcPr>
            <w:tcW w:w="635" w:type="pct"/>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16</w:t>
            </w:r>
          </w:p>
        </w:tc>
        <w:tc>
          <w:tcPr>
            <w:tcW w:w="687" w:type="pct"/>
            <w:vAlign w:val="top"/>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sidRPr="00827DE7">
              <w:t>1.0</w:t>
            </w:r>
          </w:p>
        </w:tc>
        <w:tc>
          <w:tcPr>
            <w:tcW w:w="787" w:type="pct"/>
            <w:vAlign w:val="top"/>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sidRPr="00827DE7">
              <w:t>5</w:t>
            </w:r>
          </w:p>
        </w:tc>
      </w:tr>
      <w:tr w:rsidR="00A67D33" w:rsidRPr="00ED2D06" w:rsidTr="00A60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ED2D06" w:rsidRDefault="00A67D33" w:rsidP="0084117F">
            <w:pPr>
              <w:pStyle w:val="TableText"/>
            </w:pPr>
            <w:r w:rsidRPr="00ED2D06">
              <w:t>Respiratory</w:t>
            </w:r>
          </w:p>
        </w:tc>
        <w:tc>
          <w:tcPr>
            <w:tcW w:w="688" w:type="pct"/>
            <w:hideMark/>
          </w:tcPr>
          <w:p w:rsidR="00A67D33" w:rsidRPr="00ED2D06" w:rsidRDefault="00A67D33" w:rsidP="0084117F">
            <w:pPr>
              <w:pStyle w:val="TableTextCentred"/>
              <w:cnfStyle w:val="000000100000" w:firstRow="0" w:lastRow="0" w:firstColumn="0" w:lastColumn="0" w:oddVBand="0" w:evenVBand="0" w:oddHBand="1" w:evenHBand="0" w:firstRowFirstColumn="0" w:firstRowLastColumn="0" w:lastRowFirstColumn="0" w:lastRowLastColumn="0"/>
              <w:rPr>
                <w:color w:val="000000"/>
              </w:rPr>
            </w:pPr>
            <w:r>
              <w:rPr>
                <w:rFonts w:ascii="Calibri" w:hAnsi="Calibri"/>
                <w:color w:val="000000"/>
                <w:szCs w:val="20"/>
              </w:rPr>
              <w:t>20</w:t>
            </w:r>
          </w:p>
        </w:tc>
        <w:tc>
          <w:tcPr>
            <w:tcW w:w="635" w:type="pct"/>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Pr>
                <w:rFonts w:ascii="Calibri" w:hAnsi="Calibri"/>
                <w:color w:val="000000"/>
                <w:szCs w:val="20"/>
              </w:rPr>
              <w:t>16</w:t>
            </w:r>
          </w:p>
        </w:tc>
        <w:tc>
          <w:tcPr>
            <w:tcW w:w="6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sidRPr="00827DE7">
              <w:t>-0.6</w:t>
            </w:r>
          </w:p>
        </w:tc>
        <w:tc>
          <w:tcPr>
            <w:tcW w:w="7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Cs w:val="20"/>
              </w:rPr>
            </w:pPr>
            <w:r w:rsidRPr="00827DE7">
              <w:t>-3</w:t>
            </w:r>
          </w:p>
        </w:tc>
      </w:tr>
      <w:tr w:rsidR="00A67D33" w:rsidRPr="00ED2D06" w:rsidTr="00A60317">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ED2D06" w:rsidRDefault="00A67D33" w:rsidP="0084117F">
            <w:pPr>
              <w:pStyle w:val="TableText"/>
            </w:pPr>
            <w:r w:rsidRPr="00ED2D06">
              <w:t>Remaining</w:t>
            </w:r>
          </w:p>
        </w:tc>
        <w:tc>
          <w:tcPr>
            <w:tcW w:w="688" w:type="pct"/>
            <w:hideMark/>
          </w:tcPr>
          <w:p w:rsidR="00A67D33" w:rsidRPr="00ED2D06" w:rsidRDefault="00A67D33" w:rsidP="0084117F">
            <w:pPr>
              <w:pStyle w:val="TableTextCentred"/>
              <w:cnfStyle w:val="000000000000" w:firstRow="0" w:lastRow="0" w:firstColumn="0" w:lastColumn="0" w:oddVBand="0" w:evenVBand="0" w:oddHBand="0" w:evenHBand="0" w:firstRowFirstColumn="0" w:firstRowLastColumn="0" w:lastRowFirstColumn="0" w:lastRowLastColumn="0"/>
              <w:rPr>
                <w:color w:val="000000"/>
              </w:rPr>
            </w:pPr>
            <w:r>
              <w:rPr>
                <w:rFonts w:ascii="Calibri" w:hAnsi="Calibri"/>
                <w:color w:val="000000"/>
                <w:szCs w:val="20"/>
              </w:rPr>
              <w:t>137</w:t>
            </w:r>
          </w:p>
        </w:tc>
        <w:tc>
          <w:tcPr>
            <w:tcW w:w="635" w:type="pct"/>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Pr>
                <w:rFonts w:ascii="Calibri" w:hAnsi="Calibri"/>
                <w:color w:val="000000"/>
                <w:szCs w:val="20"/>
              </w:rPr>
              <w:t>135</w:t>
            </w:r>
          </w:p>
        </w:tc>
        <w:tc>
          <w:tcPr>
            <w:tcW w:w="687" w:type="pct"/>
            <w:vAlign w:val="top"/>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sidRPr="00827DE7">
              <w:t>-0.5</w:t>
            </w:r>
          </w:p>
        </w:tc>
        <w:tc>
          <w:tcPr>
            <w:tcW w:w="787" w:type="pct"/>
            <w:vAlign w:val="top"/>
            <w:hideMark/>
          </w:tcPr>
          <w:p w:rsidR="00A67D33" w:rsidRDefault="00A67D33">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Cs w:val="20"/>
              </w:rPr>
            </w:pPr>
            <w:r w:rsidRPr="00827DE7">
              <w:t>-2</w:t>
            </w:r>
          </w:p>
        </w:tc>
      </w:tr>
      <w:tr w:rsidR="00A67D33" w:rsidRPr="00ED2D06" w:rsidTr="00A6031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3" w:type="pct"/>
            <w:hideMark/>
          </w:tcPr>
          <w:p w:rsidR="00A67D33" w:rsidRPr="0059555E" w:rsidRDefault="00A67D33" w:rsidP="0084117F">
            <w:pPr>
              <w:pStyle w:val="TableText"/>
              <w:rPr>
                <w:b/>
              </w:rPr>
            </w:pPr>
            <w:r w:rsidRPr="0059555E">
              <w:rPr>
                <w:b/>
              </w:rPr>
              <w:t>Total</w:t>
            </w:r>
          </w:p>
        </w:tc>
        <w:tc>
          <w:tcPr>
            <w:tcW w:w="688" w:type="pct"/>
            <w:hideMark/>
          </w:tcPr>
          <w:p w:rsidR="00A67D33" w:rsidRPr="00ED2D06" w:rsidRDefault="00A67D33" w:rsidP="0084117F">
            <w:pPr>
              <w:pStyle w:val="TableTextCentred"/>
              <w:cnfStyle w:val="000000100000" w:firstRow="0" w:lastRow="0" w:firstColumn="0" w:lastColumn="0" w:oddVBand="0" w:evenVBand="0" w:oddHBand="1" w:evenHBand="0" w:firstRowFirstColumn="0" w:firstRowLastColumn="0" w:lastRowFirstColumn="0" w:lastRowLastColumn="0"/>
              <w:rPr>
                <w:b/>
                <w:bCs/>
                <w:color w:val="000000"/>
              </w:rPr>
            </w:pPr>
            <w:r>
              <w:rPr>
                <w:rFonts w:ascii="Calibri" w:hAnsi="Calibri"/>
                <w:b/>
                <w:bCs/>
                <w:color w:val="000000"/>
                <w:szCs w:val="20"/>
              </w:rPr>
              <w:t>625</w:t>
            </w:r>
          </w:p>
        </w:tc>
        <w:tc>
          <w:tcPr>
            <w:tcW w:w="635" w:type="pct"/>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0"/>
              </w:rPr>
            </w:pPr>
            <w:r>
              <w:rPr>
                <w:rFonts w:ascii="Calibri" w:hAnsi="Calibri"/>
                <w:b/>
                <w:bCs/>
                <w:color w:val="000000"/>
                <w:szCs w:val="20"/>
              </w:rPr>
              <w:t>760</w:t>
            </w:r>
          </w:p>
        </w:tc>
        <w:tc>
          <w:tcPr>
            <w:tcW w:w="6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0"/>
              </w:rPr>
            </w:pPr>
            <w:r w:rsidRPr="00827DE7">
              <w:t>21.5</w:t>
            </w:r>
          </w:p>
        </w:tc>
        <w:tc>
          <w:tcPr>
            <w:tcW w:w="787" w:type="pct"/>
            <w:vAlign w:val="top"/>
            <w:hideMark/>
          </w:tcPr>
          <w:p w:rsidR="00A67D33" w:rsidRDefault="00A67D33">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Cs w:val="20"/>
              </w:rPr>
            </w:pPr>
            <w:r w:rsidRPr="00827DE7">
              <w:t>100</w:t>
            </w:r>
          </w:p>
        </w:tc>
      </w:tr>
    </w:tbl>
    <w:p w:rsidR="00F81D61" w:rsidRPr="00AF5122" w:rsidRDefault="00F81D61" w:rsidP="00FA5E94">
      <w:pPr>
        <w:pStyle w:val="TableFootnotes"/>
        <w:numPr>
          <w:ilvl w:val="0"/>
          <w:numId w:val="33"/>
        </w:numPr>
        <w:rPr>
          <w:sz w:val="18"/>
        </w:rPr>
      </w:pPr>
      <w:r w:rsidRPr="00AF5122">
        <w:rPr>
          <w:sz w:val="18"/>
        </w:rPr>
        <w:t>A negative number indicates a contraction</w:t>
      </w:r>
      <w:r w:rsidR="003C54CB" w:rsidRPr="00AF5122">
        <w:rPr>
          <w:sz w:val="18"/>
        </w:rPr>
        <w:t>. Recipient numbers are rounded to the nearest thousand.</w:t>
      </w:r>
      <w:r w:rsidR="00664CAC" w:rsidRPr="00AF5122">
        <w:rPr>
          <w:sz w:val="18"/>
        </w:rPr>
        <w:t xml:space="preserve"> Totals may not sum due to rounding.</w:t>
      </w:r>
    </w:p>
    <w:p w:rsidR="00F81D61" w:rsidRDefault="00F81D61" w:rsidP="00F33957">
      <w:pPr>
        <w:pStyle w:val="Source1"/>
      </w:pPr>
      <w:r>
        <w:t>Source: PBO analysis and DSS recipient characteristics data</w:t>
      </w:r>
    </w:p>
    <w:p w:rsidR="00696CE9" w:rsidRPr="0025706B" w:rsidRDefault="00EE34DC" w:rsidP="00AD0EEF">
      <w:pPr>
        <w:pStyle w:val="BodyText"/>
        <w:rPr>
          <w:caps/>
        </w:rPr>
      </w:pPr>
      <w:r>
        <w:t>The PBO model projects</w:t>
      </w:r>
      <w:r w:rsidR="00696CE9">
        <w:t xml:space="preserve"> recipient numbers based on </w:t>
      </w:r>
      <w:r w:rsidR="001868D0">
        <w:t xml:space="preserve">the </w:t>
      </w:r>
      <w:r w:rsidR="00696CE9">
        <w:t xml:space="preserve">eight major categories </w:t>
      </w:r>
      <w:r w:rsidR="001868D0">
        <w:t>in</w:t>
      </w:r>
      <w:r w:rsidR="00683257">
        <w:t xml:space="preserve"> </w:t>
      </w:r>
      <w:r w:rsidR="00683257">
        <w:fldChar w:fldCharType="begin"/>
      </w:r>
      <w:r w:rsidR="00683257">
        <w:instrText xml:space="preserve"> REF _Ref500930617 \h </w:instrText>
      </w:r>
      <w:r w:rsidR="00683257">
        <w:fldChar w:fldCharType="separate"/>
      </w:r>
      <w:r w:rsidR="0036047A" w:rsidRPr="0006094C">
        <w:t xml:space="preserve">Table </w:t>
      </w:r>
      <w:r w:rsidR="0036047A">
        <w:t>A</w:t>
      </w:r>
      <w:r w:rsidR="0036047A" w:rsidRPr="0006094C">
        <w:t>‒</w:t>
      </w:r>
      <w:r w:rsidR="0036047A">
        <w:rPr>
          <w:noProof/>
        </w:rPr>
        <w:t>1</w:t>
      </w:r>
      <w:r w:rsidR="00683257">
        <w:fldChar w:fldCharType="end"/>
      </w:r>
      <w:r w:rsidR="000373DD" w:rsidRPr="00B76E84">
        <w:t>.</w:t>
      </w:r>
      <w:r w:rsidR="000373DD">
        <w:t xml:space="preserve"> Th</w:t>
      </w:r>
      <w:r w:rsidR="001868D0">
        <w:t>e</w:t>
      </w:r>
      <w:r w:rsidR="000373DD">
        <w:t xml:space="preserve"> ‘remaining’ category </w:t>
      </w:r>
      <w:r w:rsidR="00696CE9">
        <w:t>include</w:t>
      </w:r>
      <w:r w:rsidR="000373DD">
        <w:t>s</w:t>
      </w:r>
      <w:r w:rsidR="001868D0">
        <w:t>:</w:t>
      </w:r>
      <w:r w:rsidR="00696CE9">
        <w:t xml:space="preserve"> recipient</w:t>
      </w:r>
      <w:r w:rsidR="001868D0">
        <w:t xml:space="preserve">s granted entry before 1991; acquired brain injury; </w:t>
      </w:r>
      <w:r w:rsidR="00696CE9">
        <w:t>amputation; congeni</w:t>
      </w:r>
      <w:r w:rsidR="001868D0">
        <w:t>tal abnormalities; chronic pain;</w:t>
      </w:r>
      <w:r w:rsidR="00696CE9">
        <w:t xml:space="preserve"> endocrine and immune system; gastro-intestinal system; infectious diseases; inherited disorders; reproductive system; skin disorders and burns; sense organs; urogenital system and visceral disorder.</w:t>
      </w:r>
    </w:p>
    <w:p w:rsidR="00887ED4" w:rsidRDefault="00F81D61" w:rsidP="00504CFE">
      <w:pPr>
        <w:pStyle w:val="BodyText"/>
        <w:keepNext/>
        <w:keepLines/>
      </w:pPr>
      <w:r>
        <w:lastRenderedPageBreak/>
        <w:t xml:space="preserve">Major medical categories have been modelled by gender and 17 age groups to capture the effect of the change in the Age Pension age on </w:t>
      </w:r>
      <w:r w:rsidR="00AD73A6">
        <w:t>new recipients and those who cease receiving the DSP</w:t>
      </w:r>
      <w:r w:rsidR="001C6EAF">
        <w:t xml:space="preserve"> along with</w:t>
      </w:r>
      <w:r w:rsidR="00AD73A6">
        <w:t xml:space="preserve"> trends across younger groups</w:t>
      </w:r>
      <w:r>
        <w:t xml:space="preserve">. </w:t>
      </w:r>
      <w:r w:rsidR="00AD73A6">
        <w:t xml:space="preserve"> </w:t>
      </w:r>
      <w:r>
        <w:t xml:space="preserve">Age groups </w:t>
      </w:r>
      <w:r w:rsidR="002553C0">
        <w:t xml:space="preserve">are </w:t>
      </w:r>
      <w:r w:rsidR="001868D0">
        <w:t>u</w:t>
      </w:r>
      <w:r>
        <w:t>nder 20s, 20 to 29, 30 to 39, 40 to 49, 50 to 59, 60, 61, 62, 63, 64, 65, 66, 67, 68, 69, 70 and Over 70.</w:t>
      </w:r>
    </w:p>
    <w:p w:rsidR="00331838" w:rsidRPr="00CF22D2" w:rsidRDefault="002553C0" w:rsidP="00331838">
      <w:pPr>
        <w:pStyle w:val="AppendixHeading3"/>
      </w:pPr>
      <w:bookmarkStart w:id="158" w:name="_Ref506457088"/>
      <w:r>
        <w:t>New recipients</w:t>
      </w:r>
      <w:bookmarkEnd w:id="158"/>
    </w:p>
    <w:p w:rsidR="00F974B5" w:rsidRDefault="00675349" w:rsidP="00331838">
      <w:pPr>
        <w:pStyle w:val="BodyText"/>
      </w:pPr>
      <w:r>
        <w:t xml:space="preserve">Over the medium-term </w:t>
      </w:r>
      <w:r w:rsidR="002553C0">
        <w:t xml:space="preserve">new DSP recipients </w:t>
      </w:r>
      <w:r w:rsidR="00331838">
        <w:t>have been modelled for each major condition on a per capita basis by</w:t>
      </w:r>
      <w:r w:rsidR="00887ED4">
        <w:t xml:space="preserve"> gender and age. </w:t>
      </w:r>
    </w:p>
    <w:p w:rsidR="00887ED4" w:rsidRDefault="00887ED4" w:rsidP="00504CFE">
      <w:pPr>
        <w:pStyle w:val="BodyText"/>
        <w:spacing w:after="0"/>
      </w:pPr>
      <w:r>
        <w:t>Historical data</w:t>
      </w:r>
      <w:r w:rsidR="002553C0">
        <w:t xml:space="preserve"> on new recipients</w:t>
      </w:r>
      <w:r>
        <w:t xml:space="preserve"> w</w:t>
      </w:r>
      <w:r w:rsidR="002553C0">
        <w:t>as</w:t>
      </w:r>
      <w:r w:rsidR="00356A5A">
        <w:t xml:space="preserve"> </w:t>
      </w:r>
      <w:r>
        <w:t>converted to per capita levels and</w:t>
      </w:r>
      <w:r w:rsidR="00063D32">
        <w:t xml:space="preserve"> projected forward based on a five</w:t>
      </w:r>
      <w:r w:rsidR="00063D32">
        <w:noBreakHyphen/>
      </w:r>
      <w:r w:rsidR="00AD73A6">
        <w:t>year average of new recipients</w:t>
      </w:r>
      <w:r>
        <w:t xml:space="preserve"> </w:t>
      </w:r>
      <w:r w:rsidR="00C800F9">
        <w:t>from 2012</w:t>
      </w:r>
      <w:r w:rsidR="00B76E84">
        <w:t>–13 to 2016–</w:t>
      </w:r>
      <w:r w:rsidR="00C800F9">
        <w:t xml:space="preserve">17 </w:t>
      </w:r>
      <w:r>
        <w:t xml:space="preserve">by each grouping. </w:t>
      </w:r>
      <w:r w:rsidR="00EE34DC">
        <w:t xml:space="preserve"> </w:t>
      </w:r>
      <w:r w:rsidR="002C7A73">
        <w:t xml:space="preserve">A five-year average was chosen as a </w:t>
      </w:r>
      <w:r w:rsidR="00EE34DC">
        <w:t xml:space="preserve">fundamentally different </w:t>
      </w:r>
      <w:r w:rsidR="00776F81">
        <w:t>assessment</w:t>
      </w:r>
      <w:r w:rsidR="00B76E84">
        <w:t xml:space="preserve"> regime </w:t>
      </w:r>
      <w:r w:rsidR="00A70D8D">
        <w:t>applied after 1 January 2012</w:t>
      </w:r>
      <w:r w:rsidR="00EE34DC">
        <w:t xml:space="preserve">. </w:t>
      </w:r>
      <w:r w:rsidR="00AD73A6">
        <w:t xml:space="preserve"> New recipient projections</w:t>
      </w:r>
      <w:r w:rsidR="005446CE">
        <w:t xml:space="preserve"> were adjusted for the impact of the staged increase in the Age Pension eligibility age for recipients aged between 6</w:t>
      </w:r>
      <w:r w:rsidR="00225F40">
        <w:t>5 and</w:t>
      </w:r>
      <w:r w:rsidR="005446CE">
        <w:t xml:space="preserve"> 68</w:t>
      </w:r>
      <w:r w:rsidR="00736674">
        <w:t xml:space="preserve"> which </w:t>
      </w:r>
      <w:proofErr w:type="gramStart"/>
      <w:r w:rsidR="00736674">
        <w:t>occurs</w:t>
      </w:r>
      <w:proofErr w:type="gramEnd"/>
      <w:r w:rsidR="00736674">
        <w:t xml:space="preserve"> over the projection period</w:t>
      </w:r>
      <w:r w:rsidR="005446CE">
        <w:t>.</w:t>
      </w:r>
    </w:p>
    <w:p w:rsidR="00331838" w:rsidRDefault="002553C0" w:rsidP="00331838">
      <w:pPr>
        <w:pStyle w:val="AppendixHeading3"/>
      </w:pPr>
      <w:r>
        <w:t>Recipients leaving the DSP</w:t>
      </w:r>
    </w:p>
    <w:p w:rsidR="001E131A" w:rsidRDefault="002553C0" w:rsidP="00331838">
      <w:pPr>
        <w:pStyle w:val="BodyText"/>
      </w:pPr>
      <w:r>
        <w:t>Recipients leaving the DSP</w:t>
      </w:r>
      <w:r w:rsidR="00887ED4">
        <w:t xml:space="preserve"> have been modelled</w:t>
      </w:r>
      <w:r w:rsidR="00331838">
        <w:t xml:space="preserve"> based on the share</w:t>
      </w:r>
      <w:r w:rsidR="00063D32">
        <w:t xml:space="preserve"> of</w:t>
      </w:r>
      <w:r w:rsidR="00331838">
        <w:t xml:space="preserve"> </w:t>
      </w:r>
      <w:r w:rsidR="006E2735">
        <w:t>recipients in a</w:t>
      </w:r>
      <w:r w:rsidR="00887ED4">
        <w:t xml:space="preserve"> cohort expected to leave the payment in the next year.</w:t>
      </w:r>
      <w:r w:rsidR="002C286C">
        <w:t xml:space="preserve"> </w:t>
      </w:r>
      <w:r w:rsidR="00887ED4">
        <w:t xml:space="preserve"> </w:t>
      </w:r>
      <w:r w:rsidR="00AD73A6">
        <w:t>C</w:t>
      </w:r>
      <w:r w:rsidR="00887ED4">
        <w:t>ohorts</w:t>
      </w:r>
      <w:r w:rsidR="00AD73A6">
        <w:t xml:space="preserve"> that cease receiving the payment</w:t>
      </w:r>
      <w:r w:rsidR="00887ED4">
        <w:t xml:space="preserve"> have been modelled </w:t>
      </w:r>
      <w:r w:rsidR="00356A5A">
        <w:t xml:space="preserve">by medical condition, </w:t>
      </w:r>
      <w:r w:rsidR="00887ED4">
        <w:t xml:space="preserve">gender and age group.  </w:t>
      </w:r>
    </w:p>
    <w:p w:rsidR="00887ED4" w:rsidRDefault="002553C0" w:rsidP="00331838">
      <w:pPr>
        <w:pStyle w:val="BodyText"/>
      </w:pPr>
      <w:r>
        <w:t>S</w:t>
      </w:r>
      <w:r w:rsidR="00887ED4">
        <w:t xml:space="preserve">hares were fixed at </w:t>
      </w:r>
      <w:r w:rsidR="006C45F8">
        <w:t>three</w:t>
      </w:r>
      <w:r w:rsidR="00887ED4">
        <w:t>-year average levels</w:t>
      </w:r>
      <w:r w:rsidR="00331838">
        <w:t xml:space="preserve"> </w:t>
      </w:r>
      <w:r w:rsidR="00887ED4">
        <w:t>from 2014</w:t>
      </w:r>
      <w:r w:rsidR="00772187">
        <w:t>–15 to 2016–</w:t>
      </w:r>
      <w:r w:rsidR="00887ED4">
        <w:t>17</w:t>
      </w:r>
      <w:r w:rsidR="006C45F8">
        <w:t xml:space="preserve"> for both men and women</w:t>
      </w:r>
      <w:r w:rsidR="002C7A73">
        <w:t xml:space="preserve">. </w:t>
      </w:r>
      <w:r w:rsidR="002F0737">
        <w:t xml:space="preserve"> </w:t>
      </w:r>
      <w:r w:rsidR="002C7A73">
        <w:t>A three-year average picks up the period at which the Age Pension eligibility age is the same for men and women (the Age Pension e</w:t>
      </w:r>
      <w:r w:rsidR="002F0737">
        <w:t>ligibility age change aside, the number of recipients who cease receiving the DSP</w:t>
      </w:r>
      <w:r w:rsidR="002C7A73">
        <w:t xml:space="preserve"> are</w:t>
      </w:r>
      <w:r w:rsidR="002F0737">
        <w:t xml:space="preserve"> much less volatile than the number of new recipients</w:t>
      </w:r>
      <w:r w:rsidR="002C7A73">
        <w:t>).</w:t>
      </w:r>
      <w:r w:rsidR="002F0737">
        <w:t xml:space="preserve"> </w:t>
      </w:r>
      <w:r w:rsidR="002C7A73">
        <w:t xml:space="preserve"> </w:t>
      </w:r>
      <w:r w:rsidR="00887ED4">
        <w:t>Average levels for recipients aged between 65 and 68 were adjusted for the effect of increasing the Age Pension eligibility age.</w:t>
      </w:r>
    </w:p>
    <w:p w:rsidR="001C261C" w:rsidRPr="00506187" w:rsidRDefault="001C261C" w:rsidP="00506187">
      <w:pPr>
        <w:pStyle w:val="Caption1"/>
      </w:pPr>
      <w:bookmarkStart w:id="159" w:name="_Ref500928241"/>
      <w:r w:rsidRPr="00506187">
        <w:t xml:space="preserve">Figure </w:t>
      </w:r>
      <w:r w:rsidR="00BF2A4B" w:rsidRPr="00506187">
        <w:t>A</w:t>
      </w:r>
      <w:r w:rsidRPr="00506187">
        <w:t>‒</w:t>
      </w:r>
      <w:fldSimple w:instr=" SEQ AppendixFigure\s 8 ">
        <w:r w:rsidR="0036047A">
          <w:rPr>
            <w:noProof/>
          </w:rPr>
          <w:t>1</w:t>
        </w:r>
      </w:fldSimple>
      <w:bookmarkEnd w:id="159"/>
      <w:r w:rsidRPr="00506187">
        <w:t xml:space="preserve">: </w:t>
      </w:r>
      <w:bookmarkStart w:id="160" w:name="_Ref500928242"/>
      <w:r w:rsidR="00D07B94">
        <w:t>Recipients Leaving the Disability Support Pension</w:t>
      </w:r>
      <w:bookmarkEnd w:id="160"/>
    </w:p>
    <w:p w:rsidR="00E723A3" w:rsidRDefault="007E4908" w:rsidP="0022271F">
      <w:pPr>
        <w:pStyle w:val="BodyText"/>
        <w:jc w:val="center"/>
      </w:pPr>
      <w:r>
        <w:rPr>
          <w:noProof/>
          <w:lang w:eastAsia="en-AU"/>
        </w:rPr>
        <w:drawing>
          <wp:inline distT="0" distB="0" distL="0" distR="0" wp14:anchorId="025A2853" wp14:editId="57C9BB5D">
            <wp:extent cx="5102860" cy="3017520"/>
            <wp:effectExtent l="0" t="0" r="254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102860" cy="3017520"/>
                    </a:xfrm>
                    <a:prstGeom prst="rect">
                      <a:avLst/>
                    </a:prstGeom>
                    <a:noFill/>
                  </pic:spPr>
                </pic:pic>
              </a:graphicData>
            </a:graphic>
          </wp:inline>
        </w:drawing>
      </w:r>
    </w:p>
    <w:p w:rsidR="001C261C" w:rsidRDefault="001C261C" w:rsidP="00F33957">
      <w:pPr>
        <w:pStyle w:val="Source1"/>
      </w:pPr>
      <w:r>
        <w:t>Source: DSS recipient characteristics data and PBO analysis</w:t>
      </w:r>
    </w:p>
    <w:p w:rsidR="002F0737" w:rsidRPr="002F0737" w:rsidRDefault="002F0737" w:rsidP="00506187">
      <w:pPr>
        <w:pStyle w:val="BodyText17ptAbove"/>
      </w:pPr>
      <w:r w:rsidRPr="00506187">
        <w:lastRenderedPageBreak/>
        <w:t>The staged approach of increasing the eligibility age is the reason for the ‘zig zag’ pattern of recipients who cease receiving the DSP with increases in the eligibility age occurring over two</w:t>
      </w:r>
      <w:r w:rsidRPr="002F6B7B">
        <w:t xml:space="preserve"> years with an impact over six months in the first year and a full year subsequently (see Box </w:t>
      </w:r>
      <w:r>
        <w:t>2</w:t>
      </w:r>
      <w:r w:rsidR="00736674">
        <w:t xml:space="preserve"> in the body of the report</w:t>
      </w:r>
      <w:r w:rsidRPr="002F6B7B">
        <w:t xml:space="preserve">). The pattern of exits in </w:t>
      </w:r>
      <w:r w:rsidRPr="002F6B7B">
        <w:fldChar w:fldCharType="begin"/>
      </w:r>
      <w:r w:rsidRPr="002F6B7B">
        <w:instrText xml:space="preserve"> REF _Ref500928241 \h  \* MERGEFORMAT </w:instrText>
      </w:r>
      <w:r w:rsidRPr="002F6B7B">
        <w:fldChar w:fldCharType="separate"/>
      </w:r>
      <w:r w:rsidR="0036047A" w:rsidRPr="00506187">
        <w:t xml:space="preserve">Figure </w:t>
      </w:r>
      <w:r w:rsidR="0036047A" w:rsidRPr="00506187">
        <w:rPr>
          <w:noProof/>
        </w:rPr>
        <w:t>A</w:t>
      </w:r>
      <w:r w:rsidR="0036047A" w:rsidRPr="00506187">
        <w:t>‒</w:t>
      </w:r>
      <w:r w:rsidR="0036047A">
        <w:rPr>
          <w:noProof/>
        </w:rPr>
        <w:t>1</w:t>
      </w:r>
      <w:r w:rsidRPr="002F6B7B">
        <w:fldChar w:fldCharType="end"/>
      </w:r>
      <w:r w:rsidRPr="002F6B7B">
        <w:t xml:space="preserve"> is more pronounced over the projection period reflecting the increase in the Age pension eligibility age for both men and women compared with the historical period when it only applied to women.</w:t>
      </w:r>
      <w:r>
        <w:t xml:space="preserve"> </w:t>
      </w:r>
    </w:p>
    <w:p w:rsidR="00534941" w:rsidRDefault="00534941" w:rsidP="00331838">
      <w:pPr>
        <w:pStyle w:val="AppendixHeading3"/>
      </w:pPr>
      <w:r>
        <w:t>Benchmarking to 2017–18 MYEFO forward estimates</w:t>
      </w:r>
    </w:p>
    <w:p w:rsidR="002B202B" w:rsidRDefault="00225F40" w:rsidP="00E10FDB">
      <w:pPr>
        <w:pStyle w:val="BodyText"/>
        <w:spacing w:after="0"/>
      </w:pPr>
      <w:r>
        <w:t>The PBO DSP model was</w:t>
      </w:r>
      <w:r w:rsidR="00534941">
        <w:t xml:space="preserve"> benchmarked to the 2017–18 MYEFO forward estimates from </w:t>
      </w:r>
    </w:p>
    <w:p w:rsidR="002351C1" w:rsidRDefault="00534941" w:rsidP="00E10FDB">
      <w:pPr>
        <w:pStyle w:val="BodyText"/>
        <w:spacing w:before="0"/>
      </w:pPr>
      <w:r>
        <w:t>2017–18 to 2020–21</w:t>
      </w:r>
      <w:r w:rsidR="00E20435">
        <w:t>.</w:t>
      </w:r>
      <w:r w:rsidR="00225F40">
        <w:t xml:space="preserve"> </w:t>
      </w:r>
      <w:r w:rsidR="00E20435">
        <w:t xml:space="preserve"> This was achieved </w:t>
      </w:r>
      <w:r w:rsidR="00225F40">
        <w:t xml:space="preserve">by adjusting </w:t>
      </w:r>
      <w:r w:rsidR="00AD73A6">
        <w:t>the number of new recipients and those who cease receiving the DSP</w:t>
      </w:r>
      <w:r w:rsidR="00225F40">
        <w:t xml:space="preserve"> from 2017–18 to 2020–2</w:t>
      </w:r>
      <w:r w:rsidR="00AE68C9">
        <w:t>1</w:t>
      </w:r>
      <w:r w:rsidR="00C63C93">
        <w:t xml:space="preserve"> to arrive at the total recipient numbers in</w:t>
      </w:r>
      <w:r w:rsidR="00AE68C9">
        <w:t xml:space="preserve"> the official estimates</w:t>
      </w:r>
      <w:r w:rsidR="00225F40">
        <w:t>.</w:t>
      </w:r>
      <w:r w:rsidR="00542F1A">
        <w:t xml:space="preserve"> </w:t>
      </w:r>
      <w:r w:rsidR="00E20435">
        <w:t xml:space="preserve"> Average payment rates were similarly benchmarked to official estimates over the period. </w:t>
      </w:r>
    </w:p>
    <w:p w:rsidR="002351C1" w:rsidRDefault="00AD73A6" w:rsidP="00504CFE">
      <w:pPr>
        <w:pStyle w:val="BodyText"/>
      </w:pPr>
      <w:r>
        <w:t xml:space="preserve">Implied numbers of new DSP recipients </w:t>
      </w:r>
      <w:r w:rsidR="002C286C">
        <w:t>increase</w:t>
      </w:r>
      <w:r w:rsidR="00E20435">
        <w:t xml:space="preserve"> significantly over the forward estimates </w:t>
      </w:r>
      <w:r w:rsidR="002351C1">
        <w:t xml:space="preserve">and </w:t>
      </w:r>
      <w:r w:rsidR="00E20435">
        <w:t xml:space="preserve">were adjusted where possible to match the age profile contained in the official forward estimates. </w:t>
      </w:r>
      <w:r w:rsidR="002351C1">
        <w:t>The effect</w:t>
      </w:r>
      <w:r w:rsidR="0029174B">
        <w:t xml:space="preserve"> of</w:t>
      </w:r>
      <w:r w:rsidR="002351C1">
        <w:t xml:space="preserve"> increasing the Age Pension eligibility age </w:t>
      </w:r>
      <w:r w:rsidR="0029174B">
        <w:t>from 2017–18 to 2020–21 i</w:t>
      </w:r>
      <w:r w:rsidR="002351C1">
        <w:t>s assumed to be included in the official estimates.</w:t>
      </w:r>
    </w:p>
    <w:p w:rsidR="00534941" w:rsidRPr="00534941" w:rsidRDefault="00E20435" w:rsidP="00504CFE">
      <w:pPr>
        <w:pStyle w:val="BodyText"/>
      </w:pPr>
      <w:r>
        <w:t xml:space="preserve">The </w:t>
      </w:r>
      <w:r w:rsidR="00777FFA">
        <w:t>number</w:t>
      </w:r>
      <w:r>
        <w:t xml:space="preserve"> of </w:t>
      </w:r>
      <w:r w:rsidR="00AD73A6">
        <w:t xml:space="preserve">those ceasing to receive the DSP </w:t>
      </w:r>
      <w:r>
        <w:t>also increase</w:t>
      </w:r>
      <w:r w:rsidR="00C63C93">
        <w:t xml:space="preserve">s as part of </w:t>
      </w:r>
      <w:r>
        <w:t>benchmark</w:t>
      </w:r>
      <w:r w:rsidR="00C63C93">
        <w:t>ing</w:t>
      </w:r>
      <w:r>
        <w:t xml:space="preserve"> to official estimates. </w:t>
      </w:r>
      <w:r w:rsidR="00542F1A">
        <w:t xml:space="preserve"> </w:t>
      </w:r>
      <w:r>
        <w:t xml:space="preserve">The effect on </w:t>
      </w:r>
      <w:r w:rsidR="00AD73A6">
        <w:t>the number of people ceasing to receive the DSP</w:t>
      </w:r>
      <w:r>
        <w:t xml:space="preserve"> from benchmarking extends throughout the projection period from 2017–18 to</w:t>
      </w:r>
      <w:r w:rsidR="00542F1A">
        <w:t xml:space="preserve"> 2027–28</w:t>
      </w:r>
      <w:r w:rsidR="00736674">
        <w:t>.</w:t>
      </w:r>
      <w:r w:rsidR="00542F1A">
        <w:t xml:space="preserve"> </w:t>
      </w:r>
      <w:r w:rsidR="00736674">
        <w:t xml:space="preserve"> This is</w:t>
      </w:r>
      <w:r w:rsidR="00542F1A">
        <w:t xml:space="preserve"> </w:t>
      </w:r>
      <w:r w:rsidR="00736674">
        <w:t xml:space="preserve">due to the </w:t>
      </w:r>
      <w:r w:rsidR="00542F1A">
        <w:t>higher levels of new recipients</w:t>
      </w:r>
      <w:r w:rsidR="00B13067">
        <w:t xml:space="preserve"> over the forward estimates </w:t>
      </w:r>
      <w:r w:rsidR="00030EEA">
        <w:t xml:space="preserve">adding to the total number of recipients who </w:t>
      </w:r>
      <w:r w:rsidR="00B13067">
        <w:t>cease receiving</w:t>
      </w:r>
      <w:r w:rsidR="00443921">
        <w:t xml:space="preserve"> the payment over time.</w:t>
      </w:r>
      <w:r>
        <w:t xml:space="preserve"> </w:t>
      </w:r>
      <w:r w:rsidR="00225F40">
        <w:t xml:space="preserve">   </w:t>
      </w:r>
    </w:p>
    <w:p w:rsidR="00331838" w:rsidRDefault="00331838" w:rsidP="00331838">
      <w:pPr>
        <w:pStyle w:val="AppendixHeading3"/>
      </w:pPr>
      <w:r>
        <w:t>Age Pension eligibility age increase</w:t>
      </w:r>
    </w:p>
    <w:p w:rsidR="00331838" w:rsidRDefault="00E14CB0" w:rsidP="007003F3">
      <w:pPr>
        <w:pStyle w:val="BodyText"/>
      </w:pPr>
      <w:r w:rsidRPr="007003F3">
        <w:t>The increase in the Age Pension eligibility</w:t>
      </w:r>
      <w:r w:rsidR="00FE17C6">
        <w:t xml:space="preserve"> age has two effects on the DSP: i</w:t>
      </w:r>
      <w:r w:rsidRPr="007003F3">
        <w:t xml:space="preserve">t increases the number of </w:t>
      </w:r>
      <w:r w:rsidR="00B13067">
        <w:t>new DSP recipients</w:t>
      </w:r>
      <w:r w:rsidRPr="007003F3">
        <w:t xml:space="preserve"> as they become ineligible for the Age Pension</w:t>
      </w:r>
      <w:r w:rsidR="00FE17C6">
        <w:t>;</w:t>
      </w:r>
      <w:r w:rsidRPr="007003F3">
        <w:t xml:space="preserve"> and </w:t>
      </w:r>
      <w:r w:rsidR="00FE17C6">
        <w:t xml:space="preserve">it </w:t>
      </w:r>
      <w:r w:rsidR="00B13067">
        <w:t xml:space="preserve">impacts the timing of when recipients cease receiving </w:t>
      </w:r>
      <w:r w:rsidRPr="007003F3">
        <w:t>the DSP.</w:t>
      </w:r>
    </w:p>
    <w:p w:rsidR="00E61ABB" w:rsidRDefault="00D544D1" w:rsidP="00E61ABB">
      <w:pPr>
        <w:pStyle w:val="BodyText"/>
      </w:pPr>
      <w:r>
        <w:fldChar w:fldCharType="begin"/>
      </w:r>
      <w:r>
        <w:instrText xml:space="preserve"> REF _Ref500928372 \h </w:instrText>
      </w:r>
      <w:r>
        <w:fldChar w:fldCharType="separate"/>
      </w:r>
      <w:r w:rsidR="0036047A">
        <w:t>Figure</w:t>
      </w:r>
      <w:r w:rsidR="0036047A" w:rsidRPr="0006094C">
        <w:t xml:space="preserve"> </w:t>
      </w:r>
      <w:r w:rsidR="0036047A">
        <w:t>A</w:t>
      </w:r>
      <w:r w:rsidR="0036047A" w:rsidRPr="0006094C">
        <w:t>‒</w:t>
      </w:r>
      <w:r w:rsidR="0036047A">
        <w:rPr>
          <w:noProof/>
        </w:rPr>
        <w:t>2</w:t>
      </w:r>
      <w:r>
        <w:fldChar w:fldCharType="end"/>
      </w:r>
      <w:r>
        <w:t xml:space="preserve"> </w:t>
      </w:r>
      <w:r w:rsidR="00E61ABB">
        <w:t>summarises when the increase in t</w:t>
      </w:r>
      <w:r w:rsidR="00FE17C6">
        <w:t>he eligibility age is scheduled to occur over the medium term.</w:t>
      </w:r>
      <w:r w:rsidR="00B5216B">
        <w:t xml:space="preserve">  </w:t>
      </w:r>
      <w:r w:rsidR="0057070F">
        <w:t xml:space="preserve">The smooth green line represents what the profile of </w:t>
      </w:r>
      <w:r w:rsidR="00F26CFC">
        <w:t>when recipient</w:t>
      </w:r>
      <w:r w:rsidR="00C262A9">
        <w:t>s</w:t>
      </w:r>
      <w:r w:rsidR="00F26CFC">
        <w:t xml:space="preserve"> cease receiving the DSP</w:t>
      </w:r>
      <w:r w:rsidR="0057070F">
        <w:t xml:space="preserve"> </w:t>
      </w:r>
      <w:r w:rsidR="002E6A65">
        <w:t xml:space="preserve">would have been </w:t>
      </w:r>
      <w:r w:rsidR="0057070F">
        <w:t xml:space="preserve">if the Age Pension eligibility age remained at 65 over the projection period.  However, the profile of </w:t>
      </w:r>
      <w:r w:rsidR="00F26CFC">
        <w:t>people who cease receiving the DSP</w:t>
      </w:r>
      <w:r w:rsidR="0057070F">
        <w:t xml:space="preserve"> i</w:t>
      </w:r>
      <w:r w:rsidR="00134ACB">
        <w:t>s staggered, reflecting the six</w:t>
      </w:r>
      <w:r w:rsidR="00134ACB">
        <w:noBreakHyphen/>
      </w:r>
      <w:r w:rsidR="0057070F">
        <w:t xml:space="preserve">month increase every two years in the Age Pension eligibility age.  This is analogous to the </w:t>
      </w:r>
      <w:r w:rsidR="00F26CFC">
        <w:t>pattern of recipients who cease receiving the DSP</w:t>
      </w:r>
      <w:r w:rsidR="0057070F">
        <w:t xml:space="preserve"> in </w:t>
      </w:r>
      <w:r w:rsidR="0057070F">
        <w:fldChar w:fldCharType="begin"/>
      </w:r>
      <w:r w:rsidR="0057070F">
        <w:instrText xml:space="preserve"> REF _Ref504998114 \h </w:instrText>
      </w:r>
      <w:r w:rsidR="0057070F">
        <w:fldChar w:fldCharType="separate"/>
      </w:r>
      <w:r w:rsidR="0036047A" w:rsidRPr="00DC517B">
        <w:t xml:space="preserve">Figure </w:t>
      </w:r>
      <w:r w:rsidR="0036047A">
        <w:rPr>
          <w:noProof/>
        </w:rPr>
        <w:t>2</w:t>
      </w:r>
      <w:r w:rsidR="0036047A" w:rsidRPr="00DC517B">
        <w:t>–</w:t>
      </w:r>
      <w:r w:rsidR="0036047A">
        <w:rPr>
          <w:noProof/>
        </w:rPr>
        <w:t>14</w:t>
      </w:r>
      <w:r w:rsidR="0057070F">
        <w:fldChar w:fldCharType="end"/>
      </w:r>
      <w:r w:rsidR="0057070F">
        <w:t xml:space="preserve"> </w:t>
      </w:r>
      <w:r w:rsidR="00D50365">
        <w:t>in Box 2 of the body of the report</w:t>
      </w:r>
      <w:r w:rsidR="00B5216B">
        <w:t xml:space="preserve">, except rather than </w:t>
      </w:r>
      <w:r w:rsidR="00D50365">
        <w:t xml:space="preserve">the age at which </w:t>
      </w:r>
      <w:r w:rsidR="00125DEA">
        <w:t>women cease receiving the DSP</w:t>
      </w:r>
      <w:r w:rsidR="00B5216B">
        <w:t xml:space="preserve"> converging to 65 years, </w:t>
      </w:r>
      <w:r w:rsidR="00D50365">
        <w:t>the age at which both</w:t>
      </w:r>
      <w:r w:rsidR="00475DB2">
        <w:t xml:space="preserve"> men and women</w:t>
      </w:r>
      <w:r w:rsidR="00134ACB">
        <w:t xml:space="preserve"> cease to receive the DSP</w:t>
      </w:r>
      <w:r w:rsidR="00B5216B">
        <w:t xml:space="preserve"> steadily move</w:t>
      </w:r>
      <w:r w:rsidR="00D50365">
        <w:t>s</w:t>
      </w:r>
      <w:r w:rsidR="00B5216B">
        <w:t xml:space="preserve"> away from 65 years. </w:t>
      </w:r>
    </w:p>
    <w:p w:rsidR="00E30730" w:rsidRDefault="00182EEC" w:rsidP="00E30730">
      <w:pPr>
        <w:pStyle w:val="Caption1"/>
      </w:pPr>
      <w:bookmarkStart w:id="161" w:name="_Ref500928372"/>
      <w:r>
        <w:lastRenderedPageBreak/>
        <w:t>Figure</w:t>
      </w:r>
      <w:r w:rsidR="001C261C" w:rsidRPr="0006094C">
        <w:t xml:space="preserve"> </w:t>
      </w:r>
      <w:r w:rsidR="0095311B">
        <w:t>A</w:t>
      </w:r>
      <w:r w:rsidR="001C261C" w:rsidRPr="0006094C">
        <w:t>‒</w:t>
      </w:r>
      <w:fldSimple w:instr=" SEQ AppendixTable\s 8 ">
        <w:r w:rsidR="0036047A">
          <w:rPr>
            <w:noProof/>
          </w:rPr>
          <w:t>2</w:t>
        </w:r>
      </w:fldSimple>
      <w:bookmarkEnd w:id="161"/>
      <w:r w:rsidR="00E61ABB" w:rsidRPr="0091121C">
        <w:t xml:space="preserve">: </w:t>
      </w:r>
      <w:r w:rsidR="00E30730">
        <w:t>M</w:t>
      </w:r>
      <w:r w:rsidR="00F26CFC">
        <w:t xml:space="preserve">oving </w:t>
      </w:r>
      <w:r w:rsidR="00E30730">
        <w:t xml:space="preserve">from the Disability Support Pension </w:t>
      </w:r>
      <w:r w:rsidR="00F26CFC">
        <w:t>onto the Age Pension</w:t>
      </w:r>
      <w:bookmarkStart w:id="162" w:name="ReturnHere"/>
      <w:bookmarkEnd w:id="162"/>
    </w:p>
    <w:p w:rsidR="00E61ABB" w:rsidRDefault="00E30730" w:rsidP="00D07B94">
      <w:pPr>
        <w:pStyle w:val="Caption4"/>
      </w:pPr>
      <w:r>
        <w:t>B</w:t>
      </w:r>
      <w:r w:rsidR="00EA2BC1" w:rsidRPr="00DC517B">
        <w:t>y birth year</w:t>
      </w:r>
      <w:r w:rsidR="00EA2BC1">
        <w:t>,</w:t>
      </w:r>
      <w:r w:rsidR="00E61ABB" w:rsidRPr="0091121C">
        <w:t xml:space="preserve"> from 2017</w:t>
      </w:r>
      <w:r w:rsidR="00C7633E" w:rsidRPr="0091121C">
        <w:t>–18 to 2027–</w:t>
      </w:r>
      <w:r w:rsidR="00E61ABB" w:rsidRPr="0091121C">
        <w:t>28</w:t>
      </w:r>
    </w:p>
    <w:p w:rsidR="0087184B" w:rsidRPr="00E30730" w:rsidRDefault="00B002A4" w:rsidP="00F33957">
      <w:pPr>
        <w:pStyle w:val="Source1"/>
        <w:rPr>
          <w:rStyle w:val="Source1Char"/>
          <w:b/>
          <w:bCs/>
          <w:spacing w:val="-4"/>
        </w:rPr>
      </w:pPr>
      <w:r w:rsidRPr="00B002A4">
        <w:rPr>
          <w:noProof/>
          <w:lang w:eastAsia="en-AU"/>
        </w:rPr>
        <w:drawing>
          <wp:inline distT="0" distB="0" distL="0" distR="0" wp14:anchorId="7125B600" wp14:editId="4EC41F53">
            <wp:extent cx="5278755" cy="29003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278755" cy="2900361"/>
                    </a:xfrm>
                    <a:prstGeom prst="rect">
                      <a:avLst/>
                    </a:prstGeom>
                    <a:noFill/>
                    <a:ln>
                      <a:noFill/>
                    </a:ln>
                  </pic:spPr>
                </pic:pic>
              </a:graphicData>
            </a:graphic>
          </wp:inline>
        </w:drawing>
      </w:r>
      <w:r w:rsidR="0087184B" w:rsidRPr="00E30730">
        <w:rPr>
          <w:rStyle w:val="Source1Char"/>
        </w:rPr>
        <w:t>Source: PBO analysis</w:t>
      </w:r>
    </w:p>
    <w:p w:rsidR="00331838" w:rsidRDefault="00F26CFC" w:rsidP="00331838">
      <w:pPr>
        <w:pStyle w:val="BodyText"/>
        <w:rPr>
          <w:i/>
        </w:rPr>
      </w:pPr>
      <w:r>
        <w:rPr>
          <w:i/>
        </w:rPr>
        <w:t>New recipients</w:t>
      </w:r>
      <w:r w:rsidR="006C45F8">
        <w:rPr>
          <w:i/>
        </w:rPr>
        <w:t xml:space="preserve"> from the increase in the Age Pension eligibility age</w:t>
      </w:r>
    </w:p>
    <w:p w:rsidR="00E61ABB" w:rsidRDefault="00F26CFC" w:rsidP="00331838">
      <w:pPr>
        <w:pStyle w:val="BodyText"/>
      </w:pPr>
      <w:r>
        <w:t>Underlying new recipients</w:t>
      </w:r>
      <w:r w:rsidR="00030EEA">
        <w:t xml:space="preserve"> (as calculated in </w:t>
      </w:r>
      <w:r w:rsidR="00030EEA">
        <w:fldChar w:fldCharType="begin"/>
      </w:r>
      <w:r w:rsidR="00030EEA">
        <w:instrText xml:space="preserve"> REF _Ref506457088 \r \h </w:instrText>
      </w:r>
      <w:r w:rsidR="00030EEA">
        <w:fldChar w:fldCharType="separate"/>
      </w:r>
      <w:r w:rsidR="0036047A">
        <w:t>A1.2.2</w:t>
      </w:r>
      <w:r w:rsidR="00030EEA">
        <w:fldChar w:fldCharType="end"/>
      </w:r>
      <w:r w:rsidR="00D7758E">
        <w:t xml:space="preserve">) in an affected age group were adjusted by using </w:t>
      </w:r>
      <w:r w:rsidR="004B02D4">
        <w:t>the historical experience of</w:t>
      </w:r>
      <w:r w:rsidR="003963A0">
        <w:t xml:space="preserve"> women</w:t>
      </w:r>
      <w:r w:rsidR="004B02D4">
        <w:t xml:space="preserve"> aged</w:t>
      </w:r>
      <w:r w:rsidR="00C2605D">
        <w:t xml:space="preserve"> between 6</w:t>
      </w:r>
      <w:r w:rsidR="004B02D4">
        <w:t>2 and 65 for the period when the Age pension eligibility age for women was increased</w:t>
      </w:r>
      <w:r w:rsidR="00CC6BAA">
        <w:t>.</w:t>
      </w:r>
    </w:p>
    <w:p w:rsidR="00331838" w:rsidRDefault="00F26CFC" w:rsidP="00331838">
      <w:pPr>
        <w:pStyle w:val="BodyText"/>
        <w:rPr>
          <w:i/>
        </w:rPr>
      </w:pPr>
      <w:r>
        <w:rPr>
          <w:i/>
        </w:rPr>
        <w:t>Recipients who cease receiving the DSP</w:t>
      </w:r>
      <w:r w:rsidR="006C45F8">
        <w:rPr>
          <w:i/>
        </w:rPr>
        <w:t xml:space="preserve"> from the increase in the Age Pension eligibility age</w:t>
      </w:r>
    </w:p>
    <w:p w:rsidR="004B02D4" w:rsidRPr="00F11329" w:rsidRDefault="00C2605D" w:rsidP="004B02D4">
      <w:pPr>
        <w:pStyle w:val="BodyText"/>
      </w:pPr>
      <w:r w:rsidRPr="00F11329">
        <w:t>Project</w:t>
      </w:r>
      <w:r w:rsidR="00F26CFC">
        <w:t xml:space="preserve">ions of people who cease </w:t>
      </w:r>
      <w:r w:rsidR="003963A0">
        <w:t>to receive</w:t>
      </w:r>
      <w:r w:rsidR="00F26CFC">
        <w:t xml:space="preserve"> the DSP</w:t>
      </w:r>
      <w:r w:rsidR="00AA62BB" w:rsidRPr="00F11329">
        <w:t xml:space="preserve"> reflect the schedule for changing the Age Pension eligibility age (see Box </w:t>
      </w:r>
      <w:r w:rsidR="009E20DC">
        <w:t>2</w:t>
      </w:r>
      <w:r w:rsidR="00030EEA">
        <w:t xml:space="preserve"> in the body of the report</w:t>
      </w:r>
      <w:r w:rsidR="00AA62BB" w:rsidRPr="00F11329">
        <w:t>).</w:t>
      </w:r>
    </w:p>
    <w:p w:rsidR="00F11329" w:rsidRPr="00F11329" w:rsidRDefault="00F11329" w:rsidP="001707B3">
      <w:pPr>
        <w:pStyle w:val="BodyText"/>
        <w:rPr>
          <w:i/>
        </w:rPr>
      </w:pPr>
      <w:r w:rsidRPr="00F11329">
        <w:rPr>
          <w:i/>
        </w:rPr>
        <w:t>Age groups impacted by the increase in the Age Pension eligibility age</w:t>
      </w:r>
    </w:p>
    <w:p w:rsidR="00DB7168" w:rsidRPr="00F11329" w:rsidRDefault="00030EEA">
      <w:pPr>
        <w:pStyle w:val="BodyText"/>
      </w:pPr>
      <w:r>
        <w:t xml:space="preserve">Figure A–3 </w:t>
      </w:r>
      <w:r w:rsidR="00E14CB0" w:rsidRPr="00F11329">
        <w:t>shows the his</w:t>
      </w:r>
      <w:r w:rsidR="00C04E8C" w:rsidRPr="00F11329">
        <w:t>torical and projected profile of age groups with</w:t>
      </w:r>
      <w:r w:rsidR="00290A93" w:rsidRPr="00F11329">
        <w:t>in</w:t>
      </w:r>
      <w:r w:rsidR="00C04E8C" w:rsidRPr="00F11329">
        <w:t xml:space="preserve"> the DSP population impacted by the increase in the Age Pension eligibility age. </w:t>
      </w:r>
      <w:r w:rsidR="00502E55" w:rsidRPr="00F11329">
        <w:t xml:space="preserve">It shows each </w:t>
      </w:r>
      <w:r w:rsidR="00DB7168" w:rsidRPr="00F11329">
        <w:t xml:space="preserve">of the impacted DSP </w:t>
      </w:r>
      <w:r w:rsidR="00502E55" w:rsidRPr="00F11329">
        <w:t>cohort</w:t>
      </w:r>
      <w:r w:rsidR="00DB7168" w:rsidRPr="00F11329">
        <w:t>s</w:t>
      </w:r>
      <w:r w:rsidR="00502E55" w:rsidRPr="00F11329">
        <w:t xml:space="preserve"> </w:t>
      </w:r>
      <w:r w:rsidR="00DB7168" w:rsidRPr="00F11329">
        <w:t>as a proportion</w:t>
      </w:r>
      <w:r w:rsidR="00502E55" w:rsidRPr="00F11329">
        <w:t xml:space="preserve"> </w:t>
      </w:r>
      <w:r w:rsidR="00DB7168" w:rsidRPr="00F11329">
        <w:t>of the overall population for</w:t>
      </w:r>
      <w:r w:rsidR="00502E55" w:rsidRPr="00F11329">
        <w:t xml:space="preserve"> the cohort. </w:t>
      </w:r>
    </w:p>
    <w:p w:rsidR="0056268F" w:rsidRDefault="00290A93">
      <w:pPr>
        <w:pStyle w:val="BodyText"/>
      </w:pPr>
      <w:r w:rsidRPr="00F11329">
        <w:t xml:space="preserve">As the eligibility age for both men and women increases over the projection period the </w:t>
      </w:r>
      <w:r w:rsidR="00407B3C">
        <w:t xml:space="preserve">total number of recipients </w:t>
      </w:r>
      <w:r w:rsidR="00150ACD" w:rsidRPr="00F11329">
        <w:t>wit</w:t>
      </w:r>
      <w:r w:rsidR="0056268F">
        <w:t>hin these age groups is projected</w:t>
      </w:r>
      <w:r w:rsidR="00150ACD" w:rsidRPr="00F11329">
        <w:t xml:space="preserve"> to </w:t>
      </w:r>
      <w:r w:rsidR="0056268F">
        <w:t xml:space="preserve">increase. The ‘step’ in the curves reflects the staged approach for implementing the Age pension eligibility age.  This profile matches the experience of when the female Age Pension eligibility age was increased in a similar manner </w:t>
      </w:r>
      <w:r w:rsidR="00EF1F94">
        <w:t>and is benchmarked to the current government forward estimates from 2017</w:t>
      </w:r>
      <w:r w:rsidR="00C63C93">
        <w:t>–</w:t>
      </w:r>
      <w:r w:rsidR="00EF1F94">
        <w:t>18 to 202</w:t>
      </w:r>
      <w:r w:rsidR="00AD107F">
        <w:t>0</w:t>
      </w:r>
      <w:r w:rsidR="00C63C93">
        <w:t>–</w:t>
      </w:r>
      <w:r w:rsidR="00030EEA">
        <w:t>21 (Figure A–4).</w:t>
      </w:r>
    </w:p>
    <w:p w:rsidR="002351C1" w:rsidRDefault="002351C1">
      <w:pPr>
        <w:pStyle w:val="BodyText"/>
      </w:pPr>
      <w:r>
        <w:t xml:space="preserve">Figures over the forward estimates are official 2017–18 MYEFO forward estimates. </w:t>
      </w:r>
    </w:p>
    <w:p w:rsidR="00E30730" w:rsidRDefault="00FB7481" w:rsidP="00E30730">
      <w:pPr>
        <w:pStyle w:val="Caption1"/>
      </w:pPr>
      <w:bookmarkStart w:id="163" w:name="_Ref500929860"/>
      <w:r w:rsidRPr="00FB7481">
        <w:lastRenderedPageBreak/>
        <w:t xml:space="preserve">Figure </w:t>
      </w:r>
      <w:r w:rsidR="00341822">
        <w:t>A</w:t>
      </w:r>
      <w:r w:rsidRPr="00FB7481">
        <w:t>‒</w:t>
      </w:r>
      <w:bookmarkEnd w:id="163"/>
      <w:r w:rsidR="00182EEC">
        <w:t>3</w:t>
      </w:r>
      <w:r w:rsidRPr="00FB7481">
        <w:t xml:space="preserve">: </w:t>
      </w:r>
      <w:r w:rsidR="00E30730">
        <w:t xml:space="preserve">Disability Support Pension — impact of Age Pension eligibility age </w:t>
      </w:r>
    </w:p>
    <w:p w:rsidR="0051134B" w:rsidRDefault="004952FC" w:rsidP="00AF5122">
      <w:pPr>
        <w:pStyle w:val="Caption4"/>
      </w:pPr>
      <w:r>
        <w:t>Proportion of select</w:t>
      </w:r>
      <w:r w:rsidR="00E30730">
        <w:t>ed age cohorts</w:t>
      </w:r>
      <w:r w:rsidR="0056268F">
        <w:t xml:space="preserve"> </w:t>
      </w:r>
      <w:r w:rsidR="00D07B94">
        <w:t>(all recipients 65 to 68)</w:t>
      </w:r>
    </w:p>
    <w:p w:rsidR="00FB7481" w:rsidRPr="00FB7481" w:rsidRDefault="00951A1B" w:rsidP="0022271F">
      <w:pPr>
        <w:pStyle w:val="BodyText"/>
        <w:jc w:val="center"/>
      </w:pPr>
      <w:r>
        <w:rPr>
          <w:noProof/>
          <w:lang w:eastAsia="en-AU"/>
        </w:rPr>
        <w:drawing>
          <wp:inline distT="0" distB="0" distL="0" distR="0" wp14:anchorId="67FB79D6" wp14:editId="357DF2C1">
            <wp:extent cx="5133340" cy="309118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133340" cy="3091180"/>
                    </a:xfrm>
                    <a:prstGeom prst="rect">
                      <a:avLst/>
                    </a:prstGeom>
                    <a:noFill/>
                  </pic:spPr>
                </pic:pic>
              </a:graphicData>
            </a:graphic>
          </wp:inline>
        </w:drawing>
      </w:r>
    </w:p>
    <w:p w:rsidR="0056268F" w:rsidRDefault="00D544D1" w:rsidP="00F33957">
      <w:pPr>
        <w:pStyle w:val="Source1"/>
      </w:pPr>
      <w:r>
        <w:t xml:space="preserve">Source: </w:t>
      </w:r>
      <w:r w:rsidR="000E7092">
        <w:t xml:space="preserve">DSS recipient characteristics data and </w:t>
      </w:r>
      <w:r>
        <w:t>P</w:t>
      </w:r>
      <w:r w:rsidR="005F278B">
        <w:t>BO analysis</w:t>
      </w:r>
    </w:p>
    <w:p w:rsidR="00BB1505" w:rsidRDefault="00BB1505" w:rsidP="00E30730">
      <w:pPr>
        <w:pStyle w:val="Caption1"/>
      </w:pPr>
      <w:bookmarkStart w:id="164" w:name="_Ref501017858"/>
      <w:r w:rsidRPr="00BB1505">
        <w:t xml:space="preserve">Figure </w:t>
      </w:r>
      <w:r w:rsidR="00341822">
        <w:t>A</w:t>
      </w:r>
      <w:r w:rsidRPr="00BB1505">
        <w:t>‒</w:t>
      </w:r>
      <w:bookmarkEnd w:id="164"/>
      <w:r w:rsidR="00182EEC">
        <w:t>4</w:t>
      </w:r>
      <w:r w:rsidRPr="00BB1505">
        <w:t xml:space="preserve">: </w:t>
      </w:r>
      <w:r w:rsidR="0056268F">
        <w:t>Disability Support Pension</w:t>
      </w:r>
      <w:r w:rsidR="00E30730">
        <w:t xml:space="preserve"> — impact of Age Pension eligibility age</w:t>
      </w:r>
    </w:p>
    <w:p w:rsidR="00E30730" w:rsidRPr="00BB1505" w:rsidRDefault="00E30730" w:rsidP="00AF5122">
      <w:pPr>
        <w:pStyle w:val="Caption4"/>
      </w:pPr>
      <w:r>
        <w:t xml:space="preserve">Proportion of selected age cohorts </w:t>
      </w:r>
      <w:r w:rsidR="00D07B94">
        <w:t>(females 62 to 68)</w:t>
      </w:r>
    </w:p>
    <w:p w:rsidR="00BB1505" w:rsidRDefault="00A7454A" w:rsidP="006F15D5">
      <w:pPr>
        <w:pStyle w:val="Source1"/>
        <w:spacing w:before="240" w:line="720" w:lineRule="auto"/>
      </w:pPr>
      <w:r>
        <w:rPr>
          <w:noProof/>
          <w:lang w:eastAsia="en-AU"/>
        </w:rPr>
        <w:drawing>
          <wp:inline distT="0" distB="0" distL="0" distR="0" wp14:anchorId="3BD6967A" wp14:editId="3257A149">
            <wp:extent cx="5133340" cy="309118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133340" cy="3091180"/>
                    </a:xfrm>
                    <a:prstGeom prst="rect">
                      <a:avLst/>
                    </a:prstGeom>
                    <a:noFill/>
                  </pic:spPr>
                </pic:pic>
              </a:graphicData>
            </a:graphic>
          </wp:inline>
        </w:drawing>
      </w:r>
      <w:r w:rsidR="00BB1505" w:rsidRPr="00EF5676">
        <w:t xml:space="preserve">Source: </w:t>
      </w:r>
      <w:r w:rsidR="000E7092">
        <w:t xml:space="preserve">DSS recipient characteristics data and </w:t>
      </w:r>
      <w:r w:rsidR="00BB1505" w:rsidRPr="00EF5676">
        <w:t>PBO analysis</w:t>
      </w:r>
    </w:p>
    <w:p w:rsidR="00331838" w:rsidRDefault="00777FFA" w:rsidP="0091423C">
      <w:pPr>
        <w:pStyle w:val="AppendixHeading3"/>
        <w:tabs>
          <w:tab w:val="clear" w:pos="765"/>
        </w:tabs>
      </w:pPr>
      <w:r>
        <w:lastRenderedPageBreak/>
        <w:t>Total number of DSP recipients</w:t>
      </w:r>
    </w:p>
    <w:p w:rsidR="00331838" w:rsidRDefault="001E0225" w:rsidP="0091423C">
      <w:pPr>
        <w:pStyle w:val="BodyText"/>
        <w:keepNext/>
        <w:keepLines/>
      </w:pPr>
      <w:r>
        <w:t xml:space="preserve">The </w:t>
      </w:r>
      <w:r w:rsidR="00777FFA">
        <w:t>total number</w:t>
      </w:r>
      <w:r w:rsidR="00331838">
        <w:t xml:space="preserve"> </w:t>
      </w:r>
      <w:r>
        <w:t xml:space="preserve">of DSP recipients </w:t>
      </w:r>
      <w:r w:rsidR="00331838">
        <w:t xml:space="preserve">was modelled </w:t>
      </w:r>
      <w:r w:rsidR="00FA2096">
        <w:t xml:space="preserve">with an adjustment for projected changes in the overall population </w:t>
      </w:r>
      <w:r w:rsidR="00331838">
        <w:t>by</w:t>
      </w:r>
      <w:r w:rsidR="00FA2096">
        <w:t xml:space="preserve"> converting per capita projections of</w:t>
      </w:r>
      <w:r w:rsidR="00F26CFC">
        <w:t xml:space="preserve"> new recipient</w:t>
      </w:r>
      <w:r w:rsidR="00AA6A84">
        <w:t>s</w:t>
      </w:r>
      <w:r w:rsidR="00F26CFC">
        <w:t xml:space="preserve"> </w:t>
      </w:r>
      <w:r w:rsidR="00331838">
        <w:t>and subtracting</w:t>
      </w:r>
      <w:r w:rsidR="00FA2096">
        <w:t xml:space="preserve"> these from projections of </w:t>
      </w:r>
      <w:r w:rsidR="00F26CFC">
        <w:t>t</w:t>
      </w:r>
      <w:r w:rsidR="00AA6A84">
        <w:t>hose who cease</w:t>
      </w:r>
      <w:r w:rsidR="00F26CFC">
        <w:t xml:space="preserve"> to receive the DSP</w:t>
      </w:r>
      <w:r w:rsidR="00331838">
        <w:t xml:space="preserve">. </w:t>
      </w:r>
    </w:p>
    <w:p w:rsidR="00A015AB" w:rsidRDefault="006740F8" w:rsidP="0091423C">
      <w:pPr>
        <w:pStyle w:val="BodyText"/>
        <w:keepNext/>
        <w:keepLines/>
      </w:pPr>
      <w:r>
        <w:br/>
      </w:r>
      <w:r>
        <w:rPr>
          <w:noProof/>
          <w:lang w:eastAsia="en-AU"/>
        </w:rPr>
        <w:drawing>
          <wp:inline distT="0" distB="0" distL="0" distR="0" wp14:anchorId="5BA8D396" wp14:editId="76C9F722">
            <wp:extent cx="5731013" cy="2011680"/>
            <wp:effectExtent l="0" t="0" r="3175" b="762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P - images-01-01.png"/>
                    <pic:cNvPicPr/>
                  </pic:nvPicPr>
                  <pic:blipFill>
                    <a:blip r:embed="rId59" cstate="print">
                      <a:extLst>
                        <a:ext uri="{28A0092B-C50C-407E-A947-70E740481C1C}">
                          <a14:useLocalDpi xmlns:a14="http://schemas.microsoft.com/office/drawing/2010/main" val="0"/>
                        </a:ext>
                      </a:extLst>
                    </a:blip>
                    <a:stretch>
                      <a:fillRect/>
                    </a:stretch>
                  </pic:blipFill>
                  <pic:spPr>
                    <a:xfrm>
                      <a:off x="0" y="0"/>
                      <a:ext cx="5731867" cy="2011980"/>
                    </a:xfrm>
                    <a:prstGeom prst="rect">
                      <a:avLst/>
                    </a:prstGeom>
                  </pic:spPr>
                </pic:pic>
              </a:graphicData>
            </a:graphic>
          </wp:inline>
        </w:drawing>
      </w:r>
    </w:p>
    <w:p w:rsidR="00E14CB0" w:rsidRDefault="00E14CB0" w:rsidP="00E14CB0">
      <w:pPr>
        <w:pStyle w:val="AppendixHeading3"/>
      </w:pPr>
      <w:r>
        <w:t>Payment rates</w:t>
      </w:r>
    </w:p>
    <w:p w:rsidR="007B7EAD" w:rsidRDefault="00E14CB0" w:rsidP="00E14CB0">
      <w:r>
        <w:t>Payment rates were projected</w:t>
      </w:r>
      <w:r w:rsidR="0087184B">
        <w:t xml:space="preserve"> by growing the average payment rate over the forward estimates by MTAWE over the medium ter</w:t>
      </w:r>
      <w:r w:rsidR="0087184B" w:rsidRPr="00C80491">
        <w:t>m.</w:t>
      </w:r>
      <w:r w:rsidR="001D482C">
        <w:t xml:space="preserve"> </w:t>
      </w:r>
      <w:r w:rsidR="0087184B" w:rsidRPr="00C80491">
        <w:t xml:space="preserve"> Average payment rates over the forward estimates were based on the</w:t>
      </w:r>
      <w:r w:rsidRPr="00C80491">
        <w:t xml:space="preserve"> legislated single</w:t>
      </w:r>
      <w:r w:rsidR="0087184B" w:rsidRPr="00C80491">
        <w:t xml:space="preserve"> and </w:t>
      </w:r>
      <w:r w:rsidR="002351C1">
        <w:t>couple</w:t>
      </w:r>
      <w:r w:rsidR="0087184B" w:rsidRPr="00C80491">
        <w:t xml:space="preserve"> pension</w:t>
      </w:r>
      <w:r w:rsidRPr="00C80491">
        <w:t xml:space="preserve"> rate</w:t>
      </w:r>
      <w:r w:rsidR="00975D1A">
        <w:t xml:space="preserve">, </w:t>
      </w:r>
      <w:r w:rsidR="0087184B" w:rsidRPr="00C80491">
        <w:t>the</w:t>
      </w:r>
      <w:r w:rsidR="00FB7481" w:rsidRPr="00C80491">
        <w:t xml:space="preserve"> historical proportion of</w:t>
      </w:r>
      <w:r w:rsidR="0087184B" w:rsidRPr="00C80491">
        <w:t xml:space="preserve"> </w:t>
      </w:r>
      <w:r w:rsidR="004733C2" w:rsidRPr="00C80491">
        <w:t xml:space="preserve">the </w:t>
      </w:r>
      <w:r w:rsidR="0087184B" w:rsidRPr="00C80491">
        <w:t>DSP p</w:t>
      </w:r>
      <w:r w:rsidR="00FB7481" w:rsidRPr="00C80491">
        <w:t>opulation on either</w:t>
      </w:r>
      <w:r w:rsidR="00975D1A">
        <w:t>,</w:t>
      </w:r>
      <w:r w:rsidR="002351C1">
        <w:t xml:space="preserve"> as well as those on</w:t>
      </w:r>
      <w:r w:rsidR="00C81CC0">
        <w:t xml:space="preserve"> the full and part rate</w:t>
      </w:r>
      <w:r w:rsidRPr="00C80491">
        <w:t xml:space="preserve">.  </w:t>
      </w:r>
      <w:r w:rsidR="00DE0D2F" w:rsidRPr="00C80491">
        <w:t>Medium-term projections of MTAWE are Treasury 2017</w:t>
      </w:r>
      <w:r w:rsidR="00F95945">
        <w:t>–</w:t>
      </w:r>
      <w:r w:rsidR="00DE0D2F" w:rsidRPr="00C80491">
        <w:t xml:space="preserve">18 </w:t>
      </w:r>
      <w:r w:rsidR="008C02ED">
        <w:t>MYEFO</w:t>
      </w:r>
      <w:r w:rsidR="008C02ED" w:rsidRPr="00C80491">
        <w:t xml:space="preserve"> </w:t>
      </w:r>
      <w:r w:rsidR="00DE0D2F" w:rsidRPr="00C80491">
        <w:t>projections.</w:t>
      </w:r>
    </w:p>
    <w:p w:rsidR="007B7EAD" w:rsidRDefault="007B7EAD" w:rsidP="007B7EAD">
      <w:pPr>
        <w:pStyle w:val="BodyText"/>
      </w:pPr>
    </w:p>
    <w:p w:rsidR="007B7EAD" w:rsidRDefault="007B7EAD" w:rsidP="00E14CB0"/>
    <w:p w:rsidR="00C26792" w:rsidRDefault="00C26792" w:rsidP="001A0F8C">
      <w:pPr>
        <w:pStyle w:val="BodyText"/>
        <w:sectPr w:rsidR="00C26792" w:rsidSect="00A06246">
          <w:headerReference w:type="even" r:id="rId60"/>
          <w:headerReference w:type="default" r:id="rId61"/>
          <w:footerReference w:type="even" r:id="rId62"/>
          <w:footerReference w:type="default" r:id="rId63"/>
          <w:headerReference w:type="first" r:id="rId64"/>
          <w:footerReference w:type="first" r:id="rId65"/>
          <w:pgSz w:w="11907" w:h="16839" w:code="9"/>
          <w:pgMar w:top="1361" w:right="1797" w:bottom="1474" w:left="1797" w:header="283" w:footer="454" w:gutter="0"/>
          <w:cols w:space="708"/>
          <w:docGrid w:linePitch="360"/>
        </w:sectPr>
      </w:pPr>
    </w:p>
    <w:p w:rsidR="003B6DB1" w:rsidRDefault="003B6DB1" w:rsidP="003B6DB1">
      <w:pPr>
        <w:pStyle w:val="Heading1"/>
        <w:numPr>
          <w:ilvl w:val="0"/>
          <w:numId w:val="0"/>
        </w:numPr>
        <w:spacing w:before="0" w:line="264" w:lineRule="auto"/>
      </w:pPr>
      <w:bookmarkStart w:id="165" w:name="_Toc505928371"/>
      <w:bookmarkStart w:id="166" w:name="_Toc505932105"/>
      <w:bookmarkStart w:id="167" w:name="_Toc506277166"/>
      <w:bookmarkStart w:id="168" w:name="_Toc495580834"/>
      <w:bookmarkStart w:id="169" w:name="_Toc495613152"/>
      <w:bookmarkStart w:id="170" w:name="_Toc506277167"/>
      <w:r w:rsidRPr="006A2759">
        <w:rPr>
          <w:rStyle w:val="Heading1Char"/>
        </w:rPr>
        <w:lastRenderedPageBreak/>
        <w:t xml:space="preserve">Appendix </w:t>
      </w:r>
      <w:r>
        <w:rPr>
          <w:rStyle w:val="Heading1Char"/>
        </w:rPr>
        <w:t>B</w:t>
      </w:r>
      <w:r w:rsidRPr="006A2759">
        <w:rPr>
          <w:rStyle w:val="Heading1Char"/>
        </w:rPr>
        <w:t xml:space="preserve"> – </w:t>
      </w:r>
      <w:r>
        <w:t>Significant changes affecting the Disability Support Pension</w:t>
      </w:r>
      <w:bookmarkEnd w:id="165"/>
      <w:bookmarkEnd w:id="166"/>
      <w:bookmarkEnd w:id="167"/>
      <w:r>
        <w:t xml:space="preserve"> </w:t>
      </w:r>
    </w:p>
    <w:p w:rsidR="003B6DB1" w:rsidRDefault="003B6DB1" w:rsidP="003B6DB1">
      <w:pPr>
        <w:pStyle w:val="Caption"/>
      </w:pPr>
      <w:bookmarkStart w:id="171" w:name="_Ref503970610"/>
      <w:bookmarkStart w:id="172" w:name="_Ref503970829"/>
      <w:bookmarkEnd w:id="168"/>
      <w:bookmarkEnd w:id="169"/>
      <w:r w:rsidRPr="0002309C">
        <w:t xml:space="preserve">Table </w:t>
      </w:r>
      <w:r>
        <w:t>B</w:t>
      </w:r>
      <w:r w:rsidRPr="0002309C">
        <w:t>‒</w:t>
      </w:r>
      <w:fldSimple w:instr=" SEQ AppendixTable\s 8 ">
        <w:r w:rsidR="0036047A">
          <w:rPr>
            <w:noProof/>
          </w:rPr>
          <w:t>1</w:t>
        </w:r>
      </w:fldSimple>
      <w:bookmarkEnd w:id="171"/>
      <w:r w:rsidRPr="0002309C">
        <w:t xml:space="preserve">: </w:t>
      </w:r>
      <w:bookmarkStart w:id="173" w:name="_Ref503970611"/>
      <w:r>
        <w:t xml:space="preserve">Developments impacting the </w:t>
      </w:r>
      <w:bookmarkEnd w:id="172"/>
      <w:bookmarkEnd w:id="173"/>
      <w:r>
        <w:t>Disability Support Pension</w:t>
      </w:r>
    </w:p>
    <w:tbl>
      <w:tblPr>
        <w:tblStyle w:val="TableGrid"/>
        <w:tblW w:w="5000" w:type="pct"/>
        <w:tblLook w:val="04A0" w:firstRow="1" w:lastRow="0" w:firstColumn="1" w:lastColumn="0" w:noHBand="0" w:noVBand="1"/>
      </w:tblPr>
      <w:tblGrid>
        <w:gridCol w:w="1440"/>
        <w:gridCol w:w="6872"/>
      </w:tblGrid>
      <w:tr w:rsidR="003B6DB1" w:rsidTr="006B1D95">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866" w:type="pct"/>
          </w:tcPr>
          <w:p w:rsidR="003B6DB1" w:rsidRDefault="003B6DB1" w:rsidP="006B1D95">
            <w:pPr>
              <w:pStyle w:val="TableHeading"/>
            </w:pPr>
            <w:r>
              <w:t>Date</w:t>
            </w:r>
          </w:p>
        </w:tc>
        <w:tc>
          <w:tcPr>
            <w:tcW w:w="4134" w:type="pct"/>
          </w:tcPr>
          <w:p w:rsidR="003B6DB1" w:rsidRDefault="003B6DB1" w:rsidP="006B1D95">
            <w:pPr>
              <w:pStyle w:val="TableHeadingCentred"/>
              <w:jc w:val="left"/>
              <w:cnfStyle w:val="100000000000" w:firstRow="1" w:lastRow="0" w:firstColumn="0" w:lastColumn="0" w:oddVBand="0" w:evenVBand="0" w:oddHBand="0" w:evenHBand="0" w:firstRowFirstColumn="0" w:firstRowLastColumn="0" w:lastRowFirstColumn="0" w:lastRowLastColumn="0"/>
            </w:pPr>
            <w:r>
              <w:t>Development</w:t>
            </w:r>
          </w:p>
        </w:tc>
      </w:tr>
      <w:tr w:rsidR="003B6DB1" w:rsidTr="006B1D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FFFFFF" w:themeFill="background1"/>
          </w:tcPr>
          <w:p w:rsidR="003B6DB1" w:rsidRDefault="003B6DB1" w:rsidP="006B1D95">
            <w:pPr>
              <w:pStyle w:val="TableText"/>
            </w:pPr>
            <w:r>
              <w:t>1991</w:t>
            </w:r>
          </w:p>
        </w:tc>
        <w:tc>
          <w:tcPr>
            <w:tcW w:w="4134" w:type="pct"/>
            <w:shd w:val="clear" w:color="auto" w:fill="FFFFFF" w:themeFill="background1"/>
          </w:tcPr>
          <w:p w:rsidR="003B6DB1" w:rsidRDefault="003B6DB1" w:rsidP="006B1D95">
            <w:pPr>
              <w:pStyle w:val="TableTextCentred"/>
              <w:jc w:val="left"/>
              <w:cnfStyle w:val="000000100000" w:firstRow="0" w:lastRow="0" w:firstColumn="0" w:lastColumn="0" w:oddVBand="0" w:evenVBand="0" w:oddHBand="1" w:evenHBand="0" w:firstRowFirstColumn="0" w:firstRowLastColumn="0" w:lastRowFirstColumn="0" w:lastRowLastColumn="0"/>
            </w:pPr>
            <w:r>
              <w:t xml:space="preserve">Disability Support Pension replaces invalid pension – </w:t>
            </w:r>
            <w:r>
              <w:rPr>
                <w:i/>
              </w:rPr>
              <w:t>Social Security (Disability and Sickness Support) Amendment Act 1991</w:t>
            </w:r>
            <w:r>
              <w:t>.  Eligible recipients would need:</w:t>
            </w:r>
          </w:p>
          <w:p w:rsidR="003B6DB1" w:rsidRDefault="003B6DB1" w:rsidP="006B1D95">
            <w:pPr>
              <w:pStyle w:val="TableTextCentred"/>
              <w:numPr>
                <w:ilvl w:val="0"/>
                <w:numId w:val="23"/>
              </w:numPr>
              <w:ind w:left="397" w:hanging="284"/>
              <w:jc w:val="left"/>
              <w:cnfStyle w:val="000000100000" w:firstRow="0" w:lastRow="0" w:firstColumn="0" w:lastColumn="0" w:oddVBand="0" w:evenVBand="0" w:oddHBand="1" w:evenHBand="0" w:firstRowFirstColumn="0" w:firstRowLastColumn="0" w:lastRowFirstColumn="0" w:lastRowLastColumn="0"/>
            </w:pPr>
            <w:r>
              <w:t>to be 16 and over with a physical, intellectual or psychiatric impairment of 20 or more points under impairment tables</w:t>
            </w:r>
          </w:p>
          <w:p w:rsidR="003B6DB1" w:rsidRDefault="003B6DB1" w:rsidP="006B1D95">
            <w:pPr>
              <w:pStyle w:val="TableTextCentred"/>
              <w:numPr>
                <w:ilvl w:val="0"/>
                <w:numId w:val="23"/>
              </w:numPr>
              <w:ind w:left="397" w:hanging="284"/>
              <w:jc w:val="left"/>
              <w:cnfStyle w:val="000000100000" w:firstRow="0" w:lastRow="0" w:firstColumn="0" w:lastColumn="0" w:oddVBand="0" w:evenVBand="0" w:oddHBand="1" w:evenHBand="0" w:firstRowFirstColumn="0" w:firstRowLastColumn="0" w:lastRowFirstColumn="0" w:lastRowLastColumn="0"/>
            </w:pPr>
            <w:r>
              <w:t xml:space="preserve">demonstrate a continuing inability to work 30 hours a week at award wages within two years </w:t>
            </w:r>
          </w:p>
          <w:p w:rsidR="003B6DB1" w:rsidRPr="00BF6F82" w:rsidRDefault="003B6DB1" w:rsidP="006B1D95">
            <w:pPr>
              <w:pStyle w:val="TableTextCentred"/>
              <w:numPr>
                <w:ilvl w:val="0"/>
                <w:numId w:val="23"/>
              </w:numPr>
              <w:ind w:left="397" w:hanging="284"/>
              <w:jc w:val="left"/>
              <w:cnfStyle w:val="000000100000" w:firstRow="0" w:lastRow="0" w:firstColumn="0" w:lastColumn="0" w:oddVBand="0" w:evenVBand="0" w:oddHBand="1" w:evenHBand="0" w:firstRowFirstColumn="0" w:firstRowLastColumn="0" w:lastRowFirstColumn="0" w:lastRowLastColumn="0"/>
            </w:pPr>
            <w:r>
              <w:t>meet residency requirement of 10 years</w:t>
            </w:r>
          </w:p>
        </w:tc>
      </w:tr>
      <w:tr w:rsidR="003B6DB1" w:rsidTr="006B1D95">
        <w:trPr>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D7DDE9" w:themeFill="accent3"/>
          </w:tcPr>
          <w:p w:rsidR="003B6DB1" w:rsidRDefault="003B6DB1" w:rsidP="006B1D95">
            <w:pPr>
              <w:pStyle w:val="TableText"/>
            </w:pPr>
            <w:r>
              <w:t>1994</w:t>
            </w:r>
          </w:p>
        </w:tc>
        <w:tc>
          <w:tcPr>
            <w:tcW w:w="4134" w:type="pct"/>
            <w:shd w:val="clear" w:color="auto" w:fill="D7DDE9" w:themeFill="accent3"/>
          </w:tcPr>
          <w:p w:rsidR="003B6DB1" w:rsidRPr="00F100A8" w:rsidRDefault="003B6DB1" w:rsidP="006B1D95">
            <w:pPr>
              <w:pStyle w:val="TableTextCentred"/>
              <w:jc w:val="left"/>
              <w:cnfStyle w:val="000000000000" w:firstRow="0" w:lastRow="0" w:firstColumn="0" w:lastColumn="0" w:oddVBand="0" w:evenVBand="0" w:oddHBand="0" w:evenHBand="0" w:firstRowFirstColumn="0" w:firstRowLastColumn="0" w:lastRowFirstColumn="0" w:lastRowLastColumn="0"/>
              <w:rPr>
                <w:i/>
              </w:rPr>
            </w:pPr>
            <w:r w:rsidRPr="00F100A8">
              <w:rPr>
                <w:i/>
              </w:rPr>
              <w:t xml:space="preserve">Social Security Legislation Amendment Act 1994 </w:t>
            </w:r>
          </w:p>
          <w:p w:rsidR="003B6DB1" w:rsidRPr="00A840E6" w:rsidRDefault="003B6DB1" w:rsidP="006B1D95">
            <w:pPr>
              <w:pStyle w:val="TableTextBullet"/>
              <w:numPr>
                <w:ilvl w:val="0"/>
                <w:numId w:val="24"/>
              </w:numPr>
              <w:ind w:left="397" w:hanging="284"/>
              <w:cnfStyle w:val="000000000000" w:firstRow="0" w:lastRow="0" w:firstColumn="0" w:lastColumn="0" w:oddVBand="0" w:evenVBand="0" w:oddHBand="0" w:evenHBand="0" w:firstRowFirstColumn="0" w:firstRowLastColumn="0" w:lastRowFirstColumn="0" w:lastRowLastColumn="0"/>
            </w:pPr>
            <w:r w:rsidRPr="00BE5CB6">
              <w:t>Increase in Age Pension eligibility age for women from 60 to 65 moving more women onto the DSP going forward (1993</w:t>
            </w:r>
            <w:r>
              <w:t>–94</w:t>
            </w:r>
            <w:r w:rsidRPr="00BE5CB6">
              <w:t xml:space="preserve"> Budget measure)</w:t>
            </w:r>
          </w:p>
        </w:tc>
      </w:tr>
      <w:tr w:rsidR="003B6DB1" w:rsidTr="006B1D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FFFFFF" w:themeFill="background1"/>
          </w:tcPr>
          <w:p w:rsidR="003B6DB1" w:rsidRDefault="003B6DB1" w:rsidP="006B1D95">
            <w:pPr>
              <w:pStyle w:val="TableText"/>
            </w:pPr>
            <w:r>
              <w:t>1999</w:t>
            </w:r>
          </w:p>
        </w:tc>
        <w:tc>
          <w:tcPr>
            <w:tcW w:w="4134" w:type="pct"/>
            <w:shd w:val="clear" w:color="auto" w:fill="FFFFFF" w:themeFill="background1"/>
          </w:tcPr>
          <w:p w:rsidR="003B6DB1" w:rsidRDefault="003B6DB1" w:rsidP="006B1D95">
            <w:pPr>
              <w:pStyle w:val="TableTextCentred"/>
              <w:jc w:val="left"/>
              <w:cnfStyle w:val="000000100000" w:firstRow="0" w:lastRow="0" w:firstColumn="0" w:lastColumn="0" w:oddVBand="0" w:evenVBand="0" w:oddHBand="1" w:evenHBand="0" w:firstRowFirstColumn="0" w:firstRowLastColumn="0" w:lastRowFirstColumn="0" w:lastRowLastColumn="0"/>
            </w:pPr>
            <w:r w:rsidRPr="00F100A8">
              <w:rPr>
                <w:i/>
              </w:rPr>
              <w:t>A New Tax System (Compensation Measures Legislation Amendment) Act 1999</w:t>
            </w:r>
            <w:r w:rsidRPr="007140D0">
              <w:t xml:space="preserve"> </w:t>
            </w:r>
          </w:p>
          <w:p w:rsidR="003B6DB1" w:rsidRPr="007732B6" w:rsidRDefault="003B6DB1" w:rsidP="006B1D95">
            <w:pPr>
              <w:pStyle w:val="TableTextBullet"/>
              <w:numPr>
                <w:ilvl w:val="0"/>
                <w:numId w:val="10"/>
              </w:numPr>
              <w:ind w:left="397" w:hanging="284"/>
              <w:cnfStyle w:val="000000100000" w:firstRow="0" w:lastRow="0" w:firstColumn="0" w:lastColumn="0" w:oddVBand="0" w:evenVBand="0" w:oddHBand="1" w:evenHBand="0" w:firstRowFirstColumn="0" w:firstRowLastColumn="0" w:lastRowFirstColumn="0" w:lastRowLastColumn="0"/>
            </w:pPr>
            <w:r>
              <w:t xml:space="preserve">Introduction of the Pensioner Supplement </w:t>
            </w:r>
          </w:p>
        </w:tc>
      </w:tr>
      <w:tr w:rsidR="003B6DB1" w:rsidTr="006B1D95">
        <w:tc>
          <w:tcPr>
            <w:cnfStyle w:val="001000000000" w:firstRow="0" w:lastRow="0" w:firstColumn="1" w:lastColumn="0" w:oddVBand="0" w:evenVBand="0" w:oddHBand="0" w:evenHBand="0" w:firstRowFirstColumn="0" w:firstRowLastColumn="0" w:lastRowFirstColumn="0" w:lastRowLastColumn="0"/>
            <w:tcW w:w="866" w:type="pct"/>
            <w:shd w:val="clear" w:color="auto" w:fill="D7DDE9" w:themeFill="accent3"/>
          </w:tcPr>
          <w:p w:rsidR="003B6DB1" w:rsidRDefault="003B6DB1" w:rsidP="006B1D95">
            <w:pPr>
              <w:pStyle w:val="TableText"/>
            </w:pPr>
            <w:r>
              <w:t>2005</w:t>
            </w:r>
          </w:p>
        </w:tc>
        <w:tc>
          <w:tcPr>
            <w:tcW w:w="4134" w:type="pct"/>
            <w:shd w:val="clear" w:color="auto" w:fill="D7DDE9" w:themeFill="accent3"/>
          </w:tcPr>
          <w:p w:rsidR="003B6DB1" w:rsidRPr="00F100A8" w:rsidRDefault="003B6DB1" w:rsidP="006B1D95">
            <w:pPr>
              <w:pStyle w:val="TableTextCentred"/>
              <w:jc w:val="left"/>
              <w:cnfStyle w:val="000000000000" w:firstRow="0" w:lastRow="0" w:firstColumn="0" w:lastColumn="0" w:oddVBand="0" w:evenVBand="0" w:oddHBand="0" w:evenHBand="0" w:firstRowFirstColumn="0" w:firstRowLastColumn="0" w:lastRowFirstColumn="0" w:lastRowLastColumn="0"/>
              <w:rPr>
                <w:i/>
              </w:rPr>
            </w:pPr>
            <w:r w:rsidRPr="00F100A8">
              <w:rPr>
                <w:i/>
              </w:rPr>
              <w:t xml:space="preserve">Employment and Workplace Relations Legislation Amendment (Welfare to Work and Other Measures) Act 2005 </w:t>
            </w:r>
          </w:p>
          <w:p w:rsidR="003B6DB1" w:rsidRDefault="003B6DB1" w:rsidP="006B1D95">
            <w:pPr>
              <w:pStyle w:val="TableTextBullet"/>
              <w:numPr>
                <w:ilvl w:val="0"/>
                <w:numId w:val="0"/>
              </w:numPr>
              <w:ind w:left="113"/>
              <w:cnfStyle w:val="000000000000" w:firstRow="0" w:lastRow="0" w:firstColumn="0" w:lastColumn="0" w:oddVBand="0" w:evenVBand="0" w:oddHBand="0" w:evenHBand="0" w:firstRowFirstColumn="0" w:firstRowLastColumn="0" w:lastRowFirstColumn="0" w:lastRowLastColumn="0"/>
            </w:pPr>
            <w:r>
              <w:t>Welfare to Work reforms:</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New activity test moving from 30 to 15 hours or more of work per week at award wages within two years reducing the number of people eligible</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Workforce participation of 30 hours a week without losing the payment for recipients with an ongoing or regular program of support</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Extension of provision to preclude recipients from the payment if the person’s partner earns above Average Weekly Ordinary Time Earnings six months before claiming the DSP (except in cases of permanent blindness) targeting high-income workers who are not subject to an income maintenance period</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Removal of local labour market conditions in determining a person’s capacity to work (Grandfathering for recipients commencing before 10 May 2005)</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 xml:space="preserve">Introduces requirement of ‘continuing inability to work’ </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Voluntary participation available for DSP recipients to access Work for the Dole supplement of $20.80</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Applicants attend a Comprehensive Work Capacity Assessment to determine whether they are able to work 15 or more hours independently a week</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Those assessed with capacity to work 15 hours or more independently are referred to Disability Open Employment Service</w:t>
            </w:r>
          </w:p>
          <w:p w:rsidR="003B6DB1" w:rsidRDefault="003B6DB1" w:rsidP="006B1D95">
            <w:pPr>
              <w:pStyle w:val="TableTextBullet2"/>
              <w:numPr>
                <w:ilvl w:val="0"/>
                <w:numId w:val="25"/>
              </w:numPr>
              <w:ind w:left="397" w:hanging="284"/>
              <w:cnfStyle w:val="000000000000" w:firstRow="0" w:lastRow="0" w:firstColumn="0" w:lastColumn="0" w:oddVBand="0" w:evenVBand="0" w:oddHBand="0" w:evenHBand="0" w:firstRowFirstColumn="0" w:firstRowLastColumn="0" w:lastRowFirstColumn="0" w:lastRowLastColumn="0"/>
            </w:pPr>
            <w:r>
              <w:t>General grandfathering for claims made before 1 July 2006</w:t>
            </w:r>
          </w:p>
          <w:p w:rsidR="00013580" w:rsidRPr="00A840E6" w:rsidRDefault="00013580" w:rsidP="00013580">
            <w:pPr>
              <w:pStyle w:val="TableTextBullet2"/>
              <w:numPr>
                <w:ilvl w:val="0"/>
                <w:numId w:val="0"/>
              </w:numPr>
              <w:ind w:left="397"/>
              <w:cnfStyle w:val="000000000000" w:firstRow="0" w:lastRow="0" w:firstColumn="0" w:lastColumn="0" w:oddVBand="0" w:evenVBand="0" w:oddHBand="0" w:evenHBand="0" w:firstRowFirstColumn="0" w:firstRowLastColumn="0" w:lastRowFirstColumn="0" w:lastRowLastColumn="0"/>
            </w:pPr>
          </w:p>
        </w:tc>
      </w:tr>
      <w:tr w:rsidR="003B6DB1" w:rsidTr="006B1D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FFFFFF" w:themeFill="background1"/>
          </w:tcPr>
          <w:p w:rsidR="003B6DB1" w:rsidRDefault="003B6DB1" w:rsidP="006B1D95">
            <w:pPr>
              <w:pStyle w:val="TableText"/>
            </w:pPr>
            <w:r>
              <w:lastRenderedPageBreak/>
              <w:t>2009</w:t>
            </w:r>
          </w:p>
        </w:tc>
        <w:tc>
          <w:tcPr>
            <w:tcW w:w="4134" w:type="pct"/>
            <w:shd w:val="clear" w:color="auto" w:fill="FFFFFF" w:themeFill="background1"/>
          </w:tcPr>
          <w:p w:rsidR="003B6DB1" w:rsidRDefault="003B6DB1" w:rsidP="006B1D95">
            <w:pPr>
              <w:pStyle w:val="TableTextCentred"/>
              <w:jc w:val="left"/>
              <w:cnfStyle w:val="000000100000" w:firstRow="0" w:lastRow="0" w:firstColumn="0" w:lastColumn="0" w:oddVBand="0" w:evenVBand="0" w:oddHBand="1" w:evenHBand="0" w:firstRowFirstColumn="0" w:firstRowLastColumn="0" w:lastRowFirstColumn="0" w:lastRowLastColumn="0"/>
              <w:rPr>
                <w:i/>
              </w:rPr>
            </w:pPr>
            <w:r w:rsidRPr="00D62CC2">
              <w:rPr>
                <w:i/>
              </w:rPr>
              <w:t>Social Security and Other Legislation Amendment (Pension Reform and Other</w:t>
            </w:r>
            <w:r>
              <w:rPr>
                <w:i/>
              </w:rPr>
              <w:t xml:space="preserve"> 2009 Budget Measures) Act 2009</w:t>
            </w:r>
          </w:p>
          <w:p w:rsidR="003B6DB1" w:rsidRPr="00507B15" w:rsidRDefault="003B6DB1" w:rsidP="006B1D95">
            <w:pPr>
              <w:pStyle w:val="TableTextCentred"/>
              <w:jc w:val="left"/>
              <w:cnfStyle w:val="000000100000" w:firstRow="0" w:lastRow="0" w:firstColumn="0" w:lastColumn="0" w:oddVBand="0" w:evenVBand="0" w:oddHBand="1" w:evenHBand="0" w:firstRowFirstColumn="0" w:firstRowLastColumn="0" w:lastRowFirstColumn="0" w:lastRowLastColumn="0"/>
              <w:rPr>
                <w:i/>
              </w:rPr>
            </w:pPr>
            <w:r>
              <w:t>Secure and Sustainable Pension Reform package:</w:t>
            </w:r>
          </w:p>
          <w:p w:rsidR="003B6DB1" w:rsidRDefault="003B6DB1" w:rsidP="006B1D95">
            <w:pPr>
              <w:pStyle w:val="TableTextBullet"/>
              <w:numPr>
                <w:ilvl w:val="0"/>
                <w:numId w:val="26"/>
              </w:numPr>
              <w:ind w:left="397" w:hanging="284"/>
              <w:cnfStyle w:val="000000100000" w:firstRow="0" w:lastRow="0" w:firstColumn="0" w:lastColumn="0" w:oddVBand="0" w:evenVBand="0" w:oddHBand="1" w:evenHBand="0" w:firstRowFirstColumn="0" w:firstRowLastColumn="0" w:lastRowFirstColumn="0" w:lastRowLastColumn="0"/>
            </w:pPr>
            <w:r>
              <w:t xml:space="preserve">Increases in payment rates associated with Carbon Pollution Reduction Scheme compensation </w:t>
            </w:r>
          </w:p>
          <w:p w:rsidR="003B6DB1" w:rsidRDefault="003B6DB1" w:rsidP="006B1D95">
            <w:pPr>
              <w:pStyle w:val="TableTextBullet"/>
              <w:numPr>
                <w:ilvl w:val="0"/>
                <w:numId w:val="26"/>
              </w:numPr>
              <w:ind w:left="397" w:hanging="284"/>
              <w:cnfStyle w:val="000000100000" w:firstRow="0" w:lastRow="0" w:firstColumn="0" w:lastColumn="0" w:oddVBand="0" w:evenVBand="0" w:oddHBand="1" w:evenHBand="0" w:firstRowFirstColumn="0" w:firstRowLastColumn="0" w:lastRowFirstColumn="0" w:lastRowLastColumn="0"/>
            </w:pPr>
            <w:r>
              <w:t xml:space="preserve">Indexation of the legislated pension rate to the greater of CPI, MTAWE and Pensioner and Beneficiary Living Cost Index (PBLCI) </w:t>
            </w:r>
          </w:p>
          <w:p w:rsidR="003B6DB1" w:rsidRPr="00A840E6" w:rsidRDefault="003B6DB1" w:rsidP="006B1D95">
            <w:pPr>
              <w:pStyle w:val="TableTextCentred"/>
              <w:numPr>
                <w:ilvl w:val="0"/>
                <w:numId w:val="26"/>
              </w:numPr>
              <w:ind w:left="397" w:hanging="284"/>
              <w:jc w:val="left"/>
              <w:cnfStyle w:val="000000100000" w:firstRow="0" w:lastRow="0" w:firstColumn="0" w:lastColumn="0" w:oddVBand="0" w:evenVBand="0" w:oddHBand="1" w:evenHBand="0" w:firstRowFirstColumn="0" w:firstRowLastColumn="0" w:lastRowFirstColumn="0" w:lastRowLastColumn="0"/>
            </w:pPr>
            <w:r>
              <w:t>10 per cent increase in the benchmark rate from 25 per cent to 27.7 per cent of MTAWE</w:t>
            </w:r>
          </w:p>
        </w:tc>
      </w:tr>
      <w:tr w:rsidR="003B6DB1" w:rsidTr="006B1D95">
        <w:trPr>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D7DDE9" w:themeFill="accent3"/>
          </w:tcPr>
          <w:p w:rsidR="003B6DB1" w:rsidRDefault="003B6DB1" w:rsidP="006B1D95">
            <w:pPr>
              <w:pStyle w:val="TableText"/>
            </w:pPr>
            <w:r>
              <w:t>2011</w:t>
            </w:r>
          </w:p>
        </w:tc>
        <w:tc>
          <w:tcPr>
            <w:tcW w:w="4134" w:type="pct"/>
            <w:shd w:val="clear" w:color="auto" w:fill="D7DDE9" w:themeFill="accent3"/>
          </w:tcPr>
          <w:p w:rsidR="003B6DB1" w:rsidRPr="00B83157" w:rsidRDefault="003B6DB1" w:rsidP="006B1D95">
            <w:pPr>
              <w:pStyle w:val="TableTextCentred"/>
              <w:jc w:val="left"/>
              <w:cnfStyle w:val="000000000000" w:firstRow="0" w:lastRow="0" w:firstColumn="0" w:lastColumn="0" w:oddVBand="0" w:evenVBand="0" w:oddHBand="0" w:evenHBand="0" w:firstRowFirstColumn="0" w:firstRowLastColumn="0" w:lastRowFirstColumn="0" w:lastRowLastColumn="0"/>
              <w:rPr>
                <w:i/>
              </w:rPr>
            </w:pPr>
            <w:r w:rsidRPr="00B83157">
              <w:rPr>
                <w:i/>
              </w:rPr>
              <w:t xml:space="preserve">Family Assistance and Other Legislation Amendment Act 2011 </w:t>
            </w:r>
          </w:p>
          <w:p w:rsidR="003B6DB1" w:rsidRPr="00105830" w:rsidRDefault="003B6DB1" w:rsidP="006B1D95">
            <w:pPr>
              <w:pStyle w:val="TableTextBullet"/>
              <w:numPr>
                <w:ilvl w:val="0"/>
                <w:numId w:val="27"/>
              </w:numPr>
              <w:ind w:left="397" w:hanging="284"/>
              <w:cnfStyle w:val="000000000000" w:firstRow="0" w:lastRow="0" w:firstColumn="0" w:lastColumn="0" w:oddVBand="0" w:evenVBand="0" w:oddHBand="0" w:evenHBand="0" w:firstRowFirstColumn="0" w:firstRowLastColumn="0" w:lastRowFirstColumn="0" w:lastRowLastColumn="0"/>
            </w:pPr>
            <w:r>
              <w:t xml:space="preserve">Implementation of the 2010–11 Budget measure to introduce Job Capacity Assessments which take into account the capacity of applicants to participate in the workforce based on functional capacity, previous work history as well information about the condition of recipients. Unsuccessful applicants are referred to employment services.  Some approved applicants are referred for active participation in a program of support. </w:t>
            </w:r>
          </w:p>
        </w:tc>
      </w:tr>
      <w:tr w:rsidR="003B6DB1" w:rsidTr="006B1D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FFFFFF" w:themeFill="background1"/>
          </w:tcPr>
          <w:p w:rsidR="003B6DB1" w:rsidRDefault="003B6DB1" w:rsidP="006B1D95">
            <w:pPr>
              <w:pStyle w:val="TableText"/>
            </w:pPr>
            <w:r>
              <w:t>2011</w:t>
            </w:r>
          </w:p>
        </w:tc>
        <w:tc>
          <w:tcPr>
            <w:tcW w:w="4134" w:type="pct"/>
            <w:shd w:val="clear" w:color="auto" w:fill="FFFFFF" w:themeFill="background1"/>
          </w:tcPr>
          <w:p w:rsidR="003B6DB1" w:rsidRPr="00B83157" w:rsidRDefault="003B6DB1" w:rsidP="006B1D95">
            <w:pPr>
              <w:pStyle w:val="TableTextCentred"/>
              <w:jc w:val="left"/>
              <w:cnfStyle w:val="000000100000" w:firstRow="0" w:lastRow="0" w:firstColumn="0" w:lastColumn="0" w:oddVBand="0" w:evenVBand="0" w:oddHBand="1" w:evenHBand="0" w:firstRowFirstColumn="0" w:firstRowLastColumn="0" w:lastRowFirstColumn="0" w:lastRowLastColumn="0"/>
              <w:rPr>
                <w:i/>
              </w:rPr>
            </w:pPr>
            <w:r w:rsidRPr="00B83157">
              <w:rPr>
                <w:i/>
              </w:rPr>
              <w:t xml:space="preserve">Clean Energy (Household Assistance Amendments) Act 2011 </w:t>
            </w:r>
          </w:p>
          <w:p w:rsidR="003B6DB1" w:rsidRPr="00CF53DA" w:rsidRDefault="003B6DB1" w:rsidP="006B1D95">
            <w:pPr>
              <w:pStyle w:val="TableTextBullet"/>
              <w:numPr>
                <w:ilvl w:val="0"/>
                <w:numId w:val="9"/>
              </w:numPr>
              <w:ind w:left="397" w:hanging="284"/>
              <w:cnfStyle w:val="000000100000" w:firstRow="0" w:lastRow="0" w:firstColumn="0" w:lastColumn="0" w:oddVBand="0" w:evenVBand="0" w:oddHBand="1" w:evenHBand="0" w:firstRowFirstColumn="0" w:firstRowLastColumn="0" w:lastRowFirstColumn="0" w:lastRowLastColumn="0"/>
            </w:pPr>
            <w:r>
              <w:t>Clean Energy Supplement — increase in payment rate</w:t>
            </w:r>
          </w:p>
        </w:tc>
      </w:tr>
      <w:tr w:rsidR="003B6DB1" w:rsidTr="006B1D95">
        <w:trPr>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D7DDE9" w:themeFill="accent3"/>
          </w:tcPr>
          <w:p w:rsidR="003B6DB1" w:rsidRDefault="003B6DB1" w:rsidP="006B1D95">
            <w:pPr>
              <w:pStyle w:val="TableText"/>
            </w:pPr>
            <w:r>
              <w:t>2011</w:t>
            </w:r>
          </w:p>
        </w:tc>
        <w:tc>
          <w:tcPr>
            <w:tcW w:w="4134" w:type="pct"/>
            <w:shd w:val="clear" w:color="auto" w:fill="D7DDE9" w:themeFill="accent3"/>
          </w:tcPr>
          <w:p w:rsidR="003B6DB1" w:rsidRPr="00A771A8" w:rsidRDefault="003B6DB1" w:rsidP="006B1D95">
            <w:pPr>
              <w:pStyle w:val="TableTextCentred"/>
              <w:jc w:val="left"/>
              <w:cnfStyle w:val="000000000000" w:firstRow="0" w:lastRow="0" w:firstColumn="0" w:lastColumn="0" w:oddVBand="0" w:evenVBand="0" w:oddHBand="0" w:evenHBand="0" w:firstRowFirstColumn="0" w:firstRowLastColumn="0" w:lastRowFirstColumn="0" w:lastRowLastColumn="0"/>
              <w:rPr>
                <w:i/>
              </w:rPr>
            </w:pPr>
            <w:r w:rsidRPr="00A771A8">
              <w:rPr>
                <w:i/>
              </w:rPr>
              <w:t>Social Security (Tables for the Assessment of Work-related Impairment for Disability Support Pension) Determination 2011</w:t>
            </w:r>
          </w:p>
          <w:p w:rsidR="003B6DB1" w:rsidRPr="00A771A8" w:rsidRDefault="003B6DB1" w:rsidP="006B1D95">
            <w:pPr>
              <w:pStyle w:val="TableTextBullet"/>
              <w:numPr>
                <w:ilvl w:val="0"/>
                <w:numId w:val="27"/>
              </w:numPr>
              <w:ind w:left="397" w:hanging="284"/>
              <w:cnfStyle w:val="000000000000" w:firstRow="0" w:lastRow="0" w:firstColumn="0" w:lastColumn="0" w:oddVBand="0" w:evenVBand="0" w:oddHBand="0" w:evenHBand="0" w:firstRowFirstColumn="0" w:firstRowLastColumn="0" w:lastRowFirstColumn="0" w:lastRowLastColumn="0"/>
            </w:pPr>
            <w:r w:rsidRPr="00A771A8">
              <w:t xml:space="preserve">Implementation of the 2009–10 Budget measure </w:t>
            </w:r>
            <w:r w:rsidRPr="00A771A8">
              <w:rPr>
                <w:i/>
              </w:rPr>
              <w:t>Disability Support Pension— Better and Fairer Assessment of Work-related Impairment for Disability Support Pension</w:t>
            </w:r>
            <w:r w:rsidRPr="00A771A8">
              <w:t xml:space="preserve"> by introducing new impairment tables from 1 January 2012 that assess applicants based on physical capacity rather than medical diagnoses</w:t>
            </w:r>
            <w:r>
              <w:t>.</w:t>
            </w:r>
          </w:p>
        </w:tc>
      </w:tr>
      <w:tr w:rsidR="003B6DB1" w:rsidTr="006B1D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FFFFFF" w:themeFill="background1"/>
          </w:tcPr>
          <w:p w:rsidR="003B6DB1" w:rsidRDefault="003B6DB1" w:rsidP="006B1D95">
            <w:pPr>
              <w:pStyle w:val="TableText"/>
            </w:pPr>
            <w:r>
              <w:t>2012</w:t>
            </w:r>
          </w:p>
        </w:tc>
        <w:tc>
          <w:tcPr>
            <w:tcW w:w="4134" w:type="pct"/>
            <w:shd w:val="clear" w:color="auto" w:fill="FFFFFF" w:themeFill="background1"/>
          </w:tcPr>
          <w:p w:rsidR="003B6DB1" w:rsidRPr="00E579E9" w:rsidRDefault="003B6DB1" w:rsidP="006B1D95">
            <w:pPr>
              <w:pStyle w:val="TableTextCentred"/>
              <w:jc w:val="left"/>
              <w:cnfStyle w:val="000000100000" w:firstRow="0" w:lastRow="0" w:firstColumn="0" w:lastColumn="0" w:oddVBand="0" w:evenVBand="0" w:oddHBand="1" w:evenHBand="0" w:firstRowFirstColumn="0" w:firstRowLastColumn="0" w:lastRowFirstColumn="0" w:lastRowLastColumn="0"/>
              <w:rPr>
                <w:i/>
              </w:rPr>
            </w:pPr>
            <w:r w:rsidRPr="00E579E9">
              <w:rPr>
                <w:i/>
              </w:rPr>
              <w:t xml:space="preserve">Social Security and Other Legislation Amendment (Disability Support Pension Participation Reforms) Act 2012 </w:t>
            </w:r>
          </w:p>
          <w:p w:rsidR="003B6DB1" w:rsidRPr="0017770F" w:rsidRDefault="003B6DB1" w:rsidP="006B1D95">
            <w:pPr>
              <w:pStyle w:val="TableTextCentred"/>
              <w:jc w:val="left"/>
              <w:cnfStyle w:val="000000100000" w:firstRow="0" w:lastRow="0" w:firstColumn="0" w:lastColumn="0" w:oddVBand="0" w:evenVBand="0" w:oddHBand="1" w:evenHBand="0" w:firstRowFirstColumn="0" w:firstRowLastColumn="0" w:lastRowFirstColumn="0" w:lastRowLastColumn="0"/>
            </w:pPr>
            <w:r>
              <w:t xml:space="preserve">Gives effect to 2011–12 Budget package </w:t>
            </w:r>
            <w:r>
              <w:rPr>
                <w:i/>
              </w:rPr>
              <w:t xml:space="preserve">Building Australia’s Future Workforce </w:t>
            </w:r>
            <w:r>
              <w:t>to:</w:t>
            </w:r>
          </w:p>
          <w:p w:rsidR="003B6DB1" w:rsidRDefault="003B6DB1" w:rsidP="006B1D95">
            <w:pPr>
              <w:pStyle w:val="TableTextBullet"/>
              <w:numPr>
                <w:ilvl w:val="0"/>
                <w:numId w:val="9"/>
              </w:numPr>
              <w:ind w:left="397" w:hanging="284"/>
              <w:cnfStyle w:val="000000100000" w:firstRow="0" w:lastRow="0" w:firstColumn="0" w:lastColumn="0" w:oddVBand="0" w:evenVBand="0" w:oddHBand="1" w:evenHBand="0" w:firstRowFirstColumn="0" w:firstRowLastColumn="0" w:lastRowFirstColumn="0" w:lastRowLastColumn="0"/>
            </w:pPr>
            <w:r>
              <w:t xml:space="preserve">Allow DSP recipients to work up to 30 hours without having their payment suspended or cancelled </w:t>
            </w:r>
          </w:p>
          <w:p w:rsidR="003B6DB1" w:rsidRDefault="003B6DB1" w:rsidP="006B1D95">
            <w:pPr>
              <w:pStyle w:val="TableTextBullet"/>
              <w:numPr>
                <w:ilvl w:val="0"/>
                <w:numId w:val="9"/>
              </w:numPr>
              <w:ind w:left="397" w:hanging="284"/>
              <w:cnfStyle w:val="000000100000" w:firstRow="0" w:lastRow="0" w:firstColumn="0" w:lastColumn="0" w:oddVBand="0" w:evenVBand="0" w:oddHBand="1" w:evenHBand="0" w:firstRowFirstColumn="0" w:firstRowLastColumn="0" w:lastRowFirstColumn="0" w:lastRowLastColumn="0"/>
            </w:pPr>
            <w:r>
              <w:t>Require that recipients under 35 with a work capacity of at least eight hours a week engage with Centrelink through an initial participant’s interview and develop a participation plan</w:t>
            </w:r>
          </w:p>
          <w:p w:rsidR="003B6DB1" w:rsidRPr="00A55D65" w:rsidRDefault="003B6DB1" w:rsidP="006B1D95">
            <w:pPr>
              <w:pStyle w:val="TableTextBullet"/>
              <w:numPr>
                <w:ilvl w:val="0"/>
                <w:numId w:val="9"/>
              </w:numPr>
              <w:ind w:left="397" w:hanging="284"/>
              <w:cnfStyle w:val="000000100000" w:firstRow="0" w:lastRow="0" w:firstColumn="0" w:lastColumn="0" w:oddVBand="0" w:evenVBand="0" w:oddHBand="1" w:evenHBand="0" w:firstRowFirstColumn="0" w:firstRowLastColumn="0" w:lastRowFirstColumn="0" w:lastRowLastColumn="0"/>
            </w:pPr>
            <w:r>
              <w:t xml:space="preserve">Limiting portability of the payment while overseas </w:t>
            </w:r>
          </w:p>
        </w:tc>
      </w:tr>
      <w:tr w:rsidR="003B6DB1" w:rsidTr="006B1D95">
        <w:trPr>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D7DDE9" w:themeFill="accent3"/>
          </w:tcPr>
          <w:p w:rsidR="003B6DB1" w:rsidRDefault="003B6DB1" w:rsidP="006B1D95">
            <w:pPr>
              <w:pStyle w:val="TableText"/>
            </w:pPr>
            <w:r>
              <w:t>2014</w:t>
            </w:r>
          </w:p>
        </w:tc>
        <w:tc>
          <w:tcPr>
            <w:tcW w:w="4134" w:type="pct"/>
            <w:shd w:val="clear" w:color="auto" w:fill="D7DDE9" w:themeFill="accent3"/>
          </w:tcPr>
          <w:p w:rsidR="003B6DB1" w:rsidRPr="00E579E9" w:rsidRDefault="003B6DB1" w:rsidP="006B1D95">
            <w:pPr>
              <w:pStyle w:val="TableTextCentred"/>
              <w:jc w:val="left"/>
              <w:cnfStyle w:val="000000000000" w:firstRow="0" w:lastRow="0" w:firstColumn="0" w:lastColumn="0" w:oddVBand="0" w:evenVBand="0" w:oddHBand="0" w:evenHBand="0" w:firstRowFirstColumn="0" w:firstRowLastColumn="0" w:lastRowFirstColumn="0" w:lastRowLastColumn="0"/>
              <w:rPr>
                <w:i/>
              </w:rPr>
            </w:pPr>
            <w:r w:rsidRPr="00E579E9">
              <w:rPr>
                <w:i/>
              </w:rPr>
              <w:t xml:space="preserve">Social Services and Other Legislation Amendment (2014 Budget Measures No. 6) Act 2014 </w:t>
            </w:r>
          </w:p>
          <w:p w:rsidR="003B6DB1" w:rsidRPr="00105E51" w:rsidRDefault="003B6DB1" w:rsidP="006B1D95">
            <w:pPr>
              <w:pStyle w:val="TableTextBullet"/>
              <w:numPr>
                <w:ilvl w:val="0"/>
                <w:numId w:val="9"/>
              </w:numPr>
              <w:ind w:left="397" w:hanging="284"/>
              <w:cnfStyle w:val="000000000000" w:firstRow="0" w:lastRow="0" w:firstColumn="0" w:lastColumn="0" w:oddVBand="0" w:evenVBand="0" w:oddHBand="0" w:evenHBand="0" w:firstRowFirstColumn="0" w:firstRowLastColumn="0" w:lastRowFirstColumn="0" w:lastRowLastColumn="0"/>
            </w:pPr>
            <w:r>
              <w:t xml:space="preserve">Establishes reviews of new DSP recipients under 35 who commenced between 2008 and 2011 </w:t>
            </w:r>
          </w:p>
          <w:p w:rsidR="003B6DB1" w:rsidRPr="00A634D6" w:rsidRDefault="003B6DB1" w:rsidP="006B1D95">
            <w:pPr>
              <w:pStyle w:val="TableTextBullet"/>
              <w:numPr>
                <w:ilvl w:val="0"/>
                <w:numId w:val="9"/>
              </w:numPr>
              <w:ind w:left="397" w:hanging="284"/>
              <w:cnfStyle w:val="000000000000" w:firstRow="0" w:lastRow="0" w:firstColumn="0" w:lastColumn="0" w:oddVBand="0" w:evenVBand="0" w:oddHBand="0" w:evenHBand="0" w:firstRowFirstColumn="0" w:firstRowLastColumn="0" w:lastRowFirstColumn="0" w:lastRowLastColumn="0"/>
            </w:pPr>
            <w:r>
              <w:t>Further limit DSP portability to 28 days in a 12-month period from 1 January 2015</w:t>
            </w:r>
          </w:p>
        </w:tc>
      </w:tr>
      <w:tr w:rsidR="003B6DB1" w:rsidTr="006B1D9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FFFFFF" w:themeFill="background1"/>
          </w:tcPr>
          <w:p w:rsidR="003B6DB1" w:rsidRDefault="003B6DB1" w:rsidP="006B1D95">
            <w:pPr>
              <w:pStyle w:val="TableText"/>
            </w:pPr>
            <w:r>
              <w:t>2014</w:t>
            </w:r>
          </w:p>
        </w:tc>
        <w:tc>
          <w:tcPr>
            <w:tcW w:w="4134" w:type="pct"/>
            <w:shd w:val="clear" w:color="auto" w:fill="FFFFFF" w:themeFill="background1"/>
          </w:tcPr>
          <w:p w:rsidR="003B6DB1" w:rsidRPr="00A840E6" w:rsidRDefault="003B6DB1" w:rsidP="006B1D95">
            <w:pPr>
              <w:pStyle w:val="TableTextCentred"/>
              <w:jc w:val="left"/>
              <w:cnfStyle w:val="000000100000" w:firstRow="0" w:lastRow="0" w:firstColumn="0" w:lastColumn="0" w:oddVBand="0" w:evenVBand="0" w:oddHBand="1" w:evenHBand="0" w:firstRowFirstColumn="0" w:firstRowLastColumn="0" w:lastRowFirstColumn="0" w:lastRowLastColumn="0"/>
            </w:pPr>
            <w:r>
              <w:t>Revised assessment process introducing Government Contracted Doctors to replace treating doctors’ reports on recipient applications</w:t>
            </w:r>
          </w:p>
        </w:tc>
      </w:tr>
      <w:tr w:rsidR="003B6DB1" w:rsidTr="006B1D95">
        <w:trPr>
          <w:cantSplit/>
        </w:trPr>
        <w:tc>
          <w:tcPr>
            <w:cnfStyle w:val="001000000000" w:firstRow="0" w:lastRow="0" w:firstColumn="1" w:lastColumn="0" w:oddVBand="0" w:evenVBand="0" w:oddHBand="0" w:evenHBand="0" w:firstRowFirstColumn="0" w:firstRowLastColumn="0" w:lastRowFirstColumn="0" w:lastRowLastColumn="0"/>
            <w:tcW w:w="866" w:type="pct"/>
            <w:shd w:val="clear" w:color="auto" w:fill="D7DDE9" w:themeFill="accent3"/>
          </w:tcPr>
          <w:p w:rsidR="003B6DB1" w:rsidRDefault="003B6DB1" w:rsidP="006B1D95">
            <w:pPr>
              <w:pStyle w:val="TableText"/>
            </w:pPr>
            <w:r>
              <w:t>2017</w:t>
            </w:r>
          </w:p>
        </w:tc>
        <w:tc>
          <w:tcPr>
            <w:tcW w:w="4134" w:type="pct"/>
            <w:shd w:val="clear" w:color="auto" w:fill="D7DDE9" w:themeFill="accent3"/>
          </w:tcPr>
          <w:p w:rsidR="003B6DB1" w:rsidRPr="00A840E6" w:rsidRDefault="003B6DB1" w:rsidP="006B1D95">
            <w:pPr>
              <w:pStyle w:val="TableTextCentred"/>
              <w:jc w:val="left"/>
              <w:cnfStyle w:val="000000000000" w:firstRow="0" w:lastRow="0" w:firstColumn="0" w:lastColumn="0" w:oddVBand="0" w:evenVBand="0" w:oddHBand="0" w:evenHBand="0" w:firstRowFirstColumn="0" w:firstRowLastColumn="0" w:lastRowFirstColumn="0" w:lastRowLastColumn="0"/>
            </w:pPr>
            <w:r>
              <w:t>Increase in residency requirement for recipients from 10 to 15 years from 1 July 2018</w:t>
            </w:r>
          </w:p>
        </w:tc>
      </w:tr>
    </w:tbl>
    <w:p w:rsidR="003B6DB1" w:rsidRDefault="003B6DB1" w:rsidP="003B6DB1">
      <w:pPr>
        <w:pStyle w:val="BodyText"/>
        <w:sectPr w:rsidR="003B6DB1" w:rsidSect="003B6DB1">
          <w:type w:val="oddPage"/>
          <w:pgSz w:w="11906" w:h="16838" w:code="9"/>
          <w:pgMar w:top="1361" w:right="1797" w:bottom="1474" w:left="1797" w:header="284" w:footer="454" w:gutter="0"/>
          <w:cols w:space="708"/>
          <w:docGrid w:linePitch="360"/>
        </w:sectPr>
      </w:pPr>
    </w:p>
    <w:p w:rsidR="001650ED" w:rsidRPr="002F58AB" w:rsidRDefault="00DD256B" w:rsidP="00AF5122">
      <w:pPr>
        <w:pStyle w:val="Heading1"/>
        <w:numPr>
          <w:ilvl w:val="0"/>
          <w:numId w:val="0"/>
        </w:numPr>
        <w:spacing w:before="0"/>
        <w:ind w:left="765" w:hanging="765"/>
      </w:pPr>
      <w:r w:rsidRPr="00596A92">
        <w:rPr>
          <w:rStyle w:val="Heading1Char"/>
          <w:bCs/>
        </w:rPr>
        <w:lastRenderedPageBreak/>
        <w:t>Appendix C</w:t>
      </w:r>
      <w:r w:rsidRPr="00AD55FC">
        <w:rPr>
          <w:rStyle w:val="Heading1Char"/>
          <w:bCs/>
        </w:rPr>
        <w:t xml:space="preserve"> – </w:t>
      </w:r>
      <w:bookmarkStart w:id="174" w:name="_Toc505928372"/>
      <w:bookmarkStart w:id="175" w:name="_Toc505932106"/>
      <w:r w:rsidR="001650ED" w:rsidRPr="002F58AB">
        <w:t>References</w:t>
      </w:r>
      <w:bookmarkEnd w:id="174"/>
      <w:bookmarkEnd w:id="175"/>
      <w:bookmarkEnd w:id="170"/>
    </w:p>
    <w:p w:rsidR="00E74369" w:rsidRDefault="00BE5CC1">
      <w:pPr>
        <w:pStyle w:val="BodyText"/>
      </w:pPr>
      <w:r>
        <w:t xml:space="preserve">Australian Bureau of Statistics </w:t>
      </w:r>
      <w:r w:rsidR="00456F8F">
        <w:t xml:space="preserve">2017, </w:t>
      </w:r>
      <w:r w:rsidR="00E74369">
        <w:rPr>
          <w:i/>
        </w:rPr>
        <w:t>Australian National Accounts</w:t>
      </w:r>
      <w:r w:rsidR="00E74369">
        <w:t>, Cat. No. 5202, Canberra.</w:t>
      </w:r>
    </w:p>
    <w:p w:rsidR="00D826C8" w:rsidRPr="00D826C8" w:rsidRDefault="00D826C8">
      <w:pPr>
        <w:pStyle w:val="BodyText"/>
      </w:pPr>
      <w:r>
        <w:t xml:space="preserve">— </w:t>
      </w:r>
      <w:r>
        <w:rPr>
          <w:i/>
        </w:rPr>
        <w:t xml:space="preserve">Australian Demographic </w:t>
      </w:r>
      <w:proofErr w:type="gramStart"/>
      <w:r>
        <w:rPr>
          <w:i/>
        </w:rPr>
        <w:t>Statistics,</w:t>
      </w:r>
      <w:proofErr w:type="gramEnd"/>
      <w:r>
        <w:rPr>
          <w:i/>
        </w:rPr>
        <w:t xml:space="preserve"> </w:t>
      </w:r>
      <w:r>
        <w:t>Cat. No. 3101, Canberra.</w:t>
      </w:r>
    </w:p>
    <w:p w:rsidR="00E74369" w:rsidRDefault="00D826C8">
      <w:pPr>
        <w:pStyle w:val="BodyText"/>
      </w:pPr>
      <w:r>
        <w:t xml:space="preserve">— </w:t>
      </w:r>
      <w:r w:rsidR="00E74369">
        <w:rPr>
          <w:i/>
        </w:rPr>
        <w:t xml:space="preserve">Consumer Price Index, </w:t>
      </w:r>
      <w:r w:rsidR="00E74369">
        <w:t>Cat. No. 6401, Canberra.</w:t>
      </w:r>
    </w:p>
    <w:p w:rsidR="001650ED" w:rsidRDefault="0027739D">
      <w:pPr>
        <w:pStyle w:val="BodyText"/>
      </w:pPr>
      <w:r>
        <w:t>—</w:t>
      </w:r>
      <w:r w:rsidR="00E74369">
        <w:t xml:space="preserve"> </w:t>
      </w:r>
      <w:r w:rsidR="00456F8F">
        <w:rPr>
          <w:i/>
        </w:rPr>
        <w:t>Disability, Ageing and Carers, Australia</w:t>
      </w:r>
      <w:r w:rsidR="00456F8F">
        <w:t>, Cat.</w:t>
      </w:r>
      <w:r w:rsidR="00E74369">
        <w:t> </w:t>
      </w:r>
      <w:r w:rsidR="00456F8F">
        <w:t>No.</w:t>
      </w:r>
      <w:r w:rsidR="00456F8F">
        <w:rPr>
          <w:i/>
        </w:rPr>
        <w:t> </w:t>
      </w:r>
      <w:r w:rsidR="00896D0C">
        <w:t>4430</w:t>
      </w:r>
      <w:r w:rsidR="00456F8F">
        <w:t>, Canberra.</w:t>
      </w:r>
    </w:p>
    <w:p w:rsidR="00E74369" w:rsidRPr="00E74369" w:rsidRDefault="007410E5">
      <w:pPr>
        <w:pStyle w:val="BodyText"/>
      </w:pPr>
      <w:r>
        <w:t>—</w:t>
      </w:r>
      <w:r w:rsidR="00E74369">
        <w:rPr>
          <w:i/>
        </w:rPr>
        <w:t>Labour Force Australia</w:t>
      </w:r>
      <w:r w:rsidR="00E74369">
        <w:t>, Cat. No. 6202, Canberra.</w:t>
      </w:r>
    </w:p>
    <w:p w:rsidR="00822531" w:rsidRPr="001707B3" w:rsidRDefault="00822531" w:rsidP="00822531">
      <w:pPr>
        <w:pStyle w:val="BodyText"/>
      </w:pPr>
      <w:r>
        <w:t xml:space="preserve">Australian Government </w:t>
      </w:r>
      <w:r>
        <w:rPr>
          <w:i/>
        </w:rPr>
        <w:t xml:space="preserve">Budget Papers </w:t>
      </w:r>
      <w:r>
        <w:t xml:space="preserve">and </w:t>
      </w:r>
      <w:r>
        <w:rPr>
          <w:i/>
        </w:rPr>
        <w:t xml:space="preserve">Annual Reports </w:t>
      </w:r>
      <w:r>
        <w:t>(various)</w:t>
      </w:r>
    </w:p>
    <w:p w:rsidR="00896D0C" w:rsidRDefault="00896D0C">
      <w:pPr>
        <w:pStyle w:val="BodyText"/>
      </w:pPr>
      <w:proofErr w:type="gramStart"/>
      <w:r>
        <w:t>Australian National Audit Office Report 2016</w:t>
      </w:r>
      <w:r w:rsidR="00A21A0C">
        <w:t>,</w:t>
      </w:r>
      <w:r>
        <w:t xml:space="preserve"> </w:t>
      </w:r>
      <w:r>
        <w:rPr>
          <w:i/>
        </w:rPr>
        <w:t xml:space="preserve">Qualifying for the National Disability Support Pension, </w:t>
      </w:r>
      <w:r>
        <w:t>Report 18 of 2015</w:t>
      </w:r>
      <w:r>
        <w:softHyphen/>
        <w:t>–16.</w:t>
      </w:r>
      <w:proofErr w:type="gramEnd"/>
    </w:p>
    <w:p w:rsidR="00896D0C" w:rsidRDefault="00896D0C" w:rsidP="00896D0C">
      <w:pPr>
        <w:pStyle w:val="BodyText"/>
      </w:pPr>
      <w:proofErr w:type="gramStart"/>
      <w:r>
        <w:t>Burkhauser, R V</w:t>
      </w:r>
      <w:r w:rsidR="007B6199">
        <w:t>,</w:t>
      </w:r>
      <w:r>
        <w:t xml:space="preserve"> Daly, M C </w:t>
      </w:r>
      <w:r w:rsidR="00E74369">
        <w:t>&amp;</w:t>
      </w:r>
      <w:r>
        <w:t xml:space="preserve"> Lucking, B T 2013, ‘Is Australia one recession away from a disability blowout?</w:t>
      </w:r>
      <w:proofErr w:type="gramEnd"/>
      <w:r>
        <w:t xml:space="preserve"> </w:t>
      </w:r>
      <w:proofErr w:type="gramStart"/>
      <w:r>
        <w:t>Lessons from other Organisation for Economic Co-operation and Development countries</w:t>
      </w:r>
      <w:r w:rsidR="00BA6927">
        <w:t>’</w:t>
      </w:r>
      <w:r>
        <w:t xml:space="preserve">, </w:t>
      </w:r>
      <w:r>
        <w:rPr>
          <w:i/>
        </w:rPr>
        <w:t xml:space="preserve">The Australian Economic Review, </w:t>
      </w:r>
      <w:r>
        <w:t>vol. 46, no. 3, pp.357–68.</w:t>
      </w:r>
      <w:proofErr w:type="gramEnd"/>
    </w:p>
    <w:p w:rsidR="00896D0C" w:rsidRDefault="00512230" w:rsidP="00896D0C">
      <w:pPr>
        <w:pStyle w:val="BodyText"/>
      </w:pPr>
      <w:proofErr w:type="gramStart"/>
      <w:r>
        <w:t>Cai</w:t>
      </w:r>
      <w:proofErr w:type="gramEnd"/>
      <w:r>
        <w:t>, V</w:t>
      </w:r>
      <w:r w:rsidR="007B6199">
        <w:t>,</w:t>
      </w:r>
      <w:r>
        <w:t xml:space="preserve"> Vu, H </w:t>
      </w:r>
      <w:r w:rsidR="00E74369">
        <w:t>&amp;</w:t>
      </w:r>
      <w:r>
        <w:t xml:space="preserve"> Wilkins, R 2007,</w:t>
      </w:r>
      <w:r w:rsidR="00603007">
        <w:t xml:space="preserve"> </w:t>
      </w:r>
      <w:r>
        <w:t>‘</w:t>
      </w:r>
      <w:r w:rsidR="00603007">
        <w:t>Disability Support Pension recipients: Who get</w:t>
      </w:r>
      <w:r>
        <w:t>s off (and stays off) payments?’</w:t>
      </w:r>
      <w:r w:rsidR="00603007">
        <w:t xml:space="preserve"> </w:t>
      </w:r>
      <w:r w:rsidRPr="00504CFE">
        <w:rPr>
          <w:i/>
        </w:rPr>
        <w:t xml:space="preserve">The </w:t>
      </w:r>
      <w:r w:rsidR="00603007" w:rsidRPr="00504CFE">
        <w:rPr>
          <w:i/>
        </w:rPr>
        <w:t xml:space="preserve">Australian Economic </w:t>
      </w:r>
      <w:r w:rsidRPr="00504CFE">
        <w:rPr>
          <w:i/>
        </w:rPr>
        <w:t>Review</w:t>
      </w:r>
      <w:r w:rsidR="00603007">
        <w:t xml:space="preserve">, </w:t>
      </w:r>
      <w:r>
        <w:t>v</w:t>
      </w:r>
      <w:r w:rsidR="00603007">
        <w:t>ol. 40, pp. 37-61.</w:t>
      </w:r>
    </w:p>
    <w:p w:rsidR="00A21A0C" w:rsidRPr="00C12424" w:rsidRDefault="00A21A0C" w:rsidP="00A21A0C">
      <w:pPr>
        <w:pStyle w:val="BodyText"/>
      </w:pPr>
      <w:r>
        <w:t xml:space="preserve">Department of Family and Community Services 2000, </w:t>
      </w:r>
      <w:r>
        <w:rPr>
          <w:i/>
        </w:rPr>
        <w:t xml:space="preserve">Participation Support for a More Equitable Society: final report of the Reference Group on Welfare Reform, </w:t>
      </w:r>
      <w:r>
        <w:t>Canberra.</w:t>
      </w:r>
    </w:p>
    <w:p w:rsidR="002F2889" w:rsidRPr="001707B3" w:rsidRDefault="002F2889" w:rsidP="00FE7AAC">
      <w:pPr>
        <w:pStyle w:val="BodyText"/>
      </w:pPr>
      <w:r>
        <w:t xml:space="preserve">Department of Social Security 1988, </w:t>
      </w:r>
      <w:proofErr w:type="gramStart"/>
      <w:r>
        <w:rPr>
          <w:i/>
        </w:rPr>
        <w:t>Towards</w:t>
      </w:r>
      <w:proofErr w:type="gramEnd"/>
      <w:r>
        <w:rPr>
          <w:i/>
        </w:rPr>
        <w:t xml:space="preserve"> enabling policies: income support for people with disabilities</w:t>
      </w:r>
      <w:r>
        <w:t>, Canberra.</w:t>
      </w:r>
    </w:p>
    <w:p w:rsidR="00FE7AAC" w:rsidRPr="009360B3" w:rsidRDefault="00FE7AAC" w:rsidP="00FE7AAC">
      <w:pPr>
        <w:pStyle w:val="BodyText"/>
      </w:pPr>
      <w:r>
        <w:t xml:space="preserve">McVicar, D </w:t>
      </w:r>
      <w:r w:rsidR="007B6199">
        <w:t xml:space="preserve">&amp; </w:t>
      </w:r>
      <w:r>
        <w:t>Wilkins, R 2013, ‘Explaining the Growth in the Number of Recipients of the Disability Support Pension in Australia</w:t>
      </w:r>
      <w:r w:rsidR="00BA6927">
        <w:t>,</w:t>
      </w:r>
      <w:r>
        <w:t xml:space="preserve">’ </w:t>
      </w:r>
      <w:r>
        <w:rPr>
          <w:i/>
        </w:rPr>
        <w:t xml:space="preserve">The Australian Economic Review, </w:t>
      </w:r>
      <w:r>
        <w:t>vol. 28, no. 3, pp. 345–56</w:t>
      </w:r>
      <w:r w:rsidR="00514A42">
        <w:t>.</w:t>
      </w:r>
    </w:p>
    <w:p w:rsidR="00514A42" w:rsidRDefault="00514A42" w:rsidP="001707B3">
      <w:pPr>
        <w:pStyle w:val="BodyText"/>
      </w:pPr>
      <w:r>
        <w:t>Productivity Commission 2011, ‘</w:t>
      </w:r>
      <w:r w:rsidR="00684FA8">
        <w:t>Appendix K: The Disability Support Pension’</w:t>
      </w:r>
      <w:r>
        <w:t xml:space="preserve">, </w:t>
      </w:r>
      <w:r w:rsidRPr="00684FA8">
        <w:rPr>
          <w:i/>
        </w:rPr>
        <w:t>Productivity Commission Inquiry Report</w:t>
      </w:r>
      <w:r w:rsidR="00684FA8" w:rsidRPr="00684FA8">
        <w:rPr>
          <w:i/>
        </w:rPr>
        <w:t>: Disability Care and Support</w:t>
      </w:r>
      <w:r>
        <w:t>, No. 51, 31 July 2011</w:t>
      </w:r>
      <w:r w:rsidR="00684FA8">
        <w:t>, Canberra</w:t>
      </w:r>
      <w:r>
        <w:t>.</w:t>
      </w:r>
    </w:p>
    <w:p w:rsidR="001625C0" w:rsidRDefault="00D138DA" w:rsidP="001707B3">
      <w:pPr>
        <w:pStyle w:val="BodyText"/>
      </w:pPr>
      <w:r w:rsidRPr="001707B3">
        <w:t>Saunders</w:t>
      </w:r>
      <w:r w:rsidR="003A4CC1">
        <w:t xml:space="preserve">, </w:t>
      </w:r>
      <w:r w:rsidR="003A4CC1" w:rsidRPr="001707B3">
        <w:t xml:space="preserve">P </w:t>
      </w:r>
      <w:r w:rsidR="003A4CC1">
        <w:t>2017,</w:t>
      </w:r>
      <w:r w:rsidR="003A4CC1" w:rsidRPr="001707B3">
        <w:t xml:space="preserve"> </w:t>
      </w:r>
      <w:r w:rsidR="003A4CC1">
        <w:t>‘</w:t>
      </w:r>
      <w:r w:rsidRPr="001707B3">
        <w:t>Understanding social security trends: an expenditure decomposition approach with applica</w:t>
      </w:r>
      <w:r w:rsidR="003A4CC1">
        <w:t>tion to Australia and Hong Kong’</w:t>
      </w:r>
      <w:r w:rsidRPr="001707B3">
        <w:t xml:space="preserve">, </w:t>
      </w:r>
      <w:r w:rsidRPr="00504CFE">
        <w:rPr>
          <w:i/>
        </w:rPr>
        <w:t>Journal of Asian Public Policy</w:t>
      </w:r>
      <w:r w:rsidR="003A4CC1" w:rsidRPr="001707B3">
        <w:t xml:space="preserve">, </w:t>
      </w:r>
      <w:r w:rsidR="003A4CC1">
        <w:t>v</w:t>
      </w:r>
      <w:r w:rsidRPr="001707B3">
        <w:t xml:space="preserve">ol. 10, </w:t>
      </w:r>
      <w:r w:rsidR="003A4CC1">
        <w:t>n</w:t>
      </w:r>
      <w:r w:rsidRPr="001707B3">
        <w:t>o. 2, pp. 216-222.</w:t>
      </w:r>
    </w:p>
    <w:p w:rsidR="001625C0" w:rsidRDefault="001625C0">
      <w:pPr>
        <w:rPr>
          <w:rFonts w:cs="Times New Roman"/>
          <w:spacing w:val="-1"/>
        </w:rPr>
      </w:pPr>
      <w:r>
        <w:br w:type="page"/>
      </w:r>
    </w:p>
    <w:p w:rsidR="00514A42" w:rsidRPr="003A4CC1" w:rsidRDefault="001625C0" w:rsidP="001707B3">
      <w:pPr>
        <w:pStyle w:val="BodyText"/>
      </w:pPr>
      <w:r>
        <w:rPr>
          <w:noProof/>
          <w:lang w:eastAsia="en-AU"/>
        </w:rPr>
        <w:lastRenderedPageBreak/>
        <mc:AlternateContent>
          <mc:Choice Requires="wpg">
            <w:drawing>
              <wp:anchor distT="0" distB="0" distL="114300" distR="114300" simplePos="0" relativeHeight="251689984" behindDoc="0" locked="0" layoutInCell="1" allowOverlap="1" wp14:anchorId="0FEF4505" wp14:editId="69377B4C">
                <wp:simplePos x="0" y="0"/>
                <wp:positionH relativeFrom="page">
                  <wp:posOffset>0</wp:posOffset>
                </wp:positionH>
                <wp:positionV relativeFrom="page">
                  <wp:posOffset>8626</wp:posOffset>
                </wp:positionV>
                <wp:extent cx="7563600" cy="10688400"/>
                <wp:effectExtent l="0" t="0" r="0" b="0"/>
                <wp:wrapNone/>
                <wp:docPr id="12" name="Group 12"/>
                <wp:cNvGraphicFramePr/>
                <a:graphic xmlns:a="http://schemas.openxmlformats.org/drawingml/2006/main">
                  <a:graphicData uri="http://schemas.microsoft.com/office/word/2010/wordprocessingGroup">
                    <wpg:wgp>
                      <wpg:cNvGrpSpPr/>
                      <wpg:grpSpPr>
                        <a:xfrm>
                          <a:off x="0" y="0"/>
                          <a:ext cx="7563600" cy="10688400"/>
                          <a:chOff x="0" y="0"/>
                          <a:chExt cx="7565366" cy="10688128"/>
                        </a:xfrm>
                      </wpg:grpSpPr>
                      <pic:pic xmlns:pic="http://schemas.openxmlformats.org/drawingml/2006/picture">
                        <pic:nvPicPr>
                          <pic:cNvPr id="9" name="Picture 9"/>
                          <pic:cNvPicPr>
                            <a:picLocks/>
                          </pic:cNvPicPr>
                        </pic:nvPicPr>
                        <pic:blipFill>
                          <a:blip r:embed="rId66" cstate="print">
                            <a:extLst>
                              <a:ext uri="{28A0092B-C50C-407E-A947-70E740481C1C}">
                                <a14:useLocalDpi xmlns:a14="http://schemas.microsoft.com/office/drawing/2010/main" val="0"/>
                              </a:ext>
                            </a:extLst>
                          </a:blip>
                          <a:stretch>
                            <a:fillRect/>
                          </a:stretch>
                        </pic:blipFill>
                        <pic:spPr>
                          <a:xfrm>
                            <a:off x="0" y="0"/>
                            <a:ext cx="7565366" cy="10688128"/>
                          </a:xfrm>
                          <a:prstGeom prst="rect">
                            <a:avLst/>
                          </a:prstGeom>
                        </pic:spPr>
                      </pic:pic>
                      <wps:wsp>
                        <wps:cNvPr id="48" name="Text Box 2"/>
                        <wps:cNvSpPr txBox="1">
                          <a:spLocks noChangeArrowheads="1"/>
                        </wps:cNvSpPr>
                        <wps:spPr bwMode="auto">
                          <a:xfrm>
                            <a:off x="2484407" y="8738558"/>
                            <a:ext cx="2517775" cy="606425"/>
                          </a:xfrm>
                          <a:prstGeom prst="rect">
                            <a:avLst/>
                          </a:prstGeom>
                          <a:noFill/>
                          <a:ln w="9525">
                            <a:noFill/>
                            <a:miter lim="800000"/>
                            <a:headEnd/>
                            <a:tailEnd/>
                          </a:ln>
                        </wps:spPr>
                        <wps:txbx>
                          <w:txbxContent>
                            <w:p w:rsidR="004B6A45" w:rsidRPr="0061135C" w:rsidRDefault="001030D2" w:rsidP="001625C0">
                              <w:pPr>
                                <w:pStyle w:val="xBackPageWebAddress"/>
                                <w:jc w:val="center"/>
                              </w:pPr>
                              <w:hyperlink r:id="rId67" w:history="1">
                                <w:r w:rsidR="004B6A45" w:rsidRPr="0061135C">
                                  <w:t>www.pbo.gov.au</w:t>
                                </w:r>
                              </w:hyperlink>
                            </w:p>
                          </w:txbxContent>
                        </wps:txbx>
                        <wps:bodyPr rot="0" vert="horz" wrap="square" lIns="91440" tIns="45720" rIns="91440" bIns="45720" anchor="b" anchorCtr="0">
                          <a:noAutofit/>
                        </wps:bodyPr>
                      </wps:wsp>
                    </wpg:wgp>
                  </a:graphicData>
                </a:graphic>
                <wp14:sizeRelH relativeFrom="margin">
                  <wp14:pctWidth>0</wp14:pctWidth>
                </wp14:sizeRelH>
                <wp14:sizeRelV relativeFrom="margin">
                  <wp14:pctHeight>0</wp14:pctHeight>
                </wp14:sizeRelV>
              </wp:anchor>
            </w:drawing>
          </mc:Choice>
          <mc:Fallback>
            <w:pict>
              <v:group id="Group 12" o:spid="_x0000_s1026" style="position:absolute;margin-left:0;margin-top:.7pt;width:595.55pt;height:841.6pt;z-index:251689984;mso-position-horizontal-relative:page;mso-position-vertical-relative:page;mso-width-relative:margin;mso-height-relative:margin" coordsize="75653,106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width:75653;height:1068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4QWTFAAAA2gAAAA8AAABkcnMvZG93bnJldi54bWxEj09rwkAUxO+FfoflFXopurGH0kZXUUFQ&#10;EErSInh7ZJ+bYPZtzK758+27hUKPw8z8hlmsBluLjlpfOVYwmyYgiAunKzYKvr92k3cQPiBrrB2T&#10;gpE8rJaPDwtMtes5oy4PRkQI+xQVlCE0qZS+KMmin7qGOHoX11oMUbZG6hb7CLe1fE2SN2mx4rhQ&#10;YkPbkoprfrcK8v6E19yMn3K7eTlnl5M83g6dUs9Pw3oOItAQ/sN/7b1W8AG/V+INkMs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eEFkxQAAANoAAAAPAAAAAAAAAAAAAAAA&#10;AJ8CAABkcnMvZG93bnJldi54bWxQSwUGAAAAAAQABAD3AAAAkQMAAAAA&#10;">
                  <v:imagedata r:id="rId68" o:title=""/>
                  <v:path arrowok="t"/>
                  <o:lock v:ext="edit" aspectratio="f"/>
                </v:shape>
                <v:shapetype id="_x0000_t202" coordsize="21600,21600" o:spt="202" path="m,l,21600r21600,l21600,xe">
                  <v:stroke joinstyle="miter"/>
                  <v:path gradientshapeok="t" o:connecttype="rect"/>
                </v:shapetype>
                <v:shape id="Text Box 2" o:spid="_x0000_s1028" type="#_x0000_t202" style="position:absolute;left:24844;top:87385;width:25177;height:6064;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sqMAA&#10;AADbAAAADwAAAGRycy9kb3ducmV2LnhtbERPy4rCMBTdC/5DuMLsNHUoItUooiPMRnzMfMBtc22r&#10;zU1pom3/3iwEl4fzXq47U4knNa60rGA6iUAQZ1aXnCv4/9uP5yCcR9ZYWSYFPTlYr4aDJSbatnym&#10;58XnIoSwS1BB4X2dSOmyggy6ia2JA3e1jUEfYJNL3WAbwk0lv6NoJg2WHBoKrGlbUHa/PIyCn1Pa&#10;p/H0to93UZ/qY3vYZo+DUl+jbrMA4anzH/Hb/asVxGFs+BJ+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jsqMAAAADbAAAADwAAAAAAAAAAAAAAAACYAgAAZHJzL2Rvd25y&#10;ZXYueG1sUEsFBgAAAAAEAAQA9QAAAIUDAAAAAA==&#10;" filled="f" stroked="f">
                  <v:textbox>
                    <w:txbxContent>
                      <w:p w:rsidR="004B6A45" w:rsidRPr="0061135C" w:rsidRDefault="0036047A" w:rsidP="001625C0">
                        <w:pPr>
                          <w:pStyle w:val="xBackPageWebAddress"/>
                          <w:jc w:val="center"/>
                        </w:pPr>
                        <w:hyperlink r:id="rId69" w:history="1">
                          <w:r w:rsidR="004B6A45" w:rsidRPr="0061135C">
                            <w:t>www.pbo.gov.au</w:t>
                          </w:r>
                        </w:hyperlink>
                      </w:p>
                    </w:txbxContent>
                  </v:textbox>
                </v:shape>
                <w10:wrap anchorx="page" anchory="page"/>
              </v:group>
            </w:pict>
          </mc:Fallback>
        </mc:AlternateContent>
      </w:r>
    </w:p>
    <w:sectPr w:rsidR="00514A42" w:rsidRPr="003A4CC1" w:rsidSect="00504CFE">
      <w:headerReference w:type="even" r:id="rId70"/>
      <w:headerReference w:type="default" r:id="rId71"/>
      <w:footerReference w:type="even" r:id="rId72"/>
      <w:footerReference w:type="default" r:id="rId73"/>
      <w:headerReference w:type="first" r:id="rId74"/>
      <w:footerReference w:type="first" r:id="rId75"/>
      <w:type w:val="oddPage"/>
      <w:pgSz w:w="11907" w:h="16839" w:code="9"/>
      <w:pgMar w:top="1361" w:right="1797" w:bottom="1474" w:left="1797"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A45" w:rsidRDefault="004B6A45" w:rsidP="00A20802">
      <w:pPr>
        <w:spacing w:line="240" w:lineRule="auto"/>
      </w:pPr>
      <w:r>
        <w:separator/>
      </w:r>
    </w:p>
    <w:p w:rsidR="004B6A45" w:rsidRDefault="004B6A45"/>
  </w:endnote>
  <w:endnote w:type="continuationSeparator" w:id="0">
    <w:p w:rsidR="004B6A45" w:rsidRDefault="004B6A45" w:rsidP="00A20802">
      <w:pPr>
        <w:spacing w:line="240" w:lineRule="auto"/>
      </w:pPr>
      <w:r>
        <w:continuationSeparator/>
      </w:r>
    </w:p>
    <w:p w:rsidR="004B6A45" w:rsidRDefault="004B6A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rsidP="00EB2CBC">
    <w:pPr>
      <w:pStyle w:val="Footer"/>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B6A45" w:rsidRPr="00EB388E" w:rsidTr="00C13E4E">
      <w:trPr>
        <w:trHeight w:val="340"/>
      </w:trPr>
      <w:tc>
        <w:tcPr>
          <w:tcW w:w="8164" w:type="dxa"/>
          <w:tcBorders>
            <w:right w:val="single" w:sz="4" w:space="0" w:color="788184" w:themeColor="background2"/>
          </w:tcBorders>
          <w:vAlign w:val="center"/>
        </w:tcPr>
        <w:p w:rsidR="004B6A45" w:rsidRPr="00CB70DF" w:rsidRDefault="005868FF" w:rsidP="00C13E4E">
          <w:pPr>
            <w:pStyle w:val="FooterRight"/>
            <w:framePr w:wrap="auto" w:vAnchor="margin" w:hAnchor="text" w:xAlign="left" w:yAlign="inline"/>
          </w:pPr>
          <w:fldSimple w:instr=" STYLEREF  &quot;Heading 1&quot;  \* MERGEFORMAT ">
            <w:r w:rsidR="001030D2">
              <w:rPr>
                <w:noProof/>
              </w:rPr>
              <w:t>Projections of DSP expenditure</w:t>
            </w:r>
          </w:fldSimple>
        </w:p>
      </w:tc>
      <w:tc>
        <w:tcPr>
          <w:tcW w:w="567" w:type="dxa"/>
          <w:tcBorders>
            <w:left w:val="single" w:sz="4" w:space="0" w:color="788184" w:themeColor="background2"/>
          </w:tcBorders>
          <w:vAlign w:val="center"/>
        </w:tcPr>
        <w:p w:rsidR="004B6A45" w:rsidRPr="00CB70DF" w:rsidRDefault="004B6A45" w:rsidP="00C13E4E">
          <w:pPr>
            <w:pStyle w:val="FooterRightPageNumber"/>
          </w:pPr>
          <w:r w:rsidRPr="00EB388E">
            <w:fldChar w:fldCharType="begin"/>
          </w:r>
          <w:r w:rsidRPr="00EB388E">
            <w:instrText xml:space="preserve"> PAGE   \* MERGEFORMAT </w:instrText>
          </w:r>
          <w:r w:rsidRPr="00EB388E">
            <w:fldChar w:fldCharType="separate"/>
          </w:r>
          <w:r w:rsidR="001030D2">
            <w:t>27</w:t>
          </w:r>
          <w:r w:rsidRPr="00EB388E">
            <w:fldChar w:fldCharType="end"/>
          </w:r>
        </w:p>
      </w:tc>
    </w:tr>
    <w:tr w:rsidR="004B6A45" w:rsidRPr="00EB388E" w:rsidTr="00C13E4E">
      <w:trPr>
        <w:trHeight w:hRule="exact" w:val="403"/>
      </w:trPr>
      <w:tc>
        <w:tcPr>
          <w:tcW w:w="8164" w:type="dxa"/>
        </w:tcPr>
        <w:p w:rsidR="004B6A45" w:rsidRPr="00090E70" w:rsidRDefault="004B6A45" w:rsidP="00C13E4E"/>
      </w:tc>
      <w:tc>
        <w:tcPr>
          <w:tcW w:w="567" w:type="dxa"/>
          <w:tcMar>
            <w:bottom w:w="284" w:type="dxa"/>
          </w:tcMar>
        </w:tcPr>
        <w:p w:rsidR="004B6A45" w:rsidRPr="00090E70" w:rsidRDefault="004B6A45" w:rsidP="00C13E4E"/>
      </w:tc>
    </w:tr>
  </w:tbl>
  <w:p w:rsidR="004B6A45" w:rsidRDefault="004B6A45">
    <w:pPr>
      <w:pStyle w:val="Footer"/>
    </w:pPr>
  </w:p>
  <w:p w:rsidR="004B6A45" w:rsidRPr="004816D7" w:rsidRDefault="004B6A45" w:rsidP="00187CD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4B6A45" w:rsidRPr="00EB388E" w:rsidTr="00C13E4E">
      <w:trPr>
        <w:trHeight w:val="340"/>
      </w:trPr>
      <w:tc>
        <w:tcPr>
          <w:tcW w:w="567" w:type="dxa"/>
          <w:tcBorders>
            <w:right w:val="single" w:sz="4" w:space="0" w:color="788184" w:themeColor="background2"/>
          </w:tcBorders>
          <w:vAlign w:val="center"/>
        </w:tcPr>
        <w:p w:rsidR="004B6A45" w:rsidRPr="00CB70DF" w:rsidRDefault="004B6A45" w:rsidP="00C13E4E">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1030D2">
            <w:rPr>
              <w:noProof/>
            </w:rPr>
            <w:t>30</w:t>
          </w:r>
          <w:r w:rsidRPr="00EB388E">
            <w:fldChar w:fldCharType="end"/>
          </w:r>
        </w:p>
      </w:tc>
      <w:tc>
        <w:tcPr>
          <w:tcW w:w="8164" w:type="dxa"/>
          <w:tcBorders>
            <w:left w:val="single" w:sz="4" w:space="0" w:color="788184" w:themeColor="background2"/>
          </w:tcBorders>
          <w:vAlign w:val="center"/>
        </w:tcPr>
        <w:p w:rsidR="004B6A45" w:rsidRPr="00CB70DF" w:rsidRDefault="005868FF" w:rsidP="00C13E4E">
          <w:pPr>
            <w:pStyle w:val="FooterLeft"/>
            <w:framePr w:wrap="auto" w:vAnchor="margin" w:hAnchor="text" w:yAlign="inline"/>
          </w:pPr>
          <w:fldSimple w:instr=" STYLEREF  Title  \* MERGEFORMAT ">
            <w:r w:rsidR="001030D2">
              <w:rPr>
                <w:noProof/>
              </w:rPr>
              <w:t>Disability Support Pension</w:t>
            </w:r>
          </w:fldSimple>
        </w:p>
      </w:tc>
    </w:tr>
    <w:tr w:rsidR="004B6A45" w:rsidRPr="00EB388E" w:rsidTr="00C13E4E">
      <w:trPr>
        <w:trHeight w:hRule="exact" w:val="403"/>
      </w:trPr>
      <w:tc>
        <w:tcPr>
          <w:tcW w:w="567" w:type="dxa"/>
          <w:tcMar>
            <w:bottom w:w="284" w:type="dxa"/>
          </w:tcMar>
        </w:tcPr>
        <w:p w:rsidR="004B6A45" w:rsidRPr="00EB388E" w:rsidRDefault="004B6A45" w:rsidP="00C13E4E">
          <w:pPr>
            <w:pStyle w:val="FooterRightPageNumber"/>
          </w:pPr>
        </w:p>
      </w:tc>
      <w:tc>
        <w:tcPr>
          <w:tcW w:w="8164" w:type="dxa"/>
          <w:tcMar>
            <w:bottom w:w="284" w:type="dxa"/>
          </w:tcMar>
        </w:tcPr>
        <w:p w:rsidR="004B6A45" w:rsidRPr="00090E70" w:rsidRDefault="004B6A45" w:rsidP="00C13E4E"/>
      </w:tc>
    </w:tr>
  </w:tbl>
  <w:p w:rsidR="004B6A45" w:rsidRDefault="004B6A45">
    <w:pPr>
      <w:pStyle w:val="Footer"/>
    </w:pPr>
  </w:p>
  <w:p w:rsidR="004B6A45" w:rsidRPr="004816D7" w:rsidRDefault="004B6A45" w:rsidP="00187CD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B6A45" w:rsidRPr="00EB388E" w:rsidTr="00C13E4E">
      <w:trPr>
        <w:trHeight w:val="340"/>
      </w:trPr>
      <w:tc>
        <w:tcPr>
          <w:tcW w:w="8164" w:type="dxa"/>
          <w:tcBorders>
            <w:right w:val="single" w:sz="4" w:space="0" w:color="788184" w:themeColor="background2"/>
          </w:tcBorders>
          <w:vAlign w:val="center"/>
        </w:tcPr>
        <w:p w:rsidR="004B6A45" w:rsidRPr="00CB70DF" w:rsidRDefault="005868FF" w:rsidP="00C13E4E">
          <w:pPr>
            <w:pStyle w:val="FooterRight"/>
            <w:framePr w:wrap="auto" w:vAnchor="margin" w:hAnchor="text" w:xAlign="left" w:yAlign="inline"/>
          </w:pPr>
          <w:fldSimple w:instr=" STYLEREF  &quot;Heading 1&quot;  \* MERGEFORMAT ">
            <w:r w:rsidR="001030D2">
              <w:rPr>
                <w:noProof/>
              </w:rPr>
              <w:t>Appendix B – Significant changes affecting the Disability Support Pension</w:t>
            </w:r>
          </w:fldSimple>
        </w:p>
      </w:tc>
      <w:tc>
        <w:tcPr>
          <w:tcW w:w="567" w:type="dxa"/>
          <w:tcBorders>
            <w:left w:val="single" w:sz="4" w:space="0" w:color="788184" w:themeColor="background2"/>
          </w:tcBorders>
          <w:vAlign w:val="center"/>
        </w:tcPr>
        <w:p w:rsidR="004B6A45" w:rsidRPr="00CB70DF" w:rsidRDefault="004B6A45" w:rsidP="00C13E4E">
          <w:pPr>
            <w:pStyle w:val="FooterRightPageNumber"/>
          </w:pPr>
          <w:r w:rsidRPr="00EB388E">
            <w:fldChar w:fldCharType="begin"/>
          </w:r>
          <w:r w:rsidRPr="00EB388E">
            <w:instrText xml:space="preserve"> PAGE   \* MERGEFORMAT </w:instrText>
          </w:r>
          <w:r w:rsidRPr="00EB388E">
            <w:fldChar w:fldCharType="separate"/>
          </w:r>
          <w:r w:rsidR="001030D2">
            <w:t>37</w:t>
          </w:r>
          <w:r w:rsidRPr="00EB388E">
            <w:fldChar w:fldCharType="end"/>
          </w:r>
        </w:p>
      </w:tc>
    </w:tr>
    <w:tr w:rsidR="004B6A45" w:rsidRPr="00EB388E" w:rsidTr="00C13E4E">
      <w:trPr>
        <w:trHeight w:hRule="exact" w:val="403"/>
      </w:trPr>
      <w:tc>
        <w:tcPr>
          <w:tcW w:w="8164" w:type="dxa"/>
        </w:tcPr>
        <w:p w:rsidR="004B6A45" w:rsidRPr="00090E70" w:rsidRDefault="004B6A45" w:rsidP="00C13E4E"/>
      </w:tc>
      <w:tc>
        <w:tcPr>
          <w:tcW w:w="567" w:type="dxa"/>
          <w:tcMar>
            <w:bottom w:w="284" w:type="dxa"/>
          </w:tcMar>
        </w:tcPr>
        <w:p w:rsidR="004B6A45" w:rsidRPr="00090E70" w:rsidRDefault="004B6A45" w:rsidP="00C13E4E"/>
      </w:tc>
    </w:tr>
  </w:tbl>
  <w:p w:rsidR="004B6A45" w:rsidRDefault="004B6A45">
    <w:pPr>
      <w:pStyle w:val="Footer"/>
    </w:pPr>
  </w:p>
  <w:p w:rsidR="004B6A45" w:rsidRPr="004816D7" w:rsidRDefault="004B6A45" w:rsidP="00187CD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4B6A45" w:rsidRPr="00EB388E" w:rsidTr="00504CFE">
      <w:trPr>
        <w:trHeight w:val="340"/>
      </w:trPr>
      <w:tc>
        <w:tcPr>
          <w:tcW w:w="567" w:type="dxa"/>
          <w:tcBorders>
            <w:right w:val="single" w:sz="4" w:space="0" w:color="788184" w:themeColor="background2"/>
          </w:tcBorders>
          <w:vAlign w:val="center"/>
        </w:tcPr>
        <w:p w:rsidR="004B6A45" w:rsidRPr="00CB70DF" w:rsidRDefault="004B6A45" w:rsidP="001650ED">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1030D2">
            <w:rPr>
              <w:noProof/>
            </w:rPr>
            <w:t>40</w:t>
          </w:r>
          <w:r w:rsidRPr="00EB388E">
            <w:fldChar w:fldCharType="end"/>
          </w:r>
        </w:p>
      </w:tc>
      <w:tc>
        <w:tcPr>
          <w:tcW w:w="8164" w:type="dxa"/>
          <w:tcBorders>
            <w:left w:val="single" w:sz="4" w:space="0" w:color="788184" w:themeColor="background2"/>
          </w:tcBorders>
          <w:vAlign w:val="center"/>
        </w:tcPr>
        <w:p w:rsidR="004B6A45" w:rsidRPr="00CB70DF" w:rsidRDefault="005868FF" w:rsidP="001650ED">
          <w:pPr>
            <w:pStyle w:val="FooterLeft"/>
            <w:framePr w:wrap="auto" w:vAnchor="margin" w:hAnchor="text" w:yAlign="inline"/>
          </w:pPr>
          <w:fldSimple w:instr=" STYLEREF  Title  \* MERGEFORMAT ">
            <w:r w:rsidR="001030D2">
              <w:rPr>
                <w:noProof/>
              </w:rPr>
              <w:t>Disability Support Pension</w:t>
            </w:r>
          </w:fldSimple>
        </w:p>
      </w:tc>
    </w:tr>
    <w:tr w:rsidR="004B6A45" w:rsidRPr="00EB388E" w:rsidTr="00504CFE">
      <w:trPr>
        <w:trHeight w:hRule="exact" w:val="403"/>
      </w:trPr>
      <w:tc>
        <w:tcPr>
          <w:tcW w:w="567" w:type="dxa"/>
          <w:tcMar>
            <w:bottom w:w="284" w:type="dxa"/>
          </w:tcMar>
        </w:tcPr>
        <w:p w:rsidR="004B6A45" w:rsidRPr="00EB388E" w:rsidRDefault="004B6A45" w:rsidP="001650ED">
          <w:pPr>
            <w:pStyle w:val="FooterRightPageNumber"/>
          </w:pPr>
        </w:p>
      </w:tc>
      <w:tc>
        <w:tcPr>
          <w:tcW w:w="8164" w:type="dxa"/>
          <w:tcMar>
            <w:bottom w:w="284" w:type="dxa"/>
          </w:tcMar>
        </w:tcPr>
        <w:p w:rsidR="004B6A45" w:rsidRPr="00090E70" w:rsidRDefault="004B6A45" w:rsidP="001650ED"/>
      </w:tc>
    </w:tr>
  </w:tbl>
  <w:p w:rsidR="004B6A45" w:rsidRDefault="004B6A45">
    <w:pPr>
      <w:pStyle w:val="Footer"/>
    </w:pPr>
  </w:p>
  <w:p w:rsidR="004B6A45" w:rsidRPr="004816D7" w:rsidRDefault="004B6A45" w:rsidP="001650ED">
    <w:pPr>
      <w:pStyle w:val="Footer"/>
    </w:pPr>
  </w:p>
  <w:p w:rsidR="004B6A45" w:rsidRPr="00D775C6" w:rsidRDefault="004B6A45" w:rsidP="001650ED">
    <w:pPr>
      <w:pStyle w:val="Footer"/>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B6A45" w:rsidRPr="00EB388E" w:rsidTr="00504CFE">
      <w:trPr>
        <w:trHeight w:val="340"/>
      </w:trPr>
      <w:tc>
        <w:tcPr>
          <w:tcW w:w="8164" w:type="dxa"/>
          <w:tcBorders>
            <w:right w:val="single" w:sz="4" w:space="0" w:color="788184" w:themeColor="background2"/>
          </w:tcBorders>
          <w:vAlign w:val="center"/>
        </w:tcPr>
        <w:p w:rsidR="004B6A45" w:rsidRPr="00CB70DF" w:rsidRDefault="005868FF" w:rsidP="001650ED">
          <w:pPr>
            <w:pStyle w:val="FooterRight"/>
            <w:framePr w:wrap="auto" w:vAnchor="margin" w:hAnchor="text" w:xAlign="left" w:yAlign="inline"/>
          </w:pPr>
          <w:fldSimple w:instr=" STYLEREF  &quot;Heading 1&quot;  \* MERGEFORMAT ">
            <w:r w:rsidR="001030D2">
              <w:rPr>
                <w:noProof/>
              </w:rPr>
              <w:t>Appendix C – References</w:t>
            </w:r>
          </w:fldSimple>
        </w:p>
      </w:tc>
      <w:tc>
        <w:tcPr>
          <w:tcW w:w="567" w:type="dxa"/>
          <w:tcBorders>
            <w:left w:val="single" w:sz="4" w:space="0" w:color="788184" w:themeColor="background2"/>
          </w:tcBorders>
          <w:vAlign w:val="center"/>
        </w:tcPr>
        <w:p w:rsidR="004B6A45" w:rsidRPr="00CB70DF" w:rsidRDefault="004B6A45" w:rsidP="001650ED">
          <w:pPr>
            <w:pStyle w:val="FooterRightPageNumber"/>
          </w:pPr>
          <w:r w:rsidRPr="00EB388E">
            <w:fldChar w:fldCharType="begin"/>
          </w:r>
          <w:r w:rsidRPr="00EB388E">
            <w:instrText xml:space="preserve"> PAGE   \* MERGEFORMAT </w:instrText>
          </w:r>
          <w:r w:rsidRPr="00EB388E">
            <w:fldChar w:fldCharType="separate"/>
          </w:r>
          <w:r w:rsidR="001030D2">
            <w:t>39</w:t>
          </w:r>
          <w:r w:rsidRPr="00EB388E">
            <w:fldChar w:fldCharType="end"/>
          </w:r>
        </w:p>
      </w:tc>
    </w:tr>
    <w:tr w:rsidR="004B6A45" w:rsidRPr="00EB388E" w:rsidTr="00504CFE">
      <w:trPr>
        <w:trHeight w:hRule="exact" w:val="403"/>
      </w:trPr>
      <w:tc>
        <w:tcPr>
          <w:tcW w:w="8164" w:type="dxa"/>
        </w:tcPr>
        <w:p w:rsidR="004B6A45" w:rsidRPr="00090E70" w:rsidRDefault="004B6A45" w:rsidP="001650ED"/>
      </w:tc>
      <w:tc>
        <w:tcPr>
          <w:tcW w:w="567" w:type="dxa"/>
          <w:tcMar>
            <w:bottom w:w="284" w:type="dxa"/>
          </w:tcMar>
        </w:tcPr>
        <w:p w:rsidR="004B6A45" w:rsidRPr="00090E70" w:rsidRDefault="004B6A45" w:rsidP="001650ED"/>
      </w:tc>
    </w:tr>
  </w:tbl>
  <w:p w:rsidR="004B6A45" w:rsidRDefault="004B6A45">
    <w:pPr>
      <w:pStyle w:val="Footer"/>
    </w:pPr>
  </w:p>
  <w:p w:rsidR="004B6A45" w:rsidRPr="004816D7" w:rsidRDefault="004B6A45" w:rsidP="001650ED">
    <w:pPr>
      <w:pStyle w:val="Footer"/>
    </w:pPr>
  </w:p>
  <w:p w:rsidR="004B6A45" w:rsidRPr="00D775C6" w:rsidRDefault="004B6A45" w:rsidP="001650ED">
    <w:pPr>
      <w:pStyle w:val="Footer"/>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4B6A45" w:rsidRPr="00EB388E" w:rsidTr="00C80200">
      <w:trPr>
        <w:trHeight w:val="340"/>
      </w:trPr>
      <w:tc>
        <w:tcPr>
          <w:tcW w:w="567" w:type="dxa"/>
          <w:tcBorders>
            <w:right w:val="single" w:sz="4" w:space="0" w:color="788184" w:themeColor="background2"/>
          </w:tcBorders>
          <w:vAlign w:val="center"/>
        </w:tcPr>
        <w:p w:rsidR="004B6A45" w:rsidRPr="00CB70DF" w:rsidRDefault="004B6A45"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1030D2">
            <w:rPr>
              <w:noProof/>
            </w:rPr>
            <w:t>iv</w:t>
          </w:r>
          <w:r w:rsidRPr="00EB388E">
            <w:fldChar w:fldCharType="end"/>
          </w:r>
        </w:p>
      </w:tc>
      <w:tc>
        <w:tcPr>
          <w:tcW w:w="8164" w:type="dxa"/>
          <w:tcBorders>
            <w:left w:val="single" w:sz="4" w:space="0" w:color="788184" w:themeColor="background2"/>
          </w:tcBorders>
          <w:vAlign w:val="center"/>
        </w:tcPr>
        <w:p w:rsidR="004B6A45" w:rsidRPr="00CB70DF" w:rsidRDefault="005868FF" w:rsidP="00C80200">
          <w:pPr>
            <w:pStyle w:val="FooterLeft"/>
            <w:framePr w:wrap="auto" w:vAnchor="margin" w:hAnchor="text" w:yAlign="inline"/>
          </w:pPr>
          <w:fldSimple w:instr=" STYLEREF  Title  \* MERGEFORMAT ">
            <w:r w:rsidR="001030D2">
              <w:rPr>
                <w:noProof/>
              </w:rPr>
              <w:t>Disability Support Pension</w:t>
            </w:r>
          </w:fldSimple>
        </w:p>
      </w:tc>
    </w:tr>
    <w:tr w:rsidR="004B6A45" w:rsidRPr="00EB388E" w:rsidTr="00C80200">
      <w:trPr>
        <w:trHeight w:hRule="exact" w:val="403"/>
      </w:trPr>
      <w:tc>
        <w:tcPr>
          <w:tcW w:w="567" w:type="dxa"/>
          <w:tcMar>
            <w:bottom w:w="284" w:type="dxa"/>
          </w:tcMar>
        </w:tcPr>
        <w:p w:rsidR="004B6A45" w:rsidRPr="00EB388E" w:rsidRDefault="004B6A45" w:rsidP="00C80200">
          <w:pPr>
            <w:pStyle w:val="FooterRightPageNumber"/>
          </w:pPr>
        </w:p>
      </w:tc>
      <w:tc>
        <w:tcPr>
          <w:tcW w:w="8164" w:type="dxa"/>
          <w:tcMar>
            <w:bottom w:w="284" w:type="dxa"/>
          </w:tcMar>
        </w:tcPr>
        <w:p w:rsidR="004B6A45" w:rsidRPr="00090E70" w:rsidRDefault="004B6A45" w:rsidP="00C80200"/>
      </w:tc>
    </w:tr>
  </w:tbl>
  <w:p w:rsidR="004B6A45" w:rsidRDefault="004B6A45">
    <w:pPr>
      <w:pStyle w:val="Footer"/>
    </w:pPr>
  </w:p>
  <w:p w:rsidR="004B6A45" w:rsidRPr="004816D7" w:rsidRDefault="004B6A45" w:rsidP="004816D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B6A45" w:rsidRPr="00EB388E" w:rsidTr="0087390B">
      <w:trPr>
        <w:trHeight w:val="340"/>
      </w:trPr>
      <w:tc>
        <w:tcPr>
          <w:tcW w:w="8164" w:type="dxa"/>
          <w:tcBorders>
            <w:right w:val="single" w:sz="4" w:space="0" w:color="788184" w:themeColor="background2"/>
          </w:tcBorders>
          <w:vAlign w:val="center"/>
        </w:tcPr>
        <w:p w:rsidR="004B6A45" w:rsidRPr="00CB70DF" w:rsidRDefault="005868FF" w:rsidP="001C48DE">
          <w:pPr>
            <w:pStyle w:val="FooterRight"/>
            <w:framePr w:wrap="auto" w:vAnchor="margin" w:hAnchor="text" w:xAlign="left" w:yAlign="inline"/>
          </w:pPr>
          <w:fldSimple w:instr=" STYLEREF  &quot;TOC Heading&quot;  \* MERGEFORMAT ">
            <w:r w:rsidR="001030D2">
              <w:rPr>
                <w:noProof/>
              </w:rPr>
              <w:t>Contents</w:t>
            </w:r>
          </w:fldSimple>
        </w:p>
      </w:tc>
      <w:tc>
        <w:tcPr>
          <w:tcW w:w="567" w:type="dxa"/>
          <w:tcBorders>
            <w:left w:val="single" w:sz="4" w:space="0" w:color="788184" w:themeColor="background2"/>
          </w:tcBorders>
          <w:vAlign w:val="center"/>
        </w:tcPr>
        <w:p w:rsidR="004B6A45" w:rsidRPr="00CB70DF" w:rsidRDefault="004B6A45" w:rsidP="00E915E6">
          <w:pPr>
            <w:pStyle w:val="FooterRightPageNumber"/>
          </w:pPr>
          <w:r w:rsidRPr="00EB388E">
            <w:fldChar w:fldCharType="begin"/>
          </w:r>
          <w:r w:rsidRPr="00EB388E">
            <w:instrText xml:space="preserve"> PAGE   \* MERGEFORMAT </w:instrText>
          </w:r>
          <w:r w:rsidRPr="00EB388E">
            <w:fldChar w:fldCharType="separate"/>
          </w:r>
          <w:r w:rsidR="001030D2">
            <w:t>iii</w:t>
          </w:r>
          <w:r w:rsidRPr="00EB388E">
            <w:fldChar w:fldCharType="end"/>
          </w:r>
        </w:p>
      </w:tc>
    </w:tr>
    <w:tr w:rsidR="004B6A45" w:rsidRPr="00EB388E" w:rsidTr="004F1297">
      <w:trPr>
        <w:trHeight w:hRule="exact" w:val="403"/>
      </w:trPr>
      <w:tc>
        <w:tcPr>
          <w:tcW w:w="8164" w:type="dxa"/>
        </w:tcPr>
        <w:p w:rsidR="004B6A45" w:rsidRPr="00EB2CBC" w:rsidRDefault="004B6A45" w:rsidP="00EB2CBC">
          <w:pPr>
            <w:jc w:val="center"/>
            <w:rPr>
              <w:b/>
            </w:rPr>
          </w:pPr>
        </w:p>
      </w:tc>
      <w:tc>
        <w:tcPr>
          <w:tcW w:w="567" w:type="dxa"/>
          <w:tcMar>
            <w:bottom w:w="284" w:type="dxa"/>
          </w:tcMar>
        </w:tcPr>
        <w:p w:rsidR="004B6A45" w:rsidRPr="00090E70" w:rsidRDefault="004B6A45" w:rsidP="0087390B"/>
      </w:tc>
    </w:tr>
  </w:tbl>
  <w:p w:rsidR="004B6A45" w:rsidRDefault="004B6A45">
    <w:pPr>
      <w:pStyle w:val="Footer"/>
    </w:pPr>
  </w:p>
  <w:p w:rsidR="004B6A45" w:rsidRPr="004816D7" w:rsidRDefault="004B6A45" w:rsidP="004816D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B6A45" w:rsidRPr="00EB388E" w:rsidTr="0087390B">
      <w:trPr>
        <w:trHeight w:val="340"/>
      </w:trPr>
      <w:tc>
        <w:tcPr>
          <w:tcW w:w="8164" w:type="dxa"/>
          <w:tcBorders>
            <w:right w:val="single" w:sz="4" w:space="0" w:color="788184" w:themeColor="background2"/>
          </w:tcBorders>
          <w:vAlign w:val="center"/>
        </w:tcPr>
        <w:p w:rsidR="004B6A45" w:rsidRPr="00CB70DF" w:rsidRDefault="005868FF" w:rsidP="001C48DE">
          <w:pPr>
            <w:pStyle w:val="FooterRight"/>
            <w:framePr w:wrap="auto" w:vAnchor="margin" w:hAnchor="text" w:xAlign="left" w:yAlign="inline"/>
          </w:pPr>
          <w:fldSimple w:instr=" STYLEREF  &quot;Heading 1 No Numbering&quot;  \* MERGEFORMAT ">
            <w:r w:rsidR="001030D2">
              <w:rPr>
                <w:noProof/>
              </w:rPr>
              <w:t>Foreword</w:t>
            </w:r>
          </w:fldSimple>
        </w:p>
      </w:tc>
      <w:tc>
        <w:tcPr>
          <w:tcW w:w="567" w:type="dxa"/>
          <w:tcBorders>
            <w:left w:val="single" w:sz="4" w:space="0" w:color="788184" w:themeColor="background2"/>
          </w:tcBorders>
          <w:vAlign w:val="center"/>
        </w:tcPr>
        <w:p w:rsidR="004B6A45" w:rsidRPr="00CB70DF" w:rsidRDefault="004B6A45" w:rsidP="00E915E6">
          <w:pPr>
            <w:pStyle w:val="FooterRightPageNumber"/>
          </w:pPr>
          <w:r w:rsidRPr="00EB388E">
            <w:fldChar w:fldCharType="begin"/>
          </w:r>
          <w:r w:rsidRPr="00EB388E">
            <w:instrText xml:space="preserve"> PAGE   \* MERGEFORMAT </w:instrText>
          </w:r>
          <w:r w:rsidRPr="00EB388E">
            <w:fldChar w:fldCharType="separate"/>
          </w:r>
          <w:r w:rsidR="001030D2">
            <w:t>v</w:t>
          </w:r>
          <w:r w:rsidRPr="00EB388E">
            <w:fldChar w:fldCharType="end"/>
          </w:r>
        </w:p>
      </w:tc>
    </w:tr>
    <w:tr w:rsidR="004B6A45" w:rsidRPr="00EB388E" w:rsidTr="004F1297">
      <w:trPr>
        <w:trHeight w:hRule="exact" w:val="403"/>
      </w:trPr>
      <w:tc>
        <w:tcPr>
          <w:tcW w:w="8164" w:type="dxa"/>
        </w:tcPr>
        <w:p w:rsidR="004B6A45" w:rsidRPr="00EB2CBC" w:rsidRDefault="004B6A45" w:rsidP="00EB2CBC">
          <w:pPr>
            <w:jc w:val="center"/>
            <w:rPr>
              <w:b/>
            </w:rPr>
          </w:pPr>
        </w:p>
      </w:tc>
      <w:tc>
        <w:tcPr>
          <w:tcW w:w="567" w:type="dxa"/>
          <w:tcMar>
            <w:bottom w:w="284" w:type="dxa"/>
          </w:tcMar>
        </w:tcPr>
        <w:p w:rsidR="004B6A45" w:rsidRPr="00090E70" w:rsidRDefault="004B6A45" w:rsidP="0087390B"/>
      </w:tc>
    </w:tr>
  </w:tbl>
  <w:p w:rsidR="004B6A45" w:rsidRDefault="004B6A45">
    <w:pPr>
      <w:pStyle w:val="Footer"/>
    </w:pPr>
  </w:p>
  <w:p w:rsidR="004B6A45" w:rsidRPr="004816D7" w:rsidRDefault="004B6A45" w:rsidP="004816D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4B6A45" w:rsidRPr="00EB388E" w:rsidTr="00C80200">
      <w:trPr>
        <w:trHeight w:val="340"/>
      </w:trPr>
      <w:tc>
        <w:tcPr>
          <w:tcW w:w="567" w:type="dxa"/>
          <w:tcBorders>
            <w:right w:val="single" w:sz="4" w:space="0" w:color="788184" w:themeColor="background2"/>
          </w:tcBorders>
          <w:vAlign w:val="center"/>
        </w:tcPr>
        <w:p w:rsidR="004B6A45" w:rsidRPr="00CB70DF" w:rsidRDefault="004B6A45" w:rsidP="00C80200">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1030D2">
            <w:rPr>
              <w:noProof/>
            </w:rPr>
            <w:t>vi</w:t>
          </w:r>
          <w:r w:rsidRPr="00EB388E">
            <w:fldChar w:fldCharType="end"/>
          </w:r>
        </w:p>
      </w:tc>
      <w:tc>
        <w:tcPr>
          <w:tcW w:w="8164" w:type="dxa"/>
          <w:tcBorders>
            <w:left w:val="single" w:sz="4" w:space="0" w:color="788184" w:themeColor="background2"/>
          </w:tcBorders>
          <w:vAlign w:val="center"/>
        </w:tcPr>
        <w:p w:rsidR="004B6A45" w:rsidRPr="00CB70DF" w:rsidRDefault="005868FF" w:rsidP="00C80200">
          <w:pPr>
            <w:pStyle w:val="FooterLeft"/>
            <w:framePr w:wrap="auto" w:vAnchor="margin" w:hAnchor="text" w:yAlign="inline"/>
          </w:pPr>
          <w:fldSimple w:instr=" STYLEREF  Title  \* MERGEFORMAT ">
            <w:r w:rsidR="001030D2">
              <w:rPr>
                <w:noProof/>
              </w:rPr>
              <w:t>Disability Support Pension</w:t>
            </w:r>
          </w:fldSimple>
        </w:p>
      </w:tc>
    </w:tr>
    <w:tr w:rsidR="004B6A45" w:rsidRPr="00EB388E" w:rsidTr="00C80200">
      <w:trPr>
        <w:trHeight w:hRule="exact" w:val="403"/>
      </w:trPr>
      <w:tc>
        <w:tcPr>
          <w:tcW w:w="567" w:type="dxa"/>
          <w:tcMar>
            <w:bottom w:w="284" w:type="dxa"/>
          </w:tcMar>
        </w:tcPr>
        <w:p w:rsidR="004B6A45" w:rsidRPr="00EB388E" w:rsidRDefault="004B6A45" w:rsidP="00C80200">
          <w:pPr>
            <w:pStyle w:val="FooterRightPageNumber"/>
          </w:pPr>
        </w:p>
      </w:tc>
      <w:tc>
        <w:tcPr>
          <w:tcW w:w="8164" w:type="dxa"/>
          <w:tcMar>
            <w:bottom w:w="284" w:type="dxa"/>
          </w:tcMar>
        </w:tcPr>
        <w:p w:rsidR="004B6A45" w:rsidRPr="00090E70" w:rsidRDefault="004B6A45" w:rsidP="00C80200"/>
      </w:tc>
    </w:tr>
  </w:tbl>
  <w:p w:rsidR="004B6A45" w:rsidRDefault="004B6A45">
    <w:pPr>
      <w:pStyle w:val="Footer"/>
    </w:pPr>
  </w:p>
  <w:p w:rsidR="004B6A45" w:rsidRPr="004816D7" w:rsidRDefault="004B6A45" w:rsidP="004816D7">
    <w:pPr>
      <w:pStyle w:val="Footer"/>
    </w:pPr>
  </w:p>
  <w:p w:rsidR="004B6A45" w:rsidRDefault="004B6A45"/>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4" w:vertAnchor="page" w:horzAnchor="margin" w:tblpXSpec="right" w:tblpYSpec="bottom"/>
      <w:tblW w:w="8731" w:type="dxa"/>
      <w:tblLayout w:type="fixed"/>
      <w:tblCellMar>
        <w:top w:w="28" w:type="dxa"/>
      </w:tblCellMar>
      <w:tblLook w:val="04A0" w:firstRow="1" w:lastRow="0" w:firstColumn="1" w:lastColumn="0" w:noHBand="0" w:noVBand="1"/>
    </w:tblPr>
    <w:tblGrid>
      <w:gridCol w:w="8164"/>
      <w:gridCol w:w="567"/>
    </w:tblGrid>
    <w:tr w:rsidR="004B6A45" w:rsidRPr="00EB388E" w:rsidTr="0087390B">
      <w:trPr>
        <w:trHeight w:val="340"/>
      </w:trPr>
      <w:tc>
        <w:tcPr>
          <w:tcW w:w="8164" w:type="dxa"/>
          <w:tcBorders>
            <w:right w:val="single" w:sz="4" w:space="0" w:color="788184" w:themeColor="background2"/>
          </w:tcBorders>
          <w:vAlign w:val="center"/>
        </w:tcPr>
        <w:p w:rsidR="004B6A45" w:rsidRPr="00CB70DF" w:rsidRDefault="005868FF" w:rsidP="001C48DE">
          <w:pPr>
            <w:pStyle w:val="FooterRight"/>
            <w:framePr w:wrap="auto" w:vAnchor="margin" w:hAnchor="text" w:xAlign="left" w:yAlign="inline"/>
          </w:pPr>
          <w:fldSimple w:instr=" STYLEREF  &quot;Heading 1 No Numbering&quot;  \* MERGEFORMAT ">
            <w:r w:rsidR="0036047A">
              <w:rPr>
                <w:noProof/>
              </w:rPr>
              <w:t>Foreword</w:t>
            </w:r>
          </w:fldSimple>
        </w:p>
      </w:tc>
      <w:tc>
        <w:tcPr>
          <w:tcW w:w="567" w:type="dxa"/>
          <w:tcBorders>
            <w:left w:val="single" w:sz="4" w:space="0" w:color="788184" w:themeColor="background2"/>
          </w:tcBorders>
          <w:vAlign w:val="center"/>
        </w:tcPr>
        <w:p w:rsidR="004B6A45" w:rsidRPr="00CB70DF" w:rsidRDefault="004B6A45" w:rsidP="00E915E6">
          <w:pPr>
            <w:pStyle w:val="FooterRightPageNumber"/>
          </w:pPr>
          <w:r w:rsidRPr="00EB388E">
            <w:fldChar w:fldCharType="begin"/>
          </w:r>
          <w:r w:rsidRPr="00EB388E">
            <w:instrText xml:space="preserve"> PAGE   \* MERGEFORMAT </w:instrText>
          </w:r>
          <w:r w:rsidRPr="00EB388E">
            <w:fldChar w:fldCharType="separate"/>
          </w:r>
          <w:r w:rsidR="0036047A">
            <w:t>xl</w:t>
          </w:r>
          <w:r w:rsidRPr="00EB388E">
            <w:fldChar w:fldCharType="end"/>
          </w:r>
        </w:p>
      </w:tc>
    </w:tr>
    <w:tr w:rsidR="004B6A45" w:rsidRPr="00EB388E" w:rsidTr="004F1297">
      <w:trPr>
        <w:trHeight w:hRule="exact" w:val="403"/>
      </w:trPr>
      <w:tc>
        <w:tcPr>
          <w:tcW w:w="8164" w:type="dxa"/>
        </w:tcPr>
        <w:p w:rsidR="004B6A45" w:rsidRPr="00090E70" w:rsidRDefault="004B6A45" w:rsidP="0087390B"/>
      </w:tc>
      <w:tc>
        <w:tcPr>
          <w:tcW w:w="567" w:type="dxa"/>
          <w:tcMar>
            <w:bottom w:w="284" w:type="dxa"/>
          </w:tcMar>
        </w:tcPr>
        <w:p w:rsidR="004B6A45" w:rsidRPr="00090E70" w:rsidRDefault="004B6A45" w:rsidP="0087390B"/>
      </w:tc>
    </w:tr>
  </w:tbl>
  <w:p w:rsidR="004B6A45" w:rsidRDefault="004B6A45">
    <w:pPr>
      <w:pStyle w:val="Footer"/>
    </w:pPr>
  </w:p>
  <w:p w:rsidR="004B6A45" w:rsidRPr="004816D7" w:rsidRDefault="004B6A45" w:rsidP="004816D7">
    <w:pPr>
      <w:pStyle w:val="Footer"/>
    </w:pPr>
  </w:p>
  <w:p w:rsidR="004B6A45" w:rsidRDefault="004B6A45"/>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AsPlaceholder"/>
      <w:tblpPr w:bottomFromText="283" w:vertAnchor="page" w:horzAnchor="margin" w:tblpYSpec="bottom"/>
      <w:tblW w:w="8731" w:type="dxa"/>
      <w:tblLayout w:type="fixed"/>
      <w:tblCellMar>
        <w:top w:w="28" w:type="dxa"/>
      </w:tblCellMar>
      <w:tblLook w:val="04A0" w:firstRow="1" w:lastRow="0" w:firstColumn="1" w:lastColumn="0" w:noHBand="0" w:noVBand="1"/>
    </w:tblPr>
    <w:tblGrid>
      <w:gridCol w:w="567"/>
      <w:gridCol w:w="8164"/>
    </w:tblGrid>
    <w:tr w:rsidR="004B6A45" w:rsidRPr="00EB388E" w:rsidTr="00C13E4E">
      <w:trPr>
        <w:trHeight w:val="340"/>
      </w:trPr>
      <w:tc>
        <w:tcPr>
          <w:tcW w:w="567" w:type="dxa"/>
          <w:tcBorders>
            <w:right w:val="single" w:sz="4" w:space="0" w:color="788184" w:themeColor="background2"/>
          </w:tcBorders>
          <w:vAlign w:val="center"/>
        </w:tcPr>
        <w:p w:rsidR="004B6A45" w:rsidRPr="00CB70DF" w:rsidRDefault="004B6A45" w:rsidP="00C13E4E">
          <w:pPr>
            <w:pStyle w:val="FooterLeftPageNumber"/>
            <w:framePr w:wrap="auto" w:vAnchor="margin" w:hAnchor="text" w:yAlign="inline"/>
          </w:pPr>
          <w:r w:rsidRPr="00EB388E">
            <w:fldChar w:fldCharType="begin"/>
          </w:r>
          <w:r w:rsidRPr="00EB388E">
            <w:instrText xml:space="preserve"> PAGE   \* MERGEFORMAT </w:instrText>
          </w:r>
          <w:r w:rsidRPr="00EB388E">
            <w:fldChar w:fldCharType="separate"/>
          </w:r>
          <w:r w:rsidR="001030D2">
            <w:rPr>
              <w:noProof/>
            </w:rPr>
            <w:t>26</w:t>
          </w:r>
          <w:r w:rsidRPr="00EB388E">
            <w:fldChar w:fldCharType="end"/>
          </w:r>
        </w:p>
      </w:tc>
      <w:tc>
        <w:tcPr>
          <w:tcW w:w="8164" w:type="dxa"/>
          <w:tcBorders>
            <w:left w:val="single" w:sz="4" w:space="0" w:color="788184" w:themeColor="background2"/>
          </w:tcBorders>
          <w:vAlign w:val="center"/>
        </w:tcPr>
        <w:p w:rsidR="004B6A45" w:rsidRPr="00CB70DF" w:rsidRDefault="005868FF" w:rsidP="00C13E4E">
          <w:pPr>
            <w:pStyle w:val="FooterLeft"/>
            <w:framePr w:wrap="auto" w:vAnchor="margin" w:hAnchor="text" w:yAlign="inline"/>
          </w:pPr>
          <w:fldSimple w:instr=" STYLEREF  Title  \* MERGEFORMAT ">
            <w:r w:rsidR="001030D2">
              <w:rPr>
                <w:noProof/>
              </w:rPr>
              <w:t>Disability Support Pension</w:t>
            </w:r>
          </w:fldSimple>
        </w:p>
      </w:tc>
    </w:tr>
    <w:tr w:rsidR="004B6A45" w:rsidRPr="00EB388E" w:rsidTr="00C13E4E">
      <w:trPr>
        <w:trHeight w:hRule="exact" w:val="403"/>
      </w:trPr>
      <w:tc>
        <w:tcPr>
          <w:tcW w:w="567" w:type="dxa"/>
          <w:tcMar>
            <w:bottom w:w="284" w:type="dxa"/>
          </w:tcMar>
        </w:tcPr>
        <w:p w:rsidR="004B6A45" w:rsidRPr="00EB388E" w:rsidRDefault="004B6A45" w:rsidP="00C13E4E">
          <w:pPr>
            <w:pStyle w:val="FooterRightPageNumber"/>
          </w:pPr>
        </w:p>
      </w:tc>
      <w:tc>
        <w:tcPr>
          <w:tcW w:w="8164" w:type="dxa"/>
          <w:tcMar>
            <w:bottom w:w="284" w:type="dxa"/>
          </w:tcMar>
        </w:tcPr>
        <w:p w:rsidR="004B6A45" w:rsidRPr="00090E70" w:rsidRDefault="004B6A45" w:rsidP="00C13E4E"/>
      </w:tc>
    </w:tr>
  </w:tbl>
  <w:p w:rsidR="004B6A45" w:rsidRDefault="004B6A45">
    <w:pPr>
      <w:pStyle w:val="Footer"/>
    </w:pPr>
  </w:p>
  <w:p w:rsidR="004B6A45" w:rsidRPr="004816D7" w:rsidRDefault="004B6A45" w:rsidP="00187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A45" w:rsidRPr="000557A7" w:rsidRDefault="004B6A45" w:rsidP="008D5A11">
      <w:pPr>
        <w:pBdr>
          <w:top w:val="single" w:sz="4" w:space="1" w:color="auto"/>
        </w:pBdr>
        <w:spacing w:before="240" w:line="60" w:lineRule="exact"/>
        <w:rPr>
          <w:sz w:val="16"/>
          <w:szCs w:val="16"/>
        </w:rPr>
      </w:pPr>
    </w:p>
  </w:footnote>
  <w:footnote w:type="continuationSeparator" w:id="0">
    <w:p w:rsidR="004B6A45" w:rsidRDefault="004B6A45" w:rsidP="00A20802">
      <w:pPr>
        <w:spacing w:line="240" w:lineRule="auto"/>
      </w:pPr>
      <w:r>
        <w:continuationSeparator/>
      </w:r>
    </w:p>
    <w:p w:rsidR="004B6A45" w:rsidRDefault="004B6A45"/>
  </w:footnote>
  <w:footnote w:id="1">
    <w:p w:rsidR="004B6A45" w:rsidRPr="00F05011" w:rsidRDefault="004B6A45" w:rsidP="00643C11">
      <w:pPr>
        <w:pStyle w:val="FootnoteText"/>
      </w:pPr>
      <w:r w:rsidRPr="005575F3">
        <w:footnoteRef/>
      </w:r>
      <w:r>
        <w:tab/>
        <w:t xml:space="preserve">Strong growth in numbers and low workforce engagement of Invalid Pension recipients led to the </w:t>
      </w:r>
      <w:r w:rsidRPr="00F05011">
        <w:t xml:space="preserve">introduction of the DSP.  These reforms were informed by the </w:t>
      </w:r>
      <w:r w:rsidRPr="00F05011">
        <w:rPr>
          <w:i/>
        </w:rPr>
        <w:t>Towards Enabling Policies: Income Support for People with Disability</w:t>
      </w:r>
      <w:r w:rsidRPr="00F05011">
        <w:t xml:space="preserve"> </w:t>
      </w:r>
      <w:r>
        <w:t xml:space="preserve">report </w:t>
      </w:r>
      <w:r w:rsidRPr="00F05011">
        <w:t>from 1988 http://trove.nla.gov.au/work/152</w:t>
      </w:r>
      <w:r>
        <w:t>01454?selectedversion=NBD594</w:t>
      </w:r>
      <w:r w:rsidRPr="00F05011">
        <w:t>.</w:t>
      </w:r>
    </w:p>
  </w:footnote>
  <w:footnote w:id="2">
    <w:p w:rsidR="004B6A45" w:rsidRPr="00F05011" w:rsidRDefault="004B6A45" w:rsidP="00C8465A">
      <w:pPr>
        <w:pStyle w:val="FootnoteText"/>
      </w:pPr>
      <w:r w:rsidRPr="00F05011">
        <w:footnoteRef/>
      </w:r>
      <w:r w:rsidRPr="00F05011">
        <w:tab/>
        <w:t>This is referred to as a continuing inability to work. A person who is assessed as permanently blind automatically qualifie</w:t>
      </w:r>
      <w:r>
        <w:t>s</w:t>
      </w:r>
      <w:r w:rsidRPr="00F05011">
        <w:t xml:space="preserve"> for the DSP and does not have to demonstrate a continuing inability to work.</w:t>
      </w:r>
    </w:p>
  </w:footnote>
  <w:footnote w:id="3">
    <w:p w:rsidR="004B6A45" w:rsidRPr="00F05011" w:rsidRDefault="004B6A45">
      <w:pPr>
        <w:pStyle w:val="FootnoteText"/>
      </w:pPr>
      <w:r w:rsidRPr="00F05011">
        <w:footnoteRef/>
      </w:r>
      <w:r w:rsidRPr="00F05011">
        <w:tab/>
        <w:t>For a detailed list of the primary medical conditions see Appendix A.</w:t>
      </w:r>
    </w:p>
  </w:footnote>
  <w:footnote w:id="4">
    <w:p w:rsidR="004B6A45" w:rsidRPr="00A82457" w:rsidRDefault="004B6A45">
      <w:pPr>
        <w:pStyle w:val="FootnoteText"/>
      </w:pPr>
      <w:r w:rsidRPr="00F05011">
        <w:footnoteRef/>
      </w:r>
      <w:r w:rsidRPr="00F05011">
        <w:tab/>
        <w:t>The income and assets tests do not bind for the large majority of DSP recipients, meaning they receive the full pension rate. Some recipients (such as individuals who are permanently blind) are not subject to income or asset tests.</w:t>
      </w:r>
    </w:p>
  </w:footnote>
  <w:footnote w:id="5">
    <w:p w:rsidR="004B6A45" w:rsidRPr="00A0267B" w:rsidRDefault="004B6A45">
      <w:pPr>
        <w:pStyle w:val="FootnoteText"/>
      </w:pPr>
      <w:r w:rsidRPr="00C47628">
        <w:footnoteRef/>
      </w:r>
      <w:r>
        <w:tab/>
        <w:t>Other social security and welfare spending includes $3.4 billion on the National Disability Insurance Scheme (NDIS).  The amount of DSP paid to recipients is not affected if they access the NDIS.  Data has been sourced from 2017</w:t>
      </w:r>
      <w:r>
        <w:softHyphen/>
        <w:t>–18 Australian Government Final Budget Outcome, p. 10 and DSS 2016–17 Annual Report, p. 43.</w:t>
      </w:r>
    </w:p>
  </w:footnote>
  <w:footnote w:id="6">
    <w:p w:rsidR="004B6A45" w:rsidRPr="001C57B5" w:rsidRDefault="004B6A45" w:rsidP="00C20D7D">
      <w:pPr>
        <w:pStyle w:val="FootnoteText"/>
      </w:pPr>
      <w:r w:rsidRPr="001C57B5">
        <w:footnoteRef/>
      </w:r>
      <w:r>
        <w:tab/>
        <w:t>Refer to 2010–11 Budget Paper No. 2, p. 139.</w:t>
      </w:r>
    </w:p>
  </w:footnote>
  <w:footnote w:id="7">
    <w:p w:rsidR="004B6A45" w:rsidRPr="00504CFE" w:rsidRDefault="004B6A45" w:rsidP="00AE53F0">
      <w:pPr>
        <w:pStyle w:val="FootnoteText"/>
        <w:rPr>
          <w:i/>
        </w:rPr>
      </w:pPr>
      <w:r w:rsidRPr="00504CFE">
        <w:footnoteRef/>
      </w:r>
      <w:r>
        <w:tab/>
        <w:t xml:space="preserve">The Australian National Audit Office Report (ANAO) 2016 </w:t>
      </w:r>
      <w:r>
        <w:rPr>
          <w:i/>
        </w:rPr>
        <w:t xml:space="preserve">Qualifying for the National Disability Support Pension, </w:t>
      </w:r>
      <w:r>
        <w:t>Report 18 of 2015</w:t>
      </w:r>
      <w:r>
        <w:softHyphen/>
        <w:t xml:space="preserve">–16 shows that the key determinant in gaining access to the DSP was meeting criteria under assessment tables, which were revised from 1 January 2012, p. </w:t>
      </w:r>
      <w:r w:rsidRPr="00D0033E">
        <w:t xml:space="preserve">24. See also DSS (2014) </w:t>
      </w:r>
      <w:r w:rsidRPr="00D0033E">
        <w:rPr>
          <w:i/>
        </w:rPr>
        <w:t>Disability Support Pension Recipient Characteristics Report, June 2013.</w:t>
      </w:r>
    </w:p>
  </w:footnote>
  <w:footnote w:id="8">
    <w:p w:rsidR="004B6A45" w:rsidRPr="00966C46" w:rsidRDefault="004B6A45" w:rsidP="00BC23ED">
      <w:pPr>
        <w:pStyle w:val="FootnoteText"/>
      </w:pPr>
      <w:r w:rsidRPr="00C35BB9">
        <w:footnoteRef/>
      </w:r>
      <w:r>
        <w:tab/>
        <w:t xml:space="preserve">Working-age population is defined as 15 to 64 year olds. </w:t>
      </w:r>
    </w:p>
  </w:footnote>
  <w:footnote w:id="9">
    <w:p w:rsidR="004B6A45" w:rsidRPr="009C39F7" w:rsidRDefault="004B6A45" w:rsidP="005B1932">
      <w:pPr>
        <w:pStyle w:val="FootnoteText"/>
      </w:pPr>
      <w:r w:rsidRPr="00504CFE">
        <w:footnoteRef/>
      </w:r>
      <w:r>
        <w:tab/>
        <w:t xml:space="preserve">See Burkhauser, Daly &amp; Lucking 2013 and McVicar &amp; Wilkins 2013 for detailed discussions of the drivers of DSP growth over this period. </w:t>
      </w:r>
    </w:p>
  </w:footnote>
  <w:footnote w:id="10">
    <w:p w:rsidR="004B6A45" w:rsidRPr="00D27D76" w:rsidRDefault="004B6A45" w:rsidP="005B1932">
      <w:pPr>
        <w:pStyle w:val="FootnoteText"/>
      </w:pPr>
      <w:r w:rsidRPr="00504CFE">
        <w:footnoteRef/>
      </w:r>
      <w:r w:rsidRPr="00504CFE">
        <w:tab/>
      </w:r>
      <w:r>
        <w:rPr>
          <w:rStyle w:val="BodyTextChar"/>
        </w:rPr>
        <w:t>S</w:t>
      </w:r>
      <w:r w:rsidRPr="001B0EA5">
        <w:rPr>
          <w:rStyle w:val="BodyTextChar"/>
        </w:rPr>
        <w:t xml:space="preserve">ee Box </w:t>
      </w:r>
      <w:r>
        <w:rPr>
          <w:rStyle w:val="BodyTextChar"/>
        </w:rPr>
        <w:t>2, for further details</w:t>
      </w:r>
      <w:r w:rsidRPr="001B0EA5">
        <w:rPr>
          <w:rStyle w:val="BodyTextChar"/>
        </w:rPr>
        <w:t>.</w:t>
      </w:r>
    </w:p>
  </w:footnote>
  <w:footnote w:id="11">
    <w:p w:rsidR="004B6A45" w:rsidRPr="006F64E3" w:rsidRDefault="004B6A45" w:rsidP="00EA0351">
      <w:pPr>
        <w:pStyle w:val="FootnoteText"/>
      </w:pPr>
      <w:r w:rsidRPr="00504CFE">
        <w:footnoteRef/>
      </w:r>
      <w:r>
        <w:tab/>
        <w:t xml:space="preserve">ABS Cat. </w:t>
      </w:r>
      <w:proofErr w:type="gramStart"/>
      <w:r>
        <w:t>No. 4430.</w:t>
      </w:r>
      <w:proofErr w:type="gramEnd"/>
      <w:r>
        <w:t xml:space="preserve">  Data for 2001–02 is not available for this series.</w:t>
      </w:r>
    </w:p>
  </w:footnote>
  <w:footnote w:id="12">
    <w:p w:rsidR="004B6A45" w:rsidRPr="0088654C" w:rsidRDefault="004B6A45">
      <w:pPr>
        <w:pStyle w:val="FootnoteText"/>
      </w:pPr>
      <w:r w:rsidRPr="007E3803">
        <w:footnoteRef/>
      </w:r>
      <w:r>
        <w:tab/>
        <w:t>For the most part, once an individual is assessed as eligible for the DSP they continue to receive support until they no longer require it.  There is no standard requirement to be re-assessed over time although a sample of recipients is reviewed for compliance against eligibility criteria each year with only a small proportion of those reviewed leaving as a result of non-compliance.</w:t>
      </w:r>
    </w:p>
  </w:footnote>
  <w:footnote w:id="13">
    <w:p w:rsidR="004B6A45" w:rsidRDefault="004B6A45" w:rsidP="00165B72">
      <w:pPr>
        <w:pStyle w:val="FootnoteText"/>
      </w:pPr>
      <w:r w:rsidRPr="008D3B5E">
        <w:footnoteRef/>
      </w:r>
      <w:r>
        <w:tab/>
        <w:t xml:space="preserve">Detailed data on new recipients and those who cease receiving the payment  is only available from </w:t>
      </w:r>
    </w:p>
    <w:p w:rsidR="004B6A45" w:rsidRPr="008D3B5E" w:rsidRDefault="004B6A45" w:rsidP="00E10FDB">
      <w:pPr>
        <w:pStyle w:val="FootnoteText"/>
        <w:spacing w:before="0"/>
      </w:pPr>
      <w:r>
        <w:tab/>
      </w:r>
      <w:proofErr w:type="gramStart"/>
      <w:r>
        <w:t>2001–02.</w:t>
      </w:r>
      <w:proofErr w:type="gramEnd"/>
    </w:p>
  </w:footnote>
  <w:footnote w:id="14">
    <w:p w:rsidR="004B6A45" w:rsidRPr="001B0EA5" w:rsidRDefault="004B6A45" w:rsidP="00A50475">
      <w:pPr>
        <w:pStyle w:val="FootnoteText"/>
        <w:rPr>
          <w:szCs w:val="18"/>
        </w:rPr>
      </w:pPr>
      <w:r w:rsidRPr="001B0EA5">
        <w:rPr>
          <w:szCs w:val="18"/>
        </w:rPr>
        <w:footnoteRef/>
      </w:r>
      <w:r w:rsidRPr="001B0EA5">
        <w:rPr>
          <w:szCs w:val="18"/>
        </w:rPr>
        <w:t xml:space="preserve"> </w:t>
      </w:r>
      <w:r w:rsidRPr="001B0EA5">
        <w:rPr>
          <w:szCs w:val="18"/>
        </w:rPr>
        <w:tab/>
        <w:t xml:space="preserve">Refer to </w:t>
      </w:r>
      <w:r w:rsidRPr="001B0EA5">
        <w:rPr>
          <w:i/>
          <w:szCs w:val="18"/>
        </w:rPr>
        <w:t>Welfare to Work Reform Package 2005</w:t>
      </w:r>
      <w:r w:rsidRPr="001B0EA5">
        <w:rPr>
          <w:szCs w:val="18"/>
        </w:rPr>
        <w:t>, 2005</w:t>
      </w:r>
      <w:r>
        <w:rPr>
          <w:szCs w:val="18"/>
        </w:rPr>
        <w:t>–</w:t>
      </w:r>
      <w:r w:rsidRPr="001B0EA5">
        <w:rPr>
          <w:szCs w:val="18"/>
        </w:rPr>
        <w:t>06 Budget Paper No. 2, p. 132</w:t>
      </w:r>
      <w:r>
        <w:rPr>
          <w:szCs w:val="18"/>
        </w:rPr>
        <w:t>-</w:t>
      </w:r>
      <w:r w:rsidRPr="001B0EA5">
        <w:rPr>
          <w:szCs w:val="18"/>
        </w:rPr>
        <w:t>145</w:t>
      </w:r>
      <w:r>
        <w:rPr>
          <w:i/>
          <w:szCs w:val="18"/>
        </w:rPr>
        <w:t>.</w:t>
      </w:r>
    </w:p>
  </w:footnote>
  <w:footnote w:id="15">
    <w:p w:rsidR="004B6A45" w:rsidRPr="001B0EA5" w:rsidRDefault="004B6A45" w:rsidP="00A50475">
      <w:pPr>
        <w:pStyle w:val="FootnoteText"/>
        <w:rPr>
          <w:szCs w:val="18"/>
        </w:rPr>
      </w:pPr>
      <w:r w:rsidRPr="001B0EA5">
        <w:rPr>
          <w:szCs w:val="18"/>
        </w:rPr>
        <w:footnoteRef/>
      </w:r>
      <w:r w:rsidRPr="001B0EA5">
        <w:rPr>
          <w:szCs w:val="18"/>
        </w:rPr>
        <w:t xml:space="preserve"> </w:t>
      </w:r>
      <w:r w:rsidRPr="001B0EA5">
        <w:rPr>
          <w:szCs w:val="18"/>
        </w:rPr>
        <w:tab/>
        <w:t>This measure was originally introduced in 2003</w:t>
      </w:r>
      <w:r w:rsidRPr="001B0EA5">
        <w:rPr>
          <w:i/>
          <w:szCs w:val="18"/>
        </w:rPr>
        <w:t xml:space="preserve"> </w:t>
      </w:r>
      <w:r w:rsidRPr="001B0EA5">
        <w:rPr>
          <w:szCs w:val="18"/>
        </w:rPr>
        <w:t xml:space="preserve">following the release of the </w:t>
      </w:r>
      <w:r w:rsidRPr="001B0EA5">
        <w:rPr>
          <w:i/>
          <w:szCs w:val="18"/>
        </w:rPr>
        <w:t xml:space="preserve">Participation Support for a More Equitable Society </w:t>
      </w:r>
      <w:r w:rsidRPr="001B0EA5">
        <w:rPr>
          <w:szCs w:val="18"/>
        </w:rPr>
        <w:t xml:space="preserve">report but was not legislated at the time. </w:t>
      </w:r>
    </w:p>
  </w:footnote>
  <w:footnote w:id="16">
    <w:p w:rsidR="004B6A45" w:rsidRPr="004738CF" w:rsidRDefault="004B6A45" w:rsidP="007D2AC6">
      <w:pPr>
        <w:pStyle w:val="FootnoteText"/>
      </w:pPr>
      <w:r w:rsidRPr="001B0EA5">
        <w:rPr>
          <w:rStyle w:val="FootnoteReference"/>
          <w:szCs w:val="18"/>
          <w:vertAlign w:val="baseline"/>
        </w:rPr>
        <w:footnoteRef/>
      </w:r>
      <w:r w:rsidRPr="001B0EA5">
        <w:rPr>
          <w:szCs w:val="18"/>
        </w:rPr>
        <w:tab/>
        <w:t>This policy was introduced in the 2009</w:t>
      </w:r>
      <w:r>
        <w:rPr>
          <w:szCs w:val="18"/>
        </w:rPr>
        <w:t>–</w:t>
      </w:r>
      <w:r w:rsidRPr="001B0EA5">
        <w:rPr>
          <w:szCs w:val="18"/>
        </w:rPr>
        <w:t xml:space="preserve">10 Budget through the measure </w:t>
      </w:r>
      <w:r w:rsidRPr="001B0EA5">
        <w:rPr>
          <w:i/>
          <w:szCs w:val="18"/>
        </w:rPr>
        <w:t>Disability Support Pension—better and fairer assessments</w:t>
      </w:r>
      <w:r w:rsidRPr="001B0EA5">
        <w:rPr>
          <w:szCs w:val="18"/>
        </w:rPr>
        <w:t>, Budget Paper 2, p. 228</w:t>
      </w:r>
      <w:r>
        <w:rPr>
          <w:szCs w:val="18"/>
        </w:rPr>
        <w:t>.</w:t>
      </w:r>
    </w:p>
  </w:footnote>
  <w:footnote w:id="17">
    <w:p w:rsidR="004B6A45" w:rsidRPr="009360B3" w:rsidRDefault="004B6A45">
      <w:pPr>
        <w:pStyle w:val="FootnoteText"/>
      </w:pPr>
      <w:r w:rsidRPr="00504CFE">
        <w:footnoteRef/>
      </w:r>
      <w:r>
        <w:tab/>
        <w:t xml:space="preserve">McVicar, D &amp; Wilkins, R 2013, ‘Explaining the Growth in the Number of Recipients of the Disability Support Pension in Australia’ </w:t>
      </w:r>
      <w:proofErr w:type="gramStart"/>
      <w:r>
        <w:rPr>
          <w:i/>
        </w:rPr>
        <w:t>The</w:t>
      </w:r>
      <w:proofErr w:type="gramEnd"/>
      <w:r>
        <w:rPr>
          <w:i/>
        </w:rPr>
        <w:t xml:space="preserve"> Australian Economic Review, </w:t>
      </w:r>
      <w:r>
        <w:t>vol. 28, no. 3, pp.  345-56</w:t>
      </w:r>
    </w:p>
  </w:footnote>
  <w:footnote w:id="18">
    <w:p w:rsidR="004B6A45" w:rsidRPr="00C85716" w:rsidRDefault="004B6A45">
      <w:pPr>
        <w:pStyle w:val="FootnoteText"/>
      </w:pPr>
      <w:r w:rsidRPr="00C85716">
        <w:footnoteRef/>
      </w:r>
      <w:r>
        <w:tab/>
        <w:t>The links between the DSP and underlying labour market conditions are explored in detail in McVicar &amp; Wilkins 2013 cited above, p. 348-349.</w:t>
      </w:r>
    </w:p>
  </w:footnote>
  <w:footnote w:id="19">
    <w:p w:rsidR="004B6A45" w:rsidRPr="006F64E3" w:rsidRDefault="004B6A45">
      <w:pPr>
        <w:pStyle w:val="FootnoteText"/>
      </w:pPr>
      <w:r w:rsidRPr="00504CFE">
        <w:footnoteRef/>
      </w:r>
      <w:r>
        <w:tab/>
        <w:t xml:space="preserve">ABS Cat. </w:t>
      </w:r>
      <w:proofErr w:type="gramStart"/>
      <w:r>
        <w:t>No. 4430.</w:t>
      </w:r>
      <w:proofErr w:type="gramEnd"/>
      <w:r>
        <w:t xml:space="preserve"> Data for 2001-02 is not available for this series.</w:t>
      </w:r>
    </w:p>
  </w:footnote>
  <w:footnote w:id="20">
    <w:p w:rsidR="004B6A45" w:rsidRPr="006A3BBE" w:rsidRDefault="004B6A45">
      <w:pPr>
        <w:pStyle w:val="FootnoteText"/>
      </w:pPr>
      <w:r w:rsidRPr="00B4321B">
        <w:footnoteRef/>
      </w:r>
      <w:r>
        <w:tab/>
        <w:t>This refers to individuals born between 1946 and 1966.</w:t>
      </w:r>
    </w:p>
  </w:footnote>
  <w:footnote w:id="21">
    <w:p w:rsidR="004B6A45" w:rsidRPr="00915041" w:rsidRDefault="004B6A45" w:rsidP="00886A8F">
      <w:pPr>
        <w:pStyle w:val="FootnoteText"/>
      </w:pPr>
      <w:r w:rsidRPr="00F4261A">
        <w:footnoteRef/>
      </w:r>
      <w:r>
        <w:tab/>
        <w:t>ANAO 2016, p. 41.</w:t>
      </w:r>
    </w:p>
  </w:footnote>
  <w:footnote w:id="22">
    <w:p w:rsidR="004B6A45" w:rsidRPr="00345A63" w:rsidRDefault="004B6A45">
      <w:pPr>
        <w:pStyle w:val="FootnoteText"/>
      </w:pPr>
      <w:r w:rsidRPr="00504CFE">
        <w:footnoteRef/>
      </w:r>
      <w:r>
        <w:tab/>
        <w:t>Rates of homeownership among the DSP population have fallen over time from 37 per cent of recipients in 2001–02 to 28 per cent in 2012–13.  The asset test threshold for non-homeowners was also increased from $360,000 to $450,000 for singles and $448,000 to $575,000 from 1 January 2017.</w:t>
      </w:r>
    </w:p>
  </w:footnote>
  <w:footnote w:id="23">
    <w:p w:rsidR="004B6A45" w:rsidRPr="00876290" w:rsidRDefault="004B6A45">
      <w:pPr>
        <w:pStyle w:val="FootnoteText"/>
      </w:pPr>
      <w:r w:rsidRPr="00504CFE">
        <w:footnoteRef/>
      </w:r>
      <w:r>
        <w:tab/>
        <w:t xml:space="preserve">This has been informed by the expenditure decomposition approach discussed in Saunders, P 2017,  ‘Understanding social security trends: an expenditure decomposition approach with application to Australia and Hong Kong’, </w:t>
      </w:r>
      <w:r w:rsidRPr="00504CFE">
        <w:rPr>
          <w:i/>
        </w:rPr>
        <w:t>Journal of Asian Public Policy</w:t>
      </w:r>
      <w:r>
        <w:t>, vol. 10, no. 2, pp. 216-222.</w:t>
      </w:r>
    </w:p>
  </w:footnote>
  <w:footnote w:id="24">
    <w:p w:rsidR="004B6A45" w:rsidRPr="009702F7" w:rsidRDefault="004B6A45">
      <w:pPr>
        <w:pStyle w:val="FootnoteText"/>
      </w:pPr>
      <w:r w:rsidRPr="0019119F">
        <w:footnoteRef/>
      </w:r>
      <w:r>
        <w:tab/>
        <w:t>From 2017–18 to 2020–21, the number of new recipients and those ceasing to receive the DSP are assumed at levels that match total recipient estimates in the official 2017–18 MYEFO forward estimates for the program.</w:t>
      </w:r>
    </w:p>
  </w:footnote>
  <w:footnote w:id="25">
    <w:p w:rsidR="004B6A45" w:rsidRPr="003D1587" w:rsidRDefault="004B6A45" w:rsidP="00350360">
      <w:pPr>
        <w:pStyle w:val="FootnoteText"/>
      </w:pPr>
      <w:r w:rsidRPr="00504CFE">
        <w:footnoteRef/>
      </w:r>
      <w:r>
        <w:tab/>
        <w:t>Grant rate data is not published beyond 2014–15.</w:t>
      </w:r>
    </w:p>
  </w:footnote>
  <w:footnote w:id="26">
    <w:p w:rsidR="004B6A45" w:rsidRPr="002C306A" w:rsidRDefault="004B6A45" w:rsidP="00350360">
      <w:pPr>
        <w:pStyle w:val="FootnoteText"/>
      </w:pPr>
      <w:r w:rsidRPr="00394473">
        <w:footnoteRef/>
      </w:r>
      <w:r>
        <w:tab/>
        <w:t>Scenarios are based on the average per capita level of new recipients in a year as a share of the total population with an adjustment for the impact of the increase in the Age Pension eligibility age.  The average period captures the effect of policy settings and the per capita approach allows for the effect of changes in the overall population to be reflected in the projections. See Appendix A for further detail.</w:t>
      </w:r>
    </w:p>
  </w:footnote>
  <w:footnote w:id="27">
    <w:p w:rsidR="004B6A45" w:rsidRPr="00E56122" w:rsidRDefault="004B6A45" w:rsidP="00E56122">
      <w:pPr>
        <w:pStyle w:val="FootnoteText"/>
      </w:pPr>
      <w:r w:rsidRPr="00E56122">
        <w:footnoteRef/>
      </w:r>
      <w:r>
        <w:tab/>
      </w:r>
      <w:r w:rsidRPr="00E56122">
        <w:t>Growth in expenditure projections for each of the scenarios is stronger than projected growth in recipient numbers due to the growth in payment rates, with payment projections indexed to MTAWE.</w:t>
      </w:r>
    </w:p>
    <w:p w:rsidR="004B6A45" w:rsidRPr="00E56122" w:rsidRDefault="004B6A45">
      <w:pPr>
        <w:pStyle w:val="FootnoteText"/>
      </w:pPr>
    </w:p>
  </w:footnote>
  <w:footnote w:id="28">
    <w:p w:rsidR="004B6A45" w:rsidRPr="00845DDA" w:rsidRDefault="004B6A45">
      <w:pPr>
        <w:pStyle w:val="FootnoteText"/>
      </w:pPr>
      <w:r w:rsidRPr="00504CFE">
        <w:footnoteRef/>
      </w:r>
      <w:r>
        <w:tab/>
        <w:t xml:space="preserve">This is discussed in the expenditure decomposition approach explored in Saunders, P 2017.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Header"/>
    </w:pPr>
    <w:r>
      <w:rPr>
        <w:noProof/>
        <w:lang w:eastAsia="en-AU"/>
      </w:rPr>
      <mc:AlternateContent>
        <mc:Choice Requires="wps">
          <w:drawing>
            <wp:anchor distT="0" distB="0" distL="114300" distR="114300" simplePos="0" relativeHeight="251652096" behindDoc="1" locked="1" layoutInCell="1" allowOverlap="1" wp14:anchorId="3D41D7F3" wp14:editId="220656F4">
              <wp:simplePos x="0" y="0"/>
              <wp:positionH relativeFrom="page">
                <wp:align>center</wp:align>
              </wp:positionH>
              <wp:positionV relativeFrom="page">
                <wp:align>center</wp:align>
              </wp:positionV>
              <wp:extent cx="7560000" cy="1796400"/>
              <wp:effectExtent l="0" t="0" r="0" b="0"/>
              <wp:wrapNone/>
              <wp:docPr id="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7" o:spid="_x0000_s1029" type="#_x0000_t202" style="position:absolute;margin-left:0;margin-top:0;width:595.3pt;height:141.45pt;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IOtgIAALw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" filled="f" stroked="f">
              <v:textbo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v:textbox>
              <w10:wrap anchorx="page" anchory="page"/>
              <w10:anchorlock/>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Header"/>
    </w:pPr>
    <w:r>
      <w:rPr>
        <w:noProof/>
        <w:lang w:eastAsia="en-AU"/>
      </w:rPr>
      <w:drawing>
        <wp:anchor distT="0" distB="0" distL="114300" distR="114300" simplePos="0" relativeHeight="251663360" behindDoc="1" locked="0" layoutInCell="1" allowOverlap="1" wp14:anchorId="6752B4B4" wp14:editId="6AEB5A98">
          <wp:simplePos x="0" y="0"/>
          <wp:positionH relativeFrom="page">
            <wp:posOffset>0</wp:posOffset>
          </wp:positionH>
          <wp:positionV relativeFrom="page">
            <wp:posOffset>0</wp:posOffset>
          </wp:positionV>
          <wp:extent cx="7563600" cy="10695600"/>
          <wp:effectExtent l="0" t="0" r="0" b="0"/>
          <wp:wrapNone/>
          <wp:docPr id="42" name="Picture 4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61FF6710" wp14:editId="1E21B598">
              <wp:simplePos x="0" y="0"/>
              <wp:positionH relativeFrom="page">
                <wp:align>center</wp:align>
              </wp:positionH>
              <wp:positionV relativeFrom="page">
                <wp:align>center</wp:align>
              </wp:positionV>
              <wp:extent cx="7560000" cy="1796400"/>
              <wp:effectExtent l="0" t="0" r="0" b="0"/>
              <wp:wrapNone/>
              <wp:docPr id="30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" filled="f" stroked="f">
              <v:textbo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v:textbox>
              <w10:wrap anchorx="page" anchory="page"/>
              <w10:anchorlock/>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rsidP="00C13E4E">
    <w:pPr>
      <w:pStyle w:val="Header"/>
    </w:pPr>
  </w:p>
  <w:p w:rsidR="004B6A45" w:rsidRPr="00C13E4E" w:rsidRDefault="004B6A45" w:rsidP="00C13E4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rsidP="00C13E4E">
    <w:pPr>
      <w:pStyle w:val="Header"/>
    </w:pPr>
  </w:p>
  <w:p w:rsidR="004B6A45" w:rsidRPr="00C13E4E" w:rsidRDefault="004B6A45" w:rsidP="00C13E4E">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Header"/>
    </w:pPr>
    <w:r>
      <w:rPr>
        <w:noProof/>
        <w:lang w:eastAsia="en-AU"/>
      </w:rPr>
      <w:drawing>
        <wp:anchor distT="0" distB="0" distL="114300" distR="114300" simplePos="0" relativeHeight="251659264" behindDoc="1" locked="0" layoutInCell="1" allowOverlap="1" wp14:anchorId="6DF10F43" wp14:editId="53E36869">
          <wp:simplePos x="0" y="0"/>
          <wp:positionH relativeFrom="page">
            <wp:posOffset>0</wp:posOffset>
          </wp:positionH>
          <wp:positionV relativeFrom="page">
            <wp:posOffset>0</wp:posOffset>
          </wp:positionV>
          <wp:extent cx="7563600" cy="10695600"/>
          <wp:effectExtent l="0" t="0" r="0" b="0"/>
          <wp:wrapNone/>
          <wp:docPr id="31" name="Picture 3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0" behindDoc="1" locked="1" layoutInCell="1" allowOverlap="1" wp14:anchorId="562973B6" wp14:editId="0F48F8B8">
              <wp:simplePos x="0" y="0"/>
              <wp:positionH relativeFrom="page">
                <wp:align>center</wp:align>
              </wp:positionH>
              <wp:positionV relativeFrom="page">
                <wp:align>center</wp:align>
              </wp:positionV>
              <wp:extent cx="7560000" cy="1796400"/>
              <wp:effectExtent l="0" t="0" r="0" b="0"/>
              <wp:wrapNone/>
              <wp:docPr id="5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6" type="#_x0000_t202"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L6aPcm6AgAA&#10;xAUAAA4AAAAAAAAAAAAAAAAALgIAAGRycy9lMm9Eb2MueG1sUEsBAi0AFAAGAAgAAAAhADTFRM7b&#10;AAAABgEAAA8AAAAAAAAAAAAAAAAAFAUAAGRycy9kb3ducmV2LnhtbFBLBQYAAAAABAAEAPMAAAAc&#10;BgAAAAA=&#10;" filled="f" stroked="f">
              <v:textbo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v:textbox>
              <w10:wrap anchorx="page" anchory="page"/>
              <w10:anchorlock/>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Pr="00EB2CBC" w:rsidRDefault="001030D2" w:rsidP="00EB2CBC">
    <w:pPr>
      <w:pStyle w:val="Header"/>
      <w:jc w:val="center"/>
      <w:rPr>
        <w:b/>
      </w:rPr>
    </w:pPr>
    <w:sdt>
      <w:sdtPr>
        <w:rPr>
          <w:b/>
        </w:rPr>
        <w:id w:val="-1813936337"/>
        <w:docPartObj>
          <w:docPartGallery w:val="Watermarks"/>
          <w:docPartUnique/>
        </w:docPartObj>
      </w:sdtPr>
      <w:sdtEndPr/>
      <w:sdtContent>
        <w:r>
          <w:rPr>
            <w:b/>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67596" type="#_x0000_t136" style="position:absolute;left:0;text-align:left;margin-left:0;margin-top:0;width:412.4pt;height:247.4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4B6A45" w:rsidRPr="00EB2CBC">
      <w:rPr>
        <w:b/>
      </w:rPr>
      <w:t>DRAFT</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Header"/>
    </w:pPr>
    <w:r>
      <w:rPr>
        <w:noProof/>
        <w:lang w:eastAsia="en-AU"/>
      </w:rPr>
      <w:drawing>
        <wp:anchor distT="0" distB="0" distL="114300" distR="114300" simplePos="0" relativeHeight="251661312" behindDoc="1" locked="0" layoutInCell="1" allowOverlap="1" wp14:anchorId="6F111426" wp14:editId="7D3EEF7C">
          <wp:simplePos x="0" y="0"/>
          <wp:positionH relativeFrom="page">
            <wp:posOffset>0</wp:posOffset>
          </wp:positionH>
          <wp:positionV relativeFrom="page">
            <wp:posOffset>0</wp:posOffset>
          </wp:positionV>
          <wp:extent cx="7563600" cy="10695600"/>
          <wp:effectExtent l="0" t="0" r="0" b="0"/>
          <wp:wrapNone/>
          <wp:docPr id="25" name="Picture 2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0288" behindDoc="1" locked="1" layoutInCell="1" allowOverlap="1" wp14:anchorId="727667A6" wp14:editId="43733208">
              <wp:simplePos x="0" y="0"/>
              <wp:positionH relativeFrom="page">
                <wp:align>center</wp:align>
              </wp:positionH>
              <wp:positionV relativeFrom="page">
                <wp:align>center</wp:align>
              </wp:positionV>
              <wp:extent cx="7560000" cy="1796400"/>
              <wp:effectExtent l="0" t="0" r="0" b="0"/>
              <wp:wrapNone/>
              <wp:docPr id="22"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7" type="#_x0000_t202"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BLsoXQuwIA&#10;AMQFAAAOAAAAAAAAAAAAAAAAAC4CAABkcnMvZTJvRG9jLnhtbFBLAQItABQABgAIAAAAIQA0xUTO&#10;2wAAAAYBAAAPAAAAAAAAAAAAAAAAABUFAABkcnMvZG93bnJldi54bWxQSwUGAAAAAAQABADzAAAA&#10;HQYAAAAA&#10;" filled="f" stroked="f">
              <v:textbo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Header"/>
    </w:pPr>
    <w:r>
      <w:rPr>
        <w:noProof/>
        <w:lang w:eastAsia="en-AU"/>
      </w:rPr>
      <mc:AlternateContent>
        <mc:Choice Requires="wps">
          <w:drawing>
            <wp:anchor distT="0" distB="0" distL="114300" distR="114300" simplePos="0" relativeHeight="251653120" behindDoc="1" locked="1" layoutInCell="1" allowOverlap="1" wp14:anchorId="684281AA" wp14:editId="5A754B58">
              <wp:simplePos x="0" y="0"/>
              <wp:positionH relativeFrom="page">
                <wp:align>center</wp:align>
              </wp:positionH>
              <wp:positionV relativeFrom="page">
                <wp:align>center</wp:align>
              </wp:positionV>
              <wp:extent cx="7560000" cy="1796400"/>
              <wp:effectExtent l="0" t="0" r="0" b="0"/>
              <wp:wrapNone/>
              <wp:docPr id="3"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0;margin-top:0;width:595.3pt;height:141.45pt;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IeAB0W6AgAA&#10;wwUAAA4AAAAAAAAAAAAAAAAALgIAAGRycy9lMm9Eb2MueG1sUEsBAi0AFAAGAAgAAAAhADTFRM7b&#10;AAAABgEAAA8AAAAAAAAAAAAAAAAAFAUAAGRycy9kb3ducmV2LnhtbFBLBQYAAAAABAAEAPMAAAAc&#10;BgAAAAA=&#10;" filled="f" stroked="f">
              <v:textbo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Pr="00EB2CBC" w:rsidRDefault="004B6A45" w:rsidP="00EB2CBC">
    <w:pPr>
      <w:pStyle w:val="Header"/>
      <w:jc w:val="center"/>
      <w:rPr>
        <w:b/>
      </w:rPr>
    </w:pPr>
    <w:r w:rsidRPr="00EB2CBC">
      <w:rPr>
        <w:b/>
        <w:noProof/>
        <w:lang w:eastAsia="en-AU"/>
      </w:rPr>
      <w:drawing>
        <wp:anchor distT="0" distB="0" distL="114300" distR="114300" simplePos="0" relativeHeight="251657216" behindDoc="1" locked="0" layoutInCell="1" allowOverlap="1" wp14:anchorId="60D86115" wp14:editId="681154F8">
          <wp:simplePos x="0" y="0"/>
          <wp:positionH relativeFrom="page">
            <wp:posOffset>-635</wp:posOffset>
          </wp:positionH>
          <wp:positionV relativeFrom="page">
            <wp:posOffset>142240</wp:posOffset>
          </wp:positionV>
          <wp:extent cx="7563600" cy="10695600"/>
          <wp:effectExtent l="0" t="0" r="0" b="0"/>
          <wp:wrapNone/>
          <wp:docPr id="53" name="Picture 5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5600"/>
                  </a:xfrm>
                  <a:prstGeom prst="rect">
                    <a:avLst/>
                  </a:prstGeom>
                </pic:spPr>
              </pic:pic>
            </a:graphicData>
          </a:graphic>
          <wp14:sizeRelH relativeFrom="page">
            <wp14:pctWidth>0</wp14:pctWidth>
          </wp14:sizeRelH>
          <wp14:sizeRelV relativeFrom="page">
            <wp14:pctHeight>0</wp14:pctHeight>
          </wp14:sizeRelV>
        </wp:anchor>
      </w:drawing>
    </w:r>
    <w:r w:rsidRPr="00EB2CBC">
      <w:rPr>
        <w:b/>
        <w:noProof/>
        <w:lang w:eastAsia="en-AU"/>
      </w:rPr>
      <mc:AlternateContent>
        <mc:Choice Requires="wps">
          <w:drawing>
            <wp:anchor distT="0" distB="0" distL="114300" distR="114300" simplePos="0" relativeHeight="251651072" behindDoc="1" locked="1" layoutInCell="1" allowOverlap="1" wp14:anchorId="7BF58EF9" wp14:editId="167AE158">
              <wp:simplePos x="0" y="0"/>
              <wp:positionH relativeFrom="page">
                <wp:align>center</wp:align>
              </wp:positionH>
              <wp:positionV relativeFrom="page">
                <wp:align>center</wp:align>
              </wp:positionV>
              <wp:extent cx="7560000" cy="1796400"/>
              <wp:effectExtent l="0" t="0" r="0" b="0"/>
              <wp:wrapNone/>
              <wp:docPr id="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0;margin-top:0;width:595.3pt;height:141.45pt;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tyw5K6AgAA&#10;wwUAAA4AAAAAAAAAAAAAAAAALgIAAGRycy9lMm9Eb2MueG1sUEsBAi0AFAAGAAgAAAAhADTFRM7b&#10;AAAABgEAAA8AAAAAAAAAAAAAAAAAFAUAAGRycy9kb3ducmV2LnhtbFBLBQYAAAAABAAEAPMAAAAc&#10;BgAAAAA=&#10;" filled="f" stroked="f">
              <v:textbo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v:textbox>
              <w10:wrap anchorx="page" anchory="page"/>
              <w10:anchorlock/>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Pr="00EB2CBC" w:rsidRDefault="004B6A45" w:rsidP="00EB2CBC">
    <w:pPr>
      <w:pStyle w:val="Header"/>
      <w:jc w:val="cent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Header"/>
    </w:pPr>
    <w:r>
      <w:rPr>
        <w:noProof/>
        <w:lang w:eastAsia="en-AU"/>
      </w:rPr>
      <mc:AlternateContent>
        <mc:Choice Requires="wps">
          <w:drawing>
            <wp:anchor distT="0" distB="0" distL="114300" distR="114300" simplePos="0" relativeHeight="251654144" behindDoc="1" locked="1" layoutInCell="1" allowOverlap="1" wp14:anchorId="0044F882" wp14:editId="70FE486C">
              <wp:simplePos x="0" y="0"/>
              <wp:positionH relativeFrom="page">
                <wp:align>center</wp:align>
              </wp:positionH>
              <wp:positionV relativeFrom="page">
                <wp:align>center</wp:align>
              </wp:positionV>
              <wp:extent cx="7560000" cy="1796400"/>
              <wp:effectExtent l="0" t="0" r="0" b="0"/>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0;margin-top:0;width:595.3pt;height:141.45pt;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DwIVBpuwIA&#10;AMMFAAAOAAAAAAAAAAAAAAAAAC4CAABkcnMvZTJvRG9jLnhtbFBLAQItABQABgAIAAAAIQA0xUTO&#10;2wAAAAYBAAAPAAAAAAAAAAAAAAAAABUFAABkcnMvZG93bnJldi54bWxQSwUGAAAAAAQABADzAAAA&#10;HQYAAAAA&#10;" filled="f" stroked="f">
              <v:textbox>
                <w:txbxContent>
                  <w:p w:rsidR="004B6A45" w:rsidRPr="0001226A" w:rsidRDefault="004B6A45" w:rsidP="00F45442">
                    <w:pPr>
                      <w:pStyle w:val="xStatus"/>
                      <w:rPr>
                        <w:szCs w:val="120"/>
                      </w:rPr>
                    </w:pPr>
                    <w:r w:rsidRPr="0001226A">
                      <w:rPr>
                        <w:szCs w:val="120"/>
                      </w:rPr>
                      <w:fldChar w:fldCharType="begin"/>
                    </w:r>
                    <w:r w:rsidRPr="0001226A">
                      <w:rPr>
                        <w:szCs w:val="120"/>
                      </w:rPr>
                      <w:instrText xml:space="preserve"> DOCPROPERTY  xStatus  \* MERGEFORMAT </w:instrText>
                    </w:r>
                    <w:r w:rsidRPr="0001226A">
                      <w:rPr>
                        <w:szCs w:val="120"/>
                      </w:rPr>
                      <w:fldChar w:fldCharType="separate"/>
                    </w:r>
                    <w:r w:rsidR="0036047A">
                      <w:rPr>
                        <w:szCs w:val="120"/>
                      </w:rPr>
                      <w:t>DRAFT</w:t>
                    </w:r>
                    <w:r w:rsidRPr="0001226A">
                      <w:rPr>
                        <w:szCs w:val="120"/>
                      </w:rPr>
                      <w:fldChar w:fldCharType="end"/>
                    </w:r>
                  </w:p>
                </w:txbxContent>
              </v:textbox>
              <w10:wrap anchorx="page" anchory="page"/>
              <w10:anchorlock/>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pPr>
      <w:pStyle w:val="Header"/>
    </w:pPr>
    <w:r>
      <w:rPr>
        <w:noProof/>
        <w:lang w:eastAsia="en-AU"/>
      </w:rPr>
      <mc:AlternateContent>
        <mc:Choice Requires="wps">
          <w:drawing>
            <wp:anchor distT="0" distB="0" distL="114300" distR="114300" simplePos="0" relativeHeight="251656192" behindDoc="1" locked="1" layoutInCell="1" allowOverlap="1" wp14:anchorId="662D5616" wp14:editId="744C85FF">
              <wp:simplePos x="0" y="0"/>
              <wp:positionH relativeFrom="page">
                <wp:align>center</wp:align>
              </wp:positionH>
              <wp:positionV relativeFrom="page">
                <wp:align>center</wp:align>
              </wp:positionV>
              <wp:extent cx="7560000" cy="1796400"/>
              <wp:effectExtent l="0" t="0" r="0" b="0"/>
              <wp:wrapNone/>
              <wp:docPr id="8"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0;margin-top:0;width:595.3pt;height:141.4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GlAY2S6AgAA&#10;wwUAAA4AAAAAAAAAAAAAAAAALgIAAGRycy9lMm9Eb2MueG1sUEsBAi0AFAAGAAgAAAAhADTFRM7b&#10;AAAABgEAAA8AAAAAAAAAAAAAAAAAFAUAAGRycy9kb3ducmV2LnhtbFBLBQYAAAAABAAEAPMAAAAc&#10;BgAAAAA=&#10;" filled="f" stroked="f">
              <v:textbox>
                <w:txbxContent>
                  <w:p w:rsidR="004B6A45" w:rsidRPr="0001226A" w:rsidRDefault="004B6A45" w:rsidP="00F45442">
                    <w:pPr>
                      <w:pStyle w:val="xStatus"/>
                      <w:rPr>
                        <w:szCs w:val="120"/>
                      </w:rPr>
                    </w:pPr>
                  </w:p>
                </w:txbxContent>
              </v:textbox>
              <w10:wrap anchorx="page" anchory="page"/>
              <w10:anchorlock/>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Pr="00EB2CBC" w:rsidRDefault="004B6A45" w:rsidP="00EB2CBC">
    <w:pPr>
      <w:pStyle w:val="Header"/>
      <w:jc w:val="center"/>
      <w:rPr>
        <w:b/>
      </w:rPr>
    </w:pPr>
    <w:r w:rsidRPr="00EB2CBC">
      <w:rPr>
        <w:b/>
        <w:noProof/>
        <w:lang w:eastAsia="en-AU"/>
      </w:rPr>
      <mc:AlternateContent>
        <mc:Choice Requires="wps">
          <w:drawing>
            <wp:anchor distT="0" distB="0" distL="114300" distR="114300" simplePos="0" relativeHeight="251655168" behindDoc="1" locked="1" layoutInCell="1" allowOverlap="1" wp14:anchorId="36BD7914" wp14:editId="1DDACE42">
              <wp:simplePos x="0" y="0"/>
              <wp:positionH relativeFrom="page">
                <wp:align>center</wp:align>
              </wp:positionH>
              <wp:positionV relativeFrom="page">
                <wp:align>center</wp:align>
              </wp:positionV>
              <wp:extent cx="7560000" cy="1796400"/>
              <wp:effectExtent l="0" t="0" r="0" b="0"/>
              <wp:wrapNone/>
              <wp:docPr id="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6A45" w:rsidRPr="0001226A" w:rsidRDefault="004B6A45" w:rsidP="00F45442">
                          <w:pPr>
                            <w:pStyle w:val="xStatus"/>
                            <w:rPr>
                              <w:szCs w:val="1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0;margin-top:0;width:595.3pt;height:141.4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5naMK6AgAA&#10;wwUAAA4AAAAAAAAAAAAAAAAALgIAAGRycy9lMm9Eb2MueG1sUEsBAi0AFAAGAAgAAAAhADTFRM7b&#10;AAAABgEAAA8AAAAAAAAAAAAAAAAAFAUAAGRycy9kb3ducmV2LnhtbFBLBQYAAAAABAAEAPMAAAAc&#10;BgAAAAA=&#10;" filled="f" stroked="f">
              <v:textbox>
                <w:txbxContent>
                  <w:p w:rsidR="004B6A45" w:rsidRPr="0001226A" w:rsidRDefault="004B6A45" w:rsidP="00F45442">
                    <w:pPr>
                      <w:pStyle w:val="xStatus"/>
                      <w:rPr>
                        <w:szCs w:val="120"/>
                      </w:rPr>
                    </w:pPr>
                  </w:p>
                </w:txbxContent>
              </v:textbox>
              <w10:wrap anchorx="page" anchory="page"/>
              <w10:anchorlock/>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rsidP="00C13E4E">
    <w:pPr>
      <w:pStyle w:val="Header"/>
    </w:pPr>
  </w:p>
  <w:p w:rsidR="004B6A45" w:rsidRPr="00C13E4E" w:rsidRDefault="004B6A45" w:rsidP="00C13E4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A45" w:rsidRDefault="004B6A45" w:rsidP="00C13E4E">
    <w:pPr>
      <w:pStyle w:val="Header"/>
    </w:pPr>
  </w:p>
  <w:p w:rsidR="004B6A45" w:rsidRPr="00C13E4E" w:rsidRDefault="004B6A45" w:rsidP="00C13E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128F"/>
    <w:multiLevelType w:val="hybridMultilevel"/>
    <w:tmpl w:val="7B9EEA5A"/>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
    <w:nsid w:val="068B37FE"/>
    <w:multiLevelType w:val="multilevel"/>
    <w:tmpl w:val="D1A2BED4"/>
    <w:lvl w:ilvl="0">
      <w:start w:val="1"/>
      <w:numFmt w:val="bullet"/>
      <w:pStyle w:val="ListBullet"/>
      <w:lvlText w:val="•"/>
      <w:lvlJc w:val="left"/>
      <w:pPr>
        <w:tabs>
          <w:tab w:val="num" w:pos="454"/>
        </w:tabs>
        <w:ind w:left="454" w:hanging="454"/>
      </w:pPr>
      <w:rPr>
        <w:rFonts w:ascii="Calibri" w:hAnsi="Calibri" w:hint="default"/>
        <w:b w:val="0"/>
        <w:i w:val="0"/>
        <w:color w:val="auto"/>
        <w:position w:val="0"/>
        <w:sz w:val="22"/>
      </w:rPr>
    </w:lvl>
    <w:lvl w:ilvl="1">
      <w:start w:val="1"/>
      <w:numFmt w:val="bullet"/>
      <w:pStyle w:val="ListBullet2"/>
      <w:lvlText w:val="–"/>
      <w:lvlJc w:val="left"/>
      <w:pPr>
        <w:tabs>
          <w:tab w:val="num" w:pos="907"/>
        </w:tabs>
        <w:ind w:left="907" w:hanging="453"/>
      </w:pPr>
      <w:rPr>
        <w:rFonts w:ascii="Calibri" w:hAnsi="Calibri" w:hint="default"/>
        <w:b w:val="0"/>
        <w:i w:val="0"/>
        <w:color w:val="auto"/>
        <w:position w:val="0"/>
        <w:sz w:val="22"/>
      </w:rPr>
    </w:lvl>
    <w:lvl w:ilvl="2">
      <w:start w:val="1"/>
      <w:numFmt w:val="bullet"/>
      <w:pStyle w:val="ListBullet3"/>
      <w:lvlText w:val=""/>
      <w:lvlJc w:val="left"/>
      <w:pPr>
        <w:tabs>
          <w:tab w:val="num" w:pos="1361"/>
        </w:tabs>
        <w:ind w:left="1361" w:hanging="454"/>
      </w:pPr>
      <w:rPr>
        <w:rFonts w:ascii="Wingdings" w:hAnsi="Wingdings" w:hint="default"/>
        <w:b w:val="0"/>
        <w:i w:val="0"/>
        <w:color w:val="auto"/>
        <w:spacing w:val="0"/>
        <w:w w:val="100"/>
        <w:position w:val="1"/>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nsid w:val="0D745448"/>
    <w:multiLevelType w:val="multilevel"/>
    <w:tmpl w:val="B17C8F64"/>
    <w:lvl w:ilvl="0">
      <w:start w:val="1"/>
      <w:numFmt w:val="decimal"/>
      <w:pStyle w:val="Heading1"/>
      <w:lvlText w:val="%1"/>
      <w:lvlJc w:val="left"/>
      <w:pPr>
        <w:ind w:left="765" w:hanging="765"/>
      </w:pPr>
      <w:rPr>
        <w:rFonts w:hint="default"/>
      </w:rPr>
    </w:lvl>
    <w:lvl w:ilvl="1">
      <w:start w:val="1"/>
      <w:numFmt w:val="decimal"/>
      <w:pStyle w:val="Heading2"/>
      <w:lvlText w:val="%1.%2"/>
      <w:lvlJc w:val="left"/>
      <w:pPr>
        <w:ind w:left="765" w:hanging="765"/>
      </w:pPr>
      <w:rPr>
        <w:rFonts w:hint="default"/>
      </w:rPr>
    </w:lvl>
    <w:lvl w:ilvl="2">
      <w:start w:val="1"/>
      <w:numFmt w:val="decimal"/>
      <w:lvlText w:val="%1.%2.%3"/>
      <w:lvlJc w:val="left"/>
      <w:pPr>
        <w:ind w:left="765" w:hanging="765"/>
      </w:pPr>
      <w:rPr>
        <w:rFonts w:hint="default"/>
      </w:rPr>
    </w:lvl>
    <w:lvl w:ilvl="3">
      <w:start w:val="1"/>
      <w:numFmt w:val="none"/>
      <w:lvlText w:val=""/>
      <w:lvlJc w:val="left"/>
      <w:pPr>
        <w:ind w:left="765" w:hanging="765"/>
      </w:pPr>
      <w:rPr>
        <w:rFonts w:hint="default"/>
      </w:rPr>
    </w:lvl>
    <w:lvl w:ilvl="4">
      <w:start w:val="1"/>
      <w:numFmt w:val="none"/>
      <w:lvlText w:val=""/>
      <w:lvlJc w:val="left"/>
      <w:pPr>
        <w:ind w:left="765" w:hanging="765"/>
      </w:pPr>
      <w:rPr>
        <w:rFonts w:hint="default"/>
      </w:rPr>
    </w:lvl>
    <w:lvl w:ilvl="5">
      <w:start w:val="1"/>
      <w:numFmt w:val="none"/>
      <w:lvlText w:val=""/>
      <w:lvlJc w:val="lef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left"/>
      <w:pPr>
        <w:ind w:left="765" w:hanging="765"/>
      </w:pPr>
      <w:rPr>
        <w:rFonts w:hint="default"/>
      </w:rPr>
    </w:lvl>
  </w:abstractNum>
  <w:abstractNum w:abstractNumId="3">
    <w:nsid w:val="0FB2573F"/>
    <w:multiLevelType w:val="multilevel"/>
    <w:tmpl w:val="EABA5F90"/>
    <w:name w:val="TableFootnotes"/>
    <w:lvl w:ilvl="0">
      <w:start w:val="1"/>
      <w:numFmt w:val="decimal"/>
      <w:pStyle w:val="TableFootnotes"/>
      <w:lvlText w:val="%1"/>
      <w:lvlJc w:val="left"/>
      <w:pPr>
        <w:ind w:left="227" w:hanging="227"/>
      </w:pPr>
      <w:rPr>
        <w:rFonts w:hint="default"/>
        <w:color w:val="788184" w:themeColor="background2"/>
        <w:spacing w:val="0"/>
        <w:sz w:val="18"/>
        <w:vertAlign w:val="superscript"/>
      </w:rPr>
    </w:lvl>
    <w:lvl w:ilvl="1">
      <w:start w:val="1"/>
      <w:numFmt w:val="bullet"/>
      <w:lvlText w:val=""/>
      <w:lvlJc w:val="left"/>
      <w:pPr>
        <w:tabs>
          <w:tab w:val="num" w:pos="454"/>
        </w:tabs>
        <w:ind w:left="454" w:hanging="170"/>
      </w:pPr>
      <w:rPr>
        <w:rFonts w:ascii="Symbol" w:hAnsi="Symbol" w:hint="default"/>
        <w:spacing w:val="0"/>
        <w:w w:val="100"/>
        <w:kern w:val="0"/>
        <w:position w:val="0"/>
      </w:rPr>
    </w:lvl>
    <w:lvl w:ilvl="2">
      <w:start w:val="1"/>
      <w:numFmt w:val="bullet"/>
      <w:lvlRestart w:val="1"/>
      <w:lvlText w:val=""/>
      <w:lvlJc w:val="left"/>
      <w:pPr>
        <w:tabs>
          <w:tab w:val="num" w:pos="624"/>
        </w:tabs>
        <w:ind w:left="624" w:hanging="170"/>
      </w:pPr>
      <w:rPr>
        <w:rFonts w:ascii="Symbol" w:hAnsi="Symbol" w:hint="default"/>
        <w:color w:val="auto"/>
        <w:spacing w:val="-4"/>
      </w:rPr>
    </w:lvl>
    <w:lvl w:ilvl="3">
      <w:start w:val="1"/>
      <w:numFmt w:val="none"/>
      <w:lvlText w:val=""/>
      <w:lvlJc w:val="left"/>
      <w:pPr>
        <w:tabs>
          <w:tab w:val="num" w:pos="0"/>
        </w:tabs>
        <w:ind w:left="-709" w:firstLine="0"/>
      </w:pPr>
      <w:rPr>
        <w:rFonts w:hint="default"/>
        <w:spacing w:val="-10"/>
        <w:w w:val="100"/>
      </w:rPr>
    </w:lvl>
    <w:lvl w:ilvl="4">
      <w:start w:val="1"/>
      <w:numFmt w:val="none"/>
      <w:lvlText w:val=""/>
      <w:lvlJc w:val="left"/>
      <w:pPr>
        <w:tabs>
          <w:tab w:val="num" w:pos="2835"/>
        </w:tabs>
        <w:ind w:left="2835" w:hanging="567"/>
      </w:pPr>
      <w:rPr>
        <w:rFonts w:hint="default"/>
      </w:rPr>
    </w:lvl>
    <w:lvl w:ilvl="5">
      <w:start w:val="1"/>
      <w:numFmt w:val="none"/>
      <w:lvlText w:val=""/>
      <w:lvlJc w:val="left"/>
      <w:pPr>
        <w:tabs>
          <w:tab w:val="num" w:pos="2160"/>
        </w:tabs>
        <w:ind w:left="2016" w:hanging="936"/>
      </w:pPr>
      <w:rPr>
        <w:rFonts w:hint="default"/>
      </w:rPr>
    </w:lvl>
    <w:lvl w:ilvl="6">
      <w:start w:val="1"/>
      <w:numFmt w:val="lowerRoman"/>
      <w:lvlRestart w:val="1"/>
      <w:lvlText w:val="%7"/>
      <w:lvlJc w:val="left"/>
      <w:pPr>
        <w:tabs>
          <w:tab w:val="num" w:pos="369"/>
        </w:tabs>
        <w:ind w:left="369" w:hanging="369"/>
      </w:pPr>
      <w:rPr>
        <w:rFonts w:hint="default"/>
      </w:rPr>
    </w:lvl>
    <w:lvl w:ilvl="7">
      <w:start w:val="1"/>
      <w:numFmt w:val="lowerLetter"/>
      <w:lvlText w:val="%8."/>
      <w:lvlJc w:val="left"/>
      <w:pPr>
        <w:tabs>
          <w:tab w:val="num" w:pos="737"/>
        </w:tabs>
        <w:ind w:left="737" w:hanging="368"/>
      </w:pPr>
      <w:rPr>
        <w:rFonts w:hint="default"/>
        <w:position w:val="0"/>
      </w:rPr>
    </w:lvl>
    <w:lvl w:ilvl="8">
      <w:start w:val="1"/>
      <w:numFmt w:val="bullet"/>
      <w:lvlText w:val=""/>
      <w:lvlJc w:val="left"/>
      <w:pPr>
        <w:tabs>
          <w:tab w:val="num" w:pos="1106"/>
        </w:tabs>
        <w:ind w:left="1106" w:hanging="369"/>
      </w:pPr>
      <w:rPr>
        <w:rFonts w:ascii="Symbol" w:hAnsi="Symbol" w:hint="default"/>
        <w:position w:val="2"/>
        <w:sz w:val="20"/>
        <w:szCs w:val="20"/>
      </w:rPr>
    </w:lvl>
  </w:abstractNum>
  <w:abstractNum w:abstractNumId="4">
    <w:nsid w:val="194A695C"/>
    <w:multiLevelType w:val="multilevel"/>
    <w:tmpl w:val="9710D28A"/>
    <w:lvl w:ilvl="0">
      <w:start w:val="1"/>
      <w:numFmt w:val="bullet"/>
      <w:pStyle w:val="TableTextBullet"/>
      <w:lvlText w:val="•"/>
      <w:lvlJc w:val="left"/>
      <w:pPr>
        <w:tabs>
          <w:tab w:val="num" w:pos="531"/>
        </w:tabs>
        <w:ind w:left="531" w:hanging="171"/>
      </w:pPr>
      <w:rPr>
        <w:rFonts w:ascii="Calibri" w:hAnsi="Calibri" w:hint="default"/>
        <w:color w:val="auto"/>
        <w:position w:val="2"/>
        <w:sz w:val="20"/>
        <w:szCs w:val="12"/>
      </w:rPr>
    </w:lvl>
    <w:lvl w:ilvl="1">
      <w:start w:val="1"/>
      <w:numFmt w:val="bullet"/>
      <w:pStyle w:val="TableTextBullet2"/>
      <w:lvlText w:val="–"/>
      <w:lvlJc w:val="left"/>
      <w:pPr>
        <w:tabs>
          <w:tab w:val="num" w:pos="701"/>
        </w:tabs>
        <w:ind w:left="701" w:hanging="170"/>
      </w:pPr>
      <w:rPr>
        <w:rFonts w:ascii="Times New Roman" w:hAnsi="Times New Roman" w:cs="Times New Roman" w:hint="default"/>
        <w:b w:val="0"/>
        <w:i w:val="0"/>
        <w:color w:val="auto"/>
        <w:sz w:val="20"/>
        <w:szCs w:val="18"/>
      </w:rPr>
    </w:lvl>
    <w:lvl w:ilvl="2">
      <w:start w:val="1"/>
      <w:numFmt w:val="bullet"/>
      <w:pStyle w:val="TableTextBullet3"/>
      <w:lvlText w:val=""/>
      <w:lvlJc w:val="left"/>
      <w:pPr>
        <w:tabs>
          <w:tab w:val="num" w:pos="871"/>
        </w:tabs>
        <w:ind w:left="871" w:hanging="170"/>
      </w:pPr>
      <w:rPr>
        <w:rFonts w:ascii="Wingdings" w:hAnsi="Wingdings" w:hint="default"/>
        <w:color w:val="auto"/>
        <w:position w:val="1"/>
        <w:sz w:val="20"/>
      </w:rPr>
    </w:lvl>
    <w:lvl w:ilvl="3">
      <w:start w:val="1"/>
      <w:numFmt w:val="none"/>
      <w:lvlText w:val=""/>
      <w:lvlJc w:val="left"/>
      <w:pPr>
        <w:ind w:left="3014" w:hanging="360"/>
      </w:pPr>
      <w:rPr>
        <w:rFonts w:hint="default"/>
      </w:rPr>
    </w:lvl>
    <w:lvl w:ilvl="4">
      <w:start w:val="1"/>
      <w:numFmt w:val="none"/>
      <w:lvlText w:val=""/>
      <w:lvlJc w:val="left"/>
      <w:pPr>
        <w:ind w:left="3734" w:hanging="360"/>
      </w:pPr>
      <w:rPr>
        <w:rFonts w:hint="default"/>
      </w:rPr>
    </w:lvl>
    <w:lvl w:ilvl="5">
      <w:start w:val="1"/>
      <w:numFmt w:val="none"/>
      <w:lvlText w:val=""/>
      <w:lvlJc w:val="left"/>
      <w:pPr>
        <w:ind w:left="4454" w:hanging="360"/>
      </w:pPr>
      <w:rPr>
        <w:rFonts w:hint="default"/>
      </w:rPr>
    </w:lvl>
    <w:lvl w:ilvl="6">
      <w:start w:val="1"/>
      <w:numFmt w:val="none"/>
      <w:lvlText w:val=""/>
      <w:lvlJc w:val="left"/>
      <w:pPr>
        <w:ind w:left="5174" w:hanging="360"/>
      </w:pPr>
      <w:rPr>
        <w:rFonts w:hint="default"/>
      </w:rPr>
    </w:lvl>
    <w:lvl w:ilvl="7">
      <w:start w:val="1"/>
      <w:numFmt w:val="none"/>
      <w:lvlText w:val=""/>
      <w:lvlJc w:val="left"/>
      <w:pPr>
        <w:ind w:left="5894" w:hanging="360"/>
      </w:pPr>
      <w:rPr>
        <w:rFonts w:hint="default"/>
      </w:rPr>
    </w:lvl>
    <w:lvl w:ilvl="8">
      <w:start w:val="1"/>
      <w:numFmt w:val="none"/>
      <w:lvlText w:val=""/>
      <w:lvlJc w:val="left"/>
      <w:pPr>
        <w:ind w:left="6614" w:hanging="360"/>
      </w:pPr>
      <w:rPr>
        <w:rFonts w:hint="default"/>
      </w:rPr>
    </w:lvl>
  </w:abstractNum>
  <w:abstractNum w:abstractNumId="5">
    <w:nsid w:val="22B2317C"/>
    <w:multiLevelType w:val="hybridMultilevel"/>
    <w:tmpl w:val="2FC629E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6">
    <w:nsid w:val="2C72580B"/>
    <w:multiLevelType w:val="multilevel"/>
    <w:tmpl w:val="A1605A0E"/>
    <w:lvl w:ilvl="0">
      <w:start w:val="1"/>
      <w:numFmt w:val="decimal"/>
      <w:pStyle w:val="PullOutBoxNumber"/>
      <w:lvlText w:val="%1"/>
      <w:lvlJc w:val="left"/>
      <w:pPr>
        <w:tabs>
          <w:tab w:val="num" w:pos="624"/>
        </w:tabs>
        <w:ind w:left="624" w:hanging="340"/>
      </w:pPr>
      <w:rPr>
        <w:rFonts w:hint="default"/>
      </w:rPr>
    </w:lvl>
    <w:lvl w:ilvl="1">
      <w:start w:val="1"/>
      <w:numFmt w:val="lowerLetter"/>
      <w:pStyle w:val="PullOutBoxNumber2"/>
      <w:lvlText w:val="%2"/>
      <w:lvlJc w:val="left"/>
      <w:pPr>
        <w:tabs>
          <w:tab w:val="num" w:pos="964"/>
        </w:tabs>
        <w:ind w:left="964" w:hanging="340"/>
      </w:pPr>
      <w:rPr>
        <w:rFonts w:hint="default"/>
        <w:color w:val="auto"/>
      </w:rPr>
    </w:lvl>
    <w:lvl w:ilvl="2">
      <w:start w:val="1"/>
      <w:numFmt w:val="lowerRoman"/>
      <w:pStyle w:val="PullOutBoxNumber3"/>
      <w:lvlText w:val="%3"/>
      <w:lvlJc w:val="left"/>
      <w:pPr>
        <w:tabs>
          <w:tab w:val="num" w:pos="1304"/>
        </w:tabs>
        <w:ind w:left="1304" w:hanging="340"/>
      </w:pPr>
      <w:rPr>
        <w:rFonts w:hint="default"/>
        <w:color w:val="auto"/>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nsid w:val="2F1B5E34"/>
    <w:multiLevelType w:val="hybridMultilevel"/>
    <w:tmpl w:val="0824A88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
    <w:nsid w:val="2FDB21F0"/>
    <w:multiLevelType w:val="hybridMultilevel"/>
    <w:tmpl w:val="7E1C7470"/>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9">
    <w:nsid w:val="38723AD4"/>
    <w:multiLevelType w:val="multilevel"/>
    <w:tmpl w:val="CC2400A2"/>
    <w:lvl w:ilvl="0">
      <w:start w:val="1"/>
      <w:numFmt w:val="bullet"/>
      <w:pStyle w:val="PullOutBoxBullet"/>
      <w:lvlText w:val="•"/>
      <w:lvlJc w:val="left"/>
      <w:pPr>
        <w:tabs>
          <w:tab w:val="num" w:pos="624"/>
        </w:tabs>
        <w:ind w:left="624" w:hanging="340"/>
      </w:pPr>
      <w:rPr>
        <w:rFonts w:ascii="Calibri" w:hAnsi="Calibri" w:hint="default"/>
        <w:color w:val="auto"/>
        <w:sz w:val="22"/>
      </w:rPr>
    </w:lvl>
    <w:lvl w:ilvl="1">
      <w:start w:val="1"/>
      <w:numFmt w:val="bullet"/>
      <w:pStyle w:val="PullOutBoxBullet2"/>
      <w:lvlText w:val="–"/>
      <w:lvlJc w:val="left"/>
      <w:pPr>
        <w:tabs>
          <w:tab w:val="num" w:pos="964"/>
        </w:tabs>
        <w:ind w:left="964" w:hanging="340"/>
      </w:pPr>
      <w:rPr>
        <w:rFonts w:ascii="Calibri" w:hAnsi="Calibri" w:hint="default"/>
        <w:color w:val="auto"/>
        <w:sz w:val="22"/>
      </w:rPr>
    </w:lvl>
    <w:lvl w:ilvl="2">
      <w:start w:val="1"/>
      <w:numFmt w:val="bullet"/>
      <w:pStyle w:val="PullOutBoxBullet3"/>
      <w:lvlText w:val=""/>
      <w:lvlJc w:val="left"/>
      <w:pPr>
        <w:tabs>
          <w:tab w:val="num" w:pos="1304"/>
        </w:tabs>
        <w:ind w:left="1304" w:hanging="340"/>
      </w:pPr>
      <w:rPr>
        <w:rFonts w:ascii="Wingdings" w:hAnsi="Wingdings" w:hint="default"/>
        <w:color w:val="auto"/>
        <w:position w:val="0"/>
        <w:sz w:val="2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nsid w:val="3C3634F6"/>
    <w:multiLevelType w:val="hybridMultilevel"/>
    <w:tmpl w:val="099E66C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1">
    <w:nsid w:val="3F76596C"/>
    <w:multiLevelType w:val="hybridMultilevel"/>
    <w:tmpl w:val="AD46D7EC"/>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2">
    <w:nsid w:val="57BA4D09"/>
    <w:multiLevelType w:val="multilevel"/>
    <w:tmpl w:val="1B8E5DC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D0540A9"/>
    <w:multiLevelType w:val="multilevel"/>
    <w:tmpl w:val="0588A4BC"/>
    <w:name w:val="AppendicesNumbering"/>
    <w:lvl w:ilvl="0">
      <w:start w:val="1"/>
      <w:numFmt w:val="upperLetter"/>
      <w:pStyle w:val="Heading8"/>
      <w:suff w:val="nothing"/>
      <w:lvlText w:val="Appendix %1"/>
      <w:lvlJc w:val="left"/>
      <w:pPr>
        <w:ind w:left="568" w:firstLine="0"/>
      </w:pPr>
      <w:rPr>
        <w:rFonts w:hint="default"/>
        <w:b w:val="0"/>
        <w:i w:val="0"/>
        <w:sz w:val="40"/>
      </w:rPr>
    </w:lvl>
    <w:lvl w:ilvl="1">
      <w:start w:val="1"/>
      <w:numFmt w:val="decimal"/>
      <w:pStyle w:val="Heading9"/>
      <w:lvlText w:val="%1%2."/>
      <w:lvlJc w:val="left"/>
      <w:pPr>
        <w:tabs>
          <w:tab w:val="num" w:pos="765"/>
        </w:tabs>
        <w:ind w:left="765" w:hanging="765"/>
      </w:pPr>
      <w:rPr>
        <w:rFonts w:hint="default"/>
        <w:sz w:val="26"/>
      </w:rPr>
    </w:lvl>
    <w:lvl w:ilvl="2">
      <w:start w:val="1"/>
      <w:numFmt w:val="decimal"/>
      <w:pStyle w:val="AppendixHeading2"/>
      <w:lvlText w:val="%1%2.%3"/>
      <w:lvlJc w:val="left"/>
      <w:pPr>
        <w:tabs>
          <w:tab w:val="num" w:pos="765"/>
        </w:tabs>
        <w:ind w:left="765" w:hanging="765"/>
      </w:pPr>
      <w:rPr>
        <w:rFonts w:hint="default"/>
      </w:rPr>
    </w:lvl>
    <w:lvl w:ilvl="3">
      <w:start w:val="1"/>
      <w:numFmt w:val="decimal"/>
      <w:pStyle w:val="AppendixHeading3"/>
      <w:lvlText w:val="%1%2.%3.%4"/>
      <w:lvlJc w:val="left"/>
      <w:pPr>
        <w:tabs>
          <w:tab w:val="num" w:pos="765"/>
        </w:tabs>
        <w:ind w:left="765" w:hanging="765"/>
      </w:pPr>
      <w:rPr>
        <w:rFonts w:hint="default"/>
      </w:rPr>
    </w:lvl>
    <w:lvl w:ilvl="4">
      <w:start w:val="1"/>
      <w:numFmt w:val="decimal"/>
      <w:lvlText w:val="%1%2.%3.%4.%5"/>
      <w:lvlJc w:val="left"/>
      <w:pPr>
        <w:tabs>
          <w:tab w:val="num" w:pos="1134"/>
        </w:tabs>
        <w:ind w:left="765" w:hanging="765"/>
      </w:pPr>
      <w:rPr>
        <w:rFonts w:hint="default"/>
      </w:rPr>
    </w:lvl>
    <w:lvl w:ilvl="5">
      <w:start w:val="1"/>
      <w:numFmt w:val="none"/>
      <w:lvlText w:val=""/>
      <w:lvlJc w:val="right"/>
      <w:pPr>
        <w:ind w:left="765" w:hanging="765"/>
      </w:pPr>
      <w:rPr>
        <w:rFonts w:hint="default"/>
      </w:rPr>
    </w:lvl>
    <w:lvl w:ilvl="6">
      <w:start w:val="1"/>
      <w:numFmt w:val="none"/>
      <w:lvlText w:val=""/>
      <w:lvlJc w:val="left"/>
      <w:pPr>
        <w:ind w:left="765" w:hanging="765"/>
      </w:pPr>
      <w:rPr>
        <w:rFonts w:hint="default"/>
      </w:rPr>
    </w:lvl>
    <w:lvl w:ilvl="7">
      <w:start w:val="1"/>
      <w:numFmt w:val="none"/>
      <w:lvlText w:val=""/>
      <w:lvlJc w:val="left"/>
      <w:pPr>
        <w:ind w:left="765" w:hanging="765"/>
      </w:pPr>
      <w:rPr>
        <w:rFonts w:hint="default"/>
      </w:rPr>
    </w:lvl>
    <w:lvl w:ilvl="8">
      <w:start w:val="1"/>
      <w:numFmt w:val="none"/>
      <w:lvlText w:val=""/>
      <w:lvlJc w:val="right"/>
      <w:pPr>
        <w:ind w:left="765" w:hanging="765"/>
      </w:pPr>
      <w:rPr>
        <w:rFonts w:hint="default"/>
      </w:rPr>
    </w:lvl>
  </w:abstractNum>
  <w:abstractNum w:abstractNumId="14">
    <w:nsid w:val="607F22DF"/>
    <w:multiLevelType w:val="hybridMultilevel"/>
    <w:tmpl w:val="1F3C8458"/>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15">
    <w:nsid w:val="6D1D40AC"/>
    <w:multiLevelType w:val="multilevel"/>
    <w:tmpl w:val="D18C6390"/>
    <w:lvl w:ilvl="0">
      <w:start w:val="1"/>
      <w:numFmt w:val="decimal"/>
      <w:pStyle w:val="TableTextNumber"/>
      <w:lvlText w:val="%1"/>
      <w:lvlJc w:val="left"/>
      <w:pPr>
        <w:tabs>
          <w:tab w:val="num" w:pos="397"/>
        </w:tabs>
        <w:ind w:left="397" w:hanging="284"/>
      </w:pPr>
      <w:rPr>
        <w:rFonts w:hint="default"/>
      </w:rPr>
    </w:lvl>
    <w:lvl w:ilvl="1">
      <w:start w:val="1"/>
      <w:numFmt w:val="lowerLetter"/>
      <w:pStyle w:val="TableTextNumber2"/>
      <w:lvlText w:val="%2"/>
      <w:lvlJc w:val="left"/>
      <w:pPr>
        <w:tabs>
          <w:tab w:val="num" w:pos="709"/>
        </w:tabs>
        <w:ind w:left="709" w:hanging="283"/>
      </w:pPr>
      <w:rPr>
        <w:rFonts w:hint="default"/>
      </w:rPr>
    </w:lvl>
    <w:lvl w:ilvl="2">
      <w:start w:val="1"/>
      <w:numFmt w:val="lowerRoman"/>
      <w:pStyle w:val="TableTextNumber3"/>
      <w:lvlText w:val="%3"/>
      <w:lvlJc w:val="left"/>
      <w:pPr>
        <w:tabs>
          <w:tab w:val="num" w:pos="964"/>
        </w:tabs>
        <w:ind w:left="964" w:hanging="284"/>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nsid w:val="70250B03"/>
    <w:multiLevelType w:val="multilevel"/>
    <w:tmpl w:val="5796740A"/>
    <w:lvl w:ilvl="0">
      <w:start w:val="1"/>
      <w:numFmt w:val="bullet"/>
      <w:pStyle w:val="QuoteBullet"/>
      <w:lvlText w:val="•"/>
      <w:lvlJc w:val="left"/>
      <w:pPr>
        <w:tabs>
          <w:tab w:val="num" w:pos="567"/>
        </w:tabs>
        <w:ind w:left="567" w:hanging="283"/>
      </w:pPr>
      <w:rPr>
        <w:rFonts w:ascii="Arial" w:hAnsi="Arial" w:hint="default"/>
        <w:color w:val="auto"/>
        <w:sz w:val="18"/>
      </w:rPr>
    </w:lvl>
    <w:lvl w:ilvl="1">
      <w:start w:val="1"/>
      <w:numFmt w:val="bullet"/>
      <w:pStyle w:val="QuoteBullet2"/>
      <w:lvlText w:val="‒"/>
      <w:lvlJc w:val="left"/>
      <w:pPr>
        <w:tabs>
          <w:tab w:val="num" w:pos="851"/>
        </w:tabs>
        <w:ind w:left="851" w:hanging="284"/>
      </w:pPr>
      <w:rPr>
        <w:rFonts w:ascii="Calibri" w:hAnsi="Calibri" w:hint="default"/>
        <w:color w:val="auto"/>
      </w:rPr>
    </w:lvl>
    <w:lvl w:ilvl="2">
      <w:start w:val="1"/>
      <w:numFmt w:val="bullet"/>
      <w:lvlText w:val="‒"/>
      <w:lvlJc w:val="left"/>
      <w:pPr>
        <w:tabs>
          <w:tab w:val="num" w:pos="1418"/>
        </w:tabs>
        <w:ind w:left="1418" w:hanging="283"/>
      </w:pPr>
      <w:rPr>
        <w:rFonts w:ascii="Calibri" w:hAnsi="Calibri" w:hint="default"/>
        <w:color w:val="2B3B5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7">
    <w:nsid w:val="7839021E"/>
    <w:multiLevelType w:val="multilevel"/>
    <w:tmpl w:val="C186E662"/>
    <w:lvl w:ilvl="0">
      <w:start w:val="1"/>
      <w:numFmt w:val="decimal"/>
      <w:pStyle w:val="ListNumber"/>
      <w:lvlText w:val="%1"/>
      <w:lvlJc w:val="left"/>
      <w:pPr>
        <w:tabs>
          <w:tab w:val="num" w:pos="454"/>
        </w:tabs>
        <w:ind w:left="454" w:hanging="454"/>
      </w:pPr>
      <w:rPr>
        <w:rFonts w:hint="default"/>
        <w:color w:val="auto"/>
        <w:spacing w:val="0"/>
        <w:sz w:val="22"/>
      </w:rPr>
    </w:lvl>
    <w:lvl w:ilvl="1">
      <w:start w:val="1"/>
      <w:numFmt w:val="lowerLetter"/>
      <w:pStyle w:val="ListNumber2"/>
      <w:lvlText w:val="%2"/>
      <w:lvlJc w:val="left"/>
      <w:pPr>
        <w:tabs>
          <w:tab w:val="num" w:pos="907"/>
        </w:tabs>
        <w:ind w:left="907" w:hanging="453"/>
      </w:pPr>
      <w:rPr>
        <w:rFonts w:hint="default"/>
        <w:color w:val="auto"/>
        <w:spacing w:val="0"/>
        <w:sz w:val="22"/>
      </w:rPr>
    </w:lvl>
    <w:lvl w:ilvl="2">
      <w:start w:val="1"/>
      <w:numFmt w:val="lowerRoman"/>
      <w:pStyle w:val="ListNumber3"/>
      <w:lvlText w:val="%3"/>
      <w:lvlJc w:val="left"/>
      <w:pPr>
        <w:tabs>
          <w:tab w:val="num" w:pos="1361"/>
        </w:tabs>
        <w:ind w:left="1361" w:hanging="454"/>
      </w:pPr>
      <w:rPr>
        <w:rFonts w:hint="default"/>
        <w:color w:val="auto"/>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3"/>
  </w:num>
  <w:num w:numId="2">
    <w:abstractNumId w:val="13"/>
  </w:num>
  <w:num w:numId="3">
    <w:abstractNumId w:val="1"/>
  </w:num>
  <w:num w:numId="4">
    <w:abstractNumId w:val="3"/>
  </w:num>
  <w:num w:numId="5">
    <w:abstractNumId w:val="4"/>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1"/>
  </w:num>
  <w:num w:numId="10">
    <w:abstractNumId w:val="14"/>
  </w:num>
  <w:num w:numId="11">
    <w:abstractNumId w:val="0"/>
  </w:num>
  <w:num w:numId="12">
    <w:abstractNumId w:val="5"/>
  </w:num>
  <w:num w:numId="13">
    <w:abstractNumId w:val="7"/>
  </w:num>
  <w:num w:numId="14">
    <w:abstractNumId w:val="2"/>
  </w:num>
  <w:num w:numId="15">
    <w:abstractNumId w:val="1"/>
  </w:num>
  <w:num w:numId="16">
    <w:abstractNumId w:val="17"/>
  </w:num>
  <w:num w:numId="17">
    <w:abstractNumId w:val="9"/>
  </w:num>
  <w:num w:numId="18">
    <w:abstractNumId w:val="6"/>
  </w:num>
  <w:num w:numId="19">
    <w:abstractNumId w:val="16"/>
  </w:num>
  <w:num w:numId="20">
    <w:abstractNumId w:val="4"/>
  </w:num>
  <w:num w:numId="21">
    <w:abstractNumId w:val="15"/>
  </w:num>
  <w:num w:numId="22">
    <w:abstractNumId w:val="12"/>
  </w:num>
  <w:num w:numId="23">
    <w:abstractNumId w:val="12"/>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num>
  <w:num w:numId="30">
    <w:abstractNumId w:val="1"/>
  </w:num>
  <w:num w:numId="31">
    <w:abstractNumId w:val="1"/>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2"/>
  </w:num>
  <w:num w:numId="36">
    <w:abstractNumId w:val="13"/>
  </w:num>
  <w:num w:numId="37">
    <w:abstractNumId w:val="13"/>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evenAndOddHeaders/>
  <w:characterSpacingControl w:val="doNotCompress"/>
  <w:hdrShapeDefaults>
    <o:shapedefaults v:ext="edit" spidmax="67597"/>
    <o:shapelayout v:ext="edit">
      <o:idmap v:ext="edit" data="6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ces" w:val="True"/>
    <w:docVar w:name="AppendixName" w:val="Appendix"/>
    <w:docVar w:name="Disclaimer" w:val="True"/>
    <w:docVar w:name="Foreword" w:val="True"/>
    <w:docVar w:name="Heading1Numbered" w:val="True"/>
    <w:docVar w:name="Heading2Numbered" w:val="True"/>
    <w:docVar w:name="Heading3Numbered" w:val="True"/>
    <w:docVar w:name="IsWordingOverview" w:val="True"/>
    <w:docVar w:name="NumberedBodyText" w:val="False"/>
    <w:docVar w:name="optHeading1OddPage" w:val="True"/>
    <w:docVar w:name="Overview" w:val="True"/>
    <w:docVar w:name="PageSetup" w:val="Double"/>
    <w:docVar w:name="RibbonLabel" w:val="Appendix"/>
    <w:docVar w:name="TOC" w:val="True"/>
    <w:docVar w:name="TOCNew" w:val="False"/>
    <w:docVar w:name="Version" w:val="Version 1"/>
  </w:docVars>
  <w:rsids>
    <w:rsidRoot w:val="008B4BDA"/>
    <w:rsid w:val="00000289"/>
    <w:rsid w:val="000014B9"/>
    <w:rsid w:val="000030A0"/>
    <w:rsid w:val="0000322C"/>
    <w:rsid w:val="000036BD"/>
    <w:rsid w:val="00003CDD"/>
    <w:rsid w:val="00004478"/>
    <w:rsid w:val="000054E0"/>
    <w:rsid w:val="00006C47"/>
    <w:rsid w:val="0001034F"/>
    <w:rsid w:val="00011030"/>
    <w:rsid w:val="0001331F"/>
    <w:rsid w:val="00013580"/>
    <w:rsid w:val="0001389E"/>
    <w:rsid w:val="00014181"/>
    <w:rsid w:val="000141DD"/>
    <w:rsid w:val="000155AD"/>
    <w:rsid w:val="000168A7"/>
    <w:rsid w:val="00017F57"/>
    <w:rsid w:val="000208A9"/>
    <w:rsid w:val="0002132C"/>
    <w:rsid w:val="00021D11"/>
    <w:rsid w:val="00022712"/>
    <w:rsid w:val="00023A93"/>
    <w:rsid w:val="00023F35"/>
    <w:rsid w:val="00024C0C"/>
    <w:rsid w:val="00025499"/>
    <w:rsid w:val="000258DA"/>
    <w:rsid w:val="000260FC"/>
    <w:rsid w:val="00026788"/>
    <w:rsid w:val="000278D0"/>
    <w:rsid w:val="00027E62"/>
    <w:rsid w:val="00030607"/>
    <w:rsid w:val="0003060D"/>
    <w:rsid w:val="000307C8"/>
    <w:rsid w:val="00030EEA"/>
    <w:rsid w:val="00030F73"/>
    <w:rsid w:val="00030FFA"/>
    <w:rsid w:val="00031225"/>
    <w:rsid w:val="0003163C"/>
    <w:rsid w:val="00032805"/>
    <w:rsid w:val="000340D3"/>
    <w:rsid w:val="00034F4B"/>
    <w:rsid w:val="000355BA"/>
    <w:rsid w:val="00035ADE"/>
    <w:rsid w:val="000364BA"/>
    <w:rsid w:val="00036747"/>
    <w:rsid w:val="000373DD"/>
    <w:rsid w:val="00037D33"/>
    <w:rsid w:val="00041533"/>
    <w:rsid w:val="000420E9"/>
    <w:rsid w:val="0004224B"/>
    <w:rsid w:val="00043397"/>
    <w:rsid w:val="0004536C"/>
    <w:rsid w:val="000455BE"/>
    <w:rsid w:val="00045935"/>
    <w:rsid w:val="0004614A"/>
    <w:rsid w:val="00046226"/>
    <w:rsid w:val="000474FF"/>
    <w:rsid w:val="0004759B"/>
    <w:rsid w:val="00047A2B"/>
    <w:rsid w:val="000503F2"/>
    <w:rsid w:val="000511AA"/>
    <w:rsid w:val="00051740"/>
    <w:rsid w:val="0005196F"/>
    <w:rsid w:val="00052FF4"/>
    <w:rsid w:val="00053279"/>
    <w:rsid w:val="00053284"/>
    <w:rsid w:val="0005330D"/>
    <w:rsid w:val="00053605"/>
    <w:rsid w:val="00053B90"/>
    <w:rsid w:val="00055446"/>
    <w:rsid w:val="000557A7"/>
    <w:rsid w:val="00055805"/>
    <w:rsid w:val="00055EB8"/>
    <w:rsid w:val="0005614A"/>
    <w:rsid w:val="00056CB3"/>
    <w:rsid w:val="00056F3E"/>
    <w:rsid w:val="000600FD"/>
    <w:rsid w:val="00060556"/>
    <w:rsid w:val="0006094C"/>
    <w:rsid w:val="00060BEE"/>
    <w:rsid w:val="00062156"/>
    <w:rsid w:val="00062F84"/>
    <w:rsid w:val="00063D32"/>
    <w:rsid w:val="00063F5C"/>
    <w:rsid w:val="00064A99"/>
    <w:rsid w:val="00066924"/>
    <w:rsid w:val="00066C62"/>
    <w:rsid w:val="00067A28"/>
    <w:rsid w:val="00067FD1"/>
    <w:rsid w:val="000702E9"/>
    <w:rsid w:val="00070EC1"/>
    <w:rsid w:val="0007260F"/>
    <w:rsid w:val="00072925"/>
    <w:rsid w:val="00074D5A"/>
    <w:rsid w:val="0007535B"/>
    <w:rsid w:val="000772F8"/>
    <w:rsid w:val="0008031A"/>
    <w:rsid w:val="000805D5"/>
    <w:rsid w:val="0008078D"/>
    <w:rsid w:val="00080FBC"/>
    <w:rsid w:val="0008103B"/>
    <w:rsid w:val="0008158F"/>
    <w:rsid w:val="00081CD5"/>
    <w:rsid w:val="000855FE"/>
    <w:rsid w:val="00085F97"/>
    <w:rsid w:val="000864D9"/>
    <w:rsid w:val="00086E54"/>
    <w:rsid w:val="00087150"/>
    <w:rsid w:val="000875F3"/>
    <w:rsid w:val="00091849"/>
    <w:rsid w:val="00092A33"/>
    <w:rsid w:val="000930CA"/>
    <w:rsid w:val="00093CE1"/>
    <w:rsid w:val="00093EA4"/>
    <w:rsid w:val="000941DE"/>
    <w:rsid w:val="000953A6"/>
    <w:rsid w:val="000955F6"/>
    <w:rsid w:val="00095DDF"/>
    <w:rsid w:val="00095F09"/>
    <w:rsid w:val="00096B7B"/>
    <w:rsid w:val="00097235"/>
    <w:rsid w:val="00097651"/>
    <w:rsid w:val="00097EAE"/>
    <w:rsid w:val="000A0CBE"/>
    <w:rsid w:val="000A0FD9"/>
    <w:rsid w:val="000A1530"/>
    <w:rsid w:val="000A2FEC"/>
    <w:rsid w:val="000A348F"/>
    <w:rsid w:val="000A34E5"/>
    <w:rsid w:val="000A3DC8"/>
    <w:rsid w:val="000A4150"/>
    <w:rsid w:val="000A4DD0"/>
    <w:rsid w:val="000A4F50"/>
    <w:rsid w:val="000A5442"/>
    <w:rsid w:val="000A6A72"/>
    <w:rsid w:val="000B035B"/>
    <w:rsid w:val="000B03D4"/>
    <w:rsid w:val="000B0489"/>
    <w:rsid w:val="000B18BF"/>
    <w:rsid w:val="000B3116"/>
    <w:rsid w:val="000B379A"/>
    <w:rsid w:val="000B453C"/>
    <w:rsid w:val="000B5775"/>
    <w:rsid w:val="000B5C35"/>
    <w:rsid w:val="000B5DFC"/>
    <w:rsid w:val="000B5E56"/>
    <w:rsid w:val="000B6618"/>
    <w:rsid w:val="000B6942"/>
    <w:rsid w:val="000C02C8"/>
    <w:rsid w:val="000C0801"/>
    <w:rsid w:val="000C09FA"/>
    <w:rsid w:val="000C0DD0"/>
    <w:rsid w:val="000C2EE3"/>
    <w:rsid w:val="000C37A9"/>
    <w:rsid w:val="000C3C99"/>
    <w:rsid w:val="000C3CB7"/>
    <w:rsid w:val="000C5F35"/>
    <w:rsid w:val="000C6728"/>
    <w:rsid w:val="000C68D0"/>
    <w:rsid w:val="000C6F90"/>
    <w:rsid w:val="000C702E"/>
    <w:rsid w:val="000C7390"/>
    <w:rsid w:val="000C7F36"/>
    <w:rsid w:val="000D0429"/>
    <w:rsid w:val="000D15E9"/>
    <w:rsid w:val="000D16C0"/>
    <w:rsid w:val="000D1B8D"/>
    <w:rsid w:val="000D2A0B"/>
    <w:rsid w:val="000D314F"/>
    <w:rsid w:val="000D3182"/>
    <w:rsid w:val="000D4222"/>
    <w:rsid w:val="000D45C4"/>
    <w:rsid w:val="000D4B79"/>
    <w:rsid w:val="000D52F1"/>
    <w:rsid w:val="000D5806"/>
    <w:rsid w:val="000D6D12"/>
    <w:rsid w:val="000D7A4C"/>
    <w:rsid w:val="000D7EBC"/>
    <w:rsid w:val="000E18F3"/>
    <w:rsid w:val="000E21F8"/>
    <w:rsid w:val="000E2348"/>
    <w:rsid w:val="000E266E"/>
    <w:rsid w:val="000E28C0"/>
    <w:rsid w:val="000E4670"/>
    <w:rsid w:val="000E692E"/>
    <w:rsid w:val="000E6CC5"/>
    <w:rsid w:val="000E6F0A"/>
    <w:rsid w:val="000E6F12"/>
    <w:rsid w:val="000E7092"/>
    <w:rsid w:val="000F05EF"/>
    <w:rsid w:val="000F1515"/>
    <w:rsid w:val="000F16B5"/>
    <w:rsid w:val="000F181B"/>
    <w:rsid w:val="000F2A2A"/>
    <w:rsid w:val="000F30AE"/>
    <w:rsid w:val="000F4516"/>
    <w:rsid w:val="000F52F5"/>
    <w:rsid w:val="000F5C37"/>
    <w:rsid w:val="000F5D39"/>
    <w:rsid w:val="000F616E"/>
    <w:rsid w:val="000F7328"/>
    <w:rsid w:val="000F7DA1"/>
    <w:rsid w:val="0010004E"/>
    <w:rsid w:val="00100828"/>
    <w:rsid w:val="00100DB9"/>
    <w:rsid w:val="00102678"/>
    <w:rsid w:val="001030D2"/>
    <w:rsid w:val="00103228"/>
    <w:rsid w:val="00103E24"/>
    <w:rsid w:val="00105830"/>
    <w:rsid w:val="00105D94"/>
    <w:rsid w:val="00105E51"/>
    <w:rsid w:val="001105D6"/>
    <w:rsid w:val="00110D43"/>
    <w:rsid w:val="00113607"/>
    <w:rsid w:val="00113E42"/>
    <w:rsid w:val="00114ECB"/>
    <w:rsid w:val="001159EA"/>
    <w:rsid w:val="00121964"/>
    <w:rsid w:val="00121A7E"/>
    <w:rsid w:val="00122580"/>
    <w:rsid w:val="00122766"/>
    <w:rsid w:val="00123F1F"/>
    <w:rsid w:val="001250A4"/>
    <w:rsid w:val="00125410"/>
    <w:rsid w:val="00125DEA"/>
    <w:rsid w:val="001266C3"/>
    <w:rsid w:val="0012772D"/>
    <w:rsid w:val="00130858"/>
    <w:rsid w:val="001312BF"/>
    <w:rsid w:val="00132AFB"/>
    <w:rsid w:val="00132E62"/>
    <w:rsid w:val="00132E7E"/>
    <w:rsid w:val="00134ACB"/>
    <w:rsid w:val="00136834"/>
    <w:rsid w:val="00136997"/>
    <w:rsid w:val="00136C26"/>
    <w:rsid w:val="00137BC9"/>
    <w:rsid w:val="00137E38"/>
    <w:rsid w:val="00140591"/>
    <w:rsid w:val="0014059F"/>
    <w:rsid w:val="00141551"/>
    <w:rsid w:val="001417CE"/>
    <w:rsid w:val="00142C25"/>
    <w:rsid w:val="00143517"/>
    <w:rsid w:val="0014479F"/>
    <w:rsid w:val="0014644F"/>
    <w:rsid w:val="00146DEB"/>
    <w:rsid w:val="00150ACD"/>
    <w:rsid w:val="00150C19"/>
    <w:rsid w:val="0015149D"/>
    <w:rsid w:val="00151936"/>
    <w:rsid w:val="00152736"/>
    <w:rsid w:val="00152C01"/>
    <w:rsid w:val="00152F43"/>
    <w:rsid w:val="00154DC5"/>
    <w:rsid w:val="001602D4"/>
    <w:rsid w:val="00160C8D"/>
    <w:rsid w:val="00161FDD"/>
    <w:rsid w:val="00161FED"/>
    <w:rsid w:val="001622A2"/>
    <w:rsid w:val="001625C0"/>
    <w:rsid w:val="001629C0"/>
    <w:rsid w:val="00162A98"/>
    <w:rsid w:val="00163940"/>
    <w:rsid w:val="00164B76"/>
    <w:rsid w:val="001650ED"/>
    <w:rsid w:val="00165122"/>
    <w:rsid w:val="001655B5"/>
    <w:rsid w:val="00165854"/>
    <w:rsid w:val="00165B72"/>
    <w:rsid w:val="001707B3"/>
    <w:rsid w:val="00173082"/>
    <w:rsid w:val="001736AA"/>
    <w:rsid w:val="00173BC9"/>
    <w:rsid w:val="00173DFD"/>
    <w:rsid w:val="00174F54"/>
    <w:rsid w:val="00175235"/>
    <w:rsid w:val="00175AB6"/>
    <w:rsid w:val="0017690F"/>
    <w:rsid w:val="001769F1"/>
    <w:rsid w:val="00176C90"/>
    <w:rsid w:val="00176CE9"/>
    <w:rsid w:val="001779A4"/>
    <w:rsid w:val="001809A2"/>
    <w:rsid w:val="001809E2"/>
    <w:rsid w:val="00180A90"/>
    <w:rsid w:val="00180FF9"/>
    <w:rsid w:val="00182EA3"/>
    <w:rsid w:val="00182EEC"/>
    <w:rsid w:val="001859D0"/>
    <w:rsid w:val="00185DB6"/>
    <w:rsid w:val="001868D0"/>
    <w:rsid w:val="001872A6"/>
    <w:rsid w:val="00187CDF"/>
    <w:rsid w:val="00187D0A"/>
    <w:rsid w:val="00190993"/>
    <w:rsid w:val="00190BD3"/>
    <w:rsid w:val="0019119F"/>
    <w:rsid w:val="00192A95"/>
    <w:rsid w:val="00194DE2"/>
    <w:rsid w:val="00195228"/>
    <w:rsid w:val="001953B2"/>
    <w:rsid w:val="00195696"/>
    <w:rsid w:val="00196532"/>
    <w:rsid w:val="00196B7F"/>
    <w:rsid w:val="001A0A9C"/>
    <w:rsid w:val="001A0B38"/>
    <w:rsid w:val="001A0F8C"/>
    <w:rsid w:val="001A1EFC"/>
    <w:rsid w:val="001A223D"/>
    <w:rsid w:val="001A24A4"/>
    <w:rsid w:val="001A2B51"/>
    <w:rsid w:val="001A31BB"/>
    <w:rsid w:val="001A3C0C"/>
    <w:rsid w:val="001A48EF"/>
    <w:rsid w:val="001A49CC"/>
    <w:rsid w:val="001A5553"/>
    <w:rsid w:val="001A5A82"/>
    <w:rsid w:val="001A715E"/>
    <w:rsid w:val="001A716E"/>
    <w:rsid w:val="001A7A0B"/>
    <w:rsid w:val="001A7C70"/>
    <w:rsid w:val="001A7CA6"/>
    <w:rsid w:val="001B0EA5"/>
    <w:rsid w:val="001B1B97"/>
    <w:rsid w:val="001B242E"/>
    <w:rsid w:val="001B2C65"/>
    <w:rsid w:val="001B60CC"/>
    <w:rsid w:val="001B6485"/>
    <w:rsid w:val="001B7058"/>
    <w:rsid w:val="001C1CEF"/>
    <w:rsid w:val="001C20AE"/>
    <w:rsid w:val="001C261C"/>
    <w:rsid w:val="001C350C"/>
    <w:rsid w:val="001C3A4F"/>
    <w:rsid w:val="001C4121"/>
    <w:rsid w:val="001C44D6"/>
    <w:rsid w:val="001C47C4"/>
    <w:rsid w:val="001C48DE"/>
    <w:rsid w:val="001C4FD1"/>
    <w:rsid w:val="001C57B5"/>
    <w:rsid w:val="001C6EAF"/>
    <w:rsid w:val="001C6FFD"/>
    <w:rsid w:val="001C7456"/>
    <w:rsid w:val="001C7D01"/>
    <w:rsid w:val="001C7E6A"/>
    <w:rsid w:val="001D078D"/>
    <w:rsid w:val="001D0ED4"/>
    <w:rsid w:val="001D0F28"/>
    <w:rsid w:val="001D118F"/>
    <w:rsid w:val="001D21C6"/>
    <w:rsid w:val="001D2429"/>
    <w:rsid w:val="001D29C6"/>
    <w:rsid w:val="001D2D9C"/>
    <w:rsid w:val="001D482C"/>
    <w:rsid w:val="001D485D"/>
    <w:rsid w:val="001D4D67"/>
    <w:rsid w:val="001D52E3"/>
    <w:rsid w:val="001D576F"/>
    <w:rsid w:val="001D7218"/>
    <w:rsid w:val="001D7C29"/>
    <w:rsid w:val="001E009E"/>
    <w:rsid w:val="001E0225"/>
    <w:rsid w:val="001E0475"/>
    <w:rsid w:val="001E0820"/>
    <w:rsid w:val="001E131A"/>
    <w:rsid w:val="001E2404"/>
    <w:rsid w:val="001E2F38"/>
    <w:rsid w:val="001E3858"/>
    <w:rsid w:val="001E5C2C"/>
    <w:rsid w:val="001F0A4B"/>
    <w:rsid w:val="001F12DE"/>
    <w:rsid w:val="001F3076"/>
    <w:rsid w:val="001F425F"/>
    <w:rsid w:val="001F4952"/>
    <w:rsid w:val="001F5C90"/>
    <w:rsid w:val="001F7336"/>
    <w:rsid w:val="001F767C"/>
    <w:rsid w:val="001F7A03"/>
    <w:rsid w:val="002006B2"/>
    <w:rsid w:val="00201CFB"/>
    <w:rsid w:val="0020374D"/>
    <w:rsid w:val="002069F3"/>
    <w:rsid w:val="00210FCF"/>
    <w:rsid w:val="0021140E"/>
    <w:rsid w:val="00211967"/>
    <w:rsid w:val="00213BAA"/>
    <w:rsid w:val="002143B7"/>
    <w:rsid w:val="00214ED1"/>
    <w:rsid w:val="002201E5"/>
    <w:rsid w:val="002210F2"/>
    <w:rsid w:val="00222356"/>
    <w:rsid w:val="0022271F"/>
    <w:rsid w:val="00222EB6"/>
    <w:rsid w:val="00222EFF"/>
    <w:rsid w:val="002240D5"/>
    <w:rsid w:val="00224599"/>
    <w:rsid w:val="0022553D"/>
    <w:rsid w:val="00225F40"/>
    <w:rsid w:val="002261A7"/>
    <w:rsid w:val="00226AEC"/>
    <w:rsid w:val="00226D59"/>
    <w:rsid w:val="00227570"/>
    <w:rsid w:val="002300A6"/>
    <w:rsid w:val="002308C1"/>
    <w:rsid w:val="002308F8"/>
    <w:rsid w:val="00230BDD"/>
    <w:rsid w:val="00230F78"/>
    <w:rsid w:val="0023101A"/>
    <w:rsid w:val="002310AF"/>
    <w:rsid w:val="00231947"/>
    <w:rsid w:val="00231B46"/>
    <w:rsid w:val="002344CA"/>
    <w:rsid w:val="002351C1"/>
    <w:rsid w:val="00235CE5"/>
    <w:rsid w:val="00236D3E"/>
    <w:rsid w:val="002379F1"/>
    <w:rsid w:val="00237B44"/>
    <w:rsid w:val="00240B31"/>
    <w:rsid w:val="00242DA4"/>
    <w:rsid w:val="00243D03"/>
    <w:rsid w:val="00243E7A"/>
    <w:rsid w:val="00244381"/>
    <w:rsid w:val="00246261"/>
    <w:rsid w:val="00246282"/>
    <w:rsid w:val="0024781A"/>
    <w:rsid w:val="00247B96"/>
    <w:rsid w:val="00250C46"/>
    <w:rsid w:val="0025270C"/>
    <w:rsid w:val="00252E17"/>
    <w:rsid w:val="002531B3"/>
    <w:rsid w:val="00254417"/>
    <w:rsid w:val="002545F3"/>
    <w:rsid w:val="002553C0"/>
    <w:rsid w:val="00255E09"/>
    <w:rsid w:val="00256A99"/>
    <w:rsid w:val="00256B44"/>
    <w:rsid w:val="0025706B"/>
    <w:rsid w:val="00257229"/>
    <w:rsid w:val="0025798D"/>
    <w:rsid w:val="00260214"/>
    <w:rsid w:val="00260CDC"/>
    <w:rsid w:val="00262002"/>
    <w:rsid w:val="0026344F"/>
    <w:rsid w:val="00263543"/>
    <w:rsid w:val="002647C5"/>
    <w:rsid w:val="00265504"/>
    <w:rsid w:val="00266A17"/>
    <w:rsid w:val="00266F0C"/>
    <w:rsid w:val="0027028C"/>
    <w:rsid w:val="002702F0"/>
    <w:rsid w:val="00270372"/>
    <w:rsid w:val="00271638"/>
    <w:rsid w:val="002729A9"/>
    <w:rsid w:val="00273B60"/>
    <w:rsid w:val="00274124"/>
    <w:rsid w:val="0027463D"/>
    <w:rsid w:val="00274953"/>
    <w:rsid w:val="00274A1B"/>
    <w:rsid w:val="00274B56"/>
    <w:rsid w:val="00274C47"/>
    <w:rsid w:val="00274EE0"/>
    <w:rsid w:val="00275441"/>
    <w:rsid w:val="00275534"/>
    <w:rsid w:val="00277075"/>
    <w:rsid w:val="0027739D"/>
    <w:rsid w:val="002775D2"/>
    <w:rsid w:val="002800D3"/>
    <w:rsid w:val="00280425"/>
    <w:rsid w:val="00280BE8"/>
    <w:rsid w:val="00281ADD"/>
    <w:rsid w:val="00282B09"/>
    <w:rsid w:val="0028343F"/>
    <w:rsid w:val="00284628"/>
    <w:rsid w:val="002848A6"/>
    <w:rsid w:val="00286522"/>
    <w:rsid w:val="00286B6F"/>
    <w:rsid w:val="002878F0"/>
    <w:rsid w:val="00287EA5"/>
    <w:rsid w:val="00290A93"/>
    <w:rsid w:val="0029174B"/>
    <w:rsid w:val="00291B47"/>
    <w:rsid w:val="00292024"/>
    <w:rsid w:val="002936C4"/>
    <w:rsid w:val="0029399E"/>
    <w:rsid w:val="00293D06"/>
    <w:rsid w:val="00293E0D"/>
    <w:rsid w:val="00293E80"/>
    <w:rsid w:val="0029698E"/>
    <w:rsid w:val="002973B0"/>
    <w:rsid w:val="00297819"/>
    <w:rsid w:val="00297C14"/>
    <w:rsid w:val="002A0F78"/>
    <w:rsid w:val="002A1D90"/>
    <w:rsid w:val="002A220F"/>
    <w:rsid w:val="002A24F1"/>
    <w:rsid w:val="002A270F"/>
    <w:rsid w:val="002A33C0"/>
    <w:rsid w:val="002A3F74"/>
    <w:rsid w:val="002A4653"/>
    <w:rsid w:val="002A5350"/>
    <w:rsid w:val="002A5778"/>
    <w:rsid w:val="002A7DDC"/>
    <w:rsid w:val="002B0409"/>
    <w:rsid w:val="002B1E84"/>
    <w:rsid w:val="002B202B"/>
    <w:rsid w:val="002B2085"/>
    <w:rsid w:val="002B2CDD"/>
    <w:rsid w:val="002B3020"/>
    <w:rsid w:val="002B35F8"/>
    <w:rsid w:val="002B3A63"/>
    <w:rsid w:val="002B3EC4"/>
    <w:rsid w:val="002B6557"/>
    <w:rsid w:val="002C025E"/>
    <w:rsid w:val="002C04B8"/>
    <w:rsid w:val="002C059B"/>
    <w:rsid w:val="002C0AA9"/>
    <w:rsid w:val="002C286C"/>
    <w:rsid w:val="002C2D2E"/>
    <w:rsid w:val="002C306A"/>
    <w:rsid w:val="002C3322"/>
    <w:rsid w:val="002C37D5"/>
    <w:rsid w:val="002C3B6E"/>
    <w:rsid w:val="002C50B0"/>
    <w:rsid w:val="002C5CC8"/>
    <w:rsid w:val="002C79B0"/>
    <w:rsid w:val="002C7A73"/>
    <w:rsid w:val="002C7E5A"/>
    <w:rsid w:val="002C7F1E"/>
    <w:rsid w:val="002D147D"/>
    <w:rsid w:val="002D34DB"/>
    <w:rsid w:val="002D3D82"/>
    <w:rsid w:val="002D4B11"/>
    <w:rsid w:val="002D5076"/>
    <w:rsid w:val="002D555E"/>
    <w:rsid w:val="002D5814"/>
    <w:rsid w:val="002D6264"/>
    <w:rsid w:val="002D6D00"/>
    <w:rsid w:val="002D7B8B"/>
    <w:rsid w:val="002E0AD9"/>
    <w:rsid w:val="002E0DC7"/>
    <w:rsid w:val="002E1091"/>
    <w:rsid w:val="002E15A8"/>
    <w:rsid w:val="002E2AAC"/>
    <w:rsid w:val="002E3DFB"/>
    <w:rsid w:val="002E5633"/>
    <w:rsid w:val="002E56FE"/>
    <w:rsid w:val="002E6A65"/>
    <w:rsid w:val="002E7AF2"/>
    <w:rsid w:val="002E7D9E"/>
    <w:rsid w:val="002F0737"/>
    <w:rsid w:val="002F07DD"/>
    <w:rsid w:val="002F0ECF"/>
    <w:rsid w:val="002F1963"/>
    <w:rsid w:val="002F1E06"/>
    <w:rsid w:val="002F2889"/>
    <w:rsid w:val="002F4A4A"/>
    <w:rsid w:val="002F54B1"/>
    <w:rsid w:val="002F5652"/>
    <w:rsid w:val="002F58AB"/>
    <w:rsid w:val="002F5B6E"/>
    <w:rsid w:val="002F5B94"/>
    <w:rsid w:val="002F61B5"/>
    <w:rsid w:val="002F6B7B"/>
    <w:rsid w:val="002F7AA9"/>
    <w:rsid w:val="00300098"/>
    <w:rsid w:val="00300B00"/>
    <w:rsid w:val="0030144E"/>
    <w:rsid w:val="0030177E"/>
    <w:rsid w:val="003017FC"/>
    <w:rsid w:val="0030209B"/>
    <w:rsid w:val="00302116"/>
    <w:rsid w:val="00302123"/>
    <w:rsid w:val="00302136"/>
    <w:rsid w:val="0030501E"/>
    <w:rsid w:val="00305DA4"/>
    <w:rsid w:val="0030637C"/>
    <w:rsid w:val="00306B23"/>
    <w:rsid w:val="00306BEC"/>
    <w:rsid w:val="00306EF1"/>
    <w:rsid w:val="00310DD2"/>
    <w:rsid w:val="00310FB5"/>
    <w:rsid w:val="00311523"/>
    <w:rsid w:val="00311B8D"/>
    <w:rsid w:val="003127E4"/>
    <w:rsid w:val="003127E7"/>
    <w:rsid w:val="00313215"/>
    <w:rsid w:val="003135F4"/>
    <w:rsid w:val="00314AC1"/>
    <w:rsid w:val="00314EEE"/>
    <w:rsid w:val="003163D4"/>
    <w:rsid w:val="00317115"/>
    <w:rsid w:val="003174C3"/>
    <w:rsid w:val="003204ED"/>
    <w:rsid w:val="00320C10"/>
    <w:rsid w:val="00320CEF"/>
    <w:rsid w:val="00321679"/>
    <w:rsid w:val="00321B05"/>
    <w:rsid w:val="00321BC5"/>
    <w:rsid w:val="003239C1"/>
    <w:rsid w:val="0032557A"/>
    <w:rsid w:val="00326A11"/>
    <w:rsid w:val="00326E55"/>
    <w:rsid w:val="00327267"/>
    <w:rsid w:val="003273D6"/>
    <w:rsid w:val="00327B98"/>
    <w:rsid w:val="0033077F"/>
    <w:rsid w:val="003317F9"/>
    <w:rsid w:val="00331838"/>
    <w:rsid w:val="003318A5"/>
    <w:rsid w:val="00331DEE"/>
    <w:rsid w:val="003329AB"/>
    <w:rsid w:val="003334EB"/>
    <w:rsid w:val="00333968"/>
    <w:rsid w:val="00333B53"/>
    <w:rsid w:val="00333BCD"/>
    <w:rsid w:val="003347D6"/>
    <w:rsid w:val="00334B6E"/>
    <w:rsid w:val="00335209"/>
    <w:rsid w:val="00335D72"/>
    <w:rsid w:val="0033657E"/>
    <w:rsid w:val="003368CA"/>
    <w:rsid w:val="00340778"/>
    <w:rsid w:val="00341822"/>
    <w:rsid w:val="003428A6"/>
    <w:rsid w:val="003439D9"/>
    <w:rsid w:val="00343EEF"/>
    <w:rsid w:val="00344003"/>
    <w:rsid w:val="0034480F"/>
    <w:rsid w:val="00344D2C"/>
    <w:rsid w:val="003458CE"/>
    <w:rsid w:val="00345A57"/>
    <w:rsid w:val="00345A63"/>
    <w:rsid w:val="003461F3"/>
    <w:rsid w:val="00346B1F"/>
    <w:rsid w:val="00346BDF"/>
    <w:rsid w:val="00346D90"/>
    <w:rsid w:val="00347406"/>
    <w:rsid w:val="00350360"/>
    <w:rsid w:val="00351CB4"/>
    <w:rsid w:val="00351DC3"/>
    <w:rsid w:val="00351F62"/>
    <w:rsid w:val="00352AC8"/>
    <w:rsid w:val="0035318F"/>
    <w:rsid w:val="00353420"/>
    <w:rsid w:val="0035544F"/>
    <w:rsid w:val="00356A5A"/>
    <w:rsid w:val="00356D0A"/>
    <w:rsid w:val="00357865"/>
    <w:rsid w:val="003601F4"/>
    <w:rsid w:val="0036047A"/>
    <w:rsid w:val="00360FDE"/>
    <w:rsid w:val="003629AD"/>
    <w:rsid w:val="003633D3"/>
    <w:rsid w:val="00364AE8"/>
    <w:rsid w:val="00365A4A"/>
    <w:rsid w:val="00365BF3"/>
    <w:rsid w:val="0036688B"/>
    <w:rsid w:val="003671E2"/>
    <w:rsid w:val="0036793C"/>
    <w:rsid w:val="00370002"/>
    <w:rsid w:val="00371C82"/>
    <w:rsid w:val="00372AE6"/>
    <w:rsid w:val="00372D79"/>
    <w:rsid w:val="00373E0D"/>
    <w:rsid w:val="00374321"/>
    <w:rsid w:val="003744E0"/>
    <w:rsid w:val="003762A3"/>
    <w:rsid w:val="00376BD7"/>
    <w:rsid w:val="00376D85"/>
    <w:rsid w:val="00377259"/>
    <w:rsid w:val="003806B5"/>
    <w:rsid w:val="0038073D"/>
    <w:rsid w:val="00380A31"/>
    <w:rsid w:val="00380C67"/>
    <w:rsid w:val="003812B6"/>
    <w:rsid w:val="00383380"/>
    <w:rsid w:val="003837E1"/>
    <w:rsid w:val="00384183"/>
    <w:rsid w:val="00384370"/>
    <w:rsid w:val="00385841"/>
    <w:rsid w:val="0038584D"/>
    <w:rsid w:val="00387694"/>
    <w:rsid w:val="0039257F"/>
    <w:rsid w:val="003931DE"/>
    <w:rsid w:val="00393E6D"/>
    <w:rsid w:val="00394BA4"/>
    <w:rsid w:val="00394C35"/>
    <w:rsid w:val="00394FB0"/>
    <w:rsid w:val="00395B6C"/>
    <w:rsid w:val="00395C04"/>
    <w:rsid w:val="00396037"/>
    <w:rsid w:val="003963A0"/>
    <w:rsid w:val="0039728B"/>
    <w:rsid w:val="003975D6"/>
    <w:rsid w:val="00397D1A"/>
    <w:rsid w:val="003A128E"/>
    <w:rsid w:val="003A163C"/>
    <w:rsid w:val="003A18E0"/>
    <w:rsid w:val="003A29F1"/>
    <w:rsid w:val="003A2B4E"/>
    <w:rsid w:val="003A2FBB"/>
    <w:rsid w:val="003A3799"/>
    <w:rsid w:val="003A4913"/>
    <w:rsid w:val="003A4CC1"/>
    <w:rsid w:val="003A54A9"/>
    <w:rsid w:val="003A5621"/>
    <w:rsid w:val="003A56C3"/>
    <w:rsid w:val="003A5B96"/>
    <w:rsid w:val="003A6ED6"/>
    <w:rsid w:val="003A7083"/>
    <w:rsid w:val="003A7F7F"/>
    <w:rsid w:val="003B09B7"/>
    <w:rsid w:val="003B15C5"/>
    <w:rsid w:val="003B228B"/>
    <w:rsid w:val="003B35C8"/>
    <w:rsid w:val="003B38B3"/>
    <w:rsid w:val="003B3A97"/>
    <w:rsid w:val="003B3D44"/>
    <w:rsid w:val="003B3DB7"/>
    <w:rsid w:val="003B444D"/>
    <w:rsid w:val="003B4489"/>
    <w:rsid w:val="003B6DB1"/>
    <w:rsid w:val="003B71A2"/>
    <w:rsid w:val="003B7390"/>
    <w:rsid w:val="003C03E7"/>
    <w:rsid w:val="003C0992"/>
    <w:rsid w:val="003C0B0C"/>
    <w:rsid w:val="003C1A79"/>
    <w:rsid w:val="003C1ACA"/>
    <w:rsid w:val="003C3682"/>
    <w:rsid w:val="003C4959"/>
    <w:rsid w:val="003C54CB"/>
    <w:rsid w:val="003C6C62"/>
    <w:rsid w:val="003C7CC2"/>
    <w:rsid w:val="003D14AA"/>
    <w:rsid w:val="003D1587"/>
    <w:rsid w:val="003D24A6"/>
    <w:rsid w:val="003D2AFA"/>
    <w:rsid w:val="003D368A"/>
    <w:rsid w:val="003D434B"/>
    <w:rsid w:val="003D50B6"/>
    <w:rsid w:val="003D59FF"/>
    <w:rsid w:val="003D5CE1"/>
    <w:rsid w:val="003D74A1"/>
    <w:rsid w:val="003D78F5"/>
    <w:rsid w:val="003D7A99"/>
    <w:rsid w:val="003E05DF"/>
    <w:rsid w:val="003E5B40"/>
    <w:rsid w:val="003E5F0A"/>
    <w:rsid w:val="003E6085"/>
    <w:rsid w:val="003E6579"/>
    <w:rsid w:val="003E689B"/>
    <w:rsid w:val="003E6B13"/>
    <w:rsid w:val="003E6CA3"/>
    <w:rsid w:val="003F059C"/>
    <w:rsid w:val="003F1853"/>
    <w:rsid w:val="003F2AA6"/>
    <w:rsid w:val="003F39EF"/>
    <w:rsid w:val="003F4376"/>
    <w:rsid w:val="003F4C96"/>
    <w:rsid w:val="003F7406"/>
    <w:rsid w:val="00400363"/>
    <w:rsid w:val="00401B54"/>
    <w:rsid w:val="00404AC8"/>
    <w:rsid w:val="00404DC9"/>
    <w:rsid w:val="00406002"/>
    <w:rsid w:val="00406AD3"/>
    <w:rsid w:val="00406C6F"/>
    <w:rsid w:val="004077D0"/>
    <w:rsid w:val="00407B3C"/>
    <w:rsid w:val="0041009C"/>
    <w:rsid w:val="00410A76"/>
    <w:rsid w:val="0041123E"/>
    <w:rsid w:val="00411B4E"/>
    <w:rsid w:val="00412E42"/>
    <w:rsid w:val="00413198"/>
    <w:rsid w:val="00413891"/>
    <w:rsid w:val="004146FE"/>
    <w:rsid w:val="0041511F"/>
    <w:rsid w:val="004163B6"/>
    <w:rsid w:val="00416FAA"/>
    <w:rsid w:val="0041707D"/>
    <w:rsid w:val="00417217"/>
    <w:rsid w:val="00417927"/>
    <w:rsid w:val="00417D09"/>
    <w:rsid w:val="00421F8B"/>
    <w:rsid w:val="00422839"/>
    <w:rsid w:val="00423260"/>
    <w:rsid w:val="004256C9"/>
    <w:rsid w:val="0042607C"/>
    <w:rsid w:val="00426356"/>
    <w:rsid w:val="00426929"/>
    <w:rsid w:val="00430308"/>
    <w:rsid w:val="00430FDF"/>
    <w:rsid w:val="004310AC"/>
    <w:rsid w:val="004336DB"/>
    <w:rsid w:val="00433EA5"/>
    <w:rsid w:val="00434157"/>
    <w:rsid w:val="004341EC"/>
    <w:rsid w:val="004371B5"/>
    <w:rsid w:val="00437BFA"/>
    <w:rsid w:val="00441697"/>
    <w:rsid w:val="00442504"/>
    <w:rsid w:val="00442C16"/>
    <w:rsid w:val="00442F58"/>
    <w:rsid w:val="00443921"/>
    <w:rsid w:val="004446B7"/>
    <w:rsid w:val="00446439"/>
    <w:rsid w:val="0044675A"/>
    <w:rsid w:val="00446E04"/>
    <w:rsid w:val="0045023B"/>
    <w:rsid w:val="00450BDA"/>
    <w:rsid w:val="00451A94"/>
    <w:rsid w:val="00452E5C"/>
    <w:rsid w:val="00453A3E"/>
    <w:rsid w:val="0045411B"/>
    <w:rsid w:val="0045452F"/>
    <w:rsid w:val="00454855"/>
    <w:rsid w:val="00454BEE"/>
    <w:rsid w:val="00455C81"/>
    <w:rsid w:val="00456853"/>
    <w:rsid w:val="00456BE6"/>
    <w:rsid w:val="00456CD5"/>
    <w:rsid w:val="00456F8F"/>
    <w:rsid w:val="0045766B"/>
    <w:rsid w:val="00457681"/>
    <w:rsid w:val="004605A8"/>
    <w:rsid w:val="004607A1"/>
    <w:rsid w:val="004612A6"/>
    <w:rsid w:val="004620BC"/>
    <w:rsid w:val="004623C5"/>
    <w:rsid w:val="004628CA"/>
    <w:rsid w:val="00462E72"/>
    <w:rsid w:val="00462E91"/>
    <w:rsid w:val="00462FC8"/>
    <w:rsid w:val="0046347E"/>
    <w:rsid w:val="004636CD"/>
    <w:rsid w:val="00463BA8"/>
    <w:rsid w:val="00463CE4"/>
    <w:rsid w:val="004640E0"/>
    <w:rsid w:val="00464885"/>
    <w:rsid w:val="00465E86"/>
    <w:rsid w:val="004665C5"/>
    <w:rsid w:val="00466F59"/>
    <w:rsid w:val="00467AD2"/>
    <w:rsid w:val="00470493"/>
    <w:rsid w:val="00470939"/>
    <w:rsid w:val="00472DF3"/>
    <w:rsid w:val="004733C2"/>
    <w:rsid w:val="004738CF"/>
    <w:rsid w:val="00474229"/>
    <w:rsid w:val="004747A2"/>
    <w:rsid w:val="00474BB7"/>
    <w:rsid w:val="00474CA6"/>
    <w:rsid w:val="00475A3B"/>
    <w:rsid w:val="00475DB2"/>
    <w:rsid w:val="00477848"/>
    <w:rsid w:val="00481144"/>
    <w:rsid w:val="004814D7"/>
    <w:rsid w:val="004816D7"/>
    <w:rsid w:val="004817C4"/>
    <w:rsid w:val="00481806"/>
    <w:rsid w:val="004820EC"/>
    <w:rsid w:val="004829CA"/>
    <w:rsid w:val="0048342E"/>
    <w:rsid w:val="00484640"/>
    <w:rsid w:val="00484E14"/>
    <w:rsid w:val="004855A6"/>
    <w:rsid w:val="00486A9E"/>
    <w:rsid w:val="00487478"/>
    <w:rsid w:val="0048782D"/>
    <w:rsid w:val="00487A7C"/>
    <w:rsid w:val="00487CBA"/>
    <w:rsid w:val="0049007D"/>
    <w:rsid w:val="00490B4B"/>
    <w:rsid w:val="00491594"/>
    <w:rsid w:val="00492E5A"/>
    <w:rsid w:val="00494541"/>
    <w:rsid w:val="00494DC1"/>
    <w:rsid w:val="004952FC"/>
    <w:rsid w:val="00495EE1"/>
    <w:rsid w:val="00496187"/>
    <w:rsid w:val="00497AD6"/>
    <w:rsid w:val="00497D60"/>
    <w:rsid w:val="00497D86"/>
    <w:rsid w:val="00497E70"/>
    <w:rsid w:val="004A019B"/>
    <w:rsid w:val="004A05A9"/>
    <w:rsid w:val="004A0721"/>
    <w:rsid w:val="004A1E7A"/>
    <w:rsid w:val="004A21D4"/>
    <w:rsid w:val="004A2AF7"/>
    <w:rsid w:val="004A2E0C"/>
    <w:rsid w:val="004A3384"/>
    <w:rsid w:val="004A3F56"/>
    <w:rsid w:val="004A5D42"/>
    <w:rsid w:val="004A5E21"/>
    <w:rsid w:val="004A620A"/>
    <w:rsid w:val="004A6322"/>
    <w:rsid w:val="004A666A"/>
    <w:rsid w:val="004A769F"/>
    <w:rsid w:val="004A784E"/>
    <w:rsid w:val="004B02D4"/>
    <w:rsid w:val="004B0399"/>
    <w:rsid w:val="004B143F"/>
    <w:rsid w:val="004B2585"/>
    <w:rsid w:val="004B49A0"/>
    <w:rsid w:val="004B6A45"/>
    <w:rsid w:val="004B7F7E"/>
    <w:rsid w:val="004C058B"/>
    <w:rsid w:val="004C05B8"/>
    <w:rsid w:val="004C1664"/>
    <w:rsid w:val="004C1B3C"/>
    <w:rsid w:val="004C5E71"/>
    <w:rsid w:val="004C6306"/>
    <w:rsid w:val="004C650C"/>
    <w:rsid w:val="004C6CAE"/>
    <w:rsid w:val="004C6E35"/>
    <w:rsid w:val="004C6F5E"/>
    <w:rsid w:val="004C78FF"/>
    <w:rsid w:val="004C7E94"/>
    <w:rsid w:val="004D01D3"/>
    <w:rsid w:val="004D08F3"/>
    <w:rsid w:val="004D1540"/>
    <w:rsid w:val="004D1631"/>
    <w:rsid w:val="004D27D8"/>
    <w:rsid w:val="004D29FE"/>
    <w:rsid w:val="004D35CF"/>
    <w:rsid w:val="004D49CF"/>
    <w:rsid w:val="004D4D70"/>
    <w:rsid w:val="004D4DC3"/>
    <w:rsid w:val="004D59EC"/>
    <w:rsid w:val="004D5E1C"/>
    <w:rsid w:val="004D7CF8"/>
    <w:rsid w:val="004D7EDA"/>
    <w:rsid w:val="004D7EEA"/>
    <w:rsid w:val="004E0540"/>
    <w:rsid w:val="004E0E49"/>
    <w:rsid w:val="004E197A"/>
    <w:rsid w:val="004E4D0E"/>
    <w:rsid w:val="004E5D52"/>
    <w:rsid w:val="004E6516"/>
    <w:rsid w:val="004E7DDD"/>
    <w:rsid w:val="004F00B9"/>
    <w:rsid w:val="004F07D7"/>
    <w:rsid w:val="004F09E9"/>
    <w:rsid w:val="004F1297"/>
    <w:rsid w:val="004F16DB"/>
    <w:rsid w:val="004F1AD8"/>
    <w:rsid w:val="004F24F4"/>
    <w:rsid w:val="004F3023"/>
    <w:rsid w:val="004F3582"/>
    <w:rsid w:val="004F4605"/>
    <w:rsid w:val="004F4D77"/>
    <w:rsid w:val="004F4D7E"/>
    <w:rsid w:val="004F5B16"/>
    <w:rsid w:val="004F5D9D"/>
    <w:rsid w:val="004F68E5"/>
    <w:rsid w:val="004F68FE"/>
    <w:rsid w:val="004F6F59"/>
    <w:rsid w:val="004F741B"/>
    <w:rsid w:val="005000BA"/>
    <w:rsid w:val="005011BD"/>
    <w:rsid w:val="00501F2B"/>
    <w:rsid w:val="005024B3"/>
    <w:rsid w:val="00502840"/>
    <w:rsid w:val="00502E55"/>
    <w:rsid w:val="00503253"/>
    <w:rsid w:val="00503BB0"/>
    <w:rsid w:val="00503BBF"/>
    <w:rsid w:val="00503E03"/>
    <w:rsid w:val="00504CFE"/>
    <w:rsid w:val="00506187"/>
    <w:rsid w:val="00507B15"/>
    <w:rsid w:val="0051053D"/>
    <w:rsid w:val="005108D0"/>
    <w:rsid w:val="005109DC"/>
    <w:rsid w:val="00510E4D"/>
    <w:rsid w:val="0051134B"/>
    <w:rsid w:val="00511678"/>
    <w:rsid w:val="00511A9B"/>
    <w:rsid w:val="00512226"/>
    <w:rsid w:val="00512230"/>
    <w:rsid w:val="00513DCA"/>
    <w:rsid w:val="00513F04"/>
    <w:rsid w:val="00514419"/>
    <w:rsid w:val="005147C6"/>
    <w:rsid w:val="00514A42"/>
    <w:rsid w:val="005159B1"/>
    <w:rsid w:val="00515CBD"/>
    <w:rsid w:val="00522502"/>
    <w:rsid w:val="00523183"/>
    <w:rsid w:val="005231DE"/>
    <w:rsid w:val="005236CB"/>
    <w:rsid w:val="00523EF5"/>
    <w:rsid w:val="005255A1"/>
    <w:rsid w:val="00525FB7"/>
    <w:rsid w:val="00526248"/>
    <w:rsid w:val="0052641C"/>
    <w:rsid w:val="005305AB"/>
    <w:rsid w:val="00531B25"/>
    <w:rsid w:val="0053310D"/>
    <w:rsid w:val="005332E7"/>
    <w:rsid w:val="00534243"/>
    <w:rsid w:val="00534941"/>
    <w:rsid w:val="00535F46"/>
    <w:rsid w:val="0053646D"/>
    <w:rsid w:val="00537789"/>
    <w:rsid w:val="0053795D"/>
    <w:rsid w:val="005379FA"/>
    <w:rsid w:val="00537D3B"/>
    <w:rsid w:val="00537F16"/>
    <w:rsid w:val="00540B3F"/>
    <w:rsid w:val="005412AD"/>
    <w:rsid w:val="00541E34"/>
    <w:rsid w:val="00542C4B"/>
    <w:rsid w:val="00542CDC"/>
    <w:rsid w:val="00542F1A"/>
    <w:rsid w:val="00544522"/>
    <w:rsid w:val="005446CE"/>
    <w:rsid w:val="00544937"/>
    <w:rsid w:val="00544F75"/>
    <w:rsid w:val="005468AB"/>
    <w:rsid w:val="00547EDE"/>
    <w:rsid w:val="005501A0"/>
    <w:rsid w:val="005505E2"/>
    <w:rsid w:val="00550831"/>
    <w:rsid w:val="005524EB"/>
    <w:rsid w:val="0055280E"/>
    <w:rsid w:val="00553F53"/>
    <w:rsid w:val="00554273"/>
    <w:rsid w:val="00555403"/>
    <w:rsid w:val="00556F6F"/>
    <w:rsid w:val="00557368"/>
    <w:rsid w:val="00557E76"/>
    <w:rsid w:val="00560C44"/>
    <w:rsid w:val="00561A67"/>
    <w:rsid w:val="00561E97"/>
    <w:rsid w:val="0056259D"/>
    <w:rsid w:val="0056268F"/>
    <w:rsid w:val="00562D56"/>
    <w:rsid w:val="00563169"/>
    <w:rsid w:val="005642B6"/>
    <w:rsid w:val="005648CC"/>
    <w:rsid w:val="0056528F"/>
    <w:rsid w:val="005659DE"/>
    <w:rsid w:val="00566286"/>
    <w:rsid w:val="005669A9"/>
    <w:rsid w:val="00566BD3"/>
    <w:rsid w:val="00567119"/>
    <w:rsid w:val="0057070F"/>
    <w:rsid w:val="00570B95"/>
    <w:rsid w:val="00571C07"/>
    <w:rsid w:val="00571CB5"/>
    <w:rsid w:val="00571D5E"/>
    <w:rsid w:val="00574537"/>
    <w:rsid w:val="0057563D"/>
    <w:rsid w:val="00576E80"/>
    <w:rsid w:val="0057781C"/>
    <w:rsid w:val="00581473"/>
    <w:rsid w:val="005823D0"/>
    <w:rsid w:val="00582D59"/>
    <w:rsid w:val="005838DE"/>
    <w:rsid w:val="0058459B"/>
    <w:rsid w:val="00584621"/>
    <w:rsid w:val="00584F2A"/>
    <w:rsid w:val="00585D7A"/>
    <w:rsid w:val="005868FF"/>
    <w:rsid w:val="00586C77"/>
    <w:rsid w:val="00591D52"/>
    <w:rsid w:val="00592363"/>
    <w:rsid w:val="00592817"/>
    <w:rsid w:val="00592EA5"/>
    <w:rsid w:val="00592FD8"/>
    <w:rsid w:val="005934E4"/>
    <w:rsid w:val="00593587"/>
    <w:rsid w:val="0059555E"/>
    <w:rsid w:val="005956F3"/>
    <w:rsid w:val="005958CA"/>
    <w:rsid w:val="00595942"/>
    <w:rsid w:val="00595CE6"/>
    <w:rsid w:val="00596705"/>
    <w:rsid w:val="00596A92"/>
    <w:rsid w:val="005979D9"/>
    <w:rsid w:val="005A0740"/>
    <w:rsid w:val="005A0941"/>
    <w:rsid w:val="005A130B"/>
    <w:rsid w:val="005A15C0"/>
    <w:rsid w:val="005A1F35"/>
    <w:rsid w:val="005A2748"/>
    <w:rsid w:val="005A2868"/>
    <w:rsid w:val="005A443F"/>
    <w:rsid w:val="005A466F"/>
    <w:rsid w:val="005A4999"/>
    <w:rsid w:val="005A4AD1"/>
    <w:rsid w:val="005A4C50"/>
    <w:rsid w:val="005A5024"/>
    <w:rsid w:val="005A7458"/>
    <w:rsid w:val="005B1673"/>
    <w:rsid w:val="005B1932"/>
    <w:rsid w:val="005B2276"/>
    <w:rsid w:val="005B360A"/>
    <w:rsid w:val="005B5127"/>
    <w:rsid w:val="005B58D4"/>
    <w:rsid w:val="005B5BEF"/>
    <w:rsid w:val="005B6301"/>
    <w:rsid w:val="005B63CF"/>
    <w:rsid w:val="005B76A8"/>
    <w:rsid w:val="005C07B3"/>
    <w:rsid w:val="005C0FB5"/>
    <w:rsid w:val="005C1AF7"/>
    <w:rsid w:val="005C1B13"/>
    <w:rsid w:val="005C284E"/>
    <w:rsid w:val="005C2ECA"/>
    <w:rsid w:val="005C3F98"/>
    <w:rsid w:val="005C47D4"/>
    <w:rsid w:val="005C6576"/>
    <w:rsid w:val="005C661A"/>
    <w:rsid w:val="005C6F77"/>
    <w:rsid w:val="005C79D6"/>
    <w:rsid w:val="005D0289"/>
    <w:rsid w:val="005D352E"/>
    <w:rsid w:val="005D41C3"/>
    <w:rsid w:val="005D51D0"/>
    <w:rsid w:val="005D6577"/>
    <w:rsid w:val="005D6F83"/>
    <w:rsid w:val="005D7877"/>
    <w:rsid w:val="005D7CCF"/>
    <w:rsid w:val="005E0496"/>
    <w:rsid w:val="005E288F"/>
    <w:rsid w:val="005E2A92"/>
    <w:rsid w:val="005E31CC"/>
    <w:rsid w:val="005E3259"/>
    <w:rsid w:val="005E3E35"/>
    <w:rsid w:val="005E3E6E"/>
    <w:rsid w:val="005E42E4"/>
    <w:rsid w:val="005E58C4"/>
    <w:rsid w:val="005E5D8F"/>
    <w:rsid w:val="005E65DE"/>
    <w:rsid w:val="005E6FA5"/>
    <w:rsid w:val="005E7C83"/>
    <w:rsid w:val="005E7DE2"/>
    <w:rsid w:val="005F03BA"/>
    <w:rsid w:val="005F0A53"/>
    <w:rsid w:val="005F0D3D"/>
    <w:rsid w:val="005F278B"/>
    <w:rsid w:val="005F3913"/>
    <w:rsid w:val="005F4793"/>
    <w:rsid w:val="005F4A10"/>
    <w:rsid w:val="005F5A5C"/>
    <w:rsid w:val="005F5CD9"/>
    <w:rsid w:val="005F6711"/>
    <w:rsid w:val="005F68B9"/>
    <w:rsid w:val="005F7FFB"/>
    <w:rsid w:val="006015D9"/>
    <w:rsid w:val="00601E18"/>
    <w:rsid w:val="00602DAB"/>
    <w:rsid w:val="00603007"/>
    <w:rsid w:val="00603AD5"/>
    <w:rsid w:val="00603C54"/>
    <w:rsid w:val="0060414B"/>
    <w:rsid w:val="00604E2B"/>
    <w:rsid w:val="006100AD"/>
    <w:rsid w:val="00610238"/>
    <w:rsid w:val="0061135C"/>
    <w:rsid w:val="0061211A"/>
    <w:rsid w:val="006136DD"/>
    <w:rsid w:val="00613AD7"/>
    <w:rsid w:val="00613E5C"/>
    <w:rsid w:val="006149F0"/>
    <w:rsid w:val="00614E8C"/>
    <w:rsid w:val="00615E2B"/>
    <w:rsid w:val="00620C8B"/>
    <w:rsid w:val="0062119C"/>
    <w:rsid w:val="00621E55"/>
    <w:rsid w:val="006220A5"/>
    <w:rsid w:val="00622D4D"/>
    <w:rsid w:val="006234C9"/>
    <w:rsid w:val="00624AC8"/>
    <w:rsid w:val="00624C8C"/>
    <w:rsid w:val="00624D80"/>
    <w:rsid w:val="00624F24"/>
    <w:rsid w:val="0062510E"/>
    <w:rsid w:val="00626E15"/>
    <w:rsid w:val="00631CDD"/>
    <w:rsid w:val="00633C60"/>
    <w:rsid w:val="006341CE"/>
    <w:rsid w:val="00635DCD"/>
    <w:rsid w:val="00636488"/>
    <w:rsid w:val="006367A9"/>
    <w:rsid w:val="00636905"/>
    <w:rsid w:val="0064126D"/>
    <w:rsid w:val="00641392"/>
    <w:rsid w:val="00641C17"/>
    <w:rsid w:val="00642E95"/>
    <w:rsid w:val="00643402"/>
    <w:rsid w:val="006436E4"/>
    <w:rsid w:val="00643871"/>
    <w:rsid w:val="00643A56"/>
    <w:rsid w:val="00643C11"/>
    <w:rsid w:val="0064435A"/>
    <w:rsid w:val="00644884"/>
    <w:rsid w:val="00644C46"/>
    <w:rsid w:val="0064512D"/>
    <w:rsid w:val="006451B8"/>
    <w:rsid w:val="00645722"/>
    <w:rsid w:val="00645DA0"/>
    <w:rsid w:val="0064601F"/>
    <w:rsid w:val="0064672B"/>
    <w:rsid w:val="00646A88"/>
    <w:rsid w:val="00646E89"/>
    <w:rsid w:val="00647122"/>
    <w:rsid w:val="00647ED7"/>
    <w:rsid w:val="00650726"/>
    <w:rsid w:val="00651C5D"/>
    <w:rsid w:val="00651CBC"/>
    <w:rsid w:val="00651EDB"/>
    <w:rsid w:val="006521BC"/>
    <w:rsid w:val="00652342"/>
    <w:rsid w:val="00652432"/>
    <w:rsid w:val="00652A90"/>
    <w:rsid w:val="00655083"/>
    <w:rsid w:val="00655413"/>
    <w:rsid w:val="00656071"/>
    <w:rsid w:val="00657043"/>
    <w:rsid w:val="00657840"/>
    <w:rsid w:val="00657CB2"/>
    <w:rsid w:val="0066003C"/>
    <w:rsid w:val="0066041E"/>
    <w:rsid w:val="0066057A"/>
    <w:rsid w:val="006614E2"/>
    <w:rsid w:val="006634D3"/>
    <w:rsid w:val="00663CB4"/>
    <w:rsid w:val="00664346"/>
    <w:rsid w:val="00664CAC"/>
    <w:rsid w:val="006652BA"/>
    <w:rsid w:val="00665AA8"/>
    <w:rsid w:val="006665F6"/>
    <w:rsid w:val="006704DE"/>
    <w:rsid w:val="00670A83"/>
    <w:rsid w:val="006718D4"/>
    <w:rsid w:val="00672033"/>
    <w:rsid w:val="00673CCC"/>
    <w:rsid w:val="00674071"/>
    <w:rsid w:val="006740F8"/>
    <w:rsid w:val="006747AA"/>
    <w:rsid w:val="00675349"/>
    <w:rsid w:val="00675359"/>
    <w:rsid w:val="006756E5"/>
    <w:rsid w:val="00675C98"/>
    <w:rsid w:val="00675CD0"/>
    <w:rsid w:val="00683257"/>
    <w:rsid w:val="006842A0"/>
    <w:rsid w:val="00684FA8"/>
    <w:rsid w:val="00686221"/>
    <w:rsid w:val="006901BE"/>
    <w:rsid w:val="0069026B"/>
    <w:rsid w:val="00690386"/>
    <w:rsid w:val="00691131"/>
    <w:rsid w:val="00692DFB"/>
    <w:rsid w:val="006944C7"/>
    <w:rsid w:val="00694620"/>
    <w:rsid w:val="006948FC"/>
    <w:rsid w:val="00695067"/>
    <w:rsid w:val="006956EA"/>
    <w:rsid w:val="006959E4"/>
    <w:rsid w:val="00695A59"/>
    <w:rsid w:val="00696CE9"/>
    <w:rsid w:val="00697DFB"/>
    <w:rsid w:val="006A06F0"/>
    <w:rsid w:val="006A0E7F"/>
    <w:rsid w:val="006A14AE"/>
    <w:rsid w:val="006A1656"/>
    <w:rsid w:val="006A1716"/>
    <w:rsid w:val="006A2E7F"/>
    <w:rsid w:val="006A3804"/>
    <w:rsid w:val="006A3BBE"/>
    <w:rsid w:val="006A44BC"/>
    <w:rsid w:val="006A490C"/>
    <w:rsid w:val="006A64AF"/>
    <w:rsid w:val="006A6E2A"/>
    <w:rsid w:val="006A7962"/>
    <w:rsid w:val="006B0599"/>
    <w:rsid w:val="006B1311"/>
    <w:rsid w:val="006B1D4C"/>
    <w:rsid w:val="006B1D95"/>
    <w:rsid w:val="006B2037"/>
    <w:rsid w:val="006B20C9"/>
    <w:rsid w:val="006B23EF"/>
    <w:rsid w:val="006B2793"/>
    <w:rsid w:val="006B3060"/>
    <w:rsid w:val="006B4188"/>
    <w:rsid w:val="006B49EC"/>
    <w:rsid w:val="006B4E89"/>
    <w:rsid w:val="006B4F7D"/>
    <w:rsid w:val="006B689E"/>
    <w:rsid w:val="006C0DFB"/>
    <w:rsid w:val="006C0FA0"/>
    <w:rsid w:val="006C114C"/>
    <w:rsid w:val="006C190E"/>
    <w:rsid w:val="006C1B9F"/>
    <w:rsid w:val="006C2178"/>
    <w:rsid w:val="006C28CA"/>
    <w:rsid w:val="006C28CD"/>
    <w:rsid w:val="006C364F"/>
    <w:rsid w:val="006C3864"/>
    <w:rsid w:val="006C3D3F"/>
    <w:rsid w:val="006C45F8"/>
    <w:rsid w:val="006C5383"/>
    <w:rsid w:val="006C57A6"/>
    <w:rsid w:val="006C57C3"/>
    <w:rsid w:val="006C5E72"/>
    <w:rsid w:val="006C5F65"/>
    <w:rsid w:val="006C6514"/>
    <w:rsid w:val="006C6934"/>
    <w:rsid w:val="006D06E9"/>
    <w:rsid w:val="006D1A65"/>
    <w:rsid w:val="006D21E8"/>
    <w:rsid w:val="006D21F7"/>
    <w:rsid w:val="006D2AB5"/>
    <w:rsid w:val="006D2AEC"/>
    <w:rsid w:val="006D3294"/>
    <w:rsid w:val="006D32F7"/>
    <w:rsid w:val="006D4C8E"/>
    <w:rsid w:val="006D4F62"/>
    <w:rsid w:val="006D5399"/>
    <w:rsid w:val="006D63C2"/>
    <w:rsid w:val="006D6961"/>
    <w:rsid w:val="006D6DE6"/>
    <w:rsid w:val="006E0BB7"/>
    <w:rsid w:val="006E0CE3"/>
    <w:rsid w:val="006E1615"/>
    <w:rsid w:val="006E189A"/>
    <w:rsid w:val="006E1913"/>
    <w:rsid w:val="006E19D1"/>
    <w:rsid w:val="006E1CBB"/>
    <w:rsid w:val="006E2735"/>
    <w:rsid w:val="006E2AB5"/>
    <w:rsid w:val="006E35F2"/>
    <w:rsid w:val="006E3CDE"/>
    <w:rsid w:val="006E4172"/>
    <w:rsid w:val="006E5E5F"/>
    <w:rsid w:val="006F0A16"/>
    <w:rsid w:val="006F100B"/>
    <w:rsid w:val="006F15D5"/>
    <w:rsid w:val="006F1DDB"/>
    <w:rsid w:val="006F1F39"/>
    <w:rsid w:val="006F239A"/>
    <w:rsid w:val="006F2571"/>
    <w:rsid w:val="006F2C9D"/>
    <w:rsid w:val="006F2D10"/>
    <w:rsid w:val="006F5688"/>
    <w:rsid w:val="006F59AC"/>
    <w:rsid w:val="006F64E3"/>
    <w:rsid w:val="007003F3"/>
    <w:rsid w:val="00701DE0"/>
    <w:rsid w:val="007029F7"/>
    <w:rsid w:val="0070391A"/>
    <w:rsid w:val="007045E1"/>
    <w:rsid w:val="0070637D"/>
    <w:rsid w:val="00706786"/>
    <w:rsid w:val="007071DD"/>
    <w:rsid w:val="0070771F"/>
    <w:rsid w:val="00707C61"/>
    <w:rsid w:val="007107A4"/>
    <w:rsid w:val="00710806"/>
    <w:rsid w:val="00710ABF"/>
    <w:rsid w:val="00710DF4"/>
    <w:rsid w:val="00711FE7"/>
    <w:rsid w:val="007123A6"/>
    <w:rsid w:val="00712A14"/>
    <w:rsid w:val="007141B4"/>
    <w:rsid w:val="007155C3"/>
    <w:rsid w:val="0071589A"/>
    <w:rsid w:val="007161AD"/>
    <w:rsid w:val="00716C04"/>
    <w:rsid w:val="00717180"/>
    <w:rsid w:val="00717407"/>
    <w:rsid w:val="00717940"/>
    <w:rsid w:val="007179D2"/>
    <w:rsid w:val="00720256"/>
    <w:rsid w:val="0072030B"/>
    <w:rsid w:val="00720418"/>
    <w:rsid w:val="00720750"/>
    <w:rsid w:val="007211C6"/>
    <w:rsid w:val="00722E1B"/>
    <w:rsid w:val="007231F4"/>
    <w:rsid w:val="00723ADB"/>
    <w:rsid w:val="00723B91"/>
    <w:rsid w:val="00724712"/>
    <w:rsid w:val="00724A23"/>
    <w:rsid w:val="0072549C"/>
    <w:rsid w:val="00725A80"/>
    <w:rsid w:val="00726BAD"/>
    <w:rsid w:val="007272DD"/>
    <w:rsid w:val="007317F0"/>
    <w:rsid w:val="0073182E"/>
    <w:rsid w:val="00732BC6"/>
    <w:rsid w:val="00733970"/>
    <w:rsid w:val="00733B9B"/>
    <w:rsid w:val="00734347"/>
    <w:rsid w:val="0073447A"/>
    <w:rsid w:val="0073493A"/>
    <w:rsid w:val="00734DCD"/>
    <w:rsid w:val="00735B2A"/>
    <w:rsid w:val="00736376"/>
    <w:rsid w:val="00736674"/>
    <w:rsid w:val="00740173"/>
    <w:rsid w:val="007410E5"/>
    <w:rsid w:val="0074135F"/>
    <w:rsid w:val="00742759"/>
    <w:rsid w:val="0074368F"/>
    <w:rsid w:val="00743708"/>
    <w:rsid w:val="007447C0"/>
    <w:rsid w:val="007457EB"/>
    <w:rsid w:val="00746857"/>
    <w:rsid w:val="007473F4"/>
    <w:rsid w:val="00750BEB"/>
    <w:rsid w:val="00752511"/>
    <w:rsid w:val="00753D8A"/>
    <w:rsid w:val="0075455B"/>
    <w:rsid w:val="00754C58"/>
    <w:rsid w:val="0075599F"/>
    <w:rsid w:val="00755BBA"/>
    <w:rsid w:val="00755DA4"/>
    <w:rsid w:val="00755F57"/>
    <w:rsid w:val="00756E02"/>
    <w:rsid w:val="0075718A"/>
    <w:rsid w:val="007574A5"/>
    <w:rsid w:val="00760C20"/>
    <w:rsid w:val="00760CE4"/>
    <w:rsid w:val="0076142B"/>
    <w:rsid w:val="00761AA3"/>
    <w:rsid w:val="00762721"/>
    <w:rsid w:val="00762A81"/>
    <w:rsid w:val="00763783"/>
    <w:rsid w:val="007646D7"/>
    <w:rsid w:val="0076477C"/>
    <w:rsid w:val="007648F8"/>
    <w:rsid w:val="00764965"/>
    <w:rsid w:val="00764D98"/>
    <w:rsid w:val="007653B2"/>
    <w:rsid w:val="00765F93"/>
    <w:rsid w:val="00766C82"/>
    <w:rsid w:val="00766CC7"/>
    <w:rsid w:val="00770535"/>
    <w:rsid w:val="00770C7B"/>
    <w:rsid w:val="00771000"/>
    <w:rsid w:val="00771DD5"/>
    <w:rsid w:val="00772187"/>
    <w:rsid w:val="007727E2"/>
    <w:rsid w:val="007732B6"/>
    <w:rsid w:val="00773687"/>
    <w:rsid w:val="00773751"/>
    <w:rsid w:val="007741F7"/>
    <w:rsid w:val="00774BE8"/>
    <w:rsid w:val="00774DC9"/>
    <w:rsid w:val="00775205"/>
    <w:rsid w:val="007769E0"/>
    <w:rsid w:val="00776E78"/>
    <w:rsid w:val="00776F81"/>
    <w:rsid w:val="00777FFA"/>
    <w:rsid w:val="0078138A"/>
    <w:rsid w:val="00783014"/>
    <w:rsid w:val="0078339D"/>
    <w:rsid w:val="007834DC"/>
    <w:rsid w:val="00784A07"/>
    <w:rsid w:val="00785506"/>
    <w:rsid w:val="00785E59"/>
    <w:rsid w:val="00785F92"/>
    <w:rsid w:val="00787CA5"/>
    <w:rsid w:val="0079117B"/>
    <w:rsid w:val="00791284"/>
    <w:rsid w:val="00791DBF"/>
    <w:rsid w:val="007930E8"/>
    <w:rsid w:val="00793470"/>
    <w:rsid w:val="00793558"/>
    <w:rsid w:val="007959D8"/>
    <w:rsid w:val="0079630F"/>
    <w:rsid w:val="00797AB7"/>
    <w:rsid w:val="00797ADD"/>
    <w:rsid w:val="007A04C2"/>
    <w:rsid w:val="007A2B1C"/>
    <w:rsid w:val="007A37C3"/>
    <w:rsid w:val="007A4024"/>
    <w:rsid w:val="007A4E22"/>
    <w:rsid w:val="007A5769"/>
    <w:rsid w:val="007A752A"/>
    <w:rsid w:val="007B095E"/>
    <w:rsid w:val="007B146A"/>
    <w:rsid w:val="007B156C"/>
    <w:rsid w:val="007B1C16"/>
    <w:rsid w:val="007B31FC"/>
    <w:rsid w:val="007B428C"/>
    <w:rsid w:val="007B46B6"/>
    <w:rsid w:val="007B5429"/>
    <w:rsid w:val="007B6199"/>
    <w:rsid w:val="007B713F"/>
    <w:rsid w:val="007B7B5D"/>
    <w:rsid w:val="007B7EAD"/>
    <w:rsid w:val="007C0522"/>
    <w:rsid w:val="007C0E7C"/>
    <w:rsid w:val="007C0EAA"/>
    <w:rsid w:val="007C293C"/>
    <w:rsid w:val="007C44B2"/>
    <w:rsid w:val="007C475D"/>
    <w:rsid w:val="007C5DCE"/>
    <w:rsid w:val="007C6496"/>
    <w:rsid w:val="007C69FC"/>
    <w:rsid w:val="007C745E"/>
    <w:rsid w:val="007D00CE"/>
    <w:rsid w:val="007D0292"/>
    <w:rsid w:val="007D098D"/>
    <w:rsid w:val="007D1079"/>
    <w:rsid w:val="007D2458"/>
    <w:rsid w:val="007D2AC6"/>
    <w:rsid w:val="007D3699"/>
    <w:rsid w:val="007D382F"/>
    <w:rsid w:val="007D47A9"/>
    <w:rsid w:val="007D6044"/>
    <w:rsid w:val="007D643A"/>
    <w:rsid w:val="007D6C79"/>
    <w:rsid w:val="007D6F74"/>
    <w:rsid w:val="007D759E"/>
    <w:rsid w:val="007E0D6D"/>
    <w:rsid w:val="007E0D76"/>
    <w:rsid w:val="007E3064"/>
    <w:rsid w:val="007E3803"/>
    <w:rsid w:val="007E3F8C"/>
    <w:rsid w:val="007E4908"/>
    <w:rsid w:val="007E4ADF"/>
    <w:rsid w:val="007E50A4"/>
    <w:rsid w:val="007E5888"/>
    <w:rsid w:val="007E6A4A"/>
    <w:rsid w:val="007E75BC"/>
    <w:rsid w:val="007E75F6"/>
    <w:rsid w:val="007E789C"/>
    <w:rsid w:val="007F05E1"/>
    <w:rsid w:val="007F079E"/>
    <w:rsid w:val="007F1691"/>
    <w:rsid w:val="007F17E0"/>
    <w:rsid w:val="007F2058"/>
    <w:rsid w:val="007F20CC"/>
    <w:rsid w:val="007F2DEC"/>
    <w:rsid w:val="007F2F81"/>
    <w:rsid w:val="007F367D"/>
    <w:rsid w:val="007F3921"/>
    <w:rsid w:val="007F46D4"/>
    <w:rsid w:val="007F5233"/>
    <w:rsid w:val="007F7685"/>
    <w:rsid w:val="0080011D"/>
    <w:rsid w:val="0080016B"/>
    <w:rsid w:val="008009AA"/>
    <w:rsid w:val="00800EA5"/>
    <w:rsid w:val="00801C01"/>
    <w:rsid w:val="0080358E"/>
    <w:rsid w:val="008036BD"/>
    <w:rsid w:val="00803C6D"/>
    <w:rsid w:val="0081018C"/>
    <w:rsid w:val="0081116F"/>
    <w:rsid w:val="008118E3"/>
    <w:rsid w:val="00812B32"/>
    <w:rsid w:val="008130BB"/>
    <w:rsid w:val="008149A3"/>
    <w:rsid w:val="00814E5C"/>
    <w:rsid w:val="0081540A"/>
    <w:rsid w:val="00815F79"/>
    <w:rsid w:val="0081631A"/>
    <w:rsid w:val="008174AD"/>
    <w:rsid w:val="00817A26"/>
    <w:rsid w:val="00817D85"/>
    <w:rsid w:val="00817E19"/>
    <w:rsid w:val="0082170A"/>
    <w:rsid w:val="00822531"/>
    <w:rsid w:val="00822B6E"/>
    <w:rsid w:val="00822CC3"/>
    <w:rsid w:val="00823426"/>
    <w:rsid w:val="008234A2"/>
    <w:rsid w:val="008234F9"/>
    <w:rsid w:val="008237FA"/>
    <w:rsid w:val="0082422C"/>
    <w:rsid w:val="00825D37"/>
    <w:rsid w:val="00825D3D"/>
    <w:rsid w:val="008304B3"/>
    <w:rsid w:val="00834B51"/>
    <w:rsid w:val="00834BCF"/>
    <w:rsid w:val="00835076"/>
    <w:rsid w:val="008369B0"/>
    <w:rsid w:val="00837D2C"/>
    <w:rsid w:val="00840903"/>
    <w:rsid w:val="0084117F"/>
    <w:rsid w:val="00841561"/>
    <w:rsid w:val="00842B31"/>
    <w:rsid w:val="00843FCC"/>
    <w:rsid w:val="00845DDA"/>
    <w:rsid w:val="008468B2"/>
    <w:rsid w:val="0084733F"/>
    <w:rsid w:val="00847454"/>
    <w:rsid w:val="00851A5D"/>
    <w:rsid w:val="00851D59"/>
    <w:rsid w:val="00852509"/>
    <w:rsid w:val="008547CB"/>
    <w:rsid w:val="00855994"/>
    <w:rsid w:val="00855CA0"/>
    <w:rsid w:val="008569B3"/>
    <w:rsid w:val="00856DA1"/>
    <w:rsid w:val="0085732C"/>
    <w:rsid w:val="008579FC"/>
    <w:rsid w:val="00860B45"/>
    <w:rsid w:val="00860EF4"/>
    <w:rsid w:val="00862080"/>
    <w:rsid w:val="008623F5"/>
    <w:rsid w:val="008624D0"/>
    <w:rsid w:val="00863860"/>
    <w:rsid w:val="008638B5"/>
    <w:rsid w:val="00863A1D"/>
    <w:rsid w:val="008641CC"/>
    <w:rsid w:val="00864762"/>
    <w:rsid w:val="00864D5B"/>
    <w:rsid w:val="0086654E"/>
    <w:rsid w:val="008669DA"/>
    <w:rsid w:val="00867A48"/>
    <w:rsid w:val="00870052"/>
    <w:rsid w:val="0087184B"/>
    <w:rsid w:val="0087217D"/>
    <w:rsid w:val="008734DB"/>
    <w:rsid w:val="00873636"/>
    <w:rsid w:val="008737FE"/>
    <w:rsid w:val="0087390B"/>
    <w:rsid w:val="00874345"/>
    <w:rsid w:val="008745A1"/>
    <w:rsid w:val="00874E84"/>
    <w:rsid w:val="00876244"/>
    <w:rsid w:val="00876290"/>
    <w:rsid w:val="008768E9"/>
    <w:rsid w:val="0087751B"/>
    <w:rsid w:val="0087783D"/>
    <w:rsid w:val="00880D6E"/>
    <w:rsid w:val="0088251E"/>
    <w:rsid w:val="008835F6"/>
    <w:rsid w:val="00884CA8"/>
    <w:rsid w:val="00885CA1"/>
    <w:rsid w:val="00885E7C"/>
    <w:rsid w:val="008864D5"/>
    <w:rsid w:val="008864EF"/>
    <w:rsid w:val="0088654C"/>
    <w:rsid w:val="0088687E"/>
    <w:rsid w:val="00886A8F"/>
    <w:rsid w:val="00886C8F"/>
    <w:rsid w:val="00887ED4"/>
    <w:rsid w:val="0089033C"/>
    <w:rsid w:val="0089065F"/>
    <w:rsid w:val="00890782"/>
    <w:rsid w:val="00890995"/>
    <w:rsid w:val="008914FB"/>
    <w:rsid w:val="00891923"/>
    <w:rsid w:val="0089221F"/>
    <w:rsid w:val="00894E29"/>
    <w:rsid w:val="00895565"/>
    <w:rsid w:val="00895C74"/>
    <w:rsid w:val="008960D0"/>
    <w:rsid w:val="00896D0C"/>
    <w:rsid w:val="00896F39"/>
    <w:rsid w:val="008975CF"/>
    <w:rsid w:val="00897632"/>
    <w:rsid w:val="00897E99"/>
    <w:rsid w:val="008A0452"/>
    <w:rsid w:val="008A1A16"/>
    <w:rsid w:val="008A239F"/>
    <w:rsid w:val="008A23F8"/>
    <w:rsid w:val="008A2A34"/>
    <w:rsid w:val="008A33B0"/>
    <w:rsid w:val="008A3E77"/>
    <w:rsid w:val="008A4829"/>
    <w:rsid w:val="008A4E42"/>
    <w:rsid w:val="008A54EB"/>
    <w:rsid w:val="008B0525"/>
    <w:rsid w:val="008B08FE"/>
    <w:rsid w:val="008B2384"/>
    <w:rsid w:val="008B2956"/>
    <w:rsid w:val="008B2DA6"/>
    <w:rsid w:val="008B35FF"/>
    <w:rsid w:val="008B3820"/>
    <w:rsid w:val="008B38D6"/>
    <w:rsid w:val="008B4171"/>
    <w:rsid w:val="008B4802"/>
    <w:rsid w:val="008B4AE7"/>
    <w:rsid w:val="008B4BDA"/>
    <w:rsid w:val="008B5B64"/>
    <w:rsid w:val="008B660D"/>
    <w:rsid w:val="008B69E3"/>
    <w:rsid w:val="008B6E90"/>
    <w:rsid w:val="008C00BF"/>
    <w:rsid w:val="008C02ED"/>
    <w:rsid w:val="008C1452"/>
    <w:rsid w:val="008C1FBC"/>
    <w:rsid w:val="008C1FD1"/>
    <w:rsid w:val="008C2223"/>
    <w:rsid w:val="008C24A8"/>
    <w:rsid w:val="008C31C0"/>
    <w:rsid w:val="008C35EF"/>
    <w:rsid w:val="008C475E"/>
    <w:rsid w:val="008C4963"/>
    <w:rsid w:val="008C5996"/>
    <w:rsid w:val="008C6D72"/>
    <w:rsid w:val="008C6DEE"/>
    <w:rsid w:val="008D033F"/>
    <w:rsid w:val="008D1CEC"/>
    <w:rsid w:val="008D2E2E"/>
    <w:rsid w:val="008D3B5E"/>
    <w:rsid w:val="008D3E97"/>
    <w:rsid w:val="008D4928"/>
    <w:rsid w:val="008D53F2"/>
    <w:rsid w:val="008D5A11"/>
    <w:rsid w:val="008D5D55"/>
    <w:rsid w:val="008D5E23"/>
    <w:rsid w:val="008D664D"/>
    <w:rsid w:val="008D7E27"/>
    <w:rsid w:val="008E2E4C"/>
    <w:rsid w:val="008E3FF5"/>
    <w:rsid w:val="008E5661"/>
    <w:rsid w:val="008E5EE1"/>
    <w:rsid w:val="008E6D59"/>
    <w:rsid w:val="008F09E5"/>
    <w:rsid w:val="008F140C"/>
    <w:rsid w:val="008F1C02"/>
    <w:rsid w:val="008F295D"/>
    <w:rsid w:val="008F29A2"/>
    <w:rsid w:val="008F33E0"/>
    <w:rsid w:val="008F3400"/>
    <w:rsid w:val="008F358D"/>
    <w:rsid w:val="008F3AE1"/>
    <w:rsid w:val="008F4417"/>
    <w:rsid w:val="008F4FFB"/>
    <w:rsid w:val="008F53FC"/>
    <w:rsid w:val="008F5829"/>
    <w:rsid w:val="008F5D66"/>
    <w:rsid w:val="00901756"/>
    <w:rsid w:val="00901BFE"/>
    <w:rsid w:val="00902286"/>
    <w:rsid w:val="009028AA"/>
    <w:rsid w:val="00902EC9"/>
    <w:rsid w:val="009035D6"/>
    <w:rsid w:val="009039FA"/>
    <w:rsid w:val="00903E3F"/>
    <w:rsid w:val="009049C3"/>
    <w:rsid w:val="00904B04"/>
    <w:rsid w:val="00905521"/>
    <w:rsid w:val="009057D9"/>
    <w:rsid w:val="00906EA4"/>
    <w:rsid w:val="0090774A"/>
    <w:rsid w:val="00907D92"/>
    <w:rsid w:val="00910D07"/>
    <w:rsid w:val="00910F7B"/>
    <w:rsid w:val="0091121C"/>
    <w:rsid w:val="00912192"/>
    <w:rsid w:val="0091232D"/>
    <w:rsid w:val="009128A7"/>
    <w:rsid w:val="009133DA"/>
    <w:rsid w:val="00913E7F"/>
    <w:rsid w:val="0091423C"/>
    <w:rsid w:val="00914B2F"/>
    <w:rsid w:val="00915017"/>
    <w:rsid w:val="00915041"/>
    <w:rsid w:val="009150E6"/>
    <w:rsid w:val="00916923"/>
    <w:rsid w:val="009174C5"/>
    <w:rsid w:val="00917F89"/>
    <w:rsid w:val="00921C42"/>
    <w:rsid w:val="00922335"/>
    <w:rsid w:val="0092309C"/>
    <w:rsid w:val="009238E3"/>
    <w:rsid w:val="00924768"/>
    <w:rsid w:val="0092516D"/>
    <w:rsid w:val="009255EE"/>
    <w:rsid w:val="00925603"/>
    <w:rsid w:val="0092570E"/>
    <w:rsid w:val="00925F76"/>
    <w:rsid w:val="0092671C"/>
    <w:rsid w:val="00926A04"/>
    <w:rsid w:val="00930A3E"/>
    <w:rsid w:val="00932E89"/>
    <w:rsid w:val="009333F2"/>
    <w:rsid w:val="00933565"/>
    <w:rsid w:val="0093359D"/>
    <w:rsid w:val="00933F2B"/>
    <w:rsid w:val="00934D0D"/>
    <w:rsid w:val="00934FCF"/>
    <w:rsid w:val="009360B3"/>
    <w:rsid w:val="009363D9"/>
    <w:rsid w:val="00936896"/>
    <w:rsid w:val="00936A9B"/>
    <w:rsid w:val="00937D60"/>
    <w:rsid w:val="009409E0"/>
    <w:rsid w:val="00940E45"/>
    <w:rsid w:val="009417E2"/>
    <w:rsid w:val="00942430"/>
    <w:rsid w:val="00942EEB"/>
    <w:rsid w:val="00943B5E"/>
    <w:rsid w:val="00944332"/>
    <w:rsid w:val="0094468E"/>
    <w:rsid w:val="00944A75"/>
    <w:rsid w:val="00945261"/>
    <w:rsid w:val="0094575B"/>
    <w:rsid w:val="009461A7"/>
    <w:rsid w:val="00947B41"/>
    <w:rsid w:val="00947D8A"/>
    <w:rsid w:val="009506A5"/>
    <w:rsid w:val="00950895"/>
    <w:rsid w:val="00951A1B"/>
    <w:rsid w:val="00952689"/>
    <w:rsid w:val="0095311B"/>
    <w:rsid w:val="00953971"/>
    <w:rsid w:val="009541CC"/>
    <w:rsid w:val="00954439"/>
    <w:rsid w:val="0095467D"/>
    <w:rsid w:val="00955A16"/>
    <w:rsid w:val="00955D32"/>
    <w:rsid w:val="00955F2B"/>
    <w:rsid w:val="00956050"/>
    <w:rsid w:val="00956564"/>
    <w:rsid w:val="00956D5A"/>
    <w:rsid w:val="00957F0D"/>
    <w:rsid w:val="00960C07"/>
    <w:rsid w:val="00960C64"/>
    <w:rsid w:val="00961B2C"/>
    <w:rsid w:val="00961DBB"/>
    <w:rsid w:val="00963575"/>
    <w:rsid w:val="0096496F"/>
    <w:rsid w:val="009659D8"/>
    <w:rsid w:val="00965DC4"/>
    <w:rsid w:val="00965E1E"/>
    <w:rsid w:val="0096618E"/>
    <w:rsid w:val="00966267"/>
    <w:rsid w:val="00966441"/>
    <w:rsid w:val="00966B39"/>
    <w:rsid w:val="00966C46"/>
    <w:rsid w:val="0096748D"/>
    <w:rsid w:val="00970090"/>
    <w:rsid w:val="0097014A"/>
    <w:rsid w:val="009702F7"/>
    <w:rsid w:val="00970A91"/>
    <w:rsid w:val="0097117A"/>
    <w:rsid w:val="00972C5A"/>
    <w:rsid w:val="00972C5C"/>
    <w:rsid w:val="00975961"/>
    <w:rsid w:val="00975D1A"/>
    <w:rsid w:val="0098029A"/>
    <w:rsid w:val="00980569"/>
    <w:rsid w:val="00980DF4"/>
    <w:rsid w:val="009813F4"/>
    <w:rsid w:val="00981433"/>
    <w:rsid w:val="00981C18"/>
    <w:rsid w:val="0098524B"/>
    <w:rsid w:val="009856D6"/>
    <w:rsid w:val="00985C07"/>
    <w:rsid w:val="009863ED"/>
    <w:rsid w:val="009865C2"/>
    <w:rsid w:val="00987D94"/>
    <w:rsid w:val="00990653"/>
    <w:rsid w:val="009907DF"/>
    <w:rsid w:val="00990D6F"/>
    <w:rsid w:val="0099121E"/>
    <w:rsid w:val="00991557"/>
    <w:rsid w:val="009922E8"/>
    <w:rsid w:val="00992A10"/>
    <w:rsid w:val="00992AFD"/>
    <w:rsid w:val="009935E7"/>
    <w:rsid w:val="0099374F"/>
    <w:rsid w:val="009948A6"/>
    <w:rsid w:val="00994B9E"/>
    <w:rsid w:val="009957DF"/>
    <w:rsid w:val="00995B4F"/>
    <w:rsid w:val="009965D6"/>
    <w:rsid w:val="00996EAF"/>
    <w:rsid w:val="00997582"/>
    <w:rsid w:val="009979C8"/>
    <w:rsid w:val="009A19F0"/>
    <w:rsid w:val="009A2C21"/>
    <w:rsid w:val="009A3B49"/>
    <w:rsid w:val="009A3E58"/>
    <w:rsid w:val="009A5F02"/>
    <w:rsid w:val="009A5FCF"/>
    <w:rsid w:val="009A647A"/>
    <w:rsid w:val="009A7AB1"/>
    <w:rsid w:val="009B0ABB"/>
    <w:rsid w:val="009B0CDF"/>
    <w:rsid w:val="009B1F05"/>
    <w:rsid w:val="009B2408"/>
    <w:rsid w:val="009B2E25"/>
    <w:rsid w:val="009B3052"/>
    <w:rsid w:val="009B32D9"/>
    <w:rsid w:val="009B3CE9"/>
    <w:rsid w:val="009B4937"/>
    <w:rsid w:val="009B4D4A"/>
    <w:rsid w:val="009B5189"/>
    <w:rsid w:val="009B6587"/>
    <w:rsid w:val="009B7024"/>
    <w:rsid w:val="009B7543"/>
    <w:rsid w:val="009C285C"/>
    <w:rsid w:val="009C342A"/>
    <w:rsid w:val="009C39F7"/>
    <w:rsid w:val="009C3AB4"/>
    <w:rsid w:val="009C45D3"/>
    <w:rsid w:val="009C46F5"/>
    <w:rsid w:val="009C47D9"/>
    <w:rsid w:val="009C5BF8"/>
    <w:rsid w:val="009C604B"/>
    <w:rsid w:val="009C60F8"/>
    <w:rsid w:val="009C6DAA"/>
    <w:rsid w:val="009C72D1"/>
    <w:rsid w:val="009C7497"/>
    <w:rsid w:val="009D017B"/>
    <w:rsid w:val="009D0E74"/>
    <w:rsid w:val="009D1686"/>
    <w:rsid w:val="009D1A96"/>
    <w:rsid w:val="009D2D5D"/>
    <w:rsid w:val="009D370B"/>
    <w:rsid w:val="009D46D1"/>
    <w:rsid w:val="009D5CDC"/>
    <w:rsid w:val="009D6D59"/>
    <w:rsid w:val="009D78D9"/>
    <w:rsid w:val="009E05FA"/>
    <w:rsid w:val="009E0DF3"/>
    <w:rsid w:val="009E1520"/>
    <w:rsid w:val="009E18D9"/>
    <w:rsid w:val="009E2087"/>
    <w:rsid w:val="009E20DC"/>
    <w:rsid w:val="009E252B"/>
    <w:rsid w:val="009E2ED3"/>
    <w:rsid w:val="009E3265"/>
    <w:rsid w:val="009E3353"/>
    <w:rsid w:val="009E3CC1"/>
    <w:rsid w:val="009E4353"/>
    <w:rsid w:val="009E446D"/>
    <w:rsid w:val="009E4481"/>
    <w:rsid w:val="009E4B03"/>
    <w:rsid w:val="009E538C"/>
    <w:rsid w:val="009E53DA"/>
    <w:rsid w:val="009E5FB3"/>
    <w:rsid w:val="009E64B6"/>
    <w:rsid w:val="009E6558"/>
    <w:rsid w:val="009E65CB"/>
    <w:rsid w:val="009E7C09"/>
    <w:rsid w:val="009F0155"/>
    <w:rsid w:val="009F0C96"/>
    <w:rsid w:val="009F13E3"/>
    <w:rsid w:val="009F146D"/>
    <w:rsid w:val="009F1A11"/>
    <w:rsid w:val="009F240B"/>
    <w:rsid w:val="009F3DC0"/>
    <w:rsid w:val="009F462C"/>
    <w:rsid w:val="009F4A2A"/>
    <w:rsid w:val="009F4F1E"/>
    <w:rsid w:val="009F61FF"/>
    <w:rsid w:val="009F668A"/>
    <w:rsid w:val="00A0039C"/>
    <w:rsid w:val="00A01262"/>
    <w:rsid w:val="00A015AB"/>
    <w:rsid w:val="00A015E4"/>
    <w:rsid w:val="00A0267B"/>
    <w:rsid w:val="00A0379F"/>
    <w:rsid w:val="00A04EDD"/>
    <w:rsid w:val="00A053DA"/>
    <w:rsid w:val="00A06246"/>
    <w:rsid w:val="00A0664D"/>
    <w:rsid w:val="00A0687B"/>
    <w:rsid w:val="00A073E0"/>
    <w:rsid w:val="00A075BC"/>
    <w:rsid w:val="00A10480"/>
    <w:rsid w:val="00A106E1"/>
    <w:rsid w:val="00A11222"/>
    <w:rsid w:val="00A12C39"/>
    <w:rsid w:val="00A134FB"/>
    <w:rsid w:val="00A13566"/>
    <w:rsid w:val="00A1427D"/>
    <w:rsid w:val="00A16124"/>
    <w:rsid w:val="00A1681E"/>
    <w:rsid w:val="00A16F05"/>
    <w:rsid w:val="00A178FA"/>
    <w:rsid w:val="00A17919"/>
    <w:rsid w:val="00A20802"/>
    <w:rsid w:val="00A2080E"/>
    <w:rsid w:val="00A214F5"/>
    <w:rsid w:val="00A215F8"/>
    <w:rsid w:val="00A21A0C"/>
    <w:rsid w:val="00A21A23"/>
    <w:rsid w:val="00A22D42"/>
    <w:rsid w:val="00A22DF2"/>
    <w:rsid w:val="00A2316A"/>
    <w:rsid w:val="00A25589"/>
    <w:rsid w:val="00A25B4F"/>
    <w:rsid w:val="00A26233"/>
    <w:rsid w:val="00A2683D"/>
    <w:rsid w:val="00A30FAC"/>
    <w:rsid w:val="00A33AFE"/>
    <w:rsid w:val="00A33B57"/>
    <w:rsid w:val="00A34DFE"/>
    <w:rsid w:val="00A353C9"/>
    <w:rsid w:val="00A3597D"/>
    <w:rsid w:val="00A35A9F"/>
    <w:rsid w:val="00A36ADD"/>
    <w:rsid w:val="00A3766F"/>
    <w:rsid w:val="00A40230"/>
    <w:rsid w:val="00A4062E"/>
    <w:rsid w:val="00A4174D"/>
    <w:rsid w:val="00A4182D"/>
    <w:rsid w:val="00A42F95"/>
    <w:rsid w:val="00A43C4C"/>
    <w:rsid w:val="00A442BF"/>
    <w:rsid w:val="00A44489"/>
    <w:rsid w:val="00A44872"/>
    <w:rsid w:val="00A4526A"/>
    <w:rsid w:val="00A460DB"/>
    <w:rsid w:val="00A468E3"/>
    <w:rsid w:val="00A46A70"/>
    <w:rsid w:val="00A47426"/>
    <w:rsid w:val="00A500A8"/>
    <w:rsid w:val="00A50475"/>
    <w:rsid w:val="00A50675"/>
    <w:rsid w:val="00A522EE"/>
    <w:rsid w:val="00A52632"/>
    <w:rsid w:val="00A535FF"/>
    <w:rsid w:val="00A53716"/>
    <w:rsid w:val="00A53F9E"/>
    <w:rsid w:val="00A54870"/>
    <w:rsid w:val="00A548F4"/>
    <w:rsid w:val="00A54E7A"/>
    <w:rsid w:val="00A54EAE"/>
    <w:rsid w:val="00A55158"/>
    <w:rsid w:val="00A555C3"/>
    <w:rsid w:val="00A55E9D"/>
    <w:rsid w:val="00A561FD"/>
    <w:rsid w:val="00A5629E"/>
    <w:rsid w:val="00A576A0"/>
    <w:rsid w:val="00A57AA5"/>
    <w:rsid w:val="00A60317"/>
    <w:rsid w:val="00A60C61"/>
    <w:rsid w:val="00A60FC4"/>
    <w:rsid w:val="00A62D57"/>
    <w:rsid w:val="00A62D77"/>
    <w:rsid w:val="00A634D6"/>
    <w:rsid w:val="00A63ED1"/>
    <w:rsid w:val="00A6473D"/>
    <w:rsid w:val="00A64832"/>
    <w:rsid w:val="00A64DCF"/>
    <w:rsid w:val="00A65019"/>
    <w:rsid w:val="00A66482"/>
    <w:rsid w:val="00A66DD5"/>
    <w:rsid w:val="00A670B0"/>
    <w:rsid w:val="00A67D33"/>
    <w:rsid w:val="00A700A3"/>
    <w:rsid w:val="00A708D8"/>
    <w:rsid w:val="00A70B59"/>
    <w:rsid w:val="00A70D8D"/>
    <w:rsid w:val="00A732DB"/>
    <w:rsid w:val="00A73FD4"/>
    <w:rsid w:val="00A7454A"/>
    <w:rsid w:val="00A75A5F"/>
    <w:rsid w:val="00A771A8"/>
    <w:rsid w:val="00A803D3"/>
    <w:rsid w:val="00A81078"/>
    <w:rsid w:val="00A811D4"/>
    <w:rsid w:val="00A8153D"/>
    <w:rsid w:val="00A82457"/>
    <w:rsid w:val="00A82FC0"/>
    <w:rsid w:val="00A84461"/>
    <w:rsid w:val="00A86AD6"/>
    <w:rsid w:val="00A86B56"/>
    <w:rsid w:val="00A86F04"/>
    <w:rsid w:val="00A87139"/>
    <w:rsid w:val="00A91039"/>
    <w:rsid w:val="00A918BC"/>
    <w:rsid w:val="00A92997"/>
    <w:rsid w:val="00A92F60"/>
    <w:rsid w:val="00A936E5"/>
    <w:rsid w:val="00A93D8A"/>
    <w:rsid w:val="00A946C4"/>
    <w:rsid w:val="00A9518A"/>
    <w:rsid w:val="00A9521C"/>
    <w:rsid w:val="00A9545C"/>
    <w:rsid w:val="00A9552C"/>
    <w:rsid w:val="00A95BF5"/>
    <w:rsid w:val="00A96A30"/>
    <w:rsid w:val="00A96B88"/>
    <w:rsid w:val="00A97800"/>
    <w:rsid w:val="00AA08B7"/>
    <w:rsid w:val="00AA1061"/>
    <w:rsid w:val="00AA159F"/>
    <w:rsid w:val="00AA18CD"/>
    <w:rsid w:val="00AA1AD3"/>
    <w:rsid w:val="00AA1CCE"/>
    <w:rsid w:val="00AA1EE3"/>
    <w:rsid w:val="00AA2F32"/>
    <w:rsid w:val="00AA39B4"/>
    <w:rsid w:val="00AA3B3F"/>
    <w:rsid w:val="00AA4023"/>
    <w:rsid w:val="00AA5B70"/>
    <w:rsid w:val="00AA62BB"/>
    <w:rsid w:val="00AA6A84"/>
    <w:rsid w:val="00AB0098"/>
    <w:rsid w:val="00AB00A4"/>
    <w:rsid w:val="00AB2399"/>
    <w:rsid w:val="00AB40A2"/>
    <w:rsid w:val="00AB416A"/>
    <w:rsid w:val="00AB4284"/>
    <w:rsid w:val="00AB4C4D"/>
    <w:rsid w:val="00AB57A4"/>
    <w:rsid w:val="00AB5B43"/>
    <w:rsid w:val="00AB5CE4"/>
    <w:rsid w:val="00AB66D6"/>
    <w:rsid w:val="00AB6FCB"/>
    <w:rsid w:val="00AC01F8"/>
    <w:rsid w:val="00AC059A"/>
    <w:rsid w:val="00AC0827"/>
    <w:rsid w:val="00AC0A2A"/>
    <w:rsid w:val="00AC123E"/>
    <w:rsid w:val="00AC1498"/>
    <w:rsid w:val="00AC45AD"/>
    <w:rsid w:val="00AC5CA1"/>
    <w:rsid w:val="00AC5F97"/>
    <w:rsid w:val="00AC69AD"/>
    <w:rsid w:val="00AC6AFE"/>
    <w:rsid w:val="00AC7A0D"/>
    <w:rsid w:val="00AD0308"/>
    <w:rsid w:val="00AD0E53"/>
    <w:rsid w:val="00AD0EEF"/>
    <w:rsid w:val="00AD107F"/>
    <w:rsid w:val="00AD2409"/>
    <w:rsid w:val="00AD2CC1"/>
    <w:rsid w:val="00AD377A"/>
    <w:rsid w:val="00AD3FE0"/>
    <w:rsid w:val="00AD4C87"/>
    <w:rsid w:val="00AD5501"/>
    <w:rsid w:val="00AD55FC"/>
    <w:rsid w:val="00AD6598"/>
    <w:rsid w:val="00AD67BB"/>
    <w:rsid w:val="00AD73A6"/>
    <w:rsid w:val="00AD77F0"/>
    <w:rsid w:val="00AE0971"/>
    <w:rsid w:val="00AE1CC1"/>
    <w:rsid w:val="00AE222A"/>
    <w:rsid w:val="00AE269D"/>
    <w:rsid w:val="00AE369B"/>
    <w:rsid w:val="00AE3EA4"/>
    <w:rsid w:val="00AE49B4"/>
    <w:rsid w:val="00AE4C76"/>
    <w:rsid w:val="00AE5193"/>
    <w:rsid w:val="00AE53F0"/>
    <w:rsid w:val="00AE548A"/>
    <w:rsid w:val="00AE6236"/>
    <w:rsid w:val="00AE68C9"/>
    <w:rsid w:val="00AF1B02"/>
    <w:rsid w:val="00AF41E4"/>
    <w:rsid w:val="00AF4864"/>
    <w:rsid w:val="00AF5122"/>
    <w:rsid w:val="00AF7DC2"/>
    <w:rsid w:val="00B000E1"/>
    <w:rsid w:val="00B002A4"/>
    <w:rsid w:val="00B013C4"/>
    <w:rsid w:val="00B01528"/>
    <w:rsid w:val="00B01CAC"/>
    <w:rsid w:val="00B02CA2"/>
    <w:rsid w:val="00B02CFD"/>
    <w:rsid w:val="00B0396D"/>
    <w:rsid w:val="00B03A69"/>
    <w:rsid w:val="00B03D8E"/>
    <w:rsid w:val="00B04761"/>
    <w:rsid w:val="00B061FC"/>
    <w:rsid w:val="00B0653A"/>
    <w:rsid w:val="00B06A09"/>
    <w:rsid w:val="00B06A75"/>
    <w:rsid w:val="00B06BC3"/>
    <w:rsid w:val="00B0754F"/>
    <w:rsid w:val="00B11F73"/>
    <w:rsid w:val="00B12F2E"/>
    <w:rsid w:val="00B13067"/>
    <w:rsid w:val="00B145B5"/>
    <w:rsid w:val="00B149FA"/>
    <w:rsid w:val="00B14E71"/>
    <w:rsid w:val="00B150F8"/>
    <w:rsid w:val="00B15A0F"/>
    <w:rsid w:val="00B166A7"/>
    <w:rsid w:val="00B17466"/>
    <w:rsid w:val="00B20236"/>
    <w:rsid w:val="00B20937"/>
    <w:rsid w:val="00B220A0"/>
    <w:rsid w:val="00B22324"/>
    <w:rsid w:val="00B226A4"/>
    <w:rsid w:val="00B22B64"/>
    <w:rsid w:val="00B22FEA"/>
    <w:rsid w:val="00B23325"/>
    <w:rsid w:val="00B23A5A"/>
    <w:rsid w:val="00B24321"/>
    <w:rsid w:val="00B24733"/>
    <w:rsid w:val="00B259C5"/>
    <w:rsid w:val="00B261EC"/>
    <w:rsid w:val="00B263F1"/>
    <w:rsid w:val="00B26848"/>
    <w:rsid w:val="00B27C9D"/>
    <w:rsid w:val="00B30C7B"/>
    <w:rsid w:val="00B30DB2"/>
    <w:rsid w:val="00B30FEB"/>
    <w:rsid w:val="00B3192A"/>
    <w:rsid w:val="00B3291D"/>
    <w:rsid w:val="00B33104"/>
    <w:rsid w:val="00B331CA"/>
    <w:rsid w:val="00B357F3"/>
    <w:rsid w:val="00B35B57"/>
    <w:rsid w:val="00B372AE"/>
    <w:rsid w:val="00B40AA3"/>
    <w:rsid w:val="00B40B6D"/>
    <w:rsid w:val="00B4132D"/>
    <w:rsid w:val="00B4321B"/>
    <w:rsid w:val="00B44427"/>
    <w:rsid w:val="00B44478"/>
    <w:rsid w:val="00B45C8F"/>
    <w:rsid w:val="00B46B79"/>
    <w:rsid w:val="00B4726C"/>
    <w:rsid w:val="00B47F52"/>
    <w:rsid w:val="00B502E9"/>
    <w:rsid w:val="00B50BBD"/>
    <w:rsid w:val="00B51F6A"/>
    <w:rsid w:val="00B5216B"/>
    <w:rsid w:val="00B52F34"/>
    <w:rsid w:val="00B530A3"/>
    <w:rsid w:val="00B53EB7"/>
    <w:rsid w:val="00B53F2C"/>
    <w:rsid w:val="00B56181"/>
    <w:rsid w:val="00B6002C"/>
    <w:rsid w:val="00B60639"/>
    <w:rsid w:val="00B60B95"/>
    <w:rsid w:val="00B61216"/>
    <w:rsid w:val="00B61A76"/>
    <w:rsid w:val="00B620EE"/>
    <w:rsid w:val="00B63E46"/>
    <w:rsid w:val="00B64139"/>
    <w:rsid w:val="00B64604"/>
    <w:rsid w:val="00B65CF5"/>
    <w:rsid w:val="00B666AC"/>
    <w:rsid w:val="00B66EAF"/>
    <w:rsid w:val="00B714C5"/>
    <w:rsid w:val="00B720B4"/>
    <w:rsid w:val="00B72374"/>
    <w:rsid w:val="00B72569"/>
    <w:rsid w:val="00B72FFB"/>
    <w:rsid w:val="00B737DA"/>
    <w:rsid w:val="00B742AE"/>
    <w:rsid w:val="00B74EDB"/>
    <w:rsid w:val="00B76E84"/>
    <w:rsid w:val="00B77661"/>
    <w:rsid w:val="00B80094"/>
    <w:rsid w:val="00B81577"/>
    <w:rsid w:val="00B81D99"/>
    <w:rsid w:val="00B821BB"/>
    <w:rsid w:val="00B835DA"/>
    <w:rsid w:val="00B84386"/>
    <w:rsid w:val="00B84A07"/>
    <w:rsid w:val="00B85366"/>
    <w:rsid w:val="00B85F58"/>
    <w:rsid w:val="00B86763"/>
    <w:rsid w:val="00B87F60"/>
    <w:rsid w:val="00B90E6C"/>
    <w:rsid w:val="00B913AA"/>
    <w:rsid w:val="00B932FB"/>
    <w:rsid w:val="00B93D3D"/>
    <w:rsid w:val="00B9552B"/>
    <w:rsid w:val="00B95A7A"/>
    <w:rsid w:val="00B9720D"/>
    <w:rsid w:val="00B974A7"/>
    <w:rsid w:val="00BA021D"/>
    <w:rsid w:val="00BA0D9D"/>
    <w:rsid w:val="00BA1E78"/>
    <w:rsid w:val="00BA3846"/>
    <w:rsid w:val="00BA471F"/>
    <w:rsid w:val="00BA4979"/>
    <w:rsid w:val="00BA4B7A"/>
    <w:rsid w:val="00BA4E50"/>
    <w:rsid w:val="00BA5FFC"/>
    <w:rsid w:val="00BA6927"/>
    <w:rsid w:val="00BA6B36"/>
    <w:rsid w:val="00BA6D8D"/>
    <w:rsid w:val="00BA742C"/>
    <w:rsid w:val="00BA7A54"/>
    <w:rsid w:val="00BA7B8A"/>
    <w:rsid w:val="00BB1505"/>
    <w:rsid w:val="00BB2437"/>
    <w:rsid w:val="00BB3DB1"/>
    <w:rsid w:val="00BB5013"/>
    <w:rsid w:val="00BB528E"/>
    <w:rsid w:val="00BB5BB2"/>
    <w:rsid w:val="00BB5DC1"/>
    <w:rsid w:val="00BB640E"/>
    <w:rsid w:val="00BB7725"/>
    <w:rsid w:val="00BC04FF"/>
    <w:rsid w:val="00BC07C7"/>
    <w:rsid w:val="00BC1BE8"/>
    <w:rsid w:val="00BC23ED"/>
    <w:rsid w:val="00BC2417"/>
    <w:rsid w:val="00BC2600"/>
    <w:rsid w:val="00BC36F0"/>
    <w:rsid w:val="00BC37F9"/>
    <w:rsid w:val="00BC4FA7"/>
    <w:rsid w:val="00BC5E30"/>
    <w:rsid w:val="00BC6414"/>
    <w:rsid w:val="00BC75FA"/>
    <w:rsid w:val="00BC76CD"/>
    <w:rsid w:val="00BD02C5"/>
    <w:rsid w:val="00BD068D"/>
    <w:rsid w:val="00BD0868"/>
    <w:rsid w:val="00BD2B71"/>
    <w:rsid w:val="00BD3348"/>
    <w:rsid w:val="00BD34A1"/>
    <w:rsid w:val="00BD4205"/>
    <w:rsid w:val="00BD5DD0"/>
    <w:rsid w:val="00BD6CD0"/>
    <w:rsid w:val="00BE085B"/>
    <w:rsid w:val="00BE0D9A"/>
    <w:rsid w:val="00BE13B2"/>
    <w:rsid w:val="00BE18AB"/>
    <w:rsid w:val="00BE1A50"/>
    <w:rsid w:val="00BE2BCE"/>
    <w:rsid w:val="00BE2F0D"/>
    <w:rsid w:val="00BE366C"/>
    <w:rsid w:val="00BE4794"/>
    <w:rsid w:val="00BE5CC1"/>
    <w:rsid w:val="00BE6C24"/>
    <w:rsid w:val="00BE74AF"/>
    <w:rsid w:val="00BF02B6"/>
    <w:rsid w:val="00BF0BD5"/>
    <w:rsid w:val="00BF1708"/>
    <w:rsid w:val="00BF2842"/>
    <w:rsid w:val="00BF2A4B"/>
    <w:rsid w:val="00BF4CB6"/>
    <w:rsid w:val="00BF5038"/>
    <w:rsid w:val="00BF55F8"/>
    <w:rsid w:val="00BF5984"/>
    <w:rsid w:val="00BF5CDC"/>
    <w:rsid w:val="00BF5EA2"/>
    <w:rsid w:val="00BF5F6C"/>
    <w:rsid w:val="00BF6153"/>
    <w:rsid w:val="00BF6422"/>
    <w:rsid w:val="00BF7673"/>
    <w:rsid w:val="00C01D9B"/>
    <w:rsid w:val="00C046C2"/>
    <w:rsid w:val="00C04E8C"/>
    <w:rsid w:val="00C051FD"/>
    <w:rsid w:val="00C06050"/>
    <w:rsid w:val="00C06409"/>
    <w:rsid w:val="00C066A7"/>
    <w:rsid w:val="00C07B2E"/>
    <w:rsid w:val="00C07FCD"/>
    <w:rsid w:val="00C10725"/>
    <w:rsid w:val="00C1177C"/>
    <w:rsid w:val="00C130BB"/>
    <w:rsid w:val="00C13E4E"/>
    <w:rsid w:val="00C1444A"/>
    <w:rsid w:val="00C15626"/>
    <w:rsid w:val="00C1700B"/>
    <w:rsid w:val="00C17171"/>
    <w:rsid w:val="00C204F5"/>
    <w:rsid w:val="00C20C7D"/>
    <w:rsid w:val="00C20D7D"/>
    <w:rsid w:val="00C20DEF"/>
    <w:rsid w:val="00C20F3E"/>
    <w:rsid w:val="00C2186B"/>
    <w:rsid w:val="00C221B5"/>
    <w:rsid w:val="00C227DE"/>
    <w:rsid w:val="00C22EC7"/>
    <w:rsid w:val="00C24B25"/>
    <w:rsid w:val="00C24CD6"/>
    <w:rsid w:val="00C2605D"/>
    <w:rsid w:val="00C262A9"/>
    <w:rsid w:val="00C26792"/>
    <w:rsid w:val="00C300D5"/>
    <w:rsid w:val="00C302DE"/>
    <w:rsid w:val="00C30790"/>
    <w:rsid w:val="00C30D39"/>
    <w:rsid w:val="00C31B51"/>
    <w:rsid w:val="00C3288F"/>
    <w:rsid w:val="00C32C2F"/>
    <w:rsid w:val="00C32ECF"/>
    <w:rsid w:val="00C33505"/>
    <w:rsid w:val="00C340B8"/>
    <w:rsid w:val="00C34C16"/>
    <w:rsid w:val="00C3517D"/>
    <w:rsid w:val="00C35DD0"/>
    <w:rsid w:val="00C36437"/>
    <w:rsid w:val="00C3738A"/>
    <w:rsid w:val="00C37392"/>
    <w:rsid w:val="00C403AD"/>
    <w:rsid w:val="00C4251A"/>
    <w:rsid w:val="00C4315A"/>
    <w:rsid w:val="00C43F5E"/>
    <w:rsid w:val="00C44074"/>
    <w:rsid w:val="00C44C8D"/>
    <w:rsid w:val="00C45690"/>
    <w:rsid w:val="00C4651F"/>
    <w:rsid w:val="00C46A40"/>
    <w:rsid w:val="00C474FC"/>
    <w:rsid w:val="00C475E8"/>
    <w:rsid w:val="00C47628"/>
    <w:rsid w:val="00C47A1E"/>
    <w:rsid w:val="00C47D8E"/>
    <w:rsid w:val="00C47F46"/>
    <w:rsid w:val="00C505ED"/>
    <w:rsid w:val="00C5194B"/>
    <w:rsid w:val="00C51D0B"/>
    <w:rsid w:val="00C525ED"/>
    <w:rsid w:val="00C52A50"/>
    <w:rsid w:val="00C54284"/>
    <w:rsid w:val="00C54581"/>
    <w:rsid w:val="00C54923"/>
    <w:rsid w:val="00C55038"/>
    <w:rsid w:val="00C55809"/>
    <w:rsid w:val="00C55863"/>
    <w:rsid w:val="00C57512"/>
    <w:rsid w:val="00C602D3"/>
    <w:rsid w:val="00C61395"/>
    <w:rsid w:val="00C61DF2"/>
    <w:rsid w:val="00C6203A"/>
    <w:rsid w:val="00C63422"/>
    <w:rsid w:val="00C63C93"/>
    <w:rsid w:val="00C642D4"/>
    <w:rsid w:val="00C651AC"/>
    <w:rsid w:val="00C65506"/>
    <w:rsid w:val="00C6562E"/>
    <w:rsid w:val="00C66C97"/>
    <w:rsid w:val="00C66D66"/>
    <w:rsid w:val="00C678C5"/>
    <w:rsid w:val="00C70807"/>
    <w:rsid w:val="00C72DB5"/>
    <w:rsid w:val="00C730F4"/>
    <w:rsid w:val="00C736D5"/>
    <w:rsid w:val="00C74554"/>
    <w:rsid w:val="00C75EB9"/>
    <w:rsid w:val="00C7633E"/>
    <w:rsid w:val="00C76D36"/>
    <w:rsid w:val="00C800F9"/>
    <w:rsid w:val="00C80200"/>
    <w:rsid w:val="00C80491"/>
    <w:rsid w:val="00C80554"/>
    <w:rsid w:val="00C8133A"/>
    <w:rsid w:val="00C81491"/>
    <w:rsid w:val="00C816FB"/>
    <w:rsid w:val="00C819EC"/>
    <w:rsid w:val="00C81CC0"/>
    <w:rsid w:val="00C82704"/>
    <w:rsid w:val="00C8270B"/>
    <w:rsid w:val="00C841A9"/>
    <w:rsid w:val="00C8465A"/>
    <w:rsid w:val="00C85716"/>
    <w:rsid w:val="00C86190"/>
    <w:rsid w:val="00C86424"/>
    <w:rsid w:val="00C8728F"/>
    <w:rsid w:val="00C9104A"/>
    <w:rsid w:val="00C9149B"/>
    <w:rsid w:val="00C918C7"/>
    <w:rsid w:val="00C92382"/>
    <w:rsid w:val="00C92545"/>
    <w:rsid w:val="00C92962"/>
    <w:rsid w:val="00C92D01"/>
    <w:rsid w:val="00C94315"/>
    <w:rsid w:val="00C9487A"/>
    <w:rsid w:val="00C95787"/>
    <w:rsid w:val="00C9708D"/>
    <w:rsid w:val="00C97FBC"/>
    <w:rsid w:val="00CA0B7E"/>
    <w:rsid w:val="00CA1464"/>
    <w:rsid w:val="00CA14C6"/>
    <w:rsid w:val="00CA16D0"/>
    <w:rsid w:val="00CA1A87"/>
    <w:rsid w:val="00CA1D02"/>
    <w:rsid w:val="00CA1DF4"/>
    <w:rsid w:val="00CA1F7D"/>
    <w:rsid w:val="00CA2438"/>
    <w:rsid w:val="00CA256C"/>
    <w:rsid w:val="00CA2E8E"/>
    <w:rsid w:val="00CA3D68"/>
    <w:rsid w:val="00CA4ADB"/>
    <w:rsid w:val="00CA5598"/>
    <w:rsid w:val="00CA5C95"/>
    <w:rsid w:val="00CA5EF8"/>
    <w:rsid w:val="00CA704F"/>
    <w:rsid w:val="00CA7FCB"/>
    <w:rsid w:val="00CB0858"/>
    <w:rsid w:val="00CB09D4"/>
    <w:rsid w:val="00CB0E5D"/>
    <w:rsid w:val="00CB1255"/>
    <w:rsid w:val="00CB1CBA"/>
    <w:rsid w:val="00CB1EE7"/>
    <w:rsid w:val="00CB20EC"/>
    <w:rsid w:val="00CB28A3"/>
    <w:rsid w:val="00CB31B9"/>
    <w:rsid w:val="00CB35A9"/>
    <w:rsid w:val="00CB3888"/>
    <w:rsid w:val="00CB419C"/>
    <w:rsid w:val="00CB4898"/>
    <w:rsid w:val="00CB4C6B"/>
    <w:rsid w:val="00CB7C98"/>
    <w:rsid w:val="00CC00A0"/>
    <w:rsid w:val="00CC01F4"/>
    <w:rsid w:val="00CC10A5"/>
    <w:rsid w:val="00CC296F"/>
    <w:rsid w:val="00CC2CA2"/>
    <w:rsid w:val="00CC30BE"/>
    <w:rsid w:val="00CC326C"/>
    <w:rsid w:val="00CC4624"/>
    <w:rsid w:val="00CC48A1"/>
    <w:rsid w:val="00CC5251"/>
    <w:rsid w:val="00CC5455"/>
    <w:rsid w:val="00CC59EA"/>
    <w:rsid w:val="00CC6325"/>
    <w:rsid w:val="00CC6B85"/>
    <w:rsid w:val="00CC6BAA"/>
    <w:rsid w:val="00CC6C06"/>
    <w:rsid w:val="00CD0847"/>
    <w:rsid w:val="00CD1D29"/>
    <w:rsid w:val="00CD205E"/>
    <w:rsid w:val="00CD24B1"/>
    <w:rsid w:val="00CD5509"/>
    <w:rsid w:val="00CD55B6"/>
    <w:rsid w:val="00CD58C4"/>
    <w:rsid w:val="00CD59E7"/>
    <w:rsid w:val="00CD5B2A"/>
    <w:rsid w:val="00CD6E5E"/>
    <w:rsid w:val="00CD7C80"/>
    <w:rsid w:val="00CE0372"/>
    <w:rsid w:val="00CE0955"/>
    <w:rsid w:val="00CE1558"/>
    <w:rsid w:val="00CE1693"/>
    <w:rsid w:val="00CE1EB0"/>
    <w:rsid w:val="00CE2D81"/>
    <w:rsid w:val="00CE2DB4"/>
    <w:rsid w:val="00CE3B75"/>
    <w:rsid w:val="00CE3DF2"/>
    <w:rsid w:val="00CE54E7"/>
    <w:rsid w:val="00CE6882"/>
    <w:rsid w:val="00CE7AF5"/>
    <w:rsid w:val="00CF016E"/>
    <w:rsid w:val="00CF0C0F"/>
    <w:rsid w:val="00CF1690"/>
    <w:rsid w:val="00CF1B12"/>
    <w:rsid w:val="00CF1F2A"/>
    <w:rsid w:val="00CF22D2"/>
    <w:rsid w:val="00CF262C"/>
    <w:rsid w:val="00CF28F7"/>
    <w:rsid w:val="00CF2FAD"/>
    <w:rsid w:val="00CF3C34"/>
    <w:rsid w:val="00CF5CE3"/>
    <w:rsid w:val="00CF5F46"/>
    <w:rsid w:val="00CF7412"/>
    <w:rsid w:val="00CF77A9"/>
    <w:rsid w:val="00D001B9"/>
    <w:rsid w:val="00D0033E"/>
    <w:rsid w:val="00D00650"/>
    <w:rsid w:val="00D00F95"/>
    <w:rsid w:val="00D01838"/>
    <w:rsid w:val="00D02232"/>
    <w:rsid w:val="00D023D4"/>
    <w:rsid w:val="00D030F8"/>
    <w:rsid w:val="00D03BC3"/>
    <w:rsid w:val="00D03EA8"/>
    <w:rsid w:val="00D04E58"/>
    <w:rsid w:val="00D0649F"/>
    <w:rsid w:val="00D06682"/>
    <w:rsid w:val="00D067E8"/>
    <w:rsid w:val="00D072BC"/>
    <w:rsid w:val="00D07610"/>
    <w:rsid w:val="00D077B7"/>
    <w:rsid w:val="00D078B5"/>
    <w:rsid w:val="00D07A84"/>
    <w:rsid w:val="00D07B94"/>
    <w:rsid w:val="00D07EAB"/>
    <w:rsid w:val="00D10772"/>
    <w:rsid w:val="00D1362F"/>
    <w:rsid w:val="00D13730"/>
    <w:rsid w:val="00D138DA"/>
    <w:rsid w:val="00D13952"/>
    <w:rsid w:val="00D1440D"/>
    <w:rsid w:val="00D150CC"/>
    <w:rsid w:val="00D1511C"/>
    <w:rsid w:val="00D15C37"/>
    <w:rsid w:val="00D20297"/>
    <w:rsid w:val="00D21DE7"/>
    <w:rsid w:val="00D21E6B"/>
    <w:rsid w:val="00D2250F"/>
    <w:rsid w:val="00D23511"/>
    <w:rsid w:val="00D23634"/>
    <w:rsid w:val="00D236AC"/>
    <w:rsid w:val="00D237A5"/>
    <w:rsid w:val="00D23E98"/>
    <w:rsid w:val="00D24A67"/>
    <w:rsid w:val="00D26194"/>
    <w:rsid w:val="00D26931"/>
    <w:rsid w:val="00D27D76"/>
    <w:rsid w:val="00D305D5"/>
    <w:rsid w:val="00D307D0"/>
    <w:rsid w:val="00D3095C"/>
    <w:rsid w:val="00D32E2C"/>
    <w:rsid w:val="00D334AB"/>
    <w:rsid w:val="00D336A5"/>
    <w:rsid w:val="00D33DA7"/>
    <w:rsid w:val="00D34551"/>
    <w:rsid w:val="00D349C1"/>
    <w:rsid w:val="00D34A44"/>
    <w:rsid w:val="00D35DDA"/>
    <w:rsid w:val="00D37214"/>
    <w:rsid w:val="00D40407"/>
    <w:rsid w:val="00D40779"/>
    <w:rsid w:val="00D43494"/>
    <w:rsid w:val="00D43D76"/>
    <w:rsid w:val="00D44788"/>
    <w:rsid w:val="00D44F8B"/>
    <w:rsid w:val="00D45378"/>
    <w:rsid w:val="00D45400"/>
    <w:rsid w:val="00D4558F"/>
    <w:rsid w:val="00D457D6"/>
    <w:rsid w:val="00D4580A"/>
    <w:rsid w:val="00D45CD4"/>
    <w:rsid w:val="00D463A5"/>
    <w:rsid w:val="00D50365"/>
    <w:rsid w:val="00D507E0"/>
    <w:rsid w:val="00D51BA7"/>
    <w:rsid w:val="00D52DD6"/>
    <w:rsid w:val="00D53C89"/>
    <w:rsid w:val="00D5409D"/>
    <w:rsid w:val="00D542B7"/>
    <w:rsid w:val="00D544D1"/>
    <w:rsid w:val="00D54701"/>
    <w:rsid w:val="00D5527E"/>
    <w:rsid w:val="00D554DC"/>
    <w:rsid w:val="00D5677C"/>
    <w:rsid w:val="00D56B5E"/>
    <w:rsid w:val="00D571B7"/>
    <w:rsid w:val="00D60065"/>
    <w:rsid w:val="00D60094"/>
    <w:rsid w:val="00D600C2"/>
    <w:rsid w:val="00D6100A"/>
    <w:rsid w:val="00D62310"/>
    <w:rsid w:val="00D62DC2"/>
    <w:rsid w:val="00D641DC"/>
    <w:rsid w:val="00D64307"/>
    <w:rsid w:val="00D6490D"/>
    <w:rsid w:val="00D64CE2"/>
    <w:rsid w:val="00D64DA9"/>
    <w:rsid w:val="00D67372"/>
    <w:rsid w:val="00D74C99"/>
    <w:rsid w:val="00D76318"/>
    <w:rsid w:val="00D76A35"/>
    <w:rsid w:val="00D7751B"/>
    <w:rsid w:val="00D7758E"/>
    <w:rsid w:val="00D815DC"/>
    <w:rsid w:val="00D81932"/>
    <w:rsid w:val="00D822B5"/>
    <w:rsid w:val="00D826C8"/>
    <w:rsid w:val="00D826CF"/>
    <w:rsid w:val="00D82C72"/>
    <w:rsid w:val="00D83D15"/>
    <w:rsid w:val="00D83D3C"/>
    <w:rsid w:val="00D85D72"/>
    <w:rsid w:val="00D863F4"/>
    <w:rsid w:val="00D867AE"/>
    <w:rsid w:val="00D86EB7"/>
    <w:rsid w:val="00D87BBB"/>
    <w:rsid w:val="00D87C87"/>
    <w:rsid w:val="00D902E5"/>
    <w:rsid w:val="00D90F3A"/>
    <w:rsid w:val="00D91F48"/>
    <w:rsid w:val="00D921C4"/>
    <w:rsid w:val="00D9296A"/>
    <w:rsid w:val="00D93C23"/>
    <w:rsid w:val="00D93D23"/>
    <w:rsid w:val="00D94435"/>
    <w:rsid w:val="00D955B0"/>
    <w:rsid w:val="00D95638"/>
    <w:rsid w:val="00D9584C"/>
    <w:rsid w:val="00D96C76"/>
    <w:rsid w:val="00D972C2"/>
    <w:rsid w:val="00D97442"/>
    <w:rsid w:val="00DA0721"/>
    <w:rsid w:val="00DA1419"/>
    <w:rsid w:val="00DA14D9"/>
    <w:rsid w:val="00DA3C83"/>
    <w:rsid w:val="00DA3F5A"/>
    <w:rsid w:val="00DA4BDA"/>
    <w:rsid w:val="00DA54C0"/>
    <w:rsid w:val="00DA5605"/>
    <w:rsid w:val="00DB13AD"/>
    <w:rsid w:val="00DB23F9"/>
    <w:rsid w:val="00DB2911"/>
    <w:rsid w:val="00DB3585"/>
    <w:rsid w:val="00DB3868"/>
    <w:rsid w:val="00DB4511"/>
    <w:rsid w:val="00DB4564"/>
    <w:rsid w:val="00DB481E"/>
    <w:rsid w:val="00DB5700"/>
    <w:rsid w:val="00DB58BE"/>
    <w:rsid w:val="00DB6176"/>
    <w:rsid w:val="00DB63D0"/>
    <w:rsid w:val="00DB63DB"/>
    <w:rsid w:val="00DB6AA0"/>
    <w:rsid w:val="00DB6C26"/>
    <w:rsid w:val="00DB7168"/>
    <w:rsid w:val="00DB7176"/>
    <w:rsid w:val="00DB72B4"/>
    <w:rsid w:val="00DB7C3A"/>
    <w:rsid w:val="00DC019D"/>
    <w:rsid w:val="00DC0EEA"/>
    <w:rsid w:val="00DC12F5"/>
    <w:rsid w:val="00DC3879"/>
    <w:rsid w:val="00DC3C9D"/>
    <w:rsid w:val="00DC50D2"/>
    <w:rsid w:val="00DC517B"/>
    <w:rsid w:val="00DC79D7"/>
    <w:rsid w:val="00DC7DD8"/>
    <w:rsid w:val="00DD12E6"/>
    <w:rsid w:val="00DD256B"/>
    <w:rsid w:val="00DD32AB"/>
    <w:rsid w:val="00DD33AE"/>
    <w:rsid w:val="00DD5216"/>
    <w:rsid w:val="00DD5571"/>
    <w:rsid w:val="00DD565B"/>
    <w:rsid w:val="00DD59DA"/>
    <w:rsid w:val="00DD5B47"/>
    <w:rsid w:val="00DD5BF6"/>
    <w:rsid w:val="00DD7A09"/>
    <w:rsid w:val="00DE039F"/>
    <w:rsid w:val="00DE0D2F"/>
    <w:rsid w:val="00DE10F4"/>
    <w:rsid w:val="00DE1865"/>
    <w:rsid w:val="00DE4285"/>
    <w:rsid w:val="00DE44EB"/>
    <w:rsid w:val="00DE5649"/>
    <w:rsid w:val="00DE5DC1"/>
    <w:rsid w:val="00DE63AE"/>
    <w:rsid w:val="00DE6BCA"/>
    <w:rsid w:val="00DE6CEF"/>
    <w:rsid w:val="00DE706F"/>
    <w:rsid w:val="00DE7C1C"/>
    <w:rsid w:val="00DE7F50"/>
    <w:rsid w:val="00DE7F7F"/>
    <w:rsid w:val="00DF0557"/>
    <w:rsid w:val="00DF11C2"/>
    <w:rsid w:val="00DF22E1"/>
    <w:rsid w:val="00DF335C"/>
    <w:rsid w:val="00DF42DA"/>
    <w:rsid w:val="00DF4419"/>
    <w:rsid w:val="00DF4560"/>
    <w:rsid w:val="00DF4593"/>
    <w:rsid w:val="00DF529B"/>
    <w:rsid w:val="00DF5812"/>
    <w:rsid w:val="00DF5B54"/>
    <w:rsid w:val="00DF5B62"/>
    <w:rsid w:val="00DF5F38"/>
    <w:rsid w:val="00DF6186"/>
    <w:rsid w:val="00DF706A"/>
    <w:rsid w:val="00DF775A"/>
    <w:rsid w:val="00DF7C41"/>
    <w:rsid w:val="00DF7FC5"/>
    <w:rsid w:val="00E006D3"/>
    <w:rsid w:val="00E028BA"/>
    <w:rsid w:val="00E04D94"/>
    <w:rsid w:val="00E04F4D"/>
    <w:rsid w:val="00E06410"/>
    <w:rsid w:val="00E06A1B"/>
    <w:rsid w:val="00E10202"/>
    <w:rsid w:val="00E10967"/>
    <w:rsid w:val="00E10D05"/>
    <w:rsid w:val="00E10FDB"/>
    <w:rsid w:val="00E1239E"/>
    <w:rsid w:val="00E13F84"/>
    <w:rsid w:val="00E14698"/>
    <w:rsid w:val="00E148FA"/>
    <w:rsid w:val="00E14CB0"/>
    <w:rsid w:val="00E14D14"/>
    <w:rsid w:val="00E16FF0"/>
    <w:rsid w:val="00E20435"/>
    <w:rsid w:val="00E20BEC"/>
    <w:rsid w:val="00E21C0A"/>
    <w:rsid w:val="00E2223E"/>
    <w:rsid w:val="00E22C40"/>
    <w:rsid w:val="00E22D98"/>
    <w:rsid w:val="00E23847"/>
    <w:rsid w:val="00E23B85"/>
    <w:rsid w:val="00E244F9"/>
    <w:rsid w:val="00E24623"/>
    <w:rsid w:val="00E252E3"/>
    <w:rsid w:val="00E25E10"/>
    <w:rsid w:val="00E27028"/>
    <w:rsid w:val="00E272F9"/>
    <w:rsid w:val="00E30730"/>
    <w:rsid w:val="00E311A7"/>
    <w:rsid w:val="00E32A80"/>
    <w:rsid w:val="00E33A79"/>
    <w:rsid w:val="00E34C80"/>
    <w:rsid w:val="00E35332"/>
    <w:rsid w:val="00E35758"/>
    <w:rsid w:val="00E36336"/>
    <w:rsid w:val="00E36E60"/>
    <w:rsid w:val="00E379E1"/>
    <w:rsid w:val="00E40505"/>
    <w:rsid w:val="00E4092C"/>
    <w:rsid w:val="00E4138C"/>
    <w:rsid w:val="00E4164C"/>
    <w:rsid w:val="00E41FDB"/>
    <w:rsid w:val="00E42684"/>
    <w:rsid w:val="00E426ED"/>
    <w:rsid w:val="00E42A41"/>
    <w:rsid w:val="00E42F83"/>
    <w:rsid w:val="00E43F0E"/>
    <w:rsid w:val="00E4431C"/>
    <w:rsid w:val="00E4467D"/>
    <w:rsid w:val="00E4534D"/>
    <w:rsid w:val="00E45766"/>
    <w:rsid w:val="00E4602C"/>
    <w:rsid w:val="00E46038"/>
    <w:rsid w:val="00E46D1B"/>
    <w:rsid w:val="00E47948"/>
    <w:rsid w:val="00E505A4"/>
    <w:rsid w:val="00E5080A"/>
    <w:rsid w:val="00E519ED"/>
    <w:rsid w:val="00E51C29"/>
    <w:rsid w:val="00E53D53"/>
    <w:rsid w:val="00E54658"/>
    <w:rsid w:val="00E54BFB"/>
    <w:rsid w:val="00E56122"/>
    <w:rsid w:val="00E5629D"/>
    <w:rsid w:val="00E567E5"/>
    <w:rsid w:val="00E5760C"/>
    <w:rsid w:val="00E579BB"/>
    <w:rsid w:val="00E57FD1"/>
    <w:rsid w:val="00E61ABB"/>
    <w:rsid w:val="00E62865"/>
    <w:rsid w:val="00E638AB"/>
    <w:rsid w:val="00E656A3"/>
    <w:rsid w:val="00E65FD1"/>
    <w:rsid w:val="00E6708B"/>
    <w:rsid w:val="00E6722C"/>
    <w:rsid w:val="00E71B43"/>
    <w:rsid w:val="00E723A3"/>
    <w:rsid w:val="00E72B8C"/>
    <w:rsid w:val="00E73A8C"/>
    <w:rsid w:val="00E74293"/>
    <w:rsid w:val="00E74369"/>
    <w:rsid w:val="00E744D6"/>
    <w:rsid w:val="00E74C1B"/>
    <w:rsid w:val="00E75050"/>
    <w:rsid w:val="00E75CF1"/>
    <w:rsid w:val="00E760FC"/>
    <w:rsid w:val="00E769F1"/>
    <w:rsid w:val="00E76F42"/>
    <w:rsid w:val="00E808C4"/>
    <w:rsid w:val="00E80D25"/>
    <w:rsid w:val="00E81260"/>
    <w:rsid w:val="00E81641"/>
    <w:rsid w:val="00E83AB2"/>
    <w:rsid w:val="00E83D12"/>
    <w:rsid w:val="00E85387"/>
    <w:rsid w:val="00E858A7"/>
    <w:rsid w:val="00E858F2"/>
    <w:rsid w:val="00E86F56"/>
    <w:rsid w:val="00E8741B"/>
    <w:rsid w:val="00E87B25"/>
    <w:rsid w:val="00E915E6"/>
    <w:rsid w:val="00E92164"/>
    <w:rsid w:val="00E921D2"/>
    <w:rsid w:val="00E93C37"/>
    <w:rsid w:val="00E9485F"/>
    <w:rsid w:val="00E949F4"/>
    <w:rsid w:val="00E94C40"/>
    <w:rsid w:val="00E95635"/>
    <w:rsid w:val="00E9688D"/>
    <w:rsid w:val="00E96D19"/>
    <w:rsid w:val="00E96FA3"/>
    <w:rsid w:val="00E97C0D"/>
    <w:rsid w:val="00EA0351"/>
    <w:rsid w:val="00EA041C"/>
    <w:rsid w:val="00EA0C70"/>
    <w:rsid w:val="00EA1166"/>
    <w:rsid w:val="00EA22AB"/>
    <w:rsid w:val="00EA28B3"/>
    <w:rsid w:val="00EA2BC1"/>
    <w:rsid w:val="00EA35DF"/>
    <w:rsid w:val="00EA3E11"/>
    <w:rsid w:val="00EA4506"/>
    <w:rsid w:val="00EA46D6"/>
    <w:rsid w:val="00EA6098"/>
    <w:rsid w:val="00EA6A06"/>
    <w:rsid w:val="00EA6EB3"/>
    <w:rsid w:val="00EB03AB"/>
    <w:rsid w:val="00EB066B"/>
    <w:rsid w:val="00EB09E7"/>
    <w:rsid w:val="00EB13A6"/>
    <w:rsid w:val="00EB2060"/>
    <w:rsid w:val="00EB2AF4"/>
    <w:rsid w:val="00EB2CBC"/>
    <w:rsid w:val="00EB45E5"/>
    <w:rsid w:val="00EB4A8E"/>
    <w:rsid w:val="00EB5878"/>
    <w:rsid w:val="00EB5B49"/>
    <w:rsid w:val="00EB5EF3"/>
    <w:rsid w:val="00EB62C2"/>
    <w:rsid w:val="00EB695D"/>
    <w:rsid w:val="00EC1C97"/>
    <w:rsid w:val="00EC2108"/>
    <w:rsid w:val="00EC3FB5"/>
    <w:rsid w:val="00EC4ADC"/>
    <w:rsid w:val="00EC5F3F"/>
    <w:rsid w:val="00EC68F2"/>
    <w:rsid w:val="00EC6960"/>
    <w:rsid w:val="00EC6C00"/>
    <w:rsid w:val="00EC77D1"/>
    <w:rsid w:val="00ED0027"/>
    <w:rsid w:val="00ED11DC"/>
    <w:rsid w:val="00ED1974"/>
    <w:rsid w:val="00ED1DE8"/>
    <w:rsid w:val="00ED279A"/>
    <w:rsid w:val="00ED2CAE"/>
    <w:rsid w:val="00ED2D06"/>
    <w:rsid w:val="00ED39CE"/>
    <w:rsid w:val="00ED4134"/>
    <w:rsid w:val="00ED467A"/>
    <w:rsid w:val="00ED5222"/>
    <w:rsid w:val="00ED5A23"/>
    <w:rsid w:val="00ED5D79"/>
    <w:rsid w:val="00ED615A"/>
    <w:rsid w:val="00ED7761"/>
    <w:rsid w:val="00EE05F1"/>
    <w:rsid w:val="00EE2A6D"/>
    <w:rsid w:val="00EE34DC"/>
    <w:rsid w:val="00EE416F"/>
    <w:rsid w:val="00EE471A"/>
    <w:rsid w:val="00EE5173"/>
    <w:rsid w:val="00EE5492"/>
    <w:rsid w:val="00EE6DCC"/>
    <w:rsid w:val="00EF1F94"/>
    <w:rsid w:val="00EF240E"/>
    <w:rsid w:val="00EF3DDB"/>
    <w:rsid w:val="00EF47CB"/>
    <w:rsid w:val="00EF4BE6"/>
    <w:rsid w:val="00EF4D1B"/>
    <w:rsid w:val="00EF5676"/>
    <w:rsid w:val="00EF7AC5"/>
    <w:rsid w:val="00F0057C"/>
    <w:rsid w:val="00F006B2"/>
    <w:rsid w:val="00F017C1"/>
    <w:rsid w:val="00F01840"/>
    <w:rsid w:val="00F01962"/>
    <w:rsid w:val="00F026D2"/>
    <w:rsid w:val="00F028E0"/>
    <w:rsid w:val="00F036F8"/>
    <w:rsid w:val="00F04F3A"/>
    <w:rsid w:val="00F05011"/>
    <w:rsid w:val="00F058EF"/>
    <w:rsid w:val="00F05987"/>
    <w:rsid w:val="00F06660"/>
    <w:rsid w:val="00F07BD5"/>
    <w:rsid w:val="00F10357"/>
    <w:rsid w:val="00F11007"/>
    <w:rsid w:val="00F11329"/>
    <w:rsid w:val="00F122D6"/>
    <w:rsid w:val="00F12B53"/>
    <w:rsid w:val="00F13448"/>
    <w:rsid w:val="00F13F77"/>
    <w:rsid w:val="00F15BF4"/>
    <w:rsid w:val="00F15DBA"/>
    <w:rsid w:val="00F16CD9"/>
    <w:rsid w:val="00F17940"/>
    <w:rsid w:val="00F2046C"/>
    <w:rsid w:val="00F20647"/>
    <w:rsid w:val="00F20F97"/>
    <w:rsid w:val="00F21F41"/>
    <w:rsid w:val="00F2303C"/>
    <w:rsid w:val="00F25AFA"/>
    <w:rsid w:val="00F26CFC"/>
    <w:rsid w:val="00F27164"/>
    <w:rsid w:val="00F303DC"/>
    <w:rsid w:val="00F30B29"/>
    <w:rsid w:val="00F30E7C"/>
    <w:rsid w:val="00F310C9"/>
    <w:rsid w:val="00F31392"/>
    <w:rsid w:val="00F32BA9"/>
    <w:rsid w:val="00F33957"/>
    <w:rsid w:val="00F34042"/>
    <w:rsid w:val="00F348B5"/>
    <w:rsid w:val="00F35F0B"/>
    <w:rsid w:val="00F3652B"/>
    <w:rsid w:val="00F36C64"/>
    <w:rsid w:val="00F377B9"/>
    <w:rsid w:val="00F406C2"/>
    <w:rsid w:val="00F41360"/>
    <w:rsid w:val="00F418DE"/>
    <w:rsid w:val="00F419AC"/>
    <w:rsid w:val="00F4261A"/>
    <w:rsid w:val="00F42BC6"/>
    <w:rsid w:val="00F43386"/>
    <w:rsid w:val="00F43CC2"/>
    <w:rsid w:val="00F44D85"/>
    <w:rsid w:val="00F45442"/>
    <w:rsid w:val="00F4599A"/>
    <w:rsid w:val="00F45ACC"/>
    <w:rsid w:val="00F4630B"/>
    <w:rsid w:val="00F467B5"/>
    <w:rsid w:val="00F47612"/>
    <w:rsid w:val="00F47F1F"/>
    <w:rsid w:val="00F50F90"/>
    <w:rsid w:val="00F5145E"/>
    <w:rsid w:val="00F52063"/>
    <w:rsid w:val="00F52080"/>
    <w:rsid w:val="00F521A4"/>
    <w:rsid w:val="00F529E4"/>
    <w:rsid w:val="00F52B1D"/>
    <w:rsid w:val="00F53848"/>
    <w:rsid w:val="00F53CF2"/>
    <w:rsid w:val="00F5411F"/>
    <w:rsid w:val="00F54399"/>
    <w:rsid w:val="00F558EA"/>
    <w:rsid w:val="00F56113"/>
    <w:rsid w:val="00F57A35"/>
    <w:rsid w:val="00F613CB"/>
    <w:rsid w:val="00F61F79"/>
    <w:rsid w:val="00F61FAB"/>
    <w:rsid w:val="00F62F9F"/>
    <w:rsid w:val="00F63342"/>
    <w:rsid w:val="00F63865"/>
    <w:rsid w:val="00F64DA6"/>
    <w:rsid w:val="00F652BF"/>
    <w:rsid w:val="00F656A4"/>
    <w:rsid w:val="00F6665E"/>
    <w:rsid w:val="00F66BF3"/>
    <w:rsid w:val="00F66F2E"/>
    <w:rsid w:val="00F67F25"/>
    <w:rsid w:val="00F7075F"/>
    <w:rsid w:val="00F713B1"/>
    <w:rsid w:val="00F71898"/>
    <w:rsid w:val="00F71B5A"/>
    <w:rsid w:val="00F71D76"/>
    <w:rsid w:val="00F7248E"/>
    <w:rsid w:val="00F72F76"/>
    <w:rsid w:val="00F73236"/>
    <w:rsid w:val="00F7602B"/>
    <w:rsid w:val="00F764D5"/>
    <w:rsid w:val="00F76CFE"/>
    <w:rsid w:val="00F77347"/>
    <w:rsid w:val="00F77639"/>
    <w:rsid w:val="00F77F6A"/>
    <w:rsid w:val="00F80885"/>
    <w:rsid w:val="00F80DF7"/>
    <w:rsid w:val="00F81871"/>
    <w:rsid w:val="00F81D61"/>
    <w:rsid w:val="00F82869"/>
    <w:rsid w:val="00F8349F"/>
    <w:rsid w:val="00F839FF"/>
    <w:rsid w:val="00F83FB7"/>
    <w:rsid w:val="00F8545A"/>
    <w:rsid w:val="00F85935"/>
    <w:rsid w:val="00F85D29"/>
    <w:rsid w:val="00F87542"/>
    <w:rsid w:val="00F87B0D"/>
    <w:rsid w:val="00F91027"/>
    <w:rsid w:val="00F91453"/>
    <w:rsid w:val="00F91751"/>
    <w:rsid w:val="00F920D7"/>
    <w:rsid w:val="00F92328"/>
    <w:rsid w:val="00F92CBA"/>
    <w:rsid w:val="00F94169"/>
    <w:rsid w:val="00F94FD2"/>
    <w:rsid w:val="00F95945"/>
    <w:rsid w:val="00F969D3"/>
    <w:rsid w:val="00F974B5"/>
    <w:rsid w:val="00FA079A"/>
    <w:rsid w:val="00FA190E"/>
    <w:rsid w:val="00FA2096"/>
    <w:rsid w:val="00FA3007"/>
    <w:rsid w:val="00FA34EB"/>
    <w:rsid w:val="00FA4EF7"/>
    <w:rsid w:val="00FA54D8"/>
    <w:rsid w:val="00FA5E94"/>
    <w:rsid w:val="00FA5FBE"/>
    <w:rsid w:val="00FA74B7"/>
    <w:rsid w:val="00FA764E"/>
    <w:rsid w:val="00FA7EF4"/>
    <w:rsid w:val="00FB00E8"/>
    <w:rsid w:val="00FB07F3"/>
    <w:rsid w:val="00FB0BD8"/>
    <w:rsid w:val="00FB1A44"/>
    <w:rsid w:val="00FB1AF2"/>
    <w:rsid w:val="00FB2318"/>
    <w:rsid w:val="00FB2969"/>
    <w:rsid w:val="00FB401F"/>
    <w:rsid w:val="00FB65FE"/>
    <w:rsid w:val="00FB7481"/>
    <w:rsid w:val="00FC0843"/>
    <w:rsid w:val="00FC12DF"/>
    <w:rsid w:val="00FC1DB4"/>
    <w:rsid w:val="00FC3C41"/>
    <w:rsid w:val="00FC4FB7"/>
    <w:rsid w:val="00FC682C"/>
    <w:rsid w:val="00FC6DD3"/>
    <w:rsid w:val="00FC75E0"/>
    <w:rsid w:val="00FC7D1C"/>
    <w:rsid w:val="00FD0069"/>
    <w:rsid w:val="00FD23EC"/>
    <w:rsid w:val="00FD2AAA"/>
    <w:rsid w:val="00FD357B"/>
    <w:rsid w:val="00FD38FC"/>
    <w:rsid w:val="00FD3F99"/>
    <w:rsid w:val="00FD6119"/>
    <w:rsid w:val="00FD6542"/>
    <w:rsid w:val="00FD688E"/>
    <w:rsid w:val="00FD6DDE"/>
    <w:rsid w:val="00FD7346"/>
    <w:rsid w:val="00FD7C0C"/>
    <w:rsid w:val="00FE0012"/>
    <w:rsid w:val="00FE045C"/>
    <w:rsid w:val="00FE0ADF"/>
    <w:rsid w:val="00FE0C52"/>
    <w:rsid w:val="00FE1692"/>
    <w:rsid w:val="00FE17C6"/>
    <w:rsid w:val="00FE1D35"/>
    <w:rsid w:val="00FE20DE"/>
    <w:rsid w:val="00FE643A"/>
    <w:rsid w:val="00FE69A8"/>
    <w:rsid w:val="00FE7AAC"/>
    <w:rsid w:val="00FF0566"/>
    <w:rsid w:val="00FF0619"/>
    <w:rsid w:val="00FF0F0E"/>
    <w:rsid w:val="00FF2EA0"/>
    <w:rsid w:val="00FF36E9"/>
    <w:rsid w:val="00FF3CB6"/>
    <w:rsid w:val="00FF4063"/>
    <w:rsid w:val="00FF4C88"/>
    <w:rsid w:val="00FF53FD"/>
    <w:rsid w:val="00FF6218"/>
    <w:rsid w:val="00FF678A"/>
    <w:rsid w:val="00FF6B51"/>
    <w:rsid w:val="00FF7806"/>
    <w:rsid w:val="00FF7BEF"/>
  </w:rsids>
  <m:mathPr>
    <m:mathFont m:val="Cambria Math"/>
    <m:brkBin m:val="before"/>
    <m:brkBinSub m:val="--"/>
    <m:smallFrac m:val="0"/>
    <m:dispDef/>
    <m:lMargin m:val="0"/>
    <m:rMargin m:val="0"/>
    <m:defJc m:val="centerGroup"/>
    <m:wrapIndent m:val="1440"/>
    <m:intLim m:val="subSup"/>
    <m:naryLim m:val="undOvr"/>
  </m:mathPr>
  <w:attachedSchema w:val="ActionsPane"/>
  <w:attachedSchema w:val="ActionsPane3"/>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C046C2"/>
  </w:style>
  <w:style w:type="paragraph" w:styleId="Heading1">
    <w:name w:val="heading 1"/>
    <w:basedOn w:val="Normal"/>
    <w:next w:val="BodyText"/>
    <w:link w:val="Heading1Char"/>
    <w:qFormat/>
    <w:rsid w:val="00C046C2"/>
    <w:pPr>
      <w:keepNext/>
      <w:keepLines/>
      <w:numPr>
        <w:numId w:val="14"/>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C046C2"/>
    <w:pPr>
      <w:keepNext/>
      <w:keepLines/>
      <w:numPr>
        <w:ilvl w:val="1"/>
        <w:numId w:val="14"/>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C046C2"/>
    <w:pPr>
      <w:keepNext/>
      <w:keepLines/>
      <w:tabs>
        <w:tab w:val="left" w:pos="1418"/>
        <w:tab w:val="left" w:pos="1701"/>
        <w:tab w:val="left" w:pos="1985"/>
      </w:tabs>
      <w:spacing w:before="470" w:after="227"/>
      <w:ind w:left="765" w:hanging="765"/>
      <w:outlineLvl w:val="2"/>
    </w:pPr>
    <w:rPr>
      <w:b/>
      <w:color w:val="2B3B5F" w:themeColor="text2"/>
      <w:sz w:val="28"/>
    </w:rPr>
  </w:style>
  <w:style w:type="paragraph" w:styleId="Heading4">
    <w:name w:val="heading 4"/>
    <w:basedOn w:val="Normal"/>
    <w:next w:val="BodyText"/>
    <w:link w:val="Heading4Char"/>
    <w:qFormat/>
    <w:rsid w:val="00C046C2"/>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C046C2"/>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C046C2"/>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2"/>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2"/>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C046C2"/>
    <w:pPr>
      <w:spacing w:before="113" w:after="113"/>
    </w:pPr>
    <w:rPr>
      <w:rFonts w:cs="Times New Roman"/>
      <w:spacing w:val="-1"/>
    </w:rPr>
  </w:style>
  <w:style w:type="character" w:customStyle="1" w:styleId="BodyTextChar">
    <w:name w:val="Body Text Char"/>
    <w:basedOn w:val="DefaultParagraphFont"/>
    <w:link w:val="BodyText"/>
    <w:rsid w:val="00C046C2"/>
    <w:rPr>
      <w:rFonts w:cs="Times New Roman"/>
      <w:spacing w:val="-1"/>
    </w:rPr>
  </w:style>
  <w:style w:type="paragraph" w:customStyle="1" w:styleId="BodyText17ptAbove">
    <w:name w:val="Body Text 17pt Above"/>
    <w:basedOn w:val="BodyText"/>
    <w:next w:val="BodyText"/>
    <w:qFormat/>
    <w:rsid w:val="00C046C2"/>
    <w:pPr>
      <w:spacing w:before="340"/>
    </w:pPr>
  </w:style>
  <w:style w:type="character" w:customStyle="1" w:styleId="Heading1Char">
    <w:name w:val="Heading 1 Char"/>
    <w:basedOn w:val="DefaultParagraphFont"/>
    <w:link w:val="Heading1"/>
    <w:rsid w:val="00C046C2"/>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C046C2"/>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C046C2"/>
    <w:rPr>
      <w:b/>
      <w:color w:val="2B3B5F" w:themeColor="text2"/>
      <w:sz w:val="28"/>
    </w:rPr>
  </w:style>
  <w:style w:type="character" w:customStyle="1" w:styleId="Heading4Char">
    <w:name w:val="Heading 4 Char"/>
    <w:basedOn w:val="DefaultParagraphFont"/>
    <w:link w:val="Heading4"/>
    <w:rsid w:val="00C046C2"/>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C046C2"/>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C046C2"/>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2"/>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2"/>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link w:val="CaptionChar"/>
    <w:qFormat/>
    <w:rsid w:val="00C046C2"/>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C046C2"/>
    <w:pPr>
      <w:spacing w:before="120" w:after="420"/>
    </w:pPr>
    <w:rPr>
      <w:i/>
      <w:color w:val="2B3B5F" w:themeColor="text2"/>
      <w:spacing w:val="-1"/>
    </w:rPr>
  </w:style>
  <w:style w:type="paragraph" w:customStyle="1" w:styleId="Introduction">
    <w:name w:val="Introduction"/>
    <w:basedOn w:val="Normal"/>
    <w:next w:val="BodyText"/>
    <w:qFormat/>
    <w:rsid w:val="00C046C2"/>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C046C2"/>
    <w:pPr>
      <w:keepLines/>
      <w:numPr>
        <w:numId w:val="15"/>
      </w:numPr>
      <w:spacing w:after="113"/>
    </w:pPr>
    <w:rPr>
      <w:spacing w:val="-1"/>
    </w:rPr>
  </w:style>
  <w:style w:type="paragraph" w:styleId="ListBullet2">
    <w:name w:val="List Bullet 2"/>
    <w:basedOn w:val="ListBullet"/>
    <w:unhideWhenUsed/>
    <w:qFormat/>
    <w:rsid w:val="00C046C2"/>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C046C2"/>
    <w:pPr>
      <w:spacing w:before="220" w:after="220"/>
      <w:ind w:left="340"/>
    </w:pPr>
  </w:style>
  <w:style w:type="paragraph" w:styleId="ListContinue2">
    <w:name w:val="List Continue 2"/>
    <w:basedOn w:val="Normal"/>
    <w:semiHidden/>
    <w:qFormat/>
    <w:rsid w:val="00C046C2"/>
    <w:pPr>
      <w:spacing w:before="220" w:after="220"/>
      <w:ind w:left="680"/>
    </w:pPr>
  </w:style>
  <w:style w:type="paragraph" w:styleId="ListNumber">
    <w:name w:val="List Number"/>
    <w:basedOn w:val="Normal"/>
    <w:qFormat/>
    <w:rsid w:val="00C046C2"/>
    <w:pPr>
      <w:numPr>
        <w:numId w:val="16"/>
      </w:numPr>
      <w:spacing w:before="113" w:after="113"/>
    </w:pPr>
    <w:rPr>
      <w:spacing w:val="-1"/>
    </w:rPr>
  </w:style>
  <w:style w:type="paragraph" w:styleId="ListNumber2">
    <w:name w:val="List Number 2"/>
    <w:basedOn w:val="Normal"/>
    <w:qFormat/>
    <w:rsid w:val="00C046C2"/>
    <w:pPr>
      <w:numPr>
        <w:ilvl w:val="1"/>
        <w:numId w:val="16"/>
      </w:numPr>
      <w:spacing w:before="113" w:after="113"/>
    </w:pPr>
    <w:rPr>
      <w:spacing w:val="-1"/>
    </w:rPr>
  </w:style>
  <w:style w:type="paragraph" w:styleId="ListNumber3">
    <w:name w:val="List Number 3"/>
    <w:basedOn w:val="Normal"/>
    <w:qFormat/>
    <w:rsid w:val="00C046C2"/>
    <w:pPr>
      <w:numPr>
        <w:ilvl w:val="2"/>
        <w:numId w:val="16"/>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C046C2"/>
    <w:pPr>
      <w:spacing w:before="113" w:after="113"/>
      <w:ind w:left="227" w:right="170"/>
    </w:pPr>
    <w:rPr>
      <w:spacing w:val="-1"/>
    </w:rPr>
  </w:style>
  <w:style w:type="paragraph" w:customStyle="1" w:styleId="PullOutBoxBullet">
    <w:name w:val="Pull Out Box Bullet"/>
    <w:basedOn w:val="PullOutBoxBodyText"/>
    <w:qFormat/>
    <w:rsid w:val="00C046C2"/>
    <w:pPr>
      <w:numPr>
        <w:numId w:val="17"/>
      </w:numPr>
    </w:pPr>
  </w:style>
  <w:style w:type="paragraph" w:customStyle="1" w:styleId="PullOutBoxBullet2">
    <w:name w:val="Pull Out Box Bullet 2"/>
    <w:basedOn w:val="PullOutBoxBodyText"/>
    <w:qFormat/>
    <w:rsid w:val="00C046C2"/>
    <w:pPr>
      <w:numPr>
        <w:ilvl w:val="1"/>
        <w:numId w:val="17"/>
      </w:numPr>
    </w:pPr>
  </w:style>
  <w:style w:type="paragraph" w:customStyle="1" w:styleId="PullOutBoxBullet3">
    <w:name w:val="Pull Out Box Bullet 3"/>
    <w:basedOn w:val="PullOutBoxBodyText"/>
    <w:qFormat/>
    <w:rsid w:val="00C046C2"/>
    <w:pPr>
      <w:numPr>
        <w:ilvl w:val="2"/>
        <w:numId w:val="17"/>
      </w:numPr>
    </w:pPr>
  </w:style>
  <w:style w:type="paragraph" w:customStyle="1" w:styleId="PullOutBoxHeading">
    <w:name w:val="Pull Out Box Heading"/>
    <w:basedOn w:val="PullOutBoxBodyText"/>
    <w:qFormat/>
    <w:rsid w:val="00187D0A"/>
    <w:pPr>
      <w:keepNext/>
      <w:keepLines/>
      <w:spacing w:before="114" w:after="114" w:line="360" w:lineRule="atLeast"/>
    </w:pPr>
    <w:rPr>
      <w:rFonts w:eastAsia="Times New Roman" w:cs="Arial"/>
      <w:b/>
      <w:color w:val="2B3B5F" w:themeColor="text2"/>
      <w:sz w:val="24"/>
      <w:szCs w:val="24"/>
      <w:lang w:eastAsia="en-AU"/>
    </w:rPr>
  </w:style>
  <w:style w:type="paragraph" w:customStyle="1" w:styleId="PullOutBoxNumber">
    <w:name w:val="Pull Out Box Number"/>
    <w:basedOn w:val="PullOutBoxBodyText"/>
    <w:uiPriority w:val="99"/>
    <w:qFormat/>
    <w:rsid w:val="00C046C2"/>
    <w:pPr>
      <w:numPr>
        <w:numId w:val="18"/>
      </w:numPr>
    </w:pPr>
  </w:style>
  <w:style w:type="paragraph" w:customStyle="1" w:styleId="PullOutBoxNumber2">
    <w:name w:val="Pull Out Box Number 2"/>
    <w:basedOn w:val="PullOutBoxBodyText"/>
    <w:uiPriority w:val="99"/>
    <w:qFormat/>
    <w:rsid w:val="00C046C2"/>
    <w:pPr>
      <w:numPr>
        <w:ilvl w:val="1"/>
        <w:numId w:val="18"/>
      </w:numPr>
    </w:pPr>
  </w:style>
  <w:style w:type="paragraph" w:customStyle="1" w:styleId="PullOutBoxNumber3">
    <w:name w:val="Pull Out Box Number 3"/>
    <w:basedOn w:val="PullOutBoxBodyText"/>
    <w:uiPriority w:val="99"/>
    <w:qFormat/>
    <w:rsid w:val="00C046C2"/>
    <w:pPr>
      <w:numPr>
        <w:ilvl w:val="2"/>
        <w:numId w:val="18"/>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C046C2"/>
    <w:pPr>
      <w:tabs>
        <w:tab w:val="left" w:pos="1134"/>
      </w:tabs>
      <w:spacing w:before="240" w:after="240"/>
      <w:ind w:left="284"/>
    </w:pPr>
    <w:rPr>
      <w:i/>
      <w:iCs/>
    </w:rPr>
  </w:style>
  <w:style w:type="character" w:customStyle="1" w:styleId="QuoteChar">
    <w:name w:val="Quote Char"/>
    <w:basedOn w:val="DefaultParagraphFont"/>
    <w:link w:val="Quote"/>
    <w:rsid w:val="00C046C2"/>
    <w:rPr>
      <w:i/>
      <w:iCs/>
    </w:rPr>
  </w:style>
  <w:style w:type="paragraph" w:customStyle="1" w:styleId="QuoteBullet">
    <w:name w:val="Quote Bullet"/>
    <w:basedOn w:val="Quote"/>
    <w:qFormat/>
    <w:rsid w:val="00C046C2"/>
    <w:pPr>
      <w:numPr>
        <w:numId w:val="19"/>
      </w:numPr>
    </w:pPr>
  </w:style>
  <w:style w:type="paragraph" w:customStyle="1" w:styleId="QuoteBullet2">
    <w:name w:val="Quote Bullet 2"/>
    <w:basedOn w:val="Quote"/>
    <w:qFormat/>
    <w:rsid w:val="00C046C2"/>
    <w:pPr>
      <w:numPr>
        <w:ilvl w:val="1"/>
        <w:numId w:val="19"/>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4"/>
      </w:numPr>
      <w:spacing w:after="50"/>
    </w:pPr>
    <w:rPr>
      <w:color w:val="788184" w:themeColor="background2"/>
      <w:sz w:val="20"/>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C046C2"/>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C046C2"/>
    <w:pPr>
      <w:jc w:val="center"/>
    </w:pPr>
    <w:rPr>
      <w:color w:val="auto"/>
    </w:rPr>
  </w:style>
  <w:style w:type="paragraph" w:customStyle="1" w:styleId="TableHeadingRight">
    <w:name w:val="Table Heading Right"/>
    <w:basedOn w:val="TableHeading"/>
    <w:qFormat/>
    <w:rsid w:val="00C046C2"/>
    <w:pPr>
      <w:jc w:val="right"/>
    </w:pPr>
  </w:style>
  <w:style w:type="paragraph" w:customStyle="1" w:styleId="Source">
    <w:name w:val="Source"/>
    <w:basedOn w:val="Normal"/>
    <w:next w:val="BodyText17ptAbove"/>
    <w:link w:val="SourceChar"/>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C046C2"/>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C046C2"/>
    <w:rPr>
      <w:b/>
    </w:rPr>
  </w:style>
  <w:style w:type="paragraph" w:customStyle="1" w:styleId="TableTextBullet">
    <w:name w:val="Table Text Bullet"/>
    <w:basedOn w:val="TableText"/>
    <w:rsid w:val="00961DBB"/>
    <w:pPr>
      <w:numPr>
        <w:numId w:val="20"/>
      </w:numPr>
    </w:pPr>
  </w:style>
  <w:style w:type="paragraph" w:customStyle="1" w:styleId="TableTextBullet2">
    <w:name w:val="Table Text Bullet 2"/>
    <w:basedOn w:val="TableTextBullet"/>
    <w:qFormat/>
    <w:rsid w:val="00C046C2"/>
    <w:pPr>
      <w:numPr>
        <w:ilvl w:val="1"/>
      </w:numPr>
    </w:pPr>
    <w:rPr>
      <w:bCs/>
    </w:rPr>
  </w:style>
  <w:style w:type="paragraph" w:customStyle="1" w:styleId="TableTextBullet3">
    <w:name w:val="Table Text Bullet 3"/>
    <w:basedOn w:val="TableTextBullet2"/>
    <w:qFormat/>
    <w:rsid w:val="00C046C2"/>
    <w:pPr>
      <w:numPr>
        <w:ilvl w:val="2"/>
      </w:numPr>
    </w:pPr>
    <w:rPr>
      <w:bCs w:val="0"/>
    </w:rPr>
  </w:style>
  <w:style w:type="paragraph" w:customStyle="1" w:styleId="TableTextNumber">
    <w:name w:val="Table Text Number"/>
    <w:basedOn w:val="TableText"/>
    <w:qFormat/>
    <w:rsid w:val="00C046C2"/>
    <w:pPr>
      <w:numPr>
        <w:numId w:val="21"/>
      </w:numPr>
    </w:pPr>
  </w:style>
  <w:style w:type="paragraph" w:customStyle="1" w:styleId="TableTextNumber2">
    <w:name w:val="Table Text Number 2"/>
    <w:basedOn w:val="TableTextNumber"/>
    <w:qFormat/>
    <w:rsid w:val="00C046C2"/>
    <w:pPr>
      <w:numPr>
        <w:ilvl w:val="1"/>
      </w:numPr>
    </w:pPr>
  </w:style>
  <w:style w:type="paragraph" w:customStyle="1" w:styleId="TableTextNumber3">
    <w:name w:val="Table Text Number 3"/>
    <w:basedOn w:val="TableTextNumber2"/>
    <w:qFormat/>
    <w:rsid w:val="00C046C2"/>
    <w:pPr>
      <w:numPr>
        <w:ilvl w:val="2"/>
      </w:numPr>
    </w:pPr>
  </w:style>
  <w:style w:type="paragraph" w:customStyle="1" w:styleId="TableTextRight">
    <w:name w:val="Table Text Right"/>
    <w:basedOn w:val="TableText"/>
    <w:qFormat/>
    <w:rsid w:val="00C046C2"/>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2000" w:lineRule="exact"/>
      <w:jc w:val="center"/>
    </w:pPr>
    <w:rPr>
      <w:caps/>
      <w:color w:val="EAEAEA"/>
      <w:spacing w:val="40"/>
      <w:sz w:val="20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C046C2"/>
    <w:pPr>
      <w:numPr>
        <w:numId w:val="0"/>
      </w:numPr>
    </w:pPr>
  </w:style>
  <w:style w:type="paragraph" w:styleId="TableofFigures">
    <w:name w:val="table of figures"/>
    <w:basedOn w:val="Normal"/>
    <w:next w:val="Normal"/>
    <w:uiPriority w:val="99"/>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C046C2"/>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NormalWeb">
    <w:name w:val="Normal (Web)"/>
    <w:basedOn w:val="Normal"/>
    <w:uiPriority w:val="99"/>
    <w:semiHidden/>
    <w:unhideWhenUsed/>
    <w:rsid w:val="00EA35D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OC9">
    <w:name w:val="toc 9"/>
    <w:basedOn w:val="Normal"/>
    <w:next w:val="Normal"/>
    <w:autoRedefine/>
    <w:semiHidden/>
    <w:unhideWhenUsed/>
    <w:rsid w:val="0092516D"/>
    <w:pPr>
      <w:spacing w:after="100"/>
      <w:ind w:left="1760"/>
    </w:pPr>
  </w:style>
  <w:style w:type="character" w:styleId="CommentReference">
    <w:name w:val="annotation reference"/>
    <w:basedOn w:val="DefaultParagraphFont"/>
    <w:semiHidden/>
    <w:unhideWhenUsed/>
    <w:rsid w:val="00DF335C"/>
    <w:rPr>
      <w:sz w:val="16"/>
      <w:szCs w:val="16"/>
    </w:rPr>
  </w:style>
  <w:style w:type="paragraph" w:styleId="CommentText">
    <w:name w:val="annotation text"/>
    <w:basedOn w:val="Normal"/>
    <w:link w:val="CommentTextChar"/>
    <w:semiHidden/>
    <w:unhideWhenUsed/>
    <w:rsid w:val="00DF335C"/>
    <w:pPr>
      <w:spacing w:line="240" w:lineRule="auto"/>
    </w:pPr>
    <w:rPr>
      <w:sz w:val="20"/>
      <w:szCs w:val="20"/>
    </w:rPr>
  </w:style>
  <w:style w:type="character" w:customStyle="1" w:styleId="CommentTextChar">
    <w:name w:val="Comment Text Char"/>
    <w:basedOn w:val="DefaultParagraphFont"/>
    <w:link w:val="CommentText"/>
    <w:semiHidden/>
    <w:rsid w:val="00DF335C"/>
    <w:rPr>
      <w:sz w:val="20"/>
      <w:szCs w:val="20"/>
    </w:rPr>
  </w:style>
  <w:style w:type="paragraph" w:styleId="CommentSubject">
    <w:name w:val="annotation subject"/>
    <w:basedOn w:val="CommentText"/>
    <w:next w:val="CommentText"/>
    <w:link w:val="CommentSubjectChar"/>
    <w:semiHidden/>
    <w:unhideWhenUsed/>
    <w:rsid w:val="00DF335C"/>
    <w:rPr>
      <w:b/>
      <w:bCs/>
    </w:rPr>
  </w:style>
  <w:style w:type="character" w:customStyle="1" w:styleId="CommentSubjectChar">
    <w:name w:val="Comment Subject Char"/>
    <w:basedOn w:val="CommentTextChar"/>
    <w:link w:val="CommentSubject"/>
    <w:semiHidden/>
    <w:rsid w:val="00DF335C"/>
    <w:rPr>
      <w:b/>
      <w:bCs/>
      <w:sz w:val="20"/>
      <w:szCs w:val="20"/>
    </w:rPr>
  </w:style>
  <w:style w:type="paragraph" w:styleId="ListParagraph">
    <w:name w:val="List Paragraph"/>
    <w:basedOn w:val="Normal"/>
    <w:uiPriority w:val="72"/>
    <w:qFormat/>
    <w:rsid w:val="00C046C2"/>
    <w:pPr>
      <w:ind w:left="720"/>
      <w:contextualSpacing/>
    </w:pPr>
    <w:rPr>
      <w:rFonts w:ascii="Cambria" w:eastAsia="Cambria" w:hAnsi="Cambria" w:cs="Times New Roman"/>
    </w:rPr>
  </w:style>
  <w:style w:type="paragraph" w:styleId="Revision">
    <w:name w:val="Revision"/>
    <w:hidden/>
    <w:uiPriority w:val="99"/>
    <w:semiHidden/>
    <w:rsid w:val="00FE643A"/>
    <w:pPr>
      <w:spacing w:line="240" w:lineRule="auto"/>
    </w:pPr>
  </w:style>
  <w:style w:type="paragraph" w:customStyle="1" w:styleId="Caption1">
    <w:name w:val="Caption1"/>
    <w:basedOn w:val="Caption"/>
    <w:link w:val="Caption1Char"/>
    <w:qFormat/>
    <w:rsid w:val="00C300D5"/>
    <w:pPr>
      <w:spacing w:before="240" w:after="0"/>
      <w:jc w:val="center"/>
    </w:pPr>
  </w:style>
  <w:style w:type="paragraph" w:customStyle="1" w:styleId="Caption2">
    <w:name w:val="Caption2"/>
    <w:basedOn w:val="Caption1"/>
    <w:link w:val="Caption2Char"/>
    <w:qFormat/>
    <w:rsid w:val="00475A3B"/>
    <w:pPr>
      <w:spacing w:before="0"/>
    </w:pPr>
    <w:rPr>
      <w:b w:val="0"/>
    </w:rPr>
  </w:style>
  <w:style w:type="character" w:customStyle="1" w:styleId="CaptionChar">
    <w:name w:val="Caption Char"/>
    <w:basedOn w:val="DefaultParagraphFont"/>
    <w:link w:val="Caption"/>
    <w:rsid w:val="00475A3B"/>
    <w:rPr>
      <w:b/>
      <w:bCs/>
      <w:color w:val="2B3B5F" w:themeColor="text2"/>
      <w:spacing w:val="-4"/>
    </w:rPr>
  </w:style>
  <w:style w:type="character" w:customStyle="1" w:styleId="Caption1Char">
    <w:name w:val="Caption1 Char"/>
    <w:basedOn w:val="CaptionChar"/>
    <w:link w:val="Caption1"/>
    <w:rsid w:val="00C300D5"/>
    <w:rPr>
      <w:b/>
      <w:bCs/>
      <w:color w:val="2B3B5F" w:themeColor="text2"/>
      <w:spacing w:val="-4"/>
    </w:rPr>
  </w:style>
  <w:style w:type="paragraph" w:customStyle="1" w:styleId="Source1">
    <w:name w:val="Source1"/>
    <w:basedOn w:val="Source"/>
    <w:link w:val="Source1Char"/>
    <w:autoRedefine/>
    <w:qFormat/>
    <w:rsid w:val="00F33957"/>
    <w:pPr>
      <w:spacing w:before="120" w:after="0" w:line="240" w:lineRule="auto"/>
      <w:contextualSpacing w:val="0"/>
    </w:pPr>
    <w:rPr>
      <w:sz w:val="18"/>
      <w:szCs w:val="18"/>
    </w:rPr>
  </w:style>
  <w:style w:type="character" w:customStyle="1" w:styleId="Caption2Char">
    <w:name w:val="Caption2 Char"/>
    <w:basedOn w:val="Caption1Char"/>
    <w:link w:val="Caption2"/>
    <w:rsid w:val="00475A3B"/>
    <w:rPr>
      <w:b w:val="0"/>
      <w:bCs/>
      <w:color w:val="2B3B5F" w:themeColor="text2"/>
      <w:spacing w:val="-4"/>
    </w:rPr>
  </w:style>
  <w:style w:type="character" w:customStyle="1" w:styleId="SourceChar">
    <w:name w:val="Source Char"/>
    <w:basedOn w:val="DefaultParagraphFont"/>
    <w:link w:val="Source"/>
    <w:rsid w:val="007A5769"/>
    <w:rPr>
      <w:rFonts w:cs="Times New Roman"/>
      <w:color w:val="788184" w:themeColor="background2"/>
      <w:sz w:val="20"/>
      <w:szCs w:val="14"/>
    </w:rPr>
  </w:style>
  <w:style w:type="character" w:customStyle="1" w:styleId="Source1Char">
    <w:name w:val="Source1 Char"/>
    <w:basedOn w:val="SourceChar"/>
    <w:link w:val="Source1"/>
    <w:rsid w:val="00F33957"/>
    <w:rPr>
      <w:rFonts w:cs="Times New Roman"/>
      <w:color w:val="788184" w:themeColor="background2"/>
      <w:sz w:val="18"/>
      <w:szCs w:val="18"/>
    </w:rPr>
  </w:style>
  <w:style w:type="paragraph" w:customStyle="1" w:styleId="Caption4">
    <w:name w:val="Caption 4"/>
    <w:basedOn w:val="Caption2"/>
    <w:link w:val="Caption4Char"/>
    <w:qFormat/>
    <w:rsid w:val="007B095E"/>
    <w:pPr>
      <w:spacing w:before="60" w:line="240" w:lineRule="auto"/>
    </w:pPr>
    <w:rPr>
      <w:sz w:val="20"/>
      <w:szCs w:val="18"/>
    </w:rPr>
  </w:style>
  <w:style w:type="paragraph" w:customStyle="1" w:styleId="Source10">
    <w:name w:val="Source 1"/>
    <w:basedOn w:val="Source"/>
    <w:link w:val="Source1Char0"/>
    <w:rsid w:val="00187D0A"/>
    <w:pPr>
      <w:spacing w:before="0" w:after="0"/>
    </w:pPr>
    <w:rPr>
      <w:sz w:val="18"/>
      <w:szCs w:val="18"/>
    </w:rPr>
  </w:style>
  <w:style w:type="character" w:customStyle="1" w:styleId="Caption4Char">
    <w:name w:val="Caption 4 Char"/>
    <w:basedOn w:val="Caption2Char"/>
    <w:link w:val="Caption4"/>
    <w:rsid w:val="007B095E"/>
    <w:rPr>
      <w:b w:val="0"/>
      <w:bCs/>
      <w:color w:val="2B3B5F" w:themeColor="text2"/>
      <w:spacing w:val="-4"/>
      <w:sz w:val="20"/>
      <w:szCs w:val="18"/>
    </w:rPr>
  </w:style>
  <w:style w:type="character" w:customStyle="1" w:styleId="Source1Char0">
    <w:name w:val="Source 1 Char"/>
    <w:basedOn w:val="SourceChar"/>
    <w:link w:val="Source10"/>
    <w:rsid w:val="00187D0A"/>
    <w:rPr>
      <w:rFonts w:cs="Times New Roman"/>
      <w:color w:val="788184" w:themeColor="background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30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able of figures" w:semiHidden="0" w:uiPriority="99" w:unhideWhenUsed="0"/>
    <w:lsdException w:name="List Bullet" w:qFormat="1"/>
    <w:lsdException w:name="List Number" w:qFormat="1"/>
    <w:lsdException w:name="List Bullet 2" w:qFormat="1"/>
    <w:lsdException w:name="List Number 2" w:qFormat="1"/>
    <w:lsdException w:name="List Number 3" w:qFormat="1"/>
    <w:lsdException w:name="Title" w:semiHidden="0" w:unhideWhenUsed="0" w:qFormat="1"/>
    <w:lsdException w:name="Default Paragraph Font" w:uiPriority="1"/>
    <w:lsdException w:name="Body Text" w:qFormat="1"/>
    <w:lsdException w:name="List Continue" w:qFormat="1"/>
    <w:lsdException w:name="List Continue 2" w:qFormat="1"/>
    <w:lsdException w:name="Subtitle" w:semiHidden="0" w:unhideWhenUsed="0" w:qFormat="1"/>
    <w:lsdException w:name="Hyperlink" w:uiPriority="99"/>
    <w:lsdException w:name="Strong" w:unhideWhenUsed="0" w:qFormat="1"/>
    <w:lsdException w:name="Emphasis"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TOC Heading" w:qFormat="1"/>
  </w:latentStyles>
  <w:style w:type="paragraph" w:default="1" w:styleId="Normal">
    <w:name w:val="Normal"/>
    <w:qFormat/>
    <w:rsid w:val="00C046C2"/>
  </w:style>
  <w:style w:type="paragraph" w:styleId="Heading1">
    <w:name w:val="heading 1"/>
    <w:basedOn w:val="Normal"/>
    <w:next w:val="BodyText"/>
    <w:link w:val="Heading1Char"/>
    <w:qFormat/>
    <w:rsid w:val="00C046C2"/>
    <w:pPr>
      <w:keepNext/>
      <w:keepLines/>
      <w:numPr>
        <w:numId w:val="14"/>
      </w:numPr>
      <w:tabs>
        <w:tab w:val="right" w:pos="1418"/>
        <w:tab w:val="right" w:pos="1701"/>
        <w:tab w:val="right" w:pos="1985"/>
      </w:tabs>
      <w:spacing w:before="480" w:after="340" w:line="240" w:lineRule="auto"/>
      <w:outlineLvl w:val="0"/>
    </w:pPr>
    <w:rPr>
      <w:rFonts w:asciiTheme="majorHAnsi" w:hAnsiTheme="majorHAnsi"/>
      <w:bCs/>
      <w:color w:val="2B3B5F" w:themeColor="text2"/>
      <w:spacing w:val="-6"/>
      <w:kern w:val="32"/>
      <w:sz w:val="40"/>
      <w:szCs w:val="32"/>
    </w:rPr>
  </w:style>
  <w:style w:type="paragraph" w:styleId="Heading2">
    <w:name w:val="heading 2"/>
    <w:basedOn w:val="Normal"/>
    <w:next w:val="BodyText"/>
    <w:link w:val="Heading2Char"/>
    <w:qFormat/>
    <w:rsid w:val="00C046C2"/>
    <w:pPr>
      <w:keepNext/>
      <w:keepLines/>
      <w:numPr>
        <w:ilvl w:val="1"/>
        <w:numId w:val="14"/>
      </w:numPr>
      <w:tabs>
        <w:tab w:val="left" w:pos="1418"/>
        <w:tab w:val="left" w:pos="1701"/>
        <w:tab w:val="left" w:pos="1985"/>
      </w:tabs>
      <w:spacing w:before="470" w:after="227"/>
      <w:outlineLvl w:val="1"/>
    </w:pPr>
    <w:rPr>
      <w:rFonts w:asciiTheme="majorHAnsi" w:hAnsiTheme="majorHAnsi"/>
      <w:bCs/>
      <w:iCs/>
      <w:color w:val="2B3B5F" w:themeColor="text2"/>
      <w:kern w:val="20"/>
      <w:sz w:val="32"/>
      <w:szCs w:val="28"/>
    </w:rPr>
  </w:style>
  <w:style w:type="paragraph" w:styleId="Heading3">
    <w:name w:val="heading 3"/>
    <w:basedOn w:val="Normal"/>
    <w:next w:val="BodyText"/>
    <w:link w:val="Heading3Char"/>
    <w:qFormat/>
    <w:rsid w:val="00C046C2"/>
    <w:pPr>
      <w:keepNext/>
      <w:keepLines/>
      <w:tabs>
        <w:tab w:val="left" w:pos="1418"/>
        <w:tab w:val="left" w:pos="1701"/>
        <w:tab w:val="left" w:pos="1985"/>
      </w:tabs>
      <w:spacing w:before="470" w:after="227"/>
      <w:ind w:left="765" w:hanging="765"/>
      <w:outlineLvl w:val="2"/>
    </w:pPr>
    <w:rPr>
      <w:b/>
      <w:color w:val="2B3B5F" w:themeColor="text2"/>
      <w:sz w:val="28"/>
    </w:rPr>
  </w:style>
  <w:style w:type="paragraph" w:styleId="Heading4">
    <w:name w:val="heading 4"/>
    <w:basedOn w:val="Normal"/>
    <w:next w:val="BodyText"/>
    <w:link w:val="Heading4Char"/>
    <w:qFormat/>
    <w:rsid w:val="00C046C2"/>
    <w:pPr>
      <w:keepNext/>
      <w:keepLines/>
      <w:tabs>
        <w:tab w:val="left" w:pos="1418"/>
        <w:tab w:val="left" w:pos="1701"/>
        <w:tab w:val="left" w:pos="1985"/>
      </w:tabs>
      <w:spacing w:before="227" w:after="113"/>
      <w:outlineLvl w:val="3"/>
    </w:pPr>
    <w:rPr>
      <w:rFonts w:eastAsiaTheme="majorEastAsia" w:cstheme="majorBidi"/>
      <w:b/>
      <w:bCs/>
      <w:i/>
      <w:iCs/>
      <w:color w:val="2B3B5F" w:themeColor="text2"/>
      <w:sz w:val="24"/>
    </w:rPr>
  </w:style>
  <w:style w:type="paragraph" w:styleId="Heading5">
    <w:name w:val="heading 5"/>
    <w:basedOn w:val="Normal"/>
    <w:next w:val="BodyText"/>
    <w:link w:val="Heading5Char"/>
    <w:qFormat/>
    <w:rsid w:val="00C046C2"/>
    <w:pPr>
      <w:keepNext/>
      <w:keepLines/>
      <w:spacing w:before="180" w:after="60"/>
      <w:outlineLvl w:val="4"/>
    </w:pPr>
    <w:rPr>
      <w:rFonts w:asciiTheme="majorHAnsi" w:eastAsiaTheme="majorEastAsia" w:hAnsiTheme="majorHAnsi" w:cstheme="majorBidi"/>
      <w:i/>
      <w:color w:val="636366"/>
      <w:sz w:val="24"/>
    </w:rPr>
  </w:style>
  <w:style w:type="paragraph" w:styleId="Heading6">
    <w:name w:val="heading 6"/>
    <w:basedOn w:val="Normal"/>
    <w:next w:val="BodyText"/>
    <w:link w:val="Heading6Char"/>
    <w:qFormat/>
    <w:rsid w:val="00C046C2"/>
    <w:pPr>
      <w:keepNext/>
      <w:keepLines/>
      <w:spacing w:before="280" w:after="240"/>
      <w:outlineLvl w:val="5"/>
    </w:pPr>
    <w:rPr>
      <w:rFonts w:asciiTheme="majorHAnsi" w:eastAsiaTheme="majorEastAsia" w:hAnsiTheme="majorHAnsi" w:cstheme="majorBidi"/>
      <w:i/>
      <w:iCs/>
      <w:color w:val="2B3B5F" w:themeColor="text2"/>
      <w:sz w:val="24"/>
    </w:rPr>
  </w:style>
  <w:style w:type="paragraph" w:styleId="Heading7">
    <w:name w:val="heading 7"/>
    <w:basedOn w:val="Normal"/>
    <w:next w:val="Normal"/>
    <w:link w:val="Heading7Char"/>
    <w:semiHidden/>
    <w:rsid w:val="00961DBB"/>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rsid w:val="00CA5598"/>
    <w:pPr>
      <w:keepNext/>
      <w:keepLines/>
      <w:numPr>
        <w:numId w:val="2"/>
      </w:numPr>
      <w:tabs>
        <w:tab w:val="left" w:pos="4536"/>
      </w:tabs>
      <w:spacing w:before="480" w:after="340"/>
      <w:outlineLvl w:val="7"/>
    </w:pPr>
    <w:rPr>
      <w:rFonts w:asciiTheme="majorHAnsi" w:eastAsiaTheme="majorEastAsia" w:hAnsiTheme="majorHAnsi" w:cstheme="majorBidi"/>
      <w:color w:val="2B3B5F" w:themeColor="text2"/>
      <w:sz w:val="40"/>
    </w:rPr>
  </w:style>
  <w:style w:type="paragraph" w:styleId="Heading9">
    <w:name w:val="heading 9"/>
    <w:aliases w:val="Appendix Heading 1"/>
    <w:basedOn w:val="Normal"/>
    <w:next w:val="BodyText"/>
    <w:link w:val="Heading9Char"/>
    <w:rsid w:val="00CA5598"/>
    <w:pPr>
      <w:keepNext/>
      <w:keepLines/>
      <w:numPr>
        <w:ilvl w:val="1"/>
        <w:numId w:val="2"/>
      </w:numPr>
      <w:tabs>
        <w:tab w:val="left" w:pos="1559"/>
        <w:tab w:val="left" w:pos="1843"/>
        <w:tab w:val="left" w:pos="2126"/>
        <w:tab w:val="left" w:pos="2410"/>
      </w:tabs>
      <w:spacing w:before="470" w:after="227"/>
      <w:outlineLvl w:val="8"/>
    </w:pPr>
    <w:rPr>
      <w:rFonts w:asciiTheme="majorHAnsi" w:hAnsiTheme="majorHAnsi"/>
      <w:color w:val="2B3B5F"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7834DC"/>
    <w:pPr>
      <w:tabs>
        <w:tab w:val="left" w:pos="425"/>
      </w:tabs>
      <w:spacing w:before="50" w:line="260" w:lineRule="exact"/>
      <w:ind w:left="425" w:hanging="425"/>
    </w:pPr>
    <w:rPr>
      <w:kern w:val="16"/>
      <w:sz w:val="18"/>
    </w:rPr>
  </w:style>
  <w:style w:type="character" w:customStyle="1" w:styleId="FootnoteTextChar">
    <w:name w:val="Footnote Text Char"/>
    <w:basedOn w:val="DefaultParagraphFont"/>
    <w:link w:val="FootnoteText"/>
    <w:rsid w:val="000E266E"/>
    <w:rPr>
      <w:kern w:val="16"/>
      <w:sz w:val="18"/>
    </w:rPr>
  </w:style>
  <w:style w:type="character" w:styleId="FootnoteReference">
    <w:name w:val="footnote reference"/>
    <w:basedOn w:val="DefaultParagraphFont"/>
    <w:rsid w:val="00961DBB"/>
    <w:rPr>
      <w:rFonts w:asciiTheme="minorHAnsi" w:hAnsiTheme="minorHAnsi"/>
      <w:color w:val="auto"/>
      <w:vertAlign w:val="superscript"/>
    </w:rPr>
  </w:style>
  <w:style w:type="paragraph" w:styleId="BodyText">
    <w:name w:val="Body Text"/>
    <w:basedOn w:val="Normal"/>
    <w:link w:val="BodyTextChar"/>
    <w:qFormat/>
    <w:rsid w:val="00C046C2"/>
    <w:pPr>
      <w:spacing w:before="113" w:after="113"/>
    </w:pPr>
    <w:rPr>
      <w:rFonts w:cs="Times New Roman"/>
      <w:spacing w:val="-1"/>
    </w:rPr>
  </w:style>
  <w:style w:type="character" w:customStyle="1" w:styleId="BodyTextChar">
    <w:name w:val="Body Text Char"/>
    <w:basedOn w:val="DefaultParagraphFont"/>
    <w:link w:val="BodyText"/>
    <w:rsid w:val="00C046C2"/>
    <w:rPr>
      <w:rFonts w:cs="Times New Roman"/>
      <w:spacing w:val="-1"/>
    </w:rPr>
  </w:style>
  <w:style w:type="paragraph" w:customStyle="1" w:styleId="BodyText17ptAbove">
    <w:name w:val="Body Text 17pt Above"/>
    <w:basedOn w:val="BodyText"/>
    <w:next w:val="BodyText"/>
    <w:qFormat/>
    <w:rsid w:val="00C046C2"/>
    <w:pPr>
      <w:spacing w:before="340"/>
    </w:pPr>
  </w:style>
  <w:style w:type="character" w:customStyle="1" w:styleId="Heading1Char">
    <w:name w:val="Heading 1 Char"/>
    <w:basedOn w:val="DefaultParagraphFont"/>
    <w:link w:val="Heading1"/>
    <w:rsid w:val="00C046C2"/>
    <w:rPr>
      <w:rFonts w:asciiTheme="majorHAnsi" w:hAnsiTheme="majorHAnsi"/>
      <w:bCs/>
      <w:color w:val="2B3B5F" w:themeColor="text2"/>
      <w:spacing w:val="-6"/>
      <w:kern w:val="32"/>
      <w:sz w:val="40"/>
      <w:szCs w:val="32"/>
    </w:rPr>
  </w:style>
  <w:style w:type="character" w:customStyle="1" w:styleId="Heading2Char">
    <w:name w:val="Heading 2 Char"/>
    <w:basedOn w:val="DefaultParagraphFont"/>
    <w:link w:val="Heading2"/>
    <w:rsid w:val="00C046C2"/>
    <w:rPr>
      <w:rFonts w:asciiTheme="majorHAnsi" w:hAnsiTheme="majorHAnsi"/>
      <w:bCs/>
      <w:iCs/>
      <w:color w:val="2B3B5F" w:themeColor="text2"/>
      <w:kern w:val="20"/>
      <w:sz w:val="32"/>
      <w:szCs w:val="28"/>
    </w:rPr>
  </w:style>
  <w:style w:type="character" w:customStyle="1" w:styleId="Heading3Char">
    <w:name w:val="Heading 3 Char"/>
    <w:basedOn w:val="DefaultParagraphFont"/>
    <w:link w:val="Heading3"/>
    <w:rsid w:val="00C046C2"/>
    <w:rPr>
      <w:b/>
      <w:color w:val="2B3B5F" w:themeColor="text2"/>
      <w:sz w:val="28"/>
    </w:rPr>
  </w:style>
  <w:style w:type="character" w:customStyle="1" w:styleId="Heading4Char">
    <w:name w:val="Heading 4 Char"/>
    <w:basedOn w:val="DefaultParagraphFont"/>
    <w:link w:val="Heading4"/>
    <w:rsid w:val="00C046C2"/>
    <w:rPr>
      <w:rFonts w:eastAsiaTheme="majorEastAsia" w:cstheme="majorBidi"/>
      <w:b/>
      <w:bCs/>
      <w:i/>
      <w:iCs/>
      <w:color w:val="2B3B5F" w:themeColor="text2"/>
      <w:sz w:val="24"/>
    </w:rPr>
  </w:style>
  <w:style w:type="character" w:customStyle="1" w:styleId="Heading5Char">
    <w:name w:val="Heading 5 Char"/>
    <w:basedOn w:val="DefaultParagraphFont"/>
    <w:link w:val="Heading5"/>
    <w:rsid w:val="00C046C2"/>
    <w:rPr>
      <w:rFonts w:asciiTheme="majorHAnsi" w:eastAsiaTheme="majorEastAsia" w:hAnsiTheme="majorHAnsi" w:cstheme="majorBidi"/>
      <w:i/>
      <w:color w:val="636366"/>
      <w:sz w:val="24"/>
    </w:rPr>
  </w:style>
  <w:style w:type="character" w:customStyle="1" w:styleId="Heading6Char">
    <w:name w:val="Heading 6 Char"/>
    <w:basedOn w:val="DefaultParagraphFont"/>
    <w:link w:val="Heading6"/>
    <w:rsid w:val="00C046C2"/>
    <w:rPr>
      <w:rFonts w:asciiTheme="majorHAnsi" w:eastAsiaTheme="majorEastAsia" w:hAnsiTheme="majorHAnsi" w:cstheme="majorBidi"/>
      <w:i/>
      <w:iCs/>
      <w:color w:val="2B3B5F" w:themeColor="text2"/>
      <w:sz w:val="24"/>
    </w:rPr>
  </w:style>
  <w:style w:type="character" w:customStyle="1" w:styleId="Heading7Char">
    <w:name w:val="Heading 7 Char"/>
    <w:basedOn w:val="DefaultParagraphFont"/>
    <w:link w:val="Heading7"/>
    <w:semiHidden/>
    <w:rsid w:val="000E266E"/>
    <w:rPr>
      <w:rFonts w:asciiTheme="majorHAnsi" w:eastAsiaTheme="majorEastAsia" w:hAnsiTheme="majorHAnsi" w:cstheme="majorBidi"/>
      <w:b/>
      <w:iCs/>
      <w:color w:val="FFFFFF"/>
    </w:rPr>
  </w:style>
  <w:style w:type="character" w:customStyle="1" w:styleId="Heading8Char">
    <w:name w:val="Heading 8 Char"/>
    <w:aliases w:val="Appendix Title Char"/>
    <w:basedOn w:val="DefaultParagraphFont"/>
    <w:link w:val="Heading8"/>
    <w:rsid w:val="000E266E"/>
    <w:rPr>
      <w:rFonts w:asciiTheme="majorHAnsi" w:eastAsiaTheme="majorEastAsia" w:hAnsiTheme="majorHAnsi" w:cstheme="majorBidi"/>
      <w:color w:val="2B3B5F" w:themeColor="text2"/>
      <w:sz w:val="40"/>
    </w:rPr>
  </w:style>
  <w:style w:type="character" w:customStyle="1" w:styleId="Heading9Char">
    <w:name w:val="Heading 9 Char"/>
    <w:aliases w:val="Appendix Heading 1 Char"/>
    <w:basedOn w:val="DefaultParagraphFont"/>
    <w:link w:val="Heading9"/>
    <w:rsid w:val="000E266E"/>
    <w:rPr>
      <w:rFonts w:asciiTheme="majorHAnsi" w:hAnsiTheme="majorHAnsi"/>
      <w:color w:val="2B3B5F" w:themeColor="text2"/>
      <w:sz w:val="32"/>
    </w:rPr>
  </w:style>
  <w:style w:type="paragraph" w:customStyle="1" w:styleId="AppendixHeading2">
    <w:name w:val="Appendix Heading 2"/>
    <w:basedOn w:val="Normal"/>
    <w:next w:val="BodyText"/>
    <w:rsid w:val="00CA5598"/>
    <w:pPr>
      <w:keepNext/>
      <w:keepLines/>
      <w:numPr>
        <w:ilvl w:val="2"/>
        <w:numId w:val="2"/>
      </w:numPr>
      <w:tabs>
        <w:tab w:val="left" w:pos="1559"/>
        <w:tab w:val="left" w:pos="1843"/>
        <w:tab w:val="left" w:pos="2126"/>
        <w:tab w:val="left" w:pos="2410"/>
      </w:tabs>
      <w:spacing w:before="470" w:after="227"/>
    </w:pPr>
    <w:rPr>
      <w:rFonts w:asciiTheme="majorHAnsi" w:hAnsiTheme="majorHAnsi"/>
      <w:color w:val="2B3B5F" w:themeColor="text2"/>
      <w:sz w:val="28"/>
    </w:rPr>
  </w:style>
  <w:style w:type="paragraph" w:customStyle="1" w:styleId="AppendixHeading3">
    <w:name w:val="Appendix Heading 3"/>
    <w:basedOn w:val="Normal"/>
    <w:next w:val="BodyText"/>
    <w:rsid w:val="00CA5598"/>
    <w:pPr>
      <w:keepNext/>
      <w:keepLines/>
      <w:numPr>
        <w:ilvl w:val="3"/>
        <w:numId w:val="2"/>
      </w:numPr>
      <w:tabs>
        <w:tab w:val="left" w:pos="1559"/>
        <w:tab w:val="left" w:pos="1843"/>
        <w:tab w:val="left" w:pos="2126"/>
        <w:tab w:val="left" w:pos="2410"/>
        <w:tab w:val="left" w:pos="6804"/>
      </w:tabs>
      <w:spacing w:before="227" w:after="113"/>
    </w:pPr>
    <w:rPr>
      <w:b/>
      <w:color w:val="2B3B5F" w:themeColor="text2"/>
    </w:rPr>
  </w:style>
  <w:style w:type="character" w:customStyle="1" w:styleId="Bold">
    <w:name w:val="Bold"/>
    <w:rsid w:val="00961DBB"/>
    <w:rPr>
      <w:b/>
    </w:rPr>
  </w:style>
  <w:style w:type="character" w:customStyle="1" w:styleId="BoldAndItalics">
    <w:name w:val="Bold And Italics"/>
    <w:rsid w:val="00961DBB"/>
    <w:rPr>
      <w:b/>
      <w:i/>
    </w:rPr>
  </w:style>
  <w:style w:type="paragraph" w:styleId="Caption">
    <w:name w:val="caption"/>
    <w:basedOn w:val="Normal"/>
    <w:next w:val="BodyText"/>
    <w:link w:val="CaptionChar"/>
    <w:qFormat/>
    <w:rsid w:val="00C046C2"/>
    <w:pPr>
      <w:keepNext/>
      <w:spacing w:before="340" w:after="114"/>
    </w:pPr>
    <w:rPr>
      <w:b/>
      <w:bCs/>
      <w:color w:val="2B3B5F" w:themeColor="text2"/>
      <w:spacing w:val="-4"/>
    </w:rPr>
  </w:style>
  <w:style w:type="paragraph" w:styleId="Footer">
    <w:name w:val="footer"/>
    <w:basedOn w:val="Normal"/>
    <w:link w:val="FooterChar"/>
    <w:rsid w:val="00961DBB"/>
    <w:pPr>
      <w:spacing w:line="240" w:lineRule="auto"/>
    </w:pPr>
    <w:rPr>
      <w:b/>
      <w:color w:val="788184" w:themeColor="background2"/>
    </w:rPr>
  </w:style>
  <w:style w:type="character" w:customStyle="1" w:styleId="FooterChar">
    <w:name w:val="Footer Char"/>
    <w:basedOn w:val="DefaultParagraphFont"/>
    <w:link w:val="Footer"/>
    <w:rsid w:val="000E266E"/>
    <w:rPr>
      <w:b/>
      <w:color w:val="788184" w:themeColor="background2"/>
    </w:rPr>
  </w:style>
  <w:style w:type="paragraph" w:customStyle="1" w:styleId="FooterLeft">
    <w:name w:val="Footer Left"/>
    <w:basedOn w:val="Footer"/>
    <w:rsid w:val="00961DBB"/>
    <w:pPr>
      <w:framePr w:wrap="around" w:vAnchor="page" w:hAnchor="margin" w:yAlign="bottom"/>
      <w:spacing w:before="180" w:after="120"/>
      <w:ind w:left="397"/>
    </w:pPr>
    <w:rPr>
      <w:spacing w:val="-2"/>
    </w:rPr>
  </w:style>
  <w:style w:type="paragraph" w:customStyle="1" w:styleId="FooterRight">
    <w:name w:val="Footer Right"/>
    <w:basedOn w:val="FooterLeft"/>
    <w:next w:val="Footer"/>
    <w:rsid w:val="00961DBB"/>
    <w:pPr>
      <w:framePr w:wrap="around" w:xAlign="right"/>
      <w:ind w:right="397"/>
      <w:jc w:val="right"/>
    </w:pPr>
  </w:style>
  <w:style w:type="paragraph" w:customStyle="1" w:styleId="FooterRightPageNumber">
    <w:name w:val="Footer Right Page Number"/>
    <w:basedOn w:val="Normal"/>
    <w:rsid w:val="00E915E6"/>
    <w:pPr>
      <w:spacing w:before="180" w:after="120" w:line="240" w:lineRule="auto"/>
      <w:jc w:val="right"/>
    </w:pPr>
    <w:rPr>
      <w:b/>
      <w:noProof/>
      <w:color w:val="788184" w:themeColor="background2"/>
    </w:rPr>
  </w:style>
  <w:style w:type="paragraph" w:customStyle="1" w:styleId="FooterLeftPageNumber">
    <w:name w:val="Footer Left Page Number"/>
    <w:basedOn w:val="Footer"/>
    <w:rsid w:val="00961DBB"/>
    <w:pPr>
      <w:framePr w:wrap="around" w:vAnchor="page" w:hAnchor="margin" w:yAlign="bottom"/>
      <w:spacing w:before="180" w:after="120"/>
      <w:ind w:right="57"/>
    </w:pPr>
  </w:style>
  <w:style w:type="paragraph" w:customStyle="1" w:styleId="FootnoteSeparator">
    <w:name w:val="Footnote Separator"/>
    <w:basedOn w:val="Normal"/>
    <w:unhideWhenUsed/>
    <w:rsid w:val="00961DBB"/>
    <w:pPr>
      <w:pBdr>
        <w:top w:val="single" w:sz="2" w:space="0" w:color="000000" w:themeColor="text1"/>
      </w:pBdr>
      <w:spacing w:before="120" w:line="120" w:lineRule="exact"/>
    </w:pPr>
    <w:rPr>
      <w:sz w:val="14"/>
      <w:szCs w:val="16"/>
    </w:rPr>
  </w:style>
  <w:style w:type="paragraph" w:styleId="Header">
    <w:name w:val="header"/>
    <w:basedOn w:val="Normal"/>
    <w:link w:val="HeaderChar"/>
    <w:rsid w:val="00961DBB"/>
    <w:pPr>
      <w:spacing w:line="240" w:lineRule="auto"/>
    </w:pPr>
  </w:style>
  <w:style w:type="character" w:customStyle="1" w:styleId="HeaderChar">
    <w:name w:val="Header Char"/>
    <w:basedOn w:val="DefaultParagraphFont"/>
    <w:link w:val="Header"/>
    <w:rsid w:val="000E266E"/>
  </w:style>
  <w:style w:type="paragraph" w:customStyle="1" w:styleId="HighlightText">
    <w:name w:val="Highlight Text"/>
    <w:basedOn w:val="Normal"/>
    <w:qFormat/>
    <w:rsid w:val="00C046C2"/>
    <w:pPr>
      <w:spacing w:before="120" w:after="420"/>
    </w:pPr>
    <w:rPr>
      <w:i/>
      <w:color w:val="2B3B5F" w:themeColor="text2"/>
      <w:spacing w:val="-1"/>
    </w:rPr>
  </w:style>
  <w:style w:type="paragraph" w:customStyle="1" w:styleId="Introduction">
    <w:name w:val="Introduction"/>
    <w:basedOn w:val="Normal"/>
    <w:next w:val="BodyText"/>
    <w:qFormat/>
    <w:rsid w:val="00C046C2"/>
    <w:pPr>
      <w:spacing w:after="180" w:line="360" w:lineRule="atLeast"/>
    </w:pPr>
    <w:rPr>
      <w:color w:val="2B3B5F" w:themeColor="text2"/>
      <w:spacing w:val="-2"/>
      <w:sz w:val="30"/>
    </w:rPr>
  </w:style>
  <w:style w:type="character" w:customStyle="1" w:styleId="Italics">
    <w:name w:val="Italics"/>
    <w:rsid w:val="00961DBB"/>
    <w:rPr>
      <w:i/>
    </w:rPr>
  </w:style>
  <w:style w:type="paragraph" w:styleId="ListBullet">
    <w:name w:val="List Bullet"/>
    <w:basedOn w:val="Normal"/>
    <w:unhideWhenUsed/>
    <w:qFormat/>
    <w:rsid w:val="00C046C2"/>
    <w:pPr>
      <w:keepLines/>
      <w:numPr>
        <w:numId w:val="15"/>
      </w:numPr>
      <w:spacing w:after="113"/>
    </w:pPr>
    <w:rPr>
      <w:spacing w:val="-1"/>
    </w:rPr>
  </w:style>
  <w:style w:type="paragraph" w:styleId="ListBullet2">
    <w:name w:val="List Bullet 2"/>
    <w:basedOn w:val="ListBullet"/>
    <w:unhideWhenUsed/>
    <w:qFormat/>
    <w:rsid w:val="00C046C2"/>
    <w:pPr>
      <w:numPr>
        <w:ilvl w:val="1"/>
      </w:numPr>
    </w:pPr>
  </w:style>
  <w:style w:type="paragraph" w:styleId="ListBullet3">
    <w:name w:val="List Bullet 3"/>
    <w:basedOn w:val="ListBullet2"/>
    <w:unhideWhenUsed/>
    <w:rsid w:val="00961DBB"/>
    <w:pPr>
      <w:numPr>
        <w:ilvl w:val="2"/>
      </w:numPr>
    </w:pPr>
  </w:style>
  <w:style w:type="paragraph" w:styleId="ListContinue">
    <w:name w:val="List Continue"/>
    <w:basedOn w:val="Normal"/>
    <w:semiHidden/>
    <w:qFormat/>
    <w:rsid w:val="00C046C2"/>
    <w:pPr>
      <w:spacing w:before="220" w:after="220"/>
      <w:ind w:left="340"/>
    </w:pPr>
  </w:style>
  <w:style w:type="paragraph" w:styleId="ListContinue2">
    <w:name w:val="List Continue 2"/>
    <w:basedOn w:val="Normal"/>
    <w:semiHidden/>
    <w:qFormat/>
    <w:rsid w:val="00C046C2"/>
    <w:pPr>
      <w:spacing w:before="220" w:after="220"/>
      <w:ind w:left="680"/>
    </w:pPr>
  </w:style>
  <w:style w:type="paragraph" w:styleId="ListNumber">
    <w:name w:val="List Number"/>
    <w:basedOn w:val="Normal"/>
    <w:qFormat/>
    <w:rsid w:val="00C046C2"/>
    <w:pPr>
      <w:numPr>
        <w:numId w:val="16"/>
      </w:numPr>
      <w:spacing w:before="113" w:after="113"/>
    </w:pPr>
    <w:rPr>
      <w:spacing w:val="-1"/>
    </w:rPr>
  </w:style>
  <w:style w:type="paragraph" w:styleId="ListNumber2">
    <w:name w:val="List Number 2"/>
    <w:basedOn w:val="Normal"/>
    <w:qFormat/>
    <w:rsid w:val="00C046C2"/>
    <w:pPr>
      <w:numPr>
        <w:ilvl w:val="1"/>
        <w:numId w:val="16"/>
      </w:numPr>
      <w:spacing w:before="113" w:after="113"/>
    </w:pPr>
    <w:rPr>
      <w:spacing w:val="-1"/>
    </w:rPr>
  </w:style>
  <w:style w:type="paragraph" w:styleId="ListNumber3">
    <w:name w:val="List Number 3"/>
    <w:basedOn w:val="Normal"/>
    <w:qFormat/>
    <w:rsid w:val="00C046C2"/>
    <w:pPr>
      <w:numPr>
        <w:ilvl w:val="2"/>
        <w:numId w:val="16"/>
      </w:numPr>
      <w:spacing w:before="113" w:after="113"/>
    </w:pPr>
    <w:rPr>
      <w:spacing w:val="-1"/>
    </w:rPr>
  </w:style>
  <w:style w:type="character" w:customStyle="1" w:styleId="MySubscript">
    <w:name w:val="MySubscript"/>
    <w:uiPriority w:val="99"/>
    <w:rsid w:val="00961DBB"/>
    <w:rPr>
      <w:vertAlign w:val="subscript"/>
    </w:rPr>
  </w:style>
  <w:style w:type="character" w:customStyle="1" w:styleId="MySubscriptItalics">
    <w:name w:val="MySubscript&amp;Italics"/>
    <w:uiPriority w:val="99"/>
    <w:rsid w:val="00961DBB"/>
    <w:rPr>
      <w:i/>
      <w:vertAlign w:val="subscript"/>
    </w:rPr>
  </w:style>
  <w:style w:type="character" w:customStyle="1" w:styleId="MySuperscript">
    <w:name w:val="MySuperscript"/>
    <w:uiPriority w:val="99"/>
    <w:rsid w:val="00961DBB"/>
    <w:rPr>
      <w:vertAlign w:val="superscript"/>
    </w:rPr>
  </w:style>
  <w:style w:type="character" w:customStyle="1" w:styleId="MySuperscriptItalics">
    <w:name w:val="MySuperscript&amp;Italics"/>
    <w:uiPriority w:val="99"/>
    <w:rsid w:val="00961DBB"/>
    <w:rPr>
      <w:i/>
      <w:vertAlign w:val="superscript"/>
    </w:rPr>
  </w:style>
  <w:style w:type="paragraph" w:styleId="NoSpacing">
    <w:name w:val="No Spacing"/>
    <w:next w:val="BodyText"/>
    <w:rsid w:val="00961DBB"/>
    <w:pPr>
      <w:spacing w:line="240" w:lineRule="auto"/>
    </w:pPr>
    <w:rPr>
      <w:rFonts w:eastAsia="Times New Roman" w:cs="Arial"/>
      <w:lang w:eastAsia="en-AU"/>
    </w:rPr>
  </w:style>
  <w:style w:type="paragraph" w:customStyle="1" w:styleId="OverviewBodyText">
    <w:name w:val="Overview Body Text"/>
    <w:basedOn w:val="Normal"/>
    <w:rsid w:val="00512226"/>
    <w:pPr>
      <w:spacing w:after="113"/>
    </w:pPr>
  </w:style>
  <w:style w:type="paragraph" w:customStyle="1" w:styleId="OverviewHeading2">
    <w:name w:val="Overview Heading 2"/>
    <w:basedOn w:val="Normal"/>
    <w:next w:val="OverviewBodyText"/>
    <w:rsid w:val="00512226"/>
    <w:pPr>
      <w:keepNext/>
      <w:keepLines/>
      <w:spacing w:before="470" w:after="227"/>
    </w:pPr>
    <w:rPr>
      <w:rFonts w:asciiTheme="majorHAnsi" w:hAnsiTheme="majorHAnsi"/>
      <w:color w:val="2B3B5F" w:themeColor="text2"/>
      <w:sz w:val="32"/>
    </w:rPr>
  </w:style>
  <w:style w:type="paragraph" w:customStyle="1" w:styleId="OverviewHeading3">
    <w:name w:val="Overview Heading 3"/>
    <w:basedOn w:val="OverviewHeading2"/>
    <w:next w:val="OverviewBodyText"/>
    <w:rsid w:val="00512226"/>
    <w:rPr>
      <w:sz w:val="28"/>
    </w:rPr>
  </w:style>
  <w:style w:type="character" w:styleId="PageNumber">
    <w:name w:val="page number"/>
    <w:basedOn w:val="DefaultParagraphFont"/>
    <w:semiHidden/>
    <w:rsid w:val="00961DBB"/>
    <w:rPr>
      <w:rFonts w:ascii="Arial" w:hAnsi="Arial"/>
      <w:b/>
      <w:color w:val="auto"/>
      <w:sz w:val="16"/>
    </w:rPr>
  </w:style>
  <w:style w:type="paragraph" w:customStyle="1" w:styleId="PageNumberOdd">
    <w:name w:val="Page Number Odd"/>
    <w:semiHidden/>
    <w:rsid w:val="00961DBB"/>
    <w:pPr>
      <w:ind w:right="57"/>
      <w:jc w:val="right"/>
    </w:pPr>
    <w:rPr>
      <w:rFonts w:eastAsia="Times New Roman" w:cs="Arial"/>
      <w:b/>
      <w:color w:val="2B3B5F" w:themeColor="text2"/>
      <w:sz w:val="14"/>
      <w:szCs w:val="28"/>
      <w:lang w:eastAsia="en-AU"/>
    </w:rPr>
  </w:style>
  <w:style w:type="paragraph" w:customStyle="1" w:styleId="PageNumberEven">
    <w:name w:val="Page Number Even"/>
    <w:basedOn w:val="PageNumberOdd"/>
    <w:semiHidden/>
    <w:rsid w:val="00961DBB"/>
    <w:pPr>
      <w:framePr w:hSpace="181" w:wrap="around" w:vAnchor="page" w:hAnchor="page" w:yAlign="bottom"/>
      <w:jc w:val="left"/>
    </w:pPr>
  </w:style>
  <w:style w:type="character" w:styleId="PlaceholderText">
    <w:name w:val="Placeholder Text"/>
    <w:basedOn w:val="DefaultParagraphFont"/>
    <w:rsid w:val="00961DBB"/>
    <w:rPr>
      <w:color w:val="808080"/>
    </w:rPr>
  </w:style>
  <w:style w:type="paragraph" w:customStyle="1" w:styleId="PullOutBoxBodyText">
    <w:name w:val="Pull Out Box Body Text"/>
    <w:basedOn w:val="Normal"/>
    <w:qFormat/>
    <w:rsid w:val="00C046C2"/>
    <w:pPr>
      <w:spacing w:before="113" w:after="113"/>
      <w:ind w:left="227" w:right="170"/>
    </w:pPr>
    <w:rPr>
      <w:spacing w:val="-1"/>
    </w:rPr>
  </w:style>
  <w:style w:type="paragraph" w:customStyle="1" w:styleId="PullOutBoxBullet">
    <w:name w:val="Pull Out Box Bullet"/>
    <w:basedOn w:val="PullOutBoxBodyText"/>
    <w:qFormat/>
    <w:rsid w:val="00C046C2"/>
    <w:pPr>
      <w:numPr>
        <w:numId w:val="17"/>
      </w:numPr>
    </w:pPr>
  </w:style>
  <w:style w:type="paragraph" w:customStyle="1" w:styleId="PullOutBoxBullet2">
    <w:name w:val="Pull Out Box Bullet 2"/>
    <w:basedOn w:val="PullOutBoxBodyText"/>
    <w:qFormat/>
    <w:rsid w:val="00C046C2"/>
    <w:pPr>
      <w:numPr>
        <w:ilvl w:val="1"/>
        <w:numId w:val="17"/>
      </w:numPr>
    </w:pPr>
  </w:style>
  <w:style w:type="paragraph" w:customStyle="1" w:styleId="PullOutBoxBullet3">
    <w:name w:val="Pull Out Box Bullet 3"/>
    <w:basedOn w:val="PullOutBoxBodyText"/>
    <w:qFormat/>
    <w:rsid w:val="00C046C2"/>
    <w:pPr>
      <w:numPr>
        <w:ilvl w:val="2"/>
        <w:numId w:val="17"/>
      </w:numPr>
    </w:pPr>
  </w:style>
  <w:style w:type="paragraph" w:customStyle="1" w:styleId="PullOutBoxHeading">
    <w:name w:val="Pull Out Box Heading"/>
    <w:basedOn w:val="PullOutBoxBodyText"/>
    <w:qFormat/>
    <w:rsid w:val="00187D0A"/>
    <w:pPr>
      <w:keepNext/>
      <w:keepLines/>
      <w:spacing w:before="114" w:after="114" w:line="360" w:lineRule="atLeast"/>
    </w:pPr>
    <w:rPr>
      <w:rFonts w:eastAsia="Times New Roman" w:cs="Arial"/>
      <w:b/>
      <w:color w:val="2B3B5F" w:themeColor="text2"/>
      <w:sz w:val="24"/>
      <w:szCs w:val="24"/>
      <w:lang w:eastAsia="en-AU"/>
    </w:rPr>
  </w:style>
  <w:style w:type="paragraph" w:customStyle="1" w:styleId="PullOutBoxNumber">
    <w:name w:val="Pull Out Box Number"/>
    <w:basedOn w:val="PullOutBoxBodyText"/>
    <w:uiPriority w:val="99"/>
    <w:qFormat/>
    <w:rsid w:val="00C046C2"/>
    <w:pPr>
      <w:numPr>
        <w:numId w:val="18"/>
      </w:numPr>
    </w:pPr>
  </w:style>
  <w:style w:type="paragraph" w:customStyle="1" w:styleId="PullOutBoxNumber2">
    <w:name w:val="Pull Out Box Number 2"/>
    <w:basedOn w:val="PullOutBoxBodyText"/>
    <w:uiPriority w:val="99"/>
    <w:qFormat/>
    <w:rsid w:val="00C046C2"/>
    <w:pPr>
      <w:numPr>
        <w:ilvl w:val="1"/>
        <w:numId w:val="18"/>
      </w:numPr>
    </w:pPr>
  </w:style>
  <w:style w:type="paragraph" w:customStyle="1" w:styleId="PullOutBoxNumber3">
    <w:name w:val="Pull Out Box Number 3"/>
    <w:basedOn w:val="PullOutBoxBodyText"/>
    <w:uiPriority w:val="99"/>
    <w:qFormat/>
    <w:rsid w:val="00C046C2"/>
    <w:pPr>
      <w:numPr>
        <w:ilvl w:val="2"/>
        <w:numId w:val="18"/>
      </w:numPr>
    </w:pPr>
  </w:style>
  <w:style w:type="table" w:customStyle="1" w:styleId="PullOutBoxTable">
    <w:name w:val="Pull Out Box Table"/>
    <w:basedOn w:val="TableNormal"/>
    <w:uiPriority w:val="99"/>
    <w:rsid w:val="00961DBB"/>
    <w:pPr>
      <w:spacing w:line="240" w:lineRule="auto"/>
    </w:pPr>
    <w:rPr>
      <w:rFonts w:eastAsia="Times New Roman" w:cs="Arial"/>
      <w:lang w:eastAsia="en-AU"/>
    </w:rPr>
    <w:tblPr>
      <w:tblBorders>
        <w:top w:val="single" w:sz="4" w:space="0" w:color="D7DDE9" w:themeColor="accent3"/>
        <w:left w:val="single" w:sz="4" w:space="0" w:color="D7DDE9" w:themeColor="accent3"/>
        <w:bottom w:val="single" w:sz="4" w:space="0" w:color="D7DDE9" w:themeColor="accent3"/>
        <w:right w:val="single" w:sz="4" w:space="0" w:color="D7DDE9" w:themeColor="accent3"/>
        <w:insideH w:val="single" w:sz="4" w:space="0" w:color="D7DDE9" w:themeColor="accent3"/>
        <w:insideV w:val="single" w:sz="4" w:space="0" w:color="D7DDE9" w:themeColor="accent3"/>
      </w:tblBorders>
      <w:tblCellMar>
        <w:top w:w="28" w:type="dxa"/>
        <w:left w:w="0" w:type="dxa"/>
        <w:bottom w:w="28" w:type="dxa"/>
        <w:right w:w="0" w:type="dxa"/>
      </w:tblCellMar>
    </w:tblPr>
    <w:tcPr>
      <w:shd w:val="clear" w:color="auto" w:fill="D7DDE9" w:themeFill="accent3"/>
    </w:tcPr>
  </w:style>
  <w:style w:type="paragraph" w:styleId="Quote">
    <w:name w:val="Quote"/>
    <w:basedOn w:val="Normal"/>
    <w:link w:val="QuoteChar"/>
    <w:qFormat/>
    <w:rsid w:val="00C046C2"/>
    <w:pPr>
      <w:tabs>
        <w:tab w:val="left" w:pos="1134"/>
      </w:tabs>
      <w:spacing w:before="240" w:after="240"/>
      <w:ind w:left="284"/>
    </w:pPr>
    <w:rPr>
      <w:i/>
      <w:iCs/>
    </w:rPr>
  </w:style>
  <w:style w:type="character" w:customStyle="1" w:styleId="QuoteChar">
    <w:name w:val="Quote Char"/>
    <w:basedOn w:val="DefaultParagraphFont"/>
    <w:link w:val="Quote"/>
    <w:rsid w:val="00C046C2"/>
    <w:rPr>
      <w:i/>
      <w:iCs/>
    </w:rPr>
  </w:style>
  <w:style w:type="paragraph" w:customStyle="1" w:styleId="QuoteBullet">
    <w:name w:val="Quote Bullet"/>
    <w:basedOn w:val="Quote"/>
    <w:qFormat/>
    <w:rsid w:val="00C046C2"/>
    <w:pPr>
      <w:numPr>
        <w:numId w:val="19"/>
      </w:numPr>
    </w:pPr>
  </w:style>
  <w:style w:type="paragraph" w:customStyle="1" w:styleId="QuoteBullet2">
    <w:name w:val="Quote Bullet 2"/>
    <w:basedOn w:val="Quote"/>
    <w:qFormat/>
    <w:rsid w:val="00C046C2"/>
    <w:pPr>
      <w:numPr>
        <w:ilvl w:val="1"/>
        <w:numId w:val="19"/>
      </w:numPr>
      <w:tabs>
        <w:tab w:val="clear" w:pos="1134"/>
      </w:tabs>
    </w:pPr>
  </w:style>
  <w:style w:type="paragraph" w:customStyle="1" w:styleId="SectionHeading">
    <w:name w:val="Section Heading"/>
    <w:basedOn w:val="Normal"/>
    <w:next w:val="BodyText"/>
    <w:rsid w:val="00E45766"/>
    <w:pPr>
      <w:keepLines/>
      <w:spacing w:before="4320" w:line="360" w:lineRule="auto"/>
      <w:ind w:left="1701"/>
      <w:jc w:val="right"/>
      <w:outlineLvl w:val="0"/>
    </w:pPr>
    <w:rPr>
      <w:rFonts w:asciiTheme="majorHAnsi" w:hAnsiTheme="majorHAnsi"/>
      <w:noProof/>
      <w:color w:val="2B3B5F" w:themeColor="text2"/>
      <w:sz w:val="50"/>
      <w:szCs w:val="40"/>
    </w:rPr>
  </w:style>
  <w:style w:type="character" w:customStyle="1" w:styleId="SectionSubtitle">
    <w:name w:val="Section Subtitle"/>
    <w:rsid w:val="00E45766"/>
    <w:rPr>
      <w:color w:val="751D71" w:themeColor="accent4"/>
      <w:sz w:val="40"/>
    </w:rPr>
  </w:style>
  <w:style w:type="paragraph" w:styleId="Subtitle">
    <w:name w:val="Subtitle"/>
    <w:basedOn w:val="Normal"/>
    <w:next w:val="Normal"/>
    <w:link w:val="SubtitleChar"/>
    <w:rsid w:val="00961DBB"/>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0E266E"/>
    <w:rPr>
      <w:rFonts w:asciiTheme="majorHAnsi" w:eastAsiaTheme="majorEastAsia" w:hAnsiTheme="majorHAnsi" w:cstheme="majorBidi"/>
      <w:iCs/>
      <w:spacing w:val="15"/>
    </w:rPr>
  </w:style>
  <w:style w:type="character" w:customStyle="1" w:styleId="Superscript">
    <w:name w:val="Superscript"/>
    <w:rsid w:val="00961DBB"/>
    <w:rPr>
      <w:vertAlign w:val="superscript"/>
    </w:rPr>
  </w:style>
  <w:style w:type="table" w:customStyle="1" w:styleId="TableAsPlaceholder">
    <w:name w:val="Table As Placeholder"/>
    <w:basedOn w:val="TableNormal"/>
    <w:uiPriority w:val="99"/>
    <w:qFormat/>
    <w:rsid w:val="00961DBB"/>
    <w:rPr>
      <w:rFonts w:eastAsia="Times New Roman" w:cs="Arial"/>
      <w:lang w:eastAsia="en-AU"/>
    </w:rPr>
    <w:tblPr>
      <w:tblCellMar>
        <w:left w:w="0" w:type="dxa"/>
        <w:right w:w="0" w:type="dxa"/>
      </w:tblCellMar>
    </w:tblPr>
  </w:style>
  <w:style w:type="paragraph" w:customStyle="1" w:styleId="TableFootnotes">
    <w:name w:val="Table Footnotes"/>
    <w:basedOn w:val="Normal"/>
    <w:rsid w:val="00035ADE"/>
    <w:pPr>
      <w:keepLines/>
      <w:numPr>
        <w:numId w:val="4"/>
      </w:numPr>
      <w:spacing w:after="50"/>
    </w:pPr>
    <w:rPr>
      <w:color w:val="788184" w:themeColor="background2"/>
      <w:sz w:val="20"/>
    </w:rPr>
  </w:style>
  <w:style w:type="table" w:styleId="TableGrid">
    <w:name w:val="Table Grid"/>
    <w:basedOn w:val="TableNormal"/>
    <w:uiPriority w:val="59"/>
    <w:rsid w:val="00F85D29"/>
    <w:pPr>
      <w:spacing w:before="70" w:after="70" w:line="260" w:lineRule="atLeast"/>
      <w:ind w:left="113" w:right="113"/>
    </w:pPr>
    <w:rPr>
      <w:rFonts w:eastAsia="Times New Roman" w:cs="Times New Roman"/>
      <w:sz w:val="20"/>
      <w:lang w:eastAsia="en-AU"/>
    </w:rPr>
    <w:tblPr>
      <w:tblStyleRowBandSize w:val="1"/>
      <w:tblStyleColBandSize w:val="1"/>
      <w:tblCellMar>
        <w:left w:w="0" w:type="dxa"/>
        <w:right w:w="0" w:type="dxa"/>
      </w:tblCellMar>
    </w:tblPr>
    <w:tcPr>
      <w:vAlign w:val="center"/>
    </w:tcPr>
    <w:tblStylePr w:type="firstRow">
      <w:pPr>
        <w:wordWrap/>
        <w:spacing w:beforeLines="0" w:before="70" w:beforeAutospacing="0" w:afterLines="0" w:after="70" w:afterAutospacing="0" w:line="260" w:lineRule="atLeast"/>
        <w:ind w:leftChars="0" w:left="113" w:rightChars="0" w:right="113"/>
        <w:jc w:val="center"/>
      </w:pPr>
      <w:rPr>
        <w:rFonts w:asciiTheme="minorHAnsi" w:hAnsiTheme="minorHAnsi"/>
        <w:b w:val="0"/>
        <w:i w:val="0"/>
        <w:color w:val="FFFFFF" w:themeColor="background1"/>
        <w:sz w:val="20"/>
      </w:rPr>
      <w:tblPr/>
      <w:tcPr>
        <w:tcBorders>
          <w:top w:val="nil"/>
          <w:left w:val="nil"/>
          <w:bottom w:val="nil"/>
          <w:right w:val="nil"/>
          <w:insideH w:val="nil"/>
          <w:insideV w:val="nil"/>
          <w:tl2br w:val="nil"/>
          <w:tr2bl w:val="nil"/>
        </w:tcBorders>
        <w:shd w:val="clear" w:color="auto" w:fill="2B3B5F" w:themeFill="text2"/>
      </w:tcPr>
    </w:tblStylePr>
    <w:tblStylePr w:type="lastRow">
      <w:rPr>
        <w:b/>
      </w:rPr>
    </w:tblStylePr>
    <w:tblStylePr w:type="firstCol">
      <w:pPr>
        <w:wordWrap/>
        <w:ind w:leftChars="0" w:left="113" w:rightChars="0" w:right="113"/>
        <w:jc w:val="left"/>
      </w:pPr>
      <w:rPr>
        <w:b w:val="0"/>
        <w:i w:val="0"/>
      </w:rPr>
    </w:tblStylePr>
    <w:tblStylePr w:type="lastCol">
      <w:pPr>
        <w:wordWrap/>
        <w:jc w:val="left"/>
      </w:pPr>
    </w:tblStylePr>
    <w:tblStylePr w:type="band1Horz">
      <w:tblPr/>
      <w:tcPr>
        <w:tcBorders>
          <w:top w:val="nil"/>
          <w:left w:val="nil"/>
          <w:bottom w:val="nil"/>
          <w:right w:val="nil"/>
          <w:insideH w:val="nil"/>
          <w:insideV w:val="nil"/>
          <w:tl2br w:val="nil"/>
          <w:tr2bl w:val="nil"/>
        </w:tcBorders>
        <w:shd w:val="clear" w:color="auto" w:fill="D7DDE9" w:themeFill="accent3"/>
      </w:tcPr>
    </w:tblStylePr>
    <w:tblStylePr w:type="nwCell">
      <w:pPr>
        <w:jc w:val="left"/>
      </w:pPr>
      <w:tblPr/>
      <w:tcPr>
        <w:vAlign w:val="top"/>
      </w:tcPr>
    </w:tblStylePr>
  </w:style>
  <w:style w:type="paragraph" w:customStyle="1" w:styleId="TableHeading">
    <w:name w:val="Table Heading"/>
    <w:basedOn w:val="Normal"/>
    <w:qFormat/>
    <w:rsid w:val="00C046C2"/>
    <w:pPr>
      <w:keepNext/>
      <w:keepLines/>
      <w:spacing w:before="70" w:after="70" w:line="260" w:lineRule="atLeast"/>
      <w:ind w:left="113" w:right="113"/>
    </w:pPr>
    <w:rPr>
      <w:rFonts w:cs="Times New Roman"/>
      <w:b/>
      <w:color w:val="FFFFFF"/>
      <w:sz w:val="20"/>
    </w:rPr>
  </w:style>
  <w:style w:type="paragraph" w:customStyle="1" w:styleId="TableHeadingCentred">
    <w:name w:val="Table Heading Centred"/>
    <w:basedOn w:val="TableHeading"/>
    <w:qFormat/>
    <w:rsid w:val="00C046C2"/>
    <w:pPr>
      <w:jc w:val="center"/>
    </w:pPr>
    <w:rPr>
      <w:color w:val="auto"/>
    </w:rPr>
  </w:style>
  <w:style w:type="paragraph" w:customStyle="1" w:styleId="TableHeadingRight">
    <w:name w:val="Table Heading Right"/>
    <w:basedOn w:val="TableHeading"/>
    <w:qFormat/>
    <w:rsid w:val="00C046C2"/>
    <w:pPr>
      <w:jc w:val="right"/>
    </w:pPr>
  </w:style>
  <w:style w:type="paragraph" w:customStyle="1" w:styleId="Source">
    <w:name w:val="Source"/>
    <w:basedOn w:val="Normal"/>
    <w:next w:val="BodyText17ptAbove"/>
    <w:link w:val="SourceChar"/>
    <w:rsid w:val="00035ADE"/>
    <w:pPr>
      <w:spacing w:before="180" w:after="114"/>
      <w:contextualSpacing/>
    </w:pPr>
    <w:rPr>
      <w:rFonts w:cs="Times New Roman"/>
      <w:color w:val="788184" w:themeColor="background2"/>
      <w:sz w:val="20"/>
      <w:szCs w:val="14"/>
    </w:rPr>
  </w:style>
  <w:style w:type="paragraph" w:customStyle="1" w:styleId="TableText">
    <w:name w:val="Table Text"/>
    <w:basedOn w:val="Normal"/>
    <w:qFormat/>
    <w:rsid w:val="00C046C2"/>
    <w:pPr>
      <w:spacing w:before="70" w:after="70" w:line="260" w:lineRule="atLeast"/>
      <w:ind w:left="113" w:right="113"/>
    </w:pPr>
    <w:rPr>
      <w:rFonts w:cs="Times New Roman"/>
      <w:sz w:val="20"/>
    </w:rPr>
  </w:style>
  <w:style w:type="paragraph" w:customStyle="1" w:styleId="TableTextBold">
    <w:name w:val="Table Text Bold"/>
    <w:basedOn w:val="TableText"/>
    <w:semiHidden/>
    <w:qFormat/>
    <w:rsid w:val="00C046C2"/>
    <w:rPr>
      <w:b/>
    </w:rPr>
  </w:style>
  <w:style w:type="paragraph" w:customStyle="1" w:styleId="TableTextBullet">
    <w:name w:val="Table Text Bullet"/>
    <w:basedOn w:val="TableText"/>
    <w:rsid w:val="00961DBB"/>
    <w:pPr>
      <w:numPr>
        <w:numId w:val="20"/>
      </w:numPr>
    </w:pPr>
  </w:style>
  <w:style w:type="paragraph" w:customStyle="1" w:styleId="TableTextBullet2">
    <w:name w:val="Table Text Bullet 2"/>
    <w:basedOn w:val="TableTextBullet"/>
    <w:qFormat/>
    <w:rsid w:val="00C046C2"/>
    <w:pPr>
      <w:numPr>
        <w:ilvl w:val="1"/>
      </w:numPr>
    </w:pPr>
    <w:rPr>
      <w:bCs/>
    </w:rPr>
  </w:style>
  <w:style w:type="paragraph" w:customStyle="1" w:styleId="TableTextBullet3">
    <w:name w:val="Table Text Bullet 3"/>
    <w:basedOn w:val="TableTextBullet2"/>
    <w:qFormat/>
    <w:rsid w:val="00C046C2"/>
    <w:pPr>
      <w:numPr>
        <w:ilvl w:val="2"/>
      </w:numPr>
    </w:pPr>
    <w:rPr>
      <w:bCs w:val="0"/>
    </w:rPr>
  </w:style>
  <w:style w:type="paragraph" w:customStyle="1" w:styleId="TableTextNumber">
    <w:name w:val="Table Text Number"/>
    <w:basedOn w:val="TableText"/>
    <w:qFormat/>
    <w:rsid w:val="00C046C2"/>
    <w:pPr>
      <w:numPr>
        <w:numId w:val="21"/>
      </w:numPr>
    </w:pPr>
  </w:style>
  <w:style w:type="paragraph" w:customStyle="1" w:styleId="TableTextNumber2">
    <w:name w:val="Table Text Number 2"/>
    <w:basedOn w:val="TableTextNumber"/>
    <w:qFormat/>
    <w:rsid w:val="00C046C2"/>
    <w:pPr>
      <w:numPr>
        <w:ilvl w:val="1"/>
      </w:numPr>
    </w:pPr>
  </w:style>
  <w:style w:type="paragraph" w:customStyle="1" w:styleId="TableTextNumber3">
    <w:name w:val="Table Text Number 3"/>
    <w:basedOn w:val="TableTextNumber2"/>
    <w:qFormat/>
    <w:rsid w:val="00C046C2"/>
    <w:pPr>
      <w:numPr>
        <w:ilvl w:val="2"/>
      </w:numPr>
    </w:pPr>
  </w:style>
  <w:style w:type="paragraph" w:customStyle="1" w:styleId="TableTextRight">
    <w:name w:val="Table Text Right"/>
    <w:basedOn w:val="TableText"/>
    <w:qFormat/>
    <w:rsid w:val="00C046C2"/>
    <w:pPr>
      <w:jc w:val="right"/>
    </w:pPr>
  </w:style>
  <w:style w:type="paragraph" w:customStyle="1" w:styleId="TableofContents2">
    <w:name w:val="TableofContents2"/>
    <w:basedOn w:val="Normal"/>
    <w:semiHidden/>
    <w:rsid w:val="00CA0B7E"/>
    <w:pPr>
      <w:keepNext/>
      <w:spacing w:after="113"/>
    </w:pPr>
    <w:rPr>
      <w:sz w:val="28"/>
      <w:szCs w:val="28"/>
    </w:rPr>
  </w:style>
  <w:style w:type="paragraph" w:styleId="Title">
    <w:name w:val="Title"/>
    <w:basedOn w:val="Normal"/>
    <w:next w:val="Normal"/>
    <w:link w:val="TitleChar"/>
    <w:rsid w:val="00195228"/>
    <w:pPr>
      <w:spacing w:after="100" w:line="240" w:lineRule="auto"/>
      <w:jc w:val="right"/>
    </w:pPr>
    <w:rPr>
      <w:rFonts w:asciiTheme="majorHAnsi" w:eastAsiaTheme="majorEastAsia" w:hAnsiTheme="majorHAnsi" w:cstheme="majorBidi"/>
      <w:color w:val="2B3B5F" w:themeColor="text2"/>
      <w:spacing w:val="-2"/>
      <w:sz w:val="50"/>
      <w:szCs w:val="50"/>
    </w:rPr>
  </w:style>
  <w:style w:type="character" w:customStyle="1" w:styleId="TitleChar">
    <w:name w:val="Title Char"/>
    <w:basedOn w:val="DefaultParagraphFont"/>
    <w:link w:val="Title"/>
    <w:rsid w:val="000E266E"/>
    <w:rPr>
      <w:rFonts w:asciiTheme="majorHAnsi" w:eastAsiaTheme="majorEastAsia" w:hAnsiTheme="majorHAnsi" w:cstheme="majorBidi"/>
      <w:color w:val="2B3B5F" w:themeColor="text2"/>
      <w:spacing w:val="-2"/>
      <w:sz w:val="50"/>
      <w:szCs w:val="50"/>
    </w:rPr>
  </w:style>
  <w:style w:type="paragraph" w:customStyle="1" w:styleId="Title2">
    <w:name w:val="Title 2"/>
    <w:basedOn w:val="Normal"/>
    <w:link w:val="Title2Char"/>
    <w:rsid w:val="00C8728F"/>
    <w:pPr>
      <w:spacing w:after="250"/>
      <w:ind w:left="397"/>
      <w:jc w:val="right"/>
    </w:pPr>
    <w:rPr>
      <w:rFonts w:asciiTheme="majorHAnsi" w:hAnsiTheme="majorHAnsi"/>
      <w:color w:val="FFFFFF"/>
      <w:spacing w:val="-2"/>
      <w:sz w:val="32"/>
    </w:rPr>
  </w:style>
  <w:style w:type="character" w:customStyle="1" w:styleId="Title2Char">
    <w:name w:val="Title 2 Char"/>
    <w:basedOn w:val="DefaultParagraphFont"/>
    <w:link w:val="Title2"/>
    <w:rsid w:val="000E266E"/>
    <w:rPr>
      <w:rFonts w:asciiTheme="majorHAnsi" w:hAnsiTheme="majorHAnsi"/>
      <w:color w:val="FFFFFF"/>
      <w:spacing w:val="-2"/>
      <w:sz w:val="32"/>
    </w:rPr>
  </w:style>
  <w:style w:type="paragraph" w:customStyle="1" w:styleId="Title3">
    <w:name w:val="Title 3"/>
    <w:basedOn w:val="Title2"/>
    <w:rsid w:val="00195228"/>
    <w:pPr>
      <w:framePr w:wrap="auto" w:vAnchor="page" w:hAnchor="margin" w:y="5779"/>
    </w:pPr>
    <w:rPr>
      <w:rFonts w:eastAsia="Times New Roman" w:cs="Arial"/>
      <w:i/>
      <w:spacing w:val="8"/>
      <w:lang w:eastAsia="en-AU"/>
    </w:rPr>
  </w:style>
  <w:style w:type="paragraph" w:styleId="TOC1">
    <w:name w:val="toc 1"/>
    <w:basedOn w:val="Normal"/>
    <w:next w:val="Normal"/>
    <w:uiPriority w:val="39"/>
    <w:rsid w:val="001B2C65"/>
    <w:pPr>
      <w:tabs>
        <w:tab w:val="left" w:pos="454"/>
        <w:tab w:val="right" w:leader="underscore" w:pos="8165"/>
      </w:tabs>
      <w:spacing w:after="227"/>
      <w:ind w:left="454" w:right="851" w:hanging="454"/>
    </w:pPr>
    <w:rPr>
      <w:b/>
      <w:noProof/>
      <w:color w:val="2B3B5F" w:themeColor="text2"/>
    </w:rPr>
  </w:style>
  <w:style w:type="paragraph" w:styleId="TOC2">
    <w:name w:val="toc 2"/>
    <w:basedOn w:val="Normal"/>
    <w:next w:val="Normal"/>
    <w:uiPriority w:val="39"/>
    <w:rsid w:val="001B2C65"/>
    <w:pPr>
      <w:tabs>
        <w:tab w:val="left" w:pos="1021"/>
        <w:tab w:val="right" w:leader="underscore" w:pos="8165"/>
      </w:tabs>
      <w:spacing w:after="227"/>
      <w:ind w:left="1021" w:right="851" w:hanging="567"/>
    </w:pPr>
    <w:rPr>
      <w:noProof/>
      <w:szCs w:val="28"/>
    </w:rPr>
  </w:style>
  <w:style w:type="paragraph" w:styleId="TOC3">
    <w:name w:val="toc 3"/>
    <w:basedOn w:val="Normal"/>
    <w:next w:val="Normal"/>
    <w:uiPriority w:val="39"/>
    <w:rsid w:val="001B2C65"/>
    <w:pPr>
      <w:tabs>
        <w:tab w:val="left" w:pos="1758"/>
        <w:tab w:val="right" w:leader="underscore" w:pos="8165"/>
      </w:tabs>
      <w:spacing w:after="227"/>
      <w:ind w:left="1758" w:right="851" w:hanging="737"/>
    </w:pPr>
    <w:rPr>
      <w:rFonts w:eastAsiaTheme="minorEastAsia"/>
      <w:noProof/>
    </w:rPr>
  </w:style>
  <w:style w:type="paragraph" w:styleId="TOC4">
    <w:name w:val="toc 4"/>
    <w:basedOn w:val="Normal"/>
    <w:uiPriority w:val="39"/>
    <w:rsid w:val="006C5E72"/>
    <w:pPr>
      <w:tabs>
        <w:tab w:val="right" w:leader="underscore" w:pos="8165"/>
      </w:tabs>
      <w:spacing w:after="80"/>
      <w:ind w:right="851"/>
    </w:pPr>
    <w:rPr>
      <w:noProof/>
    </w:rPr>
  </w:style>
  <w:style w:type="paragraph" w:styleId="TOC5">
    <w:name w:val="toc 5"/>
    <w:basedOn w:val="Normal"/>
    <w:next w:val="Normal"/>
    <w:autoRedefine/>
    <w:rsid w:val="0096618E"/>
    <w:pPr>
      <w:tabs>
        <w:tab w:val="right" w:leader="underscore" w:pos="8165"/>
      </w:tabs>
      <w:spacing w:after="227"/>
      <w:ind w:right="851"/>
    </w:pPr>
    <w:rPr>
      <w:b/>
      <w:color w:val="2B3B5F" w:themeColor="text2"/>
    </w:rPr>
  </w:style>
  <w:style w:type="paragraph" w:styleId="TOC6">
    <w:name w:val="toc 6"/>
    <w:basedOn w:val="Normal"/>
    <w:next w:val="Normal"/>
    <w:autoRedefine/>
    <w:semiHidden/>
    <w:rsid w:val="00961DBB"/>
    <w:pPr>
      <w:spacing w:after="100"/>
      <w:ind w:left="1000"/>
    </w:pPr>
  </w:style>
  <w:style w:type="paragraph" w:styleId="TOC7">
    <w:name w:val="toc 7"/>
    <w:basedOn w:val="Normal"/>
    <w:next w:val="Normal"/>
    <w:autoRedefine/>
    <w:semiHidden/>
    <w:rsid w:val="00961DBB"/>
    <w:pPr>
      <w:spacing w:after="100"/>
      <w:ind w:left="1200"/>
    </w:pPr>
  </w:style>
  <w:style w:type="paragraph" w:styleId="TOC8">
    <w:name w:val="toc 8"/>
    <w:basedOn w:val="Normal"/>
    <w:next w:val="Normal"/>
    <w:autoRedefine/>
    <w:rsid w:val="00961DBB"/>
    <w:pPr>
      <w:tabs>
        <w:tab w:val="right" w:leader="dot" w:pos="9582"/>
      </w:tabs>
      <w:spacing w:after="227"/>
      <w:ind w:right="907"/>
    </w:pPr>
    <w:rPr>
      <w:color w:val="2B3B5F" w:themeColor="text2"/>
    </w:rPr>
  </w:style>
  <w:style w:type="paragraph" w:styleId="TOCHeading">
    <w:name w:val="TOC Heading"/>
    <w:basedOn w:val="Normal"/>
    <w:rsid w:val="00733970"/>
    <w:pPr>
      <w:tabs>
        <w:tab w:val="left" w:pos="1134"/>
        <w:tab w:val="left" w:pos="2268"/>
        <w:tab w:val="left" w:pos="3402"/>
        <w:tab w:val="left" w:pos="4536"/>
        <w:tab w:val="left" w:pos="5103"/>
      </w:tabs>
      <w:spacing w:before="480" w:after="340" w:line="240" w:lineRule="auto"/>
    </w:pPr>
    <w:rPr>
      <w:rFonts w:asciiTheme="majorHAnsi" w:hAnsiTheme="majorHAnsi"/>
      <w:color w:val="2B3B5F" w:themeColor="text2"/>
      <w:sz w:val="40"/>
      <w:szCs w:val="40"/>
    </w:rPr>
  </w:style>
  <w:style w:type="paragraph" w:customStyle="1" w:styleId="TOFHeading">
    <w:name w:val="TOF Heading"/>
    <w:basedOn w:val="Normal"/>
    <w:rsid w:val="00961DBB"/>
    <w:pPr>
      <w:keepNext/>
      <w:tabs>
        <w:tab w:val="left" w:pos="2268"/>
      </w:tabs>
      <w:spacing w:before="300" w:after="120"/>
    </w:pPr>
    <w:rPr>
      <w:color w:val="2B3B5F" w:themeColor="text2"/>
      <w:sz w:val="28"/>
      <w:szCs w:val="32"/>
    </w:rPr>
  </w:style>
  <w:style w:type="paragraph" w:customStyle="1" w:styleId="xDisclaimerHeading">
    <w:name w:val="xDisclaimer Heading"/>
    <w:basedOn w:val="Normal"/>
    <w:link w:val="xDisclaimerHeadingChar"/>
    <w:rsid w:val="00961DBB"/>
    <w:pPr>
      <w:framePr w:hSpace="181" w:wrap="around" w:hAnchor="margin" w:y="4310"/>
      <w:spacing w:before="170" w:after="57" w:line="280" w:lineRule="atLeast"/>
      <w:suppressOverlap/>
    </w:pPr>
    <w:rPr>
      <w:b/>
    </w:rPr>
  </w:style>
  <w:style w:type="character" w:customStyle="1" w:styleId="xDisclaimerHeadingChar">
    <w:name w:val="xDisclaimer Heading Char"/>
    <w:basedOn w:val="DefaultParagraphFont"/>
    <w:link w:val="xDisclaimerHeading"/>
    <w:rsid w:val="000E266E"/>
    <w:rPr>
      <w:b/>
    </w:rPr>
  </w:style>
  <w:style w:type="paragraph" w:customStyle="1" w:styleId="xDisclaimerText">
    <w:name w:val="xDisclaimer Text"/>
    <w:basedOn w:val="Normal"/>
    <w:rsid w:val="00961DBB"/>
    <w:pPr>
      <w:spacing w:after="57" w:line="302" w:lineRule="atLeast"/>
    </w:pPr>
    <w:rPr>
      <w:rFonts w:cs="Times New Roman"/>
    </w:rPr>
  </w:style>
  <w:style w:type="paragraph" w:customStyle="1" w:styleId="xDisclaimerText2">
    <w:name w:val="xDisclaimer Text 2"/>
    <w:basedOn w:val="xDisclaimerHeading"/>
    <w:rsid w:val="00961DBB"/>
    <w:pPr>
      <w:framePr w:wrap="around"/>
      <w:spacing w:before="0" w:after="170" w:line="302" w:lineRule="atLeast"/>
    </w:pPr>
    <w:rPr>
      <w:b w:val="0"/>
    </w:rPr>
  </w:style>
  <w:style w:type="paragraph" w:customStyle="1" w:styleId="xDisclaimertext3">
    <w:name w:val="xDisclaimer text 3"/>
    <w:basedOn w:val="xDisclaimerText"/>
    <w:rsid w:val="00961DBB"/>
    <w:pPr>
      <w:spacing w:before="170" w:after="170"/>
    </w:pPr>
  </w:style>
  <w:style w:type="paragraph" w:customStyle="1" w:styleId="xInlineShape">
    <w:name w:val="xInlineShape"/>
    <w:basedOn w:val="Normal"/>
    <w:next w:val="BodyText"/>
    <w:rsid w:val="009A3E58"/>
    <w:pPr>
      <w:keepNext/>
      <w:spacing w:before="300" w:after="120" w:line="240" w:lineRule="auto"/>
    </w:pPr>
  </w:style>
  <w:style w:type="paragraph" w:customStyle="1" w:styleId="xStatus">
    <w:name w:val="xStatus"/>
    <w:basedOn w:val="Normal"/>
    <w:semiHidden/>
    <w:rsid w:val="0094468E"/>
    <w:pPr>
      <w:tabs>
        <w:tab w:val="left" w:pos="1134"/>
        <w:tab w:val="left" w:pos="2268"/>
        <w:tab w:val="left" w:pos="3402"/>
        <w:tab w:val="left" w:pos="4536"/>
        <w:tab w:val="left" w:pos="5103"/>
      </w:tabs>
      <w:spacing w:line="2000" w:lineRule="exact"/>
      <w:jc w:val="center"/>
    </w:pPr>
    <w:rPr>
      <w:caps/>
      <w:color w:val="EAEAEA"/>
      <w:spacing w:val="40"/>
      <w:sz w:val="200"/>
    </w:rPr>
  </w:style>
  <w:style w:type="paragraph" w:customStyle="1" w:styleId="xDisclaimerHeadingwithxDisclaimerText">
    <w:name w:val="xDisclaimer Heading (with xDisclaimer Text)"/>
    <w:basedOn w:val="xDisclaimerHeading"/>
    <w:link w:val="xDisclaimerHeadingwithxDisclaimerTextChar"/>
    <w:rsid w:val="00961DBB"/>
    <w:pPr>
      <w:framePr w:wrap="around"/>
    </w:pPr>
  </w:style>
  <w:style w:type="character" w:customStyle="1" w:styleId="xDisclaimerHeadingwithxDisclaimerTextChar">
    <w:name w:val="xDisclaimer Heading (with xDisclaimer Text) Char"/>
    <w:basedOn w:val="xDisclaimerHeadingChar"/>
    <w:link w:val="xDisclaimerHeadingwithxDisclaimerText"/>
    <w:rsid w:val="000E266E"/>
    <w:rPr>
      <w:b/>
    </w:rPr>
  </w:style>
  <w:style w:type="character" w:styleId="Hyperlink">
    <w:name w:val="Hyperlink"/>
    <w:basedOn w:val="DefaultParagraphFont"/>
    <w:uiPriority w:val="99"/>
    <w:unhideWhenUsed/>
    <w:rsid w:val="00903E3F"/>
    <w:rPr>
      <w:color w:val="auto"/>
      <w:u w:val="single"/>
    </w:rPr>
  </w:style>
  <w:style w:type="paragraph" w:styleId="BalloonText">
    <w:name w:val="Balloon Text"/>
    <w:basedOn w:val="Normal"/>
    <w:link w:val="BalloonTextChar"/>
    <w:semiHidden/>
    <w:unhideWhenUsed/>
    <w:rsid w:val="00903E3F"/>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E266E"/>
    <w:rPr>
      <w:rFonts w:ascii="Tahoma" w:hAnsi="Tahoma" w:cs="Tahoma"/>
      <w:sz w:val="16"/>
      <w:szCs w:val="16"/>
    </w:rPr>
  </w:style>
  <w:style w:type="paragraph" w:customStyle="1" w:styleId="CaptionBefore12pt">
    <w:name w:val="Caption + Before: 12pt"/>
    <w:basedOn w:val="Caption"/>
    <w:rsid w:val="00FD6119"/>
    <w:pPr>
      <w:spacing w:before="240"/>
    </w:pPr>
  </w:style>
  <w:style w:type="paragraph" w:customStyle="1" w:styleId="xBackPageWebAddress">
    <w:name w:val="xBack Page Web Address"/>
    <w:basedOn w:val="Normal"/>
    <w:rsid w:val="00F31392"/>
    <w:pPr>
      <w:spacing w:before="140" w:line="240" w:lineRule="atLeast"/>
    </w:pPr>
    <w:rPr>
      <w:rFonts w:asciiTheme="majorHAnsi" w:hAnsiTheme="majorHAnsi"/>
      <w:color w:val="FFFFFF"/>
      <w:spacing w:val="-6"/>
      <w:sz w:val="40"/>
      <w:szCs w:val="36"/>
    </w:rPr>
  </w:style>
  <w:style w:type="paragraph" w:customStyle="1" w:styleId="Heading1NoNumbering">
    <w:name w:val="Heading 1 No Numbering"/>
    <w:basedOn w:val="Heading1"/>
    <w:qFormat/>
    <w:rsid w:val="00C046C2"/>
    <w:pPr>
      <w:numPr>
        <w:numId w:val="0"/>
      </w:numPr>
    </w:pPr>
  </w:style>
  <w:style w:type="paragraph" w:styleId="TableofFigures">
    <w:name w:val="table of figures"/>
    <w:basedOn w:val="Normal"/>
    <w:next w:val="Normal"/>
    <w:uiPriority w:val="99"/>
    <w:rsid w:val="00D64CE2"/>
    <w:pPr>
      <w:tabs>
        <w:tab w:val="right" w:leader="underscore" w:pos="8165"/>
      </w:tabs>
      <w:spacing w:after="80"/>
      <w:ind w:right="851"/>
    </w:pPr>
  </w:style>
  <w:style w:type="paragraph" w:customStyle="1" w:styleId="SectionHeadingNoTOC">
    <w:name w:val="Section Heading No TOC"/>
    <w:basedOn w:val="SectionHeading"/>
    <w:rsid w:val="00E45766"/>
  </w:style>
  <w:style w:type="paragraph" w:customStyle="1" w:styleId="TableTextCentred">
    <w:name w:val="Table Text Centred"/>
    <w:basedOn w:val="TableText"/>
    <w:qFormat/>
    <w:rsid w:val="00C046C2"/>
    <w:pPr>
      <w:jc w:val="center"/>
    </w:pPr>
    <w:rPr>
      <w:rFonts w:eastAsia="Times New Roman"/>
      <w:lang w:eastAsia="en-AU"/>
    </w:rPr>
  </w:style>
  <w:style w:type="paragraph" w:customStyle="1" w:styleId="FooterRightPageNumberLS">
    <w:name w:val="Footer Right Page Number LS"/>
    <w:basedOn w:val="Normal"/>
    <w:rsid w:val="004E0E49"/>
    <w:pPr>
      <w:framePr w:wrap="auto" w:hAnchor="text" w:x="1"/>
      <w:spacing w:before="180" w:after="120" w:line="240" w:lineRule="auto"/>
      <w:ind w:right="283"/>
      <w:jc w:val="right"/>
    </w:pPr>
    <w:rPr>
      <w:rFonts w:eastAsia="Times New Roman" w:cs="Arial"/>
      <w:b/>
      <w:noProof/>
      <w:color w:val="788184" w:themeColor="background2"/>
      <w:lang w:eastAsia="en-AU"/>
    </w:rPr>
  </w:style>
  <w:style w:type="character" w:customStyle="1" w:styleId="MyBoldItalicsUnderline">
    <w:name w:val="MyBoldItalicsUnderline"/>
    <w:uiPriority w:val="99"/>
    <w:rsid w:val="000E266E"/>
    <w:rPr>
      <w:b/>
      <w:i/>
      <w:u w:val="single"/>
      <w:vertAlign w:val="baseline"/>
    </w:rPr>
  </w:style>
  <w:style w:type="character" w:customStyle="1" w:styleId="MyBoldUnderline">
    <w:name w:val="MyBoldUnderline"/>
    <w:uiPriority w:val="99"/>
    <w:rsid w:val="000E266E"/>
    <w:rPr>
      <w:b/>
      <w:i/>
      <w:u w:val="single"/>
      <w:vertAlign w:val="baseline"/>
    </w:rPr>
  </w:style>
  <w:style w:type="character" w:customStyle="1" w:styleId="MyItalicsUnderline">
    <w:name w:val="MyItalicsUnderline"/>
    <w:uiPriority w:val="99"/>
    <w:rsid w:val="000E266E"/>
    <w:rPr>
      <w:b/>
      <w:i/>
      <w:u w:val="single"/>
      <w:vertAlign w:val="baseline"/>
    </w:rPr>
  </w:style>
  <w:style w:type="character" w:customStyle="1" w:styleId="MyUnderline">
    <w:name w:val="MyUnderline"/>
    <w:uiPriority w:val="99"/>
    <w:rsid w:val="000E266E"/>
    <w:rPr>
      <w:b w:val="0"/>
      <w:i w:val="0"/>
      <w:u w:val="single"/>
      <w:vertAlign w:val="baseline"/>
    </w:rPr>
  </w:style>
  <w:style w:type="paragraph" w:styleId="NormalWeb">
    <w:name w:val="Normal (Web)"/>
    <w:basedOn w:val="Normal"/>
    <w:uiPriority w:val="99"/>
    <w:semiHidden/>
    <w:unhideWhenUsed/>
    <w:rsid w:val="00EA35D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OC9">
    <w:name w:val="toc 9"/>
    <w:basedOn w:val="Normal"/>
    <w:next w:val="Normal"/>
    <w:autoRedefine/>
    <w:semiHidden/>
    <w:unhideWhenUsed/>
    <w:rsid w:val="0092516D"/>
    <w:pPr>
      <w:spacing w:after="100"/>
      <w:ind w:left="1760"/>
    </w:pPr>
  </w:style>
  <w:style w:type="character" w:styleId="CommentReference">
    <w:name w:val="annotation reference"/>
    <w:basedOn w:val="DefaultParagraphFont"/>
    <w:semiHidden/>
    <w:unhideWhenUsed/>
    <w:rsid w:val="00DF335C"/>
    <w:rPr>
      <w:sz w:val="16"/>
      <w:szCs w:val="16"/>
    </w:rPr>
  </w:style>
  <w:style w:type="paragraph" w:styleId="CommentText">
    <w:name w:val="annotation text"/>
    <w:basedOn w:val="Normal"/>
    <w:link w:val="CommentTextChar"/>
    <w:semiHidden/>
    <w:unhideWhenUsed/>
    <w:rsid w:val="00DF335C"/>
    <w:pPr>
      <w:spacing w:line="240" w:lineRule="auto"/>
    </w:pPr>
    <w:rPr>
      <w:sz w:val="20"/>
      <w:szCs w:val="20"/>
    </w:rPr>
  </w:style>
  <w:style w:type="character" w:customStyle="1" w:styleId="CommentTextChar">
    <w:name w:val="Comment Text Char"/>
    <w:basedOn w:val="DefaultParagraphFont"/>
    <w:link w:val="CommentText"/>
    <w:semiHidden/>
    <w:rsid w:val="00DF335C"/>
    <w:rPr>
      <w:sz w:val="20"/>
      <w:szCs w:val="20"/>
    </w:rPr>
  </w:style>
  <w:style w:type="paragraph" w:styleId="CommentSubject">
    <w:name w:val="annotation subject"/>
    <w:basedOn w:val="CommentText"/>
    <w:next w:val="CommentText"/>
    <w:link w:val="CommentSubjectChar"/>
    <w:semiHidden/>
    <w:unhideWhenUsed/>
    <w:rsid w:val="00DF335C"/>
    <w:rPr>
      <w:b/>
      <w:bCs/>
    </w:rPr>
  </w:style>
  <w:style w:type="character" w:customStyle="1" w:styleId="CommentSubjectChar">
    <w:name w:val="Comment Subject Char"/>
    <w:basedOn w:val="CommentTextChar"/>
    <w:link w:val="CommentSubject"/>
    <w:semiHidden/>
    <w:rsid w:val="00DF335C"/>
    <w:rPr>
      <w:b/>
      <w:bCs/>
      <w:sz w:val="20"/>
      <w:szCs w:val="20"/>
    </w:rPr>
  </w:style>
  <w:style w:type="paragraph" w:styleId="ListParagraph">
    <w:name w:val="List Paragraph"/>
    <w:basedOn w:val="Normal"/>
    <w:uiPriority w:val="72"/>
    <w:qFormat/>
    <w:rsid w:val="00C046C2"/>
    <w:pPr>
      <w:ind w:left="720"/>
      <w:contextualSpacing/>
    </w:pPr>
    <w:rPr>
      <w:rFonts w:ascii="Cambria" w:eastAsia="Cambria" w:hAnsi="Cambria" w:cs="Times New Roman"/>
    </w:rPr>
  </w:style>
  <w:style w:type="paragraph" w:styleId="Revision">
    <w:name w:val="Revision"/>
    <w:hidden/>
    <w:uiPriority w:val="99"/>
    <w:semiHidden/>
    <w:rsid w:val="00FE643A"/>
    <w:pPr>
      <w:spacing w:line="240" w:lineRule="auto"/>
    </w:pPr>
  </w:style>
  <w:style w:type="paragraph" w:customStyle="1" w:styleId="Caption1">
    <w:name w:val="Caption1"/>
    <w:basedOn w:val="Caption"/>
    <w:link w:val="Caption1Char"/>
    <w:qFormat/>
    <w:rsid w:val="00C300D5"/>
    <w:pPr>
      <w:spacing w:before="240" w:after="0"/>
      <w:jc w:val="center"/>
    </w:pPr>
  </w:style>
  <w:style w:type="paragraph" w:customStyle="1" w:styleId="Caption2">
    <w:name w:val="Caption2"/>
    <w:basedOn w:val="Caption1"/>
    <w:link w:val="Caption2Char"/>
    <w:qFormat/>
    <w:rsid w:val="00475A3B"/>
    <w:pPr>
      <w:spacing w:before="0"/>
    </w:pPr>
    <w:rPr>
      <w:b w:val="0"/>
    </w:rPr>
  </w:style>
  <w:style w:type="character" w:customStyle="1" w:styleId="CaptionChar">
    <w:name w:val="Caption Char"/>
    <w:basedOn w:val="DefaultParagraphFont"/>
    <w:link w:val="Caption"/>
    <w:rsid w:val="00475A3B"/>
    <w:rPr>
      <w:b/>
      <w:bCs/>
      <w:color w:val="2B3B5F" w:themeColor="text2"/>
      <w:spacing w:val="-4"/>
    </w:rPr>
  </w:style>
  <w:style w:type="character" w:customStyle="1" w:styleId="Caption1Char">
    <w:name w:val="Caption1 Char"/>
    <w:basedOn w:val="CaptionChar"/>
    <w:link w:val="Caption1"/>
    <w:rsid w:val="00C300D5"/>
    <w:rPr>
      <w:b/>
      <w:bCs/>
      <w:color w:val="2B3B5F" w:themeColor="text2"/>
      <w:spacing w:val="-4"/>
    </w:rPr>
  </w:style>
  <w:style w:type="paragraph" w:customStyle="1" w:styleId="Source1">
    <w:name w:val="Source1"/>
    <w:basedOn w:val="Source"/>
    <w:link w:val="Source1Char"/>
    <w:autoRedefine/>
    <w:qFormat/>
    <w:rsid w:val="00F33957"/>
    <w:pPr>
      <w:spacing w:before="120" w:after="0" w:line="240" w:lineRule="auto"/>
      <w:contextualSpacing w:val="0"/>
    </w:pPr>
    <w:rPr>
      <w:sz w:val="18"/>
      <w:szCs w:val="18"/>
    </w:rPr>
  </w:style>
  <w:style w:type="character" w:customStyle="1" w:styleId="Caption2Char">
    <w:name w:val="Caption2 Char"/>
    <w:basedOn w:val="Caption1Char"/>
    <w:link w:val="Caption2"/>
    <w:rsid w:val="00475A3B"/>
    <w:rPr>
      <w:b w:val="0"/>
      <w:bCs/>
      <w:color w:val="2B3B5F" w:themeColor="text2"/>
      <w:spacing w:val="-4"/>
    </w:rPr>
  </w:style>
  <w:style w:type="character" w:customStyle="1" w:styleId="SourceChar">
    <w:name w:val="Source Char"/>
    <w:basedOn w:val="DefaultParagraphFont"/>
    <w:link w:val="Source"/>
    <w:rsid w:val="007A5769"/>
    <w:rPr>
      <w:rFonts w:cs="Times New Roman"/>
      <w:color w:val="788184" w:themeColor="background2"/>
      <w:sz w:val="20"/>
      <w:szCs w:val="14"/>
    </w:rPr>
  </w:style>
  <w:style w:type="character" w:customStyle="1" w:styleId="Source1Char">
    <w:name w:val="Source1 Char"/>
    <w:basedOn w:val="SourceChar"/>
    <w:link w:val="Source1"/>
    <w:rsid w:val="00F33957"/>
    <w:rPr>
      <w:rFonts w:cs="Times New Roman"/>
      <w:color w:val="788184" w:themeColor="background2"/>
      <w:sz w:val="18"/>
      <w:szCs w:val="18"/>
    </w:rPr>
  </w:style>
  <w:style w:type="paragraph" w:customStyle="1" w:styleId="Caption4">
    <w:name w:val="Caption 4"/>
    <w:basedOn w:val="Caption2"/>
    <w:link w:val="Caption4Char"/>
    <w:qFormat/>
    <w:rsid w:val="007B095E"/>
    <w:pPr>
      <w:spacing w:before="60" w:line="240" w:lineRule="auto"/>
    </w:pPr>
    <w:rPr>
      <w:sz w:val="20"/>
      <w:szCs w:val="18"/>
    </w:rPr>
  </w:style>
  <w:style w:type="paragraph" w:customStyle="1" w:styleId="Source10">
    <w:name w:val="Source 1"/>
    <w:basedOn w:val="Source"/>
    <w:link w:val="Source1Char0"/>
    <w:rsid w:val="00187D0A"/>
    <w:pPr>
      <w:spacing w:before="0" w:after="0"/>
    </w:pPr>
    <w:rPr>
      <w:sz w:val="18"/>
      <w:szCs w:val="18"/>
    </w:rPr>
  </w:style>
  <w:style w:type="character" w:customStyle="1" w:styleId="Caption4Char">
    <w:name w:val="Caption 4 Char"/>
    <w:basedOn w:val="Caption2Char"/>
    <w:link w:val="Caption4"/>
    <w:rsid w:val="007B095E"/>
    <w:rPr>
      <w:b w:val="0"/>
      <w:bCs/>
      <w:color w:val="2B3B5F" w:themeColor="text2"/>
      <w:spacing w:val="-4"/>
      <w:sz w:val="20"/>
      <w:szCs w:val="18"/>
    </w:rPr>
  </w:style>
  <w:style w:type="character" w:customStyle="1" w:styleId="Source1Char0">
    <w:name w:val="Source 1 Char"/>
    <w:basedOn w:val="SourceChar"/>
    <w:link w:val="Source10"/>
    <w:rsid w:val="00187D0A"/>
    <w:rPr>
      <w:rFonts w:cs="Times New Roman"/>
      <w:color w:val="788184" w:themeColor="background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234839">
      <w:bodyDiv w:val="1"/>
      <w:marLeft w:val="0"/>
      <w:marRight w:val="0"/>
      <w:marTop w:val="0"/>
      <w:marBottom w:val="0"/>
      <w:divBdr>
        <w:top w:val="none" w:sz="0" w:space="0" w:color="auto"/>
        <w:left w:val="none" w:sz="0" w:space="0" w:color="auto"/>
        <w:bottom w:val="none" w:sz="0" w:space="0" w:color="auto"/>
        <w:right w:val="none" w:sz="0" w:space="0" w:color="auto"/>
      </w:divBdr>
    </w:div>
    <w:div w:id="243496759">
      <w:bodyDiv w:val="1"/>
      <w:marLeft w:val="0"/>
      <w:marRight w:val="0"/>
      <w:marTop w:val="0"/>
      <w:marBottom w:val="0"/>
      <w:divBdr>
        <w:top w:val="none" w:sz="0" w:space="0" w:color="auto"/>
        <w:left w:val="none" w:sz="0" w:space="0" w:color="auto"/>
        <w:bottom w:val="none" w:sz="0" w:space="0" w:color="auto"/>
        <w:right w:val="none" w:sz="0" w:space="0" w:color="auto"/>
      </w:divBdr>
    </w:div>
    <w:div w:id="751849762">
      <w:bodyDiv w:val="1"/>
      <w:marLeft w:val="0"/>
      <w:marRight w:val="0"/>
      <w:marTop w:val="0"/>
      <w:marBottom w:val="0"/>
      <w:divBdr>
        <w:top w:val="none" w:sz="0" w:space="0" w:color="auto"/>
        <w:left w:val="none" w:sz="0" w:space="0" w:color="auto"/>
        <w:bottom w:val="none" w:sz="0" w:space="0" w:color="auto"/>
        <w:right w:val="none" w:sz="0" w:space="0" w:color="auto"/>
      </w:divBdr>
    </w:div>
    <w:div w:id="883062237">
      <w:bodyDiv w:val="1"/>
      <w:marLeft w:val="0"/>
      <w:marRight w:val="0"/>
      <w:marTop w:val="0"/>
      <w:marBottom w:val="0"/>
      <w:divBdr>
        <w:top w:val="none" w:sz="0" w:space="0" w:color="auto"/>
        <w:left w:val="none" w:sz="0" w:space="0" w:color="auto"/>
        <w:bottom w:val="none" w:sz="0" w:space="0" w:color="auto"/>
        <w:right w:val="none" w:sz="0" w:space="0" w:color="auto"/>
      </w:divBdr>
    </w:div>
    <w:div w:id="1068964277">
      <w:bodyDiv w:val="1"/>
      <w:marLeft w:val="0"/>
      <w:marRight w:val="0"/>
      <w:marTop w:val="0"/>
      <w:marBottom w:val="0"/>
      <w:divBdr>
        <w:top w:val="none" w:sz="0" w:space="0" w:color="auto"/>
        <w:left w:val="none" w:sz="0" w:space="0" w:color="auto"/>
        <w:bottom w:val="none" w:sz="0" w:space="0" w:color="auto"/>
        <w:right w:val="none" w:sz="0" w:space="0" w:color="auto"/>
      </w:divBdr>
    </w:div>
    <w:div w:id="1108279874">
      <w:bodyDiv w:val="1"/>
      <w:marLeft w:val="0"/>
      <w:marRight w:val="0"/>
      <w:marTop w:val="0"/>
      <w:marBottom w:val="0"/>
      <w:divBdr>
        <w:top w:val="none" w:sz="0" w:space="0" w:color="auto"/>
        <w:left w:val="none" w:sz="0" w:space="0" w:color="auto"/>
        <w:bottom w:val="none" w:sz="0" w:space="0" w:color="auto"/>
        <w:right w:val="none" w:sz="0" w:space="0" w:color="auto"/>
      </w:divBdr>
    </w:div>
    <w:div w:id="1155727633">
      <w:bodyDiv w:val="1"/>
      <w:marLeft w:val="0"/>
      <w:marRight w:val="0"/>
      <w:marTop w:val="0"/>
      <w:marBottom w:val="0"/>
      <w:divBdr>
        <w:top w:val="none" w:sz="0" w:space="0" w:color="auto"/>
        <w:left w:val="none" w:sz="0" w:space="0" w:color="auto"/>
        <w:bottom w:val="none" w:sz="0" w:space="0" w:color="auto"/>
        <w:right w:val="none" w:sz="0" w:space="0" w:color="auto"/>
      </w:divBdr>
    </w:div>
    <w:div w:id="184701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footer" Target="footer8.xml"/><Relationship Id="rId39" Type="http://schemas.openxmlformats.org/officeDocument/2006/relationships/image" Target="media/image15.png"/><Relationship Id="rId21" Type="http://schemas.openxmlformats.org/officeDocument/2006/relationships/footer" Target="footer3.xml"/><Relationship Id="rId34" Type="http://schemas.openxmlformats.org/officeDocument/2006/relationships/image" Target="media/image10.png"/><Relationship Id="rId42" Type="http://schemas.openxmlformats.org/officeDocument/2006/relationships/image" Target="media/image18.png"/><Relationship Id="rId47" Type="http://schemas.openxmlformats.org/officeDocument/2006/relationships/image" Target="media/image23.png"/><Relationship Id="rId50" Type="http://schemas.openxmlformats.org/officeDocument/2006/relationships/header" Target="header9.xml"/><Relationship Id="rId55" Type="http://schemas.openxmlformats.org/officeDocument/2006/relationships/image" Target="media/image25.png"/><Relationship Id="rId63" Type="http://schemas.openxmlformats.org/officeDocument/2006/relationships/footer" Target="footer13.xml"/><Relationship Id="rId68" Type="http://schemas.openxmlformats.org/officeDocument/2006/relationships/image" Target="media/image31.png"/><Relationship Id="rId7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5.png"/><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image" Target="media/image16.png"/><Relationship Id="rId45" Type="http://schemas.openxmlformats.org/officeDocument/2006/relationships/image" Target="media/image21.png"/><Relationship Id="rId53" Type="http://schemas.openxmlformats.org/officeDocument/2006/relationships/header" Target="header10.xml"/><Relationship Id="rId58" Type="http://schemas.openxmlformats.org/officeDocument/2006/relationships/image" Target="media/image28.png"/><Relationship Id="rId66" Type="http://schemas.openxmlformats.org/officeDocument/2006/relationships/image" Target="media/image30.png"/><Relationship Id="rId7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yperlink" Target="http://www.itsanhonour.gov.au/coat-arms" TargetMode="External"/><Relationship Id="rId23" Type="http://schemas.openxmlformats.org/officeDocument/2006/relationships/footer" Target="footer5.xml"/><Relationship Id="rId28" Type="http://schemas.openxmlformats.org/officeDocument/2006/relationships/image" Target="media/image4.png"/><Relationship Id="rId36" Type="http://schemas.openxmlformats.org/officeDocument/2006/relationships/image" Target="media/image12.png"/><Relationship Id="rId49" Type="http://schemas.openxmlformats.org/officeDocument/2006/relationships/header" Target="header8.xml"/><Relationship Id="rId57" Type="http://schemas.openxmlformats.org/officeDocument/2006/relationships/image" Target="media/image27.png"/><Relationship Id="rId61"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7.png"/><Relationship Id="rId44" Type="http://schemas.openxmlformats.org/officeDocument/2006/relationships/image" Target="media/image20.png"/><Relationship Id="rId52" Type="http://schemas.openxmlformats.org/officeDocument/2006/relationships/footer" Target="footer10.xml"/><Relationship Id="rId60" Type="http://schemas.openxmlformats.org/officeDocument/2006/relationships/header" Target="header11.xml"/><Relationship Id="rId65" Type="http://schemas.openxmlformats.org/officeDocument/2006/relationships/footer" Target="footer14.xml"/><Relationship Id="rId73" Type="http://schemas.openxmlformats.org/officeDocument/2006/relationships/footer" Target="footer16.xml"/><Relationship Id="rId7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creativecommons.org/licenses/by-nc-nd/3.0/au/" TargetMode="External"/><Relationship Id="rId22" Type="http://schemas.openxmlformats.org/officeDocument/2006/relationships/footer" Target="footer4.xm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image" Target="media/image11.png"/><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image" Target="media/image26.emf"/><Relationship Id="rId64" Type="http://schemas.openxmlformats.org/officeDocument/2006/relationships/header" Target="header13.xml"/><Relationship Id="rId69" Type="http://schemas.openxmlformats.org/officeDocument/2006/relationships/hyperlink" Target="http://www.pbo.gov.au/" TargetMode="External"/><Relationship Id="rId77" Type="http://schemas.openxmlformats.org/officeDocument/2006/relationships/glossaryDocument" Target="glossary/document.xml"/><Relationship Id="rId8" Type="http://schemas.openxmlformats.org/officeDocument/2006/relationships/endnotes" Target="endnotes.xml"/><Relationship Id="rId51" Type="http://schemas.openxmlformats.org/officeDocument/2006/relationships/footer" Target="footer9.xml"/><Relationship Id="rId72" Type="http://schemas.openxmlformats.org/officeDocument/2006/relationships/footer" Target="footer1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9.png"/><Relationship Id="rId38" Type="http://schemas.openxmlformats.org/officeDocument/2006/relationships/image" Target="media/image14.png"/><Relationship Id="rId46" Type="http://schemas.openxmlformats.org/officeDocument/2006/relationships/image" Target="media/image22.png"/><Relationship Id="rId59" Type="http://schemas.openxmlformats.org/officeDocument/2006/relationships/image" Target="media/image29.png"/><Relationship Id="rId67" Type="http://schemas.openxmlformats.org/officeDocument/2006/relationships/hyperlink" Target="http://www.pbo.gov.au/" TargetMode="External"/><Relationship Id="rId20" Type="http://schemas.openxmlformats.org/officeDocument/2006/relationships/header" Target="header7.xml"/><Relationship Id="rId41" Type="http://schemas.openxmlformats.org/officeDocument/2006/relationships/image" Target="media/image17.png"/><Relationship Id="rId54" Type="http://schemas.openxmlformats.org/officeDocument/2006/relationships/footer" Target="footer11.xml"/><Relationship Id="rId62" Type="http://schemas.openxmlformats.org/officeDocument/2006/relationships/footer" Target="footer12.xml"/><Relationship Id="rId70" Type="http://schemas.openxmlformats.org/officeDocument/2006/relationships/header" Target="header14.xml"/><Relationship Id="rId75"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webSettings" Target="webSettings.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2.%20Publications\Research%20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3F48F9AF6A242C28604B678CED9555F"/>
        <w:category>
          <w:name w:val="General"/>
          <w:gallery w:val="placeholder"/>
        </w:category>
        <w:types>
          <w:type w:val="bbPlcHdr"/>
        </w:types>
        <w:behaviors>
          <w:behavior w:val="content"/>
        </w:behaviors>
        <w:guid w:val="{C2A05C08-5ED0-4D8B-BF44-A86EE02F1334}"/>
      </w:docPartPr>
      <w:docPartBody>
        <w:p w:rsidR="00C05A40" w:rsidRDefault="00C05A40">
          <w:pPr>
            <w:pStyle w:val="83F48F9AF6A242C28604B678CED9555F"/>
          </w:pPr>
          <w:r w:rsidRPr="004F703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A40"/>
    <w:rsid w:val="000307D7"/>
    <w:rsid w:val="00030960"/>
    <w:rsid w:val="000744E4"/>
    <w:rsid w:val="000A5167"/>
    <w:rsid w:val="000B2571"/>
    <w:rsid w:val="000C535F"/>
    <w:rsid w:val="00113696"/>
    <w:rsid w:val="00116219"/>
    <w:rsid w:val="00183966"/>
    <w:rsid w:val="001E2A1C"/>
    <w:rsid w:val="00206216"/>
    <w:rsid w:val="00227489"/>
    <w:rsid w:val="0025320A"/>
    <w:rsid w:val="00256813"/>
    <w:rsid w:val="00281518"/>
    <w:rsid w:val="002E07B2"/>
    <w:rsid w:val="00314E6D"/>
    <w:rsid w:val="00347B57"/>
    <w:rsid w:val="00396DAD"/>
    <w:rsid w:val="003C662D"/>
    <w:rsid w:val="003D311C"/>
    <w:rsid w:val="00486449"/>
    <w:rsid w:val="004C1EE3"/>
    <w:rsid w:val="00501BAB"/>
    <w:rsid w:val="00550320"/>
    <w:rsid w:val="005724F3"/>
    <w:rsid w:val="005F5361"/>
    <w:rsid w:val="006067D7"/>
    <w:rsid w:val="00612E91"/>
    <w:rsid w:val="006231B2"/>
    <w:rsid w:val="006371E1"/>
    <w:rsid w:val="006F09DF"/>
    <w:rsid w:val="00745F43"/>
    <w:rsid w:val="0076220D"/>
    <w:rsid w:val="00766D04"/>
    <w:rsid w:val="007F69E1"/>
    <w:rsid w:val="008144B3"/>
    <w:rsid w:val="008169B1"/>
    <w:rsid w:val="00821440"/>
    <w:rsid w:val="00833E52"/>
    <w:rsid w:val="0083626B"/>
    <w:rsid w:val="00842829"/>
    <w:rsid w:val="00874D5C"/>
    <w:rsid w:val="00877830"/>
    <w:rsid w:val="008808FC"/>
    <w:rsid w:val="00911EF5"/>
    <w:rsid w:val="00915973"/>
    <w:rsid w:val="00947C24"/>
    <w:rsid w:val="00984269"/>
    <w:rsid w:val="00987841"/>
    <w:rsid w:val="009931BA"/>
    <w:rsid w:val="009D37D1"/>
    <w:rsid w:val="009D75A4"/>
    <w:rsid w:val="009E1AA9"/>
    <w:rsid w:val="009F0D61"/>
    <w:rsid w:val="00A13E51"/>
    <w:rsid w:val="00A2706A"/>
    <w:rsid w:val="00A3056D"/>
    <w:rsid w:val="00A72D1E"/>
    <w:rsid w:val="00A7593E"/>
    <w:rsid w:val="00A83300"/>
    <w:rsid w:val="00AF09A8"/>
    <w:rsid w:val="00B007DC"/>
    <w:rsid w:val="00B173D2"/>
    <w:rsid w:val="00B22510"/>
    <w:rsid w:val="00B36261"/>
    <w:rsid w:val="00B86188"/>
    <w:rsid w:val="00B92994"/>
    <w:rsid w:val="00BD12D0"/>
    <w:rsid w:val="00BE6631"/>
    <w:rsid w:val="00C05A40"/>
    <w:rsid w:val="00C2276F"/>
    <w:rsid w:val="00C626C2"/>
    <w:rsid w:val="00C63230"/>
    <w:rsid w:val="00C76D0F"/>
    <w:rsid w:val="00CC06FA"/>
    <w:rsid w:val="00CE5B72"/>
    <w:rsid w:val="00D55F75"/>
    <w:rsid w:val="00DC400D"/>
    <w:rsid w:val="00DD5BE6"/>
    <w:rsid w:val="00DD7390"/>
    <w:rsid w:val="00DD76DD"/>
    <w:rsid w:val="00DF7D5C"/>
    <w:rsid w:val="00E07C97"/>
    <w:rsid w:val="00E10F46"/>
    <w:rsid w:val="00E147BA"/>
    <w:rsid w:val="00E271BB"/>
    <w:rsid w:val="00E67B89"/>
    <w:rsid w:val="00E722A7"/>
    <w:rsid w:val="00F02921"/>
    <w:rsid w:val="00F118C9"/>
    <w:rsid w:val="00F34558"/>
    <w:rsid w:val="00F56209"/>
    <w:rsid w:val="00F7497C"/>
    <w:rsid w:val="00F75CF7"/>
    <w:rsid w:val="00FB1BA3"/>
    <w:rsid w:val="00FC71AD"/>
    <w:rsid w:val="00FF5900"/>
    <w:rsid w:val="00FF7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83F48F9AF6A242C28604B678CED9555F">
    <w:name w:val="83F48F9AF6A242C28604B678CED9555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83F48F9AF6A242C28604B678CED9555F">
    <w:name w:val="83F48F9AF6A242C28604B678CED9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PBO v1">
      <a:dk1>
        <a:srgbClr val="000000"/>
      </a:dk1>
      <a:lt1>
        <a:srgbClr val="FFFFFF"/>
      </a:lt1>
      <a:dk2>
        <a:srgbClr val="2B3B5F"/>
      </a:dk2>
      <a:lt2>
        <a:srgbClr val="788184"/>
      </a:lt2>
      <a:accent1>
        <a:srgbClr val="2B3B5F"/>
      </a:accent1>
      <a:accent2>
        <a:srgbClr val="95A4C6"/>
      </a:accent2>
      <a:accent3>
        <a:srgbClr val="D7DDE9"/>
      </a:accent3>
      <a:accent4>
        <a:srgbClr val="751D71"/>
      </a:accent4>
      <a:accent5>
        <a:srgbClr val="B267B3"/>
      </a:accent5>
      <a:accent6>
        <a:srgbClr val="788184"/>
      </a:accent6>
      <a:hlink>
        <a:srgbClr val="000000"/>
      </a:hlink>
      <a:folHlink>
        <a:srgbClr val="000000"/>
      </a:folHlink>
    </a:clrScheme>
    <a:fontScheme name="PBO v1">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B3DA7-67AD-4DD2-B7EA-534569D93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 Report.dotm</Template>
  <TotalTime>12390</TotalTime>
  <Pages>40</Pages>
  <Words>9821</Words>
  <Characters>55984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Disability Support Pension - Historical and projected trends </vt:lpstr>
    </vt:vector>
  </TitlesOfParts>
  <Company>Parliament of Australia</Company>
  <LinksUpToDate>false</LinksUpToDate>
  <CharactersWithSpaces>65674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Support Pension - Historical and projected trends </dc:title>
  <dc:creator>PBO@pbo.gov.au</dc:creator>
  <cp:lastModifiedBy>Pratley, Lauren (PBO)</cp:lastModifiedBy>
  <cp:revision>1262</cp:revision>
  <cp:lastPrinted>2018-02-19T04:33:00Z</cp:lastPrinted>
  <dcterms:created xsi:type="dcterms:W3CDTF">2017-11-22T22:33:00Z</dcterms:created>
  <dcterms:modified xsi:type="dcterms:W3CDTF">2018-02-28T00:23:00Z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Status">
    <vt:lpwstr>DRAFT</vt:lpwstr>
  </property>
  <property fmtid="{D5CDD505-2E9C-101B-9397-08002B2CF9AE}" pid="3" name="xTOCH2">
    <vt:lpwstr>Y</vt:lpwstr>
  </property>
  <property fmtid="{D5CDD505-2E9C-101B-9397-08002B2CF9AE}" pid="4" name="xTOCH3">
    <vt:lpwstr>N</vt:lpwstr>
  </property>
  <property fmtid="{D5CDD505-2E9C-101B-9397-08002B2CF9AE}" pid="5" name="xTOCTable">
    <vt:lpwstr>H</vt:lpwstr>
  </property>
  <property fmtid="{D5CDD505-2E9C-101B-9397-08002B2CF9AE}" pid="6" name="xTOCFigure">
    <vt:lpwstr>S</vt:lpwstr>
  </property>
  <property fmtid="{D5CDD505-2E9C-101B-9397-08002B2CF9AE}" pid="7" name="xTOCApp">
    <vt:lpwstr>S</vt:lpwstr>
  </property>
  <property fmtid="{D5CDD505-2E9C-101B-9397-08002B2CF9AE}" pid="8" name="xNumberedBodyText">
    <vt:lpwstr>False</vt:lpwstr>
  </property>
  <property fmtid="{D5CDD505-2E9C-101B-9397-08002B2CF9AE}" pid="9" name="xCR">
    <vt:lpwstr>Figures</vt:lpwstr>
  </property>
  <property fmtid="{D5CDD505-2E9C-101B-9397-08002B2CF9AE}" pid="10" name="xHeadingsNumbered">
    <vt:lpwstr>True</vt:lpwstr>
  </property>
  <property fmtid="{D5CDD505-2E9C-101B-9397-08002B2CF9AE}" pid="11" name="xAppendixName">
    <vt:lpwstr>Appendix</vt:lpwstr>
  </property>
  <property fmtid="{D5CDD505-2E9C-101B-9397-08002B2CF9AE}" pid="12" name="Solution ID">
    <vt:lpwstr>None</vt:lpwstr>
  </property>
  <property fmtid="{D5CDD505-2E9C-101B-9397-08002B2CF9AE}" pid="13" name="_MarkAsFinal">
    <vt:bool>true</vt:bool>
  </property>
</Properties>
</file>