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X="-568" w:tblpY="5779"/>
        <w:tblOverlap w:val="never"/>
        <w:tblW w:w="8845" w:type="dxa"/>
        <w:tblLayout w:type="fixed"/>
        <w:tblLook w:val="04A0" w:firstRow="1" w:lastRow="0" w:firstColumn="1" w:lastColumn="0" w:noHBand="0" w:noVBand="1"/>
      </w:tblPr>
      <w:tblGrid>
        <w:gridCol w:w="8845"/>
      </w:tblGrid>
      <w:tr w:rsidR="00961DBB" w:rsidTr="00A90B6B">
        <w:trPr>
          <w:trHeight w:val="907"/>
        </w:trPr>
        <w:tc>
          <w:tcPr>
            <w:tcW w:w="8845" w:type="dxa"/>
          </w:tcPr>
          <w:p w:rsidR="007275F1" w:rsidRDefault="000856C7" w:rsidP="00A90B6B">
            <w:pPr>
              <w:pStyle w:val="Title"/>
            </w:pPr>
            <w:r>
              <w:t>Unlegislated measures</w:t>
            </w:r>
            <w:r w:rsidR="00684EFD">
              <w:t xml:space="preserve"> carried </w:t>
            </w:r>
            <w:r w:rsidR="00A90B6B">
              <w:br/>
            </w:r>
            <w:r w:rsidR="00684EFD">
              <w:t>forward</w:t>
            </w:r>
            <w:r>
              <w:t xml:space="preserve"> in the </w:t>
            </w:r>
            <w:r w:rsidR="00C279F0">
              <w:t>b</w:t>
            </w:r>
            <w:r>
              <w:t>udget</w:t>
            </w:r>
            <w:r w:rsidR="008B06FA">
              <w:t xml:space="preserve"> estimates</w:t>
            </w:r>
            <w:r w:rsidR="0067384A">
              <w:t>—</w:t>
            </w:r>
            <w:r w:rsidR="00684EFD">
              <w:t xml:space="preserve"> </w:t>
            </w:r>
          </w:p>
          <w:p w:rsidR="00961DBB" w:rsidRDefault="009D7415" w:rsidP="00A90B6B">
            <w:pPr>
              <w:pStyle w:val="Title"/>
            </w:pPr>
            <w:r>
              <w:t>February</w:t>
            </w:r>
            <w:r w:rsidR="00F9458D">
              <w:t xml:space="preserve"> 2017</w:t>
            </w:r>
            <w:r w:rsidR="000856C7">
              <w:t xml:space="preserve"> update </w:t>
            </w:r>
          </w:p>
        </w:tc>
      </w:tr>
      <w:tr w:rsidR="00F20647" w:rsidTr="00A90B6B">
        <w:trPr>
          <w:trHeight w:val="680"/>
        </w:trPr>
        <w:tc>
          <w:tcPr>
            <w:tcW w:w="8845" w:type="dxa"/>
          </w:tcPr>
          <w:p w:rsidR="00F20647" w:rsidRPr="006A7978" w:rsidRDefault="000856C7" w:rsidP="00A90B6B">
            <w:pPr>
              <w:pStyle w:val="Title2"/>
            </w:pPr>
            <w:r>
              <w:t>An update of the proje</w:t>
            </w:r>
            <w:bookmarkStart w:id="0" w:name="_GoBack"/>
            <w:bookmarkEnd w:id="0"/>
            <w:r>
              <w:t>cted impact of unlegislated measures</w:t>
            </w:r>
            <w:r w:rsidR="00D85683">
              <w:t xml:space="preserve"> </w:t>
            </w:r>
            <w:r>
              <w:t>on curren</w:t>
            </w:r>
            <w:r w:rsidR="00C279F0">
              <w:t xml:space="preserve">t budget estimates and over the </w:t>
            </w:r>
            <w:r>
              <w:t xml:space="preserve">medium term </w:t>
            </w:r>
          </w:p>
        </w:tc>
      </w:tr>
      <w:tr w:rsidR="00195228" w:rsidTr="00A90B6B">
        <w:trPr>
          <w:trHeight w:val="765"/>
        </w:trPr>
        <w:tc>
          <w:tcPr>
            <w:tcW w:w="8845" w:type="dxa"/>
          </w:tcPr>
          <w:p w:rsidR="00195228" w:rsidRPr="009541CC" w:rsidRDefault="00EC499F" w:rsidP="00FA5339">
            <w:pPr>
              <w:pStyle w:val="Title3"/>
              <w:framePr w:wrap="auto" w:vAnchor="margin" w:hAnchor="text" w:yAlign="inline"/>
            </w:pPr>
            <w:r>
              <w:t xml:space="preserve">Date issued: </w:t>
            </w:r>
            <w:r w:rsidR="00FA5339">
              <w:t>7</w:t>
            </w:r>
            <w:r w:rsidR="009D7415">
              <w:t xml:space="preserve"> February 2017</w:t>
            </w:r>
          </w:p>
        </w:tc>
      </w:tr>
    </w:tbl>
    <w:p w:rsidR="00961DBB" w:rsidRDefault="00961DBB" w:rsidP="00961DBB"/>
    <w:p w:rsidR="00961DBB" w:rsidRDefault="00961DBB">
      <w:pPr>
        <w:sectPr w:rsidR="00961DBB" w:rsidSect="00477D5A">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5537D4" w:rsidRDefault="005537D4" w:rsidP="005537D4">
      <w:pPr>
        <w:pStyle w:val="Heading1"/>
        <w:spacing w:before="240" w:after="240"/>
      </w:pPr>
      <w:r>
        <w:lastRenderedPageBreak/>
        <w:t>Unlegislated measures carried forward in the budget estimates—February 2017 update</w:t>
      </w:r>
    </w:p>
    <w:p w:rsidR="005537D4" w:rsidRPr="00B04A33" w:rsidRDefault="005537D4" w:rsidP="00B04A33">
      <w:pPr>
        <w:pStyle w:val="BodyText"/>
      </w:pPr>
      <w:r w:rsidRPr="00B04A33">
        <w:t>The Parliamentary Budget Office’s February 2017 update of the impact of unlegislated measures carried forward in the 2016</w:t>
      </w:r>
      <w:r w:rsidR="00B00248">
        <w:t>–</w:t>
      </w:r>
      <w:r w:rsidRPr="00B04A33">
        <w:t xml:space="preserve">17 Mid-Year Economic and Fiscal Outlook (MYEFO) estimates presents the impact of unlegislated measures that are included in the current budget estimates and projections. </w:t>
      </w:r>
      <w:r w:rsidR="00B00248">
        <w:t xml:space="preserve"> </w:t>
      </w:r>
      <w:r w:rsidRPr="00B04A33">
        <w:t xml:space="preserve">It does not include new policy decisions announced in the 2016–17 MYEFO unless they amend existing unlegislated measures. </w:t>
      </w:r>
      <w:r w:rsidR="00B00248">
        <w:t xml:space="preserve"> </w:t>
      </w:r>
      <w:r w:rsidRPr="00B04A33">
        <w:t>It also does not include measures that are yet to be introduced or progressed in the Parliament.</w:t>
      </w:r>
    </w:p>
    <w:p w:rsidR="005537D4" w:rsidRPr="00B04A33" w:rsidRDefault="005537D4" w:rsidP="00A12B2B">
      <w:pPr>
        <w:pStyle w:val="BodyText"/>
        <w:spacing w:after="0"/>
      </w:pPr>
      <w:r w:rsidRPr="00B04A33">
        <w:t>Consistent with earlier publications, unlegislated measure</w:t>
      </w:r>
      <w:r w:rsidR="00FE6343" w:rsidRPr="00B04A33">
        <w:t>s</w:t>
      </w:r>
      <w:r w:rsidRPr="00B04A33">
        <w:t xml:space="preserve"> </w:t>
      </w:r>
      <w:r w:rsidR="00F577B3" w:rsidRPr="00B04A33">
        <w:t>are those measures from the</w:t>
      </w:r>
      <w:r w:rsidR="00B00248">
        <w:br/>
      </w:r>
      <w:r w:rsidR="00F577B3" w:rsidRPr="00B04A33">
        <w:t>2014–15 Budget and subsequent updates that have failed to pass or require legislation that has not been passed by the announced start date.</w:t>
      </w:r>
    </w:p>
    <w:p w:rsidR="00B04A33" w:rsidRPr="00B04A33" w:rsidRDefault="00FE6343" w:rsidP="00B04A33">
      <w:pPr>
        <w:pStyle w:val="BodyText"/>
      </w:pPr>
      <w:r w:rsidRPr="00B04A33">
        <w:t>T</w:t>
      </w:r>
      <w:r w:rsidR="00F577B3" w:rsidRPr="00B04A33">
        <w:t>he projected impacts of unlegislated measures carried forward in the</w:t>
      </w:r>
      <w:r w:rsidRPr="00B04A33">
        <w:t xml:space="preserve"> </w:t>
      </w:r>
      <w:r w:rsidR="00F577B3" w:rsidRPr="00B04A33">
        <w:t xml:space="preserve">2016–17 MYEFO estimates on the fiscal </w:t>
      </w:r>
      <w:r w:rsidR="00B04A33">
        <w:t xml:space="preserve">balance </w:t>
      </w:r>
      <w:r w:rsidRPr="00B04A33">
        <w:t xml:space="preserve">is provided at </w:t>
      </w:r>
      <w:r w:rsidR="00F577B3" w:rsidRPr="00B04A33">
        <w:t>Table 1</w:t>
      </w:r>
      <w:r w:rsidR="00B04A33" w:rsidRPr="00B04A33">
        <w:t>.</w:t>
      </w:r>
      <w:r w:rsidR="00F577B3" w:rsidRPr="00B04A33">
        <w:t xml:space="preserve"> </w:t>
      </w:r>
      <w:r w:rsidR="00B00248">
        <w:t xml:space="preserve"> </w:t>
      </w:r>
      <w:r w:rsidR="00B04A33">
        <w:t>T</w:t>
      </w:r>
      <w:r w:rsidR="00F577B3" w:rsidRPr="00B04A33">
        <w:t>heir projected impact on the underlying cash balance</w:t>
      </w:r>
      <w:r w:rsidR="00B04A33">
        <w:t xml:space="preserve"> is provided at Table 2</w:t>
      </w:r>
      <w:r w:rsidR="00B04A33" w:rsidRPr="00B04A33">
        <w:t>.</w:t>
      </w:r>
    </w:p>
    <w:p w:rsidR="00F577B3" w:rsidRPr="00B04A33" w:rsidRDefault="00F577B3" w:rsidP="00B04A33">
      <w:pPr>
        <w:pStyle w:val="BodyText"/>
      </w:pPr>
      <w:r w:rsidRPr="00B04A33">
        <w:t>Estimates in this update have been adjusted for changes in implementation timing from legislative delays, the impact of the legislation of measures, and changes to parameters and policies in the 2016–17 MYEFO.</w:t>
      </w:r>
    </w:p>
    <w:p w:rsidR="00F577B3" w:rsidRPr="00B04A33" w:rsidRDefault="00F577B3" w:rsidP="00B04A33">
      <w:pPr>
        <w:pStyle w:val="BodyText"/>
      </w:pPr>
      <w:r w:rsidRPr="00B04A33">
        <w:t>Measures that have been implemented or reversed have been excluded from this update.</w:t>
      </w:r>
    </w:p>
    <w:p w:rsidR="00F577B3" w:rsidRDefault="00F577B3" w:rsidP="00F577B3">
      <w:pPr>
        <w:pStyle w:val="BodyText"/>
        <w:spacing w:before="0"/>
      </w:pPr>
    </w:p>
    <w:p w:rsidR="00F577B3" w:rsidRPr="005537D4" w:rsidRDefault="00F577B3" w:rsidP="00F577B3">
      <w:pPr>
        <w:pStyle w:val="BodyText"/>
        <w:spacing w:before="0"/>
        <w:sectPr w:rsidR="00F577B3" w:rsidRPr="005537D4" w:rsidSect="005537D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lowerLetter"/>
          </w:endnotePr>
          <w:pgSz w:w="11907" w:h="16839" w:code="9"/>
          <w:pgMar w:top="1440" w:right="1440" w:bottom="1440" w:left="1440" w:header="284" w:footer="454" w:gutter="0"/>
          <w:cols w:space="708"/>
          <w:docGrid w:linePitch="360"/>
        </w:sectPr>
      </w:pPr>
    </w:p>
    <w:p w:rsidR="00FC0398" w:rsidRPr="001A371F" w:rsidRDefault="00CC672F" w:rsidP="001A371F">
      <w:pPr>
        <w:pStyle w:val="Heading1"/>
        <w:spacing w:before="240" w:after="0"/>
        <w:ind w:left="-180"/>
      </w:pPr>
      <w:r w:rsidRPr="001A371F">
        <w:lastRenderedPageBreak/>
        <w:t xml:space="preserve">Unlegislated measures carried forward in the </w:t>
      </w:r>
      <w:r w:rsidR="00C279F0" w:rsidRPr="001A371F">
        <w:t>b</w:t>
      </w:r>
      <w:r w:rsidRPr="001A371F">
        <w:t>udget</w:t>
      </w:r>
      <w:r w:rsidR="008B06FA" w:rsidRPr="001A371F">
        <w:t xml:space="preserve"> estimates</w:t>
      </w:r>
      <w:r w:rsidR="00135F41" w:rsidRPr="001A371F">
        <w:t>—</w:t>
      </w:r>
      <w:r w:rsidR="009D7415" w:rsidRPr="001A371F">
        <w:t>February 2017</w:t>
      </w:r>
      <w:r w:rsidRPr="001A371F">
        <w:t xml:space="preserve"> update</w:t>
      </w:r>
    </w:p>
    <w:p w:rsidR="009A12CE" w:rsidRDefault="009A12CE" w:rsidP="001A371F">
      <w:pPr>
        <w:pStyle w:val="Caption"/>
        <w:spacing w:before="0" w:after="60"/>
        <w:ind w:left="-180"/>
      </w:pPr>
      <w:r w:rsidRPr="009A12CE">
        <w:t xml:space="preserve">Table </w:t>
      </w:r>
      <w:r w:rsidR="00BC6919">
        <w:fldChar w:fldCharType="begin"/>
      </w:r>
      <w:r w:rsidR="00BC6919">
        <w:instrText xml:space="preserve"> SEQ Table \* ARABIC \s 1 </w:instrText>
      </w:r>
      <w:r w:rsidR="00BC6919">
        <w:fldChar w:fldCharType="separate"/>
      </w:r>
      <w:r w:rsidR="006C1259">
        <w:rPr>
          <w:noProof/>
        </w:rPr>
        <w:t>1</w:t>
      </w:r>
      <w:r w:rsidR="00BC6919">
        <w:rPr>
          <w:noProof/>
        </w:rPr>
        <w:fldChar w:fldCharType="end"/>
      </w:r>
      <w:r w:rsidRPr="009A12CE">
        <w:t xml:space="preserve">: </w:t>
      </w:r>
      <w:r>
        <w:t xml:space="preserve">An update of the projected fiscal balance impact of unlegislated measures carried forward in the current </w:t>
      </w:r>
      <w:r w:rsidR="00B23C74">
        <w:t>2016–17 MYEFO</w:t>
      </w:r>
      <w:r>
        <w:t xml:space="preserve"> estimates over the medium term</w:t>
      </w:r>
      <w:r w:rsidRPr="009A12CE">
        <w:rPr>
          <w:rStyle w:val="FootnoteReference"/>
        </w:rPr>
        <w:footnoteReference w:id="1"/>
      </w:r>
    </w:p>
    <w:tbl>
      <w:tblPr>
        <w:tblW w:w="5064" w:type="pct"/>
        <w:tblInd w:w="-72" w:type="dxa"/>
        <w:tblLayout w:type="fixed"/>
        <w:tblLook w:val="04A0" w:firstRow="1" w:lastRow="0" w:firstColumn="1" w:lastColumn="0" w:noHBand="0" w:noVBand="1"/>
      </w:tblPr>
      <w:tblGrid>
        <w:gridCol w:w="8126"/>
        <w:gridCol w:w="801"/>
        <w:gridCol w:w="801"/>
        <w:gridCol w:w="801"/>
        <w:gridCol w:w="801"/>
        <w:gridCol w:w="801"/>
        <w:gridCol w:w="801"/>
        <w:gridCol w:w="801"/>
        <w:gridCol w:w="801"/>
        <w:gridCol w:w="801"/>
        <w:gridCol w:w="801"/>
        <w:gridCol w:w="801"/>
        <w:gridCol w:w="801"/>
        <w:gridCol w:w="802"/>
        <w:gridCol w:w="236"/>
        <w:gridCol w:w="2645"/>
      </w:tblGrid>
      <w:tr w:rsidR="00EF7FE7" w:rsidRPr="00392E50" w:rsidTr="00EF7FE7">
        <w:trPr>
          <w:trHeight w:val="454"/>
        </w:trPr>
        <w:tc>
          <w:tcPr>
            <w:tcW w:w="8126"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jc w:val="center"/>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Fiscal balance impact ($ million)</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2016–17</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2017–18</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2018–19</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2019–20</w:t>
            </w:r>
          </w:p>
        </w:tc>
        <w:tc>
          <w:tcPr>
            <w:tcW w:w="801" w:type="dxa"/>
            <w:tcBorders>
              <w:top w:val="nil"/>
              <w:left w:val="nil"/>
              <w:bottom w:val="nil"/>
              <w:right w:val="nil"/>
            </w:tcBorders>
            <w:shd w:val="clear" w:color="000000" w:fill="2B3B5F"/>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 xml:space="preserve">Total to </w:t>
            </w:r>
            <w:r w:rsidRPr="00392E50">
              <w:rPr>
                <w:rFonts w:ascii="Arial" w:eastAsia="Times New Roman" w:hAnsi="Arial" w:cs="Arial"/>
                <w:b/>
                <w:bCs/>
                <w:color w:val="FFFFFF"/>
                <w:sz w:val="15"/>
                <w:szCs w:val="15"/>
                <w:lang w:eastAsia="en-AU"/>
              </w:rPr>
              <w:br/>
              <w:t>2019–20</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2020–21</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2021–22</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2022–23</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2023–24</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2024–25</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2025–26</w:t>
            </w:r>
          </w:p>
        </w:tc>
        <w:tc>
          <w:tcPr>
            <w:tcW w:w="801"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2026–27</w:t>
            </w:r>
          </w:p>
        </w:tc>
        <w:tc>
          <w:tcPr>
            <w:tcW w:w="802" w:type="dxa"/>
            <w:tcBorders>
              <w:top w:val="nil"/>
              <w:left w:val="nil"/>
              <w:bottom w:val="nil"/>
              <w:right w:val="nil"/>
            </w:tcBorders>
            <w:shd w:val="clear" w:color="000000" w:fill="2B3B5F"/>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Total to</w:t>
            </w:r>
            <w:r w:rsidRPr="00392E50">
              <w:rPr>
                <w:rFonts w:ascii="Arial" w:eastAsia="Times New Roman" w:hAnsi="Arial" w:cs="Arial"/>
                <w:b/>
                <w:bCs/>
                <w:color w:val="FFFFFF"/>
                <w:sz w:val="15"/>
                <w:szCs w:val="15"/>
                <w:lang w:eastAsia="en-AU"/>
              </w:rPr>
              <w:br/>
              <w:t>2026–27</w:t>
            </w:r>
          </w:p>
        </w:tc>
        <w:tc>
          <w:tcPr>
            <w:tcW w:w="236" w:type="dxa"/>
            <w:tcBorders>
              <w:top w:val="nil"/>
              <w:left w:val="nil"/>
              <w:bottom w:val="nil"/>
              <w:right w:val="single" w:sz="4" w:space="0" w:color="2B3B5F"/>
            </w:tcBorders>
            <w:shd w:val="clear" w:color="000000" w:fill="2B3B5F"/>
            <w:noWrap/>
            <w:vAlign w:val="center"/>
            <w:hideMark/>
          </w:tcPr>
          <w:p w:rsidR="009D7415" w:rsidRPr="00392E50" w:rsidRDefault="009D7415" w:rsidP="009D7415">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 </w:t>
            </w:r>
          </w:p>
        </w:tc>
        <w:tc>
          <w:tcPr>
            <w:tcW w:w="2645" w:type="dxa"/>
            <w:tcBorders>
              <w:top w:val="nil"/>
              <w:left w:val="nil"/>
              <w:bottom w:val="nil"/>
              <w:right w:val="nil"/>
            </w:tcBorders>
            <w:shd w:val="clear" w:color="000000" w:fill="2B3B5F"/>
            <w:noWrap/>
            <w:vAlign w:val="center"/>
            <w:hideMark/>
          </w:tcPr>
          <w:p w:rsidR="009D7415" w:rsidRPr="00392E50" w:rsidRDefault="009D7415" w:rsidP="009D7415">
            <w:pPr>
              <w:spacing w:before="50" w:after="50" w:line="240" w:lineRule="auto"/>
              <w:jc w:val="center"/>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Original measure</w:t>
            </w:r>
          </w:p>
        </w:tc>
      </w:tr>
      <w:tr w:rsidR="00EF7FE7" w:rsidRPr="00392E50" w:rsidTr="00EF7FE7">
        <w:trPr>
          <w:trHeight w:hRule="exact" w:val="266"/>
        </w:trPr>
        <w:tc>
          <w:tcPr>
            <w:tcW w:w="8126" w:type="dxa"/>
            <w:tcBorders>
              <w:top w:val="nil"/>
              <w:left w:val="nil"/>
              <w:bottom w:val="nil"/>
              <w:right w:val="nil"/>
            </w:tcBorders>
            <w:shd w:val="clear" w:color="000000" w:fill="D7DDE9"/>
            <w:noWrap/>
            <w:hideMark/>
          </w:tcPr>
          <w:p w:rsidR="009D7415" w:rsidRPr="00392E50" w:rsidRDefault="009D7415" w:rsidP="003F0963">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Expense measures</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single" w:sz="4" w:space="0" w:color="D7DDE9"/>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1"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auto" w:fill="D7DDE9" w:themeFill="accent3"/>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236" w:type="dxa"/>
            <w:tcBorders>
              <w:top w:val="nil"/>
              <w:left w:val="nil"/>
              <w:bottom w:val="nil"/>
              <w:right w:val="single" w:sz="4" w:space="0" w:color="2B3B5F"/>
            </w:tcBorders>
            <w:shd w:val="clear" w:color="000000" w:fill="2B3B5F"/>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2645" w:type="dxa"/>
            <w:tcBorders>
              <w:top w:val="nil"/>
              <w:left w:val="nil"/>
              <w:bottom w:val="nil"/>
              <w:right w:val="nil"/>
            </w:tcBorders>
            <w:shd w:val="clear" w:color="000000" w:fill="D7DDE9"/>
            <w:noWrap/>
            <w:vAlign w:val="bottom"/>
            <w:hideMark/>
          </w:tcPr>
          <w:p w:rsidR="009D7415" w:rsidRPr="00392E50" w:rsidRDefault="009D7415" w:rsidP="009D7415">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vertAlign w:val="superscript"/>
                <w:lang w:eastAsia="en-AU"/>
              </w:rPr>
            </w:pPr>
            <w:r w:rsidRPr="00392E50">
              <w:rPr>
                <w:rFonts w:ascii="Arial" w:eastAsia="Times New Roman" w:hAnsi="Arial" w:cs="Arial"/>
                <w:color w:val="000000"/>
                <w:sz w:val="15"/>
                <w:szCs w:val="15"/>
                <w:lang w:eastAsia="en-AU"/>
              </w:rPr>
              <w:t>Pharmaceutical Benefits Scheme — increase in co-payments and safety net thresholds</w:t>
            </w:r>
            <w:bookmarkStart w:id="1" w:name="_Ref472937679"/>
            <w:r w:rsidRPr="00392E50">
              <w:rPr>
                <w:rStyle w:val="EndnoteReference"/>
                <w:rFonts w:ascii="Arial" w:eastAsia="Times New Roman" w:hAnsi="Arial" w:cs="Arial"/>
                <w:color w:val="000000"/>
                <w:sz w:val="15"/>
                <w:szCs w:val="15"/>
                <w:lang w:eastAsia="en-AU"/>
              </w:rPr>
              <w:endnoteReference w:id="2"/>
            </w:r>
            <w:bookmarkEnd w:id="1"/>
          </w:p>
        </w:tc>
        <w:tc>
          <w:tcPr>
            <w:tcW w:w="801" w:type="dxa"/>
            <w:tcBorders>
              <w:top w:val="nil"/>
              <w:left w:val="nil"/>
              <w:bottom w:val="nil"/>
              <w:right w:val="nil"/>
            </w:tcBorders>
            <w:shd w:val="clear" w:color="auto" w:fill="auto"/>
            <w:noWrap/>
            <w:hideMark/>
          </w:tcPr>
          <w:p w:rsidR="00230385" w:rsidRPr="00230385" w:rsidRDefault="009F34A4" w:rsidP="00F156AA">
            <w:pPr>
              <w:spacing w:before="50" w:after="50" w:line="240" w:lineRule="auto"/>
              <w:jc w:val="right"/>
              <w:rPr>
                <w:rFonts w:ascii="Arial" w:hAnsi="Arial" w:cs="Arial"/>
                <w:color w:val="000000"/>
                <w:sz w:val="15"/>
                <w:szCs w:val="15"/>
              </w:rPr>
            </w:pPr>
            <w: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149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285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288</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303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325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344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360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382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399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412</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3,248</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140</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Simplifying Medicare safety net arrangements</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120</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307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121</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125</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130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131</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1,191</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145</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Medicare Benefits Schedule — changes to diagnostic imaging and pathology services bulk-billing incentives</w:t>
            </w:r>
            <w:bookmarkStart w:id="2" w:name="_Ref472932627"/>
            <w:r w:rsidRPr="00392E50">
              <w:rPr>
                <w:rStyle w:val="EndnoteReference"/>
                <w:rFonts w:ascii="Arial" w:eastAsia="Times New Roman" w:hAnsi="Arial" w:cs="Arial"/>
                <w:color w:val="000000"/>
                <w:sz w:val="15"/>
                <w:szCs w:val="15"/>
                <w:lang w:eastAsia="en-AU"/>
              </w:rPr>
              <w:endnoteReference w:id="3"/>
            </w:r>
            <w:bookmarkEnd w:id="2"/>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217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228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241</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251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261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271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282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292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303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314</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2,661</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MYEFO, p. 174</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vertAlign w:val="superscript"/>
                <w:lang w:eastAsia="en-AU"/>
              </w:rPr>
            </w:pPr>
            <w:r w:rsidRPr="00392E50">
              <w:rPr>
                <w:rFonts w:ascii="Arial" w:eastAsia="Times New Roman" w:hAnsi="Arial" w:cs="Arial"/>
                <w:color w:val="000000"/>
                <w:sz w:val="15"/>
                <w:szCs w:val="15"/>
                <w:lang w:eastAsia="en-AU"/>
              </w:rPr>
              <w:t>Apply the One-Week Ordinary Waiting Period to all Working Age Payments</w:t>
            </w:r>
            <w:bookmarkStart w:id="3" w:name="_Ref472930067"/>
            <w:r w:rsidRPr="00392E50">
              <w:rPr>
                <w:rStyle w:val="EndnoteReference"/>
                <w:rFonts w:ascii="Arial" w:eastAsia="Times New Roman" w:hAnsi="Arial" w:cs="Arial"/>
                <w:color w:val="000000"/>
                <w:sz w:val="15"/>
                <w:szCs w:val="15"/>
                <w:lang w:eastAsia="en-AU"/>
              </w:rPr>
              <w:endnoteReference w:id="4"/>
            </w:r>
            <w:bookmarkEnd w:id="3"/>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66</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186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74</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82</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709</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191</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Education Entry Payment — cessation</w:t>
            </w:r>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21</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199</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197</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Increasing the Age Pension qualifying age to 70 years</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single" w:sz="4" w:space="0" w:color="D7DDE9"/>
            </w:tcBorders>
            <w:shd w:val="clear" w:color="000000" w:fill="D7DDE9"/>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850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1,110</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1,960</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202</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vertAlign w:val="superscript"/>
                <w:lang w:eastAsia="en-AU"/>
              </w:rPr>
            </w:pPr>
            <w:r w:rsidRPr="00392E50">
              <w:rPr>
                <w:rFonts w:ascii="Arial" w:eastAsia="Times New Roman" w:hAnsi="Arial" w:cs="Arial"/>
                <w:color w:val="000000"/>
                <w:sz w:val="15"/>
                <w:szCs w:val="15"/>
                <w:lang w:eastAsia="en-AU"/>
              </w:rPr>
              <w:t xml:space="preserve">Increasing the age of eligibility for </w:t>
            </w:r>
            <w:proofErr w:type="spellStart"/>
            <w:r w:rsidRPr="00392E50">
              <w:rPr>
                <w:rFonts w:ascii="Arial" w:eastAsia="Times New Roman" w:hAnsi="Arial" w:cs="Arial"/>
                <w:color w:val="000000"/>
                <w:sz w:val="15"/>
                <w:szCs w:val="15"/>
                <w:lang w:eastAsia="en-AU"/>
              </w:rPr>
              <w:t>Newstart</w:t>
            </w:r>
            <w:proofErr w:type="spellEnd"/>
            <w:r w:rsidRPr="00392E50">
              <w:rPr>
                <w:rFonts w:ascii="Arial" w:eastAsia="Times New Roman" w:hAnsi="Arial" w:cs="Arial"/>
                <w:color w:val="000000"/>
                <w:sz w:val="15"/>
                <w:szCs w:val="15"/>
                <w:lang w:eastAsia="en-AU"/>
              </w:rPr>
              <w:t xml:space="preserve"> Allowance and Sickness </w:t>
            </w:r>
            <w:proofErr w:type="spellStart"/>
            <w:r w:rsidRPr="00392E50">
              <w:rPr>
                <w:rFonts w:ascii="Arial" w:eastAsia="Times New Roman" w:hAnsi="Arial" w:cs="Arial"/>
                <w:color w:val="000000"/>
                <w:sz w:val="15"/>
                <w:szCs w:val="15"/>
                <w:lang w:eastAsia="en-AU"/>
              </w:rPr>
              <w:t>Allowance</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_Ref472930067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c</w:t>
            </w:r>
            <w:proofErr w:type="spellEnd"/>
            <w:r w:rsidRPr="00392E50">
              <w:rPr>
                <w:rFonts w:ascii="Arial" w:eastAsia="Times New Roman" w:hAnsi="Arial" w:cs="Arial"/>
                <w:color w:val="000000"/>
                <w:sz w:val="15"/>
                <w:szCs w:val="15"/>
                <w:lang w:eastAsia="en-AU"/>
              </w:rPr>
              <w:fldChar w:fldCharType="end"/>
            </w:r>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163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186</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475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216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225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235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245</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1,998</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203</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vertAlign w:val="superscript"/>
                <w:lang w:eastAsia="en-AU"/>
              </w:rPr>
            </w:pPr>
            <w:r w:rsidRPr="00392E50">
              <w:rPr>
                <w:rFonts w:ascii="Arial" w:eastAsia="Times New Roman" w:hAnsi="Arial" w:cs="Arial"/>
                <w:color w:val="000000"/>
                <w:sz w:val="15"/>
                <w:szCs w:val="15"/>
                <w:lang w:eastAsia="en-AU"/>
              </w:rPr>
              <w:t>Maintain eligibility thresholds for Australian Government payments for three years</w:t>
            </w:r>
            <w:bookmarkStart w:id="4" w:name="_Ref472937717"/>
            <w:r w:rsidRPr="00392E50">
              <w:rPr>
                <w:rStyle w:val="EndnoteReference"/>
                <w:rFonts w:ascii="Arial" w:eastAsia="Times New Roman" w:hAnsi="Arial" w:cs="Arial"/>
                <w:color w:val="000000"/>
                <w:sz w:val="15"/>
                <w:szCs w:val="15"/>
                <w:lang w:eastAsia="en-AU"/>
              </w:rPr>
              <w:endnoteReference w:id="5"/>
            </w:r>
            <w:bookmarkEnd w:id="4"/>
          </w:p>
        </w:tc>
        <w:tc>
          <w:tcPr>
            <w:tcW w:w="801" w:type="dxa"/>
            <w:tcBorders>
              <w:top w:val="nil"/>
              <w:left w:val="nil"/>
              <w:bottom w:val="nil"/>
              <w:right w:val="nil"/>
            </w:tcBorders>
            <w:shd w:val="clear" w:color="000000" w:fill="E9ECF3"/>
            <w:noWrap/>
            <w:hideMark/>
          </w:tcPr>
          <w:p w:rsidR="00230385" w:rsidRPr="00230385" w:rsidRDefault="00403BB8"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64</w:t>
            </w:r>
          </w:p>
        </w:tc>
        <w:tc>
          <w:tcPr>
            <w:tcW w:w="801" w:type="dxa"/>
            <w:tcBorders>
              <w:top w:val="nil"/>
              <w:left w:val="nil"/>
              <w:bottom w:val="nil"/>
              <w:right w:val="single" w:sz="4" w:space="0" w:color="D7DDE9"/>
            </w:tcBorders>
            <w:shd w:val="clear" w:color="000000" w:fill="D7DDE9"/>
            <w:noWrap/>
            <w:hideMark/>
          </w:tcPr>
          <w:p w:rsidR="00230385" w:rsidRPr="00230385" w:rsidRDefault="001C6CDC"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160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70</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80</w:t>
            </w:r>
          </w:p>
        </w:tc>
        <w:tc>
          <w:tcPr>
            <w:tcW w:w="802" w:type="dxa"/>
            <w:tcBorders>
              <w:top w:val="nil"/>
              <w:left w:val="nil"/>
              <w:bottom w:val="nil"/>
              <w:right w:val="nil"/>
            </w:tcBorders>
            <w:shd w:val="clear" w:color="auto" w:fill="D7DDE9" w:themeFill="accent3"/>
            <w:noWrap/>
            <w:hideMark/>
          </w:tcPr>
          <w:p w:rsidR="00230385" w:rsidRPr="00230385" w:rsidRDefault="001C6CDC"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683</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204</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Pensioner Education Supplement — cessation</w:t>
            </w:r>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180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80</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715</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206</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vertAlign w:val="superscript"/>
                <w:lang w:eastAsia="en-AU"/>
              </w:rPr>
            </w:pPr>
            <w:r w:rsidRPr="00392E50">
              <w:rPr>
                <w:rFonts w:ascii="Arial" w:eastAsia="Times New Roman" w:hAnsi="Arial" w:cs="Arial"/>
                <w:color w:val="000000"/>
                <w:sz w:val="15"/>
                <w:szCs w:val="15"/>
                <w:lang w:eastAsia="en-AU"/>
              </w:rPr>
              <w:t>Families Package — child care</w:t>
            </w:r>
            <w:bookmarkStart w:id="5" w:name="_Ref473031494"/>
            <w:r w:rsidRPr="00392E50">
              <w:rPr>
                <w:rStyle w:val="EndnoteReference"/>
                <w:rFonts w:ascii="Arial" w:eastAsia="Times New Roman" w:hAnsi="Arial" w:cs="Arial"/>
                <w:color w:val="000000"/>
                <w:sz w:val="15"/>
                <w:szCs w:val="15"/>
                <w:lang w:eastAsia="en-AU"/>
              </w:rPr>
              <w:endnoteReference w:id="6"/>
            </w:r>
            <w:bookmarkEnd w:id="5"/>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-41</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-591</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-777</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-1,409</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-832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-887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-943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-999</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-1,056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-1,113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-1,173</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-8,411</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DA107B">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Budget Paper 2, p. 154</w:t>
            </w:r>
            <w:r>
              <w:rPr>
                <w:rFonts w:ascii="Arial" w:eastAsia="Times New Roman" w:hAnsi="Arial" w:cs="Arial"/>
                <w:color w:val="000000"/>
                <w:sz w:val="15"/>
                <w:szCs w:val="15"/>
                <w:lang w:eastAsia="en-AU"/>
              </w:rPr>
              <w:t>–</w:t>
            </w:r>
            <w:r w:rsidRPr="00392E50">
              <w:rPr>
                <w:rFonts w:ascii="Arial" w:eastAsia="Times New Roman" w:hAnsi="Arial" w:cs="Arial"/>
                <w:color w:val="000000"/>
                <w:sz w:val="15"/>
                <w:szCs w:val="15"/>
                <w:lang w:eastAsia="en-AU"/>
              </w:rPr>
              <w:t>6</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Family Payment Reform — a new families package</w:t>
            </w:r>
            <w:bookmarkStart w:id="7" w:name="_Ref473031512"/>
            <w:r w:rsidRPr="00392E50">
              <w:rPr>
                <w:rStyle w:val="EndnoteReference"/>
                <w:rFonts w:ascii="Arial" w:eastAsia="Times New Roman" w:hAnsi="Arial" w:cs="Arial"/>
                <w:color w:val="000000"/>
                <w:sz w:val="15"/>
                <w:szCs w:val="15"/>
                <w:lang w:eastAsia="en-AU"/>
              </w:rPr>
              <w:endnoteReference w:id="7"/>
            </w:r>
            <w:bookmarkEnd w:id="7"/>
          </w:p>
        </w:tc>
        <w:tc>
          <w:tcPr>
            <w:tcW w:w="801" w:type="dxa"/>
            <w:tcBorders>
              <w:top w:val="nil"/>
              <w:left w:val="nil"/>
              <w:bottom w:val="nil"/>
              <w:right w:val="nil"/>
            </w:tcBorders>
            <w:shd w:val="clear" w:color="auto" w:fill="auto"/>
            <w:noWrap/>
            <w:hideMark/>
          </w:tcPr>
          <w:p w:rsidR="00230385" w:rsidRPr="00230385" w:rsidRDefault="00230385" w:rsidP="00E570B9">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550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535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1,565</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9E1EF1">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2,6</w:t>
            </w:r>
            <w:r w:rsidR="009E1EF1">
              <w:rPr>
                <w:rFonts w:ascii="Arial" w:hAnsi="Arial" w:cs="Arial"/>
                <w:color w:val="000000"/>
                <w:sz w:val="15"/>
                <w:szCs w:val="15"/>
              </w:rPr>
              <w:t>5</w:t>
            </w:r>
            <w:r w:rsidRPr="00230385">
              <w:rPr>
                <w:rFonts w:ascii="Arial" w:hAnsi="Arial" w:cs="Arial"/>
                <w:color w:val="000000"/>
                <w:sz w:val="15"/>
                <w:szCs w:val="15"/>
              </w:rPr>
              <w:t>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1,590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1,700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1,805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1,925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2,035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2,155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2,280</w:t>
            </w:r>
          </w:p>
        </w:tc>
        <w:tc>
          <w:tcPr>
            <w:tcW w:w="802" w:type="dxa"/>
            <w:tcBorders>
              <w:top w:val="nil"/>
              <w:left w:val="nil"/>
              <w:bottom w:val="nil"/>
              <w:right w:val="nil"/>
            </w:tcBorders>
            <w:shd w:val="clear" w:color="auto" w:fill="D7DDE9" w:themeFill="accent3"/>
            <w:noWrap/>
            <w:hideMark/>
          </w:tcPr>
          <w:p w:rsidR="00230385" w:rsidRPr="00230385" w:rsidRDefault="00230385" w:rsidP="009E1EF1">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16,1</w:t>
            </w:r>
            <w:r w:rsidR="009E1EF1">
              <w:rPr>
                <w:rFonts w:ascii="Arial" w:hAnsi="Arial" w:cs="Arial"/>
                <w:color w:val="000000"/>
                <w:sz w:val="15"/>
                <w:szCs w:val="15"/>
              </w:rPr>
              <w:t>4</w:t>
            </w:r>
            <w:r w:rsidRPr="00230385">
              <w:rPr>
                <w:rFonts w:ascii="Arial" w:hAnsi="Arial" w:cs="Arial"/>
                <w:color w:val="000000"/>
                <w:sz w:val="15"/>
                <w:szCs w:val="15"/>
              </w:rPr>
              <w:t>0</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DA107B">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MYEFO, p. 211</w:t>
            </w:r>
            <w:r>
              <w:rPr>
                <w:rFonts w:ascii="Arial" w:eastAsia="Times New Roman" w:hAnsi="Arial" w:cs="Arial"/>
                <w:color w:val="000000"/>
                <w:sz w:val="15"/>
                <w:szCs w:val="15"/>
                <w:lang w:eastAsia="en-AU"/>
              </w:rPr>
              <w:t>–</w:t>
            </w:r>
            <w:r w:rsidRPr="00392E50">
              <w:rPr>
                <w:rFonts w:ascii="Arial" w:eastAsia="Times New Roman" w:hAnsi="Arial" w:cs="Arial"/>
                <w:color w:val="000000"/>
                <w:sz w:val="15"/>
                <w:szCs w:val="15"/>
                <w:lang w:eastAsia="en-AU"/>
              </w:rPr>
              <w:t>12</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Remove Double-Dipping from Parental Leave Pay</w:t>
            </w:r>
            <w:bookmarkStart w:id="8" w:name="_Ref473031519"/>
            <w:r w:rsidRPr="00392E50">
              <w:rPr>
                <w:rStyle w:val="EndnoteReference"/>
                <w:rFonts w:ascii="Arial" w:eastAsia="Times New Roman" w:hAnsi="Arial" w:cs="Arial"/>
                <w:color w:val="000000"/>
                <w:sz w:val="15"/>
                <w:szCs w:val="15"/>
                <w:lang w:eastAsia="en-AU"/>
              </w:rPr>
              <w:endnoteReference w:id="8"/>
            </w:r>
            <w:bookmarkEnd w:id="8"/>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345</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365</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346</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1,056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366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396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436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466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446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486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526</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4,178</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Budget Paper 2, p. 168</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xml:space="preserve">Australian Working Life Residence — tightening proportionality </w:t>
            </w:r>
            <w:proofErr w:type="spellStart"/>
            <w:r w:rsidRPr="00392E50">
              <w:rPr>
                <w:rFonts w:ascii="Arial" w:eastAsia="Times New Roman" w:hAnsi="Arial" w:cs="Arial"/>
                <w:color w:val="000000"/>
                <w:sz w:val="15"/>
                <w:szCs w:val="15"/>
                <w:lang w:eastAsia="en-AU"/>
              </w:rPr>
              <w:t>requirements</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_Ref472932627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392E50">
              <w:rPr>
                <w:rFonts w:ascii="Arial" w:eastAsia="Times New Roman" w:hAnsi="Arial" w:cs="Arial"/>
                <w:color w:val="000000"/>
                <w:sz w:val="15"/>
                <w:szCs w:val="15"/>
                <w:lang w:eastAsia="en-AU"/>
              </w:rPr>
              <w:fldChar w:fldCharType="end"/>
            </w:r>
          </w:p>
        </w:tc>
        <w:tc>
          <w:tcPr>
            <w:tcW w:w="801" w:type="dxa"/>
            <w:tcBorders>
              <w:top w:val="nil"/>
              <w:left w:val="nil"/>
              <w:bottom w:val="nil"/>
              <w:right w:val="nil"/>
            </w:tcBorders>
            <w:shd w:val="clear" w:color="auto" w:fill="auto"/>
            <w:noWrap/>
            <w:hideMark/>
          </w:tcPr>
          <w:p w:rsidR="00230385" w:rsidRPr="00230385" w:rsidRDefault="00E570B9"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w:t>
            </w:r>
          </w:p>
        </w:tc>
        <w:tc>
          <w:tcPr>
            <w:tcW w:w="801" w:type="dxa"/>
            <w:tcBorders>
              <w:top w:val="nil"/>
              <w:left w:val="nil"/>
              <w:bottom w:val="nil"/>
              <w:right w:val="single" w:sz="4" w:space="0" w:color="D7DDE9"/>
            </w:tcBorders>
            <w:shd w:val="clear" w:color="000000" w:fill="D7DDE9"/>
            <w:noWrap/>
            <w:hideMark/>
          </w:tcPr>
          <w:p w:rsidR="00230385" w:rsidRPr="00230385" w:rsidRDefault="000230DD"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203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117</w:t>
            </w:r>
          </w:p>
        </w:tc>
        <w:tc>
          <w:tcPr>
            <w:tcW w:w="802" w:type="dxa"/>
            <w:tcBorders>
              <w:top w:val="nil"/>
              <w:left w:val="nil"/>
              <w:bottom w:val="nil"/>
              <w:right w:val="nil"/>
            </w:tcBorders>
            <w:shd w:val="clear" w:color="auto" w:fill="D7DDE9" w:themeFill="accent3"/>
            <w:noWrap/>
            <w:hideMark/>
          </w:tcPr>
          <w:p w:rsidR="00230385" w:rsidRPr="00230385" w:rsidRDefault="00230385" w:rsidP="000230DD">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87</w:t>
            </w:r>
            <w:r w:rsidR="000230DD">
              <w:rPr>
                <w:rFonts w:ascii="Arial" w:hAnsi="Arial" w:cs="Arial"/>
                <w:color w:val="000000"/>
                <w:sz w:val="15"/>
                <w:szCs w:val="15"/>
              </w:rPr>
              <w:t>2</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Budget Paper 2, p. 150</w:t>
            </w:r>
          </w:p>
        </w:tc>
      </w:tr>
      <w:tr w:rsidR="00230385" w:rsidRPr="00392E50" w:rsidTr="00F156AA">
        <w:trPr>
          <w:trHeigh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xml:space="preserve">Growing Jobs and Small Business — Youth Employment Strategy — revised waiting period for youth income </w:t>
            </w:r>
            <w:proofErr w:type="spellStart"/>
            <w:r w:rsidRPr="00392E50">
              <w:rPr>
                <w:rFonts w:ascii="Arial" w:eastAsia="Times New Roman" w:hAnsi="Arial" w:cs="Arial"/>
                <w:color w:val="000000"/>
                <w:sz w:val="15"/>
                <w:szCs w:val="15"/>
                <w:lang w:eastAsia="en-AU"/>
              </w:rPr>
              <w:t>support</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_Ref472932627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392E50">
              <w:rPr>
                <w:rFonts w:ascii="Arial" w:eastAsia="Times New Roman" w:hAnsi="Arial" w:cs="Arial"/>
                <w:color w:val="000000"/>
                <w:sz w:val="15"/>
                <w:szCs w:val="15"/>
                <w:lang w:eastAsia="en-AU"/>
              </w:rPr>
              <w:fldChar w:fldCharType="end"/>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58</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157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83</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673</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Budget Paper 2, p. 159</w:t>
            </w:r>
          </w:p>
        </w:tc>
      </w:tr>
      <w:tr w:rsidR="00D17A75" w:rsidRPr="00392E50" w:rsidTr="00F156AA">
        <w:trPr>
          <w:trHeight w:hRule="exact" w:val="266"/>
        </w:trPr>
        <w:tc>
          <w:tcPr>
            <w:tcW w:w="8126" w:type="dxa"/>
            <w:tcBorders>
              <w:top w:val="nil"/>
              <w:left w:val="nil"/>
              <w:bottom w:val="nil"/>
              <w:right w:val="nil"/>
            </w:tcBorders>
            <w:shd w:val="clear" w:color="auto" w:fill="auto"/>
            <w:noWrap/>
            <w:vAlign w:val="center"/>
            <w:hideMark/>
          </w:tcPr>
          <w:p w:rsidR="00D17A75" w:rsidRPr="00392E50" w:rsidRDefault="00D17A7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xml:space="preserve">National Disability Insurance Scheme Savings </w:t>
            </w:r>
            <w:proofErr w:type="spellStart"/>
            <w:r w:rsidRPr="00392E50">
              <w:rPr>
                <w:rFonts w:ascii="Arial" w:eastAsia="Times New Roman" w:hAnsi="Arial" w:cs="Arial"/>
                <w:color w:val="000000"/>
                <w:sz w:val="15"/>
                <w:szCs w:val="15"/>
                <w:lang w:eastAsia="en-AU"/>
              </w:rPr>
              <w:t>Fund</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_Ref472932627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392E50">
              <w:rPr>
                <w:rFonts w:ascii="Arial" w:eastAsia="Times New Roman" w:hAnsi="Arial" w:cs="Arial"/>
                <w:color w:val="000000"/>
                <w:sz w:val="15"/>
                <w:szCs w:val="15"/>
                <w:lang w:eastAsia="en-AU"/>
              </w:rPr>
              <w:fldChar w:fldCharType="end"/>
            </w:r>
            <w:r w:rsidRPr="00392E50">
              <w:rPr>
                <w:rFonts w:ascii="Arial" w:eastAsia="Times New Roman" w:hAnsi="Arial" w:cs="Arial"/>
                <w:color w:val="000000"/>
                <w:sz w:val="15"/>
                <w:szCs w:val="15"/>
                <w:vertAlign w:val="superscript"/>
                <w:lang w:eastAsia="en-AU"/>
              </w:rPr>
              <w:t>,</w:t>
            </w:r>
            <w:bookmarkStart w:id="9" w:name="_Ref473031597"/>
            <w:r w:rsidRPr="00392E50">
              <w:rPr>
                <w:rStyle w:val="EndnoteReference"/>
                <w:rFonts w:ascii="Arial" w:eastAsia="Times New Roman" w:hAnsi="Arial" w:cs="Arial"/>
                <w:color w:val="000000"/>
                <w:sz w:val="15"/>
                <w:szCs w:val="15"/>
                <w:lang w:eastAsia="en-AU"/>
              </w:rPr>
              <w:endnoteReference w:id="9"/>
            </w:r>
            <w:bookmarkEnd w:id="9"/>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98</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240</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328</w:t>
            </w:r>
          </w:p>
        </w:tc>
        <w:tc>
          <w:tcPr>
            <w:tcW w:w="801" w:type="dxa"/>
            <w:tcBorders>
              <w:top w:val="nil"/>
              <w:left w:val="nil"/>
              <w:bottom w:val="nil"/>
              <w:right w:val="single" w:sz="4" w:space="0" w:color="D7DDE9"/>
            </w:tcBorders>
            <w:shd w:val="clear" w:color="000000" w:fill="D7DDE9"/>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666</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424</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530</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615</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700</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790</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875</w:t>
            </w:r>
          </w:p>
        </w:tc>
        <w:tc>
          <w:tcPr>
            <w:tcW w:w="801" w:type="dxa"/>
            <w:tcBorders>
              <w:top w:val="nil"/>
              <w:left w:val="nil"/>
              <w:bottom w:val="nil"/>
              <w:right w:val="nil"/>
            </w:tcBorders>
            <w:shd w:val="clear" w:color="auto" w:fill="auto"/>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970</w:t>
            </w:r>
          </w:p>
        </w:tc>
        <w:tc>
          <w:tcPr>
            <w:tcW w:w="802" w:type="dxa"/>
            <w:tcBorders>
              <w:top w:val="nil"/>
              <w:left w:val="nil"/>
              <w:bottom w:val="nil"/>
              <w:right w:val="nil"/>
            </w:tcBorders>
            <w:shd w:val="clear" w:color="auto" w:fill="D7DDE9" w:themeFill="accent3"/>
            <w:noWrap/>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5,570</w:t>
            </w:r>
          </w:p>
        </w:tc>
        <w:tc>
          <w:tcPr>
            <w:tcW w:w="236" w:type="dxa"/>
            <w:tcBorders>
              <w:top w:val="nil"/>
              <w:left w:val="nil"/>
              <w:bottom w:val="nil"/>
              <w:right w:val="single" w:sz="4" w:space="0" w:color="2B3B5F"/>
            </w:tcBorders>
            <w:shd w:val="clear" w:color="000000" w:fill="2B3B5F"/>
            <w:noWrap/>
            <w:vAlign w:val="bottom"/>
            <w:hideMark/>
          </w:tcPr>
          <w:p w:rsidR="00D17A75" w:rsidRPr="00D17A75" w:rsidRDefault="00D17A75" w:rsidP="00D17A75">
            <w:pPr>
              <w:spacing w:before="50" w:after="50" w:line="240" w:lineRule="auto"/>
              <w:jc w:val="right"/>
              <w:rPr>
                <w:rFonts w:ascii="Arial" w:hAnsi="Arial" w:cs="Arial"/>
                <w:color w:val="000000"/>
                <w:sz w:val="15"/>
                <w:szCs w:val="15"/>
              </w:rPr>
            </w:pPr>
            <w:r w:rsidRPr="00D17A75">
              <w:rPr>
                <w:rFonts w:ascii="Arial" w:hAnsi="Arial" w:cs="Arial"/>
                <w:color w:val="000000"/>
                <w:sz w:val="15"/>
                <w:szCs w:val="15"/>
              </w:rPr>
              <w:t> </w:t>
            </w:r>
          </w:p>
        </w:tc>
        <w:tc>
          <w:tcPr>
            <w:tcW w:w="2645" w:type="dxa"/>
            <w:tcBorders>
              <w:top w:val="nil"/>
              <w:left w:val="nil"/>
              <w:bottom w:val="nil"/>
              <w:right w:val="nil"/>
            </w:tcBorders>
            <w:shd w:val="clear" w:color="auto" w:fill="auto"/>
            <w:noWrap/>
            <w:hideMark/>
          </w:tcPr>
          <w:p w:rsidR="00D17A75" w:rsidRPr="00392E50" w:rsidRDefault="00D17A7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2016</w:t>
            </w:r>
            <w:r>
              <w:rPr>
                <w:rFonts w:ascii="Arial" w:eastAsia="Times New Roman" w:hAnsi="Arial" w:cs="Arial"/>
                <w:color w:val="000000"/>
                <w:sz w:val="15"/>
                <w:szCs w:val="15"/>
                <w:lang w:eastAsia="en-AU"/>
              </w:rPr>
              <w:t>–</w:t>
            </w:r>
            <w:r w:rsidRPr="00392E50">
              <w:rPr>
                <w:rFonts w:ascii="Arial" w:eastAsia="Times New Roman" w:hAnsi="Arial" w:cs="Arial"/>
                <w:color w:val="000000"/>
                <w:sz w:val="15"/>
                <w:szCs w:val="15"/>
                <w:lang w:eastAsia="en-AU"/>
              </w:rPr>
              <w:t>17 Budget Paper 2, p. 143</w:t>
            </w:r>
          </w:p>
        </w:tc>
      </w:tr>
      <w:tr w:rsidR="00230385" w:rsidRPr="00392E50"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A Sustainable Higher Education System — Research Training Scheme — student contributions</w:t>
            </w:r>
          </w:p>
        </w:tc>
        <w:tc>
          <w:tcPr>
            <w:tcW w:w="801" w:type="dxa"/>
            <w:tcBorders>
              <w:top w:val="nil"/>
              <w:left w:val="nil"/>
              <w:bottom w:val="nil"/>
              <w:right w:val="nil"/>
            </w:tcBorders>
            <w:shd w:val="clear" w:color="000000" w:fill="E9ECF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34</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72</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174</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82</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87</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99</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106</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113</w:t>
            </w:r>
          </w:p>
        </w:tc>
        <w:tc>
          <w:tcPr>
            <w:tcW w:w="801" w:type="dxa"/>
            <w:tcBorders>
              <w:top w:val="nil"/>
              <w:left w:val="nil"/>
              <w:bottom w:val="nil"/>
              <w:right w:val="nil"/>
            </w:tcBorders>
            <w:shd w:val="clear" w:color="000000" w:fill="E9ECF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121</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874</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79</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Expanding opportunity — expansion of the demand driven system and sharing the cost fairly</w:t>
            </w:r>
            <w:bookmarkStart w:id="10" w:name="_Ref472934672"/>
            <w:r w:rsidRPr="00392E50">
              <w:rPr>
                <w:rStyle w:val="EndnoteReference"/>
                <w:rFonts w:ascii="Arial" w:eastAsia="Times New Roman" w:hAnsi="Arial" w:cs="Arial"/>
                <w:color w:val="000000"/>
                <w:sz w:val="15"/>
                <w:szCs w:val="15"/>
                <w:lang w:eastAsia="en-AU"/>
              </w:rPr>
              <w:endnoteReference w:id="10"/>
            </w:r>
            <w:bookmarkEnd w:id="10"/>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441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941</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1,035</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2,417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1,116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1,207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1,306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1,413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1,526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1,654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1,794</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12,433</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84</w:t>
            </w:r>
            <w:r>
              <w:rPr>
                <w:rFonts w:ascii="Arial" w:eastAsia="Times New Roman" w:hAnsi="Arial" w:cs="Arial"/>
                <w:color w:val="000000"/>
                <w:sz w:val="15"/>
                <w:szCs w:val="15"/>
                <w:lang w:eastAsia="en-AU"/>
              </w:rPr>
              <w:t>–85</w:t>
            </w:r>
          </w:p>
        </w:tc>
      </w:tr>
      <w:tr w:rsidR="00230385" w:rsidRPr="003A4DC3"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A4DC3" w:rsidRDefault="00230385" w:rsidP="002F6962">
            <w:pPr>
              <w:spacing w:before="50" w:after="50" w:line="240" w:lineRule="auto"/>
              <w:ind w:left="17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Reduction in Commonwealth Grant Scheme subsidies</w:t>
            </w:r>
          </w:p>
        </w:tc>
        <w:tc>
          <w:tcPr>
            <w:tcW w:w="801" w:type="dxa"/>
            <w:tcBorders>
              <w:top w:val="nil"/>
              <w:left w:val="nil"/>
              <w:bottom w:val="nil"/>
              <w:right w:val="nil"/>
            </w:tcBorders>
            <w:shd w:val="clear" w:color="000000" w:fill="E9ECF3"/>
            <w:noWrap/>
            <w:hideMark/>
          </w:tcPr>
          <w:p w:rsidR="00230385" w:rsidRPr="003A4DC3" w:rsidRDefault="000E675E"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555</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1,202</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1,364</w:t>
            </w:r>
          </w:p>
        </w:tc>
        <w:tc>
          <w:tcPr>
            <w:tcW w:w="801" w:type="dxa"/>
            <w:tcBorders>
              <w:top w:val="nil"/>
              <w:left w:val="nil"/>
              <w:bottom w:val="nil"/>
              <w:right w:val="single" w:sz="4" w:space="0" w:color="D7DDE9"/>
            </w:tcBorders>
            <w:shd w:val="clear" w:color="000000" w:fill="D7DDE9"/>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3,121</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1,523</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1,675</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1,816</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1,969</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2,132</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2,315</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2,515</w:t>
            </w:r>
          </w:p>
        </w:tc>
        <w:tc>
          <w:tcPr>
            <w:tcW w:w="802" w:type="dxa"/>
            <w:tcBorders>
              <w:top w:val="nil"/>
              <w:left w:val="nil"/>
              <w:bottom w:val="nil"/>
              <w:right w:val="nil"/>
            </w:tcBorders>
            <w:shd w:val="clear" w:color="auto" w:fill="D7DDE9" w:themeFill="accent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17,066</w:t>
            </w:r>
          </w:p>
        </w:tc>
        <w:tc>
          <w:tcPr>
            <w:tcW w:w="236" w:type="dxa"/>
            <w:tcBorders>
              <w:top w:val="nil"/>
              <w:left w:val="nil"/>
              <w:bottom w:val="nil"/>
              <w:right w:val="single" w:sz="4" w:space="0" w:color="2B3B5F"/>
            </w:tcBorders>
            <w:shd w:val="clear" w:color="000000" w:fill="2B3B5F"/>
            <w:noWrap/>
            <w:vAlign w:val="bottom"/>
            <w:hideMark/>
          </w:tcPr>
          <w:p w:rsidR="00230385" w:rsidRPr="003A4DC3" w:rsidRDefault="00230385" w:rsidP="004405A0">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A4DC3" w:rsidRDefault="00230385" w:rsidP="00076EF9">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r>
      <w:tr w:rsidR="00230385" w:rsidRPr="003A4DC3" w:rsidTr="00F156AA">
        <w:trPr>
          <w:trHeight w:hRule="exact" w:val="266"/>
        </w:trPr>
        <w:tc>
          <w:tcPr>
            <w:tcW w:w="8126" w:type="dxa"/>
            <w:tcBorders>
              <w:top w:val="nil"/>
              <w:left w:val="nil"/>
              <w:bottom w:val="nil"/>
              <w:right w:val="nil"/>
            </w:tcBorders>
            <w:shd w:val="clear" w:color="auto" w:fill="auto"/>
            <w:noWrap/>
            <w:vAlign w:val="center"/>
            <w:hideMark/>
          </w:tcPr>
          <w:p w:rsidR="00230385" w:rsidRPr="003A4DC3" w:rsidRDefault="00230385" w:rsidP="002F6962">
            <w:pPr>
              <w:spacing w:before="50" w:after="50" w:line="240" w:lineRule="auto"/>
              <w:ind w:left="17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Non-university higher education provider places</w:t>
            </w:r>
          </w:p>
        </w:tc>
        <w:tc>
          <w:tcPr>
            <w:tcW w:w="801" w:type="dxa"/>
            <w:tcBorders>
              <w:top w:val="nil"/>
              <w:left w:val="nil"/>
              <w:bottom w:val="nil"/>
              <w:right w:val="nil"/>
            </w:tcBorders>
            <w:shd w:val="clear" w:color="auto" w:fill="auto"/>
            <w:noWrap/>
            <w:hideMark/>
          </w:tcPr>
          <w:p w:rsidR="00230385" w:rsidRPr="003A4DC3" w:rsidRDefault="000E675E"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-63</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-129</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-138</w:t>
            </w:r>
          </w:p>
        </w:tc>
        <w:tc>
          <w:tcPr>
            <w:tcW w:w="801" w:type="dxa"/>
            <w:tcBorders>
              <w:top w:val="nil"/>
              <w:left w:val="nil"/>
              <w:bottom w:val="nil"/>
              <w:right w:val="single" w:sz="4" w:space="0" w:color="D7DDE9"/>
            </w:tcBorders>
            <w:shd w:val="clear" w:color="000000" w:fill="D7DDE9"/>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-329</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-148</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-157</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-165</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-172</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-178</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-184</w:t>
            </w:r>
          </w:p>
        </w:tc>
        <w:tc>
          <w:tcPr>
            <w:tcW w:w="801" w:type="dxa"/>
            <w:tcBorders>
              <w:top w:val="nil"/>
              <w:left w:val="nil"/>
              <w:bottom w:val="nil"/>
              <w:right w:val="nil"/>
            </w:tcBorders>
            <w:shd w:val="clear" w:color="auto" w:fill="auto"/>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-190</w:t>
            </w:r>
          </w:p>
        </w:tc>
        <w:tc>
          <w:tcPr>
            <w:tcW w:w="802" w:type="dxa"/>
            <w:tcBorders>
              <w:top w:val="nil"/>
              <w:left w:val="nil"/>
              <w:bottom w:val="nil"/>
              <w:right w:val="nil"/>
            </w:tcBorders>
            <w:shd w:val="clear" w:color="auto" w:fill="D7DDE9" w:themeFill="accent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-1,523</w:t>
            </w:r>
          </w:p>
        </w:tc>
        <w:tc>
          <w:tcPr>
            <w:tcW w:w="236" w:type="dxa"/>
            <w:tcBorders>
              <w:top w:val="nil"/>
              <w:left w:val="nil"/>
              <w:bottom w:val="nil"/>
              <w:right w:val="single" w:sz="4" w:space="0" w:color="2B3B5F"/>
            </w:tcBorders>
            <w:shd w:val="clear" w:color="000000" w:fill="2B3B5F"/>
            <w:noWrap/>
            <w:vAlign w:val="bottom"/>
            <w:hideMark/>
          </w:tcPr>
          <w:p w:rsidR="00230385" w:rsidRPr="003A4DC3" w:rsidRDefault="00230385" w:rsidP="004405A0">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A4DC3" w:rsidRDefault="00230385" w:rsidP="00076EF9">
            <w:pPr>
              <w:spacing w:before="50" w:after="50" w:line="240" w:lineRule="auto"/>
              <w:rPr>
                <w:rFonts w:ascii="Arial" w:eastAsia="Times New Roman" w:hAnsi="Arial" w:cs="Arial"/>
                <w:i/>
                <w:color w:val="000000"/>
                <w:sz w:val="15"/>
                <w:szCs w:val="15"/>
                <w:lang w:eastAsia="en-AU"/>
              </w:rPr>
            </w:pPr>
          </w:p>
        </w:tc>
      </w:tr>
      <w:tr w:rsidR="00230385" w:rsidRPr="003A4DC3" w:rsidTr="00F156AA">
        <w:trPr>
          <w:trHeight w:hRule="exact" w:val="266"/>
        </w:trPr>
        <w:tc>
          <w:tcPr>
            <w:tcW w:w="8126" w:type="dxa"/>
            <w:tcBorders>
              <w:top w:val="nil"/>
              <w:left w:val="nil"/>
              <w:bottom w:val="nil"/>
              <w:right w:val="nil"/>
            </w:tcBorders>
            <w:shd w:val="clear" w:color="000000" w:fill="E9ECF3"/>
            <w:noWrap/>
            <w:vAlign w:val="center"/>
            <w:hideMark/>
          </w:tcPr>
          <w:p w:rsidR="00230385" w:rsidRPr="003A4DC3" w:rsidRDefault="00230385" w:rsidP="002F6962">
            <w:pPr>
              <w:spacing w:before="50" w:after="50" w:line="240" w:lineRule="auto"/>
              <w:ind w:left="17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Additional sub-bachelor places</w:t>
            </w:r>
          </w:p>
        </w:tc>
        <w:tc>
          <w:tcPr>
            <w:tcW w:w="801" w:type="dxa"/>
            <w:tcBorders>
              <w:top w:val="nil"/>
              <w:left w:val="nil"/>
              <w:bottom w:val="nil"/>
              <w:right w:val="nil"/>
            </w:tcBorders>
            <w:shd w:val="clear" w:color="000000" w:fill="E9ECF3"/>
            <w:noWrap/>
            <w:hideMark/>
          </w:tcPr>
          <w:p w:rsidR="00230385" w:rsidRPr="003A4DC3" w:rsidRDefault="000E675E"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-51</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-132</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-192</w:t>
            </w:r>
          </w:p>
        </w:tc>
        <w:tc>
          <w:tcPr>
            <w:tcW w:w="801" w:type="dxa"/>
            <w:tcBorders>
              <w:top w:val="nil"/>
              <w:left w:val="nil"/>
              <w:bottom w:val="nil"/>
              <w:right w:val="single" w:sz="4" w:space="0" w:color="D7DDE9"/>
            </w:tcBorders>
            <w:shd w:val="clear" w:color="000000" w:fill="D7DDE9"/>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-375</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-259</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-311</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-345</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-384</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-428</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-477</w:t>
            </w:r>
          </w:p>
        </w:tc>
        <w:tc>
          <w:tcPr>
            <w:tcW w:w="801" w:type="dxa"/>
            <w:tcBorders>
              <w:top w:val="nil"/>
              <w:left w:val="nil"/>
              <w:bottom w:val="nil"/>
              <w:right w:val="nil"/>
            </w:tcBorders>
            <w:shd w:val="clear" w:color="000000" w:fill="E9ECF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-532</w:t>
            </w:r>
          </w:p>
        </w:tc>
        <w:tc>
          <w:tcPr>
            <w:tcW w:w="802" w:type="dxa"/>
            <w:tcBorders>
              <w:top w:val="nil"/>
              <w:left w:val="nil"/>
              <w:bottom w:val="nil"/>
              <w:right w:val="nil"/>
            </w:tcBorders>
            <w:shd w:val="clear" w:color="auto" w:fill="D7DDE9" w:themeFill="accent3"/>
            <w:noWrap/>
            <w:hideMark/>
          </w:tcPr>
          <w:p w:rsidR="00230385" w:rsidRPr="003A4DC3" w:rsidRDefault="00230385" w:rsidP="00F156AA">
            <w:pPr>
              <w:spacing w:before="50" w:after="50" w:line="240" w:lineRule="auto"/>
              <w:jc w:val="right"/>
              <w:rPr>
                <w:rFonts w:ascii="Arial" w:hAnsi="Arial" w:cs="Arial"/>
                <w:i/>
                <w:color w:val="000000"/>
                <w:sz w:val="15"/>
                <w:szCs w:val="15"/>
              </w:rPr>
            </w:pPr>
            <w:r w:rsidRPr="003A4DC3">
              <w:rPr>
                <w:rFonts w:ascii="Arial" w:hAnsi="Arial" w:cs="Arial"/>
                <w:i/>
                <w:color w:val="000000"/>
                <w:sz w:val="15"/>
                <w:szCs w:val="15"/>
              </w:rPr>
              <w:t>-3,110</w:t>
            </w:r>
          </w:p>
        </w:tc>
        <w:tc>
          <w:tcPr>
            <w:tcW w:w="236" w:type="dxa"/>
            <w:tcBorders>
              <w:top w:val="nil"/>
              <w:left w:val="nil"/>
              <w:bottom w:val="nil"/>
              <w:right w:val="single" w:sz="4" w:space="0" w:color="2B3B5F"/>
            </w:tcBorders>
            <w:shd w:val="clear" w:color="000000" w:fill="2B3B5F"/>
            <w:noWrap/>
            <w:vAlign w:val="bottom"/>
            <w:hideMark/>
          </w:tcPr>
          <w:p w:rsidR="00230385" w:rsidRPr="003A4DC3" w:rsidRDefault="00230385" w:rsidP="004405A0">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45" w:type="dxa"/>
            <w:tcBorders>
              <w:top w:val="nil"/>
              <w:left w:val="nil"/>
              <w:bottom w:val="nil"/>
              <w:right w:val="nil"/>
            </w:tcBorders>
            <w:shd w:val="clear" w:color="000000" w:fill="E9ECF3"/>
            <w:noWrap/>
            <w:hideMark/>
          </w:tcPr>
          <w:p w:rsidR="00230385" w:rsidRPr="003A4DC3" w:rsidRDefault="00230385" w:rsidP="00076EF9">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xml:space="preserve">Expanding opportunity — FEE-HELP and VET FEE-HELP loan fee </w:t>
            </w:r>
            <w:proofErr w:type="spellStart"/>
            <w:r w:rsidRPr="00392E50">
              <w:rPr>
                <w:rFonts w:ascii="Arial" w:eastAsia="Times New Roman" w:hAnsi="Arial" w:cs="Arial"/>
                <w:color w:val="000000"/>
                <w:sz w:val="15"/>
                <w:szCs w:val="15"/>
                <w:lang w:eastAsia="en-AU"/>
              </w:rPr>
              <w:t>cessation</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_Ref472934672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i</w:t>
            </w:r>
            <w:proofErr w:type="spellEnd"/>
            <w:r w:rsidRPr="00392E50">
              <w:rPr>
                <w:rFonts w:ascii="Arial" w:eastAsia="Times New Roman" w:hAnsi="Arial" w:cs="Arial"/>
                <w:color w:val="000000"/>
                <w:sz w:val="15"/>
                <w:szCs w:val="15"/>
                <w:lang w:eastAsia="en-AU"/>
              </w:rPr>
              <w:fldChar w:fldCharType="end"/>
            </w:r>
            <w:r w:rsidRPr="00392E50">
              <w:rPr>
                <w:rFonts w:ascii="Arial" w:eastAsia="Times New Roman" w:hAnsi="Arial" w:cs="Arial"/>
                <w:color w:val="000000"/>
                <w:sz w:val="15"/>
                <w:szCs w:val="15"/>
                <w:vertAlign w:val="superscript"/>
                <w:lang w:eastAsia="en-AU"/>
              </w:rPr>
              <w:t>,</w:t>
            </w:r>
            <w:bookmarkStart w:id="11" w:name="_Ref473031675"/>
            <w:r w:rsidRPr="00392E50">
              <w:rPr>
                <w:rStyle w:val="EndnoteReference"/>
                <w:rFonts w:ascii="Arial" w:eastAsia="Times New Roman" w:hAnsi="Arial" w:cs="Arial"/>
                <w:color w:val="000000"/>
                <w:sz w:val="15"/>
                <w:szCs w:val="15"/>
                <w:lang w:eastAsia="en-AU"/>
              </w:rPr>
              <w:endnoteReference w:id="11"/>
            </w:r>
            <w:bookmarkEnd w:id="11"/>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-253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-479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-467</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-1,199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-494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-525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-560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-599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-642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-738</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-5,444</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85</w:t>
            </w:r>
          </w:p>
        </w:tc>
      </w:tr>
      <w:tr w:rsidR="00230385" w:rsidRPr="00392E50" w:rsidTr="00F156AA">
        <w:trPr>
          <w:trHeight w:hRule="exact" w:val="266"/>
        </w:trPr>
        <w:tc>
          <w:tcPr>
            <w:tcW w:w="8126" w:type="dxa"/>
            <w:tcBorders>
              <w:top w:val="nil"/>
              <w:left w:val="nil"/>
              <w:bottom w:val="nil"/>
              <w:right w:val="nil"/>
            </w:tcBorders>
            <w:shd w:val="clear" w:color="auto" w:fill="E9ECF3" w:themeFill="accent2" w:themeFillTint="3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Higher Education — structural adjustment fund</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-42</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-58</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-100</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-100</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E9ECF3" w:themeFill="accent2" w:themeFillTint="3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MYEFO, p. 150</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Higher Education Reforms — amendments</w:t>
            </w:r>
            <w:bookmarkStart w:id="12" w:name="_Ref473031688"/>
            <w:r w:rsidRPr="00392E50">
              <w:rPr>
                <w:rStyle w:val="EndnoteReference"/>
                <w:rFonts w:ascii="Arial" w:eastAsia="Times New Roman" w:hAnsi="Arial" w:cs="Arial"/>
                <w:color w:val="000000"/>
                <w:sz w:val="15"/>
                <w:szCs w:val="15"/>
                <w:lang w:eastAsia="en-AU"/>
              </w:rPr>
              <w:endnoteReference w:id="12"/>
            </w:r>
            <w:bookmarkEnd w:id="12"/>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-57</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-165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-79</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-90</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-688</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MYEFO, p. 151</w:t>
            </w:r>
          </w:p>
        </w:tc>
      </w:tr>
      <w:tr w:rsidR="00230385" w:rsidRPr="00392E50" w:rsidTr="00F156AA">
        <w:trPr>
          <w:trHeight w:hRule="exact" w:val="266"/>
        </w:trPr>
        <w:tc>
          <w:tcPr>
            <w:tcW w:w="8126" w:type="dxa"/>
            <w:tcBorders>
              <w:top w:val="nil"/>
              <w:left w:val="nil"/>
              <w:bottom w:val="nil"/>
              <w:right w:val="nil"/>
            </w:tcBorders>
            <w:shd w:val="clear" w:color="auto" w:fill="E9ECF3" w:themeFill="accent2" w:themeFillTint="3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xml:space="preserve">Stronger compliance arrangements for job seekers who refuse or persistently fail to meet </w:t>
            </w:r>
            <w:proofErr w:type="spellStart"/>
            <w:r w:rsidRPr="00392E50">
              <w:rPr>
                <w:rFonts w:ascii="Arial" w:eastAsia="Times New Roman" w:hAnsi="Arial" w:cs="Arial"/>
                <w:color w:val="000000"/>
                <w:sz w:val="15"/>
                <w:szCs w:val="15"/>
                <w:lang w:eastAsia="en-AU"/>
              </w:rPr>
              <w:t>requirements</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_Ref472932627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392E50">
              <w:rPr>
                <w:rFonts w:ascii="Arial" w:eastAsia="Times New Roman" w:hAnsi="Arial" w:cs="Arial"/>
                <w:color w:val="000000"/>
                <w:sz w:val="15"/>
                <w:szCs w:val="15"/>
                <w:lang w:eastAsia="en-AU"/>
              </w:rPr>
              <w:fldChar w:fldCharType="end"/>
            </w:r>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18</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60</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E9ECF3" w:themeFill="accent2" w:themeFillTint="3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Pr>
                <w:rFonts w:ascii="Arial" w:eastAsia="Times New Roman" w:hAnsi="Arial" w:cs="Arial"/>
                <w:color w:val="000000"/>
                <w:sz w:val="15"/>
                <w:szCs w:val="15"/>
                <w:lang w:eastAsia="en-AU"/>
              </w:rPr>
              <w:t>2014–</w:t>
            </w:r>
            <w:r w:rsidRPr="00392E50">
              <w:rPr>
                <w:rFonts w:ascii="Arial" w:eastAsia="Times New Roman" w:hAnsi="Arial" w:cs="Arial"/>
                <w:color w:val="000000"/>
                <w:sz w:val="15"/>
                <w:szCs w:val="15"/>
                <w:lang w:eastAsia="en-AU"/>
              </w:rPr>
              <w:t>15 Budget Paper 2, p. 98</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Abolish the Seafarer Tax Offset</w:t>
            </w:r>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44</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2014–15 Budget Paper 2, p. 212</w:t>
            </w:r>
          </w:p>
        </w:tc>
      </w:tr>
      <w:tr w:rsidR="00230385" w:rsidRPr="00392E50" w:rsidTr="007072D3">
        <w:trPr>
          <w:trHeight w:hRule="exact" w:val="266"/>
        </w:trPr>
        <w:tc>
          <w:tcPr>
            <w:tcW w:w="8126" w:type="dxa"/>
            <w:tcBorders>
              <w:top w:val="nil"/>
              <w:left w:val="nil"/>
              <w:bottom w:val="nil"/>
              <w:right w:val="nil"/>
            </w:tcBorders>
            <w:shd w:val="clear" w:color="auto" w:fill="E9ECF3" w:themeFill="accent2" w:themeFillTint="33"/>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xml:space="preserve">Streamlining and Improving the Sustainability of </w:t>
            </w:r>
            <w:proofErr w:type="spellStart"/>
            <w:r w:rsidRPr="00392E50">
              <w:rPr>
                <w:rFonts w:ascii="Arial" w:eastAsia="Times New Roman" w:hAnsi="Arial" w:cs="Arial"/>
                <w:color w:val="000000"/>
                <w:sz w:val="15"/>
                <w:szCs w:val="15"/>
                <w:lang w:eastAsia="en-AU"/>
              </w:rPr>
              <w:t>Courts</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_Ref472932627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392E50">
              <w:rPr>
                <w:rFonts w:ascii="Arial" w:eastAsia="Times New Roman" w:hAnsi="Arial" w:cs="Arial"/>
                <w:color w:val="000000"/>
                <w:sz w:val="15"/>
                <w:szCs w:val="15"/>
                <w:lang w:eastAsia="en-AU"/>
              </w:rPr>
              <w:fldChar w:fldCharType="end"/>
            </w:r>
            <w:r w:rsidR="00CC59A7" w:rsidRPr="008E56E3">
              <w:rPr>
                <w:rFonts w:ascii="Arial" w:eastAsia="Times New Roman" w:hAnsi="Arial" w:cs="Arial"/>
                <w:color w:val="000000"/>
                <w:sz w:val="15"/>
                <w:szCs w:val="15"/>
                <w:vertAlign w:val="superscript"/>
                <w:lang w:eastAsia="en-AU"/>
              </w:rPr>
              <w:t>,</w:t>
            </w:r>
            <w:bookmarkStart w:id="13" w:name="_Ref473693757"/>
            <w:r w:rsidR="00CC59A7">
              <w:rPr>
                <w:rStyle w:val="EndnoteReference"/>
                <w:rFonts w:ascii="Arial" w:eastAsia="Times New Roman" w:hAnsi="Arial" w:cs="Arial"/>
                <w:color w:val="000000"/>
                <w:sz w:val="15"/>
                <w:szCs w:val="15"/>
                <w:lang w:eastAsia="en-AU"/>
              </w:rPr>
              <w:endnoteReference w:id="13"/>
            </w:r>
            <w:bookmarkEnd w:id="13"/>
          </w:p>
        </w:tc>
        <w:tc>
          <w:tcPr>
            <w:tcW w:w="801" w:type="dxa"/>
            <w:tcBorders>
              <w:top w:val="nil"/>
              <w:left w:val="nil"/>
              <w:bottom w:val="nil"/>
              <w:right w:val="nil"/>
            </w:tcBorders>
            <w:shd w:val="clear" w:color="auto" w:fill="E9ECF3" w:themeFill="accent2" w:themeFillTint="33"/>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22</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24</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24</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70</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26</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28</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29</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31</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31</w:t>
            </w:r>
          </w:p>
        </w:tc>
        <w:tc>
          <w:tcPr>
            <w:tcW w:w="801" w:type="dxa"/>
            <w:tcBorders>
              <w:top w:val="nil"/>
              <w:left w:val="nil"/>
              <w:bottom w:val="nil"/>
              <w:right w:val="nil"/>
            </w:tcBorders>
            <w:shd w:val="clear" w:color="auto" w:fill="E9ECF3" w:themeFill="accent2" w:themeFillTint="3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34</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274</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E9ECF3" w:themeFill="accent2" w:themeFillTint="33"/>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Budget Paper 2, p. 66</w:t>
            </w:r>
          </w:p>
        </w:tc>
      </w:tr>
      <w:tr w:rsidR="00230385" w:rsidRPr="00392E50" w:rsidTr="007072D3">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i/>
                <w:color w:val="000000"/>
                <w:sz w:val="15"/>
                <w:szCs w:val="15"/>
                <w:lang w:eastAsia="en-AU"/>
              </w:rPr>
              <w:t>Safety, Rehabilitation and Compensation Act 1988</w:t>
            </w:r>
            <w:r w:rsidRPr="00392E50">
              <w:rPr>
                <w:rFonts w:ascii="Arial" w:eastAsia="Times New Roman" w:hAnsi="Arial" w:cs="Arial"/>
                <w:color w:val="000000"/>
                <w:sz w:val="15"/>
                <w:szCs w:val="15"/>
                <w:lang w:eastAsia="en-AU"/>
              </w:rPr>
              <w:t xml:space="preserve"> reforms —  multiple injuries arising out of one </w:t>
            </w:r>
            <w:proofErr w:type="spellStart"/>
            <w:r w:rsidRPr="00392E50">
              <w:rPr>
                <w:rFonts w:ascii="Arial" w:eastAsia="Times New Roman" w:hAnsi="Arial" w:cs="Arial"/>
                <w:color w:val="000000"/>
                <w:sz w:val="15"/>
                <w:szCs w:val="15"/>
                <w:lang w:eastAsia="en-AU"/>
              </w:rPr>
              <w:t>event</w:t>
            </w:r>
            <w:r w:rsidRPr="00392E50">
              <w:rPr>
                <w:rFonts w:ascii="Arial" w:eastAsia="Times New Roman" w:hAnsi="Arial" w:cs="Arial"/>
                <w:color w:val="000000"/>
                <w:sz w:val="15"/>
                <w:szCs w:val="15"/>
                <w:lang w:eastAsia="en-AU"/>
              </w:rPr>
              <w:fldChar w:fldCharType="begin"/>
            </w:r>
            <w:r w:rsidRPr="00392E50">
              <w:rPr>
                <w:rFonts w:ascii="Arial" w:eastAsia="Times New Roman" w:hAnsi="Arial" w:cs="Arial"/>
                <w:color w:val="000000"/>
                <w:sz w:val="15"/>
                <w:szCs w:val="15"/>
                <w:lang w:eastAsia="en-AU"/>
              </w:rPr>
              <w:instrText xml:space="preserve"> NOTEREF _Ref472932627 \f \h  \* MERGEFORMAT </w:instrText>
            </w:r>
            <w:r w:rsidRPr="00392E50">
              <w:rPr>
                <w:rFonts w:ascii="Arial" w:eastAsia="Times New Roman" w:hAnsi="Arial" w:cs="Arial"/>
                <w:color w:val="000000"/>
                <w:sz w:val="15"/>
                <w:szCs w:val="15"/>
                <w:lang w:eastAsia="en-AU"/>
              </w:rPr>
            </w:r>
            <w:r w:rsidRPr="00392E50">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392E50">
              <w:rPr>
                <w:rFonts w:ascii="Arial" w:eastAsia="Times New Roman" w:hAnsi="Arial" w:cs="Arial"/>
                <w:color w:val="000000"/>
                <w:sz w:val="15"/>
                <w:szCs w:val="15"/>
                <w:lang w:eastAsia="en-AU"/>
              </w:rPr>
              <w:fldChar w:fldCharType="end"/>
            </w:r>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single" w:sz="4" w:space="0" w:color="D7DDE9"/>
            </w:tcBorders>
            <w:shd w:val="clear" w:color="000000" w:fill="D7DDE9"/>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56</w:t>
            </w:r>
          </w:p>
        </w:tc>
        <w:tc>
          <w:tcPr>
            <w:tcW w:w="236" w:type="dxa"/>
            <w:tcBorders>
              <w:top w:val="nil"/>
              <w:left w:val="nil"/>
              <w:bottom w:val="nil"/>
              <w:right w:val="single" w:sz="4" w:space="0" w:color="2B3B5F"/>
            </w:tcBorders>
            <w:shd w:val="clear" w:color="000000" w:fill="2B3B5F"/>
            <w:noWrap/>
            <w:vAlign w:val="bottom"/>
            <w:hideMark/>
          </w:tcPr>
          <w:p w:rsidR="00230385" w:rsidRPr="00392E50" w:rsidRDefault="00230385" w:rsidP="004405A0">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 </w:t>
            </w: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2015–16 Budget Paper 2, p. 183</w:t>
            </w:r>
          </w:p>
        </w:tc>
      </w:tr>
      <w:tr w:rsidR="00D17A75" w:rsidRPr="00392E50" w:rsidTr="00F156AA">
        <w:trPr>
          <w:trHeight w:hRule="exact" w:val="266"/>
        </w:trPr>
        <w:tc>
          <w:tcPr>
            <w:tcW w:w="8126" w:type="dxa"/>
            <w:tcBorders>
              <w:top w:val="nil"/>
              <w:left w:val="nil"/>
              <w:bottom w:val="single" w:sz="4" w:space="0" w:color="FFFFFF"/>
              <w:right w:val="nil"/>
            </w:tcBorders>
            <w:shd w:val="clear" w:color="000000" w:fill="2B3B5F"/>
            <w:noWrap/>
            <w:vAlign w:val="center"/>
            <w:hideMark/>
          </w:tcPr>
          <w:p w:rsidR="00D17A75" w:rsidRPr="00392E50" w:rsidRDefault="00D17A75" w:rsidP="002F6962">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Impact of unlegislated measures on the fiscal balance</w:t>
            </w:r>
            <w:r w:rsidRPr="00392E50">
              <w:rPr>
                <w:rStyle w:val="FootnoteReference"/>
                <w:rFonts w:ascii="Arial" w:eastAsia="Times New Roman" w:hAnsi="Arial" w:cs="Arial"/>
                <w:b/>
                <w:bCs/>
                <w:sz w:val="15"/>
                <w:szCs w:val="15"/>
                <w:lang w:eastAsia="en-AU"/>
              </w:rPr>
              <w:footnoteReference w:id="2"/>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-18</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1,964</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2,123</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3,271</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7,340</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3,479</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3,781</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4,072</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4,376</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4,628</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5,803</w:t>
            </w:r>
          </w:p>
        </w:tc>
        <w:tc>
          <w:tcPr>
            <w:tcW w:w="801"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6,414</w:t>
            </w:r>
          </w:p>
        </w:tc>
        <w:tc>
          <w:tcPr>
            <w:tcW w:w="802" w:type="dxa"/>
            <w:tcBorders>
              <w:top w:val="nil"/>
              <w:left w:val="nil"/>
              <w:bottom w:val="single" w:sz="4" w:space="0" w:color="FFFFFF"/>
              <w:right w:val="nil"/>
            </w:tcBorders>
            <w:shd w:val="clear" w:color="000000" w:fill="2B3B5F"/>
            <w:noWrap/>
            <w:hideMark/>
          </w:tcPr>
          <w:p w:rsidR="00D17A75" w:rsidRPr="00D17A75" w:rsidRDefault="00D17A75" w:rsidP="00D17A75">
            <w:pPr>
              <w:spacing w:before="50" w:after="50" w:line="240" w:lineRule="auto"/>
              <w:jc w:val="right"/>
              <w:rPr>
                <w:rFonts w:ascii="Arial" w:hAnsi="Arial" w:cs="Arial"/>
                <w:b/>
                <w:bCs/>
                <w:color w:val="FFFFFF"/>
                <w:sz w:val="16"/>
                <w:szCs w:val="16"/>
              </w:rPr>
            </w:pPr>
            <w:r w:rsidRPr="00D17A75">
              <w:rPr>
                <w:rFonts w:ascii="Arial" w:hAnsi="Arial" w:cs="Arial"/>
                <w:b/>
                <w:bCs/>
                <w:color w:val="FFFFFF"/>
                <w:sz w:val="16"/>
                <w:szCs w:val="16"/>
              </w:rPr>
              <w:t>39,893</w:t>
            </w:r>
          </w:p>
        </w:tc>
        <w:tc>
          <w:tcPr>
            <w:tcW w:w="236" w:type="dxa"/>
            <w:tcBorders>
              <w:top w:val="nil"/>
              <w:left w:val="nil"/>
              <w:bottom w:val="single" w:sz="4" w:space="0" w:color="FFFFFF"/>
              <w:right w:val="nil"/>
            </w:tcBorders>
            <w:shd w:val="clear" w:color="000000" w:fill="2B3B5F"/>
            <w:noWrap/>
            <w:hideMark/>
          </w:tcPr>
          <w:p w:rsidR="00D17A75" w:rsidRPr="00392E50" w:rsidRDefault="00D17A75" w:rsidP="00EF7FE7">
            <w:pPr>
              <w:spacing w:before="50" w:after="50" w:line="240" w:lineRule="auto"/>
              <w:jc w:val="right"/>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 </w:t>
            </w:r>
          </w:p>
        </w:tc>
        <w:tc>
          <w:tcPr>
            <w:tcW w:w="2645" w:type="dxa"/>
            <w:tcBorders>
              <w:top w:val="nil"/>
              <w:left w:val="nil"/>
              <w:bottom w:val="single" w:sz="4" w:space="0" w:color="FFFFFF"/>
              <w:right w:val="nil"/>
            </w:tcBorders>
            <w:shd w:val="clear" w:color="000000" w:fill="2B3B5F"/>
            <w:noWrap/>
            <w:hideMark/>
          </w:tcPr>
          <w:p w:rsidR="00D17A75" w:rsidRPr="00392E50" w:rsidRDefault="00D17A75" w:rsidP="00076EF9">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 </w:t>
            </w:r>
          </w:p>
        </w:tc>
      </w:tr>
      <w:tr w:rsidR="00230385" w:rsidRPr="00392E50" w:rsidTr="00F156AA">
        <w:trPr>
          <w:trHeight w:hRule="exact" w:val="266"/>
        </w:trPr>
        <w:tc>
          <w:tcPr>
            <w:tcW w:w="8126" w:type="dxa"/>
            <w:tcBorders>
              <w:top w:val="nil"/>
              <w:left w:val="nil"/>
              <w:bottom w:val="single" w:sz="8" w:space="0" w:color="FFFFFF"/>
              <w:right w:val="nil"/>
            </w:tcBorders>
            <w:shd w:val="clear" w:color="000000" w:fill="2B3B5F"/>
            <w:noWrap/>
            <w:vAlign w:val="center"/>
            <w:hideMark/>
          </w:tcPr>
          <w:p w:rsidR="00230385" w:rsidRPr="00392E50" w:rsidRDefault="00230385" w:rsidP="002F6962">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Impact of unlegislated measures on the fiscal balance (% of GDP)</w:t>
            </w:r>
          </w:p>
        </w:tc>
        <w:tc>
          <w:tcPr>
            <w:tcW w:w="801" w:type="dxa"/>
            <w:tcBorders>
              <w:top w:val="nil"/>
              <w:left w:val="nil"/>
              <w:bottom w:val="single" w:sz="8" w:space="0" w:color="FFFFFF"/>
              <w:right w:val="nil"/>
            </w:tcBorders>
            <w:shd w:val="clear" w:color="000000" w:fill="2B3B5F"/>
            <w:noWrap/>
            <w:hideMark/>
          </w:tcPr>
          <w:p w:rsidR="00230385" w:rsidRPr="00230385" w:rsidRDefault="000E675E" w:rsidP="00F156AA">
            <w:pPr>
              <w:spacing w:before="50" w:after="50" w:line="240" w:lineRule="auto"/>
              <w:jc w:val="right"/>
              <w:rPr>
                <w:rFonts w:ascii="Arial" w:hAnsi="Arial" w:cs="Arial"/>
                <w:b/>
                <w:bCs/>
                <w:color w:val="FFFFFF"/>
                <w:sz w:val="15"/>
                <w:szCs w:val="15"/>
              </w:rPr>
            </w:pPr>
            <w:r>
              <w:rPr>
                <w:rFonts w:ascii="Arial" w:hAnsi="Arial" w:cs="Arial"/>
                <w:b/>
                <w:bCs/>
                <w:color w:val="FFFFFF"/>
                <w:sz w:val="15"/>
                <w:szCs w:val="15"/>
              </w:rPr>
              <w:t>..</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0.1</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0.1</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 </w:t>
            </w:r>
          </w:p>
        </w:tc>
        <w:tc>
          <w:tcPr>
            <w:tcW w:w="801" w:type="dxa"/>
            <w:tcBorders>
              <w:top w:val="nil"/>
              <w:left w:val="nil"/>
              <w:bottom w:val="single" w:sz="8" w:space="0" w:color="FFFFFF"/>
              <w:right w:val="nil"/>
            </w:tcBorders>
            <w:shd w:val="clear" w:color="000000" w:fill="2B3B5F"/>
            <w:noWrap/>
            <w:hideMark/>
          </w:tcPr>
          <w:p w:rsidR="00230385" w:rsidRPr="00230385" w:rsidRDefault="001816D6" w:rsidP="00F156AA">
            <w:pPr>
              <w:spacing w:before="50" w:after="50" w:line="240" w:lineRule="auto"/>
              <w:jc w:val="right"/>
              <w:rPr>
                <w:rFonts w:ascii="Arial" w:hAnsi="Arial" w:cs="Arial"/>
                <w:b/>
                <w:bCs/>
                <w:color w:val="FFFFFF"/>
                <w:sz w:val="15"/>
                <w:szCs w:val="15"/>
              </w:rPr>
            </w:pPr>
            <w:r>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0.2</w:t>
            </w:r>
          </w:p>
        </w:tc>
        <w:tc>
          <w:tcPr>
            <w:tcW w:w="801" w:type="dxa"/>
            <w:tcBorders>
              <w:top w:val="nil"/>
              <w:left w:val="nil"/>
              <w:bottom w:val="single" w:sz="8" w:space="0" w:color="FFFFFF"/>
              <w:right w:val="nil"/>
            </w:tcBorders>
            <w:shd w:val="clear" w:color="000000" w:fill="2B3B5F"/>
            <w:noWrap/>
            <w:hideMark/>
          </w:tcPr>
          <w:p w:rsidR="00230385" w:rsidRPr="00230385" w:rsidRDefault="00B54D12" w:rsidP="003D217A">
            <w:pPr>
              <w:spacing w:before="50" w:after="50" w:line="240" w:lineRule="auto"/>
              <w:jc w:val="right"/>
              <w:rPr>
                <w:rFonts w:ascii="Arial" w:hAnsi="Arial" w:cs="Arial"/>
                <w:b/>
                <w:bCs/>
                <w:color w:val="FFFFFF"/>
                <w:sz w:val="15"/>
                <w:szCs w:val="15"/>
              </w:rPr>
            </w:pPr>
            <w:r>
              <w:rPr>
                <w:rFonts w:ascii="Arial" w:hAnsi="Arial" w:cs="Arial"/>
                <w:b/>
                <w:bCs/>
                <w:color w:val="FFFFFF"/>
                <w:sz w:val="15"/>
                <w:szCs w:val="15"/>
              </w:rPr>
              <w:t>0.</w:t>
            </w:r>
            <w:r w:rsidR="003D217A">
              <w:rPr>
                <w:rFonts w:ascii="Arial" w:hAnsi="Arial" w:cs="Arial"/>
                <w:b/>
                <w:bCs/>
                <w:color w:val="FFFFFF"/>
                <w:sz w:val="15"/>
                <w:szCs w:val="15"/>
              </w:rPr>
              <w:t>2</w:t>
            </w:r>
          </w:p>
        </w:tc>
        <w:tc>
          <w:tcPr>
            <w:tcW w:w="802" w:type="dxa"/>
            <w:tcBorders>
              <w:top w:val="nil"/>
              <w:left w:val="nil"/>
              <w:bottom w:val="single" w:sz="8" w:space="0" w:color="FFFFFF"/>
              <w:right w:val="nil"/>
            </w:tcBorders>
            <w:shd w:val="clear" w:color="000000" w:fill="2B3B5F"/>
            <w:noWrap/>
            <w:hideMark/>
          </w:tcPr>
          <w:p w:rsidR="00230385" w:rsidRPr="00230385" w:rsidRDefault="00230385" w:rsidP="00F156AA">
            <w:pPr>
              <w:spacing w:before="50" w:after="50" w:line="240" w:lineRule="auto"/>
              <w:jc w:val="right"/>
              <w:rPr>
                <w:rFonts w:ascii="Arial" w:hAnsi="Arial" w:cs="Arial"/>
                <w:b/>
                <w:bCs/>
                <w:color w:val="FFFFFF"/>
                <w:sz w:val="15"/>
                <w:szCs w:val="15"/>
              </w:rPr>
            </w:pPr>
            <w:r w:rsidRPr="00230385">
              <w:rPr>
                <w:rFonts w:ascii="Arial" w:hAnsi="Arial" w:cs="Arial"/>
                <w:b/>
                <w:bCs/>
                <w:color w:val="FFFFFF"/>
                <w:sz w:val="15"/>
                <w:szCs w:val="15"/>
              </w:rPr>
              <w:t> </w:t>
            </w:r>
          </w:p>
        </w:tc>
        <w:tc>
          <w:tcPr>
            <w:tcW w:w="236" w:type="dxa"/>
            <w:tcBorders>
              <w:top w:val="nil"/>
              <w:left w:val="nil"/>
              <w:bottom w:val="single" w:sz="8" w:space="0" w:color="FFFFFF"/>
              <w:right w:val="nil"/>
            </w:tcBorders>
            <w:shd w:val="clear" w:color="000000" w:fill="2B3B5F"/>
            <w:noWrap/>
            <w:hideMark/>
          </w:tcPr>
          <w:p w:rsidR="00230385" w:rsidRPr="00392E50" w:rsidRDefault="00230385" w:rsidP="00EF7FE7">
            <w:pPr>
              <w:spacing w:before="50" w:after="50" w:line="240" w:lineRule="auto"/>
              <w:jc w:val="right"/>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 </w:t>
            </w:r>
          </w:p>
        </w:tc>
        <w:tc>
          <w:tcPr>
            <w:tcW w:w="2645" w:type="dxa"/>
            <w:tcBorders>
              <w:top w:val="nil"/>
              <w:left w:val="nil"/>
              <w:bottom w:val="single" w:sz="8" w:space="0" w:color="FFFFFF"/>
              <w:right w:val="nil"/>
            </w:tcBorders>
            <w:shd w:val="clear" w:color="000000" w:fill="2B3B5F"/>
            <w:noWrap/>
            <w:hideMark/>
          </w:tcPr>
          <w:p w:rsidR="00230385" w:rsidRPr="00392E50" w:rsidRDefault="00230385" w:rsidP="00076EF9">
            <w:pPr>
              <w:spacing w:before="50" w:after="50" w:line="240" w:lineRule="auto"/>
              <w:rPr>
                <w:rFonts w:ascii="Arial" w:eastAsia="Times New Roman" w:hAnsi="Arial" w:cs="Arial"/>
                <w:b/>
                <w:bCs/>
                <w:color w:val="FFFFFF"/>
                <w:sz w:val="15"/>
                <w:szCs w:val="15"/>
                <w:lang w:eastAsia="en-AU"/>
              </w:rPr>
            </w:pPr>
            <w:r w:rsidRPr="00392E50">
              <w:rPr>
                <w:rFonts w:ascii="Arial" w:eastAsia="Times New Roman" w:hAnsi="Arial" w:cs="Arial"/>
                <w:b/>
                <w:bCs/>
                <w:color w:val="FFFFFF"/>
                <w:sz w:val="15"/>
                <w:szCs w:val="15"/>
                <w:lang w:eastAsia="en-AU"/>
              </w:rPr>
              <w:t> </w:t>
            </w:r>
          </w:p>
        </w:tc>
      </w:tr>
      <w:tr w:rsidR="00230385" w:rsidRPr="00392E50" w:rsidTr="00F156AA">
        <w:trPr>
          <w:trHeight w:hRule="exact" w:val="266"/>
        </w:trPr>
        <w:tc>
          <w:tcPr>
            <w:tcW w:w="8126" w:type="dxa"/>
            <w:tcBorders>
              <w:top w:val="nil"/>
              <w:left w:val="nil"/>
              <w:bottom w:val="nil"/>
              <w:right w:val="nil"/>
            </w:tcBorders>
            <w:shd w:val="clear" w:color="000000" w:fill="D7DDE9"/>
            <w:noWrap/>
            <w:vAlign w:val="center"/>
            <w:hideMark/>
          </w:tcPr>
          <w:p w:rsidR="00230385" w:rsidRPr="00392E50" w:rsidRDefault="00230385" w:rsidP="002F6962">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Memorandum items: public debt interest by measure</w:t>
            </w:r>
            <w:r w:rsidRPr="00392E50">
              <w:rPr>
                <w:rStyle w:val="FootnoteReference"/>
                <w:rFonts w:ascii="Arial" w:eastAsia="Times New Roman" w:hAnsi="Arial" w:cs="Arial"/>
                <w:b/>
                <w:bCs/>
                <w:i/>
                <w:iCs/>
                <w:sz w:val="15"/>
                <w:szCs w:val="15"/>
                <w:lang w:eastAsia="en-AU"/>
              </w:rPr>
              <w:footnoteReference w:id="3"/>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1"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802" w:type="dxa"/>
            <w:tcBorders>
              <w:top w:val="nil"/>
              <w:left w:val="nil"/>
              <w:right w:val="nil"/>
            </w:tcBorders>
            <w:shd w:val="clear" w:color="000000" w:fill="D7DDE9"/>
            <w:noWrap/>
            <w:hideMark/>
          </w:tcPr>
          <w:p w:rsidR="00230385" w:rsidRPr="00230385" w:rsidRDefault="00230385" w:rsidP="00F156AA">
            <w:pPr>
              <w:spacing w:before="50" w:after="50" w:line="240" w:lineRule="auto"/>
              <w:jc w:val="right"/>
              <w:rPr>
                <w:rFonts w:ascii="Arial" w:hAnsi="Arial" w:cs="Arial"/>
                <w:b/>
                <w:bCs/>
                <w:i/>
                <w:iCs/>
                <w:color w:val="000000"/>
                <w:sz w:val="15"/>
                <w:szCs w:val="15"/>
              </w:rPr>
            </w:pPr>
            <w:r w:rsidRPr="00230385">
              <w:rPr>
                <w:rFonts w:ascii="Arial" w:hAnsi="Arial" w:cs="Arial"/>
                <w:b/>
                <w:bCs/>
                <w:i/>
                <w:iCs/>
                <w:color w:val="000000"/>
                <w:sz w:val="15"/>
                <w:szCs w:val="15"/>
              </w:rPr>
              <w:t> </w:t>
            </w:r>
          </w:p>
        </w:tc>
        <w:tc>
          <w:tcPr>
            <w:tcW w:w="236" w:type="dxa"/>
            <w:tcBorders>
              <w:top w:val="nil"/>
              <w:left w:val="nil"/>
              <w:bottom w:val="nil"/>
              <w:right w:val="nil"/>
            </w:tcBorders>
            <w:shd w:val="clear" w:color="000000" w:fill="D7DDE9"/>
            <w:noWrap/>
            <w:hideMark/>
          </w:tcPr>
          <w:p w:rsidR="00230385" w:rsidRPr="00392E50" w:rsidRDefault="00230385" w:rsidP="00EF7FE7">
            <w:pPr>
              <w:spacing w:before="50" w:after="50" w:line="240" w:lineRule="auto"/>
              <w:jc w:val="right"/>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c>
          <w:tcPr>
            <w:tcW w:w="2645" w:type="dxa"/>
            <w:tcBorders>
              <w:top w:val="nil"/>
              <w:left w:val="nil"/>
              <w:bottom w:val="nil"/>
              <w:right w:val="nil"/>
            </w:tcBorders>
            <w:shd w:val="clear" w:color="000000" w:fill="D7DDE9"/>
            <w:noWrap/>
            <w:hideMark/>
          </w:tcPr>
          <w:p w:rsidR="00230385" w:rsidRPr="00392E50" w:rsidRDefault="00230385" w:rsidP="00076EF9">
            <w:pPr>
              <w:spacing w:before="50" w:after="50" w:line="240" w:lineRule="auto"/>
              <w:rPr>
                <w:rFonts w:ascii="Arial" w:eastAsia="Times New Roman" w:hAnsi="Arial" w:cs="Arial"/>
                <w:b/>
                <w:bCs/>
                <w:i/>
                <w:iCs/>
                <w:color w:val="000000"/>
                <w:sz w:val="15"/>
                <w:szCs w:val="15"/>
                <w:lang w:eastAsia="en-AU"/>
              </w:rPr>
            </w:pPr>
            <w:r w:rsidRPr="00392E50">
              <w:rPr>
                <w:rFonts w:ascii="Arial" w:eastAsia="Times New Roman" w:hAnsi="Arial" w:cs="Arial"/>
                <w:b/>
                <w:bCs/>
                <w:i/>
                <w:iCs/>
                <w:color w:val="000000"/>
                <w:sz w:val="15"/>
                <w:szCs w:val="15"/>
                <w:lang w:eastAsia="en-AU"/>
              </w:rPr>
              <w:t> </w:t>
            </w:r>
          </w:p>
        </w:tc>
      </w:tr>
      <w:tr w:rsidR="00230385" w:rsidRPr="00392E50" w:rsidTr="00F156AA">
        <w:trPr>
          <w:trHeight w:hRule="exact" w:val="266"/>
        </w:trPr>
        <w:tc>
          <w:tcPr>
            <w:tcW w:w="8126" w:type="dxa"/>
            <w:tcBorders>
              <w:top w:val="nil"/>
              <w:left w:val="nil"/>
              <w:bottom w:val="nil"/>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Expanding opportunity — expansion of the demand driven system and sharing the cost fairly</w:t>
            </w:r>
          </w:p>
        </w:tc>
        <w:tc>
          <w:tcPr>
            <w:tcW w:w="801" w:type="dxa"/>
            <w:tcBorders>
              <w:top w:val="nil"/>
              <w:left w:val="nil"/>
              <w:bottom w:val="nil"/>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56</w:t>
            </w:r>
          </w:p>
        </w:tc>
        <w:tc>
          <w:tcPr>
            <w:tcW w:w="801"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90</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92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137</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193</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258</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332</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416</w:t>
            </w:r>
          </w:p>
        </w:tc>
        <w:tc>
          <w:tcPr>
            <w:tcW w:w="801" w:type="dxa"/>
            <w:tcBorders>
              <w:top w:val="nil"/>
              <w:left w:val="nil"/>
              <w:bottom w:val="nil"/>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511</w:t>
            </w:r>
          </w:p>
        </w:tc>
        <w:tc>
          <w:tcPr>
            <w:tcW w:w="802" w:type="dxa"/>
            <w:tcBorders>
              <w:top w:val="nil"/>
              <w:left w:val="nil"/>
              <w:bottom w:val="nil"/>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2,030</w:t>
            </w:r>
          </w:p>
        </w:tc>
        <w:tc>
          <w:tcPr>
            <w:tcW w:w="236" w:type="dxa"/>
            <w:tcBorders>
              <w:top w:val="nil"/>
              <w:left w:val="nil"/>
              <w:bottom w:val="nil"/>
              <w:right w:val="nil"/>
            </w:tcBorders>
            <w:shd w:val="clear" w:color="auto" w:fill="auto"/>
            <w:noWrap/>
            <w:hideMark/>
          </w:tcPr>
          <w:p w:rsidR="00230385" w:rsidRPr="00392E50" w:rsidRDefault="00230385" w:rsidP="00EF7FE7">
            <w:pPr>
              <w:spacing w:before="50" w:after="50" w:line="240" w:lineRule="auto"/>
              <w:jc w:val="right"/>
              <w:rPr>
                <w:rFonts w:ascii="Arial" w:eastAsia="Times New Roman" w:hAnsi="Arial" w:cs="Arial"/>
                <w:color w:val="000000"/>
                <w:sz w:val="15"/>
                <w:szCs w:val="15"/>
                <w:lang w:eastAsia="en-AU"/>
              </w:rPr>
            </w:pPr>
          </w:p>
        </w:tc>
        <w:tc>
          <w:tcPr>
            <w:tcW w:w="2645" w:type="dxa"/>
            <w:tcBorders>
              <w:top w:val="nil"/>
              <w:left w:val="nil"/>
              <w:bottom w:val="nil"/>
              <w:right w:val="nil"/>
            </w:tcBorders>
            <w:shd w:val="clear" w:color="auto" w:fill="auto"/>
            <w:noWrap/>
            <w:hideMark/>
          </w:tcPr>
          <w:p w:rsidR="00230385" w:rsidRPr="00392E50" w:rsidRDefault="00230385" w:rsidP="00076EF9">
            <w:pPr>
              <w:spacing w:before="50" w:after="50" w:line="240" w:lineRule="auto"/>
              <w:rPr>
                <w:rFonts w:ascii="Arial" w:eastAsia="Times New Roman" w:hAnsi="Arial" w:cs="Arial"/>
                <w:color w:val="000000"/>
                <w:sz w:val="15"/>
                <w:szCs w:val="15"/>
                <w:lang w:eastAsia="en-AU"/>
              </w:rPr>
            </w:pPr>
          </w:p>
        </w:tc>
      </w:tr>
      <w:tr w:rsidR="00230385" w:rsidRPr="00AF415E" w:rsidTr="00F156AA">
        <w:trPr>
          <w:trHeight w:hRule="exact" w:val="266"/>
        </w:trPr>
        <w:tc>
          <w:tcPr>
            <w:tcW w:w="8126" w:type="dxa"/>
            <w:tcBorders>
              <w:top w:val="nil"/>
              <w:left w:val="nil"/>
              <w:bottom w:val="nil"/>
              <w:right w:val="nil"/>
            </w:tcBorders>
            <w:shd w:val="clear" w:color="auto" w:fill="auto"/>
            <w:noWrap/>
            <w:vAlign w:val="center"/>
            <w:hideMark/>
          </w:tcPr>
          <w:p w:rsidR="00230385" w:rsidRPr="00AF415E" w:rsidRDefault="00230385" w:rsidP="002F6962">
            <w:pPr>
              <w:spacing w:before="50" w:after="50" w:line="240" w:lineRule="auto"/>
              <w:ind w:firstLineChars="100" w:firstLine="150"/>
              <w:rPr>
                <w:rFonts w:ascii="Arial" w:eastAsia="Times New Roman" w:hAnsi="Arial" w:cs="Arial"/>
                <w:i/>
                <w:color w:val="000000"/>
                <w:sz w:val="15"/>
                <w:szCs w:val="15"/>
                <w:lang w:eastAsia="en-AU"/>
              </w:rPr>
            </w:pPr>
            <w:r w:rsidRPr="00AF415E">
              <w:rPr>
                <w:rFonts w:ascii="Arial" w:eastAsia="Times New Roman" w:hAnsi="Arial" w:cs="Arial"/>
                <w:i/>
                <w:color w:val="000000"/>
                <w:sz w:val="15"/>
                <w:szCs w:val="15"/>
                <w:lang w:eastAsia="en-AU"/>
              </w:rPr>
              <w:t>Component: Reduction in Commonwealth Grant Scheme subsidies</w:t>
            </w:r>
          </w:p>
        </w:tc>
        <w:tc>
          <w:tcPr>
            <w:tcW w:w="801" w:type="dxa"/>
            <w:tcBorders>
              <w:top w:val="nil"/>
              <w:left w:val="nil"/>
              <w:bottom w:val="nil"/>
              <w:right w:val="nil"/>
            </w:tcBorders>
            <w:shd w:val="clear" w:color="auto" w:fill="auto"/>
            <w:noWrap/>
            <w:hideMark/>
          </w:tcPr>
          <w:p w:rsidR="00230385" w:rsidRPr="00AF415E" w:rsidRDefault="000E675E" w:rsidP="00F156AA">
            <w:pPr>
              <w:spacing w:before="50" w:after="50" w:line="240" w:lineRule="auto"/>
              <w:jc w:val="right"/>
              <w:rPr>
                <w:rFonts w:ascii="Arial" w:hAnsi="Arial" w:cs="Arial"/>
                <w:i/>
                <w:color w:val="000000"/>
                <w:sz w:val="15"/>
                <w:szCs w:val="15"/>
              </w:rPr>
            </w:pPr>
            <w:r>
              <w:rPr>
                <w:rFonts w:ascii="Arial" w:hAnsi="Arial" w:cs="Arial"/>
                <w:i/>
                <w:color w:val="000000"/>
                <w:sz w:val="15"/>
                <w:szCs w:val="15"/>
              </w:rPr>
              <w:t>-</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7</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30</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64</w:t>
            </w:r>
          </w:p>
        </w:tc>
        <w:tc>
          <w:tcPr>
            <w:tcW w:w="801" w:type="dxa"/>
            <w:tcBorders>
              <w:top w:val="nil"/>
              <w:left w:val="nil"/>
              <w:bottom w:val="nil"/>
              <w:right w:val="nil"/>
            </w:tcBorders>
            <w:shd w:val="clear" w:color="auto" w:fill="D7DDE9" w:themeFill="accent3"/>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102</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110</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171</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247</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337</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439</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555</w:t>
            </w:r>
          </w:p>
        </w:tc>
        <w:tc>
          <w:tcPr>
            <w:tcW w:w="801" w:type="dxa"/>
            <w:tcBorders>
              <w:top w:val="nil"/>
              <w:left w:val="nil"/>
              <w:bottom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685</w:t>
            </w:r>
          </w:p>
        </w:tc>
        <w:tc>
          <w:tcPr>
            <w:tcW w:w="802" w:type="dxa"/>
            <w:tcBorders>
              <w:top w:val="nil"/>
              <w:left w:val="nil"/>
              <w:bottom w:val="nil"/>
              <w:right w:val="nil"/>
            </w:tcBorders>
            <w:shd w:val="clear" w:color="auto" w:fill="D7DDE9" w:themeFill="accent3"/>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2,647</w:t>
            </w:r>
          </w:p>
        </w:tc>
        <w:tc>
          <w:tcPr>
            <w:tcW w:w="236" w:type="dxa"/>
            <w:tcBorders>
              <w:top w:val="nil"/>
              <w:left w:val="nil"/>
              <w:bottom w:val="nil"/>
              <w:right w:val="nil"/>
            </w:tcBorders>
            <w:shd w:val="clear" w:color="auto" w:fill="auto"/>
            <w:noWrap/>
            <w:hideMark/>
          </w:tcPr>
          <w:p w:rsidR="00230385" w:rsidRPr="00AF415E" w:rsidRDefault="00230385" w:rsidP="00EF7FE7">
            <w:pPr>
              <w:spacing w:before="50" w:after="50" w:line="240" w:lineRule="auto"/>
              <w:jc w:val="right"/>
              <w:rPr>
                <w:rFonts w:ascii="Arial" w:eastAsia="Times New Roman" w:hAnsi="Arial" w:cs="Arial"/>
                <w:i/>
                <w:color w:val="000000"/>
                <w:sz w:val="15"/>
                <w:szCs w:val="15"/>
                <w:lang w:eastAsia="en-AU"/>
              </w:rPr>
            </w:pPr>
          </w:p>
        </w:tc>
        <w:tc>
          <w:tcPr>
            <w:tcW w:w="2645" w:type="dxa"/>
            <w:tcBorders>
              <w:top w:val="nil"/>
              <w:left w:val="nil"/>
              <w:bottom w:val="nil"/>
              <w:right w:val="nil"/>
            </w:tcBorders>
            <w:shd w:val="clear" w:color="auto" w:fill="auto"/>
            <w:noWrap/>
            <w:hideMark/>
          </w:tcPr>
          <w:p w:rsidR="00230385" w:rsidRPr="00AF415E" w:rsidRDefault="00230385" w:rsidP="00076EF9">
            <w:pPr>
              <w:spacing w:before="50" w:after="50" w:line="240" w:lineRule="auto"/>
              <w:rPr>
                <w:rFonts w:ascii="Arial" w:eastAsia="Times New Roman" w:hAnsi="Arial" w:cs="Arial"/>
                <w:i/>
                <w:color w:val="000000"/>
                <w:sz w:val="15"/>
                <w:szCs w:val="15"/>
                <w:lang w:eastAsia="en-AU"/>
              </w:rPr>
            </w:pPr>
          </w:p>
        </w:tc>
      </w:tr>
      <w:tr w:rsidR="00230385" w:rsidRPr="00AF415E" w:rsidTr="00F156AA">
        <w:trPr>
          <w:trHeight w:hRule="exact" w:val="266"/>
        </w:trPr>
        <w:tc>
          <w:tcPr>
            <w:tcW w:w="8126" w:type="dxa"/>
            <w:tcBorders>
              <w:top w:val="nil"/>
              <w:left w:val="nil"/>
              <w:right w:val="nil"/>
            </w:tcBorders>
            <w:shd w:val="clear" w:color="auto" w:fill="auto"/>
            <w:noWrap/>
            <w:vAlign w:val="center"/>
            <w:hideMark/>
          </w:tcPr>
          <w:p w:rsidR="00230385" w:rsidRPr="00AF415E" w:rsidRDefault="00230385" w:rsidP="002F6962">
            <w:pPr>
              <w:spacing w:before="50" w:after="50" w:line="240" w:lineRule="auto"/>
              <w:ind w:firstLineChars="100" w:firstLine="150"/>
              <w:rPr>
                <w:rFonts w:ascii="Arial" w:eastAsia="Times New Roman" w:hAnsi="Arial" w:cs="Arial"/>
                <w:i/>
                <w:color w:val="000000"/>
                <w:sz w:val="15"/>
                <w:szCs w:val="15"/>
                <w:lang w:eastAsia="en-AU"/>
              </w:rPr>
            </w:pPr>
            <w:r w:rsidRPr="00AF415E">
              <w:rPr>
                <w:rFonts w:ascii="Arial" w:eastAsia="Times New Roman" w:hAnsi="Arial" w:cs="Arial"/>
                <w:i/>
                <w:color w:val="000000"/>
                <w:sz w:val="15"/>
                <w:szCs w:val="15"/>
                <w:lang w:eastAsia="en-AU"/>
              </w:rPr>
              <w:t>Component: Non-university higher education provider places</w:t>
            </w:r>
          </w:p>
        </w:tc>
        <w:tc>
          <w:tcPr>
            <w:tcW w:w="801" w:type="dxa"/>
            <w:tcBorders>
              <w:top w:val="nil"/>
              <w:left w:val="nil"/>
              <w:right w:val="nil"/>
            </w:tcBorders>
            <w:shd w:val="clear" w:color="auto" w:fill="auto"/>
            <w:noWrap/>
            <w:hideMark/>
          </w:tcPr>
          <w:p w:rsidR="00230385" w:rsidRPr="00AF415E" w:rsidRDefault="000E675E" w:rsidP="00F156AA">
            <w:pPr>
              <w:spacing w:before="50" w:after="50" w:line="240" w:lineRule="auto"/>
              <w:jc w:val="right"/>
              <w:rPr>
                <w:rFonts w:ascii="Arial" w:hAnsi="Arial" w:cs="Arial"/>
                <w:i/>
                <w:color w:val="000000"/>
                <w:sz w:val="15"/>
                <w:szCs w:val="15"/>
              </w:rPr>
            </w:pPr>
            <w:r>
              <w:rPr>
                <w:rFonts w:ascii="Arial" w:hAnsi="Arial" w:cs="Arial"/>
                <w:i/>
                <w:color w:val="000000"/>
                <w:sz w:val="15"/>
                <w:szCs w:val="15"/>
              </w:rPr>
              <w:t>-</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4</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8</w:t>
            </w:r>
          </w:p>
        </w:tc>
        <w:tc>
          <w:tcPr>
            <w:tcW w:w="801" w:type="dxa"/>
            <w:tcBorders>
              <w:top w:val="nil"/>
              <w:left w:val="nil"/>
              <w:right w:val="nil"/>
            </w:tcBorders>
            <w:shd w:val="clear" w:color="auto" w:fill="D7DDE9" w:themeFill="accent3"/>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12</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13</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20</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28</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38</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50</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63</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78</w:t>
            </w:r>
          </w:p>
        </w:tc>
        <w:tc>
          <w:tcPr>
            <w:tcW w:w="802" w:type="dxa"/>
            <w:tcBorders>
              <w:top w:val="nil"/>
              <w:left w:val="nil"/>
              <w:right w:val="nil"/>
            </w:tcBorders>
            <w:shd w:val="clear" w:color="auto" w:fill="D7DDE9" w:themeFill="accent3"/>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302</w:t>
            </w:r>
          </w:p>
        </w:tc>
        <w:tc>
          <w:tcPr>
            <w:tcW w:w="236" w:type="dxa"/>
            <w:tcBorders>
              <w:top w:val="nil"/>
              <w:left w:val="nil"/>
              <w:right w:val="nil"/>
            </w:tcBorders>
            <w:shd w:val="clear" w:color="auto" w:fill="auto"/>
            <w:noWrap/>
            <w:hideMark/>
          </w:tcPr>
          <w:p w:rsidR="00230385" w:rsidRPr="00AF415E" w:rsidRDefault="00230385" w:rsidP="00EF7FE7">
            <w:pPr>
              <w:spacing w:before="50" w:after="50" w:line="240" w:lineRule="auto"/>
              <w:jc w:val="right"/>
              <w:rPr>
                <w:rFonts w:ascii="Arial" w:eastAsia="Times New Roman" w:hAnsi="Arial" w:cs="Arial"/>
                <w:i/>
                <w:color w:val="000000"/>
                <w:sz w:val="15"/>
                <w:szCs w:val="15"/>
                <w:lang w:eastAsia="en-AU"/>
              </w:rPr>
            </w:pPr>
          </w:p>
        </w:tc>
        <w:tc>
          <w:tcPr>
            <w:tcW w:w="2645" w:type="dxa"/>
            <w:tcBorders>
              <w:top w:val="nil"/>
              <w:left w:val="nil"/>
              <w:right w:val="nil"/>
            </w:tcBorders>
            <w:shd w:val="clear" w:color="auto" w:fill="auto"/>
            <w:noWrap/>
            <w:hideMark/>
          </w:tcPr>
          <w:p w:rsidR="00230385" w:rsidRPr="00AF415E" w:rsidRDefault="00230385" w:rsidP="00076EF9">
            <w:pPr>
              <w:spacing w:before="50" w:after="50" w:line="240" w:lineRule="auto"/>
              <w:rPr>
                <w:rFonts w:ascii="Arial" w:eastAsia="Times New Roman" w:hAnsi="Arial" w:cs="Arial"/>
                <w:i/>
                <w:color w:val="000000"/>
                <w:sz w:val="15"/>
                <w:szCs w:val="15"/>
                <w:lang w:eastAsia="en-AU"/>
              </w:rPr>
            </w:pPr>
          </w:p>
        </w:tc>
      </w:tr>
      <w:tr w:rsidR="00230385" w:rsidRPr="00AF415E" w:rsidTr="00F156AA">
        <w:trPr>
          <w:trHeight w:hRule="exact" w:val="266"/>
        </w:trPr>
        <w:tc>
          <w:tcPr>
            <w:tcW w:w="8126" w:type="dxa"/>
            <w:tcBorders>
              <w:top w:val="nil"/>
              <w:left w:val="nil"/>
              <w:right w:val="nil"/>
            </w:tcBorders>
            <w:shd w:val="clear" w:color="auto" w:fill="auto"/>
            <w:noWrap/>
            <w:vAlign w:val="center"/>
            <w:hideMark/>
          </w:tcPr>
          <w:p w:rsidR="00230385" w:rsidRPr="00AF415E" w:rsidRDefault="00230385" w:rsidP="002F6962">
            <w:pPr>
              <w:spacing w:before="50" w:after="50" w:line="240" w:lineRule="auto"/>
              <w:ind w:firstLineChars="100" w:firstLine="150"/>
              <w:rPr>
                <w:rFonts w:ascii="Arial" w:eastAsia="Times New Roman" w:hAnsi="Arial" w:cs="Arial"/>
                <w:i/>
                <w:color w:val="000000"/>
                <w:sz w:val="15"/>
                <w:szCs w:val="15"/>
                <w:lang w:eastAsia="en-AU"/>
              </w:rPr>
            </w:pPr>
            <w:r w:rsidRPr="00AF415E">
              <w:rPr>
                <w:rFonts w:ascii="Arial" w:eastAsia="Times New Roman" w:hAnsi="Arial" w:cs="Arial"/>
                <w:i/>
                <w:color w:val="000000"/>
                <w:sz w:val="15"/>
                <w:szCs w:val="15"/>
                <w:lang w:eastAsia="en-AU"/>
              </w:rPr>
              <w:t>Component: Additional sub-bachelor places</w:t>
            </w:r>
          </w:p>
        </w:tc>
        <w:tc>
          <w:tcPr>
            <w:tcW w:w="801" w:type="dxa"/>
            <w:tcBorders>
              <w:top w:val="nil"/>
              <w:left w:val="nil"/>
              <w:right w:val="nil"/>
            </w:tcBorders>
            <w:shd w:val="clear" w:color="auto" w:fill="auto"/>
            <w:noWrap/>
            <w:hideMark/>
          </w:tcPr>
          <w:p w:rsidR="00230385" w:rsidRPr="00AF415E" w:rsidRDefault="000E675E" w:rsidP="00F156AA">
            <w:pPr>
              <w:spacing w:before="50" w:after="50" w:line="240" w:lineRule="auto"/>
              <w:jc w:val="right"/>
              <w:rPr>
                <w:rFonts w:ascii="Arial" w:hAnsi="Arial" w:cs="Arial"/>
                <w:i/>
                <w:color w:val="000000"/>
                <w:sz w:val="15"/>
                <w:szCs w:val="15"/>
              </w:rPr>
            </w:pPr>
            <w:r>
              <w:rPr>
                <w:rFonts w:ascii="Arial" w:hAnsi="Arial" w:cs="Arial"/>
                <w:i/>
                <w:color w:val="000000"/>
                <w:sz w:val="15"/>
                <w:szCs w:val="15"/>
              </w:rPr>
              <w:t>-</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-6</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-16</w:t>
            </w:r>
          </w:p>
        </w:tc>
        <w:tc>
          <w:tcPr>
            <w:tcW w:w="801" w:type="dxa"/>
            <w:tcBorders>
              <w:top w:val="nil"/>
              <w:left w:val="nil"/>
              <w:right w:val="nil"/>
            </w:tcBorders>
            <w:shd w:val="clear" w:color="auto" w:fill="D7DDE9" w:themeFill="accent3"/>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-23</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-31</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-54</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-83</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-117</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-157</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-202</w:t>
            </w:r>
          </w:p>
        </w:tc>
        <w:tc>
          <w:tcPr>
            <w:tcW w:w="801" w:type="dxa"/>
            <w:tcBorders>
              <w:top w:val="nil"/>
              <w:left w:val="nil"/>
              <w:right w:val="nil"/>
            </w:tcBorders>
            <w:shd w:val="clear" w:color="auto" w:fill="auto"/>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-252</w:t>
            </w:r>
          </w:p>
        </w:tc>
        <w:tc>
          <w:tcPr>
            <w:tcW w:w="802" w:type="dxa"/>
            <w:tcBorders>
              <w:top w:val="nil"/>
              <w:left w:val="nil"/>
              <w:right w:val="nil"/>
            </w:tcBorders>
            <w:shd w:val="clear" w:color="auto" w:fill="D7DDE9" w:themeFill="accent3"/>
            <w:noWrap/>
            <w:hideMark/>
          </w:tcPr>
          <w:p w:rsidR="00230385" w:rsidRPr="00AF415E" w:rsidRDefault="00230385" w:rsidP="00F156AA">
            <w:pPr>
              <w:spacing w:before="50" w:after="50" w:line="240" w:lineRule="auto"/>
              <w:jc w:val="right"/>
              <w:rPr>
                <w:rFonts w:ascii="Arial" w:hAnsi="Arial" w:cs="Arial"/>
                <w:i/>
                <w:color w:val="000000"/>
                <w:sz w:val="15"/>
                <w:szCs w:val="15"/>
              </w:rPr>
            </w:pPr>
            <w:r w:rsidRPr="00AF415E">
              <w:rPr>
                <w:rFonts w:ascii="Arial" w:hAnsi="Arial" w:cs="Arial"/>
                <w:i/>
                <w:color w:val="000000"/>
                <w:sz w:val="15"/>
                <w:szCs w:val="15"/>
              </w:rPr>
              <w:t>-919</w:t>
            </w:r>
          </w:p>
        </w:tc>
        <w:tc>
          <w:tcPr>
            <w:tcW w:w="236" w:type="dxa"/>
            <w:tcBorders>
              <w:top w:val="nil"/>
              <w:left w:val="nil"/>
              <w:right w:val="nil"/>
            </w:tcBorders>
            <w:shd w:val="clear" w:color="auto" w:fill="auto"/>
            <w:noWrap/>
            <w:hideMark/>
          </w:tcPr>
          <w:p w:rsidR="00230385" w:rsidRPr="00AF415E" w:rsidRDefault="00230385" w:rsidP="00677697">
            <w:pPr>
              <w:spacing w:before="50" w:after="50" w:line="240" w:lineRule="auto"/>
              <w:jc w:val="right"/>
              <w:rPr>
                <w:rFonts w:ascii="Arial" w:eastAsia="Times New Roman" w:hAnsi="Arial" w:cs="Arial"/>
                <w:i/>
                <w:color w:val="000000"/>
                <w:sz w:val="15"/>
                <w:szCs w:val="15"/>
                <w:lang w:eastAsia="en-AU"/>
              </w:rPr>
            </w:pPr>
            <w:r w:rsidRPr="00AF415E">
              <w:rPr>
                <w:rFonts w:ascii="Arial" w:eastAsia="Times New Roman" w:hAnsi="Arial" w:cs="Arial"/>
                <w:i/>
                <w:color w:val="000000"/>
                <w:sz w:val="15"/>
                <w:szCs w:val="15"/>
                <w:lang w:eastAsia="en-AU"/>
              </w:rPr>
              <w:t> </w:t>
            </w:r>
          </w:p>
        </w:tc>
        <w:tc>
          <w:tcPr>
            <w:tcW w:w="2645" w:type="dxa"/>
            <w:tcBorders>
              <w:top w:val="nil"/>
              <w:left w:val="nil"/>
              <w:right w:val="nil"/>
            </w:tcBorders>
            <w:shd w:val="clear" w:color="auto" w:fill="auto"/>
            <w:noWrap/>
            <w:hideMark/>
          </w:tcPr>
          <w:p w:rsidR="00230385" w:rsidRPr="00AF415E" w:rsidRDefault="00230385" w:rsidP="00677697">
            <w:pPr>
              <w:spacing w:before="50" w:after="50" w:line="240" w:lineRule="auto"/>
              <w:rPr>
                <w:rFonts w:ascii="Arial" w:eastAsia="Times New Roman" w:hAnsi="Arial" w:cs="Arial"/>
                <w:i/>
                <w:color w:val="000000"/>
                <w:sz w:val="15"/>
                <w:szCs w:val="15"/>
                <w:lang w:eastAsia="en-AU"/>
              </w:rPr>
            </w:pPr>
            <w:r w:rsidRPr="00AF415E">
              <w:rPr>
                <w:rFonts w:ascii="Arial" w:eastAsia="Times New Roman" w:hAnsi="Arial" w:cs="Arial"/>
                <w:i/>
                <w:color w:val="000000"/>
                <w:sz w:val="15"/>
                <w:szCs w:val="15"/>
                <w:lang w:eastAsia="en-AU"/>
              </w:rPr>
              <w:t> </w:t>
            </w:r>
          </w:p>
        </w:tc>
      </w:tr>
      <w:tr w:rsidR="00230385" w:rsidRPr="00392E50" w:rsidTr="00F156AA">
        <w:trPr>
          <w:trHeight w:hRule="exact" w:val="266"/>
        </w:trPr>
        <w:tc>
          <w:tcPr>
            <w:tcW w:w="8126" w:type="dxa"/>
            <w:tcBorders>
              <w:left w:val="nil"/>
              <w:bottom w:val="single" w:sz="4" w:space="0" w:color="auto"/>
              <w:right w:val="nil"/>
            </w:tcBorders>
            <w:shd w:val="clear" w:color="auto" w:fill="auto"/>
            <w:noWrap/>
            <w:vAlign w:val="center"/>
            <w:hideMark/>
          </w:tcPr>
          <w:p w:rsidR="00230385" w:rsidRPr="00392E50" w:rsidRDefault="00230385" w:rsidP="002F6962">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Expanding opportunity — FEE-HELP and VET FEE-HELP loan fee cessation</w:t>
            </w:r>
          </w:p>
        </w:tc>
        <w:tc>
          <w:tcPr>
            <w:tcW w:w="801" w:type="dxa"/>
            <w:tcBorders>
              <w:left w:val="nil"/>
              <w:bottom w:val="single" w:sz="4" w:space="0" w:color="auto"/>
              <w:right w:val="nil"/>
            </w:tcBorders>
            <w:shd w:val="clear" w:color="auto" w:fill="auto"/>
            <w:noWrap/>
            <w:hideMark/>
          </w:tcPr>
          <w:p w:rsidR="00230385" w:rsidRPr="00230385" w:rsidRDefault="000E675E" w:rsidP="00F156AA">
            <w:pPr>
              <w:spacing w:before="50" w:after="50" w:line="240" w:lineRule="auto"/>
              <w:jc w:val="right"/>
              <w:rPr>
                <w:rFonts w:ascii="Arial" w:hAnsi="Arial" w:cs="Arial"/>
                <w:color w:val="000000"/>
                <w:sz w:val="15"/>
                <w:szCs w:val="15"/>
              </w:rPr>
            </w:pPr>
            <w:r>
              <w:rPr>
                <w:rFonts w:ascii="Arial" w:hAnsi="Arial" w:cs="Arial"/>
                <w:color w:val="000000"/>
                <w:sz w:val="15"/>
                <w:szCs w:val="15"/>
              </w:rPr>
              <w:t>-</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-7</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-14</w:t>
            </w:r>
          </w:p>
        </w:tc>
        <w:tc>
          <w:tcPr>
            <w:tcW w:w="801" w:type="dxa"/>
            <w:tcBorders>
              <w:left w:val="nil"/>
              <w:bottom w:val="single" w:sz="4" w:space="0" w:color="auto"/>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-23</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-23</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-34</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-48</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-64</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-83</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-104</w:t>
            </w:r>
          </w:p>
        </w:tc>
        <w:tc>
          <w:tcPr>
            <w:tcW w:w="801" w:type="dxa"/>
            <w:tcBorders>
              <w:left w:val="nil"/>
              <w:bottom w:val="single" w:sz="4" w:space="0" w:color="auto"/>
              <w:right w:val="nil"/>
            </w:tcBorders>
            <w:shd w:val="clear" w:color="auto" w:fill="auto"/>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-127</w:t>
            </w:r>
          </w:p>
        </w:tc>
        <w:tc>
          <w:tcPr>
            <w:tcW w:w="802" w:type="dxa"/>
            <w:tcBorders>
              <w:left w:val="nil"/>
              <w:bottom w:val="single" w:sz="4" w:space="0" w:color="auto"/>
              <w:right w:val="nil"/>
            </w:tcBorders>
            <w:shd w:val="clear" w:color="auto" w:fill="D7DDE9" w:themeFill="accent3"/>
            <w:noWrap/>
            <w:hideMark/>
          </w:tcPr>
          <w:p w:rsidR="00230385" w:rsidRPr="00230385" w:rsidRDefault="00230385" w:rsidP="00F156AA">
            <w:pPr>
              <w:spacing w:before="50" w:after="50" w:line="240" w:lineRule="auto"/>
              <w:jc w:val="right"/>
              <w:rPr>
                <w:rFonts w:ascii="Arial" w:hAnsi="Arial" w:cs="Arial"/>
                <w:color w:val="000000"/>
                <w:sz w:val="15"/>
                <w:szCs w:val="15"/>
              </w:rPr>
            </w:pPr>
            <w:r w:rsidRPr="00230385">
              <w:rPr>
                <w:rFonts w:ascii="Arial" w:hAnsi="Arial" w:cs="Arial"/>
                <w:color w:val="000000"/>
                <w:sz w:val="15"/>
                <w:szCs w:val="15"/>
              </w:rPr>
              <w:t>-507</w:t>
            </w:r>
          </w:p>
        </w:tc>
        <w:tc>
          <w:tcPr>
            <w:tcW w:w="236" w:type="dxa"/>
            <w:tcBorders>
              <w:left w:val="nil"/>
              <w:bottom w:val="single" w:sz="4" w:space="0" w:color="auto"/>
              <w:right w:val="nil"/>
            </w:tcBorders>
            <w:shd w:val="clear" w:color="auto" w:fill="auto"/>
            <w:noWrap/>
            <w:hideMark/>
          </w:tcPr>
          <w:p w:rsidR="00230385" w:rsidRPr="00392E50" w:rsidRDefault="00230385" w:rsidP="00677697">
            <w:pPr>
              <w:spacing w:before="50" w:after="50" w:line="240" w:lineRule="auto"/>
              <w:jc w:val="right"/>
              <w:rPr>
                <w:rFonts w:ascii="Arial" w:eastAsia="Times New Roman" w:hAnsi="Arial" w:cs="Arial"/>
                <w:color w:val="000000"/>
                <w:sz w:val="15"/>
                <w:szCs w:val="15"/>
                <w:lang w:eastAsia="en-AU"/>
              </w:rPr>
            </w:pPr>
          </w:p>
        </w:tc>
        <w:tc>
          <w:tcPr>
            <w:tcW w:w="2645" w:type="dxa"/>
            <w:tcBorders>
              <w:left w:val="nil"/>
              <w:bottom w:val="single" w:sz="4" w:space="0" w:color="auto"/>
              <w:right w:val="nil"/>
            </w:tcBorders>
            <w:shd w:val="clear" w:color="auto" w:fill="auto"/>
            <w:noWrap/>
            <w:hideMark/>
          </w:tcPr>
          <w:p w:rsidR="00230385" w:rsidRPr="00392E50" w:rsidRDefault="00230385" w:rsidP="00677697">
            <w:pPr>
              <w:spacing w:before="50" w:after="50" w:line="240" w:lineRule="auto"/>
              <w:rPr>
                <w:rFonts w:ascii="Arial" w:eastAsia="Times New Roman" w:hAnsi="Arial" w:cs="Arial"/>
                <w:color w:val="000000"/>
                <w:sz w:val="15"/>
                <w:szCs w:val="15"/>
                <w:lang w:eastAsia="en-AU"/>
              </w:rPr>
            </w:pPr>
          </w:p>
        </w:tc>
      </w:tr>
    </w:tbl>
    <w:p w:rsidR="001B6F7C" w:rsidRDefault="00BE4FAD" w:rsidP="00392E50">
      <w:pPr>
        <w:pStyle w:val="TableFootnotes"/>
        <w:numPr>
          <w:ilvl w:val="0"/>
          <w:numId w:val="0"/>
        </w:numPr>
        <w:spacing w:before="50" w:after="0" w:line="240" w:lineRule="auto"/>
        <w:ind w:left="-181"/>
        <w:sectPr w:rsidR="001B6F7C" w:rsidSect="00B02FF6">
          <w:footnotePr>
            <w:numRestart w:val="eachSect"/>
          </w:footnotePr>
          <w:endnotePr>
            <w:numFmt w:val="lowerLetter"/>
          </w:endnotePr>
          <w:pgSz w:w="23814" w:h="16839" w:orient="landscape" w:code="8"/>
          <w:pgMar w:top="1440" w:right="1440" w:bottom="1440" w:left="1440" w:header="284" w:footer="454" w:gutter="0"/>
          <w:cols w:space="708"/>
          <w:docGrid w:linePitch="360"/>
        </w:sectPr>
      </w:pPr>
      <w:r>
        <w:t>Source: Commonwealth budget papers and Parliamentary Budget</w:t>
      </w:r>
      <w:r w:rsidR="003916F5">
        <w:t xml:space="preserve"> Office analysis</w:t>
      </w:r>
      <w:r w:rsidR="00B00248">
        <w:t>.</w:t>
      </w:r>
    </w:p>
    <w:p w:rsidR="00FC0398" w:rsidRPr="00FC0398" w:rsidRDefault="000E09A1" w:rsidP="005C28C9">
      <w:pPr>
        <w:pStyle w:val="Heading1"/>
        <w:spacing w:before="0" w:after="120"/>
        <w:ind w:left="-180"/>
      </w:pPr>
      <w:r>
        <w:lastRenderedPageBreak/>
        <w:t>Unlegislated m</w:t>
      </w:r>
      <w:r w:rsidR="008B06FA">
        <w:t>easures carried forward in the b</w:t>
      </w:r>
      <w:r>
        <w:t>udget</w:t>
      </w:r>
      <w:r w:rsidR="008B06FA">
        <w:t xml:space="preserve"> estimates</w:t>
      </w:r>
      <w:r>
        <w:t>—</w:t>
      </w:r>
      <w:r w:rsidR="005C03EA">
        <w:t>February 201</w:t>
      </w:r>
      <w:r w:rsidR="0078131E">
        <w:t>7</w:t>
      </w:r>
      <w:r>
        <w:t xml:space="preserve"> update</w:t>
      </w:r>
    </w:p>
    <w:p w:rsidR="005A4A94" w:rsidRDefault="009A12CE" w:rsidP="005C28C9">
      <w:pPr>
        <w:pStyle w:val="Caption"/>
        <w:spacing w:before="0" w:after="60"/>
        <w:ind w:left="-180"/>
      </w:pPr>
      <w:bookmarkStart w:id="14" w:name="ReturnHere"/>
      <w:bookmarkEnd w:id="14"/>
      <w:r w:rsidRPr="00FC0398">
        <w:t xml:space="preserve">Table </w:t>
      </w:r>
      <w:r w:rsidR="00902C43">
        <w:t>2</w:t>
      </w:r>
      <w:r w:rsidRPr="00FC0398">
        <w:t xml:space="preserve">: </w:t>
      </w:r>
      <w:r w:rsidR="00BF2871">
        <w:t xml:space="preserve">An </w:t>
      </w:r>
      <w:r w:rsidR="00661A8E">
        <w:t>update</w:t>
      </w:r>
      <w:r w:rsidR="00E01337" w:rsidRPr="00BF2871">
        <w:t xml:space="preserve"> of the projected underlying cash balance impact of unlegislated measures carried forward </w:t>
      </w:r>
      <w:r w:rsidR="00EB3E98">
        <w:t>in the</w:t>
      </w:r>
      <w:r w:rsidR="00E01337" w:rsidRPr="00BF2871">
        <w:t xml:space="preserve"> current</w:t>
      </w:r>
      <w:r w:rsidR="00EB3E98">
        <w:t xml:space="preserve"> 201</w:t>
      </w:r>
      <w:r w:rsidR="002B2B52">
        <w:t>6–17</w:t>
      </w:r>
      <w:r w:rsidR="00EB3E98">
        <w:t xml:space="preserve"> MYEFO estimates</w:t>
      </w:r>
      <w:r w:rsidR="00E01337" w:rsidRPr="00BF2871">
        <w:t xml:space="preserve"> over the medium term</w:t>
      </w:r>
      <w:r w:rsidR="00916A79" w:rsidRPr="009A12CE">
        <w:rPr>
          <w:rStyle w:val="FootnoteReference"/>
        </w:rPr>
        <w:footnoteReference w:id="4"/>
      </w:r>
    </w:p>
    <w:tbl>
      <w:tblPr>
        <w:tblW w:w="5064" w:type="pct"/>
        <w:tblInd w:w="-72" w:type="dxa"/>
        <w:tblLayout w:type="fixed"/>
        <w:tblLook w:val="04A0" w:firstRow="1" w:lastRow="0" w:firstColumn="1" w:lastColumn="0" w:noHBand="0" w:noVBand="1"/>
      </w:tblPr>
      <w:tblGrid>
        <w:gridCol w:w="8101"/>
        <w:gridCol w:w="802"/>
        <w:gridCol w:w="802"/>
        <w:gridCol w:w="802"/>
        <w:gridCol w:w="802"/>
        <w:gridCol w:w="802"/>
        <w:gridCol w:w="802"/>
        <w:gridCol w:w="802"/>
        <w:gridCol w:w="802"/>
        <w:gridCol w:w="802"/>
        <w:gridCol w:w="802"/>
        <w:gridCol w:w="802"/>
        <w:gridCol w:w="802"/>
        <w:gridCol w:w="803"/>
        <w:gridCol w:w="284"/>
        <w:gridCol w:w="2609"/>
      </w:tblGrid>
      <w:tr w:rsidR="005C28C9" w:rsidRPr="00EE53BC" w:rsidTr="00985C94">
        <w:trPr>
          <w:trHeight w:val="454"/>
        </w:trPr>
        <w:tc>
          <w:tcPr>
            <w:tcW w:w="8101" w:type="dxa"/>
            <w:tcBorders>
              <w:top w:val="nil"/>
              <w:left w:val="nil"/>
              <w:bottom w:val="nil"/>
              <w:right w:val="nil"/>
            </w:tcBorders>
            <w:shd w:val="clear" w:color="000000" w:fill="2B3B5F"/>
            <w:noWrap/>
            <w:vAlign w:val="center"/>
            <w:hideMark/>
          </w:tcPr>
          <w:p w:rsidR="00EE53BC" w:rsidRPr="0092358B" w:rsidRDefault="00EE53BC" w:rsidP="00EE53BC">
            <w:pPr>
              <w:spacing w:before="50" w:after="50" w:line="240" w:lineRule="auto"/>
              <w:jc w:val="center"/>
              <w:rPr>
                <w:rFonts w:ascii="Arial" w:eastAsia="Times New Roman" w:hAnsi="Arial" w:cs="Arial"/>
                <w:b/>
                <w:bCs/>
                <w:color w:val="FFFFFF"/>
                <w:sz w:val="15"/>
                <w:szCs w:val="15"/>
                <w:lang w:eastAsia="en-AU"/>
              </w:rPr>
            </w:pPr>
            <w:r w:rsidRPr="0092358B">
              <w:rPr>
                <w:rFonts w:ascii="Arial" w:eastAsia="Times New Roman" w:hAnsi="Arial" w:cs="Arial"/>
                <w:b/>
                <w:bCs/>
                <w:color w:val="FFFFFF"/>
                <w:sz w:val="15"/>
                <w:szCs w:val="15"/>
                <w:lang w:eastAsia="en-AU"/>
              </w:rPr>
              <w:t>Underlying cash balance impact ($ million)</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2016–17</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2017–18</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2018–19</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2019–20</w:t>
            </w:r>
          </w:p>
        </w:tc>
        <w:tc>
          <w:tcPr>
            <w:tcW w:w="802" w:type="dxa"/>
            <w:tcBorders>
              <w:top w:val="nil"/>
              <w:left w:val="nil"/>
              <w:bottom w:val="nil"/>
              <w:right w:val="nil"/>
            </w:tcBorders>
            <w:shd w:val="clear" w:color="000000" w:fill="2B3B5F"/>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 xml:space="preserve">Total to </w:t>
            </w:r>
            <w:r w:rsidRPr="00EE53BC">
              <w:rPr>
                <w:rFonts w:ascii="Arial" w:eastAsia="Times New Roman" w:hAnsi="Arial" w:cs="Arial"/>
                <w:b/>
                <w:bCs/>
                <w:color w:val="FFFFFF"/>
                <w:sz w:val="15"/>
                <w:szCs w:val="15"/>
                <w:lang w:eastAsia="en-AU"/>
              </w:rPr>
              <w:br/>
              <w:t>2019–20</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2020–21</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2021–22</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2022–23</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2023–24</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2024–25</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2025–26</w:t>
            </w:r>
          </w:p>
        </w:tc>
        <w:tc>
          <w:tcPr>
            <w:tcW w:w="802"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2026–27</w:t>
            </w:r>
          </w:p>
        </w:tc>
        <w:tc>
          <w:tcPr>
            <w:tcW w:w="803" w:type="dxa"/>
            <w:tcBorders>
              <w:top w:val="nil"/>
              <w:left w:val="nil"/>
              <w:bottom w:val="nil"/>
              <w:right w:val="nil"/>
            </w:tcBorders>
            <w:shd w:val="clear" w:color="000000" w:fill="2B3B5F"/>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Total to</w:t>
            </w:r>
            <w:r w:rsidRPr="00EE53BC">
              <w:rPr>
                <w:rFonts w:ascii="Arial" w:eastAsia="Times New Roman" w:hAnsi="Arial" w:cs="Arial"/>
                <w:b/>
                <w:bCs/>
                <w:color w:val="FFFFFF"/>
                <w:sz w:val="15"/>
                <w:szCs w:val="15"/>
                <w:lang w:eastAsia="en-AU"/>
              </w:rPr>
              <w:br/>
              <w:t>2026–27</w:t>
            </w:r>
          </w:p>
        </w:tc>
        <w:tc>
          <w:tcPr>
            <w:tcW w:w="284" w:type="dxa"/>
            <w:tcBorders>
              <w:top w:val="nil"/>
              <w:left w:val="nil"/>
              <w:bottom w:val="nil"/>
              <w:right w:val="single" w:sz="4" w:space="0" w:color="2B3B5F"/>
            </w:tcBorders>
            <w:shd w:val="clear" w:color="000000" w:fill="2B3B5F"/>
            <w:noWrap/>
            <w:vAlign w:val="center"/>
            <w:hideMark/>
          </w:tcPr>
          <w:p w:rsidR="00EE53BC" w:rsidRPr="00EE53BC" w:rsidRDefault="00EE53BC"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 </w:t>
            </w:r>
          </w:p>
        </w:tc>
        <w:tc>
          <w:tcPr>
            <w:tcW w:w="2609" w:type="dxa"/>
            <w:tcBorders>
              <w:top w:val="nil"/>
              <w:left w:val="nil"/>
              <w:bottom w:val="nil"/>
              <w:right w:val="nil"/>
            </w:tcBorders>
            <w:shd w:val="clear" w:color="000000" w:fill="2B3B5F"/>
            <w:noWrap/>
            <w:vAlign w:val="center"/>
            <w:hideMark/>
          </w:tcPr>
          <w:p w:rsidR="00EE53BC" w:rsidRPr="00EE53BC" w:rsidRDefault="00EE53BC" w:rsidP="00EE53BC">
            <w:pPr>
              <w:spacing w:before="50" w:after="50" w:line="240" w:lineRule="auto"/>
              <w:jc w:val="center"/>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Original measure</w:t>
            </w:r>
          </w:p>
        </w:tc>
      </w:tr>
      <w:tr w:rsidR="005C28C9" w:rsidRPr="00EE53BC" w:rsidTr="00985C94">
        <w:trPr>
          <w:trHeight w:hRule="exact" w:val="266"/>
        </w:trPr>
        <w:tc>
          <w:tcPr>
            <w:tcW w:w="8101" w:type="dxa"/>
            <w:tcBorders>
              <w:top w:val="nil"/>
              <w:left w:val="nil"/>
              <w:bottom w:val="nil"/>
              <w:right w:val="nil"/>
            </w:tcBorders>
            <w:shd w:val="clear" w:color="000000" w:fill="D7DDE9"/>
            <w:noWrap/>
            <w:hideMark/>
          </w:tcPr>
          <w:p w:rsidR="00EE53BC" w:rsidRPr="0092358B" w:rsidRDefault="00EE53BC" w:rsidP="002346B0">
            <w:pPr>
              <w:spacing w:before="50" w:after="50" w:line="240" w:lineRule="auto"/>
              <w:rPr>
                <w:rFonts w:ascii="Arial" w:eastAsia="Times New Roman" w:hAnsi="Arial" w:cs="Arial"/>
                <w:b/>
                <w:bCs/>
                <w:i/>
                <w:iCs/>
                <w:color w:val="000000"/>
                <w:sz w:val="15"/>
                <w:szCs w:val="15"/>
                <w:lang w:eastAsia="en-AU"/>
              </w:rPr>
            </w:pPr>
            <w:r w:rsidRPr="0092358B">
              <w:rPr>
                <w:rFonts w:ascii="Arial" w:eastAsia="Times New Roman" w:hAnsi="Arial" w:cs="Arial"/>
                <w:b/>
                <w:bCs/>
                <w:i/>
                <w:iCs/>
                <w:color w:val="000000"/>
                <w:sz w:val="15"/>
                <w:szCs w:val="15"/>
                <w:lang w:eastAsia="en-AU"/>
              </w:rPr>
              <w:t>Impact on payments</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single" w:sz="4" w:space="0" w:color="D7DDE9"/>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2"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803"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284" w:type="dxa"/>
            <w:tcBorders>
              <w:top w:val="nil"/>
              <w:left w:val="nil"/>
              <w:bottom w:val="nil"/>
              <w:right w:val="single" w:sz="4" w:space="0" w:color="2B3B5F"/>
            </w:tcBorders>
            <w:shd w:val="clear" w:color="000000" w:fill="2B3B5F"/>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2609" w:type="dxa"/>
            <w:tcBorders>
              <w:top w:val="nil"/>
              <w:left w:val="nil"/>
              <w:bottom w:val="nil"/>
              <w:right w:val="nil"/>
            </w:tcBorders>
            <w:shd w:val="clear" w:color="000000" w:fill="D7DDE9"/>
            <w:noWrap/>
            <w:vAlign w:val="bottom"/>
            <w:hideMark/>
          </w:tcPr>
          <w:p w:rsidR="00EE53BC" w:rsidRPr="00EE53BC" w:rsidRDefault="00EE53BC" w:rsidP="00EE53BC">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Pharmaceutical Benefits Scheme — increase in co-payments and safety net </w:t>
            </w:r>
            <w:proofErr w:type="spellStart"/>
            <w:r w:rsidRPr="0092358B">
              <w:rPr>
                <w:rFonts w:ascii="Arial" w:eastAsia="Times New Roman" w:hAnsi="Arial" w:cs="Arial"/>
                <w:color w:val="000000"/>
                <w:sz w:val="15"/>
                <w:szCs w:val="15"/>
                <w:lang w:eastAsia="en-AU"/>
              </w:rPr>
              <w:t>thresholds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_Ref472937679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a</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143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279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287</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303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324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343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360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382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399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412</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3,231</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140</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Simplifying Medicare safety net arrangements</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120</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307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121</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123</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130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131</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1,192</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145</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Medicare Benefits Schedule —  changes to diagnostic imaging and pathology services bulk-billing </w:t>
            </w:r>
            <w:proofErr w:type="spellStart"/>
            <w:r w:rsidRPr="0092358B">
              <w:rPr>
                <w:rFonts w:ascii="Arial" w:eastAsia="Times New Roman" w:hAnsi="Arial" w:cs="Arial"/>
                <w:color w:val="000000"/>
                <w:sz w:val="15"/>
                <w:szCs w:val="15"/>
                <w:lang w:eastAsia="en-AU"/>
              </w:rPr>
              <w:t>incentives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217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227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241</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685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250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260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270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281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292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303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314</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2,655</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MYEFO, p. 174</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vertAlign w:val="superscript"/>
                <w:lang w:eastAsia="en-AU"/>
              </w:rPr>
            </w:pPr>
            <w:r w:rsidRPr="0092358B">
              <w:rPr>
                <w:rFonts w:ascii="Arial" w:eastAsia="Times New Roman" w:hAnsi="Arial" w:cs="Arial"/>
                <w:color w:val="000000"/>
                <w:sz w:val="15"/>
                <w:szCs w:val="15"/>
                <w:lang w:eastAsia="en-AU"/>
              </w:rPr>
              <w:t xml:space="preserve">Apply the One-Week Ordinary Waiting Period to all Working Age </w:t>
            </w:r>
            <w:proofErr w:type="spellStart"/>
            <w:r w:rsidRPr="0092358B">
              <w:rPr>
                <w:rFonts w:ascii="Arial" w:eastAsia="Times New Roman" w:hAnsi="Arial" w:cs="Arial"/>
                <w:color w:val="000000"/>
                <w:sz w:val="15"/>
                <w:szCs w:val="15"/>
                <w:lang w:eastAsia="en-AU"/>
              </w:rPr>
              <w:t>Payments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_Ref472930067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c</w:t>
            </w:r>
            <w:proofErr w:type="spellEnd"/>
            <w:r w:rsidRPr="0092358B">
              <w:rPr>
                <w:rFonts w:ascii="Arial" w:eastAsia="Times New Roman" w:hAnsi="Arial" w:cs="Arial"/>
                <w:color w:val="000000"/>
                <w:sz w:val="15"/>
                <w:szCs w:val="15"/>
                <w:lang w:eastAsia="en-AU"/>
              </w:rPr>
              <w:fldChar w:fldCharType="end"/>
            </w:r>
            <w:r w:rsidRPr="0092358B">
              <w:rPr>
                <w:rFonts w:ascii="Arial" w:eastAsia="Times New Roman" w:hAnsi="Arial" w:cs="Arial"/>
                <w:color w:val="000000"/>
                <w:sz w:val="15"/>
                <w:szCs w:val="15"/>
                <w:lang w:eastAsia="en-AU"/>
              </w:rPr>
              <w:t xml:space="preserve"> </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66</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186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74</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82</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709</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191</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Education Entry Payment — cessation</w:t>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58</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21</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199</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197</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Increasing the Age Pension qualifying age to 70 years</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850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1,110</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1,960</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202</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vertAlign w:val="superscript"/>
                <w:lang w:eastAsia="en-AU"/>
              </w:rPr>
            </w:pPr>
            <w:r w:rsidRPr="0092358B">
              <w:rPr>
                <w:rFonts w:ascii="Arial" w:eastAsia="Times New Roman" w:hAnsi="Arial" w:cs="Arial"/>
                <w:color w:val="000000"/>
                <w:sz w:val="15"/>
                <w:szCs w:val="15"/>
                <w:lang w:eastAsia="en-AU"/>
              </w:rPr>
              <w:t xml:space="preserve">Increasing the age of eligibility for </w:t>
            </w:r>
            <w:proofErr w:type="spellStart"/>
            <w:r w:rsidRPr="0092358B">
              <w:rPr>
                <w:rFonts w:ascii="Arial" w:eastAsia="Times New Roman" w:hAnsi="Arial" w:cs="Arial"/>
                <w:color w:val="000000"/>
                <w:sz w:val="15"/>
                <w:szCs w:val="15"/>
                <w:lang w:eastAsia="en-AU"/>
              </w:rPr>
              <w:t>Newstart</w:t>
            </w:r>
            <w:proofErr w:type="spellEnd"/>
            <w:r w:rsidRPr="0092358B">
              <w:rPr>
                <w:rFonts w:ascii="Arial" w:eastAsia="Times New Roman" w:hAnsi="Arial" w:cs="Arial"/>
                <w:color w:val="000000"/>
                <w:sz w:val="15"/>
                <w:szCs w:val="15"/>
                <w:lang w:eastAsia="en-AU"/>
              </w:rPr>
              <w:t xml:space="preserve"> Allowance and Sickness </w:t>
            </w:r>
            <w:proofErr w:type="spellStart"/>
            <w:r w:rsidRPr="0092358B">
              <w:rPr>
                <w:rFonts w:ascii="Arial" w:eastAsia="Times New Roman" w:hAnsi="Arial" w:cs="Arial"/>
                <w:color w:val="000000"/>
                <w:sz w:val="15"/>
                <w:szCs w:val="15"/>
                <w:lang w:eastAsia="en-AU"/>
              </w:rPr>
              <w:t>Allowance</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_Ref472930067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c</w:t>
            </w:r>
            <w:proofErr w:type="spellEnd"/>
            <w:r w:rsidRPr="0092358B">
              <w:rPr>
                <w:rFonts w:ascii="Arial" w:eastAsia="Times New Roman" w:hAnsi="Arial" w:cs="Arial"/>
                <w:color w:val="000000"/>
                <w:sz w:val="15"/>
                <w:szCs w:val="15"/>
                <w:lang w:eastAsia="en-AU"/>
              </w:rPr>
              <w:fldChar w:fldCharType="end"/>
            </w:r>
            <w:r w:rsidRPr="0092358B">
              <w:rPr>
                <w:rFonts w:ascii="Arial" w:eastAsia="Times New Roman" w:hAnsi="Arial" w:cs="Arial"/>
                <w:color w:val="000000"/>
                <w:sz w:val="15"/>
                <w:szCs w:val="15"/>
                <w:lang w:eastAsia="en-AU"/>
              </w:rPr>
              <w:t xml:space="preserve"> </w:t>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163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186</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475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216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225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235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245</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1,998</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203</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Maintain eligibility thresholds for Australian Government payments for three </w:t>
            </w:r>
            <w:proofErr w:type="spellStart"/>
            <w:r w:rsidRPr="0092358B">
              <w:rPr>
                <w:rFonts w:ascii="Arial" w:eastAsia="Times New Roman" w:hAnsi="Arial" w:cs="Arial"/>
                <w:color w:val="000000"/>
                <w:sz w:val="15"/>
                <w:szCs w:val="15"/>
                <w:lang w:eastAsia="en-AU"/>
              </w:rPr>
              <w:t>years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_Ref472937717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d</w:t>
            </w:r>
            <w:proofErr w:type="spellEnd"/>
            <w:r w:rsidRPr="0092358B">
              <w:rPr>
                <w:rFonts w:ascii="Arial" w:eastAsia="Times New Roman" w:hAnsi="Arial" w:cs="Arial"/>
                <w:color w:val="000000"/>
                <w:sz w:val="15"/>
                <w:szCs w:val="15"/>
                <w:lang w:eastAsia="en-AU"/>
              </w:rPr>
              <w:fldChar w:fldCharType="end"/>
            </w:r>
            <w:r w:rsidRPr="0092358B">
              <w:rPr>
                <w:rFonts w:ascii="Arial" w:eastAsia="Times New Roman" w:hAnsi="Arial" w:cs="Arial"/>
                <w:color w:val="000000"/>
                <w:sz w:val="15"/>
                <w:szCs w:val="15"/>
                <w:lang w:eastAsia="en-AU"/>
              </w:rPr>
              <w:t xml:space="preserve"> </w:t>
            </w:r>
          </w:p>
        </w:tc>
        <w:tc>
          <w:tcPr>
            <w:tcW w:w="802" w:type="dxa"/>
            <w:tcBorders>
              <w:top w:val="nil"/>
              <w:left w:val="nil"/>
              <w:bottom w:val="nil"/>
              <w:right w:val="nil"/>
            </w:tcBorders>
            <w:shd w:val="clear" w:color="000000" w:fill="E9ECF3"/>
            <w:noWrap/>
            <w:vAlign w:val="center"/>
            <w:hideMark/>
          </w:tcPr>
          <w:p w:rsidR="00892390" w:rsidRPr="00892390" w:rsidRDefault="00403BB8"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64</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B757C8" w:rsidP="00892390">
            <w:pPr>
              <w:spacing w:before="50" w:after="50" w:line="240" w:lineRule="auto"/>
              <w:jc w:val="right"/>
              <w:rPr>
                <w:rFonts w:ascii="Arial" w:hAnsi="Arial" w:cs="Arial"/>
                <w:sz w:val="15"/>
                <w:szCs w:val="15"/>
              </w:rPr>
            </w:pPr>
            <w:r>
              <w:rPr>
                <w:rFonts w:ascii="Arial" w:hAnsi="Arial" w:cs="Arial"/>
                <w:sz w:val="15"/>
                <w:szCs w:val="15"/>
              </w:rPr>
              <w:t>160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71</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80</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682</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204</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Pensioner Education Supplement — cessation</w:t>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177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78</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698</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206</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Families Package — child </w:t>
            </w:r>
            <w:proofErr w:type="spellStart"/>
            <w:r w:rsidRPr="0092358B">
              <w:rPr>
                <w:rFonts w:ascii="Arial" w:eastAsia="Times New Roman" w:hAnsi="Arial" w:cs="Arial"/>
                <w:color w:val="000000"/>
                <w:sz w:val="15"/>
                <w:szCs w:val="15"/>
                <w:lang w:eastAsia="en-AU"/>
              </w:rPr>
              <w:t>care</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_Ref473031494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e</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512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-27</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445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-814</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-830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-886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-942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-997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-1,054</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-1,112</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-6,190</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DA107B">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Budget Paper 2, p. 154</w:t>
            </w:r>
            <w:r>
              <w:rPr>
                <w:rFonts w:ascii="Arial" w:eastAsia="Times New Roman" w:hAnsi="Arial" w:cs="Arial"/>
                <w:color w:val="000000"/>
                <w:sz w:val="15"/>
                <w:szCs w:val="15"/>
                <w:lang w:eastAsia="en-AU"/>
              </w:rPr>
              <w:t>–</w:t>
            </w:r>
            <w:r w:rsidRPr="00EE53BC">
              <w:rPr>
                <w:rFonts w:ascii="Arial" w:eastAsia="Times New Roman" w:hAnsi="Arial" w:cs="Arial"/>
                <w:color w:val="000000"/>
                <w:sz w:val="15"/>
                <w:szCs w:val="15"/>
                <w:lang w:eastAsia="en-AU"/>
              </w:rPr>
              <w:t>6</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Family Payment Reform — a new families </w:t>
            </w:r>
            <w:proofErr w:type="spellStart"/>
            <w:r w:rsidRPr="0092358B">
              <w:rPr>
                <w:rFonts w:ascii="Arial" w:eastAsia="Times New Roman" w:hAnsi="Arial" w:cs="Arial"/>
                <w:color w:val="000000"/>
                <w:sz w:val="15"/>
                <w:szCs w:val="15"/>
                <w:lang w:eastAsia="en-AU"/>
              </w:rPr>
              <w:t>package</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_Ref473031512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f</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E570B9"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314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-92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468</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0230DD" w:rsidP="00892390">
            <w:pPr>
              <w:spacing w:before="50" w:after="50" w:line="240" w:lineRule="auto"/>
              <w:jc w:val="right"/>
              <w:rPr>
                <w:rFonts w:ascii="Arial" w:hAnsi="Arial" w:cs="Arial"/>
                <w:sz w:val="15"/>
                <w:szCs w:val="15"/>
              </w:rPr>
            </w:pPr>
            <w:r>
              <w:rPr>
                <w:rFonts w:ascii="Arial" w:hAnsi="Arial" w:cs="Arial"/>
                <w:sz w:val="15"/>
                <w:szCs w:val="15"/>
              </w:rPr>
              <w:t>690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1,513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1,599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1,694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1,805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1,915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2,035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2,166</w:t>
            </w:r>
          </w:p>
        </w:tc>
        <w:tc>
          <w:tcPr>
            <w:tcW w:w="803" w:type="dxa"/>
            <w:tcBorders>
              <w:top w:val="nil"/>
              <w:left w:val="nil"/>
              <w:bottom w:val="nil"/>
              <w:right w:val="nil"/>
            </w:tcBorders>
            <w:shd w:val="clear" w:color="auto" w:fill="D7DDE9" w:themeFill="accent3"/>
            <w:noWrap/>
            <w:vAlign w:val="center"/>
            <w:hideMark/>
          </w:tcPr>
          <w:p w:rsidR="00892390" w:rsidRPr="00892390" w:rsidRDefault="000230DD" w:rsidP="00892390">
            <w:pPr>
              <w:spacing w:before="50" w:after="50" w:line="240" w:lineRule="auto"/>
              <w:jc w:val="right"/>
              <w:rPr>
                <w:rFonts w:ascii="Arial" w:hAnsi="Arial" w:cs="Arial"/>
                <w:sz w:val="15"/>
                <w:szCs w:val="15"/>
              </w:rPr>
            </w:pPr>
            <w:r>
              <w:rPr>
                <w:rFonts w:ascii="Arial" w:hAnsi="Arial" w:cs="Arial"/>
                <w:sz w:val="15"/>
                <w:szCs w:val="15"/>
              </w:rPr>
              <w:t>13,417</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DA107B">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MYEFO, p. 211</w:t>
            </w:r>
            <w:r>
              <w:rPr>
                <w:rFonts w:ascii="Arial" w:eastAsia="Times New Roman" w:hAnsi="Arial" w:cs="Arial"/>
                <w:color w:val="000000"/>
                <w:sz w:val="15"/>
                <w:szCs w:val="15"/>
                <w:lang w:eastAsia="en-AU"/>
              </w:rPr>
              <w:t>–</w:t>
            </w:r>
            <w:r w:rsidRPr="00EE53BC">
              <w:rPr>
                <w:rFonts w:ascii="Arial" w:eastAsia="Times New Roman" w:hAnsi="Arial" w:cs="Arial"/>
                <w:color w:val="000000"/>
                <w:sz w:val="15"/>
                <w:szCs w:val="15"/>
                <w:lang w:eastAsia="en-AU"/>
              </w:rPr>
              <w:t>12</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Remove Double-Dipping from Parental Leave </w:t>
            </w:r>
            <w:proofErr w:type="spellStart"/>
            <w:r w:rsidRPr="0092358B">
              <w:rPr>
                <w:rFonts w:ascii="Arial" w:eastAsia="Times New Roman" w:hAnsi="Arial" w:cs="Arial"/>
                <w:color w:val="000000"/>
                <w:sz w:val="15"/>
                <w:szCs w:val="15"/>
                <w:lang w:eastAsia="en-AU"/>
              </w:rPr>
              <w:t>Pay</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_Ref473031519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g</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335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365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345</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1,045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355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365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395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415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425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455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475</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3,930</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Budget Paper 2, p. 168</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Australian Working Life Residence — tightening proportionality </w:t>
            </w:r>
            <w:proofErr w:type="spellStart"/>
            <w:r w:rsidRPr="0092358B">
              <w:rPr>
                <w:rFonts w:ascii="Arial" w:eastAsia="Times New Roman" w:hAnsi="Arial" w:cs="Arial"/>
                <w:color w:val="000000"/>
                <w:sz w:val="15"/>
                <w:szCs w:val="15"/>
                <w:lang w:eastAsia="en-AU"/>
              </w:rPr>
              <w:t>requirements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E570B9"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72</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0230DD">
            <w:pPr>
              <w:spacing w:before="50" w:after="50" w:line="240" w:lineRule="auto"/>
              <w:jc w:val="right"/>
              <w:rPr>
                <w:rFonts w:ascii="Arial" w:hAnsi="Arial" w:cs="Arial"/>
                <w:sz w:val="15"/>
                <w:szCs w:val="15"/>
              </w:rPr>
            </w:pPr>
            <w:r w:rsidRPr="00892390">
              <w:rPr>
                <w:rFonts w:ascii="Arial" w:hAnsi="Arial" w:cs="Arial"/>
                <w:sz w:val="15"/>
                <w:szCs w:val="15"/>
              </w:rPr>
              <w:t>20</w:t>
            </w:r>
            <w:r w:rsidR="000230DD">
              <w:rPr>
                <w:rFonts w:ascii="Arial" w:hAnsi="Arial" w:cs="Arial"/>
                <w:sz w:val="15"/>
                <w:szCs w:val="15"/>
              </w:rPr>
              <w:t>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97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117</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0230DD">
            <w:pPr>
              <w:spacing w:before="50" w:after="50" w:line="240" w:lineRule="auto"/>
              <w:jc w:val="right"/>
              <w:rPr>
                <w:rFonts w:ascii="Arial" w:hAnsi="Arial" w:cs="Arial"/>
                <w:sz w:val="15"/>
                <w:szCs w:val="15"/>
              </w:rPr>
            </w:pPr>
            <w:r w:rsidRPr="00892390">
              <w:rPr>
                <w:rFonts w:ascii="Arial" w:hAnsi="Arial" w:cs="Arial"/>
                <w:sz w:val="15"/>
                <w:szCs w:val="15"/>
              </w:rPr>
              <w:t>87</w:t>
            </w:r>
            <w:r w:rsidR="000230DD">
              <w:rPr>
                <w:rFonts w:ascii="Arial" w:hAnsi="Arial" w:cs="Arial"/>
                <w:sz w:val="15"/>
                <w:szCs w:val="15"/>
              </w:rPr>
              <w:t>2</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Budget Paper 2, p. 150</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Growing Jobs and Small Business —  Youth Employment Strategy — revised waiting period for youth income </w:t>
            </w:r>
            <w:proofErr w:type="spellStart"/>
            <w:r w:rsidRPr="0092358B">
              <w:rPr>
                <w:rFonts w:ascii="Arial" w:eastAsia="Times New Roman" w:hAnsi="Arial" w:cs="Arial"/>
                <w:color w:val="000000"/>
                <w:sz w:val="15"/>
                <w:szCs w:val="15"/>
                <w:lang w:eastAsia="en-AU"/>
              </w:rPr>
              <w:t>support</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58</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157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73</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73</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73</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83</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673</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Budget Paper 2, p. 159</w:t>
            </w:r>
          </w:p>
        </w:tc>
      </w:tr>
      <w:tr w:rsidR="005E07DD" w:rsidRPr="00EE53BC" w:rsidTr="007C7BFD">
        <w:trPr>
          <w:trHeight w:hRule="exact" w:val="266"/>
        </w:trPr>
        <w:tc>
          <w:tcPr>
            <w:tcW w:w="8101" w:type="dxa"/>
            <w:tcBorders>
              <w:top w:val="nil"/>
              <w:left w:val="nil"/>
              <w:bottom w:val="nil"/>
              <w:right w:val="nil"/>
            </w:tcBorders>
            <w:shd w:val="clear" w:color="auto" w:fill="auto"/>
            <w:noWrap/>
            <w:hideMark/>
          </w:tcPr>
          <w:p w:rsidR="005E07DD" w:rsidRPr="0092358B" w:rsidRDefault="005E07DD" w:rsidP="00243DDC">
            <w:pPr>
              <w:spacing w:before="50" w:after="50" w:line="240" w:lineRule="auto"/>
              <w:rPr>
                <w:rFonts w:ascii="Arial" w:eastAsia="Times New Roman" w:hAnsi="Arial" w:cs="Arial"/>
                <w:color w:val="000000"/>
                <w:sz w:val="15"/>
                <w:szCs w:val="15"/>
                <w:vertAlign w:val="superscript"/>
                <w:lang w:eastAsia="en-AU"/>
              </w:rPr>
            </w:pPr>
            <w:r w:rsidRPr="0092358B">
              <w:rPr>
                <w:rFonts w:ascii="Arial" w:eastAsia="Times New Roman" w:hAnsi="Arial" w:cs="Arial"/>
                <w:color w:val="000000"/>
                <w:sz w:val="15"/>
                <w:szCs w:val="15"/>
                <w:lang w:eastAsia="en-AU"/>
              </w:rPr>
              <w:t>National Disabilit</w:t>
            </w:r>
            <w:r>
              <w:rPr>
                <w:rFonts w:ascii="Arial" w:eastAsia="Times New Roman" w:hAnsi="Arial" w:cs="Arial"/>
                <w:color w:val="000000"/>
                <w:sz w:val="15"/>
                <w:szCs w:val="15"/>
                <w:lang w:eastAsia="en-AU"/>
              </w:rPr>
              <w:t xml:space="preserve">y Insurance Scheme Savings </w:t>
            </w:r>
            <w:proofErr w:type="spellStart"/>
            <w:r>
              <w:rPr>
                <w:rFonts w:ascii="Arial" w:eastAsia="Times New Roman" w:hAnsi="Arial" w:cs="Arial"/>
                <w:color w:val="000000"/>
                <w:sz w:val="15"/>
                <w:szCs w:val="15"/>
                <w:lang w:eastAsia="en-AU"/>
              </w:rPr>
              <w:t>Fund</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r w:rsidRPr="0092358B">
              <w:rPr>
                <w:rFonts w:ascii="Arial" w:eastAsia="Times New Roman" w:hAnsi="Arial" w:cs="Arial"/>
                <w:color w:val="000000"/>
                <w:sz w:val="15"/>
                <w:szCs w:val="15"/>
                <w:lang w:eastAsia="en-AU"/>
              </w:rPr>
              <w:fldChar w:fldCharType="end"/>
            </w:r>
            <w:r w:rsidRPr="0092358B">
              <w:rPr>
                <w:rFonts w:ascii="Arial" w:eastAsia="Times New Roman" w:hAnsi="Arial" w:cs="Arial"/>
                <w:color w:val="000000"/>
                <w:sz w:val="15"/>
                <w:szCs w:val="15"/>
                <w:vertAlign w:val="superscript"/>
                <w:lang w:eastAsia="en-AU"/>
              </w:rPr>
              <w:t>,</w:t>
            </w:r>
            <w:r w:rsidRPr="0092358B">
              <w:rPr>
                <w:rFonts w:ascii="Arial" w:eastAsia="Times New Roman" w:hAnsi="Arial" w:cs="Arial"/>
                <w:color w:val="000000"/>
                <w:sz w:val="15"/>
                <w:szCs w:val="15"/>
                <w:vertAlign w:val="superscript"/>
                <w:lang w:eastAsia="en-AU"/>
              </w:rPr>
              <w:fldChar w:fldCharType="begin"/>
            </w:r>
            <w:r w:rsidRPr="0092358B">
              <w:rPr>
                <w:rFonts w:ascii="Arial" w:eastAsia="Times New Roman" w:hAnsi="Arial" w:cs="Arial"/>
                <w:color w:val="000000"/>
                <w:sz w:val="15"/>
                <w:szCs w:val="15"/>
                <w:vertAlign w:val="superscript"/>
                <w:lang w:eastAsia="en-AU"/>
              </w:rPr>
              <w:instrText xml:space="preserve"> NOTEREF _Ref473031597 \f \h  \* MERGEFORMAT </w:instrText>
            </w:r>
            <w:r w:rsidRPr="0092358B">
              <w:rPr>
                <w:rFonts w:ascii="Arial" w:eastAsia="Times New Roman" w:hAnsi="Arial" w:cs="Arial"/>
                <w:color w:val="000000"/>
                <w:sz w:val="15"/>
                <w:szCs w:val="15"/>
                <w:vertAlign w:val="superscript"/>
                <w:lang w:eastAsia="en-AU"/>
              </w:rPr>
            </w:r>
            <w:r w:rsidRPr="0092358B">
              <w:rPr>
                <w:rFonts w:ascii="Arial" w:eastAsia="Times New Roman" w:hAnsi="Arial" w:cs="Arial"/>
                <w:color w:val="000000"/>
                <w:sz w:val="15"/>
                <w:szCs w:val="15"/>
                <w:vertAlign w:val="superscript"/>
                <w:lang w:eastAsia="en-AU"/>
              </w:rPr>
              <w:fldChar w:fldCharType="separate"/>
            </w:r>
            <w:r w:rsidR="006C1259" w:rsidRPr="006C1259">
              <w:rPr>
                <w:rStyle w:val="EndnoteReference"/>
                <w:rFonts w:ascii="Arial" w:hAnsi="Arial" w:cs="Arial"/>
                <w:sz w:val="15"/>
                <w:szCs w:val="15"/>
              </w:rPr>
              <w:t>h</w:t>
            </w:r>
            <w:proofErr w:type="spellEnd"/>
            <w:r w:rsidRPr="0092358B">
              <w:rPr>
                <w:rFonts w:ascii="Arial" w:eastAsia="Times New Roman" w:hAnsi="Arial" w:cs="Arial"/>
                <w:color w:val="000000"/>
                <w:sz w:val="15"/>
                <w:szCs w:val="15"/>
                <w:vertAlign w:val="superscript"/>
                <w:lang w:eastAsia="en-AU"/>
              </w:rPr>
              <w:fldChar w:fldCharType="end"/>
            </w:r>
          </w:p>
        </w:tc>
        <w:tc>
          <w:tcPr>
            <w:tcW w:w="802" w:type="dxa"/>
            <w:tcBorders>
              <w:top w:val="nil"/>
              <w:left w:val="nil"/>
              <w:bottom w:val="nil"/>
              <w:right w:val="nil"/>
            </w:tcBorders>
            <w:shd w:val="clear" w:color="auto" w:fill="auto"/>
            <w:noWrap/>
            <w:hideMark/>
          </w:tcPr>
          <w:p w:rsidR="005E07DD" w:rsidRPr="005E07DD" w:rsidRDefault="00107308" w:rsidP="005E07DD">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98</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240</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328</w:t>
            </w:r>
          </w:p>
        </w:tc>
        <w:tc>
          <w:tcPr>
            <w:tcW w:w="802" w:type="dxa"/>
            <w:tcBorders>
              <w:top w:val="nil"/>
              <w:left w:val="nil"/>
              <w:bottom w:val="nil"/>
              <w:right w:val="single" w:sz="4" w:space="0" w:color="D7DDE9"/>
            </w:tcBorders>
            <w:shd w:val="clear" w:color="000000" w:fill="D7DDE9"/>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666</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424</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530</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615</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700</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790</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875</w:t>
            </w:r>
          </w:p>
        </w:tc>
        <w:tc>
          <w:tcPr>
            <w:tcW w:w="802" w:type="dxa"/>
            <w:tcBorders>
              <w:top w:val="nil"/>
              <w:left w:val="nil"/>
              <w:bottom w:val="nil"/>
              <w:right w:val="nil"/>
            </w:tcBorders>
            <w:shd w:val="clear" w:color="auto" w:fill="auto"/>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970</w:t>
            </w:r>
          </w:p>
        </w:tc>
        <w:tc>
          <w:tcPr>
            <w:tcW w:w="803" w:type="dxa"/>
            <w:tcBorders>
              <w:top w:val="nil"/>
              <w:left w:val="nil"/>
              <w:bottom w:val="nil"/>
              <w:right w:val="nil"/>
            </w:tcBorders>
            <w:shd w:val="clear" w:color="auto" w:fill="D7DDE9" w:themeFill="accent3"/>
            <w:noWrap/>
            <w:hideMark/>
          </w:tcPr>
          <w:p w:rsidR="005E07DD" w:rsidRPr="005E07DD" w:rsidRDefault="005E07DD" w:rsidP="005E07DD">
            <w:pPr>
              <w:spacing w:before="50" w:after="50" w:line="240" w:lineRule="auto"/>
              <w:jc w:val="right"/>
              <w:rPr>
                <w:rFonts w:ascii="Arial" w:hAnsi="Arial" w:cs="Arial"/>
                <w:sz w:val="15"/>
                <w:szCs w:val="15"/>
              </w:rPr>
            </w:pPr>
            <w:r w:rsidRPr="005E07DD">
              <w:rPr>
                <w:rFonts w:ascii="Arial" w:hAnsi="Arial" w:cs="Arial"/>
                <w:sz w:val="15"/>
                <w:szCs w:val="15"/>
              </w:rPr>
              <w:t>5,570</w:t>
            </w:r>
          </w:p>
        </w:tc>
        <w:tc>
          <w:tcPr>
            <w:tcW w:w="284" w:type="dxa"/>
            <w:tcBorders>
              <w:top w:val="nil"/>
              <w:left w:val="nil"/>
              <w:bottom w:val="nil"/>
              <w:right w:val="single" w:sz="4" w:space="0" w:color="2B3B5F"/>
            </w:tcBorders>
            <w:shd w:val="clear" w:color="000000" w:fill="2B3B5F"/>
            <w:noWrap/>
            <w:vAlign w:val="bottom"/>
            <w:hideMark/>
          </w:tcPr>
          <w:p w:rsidR="005E07DD" w:rsidRPr="00EE53BC" w:rsidRDefault="005E07DD"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5E07DD" w:rsidRPr="00EE53BC" w:rsidRDefault="005E07DD"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2016</w:t>
            </w:r>
            <w:r>
              <w:rPr>
                <w:rFonts w:ascii="Arial" w:eastAsia="Times New Roman" w:hAnsi="Arial" w:cs="Arial"/>
                <w:color w:val="000000"/>
                <w:sz w:val="15"/>
                <w:szCs w:val="15"/>
                <w:lang w:eastAsia="en-AU"/>
              </w:rPr>
              <w:t>–</w:t>
            </w:r>
            <w:r w:rsidRPr="00EE53BC">
              <w:rPr>
                <w:rFonts w:ascii="Arial" w:eastAsia="Times New Roman" w:hAnsi="Arial" w:cs="Arial"/>
                <w:color w:val="000000"/>
                <w:sz w:val="15"/>
                <w:szCs w:val="15"/>
                <w:lang w:eastAsia="en-AU"/>
              </w:rPr>
              <w:t>17 Budget Paper 2, p. 143</w:t>
            </w:r>
          </w:p>
        </w:tc>
      </w:tr>
      <w:tr w:rsidR="00892390" w:rsidRPr="00EE53BC" w:rsidTr="00892390">
        <w:trPr>
          <w:trHeight w:hRule="exact" w:val="266"/>
        </w:trPr>
        <w:tc>
          <w:tcPr>
            <w:tcW w:w="8101" w:type="dxa"/>
            <w:tcBorders>
              <w:top w:val="nil"/>
              <w:left w:val="nil"/>
              <w:bottom w:val="nil"/>
              <w:right w:val="nil"/>
            </w:tcBorders>
            <w:shd w:val="clear" w:color="000000" w:fill="E9ECF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A Sustainable Higher Education System - Research Training Scheme - student contributions</w:t>
            </w:r>
          </w:p>
        </w:tc>
        <w:tc>
          <w:tcPr>
            <w:tcW w:w="802" w:type="dxa"/>
            <w:tcBorders>
              <w:top w:val="nil"/>
              <w:left w:val="nil"/>
              <w:bottom w:val="nil"/>
              <w:right w:val="nil"/>
            </w:tcBorders>
            <w:shd w:val="clear" w:color="000000" w:fill="E9ECF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36</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73</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74</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183</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78</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82</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85</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87</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90</w:t>
            </w:r>
          </w:p>
        </w:tc>
        <w:tc>
          <w:tcPr>
            <w:tcW w:w="802" w:type="dxa"/>
            <w:tcBorders>
              <w:top w:val="nil"/>
              <w:left w:val="nil"/>
              <w:bottom w:val="nil"/>
              <w:right w:val="nil"/>
            </w:tcBorders>
            <w:shd w:val="clear" w:color="000000" w:fill="E9ECF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93</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778</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79</w:t>
            </w:r>
          </w:p>
        </w:tc>
      </w:tr>
      <w:tr w:rsidR="00944F42" w:rsidRPr="00EE53BC" w:rsidTr="00FC46A9">
        <w:trPr>
          <w:trHeight w:hRule="exact" w:val="266"/>
        </w:trPr>
        <w:tc>
          <w:tcPr>
            <w:tcW w:w="8101" w:type="dxa"/>
            <w:tcBorders>
              <w:top w:val="nil"/>
              <w:left w:val="nil"/>
              <w:bottom w:val="nil"/>
              <w:right w:val="nil"/>
            </w:tcBorders>
            <w:shd w:val="clear" w:color="auto" w:fill="auto"/>
            <w:noWrap/>
            <w:hideMark/>
          </w:tcPr>
          <w:p w:rsidR="00944F42" w:rsidRPr="0092358B" w:rsidRDefault="00944F42"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Expanding opportunity — expansion of the demand driven system and sharing the cost </w:t>
            </w:r>
            <w:proofErr w:type="spellStart"/>
            <w:r w:rsidRPr="0092358B">
              <w:rPr>
                <w:rFonts w:ascii="Arial" w:eastAsia="Times New Roman" w:hAnsi="Arial" w:cs="Arial"/>
                <w:color w:val="000000"/>
                <w:sz w:val="15"/>
                <w:szCs w:val="15"/>
                <w:lang w:eastAsia="en-AU"/>
              </w:rPr>
              <w:t>fairly</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_Ref472934672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i</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944F42" w:rsidRPr="00892390" w:rsidRDefault="00944F42"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944F42" w:rsidRPr="00892390" w:rsidRDefault="00944F42" w:rsidP="00892390">
            <w:pPr>
              <w:spacing w:before="50" w:after="50" w:line="240" w:lineRule="auto"/>
              <w:jc w:val="right"/>
              <w:rPr>
                <w:rFonts w:ascii="Arial" w:hAnsi="Arial" w:cs="Arial"/>
                <w:sz w:val="15"/>
                <w:szCs w:val="15"/>
              </w:rPr>
            </w:pPr>
            <w:r w:rsidRPr="00892390">
              <w:rPr>
                <w:rFonts w:ascii="Arial" w:hAnsi="Arial" w:cs="Arial"/>
                <w:sz w:val="15"/>
                <w:szCs w:val="15"/>
              </w:rPr>
              <w:t>436</w:t>
            </w:r>
          </w:p>
        </w:tc>
        <w:tc>
          <w:tcPr>
            <w:tcW w:w="802" w:type="dxa"/>
            <w:tcBorders>
              <w:top w:val="nil"/>
              <w:left w:val="nil"/>
              <w:bottom w:val="nil"/>
              <w:right w:val="nil"/>
            </w:tcBorders>
            <w:shd w:val="clear" w:color="auto" w:fill="auto"/>
            <w:noWrap/>
            <w:vAlign w:val="center"/>
            <w:hideMark/>
          </w:tcPr>
          <w:p w:rsidR="00944F42" w:rsidRPr="00892390" w:rsidRDefault="00944F42" w:rsidP="00892390">
            <w:pPr>
              <w:spacing w:before="50" w:after="50" w:line="240" w:lineRule="auto"/>
              <w:jc w:val="right"/>
              <w:rPr>
                <w:rFonts w:ascii="Arial" w:hAnsi="Arial" w:cs="Arial"/>
                <w:sz w:val="15"/>
                <w:szCs w:val="15"/>
              </w:rPr>
            </w:pPr>
            <w:r w:rsidRPr="00892390">
              <w:rPr>
                <w:rFonts w:ascii="Arial" w:hAnsi="Arial" w:cs="Arial"/>
                <w:sz w:val="15"/>
                <w:szCs w:val="15"/>
              </w:rPr>
              <w:t>933</w:t>
            </w:r>
          </w:p>
        </w:tc>
        <w:tc>
          <w:tcPr>
            <w:tcW w:w="802" w:type="dxa"/>
            <w:tcBorders>
              <w:top w:val="nil"/>
              <w:left w:val="nil"/>
              <w:bottom w:val="nil"/>
              <w:right w:val="nil"/>
            </w:tcBorders>
            <w:shd w:val="clear" w:color="auto" w:fill="auto"/>
            <w:noWrap/>
            <w:vAlign w:val="center"/>
            <w:hideMark/>
          </w:tcPr>
          <w:p w:rsidR="00944F42" w:rsidRPr="00892390" w:rsidRDefault="00944F42" w:rsidP="00892390">
            <w:pPr>
              <w:spacing w:before="50" w:after="50" w:line="240" w:lineRule="auto"/>
              <w:jc w:val="right"/>
              <w:rPr>
                <w:rFonts w:ascii="Arial" w:hAnsi="Arial" w:cs="Arial"/>
                <w:sz w:val="15"/>
                <w:szCs w:val="15"/>
              </w:rPr>
            </w:pPr>
            <w:r w:rsidRPr="00892390">
              <w:rPr>
                <w:rFonts w:ascii="Arial" w:hAnsi="Arial" w:cs="Arial"/>
                <w:sz w:val="15"/>
                <w:szCs w:val="15"/>
              </w:rPr>
              <w:t>1,032</w:t>
            </w:r>
          </w:p>
        </w:tc>
        <w:tc>
          <w:tcPr>
            <w:tcW w:w="802" w:type="dxa"/>
            <w:tcBorders>
              <w:top w:val="nil"/>
              <w:left w:val="nil"/>
              <w:bottom w:val="nil"/>
              <w:right w:val="single" w:sz="4" w:space="0" w:color="D7DDE9"/>
            </w:tcBorders>
            <w:shd w:val="clear" w:color="000000" w:fill="D7DDE9"/>
            <w:noWrap/>
            <w:vAlign w:val="center"/>
            <w:hideMark/>
          </w:tcPr>
          <w:p w:rsidR="00944F42" w:rsidRPr="00892390" w:rsidRDefault="00944F42" w:rsidP="00892390">
            <w:pPr>
              <w:spacing w:before="50" w:after="50" w:line="240" w:lineRule="auto"/>
              <w:jc w:val="right"/>
              <w:rPr>
                <w:rFonts w:ascii="Arial" w:hAnsi="Arial" w:cs="Arial"/>
                <w:sz w:val="15"/>
                <w:szCs w:val="15"/>
              </w:rPr>
            </w:pPr>
            <w:r w:rsidRPr="00892390">
              <w:rPr>
                <w:rFonts w:ascii="Arial" w:hAnsi="Arial" w:cs="Arial"/>
                <w:sz w:val="15"/>
                <w:szCs w:val="15"/>
              </w:rPr>
              <w:t>2,400</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1,119</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1,212</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1,311</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1,417</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1,529</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1,656</w:t>
            </w:r>
          </w:p>
        </w:tc>
        <w:tc>
          <w:tcPr>
            <w:tcW w:w="802" w:type="dxa"/>
            <w:tcBorders>
              <w:top w:val="nil"/>
              <w:left w:val="nil"/>
              <w:bottom w:val="nil"/>
              <w:right w:val="nil"/>
            </w:tcBorders>
            <w:shd w:val="clear" w:color="auto" w:fill="auto"/>
            <w:noWrap/>
            <w:hideMark/>
          </w:tcPr>
          <w:p w:rsidR="00944F42" w:rsidRPr="00944F42" w:rsidRDefault="00944F42" w:rsidP="00944F42">
            <w:pPr>
              <w:spacing w:before="50" w:after="50" w:line="240" w:lineRule="auto"/>
              <w:jc w:val="right"/>
              <w:rPr>
                <w:rFonts w:ascii="Arial" w:hAnsi="Arial" w:cs="Arial"/>
                <w:sz w:val="15"/>
                <w:szCs w:val="15"/>
              </w:rPr>
            </w:pPr>
            <w:r w:rsidRPr="00944F42">
              <w:rPr>
                <w:rFonts w:ascii="Arial" w:hAnsi="Arial" w:cs="Arial"/>
                <w:sz w:val="15"/>
                <w:szCs w:val="15"/>
              </w:rPr>
              <w:t>1,794</w:t>
            </w:r>
          </w:p>
        </w:tc>
        <w:tc>
          <w:tcPr>
            <w:tcW w:w="803" w:type="dxa"/>
            <w:tcBorders>
              <w:top w:val="nil"/>
              <w:left w:val="nil"/>
              <w:bottom w:val="nil"/>
              <w:right w:val="nil"/>
            </w:tcBorders>
            <w:shd w:val="clear" w:color="auto" w:fill="D7DDE9" w:themeFill="accent3"/>
            <w:noWrap/>
            <w:vAlign w:val="center"/>
            <w:hideMark/>
          </w:tcPr>
          <w:p w:rsidR="00944F42" w:rsidRPr="00892390" w:rsidRDefault="00944F42" w:rsidP="00892390">
            <w:pPr>
              <w:spacing w:before="50" w:after="50" w:line="240" w:lineRule="auto"/>
              <w:jc w:val="right"/>
              <w:rPr>
                <w:rFonts w:ascii="Arial" w:hAnsi="Arial" w:cs="Arial"/>
                <w:sz w:val="15"/>
                <w:szCs w:val="15"/>
              </w:rPr>
            </w:pPr>
            <w:r>
              <w:rPr>
                <w:rFonts w:ascii="Arial" w:hAnsi="Arial" w:cs="Arial"/>
                <w:sz w:val="15"/>
                <w:szCs w:val="15"/>
              </w:rPr>
              <w:t>12,437</w:t>
            </w:r>
          </w:p>
        </w:tc>
        <w:tc>
          <w:tcPr>
            <w:tcW w:w="284" w:type="dxa"/>
            <w:tcBorders>
              <w:top w:val="nil"/>
              <w:left w:val="nil"/>
              <w:bottom w:val="nil"/>
              <w:right w:val="single" w:sz="4" w:space="0" w:color="2B3B5F"/>
            </w:tcBorders>
            <w:shd w:val="clear" w:color="000000" w:fill="2B3B5F"/>
            <w:noWrap/>
            <w:vAlign w:val="bottom"/>
            <w:hideMark/>
          </w:tcPr>
          <w:p w:rsidR="00944F42" w:rsidRPr="00EE53BC" w:rsidRDefault="00944F42"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944F42" w:rsidRPr="00EE53BC" w:rsidRDefault="00944F42" w:rsidP="00DA107B">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84</w:t>
            </w:r>
            <w:r>
              <w:rPr>
                <w:rFonts w:ascii="Arial" w:eastAsia="Times New Roman" w:hAnsi="Arial" w:cs="Arial"/>
                <w:color w:val="000000"/>
                <w:sz w:val="15"/>
                <w:szCs w:val="15"/>
                <w:lang w:eastAsia="en-AU"/>
              </w:rPr>
              <w:t>–85</w:t>
            </w:r>
          </w:p>
        </w:tc>
      </w:tr>
      <w:tr w:rsidR="00892390" w:rsidRPr="003A4DC3" w:rsidTr="00892390">
        <w:trPr>
          <w:trHeight w:hRule="exact" w:val="266"/>
        </w:trPr>
        <w:tc>
          <w:tcPr>
            <w:tcW w:w="8101" w:type="dxa"/>
            <w:tcBorders>
              <w:top w:val="nil"/>
              <w:left w:val="nil"/>
              <w:bottom w:val="nil"/>
              <w:right w:val="nil"/>
            </w:tcBorders>
            <w:shd w:val="clear" w:color="000000" w:fill="E9ECF3"/>
            <w:noWrap/>
            <w:hideMark/>
          </w:tcPr>
          <w:p w:rsidR="00892390" w:rsidRPr="003A4DC3" w:rsidRDefault="00892390" w:rsidP="002346B0">
            <w:pPr>
              <w:spacing w:before="50" w:after="50" w:line="240" w:lineRule="auto"/>
              <w:ind w:left="17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Reduction in Commonwealth Grant Scheme subsidies</w:t>
            </w:r>
          </w:p>
        </w:tc>
        <w:tc>
          <w:tcPr>
            <w:tcW w:w="802" w:type="dxa"/>
            <w:tcBorders>
              <w:top w:val="nil"/>
              <w:left w:val="nil"/>
              <w:bottom w:val="nil"/>
              <w:right w:val="nil"/>
            </w:tcBorders>
            <w:shd w:val="clear" w:color="000000" w:fill="E9ECF3"/>
            <w:noWrap/>
            <w:vAlign w:val="center"/>
            <w:hideMark/>
          </w:tcPr>
          <w:p w:rsidR="00892390" w:rsidRPr="003A4DC3" w:rsidRDefault="000E675E" w:rsidP="00892390">
            <w:pPr>
              <w:spacing w:before="50" w:after="50" w:line="240" w:lineRule="auto"/>
              <w:jc w:val="right"/>
              <w:rPr>
                <w:rFonts w:ascii="Arial" w:hAnsi="Arial" w:cs="Arial"/>
                <w:i/>
                <w:sz w:val="15"/>
                <w:szCs w:val="15"/>
              </w:rPr>
            </w:pPr>
            <w:r w:rsidRPr="003A4DC3">
              <w:rPr>
                <w:rFonts w:ascii="Arial" w:hAnsi="Arial" w:cs="Arial"/>
                <w:i/>
                <w:sz w:val="15"/>
                <w:szCs w:val="15"/>
              </w:rPr>
              <w:t>-</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555</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1,200</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1,362</w:t>
            </w:r>
          </w:p>
        </w:tc>
        <w:tc>
          <w:tcPr>
            <w:tcW w:w="802" w:type="dxa"/>
            <w:tcBorders>
              <w:top w:val="nil"/>
              <w:left w:val="nil"/>
              <w:bottom w:val="nil"/>
              <w:right w:val="single" w:sz="4" w:space="0" w:color="D7DDE9"/>
            </w:tcBorders>
            <w:shd w:val="clear" w:color="000000" w:fill="D7DDE9"/>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3,117</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1,520</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1,671</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1,811</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1,962</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2,125</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2,307</w:t>
            </w:r>
          </w:p>
        </w:tc>
        <w:tc>
          <w:tcPr>
            <w:tcW w:w="802" w:type="dxa"/>
            <w:tcBorders>
              <w:top w:val="nil"/>
              <w:left w:val="nil"/>
              <w:bottom w:val="nil"/>
              <w:right w:val="nil"/>
            </w:tcBorders>
            <w:shd w:val="clear" w:color="000000" w:fill="E9ECF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2,506</w:t>
            </w:r>
          </w:p>
        </w:tc>
        <w:tc>
          <w:tcPr>
            <w:tcW w:w="803" w:type="dxa"/>
            <w:tcBorders>
              <w:top w:val="nil"/>
              <w:left w:val="nil"/>
              <w:bottom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17,018</w:t>
            </w:r>
          </w:p>
        </w:tc>
        <w:tc>
          <w:tcPr>
            <w:tcW w:w="284" w:type="dxa"/>
            <w:tcBorders>
              <w:top w:val="nil"/>
              <w:left w:val="nil"/>
              <w:bottom w:val="nil"/>
              <w:right w:val="single" w:sz="4" w:space="0" w:color="2B3B5F"/>
            </w:tcBorders>
            <w:shd w:val="clear" w:color="000000" w:fill="2B3B5F"/>
            <w:noWrap/>
            <w:vAlign w:val="bottom"/>
            <w:hideMark/>
          </w:tcPr>
          <w:p w:rsidR="00892390" w:rsidRPr="003A4DC3" w:rsidRDefault="00892390" w:rsidP="00EE53BC">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09" w:type="dxa"/>
            <w:tcBorders>
              <w:top w:val="nil"/>
              <w:left w:val="nil"/>
              <w:bottom w:val="nil"/>
              <w:right w:val="nil"/>
            </w:tcBorders>
            <w:shd w:val="clear" w:color="000000" w:fill="E9ECF3"/>
            <w:noWrap/>
            <w:hideMark/>
          </w:tcPr>
          <w:p w:rsidR="00892390" w:rsidRPr="003A4DC3" w:rsidRDefault="00892390" w:rsidP="002346B0">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r>
      <w:tr w:rsidR="00892390" w:rsidRPr="003A4DC3" w:rsidTr="00892390">
        <w:trPr>
          <w:trHeight w:hRule="exact" w:val="266"/>
        </w:trPr>
        <w:tc>
          <w:tcPr>
            <w:tcW w:w="8101" w:type="dxa"/>
            <w:tcBorders>
              <w:top w:val="nil"/>
              <w:left w:val="nil"/>
              <w:bottom w:val="nil"/>
              <w:right w:val="nil"/>
            </w:tcBorders>
            <w:shd w:val="clear" w:color="auto" w:fill="auto"/>
            <w:noWrap/>
            <w:hideMark/>
          </w:tcPr>
          <w:p w:rsidR="00892390" w:rsidRPr="003A4DC3" w:rsidRDefault="00892390" w:rsidP="002346B0">
            <w:pPr>
              <w:spacing w:before="50" w:after="50" w:line="240" w:lineRule="auto"/>
              <w:ind w:left="17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Non-university higher education provider places</w:t>
            </w:r>
          </w:p>
        </w:tc>
        <w:tc>
          <w:tcPr>
            <w:tcW w:w="802" w:type="dxa"/>
            <w:tcBorders>
              <w:top w:val="nil"/>
              <w:left w:val="nil"/>
              <w:bottom w:val="nil"/>
              <w:right w:val="nil"/>
            </w:tcBorders>
            <w:shd w:val="clear" w:color="auto" w:fill="auto"/>
            <w:noWrap/>
            <w:vAlign w:val="center"/>
            <w:hideMark/>
          </w:tcPr>
          <w:p w:rsidR="00892390" w:rsidRPr="003A4DC3" w:rsidRDefault="000E675E" w:rsidP="00892390">
            <w:pPr>
              <w:spacing w:before="50" w:after="50" w:line="240" w:lineRule="auto"/>
              <w:jc w:val="right"/>
              <w:rPr>
                <w:rFonts w:ascii="Arial" w:hAnsi="Arial" w:cs="Arial"/>
                <w:i/>
                <w:sz w:val="15"/>
                <w:szCs w:val="15"/>
              </w:rPr>
            </w:pPr>
            <w:r w:rsidRPr="003A4DC3">
              <w:rPr>
                <w:rFonts w:ascii="Arial" w:hAnsi="Arial" w:cs="Arial"/>
                <w:i/>
                <w:sz w:val="15"/>
                <w:szCs w:val="15"/>
              </w:rPr>
              <w:t>-</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-71</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-145</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-148</w:t>
            </w:r>
          </w:p>
        </w:tc>
        <w:tc>
          <w:tcPr>
            <w:tcW w:w="802" w:type="dxa"/>
            <w:tcBorders>
              <w:top w:val="nil"/>
              <w:left w:val="nil"/>
              <w:bottom w:val="nil"/>
              <w:right w:val="single" w:sz="4" w:space="0" w:color="D7DDE9"/>
            </w:tcBorders>
            <w:shd w:val="clear" w:color="000000" w:fill="D7DDE9"/>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-364</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-151</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-153</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-153</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-153</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-152</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-150</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-147</w:t>
            </w:r>
          </w:p>
        </w:tc>
        <w:tc>
          <w:tcPr>
            <w:tcW w:w="803" w:type="dxa"/>
            <w:tcBorders>
              <w:top w:val="nil"/>
              <w:left w:val="nil"/>
              <w:bottom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-1,422</w:t>
            </w:r>
          </w:p>
        </w:tc>
        <w:tc>
          <w:tcPr>
            <w:tcW w:w="284" w:type="dxa"/>
            <w:tcBorders>
              <w:top w:val="nil"/>
              <w:left w:val="nil"/>
              <w:bottom w:val="nil"/>
              <w:right w:val="single" w:sz="4" w:space="0" w:color="2B3B5F"/>
            </w:tcBorders>
            <w:shd w:val="clear" w:color="000000" w:fill="2B3B5F"/>
            <w:noWrap/>
            <w:vAlign w:val="bottom"/>
            <w:hideMark/>
          </w:tcPr>
          <w:p w:rsidR="00892390" w:rsidRPr="003A4DC3" w:rsidRDefault="00892390" w:rsidP="00EE53BC">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3A4DC3" w:rsidRDefault="00892390" w:rsidP="002346B0">
            <w:pPr>
              <w:spacing w:before="50" w:after="50" w:line="240" w:lineRule="auto"/>
              <w:rPr>
                <w:rFonts w:ascii="Arial" w:eastAsia="Times New Roman" w:hAnsi="Arial" w:cs="Arial"/>
                <w:i/>
                <w:color w:val="000000"/>
                <w:sz w:val="15"/>
                <w:szCs w:val="15"/>
                <w:lang w:eastAsia="en-AU"/>
              </w:rPr>
            </w:pPr>
          </w:p>
        </w:tc>
      </w:tr>
      <w:tr w:rsidR="00CC11D2" w:rsidRPr="003A4DC3" w:rsidTr="000B3418">
        <w:trPr>
          <w:trHeight w:hRule="exact" w:val="266"/>
        </w:trPr>
        <w:tc>
          <w:tcPr>
            <w:tcW w:w="8101" w:type="dxa"/>
            <w:tcBorders>
              <w:top w:val="nil"/>
              <w:left w:val="nil"/>
              <w:bottom w:val="nil"/>
              <w:right w:val="nil"/>
            </w:tcBorders>
            <w:shd w:val="clear" w:color="000000" w:fill="E9ECF3"/>
            <w:noWrap/>
            <w:hideMark/>
          </w:tcPr>
          <w:p w:rsidR="00CC11D2" w:rsidRPr="003A4DC3" w:rsidRDefault="00CC11D2" w:rsidP="002346B0">
            <w:pPr>
              <w:spacing w:before="50" w:after="50" w:line="240" w:lineRule="auto"/>
              <w:ind w:left="17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Additional sub-bachelor places</w:t>
            </w:r>
          </w:p>
        </w:tc>
        <w:tc>
          <w:tcPr>
            <w:tcW w:w="802" w:type="dxa"/>
            <w:tcBorders>
              <w:top w:val="nil"/>
              <w:left w:val="nil"/>
              <w:bottom w:val="nil"/>
              <w:right w:val="nil"/>
            </w:tcBorders>
            <w:shd w:val="clear" w:color="000000" w:fill="E9ECF3"/>
            <w:noWrap/>
            <w:vAlign w:val="center"/>
            <w:hideMark/>
          </w:tcPr>
          <w:p w:rsidR="00CC11D2" w:rsidRPr="003A4DC3" w:rsidRDefault="00CC11D2" w:rsidP="00892390">
            <w:pPr>
              <w:spacing w:before="50" w:after="50" w:line="240" w:lineRule="auto"/>
              <w:jc w:val="right"/>
              <w:rPr>
                <w:rFonts w:ascii="Arial" w:hAnsi="Arial" w:cs="Arial"/>
                <w:i/>
                <w:sz w:val="15"/>
                <w:szCs w:val="15"/>
              </w:rPr>
            </w:pPr>
            <w:r w:rsidRPr="003A4DC3">
              <w:rPr>
                <w:rFonts w:ascii="Arial" w:hAnsi="Arial" w:cs="Arial"/>
                <w:i/>
                <w:sz w:val="15"/>
                <w:szCs w:val="15"/>
              </w:rPr>
              <w:t>-</w:t>
            </w:r>
          </w:p>
        </w:tc>
        <w:tc>
          <w:tcPr>
            <w:tcW w:w="802" w:type="dxa"/>
            <w:tcBorders>
              <w:top w:val="nil"/>
              <w:left w:val="nil"/>
              <w:bottom w:val="nil"/>
              <w:right w:val="nil"/>
            </w:tcBorders>
            <w:shd w:val="clear" w:color="000000" w:fill="E9ECF3"/>
            <w:noWrap/>
            <w:vAlign w:val="center"/>
            <w:hideMark/>
          </w:tcPr>
          <w:p w:rsidR="00CC11D2" w:rsidRPr="003A4DC3" w:rsidRDefault="00CC11D2" w:rsidP="00892390">
            <w:pPr>
              <w:spacing w:before="50" w:after="50" w:line="240" w:lineRule="auto"/>
              <w:jc w:val="right"/>
              <w:rPr>
                <w:rFonts w:ascii="Arial" w:hAnsi="Arial" w:cs="Arial"/>
                <w:i/>
                <w:sz w:val="15"/>
                <w:szCs w:val="15"/>
              </w:rPr>
            </w:pPr>
            <w:r w:rsidRPr="003A4DC3">
              <w:rPr>
                <w:rFonts w:ascii="Arial" w:hAnsi="Arial" w:cs="Arial"/>
                <w:i/>
                <w:sz w:val="15"/>
                <w:szCs w:val="15"/>
              </w:rPr>
              <w:t>-48</w:t>
            </w:r>
          </w:p>
        </w:tc>
        <w:tc>
          <w:tcPr>
            <w:tcW w:w="802" w:type="dxa"/>
            <w:tcBorders>
              <w:top w:val="nil"/>
              <w:left w:val="nil"/>
              <w:bottom w:val="nil"/>
              <w:right w:val="nil"/>
            </w:tcBorders>
            <w:shd w:val="clear" w:color="000000" w:fill="E9ECF3"/>
            <w:noWrap/>
            <w:vAlign w:val="center"/>
            <w:hideMark/>
          </w:tcPr>
          <w:p w:rsidR="00CC11D2" w:rsidRPr="003A4DC3" w:rsidRDefault="00CC11D2" w:rsidP="00892390">
            <w:pPr>
              <w:spacing w:before="50" w:after="50" w:line="240" w:lineRule="auto"/>
              <w:jc w:val="right"/>
              <w:rPr>
                <w:rFonts w:ascii="Arial" w:hAnsi="Arial" w:cs="Arial"/>
                <w:i/>
                <w:sz w:val="15"/>
                <w:szCs w:val="15"/>
              </w:rPr>
            </w:pPr>
            <w:r w:rsidRPr="003A4DC3">
              <w:rPr>
                <w:rFonts w:ascii="Arial" w:hAnsi="Arial" w:cs="Arial"/>
                <w:i/>
                <w:sz w:val="15"/>
                <w:szCs w:val="15"/>
              </w:rPr>
              <w:t>-123</w:t>
            </w:r>
          </w:p>
        </w:tc>
        <w:tc>
          <w:tcPr>
            <w:tcW w:w="802" w:type="dxa"/>
            <w:tcBorders>
              <w:top w:val="nil"/>
              <w:left w:val="nil"/>
              <w:bottom w:val="nil"/>
              <w:right w:val="nil"/>
            </w:tcBorders>
            <w:shd w:val="clear" w:color="000000" w:fill="E9ECF3"/>
            <w:noWrap/>
            <w:vAlign w:val="center"/>
            <w:hideMark/>
          </w:tcPr>
          <w:p w:rsidR="00CC11D2" w:rsidRPr="003A4DC3" w:rsidRDefault="00CC11D2" w:rsidP="00892390">
            <w:pPr>
              <w:spacing w:before="50" w:after="50" w:line="240" w:lineRule="auto"/>
              <w:jc w:val="right"/>
              <w:rPr>
                <w:rFonts w:ascii="Arial" w:hAnsi="Arial" w:cs="Arial"/>
                <w:i/>
                <w:sz w:val="15"/>
                <w:szCs w:val="15"/>
              </w:rPr>
            </w:pPr>
            <w:r w:rsidRPr="003A4DC3">
              <w:rPr>
                <w:rFonts w:ascii="Arial" w:hAnsi="Arial" w:cs="Arial"/>
                <w:i/>
                <w:sz w:val="15"/>
                <w:szCs w:val="15"/>
              </w:rPr>
              <w:t>-182</w:t>
            </w:r>
          </w:p>
        </w:tc>
        <w:tc>
          <w:tcPr>
            <w:tcW w:w="802" w:type="dxa"/>
            <w:tcBorders>
              <w:top w:val="nil"/>
              <w:left w:val="nil"/>
              <w:bottom w:val="nil"/>
              <w:right w:val="single" w:sz="4" w:space="0" w:color="D7DDE9"/>
            </w:tcBorders>
            <w:shd w:val="clear" w:color="000000" w:fill="D7DDE9"/>
            <w:noWrap/>
            <w:vAlign w:val="center"/>
            <w:hideMark/>
          </w:tcPr>
          <w:p w:rsidR="00CC11D2" w:rsidRPr="003A4DC3" w:rsidRDefault="00CC11D2" w:rsidP="00892390">
            <w:pPr>
              <w:spacing w:before="50" w:after="50" w:line="240" w:lineRule="auto"/>
              <w:jc w:val="right"/>
              <w:rPr>
                <w:rFonts w:ascii="Arial" w:hAnsi="Arial" w:cs="Arial"/>
                <w:i/>
                <w:sz w:val="15"/>
                <w:szCs w:val="15"/>
              </w:rPr>
            </w:pPr>
            <w:r w:rsidRPr="003A4DC3">
              <w:rPr>
                <w:rFonts w:ascii="Arial" w:hAnsi="Arial" w:cs="Arial"/>
                <w:i/>
                <w:sz w:val="15"/>
                <w:szCs w:val="15"/>
              </w:rPr>
              <w:t>-352</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-250</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-306</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-347</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-393</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-445</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-502</w:t>
            </w:r>
          </w:p>
        </w:tc>
        <w:tc>
          <w:tcPr>
            <w:tcW w:w="802" w:type="dxa"/>
            <w:tcBorders>
              <w:top w:val="nil"/>
              <w:left w:val="nil"/>
              <w:bottom w:val="nil"/>
              <w:right w:val="nil"/>
            </w:tcBorders>
            <w:shd w:val="clear" w:color="000000" w:fill="E9ECF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-565</w:t>
            </w:r>
          </w:p>
        </w:tc>
        <w:tc>
          <w:tcPr>
            <w:tcW w:w="803" w:type="dxa"/>
            <w:tcBorders>
              <w:top w:val="nil"/>
              <w:left w:val="nil"/>
              <w:bottom w:val="nil"/>
              <w:right w:val="nil"/>
            </w:tcBorders>
            <w:shd w:val="clear" w:color="auto" w:fill="D7DDE9" w:themeFill="accent3"/>
            <w:noWrap/>
            <w:hideMark/>
          </w:tcPr>
          <w:p w:rsidR="00CC11D2" w:rsidRPr="00CC11D2" w:rsidRDefault="00CC11D2" w:rsidP="00CC11D2">
            <w:pPr>
              <w:spacing w:before="50" w:after="50" w:line="240" w:lineRule="auto"/>
              <w:jc w:val="right"/>
              <w:rPr>
                <w:rFonts w:ascii="Arial" w:hAnsi="Arial" w:cs="Arial"/>
                <w:i/>
                <w:sz w:val="15"/>
                <w:szCs w:val="15"/>
              </w:rPr>
            </w:pPr>
            <w:r w:rsidRPr="00CC11D2">
              <w:rPr>
                <w:rFonts w:ascii="Arial" w:hAnsi="Arial" w:cs="Arial"/>
                <w:i/>
                <w:sz w:val="15"/>
                <w:szCs w:val="15"/>
              </w:rPr>
              <w:t>-3,159</w:t>
            </w:r>
          </w:p>
        </w:tc>
        <w:tc>
          <w:tcPr>
            <w:tcW w:w="284" w:type="dxa"/>
            <w:tcBorders>
              <w:top w:val="nil"/>
              <w:left w:val="nil"/>
              <w:bottom w:val="nil"/>
              <w:right w:val="single" w:sz="4" w:space="0" w:color="2B3B5F"/>
            </w:tcBorders>
            <w:shd w:val="clear" w:color="000000" w:fill="2B3B5F"/>
            <w:noWrap/>
            <w:vAlign w:val="bottom"/>
            <w:hideMark/>
          </w:tcPr>
          <w:p w:rsidR="00CC11D2" w:rsidRPr="003A4DC3" w:rsidRDefault="00CC11D2" w:rsidP="00EE53BC">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09" w:type="dxa"/>
            <w:tcBorders>
              <w:top w:val="nil"/>
              <w:left w:val="nil"/>
              <w:bottom w:val="nil"/>
              <w:right w:val="nil"/>
            </w:tcBorders>
            <w:shd w:val="clear" w:color="000000" w:fill="E9ECF3"/>
            <w:noWrap/>
            <w:hideMark/>
          </w:tcPr>
          <w:p w:rsidR="00CC11D2" w:rsidRPr="003A4DC3" w:rsidRDefault="00CC11D2" w:rsidP="002346B0">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Expanding opportunity — FEE-HELP and VET FEE-HELP loan fee </w:t>
            </w:r>
            <w:proofErr w:type="spellStart"/>
            <w:r w:rsidRPr="0092358B">
              <w:rPr>
                <w:rFonts w:ascii="Arial" w:eastAsia="Times New Roman" w:hAnsi="Arial" w:cs="Arial"/>
                <w:color w:val="000000"/>
                <w:sz w:val="15"/>
                <w:szCs w:val="15"/>
                <w:lang w:eastAsia="en-AU"/>
              </w:rPr>
              <w:t>cessation</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_Ref472934672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i</w:t>
            </w:r>
            <w:r w:rsidRPr="0092358B">
              <w:rPr>
                <w:rFonts w:ascii="Arial" w:eastAsia="Times New Roman" w:hAnsi="Arial" w:cs="Arial"/>
                <w:color w:val="000000"/>
                <w:sz w:val="15"/>
                <w:szCs w:val="15"/>
                <w:lang w:eastAsia="en-AU"/>
              </w:rPr>
              <w:fldChar w:fldCharType="end"/>
            </w:r>
            <w:r w:rsidRPr="0092358B">
              <w:rPr>
                <w:rFonts w:ascii="Arial" w:eastAsia="Times New Roman" w:hAnsi="Arial" w:cs="Arial"/>
                <w:color w:val="000000"/>
                <w:sz w:val="15"/>
                <w:szCs w:val="15"/>
                <w:vertAlign w:val="superscript"/>
                <w:lang w:eastAsia="en-AU"/>
              </w:rPr>
              <w:t>,</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vertAlign w:val="superscript"/>
                <w:lang w:eastAsia="en-AU"/>
              </w:rPr>
              <w:instrText xml:space="preserve"> NOTEREF _Ref473031675 \f \h </w:instrText>
            </w:r>
            <w:r w:rsidRPr="0092358B">
              <w:rPr>
                <w:rFonts w:ascii="Arial" w:eastAsia="Times New Roman" w:hAnsi="Arial" w:cs="Arial"/>
                <w:color w:val="000000"/>
                <w:sz w:val="15"/>
                <w:szCs w:val="15"/>
                <w:lang w:eastAsia="en-AU"/>
              </w:rPr>
              <w:instrText xml:space="preserve">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j</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-42</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-131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-265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-347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-440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-545</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-2,056</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85</w:t>
            </w:r>
          </w:p>
        </w:tc>
      </w:tr>
      <w:tr w:rsidR="00892390" w:rsidRPr="00EE53BC" w:rsidTr="00892390">
        <w:trPr>
          <w:trHeight w:hRule="exact" w:val="266"/>
        </w:trPr>
        <w:tc>
          <w:tcPr>
            <w:tcW w:w="8101" w:type="dxa"/>
            <w:tcBorders>
              <w:top w:val="nil"/>
              <w:left w:val="nil"/>
              <w:bottom w:val="nil"/>
              <w:right w:val="nil"/>
            </w:tcBorders>
            <w:shd w:val="clear" w:color="auto" w:fill="E9ECF3" w:themeFill="accent2" w:themeFillTint="3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Higher Education — structural adjustment fund</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-42</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-58</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-100</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-100</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E9ECF3" w:themeFill="accent2" w:themeFillTint="3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MYEFO, p. 150</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Higher Education Reforms — </w:t>
            </w:r>
            <w:proofErr w:type="spellStart"/>
            <w:r w:rsidRPr="0092358B">
              <w:rPr>
                <w:rFonts w:ascii="Arial" w:eastAsia="Times New Roman" w:hAnsi="Arial" w:cs="Arial"/>
                <w:color w:val="000000"/>
                <w:sz w:val="15"/>
                <w:szCs w:val="15"/>
                <w:lang w:eastAsia="en-AU"/>
              </w:rPr>
              <w:t>amendments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_Ref473031688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k</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7F44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-28</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-50</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-82</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-315</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MYEFO, p. 151</w:t>
            </w:r>
          </w:p>
        </w:tc>
      </w:tr>
      <w:tr w:rsidR="00892390" w:rsidRPr="00EE53BC" w:rsidTr="00892390">
        <w:trPr>
          <w:trHeight w:hRule="exact" w:val="266"/>
        </w:trPr>
        <w:tc>
          <w:tcPr>
            <w:tcW w:w="8101" w:type="dxa"/>
            <w:tcBorders>
              <w:top w:val="nil"/>
              <w:left w:val="nil"/>
              <w:bottom w:val="nil"/>
              <w:right w:val="nil"/>
            </w:tcBorders>
            <w:shd w:val="clear" w:color="auto" w:fill="E9ECF3" w:themeFill="accent2" w:themeFillTint="33"/>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Stronger compliance arrangements for job seekers who refuse or persistently fail to meet </w:t>
            </w:r>
            <w:proofErr w:type="spellStart"/>
            <w:r w:rsidRPr="0092358B">
              <w:rPr>
                <w:rFonts w:ascii="Arial" w:eastAsia="Times New Roman" w:hAnsi="Arial" w:cs="Arial"/>
                <w:color w:val="000000"/>
                <w:sz w:val="15"/>
                <w:szCs w:val="15"/>
                <w:lang w:eastAsia="en-AU"/>
              </w:rPr>
              <w:t>requirements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18</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60</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E9ECF3" w:themeFill="accent2" w:themeFillTint="3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w:t>
            </w:r>
            <w:r>
              <w:rPr>
                <w:rFonts w:ascii="Arial" w:eastAsia="Times New Roman" w:hAnsi="Arial" w:cs="Arial"/>
                <w:color w:val="000000"/>
                <w:sz w:val="15"/>
                <w:szCs w:val="15"/>
                <w:lang w:eastAsia="en-AU"/>
              </w:rPr>
              <w:t>–</w:t>
            </w:r>
            <w:r w:rsidRPr="00EE53BC">
              <w:rPr>
                <w:rFonts w:ascii="Arial" w:eastAsia="Times New Roman" w:hAnsi="Arial" w:cs="Arial"/>
                <w:color w:val="000000"/>
                <w:sz w:val="15"/>
                <w:szCs w:val="15"/>
                <w:lang w:eastAsia="en-AU"/>
              </w:rPr>
              <w:t>15 Budget Paper 2, p. 98</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Abolish the Seafarer Tax Offset</w:t>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39</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2014–15 Budget Paper 2, p. 212</w:t>
            </w:r>
          </w:p>
        </w:tc>
      </w:tr>
      <w:tr w:rsidR="00892390" w:rsidRPr="00EE53BC" w:rsidTr="003A19A6">
        <w:trPr>
          <w:trHeight w:hRule="exact" w:val="266"/>
        </w:trPr>
        <w:tc>
          <w:tcPr>
            <w:tcW w:w="8101" w:type="dxa"/>
            <w:tcBorders>
              <w:top w:val="nil"/>
              <w:left w:val="nil"/>
              <w:bottom w:val="nil"/>
              <w:right w:val="nil"/>
            </w:tcBorders>
            <w:shd w:val="clear" w:color="auto" w:fill="E9ECF3" w:themeFill="accent2" w:themeFillTint="33"/>
            <w:noWrap/>
            <w:hideMark/>
          </w:tcPr>
          <w:p w:rsidR="00892390" w:rsidRPr="00310BE1" w:rsidRDefault="00892390" w:rsidP="0023699B">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 xml:space="preserve">Streamlining and Improving the Sustainability of </w:t>
            </w:r>
            <w:proofErr w:type="spellStart"/>
            <w:r w:rsidRPr="0092358B">
              <w:rPr>
                <w:rFonts w:ascii="Arial" w:eastAsia="Times New Roman" w:hAnsi="Arial" w:cs="Arial"/>
                <w:color w:val="000000"/>
                <w:sz w:val="15"/>
                <w:szCs w:val="15"/>
                <w:lang w:eastAsia="en-AU"/>
              </w:rPr>
              <w:t>Courts</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r w:rsidRPr="0092358B">
              <w:rPr>
                <w:rFonts w:ascii="Arial" w:eastAsia="Times New Roman" w:hAnsi="Arial" w:cs="Arial"/>
                <w:color w:val="000000"/>
                <w:sz w:val="15"/>
                <w:szCs w:val="15"/>
                <w:lang w:eastAsia="en-AU"/>
              </w:rPr>
              <w:fldChar w:fldCharType="end"/>
            </w:r>
            <w:r w:rsidR="00310BE1">
              <w:rPr>
                <w:rFonts w:ascii="Arial" w:eastAsia="Times New Roman" w:hAnsi="Arial" w:cs="Arial"/>
                <w:color w:val="000000"/>
                <w:sz w:val="15"/>
                <w:szCs w:val="15"/>
                <w:vertAlign w:val="superscript"/>
                <w:lang w:eastAsia="en-AU"/>
              </w:rPr>
              <w:t>,</w:t>
            </w:r>
            <w:r w:rsidR="0023699B">
              <w:rPr>
                <w:rFonts w:ascii="Arial" w:eastAsia="Times New Roman" w:hAnsi="Arial" w:cs="Arial"/>
                <w:color w:val="000000"/>
                <w:sz w:val="15"/>
                <w:szCs w:val="15"/>
                <w:lang w:eastAsia="en-AU"/>
              </w:rPr>
              <w:fldChar w:fldCharType="begin"/>
            </w:r>
            <w:r w:rsidR="0023699B">
              <w:rPr>
                <w:rFonts w:ascii="Arial" w:eastAsia="Times New Roman" w:hAnsi="Arial" w:cs="Arial"/>
                <w:color w:val="000000"/>
                <w:sz w:val="15"/>
                <w:szCs w:val="15"/>
                <w:vertAlign w:val="superscript"/>
                <w:lang w:eastAsia="en-AU"/>
              </w:rPr>
              <w:instrText xml:space="preserve"> NOTEREF _Ref473693757 \h </w:instrText>
            </w:r>
            <w:r w:rsidR="0023699B">
              <w:rPr>
                <w:rFonts w:ascii="Arial" w:eastAsia="Times New Roman" w:hAnsi="Arial" w:cs="Arial"/>
                <w:color w:val="000000"/>
                <w:sz w:val="15"/>
                <w:szCs w:val="15"/>
                <w:lang w:eastAsia="en-AU"/>
              </w:rPr>
            </w:r>
            <w:r w:rsidR="0023699B">
              <w:rPr>
                <w:rFonts w:ascii="Arial" w:eastAsia="Times New Roman" w:hAnsi="Arial" w:cs="Arial"/>
                <w:color w:val="000000"/>
                <w:sz w:val="15"/>
                <w:szCs w:val="15"/>
                <w:lang w:eastAsia="en-AU"/>
              </w:rPr>
              <w:fldChar w:fldCharType="separate"/>
            </w:r>
            <w:r w:rsidR="006C1259">
              <w:rPr>
                <w:rFonts w:ascii="Arial" w:eastAsia="Times New Roman" w:hAnsi="Arial" w:cs="Arial"/>
                <w:color w:val="000000"/>
                <w:sz w:val="15"/>
                <w:szCs w:val="15"/>
                <w:vertAlign w:val="superscript"/>
                <w:lang w:eastAsia="en-AU"/>
              </w:rPr>
              <w:t>l</w:t>
            </w:r>
            <w:proofErr w:type="spellEnd"/>
            <w:r w:rsidR="0023699B">
              <w:rPr>
                <w:rFonts w:ascii="Arial" w:eastAsia="Times New Roman" w:hAnsi="Arial" w:cs="Arial"/>
                <w:color w:val="000000"/>
                <w:sz w:val="15"/>
                <w:szCs w:val="15"/>
                <w:lang w:eastAsia="en-AU"/>
              </w:rPr>
              <w:fldChar w:fldCharType="end"/>
            </w:r>
            <w:r w:rsidR="0023699B" w:rsidRPr="00310BE1">
              <w:rPr>
                <w:rFonts w:ascii="Arial" w:eastAsia="Times New Roman" w:hAnsi="Arial" w:cs="Arial"/>
                <w:color w:val="000000"/>
                <w:sz w:val="15"/>
                <w:szCs w:val="15"/>
                <w:lang w:eastAsia="en-AU"/>
              </w:rPr>
              <w:t xml:space="preserve"> </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22</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24</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24</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70</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26</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28</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29</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31</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31</w:t>
            </w:r>
          </w:p>
        </w:tc>
        <w:tc>
          <w:tcPr>
            <w:tcW w:w="802" w:type="dxa"/>
            <w:tcBorders>
              <w:top w:val="nil"/>
              <w:left w:val="nil"/>
              <w:bottom w:val="nil"/>
              <w:right w:val="nil"/>
            </w:tcBorders>
            <w:shd w:val="clear" w:color="auto" w:fill="E9ECF3" w:themeFill="accent2" w:themeFillTint="3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34</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274</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E9ECF3" w:themeFill="accent2" w:themeFillTint="33"/>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Budget Paper 2, p. 66</w:t>
            </w:r>
          </w:p>
        </w:tc>
      </w:tr>
      <w:tr w:rsidR="00892390" w:rsidRPr="00EE53BC" w:rsidTr="003A19A6">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i/>
                <w:color w:val="000000"/>
                <w:sz w:val="15"/>
                <w:szCs w:val="15"/>
                <w:lang w:eastAsia="en-AU"/>
              </w:rPr>
              <w:t>Safety, Rehabilitation and Compensation Act 1988</w:t>
            </w:r>
            <w:r w:rsidRPr="0092358B">
              <w:rPr>
                <w:rFonts w:ascii="Arial" w:eastAsia="Times New Roman" w:hAnsi="Arial" w:cs="Arial"/>
                <w:color w:val="000000"/>
                <w:sz w:val="15"/>
                <w:szCs w:val="15"/>
                <w:lang w:eastAsia="en-AU"/>
              </w:rPr>
              <w:t xml:space="preserve"> reforms — multiple injuries arising out of one </w:t>
            </w:r>
            <w:proofErr w:type="spellStart"/>
            <w:r w:rsidRPr="0092358B">
              <w:rPr>
                <w:rFonts w:ascii="Arial" w:eastAsia="Times New Roman" w:hAnsi="Arial" w:cs="Arial"/>
                <w:color w:val="000000"/>
                <w:sz w:val="15"/>
                <w:szCs w:val="15"/>
                <w:lang w:eastAsia="en-AU"/>
              </w:rPr>
              <w:t>event</w:t>
            </w:r>
            <w:r w:rsidRPr="0092358B">
              <w:rPr>
                <w:rFonts w:ascii="Arial" w:eastAsia="Times New Roman" w:hAnsi="Arial" w:cs="Arial"/>
                <w:color w:val="000000"/>
                <w:sz w:val="15"/>
                <w:szCs w:val="15"/>
                <w:lang w:eastAsia="en-AU"/>
              </w:rPr>
              <w:fldChar w:fldCharType="begin"/>
            </w:r>
            <w:r w:rsidRPr="0092358B">
              <w:rPr>
                <w:rFonts w:ascii="Arial" w:eastAsia="Times New Roman" w:hAnsi="Arial" w:cs="Arial"/>
                <w:color w:val="000000"/>
                <w:sz w:val="15"/>
                <w:szCs w:val="15"/>
                <w:lang w:eastAsia="en-AU"/>
              </w:rPr>
              <w:instrText xml:space="preserve"> NOTEREF _Ref472932627 \f \h  \* MERGEFORMAT </w:instrText>
            </w:r>
            <w:r w:rsidRPr="0092358B">
              <w:rPr>
                <w:rFonts w:ascii="Arial" w:eastAsia="Times New Roman" w:hAnsi="Arial" w:cs="Arial"/>
                <w:color w:val="000000"/>
                <w:sz w:val="15"/>
                <w:szCs w:val="15"/>
                <w:lang w:eastAsia="en-AU"/>
              </w:rPr>
            </w:r>
            <w:r w:rsidRPr="0092358B">
              <w:rPr>
                <w:rFonts w:ascii="Arial" w:eastAsia="Times New Roman" w:hAnsi="Arial" w:cs="Arial"/>
                <w:color w:val="000000"/>
                <w:sz w:val="15"/>
                <w:szCs w:val="15"/>
                <w:lang w:eastAsia="en-AU"/>
              </w:rPr>
              <w:fldChar w:fldCharType="separate"/>
            </w:r>
            <w:r w:rsidR="006C1259" w:rsidRPr="006C1259">
              <w:rPr>
                <w:rStyle w:val="EndnoteReference"/>
                <w:rFonts w:ascii="Arial" w:hAnsi="Arial" w:cs="Arial"/>
                <w:sz w:val="15"/>
                <w:szCs w:val="15"/>
              </w:rPr>
              <w:t>b</w:t>
            </w:r>
            <w:proofErr w:type="spellEnd"/>
            <w:r w:rsidRPr="0092358B">
              <w:rPr>
                <w:rFonts w:ascii="Arial" w:eastAsia="Times New Roman" w:hAnsi="Arial" w:cs="Arial"/>
                <w:color w:val="000000"/>
                <w:sz w:val="15"/>
                <w:szCs w:val="15"/>
                <w:lang w:eastAsia="en-AU"/>
              </w:rPr>
              <w:fldChar w:fldCharType="end"/>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single" w:sz="4" w:space="0" w:color="D7DDE9"/>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55</w:t>
            </w:r>
          </w:p>
        </w:tc>
        <w:tc>
          <w:tcPr>
            <w:tcW w:w="284" w:type="dxa"/>
            <w:tcBorders>
              <w:top w:val="nil"/>
              <w:left w:val="nil"/>
              <w:bottom w:val="nil"/>
              <w:right w:val="single" w:sz="4" w:space="0" w:color="2B3B5F"/>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 </w:t>
            </w: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r w:rsidRPr="00EE53BC">
              <w:rPr>
                <w:rFonts w:ascii="Arial" w:eastAsia="Times New Roman" w:hAnsi="Arial" w:cs="Arial"/>
                <w:color w:val="000000"/>
                <w:sz w:val="15"/>
                <w:szCs w:val="15"/>
                <w:lang w:eastAsia="en-AU"/>
              </w:rPr>
              <w:t>2015–16 Budget Paper 2, p. 183</w:t>
            </w:r>
          </w:p>
        </w:tc>
      </w:tr>
      <w:tr w:rsidR="00107308" w:rsidRPr="00EE53BC" w:rsidTr="003D217A">
        <w:trPr>
          <w:trHeight w:hRule="exact" w:val="266"/>
        </w:trPr>
        <w:tc>
          <w:tcPr>
            <w:tcW w:w="8101" w:type="dxa"/>
            <w:tcBorders>
              <w:top w:val="nil"/>
              <w:left w:val="nil"/>
              <w:bottom w:val="single" w:sz="4" w:space="0" w:color="FFFFFF"/>
              <w:right w:val="nil"/>
            </w:tcBorders>
            <w:shd w:val="clear" w:color="000000" w:fill="2B3B5F"/>
            <w:noWrap/>
            <w:hideMark/>
          </w:tcPr>
          <w:p w:rsidR="00107308" w:rsidRPr="0092358B" w:rsidRDefault="00107308" w:rsidP="002346B0">
            <w:pPr>
              <w:spacing w:before="50" w:after="50" w:line="240" w:lineRule="auto"/>
              <w:rPr>
                <w:rFonts w:ascii="Arial" w:eastAsia="Times New Roman" w:hAnsi="Arial" w:cs="Arial"/>
                <w:b/>
                <w:bCs/>
                <w:color w:val="FFFFFF"/>
                <w:sz w:val="15"/>
                <w:szCs w:val="15"/>
                <w:lang w:eastAsia="en-AU"/>
              </w:rPr>
            </w:pPr>
            <w:r w:rsidRPr="0092358B">
              <w:rPr>
                <w:rFonts w:ascii="Arial" w:eastAsia="Times New Roman" w:hAnsi="Arial" w:cs="Arial"/>
                <w:b/>
                <w:bCs/>
                <w:color w:val="FFFFFF"/>
                <w:sz w:val="15"/>
                <w:szCs w:val="15"/>
                <w:lang w:eastAsia="en-AU"/>
              </w:rPr>
              <w:t>Impact of unlegislated measures on the underlying cash balance</w:t>
            </w:r>
            <w:r w:rsidRPr="0092358B">
              <w:rPr>
                <w:rStyle w:val="FootnoteReference"/>
                <w:rFonts w:ascii="Arial" w:eastAsia="Times New Roman" w:hAnsi="Arial" w:cs="Arial"/>
                <w:b/>
                <w:bCs/>
                <w:sz w:val="15"/>
                <w:szCs w:val="15"/>
                <w:lang w:eastAsia="en-AU"/>
              </w:rPr>
              <w:footnoteReference w:id="5"/>
            </w:r>
          </w:p>
        </w:tc>
        <w:tc>
          <w:tcPr>
            <w:tcW w:w="802" w:type="dxa"/>
            <w:tcBorders>
              <w:top w:val="nil"/>
              <w:left w:val="nil"/>
              <w:bottom w:val="single" w:sz="4" w:space="0" w:color="FFFFFF"/>
              <w:right w:val="nil"/>
            </w:tcBorders>
            <w:shd w:val="clear" w:color="000000" w:fill="2B3B5F"/>
            <w:noWrap/>
            <w:hideMark/>
          </w:tcPr>
          <w:p w:rsidR="00107308" w:rsidRPr="00107308" w:rsidRDefault="00FD173E" w:rsidP="00107308">
            <w:pPr>
              <w:spacing w:before="50" w:after="50" w:line="240" w:lineRule="auto"/>
              <w:jc w:val="right"/>
              <w:rPr>
                <w:rFonts w:ascii="Arial" w:hAnsi="Arial" w:cs="Arial"/>
                <w:b/>
                <w:bCs/>
                <w:color w:val="FFFFFF"/>
                <w:sz w:val="16"/>
                <w:szCs w:val="16"/>
              </w:rPr>
            </w:pPr>
            <w:r>
              <w:rPr>
                <w:rFonts w:ascii="Arial" w:hAnsi="Arial" w:cs="Arial"/>
                <w:b/>
                <w:bCs/>
                <w:color w:val="FFFFFF"/>
                <w:sz w:val="16"/>
                <w:szCs w:val="16"/>
              </w:rPr>
              <w:t>-</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1,999</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3,099</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3,396</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8,493</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3,864</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4,142</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4,376</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4,612</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4,849</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5,949</w:t>
            </w:r>
          </w:p>
        </w:tc>
        <w:tc>
          <w:tcPr>
            <w:tcW w:w="802"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6,483</w:t>
            </w:r>
          </w:p>
        </w:tc>
        <w:tc>
          <w:tcPr>
            <w:tcW w:w="803" w:type="dxa"/>
            <w:tcBorders>
              <w:top w:val="nil"/>
              <w:left w:val="nil"/>
              <w:bottom w:val="single" w:sz="4" w:space="0" w:color="FFFFFF"/>
              <w:right w:val="nil"/>
            </w:tcBorders>
            <w:shd w:val="clear" w:color="000000" w:fill="2B3B5F"/>
            <w:noWrap/>
            <w:hideMark/>
          </w:tcPr>
          <w:p w:rsidR="00107308" w:rsidRPr="00107308" w:rsidRDefault="00107308" w:rsidP="00107308">
            <w:pPr>
              <w:spacing w:before="50" w:after="50" w:line="240" w:lineRule="auto"/>
              <w:jc w:val="right"/>
              <w:rPr>
                <w:rFonts w:ascii="Arial" w:hAnsi="Arial" w:cs="Arial"/>
                <w:b/>
                <w:bCs/>
                <w:color w:val="FFFFFF"/>
                <w:sz w:val="16"/>
                <w:szCs w:val="16"/>
              </w:rPr>
            </w:pPr>
            <w:r w:rsidRPr="00107308">
              <w:rPr>
                <w:rFonts w:ascii="Arial" w:hAnsi="Arial" w:cs="Arial"/>
                <w:b/>
                <w:bCs/>
                <w:color w:val="FFFFFF"/>
                <w:sz w:val="16"/>
                <w:szCs w:val="16"/>
              </w:rPr>
              <w:t>42,768</w:t>
            </w:r>
          </w:p>
        </w:tc>
        <w:tc>
          <w:tcPr>
            <w:tcW w:w="284" w:type="dxa"/>
            <w:tcBorders>
              <w:top w:val="nil"/>
              <w:left w:val="nil"/>
              <w:bottom w:val="single" w:sz="4" w:space="0" w:color="FFFFFF"/>
              <w:right w:val="nil"/>
            </w:tcBorders>
            <w:shd w:val="clear" w:color="000000" w:fill="2B3B5F"/>
            <w:noWrap/>
            <w:vAlign w:val="bottom"/>
            <w:hideMark/>
          </w:tcPr>
          <w:p w:rsidR="00107308" w:rsidRPr="00EE53BC" w:rsidRDefault="00107308"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 </w:t>
            </w:r>
          </w:p>
        </w:tc>
        <w:tc>
          <w:tcPr>
            <w:tcW w:w="2609" w:type="dxa"/>
            <w:tcBorders>
              <w:top w:val="nil"/>
              <w:left w:val="nil"/>
              <w:bottom w:val="single" w:sz="4" w:space="0" w:color="FFFFFF"/>
              <w:right w:val="nil"/>
            </w:tcBorders>
            <w:shd w:val="clear" w:color="000000" w:fill="2B3B5F"/>
            <w:noWrap/>
            <w:hideMark/>
          </w:tcPr>
          <w:p w:rsidR="00107308" w:rsidRPr="00EE53BC" w:rsidRDefault="00107308" w:rsidP="002346B0">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 </w:t>
            </w:r>
          </w:p>
        </w:tc>
      </w:tr>
      <w:tr w:rsidR="00892390" w:rsidRPr="00EE53BC" w:rsidTr="00892390">
        <w:trPr>
          <w:trHeight w:hRule="exact" w:val="266"/>
        </w:trPr>
        <w:tc>
          <w:tcPr>
            <w:tcW w:w="8101" w:type="dxa"/>
            <w:tcBorders>
              <w:top w:val="nil"/>
              <w:left w:val="nil"/>
              <w:bottom w:val="single" w:sz="8" w:space="0" w:color="FFFFFF"/>
              <w:right w:val="nil"/>
            </w:tcBorders>
            <w:shd w:val="clear" w:color="000000" w:fill="2B3B5F"/>
            <w:noWrap/>
            <w:hideMark/>
          </w:tcPr>
          <w:p w:rsidR="00892390" w:rsidRPr="0092358B" w:rsidRDefault="00892390" w:rsidP="002346B0">
            <w:pPr>
              <w:spacing w:before="50" w:after="50" w:line="240" w:lineRule="auto"/>
              <w:rPr>
                <w:rFonts w:ascii="Arial" w:eastAsia="Times New Roman" w:hAnsi="Arial" w:cs="Arial"/>
                <w:b/>
                <w:bCs/>
                <w:color w:val="FFFFFF"/>
                <w:sz w:val="15"/>
                <w:szCs w:val="15"/>
                <w:lang w:eastAsia="en-AU"/>
              </w:rPr>
            </w:pPr>
            <w:r w:rsidRPr="0092358B">
              <w:rPr>
                <w:rFonts w:ascii="Arial" w:eastAsia="Times New Roman" w:hAnsi="Arial" w:cs="Arial"/>
                <w:b/>
                <w:bCs/>
                <w:color w:val="FFFFFF"/>
                <w:sz w:val="15"/>
                <w:szCs w:val="15"/>
                <w:lang w:eastAsia="en-AU"/>
              </w:rPr>
              <w:t>Impact of unlegislated measures on the underlying cash balance (% of GDP)</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74128B" w:rsidP="00892390">
            <w:pPr>
              <w:spacing w:before="50" w:after="50" w:line="240" w:lineRule="auto"/>
              <w:jc w:val="right"/>
              <w:rPr>
                <w:rFonts w:ascii="Arial" w:hAnsi="Arial" w:cs="Arial"/>
                <w:b/>
                <w:sz w:val="15"/>
                <w:szCs w:val="15"/>
              </w:rPr>
            </w:pPr>
            <w:r>
              <w:rPr>
                <w:rFonts w:ascii="Arial" w:hAnsi="Arial" w:cs="Arial"/>
                <w:b/>
                <w:sz w:val="15"/>
                <w:szCs w:val="15"/>
              </w:rPr>
              <w:t>-</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0.1</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r w:rsidRPr="00B91125">
              <w:rPr>
                <w:rFonts w:ascii="Arial" w:hAnsi="Arial" w:cs="Arial"/>
                <w:b/>
                <w:sz w:val="15"/>
                <w:szCs w:val="15"/>
              </w:rPr>
              <w:t>0.2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892390" w:rsidP="003D217A">
            <w:pPr>
              <w:spacing w:before="50" w:after="50" w:line="240" w:lineRule="auto"/>
              <w:jc w:val="right"/>
              <w:rPr>
                <w:rFonts w:ascii="Arial" w:hAnsi="Arial" w:cs="Arial"/>
                <w:b/>
                <w:sz w:val="15"/>
                <w:szCs w:val="15"/>
              </w:rPr>
            </w:pPr>
            <w:r w:rsidRPr="00B91125">
              <w:rPr>
                <w:rFonts w:ascii="Arial" w:hAnsi="Arial" w:cs="Arial"/>
                <w:b/>
                <w:sz w:val="15"/>
                <w:szCs w:val="15"/>
              </w:rPr>
              <w:t>0.</w:t>
            </w:r>
            <w:r w:rsidR="003D217A">
              <w:rPr>
                <w:rFonts w:ascii="Arial" w:hAnsi="Arial" w:cs="Arial"/>
                <w:b/>
                <w:sz w:val="15"/>
                <w:szCs w:val="15"/>
              </w:rPr>
              <w:t>2</w:t>
            </w:r>
          </w:p>
        </w:tc>
        <w:tc>
          <w:tcPr>
            <w:tcW w:w="802" w:type="dxa"/>
            <w:tcBorders>
              <w:top w:val="nil"/>
              <w:left w:val="nil"/>
              <w:bottom w:val="single" w:sz="8" w:space="0" w:color="FFFFFF"/>
              <w:right w:val="nil"/>
            </w:tcBorders>
            <w:shd w:val="clear" w:color="000000" w:fill="2B3B5F"/>
            <w:noWrap/>
            <w:vAlign w:val="center"/>
            <w:hideMark/>
          </w:tcPr>
          <w:p w:rsidR="00892390" w:rsidRPr="00B91125" w:rsidRDefault="003D217A" w:rsidP="00892390">
            <w:pPr>
              <w:spacing w:before="50" w:after="50" w:line="240" w:lineRule="auto"/>
              <w:jc w:val="right"/>
              <w:rPr>
                <w:rFonts w:ascii="Arial" w:hAnsi="Arial" w:cs="Arial"/>
                <w:b/>
                <w:sz w:val="15"/>
                <w:szCs w:val="15"/>
              </w:rPr>
            </w:pPr>
            <w:r>
              <w:rPr>
                <w:rFonts w:ascii="Arial" w:hAnsi="Arial" w:cs="Arial"/>
                <w:b/>
                <w:sz w:val="15"/>
                <w:szCs w:val="15"/>
              </w:rPr>
              <w:t>0.2</w:t>
            </w:r>
          </w:p>
        </w:tc>
        <w:tc>
          <w:tcPr>
            <w:tcW w:w="803" w:type="dxa"/>
            <w:tcBorders>
              <w:top w:val="nil"/>
              <w:left w:val="nil"/>
              <w:bottom w:val="single" w:sz="8" w:space="0" w:color="FFFFFF"/>
              <w:right w:val="nil"/>
            </w:tcBorders>
            <w:shd w:val="clear" w:color="000000" w:fill="2B3B5F"/>
            <w:noWrap/>
            <w:vAlign w:val="center"/>
            <w:hideMark/>
          </w:tcPr>
          <w:p w:rsidR="00892390" w:rsidRPr="00B91125" w:rsidRDefault="00892390" w:rsidP="00892390">
            <w:pPr>
              <w:spacing w:before="50" w:after="50" w:line="240" w:lineRule="auto"/>
              <w:jc w:val="right"/>
              <w:rPr>
                <w:rFonts w:ascii="Arial" w:hAnsi="Arial" w:cs="Arial"/>
                <w:b/>
                <w:sz w:val="15"/>
                <w:szCs w:val="15"/>
              </w:rPr>
            </w:pPr>
          </w:p>
        </w:tc>
        <w:tc>
          <w:tcPr>
            <w:tcW w:w="284" w:type="dxa"/>
            <w:tcBorders>
              <w:top w:val="nil"/>
              <w:left w:val="nil"/>
              <w:bottom w:val="single" w:sz="8" w:space="0" w:color="FFFFFF"/>
              <w:right w:val="nil"/>
            </w:tcBorders>
            <w:shd w:val="clear" w:color="000000" w:fill="2B3B5F"/>
            <w:noWrap/>
            <w:vAlign w:val="bottom"/>
            <w:hideMark/>
          </w:tcPr>
          <w:p w:rsidR="00892390" w:rsidRPr="00EE53BC" w:rsidRDefault="00892390" w:rsidP="00EE53BC">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 </w:t>
            </w:r>
          </w:p>
        </w:tc>
        <w:tc>
          <w:tcPr>
            <w:tcW w:w="2609" w:type="dxa"/>
            <w:tcBorders>
              <w:top w:val="nil"/>
              <w:left w:val="nil"/>
              <w:bottom w:val="single" w:sz="8" w:space="0" w:color="FFFFFF"/>
              <w:right w:val="nil"/>
            </w:tcBorders>
            <w:shd w:val="clear" w:color="000000" w:fill="2B3B5F"/>
            <w:noWrap/>
            <w:hideMark/>
          </w:tcPr>
          <w:p w:rsidR="00892390" w:rsidRPr="00EE53BC" w:rsidRDefault="00892390" w:rsidP="002346B0">
            <w:pPr>
              <w:spacing w:before="50" w:after="50" w:line="240" w:lineRule="auto"/>
              <w:rPr>
                <w:rFonts w:ascii="Arial" w:eastAsia="Times New Roman" w:hAnsi="Arial" w:cs="Arial"/>
                <w:b/>
                <w:bCs/>
                <w:color w:val="FFFFFF"/>
                <w:sz w:val="15"/>
                <w:szCs w:val="15"/>
                <w:lang w:eastAsia="en-AU"/>
              </w:rPr>
            </w:pPr>
            <w:r w:rsidRPr="00EE53BC">
              <w:rPr>
                <w:rFonts w:ascii="Arial" w:eastAsia="Times New Roman" w:hAnsi="Arial" w:cs="Arial"/>
                <w:b/>
                <w:bCs/>
                <w:color w:val="FFFFFF"/>
                <w:sz w:val="15"/>
                <w:szCs w:val="15"/>
                <w:lang w:eastAsia="en-AU"/>
              </w:rPr>
              <w:t> </w:t>
            </w:r>
          </w:p>
        </w:tc>
      </w:tr>
      <w:tr w:rsidR="00892390" w:rsidRPr="00EE53BC" w:rsidTr="00892390">
        <w:trPr>
          <w:trHeight w:hRule="exact" w:val="266"/>
        </w:trPr>
        <w:tc>
          <w:tcPr>
            <w:tcW w:w="8101" w:type="dxa"/>
            <w:tcBorders>
              <w:top w:val="nil"/>
              <w:left w:val="nil"/>
              <w:bottom w:val="nil"/>
              <w:right w:val="nil"/>
            </w:tcBorders>
            <w:shd w:val="clear" w:color="000000" w:fill="D7DDE9"/>
            <w:noWrap/>
            <w:hideMark/>
          </w:tcPr>
          <w:p w:rsidR="00892390" w:rsidRPr="0092358B" w:rsidRDefault="00892390" w:rsidP="002346B0">
            <w:pPr>
              <w:spacing w:before="50" w:after="50" w:line="240" w:lineRule="auto"/>
              <w:rPr>
                <w:rFonts w:ascii="Arial" w:eastAsia="Times New Roman" w:hAnsi="Arial" w:cs="Arial"/>
                <w:b/>
                <w:bCs/>
                <w:i/>
                <w:iCs/>
                <w:color w:val="000000"/>
                <w:sz w:val="15"/>
                <w:szCs w:val="15"/>
                <w:lang w:eastAsia="en-AU"/>
              </w:rPr>
            </w:pPr>
            <w:r w:rsidRPr="0092358B">
              <w:rPr>
                <w:rFonts w:ascii="Arial" w:eastAsia="Times New Roman" w:hAnsi="Arial" w:cs="Arial"/>
                <w:b/>
                <w:bCs/>
                <w:i/>
                <w:iCs/>
                <w:color w:val="000000"/>
                <w:sz w:val="15"/>
                <w:szCs w:val="15"/>
                <w:lang w:eastAsia="en-AU"/>
              </w:rPr>
              <w:t>Memorandum items: public debt interest by measure</w:t>
            </w:r>
            <w:r w:rsidRPr="0092358B">
              <w:rPr>
                <w:rStyle w:val="FootnoteReference"/>
                <w:rFonts w:ascii="Arial" w:eastAsia="Times New Roman" w:hAnsi="Arial" w:cs="Arial"/>
                <w:b/>
                <w:bCs/>
                <w:i/>
                <w:iCs/>
                <w:sz w:val="15"/>
                <w:szCs w:val="15"/>
                <w:lang w:eastAsia="en-AU"/>
              </w:rPr>
              <w:footnoteReference w:id="6"/>
            </w: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2"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803" w:type="dxa"/>
            <w:tcBorders>
              <w:top w:val="nil"/>
              <w:left w:val="nil"/>
              <w:bottom w:val="nil"/>
              <w:right w:val="nil"/>
            </w:tcBorders>
            <w:shd w:val="clear" w:color="000000" w:fill="D7DDE9"/>
            <w:noWrap/>
            <w:vAlign w:val="center"/>
            <w:hideMark/>
          </w:tcPr>
          <w:p w:rsidR="00892390" w:rsidRPr="00892390" w:rsidRDefault="00892390" w:rsidP="00892390">
            <w:pPr>
              <w:spacing w:before="50" w:after="50" w:line="240" w:lineRule="auto"/>
              <w:jc w:val="right"/>
              <w:rPr>
                <w:rFonts w:ascii="Arial" w:hAnsi="Arial" w:cs="Arial"/>
                <w:sz w:val="15"/>
                <w:szCs w:val="15"/>
              </w:rPr>
            </w:pPr>
          </w:p>
        </w:tc>
        <w:tc>
          <w:tcPr>
            <w:tcW w:w="284" w:type="dxa"/>
            <w:tcBorders>
              <w:top w:val="nil"/>
              <w:left w:val="nil"/>
              <w:bottom w:val="nil"/>
              <w:right w:val="nil"/>
            </w:tcBorders>
            <w:shd w:val="clear" w:color="000000" w:fill="D7DDE9"/>
            <w:noWrap/>
            <w:hideMark/>
          </w:tcPr>
          <w:p w:rsidR="00892390" w:rsidRPr="00EE53BC" w:rsidRDefault="00892390" w:rsidP="001327DB">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c>
          <w:tcPr>
            <w:tcW w:w="2609" w:type="dxa"/>
            <w:tcBorders>
              <w:top w:val="nil"/>
              <w:left w:val="nil"/>
              <w:bottom w:val="nil"/>
              <w:right w:val="nil"/>
            </w:tcBorders>
            <w:shd w:val="clear" w:color="000000" w:fill="D7DDE9"/>
            <w:noWrap/>
            <w:hideMark/>
          </w:tcPr>
          <w:p w:rsidR="00892390" w:rsidRPr="00EE53BC" w:rsidRDefault="00892390" w:rsidP="002346B0">
            <w:pPr>
              <w:spacing w:before="50" w:after="50" w:line="240" w:lineRule="auto"/>
              <w:rPr>
                <w:rFonts w:ascii="Arial" w:eastAsia="Times New Roman" w:hAnsi="Arial" w:cs="Arial"/>
                <w:b/>
                <w:bCs/>
                <w:i/>
                <w:iCs/>
                <w:color w:val="000000"/>
                <w:sz w:val="15"/>
                <w:szCs w:val="15"/>
                <w:lang w:eastAsia="en-AU"/>
              </w:rPr>
            </w:pPr>
            <w:r w:rsidRPr="00EE53BC">
              <w:rPr>
                <w:rFonts w:ascii="Arial" w:eastAsia="Times New Roman" w:hAnsi="Arial" w:cs="Arial"/>
                <w:b/>
                <w:bCs/>
                <w:i/>
                <w:iCs/>
                <w:color w:val="000000"/>
                <w:sz w:val="15"/>
                <w:szCs w:val="15"/>
                <w:lang w:eastAsia="en-AU"/>
              </w:rPr>
              <w:t> </w:t>
            </w:r>
          </w:p>
        </w:tc>
      </w:tr>
      <w:tr w:rsidR="00892390" w:rsidRPr="00EE53BC" w:rsidTr="00892390">
        <w:trPr>
          <w:trHeight w:hRule="exact" w:val="266"/>
        </w:trPr>
        <w:tc>
          <w:tcPr>
            <w:tcW w:w="8101" w:type="dxa"/>
            <w:tcBorders>
              <w:top w:val="nil"/>
              <w:left w:val="nil"/>
              <w:bottom w:val="nil"/>
              <w:right w:val="nil"/>
            </w:tcBorders>
            <w:shd w:val="clear" w:color="auto" w:fill="auto"/>
            <w:noWrap/>
            <w:hideMark/>
          </w:tcPr>
          <w:p w:rsidR="00892390" w:rsidRPr="0092358B" w:rsidRDefault="00892390" w:rsidP="002346B0">
            <w:pPr>
              <w:spacing w:before="50" w:after="50" w:line="240" w:lineRule="auto"/>
              <w:rPr>
                <w:rFonts w:ascii="Arial" w:eastAsia="Times New Roman" w:hAnsi="Arial" w:cs="Arial"/>
                <w:color w:val="000000"/>
                <w:sz w:val="15"/>
                <w:szCs w:val="15"/>
                <w:lang w:eastAsia="en-AU"/>
              </w:rPr>
            </w:pPr>
            <w:r w:rsidRPr="0092358B">
              <w:rPr>
                <w:rFonts w:ascii="Arial" w:eastAsia="Times New Roman" w:hAnsi="Arial" w:cs="Arial"/>
                <w:color w:val="000000"/>
                <w:sz w:val="15"/>
                <w:szCs w:val="15"/>
                <w:lang w:eastAsia="en-AU"/>
              </w:rPr>
              <w:t>Expanding opportunity — expansion of the demand driven system and sharing the cost fairly</w:t>
            </w:r>
          </w:p>
        </w:tc>
        <w:tc>
          <w:tcPr>
            <w:tcW w:w="802" w:type="dxa"/>
            <w:tcBorders>
              <w:top w:val="nil"/>
              <w:left w:val="nil"/>
              <w:bottom w:val="nil"/>
              <w:right w:val="nil"/>
            </w:tcBorders>
            <w:shd w:val="clear" w:color="auto" w:fill="auto"/>
            <w:noWrap/>
            <w:vAlign w:val="center"/>
            <w:hideMark/>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26</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54</w:t>
            </w:r>
          </w:p>
        </w:tc>
        <w:tc>
          <w:tcPr>
            <w:tcW w:w="802"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134</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189</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253</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327</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411</w:t>
            </w:r>
          </w:p>
        </w:tc>
        <w:tc>
          <w:tcPr>
            <w:tcW w:w="802" w:type="dxa"/>
            <w:tcBorders>
              <w:top w:val="nil"/>
              <w:left w:val="nil"/>
              <w:bottom w:val="nil"/>
              <w:right w:val="nil"/>
            </w:tcBorders>
            <w:shd w:val="clear" w:color="auto" w:fill="auto"/>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504</w:t>
            </w:r>
          </w:p>
        </w:tc>
        <w:tc>
          <w:tcPr>
            <w:tcW w:w="803" w:type="dxa"/>
            <w:tcBorders>
              <w:top w:val="nil"/>
              <w:left w:val="nil"/>
              <w:bottom w:val="nil"/>
              <w:right w:val="nil"/>
            </w:tcBorders>
            <w:shd w:val="clear" w:color="auto" w:fill="D7DDE9" w:themeFill="accent3"/>
            <w:noWrap/>
            <w:vAlign w:val="center"/>
            <w:hideMark/>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1,994</w:t>
            </w:r>
          </w:p>
        </w:tc>
        <w:tc>
          <w:tcPr>
            <w:tcW w:w="284" w:type="dxa"/>
            <w:tcBorders>
              <w:top w:val="nil"/>
              <w:left w:val="nil"/>
              <w:bottom w:val="nil"/>
              <w:right w:val="nil"/>
            </w:tcBorders>
            <w:shd w:val="clear" w:color="auto" w:fill="auto"/>
            <w:noWrap/>
            <w:vAlign w:val="bottom"/>
            <w:hideMark/>
          </w:tcPr>
          <w:p w:rsidR="00892390" w:rsidRPr="00EE53BC" w:rsidRDefault="00892390" w:rsidP="00EE53BC">
            <w:pPr>
              <w:spacing w:before="50" w:after="50" w:line="240" w:lineRule="auto"/>
              <w:rPr>
                <w:rFonts w:ascii="Arial" w:eastAsia="Times New Roman" w:hAnsi="Arial" w:cs="Arial"/>
                <w:color w:val="000000"/>
                <w:sz w:val="15"/>
                <w:szCs w:val="15"/>
                <w:lang w:eastAsia="en-AU"/>
              </w:rPr>
            </w:pPr>
          </w:p>
        </w:tc>
        <w:tc>
          <w:tcPr>
            <w:tcW w:w="2609" w:type="dxa"/>
            <w:tcBorders>
              <w:top w:val="nil"/>
              <w:left w:val="nil"/>
              <w:bottom w:val="nil"/>
              <w:right w:val="nil"/>
            </w:tcBorders>
            <w:shd w:val="clear" w:color="auto" w:fill="auto"/>
            <w:noWrap/>
            <w:hideMark/>
          </w:tcPr>
          <w:p w:rsidR="00892390" w:rsidRPr="00EE53BC" w:rsidRDefault="00892390" w:rsidP="002346B0">
            <w:pPr>
              <w:spacing w:before="50" w:after="50" w:line="240" w:lineRule="auto"/>
              <w:rPr>
                <w:rFonts w:ascii="Arial" w:eastAsia="Times New Roman" w:hAnsi="Arial" w:cs="Arial"/>
                <w:color w:val="000000"/>
                <w:sz w:val="15"/>
                <w:szCs w:val="15"/>
                <w:lang w:eastAsia="en-AU"/>
              </w:rPr>
            </w:pPr>
          </w:p>
        </w:tc>
      </w:tr>
      <w:tr w:rsidR="00892390" w:rsidRPr="003A4DC3" w:rsidTr="00892390">
        <w:trPr>
          <w:trHeight w:hRule="exact" w:val="266"/>
        </w:trPr>
        <w:tc>
          <w:tcPr>
            <w:tcW w:w="8101" w:type="dxa"/>
            <w:tcBorders>
              <w:top w:val="nil"/>
              <w:left w:val="nil"/>
              <w:bottom w:val="nil"/>
              <w:right w:val="nil"/>
            </w:tcBorders>
            <w:shd w:val="clear" w:color="auto" w:fill="auto"/>
            <w:noWrap/>
            <w:hideMark/>
          </w:tcPr>
          <w:p w:rsidR="00892390" w:rsidRPr="003A4DC3" w:rsidRDefault="00892390" w:rsidP="002346B0">
            <w:pPr>
              <w:spacing w:before="50" w:after="50" w:line="240" w:lineRule="auto"/>
              <w:ind w:firstLineChars="100" w:firstLine="15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Reduction in Commonwealth Grant Scheme subsidies</w:t>
            </w:r>
          </w:p>
        </w:tc>
        <w:tc>
          <w:tcPr>
            <w:tcW w:w="802" w:type="dxa"/>
            <w:tcBorders>
              <w:top w:val="nil"/>
              <w:left w:val="nil"/>
              <w:bottom w:val="nil"/>
              <w:right w:val="nil"/>
            </w:tcBorders>
            <w:shd w:val="clear" w:color="auto" w:fill="auto"/>
            <w:noWrap/>
            <w:vAlign w:val="center"/>
            <w:hideMark/>
          </w:tcPr>
          <w:p w:rsidR="00892390" w:rsidRPr="003A4DC3" w:rsidRDefault="000E675E" w:rsidP="00892390">
            <w:pPr>
              <w:spacing w:before="50" w:after="50" w:line="240" w:lineRule="auto"/>
              <w:jc w:val="right"/>
              <w:rPr>
                <w:rFonts w:ascii="Arial" w:hAnsi="Arial" w:cs="Arial"/>
                <w:i/>
                <w:sz w:val="15"/>
                <w:szCs w:val="15"/>
              </w:rPr>
            </w:pPr>
            <w:r w:rsidRPr="003A4DC3">
              <w:rPr>
                <w:rFonts w:ascii="Arial" w:hAnsi="Arial" w:cs="Arial"/>
                <w:i/>
                <w:sz w:val="15"/>
                <w:szCs w:val="15"/>
              </w:rPr>
              <w:t>-</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7</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29</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62</w:t>
            </w:r>
          </w:p>
        </w:tc>
        <w:tc>
          <w:tcPr>
            <w:tcW w:w="802" w:type="dxa"/>
            <w:tcBorders>
              <w:top w:val="nil"/>
              <w:left w:val="nil"/>
              <w:bottom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97</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106</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167</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242</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331</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432</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547</w:t>
            </w:r>
          </w:p>
        </w:tc>
        <w:tc>
          <w:tcPr>
            <w:tcW w:w="802" w:type="dxa"/>
            <w:tcBorders>
              <w:top w:val="nil"/>
              <w:left w:val="nil"/>
              <w:bottom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676</w:t>
            </w:r>
          </w:p>
        </w:tc>
        <w:tc>
          <w:tcPr>
            <w:tcW w:w="803" w:type="dxa"/>
            <w:tcBorders>
              <w:top w:val="nil"/>
              <w:left w:val="nil"/>
              <w:bottom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2,599</w:t>
            </w:r>
          </w:p>
        </w:tc>
        <w:tc>
          <w:tcPr>
            <w:tcW w:w="284" w:type="dxa"/>
            <w:tcBorders>
              <w:top w:val="nil"/>
              <w:left w:val="nil"/>
              <w:bottom w:val="nil"/>
              <w:right w:val="nil"/>
            </w:tcBorders>
            <w:shd w:val="clear" w:color="auto" w:fill="auto"/>
            <w:noWrap/>
            <w:vAlign w:val="bottom"/>
            <w:hideMark/>
          </w:tcPr>
          <w:p w:rsidR="00892390" w:rsidRPr="003A4DC3" w:rsidRDefault="00892390" w:rsidP="00EE53BC">
            <w:pPr>
              <w:spacing w:before="50" w:after="50" w:line="240" w:lineRule="auto"/>
              <w:rPr>
                <w:rFonts w:ascii="Arial" w:eastAsia="Times New Roman" w:hAnsi="Arial" w:cs="Arial"/>
                <w:i/>
                <w:color w:val="000000"/>
                <w:sz w:val="15"/>
                <w:szCs w:val="15"/>
                <w:lang w:eastAsia="en-AU"/>
              </w:rPr>
            </w:pPr>
          </w:p>
        </w:tc>
        <w:tc>
          <w:tcPr>
            <w:tcW w:w="2609" w:type="dxa"/>
            <w:tcBorders>
              <w:top w:val="nil"/>
              <w:left w:val="nil"/>
              <w:bottom w:val="nil"/>
              <w:right w:val="nil"/>
            </w:tcBorders>
            <w:shd w:val="clear" w:color="auto" w:fill="auto"/>
            <w:noWrap/>
            <w:hideMark/>
          </w:tcPr>
          <w:p w:rsidR="00892390" w:rsidRPr="003A4DC3" w:rsidRDefault="00892390" w:rsidP="002346B0">
            <w:pPr>
              <w:spacing w:before="50" w:after="50" w:line="240" w:lineRule="auto"/>
              <w:rPr>
                <w:rFonts w:ascii="Arial" w:eastAsia="Times New Roman" w:hAnsi="Arial" w:cs="Arial"/>
                <w:i/>
                <w:color w:val="000000"/>
                <w:sz w:val="15"/>
                <w:szCs w:val="15"/>
                <w:lang w:eastAsia="en-AU"/>
              </w:rPr>
            </w:pPr>
          </w:p>
        </w:tc>
      </w:tr>
      <w:tr w:rsidR="00892390" w:rsidRPr="003A4DC3" w:rsidTr="00892390">
        <w:trPr>
          <w:trHeight w:hRule="exact" w:val="266"/>
        </w:trPr>
        <w:tc>
          <w:tcPr>
            <w:tcW w:w="8101" w:type="dxa"/>
            <w:tcBorders>
              <w:top w:val="nil"/>
              <w:left w:val="nil"/>
              <w:right w:val="nil"/>
            </w:tcBorders>
            <w:shd w:val="clear" w:color="auto" w:fill="auto"/>
            <w:noWrap/>
            <w:hideMark/>
          </w:tcPr>
          <w:p w:rsidR="00892390" w:rsidRPr="003A4DC3" w:rsidRDefault="00892390" w:rsidP="002346B0">
            <w:pPr>
              <w:spacing w:before="50" w:after="50" w:line="240" w:lineRule="auto"/>
              <w:ind w:firstLineChars="100" w:firstLine="15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Non-university higher education provider places</w:t>
            </w:r>
          </w:p>
        </w:tc>
        <w:tc>
          <w:tcPr>
            <w:tcW w:w="802" w:type="dxa"/>
            <w:tcBorders>
              <w:top w:val="nil"/>
              <w:left w:val="nil"/>
              <w:right w:val="nil"/>
            </w:tcBorders>
            <w:shd w:val="clear" w:color="auto" w:fill="auto"/>
            <w:noWrap/>
            <w:vAlign w:val="center"/>
            <w:hideMark/>
          </w:tcPr>
          <w:p w:rsidR="00892390" w:rsidRPr="003A4DC3" w:rsidRDefault="000E675E" w:rsidP="00892390">
            <w:pPr>
              <w:spacing w:before="50" w:after="50" w:line="240" w:lineRule="auto"/>
              <w:jc w:val="right"/>
              <w:rPr>
                <w:rFonts w:ascii="Arial" w:hAnsi="Arial" w:cs="Arial"/>
                <w:i/>
                <w:sz w:val="15"/>
                <w:szCs w:val="15"/>
              </w:rPr>
            </w:pPr>
            <w:r w:rsidRPr="003A4DC3">
              <w:rPr>
                <w:rFonts w:ascii="Arial" w:hAnsi="Arial" w:cs="Arial"/>
                <w:i/>
                <w:sz w:val="15"/>
                <w:szCs w:val="15"/>
              </w:rPr>
              <w:t>-</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3</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7</w:t>
            </w:r>
          </w:p>
        </w:tc>
        <w:tc>
          <w:tcPr>
            <w:tcW w:w="802" w:type="dxa"/>
            <w:tcBorders>
              <w:top w:val="nil"/>
              <w:left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12</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12</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19</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28</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38</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49</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62</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77</w:t>
            </w:r>
          </w:p>
        </w:tc>
        <w:tc>
          <w:tcPr>
            <w:tcW w:w="803" w:type="dxa"/>
            <w:tcBorders>
              <w:top w:val="nil"/>
              <w:left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297</w:t>
            </w:r>
          </w:p>
        </w:tc>
        <w:tc>
          <w:tcPr>
            <w:tcW w:w="284" w:type="dxa"/>
            <w:tcBorders>
              <w:top w:val="nil"/>
              <w:left w:val="nil"/>
              <w:right w:val="nil"/>
            </w:tcBorders>
            <w:shd w:val="clear" w:color="auto" w:fill="auto"/>
            <w:noWrap/>
            <w:vAlign w:val="bottom"/>
            <w:hideMark/>
          </w:tcPr>
          <w:p w:rsidR="00892390" w:rsidRPr="003A4DC3" w:rsidRDefault="00892390" w:rsidP="00EE53BC">
            <w:pPr>
              <w:spacing w:before="50" w:after="50" w:line="240" w:lineRule="auto"/>
              <w:rPr>
                <w:rFonts w:ascii="Arial" w:eastAsia="Times New Roman" w:hAnsi="Arial" w:cs="Arial"/>
                <w:i/>
                <w:color w:val="000000"/>
                <w:sz w:val="15"/>
                <w:szCs w:val="15"/>
                <w:lang w:eastAsia="en-AU"/>
              </w:rPr>
            </w:pPr>
          </w:p>
        </w:tc>
        <w:tc>
          <w:tcPr>
            <w:tcW w:w="2609" w:type="dxa"/>
            <w:tcBorders>
              <w:top w:val="nil"/>
              <w:left w:val="nil"/>
              <w:right w:val="nil"/>
            </w:tcBorders>
            <w:shd w:val="clear" w:color="auto" w:fill="auto"/>
            <w:noWrap/>
            <w:hideMark/>
          </w:tcPr>
          <w:p w:rsidR="00892390" w:rsidRPr="003A4DC3" w:rsidRDefault="00892390" w:rsidP="002346B0">
            <w:pPr>
              <w:spacing w:before="50" w:after="50" w:line="240" w:lineRule="auto"/>
              <w:rPr>
                <w:rFonts w:ascii="Arial" w:eastAsia="Times New Roman" w:hAnsi="Arial" w:cs="Arial"/>
                <w:i/>
                <w:color w:val="000000"/>
                <w:sz w:val="15"/>
                <w:szCs w:val="15"/>
                <w:lang w:eastAsia="en-AU"/>
              </w:rPr>
            </w:pPr>
          </w:p>
        </w:tc>
      </w:tr>
      <w:tr w:rsidR="00892390" w:rsidRPr="003A4DC3" w:rsidTr="00892390">
        <w:trPr>
          <w:trHeight w:hRule="exact" w:val="266"/>
        </w:trPr>
        <w:tc>
          <w:tcPr>
            <w:tcW w:w="8101" w:type="dxa"/>
            <w:tcBorders>
              <w:top w:val="nil"/>
              <w:left w:val="nil"/>
              <w:right w:val="nil"/>
            </w:tcBorders>
            <w:shd w:val="clear" w:color="auto" w:fill="auto"/>
            <w:noWrap/>
            <w:hideMark/>
          </w:tcPr>
          <w:p w:rsidR="00892390" w:rsidRPr="003A4DC3" w:rsidRDefault="00892390" w:rsidP="00677697">
            <w:pPr>
              <w:spacing w:before="50" w:after="50" w:line="240" w:lineRule="auto"/>
              <w:ind w:firstLineChars="100" w:firstLine="150"/>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Component: Additional sub-bachelor places</w:t>
            </w:r>
          </w:p>
        </w:tc>
        <w:tc>
          <w:tcPr>
            <w:tcW w:w="802" w:type="dxa"/>
            <w:tcBorders>
              <w:top w:val="nil"/>
              <w:left w:val="nil"/>
              <w:right w:val="nil"/>
            </w:tcBorders>
            <w:shd w:val="clear" w:color="auto" w:fill="auto"/>
            <w:noWrap/>
            <w:vAlign w:val="center"/>
            <w:hideMark/>
          </w:tcPr>
          <w:p w:rsidR="00892390" w:rsidRPr="003A4DC3" w:rsidRDefault="000E675E" w:rsidP="00892390">
            <w:pPr>
              <w:spacing w:before="50" w:after="50" w:line="240" w:lineRule="auto"/>
              <w:jc w:val="right"/>
              <w:rPr>
                <w:rFonts w:ascii="Arial" w:hAnsi="Arial" w:cs="Arial"/>
                <w:i/>
                <w:sz w:val="15"/>
                <w:szCs w:val="15"/>
              </w:rPr>
            </w:pPr>
            <w:r w:rsidRPr="003A4DC3">
              <w:rPr>
                <w:rFonts w:ascii="Arial" w:hAnsi="Arial" w:cs="Arial"/>
                <w:i/>
                <w:sz w:val="15"/>
                <w:szCs w:val="15"/>
              </w:rPr>
              <w:t>-</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-6</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w:t>
            </w:r>
          </w:p>
        </w:tc>
        <w:tc>
          <w:tcPr>
            <w:tcW w:w="802" w:type="dxa"/>
            <w:tcBorders>
              <w:top w:val="nil"/>
              <w:left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-22</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-30</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-52</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-81</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-115</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-154</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-199</w:t>
            </w:r>
          </w:p>
        </w:tc>
        <w:tc>
          <w:tcPr>
            <w:tcW w:w="802" w:type="dxa"/>
            <w:tcBorders>
              <w:top w:val="nil"/>
              <w:left w:val="nil"/>
              <w:right w:val="nil"/>
            </w:tcBorders>
            <w:shd w:val="clear" w:color="auto" w:fill="auto"/>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-249</w:t>
            </w:r>
          </w:p>
        </w:tc>
        <w:tc>
          <w:tcPr>
            <w:tcW w:w="803" w:type="dxa"/>
            <w:tcBorders>
              <w:top w:val="nil"/>
              <w:left w:val="nil"/>
              <w:right w:val="nil"/>
            </w:tcBorders>
            <w:shd w:val="clear" w:color="auto" w:fill="D7DDE9" w:themeFill="accent3"/>
            <w:noWrap/>
            <w:vAlign w:val="center"/>
            <w:hideMark/>
          </w:tcPr>
          <w:p w:rsidR="00892390" w:rsidRPr="003A4DC3" w:rsidRDefault="00892390" w:rsidP="00892390">
            <w:pPr>
              <w:spacing w:before="50" w:after="50" w:line="240" w:lineRule="auto"/>
              <w:jc w:val="right"/>
              <w:rPr>
                <w:rFonts w:ascii="Arial" w:hAnsi="Arial" w:cs="Arial"/>
                <w:i/>
                <w:sz w:val="15"/>
                <w:szCs w:val="15"/>
              </w:rPr>
            </w:pPr>
            <w:r w:rsidRPr="003A4DC3">
              <w:rPr>
                <w:rFonts w:ascii="Arial" w:hAnsi="Arial" w:cs="Arial"/>
                <w:i/>
                <w:sz w:val="15"/>
                <w:szCs w:val="15"/>
              </w:rPr>
              <w:t>-902</w:t>
            </w:r>
          </w:p>
        </w:tc>
        <w:tc>
          <w:tcPr>
            <w:tcW w:w="284" w:type="dxa"/>
            <w:tcBorders>
              <w:top w:val="nil"/>
              <w:left w:val="nil"/>
              <w:right w:val="nil"/>
            </w:tcBorders>
            <w:shd w:val="clear" w:color="auto" w:fill="auto"/>
            <w:noWrap/>
            <w:vAlign w:val="bottom"/>
            <w:hideMark/>
          </w:tcPr>
          <w:p w:rsidR="00892390" w:rsidRPr="003A4DC3" w:rsidRDefault="00892390" w:rsidP="00677697">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c>
          <w:tcPr>
            <w:tcW w:w="2609" w:type="dxa"/>
            <w:tcBorders>
              <w:top w:val="nil"/>
              <w:left w:val="nil"/>
              <w:right w:val="nil"/>
            </w:tcBorders>
            <w:shd w:val="clear" w:color="auto" w:fill="auto"/>
            <w:noWrap/>
            <w:hideMark/>
          </w:tcPr>
          <w:p w:rsidR="00892390" w:rsidRPr="003A4DC3" w:rsidRDefault="00892390" w:rsidP="00677697">
            <w:pPr>
              <w:spacing w:before="50" w:after="50" w:line="240" w:lineRule="auto"/>
              <w:rPr>
                <w:rFonts w:ascii="Arial" w:eastAsia="Times New Roman" w:hAnsi="Arial" w:cs="Arial"/>
                <w:i/>
                <w:color w:val="000000"/>
                <w:sz w:val="15"/>
                <w:szCs w:val="15"/>
                <w:lang w:eastAsia="en-AU"/>
              </w:rPr>
            </w:pPr>
            <w:r w:rsidRPr="003A4DC3">
              <w:rPr>
                <w:rFonts w:ascii="Arial" w:eastAsia="Times New Roman" w:hAnsi="Arial" w:cs="Arial"/>
                <w:i/>
                <w:color w:val="000000"/>
                <w:sz w:val="15"/>
                <w:szCs w:val="15"/>
                <w:lang w:eastAsia="en-AU"/>
              </w:rPr>
              <w:t> </w:t>
            </w:r>
          </w:p>
        </w:tc>
      </w:tr>
      <w:tr w:rsidR="00892390" w:rsidRPr="00EE53BC" w:rsidTr="00892390">
        <w:trPr>
          <w:trHeight w:hRule="exact" w:val="266"/>
        </w:trPr>
        <w:tc>
          <w:tcPr>
            <w:tcW w:w="8101" w:type="dxa"/>
            <w:tcBorders>
              <w:top w:val="nil"/>
              <w:left w:val="nil"/>
              <w:bottom w:val="single" w:sz="4" w:space="0" w:color="auto"/>
              <w:right w:val="nil"/>
            </w:tcBorders>
            <w:shd w:val="clear" w:color="auto" w:fill="auto"/>
            <w:noWrap/>
          </w:tcPr>
          <w:p w:rsidR="00892390" w:rsidRPr="0092358B" w:rsidRDefault="00892390" w:rsidP="001B5F8F">
            <w:pPr>
              <w:spacing w:before="50" w:after="50" w:line="240" w:lineRule="auto"/>
              <w:rPr>
                <w:rFonts w:ascii="Arial" w:eastAsia="Times New Roman" w:hAnsi="Arial" w:cs="Arial"/>
                <w:color w:val="000000"/>
                <w:sz w:val="15"/>
                <w:szCs w:val="15"/>
                <w:lang w:eastAsia="en-AU"/>
              </w:rPr>
            </w:pPr>
            <w:r w:rsidRPr="00392E50">
              <w:rPr>
                <w:rFonts w:ascii="Arial" w:eastAsia="Times New Roman" w:hAnsi="Arial" w:cs="Arial"/>
                <w:color w:val="000000"/>
                <w:sz w:val="15"/>
                <w:szCs w:val="15"/>
                <w:lang w:eastAsia="en-AU"/>
              </w:rPr>
              <w:t>Expanding opportunity — FEE-HELP and VET FEE-HELP loan fee cessation</w:t>
            </w:r>
          </w:p>
        </w:tc>
        <w:tc>
          <w:tcPr>
            <w:tcW w:w="802" w:type="dxa"/>
            <w:tcBorders>
              <w:top w:val="nil"/>
              <w:left w:val="nil"/>
              <w:bottom w:val="single" w:sz="4" w:space="0" w:color="auto"/>
              <w:right w:val="nil"/>
            </w:tcBorders>
            <w:shd w:val="clear" w:color="auto" w:fill="auto"/>
            <w:noWrap/>
            <w:vAlign w:val="center"/>
          </w:tcPr>
          <w:p w:rsidR="00892390" w:rsidRPr="00892390" w:rsidRDefault="000E675E" w:rsidP="00892390">
            <w:pPr>
              <w:spacing w:before="50" w:after="50" w:line="240" w:lineRule="auto"/>
              <w:jc w:val="right"/>
              <w:rPr>
                <w:rFonts w:ascii="Arial" w:hAnsi="Arial" w:cs="Arial"/>
                <w:sz w:val="15"/>
                <w:szCs w:val="15"/>
              </w:rPr>
            </w:pPr>
            <w:r>
              <w:rPr>
                <w:rFonts w:ascii="Arial" w:hAnsi="Arial" w:cs="Arial"/>
                <w:sz w:val="15"/>
                <w:szCs w:val="15"/>
              </w:rPr>
              <w:t>-</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-7</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-14</w:t>
            </w:r>
          </w:p>
        </w:tc>
        <w:tc>
          <w:tcPr>
            <w:tcW w:w="802" w:type="dxa"/>
            <w:tcBorders>
              <w:top w:val="nil"/>
              <w:left w:val="nil"/>
              <w:bottom w:val="single" w:sz="4" w:space="0" w:color="auto"/>
              <w:right w:val="nil"/>
            </w:tcBorders>
            <w:shd w:val="clear" w:color="auto" w:fill="D7DDE9" w:themeFill="accent3"/>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-22</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-22</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-33</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-47</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-63</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-82</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-102</w:t>
            </w:r>
          </w:p>
        </w:tc>
        <w:tc>
          <w:tcPr>
            <w:tcW w:w="802" w:type="dxa"/>
            <w:tcBorders>
              <w:top w:val="nil"/>
              <w:left w:val="nil"/>
              <w:bottom w:val="single" w:sz="4" w:space="0" w:color="auto"/>
              <w:right w:val="nil"/>
            </w:tcBorders>
            <w:shd w:val="clear" w:color="auto" w:fill="auto"/>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-126</w:t>
            </w:r>
          </w:p>
        </w:tc>
        <w:tc>
          <w:tcPr>
            <w:tcW w:w="803" w:type="dxa"/>
            <w:tcBorders>
              <w:top w:val="nil"/>
              <w:left w:val="nil"/>
              <w:bottom w:val="single" w:sz="4" w:space="0" w:color="auto"/>
              <w:right w:val="nil"/>
            </w:tcBorders>
            <w:shd w:val="clear" w:color="auto" w:fill="D7DDE9" w:themeFill="accent3"/>
            <w:noWrap/>
            <w:vAlign w:val="center"/>
          </w:tcPr>
          <w:p w:rsidR="00892390" w:rsidRPr="00892390" w:rsidRDefault="00892390" w:rsidP="00892390">
            <w:pPr>
              <w:spacing w:before="50" w:after="50" w:line="240" w:lineRule="auto"/>
              <w:jc w:val="right"/>
              <w:rPr>
                <w:rFonts w:ascii="Arial" w:hAnsi="Arial" w:cs="Arial"/>
                <w:sz w:val="15"/>
                <w:szCs w:val="15"/>
              </w:rPr>
            </w:pPr>
            <w:r w:rsidRPr="00892390">
              <w:rPr>
                <w:rFonts w:ascii="Arial" w:hAnsi="Arial" w:cs="Arial"/>
                <w:sz w:val="15"/>
                <w:szCs w:val="15"/>
              </w:rPr>
              <w:t>-498</w:t>
            </w:r>
          </w:p>
        </w:tc>
        <w:tc>
          <w:tcPr>
            <w:tcW w:w="284" w:type="dxa"/>
            <w:tcBorders>
              <w:top w:val="nil"/>
              <w:left w:val="nil"/>
              <w:bottom w:val="single" w:sz="4" w:space="0" w:color="auto"/>
              <w:right w:val="nil"/>
            </w:tcBorders>
            <w:shd w:val="clear" w:color="auto" w:fill="auto"/>
            <w:noWrap/>
            <w:vAlign w:val="bottom"/>
          </w:tcPr>
          <w:p w:rsidR="00892390" w:rsidRPr="00EE53BC" w:rsidRDefault="00892390" w:rsidP="00677697">
            <w:pPr>
              <w:spacing w:before="50" w:after="50" w:line="240" w:lineRule="auto"/>
              <w:rPr>
                <w:rFonts w:ascii="Arial" w:eastAsia="Times New Roman" w:hAnsi="Arial" w:cs="Arial"/>
                <w:color w:val="000000"/>
                <w:sz w:val="15"/>
                <w:szCs w:val="15"/>
                <w:lang w:eastAsia="en-AU"/>
              </w:rPr>
            </w:pPr>
          </w:p>
        </w:tc>
        <w:tc>
          <w:tcPr>
            <w:tcW w:w="2609" w:type="dxa"/>
            <w:tcBorders>
              <w:top w:val="nil"/>
              <w:left w:val="nil"/>
              <w:bottom w:val="single" w:sz="4" w:space="0" w:color="auto"/>
              <w:right w:val="nil"/>
            </w:tcBorders>
            <w:shd w:val="clear" w:color="auto" w:fill="auto"/>
            <w:noWrap/>
          </w:tcPr>
          <w:p w:rsidR="00892390" w:rsidRPr="00EE53BC" w:rsidRDefault="00892390" w:rsidP="00677697">
            <w:pPr>
              <w:spacing w:before="50" w:after="50" w:line="240" w:lineRule="auto"/>
              <w:rPr>
                <w:rFonts w:ascii="Arial" w:eastAsia="Times New Roman" w:hAnsi="Arial" w:cs="Arial"/>
                <w:color w:val="000000"/>
                <w:sz w:val="15"/>
                <w:szCs w:val="15"/>
                <w:lang w:eastAsia="en-AU"/>
              </w:rPr>
            </w:pPr>
          </w:p>
        </w:tc>
      </w:tr>
    </w:tbl>
    <w:p w:rsidR="00E01337" w:rsidRDefault="00510BEE" w:rsidP="005C28C9">
      <w:pPr>
        <w:pStyle w:val="TableFootnotes"/>
        <w:numPr>
          <w:ilvl w:val="0"/>
          <w:numId w:val="0"/>
        </w:numPr>
        <w:spacing w:before="50" w:after="120" w:line="240" w:lineRule="auto"/>
        <w:ind w:left="-180"/>
      </w:pPr>
      <w:r>
        <w:t>Source: Commonwealth budget papers and Parliamentary Budget Office analysis</w:t>
      </w:r>
      <w:r w:rsidR="00B00248">
        <w:t>.</w:t>
      </w:r>
    </w:p>
    <w:p w:rsidR="00422D01" w:rsidRDefault="00422D01" w:rsidP="00392E50">
      <w:pPr>
        <w:pStyle w:val="TableFootnotes"/>
        <w:numPr>
          <w:ilvl w:val="0"/>
          <w:numId w:val="0"/>
        </w:numPr>
        <w:spacing w:before="50" w:after="120" w:line="240" w:lineRule="auto"/>
        <w:sectPr w:rsidR="00422D01" w:rsidSect="00596E31">
          <w:footnotePr>
            <w:numRestart w:val="eachSect"/>
          </w:footnotePr>
          <w:pgSz w:w="23814" w:h="16839" w:orient="landscape" w:code="8"/>
          <w:pgMar w:top="1440" w:right="1440" w:bottom="1440" w:left="1440" w:header="284" w:footer="454" w:gutter="0"/>
          <w:cols w:space="708"/>
          <w:docGrid w:linePitch="360"/>
        </w:sectPr>
      </w:pPr>
    </w:p>
    <w:p w:rsidR="00E74B85" w:rsidRDefault="00E83B4E" w:rsidP="003E2659">
      <w:pPr>
        <w:pStyle w:val="Heading3"/>
        <w:keepNext w:val="0"/>
        <w:keepLines w:val="0"/>
        <w:spacing w:before="0" w:after="0"/>
        <w:ind w:left="0" w:firstLine="0"/>
      </w:pPr>
      <w:r w:rsidRPr="00E23057">
        <w:lastRenderedPageBreak/>
        <w:t>Notes to tables</w:t>
      </w:r>
    </w:p>
    <w:sectPr w:rsidR="00E74B85" w:rsidSect="008148E7">
      <w:footerReference w:type="even" r:id="rId18"/>
      <w:footerReference w:type="default" r:id="rId19"/>
      <w:footnotePr>
        <w:numRestart w:val="eachSect"/>
      </w:footnotePr>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48" w:rsidRDefault="00B00248"/>
  </w:endnote>
  <w:endnote w:type="continuationSeparator" w:id="0">
    <w:p w:rsidR="00B00248" w:rsidRDefault="00B00248"/>
  </w:endnote>
  <w:endnote w:type="continuationNotice" w:id="1">
    <w:p w:rsidR="00B00248" w:rsidRDefault="00B00248">
      <w:pPr>
        <w:spacing w:line="240" w:lineRule="auto"/>
      </w:pPr>
    </w:p>
  </w:endnote>
  <w:endnote w:id="2">
    <w:p w:rsidR="00B00248" w:rsidRPr="00664727" w:rsidRDefault="00B00248" w:rsidP="00664727">
      <w:pPr>
        <w:pStyle w:val="EndnoteText"/>
        <w:widowControl w:val="0"/>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 xml:space="preserve">This measure was </w:t>
      </w:r>
      <w:r>
        <w:rPr>
          <w:sz w:val="18"/>
          <w:szCs w:val="18"/>
        </w:rPr>
        <w:t>affected</w:t>
      </w:r>
      <w:r w:rsidRPr="00664727">
        <w:rPr>
          <w:sz w:val="18"/>
          <w:szCs w:val="18"/>
        </w:rPr>
        <w:t xml:space="preserve"> by the 2015–16 Budget measure </w:t>
      </w:r>
      <w:r w:rsidRPr="00664727">
        <w:rPr>
          <w:i/>
          <w:sz w:val="18"/>
          <w:szCs w:val="18"/>
        </w:rPr>
        <w:t>Pharmaceutical Benefits Scheme – increase in safety net thresholds on 1 January 2019</w:t>
      </w:r>
      <w:r w:rsidRPr="00664727">
        <w:rPr>
          <w:sz w:val="18"/>
          <w:szCs w:val="18"/>
        </w:rPr>
        <w:t xml:space="preserve">. </w:t>
      </w:r>
      <w:r>
        <w:rPr>
          <w:sz w:val="18"/>
          <w:szCs w:val="18"/>
        </w:rPr>
        <w:t xml:space="preserve"> </w:t>
      </w:r>
      <w:r w:rsidRPr="00664727">
        <w:rPr>
          <w:sz w:val="18"/>
          <w:szCs w:val="18"/>
        </w:rPr>
        <w:t>This impact is reflected in the figures against this measure in the table</w:t>
      </w:r>
      <w:r>
        <w:rPr>
          <w:sz w:val="18"/>
          <w:szCs w:val="18"/>
        </w:rPr>
        <w:t>s</w:t>
      </w:r>
      <w:r w:rsidRPr="00664727">
        <w:rPr>
          <w:sz w:val="18"/>
          <w:szCs w:val="18"/>
        </w:rPr>
        <w:t xml:space="preserve"> above.</w:t>
      </w:r>
    </w:p>
  </w:endnote>
  <w:endnote w:id="3">
    <w:p w:rsidR="00B00248" w:rsidRPr="00664727" w:rsidRDefault="00B00248" w:rsidP="00664727">
      <w:pPr>
        <w:pStyle w:val="EndnoteText"/>
        <w:widowControl w:val="0"/>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This measure has been added to the list of unlegislated measures carried forward in the budget since the last publication in June 2016.</w:t>
      </w:r>
    </w:p>
  </w:endnote>
  <w:endnote w:id="4">
    <w:p w:rsidR="00B00248" w:rsidRPr="00664727" w:rsidRDefault="00B00248" w:rsidP="00664727">
      <w:pPr>
        <w:pStyle w:val="ListNumber"/>
        <w:widowControl w:val="0"/>
        <w:numPr>
          <w:ilvl w:val="0"/>
          <w:numId w:val="0"/>
        </w:numPr>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This measure was amended in the 2015–16 Budget.</w:t>
      </w:r>
      <w:r>
        <w:rPr>
          <w:sz w:val="18"/>
          <w:szCs w:val="18"/>
        </w:rPr>
        <w:t xml:space="preserve"> </w:t>
      </w:r>
      <w:r w:rsidRPr="00664727">
        <w:rPr>
          <w:sz w:val="18"/>
          <w:szCs w:val="18"/>
        </w:rPr>
        <w:t xml:space="preserve"> It was also impacted by interactions with Youth Employment Strategy measures in the 2016–17 Budget. </w:t>
      </w:r>
      <w:r>
        <w:rPr>
          <w:sz w:val="18"/>
          <w:szCs w:val="18"/>
        </w:rPr>
        <w:t xml:space="preserve"> </w:t>
      </w:r>
      <w:r w:rsidRPr="00664727">
        <w:rPr>
          <w:sz w:val="18"/>
          <w:szCs w:val="18"/>
        </w:rPr>
        <w:t>The impacts of these changes are reflected in the figures against this measure in the table above.</w:t>
      </w:r>
    </w:p>
  </w:endnote>
  <w:endnote w:id="5">
    <w:p w:rsidR="00B00248" w:rsidRPr="00664727" w:rsidRDefault="00B00248" w:rsidP="00664727">
      <w:pPr>
        <w:pStyle w:val="ListNumber"/>
        <w:widowControl w:val="0"/>
        <w:numPr>
          <w:ilvl w:val="0"/>
          <w:numId w:val="0"/>
        </w:numPr>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 xml:space="preserve">This measure was amended by the 2015–16 Budget measure </w:t>
      </w:r>
      <w:proofErr w:type="gramStart"/>
      <w:r w:rsidRPr="00664727">
        <w:rPr>
          <w:i/>
          <w:sz w:val="18"/>
          <w:szCs w:val="18"/>
        </w:rPr>
        <w:t>Not</w:t>
      </w:r>
      <w:proofErr w:type="gramEnd"/>
      <w:r w:rsidRPr="00664727">
        <w:rPr>
          <w:i/>
          <w:sz w:val="18"/>
          <w:szCs w:val="18"/>
        </w:rPr>
        <w:t xml:space="preserve"> proceeding with elements of the measure to maintain eligibility thresholds for Australian Government payments for three years </w:t>
      </w:r>
      <w:r w:rsidRPr="00664727">
        <w:rPr>
          <w:sz w:val="18"/>
          <w:szCs w:val="18"/>
        </w:rPr>
        <w:t>to exclude certain payments including the Age and Disability Support Pensions and Carer payments and further in the 2015</w:t>
      </w:r>
      <w:r>
        <w:rPr>
          <w:sz w:val="18"/>
          <w:szCs w:val="18"/>
        </w:rPr>
        <w:t>–</w:t>
      </w:r>
      <w:r w:rsidRPr="00664727">
        <w:rPr>
          <w:sz w:val="18"/>
          <w:szCs w:val="18"/>
        </w:rPr>
        <w:t xml:space="preserve">16 Mid-Year Economic and Fiscal Outlook (MYEFO) to exclude Family Tax Benefit payments. </w:t>
      </w:r>
      <w:r>
        <w:rPr>
          <w:sz w:val="18"/>
          <w:szCs w:val="18"/>
        </w:rPr>
        <w:t xml:space="preserve"> </w:t>
      </w:r>
      <w:r w:rsidRPr="00664727">
        <w:rPr>
          <w:sz w:val="18"/>
          <w:szCs w:val="18"/>
        </w:rPr>
        <w:t>This impact is reflected in the figures against this measure in the table above.</w:t>
      </w:r>
    </w:p>
  </w:endnote>
  <w:endnote w:id="6">
    <w:p w:rsidR="00B00248" w:rsidRPr="00750568" w:rsidRDefault="00B00248" w:rsidP="00664727">
      <w:pPr>
        <w:pStyle w:val="EndnoteText"/>
        <w:widowControl w:val="0"/>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 xml:space="preserve">The impact of this measure reflects the combined financial impact of the 2015–16 Budget measures </w:t>
      </w:r>
      <w:r w:rsidRPr="00664727">
        <w:rPr>
          <w:i/>
          <w:sz w:val="18"/>
          <w:szCs w:val="18"/>
        </w:rPr>
        <w:t xml:space="preserve">Families Package </w:t>
      </w:r>
      <w:r w:rsidRPr="00664727">
        <w:rPr>
          <w:rFonts w:eastAsia="Times New Roman" w:cs="Arial"/>
          <w:i/>
          <w:color w:val="000000"/>
          <w:sz w:val="18"/>
          <w:szCs w:val="18"/>
          <w:lang w:eastAsia="en-AU"/>
        </w:rPr>
        <w:t xml:space="preserve">— child care — Workforce Participation Stream </w:t>
      </w:r>
      <w:r w:rsidRPr="00664727">
        <w:rPr>
          <w:rFonts w:eastAsia="Times New Roman" w:cs="Arial"/>
          <w:color w:val="000000"/>
          <w:sz w:val="18"/>
          <w:szCs w:val="18"/>
          <w:lang w:eastAsia="en-AU"/>
        </w:rPr>
        <w:t xml:space="preserve">and </w:t>
      </w:r>
      <w:r w:rsidRPr="00664727">
        <w:rPr>
          <w:rFonts w:eastAsia="Times New Roman" w:cs="Arial"/>
          <w:i/>
          <w:color w:val="000000"/>
          <w:sz w:val="18"/>
          <w:szCs w:val="18"/>
          <w:lang w:eastAsia="en-AU"/>
        </w:rPr>
        <w:t xml:space="preserve">Families Package — Child Care Safety Net </w:t>
      </w:r>
      <w:r w:rsidRPr="00664727">
        <w:rPr>
          <w:rFonts w:eastAsia="Times New Roman" w:cs="Arial"/>
          <w:color w:val="000000"/>
          <w:sz w:val="18"/>
          <w:szCs w:val="18"/>
          <w:lang w:eastAsia="en-AU"/>
        </w:rPr>
        <w:t xml:space="preserve">adjusted for changes to these measures in the 2015–16 MYEFO for the measure </w:t>
      </w:r>
      <w:r w:rsidRPr="00664727">
        <w:rPr>
          <w:rFonts w:eastAsia="Times New Roman" w:cs="Arial"/>
          <w:i/>
          <w:color w:val="000000"/>
          <w:sz w:val="18"/>
          <w:szCs w:val="18"/>
          <w:lang w:eastAsia="en-AU"/>
        </w:rPr>
        <w:t xml:space="preserve">Child Care System Changes </w:t>
      </w:r>
      <w:r w:rsidRPr="00664727">
        <w:rPr>
          <w:rFonts w:eastAsia="Times New Roman" w:cs="Arial"/>
          <w:color w:val="000000"/>
          <w:sz w:val="18"/>
          <w:szCs w:val="18"/>
          <w:lang w:eastAsia="en-AU"/>
        </w:rPr>
        <w:t xml:space="preserve">and the delay in implementation timing from the 2016–17 Budget measure </w:t>
      </w:r>
      <w:r w:rsidRPr="00664727">
        <w:rPr>
          <w:rFonts w:eastAsia="Times New Roman" w:cs="Arial"/>
          <w:i/>
          <w:color w:val="000000"/>
          <w:sz w:val="18"/>
          <w:szCs w:val="18"/>
          <w:lang w:eastAsia="en-AU"/>
        </w:rPr>
        <w:t xml:space="preserve">Jobs for Families Package </w:t>
      </w:r>
      <w:bookmarkStart w:id="6" w:name="Here"/>
      <w:bookmarkEnd w:id="6"/>
      <w:r w:rsidRPr="00664727">
        <w:rPr>
          <w:rFonts w:eastAsia="Times New Roman" w:cs="Arial"/>
          <w:i/>
          <w:color w:val="000000"/>
          <w:sz w:val="18"/>
          <w:szCs w:val="18"/>
          <w:lang w:eastAsia="en-AU"/>
        </w:rPr>
        <w:t xml:space="preserve">– deferred implementation. </w:t>
      </w:r>
      <w:r w:rsidR="00791AC8">
        <w:rPr>
          <w:rFonts w:eastAsia="Times New Roman" w:cs="Arial"/>
          <w:i/>
          <w:color w:val="000000"/>
          <w:sz w:val="18"/>
          <w:szCs w:val="18"/>
          <w:lang w:eastAsia="en-AU"/>
        </w:rPr>
        <w:t xml:space="preserve"> </w:t>
      </w:r>
      <w:r w:rsidRPr="00664727">
        <w:rPr>
          <w:rFonts w:eastAsia="Times New Roman" w:cs="Arial"/>
          <w:color w:val="000000"/>
          <w:sz w:val="18"/>
          <w:szCs w:val="18"/>
          <w:lang w:eastAsia="en-AU"/>
        </w:rPr>
        <w:t xml:space="preserve">This measure is included on the list of unlegislated measures because it is linked to the 2015–16 MYEFO measure </w:t>
      </w:r>
      <w:r w:rsidRPr="00664727">
        <w:rPr>
          <w:rFonts w:eastAsia="Times New Roman" w:cs="Arial"/>
          <w:i/>
          <w:color w:val="000000"/>
          <w:sz w:val="18"/>
          <w:szCs w:val="18"/>
          <w:lang w:eastAsia="en-AU"/>
        </w:rPr>
        <w:t xml:space="preserve">Family Payment Reform – a new </w:t>
      </w:r>
      <w:proofErr w:type="gramStart"/>
      <w:r w:rsidRPr="00664727">
        <w:rPr>
          <w:rFonts w:eastAsia="Times New Roman" w:cs="Arial"/>
          <w:i/>
          <w:color w:val="000000"/>
          <w:sz w:val="18"/>
          <w:szCs w:val="18"/>
          <w:lang w:eastAsia="en-AU"/>
        </w:rPr>
        <w:t>families</w:t>
      </w:r>
      <w:proofErr w:type="gramEnd"/>
      <w:r w:rsidRPr="00664727">
        <w:rPr>
          <w:rFonts w:eastAsia="Times New Roman" w:cs="Arial"/>
          <w:i/>
          <w:color w:val="000000"/>
          <w:sz w:val="18"/>
          <w:szCs w:val="18"/>
          <w:lang w:eastAsia="en-AU"/>
        </w:rPr>
        <w:t xml:space="preserve"> package.</w:t>
      </w:r>
      <w:r>
        <w:rPr>
          <w:rFonts w:eastAsia="Times New Roman" w:cs="Arial"/>
          <w:i/>
          <w:color w:val="000000"/>
          <w:sz w:val="18"/>
          <w:szCs w:val="18"/>
          <w:lang w:eastAsia="en-AU"/>
        </w:rPr>
        <w:t xml:space="preserve"> </w:t>
      </w:r>
      <w:r w:rsidR="00791AC8">
        <w:rPr>
          <w:rFonts w:eastAsia="Times New Roman" w:cs="Arial"/>
          <w:i/>
          <w:color w:val="000000"/>
          <w:sz w:val="18"/>
          <w:szCs w:val="18"/>
          <w:lang w:eastAsia="en-AU"/>
        </w:rPr>
        <w:t xml:space="preserve"> </w:t>
      </w:r>
      <w:r>
        <w:rPr>
          <w:rFonts w:eastAsia="Times New Roman" w:cs="Arial"/>
          <w:color w:val="000000"/>
          <w:sz w:val="18"/>
          <w:szCs w:val="18"/>
          <w:lang w:eastAsia="en-AU"/>
        </w:rPr>
        <w:t xml:space="preserve">The figures against this item in the table above reflect an overall increase in spending. </w:t>
      </w:r>
      <w:r w:rsidR="00791AC8">
        <w:rPr>
          <w:rFonts w:eastAsia="Times New Roman" w:cs="Arial"/>
          <w:color w:val="000000"/>
          <w:sz w:val="18"/>
          <w:szCs w:val="18"/>
          <w:lang w:eastAsia="en-AU"/>
        </w:rPr>
        <w:t xml:space="preserve"> </w:t>
      </w:r>
      <w:r>
        <w:rPr>
          <w:rFonts w:eastAsia="Times New Roman" w:cs="Arial"/>
          <w:color w:val="000000"/>
          <w:sz w:val="18"/>
          <w:szCs w:val="18"/>
          <w:lang w:eastAsia="en-AU"/>
        </w:rPr>
        <w:t>There is a decrease in cash payments in 2018–19 as a result of increased withholdings associated with the new Child Care Subsidy compared to the previous arrangements.</w:t>
      </w:r>
    </w:p>
  </w:endnote>
  <w:endnote w:id="7">
    <w:p w:rsidR="00B00248" w:rsidRPr="00664727" w:rsidRDefault="00B00248" w:rsidP="00664727">
      <w:pPr>
        <w:pStyle w:val="EndnoteText"/>
        <w:widowControl w:val="0"/>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 xml:space="preserve">This measure was partially legislated and amended by the 2016–17 MYEFO measure </w:t>
      </w:r>
      <w:r w:rsidRPr="00664727">
        <w:rPr>
          <w:i/>
          <w:sz w:val="18"/>
          <w:szCs w:val="18"/>
        </w:rPr>
        <w:t xml:space="preserve">Budget Savings (Omnibus) Bill </w:t>
      </w:r>
      <w:r w:rsidRPr="00664727">
        <w:rPr>
          <w:rFonts w:eastAsia="Times New Roman" w:cs="Arial"/>
          <w:color w:val="000000"/>
          <w:sz w:val="18"/>
          <w:szCs w:val="18"/>
          <w:lang w:eastAsia="en-AU"/>
        </w:rPr>
        <w:t xml:space="preserve">— </w:t>
      </w:r>
      <w:r w:rsidRPr="00664727">
        <w:rPr>
          <w:i/>
          <w:sz w:val="18"/>
          <w:szCs w:val="18"/>
        </w:rPr>
        <w:t xml:space="preserve">amendments </w:t>
      </w:r>
      <w:r w:rsidRPr="00664727">
        <w:rPr>
          <w:sz w:val="18"/>
          <w:szCs w:val="18"/>
        </w:rPr>
        <w:t xml:space="preserve">to </w:t>
      </w:r>
      <w:r>
        <w:rPr>
          <w:sz w:val="18"/>
          <w:szCs w:val="18"/>
        </w:rPr>
        <w:t xml:space="preserve">cease the Family Tax Benefit (FTB) Part A supplement for households with incomes over $80,000 and </w:t>
      </w:r>
      <w:r w:rsidRPr="00664727">
        <w:rPr>
          <w:sz w:val="18"/>
          <w:szCs w:val="18"/>
        </w:rPr>
        <w:t>rem</w:t>
      </w:r>
      <w:r>
        <w:rPr>
          <w:sz w:val="18"/>
          <w:szCs w:val="18"/>
        </w:rPr>
        <w:t>ove the component of the original measure to</w:t>
      </w:r>
      <w:r w:rsidRPr="00664727">
        <w:rPr>
          <w:sz w:val="18"/>
          <w:szCs w:val="18"/>
        </w:rPr>
        <w:t xml:space="preserve"> increase FTB Part B by $1000 for families with a youngest child under one year. </w:t>
      </w:r>
      <w:r w:rsidR="00791AC8">
        <w:rPr>
          <w:sz w:val="18"/>
          <w:szCs w:val="18"/>
        </w:rPr>
        <w:t xml:space="preserve"> </w:t>
      </w:r>
      <w:r w:rsidRPr="00664727">
        <w:rPr>
          <w:sz w:val="18"/>
          <w:szCs w:val="18"/>
        </w:rPr>
        <w:t>The impact of these developments is reflected in the figures against this measure in the table above.</w:t>
      </w:r>
    </w:p>
  </w:endnote>
  <w:endnote w:id="8">
    <w:p w:rsidR="00B00248" w:rsidRPr="00664727" w:rsidRDefault="00B00248" w:rsidP="00664727">
      <w:pPr>
        <w:pStyle w:val="EndnoteText"/>
        <w:widowControl w:val="0"/>
        <w:spacing w:before="50" w:after="50" w:line="240" w:lineRule="exact"/>
        <w:ind w:left="284" w:hanging="284"/>
        <w:rPr>
          <w:rStyle w:val="EndnoteReference"/>
          <w:sz w:val="18"/>
          <w:szCs w:val="18"/>
          <w:vertAlign w:val="baseline"/>
        </w:rPr>
      </w:pPr>
      <w:r w:rsidRPr="00664727">
        <w:rPr>
          <w:rStyle w:val="EndnoteReference"/>
          <w:sz w:val="18"/>
          <w:szCs w:val="18"/>
          <w:vertAlign w:val="baseline"/>
        </w:rPr>
        <w:endnoteRef/>
      </w:r>
      <w:r w:rsidRPr="00664727">
        <w:rPr>
          <w:rStyle w:val="EndnoteReference"/>
          <w:sz w:val="18"/>
          <w:szCs w:val="18"/>
          <w:vertAlign w:val="baseline"/>
        </w:rPr>
        <w:tab/>
        <w:t xml:space="preserve">This measure was amended by the 2015–16 MYEFO measure </w:t>
      </w:r>
      <w:r w:rsidRPr="00664727">
        <w:rPr>
          <w:rStyle w:val="EndnoteReference"/>
          <w:i/>
          <w:sz w:val="18"/>
          <w:szCs w:val="18"/>
          <w:vertAlign w:val="baseline"/>
        </w:rPr>
        <w:t>Parental Leave Pay – revised arrangements</w:t>
      </w:r>
      <w:r w:rsidRPr="00664727">
        <w:rPr>
          <w:rStyle w:val="EndnoteReference"/>
          <w:sz w:val="18"/>
          <w:szCs w:val="18"/>
          <w:vertAlign w:val="baseline"/>
        </w:rPr>
        <w:t xml:space="preserve">. </w:t>
      </w:r>
      <w:r w:rsidR="00791AC8">
        <w:rPr>
          <w:rStyle w:val="EndnoteReference"/>
          <w:sz w:val="18"/>
          <w:szCs w:val="18"/>
          <w:vertAlign w:val="baseline"/>
        </w:rPr>
        <w:t xml:space="preserve"> </w:t>
      </w:r>
      <w:r w:rsidRPr="00664727">
        <w:rPr>
          <w:rStyle w:val="EndnoteReference"/>
          <w:sz w:val="18"/>
          <w:szCs w:val="18"/>
          <w:vertAlign w:val="baseline"/>
        </w:rPr>
        <w:t>This impact is reflected in the figures against t</w:t>
      </w:r>
      <w:r w:rsidR="00791AC8">
        <w:rPr>
          <w:rStyle w:val="EndnoteReference"/>
          <w:sz w:val="18"/>
          <w:szCs w:val="18"/>
          <w:vertAlign w:val="baseline"/>
        </w:rPr>
        <w:t>his measure in the table above.</w:t>
      </w:r>
    </w:p>
  </w:endnote>
  <w:endnote w:id="9">
    <w:p w:rsidR="00B00248" w:rsidRPr="00664727" w:rsidRDefault="00B00248" w:rsidP="00D17A75">
      <w:pPr>
        <w:pStyle w:val="EndnoteText"/>
        <w:widowControl w:val="0"/>
        <w:spacing w:before="50" w:after="50" w:line="240" w:lineRule="exact"/>
        <w:ind w:left="284" w:hanging="284"/>
        <w:rPr>
          <w:rStyle w:val="EndnoteReference"/>
          <w:sz w:val="18"/>
          <w:szCs w:val="18"/>
          <w:vertAlign w:val="baseline"/>
        </w:rPr>
      </w:pPr>
      <w:r w:rsidRPr="00664727">
        <w:rPr>
          <w:rStyle w:val="EndnoteReference"/>
          <w:sz w:val="18"/>
          <w:szCs w:val="18"/>
          <w:vertAlign w:val="baseline"/>
        </w:rPr>
        <w:endnoteRef/>
      </w:r>
      <w:r w:rsidRPr="00664727">
        <w:rPr>
          <w:rStyle w:val="EndnoteReference"/>
          <w:sz w:val="18"/>
          <w:szCs w:val="18"/>
          <w:vertAlign w:val="baseline"/>
        </w:rPr>
        <w:tab/>
        <w:t xml:space="preserve">This measure was partially legislated through the </w:t>
      </w:r>
      <w:r w:rsidRPr="00664727">
        <w:rPr>
          <w:rStyle w:val="EndnoteReference"/>
          <w:i/>
          <w:sz w:val="18"/>
          <w:szCs w:val="18"/>
          <w:vertAlign w:val="baseline"/>
        </w:rPr>
        <w:t>Budget Savings (Omnibus) Bill 2016</w:t>
      </w:r>
      <w:r w:rsidRPr="00664727">
        <w:rPr>
          <w:rStyle w:val="EndnoteReference"/>
          <w:sz w:val="18"/>
          <w:szCs w:val="18"/>
          <w:vertAlign w:val="baseline"/>
        </w:rPr>
        <w:t>.</w:t>
      </w:r>
      <w:r w:rsidR="00791AC8">
        <w:rPr>
          <w:rStyle w:val="EndnoteReference"/>
          <w:sz w:val="18"/>
          <w:szCs w:val="18"/>
          <w:vertAlign w:val="baseline"/>
        </w:rPr>
        <w:t xml:space="preserve"> </w:t>
      </w:r>
      <w:r w:rsidRPr="00664727">
        <w:rPr>
          <w:rStyle w:val="EndnoteReference"/>
          <w:sz w:val="18"/>
          <w:szCs w:val="18"/>
          <w:vertAlign w:val="baseline"/>
        </w:rPr>
        <w:t xml:space="preserve"> The figures against this meas</w:t>
      </w:r>
      <w:r>
        <w:rPr>
          <w:rStyle w:val="EndnoteReference"/>
          <w:sz w:val="18"/>
          <w:szCs w:val="18"/>
          <w:vertAlign w:val="baseline"/>
        </w:rPr>
        <w:t>ure</w:t>
      </w:r>
      <w:r w:rsidRPr="00664727">
        <w:rPr>
          <w:rStyle w:val="EndnoteReference"/>
          <w:sz w:val="18"/>
          <w:szCs w:val="18"/>
          <w:vertAlign w:val="baseline"/>
        </w:rPr>
        <w:t xml:space="preserve"> in the table above reflect the remaining components of the measures to remove the energy supplement from certain social security and welfare payments.</w:t>
      </w:r>
    </w:p>
  </w:endnote>
  <w:endnote w:id="10">
    <w:p w:rsidR="00B00248" w:rsidRPr="00664727" w:rsidRDefault="00B00248" w:rsidP="00664727">
      <w:pPr>
        <w:pStyle w:val="EndnoteText"/>
        <w:widowControl w:val="0"/>
        <w:spacing w:before="50" w:after="50" w:line="240" w:lineRule="exact"/>
        <w:ind w:left="284" w:hanging="284"/>
        <w:rPr>
          <w:rStyle w:val="EndnoteReference"/>
          <w:sz w:val="18"/>
          <w:szCs w:val="18"/>
          <w:vertAlign w:val="baseline"/>
        </w:rPr>
      </w:pPr>
      <w:r w:rsidRPr="00664727">
        <w:rPr>
          <w:rStyle w:val="EndnoteReference"/>
          <w:sz w:val="18"/>
          <w:szCs w:val="18"/>
          <w:vertAlign w:val="baseline"/>
        </w:rPr>
        <w:endnoteRef/>
      </w:r>
      <w:r w:rsidRPr="00664727">
        <w:rPr>
          <w:rStyle w:val="EndnoteReference"/>
          <w:sz w:val="18"/>
          <w:szCs w:val="18"/>
          <w:vertAlign w:val="baseline"/>
        </w:rPr>
        <w:tab/>
        <w:t>This measure includes public debt interest (PDI) associated with loans issued though the Higher Education Loan Programme (HELP) which is disaggregated in the memorandum items to this table.</w:t>
      </w:r>
      <w:r w:rsidR="00791AC8">
        <w:rPr>
          <w:rStyle w:val="EndnoteReference"/>
          <w:sz w:val="18"/>
          <w:szCs w:val="18"/>
          <w:vertAlign w:val="baseline"/>
        </w:rPr>
        <w:t xml:space="preserve"> </w:t>
      </w:r>
      <w:r w:rsidRPr="00664727">
        <w:rPr>
          <w:rStyle w:val="EndnoteReference"/>
          <w:sz w:val="18"/>
          <w:szCs w:val="18"/>
          <w:vertAlign w:val="baseline"/>
        </w:rPr>
        <w:t xml:space="preserve"> Consistent with the Charter of Budget Honesty Costing Guidelines, PDI impacts are only presented where policies explicitly affect interest payments or involve transactions of financial assets such as loans and PDI represents a material proportion of the impact of a policy on the budget.</w:t>
      </w:r>
    </w:p>
  </w:endnote>
  <w:endnote w:id="11">
    <w:p w:rsidR="00B00248" w:rsidRPr="00664727" w:rsidRDefault="00B00248" w:rsidP="00664727">
      <w:pPr>
        <w:pStyle w:val="EndnoteText"/>
        <w:widowControl w:val="0"/>
        <w:spacing w:before="50" w:after="50" w:line="240" w:lineRule="exact"/>
        <w:ind w:left="284" w:hanging="284"/>
        <w:rPr>
          <w:rStyle w:val="EndnoteReference"/>
          <w:sz w:val="18"/>
          <w:szCs w:val="18"/>
          <w:vertAlign w:val="baseline"/>
        </w:rPr>
      </w:pPr>
      <w:r w:rsidRPr="00664727">
        <w:rPr>
          <w:rStyle w:val="EndnoteReference"/>
          <w:sz w:val="18"/>
          <w:szCs w:val="18"/>
          <w:vertAlign w:val="baseline"/>
        </w:rPr>
        <w:endnoteRef/>
      </w:r>
      <w:r w:rsidRPr="00664727">
        <w:rPr>
          <w:rStyle w:val="EndnoteReference"/>
          <w:sz w:val="18"/>
          <w:szCs w:val="18"/>
          <w:vertAlign w:val="baseline"/>
        </w:rPr>
        <w:tab/>
        <w:t xml:space="preserve">This measure was amended by the 2014–15 MYEFO measure </w:t>
      </w:r>
      <w:r w:rsidRPr="00664727">
        <w:rPr>
          <w:rStyle w:val="EndnoteReference"/>
          <w:i/>
          <w:sz w:val="18"/>
          <w:szCs w:val="18"/>
          <w:vertAlign w:val="baseline"/>
        </w:rPr>
        <w:t xml:space="preserve">Higher Education Reforms – amendments </w:t>
      </w:r>
      <w:r w:rsidRPr="00664727">
        <w:rPr>
          <w:rStyle w:val="EndnoteReference"/>
          <w:sz w:val="18"/>
          <w:szCs w:val="18"/>
          <w:vertAlign w:val="baseline"/>
        </w:rPr>
        <w:t>to continue indexing student HELP debts by the Consumer Price Index rather than the bond rate as proposed in the original measure.</w:t>
      </w:r>
      <w:r w:rsidR="00791AC8">
        <w:rPr>
          <w:sz w:val="18"/>
          <w:szCs w:val="18"/>
        </w:rPr>
        <w:t xml:space="preserve"> </w:t>
      </w:r>
      <w:r w:rsidRPr="00664727">
        <w:rPr>
          <w:rStyle w:val="EndnoteReference"/>
          <w:sz w:val="18"/>
          <w:szCs w:val="18"/>
          <w:vertAlign w:val="baseline"/>
        </w:rPr>
        <w:t xml:space="preserve"> </w:t>
      </w:r>
      <w:r w:rsidRPr="00664727">
        <w:rPr>
          <w:sz w:val="18"/>
          <w:szCs w:val="18"/>
        </w:rPr>
        <w:t xml:space="preserve">The measure was further amended by the 2016–17 Budget measure </w:t>
      </w:r>
      <w:r w:rsidRPr="00664727">
        <w:rPr>
          <w:i/>
          <w:sz w:val="18"/>
          <w:szCs w:val="18"/>
        </w:rPr>
        <w:t xml:space="preserve">Higher Education Reforms – further consultation </w:t>
      </w:r>
      <w:r w:rsidRPr="00664727">
        <w:rPr>
          <w:sz w:val="18"/>
          <w:szCs w:val="18"/>
        </w:rPr>
        <w:t xml:space="preserve">to not proceed with the deregulation of university fees. </w:t>
      </w:r>
      <w:r w:rsidR="00791AC8">
        <w:rPr>
          <w:sz w:val="18"/>
          <w:szCs w:val="18"/>
        </w:rPr>
        <w:t xml:space="preserve"> </w:t>
      </w:r>
      <w:r w:rsidRPr="00664727">
        <w:rPr>
          <w:rStyle w:val="EndnoteReference"/>
          <w:sz w:val="18"/>
          <w:szCs w:val="18"/>
          <w:vertAlign w:val="baseline"/>
        </w:rPr>
        <w:t>The impact of the</w:t>
      </w:r>
      <w:r w:rsidRPr="00664727">
        <w:rPr>
          <w:sz w:val="18"/>
          <w:szCs w:val="18"/>
        </w:rPr>
        <w:t>se</w:t>
      </w:r>
      <w:r w:rsidRPr="00664727">
        <w:rPr>
          <w:rStyle w:val="EndnoteReference"/>
          <w:sz w:val="18"/>
          <w:szCs w:val="18"/>
          <w:vertAlign w:val="baseline"/>
        </w:rPr>
        <w:t xml:space="preserve"> changes is reflected in the figures against this measure in the table above.</w:t>
      </w:r>
    </w:p>
  </w:endnote>
  <w:endnote w:id="12">
    <w:p w:rsidR="00B00248" w:rsidRPr="00664727" w:rsidRDefault="00B00248" w:rsidP="00664727">
      <w:pPr>
        <w:pStyle w:val="EndnoteText"/>
        <w:spacing w:before="50" w:after="50" w:line="240" w:lineRule="exact"/>
        <w:ind w:left="284" w:hanging="284"/>
        <w:rPr>
          <w:sz w:val="18"/>
          <w:szCs w:val="18"/>
        </w:rPr>
      </w:pPr>
      <w:r w:rsidRPr="00664727">
        <w:rPr>
          <w:rStyle w:val="EndnoteReference"/>
          <w:sz w:val="18"/>
          <w:szCs w:val="18"/>
          <w:vertAlign w:val="baseline"/>
        </w:rPr>
        <w:endnoteRef/>
      </w:r>
      <w:r w:rsidRPr="00664727">
        <w:rPr>
          <w:sz w:val="18"/>
          <w:szCs w:val="18"/>
        </w:rPr>
        <w:tab/>
        <w:t>The figures presented against the measure in the table above largely represent the impact of pausing indexation of HELP debts for primary carers with children under five.</w:t>
      </w:r>
    </w:p>
  </w:endnote>
  <w:endnote w:id="13">
    <w:p w:rsidR="00B00248" w:rsidRPr="00CC59A7" w:rsidRDefault="00B00248" w:rsidP="00A12B2B">
      <w:pPr>
        <w:pStyle w:val="EndnoteText"/>
        <w:ind w:left="284" w:hanging="284"/>
      </w:pPr>
      <w:r w:rsidRPr="00CC59A7">
        <w:rPr>
          <w:rStyle w:val="EndnoteReference"/>
          <w:sz w:val="18"/>
          <w:vertAlign w:val="baseline"/>
        </w:rPr>
        <w:endnoteRef/>
      </w:r>
      <w:r w:rsidRPr="00CC59A7">
        <w:rPr>
          <w:sz w:val="18"/>
        </w:rPr>
        <w:tab/>
        <w:t xml:space="preserve">The financial impact </w:t>
      </w:r>
      <w:r>
        <w:rPr>
          <w:sz w:val="18"/>
        </w:rPr>
        <w:t>presented against this measure in the table above reflects the component of the</w:t>
      </w:r>
      <w:r w:rsidR="00791AC8">
        <w:rPr>
          <w:sz w:val="18"/>
        </w:rPr>
        <w:t xml:space="preserve"> </w:t>
      </w:r>
      <w:r>
        <w:rPr>
          <w:sz w:val="18"/>
        </w:rPr>
        <w:t>measure to increase Family Court, Federal Circuit Court of Australia and the Federal Court of Australia fees.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360" w:type="dxa"/>
      <w:tblLayout w:type="fixed"/>
      <w:tblCellMar>
        <w:top w:w="28" w:type="dxa"/>
      </w:tblCellMar>
      <w:tblLook w:val="04A0" w:firstRow="1" w:lastRow="0" w:firstColumn="1" w:lastColumn="0" w:noHBand="0" w:noVBand="1"/>
    </w:tblPr>
    <w:tblGrid>
      <w:gridCol w:w="567"/>
      <w:gridCol w:w="8793"/>
    </w:tblGrid>
    <w:tr w:rsidR="00B00248" w:rsidRPr="00EB388E" w:rsidTr="0078131E">
      <w:trPr>
        <w:trHeight w:val="340"/>
      </w:trPr>
      <w:tc>
        <w:tcPr>
          <w:tcW w:w="567" w:type="dxa"/>
          <w:tcBorders>
            <w:right w:val="single" w:sz="4" w:space="0" w:color="788184" w:themeColor="background2"/>
          </w:tcBorders>
          <w:vAlign w:val="center"/>
        </w:tcPr>
        <w:p w:rsidR="00B00248" w:rsidRPr="00CB70DF" w:rsidRDefault="00B00248"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BC6919">
            <w:rPr>
              <w:noProof/>
            </w:rPr>
            <w:t>2</w:t>
          </w:r>
          <w:r w:rsidRPr="00EB388E">
            <w:fldChar w:fldCharType="end"/>
          </w:r>
        </w:p>
      </w:tc>
      <w:tc>
        <w:tcPr>
          <w:tcW w:w="8793" w:type="dxa"/>
          <w:tcBorders>
            <w:left w:val="single" w:sz="4" w:space="0" w:color="788184" w:themeColor="background2"/>
          </w:tcBorders>
          <w:vAlign w:val="center"/>
        </w:tcPr>
        <w:p w:rsidR="00B00248" w:rsidRPr="00CB70DF" w:rsidRDefault="00B00248" w:rsidP="00B00248">
          <w:pPr>
            <w:pStyle w:val="FooterLeft"/>
            <w:framePr w:wrap="auto" w:vAnchor="margin" w:hAnchor="text" w:yAlign="inline"/>
          </w:pPr>
          <w:r>
            <w:t>Unlegislated measures carried forward in the budget estimates—</w:t>
          </w:r>
          <w:r w:rsidR="00BC6919">
            <w:fldChar w:fldCharType="begin"/>
          </w:r>
          <w:r w:rsidR="00BC6919">
            <w:instrText xml:space="preserve"> STYLEREF  Title  \* MERGEFORMAT </w:instrText>
          </w:r>
          <w:r w:rsidR="00BC6919">
            <w:fldChar w:fldCharType="separate"/>
          </w:r>
          <w:r w:rsidR="00BC6919">
            <w:rPr>
              <w:noProof/>
            </w:rPr>
            <w:t>February 2017 update</w:t>
          </w:r>
          <w:r w:rsidR="00BC6919">
            <w:rPr>
              <w:noProof/>
            </w:rPr>
            <w:fldChar w:fldCharType="end"/>
          </w:r>
        </w:p>
      </w:tc>
    </w:tr>
    <w:tr w:rsidR="00B00248" w:rsidRPr="00EB388E" w:rsidTr="0078131E">
      <w:trPr>
        <w:trHeight w:hRule="exact" w:val="403"/>
      </w:trPr>
      <w:tc>
        <w:tcPr>
          <w:tcW w:w="567" w:type="dxa"/>
          <w:tcMar>
            <w:bottom w:w="284" w:type="dxa"/>
          </w:tcMar>
        </w:tcPr>
        <w:p w:rsidR="00B00248" w:rsidRPr="00EB388E" w:rsidRDefault="00B00248" w:rsidP="00C80200">
          <w:pPr>
            <w:pStyle w:val="FooterRightPageNumber"/>
          </w:pPr>
        </w:p>
      </w:tc>
      <w:tc>
        <w:tcPr>
          <w:tcW w:w="8793" w:type="dxa"/>
          <w:tcMar>
            <w:bottom w:w="284" w:type="dxa"/>
          </w:tcMar>
        </w:tcPr>
        <w:p w:rsidR="00B00248" w:rsidRPr="00090E70" w:rsidRDefault="00B00248" w:rsidP="00C80200"/>
      </w:tc>
    </w:tr>
  </w:tbl>
  <w:p w:rsidR="00B00248" w:rsidRDefault="00B00248">
    <w:pPr>
      <w:pStyle w:val="Footer"/>
    </w:pPr>
  </w:p>
  <w:p w:rsidR="00B00248" w:rsidRPr="004816D7" w:rsidRDefault="00B00248" w:rsidP="0048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064" w:type="dxa"/>
      <w:tblLayout w:type="fixed"/>
      <w:tblCellMar>
        <w:top w:w="28" w:type="dxa"/>
      </w:tblCellMar>
      <w:tblLook w:val="04A0" w:firstRow="1" w:lastRow="0" w:firstColumn="1" w:lastColumn="0" w:noHBand="0" w:noVBand="1"/>
    </w:tblPr>
    <w:tblGrid>
      <w:gridCol w:w="8704"/>
      <w:gridCol w:w="360"/>
    </w:tblGrid>
    <w:tr w:rsidR="00B00248" w:rsidRPr="002264CF" w:rsidTr="0078131E">
      <w:trPr>
        <w:trHeight w:val="340"/>
      </w:trPr>
      <w:tc>
        <w:tcPr>
          <w:tcW w:w="8704" w:type="dxa"/>
          <w:tcBorders>
            <w:right w:val="single" w:sz="4" w:space="0" w:color="788184" w:themeColor="background2"/>
          </w:tcBorders>
          <w:vAlign w:val="center"/>
        </w:tcPr>
        <w:p w:rsidR="00B00248" w:rsidRPr="002264CF" w:rsidRDefault="00B00248" w:rsidP="00B00248">
          <w:pPr>
            <w:pStyle w:val="FooterRight"/>
            <w:framePr w:wrap="auto" w:vAnchor="margin" w:hAnchor="text" w:xAlign="left" w:yAlign="inline"/>
          </w:pPr>
          <w:r>
            <w:t>Unlegislated measures carried forward in the budget estimates—</w:t>
          </w:r>
          <w:r w:rsidR="00BC6919">
            <w:fldChar w:fldCharType="begin"/>
          </w:r>
          <w:r w:rsidR="00BC6919">
            <w:instrText xml:space="preserve"> STYLEREF  Title  \* MERGEFORMAT </w:instrText>
          </w:r>
          <w:r w:rsidR="00BC6919">
            <w:fldChar w:fldCharType="separate"/>
          </w:r>
          <w:r w:rsidR="00BC6919">
            <w:rPr>
              <w:noProof/>
            </w:rPr>
            <w:t>February 2017 update</w:t>
          </w:r>
          <w:r w:rsidR="00BC6919">
            <w:rPr>
              <w:noProof/>
            </w:rPr>
            <w:fldChar w:fldCharType="end"/>
          </w:r>
        </w:p>
      </w:tc>
      <w:tc>
        <w:tcPr>
          <w:tcW w:w="360" w:type="dxa"/>
          <w:tcBorders>
            <w:left w:val="single" w:sz="4" w:space="0" w:color="788184" w:themeColor="background2"/>
          </w:tcBorders>
          <w:vAlign w:val="center"/>
        </w:tcPr>
        <w:p w:rsidR="00B00248" w:rsidRPr="002264CF" w:rsidRDefault="00B00248" w:rsidP="00E915E6">
          <w:pPr>
            <w:pStyle w:val="FooterRightPageNumber"/>
          </w:pPr>
          <w:r w:rsidRPr="002264CF">
            <w:fldChar w:fldCharType="begin"/>
          </w:r>
          <w:r w:rsidRPr="002264CF">
            <w:instrText xml:space="preserve"> PAGE   \* MERGEFORMAT </w:instrText>
          </w:r>
          <w:r w:rsidRPr="002264CF">
            <w:fldChar w:fldCharType="separate"/>
          </w:r>
          <w:r w:rsidR="00BC6919">
            <w:t>3</w:t>
          </w:r>
          <w:r w:rsidRPr="002264CF">
            <w:fldChar w:fldCharType="end"/>
          </w:r>
        </w:p>
      </w:tc>
    </w:tr>
    <w:tr w:rsidR="00B00248" w:rsidRPr="00EB388E" w:rsidTr="0078131E">
      <w:trPr>
        <w:trHeight w:hRule="exact" w:val="403"/>
      </w:trPr>
      <w:tc>
        <w:tcPr>
          <w:tcW w:w="8704" w:type="dxa"/>
        </w:tcPr>
        <w:p w:rsidR="00B00248" w:rsidRPr="00090E70" w:rsidRDefault="00B00248" w:rsidP="0087390B"/>
      </w:tc>
      <w:tc>
        <w:tcPr>
          <w:tcW w:w="360" w:type="dxa"/>
          <w:tcMar>
            <w:bottom w:w="284" w:type="dxa"/>
          </w:tcMar>
        </w:tcPr>
        <w:p w:rsidR="00B00248" w:rsidRPr="00090E70" w:rsidRDefault="00B00248" w:rsidP="0087390B"/>
      </w:tc>
    </w:tr>
  </w:tbl>
  <w:p w:rsidR="00B00248" w:rsidRDefault="00B00248">
    <w:pPr>
      <w:pStyle w:val="Footer"/>
    </w:pPr>
  </w:p>
  <w:p w:rsidR="00B00248" w:rsidRPr="004816D7" w:rsidRDefault="00B00248"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Default="00B002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00248" w:rsidRPr="00EB388E" w:rsidTr="008148E7">
      <w:trPr>
        <w:trHeight w:val="340"/>
      </w:trPr>
      <w:tc>
        <w:tcPr>
          <w:tcW w:w="567" w:type="dxa"/>
          <w:tcBorders>
            <w:right w:val="single" w:sz="4" w:space="0" w:color="788184" w:themeColor="background2"/>
          </w:tcBorders>
          <w:vAlign w:val="center"/>
        </w:tcPr>
        <w:p w:rsidR="00B00248" w:rsidRPr="00CB70DF" w:rsidRDefault="00B00248" w:rsidP="008148E7">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5</w:t>
          </w:r>
          <w:r w:rsidRPr="00EB388E">
            <w:fldChar w:fldCharType="end"/>
          </w:r>
        </w:p>
      </w:tc>
      <w:tc>
        <w:tcPr>
          <w:tcW w:w="8164" w:type="dxa"/>
          <w:tcBorders>
            <w:left w:val="single" w:sz="4" w:space="0" w:color="788184" w:themeColor="background2"/>
          </w:tcBorders>
          <w:vAlign w:val="center"/>
        </w:tcPr>
        <w:p w:rsidR="00B00248" w:rsidRPr="00CB70DF" w:rsidRDefault="00BC6919" w:rsidP="008148E7">
          <w:pPr>
            <w:pStyle w:val="FooterLeft"/>
            <w:framePr w:wrap="auto" w:vAnchor="margin" w:hAnchor="text" w:yAlign="inline"/>
          </w:pPr>
          <w:r>
            <w:fldChar w:fldCharType="begin"/>
          </w:r>
          <w:r>
            <w:instrText xml:space="preserve"> STYLEREF  Title  \* MERGEFORMAT </w:instrText>
          </w:r>
          <w:r>
            <w:fldChar w:fldCharType="separate"/>
          </w:r>
          <w:r w:rsidR="00B00248">
            <w:rPr>
              <w:noProof/>
            </w:rPr>
            <w:t>February 2017 update</w:t>
          </w:r>
          <w:r>
            <w:rPr>
              <w:noProof/>
            </w:rPr>
            <w:fldChar w:fldCharType="end"/>
          </w:r>
        </w:p>
      </w:tc>
    </w:tr>
    <w:tr w:rsidR="00B00248" w:rsidRPr="00EB388E" w:rsidTr="008148E7">
      <w:trPr>
        <w:trHeight w:hRule="exact" w:val="403"/>
      </w:trPr>
      <w:tc>
        <w:tcPr>
          <w:tcW w:w="567" w:type="dxa"/>
          <w:tcMar>
            <w:bottom w:w="284" w:type="dxa"/>
          </w:tcMar>
        </w:tcPr>
        <w:p w:rsidR="00B00248" w:rsidRPr="00EB388E" w:rsidRDefault="00B00248" w:rsidP="008148E7">
          <w:pPr>
            <w:pStyle w:val="FooterRightPageNumber"/>
          </w:pPr>
        </w:p>
      </w:tc>
      <w:tc>
        <w:tcPr>
          <w:tcW w:w="8164" w:type="dxa"/>
          <w:tcMar>
            <w:bottom w:w="284" w:type="dxa"/>
          </w:tcMar>
        </w:tcPr>
        <w:p w:rsidR="00B00248" w:rsidRPr="00090E70" w:rsidRDefault="00B00248" w:rsidP="008148E7"/>
      </w:tc>
    </w:tr>
  </w:tbl>
  <w:p w:rsidR="00B00248" w:rsidRDefault="00B00248">
    <w:pPr>
      <w:pStyle w:val="Footer"/>
    </w:pPr>
  </w:p>
  <w:p w:rsidR="00B00248" w:rsidRPr="004816D7" w:rsidRDefault="00B00248" w:rsidP="000B34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9583" w:type="dxa"/>
      <w:tblLayout w:type="fixed"/>
      <w:tblCellMar>
        <w:top w:w="28" w:type="dxa"/>
      </w:tblCellMar>
      <w:tblLook w:val="04A0" w:firstRow="1" w:lastRow="0" w:firstColumn="1" w:lastColumn="0" w:noHBand="0" w:noVBand="1"/>
    </w:tblPr>
    <w:tblGrid>
      <w:gridCol w:w="9016"/>
      <w:gridCol w:w="567"/>
    </w:tblGrid>
    <w:tr w:rsidR="00B00248" w:rsidRPr="00EB388E" w:rsidTr="00A12B2B">
      <w:trPr>
        <w:trHeight w:val="340"/>
      </w:trPr>
      <w:tc>
        <w:tcPr>
          <w:tcW w:w="9016" w:type="dxa"/>
          <w:tcBorders>
            <w:right w:val="single" w:sz="4" w:space="0" w:color="788184" w:themeColor="background2"/>
          </w:tcBorders>
          <w:vAlign w:val="center"/>
        </w:tcPr>
        <w:p w:rsidR="00B00248" w:rsidRPr="00CB70DF" w:rsidRDefault="00BC6919" w:rsidP="008148E7">
          <w:pPr>
            <w:pStyle w:val="FooterRight"/>
            <w:framePr w:wrap="auto" w:vAnchor="margin" w:hAnchor="text" w:xAlign="left" w:yAlign="inline"/>
          </w:pPr>
          <w:r>
            <w:fldChar w:fldCharType="begin"/>
          </w:r>
          <w:r>
            <w:instrText xml:space="preserve"> STYLEREF  "Heading 1"  \* MERGEFORMAT </w:instrText>
          </w:r>
          <w:r>
            <w:fldChar w:fldCharType="separate"/>
          </w:r>
          <w:r>
            <w:rPr>
              <w:noProof/>
            </w:rPr>
            <w:t>Unlegislated measures carried forward in the budget estimates—February 2017 update</w:t>
          </w:r>
          <w:r>
            <w:rPr>
              <w:noProof/>
            </w:rPr>
            <w:fldChar w:fldCharType="end"/>
          </w:r>
        </w:p>
      </w:tc>
      <w:tc>
        <w:tcPr>
          <w:tcW w:w="567" w:type="dxa"/>
          <w:tcBorders>
            <w:left w:val="single" w:sz="4" w:space="0" w:color="788184" w:themeColor="background2"/>
          </w:tcBorders>
          <w:vAlign w:val="center"/>
        </w:tcPr>
        <w:p w:rsidR="00B00248" w:rsidRPr="00CB70DF" w:rsidRDefault="00B00248" w:rsidP="008148E7">
          <w:pPr>
            <w:pStyle w:val="FooterRightPageNumber"/>
          </w:pPr>
          <w:r w:rsidRPr="00EB388E">
            <w:fldChar w:fldCharType="begin"/>
          </w:r>
          <w:r w:rsidRPr="00EB388E">
            <w:instrText xml:space="preserve"> PAGE   \* MERGEFORMAT </w:instrText>
          </w:r>
          <w:r w:rsidRPr="00EB388E">
            <w:fldChar w:fldCharType="separate"/>
          </w:r>
          <w:r w:rsidR="00BC6919">
            <w:t>5</w:t>
          </w:r>
          <w:r w:rsidRPr="00EB388E">
            <w:fldChar w:fldCharType="end"/>
          </w:r>
        </w:p>
      </w:tc>
    </w:tr>
    <w:tr w:rsidR="00B00248" w:rsidRPr="00EB388E" w:rsidTr="00A12B2B">
      <w:trPr>
        <w:trHeight w:hRule="exact" w:val="403"/>
      </w:trPr>
      <w:tc>
        <w:tcPr>
          <w:tcW w:w="9016" w:type="dxa"/>
        </w:tcPr>
        <w:p w:rsidR="00B00248" w:rsidRPr="00090E70" w:rsidRDefault="00B00248" w:rsidP="008148E7"/>
      </w:tc>
      <w:tc>
        <w:tcPr>
          <w:tcW w:w="567" w:type="dxa"/>
          <w:tcMar>
            <w:bottom w:w="284" w:type="dxa"/>
          </w:tcMar>
        </w:tcPr>
        <w:p w:rsidR="00B00248" w:rsidRPr="00090E70" w:rsidRDefault="00B00248" w:rsidP="008148E7"/>
      </w:tc>
    </w:tr>
  </w:tbl>
  <w:p w:rsidR="00B00248" w:rsidRDefault="00B00248">
    <w:pPr>
      <w:pStyle w:val="Footer"/>
    </w:pPr>
  </w:p>
  <w:p w:rsidR="00B00248" w:rsidRPr="004816D7" w:rsidRDefault="00B00248" w:rsidP="000B3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48" w:rsidRPr="000557A7" w:rsidRDefault="00B00248" w:rsidP="008D5A11">
      <w:pPr>
        <w:pBdr>
          <w:top w:val="single" w:sz="4" w:space="1" w:color="auto"/>
        </w:pBdr>
        <w:spacing w:before="240" w:line="60" w:lineRule="exact"/>
        <w:rPr>
          <w:sz w:val="16"/>
          <w:szCs w:val="16"/>
        </w:rPr>
      </w:pPr>
    </w:p>
  </w:footnote>
  <w:footnote w:type="continuationSeparator" w:id="0">
    <w:p w:rsidR="00B00248" w:rsidRDefault="00B00248" w:rsidP="00A20802">
      <w:pPr>
        <w:spacing w:line="240" w:lineRule="auto"/>
      </w:pPr>
      <w:r>
        <w:continuationSeparator/>
      </w:r>
    </w:p>
    <w:p w:rsidR="00B00248" w:rsidRDefault="00B00248"/>
  </w:footnote>
  <w:footnote w:id="1">
    <w:p w:rsidR="00B00248" w:rsidRDefault="00B00248" w:rsidP="00EF7FE7">
      <w:pPr>
        <w:pStyle w:val="FootnoteText"/>
        <w:tabs>
          <w:tab w:val="clear" w:pos="425"/>
          <w:tab w:val="left" w:pos="567"/>
        </w:tabs>
        <w:spacing w:before="0" w:line="240" w:lineRule="exact"/>
        <w:ind w:left="0" w:hanging="180"/>
      </w:pPr>
      <w:r w:rsidRPr="003916F5">
        <w:footnoteRef/>
      </w:r>
      <w:r>
        <w:tab/>
        <w:t>Estimates in the table above provide the fiscal balance impact of unlegislated measures carried forward in the current budget estimates contained in the 2016–17 MYEFO and have been prepared with the latest information available to the PBO using a range of models.  In arriving at the estimates, a number of assumptions have been made about revised implementation timing, the impact of the partial legislation of measures, changes in policies and parameters in the 2016–17 MYEFO and differences between fiscal and underlying cash balance impacts.  A positive number indicates an increase in revenue or a decrease in expenses.  A negative number indicates a decrease in revenue or an increase in expenses.</w:t>
      </w:r>
    </w:p>
    <w:p w:rsidR="00B00248" w:rsidRDefault="00B00248" w:rsidP="00EF7FE7">
      <w:pPr>
        <w:pStyle w:val="FootnoteText"/>
        <w:tabs>
          <w:tab w:val="clear" w:pos="425"/>
          <w:tab w:val="left" w:pos="567"/>
        </w:tabs>
        <w:spacing w:before="0" w:line="240" w:lineRule="exact"/>
        <w:ind w:left="0" w:hanging="180"/>
      </w:pPr>
      <w:r>
        <w:tab/>
        <w:t>‘-</w:t>
      </w:r>
      <w:proofErr w:type="gramStart"/>
      <w:r>
        <w:t>‘ indicates</w:t>
      </w:r>
      <w:proofErr w:type="gramEnd"/>
      <w:r>
        <w:t xml:space="preserve"> nil whereas ‘..’ indicates not zero but rounded to zero.</w:t>
      </w:r>
    </w:p>
    <w:p w:rsidR="00B00248" w:rsidRPr="003916F5" w:rsidRDefault="00B00248" w:rsidP="00EF7FE7">
      <w:pPr>
        <w:pStyle w:val="FootnoteText"/>
        <w:tabs>
          <w:tab w:val="clear" w:pos="425"/>
          <w:tab w:val="left" w:pos="567"/>
        </w:tabs>
        <w:spacing w:before="0" w:line="240" w:lineRule="exact"/>
        <w:ind w:left="0" w:hanging="180"/>
      </w:pPr>
      <w:r>
        <w:tab/>
        <w:t>Detailed notes to this table are at page 5.</w:t>
      </w:r>
    </w:p>
  </w:footnote>
  <w:footnote w:id="2">
    <w:p w:rsidR="00B00248" w:rsidRPr="007331DE" w:rsidRDefault="00B00248" w:rsidP="00D17A75">
      <w:pPr>
        <w:pStyle w:val="FootnoteText"/>
        <w:spacing w:before="0" w:line="240" w:lineRule="exact"/>
        <w:ind w:left="0" w:hanging="180"/>
      </w:pPr>
      <w:r w:rsidRPr="007331DE">
        <w:footnoteRef/>
      </w:r>
      <w:r>
        <w:tab/>
        <w:t>Totals may not add due to rounding.</w:t>
      </w:r>
    </w:p>
  </w:footnote>
  <w:footnote w:id="3">
    <w:p w:rsidR="00B00248" w:rsidRPr="007331DE" w:rsidRDefault="00B00248" w:rsidP="00EF7FE7">
      <w:pPr>
        <w:pStyle w:val="FootnoteText"/>
        <w:spacing w:before="0" w:line="240" w:lineRule="exact"/>
        <w:ind w:left="0" w:hanging="180"/>
      </w:pPr>
      <w:r w:rsidRPr="007331DE">
        <w:footnoteRef/>
      </w:r>
      <w:r>
        <w:tab/>
        <w:t>The following public debt interest (PDI) impacts reflect changes in the financing task associated with loans issued through the Higher Education Loan Programme.  A negative number indicates an increase in PDI.  A positive number indicates a decrease in PDI.  Increases in PDI have a negative impact on the fiscal balance.  Decreases in PDI have a positive impact on the fiscal balance.</w:t>
      </w:r>
    </w:p>
  </w:footnote>
  <w:footnote w:id="4">
    <w:p w:rsidR="00B00248" w:rsidRDefault="00B00248" w:rsidP="00256F83">
      <w:pPr>
        <w:pStyle w:val="FootnoteText"/>
        <w:tabs>
          <w:tab w:val="clear" w:pos="425"/>
          <w:tab w:val="left" w:pos="567"/>
        </w:tabs>
        <w:spacing w:before="0" w:line="240" w:lineRule="exact"/>
        <w:ind w:left="0" w:hanging="180"/>
      </w:pPr>
      <w:r w:rsidRPr="00916A79">
        <w:footnoteRef/>
      </w:r>
      <w:r>
        <w:tab/>
        <w:t>Estimates in the table above provide the underlying cash balance impact of unlegislated measures carried forward in the current budget estimates contained in the 2016–17 MYEFO and have been prepared with the latest information available to the PBO using a range of models.  In arriving at the estimates, a number of assumptions have been made about revised implementation timing, the impact of the partial legislation of measures, changes in policies and parameters in the 2016–17 MYEFO and differences between underlying cash and fiscal balance impacts.  A positive number indicates an increase in receipts or a decrease in payments.  A negative number indicates a decrease in receipts or an increase in payments.</w:t>
      </w:r>
    </w:p>
    <w:p w:rsidR="00B00248" w:rsidRDefault="00B00248" w:rsidP="00256F83">
      <w:pPr>
        <w:pStyle w:val="FootnoteText"/>
        <w:tabs>
          <w:tab w:val="clear" w:pos="425"/>
          <w:tab w:val="left" w:pos="567"/>
        </w:tabs>
        <w:spacing w:before="0" w:line="240" w:lineRule="exact"/>
        <w:ind w:left="0" w:hanging="180"/>
      </w:pPr>
      <w:r>
        <w:tab/>
        <w:t>‘-</w:t>
      </w:r>
      <w:proofErr w:type="gramStart"/>
      <w:r>
        <w:t>‘ indicates</w:t>
      </w:r>
      <w:proofErr w:type="gramEnd"/>
      <w:r>
        <w:t xml:space="preserve"> nil whereas ‘..’ indicates not zero but rounded to zero.</w:t>
      </w:r>
    </w:p>
    <w:p w:rsidR="00B00248" w:rsidRPr="00916A79" w:rsidRDefault="00B00248" w:rsidP="00256F83">
      <w:pPr>
        <w:pStyle w:val="FootnoteText"/>
        <w:tabs>
          <w:tab w:val="clear" w:pos="425"/>
          <w:tab w:val="left" w:pos="567"/>
        </w:tabs>
        <w:spacing w:before="0" w:line="240" w:lineRule="exact"/>
        <w:ind w:left="0" w:hanging="180"/>
      </w:pPr>
      <w:r>
        <w:tab/>
        <w:t>Detailed notes to this table are at page 5.</w:t>
      </w:r>
    </w:p>
  </w:footnote>
  <w:footnote w:id="5">
    <w:p w:rsidR="00B00248" w:rsidRPr="002F6F0C" w:rsidRDefault="00B00248" w:rsidP="00107308">
      <w:pPr>
        <w:pStyle w:val="FootnoteText"/>
        <w:spacing w:before="0" w:line="240" w:lineRule="exact"/>
        <w:ind w:left="0" w:hanging="180"/>
      </w:pPr>
      <w:r w:rsidRPr="002F6F0C">
        <w:footnoteRef/>
      </w:r>
      <w:r>
        <w:tab/>
        <w:t>Totals may not add due to rounding.</w:t>
      </w:r>
    </w:p>
  </w:footnote>
  <w:footnote w:id="6">
    <w:p w:rsidR="00B00248" w:rsidRPr="00E23057" w:rsidRDefault="00B00248" w:rsidP="00892390">
      <w:pPr>
        <w:pStyle w:val="FootnoteText"/>
        <w:spacing w:before="0" w:line="240" w:lineRule="exact"/>
        <w:ind w:left="0" w:hanging="180"/>
      </w:pPr>
      <w:r w:rsidRPr="00E23057">
        <w:footnoteRef/>
      </w:r>
      <w:r>
        <w:tab/>
        <w:t>The following public debt interest (PDI) impacts reflect changes in the financing task associated with loans issued through the Higher Education Loan Programme.  A negative number indicates an increase in PDI.  A positive number indicates a decrease in PDI.  Increases in PDI have a negative impact on the underlying cash balance.  Decreases in PDI have a positive impact on the underlying cash balance.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Default="00B00248">
    <w:pPr>
      <w:pStyle w:val="Header"/>
    </w:pPr>
    <w:r>
      <w:rPr>
        <w:noProof/>
        <w:lang w:eastAsia="en-AU"/>
      </w:rPr>
      <mc:AlternateContent>
        <mc:Choice Requires="wps">
          <w:drawing>
            <wp:anchor distT="0" distB="0" distL="114300" distR="114300" simplePos="0" relativeHeight="251663360" behindDoc="1" locked="1" layoutInCell="1" allowOverlap="1" wp14:anchorId="206196B8" wp14:editId="5ADFCEF5">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48" w:rsidRPr="0001226A" w:rsidRDefault="00B0024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B00248" w:rsidRPr="0001226A" w:rsidRDefault="00B00248"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Default="00B00248">
    <w:pPr>
      <w:pStyle w:val="Header"/>
    </w:pPr>
    <w:r>
      <w:rPr>
        <w:noProof/>
        <w:lang w:eastAsia="en-AU"/>
      </w:rPr>
      <mc:AlternateContent>
        <mc:Choice Requires="wps">
          <w:drawing>
            <wp:anchor distT="0" distB="0" distL="114300" distR="114300" simplePos="0" relativeHeight="251665408" behindDoc="1" locked="1" layoutInCell="1" allowOverlap="1" wp14:anchorId="57137D18" wp14:editId="21B2F7BC">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48" w:rsidRPr="0001226A" w:rsidRDefault="00B0024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B00248" w:rsidRPr="0001226A" w:rsidRDefault="00B00248"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Default="00B00248">
    <w:pPr>
      <w:pStyle w:val="Header"/>
    </w:pPr>
    <w:r>
      <w:rPr>
        <w:noProof/>
        <w:lang w:eastAsia="en-AU"/>
      </w:rPr>
      <w:drawing>
        <wp:anchor distT="0" distB="0" distL="114300" distR="114300" simplePos="0" relativeHeight="251674624" behindDoc="1" locked="0" layoutInCell="1" allowOverlap="1" wp14:anchorId="69D69DFE" wp14:editId="69780A0A">
          <wp:simplePos x="0" y="0"/>
          <wp:positionH relativeFrom="page">
            <wp:posOffset>0</wp:posOffset>
          </wp:positionH>
          <wp:positionV relativeFrom="page">
            <wp:posOffset>0</wp:posOffset>
          </wp:positionV>
          <wp:extent cx="7563600" cy="10695600"/>
          <wp:effectExtent l="0" t="0" r="0" b="0"/>
          <wp:wrapNone/>
          <wp:docPr id="12" name="Picture 1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3D2609A2" wp14:editId="774C6A2F">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48" w:rsidRPr="0001226A" w:rsidRDefault="00B0024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B00248" w:rsidRPr="0001226A" w:rsidRDefault="00B00248"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Default="00B00248">
    <w:pPr>
      <w:pStyle w:val="Header"/>
    </w:pPr>
    <w:r>
      <w:rPr>
        <w:noProof/>
        <w:lang w:eastAsia="en-AU"/>
      </w:rPr>
      <mc:AlternateContent>
        <mc:Choice Requires="wps">
          <w:drawing>
            <wp:anchor distT="0" distB="0" distL="114300" distR="114300" simplePos="0" relativeHeight="251696128" behindDoc="1" locked="1" layoutInCell="1" allowOverlap="1" wp14:anchorId="23CFE405" wp14:editId="796B6230">
              <wp:simplePos x="0" y="0"/>
              <wp:positionH relativeFrom="page">
                <wp:align>center</wp:align>
              </wp:positionH>
              <wp:positionV relativeFrom="page">
                <wp:align>center</wp:align>
              </wp:positionV>
              <wp:extent cx="7560000" cy="1796400"/>
              <wp:effectExtent l="0" t="0" r="0" b="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48" w:rsidRPr="0001226A" w:rsidRDefault="00B0024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203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MjuwIAAMQ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VFuMjuwIA&#10;AMQFAAAOAAAAAAAAAAAAAAAAAC4CAABkcnMvZTJvRG9jLnhtbFBLAQItABQABgAIAAAAIQA0xUTO&#10;2wAAAAYBAAAPAAAAAAAAAAAAAAAAABUFAABkcnMvZG93bnJldi54bWxQSwUGAAAAAAQABADzAAAA&#10;HQYAAAAA&#10;" filled="f" stroked="f">
              <v:textbox>
                <w:txbxContent>
                  <w:p w:rsidR="00B00248" w:rsidRPr="0001226A" w:rsidRDefault="00B00248"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Pr="002D43D6" w:rsidRDefault="00B00248" w:rsidP="002D43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8" w:rsidRDefault="00B00248">
    <w:pPr>
      <w:pStyle w:val="Header"/>
    </w:pPr>
    <w:r>
      <w:rPr>
        <w:noProof/>
        <w:lang w:eastAsia="en-AU"/>
      </w:rPr>
      <w:drawing>
        <wp:anchor distT="0" distB="0" distL="114300" distR="114300" simplePos="0" relativeHeight="251694080" behindDoc="1" locked="0" layoutInCell="1" allowOverlap="1" wp14:anchorId="27A2CB7E" wp14:editId="2B656496">
          <wp:simplePos x="0" y="0"/>
          <wp:positionH relativeFrom="page">
            <wp:posOffset>0</wp:posOffset>
          </wp:positionH>
          <wp:positionV relativeFrom="page">
            <wp:posOffset>0</wp:posOffset>
          </wp:positionV>
          <wp:extent cx="7563600" cy="10695600"/>
          <wp:effectExtent l="0" t="0" r="0" b="0"/>
          <wp:wrapNone/>
          <wp:docPr id="5" name="Picture 5"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3056" behindDoc="1" locked="1" layoutInCell="1" allowOverlap="1" wp14:anchorId="6BD090BA" wp14:editId="3B4D1F4A">
              <wp:simplePos x="0" y="0"/>
              <wp:positionH relativeFrom="page">
                <wp:align>center</wp:align>
              </wp:positionH>
              <wp:positionV relativeFrom="page">
                <wp:align>center</wp:align>
              </wp:positionV>
              <wp:extent cx="7560000" cy="1796400"/>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248" w:rsidRPr="0001226A" w:rsidRDefault="00B00248"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jfZqa6AgAA&#10;xAUAAA4AAAAAAAAAAAAAAAAALgIAAGRycy9lMm9Eb2MueG1sUEsBAi0AFAAGAAgAAAAhADTFRM7b&#10;AAAABgEAAA8AAAAAAAAAAAAAAAAAFAUAAGRycy9kb3ducmV2LnhtbFBLBQYAAAAABAAEAPMAAAAc&#10;BgAAAAA=&#10;" filled="f" stroked="f">
              <v:textbox>
                <w:txbxContent>
                  <w:p w:rsidR="00B00248" w:rsidRPr="0001226A" w:rsidRDefault="00B00248"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B17C8F64"/>
    <w:lvl w:ilvl="0">
      <w:start w:val="1"/>
      <w:numFmt w:val="decimal"/>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451A492E"/>
    <w:name w:val="TableFootnotes"/>
    <w:lvl w:ilvl="0">
      <w:start w:val="1"/>
      <w:numFmt w:val="decimal"/>
      <w:pStyle w:val="TableFootnotes"/>
      <w:lvlText w:val="%1"/>
      <w:lvlJc w:val="left"/>
      <w:pPr>
        <w:ind w:left="227" w:hanging="227"/>
      </w:pPr>
      <w:rPr>
        <w:rFonts w:asciiTheme="minorHAnsi" w:eastAsiaTheme="minorHAnsi" w:hAnsiTheme="minorHAnsi" w:cstheme="minorBidi"/>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2C72580B"/>
    <w:multiLevelType w:val="multilevel"/>
    <w:tmpl w:val="A1605A0E"/>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38723AD4"/>
    <w:multiLevelType w:val="multilevel"/>
    <w:tmpl w:val="CC2400A2"/>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D0540A9"/>
    <w:multiLevelType w:val="multilevel"/>
    <w:tmpl w:val="BBEA92C8"/>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7">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pStyle w:val="Bullet2"/>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D1D40AC"/>
    <w:multiLevelType w:val="multilevel"/>
    <w:tmpl w:val="D18C6390"/>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0250B03"/>
    <w:multiLevelType w:val="multilevel"/>
    <w:tmpl w:val="5796740A"/>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nsid w:val="7839021E"/>
    <w:multiLevelType w:val="multilevel"/>
    <w:tmpl w:val="C186E662"/>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6"/>
  </w:num>
  <w:num w:numId="2">
    <w:abstractNumId w:val="10"/>
  </w:num>
  <w:num w:numId="3">
    <w:abstractNumId w:val="2"/>
  </w:num>
  <w:num w:numId="4">
    <w:abstractNumId w:val="7"/>
  </w:num>
  <w:num w:numId="5">
    <w:abstractNumId w:val="1"/>
  </w:num>
  <w:num w:numId="6">
    <w:abstractNumId w:val="0"/>
  </w:num>
  <w:num w:numId="7">
    <w:abstractNumId w:val="10"/>
  </w:num>
  <w:num w:numId="8">
    <w:abstractNumId w:val="5"/>
  </w:num>
  <w:num w:numId="9">
    <w:abstractNumId w:val="4"/>
  </w:num>
  <w:num w:numId="10">
    <w:abstractNumId w:val="9"/>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284"/>
  <w:evenAndOddHeaders/>
  <w:characterSpacingControl w:val="doNotCompress"/>
  <w:hdrShapeDefaults>
    <o:shapedefaults v:ext="edit" spidmax="148481"/>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Fals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0856C7"/>
    <w:rsid w:val="0000243B"/>
    <w:rsid w:val="0000322C"/>
    <w:rsid w:val="00003CDD"/>
    <w:rsid w:val="000054CA"/>
    <w:rsid w:val="000168A7"/>
    <w:rsid w:val="000230DD"/>
    <w:rsid w:val="000235D6"/>
    <w:rsid w:val="000278D0"/>
    <w:rsid w:val="00027E62"/>
    <w:rsid w:val="000307C8"/>
    <w:rsid w:val="00030F73"/>
    <w:rsid w:val="0003278B"/>
    <w:rsid w:val="00034665"/>
    <w:rsid w:val="00035ADE"/>
    <w:rsid w:val="0004224B"/>
    <w:rsid w:val="00042B49"/>
    <w:rsid w:val="00046226"/>
    <w:rsid w:val="00047785"/>
    <w:rsid w:val="0005330D"/>
    <w:rsid w:val="000557A7"/>
    <w:rsid w:val="00055805"/>
    <w:rsid w:val="00056CB3"/>
    <w:rsid w:val="000609CA"/>
    <w:rsid w:val="0006250B"/>
    <w:rsid w:val="00065AB5"/>
    <w:rsid w:val="00067A28"/>
    <w:rsid w:val="0007260F"/>
    <w:rsid w:val="00074D72"/>
    <w:rsid w:val="00076EF9"/>
    <w:rsid w:val="000805D5"/>
    <w:rsid w:val="0008103B"/>
    <w:rsid w:val="0008118D"/>
    <w:rsid w:val="000839F2"/>
    <w:rsid w:val="000856C7"/>
    <w:rsid w:val="00085F97"/>
    <w:rsid w:val="00087164"/>
    <w:rsid w:val="00090468"/>
    <w:rsid w:val="00092A33"/>
    <w:rsid w:val="0009653A"/>
    <w:rsid w:val="00097E20"/>
    <w:rsid w:val="000A0E69"/>
    <w:rsid w:val="000A2B9C"/>
    <w:rsid w:val="000A2FEC"/>
    <w:rsid w:val="000A348F"/>
    <w:rsid w:val="000A68F3"/>
    <w:rsid w:val="000B1EE7"/>
    <w:rsid w:val="000B3418"/>
    <w:rsid w:val="000B67E3"/>
    <w:rsid w:val="000B6942"/>
    <w:rsid w:val="000C09FA"/>
    <w:rsid w:val="000C2040"/>
    <w:rsid w:val="000C37A9"/>
    <w:rsid w:val="000C56AB"/>
    <w:rsid w:val="000C5A82"/>
    <w:rsid w:val="000C6728"/>
    <w:rsid w:val="000C702E"/>
    <w:rsid w:val="000D15E9"/>
    <w:rsid w:val="000D303C"/>
    <w:rsid w:val="000D3182"/>
    <w:rsid w:val="000D38AB"/>
    <w:rsid w:val="000D45C4"/>
    <w:rsid w:val="000E09A1"/>
    <w:rsid w:val="000E18F3"/>
    <w:rsid w:val="000E266E"/>
    <w:rsid w:val="000E3DF3"/>
    <w:rsid w:val="000E6162"/>
    <w:rsid w:val="000E675E"/>
    <w:rsid w:val="000F0005"/>
    <w:rsid w:val="000F1515"/>
    <w:rsid w:val="000F16B5"/>
    <w:rsid w:val="000F1BE4"/>
    <w:rsid w:val="000F234F"/>
    <w:rsid w:val="000F4410"/>
    <w:rsid w:val="000F616E"/>
    <w:rsid w:val="00100AE6"/>
    <w:rsid w:val="00102D2D"/>
    <w:rsid w:val="00107308"/>
    <w:rsid w:val="00110D43"/>
    <w:rsid w:val="001159EA"/>
    <w:rsid w:val="0011638A"/>
    <w:rsid w:val="0011682E"/>
    <w:rsid w:val="00122C92"/>
    <w:rsid w:val="00125410"/>
    <w:rsid w:val="00125736"/>
    <w:rsid w:val="00125DBB"/>
    <w:rsid w:val="00130237"/>
    <w:rsid w:val="00130858"/>
    <w:rsid w:val="001327DB"/>
    <w:rsid w:val="00135D7B"/>
    <w:rsid w:val="00135F41"/>
    <w:rsid w:val="00136C26"/>
    <w:rsid w:val="0014059F"/>
    <w:rsid w:val="00140B96"/>
    <w:rsid w:val="00141551"/>
    <w:rsid w:val="001417CE"/>
    <w:rsid w:val="0014479F"/>
    <w:rsid w:val="00147B44"/>
    <w:rsid w:val="00152C71"/>
    <w:rsid w:val="00153EDA"/>
    <w:rsid w:val="00154DC5"/>
    <w:rsid w:val="00155C12"/>
    <w:rsid w:val="00157202"/>
    <w:rsid w:val="00160C8D"/>
    <w:rsid w:val="001629C0"/>
    <w:rsid w:val="00165122"/>
    <w:rsid w:val="00165854"/>
    <w:rsid w:val="00166EB8"/>
    <w:rsid w:val="00173DFD"/>
    <w:rsid w:val="00175A78"/>
    <w:rsid w:val="00180FF9"/>
    <w:rsid w:val="001816D6"/>
    <w:rsid w:val="00190746"/>
    <w:rsid w:val="00191455"/>
    <w:rsid w:val="00195228"/>
    <w:rsid w:val="00195696"/>
    <w:rsid w:val="00196532"/>
    <w:rsid w:val="00197434"/>
    <w:rsid w:val="001A1EFC"/>
    <w:rsid w:val="001A371F"/>
    <w:rsid w:val="001A48EF"/>
    <w:rsid w:val="001A49CC"/>
    <w:rsid w:val="001A50D4"/>
    <w:rsid w:val="001A5553"/>
    <w:rsid w:val="001A716E"/>
    <w:rsid w:val="001B2C65"/>
    <w:rsid w:val="001B439F"/>
    <w:rsid w:val="001B49C3"/>
    <w:rsid w:val="001B4F78"/>
    <w:rsid w:val="001B5F8F"/>
    <w:rsid w:val="001B6F7C"/>
    <w:rsid w:val="001B7058"/>
    <w:rsid w:val="001C09FE"/>
    <w:rsid w:val="001C1653"/>
    <w:rsid w:val="001C3A4F"/>
    <w:rsid w:val="001C3B43"/>
    <w:rsid w:val="001C4121"/>
    <w:rsid w:val="001C48DE"/>
    <w:rsid w:val="001C6CDC"/>
    <w:rsid w:val="001D3A30"/>
    <w:rsid w:val="001D52E3"/>
    <w:rsid w:val="001D576F"/>
    <w:rsid w:val="001D57D7"/>
    <w:rsid w:val="001D6E3C"/>
    <w:rsid w:val="001D74F1"/>
    <w:rsid w:val="001D7C29"/>
    <w:rsid w:val="001E0475"/>
    <w:rsid w:val="001E0A17"/>
    <w:rsid w:val="001E51BD"/>
    <w:rsid w:val="001E5383"/>
    <w:rsid w:val="001E60F4"/>
    <w:rsid w:val="001F0FE9"/>
    <w:rsid w:val="001F1AF0"/>
    <w:rsid w:val="001F5C90"/>
    <w:rsid w:val="001F714D"/>
    <w:rsid w:val="001F767C"/>
    <w:rsid w:val="002012A0"/>
    <w:rsid w:val="002015FB"/>
    <w:rsid w:val="00210FCF"/>
    <w:rsid w:val="00222EFF"/>
    <w:rsid w:val="002240D5"/>
    <w:rsid w:val="002261A7"/>
    <w:rsid w:val="002264CF"/>
    <w:rsid w:val="00226832"/>
    <w:rsid w:val="00226AEC"/>
    <w:rsid w:val="00230385"/>
    <w:rsid w:val="002346B0"/>
    <w:rsid w:val="00234784"/>
    <w:rsid w:val="0023699B"/>
    <w:rsid w:val="00242F58"/>
    <w:rsid w:val="00243DDC"/>
    <w:rsid w:val="00250FCF"/>
    <w:rsid w:val="002545F3"/>
    <w:rsid w:val="00256F83"/>
    <w:rsid w:val="0025780C"/>
    <w:rsid w:val="002614BC"/>
    <w:rsid w:val="0026344F"/>
    <w:rsid w:val="0026503C"/>
    <w:rsid w:val="0026524F"/>
    <w:rsid w:val="00266A17"/>
    <w:rsid w:val="002677D1"/>
    <w:rsid w:val="00270372"/>
    <w:rsid w:val="002704A2"/>
    <w:rsid w:val="00272BE8"/>
    <w:rsid w:val="00274362"/>
    <w:rsid w:val="00275534"/>
    <w:rsid w:val="00277075"/>
    <w:rsid w:val="002775D2"/>
    <w:rsid w:val="00281ADD"/>
    <w:rsid w:val="00293E0D"/>
    <w:rsid w:val="00293E80"/>
    <w:rsid w:val="00294E45"/>
    <w:rsid w:val="002973B0"/>
    <w:rsid w:val="00297C14"/>
    <w:rsid w:val="002A220F"/>
    <w:rsid w:val="002A24F1"/>
    <w:rsid w:val="002A5778"/>
    <w:rsid w:val="002A69DA"/>
    <w:rsid w:val="002A6F4F"/>
    <w:rsid w:val="002B1E84"/>
    <w:rsid w:val="002B1FCB"/>
    <w:rsid w:val="002B2085"/>
    <w:rsid w:val="002B2B52"/>
    <w:rsid w:val="002B2FFF"/>
    <w:rsid w:val="002B3EC4"/>
    <w:rsid w:val="002B5E5E"/>
    <w:rsid w:val="002C0324"/>
    <w:rsid w:val="002C37D5"/>
    <w:rsid w:val="002C4B53"/>
    <w:rsid w:val="002C5D55"/>
    <w:rsid w:val="002D2350"/>
    <w:rsid w:val="002D34DB"/>
    <w:rsid w:val="002D43D6"/>
    <w:rsid w:val="002D4B11"/>
    <w:rsid w:val="002D5F67"/>
    <w:rsid w:val="002E5633"/>
    <w:rsid w:val="002F1963"/>
    <w:rsid w:val="002F399E"/>
    <w:rsid w:val="002F3BB5"/>
    <w:rsid w:val="002F5B6E"/>
    <w:rsid w:val="002F61B5"/>
    <w:rsid w:val="002F6962"/>
    <w:rsid w:val="002F6F0C"/>
    <w:rsid w:val="0030209B"/>
    <w:rsid w:val="003059F2"/>
    <w:rsid w:val="0031027B"/>
    <w:rsid w:val="00310BE1"/>
    <w:rsid w:val="003127E4"/>
    <w:rsid w:val="00313215"/>
    <w:rsid w:val="003174C3"/>
    <w:rsid w:val="0032026A"/>
    <w:rsid w:val="003241C0"/>
    <w:rsid w:val="0032557A"/>
    <w:rsid w:val="003278C2"/>
    <w:rsid w:val="00330D36"/>
    <w:rsid w:val="003311B5"/>
    <w:rsid w:val="00332739"/>
    <w:rsid w:val="00336679"/>
    <w:rsid w:val="00340778"/>
    <w:rsid w:val="0034357A"/>
    <w:rsid w:val="00344D2C"/>
    <w:rsid w:val="00344D35"/>
    <w:rsid w:val="003458CE"/>
    <w:rsid w:val="00345A57"/>
    <w:rsid w:val="00346D90"/>
    <w:rsid w:val="003513BB"/>
    <w:rsid w:val="00351F62"/>
    <w:rsid w:val="003579CD"/>
    <w:rsid w:val="003601F4"/>
    <w:rsid w:val="003602DE"/>
    <w:rsid w:val="00363008"/>
    <w:rsid w:val="003671E2"/>
    <w:rsid w:val="003700E6"/>
    <w:rsid w:val="003703F1"/>
    <w:rsid w:val="00371F2A"/>
    <w:rsid w:val="00372AE6"/>
    <w:rsid w:val="00373AD0"/>
    <w:rsid w:val="00375DA3"/>
    <w:rsid w:val="00375DF4"/>
    <w:rsid w:val="00380FAE"/>
    <w:rsid w:val="00382704"/>
    <w:rsid w:val="003837E1"/>
    <w:rsid w:val="0038584D"/>
    <w:rsid w:val="00385A26"/>
    <w:rsid w:val="003916F5"/>
    <w:rsid w:val="0039257F"/>
    <w:rsid w:val="00392E50"/>
    <w:rsid w:val="003931DE"/>
    <w:rsid w:val="00397D1A"/>
    <w:rsid w:val="003A163C"/>
    <w:rsid w:val="003A19A6"/>
    <w:rsid w:val="003A1B93"/>
    <w:rsid w:val="003A2B4E"/>
    <w:rsid w:val="003A2FBB"/>
    <w:rsid w:val="003A3799"/>
    <w:rsid w:val="003A4913"/>
    <w:rsid w:val="003A4DC3"/>
    <w:rsid w:val="003A54A9"/>
    <w:rsid w:val="003A7083"/>
    <w:rsid w:val="003B145A"/>
    <w:rsid w:val="003B38B3"/>
    <w:rsid w:val="003B3A97"/>
    <w:rsid w:val="003B3D44"/>
    <w:rsid w:val="003B7D9E"/>
    <w:rsid w:val="003C5DEF"/>
    <w:rsid w:val="003C7CC2"/>
    <w:rsid w:val="003D171C"/>
    <w:rsid w:val="003D17A1"/>
    <w:rsid w:val="003D217A"/>
    <w:rsid w:val="003D50B6"/>
    <w:rsid w:val="003D70AB"/>
    <w:rsid w:val="003E05DF"/>
    <w:rsid w:val="003E2659"/>
    <w:rsid w:val="003E6085"/>
    <w:rsid w:val="003E6C68"/>
    <w:rsid w:val="003E6CA3"/>
    <w:rsid w:val="003F0963"/>
    <w:rsid w:val="003F4C96"/>
    <w:rsid w:val="003F5584"/>
    <w:rsid w:val="004021D7"/>
    <w:rsid w:val="00403BB8"/>
    <w:rsid w:val="00406002"/>
    <w:rsid w:val="00406A02"/>
    <w:rsid w:val="00406AD3"/>
    <w:rsid w:val="00412E42"/>
    <w:rsid w:val="00413175"/>
    <w:rsid w:val="00417983"/>
    <w:rsid w:val="00422276"/>
    <w:rsid w:val="00422D01"/>
    <w:rsid w:val="00423E95"/>
    <w:rsid w:val="00426356"/>
    <w:rsid w:val="00426929"/>
    <w:rsid w:val="00426A85"/>
    <w:rsid w:val="004356B7"/>
    <w:rsid w:val="00435D71"/>
    <w:rsid w:val="00437900"/>
    <w:rsid w:val="004405A0"/>
    <w:rsid w:val="0044173F"/>
    <w:rsid w:val="00442C16"/>
    <w:rsid w:val="00443785"/>
    <w:rsid w:val="00444238"/>
    <w:rsid w:val="00446439"/>
    <w:rsid w:val="00450BDA"/>
    <w:rsid w:val="00453A3E"/>
    <w:rsid w:val="0045452F"/>
    <w:rsid w:val="0045766B"/>
    <w:rsid w:val="004613A2"/>
    <w:rsid w:val="00461EB2"/>
    <w:rsid w:val="004712B5"/>
    <w:rsid w:val="00474BB7"/>
    <w:rsid w:val="00477D5A"/>
    <w:rsid w:val="004816D7"/>
    <w:rsid w:val="0048342E"/>
    <w:rsid w:val="00487478"/>
    <w:rsid w:val="0048782D"/>
    <w:rsid w:val="00494DC1"/>
    <w:rsid w:val="004A1969"/>
    <w:rsid w:val="004A3F56"/>
    <w:rsid w:val="004A4BA9"/>
    <w:rsid w:val="004A5E21"/>
    <w:rsid w:val="004A666A"/>
    <w:rsid w:val="004B143F"/>
    <w:rsid w:val="004B49A0"/>
    <w:rsid w:val="004B77A5"/>
    <w:rsid w:val="004C2D97"/>
    <w:rsid w:val="004C6306"/>
    <w:rsid w:val="004C6F5E"/>
    <w:rsid w:val="004C7E94"/>
    <w:rsid w:val="004D1850"/>
    <w:rsid w:val="004D72AE"/>
    <w:rsid w:val="004D7CF8"/>
    <w:rsid w:val="004D7EDA"/>
    <w:rsid w:val="004E0E49"/>
    <w:rsid w:val="004E197A"/>
    <w:rsid w:val="004E4EB3"/>
    <w:rsid w:val="004E5C3B"/>
    <w:rsid w:val="004E5D52"/>
    <w:rsid w:val="004F07D7"/>
    <w:rsid w:val="004F1297"/>
    <w:rsid w:val="004F16DB"/>
    <w:rsid w:val="004F4895"/>
    <w:rsid w:val="004F4D7E"/>
    <w:rsid w:val="004F5B16"/>
    <w:rsid w:val="004F5D9D"/>
    <w:rsid w:val="004F68E5"/>
    <w:rsid w:val="004F741B"/>
    <w:rsid w:val="00503253"/>
    <w:rsid w:val="00503BB0"/>
    <w:rsid w:val="00503E03"/>
    <w:rsid w:val="0051054B"/>
    <w:rsid w:val="00510BEE"/>
    <w:rsid w:val="00512226"/>
    <w:rsid w:val="005147C6"/>
    <w:rsid w:val="005159B1"/>
    <w:rsid w:val="00516B98"/>
    <w:rsid w:val="0051746A"/>
    <w:rsid w:val="00520D0F"/>
    <w:rsid w:val="00522502"/>
    <w:rsid w:val="005255A1"/>
    <w:rsid w:val="0052641C"/>
    <w:rsid w:val="00526A08"/>
    <w:rsid w:val="00527BAE"/>
    <w:rsid w:val="00534C20"/>
    <w:rsid w:val="0053795D"/>
    <w:rsid w:val="00541441"/>
    <w:rsid w:val="00541825"/>
    <w:rsid w:val="00544522"/>
    <w:rsid w:val="005468AB"/>
    <w:rsid w:val="005501A0"/>
    <w:rsid w:val="00550831"/>
    <w:rsid w:val="00552FFD"/>
    <w:rsid w:val="005531AD"/>
    <w:rsid w:val="00553723"/>
    <w:rsid w:val="005537D4"/>
    <w:rsid w:val="00554273"/>
    <w:rsid w:val="005642B6"/>
    <w:rsid w:val="00566CE1"/>
    <w:rsid w:val="00571D5E"/>
    <w:rsid w:val="0057303A"/>
    <w:rsid w:val="00574C02"/>
    <w:rsid w:val="00576C0D"/>
    <w:rsid w:val="0058133F"/>
    <w:rsid w:val="005823D0"/>
    <w:rsid w:val="005937C4"/>
    <w:rsid w:val="00593D95"/>
    <w:rsid w:val="00596E31"/>
    <w:rsid w:val="005A0E30"/>
    <w:rsid w:val="005A2748"/>
    <w:rsid w:val="005A38CC"/>
    <w:rsid w:val="005A416D"/>
    <w:rsid w:val="005A443F"/>
    <w:rsid w:val="005A4A94"/>
    <w:rsid w:val="005B1277"/>
    <w:rsid w:val="005B26E9"/>
    <w:rsid w:val="005B58D4"/>
    <w:rsid w:val="005C03EA"/>
    <w:rsid w:val="005C07B3"/>
    <w:rsid w:val="005C284E"/>
    <w:rsid w:val="005C28C9"/>
    <w:rsid w:val="005C2C19"/>
    <w:rsid w:val="005C47D4"/>
    <w:rsid w:val="005C787D"/>
    <w:rsid w:val="005D51D0"/>
    <w:rsid w:val="005D67DF"/>
    <w:rsid w:val="005D6F83"/>
    <w:rsid w:val="005D7877"/>
    <w:rsid w:val="005D7CCF"/>
    <w:rsid w:val="005E07DD"/>
    <w:rsid w:val="005E0C32"/>
    <w:rsid w:val="005E58C4"/>
    <w:rsid w:val="005E5A57"/>
    <w:rsid w:val="005E5D8F"/>
    <w:rsid w:val="005F43CC"/>
    <w:rsid w:val="005F5A5C"/>
    <w:rsid w:val="005F5CD9"/>
    <w:rsid w:val="00601A07"/>
    <w:rsid w:val="00610C64"/>
    <w:rsid w:val="0061135C"/>
    <w:rsid w:val="006136DD"/>
    <w:rsid w:val="006149F0"/>
    <w:rsid w:val="006220A5"/>
    <w:rsid w:val="0062257A"/>
    <w:rsid w:val="006229AE"/>
    <w:rsid w:val="00624AC8"/>
    <w:rsid w:val="00624E44"/>
    <w:rsid w:val="006302E7"/>
    <w:rsid w:val="00630432"/>
    <w:rsid w:val="00633C60"/>
    <w:rsid w:val="0064126D"/>
    <w:rsid w:val="00643682"/>
    <w:rsid w:val="00643F49"/>
    <w:rsid w:val="006451B8"/>
    <w:rsid w:val="00645722"/>
    <w:rsid w:val="00646262"/>
    <w:rsid w:val="0064656D"/>
    <w:rsid w:val="00652432"/>
    <w:rsid w:val="00657840"/>
    <w:rsid w:val="0066003C"/>
    <w:rsid w:val="0066041E"/>
    <w:rsid w:val="00661A8E"/>
    <w:rsid w:val="00664727"/>
    <w:rsid w:val="006712F8"/>
    <w:rsid w:val="006720E2"/>
    <w:rsid w:val="006726A4"/>
    <w:rsid w:val="0067384A"/>
    <w:rsid w:val="00673CCC"/>
    <w:rsid w:val="0067533E"/>
    <w:rsid w:val="00675C98"/>
    <w:rsid w:val="00677697"/>
    <w:rsid w:val="00684EFD"/>
    <w:rsid w:val="00686D32"/>
    <w:rsid w:val="0069026B"/>
    <w:rsid w:val="006910BD"/>
    <w:rsid w:val="006945A2"/>
    <w:rsid w:val="006956EA"/>
    <w:rsid w:val="00697F48"/>
    <w:rsid w:val="006A490C"/>
    <w:rsid w:val="006A6B6D"/>
    <w:rsid w:val="006A73C2"/>
    <w:rsid w:val="006A7DC7"/>
    <w:rsid w:val="006B1930"/>
    <w:rsid w:val="006B298A"/>
    <w:rsid w:val="006B3933"/>
    <w:rsid w:val="006B4F7D"/>
    <w:rsid w:val="006C114C"/>
    <w:rsid w:val="006C1259"/>
    <w:rsid w:val="006C3864"/>
    <w:rsid w:val="006C5383"/>
    <w:rsid w:val="006C5E72"/>
    <w:rsid w:val="006C7159"/>
    <w:rsid w:val="006C7E0E"/>
    <w:rsid w:val="006D1268"/>
    <w:rsid w:val="006D2AEC"/>
    <w:rsid w:val="006D4289"/>
    <w:rsid w:val="006D4C8E"/>
    <w:rsid w:val="006E13E7"/>
    <w:rsid w:val="006E19D1"/>
    <w:rsid w:val="006E1CBB"/>
    <w:rsid w:val="006E6490"/>
    <w:rsid w:val="006F05B7"/>
    <w:rsid w:val="006F100B"/>
    <w:rsid w:val="006F239A"/>
    <w:rsid w:val="006F2C9D"/>
    <w:rsid w:val="006F48A4"/>
    <w:rsid w:val="006F5CDC"/>
    <w:rsid w:val="00700C56"/>
    <w:rsid w:val="0070637D"/>
    <w:rsid w:val="0070663E"/>
    <w:rsid w:val="007071DD"/>
    <w:rsid w:val="007072D3"/>
    <w:rsid w:val="0070771F"/>
    <w:rsid w:val="007101F5"/>
    <w:rsid w:val="00711FEA"/>
    <w:rsid w:val="00712A14"/>
    <w:rsid w:val="00714B47"/>
    <w:rsid w:val="00716024"/>
    <w:rsid w:val="00716C04"/>
    <w:rsid w:val="00717180"/>
    <w:rsid w:val="007179D2"/>
    <w:rsid w:val="00720750"/>
    <w:rsid w:val="00722EBF"/>
    <w:rsid w:val="0072549C"/>
    <w:rsid w:val="00725A80"/>
    <w:rsid w:val="007275F1"/>
    <w:rsid w:val="00727EDB"/>
    <w:rsid w:val="007331DE"/>
    <w:rsid w:val="00733970"/>
    <w:rsid w:val="0074128B"/>
    <w:rsid w:val="00750568"/>
    <w:rsid w:val="007528EE"/>
    <w:rsid w:val="00754C58"/>
    <w:rsid w:val="00761191"/>
    <w:rsid w:val="007618F2"/>
    <w:rsid w:val="007651E3"/>
    <w:rsid w:val="00766031"/>
    <w:rsid w:val="007671BF"/>
    <w:rsid w:val="0076750D"/>
    <w:rsid w:val="00774292"/>
    <w:rsid w:val="00775E2B"/>
    <w:rsid w:val="00776E78"/>
    <w:rsid w:val="0078131E"/>
    <w:rsid w:val="0078138A"/>
    <w:rsid w:val="007824F4"/>
    <w:rsid w:val="00783014"/>
    <w:rsid w:val="007834DC"/>
    <w:rsid w:val="0079158B"/>
    <w:rsid w:val="00791AC8"/>
    <w:rsid w:val="00792F9E"/>
    <w:rsid w:val="007959D8"/>
    <w:rsid w:val="0079630F"/>
    <w:rsid w:val="007A04C2"/>
    <w:rsid w:val="007A4505"/>
    <w:rsid w:val="007B04A0"/>
    <w:rsid w:val="007B146A"/>
    <w:rsid w:val="007B79CD"/>
    <w:rsid w:val="007C0E7C"/>
    <w:rsid w:val="007C0EAA"/>
    <w:rsid w:val="007C210A"/>
    <w:rsid w:val="007C3016"/>
    <w:rsid w:val="007C3069"/>
    <w:rsid w:val="007C3790"/>
    <w:rsid w:val="007C44B2"/>
    <w:rsid w:val="007C45F7"/>
    <w:rsid w:val="007C6496"/>
    <w:rsid w:val="007C6CD4"/>
    <w:rsid w:val="007C745E"/>
    <w:rsid w:val="007C7BFD"/>
    <w:rsid w:val="007C7DC5"/>
    <w:rsid w:val="007D2FDA"/>
    <w:rsid w:val="007D3E6E"/>
    <w:rsid w:val="007E2F96"/>
    <w:rsid w:val="007E3F8C"/>
    <w:rsid w:val="007E406E"/>
    <w:rsid w:val="007E6D29"/>
    <w:rsid w:val="007F16A8"/>
    <w:rsid w:val="007F2058"/>
    <w:rsid w:val="007F445E"/>
    <w:rsid w:val="007F551E"/>
    <w:rsid w:val="007F72E5"/>
    <w:rsid w:val="007F764E"/>
    <w:rsid w:val="007F7685"/>
    <w:rsid w:val="0080011D"/>
    <w:rsid w:val="00800EA5"/>
    <w:rsid w:val="00801C01"/>
    <w:rsid w:val="00803B3C"/>
    <w:rsid w:val="00805CFD"/>
    <w:rsid w:val="008118E4"/>
    <w:rsid w:val="008130BB"/>
    <w:rsid w:val="008148E7"/>
    <w:rsid w:val="00815851"/>
    <w:rsid w:val="0081662C"/>
    <w:rsid w:val="0081721F"/>
    <w:rsid w:val="00822415"/>
    <w:rsid w:val="00822903"/>
    <w:rsid w:val="008237FA"/>
    <w:rsid w:val="008247F3"/>
    <w:rsid w:val="00825D37"/>
    <w:rsid w:val="00835419"/>
    <w:rsid w:val="008369B0"/>
    <w:rsid w:val="0083736D"/>
    <w:rsid w:val="00841EF1"/>
    <w:rsid w:val="00844FAF"/>
    <w:rsid w:val="0085732C"/>
    <w:rsid w:val="00860B45"/>
    <w:rsid w:val="00862B09"/>
    <w:rsid w:val="0086382B"/>
    <w:rsid w:val="00863860"/>
    <w:rsid w:val="008638B5"/>
    <w:rsid w:val="008647EF"/>
    <w:rsid w:val="00865979"/>
    <w:rsid w:val="00871584"/>
    <w:rsid w:val="0087342E"/>
    <w:rsid w:val="008734DB"/>
    <w:rsid w:val="0087390B"/>
    <w:rsid w:val="008745A1"/>
    <w:rsid w:val="008767D5"/>
    <w:rsid w:val="008768E9"/>
    <w:rsid w:val="0087751B"/>
    <w:rsid w:val="008776D6"/>
    <w:rsid w:val="00886426"/>
    <w:rsid w:val="00890995"/>
    <w:rsid w:val="008914FB"/>
    <w:rsid w:val="00892390"/>
    <w:rsid w:val="00897E99"/>
    <w:rsid w:val="00897F5F"/>
    <w:rsid w:val="008A36CD"/>
    <w:rsid w:val="008A4829"/>
    <w:rsid w:val="008A4F3B"/>
    <w:rsid w:val="008A57BE"/>
    <w:rsid w:val="008B06FA"/>
    <w:rsid w:val="008B2384"/>
    <w:rsid w:val="008B38D6"/>
    <w:rsid w:val="008B4802"/>
    <w:rsid w:val="008B69E3"/>
    <w:rsid w:val="008C1FD1"/>
    <w:rsid w:val="008C24A8"/>
    <w:rsid w:val="008C35EF"/>
    <w:rsid w:val="008C5996"/>
    <w:rsid w:val="008C673C"/>
    <w:rsid w:val="008C7E75"/>
    <w:rsid w:val="008D4A91"/>
    <w:rsid w:val="008D5A11"/>
    <w:rsid w:val="008D5E23"/>
    <w:rsid w:val="008E140F"/>
    <w:rsid w:val="008E56E3"/>
    <w:rsid w:val="008E6D59"/>
    <w:rsid w:val="008F1357"/>
    <w:rsid w:val="008F5D66"/>
    <w:rsid w:val="009028AA"/>
    <w:rsid w:val="00902A3A"/>
    <w:rsid w:val="00902C43"/>
    <w:rsid w:val="00903E3F"/>
    <w:rsid w:val="009049C3"/>
    <w:rsid w:val="009057D9"/>
    <w:rsid w:val="0090774A"/>
    <w:rsid w:val="00910D07"/>
    <w:rsid w:val="00914B2F"/>
    <w:rsid w:val="009150E6"/>
    <w:rsid w:val="00916A79"/>
    <w:rsid w:val="00917F89"/>
    <w:rsid w:val="0092358B"/>
    <w:rsid w:val="009255EE"/>
    <w:rsid w:val="00925603"/>
    <w:rsid w:val="00925F76"/>
    <w:rsid w:val="00927783"/>
    <w:rsid w:val="00932E89"/>
    <w:rsid w:val="0093359D"/>
    <w:rsid w:val="00933F2B"/>
    <w:rsid w:val="009358DB"/>
    <w:rsid w:val="00936C45"/>
    <w:rsid w:val="009374F8"/>
    <w:rsid w:val="00937A2B"/>
    <w:rsid w:val="00940E47"/>
    <w:rsid w:val="00942425"/>
    <w:rsid w:val="00942EEB"/>
    <w:rsid w:val="0094468E"/>
    <w:rsid w:val="00944F42"/>
    <w:rsid w:val="00945261"/>
    <w:rsid w:val="009506A5"/>
    <w:rsid w:val="00953696"/>
    <w:rsid w:val="009541CC"/>
    <w:rsid w:val="00956564"/>
    <w:rsid w:val="00956D5A"/>
    <w:rsid w:val="0095710A"/>
    <w:rsid w:val="009577EE"/>
    <w:rsid w:val="00957E51"/>
    <w:rsid w:val="00960AD4"/>
    <w:rsid w:val="00961B2C"/>
    <w:rsid w:val="00961DBB"/>
    <w:rsid w:val="0096618E"/>
    <w:rsid w:val="00966FD3"/>
    <w:rsid w:val="00973F95"/>
    <w:rsid w:val="00981433"/>
    <w:rsid w:val="0098275D"/>
    <w:rsid w:val="00983691"/>
    <w:rsid w:val="00985172"/>
    <w:rsid w:val="00985C07"/>
    <w:rsid w:val="00985C94"/>
    <w:rsid w:val="009867FF"/>
    <w:rsid w:val="00993BDF"/>
    <w:rsid w:val="00994B96"/>
    <w:rsid w:val="00995B4F"/>
    <w:rsid w:val="009961C0"/>
    <w:rsid w:val="00997582"/>
    <w:rsid w:val="0099784D"/>
    <w:rsid w:val="009A12CE"/>
    <w:rsid w:val="009A2C21"/>
    <w:rsid w:val="009A3E58"/>
    <w:rsid w:val="009A52A5"/>
    <w:rsid w:val="009A5F02"/>
    <w:rsid w:val="009A7AB1"/>
    <w:rsid w:val="009A7C0B"/>
    <w:rsid w:val="009B434C"/>
    <w:rsid w:val="009C2ACE"/>
    <w:rsid w:val="009C6DAA"/>
    <w:rsid w:val="009C744F"/>
    <w:rsid w:val="009C7C1E"/>
    <w:rsid w:val="009D0E74"/>
    <w:rsid w:val="009D1209"/>
    <w:rsid w:val="009D1A96"/>
    <w:rsid w:val="009D34EC"/>
    <w:rsid w:val="009D370B"/>
    <w:rsid w:val="009D52C6"/>
    <w:rsid w:val="009D7415"/>
    <w:rsid w:val="009E1EF1"/>
    <w:rsid w:val="009E2087"/>
    <w:rsid w:val="009E252B"/>
    <w:rsid w:val="009E3265"/>
    <w:rsid w:val="009E3353"/>
    <w:rsid w:val="009E446D"/>
    <w:rsid w:val="009E68B7"/>
    <w:rsid w:val="009E7C09"/>
    <w:rsid w:val="009F01FE"/>
    <w:rsid w:val="009F044B"/>
    <w:rsid w:val="009F146D"/>
    <w:rsid w:val="009F1A5B"/>
    <w:rsid w:val="009F1F07"/>
    <w:rsid w:val="009F34A4"/>
    <w:rsid w:val="009F4F1E"/>
    <w:rsid w:val="009F5AC3"/>
    <w:rsid w:val="009F74CB"/>
    <w:rsid w:val="00A0000C"/>
    <w:rsid w:val="00A015E4"/>
    <w:rsid w:val="00A075BC"/>
    <w:rsid w:val="00A11222"/>
    <w:rsid w:val="00A12594"/>
    <w:rsid w:val="00A12B2B"/>
    <w:rsid w:val="00A12C39"/>
    <w:rsid w:val="00A134FB"/>
    <w:rsid w:val="00A20802"/>
    <w:rsid w:val="00A236B1"/>
    <w:rsid w:val="00A23E40"/>
    <w:rsid w:val="00A25B4F"/>
    <w:rsid w:val="00A266E9"/>
    <w:rsid w:val="00A279F2"/>
    <w:rsid w:val="00A27B19"/>
    <w:rsid w:val="00A35E30"/>
    <w:rsid w:val="00A370E3"/>
    <w:rsid w:val="00A4004D"/>
    <w:rsid w:val="00A42B3B"/>
    <w:rsid w:val="00A434DA"/>
    <w:rsid w:val="00A442BF"/>
    <w:rsid w:val="00A44A52"/>
    <w:rsid w:val="00A452AB"/>
    <w:rsid w:val="00A53716"/>
    <w:rsid w:val="00A53726"/>
    <w:rsid w:val="00A53768"/>
    <w:rsid w:val="00A53CF2"/>
    <w:rsid w:val="00A54354"/>
    <w:rsid w:val="00A54D3B"/>
    <w:rsid w:val="00A5629E"/>
    <w:rsid w:val="00A614F5"/>
    <w:rsid w:val="00A61720"/>
    <w:rsid w:val="00A64832"/>
    <w:rsid w:val="00A67CB3"/>
    <w:rsid w:val="00A71F84"/>
    <w:rsid w:val="00A732DB"/>
    <w:rsid w:val="00A73B0A"/>
    <w:rsid w:val="00A8063F"/>
    <w:rsid w:val="00A86F04"/>
    <w:rsid w:val="00A90B6B"/>
    <w:rsid w:val="00A946C4"/>
    <w:rsid w:val="00AA3F63"/>
    <w:rsid w:val="00AA5F3A"/>
    <w:rsid w:val="00AB4451"/>
    <w:rsid w:val="00AB7DC8"/>
    <w:rsid w:val="00AC01F8"/>
    <w:rsid w:val="00AC059A"/>
    <w:rsid w:val="00AC092E"/>
    <w:rsid w:val="00AD0308"/>
    <w:rsid w:val="00AD0A60"/>
    <w:rsid w:val="00AD377A"/>
    <w:rsid w:val="00AD67BB"/>
    <w:rsid w:val="00AE1CC1"/>
    <w:rsid w:val="00AE3EA4"/>
    <w:rsid w:val="00AE4197"/>
    <w:rsid w:val="00AE4AF6"/>
    <w:rsid w:val="00AF1B02"/>
    <w:rsid w:val="00AF21DC"/>
    <w:rsid w:val="00AF324A"/>
    <w:rsid w:val="00AF415E"/>
    <w:rsid w:val="00AF41E4"/>
    <w:rsid w:val="00AF61FC"/>
    <w:rsid w:val="00B00248"/>
    <w:rsid w:val="00B02FF6"/>
    <w:rsid w:val="00B036FD"/>
    <w:rsid w:val="00B04A33"/>
    <w:rsid w:val="00B06A75"/>
    <w:rsid w:val="00B06BC3"/>
    <w:rsid w:val="00B15A0F"/>
    <w:rsid w:val="00B20236"/>
    <w:rsid w:val="00B20937"/>
    <w:rsid w:val="00B220A0"/>
    <w:rsid w:val="00B22B64"/>
    <w:rsid w:val="00B22FEA"/>
    <w:rsid w:val="00B23C74"/>
    <w:rsid w:val="00B24321"/>
    <w:rsid w:val="00B306F1"/>
    <w:rsid w:val="00B30FEB"/>
    <w:rsid w:val="00B33130"/>
    <w:rsid w:val="00B40AA3"/>
    <w:rsid w:val="00B41296"/>
    <w:rsid w:val="00B437B1"/>
    <w:rsid w:val="00B43878"/>
    <w:rsid w:val="00B44478"/>
    <w:rsid w:val="00B51A15"/>
    <w:rsid w:val="00B54D12"/>
    <w:rsid w:val="00B56BD4"/>
    <w:rsid w:val="00B6002C"/>
    <w:rsid w:val="00B620EE"/>
    <w:rsid w:val="00B6291D"/>
    <w:rsid w:val="00B636D5"/>
    <w:rsid w:val="00B67817"/>
    <w:rsid w:val="00B737DB"/>
    <w:rsid w:val="00B7576A"/>
    <w:rsid w:val="00B757C8"/>
    <w:rsid w:val="00B85366"/>
    <w:rsid w:val="00B87F60"/>
    <w:rsid w:val="00B91125"/>
    <w:rsid w:val="00B9194D"/>
    <w:rsid w:val="00B93D3D"/>
    <w:rsid w:val="00BA0C7A"/>
    <w:rsid w:val="00BA1207"/>
    <w:rsid w:val="00BA1893"/>
    <w:rsid w:val="00BA3828"/>
    <w:rsid w:val="00BA471F"/>
    <w:rsid w:val="00BB5013"/>
    <w:rsid w:val="00BB528E"/>
    <w:rsid w:val="00BB600D"/>
    <w:rsid w:val="00BC2410"/>
    <w:rsid w:val="00BC2600"/>
    <w:rsid w:val="00BC36F0"/>
    <w:rsid w:val="00BC4FA7"/>
    <w:rsid w:val="00BC5B2B"/>
    <w:rsid w:val="00BC5E30"/>
    <w:rsid w:val="00BC6919"/>
    <w:rsid w:val="00BD02C5"/>
    <w:rsid w:val="00BD068D"/>
    <w:rsid w:val="00BE0AA2"/>
    <w:rsid w:val="00BE0D9A"/>
    <w:rsid w:val="00BE1A50"/>
    <w:rsid w:val="00BE1DBA"/>
    <w:rsid w:val="00BE2F0D"/>
    <w:rsid w:val="00BE4FAD"/>
    <w:rsid w:val="00BE7351"/>
    <w:rsid w:val="00BF0177"/>
    <w:rsid w:val="00BF0BD5"/>
    <w:rsid w:val="00BF2871"/>
    <w:rsid w:val="00BF2945"/>
    <w:rsid w:val="00BF3792"/>
    <w:rsid w:val="00BF3EA2"/>
    <w:rsid w:val="00BF436C"/>
    <w:rsid w:val="00BF55F8"/>
    <w:rsid w:val="00C048DF"/>
    <w:rsid w:val="00C051FD"/>
    <w:rsid w:val="00C11781"/>
    <w:rsid w:val="00C1307C"/>
    <w:rsid w:val="00C17EF8"/>
    <w:rsid w:val="00C20C7D"/>
    <w:rsid w:val="00C20DEF"/>
    <w:rsid w:val="00C24B25"/>
    <w:rsid w:val="00C279F0"/>
    <w:rsid w:val="00C32C2F"/>
    <w:rsid w:val="00C33287"/>
    <w:rsid w:val="00C3703E"/>
    <w:rsid w:val="00C3738A"/>
    <w:rsid w:val="00C4315A"/>
    <w:rsid w:val="00C43F5E"/>
    <w:rsid w:val="00C44074"/>
    <w:rsid w:val="00C4651F"/>
    <w:rsid w:val="00C50CB4"/>
    <w:rsid w:val="00C51343"/>
    <w:rsid w:val="00C51D0B"/>
    <w:rsid w:val="00C52A50"/>
    <w:rsid w:val="00C55924"/>
    <w:rsid w:val="00C642D4"/>
    <w:rsid w:val="00C64387"/>
    <w:rsid w:val="00C65590"/>
    <w:rsid w:val="00C730F4"/>
    <w:rsid w:val="00C738E8"/>
    <w:rsid w:val="00C77D3F"/>
    <w:rsid w:val="00C80200"/>
    <w:rsid w:val="00C8270B"/>
    <w:rsid w:val="00C841A9"/>
    <w:rsid w:val="00C8728F"/>
    <w:rsid w:val="00C90E94"/>
    <w:rsid w:val="00C97FBC"/>
    <w:rsid w:val="00CA0B7E"/>
    <w:rsid w:val="00CA0DB2"/>
    <w:rsid w:val="00CA5598"/>
    <w:rsid w:val="00CA5EF8"/>
    <w:rsid w:val="00CA64D1"/>
    <w:rsid w:val="00CA6D19"/>
    <w:rsid w:val="00CB28A3"/>
    <w:rsid w:val="00CC00A0"/>
    <w:rsid w:val="00CC0D9A"/>
    <w:rsid w:val="00CC11D2"/>
    <w:rsid w:val="00CC5455"/>
    <w:rsid w:val="00CC54B3"/>
    <w:rsid w:val="00CC59A7"/>
    <w:rsid w:val="00CC672F"/>
    <w:rsid w:val="00CC6C06"/>
    <w:rsid w:val="00CD5509"/>
    <w:rsid w:val="00CD5C43"/>
    <w:rsid w:val="00CE1EB0"/>
    <w:rsid w:val="00CE3320"/>
    <w:rsid w:val="00CE391F"/>
    <w:rsid w:val="00CE3DF2"/>
    <w:rsid w:val="00CE4FDB"/>
    <w:rsid w:val="00CF0C0F"/>
    <w:rsid w:val="00CF1690"/>
    <w:rsid w:val="00CF1F2A"/>
    <w:rsid w:val="00CF2331"/>
    <w:rsid w:val="00CF326B"/>
    <w:rsid w:val="00CF50AA"/>
    <w:rsid w:val="00CF5CE3"/>
    <w:rsid w:val="00CF7412"/>
    <w:rsid w:val="00D030F8"/>
    <w:rsid w:val="00D077B7"/>
    <w:rsid w:val="00D07D46"/>
    <w:rsid w:val="00D17A75"/>
    <w:rsid w:val="00D20297"/>
    <w:rsid w:val="00D21E6B"/>
    <w:rsid w:val="00D23634"/>
    <w:rsid w:val="00D33D31"/>
    <w:rsid w:val="00D34551"/>
    <w:rsid w:val="00D36F88"/>
    <w:rsid w:val="00D457D6"/>
    <w:rsid w:val="00D501DC"/>
    <w:rsid w:val="00D52778"/>
    <w:rsid w:val="00D52D1D"/>
    <w:rsid w:val="00D64CE2"/>
    <w:rsid w:val="00D731DF"/>
    <w:rsid w:val="00D75235"/>
    <w:rsid w:val="00D7751B"/>
    <w:rsid w:val="00D815DC"/>
    <w:rsid w:val="00D822B5"/>
    <w:rsid w:val="00D83AA2"/>
    <w:rsid w:val="00D83D3C"/>
    <w:rsid w:val="00D85683"/>
    <w:rsid w:val="00D867AE"/>
    <w:rsid w:val="00D87689"/>
    <w:rsid w:val="00D87BBB"/>
    <w:rsid w:val="00D87C87"/>
    <w:rsid w:val="00D921C4"/>
    <w:rsid w:val="00D9296A"/>
    <w:rsid w:val="00D9316F"/>
    <w:rsid w:val="00D93C23"/>
    <w:rsid w:val="00D95638"/>
    <w:rsid w:val="00D9584C"/>
    <w:rsid w:val="00D95FB9"/>
    <w:rsid w:val="00DA0295"/>
    <w:rsid w:val="00DA107B"/>
    <w:rsid w:val="00DA14D9"/>
    <w:rsid w:val="00DA24D4"/>
    <w:rsid w:val="00DA777E"/>
    <w:rsid w:val="00DB13AD"/>
    <w:rsid w:val="00DB23F9"/>
    <w:rsid w:val="00DB3306"/>
    <w:rsid w:val="00DB4BCD"/>
    <w:rsid w:val="00DB58BE"/>
    <w:rsid w:val="00DB6176"/>
    <w:rsid w:val="00DB6AA0"/>
    <w:rsid w:val="00DB6CC9"/>
    <w:rsid w:val="00DB70F9"/>
    <w:rsid w:val="00DB7C3A"/>
    <w:rsid w:val="00DC5789"/>
    <w:rsid w:val="00DD32AB"/>
    <w:rsid w:val="00DD3A6B"/>
    <w:rsid w:val="00DD3DD9"/>
    <w:rsid w:val="00DD4FC6"/>
    <w:rsid w:val="00DD5BF6"/>
    <w:rsid w:val="00DE1865"/>
    <w:rsid w:val="00DE48AC"/>
    <w:rsid w:val="00DE6CEF"/>
    <w:rsid w:val="00DF11C2"/>
    <w:rsid w:val="00DF4593"/>
    <w:rsid w:val="00DF56B1"/>
    <w:rsid w:val="00DF60D0"/>
    <w:rsid w:val="00E01337"/>
    <w:rsid w:val="00E108CB"/>
    <w:rsid w:val="00E10D05"/>
    <w:rsid w:val="00E12DC4"/>
    <w:rsid w:val="00E15095"/>
    <w:rsid w:val="00E2134F"/>
    <w:rsid w:val="00E2223E"/>
    <w:rsid w:val="00E22D98"/>
    <w:rsid w:val="00E23057"/>
    <w:rsid w:val="00E237A4"/>
    <w:rsid w:val="00E23E9E"/>
    <w:rsid w:val="00E24623"/>
    <w:rsid w:val="00E24D68"/>
    <w:rsid w:val="00E252E3"/>
    <w:rsid w:val="00E26C23"/>
    <w:rsid w:val="00E26E27"/>
    <w:rsid w:val="00E27905"/>
    <w:rsid w:val="00E27A11"/>
    <w:rsid w:val="00E27BB5"/>
    <w:rsid w:val="00E30E50"/>
    <w:rsid w:val="00E37CAA"/>
    <w:rsid w:val="00E40505"/>
    <w:rsid w:val="00E42A41"/>
    <w:rsid w:val="00E450BA"/>
    <w:rsid w:val="00E45766"/>
    <w:rsid w:val="00E5570F"/>
    <w:rsid w:val="00E55AA8"/>
    <w:rsid w:val="00E55B5E"/>
    <w:rsid w:val="00E567E5"/>
    <w:rsid w:val="00E570B9"/>
    <w:rsid w:val="00E63241"/>
    <w:rsid w:val="00E6708B"/>
    <w:rsid w:val="00E722AA"/>
    <w:rsid w:val="00E73A8C"/>
    <w:rsid w:val="00E74B85"/>
    <w:rsid w:val="00E75050"/>
    <w:rsid w:val="00E7536F"/>
    <w:rsid w:val="00E76F42"/>
    <w:rsid w:val="00E7710F"/>
    <w:rsid w:val="00E83B4E"/>
    <w:rsid w:val="00E85E55"/>
    <w:rsid w:val="00E86CF7"/>
    <w:rsid w:val="00E915E6"/>
    <w:rsid w:val="00E95782"/>
    <w:rsid w:val="00EA0F54"/>
    <w:rsid w:val="00EA3E11"/>
    <w:rsid w:val="00EA3F3A"/>
    <w:rsid w:val="00EA4760"/>
    <w:rsid w:val="00EA5CF2"/>
    <w:rsid w:val="00EA6EB3"/>
    <w:rsid w:val="00EA765E"/>
    <w:rsid w:val="00EA780B"/>
    <w:rsid w:val="00EB2FD6"/>
    <w:rsid w:val="00EB3E98"/>
    <w:rsid w:val="00EB4A8E"/>
    <w:rsid w:val="00EB5EF3"/>
    <w:rsid w:val="00EB695D"/>
    <w:rsid w:val="00EC0BB4"/>
    <w:rsid w:val="00EC499F"/>
    <w:rsid w:val="00ED0D20"/>
    <w:rsid w:val="00ED39CE"/>
    <w:rsid w:val="00ED4134"/>
    <w:rsid w:val="00ED76FD"/>
    <w:rsid w:val="00EE008A"/>
    <w:rsid w:val="00EE05F1"/>
    <w:rsid w:val="00EE253C"/>
    <w:rsid w:val="00EE2E68"/>
    <w:rsid w:val="00EE471A"/>
    <w:rsid w:val="00EE53BC"/>
    <w:rsid w:val="00EE5492"/>
    <w:rsid w:val="00EF1EE8"/>
    <w:rsid w:val="00EF35B7"/>
    <w:rsid w:val="00EF7FE7"/>
    <w:rsid w:val="00F04322"/>
    <w:rsid w:val="00F06923"/>
    <w:rsid w:val="00F0758F"/>
    <w:rsid w:val="00F07BD5"/>
    <w:rsid w:val="00F1041B"/>
    <w:rsid w:val="00F11C5D"/>
    <w:rsid w:val="00F122D6"/>
    <w:rsid w:val="00F156AA"/>
    <w:rsid w:val="00F15BAC"/>
    <w:rsid w:val="00F15BF4"/>
    <w:rsid w:val="00F17940"/>
    <w:rsid w:val="00F2046C"/>
    <w:rsid w:val="00F20647"/>
    <w:rsid w:val="00F2515B"/>
    <w:rsid w:val="00F26864"/>
    <w:rsid w:val="00F31392"/>
    <w:rsid w:val="00F318BD"/>
    <w:rsid w:val="00F327F1"/>
    <w:rsid w:val="00F32FC6"/>
    <w:rsid w:val="00F3418C"/>
    <w:rsid w:val="00F348B5"/>
    <w:rsid w:val="00F34EE6"/>
    <w:rsid w:val="00F3652B"/>
    <w:rsid w:val="00F377B9"/>
    <w:rsid w:val="00F42494"/>
    <w:rsid w:val="00F45442"/>
    <w:rsid w:val="00F5145E"/>
    <w:rsid w:val="00F53618"/>
    <w:rsid w:val="00F558EA"/>
    <w:rsid w:val="00F577B3"/>
    <w:rsid w:val="00F57D79"/>
    <w:rsid w:val="00F613CB"/>
    <w:rsid w:val="00F61F79"/>
    <w:rsid w:val="00F62962"/>
    <w:rsid w:val="00F63B88"/>
    <w:rsid w:val="00F656A4"/>
    <w:rsid w:val="00F6665E"/>
    <w:rsid w:val="00F7075F"/>
    <w:rsid w:val="00F71D76"/>
    <w:rsid w:val="00F73F9E"/>
    <w:rsid w:val="00F75DA0"/>
    <w:rsid w:val="00F822A1"/>
    <w:rsid w:val="00F8349F"/>
    <w:rsid w:val="00F83FB7"/>
    <w:rsid w:val="00F85935"/>
    <w:rsid w:val="00F85941"/>
    <w:rsid w:val="00F85D29"/>
    <w:rsid w:val="00F9458D"/>
    <w:rsid w:val="00F969D3"/>
    <w:rsid w:val="00F96E24"/>
    <w:rsid w:val="00F97A9D"/>
    <w:rsid w:val="00F97C02"/>
    <w:rsid w:val="00FA190E"/>
    <w:rsid w:val="00FA5339"/>
    <w:rsid w:val="00FA54D8"/>
    <w:rsid w:val="00FA556B"/>
    <w:rsid w:val="00FA5B39"/>
    <w:rsid w:val="00FB46C5"/>
    <w:rsid w:val="00FC0398"/>
    <w:rsid w:val="00FC2D8B"/>
    <w:rsid w:val="00FC437A"/>
    <w:rsid w:val="00FC46A9"/>
    <w:rsid w:val="00FC4FB7"/>
    <w:rsid w:val="00FC500A"/>
    <w:rsid w:val="00FD173E"/>
    <w:rsid w:val="00FD21EC"/>
    <w:rsid w:val="00FD357B"/>
    <w:rsid w:val="00FD38FC"/>
    <w:rsid w:val="00FD6119"/>
    <w:rsid w:val="00FD688E"/>
    <w:rsid w:val="00FD7C0C"/>
    <w:rsid w:val="00FE045C"/>
    <w:rsid w:val="00FE0C52"/>
    <w:rsid w:val="00FE1692"/>
    <w:rsid w:val="00FE5976"/>
    <w:rsid w:val="00FE6343"/>
    <w:rsid w:val="00FF0566"/>
    <w:rsid w:val="00FF1E4C"/>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Followed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3E2659"/>
  </w:style>
  <w:style w:type="paragraph" w:styleId="Heading1">
    <w:name w:val="heading 1"/>
    <w:basedOn w:val="Normal"/>
    <w:next w:val="BodyText"/>
    <w:link w:val="Heading1Char"/>
    <w:qFormat/>
    <w:rsid w:val="001A371F"/>
    <w:pPr>
      <w:keepNext/>
      <w:keepLines/>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3E2659"/>
    <w:pPr>
      <w:keepNext/>
      <w:keepLines/>
      <w:numPr>
        <w:ilvl w:val="1"/>
        <w:numId w:val="5"/>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3E2659"/>
    <w:pPr>
      <w:keepNext/>
      <w:keepLines/>
      <w:tabs>
        <w:tab w:val="left" w:pos="1418"/>
        <w:tab w:val="left" w:pos="1701"/>
        <w:tab w:val="left" w:pos="1985"/>
      </w:tabs>
      <w:spacing w:before="470" w:after="227"/>
      <w:ind w:left="765" w:hanging="765"/>
      <w:outlineLvl w:val="2"/>
    </w:pPr>
    <w:rPr>
      <w:b/>
      <w:color w:val="2B3B5F" w:themeColor="text2"/>
      <w:sz w:val="28"/>
    </w:rPr>
  </w:style>
  <w:style w:type="paragraph" w:styleId="Heading4">
    <w:name w:val="heading 4"/>
    <w:basedOn w:val="Normal"/>
    <w:next w:val="BodyText"/>
    <w:link w:val="Heading4Char"/>
    <w:qFormat/>
    <w:rsid w:val="003E2659"/>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3E2659"/>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3E2659"/>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E2659"/>
    <w:pPr>
      <w:spacing w:before="113" w:after="113"/>
    </w:pPr>
    <w:rPr>
      <w:rFonts w:cs="Times New Roman"/>
      <w:spacing w:val="-1"/>
    </w:rPr>
  </w:style>
  <w:style w:type="character" w:customStyle="1" w:styleId="BodyTextChar">
    <w:name w:val="Body Text Char"/>
    <w:basedOn w:val="DefaultParagraphFont"/>
    <w:link w:val="BodyText"/>
    <w:rsid w:val="003E2659"/>
    <w:rPr>
      <w:rFonts w:cs="Times New Roman"/>
      <w:spacing w:val="-1"/>
    </w:rPr>
  </w:style>
  <w:style w:type="character" w:customStyle="1" w:styleId="Heading1Char">
    <w:name w:val="Heading 1 Char"/>
    <w:basedOn w:val="DefaultParagraphFont"/>
    <w:link w:val="Heading1"/>
    <w:rsid w:val="003E2659"/>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3E2659"/>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3E2659"/>
    <w:rPr>
      <w:b/>
      <w:color w:val="2B3B5F" w:themeColor="text2"/>
      <w:sz w:val="28"/>
    </w:rPr>
  </w:style>
  <w:style w:type="character" w:customStyle="1" w:styleId="Heading4Char">
    <w:name w:val="Heading 4 Char"/>
    <w:basedOn w:val="DefaultParagraphFont"/>
    <w:link w:val="Heading4"/>
    <w:rsid w:val="003E2659"/>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3E2659"/>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3E2659"/>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customStyle="1" w:styleId="BodyText17ptAbove">
    <w:name w:val="Body Text 17pt Above"/>
    <w:basedOn w:val="BodyText"/>
    <w:next w:val="BodyText"/>
    <w:qFormat/>
    <w:rsid w:val="003E2659"/>
    <w:pPr>
      <w:spacing w:before="340"/>
    </w:p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3E2659"/>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3E2659"/>
    <w:pPr>
      <w:spacing w:before="120" w:after="420"/>
    </w:pPr>
    <w:rPr>
      <w:i/>
      <w:color w:val="2B3B5F" w:themeColor="text2"/>
      <w:spacing w:val="-1"/>
    </w:rPr>
  </w:style>
  <w:style w:type="paragraph" w:customStyle="1" w:styleId="Introduction">
    <w:name w:val="Introduction"/>
    <w:basedOn w:val="Normal"/>
    <w:next w:val="BodyText"/>
    <w:qFormat/>
    <w:rsid w:val="003E2659"/>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3E2659"/>
    <w:pPr>
      <w:keepLines/>
      <w:numPr>
        <w:numId w:val="6"/>
      </w:numPr>
      <w:spacing w:after="113"/>
    </w:pPr>
    <w:rPr>
      <w:spacing w:val="-1"/>
    </w:rPr>
  </w:style>
  <w:style w:type="paragraph" w:styleId="ListBullet2">
    <w:name w:val="List Bullet 2"/>
    <w:basedOn w:val="ListBullet"/>
    <w:unhideWhenUsed/>
    <w:qFormat/>
    <w:rsid w:val="003E2659"/>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3E2659"/>
    <w:pPr>
      <w:spacing w:before="220" w:after="220"/>
      <w:ind w:left="340"/>
    </w:pPr>
  </w:style>
  <w:style w:type="paragraph" w:styleId="ListContinue2">
    <w:name w:val="List Continue 2"/>
    <w:basedOn w:val="Normal"/>
    <w:semiHidden/>
    <w:qFormat/>
    <w:rsid w:val="003E2659"/>
    <w:pPr>
      <w:spacing w:before="220" w:after="220"/>
      <w:ind w:left="680"/>
    </w:pPr>
  </w:style>
  <w:style w:type="paragraph" w:styleId="ListNumber">
    <w:name w:val="List Number"/>
    <w:basedOn w:val="Normal"/>
    <w:qFormat/>
    <w:rsid w:val="003E2659"/>
    <w:pPr>
      <w:numPr>
        <w:numId w:val="7"/>
      </w:numPr>
      <w:spacing w:before="113" w:after="113"/>
    </w:pPr>
    <w:rPr>
      <w:spacing w:val="-1"/>
    </w:rPr>
  </w:style>
  <w:style w:type="paragraph" w:styleId="ListNumber2">
    <w:name w:val="List Number 2"/>
    <w:basedOn w:val="Normal"/>
    <w:qFormat/>
    <w:rsid w:val="003E2659"/>
    <w:pPr>
      <w:numPr>
        <w:ilvl w:val="1"/>
        <w:numId w:val="7"/>
      </w:numPr>
      <w:spacing w:before="113" w:after="113"/>
    </w:pPr>
    <w:rPr>
      <w:spacing w:val="-1"/>
    </w:rPr>
  </w:style>
  <w:style w:type="paragraph" w:styleId="ListNumber3">
    <w:name w:val="List Number 3"/>
    <w:basedOn w:val="Normal"/>
    <w:qFormat/>
    <w:rsid w:val="003E2659"/>
    <w:pPr>
      <w:numPr>
        <w:ilvl w:val="2"/>
        <w:numId w:val="7"/>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3E2659"/>
    <w:pPr>
      <w:spacing w:before="113" w:after="113"/>
      <w:ind w:left="227" w:right="170"/>
    </w:pPr>
    <w:rPr>
      <w:spacing w:val="-1"/>
    </w:rPr>
  </w:style>
  <w:style w:type="paragraph" w:customStyle="1" w:styleId="PullOutBoxBullet">
    <w:name w:val="Pull Out Box Bullet"/>
    <w:basedOn w:val="PullOutBoxBodyText"/>
    <w:qFormat/>
    <w:rsid w:val="003E2659"/>
    <w:pPr>
      <w:numPr>
        <w:numId w:val="8"/>
      </w:numPr>
    </w:pPr>
  </w:style>
  <w:style w:type="paragraph" w:customStyle="1" w:styleId="PullOutBoxBullet2">
    <w:name w:val="Pull Out Box Bullet 2"/>
    <w:basedOn w:val="PullOutBoxBodyText"/>
    <w:qFormat/>
    <w:rsid w:val="003E2659"/>
    <w:pPr>
      <w:numPr>
        <w:ilvl w:val="1"/>
        <w:numId w:val="8"/>
      </w:numPr>
    </w:pPr>
  </w:style>
  <w:style w:type="paragraph" w:customStyle="1" w:styleId="PullOutBoxBullet3">
    <w:name w:val="Pull Out Box Bullet 3"/>
    <w:basedOn w:val="PullOutBoxBodyText"/>
    <w:qFormat/>
    <w:rsid w:val="003E2659"/>
    <w:pPr>
      <w:numPr>
        <w:ilvl w:val="2"/>
        <w:numId w:val="8"/>
      </w:numPr>
    </w:pPr>
  </w:style>
  <w:style w:type="paragraph" w:customStyle="1" w:styleId="PullOutBoxHeading">
    <w:name w:val="Pull Out Box Heading"/>
    <w:basedOn w:val="PullOutBoxBodyText"/>
    <w:qFormat/>
    <w:rsid w:val="003E2659"/>
    <w:pPr>
      <w:keepNext/>
      <w:keepLines/>
      <w:spacing w:before="114" w:after="114" w:line="360" w:lineRule="atLeast"/>
    </w:pPr>
    <w:rPr>
      <w:b/>
      <w:color w:val="2B3B5F" w:themeColor="text2"/>
      <w:sz w:val="28"/>
    </w:rPr>
  </w:style>
  <w:style w:type="paragraph" w:customStyle="1" w:styleId="PullOutBoxNumber">
    <w:name w:val="Pull Out Box Number"/>
    <w:basedOn w:val="PullOutBoxBodyText"/>
    <w:uiPriority w:val="99"/>
    <w:qFormat/>
    <w:rsid w:val="003E2659"/>
    <w:pPr>
      <w:numPr>
        <w:numId w:val="9"/>
      </w:numPr>
    </w:pPr>
  </w:style>
  <w:style w:type="paragraph" w:customStyle="1" w:styleId="PullOutBoxNumber2">
    <w:name w:val="Pull Out Box Number 2"/>
    <w:basedOn w:val="PullOutBoxBodyText"/>
    <w:uiPriority w:val="99"/>
    <w:qFormat/>
    <w:rsid w:val="003E2659"/>
    <w:pPr>
      <w:numPr>
        <w:ilvl w:val="1"/>
        <w:numId w:val="9"/>
      </w:numPr>
    </w:pPr>
  </w:style>
  <w:style w:type="paragraph" w:customStyle="1" w:styleId="PullOutBoxNumber3">
    <w:name w:val="Pull Out Box Number 3"/>
    <w:basedOn w:val="PullOutBoxBodyText"/>
    <w:uiPriority w:val="99"/>
    <w:qFormat/>
    <w:rsid w:val="003E2659"/>
    <w:pPr>
      <w:numPr>
        <w:ilvl w:val="2"/>
        <w:numId w:val="9"/>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3E2659"/>
    <w:pPr>
      <w:tabs>
        <w:tab w:val="left" w:pos="1134"/>
      </w:tabs>
      <w:spacing w:before="240" w:after="240"/>
      <w:ind w:left="284"/>
    </w:pPr>
    <w:rPr>
      <w:i/>
      <w:iCs/>
    </w:rPr>
  </w:style>
  <w:style w:type="character" w:customStyle="1" w:styleId="QuoteChar">
    <w:name w:val="Quote Char"/>
    <w:basedOn w:val="DefaultParagraphFont"/>
    <w:link w:val="Quote"/>
    <w:rsid w:val="003E2659"/>
    <w:rPr>
      <w:i/>
      <w:iCs/>
    </w:rPr>
  </w:style>
  <w:style w:type="paragraph" w:customStyle="1" w:styleId="QuoteBullet">
    <w:name w:val="Quote Bullet"/>
    <w:basedOn w:val="Quote"/>
    <w:qFormat/>
    <w:rsid w:val="003E2659"/>
    <w:pPr>
      <w:numPr>
        <w:numId w:val="10"/>
      </w:numPr>
    </w:pPr>
  </w:style>
  <w:style w:type="paragraph" w:customStyle="1" w:styleId="QuoteBullet2">
    <w:name w:val="Quote Bullet 2"/>
    <w:basedOn w:val="Quote"/>
    <w:qFormat/>
    <w:rsid w:val="003E2659"/>
    <w:pPr>
      <w:numPr>
        <w:ilvl w:val="1"/>
        <w:numId w:val="10"/>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3"/>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3E2659"/>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3E2659"/>
    <w:pPr>
      <w:jc w:val="center"/>
    </w:pPr>
    <w:rPr>
      <w:color w:val="auto"/>
    </w:rPr>
  </w:style>
  <w:style w:type="paragraph" w:customStyle="1" w:styleId="TableHeadingRight">
    <w:name w:val="Table Heading Right"/>
    <w:basedOn w:val="TableHeading"/>
    <w:qFormat/>
    <w:rsid w:val="003E2659"/>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3E2659"/>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3E2659"/>
    <w:rPr>
      <w:b/>
    </w:rPr>
  </w:style>
  <w:style w:type="paragraph" w:customStyle="1" w:styleId="TableTextBullet">
    <w:name w:val="Table Text Bullet"/>
    <w:basedOn w:val="TableText"/>
    <w:rsid w:val="00961DBB"/>
    <w:pPr>
      <w:numPr>
        <w:numId w:val="11"/>
      </w:numPr>
    </w:pPr>
  </w:style>
  <w:style w:type="paragraph" w:customStyle="1" w:styleId="TableTextBullet2">
    <w:name w:val="Table Text Bullet 2"/>
    <w:basedOn w:val="TableTextBullet"/>
    <w:qFormat/>
    <w:rsid w:val="003E2659"/>
    <w:pPr>
      <w:numPr>
        <w:ilvl w:val="1"/>
      </w:numPr>
    </w:pPr>
    <w:rPr>
      <w:bCs/>
    </w:rPr>
  </w:style>
  <w:style w:type="paragraph" w:customStyle="1" w:styleId="TableTextBullet3">
    <w:name w:val="Table Text Bullet 3"/>
    <w:basedOn w:val="TableTextBullet2"/>
    <w:qFormat/>
    <w:rsid w:val="003E2659"/>
    <w:pPr>
      <w:numPr>
        <w:ilvl w:val="2"/>
      </w:numPr>
    </w:pPr>
    <w:rPr>
      <w:bCs w:val="0"/>
    </w:rPr>
  </w:style>
  <w:style w:type="paragraph" w:customStyle="1" w:styleId="TableTextNumber">
    <w:name w:val="Table Text Number"/>
    <w:basedOn w:val="TableText"/>
    <w:qFormat/>
    <w:rsid w:val="003E2659"/>
    <w:pPr>
      <w:numPr>
        <w:numId w:val="12"/>
      </w:numPr>
    </w:pPr>
  </w:style>
  <w:style w:type="paragraph" w:customStyle="1" w:styleId="TableTextNumber2">
    <w:name w:val="Table Text Number 2"/>
    <w:basedOn w:val="TableTextNumber"/>
    <w:qFormat/>
    <w:rsid w:val="003E2659"/>
    <w:pPr>
      <w:numPr>
        <w:ilvl w:val="1"/>
      </w:numPr>
    </w:pPr>
  </w:style>
  <w:style w:type="paragraph" w:customStyle="1" w:styleId="TableTextNumber3">
    <w:name w:val="Table Text Number 3"/>
    <w:basedOn w:val="TableTextNumber2"/>
    <w:qFormat/>
    <w:rsid w:val="003E2659"/>
    <w:pPr>
      <w:numPr>
        <w:ilvl w:val="2"/>
      </w:numPr>
    </w:pPr>
  </w:style>
  <w:style w:type="paragraph" w:customStyle="1" w:styleId="TableTextRight">
    <w:name w:val="Table Text Right"/>
    <w:basedOn w:val="TableText"/>
    <w:qFormat/>
    <w:rsid w:val="003E2659"/>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3E2659"/>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3E2659"/>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EndnoteText">
    <w:name w:val="endnote text"/>
    <w:basedOn w:val="Normal"/>
    <w:link w:val="EndnoteTextChar"/>
    <w:unhideWhenUsed/>
    <w:rsid w:val="00B036FD"/>
    <w:pPr>
      <w:spacing w:line="240" w:lineRule="auto"/>
    </w:pPr>
    <w:rPr>
      <w:sz w:val="20"/>
      <w:szCs w:val="20"/>
    </w:rPr>
  </w:style>
  <w:style w:type="character" w:customStyle="1" w:styleId="EndnoteTextChar">
    <w:name w:val="Endnote Text Char"/>
    <w:basedOn w:val="DefaultParagraphFont"/>
    <w:link w:val="EndnoteText"/>
    <w:rsid w:val="00B036FD"/>
    <w:rPr>
      <w:sz w:val="20"/>
      <w:szCs w:val="20"/>
    </w:rPr>
  </w:style>
  <w:style w:type="character" w:styleId="EndnoteReference">
    <w:name w:val="endnote reference"/>
    <w:basedOn w:val="DefaultParagraphFont"/>
    <w:unhideWhenUsed/>
    <w:rsid w:val="00B036FD"/>
    <w:rPr>
      <w:vertAlign w:val="superscript"/>
    </w:rPr>
  </w:style>
  <w:style w:type="paragraph" w:customStyle="1" w:styleId="Bullet2">
    <w:name w:val="Bullet 2"/>
    <w:basedOn w:val="Normal"/>
    <w:rsid w:val="00916A79"/>
    <w:pPr>
      <w:numPr>
        <w:ilvl w:val="1"/>
        <w:numId w:val="4"/>
      </w:numPr>
      <w:spacing w:before="120" w:line="240" w:lineRule="auto"/>
      <w:ind w:left="568" w:hanging="284"/>
    </w:pPr>
    <w:rPr>
      <w:rFonts w:ascii="Times New Roman" w:eastAsia="Times New Roman" w:hAnsi="Times New Roman" w:cs="Times New Roman"/>
      <w:sz w:val="24"/>
      <w:szCs w:val="20"/>
      <w:lang w:eastAsia="en-AU"/>
    </w:rPr>
  </w:style>
  <w:style w:type="paragraph" w:styleId="ListParagraph">
    <w:name w:val="List Paragraph"/>
    <w:basedOn w:val="Normal"/>
    <w:uiPriority w:val="72"/>
    <w:qFormat/>
    <w:rsid w:val="003E2659"/>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Followed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3E2659"/>
  </w:style>
  <w:style w:type="paragraph" w:styleId="Heading1">
    <w:name w:val="heading 1"/>
    <w:basedOn w:val="Normal"/>
    <w:next w:val="BodyText"/>
    <w:link w:val="Heading1Char"/>
    <w:qFormat/>
    <w:rsid w:val="001A371F"/>
    <w:pPr>
      <w:keepNext/>
      <w:keepLines/>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3E2659"/>
    <w:pPr>
      <w:keepNext/>
      <w:keepLines/>
      <w:numPr>
        <w:ilvl w:val="1"/>
        <w:numId w:val="5"/>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3E2659"/>
    <w:pPr>
      <w:keepNext/>
      <w:keepLines/>
      <w:tabs>
        <w:tab w:val="left" w:pos="1418"/>
        <w:tab w:val="left" w:pos="1701"/>
        <w:tab w:val="left" w:pos="1985"/>
      </w:tabs>
      <w:spacing w:before="470" w:after="227"/>
      <w:ind w:left="765" w:hanging="765"/>
      <w:outlineLvl w:val="2"/>
    </w:pPr>
    <w:rPr>
      <w:b/>
      <w:color w:val="2B3B5F" w:themeColor="text2"/>
      <w:sz w:val="28"/>
    </w:rPr>
  </w:style>
  <w:style w:type="paragraph" w:styleId="Heading4">
    <w:name w:val="heading 4"/>
    <w:basedOn w:val="Normal"/>
    <w:next w:val="BodyText"/>
    <w:link w:val="Heading4Char"/>
    <w:qFormat/>
    <w:rsid w:val="003E2659"/>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3E2659"/>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3E2659"/>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E2659"/>
    <w:pPr>
      <w:spacing w:before="113" w:after="113"/>
    </w:pPr>
    <w:rPr>
      <w:rFonts w:cs="Times New Roman"/>
      <w:spacing w:val="-1"/>
    </w:rPr>
  </w:style>
  <w:style w:type="character" w:customStyle="1" w:styleId="BodyTextChar">
    <w:name w:val="Body Text Char"/>
    <w:basedOn w:val="DefaultParagraphFont"/>
    <w:link w:val="BodyText"/>
    <w:rsid w:val="003E2659"/>
    <w:rPr>
      <w:rFonts w:cs="Times New Roman"/>
      <w:spacing w:val="-1"/>
    </w:rPr>
  </w:style>
  <w:style w:type="character" w:customStyle="1" w:styleId="Heading1Char">
    <w:name w:val="Heading 1 Char"/>
    <w:basedOn w:val="DefaultParagraphFont"/>
    <w:link w:val="Heading1"/>
    <w:rsid w:val="003E2659"/>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3E2659"/>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3E2659"/>
    <w:rPr>
      <w:b/>
      <w:color w:val="2B3B5F" w:themeColor="text2"/>
      <w:sz w:val="28"/>
    </w:rPr>
  </w:style>
  <w:style w:type="character" w:customStyle="1" w:styleId="Heading4Char">
    <w:name w:val="Heading 4 Char"/>
    <w:basedOn w:val="DefaultParagraphFont"/>
    <w:link w:val="Heading4"/>
    <w:rsid w:val="003E2659"/>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3E2659"/>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3E2659"/>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customStyle="1" w:styleId="BodyText17ptAbove">
    <w:name w:val="Body Text 17pt Above"/>
    <w:basedOn w:val="BodyText"/>
    <w:next w:val="BodyText"/>
    <w:qFormat/>
    <w:rsid w:val="003E2659"/>
    <w:pPr>
      <w:spacing w:before="340"/>
    </w:p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3E2659"/>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3E2659"/>
    <w:pPr>
      <w:spacing w:before="120" w:after="420"/>
    </w:pPr>
    <w:rPr>
      <w:i/>
      <w:color w:val="2B3B5F" w:themeColor="text2"/>
      <w:spacing w:val="-1"/>
    </w:rPr>
  </w:style>
  <w:style w:type="paragraph" w:customStyle="1" w:styleId="Introduction">
    <w:name w:val="Introduction"/>
    <w:basedOn w:val="Normal"/>
    <w:next w:val="BodyText"/>
    <w:qFormat/>
    <w:rsid w:val="003E2659"/>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3E2659"/>
    <w:pPr>
      <w:keepLines/>
      <w:numPr>
        <w:numId w:val="6"/>
      </w:numPr>
      <w:spacing w:after="113"/>
    </w:pPr>
    <w:rPr>
      <w:spacing w:val="-1"/>
    </w:rPr>
  </w:style>
  <w:style w:type="paragraph" w:styleId="ListBullet2">
    <w:name w:val="List Bullet 2"/>
    <w:basedOn w:val="ListBullet"/>
    <w:unhideWhenUsed/>
    <w:qFormat/>
    <w:rsid w:val="003E2659"/>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3E2659"/>
    <w:pPr>
      <w:spacing w:before="220" w:after="220"/>
      <w:ind w:left="340"/>
    </w:pPr>
  </w:style>
  <w:style w:type="paragraph" w:styleId="ListContinue2">
    <w:name w:val="List Continue 2"/>
    <w:basedOn w:val="Normal"/>
    <w:semiHidden/>
    <w:qFormat/>
    <w:rsid w:val="003E2659"/>
    <w:pPr>
      <w:spacing w:before="220" w:after="220"/>
      <w:ind w:left="680"/>
    </w:pPr>
  </w:style>
  <w:style w:type="paragraph" w:styleId="ListNumber">
    <w:name w:val="List Number"/>
    <w:basedOn w:val="Normal"/>
    <w:qFormat/>
    <w:rsid w:val="003E2659"/>
    <w:pPr>
      <w:numPr>
        <w:numId w:val="7"/>
      </w:numPr>
      <w:spacing w:before="113" w:after="113"/>
    </w:pPr>
    <w:rPr>
      <w:spacing w:val="-1"/>
    </w:rPr>
  </w:style>
  <w:style w:type="paragraph" w:styleId="ListNumber2">
    <w:name w:val="List Number 2"/>
    <w:basedOn w:val="Normal"/>
    <w:qFormat/>
    <w:rsid w:val="003E2659"/>
    <w:pPr>
      <w:numPr>
        <w:ilvl w:val="1"/>
        <w:numId w:val="7"/>
      </w:numPr>
      <w:spacing w:before="113" w:after="113"/>
    </w:pPr>
    <w:rPr>
      <w:spacing w:val="-1"/>
    </w:rPr>
  </w:style>
  <w:style w:type="paragraph" w:styleId="ListNumber3">
    <w:name w:val="List Number 3"/>
    <w:basedOn w:val="Normal"/>
    <w:qFormat/>
    <w:rsid w:val="003E2659"/>
    <w:pPr>
      <w:numPr>
        <w:ilvl w:val="2"/>
        <w:numId w:val="7"/>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3E2659"/>
    <w:pPr>
      <w:spacing w:before="113" w:after="113"/>
      <w:ind w:left="227" w:right="170"/>
    </w:pPr>
    <w:rPr>
      <w:spacing w:val="-1"/>
    </w:rPr>
  </w:style>
  <w:style w:type="paragraph" w:customStyle="1" w:styleId="PullOutBoxBullet">
    <w:name w:val="Pull Out Box Bullet"/>
    <w:basedOn w:val="PullOutBoxBodyText"/>
    <w:qFormat/>
    <w:rsid w:val="003E2659"/>
    <w:pPr>
      <w:numPr>
        <w:numId w:val="8"/>
      </w:numPr>
    </w:pPr>
  </w:style>
  <w:style w:type="paragraph" w:customStyle="1" w:styleId="PullOutBoxBullet2">
    <w:name w:val="Pull Out Box Bullet 2"/>
    <w:basedOn w:val="PullOutBoxBodyText"/>
    <w:qFormat/>
    <w:rsid w:val="003E2659"/>
    <w:pPr>
      <w:numPr>
        <w:ilvl w:val="1"/>
        <w:numId w:val="8"/>
      </w:numPr>
    </w:pPr>
  </w:style>
  <w:style w:type="paragraph" w:customStyle="1" w:styleId="PullOutBoxBullet3">
    <w:name w:val="Pull Out Box Bullet 3"/>
    <w:basedOn w:val="PullOutBoxBodyText"/>
    <w:qFormat/>
    <w:rsid w:val="003E2659"/>
    <w:pPr>
      <w:numPr>
        <w:ilvl w:val="2"/>
        <w:numId w:val="8"/>
      </w:numPr>
    </w:pPr>
  </w:style>
  <w:style w:type="paragraph" w:customStyle="1" w:styleId="PullOutBoxHeading">
    <w:name w:val="Pull Out Box Heading"/>
    <w:basedOn w:val="PullOutBoxBodyText"/>
    <w:qFormat/>
    <w:rsid w:val="003E2659"/>
    <w:pPr>
      <w:keepNext/>
      <w:keepLines/>
      <w:spacing w:before="114" w:after="114" w:line="360" w:lineRule="atLeast"/>
    </w:pPr>
    <w:rPr>
      <w:b/>
      <w:color w:val="2B3B5F" w:themeColor="text2"/>
      <w:sz w:val="28"/>
    </w:rPr>
  </w:style>
  <w:style w:type="paragraph" w:customStyle="1" w:styleId="PullOutBoxNumber">
    <w:name w:val="Pull Out Box Number"/>
    <w:basedOn w:val="PullOutBoxBodyText"/>
    <w:uiPriority w:val="99"/>
    <w:qFormat/>
    <w:rsid w:val="003E2659"/>
    <w:pPr>
      <w:numPr>
        <w:numId w:val="9"/>
      </w:numPr>
    </w:pPr>
  </w:style>
  <w:style w:type="paragraph" w:customStyle="1" w:styleId="PullOutBoxNumber2">
    <w:name w:val="Pull Out Box Number 2"/>
    <w:basedOn w:val="PullOutBoxBodyText"/>
    <w:uiPriority w:val="99"/>
    <w:qFormat/>
    <w:rsid w:val="003E2659"/>
    <w:pPr>
      <w:numPr>
        <w:ilvl w:val="1"/>
        <w:numId w:val="9"/>
      </w:numPr>
    </w:pPr>
  </w:style>
  <w:style w:type="paragraph" w:customStyle="1" w:styleId="PullOutBoxNumber3">
    <w:name w:val="Pull Out Box Number 3"/>
    <w:basedOn w:val="PullOutBoxBodyText"/>
    <w:uiPriority w:val="99"/>
    <w:qFormat/>
    <w:rsid w:val="003E2659"/>
    <w:pPr>
      <w:numPr>
        <w:ilvl w:val="2"/>
        <w:numId w:val="9"/>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3E2659"/>
    <w:pPr>
      <w:tabs>
        <w:tab w:val="left" w:pos="1134"/>
      </w:tabs>
      <w:spacing w:before="240" w:after="240"/>
      <w:ind w:left="284"/>
    </w:pPr>
    <w:rPr>
      <w:i/>
      <w:iCs/>
    </w:rPr>
  </w:style>
  <w:style w:type="character" w:customStyle="1" w:styleId="QuoteChar">
    <w:name w:val="Quote Char"/>
    <w:basedOn w:val="DefaultParagraphFont"/>
    <w:link w:val="Quote"/>
    <w:rsid w:val="003E2659"/>
    <w:rPr>
      <w:i/>
      <w:iCs/>
    </w:rPr>
  </w:style>
  <w:style w:type="paragraph" w:customStyle="1" w:styleId="QuoteBullet">
    <w:name w:val="Quote Bullet"/>
    <w:basedOn w:val="Quote"/>
    <w:qFormat/>
    <w:rsid w:val="003E2659"/>
    <w:pPr>
      <w:numPr>
        <w:numId w:val="10"/>
      </w:numPr>
    </w:pPr>
  </w:style>
  <w:style w:type="paragraph" w:customStyle="1" w:styleId="QuoteBullet2">
    <w:name w:val="Quote Bullet 2"/>
    <w:basedOn w:val="Quote"/>
    <w:qFormat/>
    <w:rsid w:val="003E2659"/>
    <w:pPr>
      <w:numPr>
        <w:ilvl w:val="1"/>
        <w:numId w:val="10"/>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3"/>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3E2659"/>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3E2659"/>
    <w:pPr>
      <w:jc w:val="center"/>
    </w:pPr>
    <w:rPr>
      <w:color w:val="auto"/>
    </w:rPr>
  </w:style>
  <w:style w:type="paragraph" w:customStyle="1" w:styleId="TableHeadingRight">
    <w:name w:val="Table Heading Right"/>
    <w:basedOn w:val="TableHeading"/>
    <w:qFormat/>
    <w:rsid w:val="003E2659"/>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3E2659"/>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3E2659"/>
    <w:rPr>
      <w:b/>
    </w:rPr>
  </w:style>
  <w:style w:type="paragraph" w:customStyle="1" w:styleId="TableTextBullet">
    <w:name w:val="Table Text Bullet"/>
    <w:basedOn w:val="TableText"/>
    <w:rsid w:val="00961DBB"/>
    <w:pPr>
      <w:numPr>
        <w:numId w:val="11"/>
      </w:numPr>
    </w:pPr>
  </w:style>
  <w:style w:type="paragraph" w:customStyle="1" w:styleId="TableTextBullet2">
    <w:name w:val="Table Text Bullet 2"/>
    <w:basedOn w:val="TableTextBullet"/>
    <w:qFormat/>
    <w:rsid w:val="003E2659"/>
    <w:pPr>
      <w:numPr>
        <w:ilvl w:val="1"/>
      </w:numPr>
    </w:pPr>
    <w:rPr>
      <w:bCs/>
    </w:rPr>
  </w:style>
  <w:style w:type="paragraph" w:customStyle="1" w:styleId="TableTextBullet3">
    <w:name w:val="Table Text Bullet 3"/>
    <w:basedOn w:val="TableTextBullet2"/>
    <w:qFormat/>
    <w:rsid w:val="003E2659"/>
    <w:pPr>
      <w:numPr>
        <w:ilvl w:val="2"/>
      </w:numPr>
    </w:pPr>
    <w:rPr>
      <w:bCs w:val="0"/>
    </w:rPr>
  </w:style>
  <w:style w:type="paragraph" w:customStyle="1" w:styleId="TableTextNumber">
    <w:name w:val="Table Text Number"/>
    <w:basedOn w:val="TableText"/>
    <w:qFormat/>
    <w:rsid w:val="003E2659"/>
    <w:pPr>
      <w:numPr>
        <w:numId w:val="12"/>
      </w:numPr>
    </w:pPr>
  </w:style>
  <w:style w:type="paragraph" w:customStyle="1" w:styleId="TableTextNumber2">
    <w:name w:val="Table Text Number 2"/>
    <w:basedOn w:val="TableTextNumber"/>
    <w:qFormat/>
    <w:rsid w:val="003E2659"/>
    <w:pPr>
      <w:numPr>
        <w:ilvl w:val="1"/>
      </w:numPr>
    </w:pPr>
  </w:style>
  <w:style w:type="paragraph" w:customStyle="1" w:styleId="TableTextNumber3">
    <w:name w:val="Table Text Number 3"/>
    <w:basedOn w:val="TableTextNumber2"/>
    <w:qFormat/>
    <w:rsid w:val="003E2659"/>
    <w:pPr>
      <w:numPr>
        <w:ilvl w:val="2"/>
      </w:numPr>
    </w:pPr>
  </w:style>
  <w:style w:type="paragraph" w:customStyle="1" w:styleId="TableTextRight">
    <w:name w:val="Table Text Right"/>
    <w:basedOn w:val="TableText"/>
    <w:qFormat/>
    <w:rsid w:val="003E2659"/>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3E2659"/>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3E2659"/>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EndnoteText">
    <w:name w:val="endnote text"/>
    <w:basedOn w:val="Normal"/>
    <w:link w:val="EndnoteTextChar"/>
    <w:unhideWhenUsed/>
    <w:rsid w:val="00B036FD"/>
    <w:pPr>
      <w:spacing w:line="240" w:lineRule="auto"/>
    </w:pPr>
    <w:rPr>
      <w:sz w:val="20"/>
      <w:szCs w:val="20"/>
    </w:rPr>
  </w:style>
  <w:style w:type="character" w:customStyle="1" w:styleId="EndnoteTextChar">
    <w:name w:val="Endnote Text Char"/>
    <w:basedOn w:val="DefaultParagraphFont"/>
    <w:link w:val="EndnoteText"/>
    <w:rsid w:val="00B036FD"/>
    <w:rPr>
      <w:sz w:val="20"/>
      <w:szCs w:val="20"/>
    </w:rPr>
  </w:style>
  <w:style w:type="character" w:styleId="EndnoteReference">
    <w:name w:val="endnote reference"/>
    <w:basedOn w:val="DefaultParagraphFont"/>
    <w:unhideWhenUsed/>
    <w:rsid w:val="00B036FD"/>
    <w:rPr>
      <w:vertAlign w:val="superscript"/>
    </w:rPr>
  </w:style>
  <w:style w:type="paragraph" w:customStyle="1" w:styleId="Bullet2">
    <w:name w:val="Bullet 2"/>
    <w:basedOn w:val="Normal"/>
    <w:rsid w:val="00916A79"/>
    <w:pPr>
      <w:numPr>
        <w:ilvl w:val="1"/>
        <w:numId w:val="4"/>
      </w:numPr>
      <w:spacing w:before="120" w:line="240" w:lineRule="auto"/>
      <w:ind w:left="568" w:hanging="284"/>
    </w:pPr>
    <w:rPr>
      <w:rFonts w:ascii="Times New Roman" w:eastAsia="Times New Roman" w:hAnsi="Times New Roman" w:cs="Times New Roman"/>
      <w:sz w:val="24"/>
      <w:szCs w:val="20"/>
      <w:lang w:eastAsia="en-AU"/>
    </w:rPr>
  </w:style>
  <w:style w:type="paragraph" w:styleId="ListParagraph">
    <w:name w:val="List Paragraph"/>
    <w:basedOn w:val="Normal"/>
    <w:uiPriority w:val="72"/>
    <w:qFormat/>
    <w:rsid w:val="003E2659"/>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842">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256014034">
      <w:bodyDiv w:val="1"/>
      <w:marLeft w:val="0"/>
      <w:marRight w:val="0"/>
      <w:marTop w:val="0"/>
      <w:marBottom w:val="0"/>
      <w:divBdr>
        <w:top w:val="none" w:sz="0" w:space="0" w:color="auto"/>
        <w:left w:val="none" w:sz="0" w:space="0" w:color="auto"/>
        <w:bottom w:val="none" w:sz="0" w:space="0" w:color="auto"/>
        <w:right w:val="none" w:sz="0" w:space="0" w:color="auto"/>
      </w:divBdr>
    </w:div>
    <w:div w:id="314191412">
      <w:bodyDiv w:val="1"/>
      <w:marLeft w:val="0"/>
      <w:marRight w:val="0"/>
      <w:marTop w:val="0"/>
      <w:marBottom w:val="0"/>
      <w:divBdr>
        <w:top w:val="none" w:sz="0" w:space="0" w:color="auto"/>
        <w:left w:val="none" w:sz="0" w:space="0" w:color="auto"/>
        <w:bottom w:val="none" w:sz="0" w:space="0" w:color="auto"/>
        <w:right w:val="none" w:sz="0" w:space="0" w:color="auto"/>
      </w:divBdr>
    </w:div>
    <w:div w:id="393889642">
      <w:bodyDiv w:val="1"/>
      <w:marLeft w:val="0"/>
      <w:marRight w:val="0"/>
      <w:marTop w:val="0"/>
      <w:marBottom w:val="0"/>
      <w:divBdr>
        <w:top w:val="none" w:sz="0" w:space="0" w:color="auto"/>
        <w:left w:val="none" w:sz="0" w:space="0" w:color="auto"/>
        <w:bottom w:val="none" w:sz="0" w:space="0" w:color="auto"/>
        <w:right w:val="none" w:sz="0" w:space="0" w:color="auto"/>
      </w:divBdr>
    </w:div>
    <w:div w:id="445347293">
      <w:bodyDiv w:val="1"/>
      <w:marLeft w:val="0"/>
      <w:marRight w:val="0"/>
      <w:marTop w:val="0"/>
      <w:marBottom w:val="0"/>
      <w:divBdr>
        <w:top w:val="none" w:sz="0" w:space="0" w:color="auto"/>
        <w:left w:val="none" w:sz="0" w:space="0" w:color="auto"/>
        <w:bottom w:val="none" w:sz="0" w:space="0" w:color="auto"/>
        <w:right w:val="none" w:sz="0" w:space="0" w:color="auto"/>
      </w:divBdr>
    </w:div>
    <w:div w:id="474951508">
      <w:bodyDiv w:val="1"/>
      <w:marLeft w:val="0"/>
      <w:marRight w:val="0"/>
      <w:marTop w:val="0"/>
      <w:marBottom w:val="0"/>
      <w:divBdr>
        <w:top w:val="none" w:sz="0" w:space="0" w:color="auto"/>
        <w:left w:val="none" w:sz="0" w:space="0" w:color="auto"/>
        <w:bottom w:val="none" w:sz="0" w:space="0" w:color="auto"/>
        <w:right w:val="none" w:sz="0" w:space="0" w:color="auto"/>
      </w:divBdr>
    </w:div>
    <w:div w:id="484393963">
      <w:bodyDiv w:val="1"/>
      <w:marLeft w:val="0"/>
      <w:marRight w:val="0"/>
      <w:marTop w:val="0"/>
      <w:marBottom w:val="0"/>
      <w:divBdr>
        <w:top w:val="none" w:sz="0" w:space="0" w:color="auto"/>
        <w:left w:val="none" w:sz="0" w:space="0" w:color="auto"/>
        <w:bottom w:val="none" w:sz="0" w:space="0" w:color="auto"/>
        <w:right w:val="none" w:sz="0" w:space="0" w:color="auto"/>
      </w:divBdr>
    </w:div>
    <w:div w:id="521363392">
      <w:bodyDiv w:val="1"/>
      <w:marLeft w:val="0"/>
      <w:marRight w:val="0"/>
      <w:marTop w:val="0"/>
      <w:marBottom w:val="0"/>
      <w:divBdr>
        <w:top w:val="none" w:sz="0" w:space="0" w:color="auto"/>
        <w:left w:val="none" w:sz="0" w:space="0" w:color="auto"/>
        <w:bottom w:val="none" w:sz="0" w:space="0" w:color="auto"/>
        <w:right w:val="none" w:sz="0" w:space="0" w:color="auto"/>
      </w:divBdr>
    </w:div>
    <w:div w:id="640961435">
      <w:bodyDiv w:val="1"/>
      <w:marLeft w:val="0"/>
      <w:marRight w:val="0"/>
      <w:marTop w:val="0"/>
      <w:marBottom w:val="0"/>
      <w:divBdr>
        <w:top w:val="none" w:sz="0" w:space="0" w:color="auto"/>
        <w:left w:val="none" w:sz="0" w:space="0" w:color="auto"/>
        <w:bottom w:val="none" w:sz="0" w:space="0" w:color="auto"/>
        <w:right w:val="none" w:sz="0" w:space="0" w:color="auto"/>
      </w:divBdr>
    </w:div>
    <w:div w:id="834686559">
      <w:bodyDiv w:val="1"/>
      <w:marLeft w:val="0"/>
      <w:marRight w:val="0"/>
      <w:marTop w:val="0"/>
      <w:marBottom w:val="0"/>
      <w:divBdr>
        <w:top w:val="none" w:sz="0" w:space="0" w:color="auto"/>
        <w:left w:val="none" w:sz="0" w:space="0" w:color="auto"/>
        <w:bottom w:val="none" w:sz="0" w:space="0" w:color="auto"/>
        <w:right w:val="none" w:sz="0" w:space="0" w:color="auto"/>
      </w:divBdr>
    </w:div>
    <w:div w:id="878080834">
      <w:bodyDiv w:val="1"/>
      <w:marLeft w:val="0"/>
      <w:marRight w:val="0"/>
      <w:marTop w:val="0"/>
      <w:marBottom w:val="0"/>
      <w:divBdr>
        <w:top w:val="none" w:sz="0" w:space="0" w:color="auto"/>
        <w:left w:val="none" w:sz="0" w:space="0" w:color="auto"/>
        <w:bottom w:val="none" w:sz="0" w:space="0" w:color="auto"/>
        <w:right w:val="none" w:sz="0" w:space="0" w:color="auto"/>
      </w:divBdr>
    </w:div>
    <w:div w:id="898521585">
      <w:bodyDiv w:val="1"/>
      <w:marLeft w:val="0"/>
      <w:marRight w:val="0"/>
      <w:marTop w:val="0"/>
      <w:marBottom w:val="0"/>
      <w:divBdr>
        <w:top w:val="none" w:sz="0" w:space="0" w:color="auto"/>
        <w:left w:val="none" w:sz="0" w:space="0" w:color="auto"/>
        <w:bottom w:val="none" w:sz="0" w:space="0" w:color="auto"/>
        <w:right w:val="none" w:sz="0" w:space="0" w:color="auto"/>
      </w:divBdr>
    </w:div>
    <w:div w:id="1037706852">
      <w:bodyDiv w:val="1"/>
      <w:marLeft w:val="0"/>
      <w:marRight w:val="0"/>
      <w:marTop w:val="0"/>
      <w:marBottom w:val="0"/>
      <w:divBdr>
        <w:top w:val="none" w:sz="0" w:space="0" w:color="auto"/>
        <w:left w:val="none" w:sz="0" w:space="0" w:color="auto"/>
        <w:bottom w:val="none" w:sz="0" w:space="0" w:color="auto"/>
        <w:right w:val="none" w:sz="0" w:space="0" w:color="auto"/>
      </w:divBdr>
    </w:div>
    <w:div w:id="1112018247">
      <w:bodyDiv w:val="1"/>
      <w:marLeft w:val="0"/>
      <w:marRight w:val="0"/>
      <w:marTop w:val="0"/>
      <w:marBottom w:val="0"/>
      <w:divBdr>
        <w:top w:val="none" w:sz="0" w:space="0" w:color="auto"/>
        <w:left w:val="none" w:sz="0" w:space="0" w:color="auto"/>
        <w:bottom w:val="none" w:sz="0" w:space="0" w:color="auto"/>
        <w:right w:val="none" w:sz="0" w:space="0" w:color="auto"/>
      </w:divBdr>
    </w:div>
    <w:div w:id="1135441754">
      <w:bodyDiv w:val="1"/>
      <w:marLeft w:val="0"/>
      <w:marRight w:val="0"/>
      <w:marTop w:val="0"/>
      <w:marBottom w:val="0"/>
      <w:divBdr>
        <w:top w:val="none" w:sz="0" w:space="0" w:color="auto"/>
        <w:left w:val="none" w:sz="0" w:space="0" w:color="auto"/>
        <w:bottom w:val="none" w:sz="0" w:space="0" w:color="auto"/>
        <w:right w:val="none" w:sz="0" w:space="0" w:color="auto"/>
      </w:divBdr>
    </w:div>
    <w:div w:id="1193032570">
      <w:bodyDiv w:val="1"/>
      <w:marLeft w:val="0"/>
      <w:marRight w:val="0"/>
      <w:marTop w:val="0"/>
      <w:marBottom w:val="0"/>
      <w:divBdr>
        <w:top w:val="none" w:sz="0" w:space="0" w:color="auto"/>
        <w:left w:val="none" w:sz="0" w:space="0" w:color="auto"/>
        <w:bottom w:val="none" w:sz="0" w:space="0" w:color="auto"/>
        <w:right w:val="none" w:sz="0" w:space="0" w:color="auto"/>
      </w:divBdr>
    </w:div>
    <w:div w:id="1414279572">
      <w:bodyDiv w:val="1"/>
      <w:marLeft w:val="0"/>
      <w:marRight w:val="0"/>
      <w:marTop w:val="0"/>
      <w:marBottom w:val="0"/>
      <w:divBdr>
        <w:top w:val="none" w:sz="0" w:space="0" w:color="auto"/>
        <w:left w:val="none" w:sz="0" w:space="0" w:color="auto"/>
        <w:bottom w:val="none" w:sz="0" w:space="0" w:color="auto"/>
        <w:right w:val="none" w:sz="0" w:space="0" w:color="auto"/>
      </w:divBdr>
    </w:div>
    <w:div w:id="1441294393">
      <w:bodyDiv w:val="1"/>
      <w:marLeft w:val="0"/>
      <w:marRight w:val="0"/>
      <w:marTop w:val="0"/>
      <w:marBottom w:val="0"/>
      <w:divBdr>
        <w:top w:val="none" w:sz="0" w:space="0" w:color="auto"/>
        <w:left w:val="none" w:sz="0" w:space="0" w:color="auto"/>
        <w:bottom w:val="none" w:sz="0" w:space="0" w:color="auto"/>
        <w:right w:val="none" w:sz="0" w:space="0" w:color="auto"/>
      </w:divBdr>
    </w:div>
    <w:div w:id="1442451963">
      <w:bodyDiv w:val="1"/>
      <w:marLeft w:val="0"/>
      <w:marRight w:val="0"/>
      <w:marTop w:val="0"/>
      <w:marBottom w:val="0"/>
      <w:divBdr>
        <w:top w:val="none" w:sz="0" w:space="0" w:color="auto"/>
        <w:left w:val="none" w:sz="0" w:space="0" w:color="auto"/>
        <w:bottom w:val="none" w:sz="0" w:space="0" w:color="auto"/>
        <w:right w:val="none" w:sz="0" w:space="0" w:color="auto"/>
      </w:divBdr>
    </w:div>
    <w:div w:id="1566914719">
      <w:bodyDiv w:val="1"/>
      <w:marLeft w:val="0"/>
      <w:marRight w:val="0"/>
      <w:marTop w:val="0"/>
      <w:marBottom w:val="0"/>
      <w:divBdr>
        <w:top w:val="none" w:sz="0" w:space="0" w:color="auto"/>
        <w:left w:val="none" w:sz="0" w:space="0" w:color="auto"/>
        <w:bottom w:val="none" w:sz="0" w:space="0" w:color="auto"/>
        <w:right w:val="none" w:sz="0" w:space="0" w:color="auto"/>
      </w:divBdr>
    </w:div>
    <w:div w:id="1648122849">
      <w:bodyDiv w:val="1"/>
      <w:marLeft w:val="0"/>
      <w:marRight w:val="0"/>
      <w:marTop w:val="0"/>
      <w:marBottom w:val="0"/>
      <w:divBdr>
        <w:top w:val="none" w:sz="0" w:space="0" w:color="auto"/>
        <w:left w:val="none" w:sz="0" w:space="0" w:color="auto"/>
        <w:bottom w:val="none" w:sz="0" w:space="0" w:color="auto"/>
        <w:right w:val="none" w:sz="0" w:space="0" w:color="auto"/>
      </w:divBdr>
    </w:div>
    <w:div w:id="1759213125">
      <w:bodyDiv w:val="1"/>
      <w:marLeft w:val="0"/>
      <w:marRight w:val="0"/>
      <w:marTop w:val="0"/>
      <w:marBottom w:val="0"/>
      <w:divBdr>
        <w:top w:val="none" w:sz="0" w:space="0" w:color="auto"/>
        <w:left w:val="none" w:sz="0" w:space="0" w:color="auto"/>
        <w:bottom w:val="none" w:sz="0" w:space="0" w:color="auto"/>
        <w:right w:val="none" w:sz="0" w:space="0" w:color="auto"/>
      </w:divBdr>
    </w:div>
    <w:div w:id="1946113652">
      <w:bodyDiv w:val="1"/>
      <w:marLeft w:val="0"/>
      <w:marRight w:val="0"/>
      <w:marTop w:val="0"/>
      <w:marBottom w:val="0"/>
      <w:divBdr>
        <w:top w:val="none" w:sz="0" w:space="0" w:color="auto"/>
        <w:left w:val="none" w:sz="0" w:space="0" w:color="auto"/>
        <w:bottom w:val="none" w:sz="0" w:space="0" w:color="auto"/>
        <w:right w:val="none" w:sz="0" w:space="0" w:color="auto"/>
      </w:divBdr>
    </w:div>
    <w:div w:id="2072271182">
      <w:bodyDiv w:val="1"/>
      <w:marLeft w:val="0"/>
      <w:marRight w:val="0"/>
      <w:marTop w:val="0"/>
      <w:marBottom w:val="0"/>
      <w:divBdr>
        <w:top w:val="none" w:sz="0" w:space="0" w:color="auto"/>
        <w:left w:val="none" w:sz="0" w:space="0" w:color="auto"/>
        <w:bottom w:val="none" w:sz="0" w:space="0" w:color="auto"/>
        <w:right w:val="none" w:sz="0" w:space="0" w:color="auto"/>
      </w:divBdr>
    </w:div>
    <w:div w:id="21399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5668-3EE1-445F-ACA8-E11DB856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1</TotalTime>
  <Pages>5</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Unlegislated measures carried forward in the budget estimates - February 2017 update</vt:lpstr>
    </vt:vector>
  </TitlesOfParts>
  <Company>Parliament of Australia</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Unlegislated measures carried forward in the budget estimates - February 2017 update</dc:title>
  <dc:subject>Chart packs and budget analyses</dc:subject>
  <dc:creator>Parliamentary Budget Office</dc:creator>
  <cp:keywords>Unlegislated, budget, measures</cp:keywords>
  <cp:lastModifiedBy>Moorhouse, Helen (PBO)</cp:lastModifiedBy>
  <cp:revision>3</cp:revision>
  <cp:lastPrinted>2017-02-06T01:47:00Z</cp:lastPrinted>
  <dcterms:created xsi:type="dcterms:W3CDTF">2017-02-06T06:34:00Z</dcterms:created>
  <dcterms:modified xsi:type="dcterms:W3CDTF">2017-02-06T06:34:00Z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Tables</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